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784539" w:rsidRDefault="00DA186E" w:rsidP="00715914">
      <w:pPr>
        <w:rPr>
          <w:sz w:val="28"/>
        </w:rPr>
      </w:pPr>
      <w:r w:rsidRPr="00784539">
        <w:rPr>
          <w:noProof/>
          <w:lang w:eastAsia="en-AU"/>
        </w:rPr>
        <w:drawing>
          <wp:inline distT="0" distB="0" distL="0" distR="0" wp14:anchorId="458CA678" wp14:editId="3FDB1F0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784539" w:rsidRDefault="00715914" w:rsidP="00715914">
      <w:pPr>
        <w:rPr>
          <w:sz w:val="19"/>
        </w:rPr>
      </w:pPr>
    </w:p>
    <w:p w:rsidR="00715914" w:rsidRPr="00784539" w:rsidRDefault="00B93246" w:rsidP="00715914">
      <w:pPr>
        <w:pStyle w:val="ShortT"/>
      </w:pPr>
      <w:r w:rsidRPr="00784539">
        <w:t>ASIC Supervisory Cost Recovery Levy Regulation</w:t>
      </w:r>
      <w:r w:rsidR="009B248D" w:rsidRPr="00784539">
        <w:t>s</w:t>
      </w:r>
      <w:r w:rsidR="00784539" w:rsidRPr="00784539">
        <w:t> </w:t>
      </w:r>
      <w:r w:rsidRPr="00784539">
        <w:t>201</w:t>
      </w:r>
      <w:r w:rsidR="009B248D" w:rsidRPr="00784539">
        <w:t>7</w:t>
      </w:r>
    </w:p>
    <w:p w:rsidR="00337FCF" w:rsidRPr="00784539" w:rsidRDefault="00337FCF" w:rsidP="00D63269">
      <w:pPr>
        <w:pStyle w:val="SignCoverPageStart"/>
        <w:spacing w:before="240"/>
        <w:rPr>
          <w:szCs w:val="22"/>
        </w:rPr>
      </w:pPr>
      <w:r w:rsidRPr="00784539">
        <w:rPr>
          <w:szCs w:val="22"/>
        </w:rPr>
        <w:t xml:space="preserve">I, General the Honourable Sir Peter Cosgrove AK MC (Ret’d), </w:t>
      </w:r>
      <w:r w:rsidR="00784539" w:rsidRPr="00784539">
        <w:rPr>
          <w:szCs w:val="22"/>
        </w:rPr>
        <w:t>Governor</w:t>
      </w:r>
      <w:r w:rsidR="00784539">
        <w:rPr>
          <w:szCs w:val="22"/>
        </w:rPr>
        <w:noBreakHyphen/>
      </w:r>
      <w:r w:rsidR="00784539" w:rsidRPr="00784539">
        <w:rPr>
          <w:szCs w:val="22"/>
        </w:rPr>
        <w:t>General</w:t>
      </w:r>
      <w:r w:rsidRPr="00784539">
        <w:rPr>
          <w:szCs w:val="22"/>
        </w:rPr>
        <w:t xml:space="preserve"> of the Commonwealth of Australia, acting with the advice of the Federal Executive Council, make the following regulation</w:t>
      </w:r>
      <w:r w:rsidR="00B368EC" w:rsidRPr="00784539">
        <w:rPr>
          <w:szCs w:val="22"/>
        </w:rPr>
        <w:t>s</w:t>
      </w:r>
      <w:r w:rsidRPr="00784539">
        <w:rPr>
          <w:szCs w:val="22"/>
        </w:rPr>
        <w:t>.</w:t>
      </w:r>
    </w:p>
    <w:p w:rsidR="00337FCF" w:rsidRPr="00784539" w:rsidRDefault="00337FCF" w:rsidP="00D63269">
      <w:pPr>
        <w:keepNext/>
        <w:spacing w:before="720" w:line="240" w:lineRule="atLeast"/>
        <w:ind w:right="397"/>
        <w:jc w:val="both"/>
        <w:rPr>
          <w:szCs w:val="22"/>
        </w:rPr>
      </w:pPr>
      <w:r w:rsidRPr="00784539">
        <w:rPr>
          <w:szCs w:val="22"/>
        </w:rPr>
        <w:t xml:space="preserve">Dated </w:t>
      </w:r>
      <w:bookmarkStart w:id="0" w:name="BKCheck15B_1"/>
      <w:bookmarkEnd w:id="0"/>
      <w:r w:rsidRPr="00784539">
        <w:rPr>
          <w:szCs w:val="22"/>
        </w:rPr>
        <w:fldChar w:fldCharType="begin"/>
      </w:r>
      <w:r w:rsidRPr="00784539">
        <w:rPr>
          <w:szCs w:val="22"/>
        </w:rPr>
        <w:instrText xml:space="preserve"> DOCPROPERTY  DateMade </w:instrText>
      </w:r>
      <w:r w:rsidRPr="00784539">
        <w:rPr>
          <w:szCs w:val="22"/>
        </w:rPr>
        <w:fldChar w:fldCharType="separate"/>
      </w:r>
      <w:r w:rsidR="00721A47">
        <w:rPr>
          <w:szCs w:val="22"/>
        </w:rPr>
        <w:t>27 June 2017</w:t>
      </w:r>
      <w:r w:rsidRPr="00784539">
        <w:rPr>
          <w:szCs w:val="22"/>
        </w:rPr>
        <w:fldChar w:fldCharType="end"/>
      </w:r>
    </w:p>
    <w:p w:rsidR="00337FCF" w:rsidRPr="00784539" w:rsidRDefault="00337FCF" w:rsidP="00D63269">
      <w:pPr>
        <w:keepNext/>
        <w:tabs>
          <w:tab w:val="left" w:pos="3402"/>
        </w:tabs>
        <w:spacing w:before="1080" w:line="300" w:lineRule="atLeast"/>
        <w:ind w:left="397" w:right="397"/>
        <w:jc w:val="right"/>
        <w:rPr>
          <w:szCs w:val="22"/>
        </w:rPr>
      </w:pPr>
      <w:r w:rsidRPr="00784539">
        <w:rPr>
          <w:szCs w:val="22"/>
        </w:rPr>
        <w:t>Peter Cosgrove</w:t>
      </w:r>
    </w:p>
    <w:p w:rsidR="00337FCF" w:rsidRPr="00784539" w:rsidRDefault="00784539" w:rsidP="00D63269">
      <w:pPr>
        <w:keepNext/>
        <w:tabs>
          <w:tab w:val="left" w:pos="3402"/>
        </w:tabs>
        <w:spacing w:line="300" w:lineRule="atLeast"/>
        <w:ind w:left="397" w:right="397"/>
        <w:jc w:val="right"/>
        <w:rPr>
          <w:szCs w:val="22"/>
        </w:rPr>
      </w:pPr>
      <w:r w:rsidRPr="00784539">
        <w:rPr>
          <w:szCs w:val="22"/>
        </w:rPr>
        <w:t>Governor</w:t>
      </w:r>
      <w:r>
        <w:rPr>
          <w:szCs w:val="22"/>
        </w:rPr>
        <w:noBreakHyphen/>
      </w:r>
      <w:r w:rsidRPr="00784539">
        <w:rPr>
          <w:szCs w:val="22"/>
        </w:rPr>
        <w:t>General</w:t>
      </w:r>
    </w:p>
    <w:p w:rsidR="00337FCF" w:rsidRPr="00784539" w:rsidRDefault="00337FCF" w:rsidP="00D63269">
      <w:pPr>
        <w:keepNext/>
        <w:tabs>
          <w:tab w:val="left" w:pos="3402"/>
        </w:tabs>
        <w:spacing w:before="840" w:after="1080" w:line="300" w:lineRule="atLeast"/>
        <w:ind w:right="397"/>
        <w:rPr>
          <w:szCs w:val="22"/>
        </w:rPr>
      </w:pPr>
      <w:r w:rsidRPr="00784539">
        <w:rPr>
          <w:szCs w:val="22"/>
        </w:rPr>
        <w:t>By His Excellency’s Command</w:t>
      </w:r>
    </w:p>
    <w:p w:rsidR="00337FCF" w:rsidRPr="00784539" w:rsidRDefault="00337FCF" w:rsidP="00D63269">
      <w:pPr>
        <w:keepNext/>
        <w:tabs>
          <w:tab w:val="left" w:pos="3402"/>
        </w:tabs>
        <w:spacing w:before="480" w:line="300" w:lineRule="atLeast"/>
        <w:ind w:right="397"/>
        <w:rPr>
          <w:szCs w:val="22"/>
        </w:rPr>
      </w:pPr>
      <w:r w:rsidRPr="00784539">
        <w:rPr>
          <w:szCs w:val="22"/>
        </w:rPr>
        <w:t>Mathias Cormann</w:t>
      </w:r>
    </w:p>
    <w:p w:rsidR="007176F5" w:rsidRPr="00784539" w:rsidRDefault="00337FCF" w:rsidP="00D63269">
      <w:pPr>
        <w:pStyle w:val="SignCoverPageEnd"/>
        <w:rPr>
          <w:szCs w:val="22"/>
        </w:rPr>
      </w:pPr>
      <w:r w:rsidRPr="00784539">
        <w:rPr>
          <w:szCs w:val="22"/>
        </w:rPr>
        <w:t>Minister for Finance</w:t>
      </w:r>
    </w:p>
    <w:p w:rsidR="00337FCF" w:rsidRPr="00784539" w:rsidRDefault="00337FCF" w:rsidP="00D63269">
      <w:pPr>
        <w:pStyle w:val="SignCoverPageEnd"/>
        <w:rPr>
          <w:szCs w:val="22"/>
        </w:rPr>
      </w:pPr>
      <w:r w:rsidRPr="00784539">
        <w:rPr>
          <w:szCs w:val="22"/>
        </w:rPr>
        <w:t>for the Minister for Revenue and Financial Services</w:t>
      </w:r>
    </w:p>
    <w:p w:rsidR="00337FCF" w:rsidRPr="00784539" w:rsidRDefault="00337FCF" w:rsidP="00D63269"/>
    <w:p w:rsidR="00337FCF" w:rsidRPr="00784539" w:rsidRDefault="00337FCF" w:rsidP="00D63269"/>
    <w:p w:rsidR="00337FCF" w:rsidRPr="00784539" w:rsidRDefault="00337FCF" w:rsidP="00D63269"/>
    <w:p w:rsidR="00337FCF" w:rsidRPr="00784539" w:rsidRDefault="00337FCF" w:rsidP="00337FCF"/>
    <w:p w:rsidR="00715914" w:rsidRPr="00784539" w:rsidRDefault="00715914" w:rsidP="00715914">
      <w:pPr>
        <w:pStyle w:val="Header"/>
        <w:tabs>
          <w:tab w:val="clear" w:pos="4150"/>
          <w:tab w:val="clear" w:pos="8307"/>
        </w:tabs>
      </w:pPr>
      <w:r w:rsidRPr="00784539">
        <w:rPr>
          <w:rStyle w:val="CharChapNo"/>
        </w:rPr>
        <w:t xml:space="preserve"> </w:t>
      </w:r>
      <w:r w:rsidRPr="00784539">
        <w:rPr>
          <w:rStyle w:val="CharChapText"/>
        </w:rPr>
        <w:t xml:space="preserve"> </w:t>
      </w:r>
    </w:p>
    <w:p w:rsidR="00715914" w:rsidRPr="00784539" w:rsidRDefault="00715914" w:rsidP="00715914">
      <w:pPr>
        <w:pStyle w:val="Header"/>
        <w:tabs>
          <w:tab w:val="clear" w:pos="4150"/>
          <w:tab w:val="clear" w:pos="8307"/>
        </w:tabs>
      </w:pPr>
      <w:r w:rsidRPr="00784539">
        <w:rPr>
          <w:rStyle w:val="CharPartNo"/>
        </w:rPr>
        <w:t xml:space="preserve"> </w:t>
      </w:r>
      <w:r w:rsidRPr="00784539">
        <w:rPr>
          <w:rStyle w:val="CharPartText"/>
        </w:rPr>
        <w:t xml:space="preserve"> </w:t>
      </w:r>
    </w:p>
    <w:p w:rsidR="00715914" w:rsidRPr="00784539" w:rsidRDefault="00715914" w:rsidP="00715914">
      <w:pPr>
        <w:pStyle w:val="Header"/>
        <w:tabs>
          <w:tab w:val="clear" w:pos="4150"/>
          <w:tab w:val="clear" w:pos="8307"/>
        </w:tabs>
      </w:pPr>
      <w:r w:rsidRPr="00784539">
        <w:rPr>
          <w:rStyle w:val="CharDivNo"/>
        </w:rPr>
        <w:t xml:space="preserve"> </w:t>
      </w:r>
      <w:r w:rsidRPr="00784539">
        <w:rPr>
          <w:rStyle w:val="CharDivText"/>
        </w:rPr>
        <w:t xml:space="preserve"> </w:t>
      </w:r>
    </w:p>
    <w:p w:rsidR="00715914" w:rsidRPr="00784539" w:rsidRDefault="00715914" w:rsidP="00715914">
      <w:pPr>
        <w:sectPr w:rsidR="00715914" w:rsidRPr="00784539" w:rsidSect="005A198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784539" w:rsidRDefault="00715914" w:rsidP="00410E40">
      <w:pPr>
        <w:rPr>
          <w:sz w:val="36"/>
        </w:rPr>
      </w:pPr>
      <w:r w:rsidRPr="00784539">
        <w:rPr>
          <w:sz w:val="36"/>
        </w:rPr>
        <w:lastRenderedPageBreak/>
        <w:t>Contents</w:t>
      </w:r>
    </w:p>
    <w:bookmarkStart w:id="1" w:name="BKCheck15B_2"/>
    <w:bookmarkEnd w:id="1"/>
    <w:p w:rsidR="006B1044" w:rsidRPr="00784539" w:rsidRDefault="006B1044">
      <w:pPr>
        <w:pStyle w:val="TOC2"/>
        <w:rPr>
          <w:rFonts w:asciiTheme="minorHAnsi" w:eastAsiaTheme="minorEastAsia" w:hAnsiTheme="minorHAnsi" w:cstheme="minorBidi"/>
          <w:b w:val="0"/>
          <w:noProof/>
          <w:kern w:val="0"/>
          <w:sz w:val="22"/>
          <w:szCs w:val="22"/>
        </w:rPr>
      </w:pPr>
      <w:r w:rsidRPr="00784539">
        <w:rPr>
          <w:sz w:val="20"/>
        </w:rPr>
        <w:fldChar w:fldCharType="begin"/>
      </w:r>
      <w:r w:rsidRPr="00784539">
        <w:rPr>
          <w:sz w:val="20"/>
        </w:rPr>
        <w:instrText xml:space="preserve"> TOC \o "1-9" </w:instrText>
      </w:r>
      <w:r w:rsidRPr="00784539">
        <w:rPr>
          <w:sz w:val="20"/>
        </w:rPr>
        <w:fldChar w:fldCharType="separate"/>
      </w:r>
      <w:r w:rsidRPr="00784539">
        <w:rPr>
          <w:noProof/>
        </w:rPr>
        <w:t>Part</w:t>
      </w:r>
      <w:r w:rsidR="00784539" w:rsidRPr="00784539">
        <w:rPr>
          <w:noProof/>
        </w:rPr>
        <w:t> </w:t>
      </w:r>
      <w:r w:rsidRPr="00784539">
        <w:rPr>
          <w:noProof/>
        </w:rPr>
        <w:t>1—Preliminary</w:t>
      </w:r>
      <w:r w:rsidRPr="00784539">
        <w:rPr>
          <w:b w:val="0"/>
          <w:noProof/>
          <w:sz w:val="18"/>
        </w:rPr>
        <w:tab/>
      </w:r>
      <w:r w:rsidRPr="00784539">
        <w:rPr>
          <w:b w:val="0"/>
          <w:noProof/>
          <w:sz w:val="18"/>
        </w:rPr>
        <w:fldChar w:fldCharType="begin"/>
      </w:r>
      <w:r w:rsidRPr="00784539">
        <w:rPr>
          <w:b w:val="0"/>
          <w:noProof/>
          <w:sz w:val="18"/>
        </w:rPr>
        <w:instrText xml:space="preserve"> PAGEREF _Toc485110035 \h </w:instrText>
      </w:r>
      <w:r w:rsidRPr="00784539">
        <w:rPr>
          <w:b w:val="0"/>
          <w:noProof/>
          <w:sz w:val="18"/>
        </w:rPr>
      </w:r>
      <w:r w:rsidRPr="00784539">
        <w:rPr>
          <w:b w:val="0"/>
          <w:noProof/>
          <w:sz w:val="18"/>
        </w:rPr>
        <w:fldChar w:fldCharType="separate"/>
      </w:r>
      <w:r w:rsidR="00721A47">
        <w:rPr>
          <w:b w:val="0"/>
          <w:noProof/>
          <w:sz w:val="18"/>
        </w:rPr>
        <w:t>1</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1</w:t>
      </w:r>
      <w:r w:rsidRPr="00784539">
        <w:rPr>
          <w:noProof/>
        </w:rPr>
        <w:tab/>
        <w:t>Name</w:t>
      </w:r>
      <w:r w:rsidRPr="00784539">
        <w:rPr>
          <w:noProof/>
        </w:rPr>
        <w:tab/>
      </w:r>
      <w:r w:rsidRPr="00784539">
        <w:rPr>
          <w:noProof/>
        </w:rPr>
        <w:fldChar w:fldCharType="begin"/>
      </w:r>
      <w:r w:rsidRPr="00784539">
        <w:rPr>
          <w:noProof/>
        </w:rPr>
        <w:instrText xml:space="preserve"> PAGEREF _Toc485110036 \h </w:instrText>
      </w:r>
      <w:r w:rsidRPr="00784539">
        <w:rPr>
          <w:noProof/>
        </w:rPr>
      </w:r>
      <w:r w:rsidRPr="00784539">
        <w:rPr>
          <w:noProof/>
        </w:rPr>
        <w:fldChar w:fldCharType="separate"/>
      </w:r>
      <w:r w:rsidR="00721A47">
        <w:rPr>
          <w:noProof/>
        </w:rPr>
        <w:t>1</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2</w:t>
      </w:r>
      <w:r w:rsidRPr="00784539">
        <w:rPr>
          <w:noProof/>
        </w:rPr>
        <w:tab/>
        <w:t>Commencement</w:t>
      </w:r>
      <w:r w:rsidRPr="00784539">
        <w:rPr>
          <w:noProof/>
        </w:rPr>
        <w:tab/>
      </w:r>
      <w:r w:rsidRPr="00784539">
        <w:rPr>
          <w:noProof/>
        </w:rPr>
        <w:fldChar w:fldCharType="begin"/>
      </w:r>
      <w:r w:rsidRPr="00784539">
        <w:rPr>
          <w:noProof/>
        </w:rPr>
        <w:instrText xml:space="preserve"> PAGEREF _Toc485110037 \h </w:instrText>
      </w:r>
      <w:r w:rsidRPr="00784539">
        <w:rPr>
          <w:noProof/>
        </w:rPr>
      </w:r>
      <w:r w:rsidRPr="00784539">
        <w:rPr>
          <w:noProof/>
        </w:rPr>
        <w:fldChar w:fldCharType="separate"/>
      </w:r>
      <w:r w:rsidR="00721A47">
        <w:rPr>
          <w:noProof/>
        </w:rPr>
        <w:t>1</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3</w:t>
      </w:r>
      <w:r w:rsidRPr="00784539">
        <w:rPr>
          <w:noProof/>
        </w:rPr>
        <w:tab/>
        <w:t>Authority</w:t>
      </w:r>
      <w:r w:rsidRPr="00784539">
        <w:rPr>
          <w:noProof/>
        </w:rPr>
        <w:tab/>
      </w:r>
      <w:r w:rsidRPr="00784539">
        <w:rPr>
          <w:noProof/>
        </w:rPr>
        <w:fldChar w:fldCharType="begin"/>
      </w:r>
      <w:r w:rsidRPr="00784539">
        <w:rPr>
          <w:noProof/>
        </w:rPr>
        <w:instrText xml:space="preserve"> PAGEREF _Toc485110038 \h </w:instrText>
      </w:r>
      <w:r w:rsidRPr="00784539">
        <w:rPr>
          <w:noProof/>
        </w:rPr>
      </w:r>
      <w:r w:rsidRPr="00784539">
        <w:rPr>
          <w:noProof/>
        </w:rPr>
        <w:fldChar w:fldCharType="separate"/>
      </w:r>
      <w:r w:rsidR="00721A47">
        <w:rPr>
          <w:noProof/>
        </w:rPr>
        <w:t>1</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4</w:t>
      </w:r>
      <w:r w:rsidRPr="00784539">
        <w:rPr>
          <w:noProof/>
        </w:rPr>
        <w:tab/>
        <w:t>Definitions</w:t>
      </w:r>
      <w:r w:rsidRPr="00784539">
        <w:rPr>
          <w:noProof/>
        </w:rPr>
        <w:tab/>
      </w:r>
      <w:r w:rsidRPr="00784539">
        <w:rPr>
          <w:noProof/>
        </w:rPr>
        <w:fldChar w:fldCharType="begin"/>
      </w:r>
      <w:r w:rsidRPr="00784539">
        <w:rPr>
          <w:noProof/>
        </w:rPr>
        <w:instrText xml:space="preserve"> PAGEREF _Toc485110039 \h </w:instrText>
      </w:r>
      <w:r w:rsidRPr="00784539">
        <w:rPr>
          <w:noProof/>
        </w:rPr>
      </w:r>
      <w:r w:rsidRPr="00784539">
        <w:rPr>
          <w:noProof/>
        </w:rPr>
        <w:fldChar w:fldCharType="separate"/>
      </w:r>
      <w:r w:rsidR="00721A47">
        <w:rPr>
          <w:noProof/>
        </w:rPr>
        <w:t>1</w:t>
      </w:r>
      <w:r w:rsidRPr="00784539">
        <w:rPr>
          <w:noProof/>
        </w:rPr>
        <w:fldChar w:fldCharType="end"/>
      </w:r>
    </w:p>
    <w:p w:rsidR="006B1044" w:rsidRPr="00784539" w:rsidRDefault="006B1044">
      <w:pPr>
        <w:pStyle w:val="TOC2"/>
        <w:rPr>
          <w:rFonts w:asciiTheme="minorHAnsi" w:eastAsiaTheme="minorEastAsia" w:hAnsiTheme="minorHAnsi" w:cstheme="minorBidi"/>
          <w:b w:val="0"/>
          <w:noProof/>
          <w:kern w:val="0"/>
          <w:sz w:val="22"/>
          <w:szCs w:val="22"/>
        </w:rPr>
      </w:pPr>
      <w:r w:rsidRPr="00784539">
        <w:rPr>
          <w:noProof/>
        </w:rPr>
        <w:t>Part</w:t>
      </w:r>
      <w:r w:rsidR="00784539" w:rsidRPr="00784539">
        <w:rPr>
          <w:noProof/>
        </w:rPr>
        <w:t> </w:t>
      </w:r>
      <w:r w:rsidRPr="00784539">
        <w:rPr>
          <w:noProof/>
        </w:rPr>
        <w:t>2—General provisions</w:t>
      </w:r>
      <w:r w:rsidRPr="00784539">
        <w:rPr>
          <w:b w:val="0"/>
          <w:noProof/>
          <w:sz w:val="18"/>
        </w:rPr>
        <w:tab/>
      </w:r>
      <w:r w:rsidRPr="00784539">
        <w:rPr>
          <w:b w:val="0"/>
          <w:noProof/>
          <w:sz w:val="18"/>
        </w:rPr>
        <w:fldChar w:fldCharType="begin"/>
      </w:r>
      <w:r w:rsidRPr="00784539">
        <w:rPr>
          <w:b w:val="0"/>
          <w:noProof/>
          <w:sz w:val="18"/>
        </w:rPr>
        <w:instrText xml:space="preserve"> PAGEREF _Toc485110040 \h </w:instrText>
      </w:r>
      <w:r w:rsidRPr="00784539">
        <w:rPr>
          <w:b w:val="0"/>
          <w:noProof/>
          <w:sz w:val="18"/>
        </w:rPr>
      </w:r>
      <w:r w:rsidRPr="00784539">
        <w:rPr>
          <w:b w:val="0"/>
          <w:noProof/>
          <w:sz w:val="18"/>
        </w:rPr>
        <w:fldChar w:fldCharType="separate"/>
      </w:r>
      <w:r w:rsidR="00721A47">
        <w:rPr>
          <w:b w:val="0"/>
          <w:noProof/>
          <w:sz w:val="18"/>
        </w:rPr>
        <w:t>4</w:t>
      </w:r>
      <w:r w:rsidRPr="00784539">
        <w:rPr>
          <w:b w:val="0"/>
          <w:noProof/>
          <w:sz w:val="18"/>
        </w:rPr>
        <w:fldChar w:fldCharType="end"/>
      </w:r>
    </w:p>
    <w:p w:rsidR="006B1044" w:rsidRPr="00784539" w:rsidRDefault="006B1044">
      <w:pPr>
        <w:pStyle w:val="TOC3"/>
        <w:rPr>
          <w:rFonts w:asciiTheme="minorHAnsi" w:eastAsiaTheme="minorEastAsia" w:hAnsiTheme="minorHAnsi" w:cstheme="minorBidi"/>
          <w:b w:val="0"/>
          <w:noProof/>
          <w:kern w:val="0"/>
          <w:szCs w:val="22"/>
        </w:rPr>
      </w:pPr>
      <w:r w:rsidRPr="00784539">
        <w:rPr>
          <w:noProof/>
        </w:rPr>
        <w:t>Division</w:t>
      </w:r>
      <w:r w:rsidR="00784539" w:rsidRPr="00784539">
        <w:rPr>
          <w:noProof/>
        </w:rPr>
        <w:t> </w:t>
      </w:r>
      <w:r w:rsidRPr="00784539">
        <w:rPr>
          <w:noProof/>
        </w:rPr>
        <w:t>1—Regulatory costs</w:t>
      </w:r>
      <w:r w:rsidRPr="00784539">
        <w:rPr>
          <w:b w:val="0"/>
          <w:noProof/>
          <w:sz w:val="18"/>
        </w:rPr>
        <w:tab/>
      </w:r>
      <w:r w:rsidRPr="00784539">
        <w:rPr>
          <w:b w:val="0"/>
          <w:noProof/>
          <w:sz w:val="18"/>
        </w:rPr>
        <w:fldChar w:fldCharType="begin"/>
      </w:r>
      <w:r w:rsidRPr="00784539">
        <w:rPr>
          <w:b w:val="0"/>
          <w:noProof/>
          <w:sz w:val="18"/>
        </w:rPr>
        <w:instrText xml:space="preserve"> PAGEREF _Toc485110041 \h </w:instrText>
      </w:r>
      <w:r w:rsidRPr="00784539">
        <w:rPr>
          <w:b w:val="0"/>
          <w:noProof/>
          <w:sz w:val="18"/>
        </w:rPr>
      </w:r>
      <w:r w:rsidRPr="00784539">
        <w:rPr>
          <w:b w:val="0"/>
          <w:noProof/>
          <w:sz w:val="18"/>
        </w:rPr>
        <w:fldChar w:fldCharType="separate"/>
      </w:r>
      <w:r w:rsidR="00721A47">
        <w:rPr>
          <w:b w:val="0"/>
          <w:noProof/>
          <w:sz w:val="18"/>
        </w:rPr>
        <w:t>4</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5</w:t>
      </w:r>
      <w:r w:rsidRPr="00784539">
        <w:rPr>
          <w:noProof/>
        </w:rPr>
        <w:tab/>
        <w:t>Amounts not included in regulatory costs</w:t>
      </w:r>
      <w:r w:rsidRPr="00784539">
        <w:rPr>
          <w:noProof/>
        </w:rPr>
        <w:tab/>
      </w:r>
      <w:r w:rsidRPr="00784539">
        <w:rPr>
          <w:noProof/>
        </w:rPr>
        <w:fldChar w:fldCharType="begin"/>
      </w:r>
      <w:r w:rsidRPr="00784539">
        <w:rPr>
          <w:noProof/>
        </w:rPr>
        <w:instrText xml:space="preserve"> PAGEREF _Toc485110042 \h </w:instrText>
      </w:r>
      <w:r w:rsidRPr="00784539">
        <w:rPr>
          <w:noProof/>
        </w:rPr>
      </w:r>
      <w:r w:rsidRPr="00784539">
        <w:rPr>
          <w:noProof/>
        </w:rPr>
        <w:fldChar w:fldCharType="separate"/>
      </w:r>
      <w:r w:rsidR="00721A47">
        <w:rPr>
          <w:noProof/>
        </w:rPr>
        <w:t>4</w:t>
      </w:r>
      <w:r w:rsidRPr="00784539">
        <w:rPr>
          <w:noProof/>
        </w:rPr>
        <w:fldChar w:fldCharType="end"/>
      </w:r>
    </w:p>
    <w:p w:rsidR="006B1044" w:rsidRPr="00784539" w:rsidRDefault="006B1044">
      <w:pPr>
        <w:pStyle w:val="TOC3"/>
        <w:rPr>
          <w:rFonts w:asciiTheme="minorHAnsi" w:eastAsiaTheme="minorEastAsia" w:hAnsiTheme="minorHAnsi" w:cstheme="minorBidi"/>
          <w:b w:val="0"/>
          <w:noProof/>
          <w:kern w:val="0"/>
          <w:szCs w:val="22"/>
        </w:rPr>
      </w:pPr>
      <w:r w:rsidRPr="00784539">
        <w:rPr>
          <w:noProof/>
        </w:rPr>
        <w:t>Division</w:t>
      </w:r>
      <w:r w:rsidR="00784539" w:rsidRPr="00784539">
        <w:rPr>
          <w:noProof/>
        </w:rPr>
        <w:t> </w:t>
      </w:r>
      <w:r w:rsidRPr="00784539">
        <w:rPr>
          <w:noProof/>
        </w:rPr>
        <w:t>2—Amount of levy payable</w:t>
      </w:r>
      <w:r w:rsidRPr="00784539">
        <w:rPr>
          <w:b w:val="0"/>
          <w:noProof/>
          <w:sz w:val="18"/>
        </w:rPr>
        <w:tab/>
      </w:r>
      <w:r w:rsidRPr="00784539">
        <w:rPr>
          <w:b w:val="0"/>
          <w:noProof/>
          <w:sz w:val="18"/>
        </w:rPr>
        <w:fldChar w:fldCharType="begin"/>
      </w:r>
      <w:r w:rsidRPr="00784539">
        <w:rPr>
          <w:b w:val="0"/>
          <w:noProof/>
          <w:sz w:val="18"/>
        </w:rPr>
        <w:instrText xml:space="preserve"> PAGEREF _Toc485110043 \h </w:instrText>
      </w:r>
      <w:r w:rsidRPr="00784539">
        <w:rPr>
          <w:b w:val="0"/>
          <w:noProof/>
          <w:sz w:val="18"/>
        </w:rPr>
      </w:r>
      <w:r w:rsidRPr="00784539">
        <w:rPr>
          <w:b w:val="0"/>
          <w:noProof/>
          <w:sz w:val="18"/>
        </w:rPr>
        <w:fldChar w:fldCharType="separate"/>
      </w:r>
      <w:r w:rsidR="00721A47">
        <w:rPr>
          <w:b w:val="0"/>
          <w:noProof/>
          <w:sz w:val="18"/>
        </w:rPr>
        <w:t>5</w:t>
      </w:r>
      <w:r w:rsidRPr="00784539">
        <w:rPr>
          <w:b w:val="0"/>
          <w:noProof/>
          <w:sz w:val="18"/>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2.1—General</w:t>
      </w:r>
      <w:r w:rsidRPr="00784539">
        <w:rPr>
          <w:b w:val="0"/>
          <w:noProof/>
          <w:sz w:val="18"/>
        </w:rPr>
        <w:tab/>
      </w:r>
      <w:r w:rsidRPr="00784539">
        <w:rPr>
          <w:b w:val="0"/>
          <w:noProof/>
          <w:sz w:val="18"/>
        </w:rPr>
        <w:fldChar w:fldCharType="begin"/>
      </w:r>
      <w:r w:rsidRPr="00784539">
        <w:rPr>
          <w:b w:val="0"/>
          <w:noProof/>
          <w:sz w:val="18"/>
        </w:rPr>
        <w:instrText xml:space="preserve"> PAGEREF _Toc485110044 \h </w:instrText>
      </w:r>
      <w:r w:rsidRPr="00784539">
        <w:rPr>
          <w:b w:val="0"/>
          <w:noProof/>
          <w:sz w:val="18"/>
        </w:rPr>
      </w:r>
      <w:r w:rsidRPr="00784539">
        <w:rPr>
          <w:b w:val="0"/>
          <w:noProof/>
          <w:sz w:val="18"/>
        </w:rPr>
        <w:fldChar w:fldCharType="separate"/>
      </w:r>
      <w:r w:rsidR="00721A47">
        <w:rPr>
          <w:b w:val="0"/>
          <w:noProof/>
          <w:sz w:val="18"/>
        </w:rPr>
        <w:t>5</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6</w:t>
      </w:r>
      <w:r w:rsidRPr="00784539">
        <w:rPr>
          <w:noProof/>
        </w:rPr>
        <w:tab/>
        <w:t>Amount of levy</w:t>
      </w:r>
      <w:r w:rsidRPr="00784539">
        <w:rPr>
          <w:noProof/>
        </w:rPr>
        <w:tab/>
      </w:r>
      <w:r w:rsidRPr="00784539">
        <w:rPr>
          <w:noProof/>
        </w:rPr>
        <w:fldChar w:fldCharType="begin"/>
      </w:r>
      <w:r w:rsidRPr="00784539">
        <w:rPr>
          <w:noProof/>
        </w:rPr>
        <w:instrText xml:space="preserve"> PAGEREF _Toc485110045 \h </w:instrText>
      </w:r>
      <w:r w:rsidRPr="00784539">
        <w:rPr>
          <w:noProof/>
        </w:rPr>
      </w:r>
      <w:r w:rsidRPr="00784539">
        <w:rPr>
          <w:noProof/>
        </w:rPr>
        <w:fldChar w:fldCharType="separate"/>
      </w:r>
      <w:r w:rsidR="00721A47">
        <w:rPr>
          <w:noProof/>
        </w:rPr>
        <w:t>5</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7</w:t>
      </w:r>
      <w:r w:rsidRPr="00784539">
        <w:rPr>
          <w:noProof/>
        </w:rPr>
        <w:tab/>
        <w:t>Levy component</w:t>
      </w:r>
      <w:r w:rsidRPr="00784539">
        <w:rPr>
          <w:noProof/>
        </w:rPr>
        <w:tab/>
      </w:r>
      <w:r w:rsidRPr="00784539">
        <w:rPr>
          <w:noProof/>
        </w:rPr>
        <w:fldChar w:fldCharType="begin"/>
      </w:r>
      <w:r w:rsidRPr="00784539">
        <w:rPr>
          <w:noProof/>
        </w:rPr>
        <w:instrText xml:space="preserve"> PAGEREF _Toc485110046 \h </w:instrText>
      </w:r>
      <w:r w:rsidRPr="00784539">
        <w:rPr>
          <w:noProof/>
        </w:rPr>
      </w:r>
      <w:r w:rsidRPr="00784539">
        <w:rPr>
          <w:noProof/>
        </w:rPr>
        <w:fldChar w:fldCharType="separate"/>
      </w:r>
      <w:r w:rsidR="00721A47">
        <w:rPr>
          <w:noProof/>
        </w:rPr>
        <w:t>5</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8</w:t>
      </w:r>
      <w:r w:rsidRPr="00784539">
        <w:rPr>
          <w:noProof/>
        </w:rPr>
        <w:tab/>
        <w:t>Levy component for leviable entities that are deregistered</w:t>
      </w:r>
      <w:r w:rsidRPr="00784539">
        <w:rPr>
          <w:noProof/>
        </w:rPr>
        <w:tab/>
      </w:r>
      <w:r w:rsidRPr="00784539">
        <w:rPr>
          <w:noProof/>
        </w:rPr>
        <w:fldChar w:fldCharType="begin"/>
      </w:r>
      <w:r w:rsidRPr="00784539">
        <w:rPr>
          <w:noProof/>
        </w:rPr>
        <w:instrText xml:space="preserve"> PAGEREF _Toc485110047 \h </w:instrText>
      </w:r>
      <w:r w:rsidRPr="00784539">
        <w:rPr>
          <w:noProof/>
        </w:rPr>
      </w:r>
      <w:r w:rsidRPr="00784539">
        <w:rPr>
          <w:noProof/>
        </w:rPr>
        <w:fldChar w:fldCharType="separate"/>
      </w:r>
      <w:r w:rsidR="00721A47">
        <w:rPr>
          <w:noProof/>
        </w:rPr>
        <w:t>5</w:t>
      </w:r>
      <w:r w:rsidRPr="00784539">
        <w:rPr>
          <w:noProof/>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2.2—Levy components</w:t>
      </w:r>
      <w:r w:rsidRPr="00784539">
        <w:rPr>
          <w:b w:val="0"/>
          <w:noProof/>
          <w:sz w:val="18"/>
        </w:rPr>
        <w:tab/>
      </w:r>
      <w:r w:rsidRPr="00784539">
        <w:rPr>
          <w:b w:val="0"/>
          <w:noProof/>
          <w:sz w:val="18"/>
        </w:rPr>
        <w:fldChar w:fldCharType="begin"/>
      </w:r>
      <w:r w:rsidRPr="00784539">
        <w:rPr>
          <w:b w:val="0"/>
          <w:noProof/>
          <w:sz w:val="18"/>
        </w:rPr>
        <w:instrText xml:space="preserve"> PAGEREF _Toc485110048 \h </w:instrText>
      </w:r>
      <w:r w:rsidRPr="00784539">
        <w:rPr>
          <w:b w:val="0"/>
          <w:noProof/>
          <w:sz w:val="18"/>
        </w:rPr>
      </w:r>
      <w:r w:rsidRPr="00784539">
        <w:rPr>
          <w:b w:val="0"/>
          <w:noProof/>
          <w:sz w:val="18"/>
        </w:rPr>
        <w:fldChar w:fldCharType="separate"/>
      </w:r>
      <w:r w:rsidR="00721A47">
        <w:rPr>
          <w:b w:val="0"/>
          <w:noProof/>
          <w:sz w:val="18"/>
        </w:rPr>
        <w:t>5</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9</w:t>
      </w:r>
      <w:r w:rsidRPr="00784539">
        <w:rPr>
          <w:noProof/>
        </w:rPr>
        <w:tab/>
        <w:t>Basic levy component</w:t>
      </w:r>
      <w:r w:rsidRPr="00784539">
        <w:rPr>
          <w:noProof/>
        </w:rPr>
        <w:tab/>
      </w:r>
      <w:r w:rsidRPr="00784539">
        <w:rPr>
          <w:noProof/>
        </w:rPr>
        <w:fldChar w:fldCharType="begin"/>
      </w:r>
      <w:r w:rsidRPr="00784539">
        <w:rPr>
          <w:noProof/>
        </w:rPr>
        <w:instrText xml:space="preserve"> PAGEREF _Toc485110049 \h </w:instrText>
      </w:r>
      <w:r w:rsidRPr="00784539">
        <w:rPr>
          <w:noProof/>
        </w:rPr>
      </w:r>
      <w:r w:rsidRPr="00784539">
        <w:rPr>
          <w:noProof/>
        </w:rPr>
        <w:fldChar w:fldCharType="separate"/>
      </w:r>
      <w:r w:rsidR="00721A47">
        <w:rPr>
          <w:noProof/>
        </w:rPr>
        <w:t>5</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10</w:t>
      </w:r>
      <w:r w:rsidRPr="00784539">
        <w:rPr>
          <w:noProof/>
        </w:rPr>
        <w:tab/>
        <w:t>Graduated levy component</w:t>
      </w:r>
      <w:r w:rsidRPr="00784539">
        <w:rPr>
          <w:noProof/>
        </w:rPr>
        <w:tab/>
      </w:r>
      <w:r w:rsidRPr="00784539">
        <w:rPr>
          <w:noProof/>
        </w:rPr>
        <w:fldChar w:fldCharType="begin"/>
      </w:r>
      <w:r w:rsidRPr="00784539">
        <w:rPr>
          <w:noProof/>
        </w:rPr>
        <w:instrText xml:space="preserve"> PAGEREF _Toc485110050 \h </w:instrText>
      </w:r>
      <w:r w:rsidRPr="00784539">
        <w:rPr>
          <w:noProof/>
        </w:rPr>
      </w:r>
      <w:r w:rsidRPr="00784539">
        <w:rPr>
          <w:noProof/>
        </w:rPr>
        <w:fldChar w:fldCharType="separate"/>
      </w:r>
      <w:r w:rsidR="00721A47">
        <w:rPr>
          <w:noProof/>
        </w:rPr>
        <w:t>6</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11</w:t>
      </w:r>
      <w:r w:rsidRPr="00784539">
        <w:rPr>
          <w:noProof/>
        </w:rPr>
        <w:tab/>
        <w:t>Pro</w:t>
      </w:r>
      <w:r w:rsidR="00784539">
        <w:rPr>
          <w:noProof/>
        </w:rPr>
        <w:noBreakHyphen/>
      </w:r>
      <w:r w:rsidRPr="00784539">
        <w:rPr>
          <w:noProof/>
        </w:rPr>
        <w:t>rata of entity metric</w:t>
      </w:r>
      <w:r w:rsidRPr="00784539">
        <w:rPr>
          <w:noProof/>
        </w:rPr>
        <w:tab/>
      </w:r>
      <w:r w:rsidRPr="00784539">
        <w:rPr>
          <w:noProof/>
        </w:rPr>
        <w:fldChar w:fldCharType="begin"/>
      </w:r>
      <w:r w:rsidRPr="00784539">
        <w:rPr>
          <w:noProof/>
        </w:rPr>
        <w:instrText xml:space="preserve"> PAGEREF _Toc485110051 \h </w:instrText>
      </w:r>
      <w:r w:rsidRPr="00784539">
        <w:rPr>
          <w:noProof/>
        </w:rPr>
      </w:r>
      <w:r w:rsidRPr="00784539">
        <w:rPr>
          <w:noProof/>
        </w:rPr>
        <w:fldChar w:fldCharType="separate"/>
      </w:r>
      <w:r w:rsidR="00721A47">
        <w:rPr>
          <w:noProof/>
        </w:rPr>
        <w:t>7</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rFonts w:eastAsiaTheme="minorHAnsi"/>
          <w:noProof/>
        </w:rPr>
        <w:t>12</w:t>
      </w:r>
      <w:r w:rsidRPr="00784539">
        <w:rPr>
          <w:rFonts w:eastAsiaTheme="minorHAnsi"/>
          <w:noProof/>
        </w:rPr>
        <w:tab/>
        <w:t>Rules about amounts</w:t>
      </w:r>
      <w:r w:rsidRPr="00784539">
        <w:rPr>
          <w:noProof/>
        </w:rPr>
        <w:tab/>
      </w:r>
      <w:r w:rsidRPr="00784539">
        <w:rPr>
          <w:noProof/>
        </w:rPr>
        <w:fldChar w:fldCharType="begin"/>
      </w:r>
      <w:r w:rsidRPr="00784539">
        <w:rPr>
          <w:noProof/>
        </w:rPr>
        <w:instrText xml:space="preserve"> PAGEREF _Toc485110052 \h </w:instrText>
      </w:r>
      <w:r w:rsidRPr="00784539">
        <w:rPr>
          <w:noProof/>
        </w:rPr>
      </w:r>
      <w:r w:rsidRPr="00784539">
        <w:rPr>
          <w:noProof/>
        </w:rPr>
        <w:fldChar w:fldCharType="separate"/>
      </w:r>
      <w:r w:rsidR="00721A47">
        <w:rPr>
          <w:noProof/>
        </w:rPr>
        <w:t>7</w:t>
      </w:r>
      <w:r w:rsidRPr="00784539">
        <w:rPr>
          <w:noProof/>
        </w:rPr>
        <w:fldChar w:fldCharType="end"/>
      </w:r>
    </w:p>
    <w:p w:rsidR="006B1044" w:rsidRPr="00784539" w:rsidRDefault="006B1044">
      <w:pPr>
        <w:pStyle w:val="TOC2"/>
        <w:rPr>
          <w:rFonts w:asciiTheme="minorHAnsi" w:eastAsiaTheme="minorEastAsia" w:hAnsiTheme="minorHAnsi" w:cstheme="minorBidi"/>
          <w:b w:val="0"/>
          <w:noProof/>
          <w:kern w:val="0"/>
          <w:sz w:val="22"/>
          <w:szCs w:val="22"/>
        </w:rPr>
      </w:pPr>
      <w:r w:rsidRPr="00784539">
        <w:rPr>
          <w:noProof/>
        </w:rPr>
        <w:t>Part</w:t>
      </w:r>
      <w:r w:rsidR="00784539" w:rsidRPr="00784539">
        <w:rPr>
          <w:noProof/>
        </w:rPr>
        <w:t> </w:t>
      </w:r>
      <w:r w:rsidRPr="00784539">
        <w:rPr>
          <w:noProof/>
        </w:rPr>
        <w:t>3—Sectors, sub</w:t>
      </w:r>
      <w:r w:rsidR="00784539">
        <w:rPr>
          <w:noProof/>
        </w:rPr>
        <w:noBreakHyphen/>
      </w:r>
      <w:r w:rsidRPr="00784539">
        <w:rPr>
          <w:noProof/>
        </w:rPr>
        <w:t>sectors and levy components</w:t>
      </w:r>
      <w:r w:rsidRPr="00784539">
        <w:rPr>
          <w:b w:val="0"/>
          <w:noProof/>
          <w:sz w:val="18"/>
        </w:rPr>
        <w:tab/>
      </w:r>
      <w:r w:rsidRPr="00784539">
        <w:rPr>
          <w:b w:val="0"/>
          <w:noProof/>
          <w:sz w:val="18"/>
        </w:rPr>
        <w:fldChar w:fldCharType="begin"/>
      </w:r>
      <w:r w:rsidRPr="00784539">
        <w:rPr>
          <w:b w:val="0"/>
          <w:noProof/>
          <w:sz w:val="18"/>
        </w:rPr>
        <w:instrText xml:space="preserve"> PAGEREF _Toc485110053 \h </w:instrText>
      </w:r>
      <w:r w:rsidRPr="00784539">
        <w:rPr>
          <w:b w:val="0"/>
          <w:noProof/>
          <w:sz w:val="18"/>
        </w:rPr>
      </w:r>
      <w:r w:rsidRPr="00784539">
        <w:rPr>
          <w:b w:val="0"/>
          <w:noProof/>
          <w:sz w:val="18"/>
        </w:rPr>
        <w:fldChar w:fldCharType="separate"/>
      </w:r>
      <w:r w:rsidR="00721A47">
        <w:rPr>
          <w:b w:val="0"/>
          <w:noProof/>
          <w:sz w:val="18"/>
        </w:rPr>
        <w:t>8</w:t>
      </w:r>
      <w:r w:rsidRPr="00784539">
        <w:rPr>
          <w:b w:val="0"/>
          <w:noProof/>
          <w:sz w:val="18"/>
        </w:rPr>
        <w:fldChar w:fldCharType="end"/>
      </w:r>
    </w:p>
    <w:p w:rsidR="006B1044" w:rsidRPr="00784539" w:rsidRDefault="006B1044">
      <w:pPr>
        <w:pStyle w:val="TOC3"/>
        <w:rPr>
          <w:rFonts w:asciiTheme="minorHAnsi" w:eastAsiaTheme="minorEastAsia" w:hAnsiTheme="minorHAnsi" w:cstheme="minorBidi"/>
          <w:b w:val="0"/>
          <w:noProof/>
          <w:kern w:val="0"/>
          <w:szCs w:val="22"/>
        </w:rPr>
      </w:pPr>
      <w:r w:rsidRPr="00784539">
        <w:rPr>
          <w:noProof/>
        </w:rPr>
        <w:t>Division</w:t>
      </w:r>
      <w:r w:rsidR="00784539" w:rsidRPr="00784539">
        <w:rPr>
          <w:noProof/>
        </w:rPr>
        <w:t> </w:t>
      </w:r>
      <w:r w:rsidRPr="00784539">
        <w:rPr>
          <w:noProof/>
        </w:rPr>
        <w:t>1—Corporate sector</w:t>
      </w:r>
      <w:r w:rsidRPr="00784539">
        <w:rPr>
          <w:b w:val="0"/>
          <w:noProof/>
          <w:sz w:val="18"/>
        </w:rPr>
        <w:tab/>
      </w:r>
      <w:r w:rsidRPr="00784539">
        <w:rPr>
          <w:b w:val="0"/>
          <w:noProof/>
          <w:sz w:val="18"/>
        </w:rPr>
        <w:fldChar w:fldCharType="begin"/>
      </w:r>
      <w:r w:rsidRPr="00784539">
        <w:rPr>
          <w:b w:val="0"/>
          <w:noProof/>
          <w:sz w:val="18"/>
        </w:rPr>
        <w:instrText xml:space="preserve"> PAGEREF _Toc485110054 \h </w:instrText>
      </w:r>
      <w:r w:rsidRPr="00784539">
        <w:rPr>
          <w:b w:val="0"/>
          <w:noProof/>
          <w:sz w:val="18"/>
        </w:rPr>
      </w:r>
      <w:r w:rsidRPr="00784539">
        <w:rPr>
          <w:b w:val="0"/>
          <w:noProof/>
          <w:sz w:val="18"/>
        </w:rPr>
        <w:fldChar w:fldCharType="separate"/>
      </w:r>
      <w:r w:rsidR="00721A47">
        <w:rPr>
          <w:b w:val="0"/>
          <w:noProof/>
          <w:sz w:val="18"/>
        </w:rPr>
        <w:t>8</w:t>
      </w:r>
      <w:r w:rsidRPr="00784539">
        <w:rPr>
          <w:b w:val="0"/>
          <w:noProof/>
          <w:sz w:val="18"/>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1.1—General</w:t>
      </w:r>
      <w:r w:rsidRPr="00784539">
        <w:rPr>
          <w:b w:val="0"/>
          <w:noProof/>
          <w:sz w:val="18"/>
        </w:rPr>
        <w:tab/>
      </w:r>
      <w:r w:rsidRPr="00784539">
        <w:rPr>
          <w:b w:val="0"/>
          <w:noProof/>
          <w:sz w:val="18"/>
        </w:rPr>
        <w:fldChar w:fldCharType="begin"/>
      </w:r>
      <w:r w:rsidRPr="00784539">
        <w:rPr>
          <w:b w:val="0"/>
          <w:noProof/>
          <w:sz w:val="18"/>
        </w:rPr>
        <w:instrText xml:space="preserve"> PAGEREF _Toc485110055 \h </w:instrText>
      </w:r>
      <w:r w:rsidRPr="00784539">
        <w:rPr>
          <w:b w:val="0"/>
          <w:noProof/>
          <w:sz w:val="18"/>
        </w:rPr>
      </w:r>
      <w:r w:rsidRPr="00784539">
        <w:rPr>
          <w:b w:val="0"/>
          <w:noProof/>
          <w:sz w:val="18"/>
        </w:rPr>
        <w:fldChar w:fldCharType="separate"/>
      </w:r>
      <w:r w:rsidR="00721A47">
        <w:rPr>
          <w:b w:val="0"/>
          <w:noProof/>
          <w:sz w:val="18"/>
        </w:rPr>
        <w:t>8</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13</w:t>
      </w:r>
      <w:r w:rsidRPr="00784539">
        <w:rPr>
          <w:noProof/>
        </w:rPr>
        <w:tab/>
        <w:t>Corporate sector</w:t>
      </w:r>
      <w:r w:rsidRPr="00784539">
        <w:rPr>
          <w:noProof/>
        </w:rPr>
        <w:tab/>
      </w:r>
      <w:r w:rsidRPr="00784539">
        <w:rPr>
          <w:noProof/>
        </w:rPr>
        <w:fldChar w:fldCharType="begin"/>
      </w:r>
      <w:r w:rsidRPr="00784539">
        <w:rPr>
          <w:noProof/>
        </w:rPr>
        <w:instrText xml:space="preserve"> PAGEREF _Toc485110056 \h </w:instrText>
      </w:r>
      <w:r w:rsidRPr="00784539">
        <w:rPr>
          <w:noProof/>
        </w:rPr>
      </w:r>
      <w:r w:rsidRPr="00784539">
        <w:rPr>
          <w:noProof/>
        </w:rPr>
        <w:fldChar w:fldCharType="separate"/>
      </w:r>
      <w:r w:rsidR="00721A47">
        <w:rPr>
          <w:noProof/>
        </w:rPr>
        <w:t>8</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14</w:t>
      </w:r>
      <w:r w:rsidRPr="00784539">
        <w:rPr>
          <w:noProof/>
        </w:rPr>
        <w:tab/>
        <w:t>Basic levy component applies to sub</w:t>
      </w:r>
      <w:r w:rsidR="00784539">
        <w:rPr>
          <w:noProof/>
        </w:rPr>
        <w:noBreakHyphen/>
      </w:r>
      <w:r w:rsidRPr="00784539">
        <w:rPr>
          <w:noProof/>
        </w:rPr>
        <w:t>sectors in Subdivision</w:t>
      </w:r>
      <w:r w:rsidR="00784539" w:rsidRPr="00784539">
        <w:rPr>
          <w:noProof/>
        </w:rPr>
        <w:t> </w:t>
      </w:r>
      <w:r w:rsidRPr="00784539">
        <w:rPr>
          <w:noProof/>
        </w:rPr>
        <w:t>1.2</w:t>
      </w:r>
      <w:r w:rsidRPr="00784539">
        <w:rPr>
          <w:noProof/>
        </w:rPr>
        <w:tab/>
      </w:r>
      <w:r w:rsidRPr="00784539">
        <w:rPr>
          <w:noProof/>
        </w:rPr>
        <w:fldChar w:fldCharType="begin"/>
      </w:r>
      <w:r w:rsidRPr="00784539">
        <w:rPr>
          <w:noProof/>
        </w:rPr>
        <w:instrText xml:space="preserve"> PAGEREF _Toc485110057 \h </w:instrText>
      </w:r>
      <w:r w:rsidRPr="00784539">
        <w:rPr>
          <w:noProof/>
        </w:rPr>
      </w:r>
      <w:r w:rsidRPr="00784539">
        <w:rPr>
          <w:noProof/>
        </w:rPr>
        <w:fldChar w:fldCharType="separate"/>
      </w:r>
      <w:r w:rsidR="00721A47">
        <w:rPr>
          <w:noProof/>
        </w:rPr>
        <w:t>8</w:t>
      </w:r>
      <w:r w:rsidRPr="00784539">
        <w:rPr>
          <w:noProof/>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1.2—Sub</w:t>
      </w:r>
      <w:r w:rsidR="00784539">
        <w:rPr>
          <w:noProof/>
        </w:rPr>
        <w:noBreakHyphen/>
      </w:r>
      <w:r w:rsidRPr="00784539">
        <w:rPr>
          <w:noProof/>
        </w:rPr>
        <w:t>sectors to which basic levy component applies</w:t>
      </w:r>
      <w:r w:rsidRPr="00784539">
        <w:rPr>
          <w:b w:val="0"/>
          <w:noProof/>
          <w:sz w:val="18"/>
        </w:rPr>
        <w:tab/>
      </w:r>
      <w:r w:rsidRPr="00784539">
        <w:rPr>
          <w:b w:val="0"/>
          <w:noProof/>
          <w:sz w:val="18"/>
        </w:rPr>
        <w:fldChar w:fldCharType="begin"/>
      </w:r>
      <w:r w:rsidRPr="00784539">
        <w:rPr>
          <w:b w:val="0"/>
          <w:noProof/>
          <w:sz w:val="18"/>
        </w:rPr>
        <w:instrText xml:space="preserve"> PAGEREF _Toc485110058 \h </w:instrText>
      </w:r>
      <w:r w:rsidRPr="00784539">
        <w:rPr>
          <w:b w:val="0"/>
          <w:noProof/>
          <w:sz w:val="18"/>
        </w:rPr>
      </w:r>
      <w:r w:rsidRPr="00784539">
        <w:rPr>
          <w:b w:val="0"/>
          <w:noProof/>
          <w:sz w:val="18"/>
        </w:rPr>
        <w:fldChar w:fldCharType="separate"/>
      </w:r>
      <w:r w:rsidR="00721A47">
        <w:rPr>
          <w:b w:val="0"/>
          <w:noProof/>
          <w:sz w:val="18"/>
        </w:rPr>
        <w:t>8</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15</w:t>
      </w:r>
      <w:r w:rsidRPr="00784539">
        <w:rPr>
          <w:noProof/>
        </w:rPr>
        <w:tab/>
        <w:t>Auditors of disclosing entities</w:t>
      </w:r>
      <w:r w:rsidRPr="00784539">
        <w:rPr>
          <w:noProof/>
        </w:rPr>
        <w:tab/>
      </w:r>
      <w:r w:rsidRPr="00784539">
        <w:rPr>
          <w:noProof/>
        </w:rPr>
        <w:fldChar w:fldCharType="begin"/>
      </w:r>
      <w:r w:rsidRPr="00784539">
        <w:rPr>
          <w:noProof/>
        </w:rPr>
        <w:instrText xml:space="preserve"> PAGEREF _Toc485110059 \h </w:instrText>
      </w:r>
      <w:r w:rsidRPr="00784539">
        <w:rPr>
          <w:noProof/>
        </w:rPr>
      </w:r>
      <w:r w:rsidRPr="00784539">
        <w:rPr>
          <w:noProof/>
        </w:rPr>
        <w:fldChar w:fldCharType="separate"/>
      </w:r>
      <w:r w:rsidR="00721A47">
        <w:rPr>
          <w:noProof/>
        </w:rPr>
        <w:t>8</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16</w:t>
      </w:r>
      <w:r w:rsidRPr="00784539">
        <w:rPr>
          <w:noProof/>
        </w:rPr>
        <w:tab/>
        <w:t>Large proprietary companies</w:t>
      </w:r>
      <w:r w:rsidRPr="00784539">
        <w:rPr>
          <w:noProof/>
        </w:rPr>
        <w:tab/>
      </w:r>
      <w:r w:rsidRPr="00784539">
        <w:rPr>
          <w:noProof/>
        </w:rPr>
        <w:fldChar w:fldCharType="begin"/>
      </w:r>
      <w:r w:rsidRPr="00784539">
        <w:rPr>
          <w:noProof/>
        </w:rPr>
        <w:instrText xml:space="preserve"> PAGEREF _Toc485110060 \h </w:instrText>
      </w:r>
      <w:r w:rsidRPr="00784539">
        <w:rPr>
          <w:noProof/>
        </w:rPr>
      </w:r>
      <w:r w:rsidRPr="00784539">
        <w:rPr>
          <w:noProof/>
        </w:rPr>
        <w:fldChar w:fldCharType="separate"/>
      </w:r>
      <w:r w:rsidR="00721A47">
        <w:rPr>
          <w:noProof/>
        </w:rPr>
        <w:t>8</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17</w:t>
      </w:r>
      <w:r w:rsidRPr="00784539">
        <w:rPr>
          <w:noProof/>
        </w:rPr>
        <w:tab/>
        <w:t>Public companies (unlisted)</w:t>
      </w:r>
      <w:r w:rsidRPr="00784539">
        <w:rPr>
          <w:noProof/>
        </w:rPr>
        <w:tab/>
      </w:r>
      <w:r w:rsidRPr="00784539">
        <w:rPr>
          <w:noProof/>
        </w:rPr>
        <w:fldChar w:fldCharType="begin"/>
      </w:r>
      <w:r w:rsidRPr="00784539">
        <w:rPr>
          <w:noProof/>
        </w:rPr>
        <w:instrText xml:space="preserve"> PAGEREF _Toc485110061 \h </w:instrText>
      </w:r>
      <w:r w:rsidRPr="00784539">
        <w:rPr>
          <w:noProof/>
        </w:rPr>
      </w:r>
      <w:r w:rsidRPr="00784539">
        <w:rPr>
          <w:noProof/>
        </w:rPr>
        <w:fldChar w:fldCharType="separate"/>
      </w:r>
      <w:r w:rsidR="00721A47">
        <w:rPr>
          <w:noProof/>
        </w:rPr>
        <w:t>9</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18</w:t>
      </w:r>
      <w:r w:rsidRPr="00784539">
        <w:rPr>
          <w:noProof/>
        </w:rPr>
        <w:tab/>
        <w:t>Registered company auditors</w:t>
      </w:r>
      <w:r w:rsidRPr="00784539">
        <w:rPr>
          <w:noProof/>
        </w:rPr>
        <w:tab/>
      </w:r>
      <w:r w:rsidRPr="00784539">
        <w:rPr>
          <w:noProof/>
        </w:rPr>
        <w:fldChar w:fldCharType="begin"/>
      </w:r>
      <w:r w:rsidRPr="00784539">
        <w:rPr>
          <w:noProof/>
        </w:rPr>
        <w:instrText xml:space="preserve"> PAGEREF _Toc485110062 \h </w:instrText>
      </w:r>
      <w:r w:rsidRPr="00784539">
        <w:rPr>
          <w:noProof/>
        </w:rPr>
      </w:r>
      <w:r w:rsidRPr="00784539">
        <w:rPr>
          <w:noProof/>
        </w:rPr>
        <w:fldChar w:fldCharType="separate"/>
      </w:r>
      <w:r w:rsidR="00721A47">
        <w:rPr>
          <w:noProof/>
        </w:rPr>
        <w:t>9</w:t>
      </w:r>
      <w:r w:rsidRPr="00784539">
        <w:rPr>
          <w:noProof/>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1.3—Sub</w:t>
      </w:r>
      <w:r w:rsidR="00784539">
        <w:rPr>
          <w:noProof/>
        </w:rPr>
        <w:noBreakHyphen/>
      </w:r>
      <w:r w:rsidRPr="00784539">
        <w:rPr>
          <w:noProof/>
        </w:rPr>
        <w:t>sectors to which graduated levy component applies</w:t>
      </w:r>
      <w:r w:rsidRPr="00784539">
        <w:rPr>
          <w:b w:val="0"/>
          <w:noProof/>
          <w:sz w:val="18"/>
        </w:rPr>
        <w:tab/>
      </w:r>
      <w:r w:rsidRPr="00784539">
        <w:rPr>
          <w:b w:val="0"/>
          <w:noProof/>
          <w:sz w:val="18"/>
        </w:rPr>
        <w:fldChar w:fldCharType="begin"/>
      </w:r>
      <w:r w:rsidRPr="00784539">
        <w:rPr>
          <w:b w:val="0"/>
          <w:noProof/>
          <w:sz w:val="18"/>
        </w:rPr>
        <w:instrText xml:space="preserve"> PAGEREF _Toc485110063 \h </w:instrText>
      </w:r>
      <w:r w:rsidRPr="00784539">
        <w:rPr>
          <w:b w:val="0"/>
          <w:noProof/>
          <w:sz w:val="18"/>
        </w:rPr>
      </w:r>
      <w:r w:rsidRPr="00784539">
        <w:rPr>
          <w:b w:val="0"/>
          <w:noProof/>
          <w:sz w:val="18"/>
        </w:rPr>
        <w:fldChar w:fldCharType="separate"/>
      </w:r>
      <w:r w:rsidR="00721A47">
        <w:rPr>
          <w:b w:val="0"/>
          <w:noProof/>
          <w:sz w:val="18"/>
        </w:rPr>
        <w:t>9</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19</w:t>
      </w:r>
      <w:r w:rsidRPr="00784539">
        <w:rPr>
          <w:noProof/>
        </w:rPr>
        <w:tab/>
        <w:t>Listed corporations</w:t>
      </w:r>
      <w:r w:rsidRPr="00784539">
        <w:rPr>
          <w:noProof/>
        </w:rPr>
        <w:tab/>
      </w:r>
      <w:r w:rsidRPr="00784539">
        <w:rPr>
          <w:noProof/>
        </w:rPr>
        <w:fldChar w:fldCharType="begin"/>
      </w:r>
      <w:r w:rsidRPr="00784539">
        <w:rPr>
          <w:noProof/>
        </w:rPr>
        <w:instrText xml:space="preserve"> PAGEREF _Toc485110064 \h </w:instrText>
      </w:r>
      <w:r w:rsidRPr="00784539">
        <w:rPr>
          <w:noProof/>
        </w:rPr>
      </w:r>
      <w:r w:rsidRPr="00784539">
        <w:rPr>
          <w:noProof/>
        </w:rPr>
        <w:fldChar w:fldCharType="separate"/>
      </w:r>
      <w:r w:rsidR="00721A47">
        <w:rPr>
          <w:noProof/>
        </w:rPr>
        <w:t>9</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20</w:t>
      </w:r>
      <w:r w:rsidRPr="00784539">
        <w:rPr>
          <w:noProof/>
        </w:rPr>
        <w:tab/>
        <w:t>Registered liquidators</w:t>
      </w:r>
      <w:r w:rsidRPr="00784539">
        <w:rPr>
          <w:noProof/>
        </w:rPr>
        <w:tab/>
      </w:r>
      <w:r w:rsidRPr="00784539">
        <w:rPr>
          <w:noProof/>
        </w:rPr>
        <w:fldChar w:fldCharType="begin"/>
      </w:r>
      <w:r w:rsidRPr="00784539">
        <w:rPr>
          <w:noProof/>
        </w:rPr>
        <w:instrText xml:space="preserve"> PAGEREF _Toc485110065 \h </w:instrText>
      </w:r>
      <w:r w:rsidRPr="00784539">
        <w:rPr>
          <w:noProof/>
        </w:rPr>
      </w:r>
      <w:r w:rsidRPr="00784539">
        <w:rPr>
          <w:noProof/>
        </w:rPr>
        <w:fldChar w:fldCharType="separate"/>
      </w:r>
      <w:r w:rsidR="00721A47">
        <w:rPr>
          <w:noProof/>
        </w:rPr>
        <w:t>10</w:t>
      </w:r>
      <w:r w:rsidRPr="00784539">
        <w:rPr>
          <w:noProof/>
        </w:rPr>
        <w:fldChar w:fldCharType="end"/>
      </w:r>
    </w:p>
    <w:p w:rsidR="006B1044" w:rsidRPr="00784539" w:rsidRDefault="006B1044">
      <w:pPr>
        <w:pStyle w:val="TOC3"/>
        <w:rPr>
          <w:rFonts w:asciiTheme="minorHAnsi" w:eastAsiaTheme="minorEastAsia" w:hAnsiTheme="minorHAnsi" w:cstheme="minorBidi"/>
          <w:b w:val="0"/>
          <w:noProof/>
          <w:kern w:val="0"/>
          <w:szCs w:val="22"/>
        </w:rPr>
      </w:pPr>
      <w:r w:rsidRPr="00784539">
        <w:rPr>
          <w:noProof/>
        </w:rPr>
        <w:t>Division</w:t>
      </w:r>
      <w:r w:rsidR="00784539" w:rsidRPr="00784539">
        <w:rPr>
          <w:noProof/>
        </w:rPr>
        <w:t> </w:t>
      </w:r>
      <w:r w:rsidRPr="00784539">
        <w:rPr>
          <w:noProof/>
        </w:rPr>
        <w:t>2—Deposit</w:t>
      </w:r>
      <w:r w:rsidR="00784539">
        <w:rPr>
          <w:noProof/>
        </w:rPr>
        <w:noBreakHyphen/>
      </w:r>
      <w:r w:rsidRPr="00784539">
        <w:rPr>
          <w:noProof/>
        </w:rPr>
        <w:t>taking and credit sector</w:t>
      </w:r>
      <w:r w:rsidRPr="00784539">
        <w:rPr>
          <w:b w:val="0"/>
          <w:noProof/>
          <w:sz w:val="18"/>
        </w:rPr>
        <w:tab/>
      </w:r>
      <w:r w:rsidRPr="00784539">
        <w:rPr>
          <w:b w:val="0"/>
          <w:noProof/>
          <w:sz w:val="18"/>
        </w:rPr>
        <w:fldChar w:fldCharType="begin"/>
      </w:r>
      <w:r w:rsidRPr="00784539">
        <w:rPr>
          <w:b w:val="0"/>
          <w:noProof/>
          <w:sz w:val="18"/>
        </w:rPr>
        <w:instrText xml:space="preserve"> PAGEREF _Toc485110066 \h </w:instrText>
      </w:r>
      <w:r w:rsidRPr="00784539">
        <w:rPr>
          <w:b w:val="0"/>
          <w:noProof/>
          <w:sz w:val="18"/>
        </w:rPr>
      </w:r>
      <w:r w:rsidRPr="00784539">
        <w:rPr>
          <w:b w:val="0"/>
          <w:noProof/>
          <w:sz w:val="18"/>
        </w:rPr>
        <w:fldChar w:fldCharType="separate"/>
      </w:r>
      <w:r w:rsidR="00721A47">
        <w:rPr>
          <w:b w:val="0"/>
          <w:noProof/>
          <w:sz w:val="18"/>
        </w:rPr>
        <w:t>12</w:t>
      </w:r>
      <w:r w:rsidRPr="00784539">
        <w:rPr>
          <w:b w:val="0"/>
          <w:noProof/>
          <w:sz w:val="18"/>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2.1—General</w:t>
      </w:r>
      <w:r w:rsidRPr="00784539">
        <w:rPr>
          <w:b w:val="0"/>
          <w:noProof/>
          <w:sz w:val="18"/>
        </w:rPr>
        <w:tab/>
      </w:r>
      <w:r w:rsidRPr="00784539">
        <w:rPr>
          <w:b w:val="0"/>
          <w:noProof/>
          <w:sz w:val="18"/>
        </w:rPr>
        <w:fldChar w:fldCharType="begin"/>
      </w:r>
      <w:r w:rsidRPr="00784539">
        <w:rPr>
          <w:b w:val="0"/>
          <w:noProof/>
          <w:sz w:val="18"/>
        </w:rPr>
        <w:instrText xml:space="preserve"> PAGEREF _Toc485110067 \h </w:instrText>
      </w:r>
      <w:r w:rsidRPr="00784539">
        <w:rPr>
          <w:b w:val="0"/>
          <w:noProof/>
          <w:sz w:val="18"/>
        </w:rPr>
      </w:r>
      <w:r w:rsidRPr="00784539">
        <w:rPr>
          <w:b w:val="0"/>
          <w:noProof/>
          <w:sz w:val="18"/>
        </w:rPr>
        <w:fldChar w:fldCharType="separate"/>
      </w:r>
      <w:r w:rsidR="00721A47">
        <w:rPr>
          <w:b w:val="0"/>
          <w:noProof/>
          <w:sz w:val="18"/>
        </w:rPr>
        <w:t>12</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21</w:t>
      </w:r>
      <w:r w:rsidRPr="00784539">
        <w:rPr>
          <w:noProof/>
        </w:rPr>
        <w:tab/>
        <w:t>Deposit</w:t>
      </w:r>
      <w:r w:rsidR="00784539">
        <w:rPr>
          <w:noProof/>
        </w:rPr>
        <w:noBreakHyphen/>
      </w:r>
      <w:r w:rsidRPr="00784539">
        <w:rPr>
          <w:noProof/>
        </w:rPr>
        <w:t>taking and credit sector</w:t>
      </w:r>
      <w:r w:rsidRPr="00784539">
        <w:rPr>
          <w:noProof/>
        </w:rPr>
        <w:tab/>
      </w:r>
      <w:r w:rsidRPr="00784539">
        <w:rPr>
          <w:noProof/>
        </w:rPr>
        <w:fldChar w:fldCharType="begin"/>
      </w:r>
      <w:r w:rsidRPr="00784539">
        <w:rPr>
          <w:noProof/>
        </w:rPr>
        <w:instrText xml:space="preserve"> PAGEREF _Toc485110068 \h </w:instrText>
      </w:r>
      <w:r w:rsidRPr="00784539">
        <w:rPr>
          <w:noProof/>
        </w:rPr>
      </w:r>
      <w:r w:rsidRPr="00784539">
        <w:rPr>
          <w:noProof/>
        </w:rPr>
        <w:fldChar w:fldCharType="separate"/>
      </w:r>
      <w:r w:rsidR="00721A47">
        <w:rPr>
          <w:noProof/>
        </w:rPr>
        <w:t>12</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22</w:t>
      </w:r>
      <w:r w:rsidRPr="00784539">
        <w:rPr>
          <w:noProof/>
        </w:rPr>
        <w:tab/>
        <w:t>Basic levy component applies to sub</w:t>
      </w:r>
      <w:r w:rsidR="00784539">
        <w:rPr>
          <w:noProof/>
        </w:rPr>
        <w:noBreakHyphen/>
      </w:r>
      <w:r w:rsidRPr="00784539">
        <w:rPr>
          <w:noProof/>
        </w:rPr>
        <w:t>sectors in Subdivision</w:t>
      </w:r>
      <w:r w:rsidR="00784539" w:rsidRPr="00784539">
        <w:rPr>
          <w:noProof/>
        </w:rPr>
        <w:t> </w:t>
      </w:r>
      <w:r w:rsidRPr="00784539">
        <w:rPr>
          <w:noProof/>
        </w:rPr>
        <w:t>2.2</w:t>
      </w:r>
      <w:r w:rsidRPr="00784539">
        <w:rPr>
          <w:noProof/>
        </w:rPr>
        <w:tab/>
      </w:r>
      <w:r w:rsidRPr="00784539">
        <w:rPr>
          <w:noProof/>
        </w:rPr>
        <w:fldChar w:fldCharType="begin"/>
      </w:r>
      <w:r w:rsidRPr="00784539">
        <w:rPr>
          <w:noProof/>
        </w:rPr>
        <w:instrText xml:space="preserve"> PAGEREF _Toc485110069 \h </w:instrText>
      </w:r>
      <w:r w:rsidRPr="00784539">
        <w:rPr>
          <w:noProof/>
        </w:rPr>
      </w:r>
      <w:r w:rsidRPr="00784539">
        <w:rPr>
          <w:noProof/>
        </w:rPr>
        <w:fldChar w:fldCharType="separate"/>
      </w:r>
      <w:r w:rsidR="00721A47">
        <w:rPr>
          <w:noProof/>
        </w:rPr>
        <w:t>12</w:t>
      </w:r>
      <w:r w:rsidRPr="00784539">
        <w:rPr>
          <w:noProof/>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2.2—Sub</w:t>
      </w:r>
      <w:r w:rsidR="00784539">
        <w:rPr>
          <w:noProof/>
        </w:rPr>
        <w:noBreakHyphen/>
      </w:r>
      <w:r w:rsidRPr="00784539">
        <w:rPr>
          <w:noProof/>
        </w:rPr>
        <w:t>sectors to which basic levy component applies</w:t>
      </w:r>
      <w:r w:rsidRPr="00784539">
        <w:rPr>
          <w:b w:val="0"/>
          <w:noProof/>
          <w:sz w:val="18"/>
        </w:rPr>
        <w:tab/>
      </w:r>
      <w:r w:rsidRPr="00784539">
        <w:rPr>
          <w:b w:val="0"/>
          <w:noProof/>
          <w:sz w:val="18"/>
        </w:rPr>
        <w:fldChar w:fldCharType="begin"/>
      </w:r>
      <w:r w:rsidRPr="00784539">
        <w:rPr>
          <w:b w:val="0"/>
          <w:noProof/>
          <w:sz w:val="18"/>
        </w:rPr>
        <w:instrText xml:space="preserve"> PAGEREF _Toc485110070 \h </w:instrText>
      </w:r>
      <w:r w:rsidRPr="00784539">
        <w:rPr>
          <w:b w:val="0"/>
          <w:noProof/>
          <w:sz w:val="18"/>
        </w:rPr>
      </w:r>
      <w:r w:rsidRPr="00784539">
        <w:rPr>
          <w:b w:val="0"/>
          <w:noProof/>
          <w:sz w:val="18"/>
        </w:rPr>
        <w:fldChar w:fldCharType="separate"/>
      </w:r>
      <w:r w:rsidR="00721A47">
        <w:rPr>
          <w:b w:val="0"/>
          <w:noProof/>
          <w:sz w:val="18"/>
        </w:rPr>
        <w:t>12</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23</w:t>
      </w:r>
      <w:r w:rsidRPr="00784539">
        <w:rPr>
          <w:noProof/>
        </w:rPr>
        <w:tab/>
        <w:t>Margin lenders</w:t>
      </w:r>
      <w:r w:rsidRPr="00784539">
        <w:rPr>
          <w:noProof/>
        </w:rPr>
        <w:tab/>
      </w:r>
      <w:r w:rsidRPr="00784539">
        <w:rPr>
          <w:noProof/>
        </w:rPr>
        <w:fldChar w:fldCharType="begin"/>
      </w:r>
      <w:r w:rsidRPr="00784539">
        <w:rPr>
          <w:noProof/>
        </w:rPr>
        <w:instrText xml:space="preserve"> PAGEREF _Toc485110071 \h </w:instrText>
      </w:r>
      <w:r w:rsidRPr="00784539">
        <w:rPr>
          <w:noProof/>
        </w:rPr>
      </w:r>
      <w:r w:rsidRPr="00784539">
        <w:rPr>
          <w:noProof/>
        </w:rPr>
        <w:fldChar w:fldCharType="separate"/>
      </w:r>
      <w:r w:rsidR="00721A47">
        <w:rPr>
          <w:noProof/>
        </w:rPr>
        <w:t>12</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24</w:t>
      </w:r>
      <w:r w:rsidRPr="00784539">
        <w:rPr>
          <w:noProof/>
        </w:rPr>
        <w:tab/>
        <w:t>Small amount credit providers</w:t>
      </w:r>
      <w:r w:rsidRPr="00784539">
        <w:rPr>
          <w:noProof/>
        </w:rPr>
        <w:tab/>
      </w:r>
      <w:r w:rsidRPr="00784539">
        <w:rPr>
          <w:noProof/>
        </w:rPr>
        <w:fldChar w:fldCharType="begin"/>
      </w:r>
      <w:r w:rsidRPr="00784539">
        <w:rPr>
          <w:noProof/>
        </w:rPr>
        <w:instrText xml:space="preserve"> PAGEREF _Toc485110072 \h </w:instrText>
      </w:r>
      <w:r w:rsidRPr="00784539">
        <w:rPr>
          <w:noProof/>
        </w:rPr>
      </w:r>
      <w:r w:rsidRPr="00784539">
        <w:rPr>
          <w:noProof/>
        </w:rPr>
        <w:fldChar w:fldCharType="separate"/>
      </w:r>
      <w:r w:rsidR="00721A47">
        <w:rPr>
          <w:noProof/>
        </w:rPr>
        <w:t>12</w:t>
      </w:r>
      <w:r w:rsidRPr="00784539">
        <w:rPr>
          <w:noProof/>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2.3—Sub</w:t>
      </w:r>
      <w:r w:rsidR="00784539">
        <w:rPr>
          <w:noProof/>
        </w:rPr>
        <w:noBreakHyphen/>
      </w:r>
      <w:r w:rsidRPr="00784539">
        <w:rPr>
          <w:noProof/>
        </w:rPr>
        <w:t>sectors to which graduated levy component applies</w:t>
      </w:r>
      <w:r w:rsidRPr="00784539">
        <w:rPr>
          <w:b w:val="0"/>
          <w:noProof/>
          <w:sz w:val="18"/>
        </w:rPr>
        <w:tab/>
      </w:r>
      <w:r w:rsidRPr="00784539">
        <w:rPr>
          <w:b w:val="0"/>
          <w:noProof/>
          <w:sz w:val="18"/>
        </w:rPr>
        <w:fldChar w:fldCharType="begin"/>
      </w:r>
      <w:r w:rsidRPr="00784539">
        <w:rPr>
          <w:b w:val="0"/>
          <w:noProof/>
          <w:sz w:val="18"/>
        </w:rPr>
        <w:instrText xml:space="preserve"> PAGEREF _Toc485110073 \h </w:instrText>
      </w:r>
      <w:r w:rsidRPr="00784539">
        <w:rPr>
          <w:b w:val="0"/>
          <w:noProof/>
          <w:sz w:val="18"/>
        </w:rPr>
      </w:r>
      <w:r w:rsidRPr="00784539">
        <w:rPr>
          <w:b w:val="0"/>
          <w:noProof/>
          <w:sz w:val="18"/>
        </w:rPr>
        <w:fldChar w:fldCharType="separate"/>
      </w:r>
      <w:r w:rsidR="00721A47">
        <w:rPr>
          <w:b w:val="0"/>
          <w:noProof/>
          <w:sz w:val="18"/>
        </w:rPr>
        <w:t>13</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25</w:t>
      </w:r>
      <w:r w:rsidRPr="00784539">
        <w:rPr>
          <w:noProof/>
        </w:rPr>
        <w:tab/>
        <w:t>Credit intermediaries</w:t>
      </w:r>
      <w:r w:rsidRPr="00784539">
        <w:rPr>
          <w:noProof/>
        </w:rPr>
        <w:tab/>
      </w:r>
      <w:r w:rsidRPr="00784539">
        <w:rPr>
          <w:noProof/>
        </w:rPr>
        <w:fldChar w:fldCharType="begin"/>
      </w:r>
      <w:r w:rsidRPr="00784539">
        <w:rPr>
          <w:noProof/>
        </w:rPr>
        <w:instrText xml:space="preserve"> PAGEREF _Toc485110074 \h </w:instrText>
      </w:r>
      <w:r w:rsidRPr="00784539">
        <w:rPr>
          <w:noProof/>
        </w:rPr>
      </w:r>
      <w:r w:rsidRPr="00784539">
        <w:rPr>
          <w:noProof/>
        </w:rPr>
        <w:fldChar w:fldCharType="separate"/>
      </w:r>
      <w:r w:rsidR="00721A47">
        <w:rPr>
          <w:noProof/>
        </w:rPr>
        <w:t>13</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26</w:t>
      </w:r>
      <w:r w:rsidRPr="00784539">
        <w:rPr>
          <w:noProof/>
        </w:rPr>
        <w:tab/>
        <w:t>Credit providers</w:t>
      </w:r>
      <w:r w:rsidRPr="00784539">
        <w:rPr>
          <w:noProof/>
        </w:rPr>
        <w:tab/>
      </w:r>
      <w:r w:rsidRPr="00784539">
        <w:rPr>
          <w:noProof/>
        </w:rPr>
        <w:fldChar w:fldCharType="begin"/>
      </w:r>
      <w:r w:rsidRPr="00784539">
        <w:rPr>
          <w:noProof/>
        </w:rPr>
        <w:instrText xml:space="preserve"> PAGEREF _Toc485110075 \h </w:instrText>
      </w:r>
      <w:r w:rsidRPr="00784539">
        <w:rPr>
          <w:noProof/>
        </w:rPr>
      </w:r>
      <w:r w:rsidRPr="00784539">
        <w:rPr>
          <w:noProof/>
        </w:rPr>
        <w:fldChar w:fldCharType="separate"/>
      </w:r>
      <w:r w:rsidR="00721A47">
        <w:rPr>
          <w:noProof/>
        </w:rPr>
        <w:t>13</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27</w:t>
      </w:r>
      <w:r w:rsidRPr="00784539">
        <w:rPr>
          <w:noProof/>
        </w:rPr>
        <w:tab/>
        <w:t>Deposit product providers</w:t>
      </w:r>
      <w:r w:rsidRPr="00784539">
        <w:rPr>
          <w:noProof/>
        </w:rPr>
        <w:tab/>
      </w:r>
      <w:r w:rsidRPr="00784539">
        <w:rPr>
          <w:noProof/>
        </w:rPr>
        <w:fldChar w:fldCharType="begin"/>
      </w:r>
      <w:r w:rsidRPr="00784539">
        <w:rPr>
          <w:noProof/>
        </w:rPr>
        <w:instrText xml:space="preserve"> PAGEREF _Toc485110076 \h </w:instrText>
      </w:r>
      <w:r w:rsidRPr="00784539">
        <w:rPr>
          <w:noProof/>
        </w:rPr>
      </w:r>
      <w:r w:rsidRPr="00784539">
        <w:rPr>
          <w:noProof/>
        </w:rPr>
        <w:fldChar w:fldCharType="separate"/>
      </w:r>
      <w:r w:rsidR="00721A47">
        <w:rPr>
          <w:noProof/>
        </w:rPr>
        <w:t>14</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28</w:t>
      </w:r>
      <w:r w:rsidRPr="00784539">
        <w:rPr>
          <w:noProof/>
        </w:rPr>
        <w:tab/>
        <w:t>Payment product providers</w:t>
      </w:r>
      <w:r w:rsidRPr="00784539">
        <w:rPr>
          <w:noProof/>
        </w:rPr>
        <w:tab/>
      </w:r>
      <w:r w:rsidRPr="00784539">
        <w:rPr>
          <w:noProof/>
        </w:rPr>
        <w:fldChar w:fldCharType="begin"/>
      </w:r>
      <w:r w:rsidRPr="00784539">
        <w:rPr>
          <w:noProof/>
        </w:rPr>
        <w:instrText xml:space="preserve"> PAGEREF _Toc485110077 \h </w:instrText>
      </w:r>
      <w:r w:rsidRPr="00784539">
        <w:rPr>
          <w:noProof/>
        </w:rPr>
      </w:r>
      <w:r w:rsidRPr="00784539">
        <w:rPr>
          <w:noProof/>
        </w:rPr>
        <w:fldChar w:fldCharType="separate"/>
      </w:r>
      <w:r w:rsidR="00721A47">
        <w:rPr>
          <w:noProof/>
        </w:rPr>
        <w:t>14</w:t>
      </w:r>
      <w:r w:rsidRPr="00784539">
        <w:rPr>
          <w:noProof/>
        </w:rPr>
        <w:fldChar w:fldCharType="end"/>
      </w:r>
    </w:p>
    <w:p w:rsidR="006B1044" w:rsidRPr="00784539" w:rsidRDefault="006B1044">
      <w:pPr>
        <w:pStyle w:val="TOC3"/>
        <w:rPr>
          <w:rFonts w:asciiTheme="minorHAnsi" w:eastAsiaTheme="minorEastAsia" w:hAnsiTheme="minorHAnsi" w:cstheme="minorBidi"/>
          <w:b w:val="0"/>
          <w:noProof/>
          <w:kern w:val="0"/>
          <w:szCs w:val="22"/>
        </w:rPr>
      </w:pPr>
      <w:r w:rsidRPr="00784539">
        <w:rPr>
          <w:noProof/>
        </w:rPr>
        <w:t>Division</w:t>
      </w:r>
      <w:r w:rsidR="00784539" w:rsidRPr="00784539">
        <w:rPr>
          <w:noProof/>
        </w:rPr>
        <w:t> </w:t>
      </w:r>
      <w:r w:rsidRPr="00784539">
        <w:rPr>
          <w:noProof/>
        </w:rPr>
        <w:t>3—Investment management, superannuation and related services sector</w:t>
      </w:r>
      <w:r w:rsidRPr="00784539">
        <w:rPr>
          <w:b w:val="0"/>
          <w:noProof/>
          <w:sz w:val="18"/>
        </w:rPr>
        <w:tab/>
      </w:r>
      <w:r w:rsidRPr="00784539">
        <w:rPr>
          <w:b w:val="0"/>
          <w:noProof/>
          <w:sz w:val="18"/>
        </w:rPr>
        <w:fldChar w:fldCharType="begin"/>
      </w:r>
      <w:r w:rsidRPr="00784539">
        <w:rPr>
          <w:b w:val="0"/>
          <w:noProof/>
          <w:sz w:val="18"/>
        </w:rPr>
        <w:instrText xml:space="preserve"> PAGEREF _Toc485110078 \h </w:instrText>
      </w:r>
      <w:r w:rsidRPr="00784539">
        <w:rPr>
          <w:b w:val="0"/>
          <w:noProof/>
          <w:sz w:val="18"/>
        </w:rPr>
      </w:r>
      <w:r w:rsidRPr="00784539">
        <w:rPr>
          <w:b w:val="0"/>
          <w:noProof/>
          <w:sz w:val="18"/>
        </w:rPr>
        <w:fldChar w:fldCharType="separate"/>
      </w:r>
      <w:r w:rsidR="00721A47">
        <w:rPr>
          <w:b w:val="0"/>
          <w:noProof/>
          <w:sz w:val="18"/>
        </w:rPr>
        <w:t>16</w:t>
      </w:r>
      <w:r w:rsidRPr="00784539">
        <w:rPr>
          <w:b w:val="0"/>
          <w:noProof/>
          <w:sz w:val="18"/>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3.1—General</w:t>
      </w:r>
      <w:r w:rsidRPr="00784539">
        <w:rPr>
          <w:b w:val="0"/>
          <w:noProof/>
          <w:sz w:val="18"/>
        </w:rPr>
        <w:tab/>
      </w:r>
      <w:r w:rsidRPr="00784539">
        <w:rPr>
          <w:b w:val="0"/>
          <w:noProof/>
          <w:sz w:val="18"/>
        </w:rPr>
        <w:fldChar w:fldCharType="begin"/>
      </w:r>
      <w:r w:rsidRPr="00784539">
        <w:rPr>
          <w:b w:val="0"/>
          <w:noProof/>
          <w:sz w:val="18"/>
        </w:rPr>
        <w:instrText xml:space="preserve"> PAGEREF _Toc485110079 \h </w:instrText>
      </w:r>
      <w:r w:rsidRPr="00784539">
        <w:rPr>
          <w:b w:val="0"/>
          <w:noProof/>
          <w:sz w:val="18"/>
        </w:rPr>
      </w:r>
      <w:r w:rsidRPr="00784539">
        <w:rPr>
          <w:b w:val="0"/>
          <w:noProof/>
          <w:sz w:val="18"/>
        </w:rPr>
        <w:fldChar w:fldCharType="separate"/>
      </w:r>
      <w:r w:rsidR="00721A47">
        <w:rPr>
          <w:b w:val="0"/>
          <w:noProof/>
          <w:sz w:val="18"/>
        </w:rPr>
        <w:t>16</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29</w:t>
      </w:r>
      <w:r w:rsidRPr="00784539">
        <w:rPr>
          <w:noProof/>
        </w:rPr>
        <w:tab/>
        <w:t>Investment management, superannuation and related services sector</w:t>
      </w:r>
      <w:r w:rsidRPr="00784539">
        <w:rPr>
          <w:noProof/>
        </w:rPr>
        <w:tab/>
      </w:r>
      <w:r w:rsidRPr="00784539">
        <w:rPr>
          <w:noProof/>
        </w:rPr>
        <w:fldChar w:fldCharType="begin"/>
      </w:r>
      <w:r w:rsidRPr="00784539">
        <w:rPr>
          <w:noProof/>
        </w:rPr>
        <w:instrText xml:space="preserve"> PAGEREF _Toc485110080 \h </w:instrText>
      </w:r>
      <w:r w:rsidRPr="00784539">
        <w:rPr>
          <w:noProof/>
        </w:rPr>
      </w:r>
      <w:r w:rsidRPr="00784539">
        <w:rPr>
          <w:noProof/>
        </w:rPr>
        <w:fldChar w:fldCharType="separate"/>
      </w:r>
      <w:r w:rsidR="00721A47">
        <w:rPr>
          <w:noProof/>
        </w:rPr>
        <w:t>16</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30</w:t>
      </w:r>
      <w:r w:rsidRPr="00784539">
        <w:rPr>
          <w:noProof/>
        </w:rPr>
        <w:tab/>
        <w:t>Basic levy component applies to sub</w:t>
      </w:r>
      <w:r w:rsidR="00784539">
        <w:rPr>
          <w:noProof/>
        </w:rPr>
        <w:noBreakHyphen/>
      </w:r>
      <w:r w:rsidRPr="00784539">
        <w:rPr>
          <w:noProof/>
        </w:rPr>
        <w:t>sectors in Subdivision</w:t>
      </w:r>
      <w:r w:rsidR="00784539" w:rsidRPr="00784539">
        <w:rPr>
          <w:noProof/>
        </w:rPr>
        <w:t> </w:t>
      </w:r>
      <w:r w:rsidRPr="00784539">
        <w:rPr>
          <w:noProof/>
        </w:rPr>
        <w:t>3.2</w:t>
      </w:r>
      <w:r w:rsidRPr="00784539">
        <w:rPr>
          <w:noProof/>
        </w:rPr>
        <w:tab/>
      </w:r>
      <w:r w:rsidRPr="00784539">
        <w:rPr>
          <w:noProof/>
        </w:rPr>
        <w:fldChar w:fldCharType="begin"/>
      </w:r>
      <w:r w:rsidRPr="00784539">
        <w:rPr>
          <w:noProof/>
        </w:rPr>
        <w:instrText xml:space="preserve"> PAGEREF _Toc485110081 \h </w:instrText>
      </w:r>
      <w:r w:rsidRPr="00784539">
        <w:rPr>
          <w:noProof/>
        </w:rPr>
      </w:r>
      <w:r w:rsidRPr="00784539">
        <w:rPr>
          <w:noProof/>
        </w:rPr>
        <w:fldChar w:fldCharType="separate"/>
      </w:r>
      <w:r w:rsidR="00721A47">
        <w:rPr>
          <w:noProof/>
        </w:rPr>
        <w:t>16</w:t>
      </w:r>
      <w:r w:rsidRPr="00784539">
        <w:rPr>
          <w:noProof/>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3.2—Sub</w:t>
      </w:r>
      <w:r w:rsidR="00784539">
        <w:rPr>
          <w:noProof/>
        </w:rPr>
        <w:noBreakHyphen/>
      </w:r>
      <w:r w:rsidRPr="00784539">
        <w:rPr>
          <w:noProof/>
        </w:rPr>
        <w:t>sectors to which basic levy component applies</w:t>
      </w:r>
      <w:r w:rsidRPr="00784539">
        <w:rPr>
          <w:b w:val="0"/>
          <w:noProof/>
          <w:sz w:val="18"/>
        </w:rPr>
        <w:tab/>
      </w:r>
      <w:r w:rsidRPr="00784539">
        <w:rPr>
          <w:b w:val="0"/>
          <w:noProof/>
          <w:sz w:val="18"/>
        </w:rPr>
        <w:fldChar w:fldCharType="begin"/>
      </w:r>
      <w:r w:rsidRPr="00784539">
        <w:rPr>
          <w:b w:val="0"/>
          <w:noProof/>
          <w:sz w:val="18"/>
        </w:rPr>
        <w:instrText xml:space="preserve"> PAGEREF _Toc485110082 \h </w:instrText>
      </w:r>
      <w:r w:rsidRPr="00784539">
        <w:rPr>
          <w:b w:val="0"/>
          <w:noProof/>
          <w:sz w:val="18"/>
        </w:rPr>
      </w:r>
      <w:r w:rsidRPr="00784539">
        <w:rPr>
          <w:b w:val="0"/>
          <w:noProof/>
          <w:sz w:val="18"/>
        </w:rPr>
        <w:fldChar w:fldCharType="separate"/>
      </w:r>
      <w:r w:rsidR="00721A47">
        <w:rPr>
          <w:b w:val="0"/>
          <w:noProof/>
          <w:sz w:val="18"/>
        </w:rPr>
        <w:t>16</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31</w:t>
      </w:r>
      <w:r w:rsidRPr="00784539">
        <w:rPr>
          <w:noProof/>
        </w:rPr>
        <w:tab/>
        <w:t>Custodians</w:t>
      </w:r>
      <w:r w:rsidRPr="00784539">
        <w:rPr>
          <w:noProof/>
        </w:rPr>
        <w:tab/>
      </w:r>
      <w:r w:rsidRPr="00784539">
        <w:rPr>
          <w:noProof/>
        </w:rPr>
        <w:fldChar w:fldCharType="begin"/>
      </w:r>
      <w:r w:rsidRPr="00784539">
        <w:rPr>
          <w:noProof/>
        </w:rPr>
        <w:instrText xml:space="preserve"> PAGEREF _Toc485110083 \h </w:instrText>
      </w:r>
      <w:r w:rsidRPr="00784539">
        <w:rPr>
          <w:noProof/>
        </w:rPr>
      </w:r>
      <w:r w:rsidRPr="00784539">
        <w:rPr>
          <w:noProof/>
        </w:rPr>
        <w:fldChar w:fldCharType="separate"/>
      </w:r>
      <w:r w:rsidR="00721A47">
        <w:rPr>
          <w:noProof/>
        </w:rPr>
        <w:t>16</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32</w:t>
      </w:r>
      <w:r w:rsidRPr="00784539">
        <w:rPr>
          <w:noProof/>
        </w:rPr>
        <w:tab/>
        <w:t>Managed discretionary account providers</w:t>
      </w:r>
      <w:r w:rsidRPr="00784539">
        <w:rPr>
          <w:noProof/>
        </w:rPr>
        <w:tab/>
      </w:r>
      <w:r w:rsidRPr="00784539">
        <w:rPr>
          <w:noProof/>
        </w:rPr>
        <w:fldChar w:fldCharType="begin"/>
      </w:r>
      <w:r w:rsidRPr="00784539">
        <w:rPr>
          <w:noProof/>
        </w:rPr>
        <w:instrText xml:space="preserve"> PAGEREF _Toc485110084 \h </w:instrText>
      </w:r>
      <w:r w:rsidRPr="00784539">
        <w:rPr>
          <w:noProof/>
        </w:rPr>
      </w:r>
      <w:r w:rsidRPr="00784539">
        <w:rPr>
          <w:noProof/>
        </w:rPr>
        <w:fldChar w:fldCharType="separate"/>
      </w:r>
      <w:r w:rsidR="00721A47">
        <w:rPr>
          <w:noProof/>
        </w:rPr>
        <w:t>16</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33</w:t>
      </w:r>
      <w:r w:rsidRPr="00784539">
        <w:rPr>
          <w:noProof/>
        </w:rPr>
        <w:tab/>
        <w:t>Traditional trustee company service providers</w:t>
      </w:r>
      <w:r w:rsidRPr="00784539">
        <w:rPr>
          <w:noProof/>
        </w:rPr>
        <w:tab/>
      </w:r>
      <w:r w:rsidRPr="00784539">
        <w:rPr>
          <w:noProof/>
        </w:rPr>
        <w:fldChar w:fldCharType="begin"/>
      </w:r>
      <w:r w:rsidRPr="00784539">
        <w:rPr>
          <w:noProof/>
        </w:rPr>
        <w:instrText xml:space="preserve"> PAGEREF _Toc485110085 \h </w:instrText>
      </w:r>
      <w:r w:rsidRPr="00784539">
        <w:rPr>
          <w:noProof/>
        </w:rPr>
      </w:r>
      <w:r w:rsidRPr="00784539">
        <w:rPr>
          <w:noProof/>
        </w:rPr>
        <w:fldChar w:fldCharType="separate"/>
      </w:r>
      <w:r w:rsidR="00721A47">
        <w:rPr>
          <w:noProof/>
        </w:rPr>
        <w:t>17</w:t>
      </w:r>
      <w:r w:rsidRPr="00784539">
        <w:rPr>
          <w:noProof/>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3.3—Sub</w:t>
      </w:r>
      <w:r w:rsidR="00784539">
        <w:rPr>
          <w:noProof/>
        </w:rPr>
        <w:noBreakHyphen/>
      </w:r>
      <w:r w:rsidRPr="00784539">
        <w:rPr>
          <w:noProof/>
        </w:rPr>
        <w:t>sectors to which graduated levy component applies</w:t>
      </w:r>
      <w:r w:rsidRPr="00784539">
        <w:rPr>
          <w:b w:val="0"/>
          <w:noProof/>
          <w:sz w:val="18"/>
        </w:rPr>
        <w:tab/>
      </w:r>
      <w:r w:rsidRPr="00784539">
        <w:rPr>
          <w:b w:val="0"/>
          <w:noProof/>
          <w:sz w:val="18"/>
        </w:rPr>
        <w:fldChar w:fldCharType="begin"/>
      </w:r>
      <w:r w:rsidRPr="00784539">
        <w:rPr>
          <w:b w:val="0"/>
          <w:noProof/>
          <w:sz w:val="18"/>
        </w:rPr>
        <w:instrText xml:space="preserve"> PAGEREF _Toc485110086 \h </w:instrText>
      </w:r>
      <w:r w:rsidRPr="00784539">
        <w:rPr>
          <w:b w:val="0"/>
          <w:noProof/>
          <w:sz w:val="18"/>
        </w:rPr>
      </w:r>
      <w:r w:rsidRPr="00784539">
        <w:rPr>
          <w:b w:val="0"/>
          <w:noProof/>
          <w:sz w:val="18"/>
        </w:rPr>
        <w:fldChar w:fldCharType="separate"/>
      </w:r>
      <w:r w:rsidR="00721A47">
        <w:rPr>
          <w:b w:val="0"/>
          <w:noProof/>
          <w:sz w:val="18"/>
        </w:rPr>
        <w:t>17</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34</w:t>
      </w:r>
      <w:r w:rsidRPr="00784539">
        <w:rPr>
          <w:noProof/>
        </w:rPr>
        <w:tab/>
        <w:t>Operators of investor directed portfolio services</w:t>
      </w:r>
      <w:r w:rsidRPr="00784539">
        <w:rPr>
          <w:noProof/>
        </w:rPr>
        <w:tab/>
      </w:r>
      <w:r w:rsidRPr="00784539">
        <w:rPr>
          <w:noProof/>
        </w:rPr>
        <w:fldChar w:fldCharType="begin"/>
      </w:r>
      <w:r w:rsidRPr="00784539">
        <w:rPr>
          <w:noProof/>
        </w:rPr>
        <w:instrText xml:space="preserve"> PAGEREF _Toc485110087 \h </w:instrText>
      </w:r>
      <w:r w:rsidRPr="00784539">
        <w:rPr>
          <w:noProof/>
        </w:rPr>
      </w:r>
      <w:r w:rsidRPr="00784539">
        <w:rPr>
          <w:noProof/>
        </w:rPr>
        <w:fldChar w:fldCharType="separate"/>
      </w:r>
      <w:r w:rsidR="00721A47">
        <w:rPr>
          <w:noProof/>
        </w:rPr>
        <w:t>17</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35</w:t>
      </w:r>
      <w:r w:rsidRPr="00784539">
        <w:rPr>
          <w:noProof/>
        </w:rPr>
        <w:tab/>
        <w:t>Responsible entities</w:t>
      </w:r>
      <w:r w:rsidRPr="00784539">
        <w:rPr>
          <w:noProof/>
        </w:rPr>
        <w:tab/>
      </w:r>
      <w:r w:rsidRPr="00784539">
        <w:rPr>
          <w:noProof/>
        </w:rPr>
        <w:fldChar w:fldCharType="begin"/>
      </w:r>
      <w:r w:rsidRPr="00784539">
        <w:rPr>
          <w:noProof/>
        </w:rPr>
        <w:instrText xml:space="preserve"> PAGEREF _Toc485110088 \h </w:instrText>
      </w:r>
      <w:r w:rsidRPr="00784539">
        <w:rPr>
          <w:noProof/>
        </w:rPr>
      </w:r>
      <w:r w:rsidRPr="00784539">
        <w:rPr>
          <w:noProof/>
        </w:rPr>
        <w:fldChar w:fldCharType="separate"/>
      </w:r>
      <w:r w:rsidR="00721A47">
        <w:rPr>
          <w:noProof/>
        </w:rPr>
        <w:t>18</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36</w:t>
      </w:r>
      <w:r w:rsidRPr="00784539">
        <w:rPr>
          <w:noProof/>
        </w:rPr>
        <w:tab/>
        <w:t>Superannuation trustees</w:t>
      </w:r>
      <w:r w:rsidRPr="00784539">
        <w:rPr>
          <w:noProof/>
        </w:rPr>
        <w:tab/>
      </w:r>
      <w:r w:rsidRPr="00784539">
        <w:rPr>
          <w:noProof/>
        </w:rPr>
        <w:fldChar w:fldCharType="begin"/>
      </w:r>
      <w:r w:rsidRPr="00784539">
        <w:rPr>
          <w:noProof/>
        </w:rPr>
        <w:instrText xml:space="preserve"> PAGEREF _Toc485110089 \h </w:instrText>
      </w:r>
      <w:r w:rsidRPr="00784539">
        <w:rPr>
          <w:noProof/>
        </w:rPr>
      </w:r>
      <w:r w:rsidRPr="00784539">
        <w:rPr>
          <w:noProof/>
        </w:rPr>
        <w:fldChar w:fldCharType="separate"/>
      </w:r>
      <w:r w:rsidR="00721A47">
        <w:rPr>
          <w:noProof/>
        </w:rPr>
        <w:t>18</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37</w:t>
      </w:r>
      <w:r w:rsidRPr="00784539">
        <w:rPr>
          <w:noProof/>
        </w:rPr>
        <w:tab/>
        <w:t>Wholesale trustees</w:t>
      </w:r>
      <w:r w:rsidRPr="00784539">
        <w:rPr>
          <w:noProof/>
        </w:rPr>
        <w:tab/>
      </w:r>
      <w:r w:rsidRPr="00784539">
        <w:rPr>
          <w:noProof/>
        </w:rPr>
        <w:fldChar w:fldCharType="begin"/>
      </w:r>
      <w:r w:rsidRPr="00784539">
        <w:rPr>
          <w:noProof/>
        </w:rPr>
        <w:instrText xml:space="preserve"> PAGEREF _Toc485110090 \h </w:instrText>
      </w:r>
      <w:r w:rsidRPr="00784539">
        <w:rPr>
          <w:noProof/>
        </w:rPr>
      </w:r>
      <w:r w:rsidRPr="00784539">
        <w:rPr>
          <w:noProof/>
        </w:rPr>
        <w:fldChar w:fldCharType="separate"/>
      </w:r>
      <w:r w:rsidR="00721A47">
        <w:rPr>
          <w:noProof/>
        </w:rPr>
        <w:t>19</w:t>
      </w:r>
      <w:r w:rsidRPr="00784539">
        <w:rPr>
          <w:noProof/>
        </w:rPr>
        <w:fldChar w:fldCharType="end"/>
      </w:r>
    </w:p>
    <w:p w:rsidR="006B1044" w:rsidRPr="00784539" w:rsidRDefault="006B1044">
      <w:pPr>
        <w:pStyle w:val="TOC3"/>
        <w:rPr>
          <w:rFonts w:asciiTheme="minorHAnsi" w:eastAsiaTheme="minorEastAsia" w:hAnsiTheme="minorHAnsi" w:cstheme="minorBidi"/>
          <w:b w:val="0"/>
          <w:noProof/>
          <w:kern w:val="0"/>
          <w:szCs w:val="22"/>
        </w:rPr>
      </w:pPr>
      <w:r w:rsidRPr="00784539">
        <w:rPr>
          <w:noProof/>
        </w:rPr>
        <w:t>Division</w:t>
      </w:r>
      <w:r w:rsidR="00784539" w:rsidRPr="00784539">
        <w:rPr>
          <w:noProof/>
        </w:rPr>
        <w:t> </w:t>
      </w:r>
      <w:r w:rsidRPr="00784539">
        <w:rPr>
          <w:noProof/>
        </w:rPr>
        <w:t>4—Financial advice sector</w:t>
      </w:r>
      <w:r w:rsidRPr="00784539">
        <w:rPr>
          <w:b w:val="0"/>
          <w:noProof/>
          <w:sz w:val="18"/>
        </w:rPr>
        <w:tab/>
      </w:r>
      <w:r w:rsidRPr="00784539">
        <w:rPr>
          <w:b w:val="0"/>
          <w:noProof/>
          <w:sz w:val="18"/>
        </w:rPr>
        <w:fldChar w:fldCharType="begin"/>
      </w:r>
      <w:r w:rsidRPr="00784539">
        <w:rPr>
          <w:b w:val="0"/>
          <w:noProof/>
          <w:sz w:val="18"/>
        </w:rPr>
        <w:instrText xml:space="preserve"> PAGEREF _Toc485110091 \h </w:instrText>
      </w:r>
      <w:r w:rsidRPr="00784539">
        <w:rPr>
          <w:b w:val="0"/>
          <w:noProof/>
          <w:sz w:val="18"/>
        </w:rPr>
      </w:r>
      <w:r w:rsidRPr="00784539">
        <w:rPr>
          <w:b w:val="0"/>
          <w:noProof/>
          <w:sz w:val="18"/>
        </w:rPr>
        <w:fldChar w:fldCharType="separate"/>
      </w:r>
      <w:r w:rsidR="00721A47">
        <w:rPr>
          <w:b w:val="0"/>
          <w:noProof/>
          <w:sz w:val="18"/>
        </w:rPr>
        <w:t>21</w:t>
      </w:r>
      <w:r w:rsidRPr="00784539">
        <w:rPr>
          <w:b w:val="0"/>
          <w:noProof/>
          <w:sz w:val="18"/>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4.1—General</w:t>
      </w:r>
      <w:r w:rsidRPr="00784539">
        <w:rPr>
          <w:b w:val="0"/>
          <w:noProof/>
          <w:sz w:val="18"/>
        </w:rPr>
        <w:tab/>
      </w:r>
      <w:r w:rsidRPr="00784539">
        <w:rPr>
          <w:b w:val="0"/>
          <w:noProof/>
          <w:sz w:val="18"/>
        </w:rPr>
        <w:fldChar w:fldCharType="begin"/>
      </w:r>
      <w:r w:rsidRPr="00784539">
        <w:rPr>
          <w:b w:val="0"/>
          <w:noProof/>
          <w:sz w:val="18"/>
        </w:rPr>
        <w:instrText xml:space="preserve"> PAGEREF _Toc485110092 \h </w:instrText>
      </w:r>
      <w:r w:rsidRPr="00784539">
        <w:rPr>
          <w:b w:val="0"/>
          <w:noProof/>
          <w:sz w:val="18"/>
        </w:rPr>
      </w:r>
      <w:r w:rsidRPr="00784539">
        <w:rPr>
          <w:b w:val="0"/>
          <w:noProof/>
          <w:sz w:val="18"/>
        </w:rPr>
        <w:fldChar w:fldCharType="separate"/>
      </w:r>
      <w:r w:rsidR="00721A47">
        <w:rPr>
          <w:b w:val="0"/>
          <w:noProof/>
          <w:sz w:val="18"/>
        </w:rPr>
        <w:t>21</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38</w:t>
      </w:r>
      <w:r w:rsidRPr="00784539">
        <w:rPr>
          <w:noProof/>
        </w:rPr>
        <w:tab/>
        <w:t>Financial advice sector</w:t>
      </w:r>
      <w:r w:rsidRPr="00784539">
        <w:rPr>
          <w:noProof/>
        </w:rPr>
        <w:tab/>
      </w:r>
      <w:r w:rsidRPr="00784539">
        <w:rPr>
          <w:noProof/>
        </w:rPr>
        <w:fldChar w:fldCharType="begin"/>
      </w:r>
      <w:r w:rsidRPr="00784539">
        <w:rPr>
          <w:noProof/>
        </w:rPr>
        <w:instrText xml:space="preserve"> PAGEREF _Toc485110093 \h </w:instrText>
      </w:r>
      <w:r w:rsidRPr="00784539">
        <w:rPr>
          <w:noProof/>
        </w:rPr>
      </w:r>
      <w:r w:rsidRPr="00784539">
        <w:rPr>
          <w:noProof/>
        </w:rPr>
        <w:fldChar w:fldCharType="separate"/>
      </w:r>
      <w:r w:rsidR="00721A47">
        <w:rPr>
          <w:noProof/>
        </w:rPr>
        <w:t>21</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39</w:t>
      </w:r>
      <w:r w:rsidRPr="00784539">
        <w:rPr>
          <w:noProof/>
        </w:rPr>
        <w:tab/>
        <w:t>Basic levy component applies to sub</w:t>
      </w:r>
      <w:r w:rsidR="00784539">
        <w:rPr>
          <w:noProof/>
        </w:rPr>
        <w:noBreakHyphen/>
      </w:r>
      <w:r w:rsidRPr="00784539">
        <w:rPr>
          <w:noProof/>
        </w:rPr>
        <w:t>sectors in Subdivision</w:t>
      </w:r>
      <w:r w:rsidR="00784539" w:rsidRPr="00784539">
        <w:rPr>
          <w:noProof/>
        </w:rPr>
        <w:t> </w:t>
      </w:r>
      <w:r w:rsidRPr="00784539">
        <w:rPr>
          <w:noProof/>
        </w:rPr>
        <w:t>4.2</w:t>
      </w:r>
      <w:r w:rsidRPr="00784539">
        <w:rPr>
          <w:noProof/>
        </w:rPr>
        <w:tab/>
      </w:r>
      <w:r w:rsidRPr="00784539">
        <w:rPr>
          <w:noProof/>
        </w:rPr>
        <w:fldChar w:fldCharType="begin"/>
      </w:r>
      <w:r w:rsidRPr="00784539">
        <w:rPr>
          <w:noProof/>
        </w:rPr>
        <w:instrText xml:space="preserve"> PAGEREF _Toc485110094 \h </w:instrText>
      </w:r>
      <w:r w:rsidRPr="00784539">
        <w:rPr>
          <w:noProof/>
        </w:rPr>
      </w:r>
      <w:r w:rsidRPr="00784539">
        <w:rPr>
          <w:noProof/>
        </w:rPr>
        <w:fldChar w:fldCharType="separate"/>
      </w:r>
      <w:r w:rsidR="00721A47">
        <w:rPr>
          <w:noProof/>
        </w:rPr>
        <w:t>21</w:t>
      </w:r>
      <w:r w:rsidRPr="00784539">
        <w:rPr>
          <w:noProof/>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4.2—Sub</w:t>
      </w:r>
      <w:r w:rsidR="00784539">
        <w:rPr>
          <w:noProof/>
        </w:rPr>
        <w:noBreakHyphen/>
      </w:r>
      <w:r w:rsidRPr="00784539">
        <w:rPr>
          <w:noProof/>
        </w:rPr>
        <w:t>sectors to which basic levy component applies</w:t>
      </w:r>
      <w:r w:rsidRPr="00784539">
        <w:rPr>
          <w:b w:val="0"/>
          <w:noProof/>
          <w:sz w:val="18"/>
        </w:rPr>
        <w:tab/>
      </w:r>
      <w:r w:rsidRPr="00784539">
        <w:rPr>
          <w:b w:val="0"/>
          <w:noProof/>
          <w:sz w:val="18"/>
        </w:rPr>
        <w:fldChar w:fldCharType="begin"/>
      </w:r>
      <w:r w:rsidRPr="00784539">
        <w:rPr>
          <w:b w:val="0"/>
          <w:noProof/>
          <w:sz w:val="18"/>
        </w:rPr>
        <w:instrText xml:space="preserve"> PAGEREF _Toc485110095 \h </w:instrText>
      </w:r>
      <w:r w:rsidRPr="00784539">
        <w:rPr>
          <w:b w:val="0"/>
          <w:noProof/>
          <w:sz w:val="18"/>
        </w:rPr>
      </w:r>
      <w:r w:rsidRPr="00784539">
        <w:rPr>
          <w:b w:val="0"/>
          <w:noProof/>
          <w:sz w:val="18"/>
        </w:rPr>
        <w:fldChar w:fldCharType="separate"/>
      </w:r>
      <w:r w:rsidR="00721A47">
        <w:rPr>
          <w:b w:val="0"/>
          <w:noProof/>
          <w:sz w:val="18"/>
        </w:rPr>
        <w:t>21</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40</w:t>
      </w:r>
      <w:r w:rsidRPr="00784539">
        <w:rPr>
          <w:noProof/>
        </w:rPr>
        <w:tab/>
        <w:t>Licensees that provide only general advice to retail or wholesale clients</w:t>
      </w:r>
      <w:r w:rsidRPr="00784539">
        <w:rPr>
          <w:noProof/>
        </w:rPr>
        <w:tab/>
      </w:r>
      <w:r w:rsidRPr="00784539">
        <w:rPr>
          <w:noProof/>
        </w:rPr>
        <w:fldChar w:fldCharType="begin"/>
      </w:r>
      <w:r w:rsidRPr="00784539">
        <w:rPr>
          <w:noProof/>
        </w:rPr>
        <w:instrText xml:space="preserve"> PAGEREF _Toc485110096 \h </w:instrText>
      </w:r>
      <w:r w:rsidRPr="00784539">
        <w:rPr>
          <w:noProof/>
        </w:rPr>
      </w:r>
      <w:r w:rsidRPr="00784539">
        <w:rPr>
          <w:noProof/>
        </w:rPr>
        <w:fldChar w:fldCharType="separate"/>
      </w:r>
      <w:r w:rsidR="00721A47">
        <w:rPr>
          <w:noProof/>
        </w:rPr>
        <w:t>21</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41</w:t>
      </w:r>
      <w:r w:rsidRPr="00784539">
        <w:rPr>
          <w:noProof/>
        </w:rPr>
        <w:tab/>
        <w:t>Licensees that provide personal advice to only wholesale clients</w:t>
      </w:r>
      <w:r w:rsidRPr="00784539">
        <w:rPr>
          <w:noProof/>
        </w:rPr>
        <w:tab/>
      </w:r>
      <w:r w:rsidRPr="00784539">
        <w:rPr>
          <w:noProof/>
        </w:rPr>
        <w:fldChar w:fldCharType="begin"/>
      </w:r>
      <w:r w:rsidRPr="00784539">
        <w:rPr>
          <w:noProof/>
        </w:rPr>
        <w:instrText xml:space="preserve"> PAGEREF _Toc485110097 \h </w:instrText>
      </w:r>
      <w:r w:rsidRPr="00784539">
        <w:rPr>
          <w:noProof/>
        </w:rPr>
      </w:r>
      <w:r w:rsidRPr="00784539">
        <w:rPr>
          <w:noProof/>
        </w:rPr>
        <w:fldChar w:fldCharType="separate"/>
      </w:r>
      <w:r w:rsidR="00721A47">
        <w:rPr>
          <w:noProof/>
        </w:rPr>
        <w:t>21</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42</w:t>
      </w:r>
      <w:r w:rsidRPr="00784539">
        <w:rPr>
          <w:noProof/>
        </w:rPr>
        <w:tab/>
        <w:t>Licensees that provide personal advice to retail clients on only products that are not relevant financial products</w:t>
      </w:r>
      <w:r w:rsidRPr="00784539">
        <w:rPr>
          <w:noProof/>
        </w:rPr>
        <w:tab/>
      </w:r>
      <w:r w:rsidRPr="00784539">
        <w:rPr>
          <w:noProof/>
        </w:rPr>
        <w:fldChar w:fldCharType="begin"/>
      </w:r>
      <w:r w:rsidRPr="00784539">
        <w:rPr>
          <w:noProof/>
        </w:rPr>
        <w:instrText xml:space="preserve"> PAGEREF _Toc485110098 \h </w:instrText>
      </w:r>
      <w:r w:rsidRPr="00784539">
        <w:rPr>
          <w:noProof/>
        </w:rPr>
      </w:r>
      <w:r w:rsidRPr="00784539">
        <w:rPr>
          <w:noProof/>
        </w:rPr>
        <w:fldChar w:fldCharType="separate"/>
      </w:r>
      <w:r w:rsidR="00721A47">
        <w:rPr>
          <w:noProof/>
        </w:rPr>
        <w:t>21</w:t>
      </w:r>
      <w:r w:rsidRPr="00784539">
        <w:rPr>
          <w:noProof/>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4.3—Sub</w:t>
      </w:r>
      <w:r w:rsidR="00784539">
        <w:rPr>
          <w:noProof/>
        </w:rPr>
        <w:noBreakHyphen/>
      </w:r>
      <w:r w:rsidRPr="00784539">
        <w:rPr>
          <w:noProof/>
        </w:rPr>
        <w:t>sectors to which graduated levy component applies</w:t>
      </w:r>
      <w:r w:rsidRPr="00784539">
        <w:rPr>
          <w:b w:val="0"/>
          <w:noProof/>
          <w:sz w:val="18"/>
        </w:rPr>
        <w:tab/>
      </w:r>
      <w:r w:rsidRPr="00784539">
        <w:rPr>
          <w:b w:val="0"/>
          <w:noProof/>
          <w:sz w:val="18"/>
        </w:rPr>
        <w:fldChar w:fldCharType="begin"/>
      </w:r>
      <w:r w:rsidRPr="00784539">
        <w:rPr>
          <w:b w:val="0"/>
          <w:noProof/>
          <w:sz w:val="18"/>
        </w:rPr>
        <w:instrText xml:space="preserve"> PAGEREF _Toc485110099 \h </w:instrText>
      </w:r>
      <w:r w:rsidRPr="00784539">
        <w:rPr>
          <w:b w:val="0"/>
          <w:noProof/>
          <w:sz w:val="18"/>
        </w:rPr>
      </w:r>
      <w:r w:rsidRPr="00784539">
        <w:rPr>
          <w:b w:val="0"/>
          <w:noProof/>
          <w:sz w:val="18"/>
        </w:rPr>
        <w:fldChar w:fldCharType="separate"/>
      </w:r>
      <w:r w:rsidR="00721A47">
        <w:rPr>
          <w:b w:val="0"/>
          <w:noProof/>
          <w:sz w:val="18"/>
        </w:rPr>
        <w:t>22</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43</w:t>
      </w:r>
      <w:r w:rsidRPr="00784539">
        <w:rPr>
          <w:noProof/>
        </w:rPr>
        <w:tab/>
        <w:t>Licensees that provide personal advice on relevant financial products to retail clients</w:t>
      </w:r>
      <w:r w:rsidRPr="00784539">
        <w:rPr>
          <w:noProof/>
        </w:rPr>
        <w:tab/>
      </w:r>
      <w:r w:rsidRPr="00784539">
        <w:rPr>
          <w:noProof/>
        </w:rPr>
        <w:fldChar w:fldCharType="begin"/>
      </w:r>
      <w:r w:rsidRPr="00784539">
        <w:rPr>
          <w:noProof/>
        </w:rPr>
        <w:instrText xml:space="preserve"> PAGEREF _Toc485110100 \h </w:instrText>
      </w:r>
      <w:r w:rsidRPr="00784539">
        <w:rPr>
          <w:noProof/>
        </w:rPr>
      </w:r>
      <w:r w:rsidRPr="00784539">
        <w:rPr>
          <w:noProof/>
        </w:rPr>
        <w:fldChar w:fldCharType="separate"/>
      </w:r>
      <w:r w:rsidR="00721A47">
        <w:rPr>
          <w:noProof/>
        </w:rPr>
        <w:t>22</w:t>
      </w:r>
      <w:r w:rsidRPr="00784539">
        <w:rPr>
          <w:noProof/>
        </w:rPr>
        <w:fldChar w:fldCharType="end"/>
      </w:r>
    </w:p>
    <w:p w:rsidR="006B1044" w:rsidRPr="00784539" w:rsidRDefault="006B1044">
      <w:pPr>
        <w:pStyle w:val="TOC3"/>
        <w:rPr>
          <w:rFonts w:asciiTheme="minorHAnsi" w:eastAsiaTheme="minorEastAsia" w:hAnsiTheme="minorHAnsi" w:cstheme="minorBidi"/>
          <w:b w:val="0"/>
          <w:noProof/>
          <w:kern w:val="0"/>
          <w:szCs w:val="22"/>
        </w:rPr>
      </w:pPr>
      <w:r w:rsidRPr="00784539">
        <w:rPr>
          <w:noProof/>
        </w:rPr>
        <w:t>Division</w:t>
      </w:r>
      <w:r w:rsidR="00784539" w:rsidRPr="00784539">
        <w:rPr>
          <w:noProof/>
        </w:rPr>
        <w:t> </w:t>
      </w:r>
      <w:r w:rsidRPr="00784539">
        <w:rPr>
          <w:noProof/>
        </w:rPr>
        <w:t>5—Market infrastructure and intermediaries sector</w:t>
      </w:r>
      <w:r w:rsidRPr="00784539">
        <w:rPr>
          <w:b w:val="0"/>
          <w:noProof/>
          <w:sz w:val="18"/>
        </w:rPr>
        <w:tab/>
      </w:r>
      <w:r w:rsidRPr="00784539">
        <w:rPr>
          <w:b w:val="0"/>
          <w:noProof/>
          <w:sz w:val="18"/>
        </w:rPr>
        <w:fldChar w:fldCharType="begin"/>
      </w:r>
      <w:r w:rsidRPr="00784539">
        <w:rPr>
          <w:b w:val="0"/>
          <w:noProof/>
          <w:sz w:val="18"/>
        </w:rPr>
        <w:instrText xml:space="preserve"> PAGEREF _Toc485110101 \h </w:instrText>
      </w:r>
      <w:r w:rsidRPr="00784539">
        <w:rPr>
          <w:b w:val="0"/>
          <w:noProof/>
          <w:sz w:val="18"/>
        </w:rPr>
      </w:r>
      <w:r w:rsidRPr="00784539">
        <w:rPr>
          <w:b w:val="0"/>
          <w:noProof/>
          <w:sz w:val="18"/>
        </w:rPr>
        <w:fldChar w:fldCharType="separate"/>
      </w:r>
      <w:r w:rsidR="00721A47">
        <w:rPr>
          <w:b w:val="0"/>
          <w:noProof/>
          <w:sz w:val="18"/>
        </w:rPr>
        <w:t>24</w:t>
      </w:r>
      <w:r w:rsidRPr="00784539">
        <w:rPr>
          <w:b w:val="0"/>
          <w:noProof/>
          <w:sz w:val="18"/>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5.1—General</w:t>
      </w:r>
      <w:r w:rsidRPr="00784539">
        <w:rPr>
          <w:b w:val="0"/>
          <w:noProof/>
          <w:sz w:val="18"/>
        </w:rPr>
        <w:tab/>
      </w:r>
      <w:r w:rsidRPr="00784539">
        <w:rPr>
          <w:b w:val="0"/>
          <w:noProof/>
          <w:sz w:val="18"/>
        </w:rPr>
        <w:fldChar w:fldCharType="begin"/>
      </w:r>
      <w:r w:rsidRPr="00784539">
        <w:rPr>
          <w:b w:val="0"/>
          <w:noProof/>
          <w:sz w:val="18"/>
        </w:rPr>
        <w:instrText xml:space="preserve"> PAGEREF _Toc485110102 \h </w:instrText>
      </w:r>
      <w:r w:rsidRPr="00784539">
        <w:rPr>
          <w:b w:val="0"/>
          <w:noProof/>
          <w:sz w:val="18"/>
        </w:rPr>
      </w:r>
      <w:r w:rsidRPr="00784539">
        <w:rPr>
          <w:b w:val="0"/>
          <w:noProof/>
          <w:sz w:val="18"/>
        </w:rPr>
        <w:fldChar w:fldCharType="separate"/>
      </w:r>
      <w:r w:rsidR="00721A47">
        <w:rPr>
          <w:b w:val="0"/>
          <w:noProof/>
          <w:sz w:val="18"/>
        </w:rPr>
        <w:t>24</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44</w:t>
      </w:r>
      <w:r w:rsidRPr="00784539">
        <w:rPr>
          <w:noProof/>
        </w:rPr>
        <w:tab/>
        <w:t>Market infrastructure and intermediaries sector</w:t>
      </w:r>
      <w:r w:rsidRPr="00784539">
        <w:rPr>
          <w:noProof/>
        </w:rPr>
        <w:tab/>
      </w:r>
      <w:r w:rsidRPr="00784539">
        <w:rPr>
          <w:noProof/>
        </w:rPr>
        <w:fldChar w:fldCharType="begin"/>
      </w:r>
      <w:r w:rsidRPr="00784539">
        <w:rPr>
          <w:noProof/>
        </w:rPr>
        <w:instrText xml:space="preserve"> PAGEREF _Toc485110103 \h </w:instrText>
      </w:r>
      <w:r w:rsidRPr="00784539">
        <w:rPr>
          <w:noProof/>
        </w:rPr>
      </w:r>
      <w:r w:rsidRPr="00784539">
        <w:rPr>
          <w:noProof/>
        </w:rPr>
        <w:fldChar w:fldCharType="separate"/>
      </w:r>
      <w:r w:rsidR="00721A47">
        <w:rPr>
          <w:noProof/>
        </w:rPr>
        <w:t>24</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45</w:t>
      </w:r>
      <w:r w:rsidRPr="00784539">
        <w:rPr>
          <w:noProof/>
        </w:rPr>
        <w:tab/>
        <w:t>Basic levy component applies to sub</w:t>
      </w:r>
      <w:r w:rsidR="00784539">
        <w:rPr>
          <w:noProof/>
        </w:rPr>
        <w:noBreakHyphen/>
      </w:r>
      <w:r w:rsidRPr="00784539">
        <w:rPr>
          <w:noProof/>
        </w:rPr>
        <w:t>sectors in Subdivision</w:t>
      </w:r>
      <w:r w:rsidR="00784539" w:rsidRPr="00784539">
        <w:rPr>
          <w:noProof/>
        </w:rPr>
        <w:t> </w:t>
      </w:r>
      <w:r w:rsidRPr="00784539">
        <w:rPr>
          <w:noProof/>
        </w:rPr>
        <w:t>5.2</w:t>
      </w:r>
      <w:r w:rsidRPr="00784539">
        <w:rPr>
          <w:noProof/>
        </w:rPr>
        <w:tab/>
      </w:r>
      <w:r w:rsidRPr="00784539">
        <w:rPr>
          <w:noProof/>
        </w:rPr>
        <w:fldChar w:fldCharType="begin"/>
      </w:r>
      <w:r w:rsidRPr="00784539">
        <w:rPr>
          <w:noProof/>
        </w:rPr>
        <w:instrText xml:space="preserve"> PAGEREF _Toc485110104 \h </w:instrText>
      </w:r>
      <w:r w:rsidRPr="00784539">
        <w:rPr>
          <w:noProof/>
        </w:rPr>
      </w:r>
      <w:r w:rsidRPr="00784539">
        <w:rPr>
          <w:noProof/>
        </w:rPr>
        <w:fldChar w:fldCharType="separate"/>
      </w:r>
      <w:r w:rsidR="00721A47">
        <w:rPr>
          <w:noProof/>
        </w:rPr>
        <w:t>24</w:t>
      </w:r>
      <w:r w:rsidRPr="00784539">
        <w:rPr>
          <w:noProof/>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5.2—Sub</w:t>
      </w:r>
      <w:r w:rsidR="00784539">
        <w:rPr>
          <w:noProof/>
        </w:rPr>
        <w:noBreakHyphen/>
      </w:r>
      <w:r w:rsidRPr="00784539">
        <w:rPr>
          <w:noProof/>
        </w:rPr>
        <w:t>sectors to which basic levy component applies</w:t>
      </w:r>
      <w:r w:rsidRPr="00784539">
        <w:rPr>
          <w:b w:val="0"/>
          <w:noProof/>
          <w:sz w:val="18"/>
        </w:rPr>
        <w:tab/>
      </w:r>
      <w:r w:rsidRPr="00784539">
        <w:rPr>
          <w:b w:val="0"/>
          <w:noProof/>
          <w:sz w:val="18"/>
        </w:rPr>
        <w:fldChar w:fldCharType="begin"/>
      </w:r>
      <w:r w:rsidRPr="00784539">
        <w:rPr>
          <w:b w:val="0"/>
          <w:noProof/>
          <w:sz w:val="18"/>
        </w:rPr>
        <w:instrText xml:space="preserve"> PAGEREF _Toc485110105 \h </w:instrText>
      </w:r>
      <w:r w:rsidRPr="00784539">
        <w:rPr>
          <w:b w:val="0"/>
          <w:noProof/>
          <w:sz w:val="18"/>
        </w:rPr>
      </w:r>
      <w:r w:rsidRPr="00784539">
        <w:rPr>
          <w:b w:val="0"/>
          <w:noProof/>
          <w:sz w:val="18"/>
        </w:rPr>
        <w:fldChar w:fldCharType="separate"/>
      </w:r>
      <w:r w:rsidR="00721A47">
        <w:rPr>
          <w:b w:val="0"/>
          <w:noProof/>
          <w:sz w:val="18"/>
        </w:rPr>
        <w:t>24</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46</w:t>
      </w:r>
      <w:r w:rsidRPr="00784539">
        <w:rPr>
          <w:noProof/>
        </w:rPr>
        <w:tab/>
        <w:t>Overseas market operators</w:t>
      </w:r>
      <w:r w:rsidRPr="00784539">
        <w:rPr>
          <w:noProof/>
        </w:rPr>
        <w:tab/>
      </w:r>
      <w:r w:rsidRPr="00784539">
        <w:rPr>
          <w:noProof/>
        </w:rPr>
        <w:fldChar w:fldCharType="begin"/>
      </w:r>
      <w:r w:rsidRPr="00784539">
        <w:rPr>
          <w:noProof/>
        </w:rPr>
        <w:instrText xml:space="preserve"> PAGEREF _Toc485110106 \h </w:instrText>
      </w:r>
      <w:r w:rsidRPr="00784539">
        <w:rPr>
          <w:noProof/>
        </w:rPr>
      </w:r>
      <w:r w:rsidRPr="00784539">
        <w:rPr>
          <w:noProof/>
        </w:rPr>
        <w:fldChar w:fldCharType="separate"/>
      </w:r>
      <w:r w:rsidR="00721A47">
        <w:rPr>
          <w:noProof/>
        </w:rPr>
        <w:t>24</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47</w:t>
      </w:r>
      <w:r w:rsidRPr="00784539">
        <w:rPr>
          <w:noProof/>
        </w:rPr>
        <w:tab/>
        <w:t>Small securities exchange operators with self</w:t>
      </w:r>
      <w:r w:rsidR="00784539">
        <w:rPr>
          <w:noProof/>
        </w:rPr>
        <w:noBreakHyphen/>
      </w:r>
      <w:r w:rsidRPr="00784539">
        <w:rPr>
          <w:noProof/>
        </w:rPr>
        <w:t>listing function only</w:t>
      </w:r>
      <w:r w:rsidRPr="00784539">
        <w:rPr>
          <w:noProof/>
        </w:rPr>
        <w:tab/>
      </w:r>
      <w:r w:rsidRPr="00784539">
        <w:rPr>
          <w:noProof/>
        </w:rPr>
        <w:fldChar w:fldCharType="begin"/>
      </w:r>
      <w:r w:rsidRPr="00784539">
        <w:rPr>
          <w:noProof/>
        </w:rPr>
        <w:instrText xml:space="preserve"> PAGEREF _Toc485110107 \h </w:instrText>
      </w:r>
      <w:r w:rsidRPr="00784539">
        <w:rPr>
          <w:noProof/>
        </w:rPr>
      </w:r>
      <w:r w:rsidRPr="00784539">
        <w:rPr>
          <w:noProof/>
        </w:rPr>
        <w:fldChar w:fldCharType="separate"/>
      </w:r>
      <w:r w:rsidR="00721A47">
        <w:rPr>
          <w:noProof/>
        </w:rPr>
        <w:t>24</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48</w:t>
      </w:r>
      <w:r w:rsidRPr="00784539">
        <w:rPr>
          <w:noProof/>
        </w:rPr>
        <w:tab/>
        <w:t>Small securities exchange operators</w:t>
      </w:r>
      <w:r w:rsidRPr="00784539">
        <w:rPr>
          <w:noProof/>
        </w:rPr>
        <w:tab/>
      </w:r>
      <w:r w:rsidRPr="00784539">
        <w:rPr>
          <w:noProof/>
        </w:rPr>
        <w:fldChar w:fldCharType="begin"/>
      </w:r>
      <w:r w:rsidRPr="00784539">
        <w:rPr>
          <w:noProof/>
        </w:rPr>
        <w:instrText xml:space="preserve"> PAGEREF _Toc485110108 \h </w:instrText>
      </w:r>
      <w:r w:rsidRPr="00784539">
        <w:rPr>
          <w:noProof/>
        </w:rPr>
      </w:r>
      <w:r w:rsidRPr="00784539">
        <w:rPr>
          <w:noProof/>
        </w:rPr>
        <w:fldChar w:fldCharType="separate"/>
      </w:r>
      <w:r w:rsidR="00721A47">
        <w:rPr>
          <w:noProof/>
        </w:rPr>
        <w:t>25</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49</w:t>
      </w:r>
      <w:r w:rsidRPr="00784539">
        <w:rPr>
          <w:noProof/>
        </w:rPr>
        <w:tab/>
        <w:t>Small futures exchange operators</w:t>
      </w:r>
      <w:r w:rsidRPr="00784539">
        <w:rPr>
          <w:noProof/>
        </w:rPr>
        <w:tab/>
      </w:r>
      <w:r w:rsidRPr="00784539">
        <w:rPr>
          <w:noProof/>
        </w:rPr>
        <w:fldChar w:fldCharType="begin"/>
      </w:r>
      <w:r w:rsidRPr="00784539">
        <w:rPr>
          <w:noProof/>
        </w:rPr>
        <w:instrText xml:space="preserve"> PAGEREF _Toc485110109 \h </w:instrText>
      </w:r>
      <w:r w:rsidRPr="00784539">
        <w:rPr>
          <w:noProof/>
        </w:rPr>
      </w:r>
      <w:r w:rsidRPr="00784539">
        <w:rPr>
          <w:noProof/>
        </w:rPr>
        <w:fldChar w:fldCharType="separate"/>
      </w:r>
      <w:r w:rsidR="00721A47">
        <w:rPr>
          <w:noProof/>
        </w:rPr>
        <w:t>25</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50</w:t>
      </w:r>
      <w:r w:rsidRPr="00784539">
        <w:rPr>
          <w:noProof/>
        </w:rPr>
        <w:tab/>
        <w:t>Small derivatives market operators</w:t>
      </w:r>
      <w:r w:rsidRPr="00784539">
        <w:rPr>
          <w:noProof/>
        </w:rPr>
        <w:tab/>
      </w:r>
      <w:r w:rsidRPr="00784539">
        <w:rPr>
          <w:noProof/>
        </w:rPr>
        <w:fldChar w:fldCharType="begin"/>
      </w:r>
      <w:r w:rsidRPr="00784539">
        <w:rPr>
          <w:noProof/>
        </w:rPr>
        <w:instrText xml:space="preserve"> PAGEREF _Toc485110110 \h </w:instrText>
      </w:r>
      <w:r w:rsidRPr="00784539">
        <w:rPr>
          <w:noProof/>
        </w:rPr>
      </w:r>
      <w:r w:rsidRPr="00784539">
        <w:rPr>
          <w:noProof/>
        </w:rPr>
        <w:fldChar w:fldCharType="separate"/>
      </w:r>
      <w:r w:rsidR="00721A47">
        <w:rPr>
          <w:noProof/>
        </w:rPr>
        <w:t>26</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51</w:t>
      </w:r>
      <w:r w:rsidRPr="00784539">
        <w:rPr>
          <w:noProof/>
        </w:rPr>
        <w:tab/>
        <w:t>Large securities exchange operators</w:t>
      </w:r>
      <w:r w:rsidRPr="00784539">
        <w:rPr>
          <w:noProof/>
        </w:rPr>
        <w:tab/>
      </w:r>
      <w:r w:rsidRPr="00784539">
        <w:rPr>
          <w:noProof/>
        </w:rPr>
        <w:fldChar w:fldCharType="begin"/>
      </w:r>
      <w:r w:rsidRPr="00784539">
        <w:rPr>
          <w:noProof/>
        </w:rPr>
        <w:instrText xml:space="preserve"> PAGEREF _Toc485110111 \h </w:instrText>
      </w:r>
      <w:r w:rsidRPr="00784539">
        <w:rPr>
          <w:noProof/>
        </w:rPr>
      </w:r>
      <w:r w:rsidRPr="00784539">
        <w:rPr>
          <w:noProof/>
        </w:rPr>
        <w:fldChar w:fldCharType="separate"/>
      </w:r>
      <w:r w:rsidR="00721A47">
        <w:rPr>
          <w:noProof/>
        </w:rPr>
        <w:t>26</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52</w:t>
      </w:r>
      <w:r w:rsidRPr="00784539">
        <w:rPr>
          <w:noProof/>
        </w:rPr>
        <w:tab/>
        <w:t>Large futures exchange operators</w:t>
      </w:r>
      <w:r w:rsidRPr="00784539">
        <w:rPr>
          <w:noProof/>
        </w:rPr>
        <w:tab/>
      </w:r>
      <w:r w:rsidRPr="00784539">
        <w:rPr>
          <w:noProof/>
        </w:rPr>
        <w:fldChar w:fldCharType="begin"/>
      </w:r>
      <w:r w:rsidRPr="00784539">
        <w:rPr>
          <w:noProof/>
        </w:rPr>
        <w:instrText xml:space="preserve"> PAGEREF _Toc485110112 \h </w:instrText>
      </w:r>
      <w:r w:rsidRPr="00784539">
        <w:rPr>
          <w:noProof/>
        </w:rPr>
      </w:r>
      <w:r w:rsidRPr="00784539">
        <w:rPr>
          <w:noProof/>
        </w:rPr>
        <w:fldChar w:fldCharType="separate"/>
      </w:r>
      <w:r w:rsidR="00721A47">
        <w:rPr>
          <w:noProof/>
        </w:rPr>
        <w:t>27</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53</w:t>
      </w:r>
      <w:r w:rsidRPr="00784539">
        <w:rPr>
          <w:noProof/>
        </w:rPr>
        <w:tab/>
        <w:t>Exempt market operators</w:t>
      </w:r>
      <w:r w:rsidRPr="00784539">
        <w:rPr>
          <w:noProof/>
        </w:rPr>
        <w:tab/>
      </w:r>
      <w:r w:rsidRPr="00784539">
        <w:rPr>
          <w:noProof/>
        </w:rPr>
        <w:fldChar w:fldCharType="begin"/>
      </w:r>
      <w:r w:rsidRPr="00784539">
        <w:rPr>
          <w:noProof/>
        </w:rPr>
        <w:instrText xml:space="preserve"> PAGEREF _Toc485110113 \h </w:instrText>
      </w:r>
      <w:r w:rsidRPr="00784539">
        <w:rPr>
          <w:noProof/>
        </w:rPr>
      </w:r>
      <w:r w:rsidRPr="00784539">
        <w:rPr>
          <w:noProof/>
        </w:rPr>
        <w:fldChar w:fldCharType="separate"/>
      </w:r>
      <w:r w:rsidR="00721A47">
        <w:rPr>
          <w:noProof/>
        </w:rPr>
        <w:t>27</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54</w:t>
      </w:r>
      <w:r w:rsidRPr="00784539">
        <w:rPr>
          <w:noProof/>
        </w:rPr>
        <w:tab/>
        <w:t>Tier 1 clearing and settlement facility operators</w:t>
      </w:r>
      <w:r w:rsidRPr="00784539">
        <w:rPr>
          <w:noProof/>
        </w:rPr>
        <w:tab/>
      </w:r>
      <w:r w:rsidRPr="00784539">
        <w:rPr>
          <w:noProof/>
        </w:rPr>
        <w:fldChar w:fldCharType="begin"/>
      </w:r>
      <w:r w:rsidRPr="00784539">
        <w:rPr>
          <w:noProof/>
        </w:rPr>
        <w:instrText xml:space="preserve"> PAGEREF _Toc485110114 \h </w:instrText>
      </w:r>
      <w:r w:rsidRPr="00784539">
        <w:rPr>
          <w:noProof/>
        </w:rPr>
      </w:r>
      <w:r w:rsidRPr="00784539">
        <w:rPr>
          <w:noProof/>
        </w:rPr>
        <w:fldChar w:fldCharType="separate"/>
      </w:r>
      <w:r w:rsidR="00721A47">
        <w:rPr>
          <w:noProof/>
        </w:rPr>
        <w:t>27</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55</w:t>
      </w:r>
      <w:r w:rsidRPr="00784539">
        <w:rPr>
          <w:noProof/>
        </w:rPr>
        <w:tab/>
        <w:t>Tier 2 clearing and settlement facility operators</w:t>
      </w:r>
      <w:r w:rsidRPr="00784539">
        <w:rPr>
          <w:noProof/>
        </w:rPr>
        <w:tab/>
      </w:r>
      <w:r w:rsidRPr="00784539">
        <w:rPr>
          <w:noProof/>
        </w:rPr>
        <w:fldChar w:fldCharType="begin"/>
      </w:r>
      <w:r w:rsidRPr="00784539">
        <w:rPr>
          <w:noProof/>
        </w:rPr>
        <w:instrText xml:space="preserve"> PAGEREF _Toc485110115 \h </w:instrText>
      </w:r>
      <w:r w:rsidRPr="00784539">
        <w:rPr>
          <w:noProof/>
        </w:rPr>
      </w:r>
      <w:r w:rsidRPr="00784539">
        <w:rPr>
          <w:noProof/>
        </w:rPr>
        <w:fldChar w:fldCharType="separate"/>
      </w:r>
      <w:r w:rsidR="00721A47">
        <w:rPr>
          <w:noProof/>
        </w:rPr>
        <w:t>28</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56</w:t>
      </w:r>
      <w:r w:rsidRPr="00784539">
        <w:rPr>
          <w:noProof/>
        </w:rPr>
        <w:tab/>
        <w:t>Tier 3 clearing and settlement facility operators</w:t>
      </w:r>
      <w:r w:rsidRPr="00784539">
        <w:rPr>
          <w:noProof/>
        </w:rPr>
        <w:tab/>
      </w:r>
      <w:r w:rsidRPr="00784539">
        <w:rPr>
          <w:noProof/>
        </w:rPr>
        <w:fldChar w:fldCharType="begin"/>
      </w:r>
      <w:r w:rsidRPr="00784539">
        <w:rPr>
          <w:noProof/>
        </w:rPr>
        <w:instrText xml:space="preserve"> PAGEREF _Toc485110116 \h </w:instrText>
      </w:r>
      <w:r w:rsidRPr="00784539">
        <w:rPr>
          <w:noProof/>
        </w:rPr>
      </w:r>
      <w:r w:rsidRPr="00784539">
        <w:rPr>
          <w:noProof/>
        </w:rPr>
        <w:fldChar w:fldCharType="separate"/>
      </w:r>
      <w:r w:rsidR="00721A47">
        <w:rPr>
          <w:noProof/>
        </w:rPr>
        <w:t>28</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57</w:t>
      </w:r>
      <w:r w:rsidRPr="00784539">
        <w:rPr>
          <w:noProof/>
        </w:rPr>
        <w:tab/>
        <w:t>Tier 4 clearing and settlement facility operators</w:t>
      </w:r>
      <w:r w:rsidRPr="00784539">
        <w:rPr>
          <w:noProof/>
        </w:rPr>
        <w:tab/>
      </w:r>
      <w:r w:rsidRPr="00784539">
        <w:rPr>
          <w:noProof/>
        </w:rPr>
        <w:fldChar w:fldCharType="begin"/>
      </w:r>
      <w:r w:rsidRPr="00784539">
        <w:rPr>
          <w:noProof/>
        </w:rPr>
        <w:instrText xml:space="preserve"> PAGEREF _Toc485110117 \h </w:instrText>
      </w:r>
      <w:r w:rsidRPr="00784539">
        <w:rPr>
          <w:noProof/>
        </w:rPr>
      </w:r>
      <w:r w:rsidRPr="00784539">
        <w:rPr>
          <w:noProof/>
        </w:rPr>
        <w:fldChar w:fldCharType="separate"/>
      </w:r>
      <w:r w:rsidR="00721A47">
        <w:rPr>
          <w:noProof/>
        </w:rPr>
        <w:t>29</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58</w:t>
      </w:r>
      <w:r w:rsidRPr="00784539">
        <w:rPr>
          <w:noProof/>
        </w:rPr>
        <w:tab/>
        <w:t>Exempt CS facility operators</w:t>
      </w:r>
      <w:r w:rsidRPr="00784539">
        <w:rPr>
          <w:noProof/>
        </w:rPr>
        <w:tab/>
      </w:r>
      <w:r w:rsidRPr="00784539">
        <w:rPr>
          <w:noProof/>
        </w:rPr>
        <w:fldChar w:fldCharType="begin"/>
      </w:r>
      <w:r w:rsidRPr="00784539">
        <w:rPr>
          <w:noProof/>
        </w:rPr>
        <w:instrText xml:space="preserve"> PAGEREF _Toc485110118 \h </w:instrText>
      </w:r>
      <w:r w:rsidRPr="00784539">
        <w:rPr>
          <w:noProof/>
        </w:rPr>
      </w:r>
      <w:r w:rsidRPr="00784539">
        <w:rPr>
          <w:noProof/>
        </w:rPr>
        <w:fldChar w:fldCharType="separate"/>
      </w:r>
      <w:r w:rsidR="00721A47">
        <w:rPr>
          <w:noProof/>
        </w:rPr>
        <w:t>29</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59</w:t>
      </w:r>
      <w:r w:rsidRPr="00784539">
        <w:rPr>
          <w:noProof/>
        </w:rPr>
        <w:tab/>
        <w:t>Australian derivative trade repository operators</w:t>
      </w:r>
      <w:r w:rsidRPr="00784539">
        <w:rPr>
          <w:noProof/>
        </w:rPr>
        <w:tab/>
      </w:r>
      <w:r w:rsidRPr="00784539">
        <w:rPr>
          <w:noProof/>
        </w:rPr>
        <w:fldChar w:fldCharType="begin"/>
      </w:r>
      <w:r w:rsidRPr="00784539">
        <w:rPr>
          <w:noProof/>
        </w:rPr>
        <w:instrText xml:space="preserve"> PAGEREF _Toc485110119 \h </w:instrText>
      </w:r>
      <w:r w:rsidRPr="00784539">
        <w:rPr>
          <w:noProof/>
        </w:rPr>
      </w:r>
      <w:r w:rsidRPr="00784539">
        <w:rPr>
          <w:noProof/>
        </w:rPr>
        <w:fldChar w:fldCharType="separate"/>
      </w:r>
      <w:r w:rsidR="00721A47">
        <w:rPr>
          <w:noProof/>
        </w:rPr>
        <w:t>29</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60</w:t>
      </w:r>
      <w:r w:rsidRPr="00784539">
        <w:rPr>
          <w:noProof/>
        </w:rPr>
        <w:tab/>
        <w:t>Credit rating agencies</w:t>
      </w:r>
      <w:r w:rsidRPr="00784539">
        <w:rPr>
          <w:noProof/>
        </w:rPr>
        <w:tab/>
      </w:r>
      <w:r w:rsidRPr="00784539">
        <w:rPr>
          <w:noProof/>
        </w:rPr>
        <w:fldChar w:fldCharType="begin"/>
      </w:r>
      <w:r w:rsidRPr="00784539">
        <w:rPr>
          <w:noProof/>
        </w:rPr>
        <w:instrText xml:space="preserve"> PAGEREF _Toc485110120 \h </w:instrText>
      </w:r>
      <w:r w:rsidRPr="00784539">
        <w:rPr>
          <w:noProof/>
        </w:rPr>
      </w:r>
      <w:r w:rsidRPr="00784539">
        <w:rPr>
          <w:noProof/>
        </w:rPr>
        <w:fldChar w:fldCharType="separate"/>
      </w:r>
      <w:r w:rsidR="00721A47">
        <w:rPr>
          <w:noProof/>
        </w:rPr>
        <w:t>29</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61</w:t>
      </w:r>
      <w:r w:rsidRPr="00784539">
        <w:rPr>
          <w:noProof/>
        </w:rPr>
        <w:tab/>
        <w:t>Retail over</w:t>
      </w:r>
      <w:r w:rsidR="00784539">
        <w:rPr>
          <w:noProof/>
        </w:rPr>
        <w:noBreakHyphen/>
      </w:r>
      <w:r w:rsidRPr="00784539">
        <w:rPr>
          <w:noProof/>
        </w:rPr>
        <w:t>the</w:t>
      </w:r>
      <w:r w:rsidR="00784539">
        <w:rPr>
          <w:noProof/>
        </w:rPr>
        <w:noBreakHyphen/>
      </w:r>
      <w:r w:rsidRPr="00784539">
        <w:rPr>
          <w:noProof/>
        </w:rPr>
        <w:t>counter derivatives issuers</w:t>
      </w:r>
      <w:r w:rsidRPr="00784539">
        <w:rPr>
          <w:noProof/>
        </w:rPr>
        <w:tab/>
      </w:r>
      <w:r w:rsidRPr="00784539">
        <w:rPr>
          <w:noProof/>
        </w:rPr>
        <w:fldChar w:fldCharType="begin"/>
      </w:r>
      <w:r w:rsidRPr="00784539">
        <w:rPr>
          <w:noProof/>
        </w:rPr>
        <w:instrText xml:space="preserve"> PAGEREF _Toc485110121 \h </w:instrText>
      </w:r>
      <w:r w:rsidRPr="00784539">
        <w:rPr>
          <w:noProof/>
        </w:rPr>
      </w:r>
      <w:r w:rsidRPr="00784539">
        <w:rPr>
          <w:noProof/>
        </w:rPr>
        <w:fldChar w:fldCharType="separate"/>
      </w:r>
      <w:r w:rsidR="00721A47">
        <w:rPr>
          <w:noProof/>
        </w:rPr>
        <w:t>30</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62</w:t>
      </w:r>
      <w:r w:rsidRPr="00784539">
        <w:rPr>
          <w:noProof/>
        </w:rPr>
        <w:tab/>
        <w:t>Wholesale electricity dealers</w:t>
      </w:r>
      <w:r w:rsidRPr="00784539">
        <w:rPr>
          <w:noProof/>
        </w:rPr>
        <w:tab/>
      </w:r>
      <w:r w:rsidRPr="00784539">
        <w:rPr>
          <w:noProof/>
        </w:rPr>
        <w:fldChar w:fldCharType="begin"/>
      </w:r>
      <w:r w:rsidRPr="00784539">
        <w:rPr>
          <w:noProof/>
        </w:rPr>
        <w:instrText xml:space="preserve"> PAGEREF _Toc485110122 \h </w:instrText>
      </w:r>
      <w:r w:rsidRPr="00784539">
        <w:rPr>
          <w:noProof/>
        </w:rPr>
      </w:r>
      <w:r w:rsidRPr="00784539">
        <w:rPr>
          <w:noProof/>
        </w:rPr>
        <w:fldChar w:fldCharType="separate"/>
      </w:r>
      <w:r w:rsidR="00721A47">
        <w:rPr>
          <w:noProof/>
        </w:rPr>
        <w:t>30</w:t>
      </w:r>
      <w:r w:rsidRPr="00784539">
        <w:rPr>
          <w:noProof/>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5.3—Sub</w:t>
      </w:r>
      <w:r w:rsidR="00784539">
        <w:rPr>
          <w:noProof/>
        </w:rPr>
        <w:noBreakHyphen/>
      </w:r>
      <w:r w:rsidRPr="00784539">
        <w:rPr>
          <w:noProof/>
        </w:rPr>
        <w:t>sectors to which graduated levy component applies</w:t>
      </w:r>
      <w:r w:rsidRPr="00784539">
        <w:rPr>
          <w:b w:val="0"/>
          <w:noProof/>
          <w:sz w:val="18"/>
        </w:rPr>
        <w:tab/>
      </w:r>
      <w:r w:rsidRPr="00784539">
        <w:rPr>
          <w:b w:val="0"/>
          <w:noProof/>
          <w:sz w:val="18"/>
        </w:rPr>
        <w:fldChar w:fldCharType="begin"/>
      </w:r>
      <w:r w:rsidRPr="00784539">
        <w:rPr>
          <w:b w:val="0"/>
          <w:noProof/>
          <w:sz w:val="18"/>
        </w:rPr>
        <w:instrText xml:space="preserve"> PAGEREF _Toc485110123 \h </w:instrText>
      </w:r>
      <w:r w:rsidRPr="00784539">
        <w:rPr>
          <w:b w:val="0"/>
          <w:noProof/>
          <w:sz w:val="18"/>
        </w:rPr>
      </w:r>
      <w:r w:rsidRPr="00784539">
        <w:rPr>
          <w:b w:val="0"/>
          <w:noProof/>
          <w:sz w:val="18"/>
        </w:rPr>
        <w:fldChar w:fldCharType="separate"/>
      </w:r>
      <w:r w:rsidR="00721A47">
        <w:rPr>
          <w:b w:val="0"/>
          <w:noProof/>
          <w:sz w:val="18"/>
        </w:rPr>
        <w:t>30</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63</w:t>
      </w:r>
      <w:r w:rsidRPr="00784539">
        <w:rPr>
          <w:noProof/>
        </w:rPr>
        <w:tab/>
        <w:t>Corporate advisors</w:t>
      </w:r>
      <w:r w:rsidRPr="00784539">
        <w:rPr>
          <w:noProof/>
        </w:rPr>
        <w:tab/>
      </w:r>
      <w:r w:rsidRPr="00784539">
        <w:rPr>
          <w:noProof/>
        </w:rPr>
        <w:fldChar w:fldCharType="begin"/>
      </w:r>
      <w:r w:rsidRPr="00784539">
        <w:rPr>
          <w:noProof/>
        </w:rPr>
        <w:instrText xml:space="preserve"> PAGEREF _Toc485110124 \h </w:instrText>
      </w:r>
      <w:r w:rsidRPr="00784539">
        <w:rPr>
          <w:noProof/>
        </w:rPr>
      </w:r>
      <w:r w:rsidRPr="00784539">
        <w:rPr>
          <w:noProof/>
        </w:rPr>
        <w:fldChar w:fldCharType="separate"/>
      </w:r>
      <w:r w:rsidR="00721A47">
        <w:rPr>
          <w:noProof/>
        </w:rPr>
        <w:t>30</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64</w:t>
      </w:r>
      <w:r w:rsidRPr="00784539">
        <w:rPr>
          <w:noProof/>
        </w:rPr>
        <w:tab/>
        <w:t>Large futures exchange participants</w:t>
      </w:r>
      <w:r w:rsidRPr="00784539">
        <w:rPr>
          <w:noProof/>
        </w:rPr>
        <w:tab/>
      </w:r>
      <w:r w:rsidRPr="00784539">
        <w:rPr>
          <w:noProof/>
        </w:rPr>
        <w:fldChar w:fldCharType="begin"/>
      </w:r>
      <w:r w:rsidRPr="00784539">
        <w:rPr>
          <w:noProof/>
        </w:rPr>
        <w:instrText xml:space="preserve"> PAGEREF _Toc485110125 \h </w:instrText>
      </w:r>
      <w:r w:rsidRPr="00784539">
        <w:rPr>
          <w:noProof/>
        </w:rPr>
      </w:r>
      <w:r w:rsidRPr="00784539">
        <w:rPr>
          <w:noProof/>
        </w:rPr>
        <w:fldChar w:fldCharType="separate"/>
      </w:r>
      <w:r w:rsidR="00721A47">
        <w:rPr>
          <w:noProof/>
        </w:rPr>
        <w:t>31</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65</w:t>
      </w:r>
      <w:r w:rsidRPr="00784539">
        <w:rPr>
          <w:noProof/>
        </w:rPr>
        <w:tab/>
        <w:t>Large securities exchange participants</w:t>
      </w:r>
      <w:r w:rsidRPr="00784539">
        <w:rPr>
          <w:noProof/>
        </w:rPr>
        <w:tab/>
      </w:r>
      <w:r w:rsidRPr="00784539">
        <w:rPr>
          <w:noProof/>
        </w:rPr>
        <w:fldChar w:fldCharType="begin"/>
      </w:r>
      <w:r w:rsidRPr="00784539">
        <w:rPr>
          <w:noProof/>
        </w:rPr>
        <w:instrText xml:space="preserve"> PAGEREF _Toc485110126 \h </w:instrText>
      </w:r>
      <w:r w:rsidRPr="00784539">
        <w:rPr>
          <w:noProof/>
        </w:rPr>
      </w:r>
      <w:r w:rsidRPr="00784539">
        <w:rPr>
          <w:noProof/>
        </w:rPr>
        <w:fldChar w:fldCharType="separate"/>
      </w:r>
      <w:r w:rsidR="00721A47">
        <w:rPr>
          <w:noProof/>
        </w:rPr>
        <w:t>32</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66</w:t>
      </w:r>
      <w:r w:rsidRPr="00784539">
        <w:rPr>
          <w:noProof/>
        </w:rPr>
        <w:tab/>
        <w:t>Over</w:t>
      </w:r>
      <w:r w:rsidR="00784539">
        <w:rPr>
          <w:noProof/>
        </w:rPr>
        <w:noBreakHyphen/>
      </w:r>
      <w:r w:rsidRPr="00784539">
        <w:rPr>
          <w:noProof/>
        </w:rPr>
        <w:t>the</w:t>
      </w:r>
      <w:r w:rsidR="00784539">
        <w:rPr>
          <w:noProof/>
        </w:rPr>
        <w:noBreakHyphen/>
      </w:r>
      <w:r w:rsidRPr="00784539">
        <w:rPr>
          <w:noProof/>
        </w:rPr>
        <w:t>counter traders</w:t>
      </w:r>
      <w:r w:rsidRPr="00784539">
        <w:rPr>
          <w:noProof/>
        </w:rPr>
        <w:tab/>
      </w:r>
      <w:r w:rsidRPr="00784539">
        <w:rPr>
          <w:noProof/>
        </w:rPr>
        <w:fldChar w:fldCharType="begin"/>
      </w:r>
      <w:r w:rsidRPr="00784539">
        <w:rPr>
          <w:noProof/>
        </w:rPr>
        <w:instrText xml:space="preserve"> PAGEREF _Toc485110127 \h </w:instrText>
      </w:r>
      <w:r w:rsidRPr="00784539">
        <w:rPr>
          <w:noProof/>
        </w:rPr>
      </w:r>
      <w:r w:rsidRPr="00784539">
        <w:rPr>
          <w:noProof/>
        </w:rPr>
        <w:fldChar w:fldCharType="separate"/>
      </w:r>
      <w:r w:rsidR="00721A47">
        <w:rPr>
          <w:noProof/>
        </w:rPr>
        <w:t>33</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67</w:t>
      </w:r>
      <w:r w:rsidRPr="00784539">
        <w:rPr>
          <w:noProof/>
        </w:rPr>
        <w:tab/>
        <w:t>Securities dealers</w:t>
      </w:r>
      <w:r w:rsidRPr="00784539">
        <w:rPr>
          <w:noProof/>
        </w:rPr>
        <w:tab/>
      </w:r>
      <w:r w:rsidRPr="00784539">
        <w:rPr>
          <w:noProof/>
        </w:rPr>
        <w:fldChar w:fldCharType="begin"/>
      </w:r>
      <w:r w:rsidRPr="00784539">
        <w:rPr>
          <w:noProof/>
        </w:rPr>
        <w:instrText xml:space="preserve"> PAGEREF _Toc485110128 \h </w:instrText>
      </w:r>
      <w:r w:rsidRPr="00784539">
        <w:rPr>
          <w:noProof/>
        </w:rPr>
      </w:r>
      <w:r w:rsidRPr="00784539">
        <w:rPr>
          <w:noProof/>
        </w:rPr>
        <w:fldChar w:fldCharType="separate"/>
      </w:r>
      <w:r w:rsidR="00721A47">
        <w:rPr>
          <w:noProof/>
        </w:rPr>
        <w:t>35</w:t>
      </w:r>
      <w:r w:rsidRPr="00784539">
        <w:rPr>
          <w:noProof/>
        </w:rPr>
        <w:fldChar w:fldCharType="end"/>
      </w:r>
    </w:p>
    <w:p w:rsidR="006B1044" w:rsidRPr="00784539" w:rsidRDefault="006B1044">
      <w:pPr>
        <w:pStyle w:val="TOC3"/>
        <w:rPr>
          <w:rFonts w:asciiTheme="minorHAnsi" w:eastAsiaTheme="minorEastAsia" w:hAnsiTheme="minorHAnsi" w:cstheme="minorBidi"/>
          <w:b w:val="0"/>
          <w:noProof/>
          <w:kern w:val="0"/>
          <w:szCs w:val="22"/>
        </w:rPr>
      </w:pPr>
      <w:r w:rsidRPr="00784539">
        <w:rPr>
          <w:noProof/>
        </w:rPr>
        <w:t>Division</w:t>
      </w:r>
      <w:r w:rsidR="00784539" w:rsidRPr="00784539">
        <w:rPr>
          <w:noProof/>
        </w:rPr>
        <w:t> </w:t>
      </w:r>
      <w:r w:rsidRPr="00784539">
        <w:rPr>
          <w:noProof/>
        </w:rPr>
        <w:t>6—Insurance sector</w:t>
      </w:r>
      <w:r w:rsidRPr="00784539">
        <w:rPr>
          <w:b w:val="0"/>
          <w:noProof/>
          <w:sz w:val="18"/>
        </w:rPr>
        <w:tab/>
      </w:r>
      <w:r w:rsidRPr="00784539">
        <w:rPr>
          <w:b w:val="0"/>
          <w:noProof/>
          <w:sz w:val="18"/>
        </w:rPr>
        <w:fldChar w:fldCharType="begin"/>
      </w:r>
      <w:r w:rsidRPr="00784539">
        <w:rPr>
          <w:b w:val="0"/>
          <w:noProof/>
          <w:sz w:val="18"/>
        </w:rPr>
        <w:instrText xml:space="preserve"> PAGEREF _Toc485110129 \h </w:instrText>
      </w:r>
      <w:r w:rsidRPr="00784539">
        <w:rPr>
          <w:b w:val="0"/>
          <w:noProof/>
          <w:sz w:val="18"/>
        </w:rPr>
      </w:r>
      <w:r w:rsidRPr="00784539">
        <w:rPr>
          <w:b w:val="0"/>
          <w:noProof/>
          <w:sz w:val="18"/>
        </w:rPr>
        <w:fldChar w:fldCharType="separate"/>
      </w:r>
      <w:r w:rsidR="00721A47">
        <w:rPr>
          <w:b w:val="0"/>
          <w:noProof/>
          <w:sz w:val="18"/>
        </w:rPr>
        <w:t>36</w:t>
      </w:r>
      <w:r w:rsidRPr="00784539">
        <w:rPr>
          <w:b w:val="0"/>
          <w:noProof/>
          <w:sz w:val="18"/>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6.1—General</w:t>
      </w:r>
      <w:r w:rsidRPr="00784539">
        <w:rPr>
          <w:b w:val="0"/>
          <w:noProof/>
          <w:sz w:val="18"/>
        </w:rPr>
        <w:tab/>
      </w:r>
      <w:r w:rsidRPr="00784539">
        <w:rPr>
          <w:b w:val="0"/>
          <w:noProof/>
          <w:sz w:val="18"/>
        </w:rPr>
        <w:fldChar w:fldCharType="begin"/>
      </w:r>
      <w:r w:rsidRPr="00784539">
        <w:rPr>
          <w:b w:val="0"/>
          <w:noProof/>
          <w:sz w:val="18"/>
        </w:rPr>
        <w:instrText xml:space="preserve"> PAGEREF _Toc485110130 \h </w:instrText>
      </w:r>
      <w:r w:rsidRPr="00784539">
        <w:rPr>
          <w:b w:val="0"/>
          <w:noProof/>
          <w:sz w:val="18"/>
        </w:rPr>
      </w:r>
      <w:r w:rsidRPr="00784539">
        <w:rPr>
          <w:b w:val="0"/>
          <w:noProof/>
          <w:sz w:val="18"/>
        </w:rPr>
        <w:fldChar w:fldCharType="separate"/>
      </w:r>
      <w:r w:rsidR="00721A47">
        <w:rPr>
          <w:b w:val="0"/>
          <w:noProof/>
          <w:sz w:val="18"/>
        </w:rPr>
        <w:t>36</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68</w:t>
      </w:r>
      <w:r w:rsidRPr="00784539">
        <w:rPr>
          <w:noProof/>
        </w:rPr>
        <w:tab/>
        <w:t>Insurance sector</w:t>
      </w:r>
      <w:r w:rsidRPr="00784539">
        <w:rPr>
          <w:noProof/>
        </w:rPr>
        <w:tab/>
      </w:r>
      <w:r w:rsidRPr="00784539">
        <w:rPr>
          <w:noProof/>
        </w:rPr>
        <w:fldChar w:fldCharType="begin"/>
      </w:r>
      <w:r w:rsidRPr="00784539">
        <w:rPr>
          <w:noProof/>
        </w:rPr>
        <w:instrText xml:space="preserve"> PAGEREF _Toc485110131 \h </w:instrText>
      </w:r>
      <w:r w:rsidRPr="00784539">
        <w:rPr>
          <w:noProof/>
        </w:rPr>
      </w:r>
      <w:r w:rsidRPr="00784539">
        <w:rPr>
          <w:noProof/>
        </w:rPr>
        <w:fldChar w:fldCharType="separate"/>
      </w:r>
      <w:r w:rsidR="00721A47">
        <w:rPr>
          <w:noProof/>
        </w:rPr>
        <w:t>36</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69</w:t>
      </w:r>
      <w:r w:rsidRPr="00784539">
        <w:rPr>
          <w:noProof/>
        </w:rPr>
        <w:tab/>
        <w:t>Basic levy component applies to sub</w:t>
      </w:r>
      <w:r w:rsidR="00784539">
        <w:rPr>
          <w:noProof/>
        </w:rPr>
        <w:noBreakHyphen/>
      </w:r>
      <w:r w:rsidRPr="00784539">
        <w:rPr>
          <w:noProof/>
        </w:rPr>
        <w:t>sectors in Subdivision</w:t>
      </w:r>
      <w:r w:rsidR="00784539" w:rsidRPr="00784539">
        <w:rPr>
          <w:noProof/>
        </w:rPr>
        <w:t> </w:t>
      </w:r>
      <w:r w:rsidRPr="00784539">
        <w:rPr>
          <w:noProof/>
        </w:rPr>
        <w:t>6.2</w:t>
      </w:r>
      <w:r w:rsidRPr="00784539">
        <w:rPr>
          <w:noProof/>
        </w:rPr>
        <w:tab/>
      </w:r>
      <w:r w:rsidRPr="00784539">
        <w:rPr>
          <w:noProof/>
        </w:rPr>
        <w:fldChar w:fldCharType="begin"/>
      </w:r>
      <w:r w:rsidRPr="00784539">
        <w:rPr>
          <w:noProof/>
        </w:rPr>
        <w:instrText xml:space="preserve"> PAGEREF _Toc485110132 \h </w:instrText>
      </w:r>
      <w:r w:rsidRPr="00784539">
        <w:rPr>
          <w:noProof/>
        </w:rPr>
      </w:r>
      <w:r w:rsidRPr="00784539">
        <w:rPr>
          <w:noProof/>
        </w:rPr>
        <w:fldChar w:fldCharType="separate"/>
      </w:r>
      <w:r w:rsidR="00721A47">
        <w:rPr>
          <w:noProof/>
        </w:rPr>
        <w:t>36</w:t>
      </w:r>
      <w:r w:rsidRPr="00784539">
        <w:rPr>
          <w:noProof/>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6.2—Sub</w:t>
      </w:r>
      <w:r w:rsidR="00784539">
        <w:rPr>
          <w:noProof/>
        </w:rPr>
        <w:noBreakHyphen/>
      </w:r>
      <w:r w:rsidRPr="00784539">
        <w:rPr>
          <w:noProof/>
        </w:rPr>
        <w:t>sectors to which basic levy component applies</w:t>
      </w:r>
      <w:r w:rsidRPr="00784539">
        <w:rPr>
          <w:b w:val="0"/>
          <w:noProof/>
          <w:sz w:val="18"/>
        </w:rPr>
        <w:tab/>
      </w:r>
      <w:r w:rsidRPr="00784539">
        <w:rPr>
          <w:b w:val="0"/>
          <w:noProof/>
          <w:sz w:val="18"/>
        </w:rPr>
        <w:fldChar w:fldCharType="begin"/>
      </w:r>
      <w:r w:rsidRPr="00784539">
        <w:rPr>
          <w:b w:val="0"/>
          <w:noProof/>
          <w:sz w:val="18"/>
        </w:rPr>
        <w:instrText xml:space="preserve"> PAGEREF _Toc485110133 \h </w:instrText>
      </w:r>
      <w:r w:rsidRPr="00784539">
        <w:rPr>
          <w:b w:val="0"/>
          <w:noProof/>
          <w:sz w:val="18"/>
        </w:rPr>
      </w:r>
      <w:r w:rsidRPr="00784539">
        <w:rPr>
          <w:b w:val="0"/>
          <w:noProof/>
          <w:sz w:val="18"/>
        </w:rPr>
        <w:fldChar w:fldCharType="separate"/>
      </w:r>
      <w:r w:rsidR="00721A47">
        <w:rPr>
          <w:b w:val="0"/>
          <w:noProof/>
          <w:sz w:val="18"/>
        </w:rPr>
        <w:t>36</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70</w:t>
      </w:r>
      <w:r w:rsidRPr="00784539">
        <w:rPr>
          <w:noProof/>
        </w:rPr>
        <w:tab/>
        <w:t>Insurance product distributors</w:t>
      </w:r>
      <w:r w:rsidRPr="00784539">
        <w:rPr>
          <w:noProof/>
        </w:rPr>
        <w:tab/>
      </w:r>
      <w:r w:rsidRPr="00784539">
        <w:rPr>
          <w:noProof/>
        </w:rPr>
        <w:fldChar w:fldCharType="begin"/>
      </w:r>
      <w:r w:rsidRPr="00784539">
        <w:rPr>
          <w:noProof/>
        </w:rPr>
        <w:instrText xml:space="preserve"> PAGEREF _Toc485110134 \h </w:instrText>
      </w:r>
      <w:r w:rsidRPr="00784539">
        <w:rPr>
          <w:noProof/>
        </w:rPr>
      </w:r>
      <w:r w:rsidRPr="00784539">
        <w:rPr>
          <w:noProof/>
        </w:rPr>
        <w:fldChar w:fldCharType="separate"/>
      </w:r>
      <w:r w:rsidR="00721A47">
        <w:rPr>
          <w:noProof/>
        </w:rPr>
        <w:t>36</w:t>
      </w:r>
      <w:r w:rsidRPr="00784539">
        <w:rPr>
          <w:noProof/>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71</w:t>
      </w:r>
      <w:r w:rsidRPr="00784539">
        <w:rPr>
          <w:noProof/>
        </w:rPr>
        <w:tab/>
        <w:t>Risk management product providers</w:t>
      </w:r>
      <w:r w:rsidRPr="00784539">
        <w:rPr>
          <w:noProof/>
        </w:rPr>
        <w:tab/>
      </w:r>
      <w:r w:rsidRPr="00784539">
        <w:rPr>
          <w:noProof/>
        </w:rPr>
        <w:fldChar w:fldCharType="begin"/>
      </w:r>
      <w:r w:rsidRPr="00784539">
        <w:rPr>
          <w:noProof/>
        </w:rPr>
        <w:instrText xml:space="preserve"> PAGEREF _Toc485110135 \h </w:instrText>
      </w:r>
      <w:r w:rsidRPr="00784539">
        <w:rPr>
          <w:noProof/>
        </w:rPr>
      </w:r>
      <w:r w:rsidRPr="00784539">
        <w:rPr>
          <w:noProof/>
        </w:rPr>
        <w:fldChar w:fldCharType="separate"/>
      </w:r>
      <w:r w:rsidR="00721A47">
        <w:rPr>
          <w:noProof/>
        </w:rPr>
        <w:t>36</w:t>
      </w:r>
      <w:r w:rsidRPr="00784539">
        <w:rPr>
          <w:noProof/>
        </w:rPr>
        <w:fldChar w:fldCharType="end"/>
      </w:r>
    </w:p>
    <w:p w:rsidR="006B1044" w:rsidRPr="00784539" w:rsidRDefault="006B1044">
      <w:pPr>
        <w:pStyle w:val="TOC4"/>
        <w:rPr>
          <w:rFonts w:asciiTheme="minorHAnsi" w:eastAsiaTheme="minorEastAsia" w:hAnsiTheme="minorHAnsi" w:cstheme="minorBidi"/>
          <w:b w:val="0"/>
          <w:noProof/>
          <w:kern w:val="0"/>
          <w:sz w:val="22"/>
          <w:szCs w:val="22"/>
        </w:rPr>
      </w:pPr>
      <w:r w:rsidRPr="00784539">
        <w:rPr>
          <w:noProof/>
        </w:rPr>
        <w:t>Subdivision</w:t>
      </w:r>
      <w:r w:rsidR="00784539" w:rsidRPr="00784539">
        <w:rPr>
          <w:noProof/>
        </w:rPr>
        <w:t> </w:t>
      </w:r>
      <w:r w:rsidRPr="00784539">
        <w:rPr>
          <w:noProof/>
        </w:rPr>
        <w:t>6.3—Sub</w:t>
      </w:r>
      <w:r w:rsidR="00784539">
        <w:rPr>
          <w:noProof/>
        </w:rPr>
        <w:noBreakHyphen/>
      </w:r>
      <w:r w:rsidRPr="00784539">
        <w:rPr>
          <w:noProof/>
        </w:rPr>
        <w:t>sectors to which graduated levy component applies</w:t>
      </w:r>
      <w:r w:rsidRPr="00784539">
        <w:rPr>
          <w:b w:val="0"/>
          <w:noProof/>
          <w:sz w:val="18"/>
        </w:rPr>
        <w:tab/>
      </w:r>
      <w:r w:rsidRPr="00784539">
        <w:rPr>
          <w:b w:val="0"/>
          <w:noProof/>
          <w:sz w:val="18"/>
        </w:rPr>
        <w:fldChar w:fldCharType="begin"/>
      </w:r>
      <w:r w:rsidRPr="00784539">
        <w:rPr>
          <w:b w:val="0"/>
          <w:noProof/>
          <w:sz w:val="18"/>
        </w:rPr>
        <w:instrText xml:space="preserve"> PAGEREF _Toc485110136 \h </w:instrText>
      </w:r>
      <w:r w:rsidRPr="00784539">
        <w:rPr>
          <w:b w:val="0"/>
          <w:noProof/>
          <w:sz w:val="18"/>
        </w:rPr>
      </w:r>
      <w:r w:rsidRPr="00784539">
        <w:rPr>
          <w:b w:val="0"/>
          <w:noProof/>
          <w:sz w:val="18"/>
        </w:rPr>
        <w:fldChar w:fldCharType="separate"/>
      </w:r>
      <w:r w:rsidR="00721A47">
        <w:rPr>
          <w:b w:val="0"/>
          <w:noProof/>
          <w:sz w:val="18"/>
        </w:rPr>
        <w:t>37</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72</w:t>
      </w:r>
      <w:r w:rsidRPr="00784539">
        <w:rPr>
          <w:noProof/>
        </w:rPr>
        <w:tab/>
        <w:t>Insurance product providers</w:t>
      </w:r>
      <w:r w:rsidRPr="00784539">
        <w:rPr>
          <w:noProof/>
        </w:rPr>
        <w:tab/>
      </w:r>
      <w:r w:rsidRPr="00784539">
        <w:rPr>
          <w:noProof/>
        </w:rPr>
        <w:fldChar w:fldCharType="begin"/>
      </w:r>
      <w:r w:rsidRPr="00784539">
        <w:rPr>
          <w:noProof/>
        </w:rPr>
        <w:instrText xml:space="preserve"> PAGEREF _Toc485110137 \h </w:instrText>
      </w:r>
      <w:r w:rsidRPr="00784539">
        <w:rPr>
          <w:noProof/>
        </w:rPr>
      </w:r>
      <w:r w:rsidRPr="00784539">
        <w:rPr>
          <w:noProof/>
        </w:rPr>
        <w:fldChar w:fldCharType="separate"/>
      </w:r>
      <w:r w:rsidR="00721A47">
        <w:rPr>
          <w:noProof/>
        </w:rPr>
        <w:t>37</w:t>
      </w:r>
      <w:r w:rsidRPr="00784539">
        <w:rPr>
          <w:noProof/>
        </w:rPr>
        <w:fldChar w:fldCharType="end"/>
      </w:r>
    </w:p>
    <w:p w:rsidR="006B1044" w:rsidRPr="00784539" w:rsidRDefault="006B1044">
      <w:pPr>
        <w:pStyle w:val="TOC2"/>
        <w:rPr>
          <w:rFonts w:asciiTheme="minorHAnsi" w:eastAsiaTheme="minorEastAsia" w:hAnsiTheme="minorHAnsi" w:cstheme="minorBidi"/>
          <w:b w:val="0"/>
          <w:noProof/>
          <w:kern w:val="0"/>
          <w:sz w:val="22"/>
          <w:szCs w:val="22"/>
        </w:rPr>
      </w:pPr>
      <w:r w:rsidRPr="00784539">
        <w:rPr>
          <w:noProof/>
        </w:rPr>
        <w:t>Part</w:t>
      </w:r>
      <w:r w:rsidR="00784539" w:rsidRPr="00784539">
        <w:rPr>
          <w:noProof/>
        </w:rPr>
        <w:t> </w:t>
      </w:r>
      <w:r w:rsidRPr="00784539">
        <w:rPr>
          <w:noProof/>
        </w:rPr>
        <w:t>4—Miscellaneous</w:t>
      </w:r>
      <w:r w:rsidRPr="00784539">
        <w:rPr>
          <w:b w:val="0"/>
          <w:noProof/>
          <w:sz w:val="18"/>
        </w:rPr>
        <w:tab/>
      </w:r>
      <w:r w:rsidRPr="00784539">
        <w:rPr>
          <w:b w:val="0"/>
          <w:noProof/>
          <w:sz w:val="18"/>
        </w:rPr>
        <w:fldChar w:fldCharType="begin"/>
      </w:r>
      <w:r w:rsidRPr="00784539">
        <w:rPr>
          <w:b w:val="0"/>
          <w:noProof/>
          <w:sz w:val="18"/>
        </w:rPr>
        <w:instrText xml:space="preserve"> PAGEREF _Toc485110138 \h </w:instrText>
      </w:r>
      <w:r w:rsidRPr="00784539">
        <w:rPr>
          <w:b w:val="0"/>
          <w:noProof/>
          <w:sz w:val="18"/>
        </w:rPr>
      </w:r>
      <w:r w:rsidRPr="00784539">
        <w:rPr>
          <w:b w:val="0"/>
          <w:noProof/>
          <w:sz w:val="18"/>
        </w:rPr>
        <w:fldChar w:fldCharType="separate"/>
      </w:r>
      <w:r w:rsidR="00721A47">
        <w:rPr>
          <w:b w:val="0"/>
          <w:noProof/>
          <w:sz w:val="18"/>
        </w:rPr>
        <w:t>39</w:t>
      </w:r>
      <w:r w:rsidRPr="00784539">
        <w:rPr>
          <w:b w:val="0"/>
          <w:noProof/>
          <w:sz w:val="18"/>
        </w:rPr>
        <w:fldChar w:fldCharType="end"/>
      </w:r>
    </w:p>
    <w:p w:rsidR="006B1044" w:rsidRPr="00784539" w:rsidRDefault="006B1044">
      <w:pPr>
        <w:pStyle w:val="TOC5"/>
        <w:rPr>
          <w:rFonts w:asciiTheme="minorHAnsi" w:eastAsiaTheme="minorEastAsia" w:hAnsiTheme="minorHAnsi" w:cstheme="minorBidi"/>
          <w:noProof/>
          <w:kern w:val="0"/>
          <w:sz w:val="22"/>
          <w:szCs w:val="22"/>
        </w:rPr>
      </w:pPr>
      <w:r w:rsidRPr="00784539">
        <w:rPr>
          <w:noProof/>
        </w:rPr>
        <w:t>73</w:t>
      </w:r>
      <w:r w:rsidRPr="00784539">
        <w:rPr>
          <w:noProof/>
        </w:rPr>
        <w:tab/>
        <w:t>Annual determination</w:t>
      </w:r>
      <w:r w:rsidRPr="00784539">
        <w:rPr>
          <w:noProof/>
        </w:rPr>
        <w:tab/>
      </w:r>
      <w:r w:rsidRPr="00784539">
        <w:rPr>
          <w:noProof/>
        </w:rPr>
        <w:fldChar w:fldCharType="begin"/>
      </w:r>
      <w:r w:rsidRPr="00784539">
        <w:rPr>
          <w:noProof/>
        </w:rPr>
        <w:instrText xml:space="preserve"> PAGEREF _Toc485110139 \h </w:instrText>
      </w:r>
      <w:r w:rsidRPr="00784539">
        <w:rPr>
          <w:noProof/>
        </w:rPr>
      </w:r>
      <w:r w:rsidRPr="00784539">
        <w:rPr>
          <w:noProof/>
        </w:rPr>
        <w:fldChar w:fldCharType="separate"/>
      </w:r>
      <w:r w:rsidR="00721A47">
        <w:rPr>
          <w:noProof/>
        </w:rPr>
        <w:t>39</w:t>
      </w:r>
      <w:r w:rsidRPr="00784539">
        <w:rPr>
          <w:noProof/>
        </w:rPr>
        <w:fldChar w:fldCharType="end"/>
      </w:r>
    </w:p>
    <w:p w:rsidR="006B1044" w:rsidRPr="00784539" w:rsidRDefault="006B1044">
      <w:pPr>
        <w:pStyle w:val="TOC1"/>
        <w:rPr>
          <w:rFonts w:asciiTheme="minorHAnsi" w:eastAsiaTheme="minorEastAsia" w:hAnsiTheme="minorHAnsi" w:cstheme="minorBidi"/>
          <w:b w:val="0"/>
          <w:noProof/>
          <w:kern w:val="0"/>
          <w:sz w:val="22"/>
          <w:szCs w:val="22"/>
        </w:rPr>
      </w:pPr>
      <w:r w:rsidRPr="00784539">
        <w:rPr>
          <w:noProof/>
        </w:rPr>
        <w:t>Schedule</w:t>
      </w:r>
      <w:r w:rsidR="00784539" w:rsidRPr="00784539">
        <w:rPr>
          <w:noProof/>
        </w:rPr>
        <w:t> </w:t>
      </w:r>
      <w:r w:rsidRPr="00784539">
        <w:rPr>
          <w:noProof/>
        </w:rPr>
        <w:t>1—List of sub</w:t>
      </w:r>
      <w:r w:rsidR="00784539">
        <w:rPr>
          <w:noProof/>
        </w:rPr>
        <w:noBreakHyphen/>
      </w:r>
      <w:r w:rsidRPr="00784539">
        <w:rPr>
          <w:noProof/>
        </w:rPr>
        <w:t>sectors</w:t>
      </w:r>
      <w:r w:rsidRPr="00784539">
        <w:rPr>
          <w:b w:val="0"/>
          <w:noProof/>
          <w:sz w:val="18"/>
        </w:rPr>
        <w:tab/>
      </w:r>
      <w:r w:rsidRPr="00784539">
        <w:rPr>
          <w:b w:val="0"/>
          <w:noProof/>
          <w:sz w:val="18"/>
        </w:rPr>
        <w:fldChar w:fldCharType="begin"/>
      </w:r>
      <w:r w:rsidRPr="00784539">
        <w:rPr>
          <w:b w:val="0"/>
          <w:noProof/>
          <w:sz w:val="18"/>
        </w:rPr>
        <w:instrText xml:space="preserve"> PAGEREF _Toc485110140 \h </w:instrText>
      </w:r>
      <w:r w:rsidRPr="00784539">
        <w:rPr>
          <w:b w:val="0"/>
          <w:noProof/>
          <w:sz w:val="18"/>
        </w:rPr>
      </w:r>
      <w:r w:rsidRPr="00784539">
        <w:rPr>
          <w:b w:val="0"/>
          <w:noProof/>
          <w:sz w:val="18"/>
        </w:rPr>
        <w:fldChar w:fldCharType="separate"/>
      </w:r>
      <w:r w:rsidR="00721A47">
        <w:rPr>
          <w:b w:val="0"/>
          <w:noProof/>
          <w:sz w:val="18"/>
        </w:rPr>
        <w:t>40</w:t>
      </w:r>
      <w:r w:rsidRPr="00784539">
        <w:rPr>
          <w:b w:val="0"/>
          <w:noProof/>
          <w:sz w:val="18"/>
        </w:rPr>
        <w:fldChar w:fldCharType="end"/>
      </w:r>
    </w:p>
    <w:p w:rsidR="00A802BC" w:rsidRPr="00784539" w:rsidRDefault="006B1044" w:rsidP="00410E40">
      <w:pPr>
        <w:rPr>
          <w:sz w:val="20"/>
        </w:rPr>
      </w:pPr>
      <w:r w:rsidRPr="00784539">
        <w:rPr>
          <w:sz w:val="20"/>
        </w:rPr>
        <w:fldChar w:fldCharType="end"/>
      </w:r>
    </w:p>
    <w:p w:rsidR="00715914" w:rsidRPr="00784539" w:rsidRDefault="00715914" w:rsidP="00715914">
      <w:pPr>
        <w:sectPr w:rsidR="00715914" w:rsidRPr="00784539" w:rsidSect="005A1986">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784539" w:rsidRDefault="00715914" w:rsidP="00715914">
      <w:pPr>
        <w:pStyle w:val="ActHead2"/>
      </w:pPr>
      <w:bookmarkStart w:id="2" w:name="_Toc485110035"/>
      <w:r w:rsidRPr="00784539">
        <w:rPr>
          <w:rStyle w:val="CharPartNo"/>
        </w:rPr>
        <w:lastRenderedPageBreak/>
        <w:t>Part</w:t>
      </w:r>
      <w:r w:rsidR="00784539" w:rsidRPr="00784539">
        <w:rPr>
          <w:rStyle w:val="CharPartNo"/>
        </w:rPr>
        <w:t> </w:t>
      </w:r>
      <w:r w:rsidRPr="00784539">
        <w:rPr>
          <w:rStyle w:val="CharPartNo"/>
        </w:rPr>
        <w:t>1</w:t>
      </w:r>
      <w:r w:rsidRPr="00784539">
        <w:t>—</w:t>
      </w:r>
      <w:r w:rsidRPr="00784539">
        <w:rPr>
          <w:rStyle w:val="CharPartText"/>
        </w:rPr>
        <w:t>Preliminary</w:t>
      </w:r>
      <w:bookmarkEnd w:id="2"/>
    </w:p>
    <w:p w:rsidR="00715914" w:rsidRPr="00784539" w:rsidRDefault="00715914" w:rsidP="00715914">
      <w:pPr>
        <w:pStyle w:val="Header"/>
      </w:pPr>
      <w:r w:rsidRPr="00784539">
        <w:rPr>
          <w:rStyle w:val="CharDivNo"/>
        </w:rPr>
        <w:t xml:space="preserve"> </w:t>
      </w:r>
      <w:r w:rsidRPr="00784539">
        <w:rPr>
          <w:rStyle w:val="CharDivText"/>
        </w:rPr>
        <w:t xml:space="preserve"> </w:t>
      </w:r>
    </w:p>
    <w:p w:rsidR="00715914" w:rsidRPr="00784539" w:rsidRDefault="00085808" w:rsidP="00715914">
      <w:pPr>
        <w:pStyle w:val="ActHead5"/>
      </w:pPr>
      <w:bookmarkStart w:id="3" w:name="_Toc485110036"/>
      <w:r w:rsidRPr="00784539">
        <w:rPr>
          <w:rStyle w:val="CharSectno"/>
        </w:rPr>
        <w:t>1</w:t>
      </w:r>
      <w:r w:rsidR="00715914" w:rsidRPr="00784539">
        <w:t xml:space="preserve">  </w:t>
      </w:r>
      <w:r w:rsidR="00CE493D" w:rsidRPr="00784539">
        <w:t>Name</w:t>
      </w:r>
      <w:bookmarkEnd w:id="3"/>
    </w:p>
    <w:p w:rsidR="00715914" w:rsidRPr="00784539" w:rsidRDefault="00715914" w:rsidP="00715914">
      <w:pPr>
        <w:pStyle w:val="subsection"/>
      </w:pPr>
      <w:r w:rsidRPr="00784539">
        <w:tab/>
      </w:r>
      <w:r w:rsidRPr="00784539">
        <w:tab/>
        <w:t xml:space="preserve">This </w:t>
      </w:r>
      <w:r w:rsidR="00B368EC" w:rsidRPr="00784539">
        <w:t xml:space="preserve">instrument </w:t>
      </w:r>
      <w:r w:rsidR="00CE493D" w:rsidRPr="00784539">
        <w:t xml:space="preserve">is the </w:t>
      </w:r>
      <w:bookmarkStart w:id="4" w:name="BKCheck15B_3"/>
      <w:bookmarkEnd w:id="4"/>
      <w:r w:rsidR="00CE038B" w:rsidRPr="00784539">
        <w:rPr>
          <w:i/>
        </w:rPr>
        <w:fldChar w:fldCharType="begin"/>
      </w:r>
      <w:r w:rsidR="00CE038B" w:rsidRPr="00784539">
        <w:rPr>
          <w:i/>
        </w:rPr>
        <w:instrText xml:space="preserve"> STYLEREF  ShortT </w:instrText>
      </w:r>
      <w:r w:rsidR="00CE038B" w:rsidRPr="00784539">
        <w:rPr>
          <w:i/>
        </w:rPr>
        <w:fldChar w:fldCharType="separate"/>
      </w:r>
      <w:r w:rsidR="00721A47">
        <w:rPr>
          <w:i/>
          <w:noProof/>
        </w:rPr>
        <w:t>ASIC Supervisory Cost Recovery Levy Regulations 2017</w:t>
      </w:r>
      <w:r w:rsidR="00CE038B" w:rsidRPr="00784539">
        <w:rPr>
          <w:i/>
        </w:rPr>
        <w:fldChar w:fldCharType="end"/>
      </w:r>
      <w:r w:rsidRPr="00784539">
        <w:t>.</w:t>
      </w:r>
    </w:p>
    <w:p w:rsidR="00715914" w:rsidRPr="00784539" w:rsidRDefault="00085808" w:rsidP="00715914">
      <w:pPr>
        <w:pStyle w:val="ActHead5"/>
      </w:pPr>
      <w:bookmarkStart w:id="5" w:name="_Toc485110037"/>
      <w:r w:rsidRPr="00784539">
        <w:rPr>
          <w:rStyle w:val="CharSectno"/>
        </w:rPr>
        <w:t>2</w:t>
      </w:r>
      <w:r w:rsidR="00715914" w:rsidRPr="00784539">
        <w:t xml:space="preserve">  Commencement</w:t>
      </w:r>
      <w:bookmarkEnd w:id="5"/>
    </w:p>
    <w:p w:rsidR="00B93246" w:rsidRPr="00784539" w:rsidRDefault="00B93246" w:rsidP="00485655">
      <w:pPr>
        <w:pStyle w:val="subsection"/>
      </w:pPr>
      <w:bookmarkStart w:id="6" w:name="_GoBack"/>
      <w:r w:rsidRPr="00784539">
        <w:tab/>
        <w:t>(1)</w:t>
      </w:r>
      <w:r w:rsidRPr="00784539">
        <w:tab/>
        <w:t>Each provision of this instrument specified in column 1 of the table commences, or is taken to have commenced, in accordance with column 2 of the table. Any other statement in column 2 has effect according to its terms.</w:t>
      </w:r>
      <w:bookmarkEnd w:id="6"/>
    </w:p>
    <w:p w:rsidR="00B93246" w:rsidRPr="00784539" w:rsidRDefault="00B93246" w:rsidP="0048565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B93246" w:rsidRPr="00784539" w:rsidTr="004F4832">
        <w:trPr>
          <w:tblHeader/>
        </w:trPr>
        <w:tc>
          <w:tcPr>
            <w:tcW w:w="5000" w:type="pct"/>
            <w:gridSpan w:val="3"/>
            <w:tcBorders>
              <w:top w:val="single" w:sz="12" w:space="0" w:color="auto"/>
              <w:bottom w:val="single" w:sz="2" w:space="0" w:color="auto"/>
            </w:tcBorders>
            <w:shd w:val="clear" w:color="auto" w:fill="auto"/>
            <w:hideMark/>
          </w:tcPr>
          <w:p w:rsidR="00B93246" w:rsidRPr="00784539" w:rsidRDefault="00B93246" w:rsidP="00485655">
            <w:pPr>
              <w:pStyle w:val="TableHeading"/>
            </w:pPr>
            <w:r w:rsidRPr="00784539">
              <w:t>Commencement information</w:t>
            </w:r>
          </w:p>
        </w:tc>
      </w:tr>
      <w:tr w:rsidR="00B93246" w:rsidRPr="00784539" w:rsidTr="004F4832">
        <w:trPr>
          <w:tblHeader/>
        </w:trPr>
        <w:tc>
          <w:tcPr>
            <w:tcW w:w="1196" w:type="pct"/>
            <w:tcBorders>
              <w:top w:val="single" w:sz="2" w:space="0" w:color="auto"/>
              <w:bottom w:val="single" w:sz="2" w:space="0" w:color="auto"/>
            </w:tcBorders>
            <w:shd w:val="clear" w:color="auto" w:fill="auto"/>
            <w:hideMark/>
          </w:tcPr>
          <w:p w:rsidR="00B93246" w:rsidRPr="00784539" w:rsidRDefault="00B93246" w:rsidP="00485655">
            <w:pPr>
              <w:pStyle w:val="TableHeading"/>
            </w:pPr>
            <w:r w:rsidRPr="00784539">
              <w:t>Column 1</w:t>
            </w:r>
          </w:p>
        </w:tc>
        <w:tc>
          <w:tcPr>
            <w:tcW w:w="2692" w:type="pct"/>
            <w:tcBorders>
              <w:top w:val="single" w:sz="2" w:space="0" w:color="auto"/>
              <w:bottom w:val="single" w:sz="2" w:space="0" w:color="auto"/>
            </w:tcBorders>
            <w:shd w:val="clear" w:color="auto" w:fill="auto"/>
            <w:hideMark/>
          </w:tcPr>
          <w:p w:rsidR="00B93246" w:rsidRPr="00784539" w:rsidRDefault="00B93246" w:rsidP="00485655">
            <w:pPr>
              <w:pStyle w:val="TableHeading"/>
            </w:pPr>
            <w:r w:rsidRPr="00784539">
              <w:t>Column 2</w:t>
            </w:r>
          </w:p>
        </w:tc>
        <w:tc>
          <w:tcPr>
            <w:tcW w:w="1112" w:type="pct"/>
            <w:tcBorders>
              <w:top w:val="single" w:sz="2" w:space="0" w:color="auto"/>
              <w:bottom w:val="single" w:sz="2" w:space="0" w:color="auto"/>
            </w:tcBorders>
            <w:shd w:val="clear" w:color="auto" w:fill="auto"/>
            <w:hideMark/>
          </w:tcPr>
          <w:p w:rsidR="00B93246" w:rsidRPr="00784539" w:rsidRDefault="00B93246" w:rsidP="00485655">
            <w:pPr>
              <w:pStyle w:val="TableHeading"/>
            </w:pPr>
            <w:r w:rsidRPr="00784539">
              <w:t>Column 3</w:t>
            </w:r>
          </w:p>
        </w:tc>
      </w:tr>
      <w:tr w:rsidR="00B93246" w:rsidRPr="00784539" w:rsidTr="004F4832">
        <w:trPr>
          <w:tblHeader/>
        </w:trPr>
        <w:tc>
          <w:tcPr>
            <w:tcW w:w="1196" w:type="pct"/>
            <w:tcBorders>
              <w:top w:val="single" w:sz="2" w:space="0" w:color="auto"/>
              <w:bottom w:val="single" w:sz="12" w:space="0" w:color="auto"/>
            </w:tcBorders>
            <w:shd w:val="clear" w:color="auto" w:fill="auto"/>
            <w:hideMark/>
          </w:tcPr>
          <w:p w:rsidR="00B93246" w:rsidRPr="00784539" w:rsidRDefault="00B93246" w:rsidP="00485655">
            <w:pPr>
              <w:pStyle w:val="TableHeading"/>
            </w:pPr>
            <w:r w:rsidRPr="00784539">
              <w:t>Provisions</w:t>
            </w:r>
          </w:p>
        </w:tc>
        <w:tc>
          <w:tcPr>
            <w:tcW w:w="2692" w:type="pct"/>
            <w:tcBorders>
              <w:top w:val="single" w:sz="2" w:space="0" w:color="auto"/>
              <w:bottom w:val="single" w:sz="12" w:space="0" w:color="auto"/>
            </w:tcBorders>
            <w:shd w:val="clear" w:color="auto" w:fill="auto"/>
            <w:hideMark/>
          </w:tcPr>
          <w:p w:rsidR="00B93246" w:rsidRPr="00784539" w:rsidRDefault="00B93246" w:rsidP="00485655">
            <w:pPr>
              <w:pStyle w:val="TableHeading"/>
            </w:pPr>
            <w:r w:rsidRPr="00784539">
              <w:t>Commencement</w:t>
            </w:r>
          </w:p>
        </w:tc>
        <w:tc>
          <w:tcPr>
            <w:tcW w:w="1112" w:type="pct"/>
            <w:tcBorders>
              <w:top w:val="single" w:sz="2" w:space="0" w:color="auto"/>
              <w:bottom w:val="single" w:sz="12" w:space="0" w:color="auto"/>
            </w:tcBorders>
            <w:shd w:val="clear" w:color="auto" w:fill="auto"/>
            <w:hideMark/>
          </w:tcPr>
          <w:p w:rsidR="00B93246" w:rsidRPr="00784539" w:rsidRDefault="00B93246" w:rsidP="00485655">
            <w:pPr>
              <w:pStyle w:val="TableHeading"/>
            </w:pPr>
            <w:r w:rsidRPr="00784539">
              <w:t>Date/Details</w:t>
            </w:r>
          </w:p>
        </w:tc>
      </w:tr>
      <w:tr w:rsidR="00B93246" w:rsidRPr="00784539" w:rsidTr="004F4832">
        <w:tc>
          <w:tcPr>
            <w:tcW w:w="1196" w:type="pct"/>
            <w:tcBorders>
              <w:top w:val="single" w:sz="12" w:space="0" w:color="auto"/>
              <w:bottom w:val="single" w:sz="12" w:space="0" w:color="auto"/>
            </w:tcBorders>
            <w:shd w:val="clear" w:color="auto" w:fill="auto"/>
            <w:hideMark/>
          </w:tcPr>
          <w:p w:rsidR="00B93246" w:rsidRPr="00784539" w:rsidRDefault="00B93246" w:rsidP="00485655">
            <w:pPr>
              <w:pStyle w:val="Tabletext"/>
            </w:pPr>
            <w:r w:rsidRPr="00784539">
              <w:t>1.  The whole of this instrument</w:t>
            </w:r>
          </w:p>
        </w:tc>
        <w:tc>
          <w:tcPr>
            <w:tcW w:w="2692" w:type="pct"/>
            <w:tcBorders>
              <w:top w:val="single" w:sz="12" w:space="0" w:color="auto"/>
              <w:bottom w:val="single" w:sz="12" w:space="0" w:color="auto"/>
            </w:tcBorders>
            <w:shd w:val="clear" w:color="auto" w:fill="auto"/>
            <w:hideMark/>
          </w:tcPr>
          <w:p w:rsidR="0082193A" w:rsidRPr="00784539" w:rsidRDefault="003E7061" w:rsidP="0082193A">
            <w:pPr>
              <w:pStyle w:val="Tabletext"/>
            </w:pPr>
            <w:r w:rsidRPr="00784539">
              <w:t>1</w:t>
            </w:r>
            <w:r w:rsidR="00784539" w:rsidRPr="00784539">
              <w:t> </w:t>
            </w:r>
            <w:r w:rsidRPr="00784539">
              <w:t>July 2017.</w:t>
            </w:r>
          </w:p>
        </w:tc>
        <w:tc>
          <w:tcPr>
            <w:tcW w:w="1112" w:type="pct"/>
            <w:tcBorders>
              <w:top w:val="single" w:sz="12" w:space="0" w:color="auto"/>
              <w:bottom w:val="single" w:sz="12" w:space="0" w:color="auto"/>
            </w:tcBorders>
            <w:shd w:val="clear" w:color="auto" w:fill="auto"/>
          </w:tcPr>
          <w:p w:rsidR="00B93246" w:rsidRPr="00784539" w:rsidRDefault="003E7061" w:rsidP="00485655">
            <w:pPr>
              <w:pStyle w:val="Tabletext"/>
            </w:pPr>
            <w:r w:rsidRPr="00784539">
              <w:t>1</w:t>
            </w:r>
            <w:r w:rsidR="00784539" w:rsidRPr="00784539">
              <w:t> </w:t>
            </w:r>
            <w:r w:rsidRPr="00784539">
              <w:t>July 2017</w:t>
            </w:r>
          </w:p>
        </w:tc>
      </w:tr>
    </w:tbl>
    <w:p w:rsidR="00B93246" w:rsidRPr="00784539" w:rsidRDefault="00B93246" w:rsidP="00485655">
      <w:pPr>
        <w:pStyle w:val="notetext"/>
      </w:pPr>
      <w:r w:rsidRPr="00784539">
        <w:rPr>
          <w:snapToGrid w:val="0"/>
          <w:lang w:eastAsia="en-US"/>
        </w:rPr>
        <w:t>Note:</w:t>
      </w:r>
      <w:r w:rsidRPr="00784539">
        <w:rPr>
          <w:snapToGrid w:val="0"/>
          <w:lang w:eastAsia="en-US"/>
        </w:rPr>
        <w:tab/>
        <w:t xml:space="preserve">This table relates only to the provisions of this </w:t>
      </w:r>
      <w:r w:rsidRPr="00784539">
        <w:t xml:space="preserve">instrument </w:t>
      </w:r>
      <w:r w:rsidRPr="00784539">
        <w:rPr>
          <w:snapToGrid w:val="0"/>
          <w:lang w:eastAsia="en-US"/>
        </w:rPr>
        <w:t xml:space="preserve">as originally made. It will not be amended to deal with any later amendments of this </w:t>
      </w:r>
      <w:r w:rsidRPr="00784539">
        <w:t>instrument</w:t>
      </w:r>
      <w:r w:rsidRPr="00784539">
        <w:rPr>
          <w:snapToGrid w:val="0"/>
          <w:lang w:eastAsia="en-US"/>
        </w:rPr>
        <w:t>.</w:t>
      </w:r>
    </w:p>
    <w:p w:rsidR="00B93246" w:rsidRPr="00784539" w:rsidRDefault="00B93246" w:rsidP="00485655">
      <w:pPr>
        <w:pStyle w:val="subsection"/>
      </w:pPr>
      <w:r w:rsidRPr="00784539">
        <w:tab/>
        <w:t>(2)</w:t>
      </w:r>
      <w:r w:rsidRPr="00784539">
        <w:tab/>
        <w:t>Any information in column 3 of the table is not part of this instrument. Information may be inserted in this column, or information in it may be edited, in any published version of this instrument.</w:t>
      </w:r>
    </w:p>
    <w:p w:rsidR="00CE493D" w:rsidRPr="00784539" w:rsidRDefault="00085808" w:rsidP="00E85C54">
      <w:pPr>
        <w:pStyle w:val="ActHead5"/>
      </w:pPr>
      <w:bookmarkStart w:id="7" w:name="_Toc485110038"/>
      <w:r w:rsidRPr="00784539">
        <w:rPr>
          <w:rStyle w:val="CharSectno"/>
        </w:rPr>
        <w:t>3</w:t>
      </w:r>
      <w:r w:rsidR="00E85C54" w:rsidRPr="00784539">
        <w:t xml:space="preserve">  Authority</w:t>
      </w:r>
      <w:bookmarkEnd w:id="7"/>
    </w:p>
    <w:p w:rsidR="00E708D8" w:rsidRPr="00784539" w:rsidRDefault="00E85C54" w:rsidP="00E85C54">
      <w:pPr>
        <w:pStyle w:val="subsection"/>
      </w:pPr>
      <w:r w:rsidRPr="00784539">
        <w:tab/>
      </w:r>
      <w:r w:rsidRPr="00784539">
        <w:tab/>
        <w:t xml:space="preserve">This </w:t>
      </w:r>
      <w:r w:rsidR="00B93246" w:rsidRPr="00784539">
        <w:t>instrument</w:t>
      </w:r>
      <w:r w:rsidRPr="00784539">
        <w:t xml:space="preserve"> is made under </w:t>
      </w:r>
      <w:r w:rsidR="001B39BC" w:rsidRPr="00784539">
        <w:t xml:space="preserve">the </w:t>
      </w:r>
      <w:r w:rsidR="00B93246" w:rsidRPr="00784539">
        <w:rPr>
          <w:i/>
        </w:rPr>
        <w:t>ASIC Supervisory Cost Recovery Levy Act 201</w:t>
      </w:r>
      <w:r w:rsidR="00777323" w:rsidRPr="00784539">
        <w:rPr>
          <w:i/>
        </w:rPr>
        <w:t>7</w:t>
      </w:r>
      <w:r w:rsidR="00EC01C1" w:rsidRPr="00784539">
        <w:t>.</w:t>
      </w:r>
    </w:p>
    <w:p w:rsidR="00A36634" w:rsidRPr="00784539" w:rsidRDefault="00085808" w:rsidP="00A36634">
      <w:pPr>
        <w:pStyle w:val="ActHead5"/>
      </w:pPr>
      <w:bookmarkStart w:id="8" w:name="_Toc485110039"/>
      <w:r w:rsidRPr="00784539">
        <w:rPr>
          <w:rStyle w:val="CharSectno"/>
        </w:rPr>
        <w:t>4</w:t>
      </w:r>
      <w:r w:rsidR="00A36634" w:rsidRPr="00784539">
        <w:t xml:space="preserve">  Definitions</w:t>
      </w:r>
      <w:bookmarkEnd w:id="8"/>
    </w:p>
    <w:p w:rsidR="0067720C" w:rsidRPr="00784539" w:rsidRDefault="0067720C" w:rsidP="0067720C">
      <w:pPr>
        <w:pStyle w:val="notetext"/>
      </w:pPr>
      <w:r w:rsidRPr="00784539">
        <w:t>Note:</w:t>
      </w:r>
      <w:r w:rsidRPr="00784539">
        <w:tab/>
        <w:t>A number of expressions used in this instrument are defined in the Act, including the following:</w:t>
      </w:r>
    </w:p>
    <w:p w:rsidR="0067720C" w:rsidRPr="00784539" w:rsidRDefault="0067720C" w:rsidP="0067720C">
      <w:pPr>
        <w:pStyle w:val="notepara"/>
      </w:pPr>
      <w:r w:rsidRPr="00784539">
        <w:t>(a)</w:t>
      </w:r>
      <w:r w:rsidRPr="00784539">
        <w:tab/>
        <w:t>ASIC;</w:t>
      </w:r>
    </w:p>
    <w:p w:rsidR="0067720C" w:rsidRPr="00784539" w:rsidRDefault="0067720C" w:rsidP="0067720C">
      <w:pPr>
        <w:pStyle w:val="notepara"/>
      </w:pPr>
      <w:r w:rsidRPr="00784539">
        <w:t>(b)</w:t>
      </w:r>
      <w:r w:rsidRPr="00784539">
        <w:tab/>
        <w:t>leviable entity.</w:t>
      </w:r>
    </w:p>
    <w:p w:rsidR="00A36634" w:rsidRPr="00784539" w:rsidRDefault="0067720C" w:rsidP="00A36634">
      <w:pPr>
        <w:pStyle w:val="subsection"/>
      </w:pPr>
      <w:r w:rsidRPr="00784539">
        <w:tab/>
      </w:r>
      <w:r w:rsidR="00A36634" w:rsidRPr="00784539">
        <w:t>(1)</w:t>
      </w:r>
      <w:r w:rsidR="00A36634" w:rsidRPr="00784539">
        <w:tab/>
        <w:t>In this instrument:</w:t>
      </w:r>
    </w:p>
    <w:p w:rsidR="00A36634" w:rsidRPr="00784539" w:rsidRDefault="00A36634" w:rsidP="00A36634">
      <w:pPr>
        <w:pStyle w:val="Definition"/>
      </w:pPr>
      <w:r w:rsidRPr="00784539">
        <w:rPr>
          <w:b/>
          <w:i/>
        </w:rPr>
        <w:t xml:space="preserve">Act </w:t>
      </w:r>
      <w:r w:rsidRPr="00784539">
        <w:t xml:space="preserve">means the </w:t>
      </w:r>
      <w:r w:rsidRPr="00784539">
        <w:rPr>
          <w:i/>
        </w:rPr>
        <w:t>ASIC Supervisory Cost Recovery Levy Act 2017</w:t>
      </w:r>
      <w:r w:rsidRPr="00784539">
        <w:t>.</w:t>
      </w:r>
    </w:p>
    <w:p w:rsidR="00A36634" w:rsidRPr="00784539" w:rsidRDefault="00A36634" w:rsidP="00064568">
      <w:pPr>
        <w:pStyle w:val="Definition"/>
      </w:pPr>
      <w:r w:rsidRPr="00784539">
        <w:rPr>
          <w:b/>
          <w:i/>
        </w:rPr>
        <w:t>amount of credit</w:t>
      </w:r>
      <w:r w:rsidRPr="00784539">
        <w:t xml:space="preserve"> has the same meaning as in subsection</w:t>
      </w:r>
      <w:r w:rsidR="00784539" w:rsidRPr="00784539">
        <w:t> </w:t>
      </w:r>
      <w:r w:rsidRPr="00784539">
        <w:t xml:space="preserve">3(2) of the </w:t>
      </w:r>
      <w:r w:rsidRPr="00784539">
        <w:rPr>
          <w:lang w:eastAsia="en-US"/>
        </w:rPr>
        <w:t>National Credit Code</w:t>
      </w:r>
      <w:r w:rsidRPr="00784539">
        <w:t>.</w:t>
      </w:r>
    </w:p>
    <w:p w:rsidR="00A36634" w:rsidRPr="00784539" w:rsidRDefault="00A36634" w:rsidP="00064568">
      <w:pPr>
        <w:pStyle w:val="Definition"/>
      </w:pPr>
      <w:r w:rsidRPr="00784539">
        <w:rPr>
          <w:b/>
          <w:i/>
        </w:rPr>
        <w:t xml:space="preserve">annual determination </w:t>
      </w:r>
      <w:r w:rsidRPr="00784539">
        <w:t>means the legislative instrument made for a financial year by ASIC under section</w:t>
      </w:r>
      <w:r w:rsidR="00784539" w:rsidRPr="00784539">
        <w:t> </w:t>
      </w:r>
      <w:r w:rsidR="00085808" w:rsidRPr="00784539">
        <w:t>73</w:t>
      </w:r>
      <w:r w:rsidRPr="00784539">
        <w:t>.</w:t>
      </w:r>
    </w:p>
    <w:p w:rsidR="00A36634" w:rsidRPr="00784539" w:rsidRDefault="00A36634" w:rsidP="00A36634">
      <w:pPr>
        <w:pStyle w:val="Definition"/>
      </w:pPr>
      <w:r w:rsidRPr="00784539">
        <w:rPr>
          <w:b/>
          <w:i/>
        </w:rPr>
        <w:t xml:space="preserve">Australian credit licence </w:t>
      </w:r>
      <w:r w:rsidRPr="00784539">
        <w:t xml:space="preserve">has the same meaning as in the </w:t>
      </w:r>
      <w:r w:rsidRPr="00784539">
        <w:rPr>
          <w:i/>
        </w:rPr>
        <w:t>National Consumer Credit Protection Act 2009</w:t>
      </w:r>
      <w:r w:rsidRPr="00784539">
        <w:t>.</w:t>
      </w:r>
    </w:p>
    <w:p w:rsidR="00A36634" w:rsidRPr="00784539" w:rsidRDefault="00A36634" w:rsidP="00A36634">
      <w:pPr>
        <w:pStyle w:val="Definition"/>
        <w:rPr>
          <w:b/>
          <w:i/>
        </w:rPr>
      </w:pPr>
      <w:r w:rsidRPr="00784539">
        <w:rPr>
          <w:b/>
          <w:i/>
        </w:rPr>
        <w:t>basic banking product</w:t>
      </w:r>
      <w:r w:rsidRPr="00784539">
        <w:t xml:space="preserve"> has the same meaning as in section</w:t>
      </w:r>
      <w:r w:rsidR="00784539" w:rsidRPr="00784539">
        <w:t> </w:t>
      </w:r>
      <w:r w:rsidRPr="00784539">
        <w:t xml:space="preserve">910A of the </w:t>
      </w:r>
      <w:r w:rsidRPr="00784539">
        <w:rPr>
          <w:i/>
        </w:rPr>
        <w:t>Corporations Act 2001</w:t>
      </w:r>
      <w:r w:rsidRPr="00784539">
        <w:t>.</w:t>
      </w:r>
    </w:p>
    <w:p w:rsidR="00A36634" w:rsidRPr="00784539" w:rsidRDefault="00A36634" w:rsidP="00A36634">
      <w:pPr>
        <w:pStyle w:val="Definition"/>
      </w:pPr>
      <w:r w:rsidRPr="00784539">
        <w:rPr>
          <w:b/>
          <w:i/>
        </w:rPr>
        <w:t xml:space="preserve">credit </w:t>
      </w:r>
      <w:r w:rsidRPr="00784539">
        <w:t xml:space="preserve">has the same meaning as in the </w:t>
      </w:r>
      <w:r w:rsidRPr="00784539">
        <w:rPr>
          <w:i/>
        </w:rPr>
        <w:t>National Consumer Credit Protection Act 2009</w:t>
      </w:r>
      <w:r w:rsidRPr="00784539">
        <w:t>.</w:t>
      </w:r>
    </w:p>
    <w:p w:rsidR="00A36634" w:rsidRPr="00784539" w:rsidRDefault="00A36634" w:rsidP="00A36634">
      <w:pPr>
        <w:pStyle w:val="Definition"/>
      </w:pPr>
      <w:r w:rsidRPr="00784539">
        <w:rPr>
          <w:b/>
          <w:i/>
        </w:rPr>
        <w:t xml:space="preserve">credit activity </w:t>
      </w:r>
      <w:r w:rsidRPr="00784539">
        <w:t xml:space="preserve">has the same meaning as in the </w:t>
      </w:r>
      <w:r w:rsidRPr="00784539">
        <w:rPr>
          <w:i/>
        </w:rPr>
        <w:t>National Consumer Credit Protection Act 2009</w:t>
      </w:r>
      <w:r w:rsidRPr="00784539">
        <w:t>.</w:t>
      </w:r>
    </w:p>
    <w:p w:rsidR="00A36634" w:rsidRPr="00784539" w:rsidRDefault="00A36634" w:rsidP="00A36634">
      <w:pPr>
        <w:pStyle w:val="Definition"/>
      </w:pPr>
      <w:r w:rsidRPr="00784539">
        <w:rPr>
          <w:b/>
          <w:i/>
        </w:rPr>
        <w:t>credit contract</w:t>
      </w:r>
      <w:r w:rsidRPr="00784539">
        <w:t xml:space="preserve"> has the same meaning as in the </w:t>
      </w:r>
      <w:r w:rsidRPr="00784539">
        <w:rPr>
          <w:i/>
        </w:rPr>
        <w:t>National Consumer Credit Protection Act 2009</w:t>
      </w:r>
      <w:r w:rsidRPr="00784539">
        <w:t>.</w:t>
      </w:r>
    </w:p>
    <w:p w:rsidR="00A36634" w:rsidRPr="00784539" w:rsidRDefault="00A36634" w:rsidP="00A36634">
      <w:pPr>
        <w:pStyle w:val="Definition"/>
      </w:pPr>
      <w:r w:rsidRPr="00784539">
        <w:rPr>
          <w:b/>
          <w:i/>
        </w:rPr>
        <w:t>credit provider</w:t>
      </w:r>
      <w:r w:rsidRPr="00784539">
        <w:t xml:space="preserve"> has the same meaning as in the </w:t>
      </w:r>
      <w:r w:rsidRPr="00784539">
        <w:rPr>
          <w:i/>
        </w:rPr>
        <w:t>National Consumer Credit Protection Act 2009</w:t>
      </w:r>
      <w:r w:rsidRPr="00784539">
        <w:t>.</w:t>
      </w:r>
    </w:p>
    <w:p w:rsidR="00A36634" w:rsidRPr="00784539" w:rsidRDefault="00A36634" w:rsidP="00A36634">
      <w:pPr>
        <w:pStyle w:val="Definition"/>
        <w:rPr>
          <w:i/>
        </w:rPr>
      </w:pPr>
      <w:r w:rsidRPr="00784539">
        <w:rPr>
          <w:b/>
          <w:i/>
        </w:rPr>
        <w:t>deal</w:t>
      </w:r>
      <w:r w:rsidRPr="00784539">
        <w:rPr>
          <w:i/>
        </w:rPr>
        <w:t xml:space="preserve"> </w:t>
      </w:r>
      <w:r w:rsidRPr="00784539">
        <w:t>has the same meaning as</w:t>
      </w:r>
      <w:r w:rsidRPr="00784539">
        <w:rPr>
          <w:i/>
        </w:rPr>
        <w:t xml:space="preserve"> </w:t>
      </w:r>
      <w:r w:rsidRPr="00784539">
        <w:rPr>
          <w:b/>
          <w:i/>
        </w:rPr>
        <w:t>dealing</w:t>
      </w:r>
      <w:r w:rsidRPr="00784539">
        <w:rPr>
          <w:i/>
        </w:rPr>
        <w:t xml:space="preserve"> </w:t>
      </w:r>
      <w:r w:rsidRPr="00784539">
        <w:t>in section</w:t>
      </w:r>
      <w:r w:rsidR="00784539" w:rsidRPr="00784539">
        <w:t> </w:t>
      </w:r>
      <w:r w:rsidRPr="00784539">
        <w:t xml:space="preserve">761A of the </w:t>
      </w:r>
      <w:r w:rsidRPr="00784539">
        <w:rPr>
          <w:i/>
        </w:rPr>
        <w:t>Corporations Act 2001.</w:t>
      </w:r>
    </w:p>
    <w:p w:rsidR="00FC77D0" w:rsidRPr="00784539" w:rsidRDefault="00FC77D0" w:rsidP="00FC77D0">
      <w:pPr>
        <w:pStyle w:val="Definition"/>
        <w:rPr>
          <w:rFonts w:eastAsiaTheme="minorHAnsi"/>
        </w:rPr>
      </w:pPr>
      <w:r w:rsidRPr="00784539">
        <w:rPr>
          <w:rFonts w:eastAsiaTheme="minorHAnsi"/>
          <w:b/>
          <w:i/>
        </w:rPr>
        <w:t>entity metric</w:t>
      </w:r>
      <w:r w:rsidR="00A44F35" w:rsidRPr="00784539">
        <w:rPr>
          <w:rFonts w:eastAsiaTheme="minorHAnsi"/>
        </w:rPr>
        <w:t xml:space="preserve">: a leviable entity’s </w:t>
      </w:r>
      <w:r w:rsidR="00A44F35" w:rsidRPr="00784539">
        <w:rPr>
          <w:rFonts w:eastAsiaTheme="minorHAnsi"/>
          <w:b/>
          <w:i/>
        </w:rPr>
        <w:t>entity metric</w:t>
      </w:r>
      <w:r w:rsidR="00A44F35" w:rsidRPr="00784539">
        <w:rPr>
          <w:rFonts w:eastAsiaTheme="minorHAnsi"/>
        </w:rPr>
        <w:t xml:space="preserve"> for a sub</w:t>
      </w:r>
      <w:r w:rsidR="00784539">
        <w:rPr>
          <w:rFonts w:eastAsiaTheme="minorHAnsi"/>
        </w:rPr>
        <w:noBreakHyphen/>
      </w:r>
      <w:r w:rsidR="00A44F35" w:rsidRPr="00784539">
        <w:rPr>
          <w:rFonts w:eastAsiaTheme="minorHAnsi"/>
        </w:rPr>
        <w:t>sector for a financial year</w:t>
      </w:r>
      <w:r w:rsidRPr="00784539">
        <w:rPr>
          <w:rFonts w:eastAsiaTheme="minorHAnsi"/>
        </w:rPr>
        <w:t xml:space="preserve"> is the amount worked out for </w:t>
      </w:r>
      <w:r w:rsidR="00052DD6" w:rsidRPr="00784539">
        <w:rPr>
          <w:rFonts w:eastAsiaTheme="minorHAnsi"/>
        </w:rPr>
        <w:t>the</w:t>
      </w:r>
      <w:r w:rsidRPr="00784539">
        <w:rPr>
          <w:rFonts w:eastAsiaTheme="minorHAnsi"/>
        </w:rPr>
        <w:t xml:space="preserve"> entity under a pro</w:t>
      </w:r>
      <w:r w:rsidR="0012192A" w:rsidRPr="00784539">
        <w:rPr>
          <w:rFonts w:eastAsiaTheme="minorHAnsi"/>
        </w:rPr>
        <w:t>vision of Part</w:t>
      </w:r>
      <w:r w:rsidR="00784539" w:rsidRPr="00784539">
        <w:rPr>
          <w:rFonts w:eastAsiaTheme="minorHAnsi"/>
        </w:rPr>
        <w:t> </w:t>
      </w:r>
      <w:r w:rsidR="0012192A" w:rsidRPr="00784539">
        <w:rPr>
          <w:rFonts w:eastAsiaTheme="minorHAnsi"/>
        </w:rPr>
        <w:t>3 that specifies a</w:t>
      </w:r>
      <w:r w:rsidR="00C945B4" w:rsidRPr="00784539">
        <w:rPr>
          <w:rFonts w:eastAsiaTheme="minorHAnsi"/>
        </w:rPr>
        <w:t xml:space="preserve">n </w:t>
      </w:r>
      <w:r w:rsidR="0012192A" w:rsidRPr="00784539">
        <w:rPr>
          <w:rFonts w:eastAsiaTheme="minorHAnsi"/>
        </w:rPr>
        <w:t>amount to be the</w:t>
      </w:r>
      <w:r w:rsidR="001601EA" w:rsidRPr="00784539">
        <w:rPr>
          <w:rFonts w:eastAsiaTheme="minorHAnsi"/>
        </w:rPr>
        <w:t xml:space="preserve"> entity’s</w:t>
      </w:r>
      <w:r w:rsidR="0012192A" w:rsidRPr="00784539">
        <w:rPr>
          <w:rFonts w:eastAsiaTheme="minorHAnsi"/>
        </w:rPr>
        <w:t xml:space="preserve"> entity metric for the sub</w:t>
      </w:r>
      <w:r w:rsidR="00784539">
        <w:rPr>
          <w:rFonts w:eastAsiaTheme="minorHAnsi"/>
        </w:rPr>
        <w:noBreakHyphen/>
      </w:r>
      <w:r w:rsidR="0012192A" w:rsidRPr="00784539">
        <w:rPr>
          <w:rFonts w:eastAsiaTheme="minorHAnsi"/>
        </w:rPr>
        <w:t>sector for the financial year</w:t>
      </w:r>
      <w:r w:rsidR="006C7471" w:rsidRPr="00784539">
        <w:rPr>
          <w:rFonts w:eastAsiaTheme="minorHAnsi"/>
        </w:rPr>
        <w:t>.</w:t>
      </w:r>
    </w:p>
    <w:p w:rsidR="00A44F35" w:rsidRPr="00784539" w:rsidRDefault="00A44F35" w:rsidP="00A44F35">
      <w:pPr>
        <w:pStyle w:val="notetext"/>
        <w:rPr>
          <w:rFonts w:eastAsiaTheme="minorHAnsi"/>
        </w:rPr>
      </w:pPr>
      <w:r w:rsidRPr="00784539">
        <w:rPr>
          <w:rFonts w:eastAsiaTheme="minorHAnsi"/>
        </w:rPr>
        <w:t>Note:</w:t>
      </w:r>
      <w:r w:rsidRPr="00784539">
        <w:rPr>
          <w:rFonts w:eastAsiaTheme="minorHAnsi"/>
        </w:rPr>
        <w:tab/>
        <w:t>See also section</w:t>
      </w:r>
      <w:r w:rsidR="00784539" w:rsidRPr="00784539">
        <w:rPr>
          <w:rFonts w:eastAsiaTheme="minorHAnsi"/>
        </w:rPr>
        <w:t> </w:t>
      </w:r>
      <w:r w:rsidRPr="00784539">
        <w:rPr>
          <w:rFonts w:eastAsiaTheme="minorHAnsi"/>
        </w:rPr>
        <w:t>12.</w:t>
      </w:r>
    </w:p>
    <w:p w:rsidR="00E02B25" w:rsidRPr="00784539" w:rsidRDefault="00E02B25" w:rsidP="00A36634">
      <w:pPr>
        <w:pStyle w:val="Definition"/>
      </w:pPr>
      <w:r w:rsidRPr="00784539">
        <w:rPr>
          <w:b/>
          <w:i/>
        </w:rPr>
        <w:t xml:space="preserve">financial year </w:t>
      </w:r>
      <w:r w:rsidRPr="00784539">
        <w:t>means a period of 12 months starting on 1</w:t>
      </w:r>
      <w:r w:rsidR="00784539" w:rsidRPr="00784539">
        <w:t> </w:t>
      </w:r>
      <w:r w:rsidRPr="00784539">
        <w:t>July.</w:t>
      </w:r>
    </w:p>
    <w:p w:rsidR="00A36634" w:rsidRPr="00784539" w:rsidRDefault="00A36634" w:rsidP="00A36634">
      <w:pPr>
        <w:pStyle w:val="Definition"/>
      </w:pPr>
      <w:r w:rsidRPr="00784539">
        <w:rPr>
          <w:b/>
          <w:i/>
        </w:rPr>
        <w:t xml:space="preserve">graduated levy component </w:t>
      </w:r>
      <w:r w:rsidRPr="00784539">
        <w:t>for a sub</w:t>
      </w:r>
      <w:r w:rsidR="00784539">
        <w:noBreakHyphen/>
      </w:r>
      <w:r w:rsidRPr="00784539">
        <w:t>sector for a financial year has the meaning given by section</w:t>
      </w:r>
      <w:r w:rsidR="00784539" w:rsidRPr="00784539">
        <w:t> </w:t>
      </w:r>
      <w:r w:rsidR="00085808" w:rsidRPr="00784539">
        <w:t>10</w:t>
      </w:r>
      <w:r w:rsidRPr="00784539">
        <w:t>.</w:t>
      </w:r>
    </w:p>
    <w:p w:rsidR="00A36634" w:rsidRPr="00784539" w:rsidRDefault="00A36634" w:rsidP="00A36634">
      <w:pPr>
        <w:pStyle w:val="Definition"/>
      </w:pPr>
      <w:r w:rsidRPr="00784539">
        <w:rPr>
          <w:b/>
          <w:i/>
        </w:rPr>
        <w:t xml:space="preserve">large futures </w:t>
      </w:r>
      <w:r w:rsidR="007B0C17" w:rsidRPr="00784539">
        <w:rPr>
          <w:b/>
          <w:i/>
        </w:rPr>
        <w:t>exchange</w:t>
      </w:r>
      <w:r w:rsidR="00AB28A2" w:rsidRPr="00784539">
        <w:t xml:space="preserve"> has the meaning given by subsection</w:t>
      </w:r>
      <w:r w:rsidR="00784539" w:rsidRPr="00784539">
        <w:t> </w:t>
      </w:r>
      <w:r w:rsidR="00085808" w:rsidRPr="00784539">
        <w:t>52</w:t>
      </w:r>
      <w:r w:rsidR="00AB28A2" w:rsidRPr="00784539">
        <w:t>(3)</w:t>
      </w:r>
      <w:r w:rsidRPr="00784539">
        <w:t>.</w:t>
      </w:r>
    </w:p>
    <w:p w:rsidR="00F511DF" w:rsidRPr="00784539" w:rsidRDefault="00F511DF" w:rsidP="00F511DF">
      <w:pPr>
        <w:pStyle w:val="Definition"/>
      </w:pPr>
      <w:r w:rsidRPr="00784539">
        <w:rPr>
          <w:b/>
          <w:i/>
        </w:rPr>
        <w:t>large securities exchange</w:t>
      </w:r>
      <w:r w:rsidR="00AB28A2" w:rsidRPr="00784539">
        <w:t xml:space="preserve"> has the meaning given by subsection</w:t>
      </w:r>
      <w:r w:rsidR="00784539" w:rsidRPr="00784539">
        <w:t> </w:t>
      </w:r>
      <w:r w:rsidR="00085808" w:rsidRPr="00784539">
        <w:t>51</w:t>
      </w:r>
      <w:r w:rsidR="00AB28A2" w:rsidRPr="00784539">
        <w:t>(3)</w:t>
      </w:r>
      <w:r w:rsidRPr="00784539">
        <w:t>.</w:t>
      </w:r>
    </w:p>
    <w:p w:rsidR="00D93A5F" w:rsidRPr="00784539" w:rsidRDefault="00A36634" w:rsidP="00A36634">
      <w:pPr>
        <w:pStyle w:val="Definition"/>
      </w:pPr>
      <w:r w:rsidRPr="00784539">
        <w:rPr>
          <w:b/>
          <w:i/>
        </w:rPr>
        <w:t>minimum levy component</w:t>
      </w:r>
      <w:r w:rsidR="006F7885" w:rsidRPr="00784539">
        <w:rPr>
          <w:b/>
          <w:i/>
        </w:rPr>
        <w:t xml:space="preserve"> </w:t>
      </w:r>
      <w:r w:rsidR="0037378A" w:rsidRPr="00784539">
        <w:t>for a sub</w:t>
      </w:r>
      <w:r w:rsidR="00784539">
        <w:noBreakHyphen/>
      </w:r>
      <w:r w:rsidR="0037378A" w:rsidRPr="00784539">
        <w:t xml:space="preserve">sector for a financial year </w:t>
      </w:r>
      <w:r w:rsidR="00D93A5F" w:rsidRPr="00784539">
        <w:t>means the minimum levy component specified in Part</w:t>
      </w:r>
      <w:r w:rsidR="00784539" w:rsidRPr="00784539">
        <w:t> </w:t>
      </w:r>
      <w:r w:rsidR="00D93A5F" w:rsidRPr="00784539">
        <w:t>3 for the sub</w:t>
      </w:r>
      <w:r w:rsidR="00784539">
        <w:noBreakHyphen/>
      </w:r>
      <w:r w:rsidR="00D93A5F" w:rsidRPr="00784539">
        <w:t>sector.</w:t>
      </w:r>
    </w:p>
    <w:p w:rsidR="00A36634" w:rsidRPr="00784539" w:rsidRDefault="00A36634" w:rsidP="00A36634">
      <w:pPr>
        <w:pStyle w:val="Definition"/>
        <w:rPr>
          <w:b/>
        </w:rPr>
      </w:pPr>
      <w:r w:rsidRPr="00784539">
        <w:rPr>
          <w:b/>
          <w:i/>
        </w:rPr>
        <w:t>National Credit Code</w:t>
      </w:r>
      <w:r w:rsidRPr="00784539">
        <w:t xml:space="preserve"> has the same meaning as in the </w:t>
      </w:r>
      <w:r w:rsidRPr="00784539">
        <w:rPr>
          <w:i/>
        </w:rPr>
        <w:t>National Consumer Credit Protection Act 2009</w:t>
      </w:r>
      <w:r w:rsidRPr="00784539">
        <w:t>.</w:t>
      </w:r>
    </w:p>
    <w:p w:rsidR="0058511A" w:rsidRPr="00784539" w:rsidRDefault="0058511A" w:rsidP="0058511A">
      <w:pPr>
        <w:pStyle w:val="Definition"/>
      </w:pPr>
      <w:r w:rsidRPr="00784539">
        <w:rPr>
          <w:b/>
          <w:i/>
        </w:rPr>
        <w:t>overseas market</w:t>
      </w:r>
      <w:r w:rsidRPr="00784539">
        <w:t xml:space="preserve"> has the meaning given by subsection</w:t>
      </w:r>
      <w:r w:rsidR="00784539" w:rsidRPr="00784539">
        <w:t> </w:t>
      </w:r>
      <w:r w:rsidR="00085808" w:rsidRPr="00784539">
        <w:t>46</w:t>
      </w:r>
      <w:r w:rsidRPr="00784539">
        <w:t>(3).</w:t>
      </w:r>
    </w:p>
    <w:p w:rsidR="00020D2D" w:rsidRPr="00784539" w:rsidRDefault="00A36634" w:rsidP="00A36634">
      <w:pPr>
        <w:pStyle w:val="Definition"/>
      </w:pPr>
      <w:r w:rsidRPr="00784539">
        <w:rPr>
          <w:b/>
          <w:i/>
        </w:rPr>
        <w:t>over</w:t>
      </w:r>
      <w:r w:rsidR="00784539">
        <w:rPr>
          <w:b/>
          <w:i/>
        </w:rPr>
        <w:noBreakHyphen/>
      </w:r>
      <w:r w:rsidRPr="00784539">
        <w:rPr>
          <w:b/>
          <w:i/>
        </w:rPr>
        <w:t>the</w:t>
      </w:r>
      <w:r w:rsidR="00784539">
        <w:rPr>
          <w:b/>
          <w:i/>
        </w:rPr>
        <w:noBreakHyphen/>
      </w:r>
      <w:r w:rsidRPr="00784539">
        <w:rPr>
          <w:b/>
          <w:i/>
        </w:rPr>
        <w:t>counter</w:t>
      </w:r>
      <w:r w:rsidRPr="00784539">
        <w:t xml:space="preserve">, in relation to a financial product, means a financial product that </w:t>
      </w:r>
      <w:r w:rsidR="00A47266" w:rsidRPr="00784539">
        <w:t>cannot be traded on</w:t>
      </w:r>
      <w:r w:rsidR="00020D2D" w:rsidRPr="00784539">
        <w:t>:</w:t>
      </w:r>
    </w:p>
    <w:p w:rsidR="00020D2D" w:rsidRPr="00784539" w:rsidRDefault="00020D2D" w:rsidP="00020D2D">
      <w:pPr>
        <w:pStyle w:val="paragraph"/>
      </w:pPr>
      <w:r w:rsidRPr="00784539">
        <w:tab/>
        <w:t>(a)</w:t>
      </w:r>
      <w:r w:rsidRPr="00784539">
        <w:tab/>
        <w:t>a large futures exchange; or</w:t>
      </w:r>
    </w:p>
    <w:p w:rsidR="00020D2D" w:rsidRPr="00784539" w:rsidRDefault="00020D2D" w:rsidP="00020D2D">
      <w:pPr>
        <w:pStyle w:val="paragraph"/>
      </w:pPr>
      <w:r w:rsidRPr="00784539">
        <w:tab/>
        <w:t>(b)</w:t>
      </w:r>
      <w:r w:rsidRPr="00784539">
        <w:tab/>
        <w:t>a large securities exchange; or</w:t>
      </w:r>
    </w:p>
    <w:p w:rsidR="00020D2D" w:rsidRPr="00784539" w:rsidRDefault="00020D2D" w:rsidP="00F0392D">
      <w:pPr>
        <w:pStyle w:val="paragraph"/>
      </w:pPr>
      <w:r w:rsidRPr="00784539">
        <w:tab/>
        <w:t>(c)</w:t>
      </w:r>
      <w:r w:rsidRPr="00784539">
        <w:tab/>
        <w:t>a</w:t>
      </w:r>
      <w:r w:rsidR="00F0392D" w:rsidRPr="00784539">
        <w:t xml:space="preserve"> market licensed under subsection</w:t>
      </w:r>
      <w:r w:rsidR="00784539" w:rsidRPr="00784539">
        <w:t> </w:t>
      </w:r>
      <w:r w:rsidR="00F0392D" w:rsidRPr="00784539">
        <w:t>795B(2)</w:t>
      </w:r>
      <w:r w:rsidR="00F17E6F" w:rsidRPr="00784539">
        <w:t xml:space="preserve"> of the </w:t>
      </w:r>
      <w:r w:rsidR="00F17E6F" w:rsidRPr="00784539">
        <w:rPr>
          <w:i/>
        </w:rPr>
        <w:t>Corporations Act 2001</w:t>
      </w:r>
      <w:r w:rsidR="00F0392D" w:rsidRPr="00784539">
        <w:t xml:space="preserve"> </w:t>
      </w:r>
      <w:r w:rsidR="00354DFA" w:rsidRPr="00784539">
        <w:t xml:space="preserve">that operates </w:t>
      </w:r>
      <w:r w:rsidR="00F0392D" w:rsidRPr="00784539">
        <w:t xml:space="preserve">as an exchange; </w:t>
      </w:r>
      <w:r w:rsidRPr="00784539">
        <w:t>or</w:t>
      </w:r>
    </w:p>
    <w:p w:rsidR="00020D2D" w:rsidRPr="00784539" w:rsidRDefault="00020D2D" w:rsidP="00020D2D">
      <w:pPr>
        <w:pStyle w:val="paragraph"/>
      </w:pPr>
      <w:r w:rsidRPr="00784539">
        <w:tab/>
        <w:t>(d)</w:t>
      </w:r>
      <w:r w:rsidRPr="00784539">
        <w:tab/>
        <w:t>a small futures exchange; or</w:t>
      </w:r>
    </w:p>
    <w:p w:rsidR="00020D2D" w:rsidRPr="00784539" w:rsidRDefault="00020D2D" w:rsidP="00020D2D">
      <w:pPr>
        <w:pStyle w:val="paragraph"/>
      </w:pPr>
      <w:r w:rsidRPr="00784539">
        <w:tab/>
        <w:t>(e)</w:t>
      </w:r>
      <w:r w:rsidRPr="00784539">
        <w:tab/>
        <w:t>a small securities exchange; or</w:t>
      </w:r>
    </w:p>
    <w:p w:rsidR="00020D2D" w:rsidRPr="00784539" w:rsidRDefault="00020D2D" w:rsidP="00020D2D">
      <w:pPr>
        <w:pStyle w:val="paragraph"/>
      </w:pPr>
      <w:r w:rsidRPr="00784539">
        <w:tab/>
        <w:t>(f)</w:t>
      </w:r>
      <w:r w:rsidRPr="00784539">
        <w:tab/>
        <w:t xml:space="preserve">a small securities </w:t>
      </w:r>
      <w:r w:rsidR="00DD290A" w:rsidRPr="00784539">
        <w:t>(self</w:t>
      </w:r>
      <w:r w:rsidR="00784539">
        <w:noBreakHyphen/>
      </w:r>
      <w:r w:rsidR="00DD290A" w:rsidRPr="00784539">
        <w:t xml:space="preserve">listing) </w:t>
      </w:r>
      <w:r w:rsidRPr="00784539">
        <w:t>exchange.</w:t>
      </w:r>
    </w:p>
    <w:p w:rsidR="00A36634" w:rsidRPr="00784539" w:rsidRDefault="00A47266" w:rsidP="00A36634">
      <w:pPr>
        <w:pStyle w:val="Definition"/>
      </w:pPr>
      <w:r w:rsidRPr="00784539">
        <w:rPr>
          <w:b/>
          <w:i/>
        </w:rPr>
        <w:t>p</w:t>
      </w:r>
      <w:r w:rsidR="00A36634" w:rsidRPr="00784539">
        <w:rPr>
          <w:b/>
          <w:i/>
        </w:rPr>
        <w:t xml:space="preserve">articipant </w:t>
      </w:r>
      <w:r w:rsidR="00A36634" w:rsidRPr="00784539">
        <w:t>has the same meaning as in section</w:t>
      </w:r>
      <w:r w:rsidR="00784539" w:rsidRPr="00784539">
        <w:t> </w:t>
      </w:r>
      <w:r w:rsidR="00A36634" w:rsidRPr="00784539">
        <w:t xml:space="preserve">761A of the </w:t>
      </w:r>
      <w:r w:rsidR="00A36634" w:rsidRPr="00784539">
        <w:rPr>
          <w:i/>
        </w:rPr>
        <w:t>Corporations Act 2001</w:t>
      </w:r>
      <w:r w:rsidR="00A36634" w:rsidRPr="00784539">
        <w:t>.</w:t>
      </w:r>
    </w:p>
    <w:p w:rsidR="00A36634" w:rsidRPr="00784539" w:rsidRDefault="00A36634" w:rsidP="00A36634">
      <w:pPr>
        <w:pStyle w:val="Definition"/>
      </w:pPr>
      <w:r w:rsidRPr="00784539">
        <w:rPr>
          <w:b/>
          <w:i/>
        </w:rPr>
        <w:t xml:space="preserve">registrable superannuation entity </w:t>
      </w:r>
      <w:r w:rsidRPr="00784539">
        <w:t xml:space="preserve">has the same meaning as in the </w:t>
      </w:r>
      <w:r w:rsidRPr="00784539">
        <w:rPr>
          <w:i/>
        </w:rPr>
        <w:t>Superannuation Industry (Supervision) Act 1993</w:t>
      </w:r>
      <w:r w:rsidRPr="00784539">
        <w:t>.</w:t>
      </w:r>
    </w:p>
    <w:p w:rsidR="00A36634" w:rsidRPr="00784539" w:rsidRDefault="00A36634" w:rsidP="00A36634">
      <w:pPr>
        <w:pStyle w:val="Definition"/>
        <w:rPr>
          <w:b/>
          <w:i/>
        </w:rPr>
      </w:pPr>
      <w:r w:rsidRPr="00784539">
        <w:rPr>
          <w:b/>
          <w:i/>
        </w:rPr>
        <w:t xml:space="preserve">relevant financial products </w:t>
      </w:r>
      <w:r w:rsidRPr="00784539">
        <w:t>has the same meaning as in section</w:t>
      </w:r>
      <w:r w:rsidR="00784539" w:rsidRPr="00784539">
        <w:t> </w:t>
      </w:r>
      <w:r w:rsidRPr="00784539">
        <w:t xml:space="preserve">910A of the </w:t>
      </w:r>
      <w:r w:rsidRPr="00784539">
        <w:rPr>
          <w:i/>
        </w:rPr>
        <w:t>Corporations Act 2001</w:t>
      </w:r>
      <w:r w:rsidRPr="00784539">
        <w:t>.</w:t>
      </w:r>
    </w:p>
    <w:p w:rsidR="00421479" w:rsidRPr="00784539" w:rsidRDefault="00421479" w:rsidP="00A36634">
      <w:pPr>
        <w:pStyle w:val="Definition"/>
      </w:pPr>
      <w:r w:rsidRPr="00784539">
        <w:rPr>
          <w:b/>
          <w:i/>
        </w:rPr>
        <w:t xml:space="preserve">securities </w:t>
      </w:r>
      <w:r w:rsidRPr="00784539">
        <w:t>has the same meaning as in section</w:t>
      </w:r>
      <w:r w:rsidR="00784539" w:rsidRPr="00784539">
        <w:t> </w:t>
      </w:r>
      <w:r w:rsidRPr="00784539">
        <w:t xml:space="preserve">9 of the </w:t>
      </w:r>
      <w:r w:rsidRPr="00784539">
        <w:rPr>
          <w:i/>
        </w:rPr>
        <w:t>Corporations Act 2001</w:t>
      </w:r>
      <w:r w:rsidRPr="00784539">
        <w:t>.</w:t>
      </w:r>
    </w:p>
    <w:p w:rsidR="00A36634" w:rsidRPr="00784539" w:rsidRDefault="00A36634" w:rsidP="00A36634">
      <w:pPr>
        <w:pStyle w:val="Definition"/>
      </w:pPr>
      <w:r w:rsidRPr="00784539">
        <w:rPr>
          <w:b/>
          <w:i/>
        </w:rPr>
        <w:t xml:space="preserve">small amount credit contract </w:t>
      </w:r>
      <w:r w:rsidRPr="00784539">
        <w:t xml:space="preserve">has the same meaning as in the </w:t>
      </w:r>
      <w:r w:rsidRPr="00784539">
        <w:rPr>
          <w:i/>
        </w:rPr>
        <w:t>National Consumer Credit Protection Act 2009</w:t>
      </w:r>
      <w:r w:rsidRPr="00784539">
        <w:t>.</w:t>
      </w:r>
    </w:p>
    <w:p w:rsidR="00A51EAA" w:rsidRPr="00784539" w:rsidRDefault="00A51EAA" w:rsidP="00A36634">
      <w:pPr>
        <w:pStyle w:val="Definition"/>
      </w:pPr>
      <w:r w:rsidRPr="00784539">
        <w:rPr>
          <w:b/>
          <w:i/>
        </w:rPr>
        <w:t xml:space="preserve">small derivatives market </w:t>
      </w:r>
      <w:r w:rsidRPr="00784539">
        <w:t>has the meaning given by subsection</w:t>
      </w:r>
      <w:r w:rsidR="00784539" w:rsidRPr="00784539">
        <w:t> </w:t>
      </w:r>
      <w:r w:rsidR="00085808" w:rsidRPr="00784539">
        <w:t>50</w:t>
      </w:r>
      <w:r w:rsidRPr="00784539">
        <w:t>(3).</w:t>
      </w:r>
    </w:p>
    <w:p w:rsidR="00A51EAA" w:rsidRPr="00784539" w:rsidRDefault="00A51EAA" w:rsidP="00A36634">
      <w:pPr>
        <w:pStyle w:val="Definition"/>
      </w:pPr>
      <w:r w:rsidRPr="00784539">
        <w:rPr>
          <w:b/>
          <w:i/>
        </w:rPr>
        <w:t>small futures exchange</w:t>
      </w:r>
      <w:r w:rsidRPr="00784539">
        <w:t xml:space="preserve"> has the meaning given by subsection</w:t>
      </w:r>
      <w:r w:rsidR="00784539" w:rsidRPr="00784539">
        <w:t> </w:t>
      </w:r>
      <w:r w:rsidR="00085808" w:rsidRPr="00784539">
        <w:t>49</w:t>
      </w:r>
      <w:r w:rsidRPr="00784539">
        <w:t>(3).</w:t>
      </w:r>
    </w:p>
    <w:p w:rsidR="00A51EAA" w:rsidRPr="00784539" w:rsidRDefault="00A51EAA" w:rsidP="00A36634">
      <w:pPr>
        <w:pStyle w:val="Definition"/>
      </w:pPr>
      <w:r w:rsidRPr="00784539">
        <w:rPr>
          <w:b/>
          <w:i/>
        </w:rPr>
        <w:t>small securities exchange</w:t>
      </w:r>
      <w:r w:rsidRPr="00784539">
        <w:t xml:space="preserve"> has the meaning given by subsection</w:t>
      </w:r>
      <w:r w:rsidR="00784539" w:rsidRPr="00784539">
        <w:t> </w:t>
      </w:r>
      <w:r w:rsidR="00085808" w:rsidRPr="00784539">
        <w:t>48</w:t>
      </w:r>
      <w:r w:rsidRPr="00784539">
        <w:t>(3).</w:t>
      </w:r>
    </w:p>
    <w:p w:rsidR="00A51EAA" w:rsidRPr="00784539" w:rsidRDefault="00A51EAA" w:rsidP="00A36634">
      <w:pPr>
        <w:pStyle w:val="Definition"/>
      </w:pPr>
      <w:r w:rsidRPr="00784539">
        <w:rPr>
          <w:b/>
          <w:i/>
        </w:rPr>
        <w:t>small securities (self</w:t>
      </w:r>
      <w:r w:rsidR="00784539">
        <w:rPr>
          <w:b/>
          <w:i/>
        </w:rPr>
        <w:noBreakHyphen/>
      </w:r>
      <w:r w:rsidRPr="00784539">
        <w:rPr>
          <w:b/>
          <w:i/>
        </w:rPr>
        <w:t>listing) exchange</w:t>
      </w:r>
      <w:r w:rsidRPr="00784539">
        <w:t xml:space="preserve"> has the meaning given by subsection</w:t>
      </w:r>
      <w:r w:rsidR="00784539" w:rsidRPr="00784539">
        <w:t> </w:t>
      </w:r>
      <w:r w:rsidR="00085808" w:rsidRPr="00784539">
        <w:t>47</w:t>
      </w:r>
      <w:r w:rsidRPr="00784539">
        <w:t>(3).</w:t>
      </w:r>
    </w:p>
    <w:p w:rsidR="00A36634" w:rsidRPr="00784539" w:rsidRDefault="00A36634" w:rsidP="00A36634">
      <w:pPr>
        <w:pStyle w:val="Definition"/>
      </w:pPr>
      <w:r w:rsidRPr="00784539">
        <w:rPr>
          <w:b/>
          <w:i/>
        </w:rPr>
        <w:t>sub</w:t>
      </w:r>
      <w:r w:rsidR="00784539">
        <w:rPr>
          <w:b/>
          <w:i/>
        </w:rPr>
        <w:noBreakHyphen/>
      </w:r>
      <w:r w:rsidRPr="00784539">
        <w:rPr>
          <w:b/>
          <w:i/>
        </w:rPr>
        <w:t>sector</w:t>
      </w:r>
      <w:r w:rsidRPr="00784539">
        <w:t xml:space="preserve"> means a group of one or more entities each of which meets the criteria specified in a provision of Part</w:t>
      </w:r>
      <w:r w:rsidR="00784539" w:rsidRPr="00784539">
        <w:t> </w:t>
      </w:r>
      <w:r w:rsidRPr="00784539">
        <w:t>3 for an entity to form part of the sub</w:t>
      </w:r>
      <w:r w:rsidR="00784539">
        <w:noBreakHyphen/>
      </w:r>
      <w:r w:rsidRPr="00784539">
        <w:t>sector.</w:t>
      </w:r>
    </w:p>
    <w:p w:rsidR="00A36634" w:rsidRPr="00784539" w:rsidRDefault="00A36634" w:rsidP="00A36634">
      <w:pPr>
        <w:pStyle w:val="notetext"/>
      </w:pPr>
      <w:r w:rsidRPr="00784539">
        <w:t>Note 1:</w:t>
      </w:r>
      <w:r w:rsidRPr="00784539">
        <w:tab/>
        <w:t>Within each such provision, the name of the sub</w:t>
      </w:r>
      <w:r w:rsidR="00784539">
        <w:noBreakHyphen/>
      </w:r>
      <w:r w:rsidRPr="00784539">
        <w:t>sector is identified in bold italics.</w:t>
      </w:r>
    </w:p>
    <w:p w:rsidR="00A36634" w:rsidRPr="00784539" w:rsidRDefault="00A36634" w:rsidP="00A36634">
      <w:pPr>
        <w:pStyle w:val="notetext"/>
      </w:pPr>
      <w:r w:rsidRPr="00784539">
        <w:t>Note 2:</w:t>
      </w:r>
      <w:r w:rsidRPr="00784539">
        <w:tab/>
        <w:t>For a list of sub</w:t>
      </w:r>
      <w:r w:rsidR="00784539">
        <w:noBreakHyphen/>
      </w:r>
      <w:r w:rsidRPr="00784539">
        <w:t>sectors, see Schedule</w:t>
      </w:r>
      <w:r w:rsidR="00784539" w:rsidRPr="00784539">
        <w:t> </w:t>
      </w:r>
      <w:r w:rsidRPr="00784539">
        <w:t>1.</w:t>
      </w:r>
    </w:p>
    <w:p w:rsidR="00A36634" w:rsidRPr="00784539" w:rsidRDefault="00A36634" w:rsidP="00A36634">
      <w:pPr>
        <w:pStyle w:val="Definition"/>
      </w:pPr>
      <w:r w:rsidRPr="00784539">
        <w:rPr>
          <w:b/>
          <w:i/>
        </w:rPr>
        <w:t>sub</w:t>
      </w:r>
      <w:r w:rsidR="00784539">
        <w:rPr>
          <w:b/>
          <w:i/>
        </w:rPr>
        <w:noBreakHyphen/>
      </w:r>
      <w:r w:rsidRPr="00784539">
        <w:rPr>
          <w:b/>
          <w:i/>
        </w:rPr>
        <w:t>sector population</w:t>
      </w:r>
      <w:r w:rsidRPr="00784539">
        <w:t>, in relation to a sub</w:t>
      </w:r>
      <w:r w:rsidR="00784539">
        <w:noBreakHyphen/>
      </w:r>
      <w:r w:rsidRPr="00784539">
        <w:t>sector, for a financial year, means the number of entities specified by ASIC in an annual determination to be the number of entities that form part of the sub</w:t>
      </w:r>
      <w:r w:rsidR="00784539">
        <w:noBreakHyphen/>
      </w:r>
      <w:r w:rsidRPr="00784539">
        <w:t>sector at any time in the financial year.</w:t>
      </w:r>
    </w:p>
    <w:p w:rsidR="00A36634" w:rsidRPr="00784539" w:rsidRDefault="00A36634" w:rsidP="00A36634">
      <w:pPr>
        <w:pStyle w:val="Definition"/>
      </w:pPr>
      <w:r w:rsidRPr="00784539">
        <w:rPr>
          <w:b/>
          <w:i/>
        </w:rPr>
        <w:t>sub</w:t>
      </w:r>
      <w:r w:rsidR="00784539">
        <w:rPr>
          <w:b/>
          <w:i/>
        </w:rPr>
        <w:noBreakHyphen/>
      </w:r>
      <w:r w:rsidRPr="00784539">
        <w:rPr>
          <w:b/>
          <w:i/>
        </w:rPr>
        <w:t>sector regulatory costs</w:t>
      </w:r>
      <w:r w:rsidRPr="00784539">
        <w:t>, in relation to a sub</w:t>
      </w:r>
      <w:r w:rsidR="00784539">
        <w:noBreakHyphen/>
      </w:r>
      <w:r w:rsidRPr="00784539">
        <w:t>sector, for a financial year, means the Australian dollar amount specified by ASIC in a determination made under subsection</w:t>
      </w:r>
      <w:r w:rsidR="00784539" w:rsidRPr="00784539">
        <w:t> </w:t>
      </w:r>
      <w:r w:rsidRPr="00784539">
        <w:t>10(2) of the Act to be the extent to which ASIC’s regulatory costs for the financial year are attributable to the sub</w:t>
      </w:r>
      <w:r w:rsidR="00784539">
        <w:noBreakHyphen/>
      </w:r>
      <w:r w:rsidRPr="00784539">
        <w:t>sector.</w:t>
      </w:r>
    </w:p>
    <w:p w:rsidR="00A36634" w:rsidRPr="00784539" w:rsidRDefault="00A36634" w:rsidP="00A36634">
      <w:pPr>
        <w:pStyle w:val="subsection"/>
      </w:pPr>
      <w:r w:rsidRPr="00784539">
        <w:tab/>
        <w:t>(2)</w:t>
      </w:r>
      <w:r w:rsidRPr="00784539">
        <w:tab/>
        <w:t>Other expressions used in this instrument that are defined in section</w:t>
      </w:r>
      <w:r w:rsidR="00784539" w:rsidRPr="00784539">
        <w:t> </w:t>
      </w:r>
      <w:r w:rsidRPr="00784539">
        <w:t xml:space="preserve">9 or 761A of the </w:t>
      </w:r>
      <w:r w:rsidRPr="00784539">
        <w:rPr>
          <w:i/>
        </w:rPr>
        <w:t>Corporations Act 2001</w:t>
      </w:r>
      <w:r w:rsidRPr="00784539">
        <w:rPr>
          <w:b/>
        </w:rPr>
        <w:t xml:space="preserve"> </w:t>
      </w:r>
      <w:r w:rsidRPr="00784539">
        <w:t>have the same meaning as they have in those sections.</w:t>
      </w:r>
    </w:p>
    <w:p w:rsidR="00A36634" w:rsidRPr="00784539" w:rsidRDefault="00A36634" w:rsidP="00A36634">
      <w:pPr>
        <w:pStyle w:val="ActHead2"/>
        <w:pageBreakBefore/>
      </w:pPr>
      <w:bookmarkStart w:id="9" w:name="_Toc485110040"/>
      <w:r w:rsidRPr="00784539">
        <w:rPr>
          <w:rStyle w:val="CharPartNo"/>
        </w:rPr>
        <w:t>Part</w:t>
      </w:r>
      <w:r w:rsidR="00784539" w:rsidRPr="00784539">
        <w:rPr>
          <w:rStyle w:val="CharPartNo"/>
        </w:rPr>
        <w:t> </w:t>
      </w:r>
      <w:r w:rsidRPr="00784539">
        <w:rPr>
          <w:rStyle w:val="CharPartNo"/>
        </w:rPr>
        <w:t>2</w:t>
      </w:r>
      <w:r w:rsidRPr="00784539">
        <w:t>—</w:t>
      </w:r>
      <w:r w:rsidRPr="00784539">
        <w:rPr>
          <w:rStyle w:val="CharPartText"/>
        </w:rPr>
        <w:t>General provisions</w:t>
      </w:r>
      <w:bookmarkEnd w:id="9"/>
    </w:p>
    <w:p w:rsidR="00A36634" w:rsidRPr="00784539" w:rsidRDefault="00A36634" w:rsidP="00A36634">
      <w:pPr>
        <w:pStyle w:val="ActHead3"/>
      </w:pPr>
      <w:bookmarkStart w:id="10" w:name="_Toc485110041"/>
      <w:r w:rsidRPr="00784539">
        <w:rPr>
          <w:rStyle w:val="CharDivNo"/>
        </w:rPr>
        <w:t>Division</w:t>
      </w:r>
      <w:r w:rsidR="00784539" w:rsidRPr="00784539">
        <w:rPr>
          <w:rStyle w:val="CharDivNo"/>
        </w:rPr>
        <w:t> </w:t>
      </w:r>
      <w:r w:rsidRPr="00784539">
        <w:rPr>
          <w:rStyle w:val="CharDivNo"/>
        </w:rPr>
        <w:t>1</w:t>
      </w:r>
      <w:r w:rsidRPr="00784539">
        <w:t>—</w:t>
      </w:r>
      <w:r w:rsidRPr="00784539">
        <w:rPr>
          <w:rStyle w:val="CharDivText"/>
        </w:rPr>
        <w:t>Regulatory costs</w:t>
      </w:r>
      <w:bookmarkEnd w:id="10"/>
    </w:p>
    <w:p w:rsidR="00A36634" w:rsidRPr="00784539" w:rsidRDefault="00085808" w:rsidP="00A36634">
      <w:pPr>
        <w:pStyle w:val="ActHead5"/>
      </w:pPr>
      <w:bookmarkStart w:id="11" w:name="_Toc485110042"/>
      <w:r w:rsidRPr="00784539">
        <w:rPr>
          <w:rStyle w:val="CharSectno"/>
        </w:rPr>
        <w:t>5</w:t>
      </w:r>
      <w:r w:rsidR="00A36634" w:rsidRPr="00784539">
        <w:t xml:space="preserve">  Amounts not included in regulatory costs</w:t>
      </w:r>
      <w:bookmarkEnd w:id="11"/>
    </w:p>
    <w:p w:rsidR="00A36634" w:rsidRPr="00784539" w:rsidRDefault="00A36634" w:rsidP="00A36634">
      <w:pPr>
        <w:pStyle w:val="subsection"/>
      </w:pPr>
      <w:r w:rsidRPr="00784539">
        <w:tab/>
      </w:r>
      <w:r w:rsidRPr="00784539">
        <w:tab/>
        <w:t>For the purposes of paragraph</w:t>
      </w:r>
      <w:r w:rsidR="00784539" w:rsidRPr="00784539">
        <w:t> </w:t>
      </w:r>
      <w:r w:rsidRPr="00784539">
        <w:t>10(4)(c) of the Act, the following amounts must not be included in the amount of ASIC’s regulatory costs for a financial year:</w:t>
      </w:r>
    </w:p>
    <w:p w:rsidR="00A36634" w:rsidRPr="00784539" w:rsidRDefault="00A36634" w:rsidP="00A36634">
      <w:pPr>
        <w:pStyle w:val="paragraph"/>
      </w:pPr>
      <w:r w:rsidRPr="00784539">
        <w:tab/>
        <w:t>(a)</w:t>
      </w:r>
      <w:r w:rsidRPr="00784539">
        <w:tab/>
        <w:t xml:space="preserve">the cost of operating the Superannuation Complaints Tribunal (as established under the </w:t>
      </w:r>
      <w:r w:rsidRPr="00784539">
        <w:rPr>
          <w:i/>
        </w:rPr>
        <w:t>Superannuation (Resolution of Complaints) Act 1993</w:t>
      </w:r>
      <w:r w:rsidRPr="00784539">
        <w:t>);</w:t>
      </w:r>
    </w:p>
    <w:p w:rsidR="00A36634" w:rsidRPr="00784539" w:rsidRDefault="00A36634" w:rsidP="00A36634">
      <w:pPr>
        <w:pStyle w:val="paragraph"/>
      </w:pPr>
      <w:r w:rsidRPr="00784539">
        <w:tab/>
        <w:t>(b)</w:t>
      </w:r>
      <w:r w:rsidRPr="00784539">
        <w:tab/>
        <w:t xml:space="preserve">the cost of operating the Companies Auditors Disciplinary Board (as established under the </w:t>
      </w:r>
      <w:r w:rsidRPr="00784539">
        <w:rPr>
          <w:i/>
        </w:rPr>
        <w:t>Australian Securities and Investments Commission Act 2001</w:t>
      </w:r>
      <w:r w:rsidRPr="00784539">
        <w:t>);</w:t>
      </w:r>
    </w:p>
    <w:p w:rsidR="00A36634" w:rsidRPr="00784539" w:rsidRDefault="00A36634" w:rsidP="00A36634">
      <w:pPr>
        <w:pStyle w:val="paragraph"/>
      </w:pPr>
      <w:r w:rsidRPr="00784539">
        <w:tab/>
        <w:t>(c)</w:t>
      </w:r>
      <w:r w:rsidRPr="00784539">
        <w:tab/>
      </w:r>
      <w:r w:rsidR="00AA374C" w:rsidRPr="00784539">
        <w:t xml:space="preserve">the cost of </w:t>
      </w:r>
      <w:r w:rsidR="009B6CEE" w:rsidRPr="00784539">
        <w:t>operating a committee convened under section</w:t>
      </w:r>
      <w:r w:rsidR="00784539" w:rsidRPr="00784539">
        <w:t> </w:t>
      </w:r>
      <w:r w:rsidR="009B6CEE" w:rsidRPr="00784539">
        <w:t>40</w:t>
      </w:r>
      <w:r w:rsidR="00784539">
        <w:noBreakHyphen/>
      </w:r>
      <w:r w:rsidR="009B6CEE" w:rsidRPr="00784539">
        <w:t>45 of Schedule</w:t>
      </w:r>
      <w:r w:rsidR="00784539" w:rsidRPr="00784539">
        <w:t> </w:t>
      </w:r>
      <w:r w:rsidR="009B6CEE" w:rsidRPr="00784539">
        <w:t xml:space="preserve">2 to the </w:t>
      </w:r>
      <w:r w:rsidR="009B6CEE" w:rsidRPr="00784539">
        <w:rPr>
          <w:i/>
        </w:rPr>
        <w:t>Corporations Act 2001</w:t>
      </w:r>
      <w:r w:rsidR="009B6CEE" w:rsidRPr="00784539">
        <w:t>;</w:t>
      </w:r>
    </w:p>
    <w:p w:rsidR="00A36634" w:rsidRPr="00784539" w:rsidRDefault="00A36634" w:rsidP="00A36634">
      <w:pPr>
        <w:pStyle w:val="paragraph"/>
      </w:pPr>
      <w:r w:rsidRPr="00784539">
        <w:tab/>
        <w:t>(d)</w:t>
      </w:r>
      <w:r w:rsidRPr="00784539">
        <w:tab/>
        <w:t xml:space="preserve">the cost of operating and maintaining a public register kept by ASIC under the </w:t>
      </w:r>
      <w:r w:rsidRPr="00784539">
        <w:rPr>
          <w:i/>
        </w:rPr>
        <w:t>Corporations Act 2001</w:t>
      </w:r>
      <w:r w:rsidRPr="00784539">
        <w:t>;</w:t>
      </w:r>
    </w:p>
    <w:p w:rsidR="00730A5F" w:rsidRPr="00784539" w:rsidRDefault="00A36634" w:rsidP="00A36634">
      <w:pPr>
        <w:pStyle w:val="paragraph"/>
      </w:pPr>
      <w:r w:rsidRPr="00784539">
        <w:tab/>
        <w:t>(e)</w:t>
      </w:r>
      <w:r w:rsidRPr="00784539">
        <w:tab/>
        <w:t>the cost of regulating approved SMSF auditors (within the meaning of the</w:t>
      </w:r>
      <w:r w:rsidRPr="00784539">
        <w:rPr>
          <w:i/>
        </w:rPr>
        <w:t xml:space="preserve"> Superannuation Industry (Supervision) Act 1993</w:t>
      </w:r>
      <w:r w:rsidR="00EB404E" w:rsidRPr="00784539">
        <w:t>)</w:t>
      </w:r>
      <w:r w:rsidR="00AA374C" w:rsidRPr="00784539">
        <w:t>;</w:t>
      </w:r>
    </w:p>
    <w:p w:rsidR="00147839" w:rsidRPr="00784539" w:rsidRDefault="00AA374C" w:rsidP="00A36634">
      <w:pPr>
        <w:pStyle w:val="paragraph"/>
      </w:pPr>
      <w:r w:rsidRPr="00784539">
        <w:tab/>
        <w:t>(f)</w:t>
      </w:r>
      <w:r w:rsidRPr="00784539">
        <w:tab/>
      </w:r>
      <w:r w:rsidR="009B6CEE" w:rsidRPr="00784539">
        <w:t xml:space="preserve">the cost of preliminary investigations and reports by liquidators into the failure of </w:t>
      </w:r>
      <w:r w:rsidR="005B3E9E" w:rsidRPr="00784539">
        <w:t xml:space="preserve">a </w:t>
      </w:r>
      <w:r w:rsidR="009B6CEE" w:rsidRPr="00784539">
        <w:t>compan</w:t>
      </w:r>
      <w:r w:rsidR="005B3E9E" w:rsidRPr="00784539">
        <w:t xml:space="preserve">y </w:t>
      </w:r>
      <w:r w:rsidR="009B6CEE" w:rsidRPr="00784539">
        <w:t>with few or no assets</w:t>
      </w:r>
      <w:r w:rsidR="00147839" w:rsidRPr="00784539">
        <w:t>;</w:t>
      </w:r>
    </w:p>
    <w:p w:rsidR="000E5823" w:rsidRPr="00784539" w:rsidRDefault="00147839" w:rsidP="000E5823">
      <w:pPr>
        <w:pStyle w:val="paragraph"/>
      </w:pPr>
      <w:r w:rsidRPr="00784539">
        <w:tab/>
        <w:t>(g)</w:t>
      </w:r>
      <w:r w:rsidRPr="00784539">
        <w:tab/>
      </w:r>
      <w:r w:rsidR="00EC04BB" w:rsidRPr="00784539">
        <w:t xml:space="preserve">if the </w:t>
      </w:r>
      <w:r w:rsidR="00920FF4" w:rsidRPr="00784539">
        <w:t xml:space="preserve">financial year </w:t>
      </w:r>
      <w:r w:rsidR="001D4E09" w:rsidRPr="00784539">
        <w:t>commences</w:t>
      </w:r>
      <w:r w:rsidR="00920FF4" w:rsidRPr="00784539">
        <w:t xml:space="preserve"> before 1</w:t>
      </w:r>
      <w:r w:rsidR="00784539" w:rsidRPr="00784539">
        <w:t> </w:t>
      </w:r>
      <w:r w:rsidR="00920FF4" w:rsidRPr="00784539">
        <w:t>July 2019</w:t>
      </w:r>
      <w:r w:rsidR="00D07FD2" w:rsidRPr="00784539">
        <w:t xml:space="preserve">, </w:t>
      </w:r>
      <w:r w:rsidR="00BB5136" w:rsidRPr="00784539">
        <w:t xml:space="preserve">the </w:t>
      </w:r>
      <w:r w:rsidR="00676BD1" w:rsidRPr="00784539">
        <w:t xml:space="preserve">costs associated </w:t>
      </w:r>
      <w:r w:rsidR="00A251AD" w:rsidRPr="00784539">
        <w:t>with achieving</w:t>
      </w:r>
      <w:r w:rsidR="00676BD1" w:rsidRPr="00784539">
        <w:t xml:space="preserve"> the outcome </w:t>
      </w:r>
      <w:r w:rsidR="00762A14" w:rsidRPr="00784539">
        <w:t>described in</w:t>
      </w:r>
      <w:r w:rsidR="00676BD1" w:rsidRPr="00784539">
        <w:t xml:space="preserve"> </w:t>
      </w:r>
      <w:r w:rsidR="000E5823" w:rsidRPr="00784539">
        <w:t>Budget Paper No.</w:t>
      </w:r>
      <w:r w:rsidR="00784539" w:rsidRPr="00784539">
        <w:t> </w:t>
      </w:r>
      <w:r w:rsidR="000E5823" w:rsidRPr="00784539">
        <w:t>2, Budget Measures 2016</w:t>
      </w:r>
      <w:r w:rsidR="00784539">
        <w:noBreakHyphen/>
      </w:r>
      <w:r w:rsidR="000E5823" w:rsidRPr="00784539">
        <w:t>17, Part</w:t>
      </w:r>
      <w:r w:rsidR="00784539" w:rsidRPr="00784539">
        <w:t> </w:t>
      </w:r>
      <w:r w:rsidR="000E5823" w:rsidRPr="00784539">
        <w:t>2, topic headed “Australian Securities and Investments Commission—improving outcomes in financial services”</w:t>
      </w:r>
      <w:r w:rsidR="005E4316" w:rsidRPr="00784539">
        <w:t>.</w:t>
      </w:r>
    </w:p>
    <w:p w:rsidR="00A36634" w:rsidRPr="00784539" w:rsidRDefault="00A36634" w:rsidP="00A36634">
      <w:pPr>
        <w:pStyle w:val="ActHead3"/>
        <w:pageBreakBefore/>
      </w:pPr>
      <w:bookmarkStart w:id="12" w:name="_Toc485110043"/>
      <w:r w:rsidRPr="00784539">
        <w:rPr>
          <w:rStyle w:val="CharDivNo"/>
        </w:rPr>
        <w:t>Division</w:t>
      </w:r>
      <w:r w:rsidR="00784539" w:rsidRPr="00784539">
        <w:rPr>
          <w:rStyle w:val="CharDivNo"/>
        </w:rPr>
        <w:t> </w:t>
      </w:r>
      <w:r w:rsidRPr="00784539">
        <w:rPr>
          <w:rStyle w:val="CharDivNo"/>
        </w:rPr>
        <w:t>2</w:t>
      </w:r>
      <w:r w:rsidRPr="00784539">
        <w:t>—</w:t>
      </w:r>
      <w:r w:rsidRPr="00784539">
        <w:rPr>
          <w:rStyle w:val="CharDivText"/>
        </w:rPr>
        <w:t>Amount of levy payable</w:t>
      </w:r>
      <w:bookmarkEnd w:id="12"/>
    </w:p>
    <w:p w:rsidR="00A36634" w:rsidRPr="00784539" w:rsidRDefault="00A36634" w:rsidP="00A36634">
      <w:pPr>
        <w:pStyle w:val="ActHead4"/>
      </w:pPr>
      <w:bookmarkStart w:id="13" w:name="_Toc485110044"/>
      <w:r w:rsidRPr="00784539">
        <w:rPr>
          <w:rStyle w:val="CharSubdNo"/>
        </w:rPr>
        <w:t>Subdivision</w:t>
      </w:r>
      <w:r w:rsidR="00784539" w:rsidRPr="00784539">
        <w:rPr>
          <w:rStyle w:val="CharSubdNo"/>
        </w:rPr>
        <w:t> </w:t>
      </w:r>
      <w:r w:rsidRPr="00784539">
        <w:rPr>
          <w:rStyle w:val="CharSubdNo"/>
        </w:rPr>
        <w:t>2.1</w:t>
      </w:r>
      <w:r w:rsidRPr="00784539">
        <w:t>—</w:t>
      </w:r>
      <w:r w:rsidRPr="00784539">
        <w:rPr>
          <w:rStyle w:val="CharSubdText"/>
        </w:rPr>
        <w:t>General</w:t>
      </w:r>
      <w:bookmarkEnd w:id="13"/>
    </w:p>
    <w:p w:rsidR="00A36634" w:rsidRPr="00784539" w:rsidRDefault="00085808" w:rsidP="00A36634">
      <w:pPr>
        <w:pStyle w:val="ActHead5"/>
      </w:pPr>
      <w:bookmarkStart w:id="14" w:name="_Toc485110045"/>
      <w:r w:rsidRPr="00784539">
        <w:rPr>
          <w:rStyle w:val="CharSectno"/>
        </w:rPr>
        <w:t>6</w:t>
      </w:r>
      <w:r w:rsidR="00A36634" w:rsidRPr="00784539">
        <w:t xml:space="preserve">  Amount of levy</w:t>
      </w:r>
      <w:bookmarkEnd w:id="14"/>
    </w:p>
    <w:p w:rsidR="00A36634" w:rsidRPr="00784539" w:rsidRDefault="00A36634" w:rsidP="00A36634">
      <w:pPr>
        <w:pStyle w:val="subsection"/>
      </w:pPr>
      <w:r w:rsidRPr="00784539">
        <w:tab/>
      </w:r>
      <w:r w:rsidRPr="00784539">
        <w:tab/>
        <w:t>The amount of levy payable by a leviable entity for a financial year is the sum of each levy component the entity has for the financial year.</w:t>
      </w:r>
    </w:p>
    <w:p w:rsidR="00A36634" w:rsidRPr="00784539" w:rsidRDefault="00085808" w:rsidP="00A36634">
      <w:pPr>
        <w:pStyle w:val="ActHead5"/>
      </w:pPr>
      <w:bookmarkStart w:id="15" w:name="_Toc485110046"/>
      <w:r w:rsidRPr="00784539">
        <w:rPr>
          <w:rStyle w:val="CharSectno"/>
        </w:rPr>
        <w:t>7</w:t>
      </w:r>
      <w:r w:rsidR="00A36634" w:rsidRPr="00784539">
        <w:t xml:space="preserve">  Levy component</w:t>
      </w:r>
      <w:bookmarkEnd w:id="15"/>
    </w:p>
    <w:p w:rsidR="00A36634" w:rsidRPr="00784539" w:rsidRDefault="00A36634" w:rsidP="00A36634">
      <w:pPr>
        <w:pStyle w:val="SubsectionHead"/>
      </w:pPr>
      <w:r w:rsidRPr="00784539">
        <w:t>When an entity has a levy component</w:t>
      </w:r>
    </w:p>
    <w:p w:rsidR="00A36634" w:rsidRPr="00784539" w:rsidRDefault="00A36634" w:rsidP="00A36634">
      <w:pPr>
        <w:pStyle w:val="subsection"/>
      </w:pPr>
      <w:r w:rsidRPr="00784539">
        <w:tab/>
        <w:t>(1)</w:t>
      </w:r>
      <w:r w:rsidRPr="00784539">
        <w:tab/>
        <w:t xml:space="preserve">A leviable entity has a </w:t>
      </w:r>
      <w:r w:rsidRPr="00784539">
        <w:rPr>
          <w:b/>
          <w:i/>
        </w:rPr>
        <w:t>levy component</w:t>
      </w:r>
      <w:r w:rsidRPr="00784539">
        <w:t xml:space="preserve"> for a financial year in respect of each sub</w:t>
      </w:r>
      <w:r w:rsidR="00784539">
        <w:noBreakHyphen/>
      </w:r>
      <w:r w:rsidRPr="00784539">
        <w:t xml:space="preserve">sector of which the entity forms part </w:t>
      </w:r>
      <w:r w:rsidR="00225A2E" w:rsidRPr="00784539">
        <w:t>at any time in the financial year</w:t>
      </w:r>
      <w:r w:rsidRPr="00784539">
        <w:t>.</w:t>
      </w:r>
    </w:p>
    <w:p w:rsidR="00A36634" w:rsidRPr="00784539" w:rsidRDefault="00A36634" w:rsidP="00A36634">
      <w:pPr>
        <w:pStyle w:val="SubsectionHead"/>
      </w:pPr>
      <w:r w:rsidRPr="00784539">
        <w:t>Amount of a levy component</w:t>
      </w:r>
    </w:p>
    <w:p w:rsidR="00A36634" w:rsidRPr="00784539" w:rsidRDefault="00A36634" w:rsidP="00A36634">
      <w:pPr>
        <w:pStyle w:val="subsection"/>
      </w:pPr>
      <w:r w:rsidRPr="00784539">
        <w:tab/>
        <w:t>(2)</w:t>
      </w:r>
      <w:r w:rsidRPr="00784539">
        <w:tab/>
        <w:t>The amount of a leviable entity’s levy component for a financial year in respect of a sub</w:t>
      </w:r>
      <w:r w:rsidR="00784539">
        <w:noBreakHyphen/>
      </w:r>
      <w:r w:rsidRPr="00784539">
        <w:t>sector is:</w:t>
      </w:r>
    </w:p>
    <w:p w:rsidR="00A36634" w:rsidRPr="00784539" w:rsidRDefault="00A36634" w:rsidP="00A36634">
      <w:pPr>
        <w:pStyle w:val="paragraph"/>
      </w:pPr>
      <w:r w:rsidRPr="00784539">
        <w:tab/>
        <w:t>(a)</w:t>
      </w:r>
      <w:r w:rsidRPr="00784539">
        <w:tab/>
        <w:t>if a provision of Part</w:t>
      </w:r>
      <w:r w:rsidR="00784539" w:rsidRPr="00784539">
        <w:t> </w:t>
      </w:r>
      <w:r w:rsidRPr="00784539">
        <w:t xml:space="preserve">3 provides that the </w:t>
      </w:r>
      <w:r w:rsidR="009A63FE" w:rsidRPr="00784539">
        <w:t>basic</w:t>
      </w:r>
      <w:r w:rsidRPr="00784539">
        <w:t xml:space="preserve"> levy component applies to the sub</w:t>
      </w:r>
      <w:r w:rsidR="00784539">
        <w:noBreakHyphen/>
      </w:r>
      <w:r w:rsidRPr="00784539">
        <w:t xml:space="preserve">sector for the financial year—the </w:t>
      </w:r>
      <w:r w:rsidR="009A63FE" w:rsidRPr="00784539">
        <w:t>basic</w:t>
      </w:r>
      <w:r w:rsidR="000E42ED" w:rsidRPr="00784539">
        <w:t xml:space="preserve"> levy component for the </w:t>
      </w:r>
      <w:r w:rsidR="008E00D4" w:rsidRPr="00784539">
        <w:t xml:space="preserve">entity for the </w:t>
      </w:r>
      <w:r w:rsidRPr="00784539">
        <w:t>sub</w:t>
      </w:r>
      <w:r w:rsidR="00784539">
        <w:noBreakHyphen/>
      </w:r>
      <w:r w:rsidRPr="00784539">
        <w:t>sector for the financial year; or</w:t>
      </w:r>
    </w:p>
    <w:p w:rsidR="00A36634" w:rsidRPr="00784539" w:rsidRDefault="00A36634" w:rsidP="00A36634">
      <w:pPr>
        <w:pStyle w:val="paragraph"/>
      </w:pPr>
      <w:r w:rsidRPr="00784539">
        <w:tab/>
        <w:t>(b)</w:t>
      </w:r>
      <w:r w:rsidRPr="00784539">
        <w:tab/>
        <w:t xml:space="preserve">otherwise—the amount </w:t>
      </w:r>
      <w:r w:rsidR="00FC4DD8" w:rsidRPr="00784539">
        <w:t xml:space="preserve">of the levy component </w:t>
      </w:r>
      <w:r w:rsidRPr="00784539">
        <w:t>worked out for the entity and the sub</w:t>
      </w:r>
      <w:r w:rsidR="00784539">
        <w:noBreakHyphen/>
      </w:r>
      <w:r w:rsidRPr="00784539">
        <w:t>sector under Part</w:t>
      </w:r>
      <w:r w:rsidR="00784539" w:rsidRPr="00784539">
        <w:t> </w:t>
      </w:r>
      <w:r w:rsidRPr="00784539">
        <w:t>3.</w:t>
      </w:r>
    </w:p>
    <w:p w:rsidR="00A36634" w:rsidRPr="00784539" w:rsidRDefault="00A36634" w:rsidP="00A36634">
      <w:pPr>
        <w:pStyle w:val="notetext"/>
      </w:pPr>
      <w:r w:rsidRPr="00784539">
        <w:t>Note:</w:t>
      </w:r>
      <w:r w:rsidRPr="00784539">
        <w:tab/>
        <w:t xml:space="preserve">For the </w:t>
      </w:r>
      <w:r w:rsidR="002A68DE" w:rsidRPr="00784539">
        <w:t>basic</w:t>
      </w:r>
      <w:r w:rsidRPr="00784539">
        <w:t xml:space="preserve"> levy component, see section</w:t>
      </w:r>
      <w:r w:rsidR="00784539" w:rsidRPr="00784539">
        <w:t> </w:t>
      </w:r>
      <w:r w:rsidR="00085808" w:rsidRPr="00784539">
        <w:t>9</w:t>
      </w:r>
      <w:r w:rsidRPr="00784539">
        <w:t>.</w:t>
      </w:r>
    </w:p>
    <w:p w:rsidR="00A36634" w:rsidRPr="00784539" w:rsidRDefault="00085808" w:rsidP="0093481B">
      <w:pPr>
        <w:pStyle w:val="ActHead5"/>
      </w:pPr>
      <w:bookmarkStart w:id="16" w:name="_Toc485110047"/>
      <w:r w:rsidRPr="00784539">
        <w:rPr>
          <w:rStyle w:val="CharSectno"/>
        </w:rPr>
        <w:t>8</w:t>
      </w:r>
      <w:r w:rsidR="00A36634" w:rsidRPr="00784539">
        <w:t xml:space="preserve">  Levy component for leviable entities that are deregistered</w:t>
      </w:r>
      <w:bookmarkEnd w:id="16"/>
    </w:p>
    <w:p w:rsidR="007F6B9A" w:rsidRPr="00784539" w:rsidRDefault="00B00215" w:rsidP="007F6B9A">
      <w:pPr>
        <w:pStyle w:val="subsection"/>
      </w:pPr>
      <w:r w:rsidRPr="00784539">
        <w:tab/>
      </w:r>
      <w:r w:rsidRPr="00784539">
        <w:tab/>
      </w:r>
      <w:r w:rsidR="00FC4DD8" w:rsidRPr="00784539">
        <w:t>However, t</w:t>
      </w:r>
      <w:r w:rsidR="00A36634" w:rsidRPr="00784539">
        <w:t>he amount of levy payable by a leviable entity for a financial year is nil if</w:t>
      </w:r>
      <w:r w:rsidR="007F6B9A" w:rsidRPr="00784539">
        <w:t>:</w:t>
      </w:r>
    </w:p>
    <w:p w:rsidR="000B6965" w:rsidRPr="00784539" w:rsidRDefault="00B00215" w:rsidP="000B6965">
      <w:pPr>
        <w:pStyle w:val="paragraph"/>
      </w:pPr>
      <w:r w:rsidRPr="00784539">
        <w:tab/>
        <w:t>(a)</w:t>
      </w:r>
      <w:r w:rsidRPr="00784539">
        <w:tab/>
      </w:r>
      <w:r w:rsidR="0045580A" w:rsidRPr="00784539">
        <w:t xml:space="preserve">the entity is required to </w:t>
      </w:r>
      <w:r w:rsidR="000B6965" w:rsidRPr="00784539">
        <w:t>lodge a return relating to the financial year with ASIC under section</w:t>
      </w:r>
      <w:r w:rsidR="00784539" w:rsidRPr="00784539">
        <w:t> </w:t>
      </w:r>
      <w:r w:rsidR="000B6965" w:rsidRPr="00784539">
        <w:t xml:space="preserve">11 of the </w:t>
      </w:r>
      <w:r w:rsidR="000B6965" w:rsidRPr="00784539">
        <w:rPr>
          <w:i/>
        </w:rPr>
        <w:t>ASIC Supervisory Cost Recovery Levy (Collection) Act 2017</w:t>
      </w:r>
      <w:r w:rsidR="000B6965" w:rsidRPr="00784539">
        <w:t>; and</w:t>
      </w:r>
    </w:p>
    <w:p w:rsidR="0045580A" w:rsidRPr="00784539" w:rsidRDefault="000B6965" w:rsidP="000B6965">
      <w:pPr>
        <w:pStyle w:val="paragraph"/>
      </w:pPr>
      <w:r w:rsidRPr="00784539">
        <w:tab/>
      </w:r>
      <w:r w:rsidR="0045580A" w:rsidRPr="00784539">
        <w:t>(b)</w:t>
      </w:r>
      <w:r w:rsidR="0045580A" w:rsidRPr="00784539">
        <w:tab/>
        <w:t>before the</w:t>
      </w:r>
      <w:r w:rsidRPr="00784539">
        <w:t xml:space="preserve"> </w:t>
      </w:r>
      <w:r w:rsidR="00687AE7" w:rsidRPr="00784539">
        <w:t xml:space="preserve">end of the day on </w:t>
      </w:r>
      <w:r w:rsidRPr="00784539">
        <w:t>which the return is required to be lodged</w:t>
      </w:r>
      <w:r w:rsidR="0045580A" w:rsidRPr="00784539">
        <w:t>:</w:t>
      </w:r>
    </w:p>
    <w:p w:rsidR="0045580A" w:rsidRPr="00784539" w:rsidRDefault="0045580A" w:rsidP="0045580A">
      <w:pPr>
        <w:pStyle w:val="paragraphsub"/>
      </w:pPr>
      <w:r w:rsidRPr="00784539">
        <w:tab/>
        <w:t>(i)</w:t>
      </w:r>
      <w:r w:rsidRPr="00784539">
        <w:tab/>
        <w:t>the entity is deregistered under Part</w:t>
      </w:r>
      <w:r w:rsidR="00784539" w:rsidRPr="00784539">
        <w:t> </w:t>
      </w:r>
      <w:r w:rsidRPr="00784539">
        <w:t xml:space="preserve">5A.1 of the </w:t>
      </w:r>
      <w:r w:rsidRPr="00784539">
        <w:rPr>
          <w:i/>
        </w:rPr>
        <w:t>Corporations Act 2001</w:t>
      </w:r>
      <w:r w:rsidRPr="00784539">
        <w:t>; or</w:t>
      </w:r>
    </w:p>
    <w:p w:rsidR="0045580A" w:rsidRPr="00784539" w:rsidRDefault="0045580A" w:rsidP="0045580A">
      <w:pPr>
        <w:pStyle w:val="paragraphsub"/>
      </w:pPr>
      <w:r w:rsidRPr="00784539">
        <w:tab/>
        <w:t>(ii)</w:t>
      </w:r>
      <w:r w:rsidRPr="00784539">
        <w:tab/>
        <w:t>ASIC publishe</w:t>
      </w:r>
      <w:r w:rsidR="00387AAB" w:rsidRPr="00784539">
        <w:t>s</w:t>
      </w:r>
      <w:r w:rsidRPr="00784539">
        <w:t xml:space="preserve"> a notice regarding the proposed deregistration of the entity under section</w:t>
      </w:r>
      <w:r w:rsidR="00784539" w:rsidRPr="00784539">
        <w:t> </w:t>
      </w:r>
      <w:r w:rsidRPr="00784539">
        <w:t>601AA or 601AB of that Act; and</w:t>
      </w:r>
    </w:p>
    <w:p w:rsidR="00D41864" w:rsidRPr="00784539" w:rsidRDefault="007F6B9A" w:rsidP="007F6B9A">
      <w:pPr>
        <w:pStyle w:val="paragraph"/>
      </w:pPr>
      <w:r w:rsidRPr="00784539">
        <w:tab/>
        <w:t>(</w:t>
      </w:r>
      <w:r w:rsidR="0045580A" w:rsidRPr="00784539">
        <w:t>c</w:t>
      </w:r>
      <w:r w:rsidRPr="00784539">
        <w:t>)</w:t>
      </w:r>
      <w:r w:rsidRPr="00784539">
        <w:tab/>
        <w:t>the entity’s registration has not been reinstated</w:t>
      </w:r>
      <w:r w:rsidR="005248A2" w:rsidRPr="00784539">
        <w:t xml:space="preserve"> before </w:t>
      </w:r>
      <w:r w:rsidR="00D94B9B" w:rsidRPr="00784539">
        <w:t xml:space="preserve">the end of </w:t>
      </w:r>
      <w:r w:rsidR="005248A2" w:rsidRPr="00784539">
        <w:t>th</w:t>
      </w:r>
      <w:r w:rsidR="000B6965" w:rsidRPr="00784539">
        <w:t xml:space="preserve">at </w:t>
      </w:r>
      <w:r w:rsidR="00687AE7" w:rsidRPr="00784539">
        <w:t>day</w:t>
      </w:r>
      <w:r w:rsidRPr="00784539">
        <w:t>.</w:t>
      </w:r>
    </w:p>
    <w:p w:rsidR="00A36634" w:rsidRPr="00784539" w:rsidRDefault="00A36634" w:rsidP="00A36634">
      <w:pPr>
        <w:pStyle w:val="ActHead4"/>
      </w:pPr>
      <w:bookmarkStart w:id="17" w:name="_Toc485110048"/>
      <w:r w:rsidRPr="00784539">
        <w:rPr>
          <w:rStyle w:val="CharSubdNo"/>
        </w:rPr>
        <w:t>Subdivision</w:t>
      </w:r>
      <w:r w:rsidR="00784539" w:rsidRPr="00784539">
        <w:rPr>
          <w:rStyle w:val="CharSubdNo"/>
        </w:rPr>
        <w:t> </w:t>
      </w:r>
      <w:r w:rsidRPr="00784539">
        <w:rPr>
          <w:rStyle w:val="CharSubdNo"/>
        </w:rPr>
        <w:t>2.2</w:t>
      </w:r>
      <w:r w:rsidRPr="00784539">
        <w:t>—</w:t>
      </w:r>
      <w:r w:rsidRPr="00784539">
        <w:rPr>
          <w:rStyle w:val="CharSubdText"/>
        </w:rPr>
        <w:t>Levy components</w:t>
      </w:r>
      <w:bookmarkEnd w:id="17"/>
    </w:p>
    <w:p w:rsidR="00436F6E" w:rsidRPr="00784539" w:rsidRDefault="00085808" w:rsidP="00436F6E">
      <w:pPr>
        <w:pStyle w:val="ActHead5"/>
      </w:pPr>
      <w:bookmarkStart w:id="18" w:name="_Toc485110049"/>
      <w:r w:rsidRPr="00784539">
        <w:rPr>
          <w:rStyle w:val="CharSectno"/>
        </w:rPr>
        <w:t>9</w:t>
      </w:r>
      <w:r w:rsidR="00436F6E" w:rsidRPr="00784539">
        <w:t xml:space="preserve">  </w:t>
      </w:r>
      <w:r w:rsidR="007A0BA8" w:rsidRPr="00784539">
        <w:t>B</w:t>
      </w:r>
      <w:r w:rsidR="007A4487" w:rsidRPr="00784539">
        <w:t>asic levy component</w:t>
      </w:r>
      <w:bookmarkEnd w:id="18"/>
    </w:p>
    <w:p w:rsidR="00436F6E" w:rsidRPr="00784539" w:rsidRDefault="007A0BA8" w:rsidP="00436F6E">
      <w:pPr>
        <w:pStyle w:val="subsection"/>
      </w:pPr>
      <w:r w:rsidRPr="00784539">
        <w:tab/>
        <w:t>(</w:t>
      </w:r>
      <w:r w:rsidR="009A4993" w:rsidRPr="00784539">
        <w:t>1</w:t>
      </w:r>
      <w:r w:rsidRPr="00784539">
        <w:t>)</w:t>
      </w:r>
      <w:r w:rsidRPr="00784539">
        <w:tab/>
      </w:r>
      <w:r w:rsidR="00436F6E" w:rsidRPr="00784539">
        <w:t xml:space="preserve">The </w:t>
      </w:r>
      <w:r w:rsidR="007A4487" w:rsidRPr="00784539">
        <w:rPr>
          <w:b/>
          <w:i/>
        </w:rPr>
        <w:t>basic</w:t>
      </w:r>
      <w:r w:rsidR="00436F6E" w:rsidRPr="00784539">
        <w:rPr>
          <w:b/>
          <w:i/>
        </w:rPr>
        <w:t xml:space="preserve"> levy component</w:t>
      </w:r>
      <w:r w:rsidR="00436F6E" w:rsidRPr="00784539">
        <w:t xml:space="preserve"> for a </w:t>
      </w:r>
      <w:r w:rsidR="00687AE7" w:rsidRPr="00784539">
        <w:t xml:space="preserve">leviable entity for a </w:t>
      </w:r>
      <w:r w:rsidR="00436F6E" w:rsidRPr="00784539">
        <w:t>sub</w:t>
      </w:r>
      <w:r w:rsidR="00784539">
        <w:noBreakHyphen/>
      </w:r>
      <w:r w:rsidR="00436F6E" w:rsidRPr="00784539">
        <w:t>sector for a financial year is the amount worked out using the formula:</w:t>
      </w:r>
    </w:p>
    <w:bookmarkStart w:id="19" w:name="BKCheck15B_4"/>
    <w:bookmarkEnd w:id="19"/>
    <w:p w:rsidR="00436F6E" w:rsidRPr="00784539" w:rsidRDefault="00064568" w:rsidP="00436F6E">
      <w:pPr>
        <w:pStyle w:val="subsection2"/>
      </w:pPr>
      <w:r w:rsidRPr="00784539">
        <w:rPr>
          <w:position w:val="-32"/>
        </w:rPr>
        <w:object w:dxaOrig="351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39pt" o:ole="">
            <v:imagedata r:id="rId21" o:title=""/>
          </v:shape>
          <o:OLEObject Type="Embed" ProgID="Equation.DSMT4" ShapeID="_x0000_i1025" DrawAspect="Content" ObjectID="_1559650574" r:id="rId22"/>
        </w:object>
      </w:r>
    </w:p>
    <w:p w:rsidR="00436F6E" w:rsidRPr="00784539" w:rsidRDefault="00436F6E" w:rsidP="00436F6E">
      <w:pPr>
        <w:pStyle w:val="subsection2"/>
      </w:pPr>
      <w:r w:rsidRPr="00784539">
        <w:t>where:</w:t>
      </w:r>
    </w:p>
    <w:p w:rsidR="00436F6E" w:rsidRPr="00784539" w:rsidRDefault="007A4487" w:rsidP="00436F6E">
      <w:pPr>
        <w:pStyle w:val="Definition"/>
      </w:pPr>
      <w:r w:rsidRPr="00784539">
        <w:rPr>
          <w:b/>
          <w:i/>
        </w:rPr>
        <w:t>basic</w:t>
      </w:r>
      <w:r w:rsidR="00436F6E" w:rsidRPr="00784539">
        <w:rPr>
          <w:b/>
          <w:i/>
        </w:rPr>
        <w:t xml:space="preserve"> rate entity metric </w:t>
      </w:r>
      <w:r w:rsidR="00436F6E" w:rsidRPr="00784539">
        <w:t>means:</w:t>
      </w:r>
    </w:p>
    <w:p w:rsidR="00436F6E" w:rsidRPr="00784539" w:rsidRDefault="00436F6E" w:rsidP="00436F6E">
      <w:pPr>
        <w:pStyle w:val="paragraph"/>
      </w:pPr>
      <w:r w:rsidRPr="00784539">
        <w:tab/>
        <w:t>(a)</w:t>
      </w:r>
      <w:r w:rsidRPr="00784539">
        <w:tab/>
        <w:t xml:space="preserve">unless </w:t>
      </w:r>
      <w:r w:rsidR="00784539" w:rsidRPr="00784539">
        <w:t>paragraph (</w:t>
      </w:r>
      <w:r w:rsidRPr="00784539">
        <w:t>b) applies—the entity’s entity metric for the sub</w:t>
      </w:r>
      <w:r w:rsidR="00784539">
        <w:noBreakHyphen/>
      </w:r>
      <w:r w:rsidRPr="00784539">
        <w:t>sector for the financial year; or</w:t>
      </w:r>
    </w:p>
    <w:p w:rsidR="00436F6E" w:rsidRPr="00784539" w:rsidRDefault="00436F6E" w:rsidP="00436F6E">
      <w:pPr>
        <w:pStyle w:val="paragraph"/>
        <w:rPr>
          <w:rFonts w:eastAsiaTheme="minorHAnsi"/>
          <w:szCs w:val="22"/>
        </w:rPr>
      </w:pPr>
      <w:r w:rsidRPr="00784539">
        <w:tab/>
        <w:t>(b)</w:t>
      </w:r>
      <w:r w:rsidRPr="00784539">
        <w:tab/>
        <w:t xml:space="preserve">if </w:t>
      </w:r>
      <w:r w:rsidRPr="00784539">
        <w:rPr>
          <w:rFonts w:eastAsiaTheme="minorHAnsi"/>
          <w:szCs w:val="22"/>
        </w:rPr>
        <w:t>no provision in Part</w:t>
      </w:r>
      <w:r w:rsidR="00784539" w:rsidRPr="00784539">
        <w:rPr>
          <w:rFonts w:eastAsiaTheme="minorHAnsi"/>
          <w:szCs w:val="22"/>
        </w:rPr>
        <w:t> </w:t>
      </w:r>
      <w:r w:rsidRPr="00784539">
        <w:rPr>
          <w:rFonts w:eastAsiaTheme="minorHAnsi"/>
          <w:szCs w:val="22"/>
        </w:rPr>
        <w:t>3 specifies an amount to be the entity metric for the sub</w:t>
      </w:r>
      <w:r w:rsidR="00784539">
        <w:rPr>
          <w:rFonts w:eastAsiaTheme="minorHAnsi"/>
          <w:szCs w:val="22"/>
        </w:rPr>
        <w:noBreakHyphen/>
      </w:r>
      <w:r w:rsidRPr="00784539">
        <w:rPr>
          <w:rFonts w:eastAsiaTheme="minorHAnsi"/>
          <w:szCs w:val="22"/>
        </w:rPr>
        <w:t>sector for the financial year—1.</w:t>
      </w:r>
    </w:p>
    <w:p w:rsidR="00436F6E" w:rsidRPr="00784539" w:rsidRDefault="00436F6E" w:rsidP="00436F6E">
      <w:pPr>
        <w:pStyle w:val="Definition"/>
      </w:pPr>
      <w:r w:rsidRPr="00784539">
        <w:rPr>
          <w:b/>
          <w:i/>
        </w:rPr>
        <w:t>sub</w:t>
      </w:r>
      <w:r w:rsidR="00784539">
        <w:rPr>
          <w:b/>
          <w:i/>
        </w:rPr>
        <w:noBreakHyphen/>
      </w:r>
      <w:r w:rsidRPr="00784539">
        <w:rPr>
          <w:b/>
          <w:i/>
        </w:rPr>
        <w:t xml:space="preserve">sector metric </w:t>
      </w:r>
      <w:r w:rsidRPr="00784539">
        <w:t xml:space="preserve">means the number specified by ASIC in an annual determination to be the sum of the amounts of </w:t>
      </w:r>
      <w:r w:rsidR="002C32B2" w:rsidRPr="00784539">
        <w:rPr>
          <w:b/>
          <w:i/>
        </w:rPr>
        <w:t xml:space="preserve">basic </w:t>
      </w:r>
      <w:r w:rsidRPr="00784539">
        <w:rPr>
          <w:b/>
          <w:i/>
        </w:rPr>
        <w:t>rate</w:t>
      </w:r>
      <w:r w:rsidRPr="00784539">
        <w:rPr>
          <w:b/>
        </w:rPr>
        <w:t xml:space="preserve"> </w:t>
      </w:r>
      <w:r w:rsidRPr="00784539">
        <w:rPr>
          <w:b/>
          <w:i/>
        </w:rPr>
        <w:t xml:space="preserve">entity metric </w:t>
      </w:r>
      <w:r w:rsidRPr="00784539">
        <w:t>for all leviable entities that form part of the sub</w:t>
      </w:r>
      <w:r w:rsidR="00784539">
        <w:noBreakHyphen/>
      </w:r>
      <w:r w:rsidRPr="00784539">
        <w:t>sector for the financial year</w:t>
      </w:r>
      <w:r w:rsidR="00F05554" w:rsidRPr="00784539">
        <w:t>.</w:t>
      </w:r>
    </w:p>
    <w:p w:rsidR="00436F6E" w:rsidRPr="00784539" w:rsidRDefault="00436F6E" w:rsidP="00436F6E">
      <w:pPr>
        <w:pStyle w:val="Definition"/>
      </w:pPr>
      <w:r w:rsidRPr="00784539">
        <w:rPr>
          <w:b/>
          <w:i/>
        </w:rPr>
        <w:t>sub</w:t>
      </w:r>
      <w:r w:rsidR="00784539">
        <w:rPr>
          <w:b/>
          <w:i/>
        </w:rPr>
        <w:noBreakHyphen/>
      </w:r>
      <w:r w:rsidRPr="00784539">
        <w:rPr>
          <w:b/>
          <w:i/>
        </w:rPr>
        <w:t xml:space="preserve">sector regulatory costs </w:t>
      </w:r>
      <w:r w:rsidRPr="00784539">
        <w:t>means the sub</w:t>
      </w:r>
      <w:r w:rsidR="00784539">
        <w:noBreakHyphen/>
      </w:r>
      <w:r w:rsidRPr="00784539">
        <w:t>sector regulatory costs in relation to the sub</w:t>
      </w:r>
      <w:r w:rsidR="00784539">
        <w:noBreakHyphen/>
      </w:r>
      <w:r w:rsidRPr="00784539">
        <w:t>sector for the financial year.</w:t>
      </w:r>
    </w:p>
    <w:p w:rsidR="00436F6E" w:rsidRPr="00784539" w:rsidRDefault="00436F6E" w:rsidP="00436F6E">
      <w:pPr>
        <w:pStyle w:val="subsection"/>
      </w:pPr>
      <w:r w:rsidRPr="00784539">
        <w:tab/>
        <w:t>(</w:t>
      </w:r>
      <w:r w:rsidR="008E00D4" w:rsidRPr="00784539">
        <w:t>2</w:t>
      </w:r>
      <w:r w:rsidRPr="00784539">
        <w:t>)</w:t>
      </w:r>
      <w:r w:rsidRPr="00784539">
        <w:tab/>
        <w:t>However, i</w:t>
      </w:r>
      <w:r w:rsidR="00B52423" w:rsidRPr="00784539">
        <w:t>f a component of the formula is</w:t>
      </w:r>
      <w:r w:rsidR="00924091" w:rsidRPr="00784539">
        <w:t xml:space="preserve"> </w:t>
      </w:r>
      <w:r w:rsidRPr="00784539">
        <w:t>nil</w:t>
      </w:r>
      <w:r w:rsidR="00B36FE5" w:rsidRPr="00784539">
        <w:t xml:space="preserve"> or </w:t>
      </w:r>
      <w:r w:rsidR="00B52423" w:rsidRPr="00784539">
        <w:t xml:space="preserve">a </w:t>
      </w:r>
      <w:r w:rsidR="00B36FE5" w:rsidRPr="00784539">
        <w:t>negative</w:t>
      </w:r>
      <w:r w:rsidR="00924091" w:rsidRPr="00784539">
        <w:t xml:space="preserve"> amount</w:t>
      </w:r>
      <w:r w:rsidRPr="00784539">
        <w:t xml:space="preserve">, the amount of the </w:t>
      </w:r>
      <w:r w:rsidR="002C32B2" w:rsidRPr="00784539">
        <w:t>basic l</w:t>
      </w:r>
      <w:r w:rsidRPr="00784539">
        <w:t xml:space="preserve">evy </w:t>
      </w:r>
      <w:r w:rsidR="002C32B2" w:rsidRPr="00784539">
        <w:t>c</w:t>
      </w:r>
      <w:r w:rsidRPr="00784539">
        <w:t>omponent is nil.</w:t>
      </w:r>
    </w:p>
    <w:p w:rsidR="00A36634" w:rsidRPr="00784539" w:rsidRDefault="00085808" w:rsidP="00A36634">
      <w:pPr>
        <w:pStyle w:val="ActHead5"/>
      </w:pPr>
      <w:bookmarkStart w:id="20" w:name="_Toc485110050"/>
      <w:r w:rsidRPr="00784539">
        <w:rPr>
          <w:rStyle w:val="CharSectno"/>
        </w:rPr>
        <w:t>10</w:t>
      </w:r>
      <w:r w:rsidR="00A36634" w:rsidRPr="00784539">
        <w:t xml:space="preserve">  Graduated levy component</w:t>
      </w:r>
      <w:bookmarkEnd w:id="20"/>
    </w:p>
    <w:p w:rsidR="00A36634" w:rsidRPr="00784539" w:rsidRDefault="00A36634" w:rsidP="00A36634">
      <w:pPr>
        <w:pStyle w:val="subsection"/>
      </w:pPr>
      <w:r w:rsidRPr="00784539">
        <w:tab/>
        <w:t>(1)</w:t>
      </w:r>
      <w:r w:rsidRPr="00784539">
        <w:tab/>
        <w:t xml:space="preserve">The </w:t>
      </w:r>
      <w:r w:rsidRPr="00784539">
        <w:rPr>
          <w:b/>
          <w:i/>
        </w:rPr>
        <w:t xml:space="preserve">graduated levy component </w:t>
      </w:r>
      <w:r w:rsidRPr="00784539">
        <w:t>for a leviable entity for a sub</w:t>
      </w:r>
      <w:r w:rsidR="00784539">
        <w:noBreakHyphen/>
      </w:r>
      <w:r w:rsidRPr="00784539">
        <w:t>sector for a financial year is the amount worked out using the formula:</w:t>
      </w:r>
    </w:p>
    <w:bookmarkStart w:id="21" w:name="BKCheck15B_5"/>
    <w:bookmarkEnd w:id="21"/>
    <w:p w:rsidR="00A36634" w:rsidRPr="00784539" w:rsidRDefault="00033A8F" w:rsidP="00A36634">
      <w:pPr>
        <w:pStyle w:val="subsection2"/>
      </w:pPr>
      <w:r w:rsidRPr="00784539">
        <w:rPr>
          <w:position w:val="-54"/>
        </w:rPr>
        <w:object w:dxaOrig="5160" w:dyaOrig="1180">
          <v:shape id="_x0000_i1026" type="#_x0000_t75" style="width:257.25pt;height:59.25pt" o:ole="">
            <v:imagedata r:id="rId23" o:title=""/>
          </v:shape>
          <o:OLEObject Type="Embed" ProgID="Equation.DSMT4" ShapeID="_x0000_i1026" DrawAspect="Content" ObjectID="_1559650575" r:id="rId24"/>
        </w:object>
      </w:r>
    </w:p>
    <w:p w:rsidR="00A36634" w:rsidRPr="00784539" w:rsidRDefault="00A36634" w:rsidP="00A36634">
      <w:pPr>
        <w:pStyle w:val="subsection2"/>
      </w:pPr>
      <w:r w:rsidRPr="00784539">
        <w:t>where:</w:t>
      </w:r>
    </w:p>
    <w:p w:rsidR="00A36634" w:rsidRPr="00784539" w:rsidRDefault="00A36634" w:rsidP="00A36634">
      <w:pPr>
        <w:pStyle w:val="Definition"/>
      </w:pPr>
      <w:r w:rsidRPr="00784539">
        <w:rPr>
          <w:b/>
          <w:i/>
        </w:rPr>
        <w:t xml:space="preserve">graduated entity metric </w:t>
      </w:r>
      <w:r w:rsidRPr="00784539">
        <w:t>means:</w:t>
      </w:r>
    </w:p>
    <w:p w:rsidR="00A36634" w:rsidRPr="00784539" w:rsidRDefault="00A36634" w:rsidP="00A36634">
      <w:pPr>
        <w:pStyle w:val="paragraph"/>
      </w:pPr>
      <w:r w:rsidRPr="00784539">
        <w:tab/>
        <w:t>(a)</w:t>
      </w:r>
      <w:r w:rsidRPr="00784539">
        <w:tab/>
        <w:t xml:space="preserve">unless </w:t>
      </w:r>
      <w:r w:rsidR="00784539" w:rsidRPr="00784539">
        <w:t>paragraph (</w:t>
      </w:r>
      <w:r w:rsidRPr="00784539">
        <w:t>b) applies—the entity’s entity metric for the sub</w:t>
      </w:r>
      <w:r w:rsidR="00784539">
        <w:noBreakHyphen/>
      </w:r>
      <w:r w:rsidRPr="00784539">
        <w:t>sector for the financial year; or</w:t>
      </w:r>
    </w:p>
    <w:p w:rsidR="00A36634" w:rsidRPr="00784539" w:rsidRDefault="00A36634" w:rsidP="00A36634">
      <w:pPr>
        <w:pStyle w:val="paragraph"/>
      </w:pPr>
      <w:r w:rsidRPr="00784539">
        <w:tab/>
        <w:t>(b)</w:t>
      </w:r>
      <w:r w:rsidRPr="00784539">
        <w:tab/>
        <w:t xml:space="preserve">if </w:t>
      </w:r>
      <w:r w:rsidR="00A6312B" w:rsidRPr="00784539">
        <w:t>a provision of Part</w:t>
      </w:r>
      <w:r w:rsidR="00784539" w:rsidRPr="00784539">
        <w:t> </w:t>
      </w:r>
      <w:r w:rsidR="00A6312B" w:rsidRPr="00784539">
        <w:t>3</w:t>
      </w:r>
      <w:r w:rsidRPr="00784539">
        <w:t xml:space="preserve"> specifies a minimum levy threshold for the sub</w:t>
      </w:r>
      <w:r w:rsidR="00784539">
        <w:noBreakHyphen/>
      </w:r>
      <w:r w:rsidRPr="00784539">
        <w:t>sector for the financial year—the difference between the entity’s entity metric for the sub</w:t>
      </w:r>
      <w:r w:rsidR="00784539">
        <w:noBreakHyphen/>
      </w:r>
      <w:r w:rsidRPr="00784539">
        <w:t>sector for the financial year and the minimum levy threshold.</w:t>
      </w:r>
    </w:p>
    <w:p w:rsidR="00F10F4F" w:rsidRPr="00784539" w:rsidRDefault="00A36634" w:rsidP="000C42B2">
      <w:pPr>
        <w:pStyle w:val="Definition"/>
      </w:pPr>
      <w:r w:rsidRPr="00784539">
        <w:rPr>
          <w:b/>
          <w:i/>
        </w:rPr>
        <w:t xml:space="preserve">minimum levy component </w:t>
      </w:r>
      <w:r w:rsidRPr="00784539">
        <w:t>means</w:t>
      </w:r>
      <w:r w:rsidR="000C42B2" w:rsidRPr="00784539">
        <w:t xml:space="preserve"> the minimum levy component for the sub</w:t>
      </w:r>
      <w:r w:rsidR="00784539">
        <w:noBreakHyphen/>
      </w:r>
      <w:r w:rsidR="000C42B2" w:rsidRPr="00784539">
        <w:t>sector for the financial year</w:t>
      </w:r>
      <w:r w:rsidR="00F10F4F" w:rsidRPr="00784539">
        <w:t>.</w:t>
      </w:r>
    </w:p>
    <w:p w:rsidR="00A36634" w:rsidRPr="00784539" w:rsidRDefault="00A36634" w:rsidP="00A36634">
      <w:pPr>
        <w:pStyle w:val="Definition"/>
        <w:rPr>
          <w:b/>
          <w:i/>
        </w:rPr>
      </w:pPr>
      <w:r w:rsidRPr="00784539">
        <w:rPr>
          <w:b/>
          <w:i/>
        </w:rPr>
        <w:t>sub</w:t>
      </w:r>
      <w:r w:rsidR="00784539">
        <w:rPr>
          <w:b/>
          <w:i/>
        </w:rPr>
        <w:noBreakHyphen/>
      </w:r>
      <w:r w:rsidRPr="00784539">
        <w:rPr>
          <w:b/>
          <w:i/>
        </w:rPr>
        <w:t xml:space="preserve">sector metric </w:t>
      </w:r>
      <w:r w:rsidRPr="00784539">
        <w:t xml:space="preserve">means the number specified by ASIC in an annual determination to be the sum of the amounts of </w:t>
      </w:r>
      <w:r w:rsidR="004A48E8" w:rsidRPr="00784539">
        <w:rPr>
          <w:b/>
          <w:i/>
        </w:rPr>
        <w:t xml:space="preserve">graduated </w:t>
      </w:r>
      <w:r w:rsidRPr="00784539">
        <w:rPr>
          <w:b/>
          <w:i/>
        </w:rPr>
        <w:t xml:space="preserve">entity metric </w:t>
      </w:r>
      <w:r w:rsidRPr="00784539">
        <w:t>for all leviable entities that form part of the sub</w:t>
      </w:r>
      <w:r w:rsidR="00784539">
        <w:noBreakHyphen/>
      </w:r>
      <w:r w:rsidRPr="00784539">
        <w:t>sector for the financial year.</w:t>
      </w:r>
    </w:p>
    <w:p w:rsidR="00A36634" w:rsidRPr="00784539" w:rsidRDefault="00A36634" w:rsidP="00A36634">
      <w:pPr>
        <w:pStyle w:val="Definition"/>
      </w:pPr>
      <w:r w:rsidRPr="00784539">
        <w:rPr>
          <w:b/>
          <w:i/>
        </w:rPr>
        <w:t>sub</w:t>
      </w:r>
      <w:r w:rsidR="00784539">
        <w:rPr>
          <w:b/>
          <w:i/>
        </w:rPr>
        <w:noBreakHyphen/>
      </w:r>
      <w:r w:rsidRPr="00784539">
        <w:rPr>
          <w:b/>
          <w:i/>
        </w:rPr>
        <w:t xml:space="preserve">sector population </w:t>
      </w:r>
      <w:r w:rsidRPr="00784539">
        <w:t>means the sub</w:t>
      </w:r>
      <w:r w:rsidR="00784539">
        <w:noBreakHyphen/>
      </w:r>
      <w:r w:rsidRPr="00784539">
        <w:t>sector population in relation to the sub</w:t>
      </w:r>
      <w:r w:rsidR="00784539">
        <w:noBreakHyphen/>
      </w:r>
      <w:r w:rsidRPr="00784539">
        <w:t>sector for the financial year.</w:t>
      </w:r>
    </w:p>
    <w:p w:rsidR="00A36634" w:rsidRPr="00784539" w:rsidRDefault="00A36634" w:rsidP="00A36634">
      <w:pPr>
        <w:pStyle w:val="Definition"/>
        <w:rPr>
          <w:b/>
          <w:i/>
        </w:rPr>
      </w:pPr>
      <w:r w:rsidRPr="00784539">
        <w:rPr>
          <w:b/>
          <w:i/>
        </w:rPr>
        <w:t>sub</w:t>
      </w:r>
      <w:r w:rsidR="00784539">
        <w:rPr>
          <w:b/>
          <w:i/>
        </w:rPr>
        <w:noBreakHyphen/>
      </w:r>
      <w:r w:rsidRPr="00784539">
        <w:rPr>
          <w:b/>
          <w:i/>
        </w:rPr>
        <w:t xml:space="preserve">sector regulatory costs </w:t>
      </w:r>
      <w:r w:rsidRPr="00784539">
        <w:t>means the sub</w:t>
      </w:r>
      <w:r w:rsidR="00784539">
        <w:noBreakHyphen/>
      </w:r>
      <w:r w:rsidRPr="00784539">
        <w:t>sector regulatory costs in relation to the sub</w:t>
      </w:r>
      <w:r w:rsidR="00784539">
        <w:noBreakHyphen/>
      </w:r>
      <w:r w:rsidRPr="00784539">
        <w:t>sector for the financial year.</w:t>
      </w:r>
    </w:p>
    <w:p w:rsidR="00A36634" w:rsidRPr="00784539" w:rsidRDefault="00A36634" w:rsidP="00A36634">
      <w:pPr>
        <w:pStyle w:val="subsection"/>
      </w:pPr>
      <w:r w:rsidRPr="00784539">
        <w:tab/>
        <w:t>(</w:t>
      </w:r>
      <w:r w:rsidR="00060503" w:rsidRPr="00784539">
        <w:t>2</w:t>
      </w:r>
      <w:r w:rsidRPr="00784539">
        <w:t>)</w:t>
      </w:r>
      <w:r w:rsidRPr="00784539">
        <w:tab/>
        <w:t>However, if a component of the formula is nil</w:t>
      </w:r>
      <w:r w:rsidR="00B36FE5" w:rsidRPr="00784539">
        <w:t xml:space="preserve"> or </w:t>
      </w:r>
      <w:r w:rsidR="00B52423" w:rsidRPr="00784539">
        <w:t xml:space="preserve">a </w:t>
      </w:r>
      <w:r w:rsidR="00B36FE5" w:rsidRPr="00784539">
        <w:t>negative</w:t>
      </w:r>
      <w:r w:rsidR="00924091" w:rsidRPr="00784539">
        <w:t xml:space="preserve"> amount</w:t>
      </w:r>
      <w:r w:rsidRPr="00784539">
        <w:t>, the amount of the graduated levy component is nil.</w:t>
      </w:r>
    </w:p>
    <w:p w:rsidR="00BF5A30" w:rsidRPr="00784539" w:rsidRDefault="00085808" w:rsidP="00BF5A30">
      <w:pPr>
        <w:pStyle w:val="ActHead5"/>
      </w:pPr>
      <w:bookmarkStart w:id="22" w:name="_Toc485110051"/>
      <w:r w:rsidRPr="00784539">
        <w:rPr>
          <w:rStyle w:val="CharSectno"/>
        </w:rPr>
        <w:t>11</w:t>
      </w:r>
      <w:r w:rsidR="00BF5A30" w:rsidRPr="00784539">
        <w:t xml:space="preserve">  Pro</w:t>
      </w:r>
      <w:r w:rsidR="00784539">
        <w:noBreakHyphen/>
      </w:r>
      <w:r w:rsidR="00BF5A30" w:rsidRPr="00784539">
        <w:t>rata of entity metric</w:t>
      </w:r>
      <w:bookmarkEnd w:id="22"/>
    </w:p>
    <w:p w:rsidR="00BF5A30" w:rsidRPr="00784539" w:rsidRDefault="00BF5A30" w:rsidP="00BF5A30">
      <w:pPr>
        <w:pStyle w:val="subsection"/>
      </w:pPr>
      <w:r w:rsidRPr="00784539">
        <w:tab/>
        <w:t>(1)</w:t>
      </w:r>
      <w:r w:rsidRPr="00784539">
        <w:tab/>
        <w:t>This section applies to a leviable entity for a financial year if:</w:t>
      </w:r>
    </w:p>
    <w:p w:rsidR="00BF5A30" w:rsidRPr="00784539" w:rsidRDefault="00BF5A30" w:rsidP="00BF5A30">
      <w:pPr>
        <w:pStyle w:val="paragraph"/>
      </w:pPr>
      <w:r w:rsidRPr="00784539">
        <w:tab/>
        <w:t>(a)</w:t>
      </w:r>
      <w:r w:rsidRPr="00784539">
        <w:tab/>
        <w:t>a provision of Part</w:t>
      </w:r>
      <w:r w:rsidR="00784539" w:rsidRPr="00784539">
        <w:t> </w:t>
      </w:r>
      <w:r w:rsidRPr="00784539">
        <w:t xml:space="preserve">3 (the </w:t>
      </w:r>
      <w:r w:rsidRPr="00784539">
        <w:rPr>
          <w:b/>
          <w:i/>
        </w:rPr>
        <w:t>pro</w:t>
      </w:r>
      <w:r w:rsidR="00784539">
        <w:rPr>
          <w:b/>
          <w:i/>
        </w:rPr>
        <w:noBreakHyphen/>
      </w:r>
      <w:r w:rsidRPr="00784539">
        <w:rPr>
          <w:b/>
          <w:i/>
        </w:rPr>
        <w:t>rata provision</w:t>
      </w:r>
      <w:r w:rsidRPr="00784539">
        <w:t>) that applies to the entity provides that there is a pro</w:t>
      </w:r>
      <w:r w:rsidR="00784539">
        <w:noBreakHyphen/>
      </w:r>
      <w:r w:rsidRPr="00784539">
        <w:t>rata of the entity metric for a sub</w:t>
      </w:r>
      <w:r w:rsidR="00784539">
        <w:noBreakHyphen/>
      </w:r>
      <w:r w:rsidRPr="00784539">
        <w:t>sector for a financial year; and</w:t>
      </w:r>
    </w:p>
    <w:p w:rsidR="00BF5A30" w:rsidRPr="00784539" w:rsidRDefault="00BF5A30" w:rsidP="00BF5A30">
      <w:pPr>
        <w:pStyle w:val="paragraph"/>
      </w:pPr>
      <w:r w:rsidRPr="00784539">
        <w:tab/>
        <w:t>(b)</w:t>
      </w:r>
      <w:r w:rsidRPr="00784539">
        <w:tab/>
        <w:t>the number of counted days for the entity for the financial year under the pro</w:t>
      </w:r>
      <w:r w:rsidR="00784539">
        <w:noBreakHyphen/>
      </w:r>
      <w:r w:rsidRPr="00784539">
        <w:t xml:space="preserve">rata provision </w:t>
      </w:r>
      <w:r w:rsidR="00740AAF" w:rsidRPr="00784539">
        <w:t>is</w:t>
      </w:r>
      <w:r w:rsidRPr="00784539">
        <w:t xml:space="preserve"> less than the number of days in the financial year.</w:t>
      </w:r>
    </w:p>
    <w:p w:rsidR="00BF5A30" w:rsidRPr="00784539" w:rsidRDefault="00BF5A30" w:rsidP="00BF5A30">
      <w:pPr>
        <w:pStyle w:val="subsection"/>
      </w:pPr>
      <w:r w:rsidRPr="00784539">
        <w:tab/>
        <w:t>(2)</w:t>
      </w:r>
      <w:r w:rsidRPr="00784539">
        <w:tab/>
        <w:t xml:space="preserve">The </w:t>
      </w:r>
      <w:r w:rsidRPr="00784539">
        <w:rPr>
          <w:b/>
          <w:i/>
        </w:rPr>
        <w:t>entity metric</w:t>
      </w:r>
      <w:r w:rsidRPr="00784539">
        <w:t xml:space="preserve"> for the leviable entity is to be reduced by multiplying it by the following fraction:</w:t>
      </w:r>
    </w:p>
    <w:bookmarkStart w:id="23" w:name="BKCheck15B_6"/>
    <w:bookmarkEnd w:id="23"/>
    <w:p w:rsidR="00BF5A30" w:rsidRPr="00784539" w:rsidRDefault="00BF5A30" w:rsidP="00BF5A30">
      <w:pPr>
        <w:pStyle w:val="subsection2"/>
      </w:pPr>
      <w:r w:rsidRPr="00784539">
        <w:rPr>
          <w:position w:val="-36"/>
        </w:rPr>
        <w:object w:dxaOrig="3019" w:dyaOrig="800">
          <v:shape id="_x0000_i1027" type="#_x0000_t75" style="width:150.75pt;height:39.75pt" o:ole="">
            <v:imagedata r:id="rId25" o:title=""/>
          </v:shape>
          <o:OLEObject Type="Embed" ProgID="Equation.DSMT4" ShapeID="_x0000_i1027" DrawAspect="Content" ObjectID="_1559650576" r:id="rId26"/>
        </w:object>
      </w:r>
    </w:p>
    <w:p w:rsidR="00BF5A30" w:rsidRPr="00784539" w:rsidRDefault="00BF5A30" w:rsidP="00BF5A30">
      <w:pPr>
        <w:pStyle w:val="subsection2"/>
      </w:pPr>
      <w:r w:rsidRPr="00784539">
        <w:t>where:</w:t>
      </w:r>
    </w:p>
    <w:p w:rsidR="00BF5A30" w:rsidRPr="00784539" w:rsidRDefault="00BF5A30" w:rsidP="00BF5A30">
      <w:pPr>
        <w:pStyle w:val="Definition"/>
      </w:pPr>
      <w:r w:rsidRPr="00784539">
        <w:rPr>
          <w:b/>
          <w:i/>
        </w:rPr>
        <w:t>counted days</w:t>
      </w:r>
      <w:r w:rsidRPr="00784539">
        <w:t xml:space="preserve"> means the number of days counted for the entity under the pro</w:t>
      </w:r>
      <w:r w:rsidR="00784539">
        <w:noBreakHyphen/>
      </w:r>
      <w:r w:rsidRPr="00784539">
        <w:t>rata provision.</w:t>
      </w:r>
    </w:p>
    <w:p w:rsidR="00B53E97" w:rsidRPr="00784539" w:rsidRDefault="00085808" w:rsidP="00525AC5">
      <w:pPr>
        <w:pStyle w:val="ActHead5"/>
        <w:rPr>
          <w:rFonts w:eastAsiaTheme="minorHAnsi"/>
        </w:rPr>
      </w:pPr>
      <w:bookmarkStart w:id="24" w:name="_Toc485110052"/>
      <w:r w:rsidRPr="00784539">
        <w:rPr>
          <w:rStyle w:val="CharSectno"/>
          <w:rFonts w:eastAsiaTheme="minorHAnsi"/>
        </w:rPr>
        <w:t>12</w:t>
      </w:r>
      <w:r w:rsidR="00B53E97" w:rsidRPr="00784539">
        <w:rPr>
          <w:rFonts w:eastAsiaTheme="minorHAnsi"/>
        </w:rPr>
        <w:t xml:space="preserve">  Rules about amounts</w:t>
      </w:r>
      <w:bookmarkEnd w:id="24"/>
    </w:p>
    <w:p w:rsidR="000728DC" w:rsidRPr="00784539" w:rsidRDefault="00B53E97" w:rsidP="00525AC5">
      <w:pPr>
        <w:pStyle w:val="subsection"/>
        <w:rPr>
          <w:rFonts w:eastAsiaTheme="minorHAnsi"/>
        </w:rPr>
      </w:pPr>
      <w:r w:rsidRPr="00784539">
        <w:rPr>
          <w:rFonts w:eastAsiaTheme="minorHAnsi"/>
        </w:rPr>
        <w:tab/>
        <w:t>(1)</w:t>
      </w:r>
      <w:r w:rsidRPr="00784539">
        <w:rPr>
          <w:rFonts w:eastAsiaTheme="minorHAnsi"/>
        </w:rPr>
        <w:tab/>
      </w:r>
      <w:r w:rsidR="000728DC" w:rsidRPr="00784539">
        <w:rPr>
          <w:rFonts w:eastAsiaTheme="minorHAnsi"/>
        </w:rPr>
        <w:t xml:space="preserve">An amount </w:t>
      </w:r>
      <w:r w:rsidR="00D25819" w:rsidRPr="00784539">
        <w:rPr>
          <w:rFonts w:eastAsiaTheme="minorHAnsi"/>
        </w:rPr>
        <w:t>w</w:t>
      </w:r>
      <w:r w:rsidR="00BF2677" w:rsidRPr="00784539">
        <w:rPr>
          <w:rFonts w:eastAsiaTheme="minorHAnsi"/>
        </w:rPr>
        <w:t>orked out under</w:t>
      </w:r>
      <w:r w:rsidR="00B36FE5" w:rsidRPr="00784539">
        <w:rPr>
          <w:rFonts w:eastAsiaTheme="minorHAnsi"/>
        </w:rPr>
        <w:t xml:space="preserve"> </w:t>
      </w:r>
      <w:r w:rsidR="00A44F35" w:rsidRPr="00784539">
        <w:rPr>
          <w:rFonts w:eastAsiaTheme="minorHAnsi"/>
        </w:rPr>
        <w:t>this Division</w:t>
      </w:r>
      <w:r w:rsidR="007C529E" w:rsidRPr="00784539">
        <w:rPr>
          <w:rFonts w:eastAsiaTheme="minorHAnsi"/>
        </w:rPr>
        <w:t xml:space="preserve"> </w:t>
      </w:r>
      <w:r w:rsidR="000728DC" w:rsidRPr="00784539">
        <w:rPr>
          <w:rFonts w:eastAsiaTheme="minorHAnsi"/>
        </w:rPr>
        <w:t>must be rounded to the nearest whole dollar (rounding 50 cents upwards).</w:t>
      </w:r>
    </w:p>
    <w:p w:rsidR="00047292" w:rsidRPr="00784539" w:rsidRDefault="000728DC" w:rsidP="000728DC">
      <w:pPr>
        <w:pStyle w:val="subsection"/>
        <w:rPr>
          <w:rFonts w:eastAsiaTheme="minorHAnsi"/>
        </w:rPr>
      </w:pPr>
      <w:r w:rsidRPr="00784539">
        <w:rPr>
          <w:rFonts w:eastAsiaTheme="minorHAnsi"/>
        </w:rPr>
        <w:tab/>
      </w:r>
      <w:r w:rsidR="00E25613" w:rsidRPr="00784539">
        <w:rPr>
          <w:rFonts w:eastAsiaTheme="minorHAnsi"/>
        </w:rPr>
        <w:t>(2)</w:t>
      </w:r>
      <w:r w:rsidR="00E25613" w:rsidRPr="00784539">
        <w:rPr>
          <w:rFonts w:eastAsiaTheme="minorHAnsi"/>
        </w:rPr>
        <w:tab/>
      </w:r>
      <w:r w:rsidR="00047292" w:rsidRPr="00784539">
        <w:rPr>
          <w:rFonts w:eastAsiaTheme="minorHAnsi"/>
        </w:rPr>
        <w:t xml:space="preserve">If an entity metric worked out under </w:t>
      </w:r>
      <w:r w:rsidR="00BF2677" w:rsidRPr="00784539">
        <w:rPr>
          <w:rFonts w:eastAsiaTheme="minorHAnsi"/>
        </w:rPr>
        <w:t xml:space="preserve">this instrument </w:t>
      </w:r>
      <w:r w:rsidR="00047292" w:rsidRPr="00784539">
        <w:rPr>
          <w:rFonts w:eastAsiaTheme="minorHAnsi"/>
        </w:rPr>
        <w:t>is not a whole number, the entity metric must be rounded to the nearest whole number (rounding 0.5 upwards).</w:t>
      </w:r>
    </w:p>
    <w:p w:rsidR="000728DC" w:rsidRPr="00784539" w:rsidRDefault="00047292" w:rsidP="000728DC">
      <w:pPr>
        <w:pStyle w:val="subsection"/>
        <w:rPr>
          <w:rFonts w:eastAsiaTheme="minorHAnsi"/>
        </w:rPr>
      </w:pPr>
      <w:r w:rsidRPr="00784539">
        <w:rPr>
          <w:rFonts w:eastAsiaTheme="minorHAnsi"/>
        </w:rPr>
        <w:tab/>
        <w:t>(3)</w:t>
      </w:r>
      <w:r w:rsidRPr="00784539">
        <w:rPr>
          <w:rFonts w:eastAsiaTheme="minorHAnsi"/>
        </w:rPr>
        <w:tab/>
      </w:r>
      <w:r w:rsidR="000728DC" w:rsidRPr="00784539">
        <w:rPr>
          <w:rFonts w:eastAsiaTheme="minorHAnsi"/>
        </w:rPr>
        <w:t xml:space="preserve">If an entity metric </w:t>
      </w:r>
      <w:r w:rsidR="00E25613" w:rsidRPr="00784539">
        <w:rPr>
          <w:rFonts w:eastAsiaTheme="minorHAnsi"/>
        </w:rPr>
        <w:t>is</w:t>
      </w:r>
      <w:r w:rsidR="000728DC" w:rsidRPr="00784539">
        <w:rPr>
          <w:rFonts w:eastAsiaTheme="minorHAnsi"/>
        </w:rPr>
        <w:t xml:space="preserve"> an amount worked out in Australian dollars, the amount of the entity metric is instead the number of dollars in the amount.</w:t>
      </w:r>
    </w:p>
    <w:p w:rsidR="009D5379" w:rsidRPr="00784539" w:rsidRDefault="009D5379" w:rsidP="000728DC">
      <w:pPr>
        <w:pStyle w:val="subsection"/>
        <w:rPr>
          <w:rFonts w:eastAsiaTheme="minorHAnsi"/>
        </w:rPr>
      </w:pPr>
      <w:r w:rsidRPr="00784539">
        <w:rPr>
          <w:rFonts w:eastAsiaTheme="minorHAnsi"/>
        </w:rPr>
        <w:tab/>
        <w:t>(</w:t>
      </w:r>
      <w:r w:rsidR="006556DC" w:rsidRPr="00784539">
        <w:rPr>
          <w:rFonts w:eastAsiaTheme="minorHAnsi"/>
        </w:rPr>
        <w:t>4</w:t>
      </w:r>
      <w:r w:rsidRPr="00784539">
        <w:rPr>
          <w:rFonts w:eastAsiaTheme="minorHAnsi"/>
        </w:rPr>
        <w:t>)</w:t>
      </w:r>
      <w:r w:rsidRPr="00784539">
        <w:rPr>
          <w:rFonts w:eastAsiaTheme="minorHAnsi"/>
        </w:rPr>
        <w:tab/>
        <w:t xml:space="preserve">If a minimum levy threshold </w:t>
      </w:r>
      <w:r w:rsidR="00E25613" w:rsidRPr="00784539">
        <w:rPr>
          <w:rFonts w:eastAsiaTheme="minorHAnsi"/>
        </w:rPr>
        <w:t xml:space="preserve">is an </w:t>
      </w:r>
      <w:r w:rsidRPr="00784539">
        <w:rPr>
          <w:rFonts w:eastAsiaTheme="minorHAnsi"/>
        </w:rPr>
        <w:t xml:space="preserve">amount in Australian dollars, the amount of </w:t>
      </w:r>
      <w:r w:rsidR="00FB0955" w:rsidRPr="00784539">
        <w:rPr>
          <w:rFonts w:eastAsiaTheme="minorHAnsi"/>
        </w:rPr>
        <w:t xml:space="preserve">the </w:t>
      </w:r>
      <w:r w:rsidRPr="00784539">
        <w:rPr>
          <w:rFonts w:eastAsiaTheme="minorHAnsi"/>
        </w:rPr>
        <w:t>threshold is instead the number of dollars in the amount.</w:t>
      </w:r>
    </w:p>
    <w:p w:rsidR="00A36634" w:rsidRPr="00784539" w:rsidRDefault="00A36634" w:rsidP="00A36634">
      <w:pPr>
        <w:pStyle w:val="ActHead2"/>
        <w:pageBreakBefore/>
      </w:pPr>
      <w:bookmarkStart w:id="25" w:name="_Toc485110053"/>
      <w:r w:rsidRPr="00784539">
        <w:rPr>
          <w:rStyle w:val="CharPartNo"/>
        </w:rPr>
        <w:t>Part</w:t>
      </w:r>
      <w:r w:rsidR="00784539" w:rsidRPr="00784539">
        <w:rPr>
          <w:rStyle w:val="CharPartNo"/>
        </w:rPr>
        <w:t> </w:t>
      </w:r>
      <w:r w:rsidRPr="00784539">
        <w:rPr>
          <w:rStyle w:val="CharPartNo"/>
        </w:rPr>
        <w:t>3</w:t>
      </w:r>
      <w:r w:rsidRPr="00784539">
        <w:t>—</w:t>
      </w:r>
      <w:r w:rsidRPr="00784539">
        <w:rPr>
          <w:rStyle w:val="CharPartText"/>
        </w:rPr>
        <w:t>Sectors, sub</w:t>
      </w:r>
      <w:r w:rsidR="00784539" w:rsidRPr="00784539">
        <w:rPr>
          <w:rStyle w:val="CharPartText"/>
        </w:rPr>
        <w:noBreakHyphen/>
      </w:r>
      <w:r w:rsidRPr="00784539">
        <w:rPr>
          <w:rStyle w:val="CharPartText"/>
        </w:rPr>
        <w:t>sectors and levy components</w:t>
      </w:r>
      <w:bookmarkEnd w:id="25"/>
    </w:p>
    <w:p w:rsidR="00A36634" w:rsidRPr="00784539" w:rsidRDefault="00A36634" w:rsidP="00A36634">
      <w:pPr>
        <w:pStyle w:val="ActHead3"/>
      </w:pPr>
      <w:bookmarkStart w:id="26" w:name="_Toc485110054"/>
      <w:r w:rsidRPr="00784539">
        <w:rPr>
          <w:rStyle w:val="CharDivNo"/>
        </w:rPr>
        <w:t>Division</w:t>
      </w:r>
      <w:r w:rsidR="00784539" w:rsidRPr="00784539">
        <w:rPr>
          <w:rStyle w:val="CharDivNo"/>
        </w:rPr>
        <w:t> </w:t>
      </w:r>
      <w:r w:rsidRPr="00784539">
        <w:rPr>
          <w:rStyle w:val="CharDivNo"/>
        </w:rPr>
        <w:t>1</w:t>
      </w:r>
      <w:r w:rsidRPr="00784539">
        <w:t>—</w:t>
      </w:r>
      <w:r w:rsidRPr="00784539">
        <w:rPr>
          <w:rStyle w:val="CharDivText"/>
        </w:rPr>
        <w:t>Corporate sector</w:t>
      </w:r>
      <w:bookmarkEnd w:id="26"/>
    </w:p>
    <w:p w:rsidR="00A36634" w:rsidRPr="00784539" w:rsidRDefault="00A36634" w:rsidP="00A36634">
      <w:pPr>
        <w:pStyle w:val="ActHead4"/>
      </w:pPr>
      <w:bookmarkStart w:id="27" w:name="_Toc485110055"/>
      <w:r w:rsidRPr="00784539">
        <w:rPr>
          <w:rStyle w:val="CharSubdNo"/>
        </w:rPr>
        <w:t>Subdivision</w:t>
      </w:r>
      <w:r w:rsidR="00784539" w:rsidRPr="00784539">
        <w:rPr>
          <w:rStyle w:val="CharSubdNo"/>
        </w:rPr>
        <w:t> </w:t>
      </w:r>
      <w:r w:rsidRPr="00784539">
        <w:rPr>
          <w:rStyle w:val="CharSubdNo"/>
        </w:rPr>
        <w:t>1.1</w:t>
      </w:r>
      <w:r w:rsidRPr="00784539">
        <w:t>—</w:t>
      </w:r>
      <w:r w:rsidRPr="00784539">
        <w:rPr>
          <w:rStyle w:val="CharSubdText"/>
        </w:rPr>
        <w:t>General</w:t>
      </w:r>
      <w:bookmarkEnd w:id="27"/>
    </w:p>
    <w:p w:rsidR="00A36634" w:rsidRPr="00784539" w:rsidRDefault="00085808" w:rsidP="00A36634">
      <w:pPr>
        <w:pStyle w:val="ActHead5"/>
      </w:pPr>
      <w:bookmarkStart w:id="28" w:name="_Toc485110056"/>
      <w:r w:rsidRPr="00784539">
        <w:rPr>
          <w:rStyle w:val="CharSectno"/>
        </w:rPr>
        <w:t>13</w:t>
      </w:r>
      <w:r w:rsidR="00A36634" w:rsidRPr="00784539">
        <w:t xml:space="preserve">  Corporate sector</w:t>
      </w:r>
      <w:bookmarkEnd w:id="28"/>
    </w:p>
    <w:p w:rsidR="00A36634" w:rsidRPr="00784539" w:rsidRDefault="00A36634" w:rsidP="00A36634">
      <w:pPr>
        <w:pStyle w:val="subsection"/>
      </w:pPr>
      <w:r w:rsidRPr="00784539">
        <w:tab/>
        <w:t>(1)</w:t>
      </w:r>
      <w:r w:rsidRPr="00784539">
        <w:tab/>
        <w:t>Each section in Subdivisions</w:t>
      </w:r>
      <w:r w:rsidR="00784539" w:rsidRPr="00784539">
        <w:t> </w:t>
      </w:r>
      <w:r w:rsidRPr="00784539">
        <w:t>1.2 and 1.3 specifies criteria for identifying one or more leviable entities that form part of the sub</w:t>
      </w:r>
      <w:r w:rsidR="00784539">
        <w:noBreakHyphen/>
      </w:r>
      <w:r w:rsidRPr="00784539">
        <w:t>sector mentioned in the section.</w:t>
      </w:r>
    </w:p>
    <w:p w:rsidR="00A36634" w:rsidRPr="00784539" w:rsidRDefault="00A36634" w:rsidP="00A36634">
      <w:pPr>
        <w:pStyle w:val="subsection"/>
      </w:pPr>
      <w:r w:rsidRPr="00784539">
        <w:tab/>
        <w:t>(2)</w:t>
      </w:r>
      <w:r w:rsidRPr="00784539">
        <w:tab/>
        <w:t>The sub</w:t>
      </w:r>
      <w:r w:rsidR="00784539">
        <w:noBreakHyphen/>
      </w:r>
      <w:r w:rsidRPr="00784539">
        <w:t xml:space="preserve">sectors for which criteria are specified in this Division are in the </w:t>
      </w:r>
      <w:r w:rsidRPr="00784539">
        <w:rPr>
          <w:b/>
          <w:i/>
        </w:rPr>
        <w:t>corporate sector</w:t>
      </w:r>
      <w:r w:rsidRPr="00784539">
        <w:t>.</w:t>
      </w:r>
    </w:p>
    <w:p w:rsidR="00A36634" w:rsidRPr="00784539" w:rsidRDefault="00A36634" w:rsidP="00A36634">
      <w:pPr>
        <w:pStyle w:val="subsection"/>
      </w:pPr>
      <w:r w:rsidRPr="00784539">
        <w:tab/>
        <w:t>(3)</w:t>
      </w:r>
      <w:r w:rsidRPr="00784539">
        <w:tab/>
        <w:t>A leviable entity may form part of 2 or more sub</w:t>
      </w:r>
      <w:r w:rsidR="00784539">
        <w:noBreakHyphen/>
      </w:r>
      <w:r w:rsidRPr="00784539">
        <w:t>sectors in the corporate sector.</w:t>
      </w:r>
    </w:p>
    <w:p w:rsidR="00A36634" w:rsidRPr="00784539" w:rsidRDefault="00085808" w:rsidP="00A36634">
      <w:pPr>
        <w:pStyle w:val="ActHead5"/>
      </w:pPr>
      <w:bookmarkStart w:id="29" w:name="_Toc485110057"/>
      <w:r w:rsidRPr="00784539">
        <w:rPr>
          <w:rStyle w:val="CharSectno"/>
        </w:rPr>
        <w:t>14</w:t>
      </w:r>
      <w:r w:rsidR="00A36634" w:rsidRPr="00784539">
        <w:t xml:space="preserve">  </w:t>
      </w:r>
      <w:r w:rsidR="00BE11B9" w:rsidRPr="00784539">
        <w:t>Basic</w:t>
      </w:r>
      <w:r w:rsidR="00A36634" w:rsidRPr="00784539">
        <w:t xml:space="preserve"> levy component applies to sub</w:t>
      </w:r>
      <w:r w:rsidR="00784539">
        <w:noBreakHyphen/>
      </w:r>
      <w:r w:rsidR="00A36634" w:rsidRPr="00784539">
        <w:t>sectors in Subdivision</w:t>
      </w:r>
      <w:r w:rsidR="00784539" w:rsidRPr="00784539">
        <w:t> </w:t>
      </w:r>
      <w:r w:rsidR="00A36634" w:rsidRPr="00784539">
        <w:t>1.2</w:t>
      </w:r>
      <w:bookmarkEnd w:id="29"/>
    </w:p>
    <w:p w:rsidR="00A36634" w:rsidRPr="00784539" w:rsidRDefault="00A36634" w:rsidP="00A36634">
      <w:pPr>
        <w:pStyle w:val="subsection"/>
      </w:pPr>
      <w:r w:rsidRPr="00784539">
        <w:tab/>
      </w:r>
      <w:r w:rsidRPr="00784539">
        <w:tab/>
        <w:t>The</w:t>
      </w:r>
      <w:r w:rsidR="00BE11B9" w:rsidRPr="00784539">
        <w:t xml:space="preserve"> basic</w:t>
      </w:r>
      <w:r w:rsidRPr="00784539">
        <w:t xml:space="preserve"> levy component applies to each sub</w:t>
      </w:r>
      <w:r w:rsidR="00784539">
        <w:noBreakHyphen/>
      </w:r>
      <w:r w:rsidRPr="00784539">
        <w:t>sector specified in a section of Subdivision</w:t>
      </w:r>
      <w:r w:rsidR="00784539" w:rsidRPr="00784539">
        <w:t> </w:t>
      </w:r>
      <w:r w:rsidRPr="00784539">
        <w:t>1.2.</w:t>
      </w:r>
    </w:p>
    <w:p w:rsidR="00A36634" w:rsidRPr="00784539" w:rsidRDefault="00A36634" w:rsidP="00A36634">
      <w:pPr>
        <w:pStyle w:val="notetext"/>
      </w:pPr>
      <w:r w:rsidRPr="00784539">
        <w:t>Note:</w:t>
      </w:r>
      <w:r w:rsidRPr="00784539">
        <w:tab/>
        <w:t xml:space="preserve">For the </w:t>
      </w:r>
      <w:r w:rsidR="00B36CC1" w:rsidRPr="00784539">
        <w:t xml:space="preserve">basic </w:t>
      </w:r>
      <w:r w:rsidRPr="00784539">
        <w:t>levy component, see section</w:t>
      </w:r>
      <w:r w:rsidR="00784539" w:rsidRPr="00784539">
        <w:t> </w:t>
      </w:r>
      <w:r w:rsidR="00085808" w:rsidRPr="00784539">
        <w:t>9</w:t>
      </w:r>
      <w:r w:rsidRPr="00784539">
        <w:t>.</w:t>
      </w:r>
    </w:p>
    <w:p w:rsidR="00A36634" w:rsidRPr="00784539" w:rsidRDefault="00A36634" w:rsidP="00A36634">
      <w:pPr>
        <w:pStyle w:val="ActHead4"/>
      </w:pPr>
      <w:bookmarkStart w:id="30" w:name="_Toc485110058"/>
      <w:r w:rsidRPr="00784539">
        <w:rPr>
          <w:rStyle w:val="CharSubdNo"/>
        </w:rPr>
        <w:t>Subdivision</w:t>
      </w:r>
      <w:r w:rsidR="00784539" w:rsidRPr="00784539">
        <w:rPr>
          <w:rStyle w:val="CharSubdNo"/>
        </w:rPr>
        <w:t> </w:t>
      </w:r>
      <w:r w:rsidRPr="00784539">
        <w:rPr>
          <w:rStyle w:val="CharSubdNo"/>
        </w:rPr>
        <w:t>1.2</w:t>
      </w:r>
      <w:r w:rsidRPr="00784539">
        <w:t>—</w:t>
      </w:r>
      <w:r w:rsidRPr="00784539">
        <w:rPr>
          <w:rStyle w:val="CharSubdText"/>
        </w:rPr>
        <w:t>Sub</w:t>
      </w:r>
      <w:r w:rsidR="00784539" w:rsidRPr="00784539">
        <w:rPr>
          <w:rStyle w:val="CharSubdText"/>
        </w:rPr>
        <w:noBreakHyphen/>
      </w:r>
      <w:r w:rsidRPr="00784539">
        <w:rPr>
          <w:rStyle w:val="CharSubdText"/>
        </w:rPr>
        <w:t xml:space="preserve">sectors to which </w:t>
      </w:r>
      <w:r w:rsidR="009A63FE" w:rsidRPr="00784539">
        <w:rPr>
          <w:rStyle w:val="CharSubdText"/>
        </w:rPr>
        <w:t xml:space="preserve">basic levy component </w:t>
      </w:r>
      <w:r w:rsidRPr="00784539">
        <w:rPr>
          <w:rStyle w:val="CharSubdText"/>
        </w:rPr>
        <w:t>applies</w:t>
      </w:r>
      <w:bookmarkEnd w:id="30"/>
    </w:p>
    <w:p w:rsidR="00044461" w:rsidRPr="00784539" w:rsidRDefault="00085808" w:rsidP="00044461">
      <w:pPr>
        <w:pStyle w:val="ActHead5"/>
      </w:pPr>
      <w:bookmarkStart w:id="31" w:name="_Toc485110059"/>
      <w:r w:rsidRPr="00784539">
        <w:rPr>
          <w:rStyle w:val="CharSectno"/>
        </w:rPr>
        <w:t>15</w:t>
      </w:r>
      <w:r w:rsidR="00044461" w:rsidRPr="00784539">
        <w:t xml:space="preserve">  Auditors of disclosing entities</w:t>
      </w:r>
      <w:bookmarkEnd w:id="31"/>
    </w:p>
    <w:p w:rsidR="00044461" w:rsidRPr="00784539" w:rsidRDefault="00044461" w:rsidP="00044461">
      <w:pPr>
        <w:pStyle w:val="subsection"/>
      </w:pPr>
      <w:r w:rsidRPr="00784539">
        <w:tab/>
        <w:t>(1)</w:t>
      </w:r>
      <w:r w:rsidRPr="00784539">
        <w:tab/>
        <w:t xml:space="preserve">A leviable entity forms part of the </w:t>
      </w:r>
      <w:r w:rsidRPr="00784539">
        <w:rPr>
          <w:b/>
          <w:i/>
        </w:rPr>
        <w:t xml:space="preserve">auditors of disclosing entities </w:t>
      </w:r>
      <w:r w:rsidRPr="00784539">
        <w:t>sub</w:t>
      </w:r>
      <w:r w:rsidR="00784539">
        <w:noBreakHyphen/>
      </w:r>
      <w:r w:rsidRPr="00784539">
        <w:t>sector in a financial year if, at any time in the financial year, the entity is, or has consented to be, an audit entity for a disclosing entity</w:t>
      </w:r>
      <w:r w:rsidR="0013529B" w:rsidRPr="00784539">
        <w:t xml:space="preserve"> with quoted securities</w:t>
      </w:r>
      <w:r w:rsidRPr="00784539">
        <w:t>.</w:t>
      </w:r>
    </w:p>
    <w:p w:rsidR="00044461" w:rsidRPr="00784539" w:rsidRDefault="00044461" w:rsidP="00044461">
      <w:pPr>
        <w:pStyle w:val="SubsectionHead"/>
      </w:pPr>
      <w:r w:rsidRPr="00784539">
        <w:t>Entity metric</w:t>
      </w:r>
    </w:p>
    <w:p w:rsidR="00044461" w:rsidRPr="00784539" w:rsidRDefault="00044461" w:rsidP="00044461">
      <w:pPr>
        <w:pStyle w:val="subsection"/>
      </w:pPr>
      <w:r w:rsidRPr="00784539">
        <w:tab/>
        <w:t>(2)</w:t>
      </w:r>
      <w:r w:rsidRPr="00784539">
        <w:tab/>
        <w:t xml:space="preserve">The leviable entity’s </w:t>
      </w:r>
      <w:r w:rsidRPr="00784539">
        <w:rPr>
          <w:b/>
          <w:i/>
        </w:rPr>
        <w:t>entity metric</w:t>
      </w:r>
      <w:r w:rsidRPr="00784539">
        <w:t xml:space="preserve"> for the sub</w:t>
      </w:r>
      <w:r w:rsidR="00784539">
        <w:noBreakHyphen/>
      </w:r>
      <w:r w:rsidRPr="00784539">
        <w:t>sector for the financial year is the total of the fees paid or payable to the entity in the financial year for the auditing and review of financial reports that relate to:</w:t>
      </w:r>
    </w:p>
    <w:p w:rsidR="00044461" w:rsidRPr="00784539" w:rsidRDefault="00044461" w:rsidP="00044461">
      <w:pPr>
        <w:pStyle w:val="paragraph"/>
      </w:pPr>
      <w:r w:rsidRPr="00784539">
        <w:tab/>
        <w:t>(a)</w:t>
      </w:r>
      <w:r w:rsidRPr="00784539">
        <w:tab/>
        <w:t>a disclosing entity</w:t>
      </w:r>
      <w:r w:rsidR="0013529B" w:rsidRPr="00784539">
        <w:t xml:space="preserve"> with quoted securities</w:t>
      </w:r>
      <w:r w:rsidRPr="00784539">
        <w:t>; or</w:t>
      </w:r>
    </w:p>
    <w:p w:rsidR="00044461" w:rsidRPr="00784539" w:rsidRDefault="00044461" w:rsidP="00DC05D2">
      <w:pPr>
        <w:pStyle w:val="paragraph"/>
      </w:pPr>
      <w:r w:rsidRPr="00784539">
        <w:tab/>
        <w:t>(b)</w:t>
      </w:r>
      <w:r w:rsidRPr="00784539">
        <w:tab/>
        <w:t xml:space="preserve">an entity controlled by </w:t>
      </w:r>
      <w:r w:rsidR="00AB4B64" w:rsidRPr="00784539">
        <w:t>a</w:t>
      </w:r>
      <w:r w:rsidRPr="00784539">
        <w:t xml:space="preserve"> </w:t>
      </w:r>
      <w:r w:rsidR="003F141F" w:rsidRPr="00784539">
        <w:t xml:space="preserve">disclosing </w:t>
      </w:r>
      <w:r w:rsidRPr="00784539">
        <w:t xml:space="preserve">entity </w:t>
      </w:r>
      <w:r w:rsidR="00DC05D2" w:rsidRPr="00784539">
        <w:t>with quoted securities</w:t>
      </w:r>
      <w:r w:rsidRPr="00784539">
        <w:t>.</w:t>
      </w:r>
    </w:p>
    <w:p w:rsidR="00044461" w:rsidRPr="00784539" w:rsidRDefault="00044461" w:rsidP="00044461">
      <w:pPr>
        <w:pStyle w:val="subsection"/>
      </w:pPr>
      <w:r w:rsidRPr="00784539">
        <w:tab/>
        <w:t>(3)</w:t>
      </w:r>
      <w:r w:rsidRPr="00784539">
        <w:tab/>
        <w:t xml:space="preserve">For the purposes of </w:t>
      </w:r>
      <w:r w:rsidR="00784539" w:rsidRPr="00784539">
        <w:t>paragraph (</w:t>
      </w:r>
      <w:r w:rsidR="003F141F" w:rsidRPr="00784539">
        <w:t>2</w:t>
      </w:r>
      <w:r w:rsidRPr="00784539">
        <w:t>)(b), the question of whether a</w:t>
      </w:r>
      <w:r w:rsidR="003F141F" w:rsidRPr="00784539">
        <w:t xml:space="preserve"> disclosing</w:t>
      </w:r>
      <w:r w:rsidRPr="00784539">
        <w:t xml:space="preserve"> entity controls another entity is to be </w:t>
      </w:r>
      <w:r w:rsidR="001C2DE5" w:rsidRPr="00784539">
        <w:t xml:space="preserve">decided in accordance with the </w:t>
      </w:r>
      <w:r w:rsidR="00AC308D" w:rsidRPr="00784539">
        <w:t>a</w:t>
      </w:r>
      <w:r w:rsidR="001C2DE5" w:rsidRPr="00784539">
        <w:t xml:space="preserve">ccounting </w:t>
      </w:r>
      <w:r w:rsidR="00AC308D" w:rsidRPr="00784539">
        <w:t>s</w:t>
      </w:r>
      <w:r w:rsidRPr="00784539">
        <w:t xml:space="preserve">tandard AASB 10 </w:t>
      </w:r>
      <w:r w:rsidRPr="00784539">
        <w:rPr>
          <w:i/>
        </w:rPr>
        <w:t>Consolidated Financial Statements</w:t>
      </w:r>
      <w:r w:rsidRPr="00784539">
        <w:t>.</w:t>
      </w:r>
    </w:p>
    <w:p w:rsidR="00A36634" w:rsidRPr="00784539" w:rsidRDefault="00085808" w:rsidP="00A36634">
      <w:pPr>
        <w:pStyle w:val="ActHead5"/>
      </w:pPr>
      <w:bookmarkStart w:id="32" w:name="_Toc485110060"/>
      <w:r w:rsidRPr="00784539">
        <w:rPr>
          <w:rStyle w:val="CharSectno"/>
        </w:rPr>
        <w:t>16</w:t>
      </w:r>
      <w:r w:rsidR="00A36634" w:rsidRPr="00784539">
        <w:t xml:space="preserve">  Large proprietary companies</w:t>
      </w:r>
      <w:bookmarkEnd w:id="32"/>
    </w:p>
    <w:p w:rsidR="00672130" w:rsidRPr="00784539" w:rsidRDefault="00A36634" w:rsidP="00A36634">
      <w:pPr>
        <w:pStyle w:val="subsection"/>
      </w:pPr>
      <w:r w:rsidRPr="00784539">
        <w:tab/>
      </w:r>
      <w:r w:rsidRPr="00784539">
        <w:tab/>
        <w:t xml:space="preserve">A leviable entity forms part of the </w:t>
      </w:r>
      <w:r w:rsidRPr="00784539">
        <w:rPr>
          <w:b/>
          <w:i/>
        </w:rPr>
        <w:t>large proprietary companies</w:t>
      </w:r>
      <w:r w:rsidRPr="00784539">
        <w:t xml:space="preserve"> sub</w:t>
      </w:r>
      <w:r w:rsidR="00784539">
        <w:noBreakHyphen/>
      </w:r>
      <w:r w:rsidRPr="00784539">
        <w:t xml:space="preserve">sector in a financial year if, </w:t>
      </w:r>
      <w:r w:rsidR="002F043A" w:rsidRPr="00784539">
        <w:t>at any time in the financial year</w:t>
      </w:r>
      <w:r w:rsidRPr="00784539">
        <w:t>, the entity is a large proprietary company.</w:t>
      </w:r>
    </w:p>
    <w:p w:rsidR="00A36634" w:rsidRPr="00784539" w:rsidRDefault="00085808" w:rsidP="00A36634">
      <w:pPr>
        <w:pStyle w:val="ActHead5"/>
      </w:pPr>
      <w:bookmarkStart w:id="33" w:name="_Toc485110061"/>
      <w:r w:rsidRPr="00784539">
        <w:rPr>
          <w:rStyle w:val="CharSectno"/>
        </w:rPr>
        <w:t>17</w:t>
      </w:r>
      <w:r w:rsidR="00A36634" w:rsidRPr="00784539">
        <w:t xml:space="preserve">  Public companies (unlisted)</w:t>
      </w:r>
      <w:bookmarkEnd w:id="33"/>
    </w:p>
    <w:p w:rsidR="00A36634" w:rsidRPr="00784539" w:rsidRDefault="00A36634" w:rsidP="00A36634">
      <w:pPr>
        <w:pStyle w:val="subsection"/>
      </w:pPr>
      <w:r w:rsidRPr="00784539">
        <w:tab/>
      </w:r>
      <w:r w:rsidRPr="00784539">
        <w:tab/>
        <w:t xml:space="preserve">A leviable entity forms part of the </w:t>
      </w:r>
      <w:r w:rsidRPr="00784539">
        <w:rPr>
          <w:b/>
          <w:i/>
        </w:rPr>
        <w:t>public companies (unlisted)</w:t>
      </w:r>
      <w:r w:rsidRPr="00784539">
        <w:t xml:space="preserve"> sub</w:t>
      </w:r>
      <w:r w:rsidR="00784539">
        <w:noBreakHyphen/>
      </w:r>
      <w:r w:rsidRPr="00784539">
        <w:t xml:space="preserve">sector in a financial year if, </w:t>
      </w:r>
      <w:r w:rsidR="002F043A" w:rsidRPr="00784539">
        <w:t>at any time in the financial year</w:t>
      </w:r>
      <w:r w:rsidRPr="00784539">
        <w:t>, the entity is a public company that is not listed.</w:t>
      </w:r>
    </w:p>
    <w:p w:rsidR="00A36634" w:rsidRPr="00784539" w:rsidRDefault="00085808" w:rsidP="00A36634">
      <w:pPr>
        <w:pStyle w:val="ActHead5"/>
      </w:pPr>
      <w:bookmarkStart w:id="34" w:name="_Toc485110062"/>
      <w:r w:rsidRPr="00784539">
        <w:rPr>
          <w:rStyle w:val="CharSectno"/>
        </w:rPr>
        <w:t>18</w:t>
      </w:r>
      <w:r w:rsidR="00A36634" w:rsidRPr="00784539">
        <w:t xml:space="preserve">  Registered company auditors</w:t>
      </w:r>
      <w:bookmarkEnd w:id="34"/>
    </w:p>
    <w:p w:rsidR="00A36634" w:rsidRPr="00784539" w:rsidRDefault="00A36634" w:rsidP="00A36634">
      <w:pPr>
        <w:pStyle w:val="subsection"/>
      </w:pPr>
      <w:r w:rsidRPr="00784539">
        <w:tab/>
      </w:r>
      <w:r w:rsidRPr="00784539">
        <w:tab/>
        <w:t xml:space="preserve">A leviable entity forms part of the </w:t>
      </w:r>
      <w:r w:rsidRPr="00784539">
        <w:rPr>
          <w:b/>
          <w:i/>
        </w:rPr>
        <w:t>registered company auditors</w:t>
      </w:r>
      <w:r w:rsidRPr="00784539">
        <w:t xml:space="preserve"> sub</w:t>
      </w:r>
      <w:r w:rsidR="00784539">
        <w:noBreakHyphen/>
      </w:r>
      <w:r w:rsidRPr="00784539">
        <w:t xml:space="preserve">sector in a financial year if, </w:t>
      </w:r>
      <w:r w:rsidR="002F043A" w:rsidRPr="00784539">
        <w:t>at any time in the financial year</w:t>
      </w:r>
      <w:r w:rsidRPr="00784539">
        <w:t>, the entity is a registered company auditor.</w:t>
      </w:r>
    </w:p>
    <w:p w:rsidR="00A36634" w:rsidRPr="00784539" w:rsidRDefault="00A36634" w:rsidP="00A36634">
      <w:pPr>
        <w:pStyle w:val="ActHead4"/>
      </w:pPr>
      <w:bookmarkStart w:id="35" w:name="_Toc485110063"/>
      <w:r w:rsidRPr="00784539">
        <w:rPr>
          <w:rStyle w:val="CharSubdNo"/>
        </w:rPr>
        <w:t>Subdivision</w:t>
      </w:r>
      <w:r w:rsidR="00784539" w:rsidRPr="00784539">
        <w:rPr>
          <w:rStyle w:val="CharSubdNo"/>
        </w:rPr>
        <w:t> </w:t>
      </w:r>
      <w:r w:rsidRPr="00784539">
        <w:rPr>
          <w:rStyle w:val="CharSubdNo"/>
        </w:rPr>
        <w:t>1.3</w:t>
      </w:r>
      <w:r w:rsidRPr="00784539">
        <w:t>—</w:t>
      </w:r>
      <w:r w:rsidRPr="00784539">
        <w:rPr>
          <w:rStyle w:val="CharSubdText"/>
        </w:rPr>
        <w:t>Sub</w:t>
      </w:r>
      <w:r w:rsidR="00784539" w:rsidRPr="00784539">
        <w:rPr>
          <w:rStyle w:val="CharSubdText"/>
        </w:rPr>
        <w:noBreakHyphen/>
      </w:r>
      <w:r w:rsidRPr="00784539">
        <w:rPr>
          <w:rStyle w:val="CharSubdText"/>
        </w:rPr>
        <w:t xml:space="preserve">sectors to which graduated </w:t>
      </w:r>
      <w:r w:rsidR="00E366AE" w:rsidRPr="00784539">
        <w:rPr>
          <w:rStyle w:val="CharSubdText"/>
        </w:rPr>
        <w:t>levy component</w:t>
      </w:r>
      <w:r w:rsidRPr="00784539">
        <w:rPr>
          <w:rStyle w:val="CharSubdText"/>
        </w:rPr>
        <w:t xml:space="preserve"> applies</w:t>
      </w:r>
      <w:bookmarkEnd w:id="35"/>
    </w:p>
    <w:p w:rsidR="00A36634" w:rsidRPr="00784539" w:rsidRDefault="00085808" w:rsidP="00A36634">
      <w:pPr>
        <w:pStyle w:val="ActHead5"/>
      </w:pPr>
      <w:bookmarkStart w:id="36" w:name="_Toc485110064"/>
      <w:r w:rsidRPr="00784539">
        <w:rPr>
          <w:rStyle w:val="CharSectno"/>
        </w:rPr>
        <w:t>19</w:t>
      </w:r>
      <w:r w:rsidR="00A36634" w:rsidRPr="00784539">
        <w:t xml:space="preserve">  </w:t>
      </w:r>
      <w:r w:rsidR="00E016A1" w:rsidRPr="00784539">
        <w:t>Listed corporations</w:t>
      </w:r>
      <w:bookmarkEnd w:id="36"/>
    </w:p>
    <w:p w:rsidR="00A36634" w:rsidRPr="00784539" w:rsidRDefault="00A36634" w:rsidP="00A36634">
      <w:pPr>
        <w:pStyle w:val="subsection"/>
      </w:pPr>
      <w:r w:rsidRPr="00784539">
        <w:tab/>
        <w:t>(1)</w:t>
      </w:r>
      <w:r w:rsidRPr="00784539">
        <w:tab/>
        <w:t xml:space="preserve">A leviable entity forms part of the </w:t>
      </w:r>
      <w:r w:rsidR="00E016A1" w:rsidRPr="00784539">
        <w:rPr>
          <w:b/>
          <w:i/>
        </w:rPr>
        <w:t xml:space="preserve">listed corporations </w:t>
      </w:r>
      <w:r w:rsidRPr="00784539">
        <w:t>sub</w:t>
      </w:r>
      <w:r w:rsidR="00784539">
        <w:noBreakHyphen/>
      </w:r>
      <w:r w:rsidRPr="00784539">
        <w:t xml:space="preserve">sector in a financial year if, </w:t>
      </w:r>
      <w:r w:rsidR="002F043A" w:rsidRPr="00784539">
        <w:t>at any time in the financial year</w:t>
      </w:r>
      <w:r w:rsidRPr="00784539">
        <w:t>, the entity is a listed corporation.</w:t>
      </w:r>
    </w:p>
    <w:p w:rsidR="00A36634" w:rsidRPr="00784539" w:rsidRDefault="00A36634" w:rsidP="00A36634">
      <w:pPr>
        <w:pStyle w:val="SubsectionHead"/>
      </w:pPr>
      <w:r w:rsidRPr="00784539">
        <w:t>Levy component</w:t>
      </w:r>
    </w:p>
    <w:p w:rsidR="00FD21F4" w:rsidRPr="00784539" w:rsidRDefault="00A36634" w:rsidP="00FD21F4">
      <w:pPr>
        <w:pStyle w:val="subsection"/>
      </w:pPr>
      <w:r w:rsidRPr="00784539">
        <w:tab/>
      </w:r>
      <w:r w:rsidR="00FD21F4" w:rsidRPr="00784539">
        <w:t>(2)</w:t>
      </w:r>
      <w:r w:rsidR="00FD21F4" w:rsidRPr="00784539">
        <w:tab/>
        <w:t>The amount of a leviable entity’s levy component in respect of the sub</w:t>
      </w:r>
      <w:r w:rsidR="00784539">
        <w:noBreakHyphen/>
      </w:r>
      <w:r w:rsidR="00FD21F4" w:rsidRPr="00784539">
        <w:t>sector for the financial year is the sum of:</w:t>
      </w:r>
    </w:p>
    <w:p w:rsidR="00FD21F4" w:rsidRPr="00784539" w:rsidRDefault="00FD21F4" w:rsidP="00FD21F4">
      <w:pPr>
        <w:pStyle w:val="paragraph"/>
      </w:pPr>
      <w:r w:rsidRPr="00784539">
        <w:tab/>
        <w:t>(a)</w:t>
      </w:r>
      <w:r w:rsidRPr="00784539">
        <w:tab/>
        <w:t>the minimum levy component for the sub</w:t>
      </w:r>
      <w:r w:rsidR="00784539">
        <w:noBreakHyphen/>
      </w:r>
      <w:r w:rsidRPr="00784539">
        <w:t>sector; and</w:t>
      </w:r>
    </w:p>
    <w:p w:rsidR="00FD21F4" w:rsidRPr="00784539" w:rsidRDefault="00FD21F4" w:rsidP="00FD21F4">
      <w:pPr>
        <w:pStyle w:val="paragraph"/>
      </w:pPr>
      <w:r w:rsidRPr="00784539">
        <w:tab/>
        <w:t>(b)</w:t>
      </w:r>
      <w:r w:rsidRPr="00784539">
        <w:tab/>
        <w:t>the graduated levy component for the entity for the sub</w:t>
      </w:r>
      <w:r w:rsidR="00784539">
        <w:noBreakHyphen/>
      </w:r>
      <w:r w:rsidRPr="00784539">
        <w:t>sector.</w:t>
      </w:r>
    </w:p>
    <w:p w:rsidR="00FD21F4" w:rsidRPr="00784539" w:rsidRDefault="00FD21F4" w:rsidP="00FD21F4">
      <w:pPr>
        <w:pStyle w:val="notetext"/>
      </w:pPr>
      <w:r w:rsidRPr="00784539">
        <w:t>Note:</w:t>
      </w:r>
      <w:r w:rsidRPr="00784539">
        <w:tab/>
        <w:t>For the graduated levy component, see section</w:t>
      </w:r>
      <w:r w:rsidR="00784539" w:rsidRPr="00784539">
        <w:t> </w:t>
      </w:r>
      <w:r w:rsidR="00085808" w:rsidRPr="00784539">
        <w:t>10</w:t>
      </w:r>
      <w:r w:rsidRPr="00784539">
        <w:t>.</w:t>
      </w:r>
    </w:p>
    <w:p w:rsidR="00FD21F4" w:rsidRPr="00784539" w:rsidRDefault="00FD21F4" w:rsidP="00FD21F4">
      <w:pPr>
        <w:pStyle w:val="SubsectionHead"/>
      </w:pPr>
      <w:r w:rsidRPr="00784539">
        <w:t>Entity metric</w:t>
      </w:r>
    </w:p>
    <w:p w:rsidR="00FD21F4" w:rsidRPr="00784539" w:rsidRDefault="00FD21F4" w:rsidP="00FD21F4">
      <w:pPr>
        <w:pStyle w:val="subsection"/>
      </w:pPr>
      <w:r w:rsidRPr="00784539">
        <w:tab/>
        <w:t>(3)</w:t>
      </w:r>
      <w:r w:rsidRPr="00784539">
        <w:tab/>
        <w:t xml:space="preserve">The </w:t>
      </w:r>
      <w:r w:rsidR="005762AD" w:rsidRPr="00784539">
        <w:t xml:space="preserve">leviable entity’s </w:t>
      </w:r>
      <w:r w:rsidRPr="00784539">
        <w:rPr>
          <w:b/>
          <w:i/>
        </w:rPr>
        <w:t>entity metric</w:t>
      </w:r>
      <w:r w:rsidRPr="00784539">
        <w:t xml:space="preserve"> for the sub</w:t>
      </w:r>
      <w:r w:rsidR="00784539">
        <w:noBreakHyphen/>
      </w:r>
      <w:r w:rsidRPr="00784539">
        <w:t>sector for the financial year is:</w:t>
      </w:r>
    </w:p>
    <w:p w:rsidR="00FD21F4" w:rsidRPr="00784539" w:rsidRDefault="00FD21F4" w:rsidP="00FD21F4">
      <w:pPr>
        <w:pStyle w:val="paragraph"/>
      </w:pPr>
      <w:r w:rsidRPr="00784539">
        <w:tab/>
        <w:t>(a)</w:t>
      </w:r>
      <w:r w:rsidRPr="00784539">
        <w:tab/>
        <w:t>if the entity’s market capitalisation for the financial year</w:t>
      </w:r>
      <w:r w:rsidR="0047714F" w:rsidRPr="00784539">
        <w:t xml:space="preserve"> (as worked out under </w:t>
      </w:r>
      <w:r w:rsidR="00784539" w:rsidRPr="00784539">
        <w:t>subsection (</w:t>
      </w:r>
      <w:r w:rsidR="0047714F" w:rsidRPr="00784539">
        <w:t>5)</w:t>
      </w:r>
      <w:r w:rsidR="00BF1336" w:rsidRPr="00784539">
        <w:t>)</w:t>
      </w:r>
      <w:r w:rsidRPr="00784539">
        <w:t xml:space="preserve"> is less than the maximum levy threshold—the entity’s market capitalisation for the financial year; or</w:t>
      </w:r>
    </w:p>
    <w:p w:rsidR="00FD21F4" w:rsidRPr="00784539" w:rsidRDefault="00FD21F4" w:rsidP="00FD21F4">
      <w:pPr>
        <w:pStyle w:val="paragraph"/>
      </w:pPr>
      <w:r w:rsidRPr="00784539">
        <w:tab/>
        <w:t>(b)</w:t>
      </w:r>
      <w:r w:rsidRPr="00784539">
        <w:tab/>
        <w:t xml:space="preserve">if the entity’s market capitalisation for the financial year </w:t>
      </w:r>
      <w:r w:rsidR="0047714F" w:rsidRPr="00784539">
        <w:t xml:space="preserve">(as worked out under </w:t>
      </w:r>
      <w:r w:rsidR="00784539" w:rsidRPr="00784539">
        <w:t>subsection (</w:t>
      </w:r>
      <w:r w:rsidR="0047714F" w:rsidRPr="00784539">
        <w:t>5)</w:t>
      </w:r>
      <w:r w:rsidR="00BF1336" w:rsidRPr="00784539">
        <w:t>)</w:t>
      </w:r>
      <w:r w:rsidR="0047714F" w:rsidRPr="00784539">
        <w:t xml:space="preserve"> </w:t>
      </w:r>
      <w:r w:rsidRPr="00784539">
        <w:t>equals or exceeds the maximum levy threshold—the maximum levy threshold.</w:t>
      </w:r>
    </w:p>
    <w:p w:rsidR="005B7817" w:rsidRPr="00784539" w:rsidRDefault="00151F9A" w:rsidP="00BF3B8A">
      <w:pPr>
        <w:pStyle w:val="subsection"/>
      </w:pPr>
      <w:r w:rsidRPr="00784539">
        <w:tab/>
        <w:t>(4)</w:t>
      </w:r>
      <w:r w:rsidRPr="00784539">
        <w:tab/>
      </w:r>
      <w:r w:rsidR="005B7817" w:rsidRPr="00784539">
        <w:t>However:</w:t>
      </w:r>
    </w:p>
    <w:p w:rsidR="005B7817" w:rsidRPr="00784539" w:rsidRDefault="005B7817" w:rsidP="005B7817">
      <w:pPr>
        <w:pStyle w:val="paragraph"/>
      </w:pPr>
      <w:r w:rsidRPr="00784539">
        <w:tab/>
        <w:t>(a)</w:t>
      </w:r>
      <w:r w:rsidRPr="00784539">
        <w:tab/>
        <w:t>there is a pro</w:t>
      </w:r>
      <w:r w:rsidR="00784539">
        <w:noBreakHyphen/>
      </w:r>
      <w:r w:rsidRPr="00784539">
        <w:t>rat</w:t>
      </w:r>
      <w:r w:rsidR="00B43668" w:rsidRPr="00784539">
        <w:t>a</w:t>
      </w:r>
      <w:r w:rsidRPr="00784539">
        <w:t xml:space="preserve"> of the entity metric; and</w:t>
      </w:r>
    </w:p>
    <w:p w:rsidR="005B7817" w:rsidRPr="00784539" w:rsidRDefault="005B7817" w:rsidP="005B7817">
      <w:pPr>
        <w:pStyle w:val="paragraph"/>
      </w:pPr>
      <w:r w:rsidRPr="00784539">
        <w:tab/>
        <w:t>(b)</w:t>
      </w:r>
      <w:r w:rsidRPr="00784539">
        <w:tab/>
        <w:t>for the purposes of section</w:t>
      </w:r>
      <w:r w:rsidR="00784539" w:rsidRPr="00784539">
        <w:t> </w:t>
      </w:r>
      <w:r w:rsidR="00085808" w:rsidRPr="00784539">
        <w:t>11</w:t>
      </w:r>
      <w:r w:rsidRPr="00784539">
        <w:t xml:space="preserve">, the number of counted days is the number of days in the financial year on which the </w:t>
      </w:r>
      <w:r w:rsidR="00BC691E" w:rsidRPr="00784539">
        <w:t xml:space="preserve">leviable </w:t>
      </w:r>
      <w:r w:rsidRPr="00784539">
        <w:t>entity was a listed corporation.</w:t>
      </w:r>
    </w:p>
    <w:p w:rsidR="00FD21F4" w:rsidRPr="00784539" w:rsidRDefault="00FD21F4" w:rsidP="00FD21F4">
      <w:pPr>
        <w:pStyle w:val="subsection"/>
      </w:pPr>
      <w:r w:rsidRPr="00784539">
        <w:tab/>
        <w:t>(</w:t>
      </w:r>
      <w:r w:rsidR="00151F9A" w:rsidRPr="00784539">
        <w:t>5</w:t>
      </w:r>
      <w:r w:rsidRPr="00784539">
        <w:t>)</w:t>
      </w:r>
      <w:r w:rsidRPr="00784539">
        <w:tab/>
      </w:r>
      <w:r w:rsidR="00BC691E" w:rsidRPr="00784539">
        <w:t xml:space="preserve">A leviable </w:t>
      </w:r>
      <w:r w:rsidRPr="00784539">
        <w:t>entity’s market capitalisation</w:t>
      </w:r>
      <w:r w:rsidRPr="00784539">
        <w:rPr>
          <w:b/>
          <w:i/>
        </w:rPr>
        <w:t xml:space="preserve"> </w:t>
      </w:r>
      <w:r w:rsidRPr="00784539">
        <w:t>for a financial year is worked out by</w:t>
      </w:r>
      <w:r w:rsidR="001277A2" w:rsidRPr="00784539">
        <w:t>:</w:t>
      </w:r>
    </w:p>
    <w:p w:rsidR="00FD21F4" w:rsidRPr="00784539" w:rsidRDefault="00FD21F4" w:rsidP="00FD21F4">
      <w:pPr>
        <w:pStyle w:val="paragraph"/>
      </w:pPr>
      <w:r w:rsidRPr="00784539">
        <w:tab/>
        <w:t>(a)</w:t>
      </w:r>
      <w:r w:rsidRPr="00784539">
        <w:tab/>
        <w:t>if the entity is listed on a financial market at the end of the financial year—multiplying:</w:t>
      </w:r>
    </w:p>
    <w:p w:rsidR="00FD21F4" w:rsidRPr="00784539" w:rsidRDefault="008A1499" w:rsidP="00FD21F4">
      <w:pPr>
        <w:pStyle w:val="paragraphsub"/>
      </w:pPr>
      <w:r w:rsidRPr="00784539">
        <w:tab/>
        <w:t>(i)</w:t>
      </w:r>
      <w:r w:rsidRPr="00784539">
        <w:tab/>
      </w:r>
      <w:r w:rsidR="00FD21F4" w:rsidRPr="00784539">
        <w:t>the price for the entity’s main class of</w:t>
      </w:r>
      <w:r w:rsidR="00B02235" w:rsidRPr="00784539">
        <w:t xml:space="preserve"> </w:t>
      </w:r>
      <w:r w:rsidR="00FD21F4" w:rsidRPr="00784539">
        <w:t>securities at the time the financial market closes</w:t>
      </w:r>
      <w:r w:rsidR="003475D3" w:rsidRPr="00784539">
        <w:t xml:space="preserve"> on the last trading day on or before</w:t>
      </w:r>
      <w:r w:rsidR="00FD21F4" w:rsidRPr="00784539">
        <w:t xml:space="preserve"> 30</w:t>
      </w:r>
      <w:r w:rsidR="00784539" w:rsidRPr="00784539">
        <w:t> </w:t>
      </w:r>
      <w:r w:rsidR="00FD21F4" w:rsidRPr="00784539">
        <w:t>June of the financial year; by</w:t>
      </w:r>
    </w:p>
    <w:p w:rsidR="00FD21F4" w:rsidRPr="00784539" w:rsidRDefault="00FD21F4" w:rsidP="00FD21F4">
      <w:pPr>
        <w:pStyle w:val="paragraphsub"/>
      </w:pPr>
      <w:r w:rsidRPr="00784539">
        <w:tab/>
        <w:t>(ii)</w:t>
      </w:r>
      <w:r w:rsidRPr="00784539">
        <w:tab/>
        <w:t>the number of securities in that class at that relevant time; or</w:t>
      </w:r>
    </w:p>
    <w:p w:rsidR="00FD21F4" w:rsidRPr="00784539" w:rsidRDefault="00FD21F4" w:rsidP="00FD21F4">
      <w:pPr>
        <w:pStyle w:val="paragraph"/>
      </w:pPr>
      <w:r w:rsidRPr="00784539">
        <w:tab/>
        <w:t>(b)</w:t>
      </w:r>
      <w:r w:rsidRPr="00784539">
        <w:tab/>
        <w:t>if the entity is not listed on a financial market at the end of the financial year—multiplying:</w:t>
      </w:r>
    </w:p>
    <w:p w:rsidR="00E45044" w:rsidRPr="00784539" w:rsidRDefault="00FD21F4" w:rsidP="00E45044">
      <w:pPr>
        <w:pStyle w:val="paragraphsub"/>
      </w:pPr>
      <w:r w:rsidRPr="00784539">
        <w:tab/>
        <w:t>(i)</w:t>
      </w:r>
      <w:r w:rsidRPr="00784539">
        <w:tab/>
        <w:t>the last price for the entity’s main class of securities on the day before the entity stops being listed on the financial market; by</w:t>
      </w:r>
    </w:p>
    <w:p w:rsidR="00FD21F4" w:rsidRPr="00784539" w:rsidRDefault="00E45044" w:rsidP="00E45044">
      <w:pPr>
        <w:pStyle w:val="paragraphsub"/>
      </w:pPr>
      <w:r w:rsidRPr="00784539">
        <w:tab/>
      </w:r>
      <w:r w:rsidR="00FD21F4" w:rsidRPr="00784539">
        <w:t>(ii)</w:t>
      </w:r>
      <w:r w:rsidR="00FD21F4" w:rsidRPr="00784539">
        <w:tab/>
        <w:t>the number of securities in that class at that relevant time.</w:t>
      </w:r>
    </w:p>
    <w:p w:rsidR="00FD21F4" w:rsidRPr="00784539" w:rsidRDefault="00151F9A" w:rsidP="00FD21F4">
      <w:pPr>
        <w:pStyle w:val="subsection"/>
      </w:pPr>
      <w:r w:rsidRPr="00784539">
        <w:tab/>
      </w:r>
      <w:r w:rsidR="00FD21F4" w:rsidRPr="00784539">
        <w:t>(</w:t>
      </w:r>
      <w:r w:rsidR="00427276" w:rsidRPr="00784539">
        <w:t>6</w:t>
      </w:r>
      <w:r w:rsidR="00FD21F4" w:rsidRPr="00784539">
        <w:t>)</w:t>
      </w:r>
      <w:r w:rsidR="00FD21F4" w:rsidRPr="00784539">
        <w:tab/>
        <w:t xml:space="preserve">The </w:t>
      </w:r>
      <w:r w:rsidR="00FD21F4" w:rsidRPr="00784539">
        <w:rPr>
          <w:b/>
          <w:i/>
        </w:rPr>
        <w:t>maximum levy threshold</w:t>
      </w:r>
      <w:r w:rsidR="00FD21F4" w:rsidRPr="00784539">
        <w:t xml:space="preserve"> for the sub</w:t>
      </w:r>
      <w:r w:rsidR="00784539">
        <w:noBreakHyphen/>
      </w:r>
      <w:r w:rsidR="00FD21F4" w:rsidRPr="00784539">
        <w:t>sector is $20,000,000,000.</w:t>
      </w:r>
    </w:p>
    <w:p w:rsidR="00FD21F4" w:rsidRPr="00784539" w:rsidRDefault="00E45044" w:rsidP="00FD21F4">
      <w:pPr>
        <w:pStyle w:val="subsection"/>
      </w:pPr>
      <w:r w:rsidRPr="00784539">
        <w:tab/>
        <w:t>(</w:t>
      </w:r>
      <w:r w:rsidR="00427276" w:rsidRPr="00784539">
        <w:t>7</w:t>
      </w:r>
      <w:r w:rsidR="00FD21F4" w:rsidRPr="00784539">
        <w:t>)</w:t>
      </w:r>
      <w:r w:rsidR="00FD21F4" w:rsidRPr="00784539">
        <w:tab/>
        <w:t xml:space="preserve">The </w:t>
      </w:r>
      <w:r w:rsidR="00FD21F4" w:rsidRPr="00784539">
        <w:rPr>
          <w:b/>
          <w:i/>
        </w:rPr>
        <w:t xml:space="preserve">minimum levy component </w:t>
      </w:r>
      <w:r w:rsidR="00FD21F4" w:rsidRPr="00784539">
        <w:t>for the sub</w:t>
      </w:r>
      <w:r w:rsidR="00784539">
        <w:noBreakHyphen/>
      </w:r>
      <w:r w:rsidR="00FD21F4" w:rsidRPr="00784539">
        <w:t>sector is $4,000.</w:t>
      </w:r>
    </w:p>
    <w:p w:rsidR="00FD21F4" w:rsidRPr="00784539" w:rsidRDefault="00E45044" w:rsidP="00FD21F4">
      <w:pPr>
        <w:pStyle w:val="subsection"/>
      </w:pPr>
      <w:r w:rsidRPr="00784539">
        <w:tab/>
        <w:t>(</w:t>
      </w:r>
      <w:r w:rsidR="00427276" w:rsidRPr="00784539">
        <w:t>8</w:t>
      </w:r>
      <w:r w:rsidR="00FD21F4" w:rsidRPr="00784539">
        <w:t>)</w:t>
      </w:r>
      <w:r w:rsidR="00FD21F4" w:rsidRPr="00784539">
        <w:tab/>
        <w:t xml:space="preserve">The </w:t>
      </w:r>
      <w:r w:rsidR="00FD21F4" w:rsidRPr="00784539">
        <w:rPr>
          <w:b/>
          <w:i/>
        </w:rPr>
        <w:t>minimum levy threshold</w:t>
      </w:r>
      <w:r w:rsidR="00FD21F4" w:rsidRPr="00784539">
        <w:t xml:space="preserve"> for the sub</w:t>
      </w:r>
      <w:r w:rsidR="00784539">
        <w:noBreakHyphen/>
      </w:r>
      <w:r w:rsidR="00FD21F4" w:rsidRPr="00784539">
        <w:t>sector is $5,000,000.</w:t>
      </w:r>
    </w:p>
    <w:p w:rsidR="00A36634" w:rsidRPr="00784539" w:rsidRDefault="00085808" w:rsidP="00A36634">
      <w:pPr>
        <w:pStyle w:val="ActHead5"/>
      </w:pPr>
      <w:bookmarkStart w:id="37" w:name="_Toc485110065"/>
      <w:r w:rsidRPr="00784539">
        <w:rPr>
          <w:rStyle w:val="CharSectno"/>
        </w:rPr>
        <w:t>20</w:t>
      </w:r>
      <w:r w:rsidR="00A36634" w:rsidRPr="00784539">
        <w:t xml:space="preserve">  Registered liquidators</w:t>
      </w:r>
      <w:bookmarkEnd w:id="37"/>
    </w:p>
    <w:p w:rsidR="00A36634" w:rsidRPr="00784539" w:rsidRDefault="00A36634" w:rsidP="00A36634">
      <w:pPr>
        <w:pStyle w:val="subsection"/>
      </w:pPr>
      <w:r w:rsidRPr="00784539">
        <w:tab/>
        <w:t>(1)</w:t>
      </w:r>
      <w:r w:rsidRPr="00784539">
        <w:tab/>
        <w:t xml:space="preserve">A leviable entity forms part of the </w:t>
      </w:r>
      <w:r w:rsidRPr="00784539">
        <w:rPr>
          <w:b/>
          <w:i/>
        </w:rPr>
        <w:t xml:space="preserve">registered liquidators </w:t>
      </w:r>
      <w:r w:rsidRPr="00784539">
        <w:t>sub</w:t>
      </w:r>
      <w:r w:rsidR="00784539">
        <w:noBreakHyphen/>
      </w:r>
      <w:r w:rsidRPr="00784539">
        <w:t xml:space="preserve">sector in a financial year if, </w:t>
      </w:r>
      <w:r w:rsidR="002F043A" w:rsidRPr="00784539">
        <w:t>at any time in the financial year</w:t>
      </w:r>
      <w:r w:rsidRPr="00784539">
        <w:t>, the entity is a registered liquidator.</w:t>
      </w:r>
    </w:p>
    <w:p w:rsidR="00A36634" w:rsidRPr="00784539" w:rsidRDefault="00A36634" w:rsidP="00A36634">
      <w:pPr>
        <w:pStyle w:val="SubsectionHead"/>
      </w:pPr>
      <w:r w:rsidRPr="00784539">
        <w:t>Levy component</w:t>
      </w:r>
    </w:p>
    <w:p w:rsidR="00A36634" w:rsidRPr="00784539" w:rsidRDefault="00A36634" w:rsidP="00A36634">
      <w:pPr>
        <w:pStyle w:val="subsection"/>
      </w:pPr>
      <w:r w:rsidRPr="00784539">
        <w:tab/>
        <w:t>(2)</w:t>
      </w:r>
      <w:r w:rsidRPr="00784539">
        <w:tab/>
        <w:t>The amount of a leviable entity’s levy component in respect of the sub</w:t>
      </w:r>
      <w:r w:rsidR="00784539">
        <w:noBreakHyphen/>
      </w:r>
      <w:r w:rsidRPr="00784539">
        <w:t>sector for the financial year is the sum of:</w:t>
      </w:r>
    </w:p>
    <w:p w:rsidR="00A36634" w:rsidRPr="00784539" w:rsidRDefault="00A36634" w:rsidP="00A36634">
      <w:pPr>
        <w:pStyle w:val="paragraph"/>
      </w:pPr>
      <w:r w:rsidRPr="00784539">
        <w:tab/>
        <w:t>(a)</w:t>
      </w:r>
      <w:r w:rsidRPr="00784539">
        <w:tab/>
        <w:t>the minimum levy component for the sub</w:t>
      </w:r>
      <w:r w:rsidR="00784539">
        <w:noBreakHyphen/>
      </w:r>
      <w:r w:rsidRPr="00784539">
        <w:t>sector; and</w:t>
      </w:r>
    </w:p>
    <w:p w:rsidR="00A36634" w:rsidRPr="00784539" w:rsidRDefault="00A36634" w:rsidP="00A36634">
      <w:pPr>
        <w:pStyle w:val="paragraph"/>
      </w:pPr>
      <w:r w:rsidRPr="00784539">
        <w:tab/>
        <w:t>(b)</w:t>
      </w:r>
      <w:r w:rsidRPr="00784539">
        <w:tab/>
        <w:t>the graduated levy component for the entity for the sub</w:t>
      </w:r>
      <w:r w:rsidR="00784539">
        <w:noBreakHyphen/>
      </w:r>
      <w:r w:rsidRPr="00784539">
        <w:t>sector.</w:t>
      </w:r>
    </w:p>
    <w:p w:rsidR="00A36634" w:rsidRPr="00784539" w:rsidRDefault="00A36634" w:rsidP="00A36634">
      <w:pPr>
        <w:pStyle w:val="notetext"/>
      </w:pPr>
      <w:r w:rsidRPr="00784539">
        <w:t>Note:</w:t>
      </w:r>
      <w:r w:rsidRPr="00784539">
        <w:tab/>
        <w:t>For the graduated levy component, see section</w:t>
      </w:r>
      <w:r w:rsidR="00784539" w:rsidRPr="00784539">
        <w:t> </w:t>
      </w:r>
      <w:r w:rsidR="00085808" w:rsidRPr="00784539">
        <w:t>10</w:t>
      </w:r>
      <w:r w:rsidRPr="00784539">
        <w:t>.</w:t>
      </w:r>
    </w:p>
    <w:p w:rsidR="00A36634" w:rsidRPr="00784539" w:rsidRDefault="00A36634" w:rsidP="00A36634">
      <w:pPr>
        <w:pStyle w:val="SubsectionHead"/>
      </w:pPr>
      <w:r w:rsidRPr="00784539">
        <w:t>Entity metric</w:t>
      </w:r>
    </w:p>
    <w:p w:rsidR="00A36634" w:rsidRPr="00784539" w:rsidRDefault="00A36634" w:rsidP="00A36634">
      <w:pPr>
        <w:pStyle w:val="subsection"/>
      </w:pPr>
      <w:r w:rsidRPr="00784539">
        <w:tab/>
        <w:t>(3)</w:t>
      </w:r>
      <w:r w:rsidRPr="00784539">
        <w:tab/>
        <w:t xml:space="preserve">The </w:t>
      </w:r>
      <w:r w:rsidR="005762AD" w:rsidRPr="00784539">
        <w:t xml:space="preserve">leviable entity’s </w:t>
      </w:r>
      <w:r w:rsidRPr="00784539">
        <w:rPr>
          <w:b/>
          <w:i/>
        </w:rPr>
        <w:t>entity metric</w:t>
      </w:r>
      <w:r w:rsidRPr="00784539">
        <w:t xml:space="preserve"> for the sub</w:t>
      </w:r>
      <w:r w:rsidR="00784539">
        <w:noBreakHyphen/>
      </w:r>
      <w:r w:rsidRPr="00784539">
        <w:t>sector for the financial year is the sum of:</w:t>
      </w:r>
    </w:p>
    <w:p w:rsidR="00A36634" w:rsidRPr="00784539" w:rsidRDefault="00A36634" w:rsidP="00A36634">
      <w:pPr>
        <w:pStyle w:val="paragraph"/>
      </w:pPr>
      <w:r w:rsidRPr="00784539">
        <w:tab/>
        <w:t>(a)</w:t>
      </w:r>
      <w:r w:rsidRPr="00784539">
        <w:tab/>
        <w:t xml:space="preserve">the number of the following appointments </w:t>
      </w:r>
      <w:r w:rsidR="004E3D60" w:rsidRPr="00784539">
        <w:t>under Chapter</w:t>
      </w:r>
      <w:r w:rsidR="00784539" w:rsidRPr="00784539">
        <w:t> </w:t>
      </w:r>
      <w:r w:rsidR="004E3D60" w:rsidRPr="00784539">
        <w:t xml:space="preserve">5 of the </w:t>
      </w:r>
      <w:r w:rsidR="004E3D60" w:rsidRPr="00784539">
        <w:rPr>
          <w:i/>
        </w:rPr>
        <w:t xml:space="preserve">Corporations Act 2001 </w:t>
      </w:r>
      <w:r w:rsidRPr="00784539">
        <w:t xml:space="preserve">accepted by the entity </w:t>
      </w:r>
      <w:r w:rsidR="00BF5698" w:rsidRPr="00784539">
        <w:t>in</w:t>
      </w:r>
      <w:r w:rsidRPr="00784539">
        <w:t xml:space="preserve"> the financial year:</w:t>
      </w:r>
    </w:p>
    <w:p w:rsidR="00A36634" w:rsidRPr="00784539" w:rsidRDefault="00A36634" w:rsidP="00A36634">
      <w:pPr>
        <w:pStyle w:val="paragraphsub"/>
      </w:pPr>
      <w:r w:rsidRPr="00784539">
        <w:tab/>
        <w:t>(i)</w:t>
      </w:r>
      <w:r w:rsidRPr="00784539">
        <w:tab/>
        <w:t>an appointment as a controller;</w:t>
      </w:r>
    </w:p>
    <w:p w:rsidR="00A36634" w:rsidRPr="00784539" w:rsidRDefault="00A36634" w:rsidP="00A36634">
      <w:pPr>
        <w:pStyle w:val="paragraphsub"/>
      </w:pPr>
      <w:r w:rsidRPr="00784539">
        <w:tab/>
        <w:t>(ii)</w:t>
      </w:r>
      <w:r w:rsidRPr="00784539">
        <w:tab/>
        <w:t>an appointment as a liquidator;</w:t>
      </w:r>
    </w:p>
    <w:p w:rsidR="00A36634" w:rsidRPr="00784539" w:rsidRDefault="00A36634" w:rsidP="00A36634">
      <w:pPr>
        <w:pStyle w:val="paragraphsub"/>
      </w:pPr>
      <w:r w:rsidRPr="00784539">
        <w:tab/>
        <w:t>(iii)</w:t>
      </w:r>
      <w:r w:rsidRPr="00784539">
        <w:tab/>
        <w:t>an appointment as a managing controller;</w:t>
      </w:r>
    </w:p>
    <w:p w:rsidR="00A36634" w:rsidRPr="00784539" w:rsidRDefault="00A36634" w:rsidP="00A36634">
      <w:pPr>
        <w:pStyle w:val="paragraphsub"/>
      </w:pPr>
      <w:r w:rsidRPr="00784539">
        <w:tab/>
        <w:t xml:space="preserve">(iv) </w:t>
      </w:r>
      <w:r w:rsidRPr="00784539">
        <w:tab/>
        <w:t>an appointment as a receiver;</w:t>
      </w:r>
    </w:p>
    <w:p w:rsidR="00A36634" w:rsidRPr="00784539" w:rsidRDefault="00A36634" w:rsidP="00A36634">
      <w:pPr>
        <w:pStyle w:val="paragraphsub"/>
      </w:pPr>
      <w:r w:rsidRPr="00784539">
        <w:tab/>
        <w:t>(v)</w:t>
      </w:r>
      <w:r w:rsidRPr="00784539">
        <w:tab/>
        <w:t>an appointment as a receiver and manager;</w:t>
      </w:r>
    </w:p>
    <w:p w:rsidR="00A36634" w:rsidRPr="00784539" w:rsidRDefault="00A36634" w:rsidP="00A36634">
      <w:pPr>
        <w:pStyle w:val="paragraphsub"/>
      </w:pPr>
      <w:r w:rsidRPr="00784539">
        <w:tab/>
        <w:t>(vi)</w:t>
      </w:r>
      <w:r w:rsidRPr="00784539">
        <w:tab/>
        <w:t>an appointment as a scheme manager;</w:t>
      </w:r>
    </w:p>
    <w:p w:rsidR="00A36634" w:rsidRPr="00784539" w:rsidRDefault="00A36634" w:rsidP="00A36634">
      <w:pPr>
        <w:pStyle w:val="paragraphsub"/>
      </w:pPr>
      <w:r w:rsidRPr="00784539">
        <w:tab/>
        <w:t>(vii)</w:t>
      </w:r>
      <w:r w:rsidRPr="00784539">
        <w:tab/>
        <w:t>an appointment as a voluntary administrator;</w:t>
      </w:r>
    </w:p>
    <w:p w:rsidR="00A36634" w:rsidRPr="00784539" w:rsidRDefault="00A36634" w:rsidP="00A36634">
      <w:pPr>
        <w:pStyle w:val="paragraphsub"/>
      </w:pPr>
      <w:r w:rsidRPr="00784539">
        <w:tab/>
        <w:t xml:space="preserve">(viii) </w:t>
      </w:r>
      <w:r w:rsidRPr="00784539">
        <w:tab/>
        <w:t>an appointment as an administrator of a deed of company arrangement; and</w:t>
      </w:r>
    </w:p>
    <w:p w:rsidR="00A36634" w:rsidRPr="00784539" w:rsidRDefault="00A36634" w:rsidP="00A36634">
      <w:pPr>
        <w:pStyle w:val="paragraph"/>
      </w:pPr>
      <w:r w:rsidRPr="00784539">
        <w:tab/>
        <w:t>(b)</w:t>
      </w:r>
      <w:r w:rsidRPr="00784539">
        <w:tab/>
        <w:t xml:space="preserve">the number of appointments of the kind mentioned in </w:t>
      </w:r>
      <w:r w:rsidR="00784539" w:rsidRPr="00784539">
        <w:t>subparagraph (</w:t>
      </w:r>
      <w:r w:rsidRPr="00784539">
        <w:t xml:space="preserve">a)(i) to (viii) that were accepted in an earlier financial year and </w:t>
      </w:r>
      <w:r w:rsidR="00BC691E" w:rsidRPr="00784539">
        <w:t xml:space="preserve">that </w:t>
      </w:r>
      <w:r w:rsidR="00BC3C9B" w:rsidRPr="00784539">
        <w:t xml:space="preserve">the entity is still acting in </w:t>
      </w:r>
      <w:r w:rsidRPr="00784539">
        <w:t>at the start of the financial year for which the levy component is to be calculated; and</w:t>
      </w:r>
    </w:p>
    <w:p w:rsidR="00A36634" w:rsidRPr="00784539" w:rsidRDefault="00A36634" w:rsidP="00A36634">
      <w:pPr>
        <w:pStyle w:val="paragraph"/>
      </w:pPr>
      <w:r w:rsidRPr="00784539">
        <w:tab/>
        <w:t>(c)</w:t>
      </w:r>
      <w:r w:rsidRPr="00784539">
        <w:tab/>
        <w:t>the number of the following events that are published on the publication website maintained by ASIC under regulation</w:t>
      </w:r>
      <w:r w:rsidR="00784539" w:rsidRPr="00784539">
        <w:t> </w:t>
      </w:r>
      <w:r w:rsidRPr="00784539">
        <w:t xml:space="preserve">5.6.75 of the </w:t>
      </w:r>
      <w:r w:rsidRPr="00784539">
        <w:rPr>
          <w:i/>
        </w:rPr>
        <w:t>Corporations Regulations</w:t>
      </w:r>
      <w:r w:rsidR="00784539" w:rsidRPr="00784539">
        <w:rPr>
          <w:i/>
        </w:rPr>
        <w:t> </w:t>
      </w:r>
      <w:r w:rsidRPr="00784539">
        <w:rPr>
          <w:i/>
        </w:rPr>
        <w:t>2001</w:t>
      </w:r>
      <w:r w:rsidRPr="00784539">
        <w:rPr>
          <w:b/>
        </w:rPr>
        <w:t xml:space="preserve"> </w:t>
      </w:r>
      <w:r w:rsidRPr="00784539">
        <w:t xml:space="preserve">for the entity </w:t>
      </w:r>
      <w:r w:rsidR="00BF5698" w:rsidRPr="00784539">
        <w:t>in</w:t>
      </w:r>
      <w:r w:rsidRPr="00784539">
        <w:t xml:space="preserve"> the financial year:</w:t>
      </w:r>
    </w:p>
    <w:p w:rsidR="00A36634" w:rsidRPr="00784539" w:rsidRDefault="00A36634" w:rsidP="00A36634">
      <w:pPr>
        <w:pStyle w:val="paragraphsub"/>
      </w:pPr>
      <w:r w:rsidRPr="00784539">
        <w:tab/>
        <w:t>(i)</w:t>
      </w:r>
      <w:r w:rsidRPr="00784539">
        <w:tab/>
        <w:t>notice of meetings;</w:t>
      </w:r>
    </w:p>
    <w:p w:rsidR="00A36634" w:rsidRPr="00784539" w:rsidRDefault="00A36634" w:rsidP="00A36634">
      <w:pPr>
        <w:pStyle w:val="paragraphsub"/>
      </w:pPr>
      <w:r w:rsidRPr="00784539">
        <w:tab/>
        <w:t>(ii)</w:t>
      </w:r>
      <w:r w:rsidRPr="00784539">
        <w:tab/>
        <w:t>notice of disclaimer of property;</w:t>
      </w:r>
    </w:p>
    <w:p w:rsidR="00A36634" w:rsidRPr="00784539" w:rsidRDefault="00A36634" w:rsidP="00A36634">
      <w:pPr>
        <w:pStyle w:val="paragraphsub"/>
      </w:pPr>
      <w:r w:rsidRPr="00784539">
        <w:tab/>
        <w:t>(iii)</w:t>
      </w:r>
      <w:r w:rsidRPr="00784539">
        <w:tab/>
        <w:t>notice to submit particulars of debt or claims;</w:t>
      </w:r>
    </w:p>
    <w:p w:rsidR="00A36634" w:rsidRPr="00784539" w:rsidRDefault="00A36634" w:rsidP="00A36634">
      <w:pPr>
        <w:pStyle w:val="paragraphsub"/>
      </w:pPr>
      <w:r w:rsidRPr="00784539">
        <w:tab/>
        <w:t>(iv)</w:t>
      </w:r>
      <w:r w:rsidRPr="00784539">
        <w:tab/>
        <w:t>notice to creditors to submit formal proof;</w:t>
      </w:r>
    </w:p>
    <w:p w:rsidR="00A36634" w:rsidRPr="00784539" w:rsidRDefault="00A36634" w:rsidP="00A36634">
      <w:pPr>
        <w:pStyle w:val="paragraphsub"/>
      </w:pPr>
      <w:r w:rsidRPr="00784539">
        <w:tab/>
        <w:t>(v)</w:t>
      </w:r>
      <w:r w:rsidRPr="00784539">
        <w:tab/>
        <w:t>notice of intention to declare dividend; and</w:t>
      </w:r>
    </w:p>
    <w:p w:rsidR="00A36634" w:rsidRPr="00784539" w:rsidRDefault="00A36634" w:rsidP="00A36634">
      <w:pPr>
        <w:pStyle w:val="paragraph"/>
      </w:pPr>
      <w:r w:rsidRPr="00784539">
        <w:tab/>
        <w:t>(d)</w:t>
      </w:r>
      <w:r w:rsidRPr="00784539">
        <w:tab/>
        <w:t xml:space="preserve">the number of the following documents lodged with ASIC by the entity </w:t>
      </w:r>
      <w:r w:rsidR="00BF5698" w:rsidRPr="00784539">
        <w:t>in</w:t>
      </w:r>
      <w:r w:rsidRPr="00784539">
        <w:t xml:space="preserve"> the financial year:</w:t>
      </w:r>
    </w:p>
    <w:p w:rsidR="00A36634" w:rsidRPr="00784539" w:rsidRDefault="00A36634" w:rsidP="00A36634">
      <w:pPr>
        <w:pStyle w:val="paragraphsub"/>
      </w:pPr>
      <w:r w:rsidRPr="00784539">
        <w:tab/>
        <w:t>(i)</w:t>
      </w:r>
      <w:r w:rsidRPr="00784539">
        <w:tab/>
        <w:t>a notice of the outcome of a proposal to pass a resolution without a meeting (however, if more than one proposal to pass a resolution without a meeting in relation to the same administration is decided on the same day, count the proposals as a single lodgement);</w:t>
      </w:r>
    </w:p>
    <w:p w:rsidR="00A36634" w:rsidRPr="00784539" w:rsidRDefault="00A36634" w:rsidP="00A36634">
      <w:pPr>
        <w:pStyle w:val="paragraphsub"/>
      </w:pPr>
      <w:r w:rsidRPr="00784539">
        <w:tab/>
        <w:t>(ii)</w:t>
      </w:r>
      <w:r w:rsidRPr="00784539">
        <w:tab/>
        <w:t>an executed deed of company arrangement (however, if the deed involves more than one company under external administration, count the deed as a single lodgement).</w:t>
      </w:r>
    </w:p>
    <w:p w:rsidR="00A36634" w:rsidRPr="00784539" w:rsidRDefault="00A36634" w:rsidP="00A36634">
      <w:pPr>
        <w:pStyle w:val="subsection"/>
      </w:pPr>
      <w:r w:rsidRPr="00784539">
        <w:tab/>
        <w:t>(4)</w:t>
      </w:r>
      <w:r w:rsidRPr="00784539">
        <w:tab/>
        <w:t xml:space="preserve">The </w:t>
      </w:r>
      <w:r w:rsidRPr="00784539">
        <w:rPr>
          <w:b/>
          <w:i/>
        </w:rPr>
        <w:t>minimum levy component</w:t>
      </w:r>
      <w:r w:rsidRPr="00784539">
        <w:t xml:space="preserve"> for the sub</w:t>
      </w:r>
      <w:r w:rsidR="00784539">
        <w:noBreakHyphen/>
      </w:r>
      <w:r w:rsidRPr="00784539">
        <w:t>sector is $2,500.</w:t>
      </w:r>
    </w:p>
    <w:p w:rsidR="00A36634" w:rsidRPr="00784539" w:rsidRDefault="00A36634" w:rsidP="00DB1EE1">
      <w:pPr>
        <w:pStyle w:val="ActHead3"/>
        <w:pageBreakBefore/>
      </w:pPr>
      <w:bookmarkStart w:id="38" w:name="_Toc485110066"/>
      <w:r w:rsidRPr="00784539">
        <w:rPr>
          <w:rStyle w:val="CharDivNo"/>
        </w:rPr>
        <w:t>Division</w:t>
      </w:r>
      <w:r w:rsidR="00784539" w:rsidRPr="00784539">
        <w:rPr>
          <w:rStyle w:val="CharDivNo"/>
        </w:rPr>
        <w:t> </w:t>
      </w:r>
      <w:r w:rsidRPr="00784539">
        <w:rPr>
          <w:rStyle w:val="CharDivNo"/>
        </w:rPr>
        <w:t>2</w:t>
      </w:r>
      <w:r w:rsidRPr="00784539">
        <w:t>—</w:t>
      </w:r>
      <w:r w:rsidRPr="00784539">
        <w:rPr>
          <w:rStyle w:val="CharDivText"/>
        </w:rPr>
        <w:t>Deposit</w:t>
      </w:r>
      <w:r w:rsidR="00784539" w:rsidRPr="00784539">
        <w:rPr>
          <w:rStyle w:val="CharDivText"/>
        </w:rPr>
        <w:noBreakHyphen/>
      </w:r>
      <w:r w:rsidRPr="00784539">
        <w:rPr>
          <w:rStyle w:val="CharDivText"/>
        </w:rPr>
        <w:t>taking and credit sector</w:t>
      </w:r>
      <w:bookmarkEnd w:id="38"/>
    </w:p>
    <w:p w:rsidR="00A36634" w:rsidRPr="00784539" w:rsidRDefault="00A36634" w:rsidP="00A36634">
      <w:pPr>
        <w:pStyle w:val="ActHead4"/>
      </w:pPr>
      <w:bookmarkStart w:id="39" w:name="_Toc485110067"/>
      <w:r w:rsidRPr="00784539">
        <w:rPr>
          <w:rStyle w:val="CharSubdNo"/>
        </w:rPr>
        <w:t>Subdivision</w:t>
      </w:r>
      <w:r w:rsidR="00784539" w:rsidRPr="00784539">
        <w:rPr>
          <w:rStyle w:val="CharSubdNo"/>
        </w:rPr>
        <w:t> </w:t>
      </w:r>
      <w:r w:rsidRPr="00784539">
        <w:rPr>
          <w:rStyle w:val="CharSubdNo"/>
        </w:rPr>
        <w:t>2.1</w:t>
      </w:r>
      <w:r w:rsidRPr="00784539">
        <w:t>—</w:t>
      </w:r>
      <w:r w:rsidRPr="00784539">
        <w:rPr>
          <w:rStyle w:val="CharSubdText"/>
        </w:rPr>
        <w:t>General</w:t>
      </w:r>
      <w:bookmarkEnd w:id="39"/>
    </w:p>
    <w:p w:rsidR="00A36634" w:rsidRPr="00784539" w:rsidRDefault="00085808" w:rsidP="00A36634">
      <w:pPr>
        <w:pStyle w:val="ActHead5"/>
      </w:pPr>
      <w:bookmarkStart w:id="40" w:name="_Toc485110068"/>
      <w:r w:rsidRPr="00784539">
        <w:rPr>
          <w:rStyle w:val="CharSectno"/>
        </w:rPr>
        <w:t>21</w:t>
      </w:r>
      <w:r w:rsidR="00A36634" w:rsidRPr="00784539">
        <w:t xml:space="preserve">  Deposit</w:t>
      </w:r>
      <w:r w:rsidR="00784539">
        <w:noBreakHyphen/>
      </w:r>
      <w:r w:rsidR="00A36634" w:rsidRPr="00784539">
        <w:t>taking and credit sector</w:t>
      </w:r>
      <w:bookmarkEnd w:id="40"/>
    </w:p>
    <w:p w:rsidR="00A36634" w:rsidRPr="00784539" w:rsidRDefault="00A36634" w:rsidP="00A36634">
      <w:pPr>
        <w:pStyle w:val="subsection"/>
      </w:pPr>
      <w:r w:rsidRPr="00784539">
        <w:tab/>
        <w:t>(1)</w:t>
      </w:r>
      <w:r w:rsidRPr="00784539">
        <w:tab/>
        <w:t>Each section in Subdivisions</w:t>
      </w:r>
      <w:r w:rsidR="00784539" w:rsidRPr="00784539">
        <w:t> </w:t>
      </w:r>
      <w:r w:rsidRPr="00784539">
        <w:t>2.2 and 2.3 specifies criteria for identifying one or more leviable entities that form part of the sub</w:t>
      </w:r>
      <w:r w:rsidR="00784539">
        <w:noBreakHyphen/>
      </w:r>
      <w:r w:rsidRPr="00784539">
        <w:t>sector mentioned in the section.</w:t>
      </w:r>
    </w:p>
    <w:p w:rsidR="00A36634" w:rsidRPr="00784539" w:rsidRDefault="00A36634" w:rsidP="00A36634">
      <w:pPr>
        <w:pStyle w:val="subsection"/>
      </w:pPr>
      <w:r w:rsidRPr="00784539">
        <w:tab/>
        <w:t>(2)</w:t>
      </w:r>
      <w:r w:rsidRPr="00784539">
        <w:tab/>
        <w:t>The sub</w:t>
      </w:r>
      <w:r w:rsidR="00784539">
        <w:noBreakHyphen/>
      </w:r>
      <w:r w:rsidRPr="00784539">
        <w:t xml:space="preserve">sectors for which criteria are specified in this Division are in the </w:t>
      </w:r>
      <w:r w:rsidRPr="00784539">
        <w:rPr>
          <w:b/>
          <w:i/>
        </w:rPr>
        <w:t>deposit</w:t>
      </w:r>
      <w:r w:rsidR="00784539">
        <w:rPr>
          <w:b/>
          <w:i/>
        </w:rPr>
        <w:noBreakHyphen/>
      </w:r>
      <w:r w:rsidRPr="00784539">
        <w:rPr>
          <w:b/>
          <w:i/>
        </w:rPr>
        <w:t>taking and credit sector</w:t>
      </w:r>
      <w:r w:rsidRPr="00784539">
        <w:t>.</w:t>
      </w:r>
    </w:p>
    <w:p w:rsidR="00A36634" w:rsidRPr="00784539" w:rsidRDefault="00A36634" w:rsidP="00A36634">
      <w:pPr>
        <w:pStyle w:val="subsection"/>
      </w:pPr>
      <w:r w:rsidRPr="00784539">
        <w:tab/>
        <w:t>(3)</w:t>
      </w:r>
      <w:r w:rsidRPr="00784539">
        <w:tab/>
        <w:t>A leviable entity may form part of 2 or more sub</w:t>
      </w:r>
      <w:r w:rsidR="00784539">
        <w:noBreakHyphen/>
      </w:r>
      <w:r w:rsidRPr="00784539">
        <w:t>sectors in the deposit</w:t>
      </w:r>
      <w:r w:rsidR="00784539">
        <w:noBreakHyphen/>
      </w:r>
      <w:r w:rsidRPr="00784539">
        <w:t>taking and credit sector.</w:t>
      </w:r>
    </w:p>
    <w:p w:rsidR="00A36634" w:rsidRPr="00784539" w:rsidRDefault="00085808" w:rsidP="00A36634">
      <w:pPr>
        <w:pStyle w:val="ActHead5"/>
      </w:pPr>
      <w:bookmarkStart w:id="41" w:name="_Toc485110069"/>
      <w:r w:rsidRPr="00784539">
        <w:rPr>
          <w:rStyle w:val="CharSectno"/>
        </w:rPr>
        <w:t>22</w:t>
      </w:r>
      <w:r w:rsidR="00A36634" w:rsidRPr="00784539">
        <w:t xml:space="preserve">  </w:t>
      </w:r>
      <w:r w:rsidR="00B36CC1" w:rsidRPr="00784539">
        <w:t xml:space="preserve">Basic </w:t>
      </w:r>
      <w:r w:rsidR="00A36634" w:rsidRPr="00784539">
        <w:t>levy component applies to sub</w:t>
      </w:r>
      <w:r w:rsidR="00784539">
        <w:noBreakHyphen/>
      </w:r>
      <w:r w:rsidR="00A36634" w:rsidRPr="00784539">
        <w:t>sectors in Subdivision</w:t>
      </w:r>
      <w:r w:rsidR="00784539" w:rsidRPr="00784539">
        <w:t> </w:t>
      </w:r>
      <w:r w:rsidR="00A36634" w:rsidRPr="00784539">
        <w:t>2.2</w:t>
      </w:r>
      <w:bookmarkEnd w:id="41"/>
    </w:p>
    <w:p w:rsidR="00A36634" w:rsidRPr="00784539" w:rsidRDefault="00B36CC1" w:rsidP="00A36634">
      <w:pPr>
        <w:pStyle w:val="subsection"/>
      </w:pPr>
      <w:r w:rsidRPr="00784539">
        <w:tab/>
      </w:r>
      <w:r w:rsidRPr="00784539">
        <w:tab/>
        <w:t>The basic</w:t>
      </w:r>
      <w:r w:rsidR="00A36634" w:rsidRPr="00784539">
        <w:t xml:space="preserve"> levy component applies to each sub</w:t>
      </w:r>
      <w:r w:rsidR="00784539">
        <w:noBreakHyphen/>
      </w:r>
      <w:r w:rsidR="00A36634" w:rsidRPr="00784539">
        <w:t>sector specified in a section of Subdivision</w:t>
      </w:r>
      <w:r w:rsidR="00784539" w:rsidRPr="00784539">
        <w:t> </w:t>
      </w:r>
      <w:r w:rsidR="00A36634" w:rsidRPr="00784539">
        <w:t>2.2.</w:t>
      </w:r>
    </w:p>
    <w:p w:rsidR="00A36634" w:rsidRPr="00784539" w:rsidRDefault="00A36634" w:rsidP="00A36634">
      <w:pPr>
        <w:pStyle w:val="notetext"/>
      </w:pPr>
      <w:r w:rsidRPr="00784539">
        <w:t>Note:</w:t>
      </w:r>
      <w:r w:rsidRPr="00784539">
        <w:tab/>
        <w:t xml:space="preserve">For the </w:t>
      </w:r>
      <w:r w:rsidR="00B36CC1" w:rsidRPr="00784539">
        <w:t>basic</w:t>
      </w:r>
      <w:r w:rsidRPr="00784539">
        <w:t xml:space="preserve"> levy component, see section</w:t>
      </w:r>
      <w:r w:rsidR="00784539" w:rsidRPr="00784539">
        <w:t> </w:t>
      </w:r>
      <w:r w:rsidR="00085808" w:rsidRPr="00784539">
        <w:t>9</w:t>
      </w:r>
      <w:r w:rsidRPr="00784539">
        <w:t>.</w:t>
      </w:r>
    </w:p>
    <w:p w:rsidR="00A36634" w:rsidRPr="00784539" w:rsidRDefault="00A36634" w:rsidP="00A36634">
      <w:pPr>
        <w:pStyle w:val="ActHead4"/>
      </w:pPr>
      <w:bookmarkStart w:id="42" w:name="_Toc485110070"/>
      <w:r w:rsidRPr="00784539">
        <w:rPr>
          <w:rStyle w:val="CharSubdNo"/>
        </w:rPr>
        <w:t>Subdivision</w:t>
      </w:r>
      <w:r w:rsidR="00784539" w:rsidRPr="00784539">
        <w:rPr>
          <w:rStyle w:val="CharSubdNo"/>
        </w:rPr>
        <w:t> </w:t>
      </w:r>
      <w:r w:rsidRPr="00784539">
        <w:rPr>
          <w:rStyle w:val="CharSubdNo"/>
        </w:rPr>
        <w:t>2.2</w:t>
      </w:r>
      <w:r w:rsidRPr="00784539">
        <w:t>—</w:t>
      </w:r>
      <w:r w:rsidRPr="00784539">
        <w:rPr>
          <w:rStyle w:val="CharSubdText"/>
        </w:rPr>
        <w:t>Sub</w:t>
      </w:r>
      <w:r w:rsidR="00784539" w:rsidRPr="00784539">
        <w:rPr>
          <w:rStyle w:val="CharSubdText"/>
        </w:rPr>
        <w:noBreakHyphen/>
      </w:r>
      <w:r w:rsidRPr="00784539">
        <w:rPr>
          <w:rStyle w:val="CharSubdText"/>
        </w:rPr>
        <w:t xml:space="preserve">sectors to which </w:t>
      </w:r>
      <w:r w:rsidR="002A68DE" w:rsidRPr="00784539">
        <w:rPr>
          <w:rStyle w:val="CharSubdText"/>
        </w:rPr>
        <w:t>basic levy component</w:t>
      </w:r>
      <w:r w:rsidRPr="00784539">
        <w:rPr>
          <w:rStyle w:val="CharSubdText"/>
        </w:rPr>
        <w:t xml:space="preserve"> applies</w:t>
      </w:r>
      <w:bookmarkEnd w:id="42"/>
    </w:p>
    <w:p w:rsidR="00A36634" w:rsidRPr="00784539" w:rsidRDefault="00085808" w:rsidP="00A36634">
      <w:pPr>
        <w:pStyle w:val="ActHead5"/>
      </w:pPr>
      <w:bookmarkStart w:id="43" w:name="_Toc485110071"/>
      <w:r w:rsidRPr="00784539">
        <w:rPr>
          <w:rStyle w:val="CharSectno"/>
        </w:rPr>
        <w:t>23</w:t>
      </w:r>
      <w:r w:rsidR="00A36634" w:rsidRPr="00784539">
        <w:t xml:space="preserve">  Margin lenders</w:t>
      </w:r>
      <w:bookmarkEnd w:id="43"/>
    </w:p>
    <w:p w:rsidR="00A36634" w:rsidRPr="00784539" w:rsidRDefault="00A36634" w:rsidP="00A36634">
      <w:pPr>
        <w:pStyle w:val="subsection"/>
      </w:pPr>
      <w:r w:rsidRPr="00784539">
        <w:tab/>
      </w:r>
      <w:r w:rsidR="00C246F7" w:rsidRPr="00784539">
        <w:t>(1)</w:t>
      </w:r>
      <w:r w:rsidRPr="00784539">
        <w:tab/>
        <w:t xml:space="preserve">A leviable entity forms part of the </w:t>
      </w:r>
      <w:r w:rsidRPr="00784539">
        <w:rPr>
          <w:b/>
          <w:i/>
        </w:rPr>
        <w:t>margin lenders</w:t>
      </w:r>
      <w:r w:rsidRPr="00784539">
        <w:t xml:space="preserve"> sub</w:t>
      </w:r>
      <w:r w:rsidR="00784539">
        <w:noBreakHyphen/>
      </w:r>
      <w:r w:rsidRPr="00784539">
        <w:t xml:space="preserve">sector in a financial year if, </w:t>
      </w:r>
      <w:r w:rsidR="002F043A" w:rsidRPr="00784539">
        <w:t>at any time in the financial year</w:t>
      </w:r>
      <w:r w:rsidRPr="00784539">
        <w:t>, the entity holds an Australian financial services licence that authorises the holder to deal in a financial product by issuing margin lending facilities.</w:t>
      </w:r>
    </w:p>
    <w:p w:rsidR="00C246F7" w:rsidRPr="00784539" w:rsidRDefault="00C246F7" w:rsidP="00C246F7">
      <w:pPr>
        <w:pStyle w:val="SubsectionHead"/>
      </w:pPr>
      <w:r w:rsidRPr="00784539">
        <w:t>Entity metric</w:t>
      </w:r>
    </w:p>
    <w:p w:rsidR="00C246F7" w:rsidRPr="00784539" w:rsidRDefault="00C246F7" w:rsidP="00C246F7">
      <w:pPr>
        <w:pStyle w:val="subsection"/>
      </w:pPr>
      <w:r w:rsidRPr="00784539">
        <w:tab/>
        <w:t>(2)</w:t>
      </w:r>
      <w:r w:rsidRPr="00784539">
        <w:tab/>
        <w:t xml:space="preserve">The leviable entity’s </w:t>
      </w:r>
      <w:r w:rsidRPr="00784539">
        <w:rPr>
          <w:b/>
          <w:i/>
        </w:rPr>
        <w:t xml:space="preserve">entity metric </w:t>
      </w:r>
      <w:r w:rsidRPr="00784539">
        <w:t>for the sub</w:t>
      </w:r>
      <w:r w:rsidR="00784539">
        <w:noBreakHyphen/>
      </w:r>
      <w:r w:rsidRPr="00784539">
        <w:t>sector for the financial year is the number of days in the financial year</w:t>
      </w:r>
      <w:r w:rsidR="00DB1EE1" w:rsidRPr="00784539">
        <w:t xml:space="preserve"> on which the entity holds a licence of the kind mentioned in </w:t>
      </w:r>
      <w:r w:rsidR="00784539" w:rsidRPr="00784539">
        <w:t>subsection (</w:t>
      </w:r>
      <w:r w:rsidR="00E05B60" w:rsidRPr="00784539">
        <w:t>1).</w:t>
      </w:r>
    </w:p>
    <w:p w:rsidR="002C32B2" w:rsidRPr="00784539" w:rsidRDefault="00085808" w:rsidP="002C32B2">
      <w:pPr>
        <w:pStyle w:val="ActHead5"/>
      </w:pPr>
      <w:bookmarkStart w:id="44" w:name="_Toc485110072"/>
      <w:r w:rsidRPr="00784539">
        <w:rPr>
          <w:rStyle w:val="CharSectno"/>
        </w:rPr>
        <w:t>24</w:t>
      </w:r>
      <w:r w:rsidR="002C32B2" w:rsidRPr="00784539">
        <w:t xml:space="preserve">  Small amount credit providers</w:t>
      </w:r>
      <w:bookmarkEnd w:id="44"/>
    </w:p>
    <w:p w:rsidR="002C32B2" w:rsidRPr="00784539" w:rsidRDefault="002C32B2" w:rsidP="002C32B2">
      <w:pPr>
        <w:pStyle w:val="subsection"/>
      </w:pPr>
      <w:r w:rsidRPr="00784539">
        <w:tab/>
        <w:t>(1)</w:t>
      </w:r>
      <w:r w:rsidRPr="00784539">
        <w:tab/>
        <w:t xml:space="preserve">A leviable entity forms part of the </w:t>
      </w:r>
      <w:r w:rsidRPr="00784539">
        <w:rPr>
          <w:b/>
          <w:i/>
        </w:rPr>
        <w:t>small amount credit providers</w:t>
      </w:r>
      <w:r w:rsidRPr="00784539">
        <w:t xml:space="preserve"> sub</w:t>
      </w:r>
      <w:r w:rsidR="00784539">
        <w:noBreakHyphen/>
      </w:r>
      <w:r w:rsidRPr="00784539">
        <w:t>sector in a financial year if</w:t>
      </w:r>
      <w:r w:rsidR="00B36CC1" w:rsidRPr="00784539">
        <w:t>, at any time in the financial year, the entity</w:t>
      </w:r>
      <w:r w:rsidRPr="00784539">
        <w:t>:</w:t>
      </w:r>
    </w:p>
    <w:p w:rsidR="002C32B2" w:rsidRPr="00784539" w:rsidRDefault="002C32B2" w:rsidP="002C32B2">
      <w:pPr>
        <w:pStyle w:val="paragraph"/>
      </w:pPr>
      <w:r w:rsidRPr="00784539">
        <w:tab/>
        <w:t>(a)</w:t>
      </w:r>
      <w:r w:rsidRPr="00784539">
        <w:tab/>
        <w:t>holds</w:t>
      </w:r>
      <w:r w:rsidR="00B36CC1" w:rsidRPr="00784539">
        <w:t xml:space="preserve"> </w:t>
      </w:r>
      <w:r w:rsidRPr="00784539">
        <w:t>an Australian credit licence that authorises the holder to engage in credit activities as a credit provider; and</w:t>
      </w:r>
    </w:p>
    <w:p w:rsidR="002C32B2" w:rsidRPr="00784539" w:rsidRDefault="002C32B2" w:rsidP="002C32B2">
      <w:pPr>
        <w:pStyle w:val="paragraph"/>
      </w:pPr>
      <w:r w:rsidRPr="00784539">
        <w:tab/>
        <w:t>(b)</w:t>
      </w:r>
      <w:r w:rsidRPr="00784539">
        <w:tab/>
        <w:t>provides</w:t>
      </w:r>
      <w:r w:rsidR="00B36CC1" w:rsidRPr="00784539">
        <w:t xml:space="preserve"> </w:t>
      </w:r>
      <w:r w:rsidRPr="00784539">
        <w:t>credit under a small amount credit contract.</w:t>
      </w:r>
    </w:p>
    <w:p w:rsidR="002C32B2" w:rsidRPr="00784539" w:rsidRDefault="002C32B2" w:rsidP="002C32B2">
      <w:pPr>
        <w:pStyle w:val="SubsectionHead"/>
      </w:pPr>
      <w:r w:rsidRPr="00784539">
        <w:t>Entity metric</w:t>
      </w:r>
    </w:p>
    <w:p w:rsidR="002C32B2" w:rsidRPr="00784539" w:rsidRDefault="00B36CC1" w:rsidP="002C32B2">
      <w:pPr>
        <w:pStyle w:val="subsection"/>
      </w:pPr>
      <w:r w:rsidRPr="00784539">
        <w:tab/>
        <w:t>(2</w:t>
      </w:r>
      <w:r w:rsidR="002C32B2" w:rsidRPr="00784539">
        <w:t>)</w:t>
      </w:r>
      <w:r w:rsidR="002C32B2" w:rsidRPr="00784539">
        <w:tab/>
        <w:t xml:space="preserve">The leviable entity’s </w:t>
      </w:r>
      <w:r w:rsidR="002C32B2" w:rsidRPr="00784539">
        <w:rPr>
          <w:b/>
          <w:i/>
        </w:rPr>
        <w:t>entity metric</w:t>
      </w:r>
      <w:r w:rsidR="002C32B2" w:rsidRPr="00784539">
        <w:t xml:space="preserve"> for the sub</w:t>
      </w:r>
      <w:r w:rsidR="00784539">
        <w:noBreakHyphen/>
      </w:r>
      <w:r w:rsidR="002C32B2" w:rsidRPr="00784539">
        <w:t xml:space="preserve">sector for the financial year is the gross amount of credit provided by the entity </w:t>
      </w:r>
      <w:r w:rsidR="00BF5698" w:rsidRPr="00784539">
        <w:t>in</w:t>
      </w:r>
      <w:r w:rsidR="002C32B2" w:rsidRPr="00784539">
        <w:t xml:space="preserve"> the financial year under small amount credit contracts.</w:t>
      </w:r>
    </w:p>
    <w:p w:rsidR="00A36634" w:rsidRPr="00784539" w:rsidRDefault="00A36634" w:rsidP="00A36634">
      <w:pPr>
        <w:pStyle w:val="ActHead4"/>
      </w:pPr>
      <w:bookmarkStart w:id="45" w:name="_Toc485110073"/>
      <w:r w:rsidRPr="00784539">
        <w:rPr>
          <w:rStyle w:val="CharSubdNo"/>
        </w:rPr>
        <w:t>Subdivision</w:t>
      </w:r>
      <w:r w:rsidR="00784539" w:rsidRPr="00784539">
        <w:rPr>
          <w:rStyle w:val="CharSubdNo"/>
        </w:rPr>
        <w:t> </w:t>
      </w:r>
      <w:r w:rsidRPr="00784539">
        <w:rPr>
          <w:rStyle w:val="CharSubdNo"/>
        </w:rPr>
        <w:t>2.3</w:t>
      </w:r>
      <w:r w:rsidRPr="00784539">
        <w:t>—</w:t>
      </w:r>
      <w:r w:rsidRPr="00784539">
        <w:rPr>
          <w:rStyle w:val="CharSubdText"/>
        </w:rPr>
        <w:t>Sub</w:t>
      </w:r>
      <w:r w:rsidR="00784539" w:rsidRPr="00784539">
        <w:rPr>
          <w:rStyle w:val="CharSubdText"/>
        </w:rPr>
        <w:noBreakHyphen/>
      </w:r>
      <w:r w:rsidRPr="00784539">
        <w:rPr>
          <w:rStyle w:val="CharSubdText"/>
        </w:rPr>
        <w:t xml:space="preserve">sectors to which graduated </w:t>
      </w:r>
      <w:r w:rsidR="00E366AE" w:rsidRPr="00784539">
        <w:rPr>
          <w:rStyle w:val="CharSubdText"/>
        </w:rPr>
        <w:t>levy component</w:t>
      </w:r>
      <w:r w:rsidRPr="00784539">
        <w:rPr>
          <w:rStyle w:val="CharSubdText"/>
        </w:rPr>
        <w:t xml:space="preserve"> applies</w:t>
      </w:r>
      <w:bookmarkEnd w:id="45"/>
    </w:p>
    <w:p w:rsidR="00A36634" w:rsidRPr="00784539" w:rsidRDefault="00085808" w:rsidP="00A36634">
      <w:pPr>
        <w:pStyle w:val="ActHead5"/>
      </w:pPr>
      <w:bookmarkStart w:id="46" w:name="_Toc485110074"/>
      <w:r w:rsidRPr="00784539">
        <w:rPr>
          <w:rStyle w:val="CharSectno"/>
        </w:rPr>
        <w:t>25</w:t>
      </w:r>
      <w:r w:rsidR="00A36634" w:rsidRPr="00784539">
        <w:t xml:space="preserve">  Credit intermediaries</w:t>
      </w:r>
      <w:bookmarkEnd w:id="46"/>
    </w:p>
    <w:p w:rsidR="00A36634" w:rsidRPr="00784539" w:rsidRDefault="00A36634" w:rsidP="00A36634">
      <w:pPr>
        <w:pStyle w:val="subsection"/>
      </w:pPr>
      <w:r w:rsidRPr="00784539">
        <w:tab/>
        <w:t>(1)</w:t>
      </w:r>
      <w:r w:rsidRPr="00784539">
        <w:tab/>
        <w:t xml:space="preserve">A leviable entity forms part of the </w:t>
      </w:r>
      <w:r w:rsidRPr="00784539">
        <w:rPr>
          <w:b/>
          <w:i/>
        </w:rPr>
        <w:t>credit intermediaries</w:t>
      </w:r>
      <w:r w:rsidRPr="00784539">
        <w:t xml:space="preserve"> sub</w:t>
      </w:r>
      <w:r w:rsidR="00784539">
        <w:noBreakHyphen/>
      </w:r>
      <w:r w:rsidRPr="00784539">
        <w:t xml:space="preserve">sector in a financial year if, </w:t>
      </w:r>
      <w:r w:rsidR="002F043A" w:rsidRPr="00784539">
        <w:t>at any time in the financial year</w:t>
      </w:r>
      <w:r w:rsidRPr="00784539">
        <w:t>, the entity holds an Australian credit licence that authorises the entity to engage in credit activities other than as a credit provider.</w:t>
      </w:r>
    </w:p>
    <w:p w:rsidR="00A36634" w:rsidRPr="00784539" w:rsidRDefault="00A36634" w:rsidP="00A36634">
      <w:pPr>
        <w:pStyle w:val="SubsectionHead"/>
      </w:pPr>
      <w:r w:rsidRPr="00784539">
        <w:t>Levy component</w:t>
      </w:r>
    </w:p>
    <w:p w:rsidR="00A36634" w:rsidRPr="00784539" w:rsidRDefault="00A36634" w:rsidP="00A36634">
      <w:pPr>
        <w:pStyle w:val="subsection"/>
      </w:pPr>
      <w:r w:rsidRPr="00784539">
        <w:tab/>
        <w:t>(2)</w:t>
      </w:r>
      <w:r w:rsidRPr="00784539">
        <w:tab/>
        <w:t>The amount of a leviable entity’s levy component in respect of the sub</w:t>
      </w:r>
      <w:r w:rsidR="00784539">
        <w:noBreakHyphen/>
      </w:r>
      <w:r w:rsidRPr="00784539">
        <w:t>sector for the financial year is the sum of:</w:t>
      </w:r>
    </w:p>
    <w:p w:rsidR="00A36634" w:rsidRPr="00784539" w:rsidRDefault="00A36634" w:rsidP="00A36634">
      <w:pPr>
        <w:pStyle w:val="paragraph"/>
      </w:pPr>
      <w:r w:rsidRPr="00784539">
        <w:tab/>
        <w:t>(a)</w:t>
      </w:r>
      <w:r w:rsidRPr="00784539">
        <w:tab/>
        <w:t>the minimum levy component for the sub</w:t>
      </w:r>
      <w:r w:rsidR="00784539">
        <w:noBreakHyphen/>
      </w:r>
      <w:r w:rsidRPr="00784539">
        <w:t>sector; and</w:t>
      </w:r>
    </w:p>
    <w:p w:rsidR="00A36634" w:rsidRPr="00784539" w:rsidRDefault="00A36634" w:rsidP="00A36634">
      <w:pPr>
        <w:pStyle w:val="paragraph"/>
      </w:pPr>
      <w:r w:rsidRPr="00784539">
        <w:tab/>
        <w:t>(b)</w:t>
      </w:r>
      <w:r w:rsidRPr="00784539">
        <w:tab/>
        <w:t>the graduated levy component for the entity for the sub</w:t>
      </w:r>
      <w:r w:rsidR="00784539">
        <w:noBreakHyphen/>
      </w:r>
      <w:r w:rsidRPr="00784539">
        <w:t>sector.</w:t>
      </w:r>
    </w:p>
    <w:p w:rsidR="00A36634" w:rsidRPr="00784539" w:rsidRDefault="00A36634" w:rsidP="00A36634">
      <w:pPr>
        <w:pStyle w:val="notetext"/>
      </w:pPr>
      <w:r w:rsidRPr="00784539">
        <w:t>Note:</w:t>
      </w:r>
      <w:r w:rsidRPr="00784539">
        <w:tab/>
        <w:t>For the graduated levy component, see section</w:t>
      </w:r>
      <w:r w:rsidR="00784539" w:rsidRPr="00784539">
        <w:t> </w:t>
      </w:r>
      <w:r w:rsidR="00085808" w:rsidRPr="00784539">
        <w:t>10</w:t>
      </w:r>
      <w:r w:rsidRPr="00784539">
        <w:t>.</w:t>
      </w:r>
    </w:p>
    <w:p w:rsidR="00A36634" w:rsidRPr="00784539" w:rsidRDefault="00A36634" w:rsidP="00A36634">
      <w:pPr>
        <w:pStyle w:val="SubsectionHead"/>
      </w:pPr>
      <w:r w:rsidRPr="00784539">
        <w:t>Entity metric</w:t>
      </w:r>
    </w:p>
    <w:p w:rsidR="00A36634" w:rsidRPr="00784539" w:rsidRDefault="00A36634" w:rsidP="0050547A">
      <w:pPr>
        <w:pStyle w:val="subsection"/>
      </w:pPr>
      <w:r w:rsidRPr="00784539">
        <w:tab/>
        <w:t>(3)</w:t>
      </w:r>
      <w:r w:rsidRPr="00784539">
        <w:tab/>
        <w:t xml:space="preserve">The leviable entity’s </w:t>
      </w:r>
      <w:r w:rsidRPr="00784539">
        <w:rPr>
          <w:b/>
          <w:i/>
        </w:rPr>
        <w:t>entity metric</w:t>
      </w:r>
      <w:r w:rsidRPr="00784539">
        <w:t xml:space="preserve"> for the sub</w:t>
      </w:r>
      <w:r w:rsidR="00784539">
        <w:noBreakHyphen/>
      </w:r>
      <w:r w:rsidRPr="00784539">
        <w:t>sector for the financial year is the</w:t>
      </w:r>
      <w:r w:rsidR="0050547A" w:rsidRPr="00784539">
        <w:t xml:space="preserve"> number of credit representatives (within the meaning of the </w:t>
      </w:r>
      <w:r w:rsidRPr="00784539">
        <w:rPr>
          <w:i/>
        </w:rPr>
        <w:t>National Consumer Credit Protection Act 2009</w:t>
      </w:r>
      <w:r w:rsidRPr="00784539">
        <w:t>) the entity ha</w:t>
      </w:r>
      <w:r w:rsidR="0050547A" w:rsidRPr="00784539">
        <w:t>s at the end of the financial year</w:t>
      </w:r>
      <w:r w:rsidRPr="00784539">
        <w:t>.</w:t>
      </w:r>
    </w:p>
    <w:p w:rsidR="005B7817" w:rsidRPr="00784539" w:rsidRDefault="00534D3D" w:rsidP="005B7817">
      <w:pPr>
        <w:pStyle w:val="subsection"/>
      </w:pPr>
      <w:r w:rsidRPr="00784539">
        <w:tab/>
        <w:t>(4)</w:t>
      </w:r>
      <w:r w:rsidRPr="00784539">
        <w:tab/>
      </w:r>
      <w:r w:rsidR="005B7817" w:rsidRPr="00784539">
        <w:t>However:</w:t>
      </w:r>
    </w:p>
    <w:p w:rsidR="005B7817" w:rsidRPr="00784539" w:rsidRDefault="005B7817" w:rsidP="005B7817">
      <w:pPr>
        <w:pStyle w:val="paragraph"/>
      </w:pPr>
      <w:r w:rsidRPr="00784539">
        <w:tab/>
        <w:t>(a)</w:t>
      </w:r>
      <w:r w:rsidRPr="00784539">
        <w:tab/>
        <w:t xml:space="preserve">there is a </w:t>
      </w:r>
      <w:r w:rsidR="00B43668" w:rsidRPr="00784539">
        <w:t>pro</w:t>
      </w:r>
      <w:r w:rsidR="00784539">
        <w:noBreakHyphen/>
      </w:r>
      <w:r w:rsidR="00B43668" w:rsidRPr="00784539">
        <w:t>rata</w:t>
      </w:r>
      <w:r w:rsidRPr="00784539">
        <w:t xml:space="preserve"> of the entity metric; and</w:t>
      </w:r>
    </w:p>
    <w:p w:rsidR="005B7817" w:rsidRPr="00784539" w:rsidRDefault="005B7817" w:rsidP="005B7817">
      <w:pPr>
        <w:pStyle w:val="paragraph"/>
      </w:pPr>
      <w:r w:rsidRPr="00784539">
        <w:tab/>
        <w:t>(b)</w:t>
      </w:r>
      <w:r w:rsidRPr="00784539">
        <w:tab/>
        <w:t>for the purposes of section</w:t>
      </w:r>
      <w:r w:rsidR="00784539" w:rsidRPr="00784539">
        <w:t> </w:t>
      </w:r>
      <w:r w:rsidR="00085808" w:rsidRPr="00784539">
        <w:t>11</w:t>
      </w:r>
      <w:r w:rsidRPr="00784539">
        <w:t xml:space="preserve">, the number of counted days is the number of days in the financial year on which the </w:t>
      </w:r>
      <w:r w:rsidR="00BC691E" w:rsidRPr="00784539">
        <w:t xml:space="preserve">leviable </w:t>
      </w:r>
      <w:r w:rsidRPr="00784539">
        <w:t xml:space="preserve">entity </w:t>
      </w:r>
      <w:r w:rsidR="00782DE6" w:rsidRPr="00784539">
        <w:t>hold</w:t>
      </w:r>
      <w:r w:rsidR="00F436B2" w:rsidRPr="00784539">
        <w:t>s a licence of the kind m</w:t>
      </w:r>
      <w:r w:rsidRPr="00784539">
        <w:t xml:space="preserve">entioned in </w:t>
      </w:r>
      <w:r w:rsidR="00784539" w:rsidRPr="00784539">
        <w:t>subsection (</w:t>
      </w:r>
      <w:r w:rsidRPr="00784539">
        <w:t>1).</w:t>
      </w:r>
    </w:p>
    <w:p w:rsidR="00A36634" w:rsidRPr="00784539" w:rsidRDefault="00A36634" w:rsidP="00A36634">
      <w:pPr>
        <w:pStyle w:val="subsection"/>
      </w:pPr>
      <w:r w:rsidRPr="00784539">
        <w:tab/>
        <w:t>(</w:t>
      </w:r>
      <w:r w:rsidR="006D55B8" w:rsidRPr="00784539">
        <w:t>5</w:t>
      </w:r>
      <w:r w:rsidRPr="00784539">
        <w:t>)</w:t>
      </w:r>
      <w:r w:rsidRPr="00784539">
        <w:tab/>
        <w:t xml:space="preserve">The </w:t>
      </w:r>
      <w:r w:rsidRPr="00784539">
        <w:rPr>
          <w:b/>
          <w:i/>
        </w:rPr>
        <w:t>minimum levy component</w:t>
      </w:r>
      <w:r w:rsidRPr="00784539">
        <w:t xml:space="preserve"> for the sub</w:t>
      </w:r>
      <w:r w:rsidR="00784539">
        <w:noBreakHyphen/>
      </w:r>
      <w:r w:rsidRPr="00784539">
        <w:t>sector is $1,000.</w:t>
      </w:r>
    </w:p>
    <w:p w:rsidR="00A36634" w:rsidRPr="00784539" w:rsidRDefault="00085808" w:rsidP="00A36634">
      <w:pPr>
        <w:pStyle w:val="ActHead5"/>
      </w:pPr>
      <w:bookmarkStart w:id="47" w:name="_Toc485110075"/>
      <w:r w:rsidRPr="00784539">
        <w:rPr>
          <w:rStyle w:val="CharSectno"/>
        </w:rPr>
        <w:t>26</w:t>
      </w:r>
      <w:r w:rsidR="00A36634" w:rsidRPr="00784539">
        <w:t xml:space="preserve">  Credit providers</w:t>
      </w:r>
      <w:bookmarkEnd w:id="47"/>
    </w:p>
    <w:p w:rsidR="00A36634" w:rsidRPr="00784539" w:rsidRDefault="00A36634" w:rsidP="00A36634">
      <w:pPr>
        <w:pStyle w:val="subsection"/>
      </w:pPr>
      <w:r w:rsidRPr="00784539">
        <w:tab/>
        <w:t>(1)</w:t>
      </w:r>
      <w:r w:rsidRPr="00784539">
        <w:tab/>
        <w:t xml:space="preserve">A leviable entity forms part of the </w:t>
      </w:r>
      <w:r w:rsidRPr="00784539">
        <w:rPr>
          <w:b/>
          <w:i/>
        </w:rPr>
        <w:t>credit providers</w:t>
      </w:r>
      <w:r w:rsidRPr="00784539">
        <w:t xml:space="preserve"> sub</w:t>
      </w:r>
      <w:r w:rsidR="00784539">
        <w:noBreakHyphen/>
      </w:r>
      <w:r w:rsidRPr="00784539">
        <w:t xml:space="preserve">sector in a financial year if, </w:t>
      </w:r>
      <w:r w:rsidR="002F043A" w:rsidRPr="00784539">
        <w:t>at any time in the financial year</w:t>
      </w:r>
      <w:r w:rsidRPr="00784539">
        <w:t>, the entity holds an Australian credit licence that authorises the holder to engage in credit activities as a credit provider.</w:t>
      </w:r>
    </w:p>
    <w:p w:rsidR="00A36634" w:rsidRPr="00784539" w:rsidRDefault="00A36634" w:rsidP="00A36634">
      <w:pPr>
        <w:pStyle w:val="SubsectionHead"/>
      </w:pPr>
      <w:r w:rsidRPr="00784539">
        <w:t>Levy component</w:t>
      </w:r>
    </w:p>
    <w:p w:rsidR="00A36634" w:rsidRPr="00784539" w:rsidRDefault="00A36634" w:rsidP="00A36634">
      <w:pPr>
        <w:pStyle w:val="subsection"/>
      </w:pPr>
      <w:r w:rsidRPr="00784539">
        <w:tab/>
        <w:t>(2)</w:t>
      </w:r>
      <w:r w:rsidRPr="00784539">
        <w:tab/>
        <w:t>The amount of a leviable entity’s levy component in respect of the sub</w:t>
      </w:r>
      <w:r w:rsidR="00784539">
        <w:noBreakHyphen/>
      </w:r>
      <w:r w:rsidRPr="00784539">
        <w:t>sector for the financial year is the sum of:</w:t>
      </w:r>
    </w:p>
    <w:p w:rsidR="00A36634" w:rsidRPr="00784539" w:rsidRDefault="00A36634" w:rsidP="00A36634">
      <w:pPr>
        <w:pStyle w:val="paragraph"/>
      </w:pPr>
      <w:r w:rsidRPr="00784539">
        <w:tab/>
        <w:t>(a)</w:t>
      </w:r>
      <w:r w:rsidRPr="00784539">
        <w:tab/>
        <w:t>the minimum levy component for the sub</w:t>
      </w:r>
      <w:r w:rsidR="00784539">
        <w:noBreakHyphen/>
      </w:r>
      <w:r w:rsidRPr="00784539">
        <w:t>sector; and</w:t>
      </w:r>
    </w:p>
    <w:p w:rsidR="00A36634" w:rsidRPr="00784539" w:rsidRDefault="00A36634" w:rsidP="00A36634">
      <w:pPr>
        <w:pStyle w:val="paragraph"/>
      </w:pPr>
      <w:r w:rsidRPr="00784539">
        <w:tab/>
        <w:t>(b)</w:t>
      </w:r>
      <w:r w:rsidRPr="00784539">
        <w:tab/>
        <w:t xml:space="preserve">if the </w:t>
      </w:r>
      <w:r w:rsidR="000E42ED" w:rsidRPr="00784539">
        <w:t>e</w:t>
      </w:r>
      <w:r w:rsidRPr="00784539">
        <w:t>ntity’s entity metric for the sub</w:t>
      </w:r>
      <w:r w:rsidR="00784539">
        <w:noBreakHyphen/>
      </w:r>
      <w:r w:rsidRPr="00784539">
        <w:t>sector for the financial year exceeds the minimum levy threshold—the graduated levy component for the entity for the sub</w:t>
      </w:r>
      <w:r w:rsidR="00784539">
        <w:noBreakHyphen/>
      </w:r>
      <w:r w:rsidRPr="00784539">
        <w:t>sector.</w:t>
      </w:r>
    </w:p>
    <w:p w:rsidR="00A36634" w:rsidRPr="00784539" w:rsidRDefault="00A36634" w:rsidP="00A36634">
      <w:pPr>
        <w:pStyle w:val="notetext"/>
      </w:pPr>
      <w:r w:rsidRPr="00784539">
        <w:t>Note:</w:t>
      </w:r>
      <w:r w:rsidRPr="00784539">
        <w:tab/>
        <w:t>For the graduated levy component, see section</w:t>
      </w:r>
      <w:r w:rsidR="00784539" w:rsidRPr="00784539">
        <w:t> </w:t>
      </w:r>
      <w:r w:rsidR="00085808" w:rsidRPr="00784539">
        <w:t>10</w:t>
      </w:r>
      <w:r w:rsidRPr="00784539">
        <w:t>.</w:t>
      </w:r>
    </w:p>
    <w:p w:rsidR="00A36634" w:rsidRPr="00784539" w:rsidRDefault="00A36634" w:rsidP="00A36634">
      <w:pPr>
        <w:pStyle w:val="SubsectionHead"/>
      </w:pPr>
      <w:r w:rsidRPr="00784539">
        <w:t>Entity metric</w:t>
      </w:r>
    </w:p>
    <w:p w:rsidR="00A36634" w:rsidRPr="00784539" w:rsidRDefault="00A36634" w:rsidP="00A36634">
      <w:pPr>
        <w:pStyle w:val="subsection"/>
      </w:pPr>
      <w:r w:rsidRPr="00784539">
        <w:tab/>
        <w:t>(3)</w:t>
      </w:r>
      <w:r w:rsidRPr="00784539">
        <w:tab/>
        <w:t xml:space="preserve">The leviable entity’s </w:t>
      </w:r>
      <w:r w:rsidRPr="00784539">
        <w:rPr>
          <w:b/>
          <w:i/>
        </w:rPr>
        <w:t>entity metric</w:t>
      </w:r>
      <w:r w:rsidRPr="00784539">
        <w:t xml:space="preserve"> for the sub</w:t>
      </w:r>
      <w:r w:rsidR="00784539">
        <w:noBreakHyphen/>
      </w:r>
      <w:r w:rsidRPr="00784539">
        <w:t xml:space="preserve">sector for the financial year is the gross amount of credit provided by the entity </w:t>
      </w:r>
      <w:r w:rsidR="00BF5698" w:rsidRPr="00784539">
        <w:t>in</w:t>
      </w:r>
      <w:r w:rsidRPr="00784539">
        <w:t xml:space="preserve"> the financial year under credit contracts (other than small amount credit contracts).</w:t>
      </w:r>
    </w:p>
    <w:p w:rsidR="00A36634" w:rsidRPr="00784539" w:rsidRDefault="00A36634" w:rsidP="00A36634">
      <w:pPr>
        <w:pStyle w:val="subsection"/>
      </w:pPr>
      <w:r w:rsidRPr="00784539">
        <w:tab/>
        <w:t>(4)</w:t>
      </w:r>
      <w:r w:rsidRPr="00784539">
        <w:tab/>
        <w:t xml:space="preserve">The </w:t>
      </w:r>
      <w:r w:rsidRPr="00784539">
        <w:rPr>
          <w:b/>
          <w:i/>
        </w:rPr>
        <w:t>minimum levy component</w:t>
      </w:r>
      <w:r w:rsidRPr="00784539">
        <w:t xml:space="preserve"> for the sub</w:t>
      </w:r>
      <w:r w:rsidR="00784539">
        <w:noBreakHyphen/>
      </w:r>
      <w:r w:rsidRPr="00784539">
        <w:t>sector is $2,000.</w:t>
      </w:r>
    </w:p>
    <w:p w:rsidR="00A36634" w:rsidRPr="00784539" w:rsidRDefault="00A36634" w:rsidP="00A36634">
      <w:pPr>
        <w:pStyle w:val="subsection"/>
      </w:pPr>
      <w:r w:rsidRPr="00784539">
        <w:rPr>
          <w:b/>
          <w:i/>
        </w:rPr>
        <w:tab/>
      </w:r>
      <w:r w:rsidRPr="00784539">
        <w:t>(5)</w:t>
      </w:r>
      <w:r w:rsidRPr="00784539">
        <w:tab/>
        <w:t>The</w:t>
      </w:r>
      <w:r w:rsidRPr="00784539">
        <w:rPr>
          <w:b/>
          <w:i/>
        </w:rPr>
        <w:t xml:space="preserve"> minimum levy threshold</w:t>
      </w:r>
      <w:r w:rsidRPr="00784539">
        <w:t xml:space="preserve"> for the sub</w:t>
      </w:r>
      <w:r w:rsidR="00784539">
        <w:noBreakHyphen/>
      </w:r>
      <w:r w:rsidRPr="00784539">
        <w:t>sector is $100,000,000.</w:t>
      </w:r>
    </w:p>
    <w:p w:rsidR="00A36634" w:rsidRPr="00784539" w:rsidRDefault="00085808" w:rsidP="00A36634">
      <w:pPr>
        <w:pStyle w:val="ActHead5"/>
      </w:pPr>
      <w:bookmarkStart w:id="48" w:name="_Toc485110076"/>
      <w:r w:rsidRPr="00784539">
        <w:rPr>
          <w:rStyle w:val="CharSectno"/>
        </w:rPr>
        <w:t>27</w:t>
      </w:r>
      <w:r w:rsidR="00A36634" w:rsidRPr="00784539">
        <w:t xml:space="preserve">  Deposit product providers</w:t>
      </w:r>
      <w:bookmarkEnd w:id="48"/>
    </w:p>
    <w:p w:rsidR="00A36634" w:rsidRPr="00784539" w:rsidRDefault="00A36634" w:rsidP="00A36634">
      <w:pPr>
        <w:pStyle w:val="subsection"/>
      </w:pPr>
      <w:r w:rsidRPr="00784539">
        <w:tab/>
        <w:t>(1)</w:t>
      </w:r>
      <w:r w:rsidRPr="00784539">
        <w:tab/>
        <w:t xml:space="preserve">A leviable entity forms part of the </w:t>
      </w:r>
      <w:r w:rsidRPr="00784539">
        <w:rPr>
          <w:b/>
          <w:i/>
        </w:rPr>
        <w:t>deposit product providers</w:t>
      </w:r>
      <w:r w:rsidRPr="00784539">
        <w:t xml:space="preserve"> sub</w:t>
      </w:r>
      <w:r w:rsidR="00784539">
        <w:noBreakHyphen/>
      </w:r>
      <w:r w:rsidRPr="00784539">
        <w:t xml:space="preserve">sector in a financial year if, </w:t>
      </w:r>
      <w:r w:rsidR="002F043A" w:rsidRPr="00784539">
        <w:t>at any time in the financial year</w:t>
      </w:r>
      <w:r w:rsidRPr="00784539">
        <w:t>, the entity holds an Australian financial services licence that authorises the holder to deal in a financial product by issuing deposit products.</w:t>
      </w:r>
    </w:p>
    <w:p w:rsidR="00A36634" w:rsidRPr="00784539" w:rsidRDefault="00A36634" w:rsidP="00A36634">
      <w:pPr>
        <w:pStyle w:val="SubsectionHead"/>
      </w:pPr>
      <w:r w:rsidRPr="00784539">
        <w:t>Levy component</w:t>
      </w:r>
    </w:p>
    <w:p w:rsidR="00A36634" w:rsidRPr="00784539" w:rsidRDefault="00A36634" w:rsidP="00A36634">
      <w:pPr>
        <w:pStyle w:val="subsection"/>
      </w:pPr>
      <w:r w:rsidRPr="00784539">
        <w:tab/>
        <w:t>(2)</w:t>
      </w:r>
      <w:r w:rsidRPr="00784539">
        <w:tab/>
        <w:t>The amount of a leviable entity’s levy component in respect of the sub</w:t>
      </w:r>
      <w:r w:rsidR="00784539">
        <w:noBreakHyphen/>
      </w:r>
      <w:r w:rsidRPr="00784539">
        <w:t>sector for the financial year is the sum of:</w:t>
      </w:r>
    </w:p>
    <w:p w:rsidR="00A36634" w:rsidRPr="00784539" w:rsidRDefault="00A36634" w:rsidP="00A36634">
      <w:pPr>
        <w:pStyle w:val="paragraph"/>
      </w:pPr>
      <w:r w:rsidRPr="00784539">
        <w:tab/>
        <w:t>(a)</w:t>
      </w:r>
      <w:r w:rsidRPr="00784539">
        <w:tab/>
        <w:t>the minimum levy component for the sub</w:t>
      </w:r>
      <w:r w:rsidR="00784539">
        <w:noBreakHyphen/>
      </w:r>
      <w:r w:rsidRPr="00784539">
        <w:t>sector; and</w:t>
      </w:r>
    </w:p>
    <w:p w:rsidR="00A36634" w:rsidRPr="00784539" w:rsidRDefault="00A36634" w:rsidP="00A36634">
      <w:pPr>
        <w:pStyle w:val="paragraph"/>
      </w:pPr>
      <w:r w:rsidRPr="00784539">
        <w:tab/>
        <w:t>(b)</w:t>
      </w:r>
      <w:r w:rsidRPr="00784539">
        <w:tab/>
        <w:t>if the</w:t>
      </w:r>
      <w:r w:rsidR="001C2DE5" w:rsidRPr="00784539">
        <w:t xml:space="preserve"> </w:t>
      </w:r>
      <w:r w:rsidRPr="00784539">
        <w:t>entity’s entity metric for the sub</w:t>
      </w:r>
      <w:r w:rsidR="00784539">
        <w:noBreakHyphen/>
      </w:r>
      <w:r w:rsidRPr="00784539">
        <w:t>sector for the financial year exceeds the minimum levy threshold—the graduated levy component for the entity for the sub</w:t>
      </w:r>
      <w:r w:rsidR="00784539">
        <w:noBreakHyphen/>
      </w:r>
      <w:r w:rsidRPr="00784539">
        <w:t>sector.</w:t>
      </w:r>
    </w:p>
    <w:p w:rsidR="00A36634" w:rsidRPr="00784539" w:rsidRDefault="00A36634" w:rsidP="00A36634">
      <w:pPr>
        <w:pStyle w:val="notetext"/>
      </w:pPr>
      <w:r w:rsidRPr="00784539">
        <w:t>Note:</w:t>
      </w:r>
      <w:r w:rsidRPr="00784539">
        <w:tab/>
        <w:t>For the graduated levy component, see section</w:t>
      </w:r>
      <w:r w:rsidR="00784539" w:rsidRPr="00784539">
        <w:t> </w:t>
      </w:r>
      <w:r w:rsidR="00085808" w:rsidRPr="00784539">
        <w:t>10</w:t>
      </w:r>
      <w:r w:rsidRPr="00784539">
        <w:t>.</w:t>
      </w:r>
    </w:p>
    <w:p w:rsidR="00A36634" w:rsidRPr="00784539" w:rsidRDefault="00A36634" w:rsidP="00A36634">
      <w:pPr>
        <w:pStyle w:val="SubsectionHead"/>
      </w:pPr>
      <w:r w:rsidRPr="00784539">
        <w:t>Entity metric</w:t>
      </w:r>
    </w:p>
    <w:p w:rsidR="0050547A" w:rsidRPr="00784539" w:rsidRDefault="00A36634" w:rsidP="00A36634">
      <w:pPr>
        <w:pStyle w:val="subsection"/>
      </w:pPr>
      <w:r w:rsidRPr="00784539">
        <w:tab/>
        <w:t>(3)</w:t>
      </w:r>
      <w:r w:rsidRPr="00784539">
        <w:tab/>
        <w:t xml:space="preserve">The leviable entity’s </w:t>
      </w:r>
      <w:r w:rsidRPr="00784539">
        <w:rPr>
          <w:b/>
          <w:i/>
        </w:rPr>
        <w:t>entity metric</w:t>
      </w:r>
      <w:r w:rsidRPr="00784539">
        <w:t xml:space="preserve"> for the sub</w:t>
      </w:r>
      <w:r w:rsidR="00784539">
        <w:noBreakHyphen/>
      </w:r>
      <w:r w:rsidRPr="00784539">
        <w:t>sector for the financial year is</w:t>
      </w:r>
      <w:r w:rsidRPr="00784539">
        <w:rPr>
          <w:i/>
        </w:rPr>
        <w:t xml:space="preserve"> </w:t>
      </w:r>
      <w:r w:rsidRPr="00784539">
        <w:t xml:space="preserve">the total </w:t>
      </w:r>
      <w:r w:rsidR="005030E6" w:rsidRPr="00784539">
        <w:t>value</w:t>
      </w:r>
      <w:r w:rsidRPr="00784539">
        <w:t xml:space="preserve"> of deposits </w:t>
      </w:r>
      <w:r w:rsidR="0050547A" w:rsidRPr="00784539">
        <w:t xml:space="preserve">held </w:t>
      </w:r>
      <w:r w:rsidR="00195E67" w:rsidRPr="00784539">
        <w:t xml:space="preserve">at the end of the financial year </w:t>
      </w:r>
      <w:r w:rsidR="0050547A" w:rsidRPr="00784539">
        <w:t>in deposit products issued</w:t>
      </w:r>
      <w:r w:rsidR="00E644A8" w:rsidRPr="00784539">
        <w:t xml:space="preserve"> by the entity (whether the deposit product was issued in the </w:t>
      </w:r>
      <w:r w:rsidR="0050547A" w:rsidRPr="00784539">
        <w:t>financial year or an earlier financial year).</w:t>
      </w:r>
    </w:p>
    <w:p w:rsidR="0050547A" w:rsidRPr="00784539" w:rsidRDefault="0050547A" w:rsidP="0050547A">
      <w:pPr>
        <w:pStyle w:val="subsection"/>
      </w:pPr>
      <w:r w:rsidRPr="00784539">
        <w:tab/>
        <w:t>(4)</w:t>
      </w:r>
      <w:r w:rsidRPr="00784539">
        <w:tab/>
        <w:t>However:</w:t>
      </w:r>
    </w:p>
    <w:p w:rsidR="0050547A" w:rsidRPr="00784539" w:rsidRDefault="0050547A" w:rsidP="0050547A">
      <w:pPr>
        <w:pStyle w:val="paragraph"/>
      </w:pPr>
      <w:r w:rsidRPr="00784539">
        <w:tab/>
        <w:t>(a)</w:t>
      </w:r>
      <w:r w:rsidRPr="00784539">
        <w:tab/>
        <w:t>there is a pro</w:t>
      </w:r>
      <w:r w:rsidR="00784539">
        <w:noBreakHyphen/>
      </w:r>
      <w:r w:rsidRPr="00784539">
        <w:t>rata of the entity metric; and</w:t>
      </w:r>
    </w:p>
    <w:p w:rsidR="0050547A" w:rsidRPr="00784539" w:rsidRDefault="0050547A" w:rsidP="0050547A">
      <w:pPr>
        <w:pStyle w:val="paragraph"/>
      </w:pPr>
      <w:r w:rsidRPr="00784539">
        <w:tab/>
        <w:t>(b)</w:t>
      </w:r>
      <w:r w:rsidRPr="00784539">
        <w:tab/>
        <w:t>for the purposes of section</w:t>
      </w:r>
      <w:r w:rsidR="00784539" w:rsidRPr="00784539">
        <w:t> </w:t>
      </w:r>
      <w:r w:rsidR="00085808" w:rsidRPr="00784539">
        <w:t>11</w:t>
      </w:r>
      <w:r w:rsidRPr="00784539">
        <w:t xml:space="preserve">, the number of counted days is the number of days in the financial year on which the </w:t>
      </w:r>
      <w:r w:rsidR="00A06F69" w:rsidRPr="00784539">
        <w:t xml:space="preserve">leviable </w:t>
      </w:r>
      <w:r w:rsidRPr="00784539">
        <w:t xml:space="preserve">entity holds </w:t>
      </w:r>
      <w:r w:rsidR="00F436B2" w:rsidRPr="00784539">
        <w:t>a</w:t>
      </w:r>
      <w:r w:rsidRPr="00784539">
        <w:t xml:space="preserve"> licence </w:t>
      </w:r>
      <w:r w:rsidR="00F436B2" w:rsidRPr="00784539">
        <w:t xml:space="preserve">of the kind </w:t>
      </w:r>
      <w:r w:rsidRPr="00784539">
        <w:t xml:space="preserve">mentioned in </w:t>
      </w:r>
      <w:r w:rsidR="00784539" w:rsidRPr="00784539">
        <w:t>subsection (</w:t>
      </w:r>
      <w:r w:rsidRPr="00784539">
        <w:t>1).</w:t>
      </w:r>
    </w:p>
    <w:p w:rsidR="00A36634" w:rsidRPr="00784539" w:rsidRDefault="00A36634" w:rsidP="00A36634">
      <w:pPr>
        <w:pStyle w:val="subsection"/>
      </w:pPr>
      <w:r w:rsidRPr="00784539">
        <w:tab/>
        <w:t>(</w:t>
      </w:r>
      <w:r w:rsidR="00432651" w:rsidRPr="00784539">
        <w:t>5</w:t>
      </w:r>
      <w:r w:rsidRPr="00784539">
        <w:t>)</w:t>
      </w:r>
      <w:r w:rsidRPr="00784539">
        <w:tab/>
        <w:t xml:space="preserve">The </w:t>
      </w:r>
      <w:r w:rsidRPr="00784539">
        <w:rPr>
          <w:b/>
          <w:i/>
        </w:rPr>
        <w:t>minimum levy component</w:t>
      </w:r>
      <w:r w:rsidRPr="00784539">
        <w:t xml:space="preserve"> for the sub</w:t>
      </w:r>
      <w:r w:rsidR="00784539">
        <w:noBreakHyphen/>
      </w:r>
      <w:r w:rsidRPr="00784539">
        <w:t>sector is $2,000.</w:t>
      </w:r>
    </w:p>
    <w:p w:rsidR="00A36634" w:rsidRPr="00784539" w:rsidRDefault="00A36634" w:rsidP="00A36634">
      <w:pPr>
        <w:pStyle w:val="subsection"/>
      </w:pPr>
      <w:r w:rsidRPr="00784539">
        <w:rPr>
          <w:b/>
          <w:i/>
        </w:rPr>
        <w:tab/>
      </w:r>
      <w:r w:rsidR="00432651" w:rsidRPr="00784539">
        <w:t>(6</w:t>
      </w:r>
      <w:r w:rsidRPr="00784539">
        <w:t>)</w:t>
      </w:r>
      <w:r w:rsidRPr="00784539">
        <w:tab/>
        <w:t>The</w:t>
      </w:r>
      <w:r w:rsidRPr="00784539">
        <w:rPr>
          <w:b/>
          <w:i/>
        </w:rPr>
        <w:t xml:space="preserve"> minimum levy threshold</w:t>
      </w:r>
      <w:r w:rsidRPr="00784539">
        <w:t xml:space="preserve"> for the sub</w:t>
      </w:r>
      <w:r w:rsidR="00784539">
        <w:noBreakHyphen/>
      </w:r>
      <w:r w:rsidR="006E05C9" w:rsidRPr="00784539">
        <w:t>sector is</w:t>
      </w:r>
      <w:r w:rsidRPr="00784539">
        <w:t xml:space="preserve"> $10,000,000.</w:t>
      </w:r>
    </w:p>
    <w:p w:rsidR="00A36634" w:rsidRPr="00784539" w:rsidRDefault="00085808" w:rsidP="00A36634">
      <w:pPr>
        <w:pStyle w:val="ActHead5"/>
      </w:pPr>
      <w:bookmarkStart w:id="49" w:name="_Toc485110077"/>
      <w:r w:rsidRPr="00784539">
        <w:rPr>
          <w:rStyle w:val="CharSectno"/>
        </w:rPr>
        <w:t>28</w:t>
      </w:r>
      <w:r w:rsidR="00A36634" w:rsidRPr="00784539">
        <w:t xml:space="preserve">  Payment product providers</w:t>
      </w:r>
      <w:bookmarkEnd w:id="49"/>
    </w:p>
    <w:p w:rsidR="00A36634" w:rsidRPr="00784539" w:rsidRDefault="00A36634" w:rsidP="00672130">
      <w:pPr>
        <w:pStyle w:val="subsection"/>
      </w:pPr>
      <w:r w:rsidRPr="00784539">
        <w:tab/>
        <w:t>(1)</w:t>
      </w:r>
      <w:r w:rsidRPr="00784539">
        <w:tab/>
        <w:t xml:space="preserve">A leviable entity forms part of the </w:t>
      </w:r>
      <w:r w:rsidRPr="00784539">
        <w:rPr>
          <w:b/>
          <w:i/>
        </w:rPr>
        <w:t xml:space="preserve">payment product providers </w:t>
      </w:r>
      <w:r w:rsidRPr="00784539">
        <w:t>sub</w:t>
      </w:r>
      <w:r w:rsidR="00784539">
        <w:noBreakHyphen/>
      </w:r>
      <w:r w:rsidRPr="00784539">
        <w:t xml:space="preserve">sector in a financial year if, </w:t>
      </w:r>
      <w:r w:rsidR="002F043A" w:rsidRPr="00784539">
        <w:t>at any time in the financial year</w:t>
      </w:r>
      <w:r w:rsidRPr="00784539">
        <w:t xml:space="preserve">, the entity holds an Australian financial services licence that authorises the holder to deal in a financial product </w:t>
      </w:r>
      <w:r w:rsidR="00672130" w:rsidRPr="00784539">
        <w:t>through which, or through the acquisition of which, non</w:t>
      </w:r>
      <w:r w:rsidR="00784539">
        <w:noBreakHyphen/>
      </w:r>
      <w:r w:rsidR="00672130" w:rsidRPr="00784539">
        <w:t>cash payments can be made</w:t>
      </w:r>
      <w:r w:rsidRPr="00784539">
        <w:t>.</w:t>
      </w:r>
    </w:p>
    <w:p w:rsidR="00A36634" w:rsidRPr="00784539" w:rsidRDefault="00A36634" w:rsidP="00A36634">
      <w:pPr>
        <w:pStyle w:val="notetext"/>
      </w:pPr>
      <w:r w:rsidRPr="00784539">
        <w:t>Note:</w:t>
      </w:r>
      <w:r w:rsidRPr="00784539">
        <w:tab/>
        <w:t>For non</w:t>
      </w:r>
      <w:r w:rsidR="00784539">
        <w:noBreakHyphen/>
      </w:r>
      <w:r w:rsidRPr="00784539">
        <w:t>cash payments, see section</w:t>
      </w:r>
      <w:r w:rsidR="00784539" w:rsidRPr="00784539">
        <w:t> </w:t>
      </w:r>
      <w:r w:rsidRPr="00784539">
        <w:t xml:space="preserve">763D of the </w:t>
      </w:r>
      <w:r w:rsidRPr="00784539">
        <w:rPr>
          <w:i/>
        </w:rPr>
        <w:t>Corporations Act 2001</w:t>
      </w:r>
      <w:r w:rsidRPr="00784539">
        <w:t>.</w:t>
      </w:r>
    </w:p>
    <w:p w:rsidR="00A36634" w:rsidRPr="00784539" w:rsidRDefault="00A36634" w:rsidP="00A36634">
      <w:pPr>
        <w:pStyle w:val="SubsectionHead"/>
      </w:pPr>
      <w:r w:rsidRPr="00784539">
        <w:t>Levy component</w:t>
      </w:r>
      <w:r w:rsidR="00962535" w:rsidRPr="00784539">
        <w:t>—financial year starting on 1</w:t>
      </w:r>
      <w:r w:rsidR="00784539" w:rsidRPr="00784539">
        <w:t> </w:t>
      </w:r>
      <w:r w:rsidR="00962535" w:rsidRPr="00784539">
        <w:t>July 2017</w:t>
      </w:r>
    </w:p>
    <w:p w:rsidR="00A36634" w:rsidRPr="00784539" w:rsidRDefault="00A36634" w:rsidP="00A36634">
      <w:pPr>
        <w:pStyle w:val="subsection"/>
      </w:pPr>
      <w:r w:rsidRPr="00784539">
        <w:tab/>
        <w:t>(2)</w:t>
      </w:r>
      <w:r w:rsidRPr="00784539">
        <w:tab/>
        <w:t xml:space="preserve">The </w:t>
      </w:r>
      <w:r w:rsidR="001E0039" w:rsidRPr="00784539">
        <w:t>basic</w:t>
      </w:r>
      <w:r w:rsidRPr="00784539">
        <w:t xml:space="preserve"> levy component applies in respect of the sub</w:t>
      </w:r>
      <w:r w:rsidR="00784539">
        <w:noBreakHyphen/>
      </w:r>
      <w:r w:rsidRPr="00784539">
        <w:t>sector for the</w:t>
      </w:r>
      <w:r w:rsidR="009E3357" w:rsidRPr="00784539">
        <w:t xml:space="preserve"> financial year starting on 1</w:t>
      </w:r>
      <w:r w:rsidR="00784539" w:rsidRPr="00784539">
        <w:t> </w:t>
      </w:r>
      <w:r w:rsidR="009E3357" w:rsidRPr="00784539">
        <w:t xml:space="preserve">July </w:t>
      </w:r>
      <w:r w:rsidRPr="00784539">
        <w:t>2017.</w:t>
      </w:r>
    </w:p>
    <w:p w:rsidR="00A36634" w:rsidRPr="00784539" w:rsidRDefault="00A36634" w:rsidP="00A36634">
      <w:pPr>
        <w:pStyle w:val="notetext"/>
      </w:pPr>
      <w:r w:rsidRPr="00784539">
        <w:t>Note:</w:t>
      </w:r>
      <w:r w:rsidRPr="00784539">
        <w:tab/>
        <w:t>For the</w:t>
      </w:r>
      <w:r w:rsidR="001E0039" w:rsidRPr="00784539">
        <w:t xml:space="preserve"> basic</w:t>
      </w:r>
      <w:r w:rsidRPr="00784539">
        <w:t xml:space="preserve"> levy component, see section</w:t>
      </w:r>
      <w:r w:rsidR="00784539" w:rsidRPr="00784539">
        <w:t> </w:t>
      </w:r>
      <w:r w:rsidR="00085808" w:rsidRPr="00784539">
        <w:t>9</w:t>
      </w:r>
      <w:r w:rsidRPr="00784539">
        <w:t>.</w:t>
      </w:r>
    </w:p>
    <w:p w:rsidR="008347B4" w:rsidRPr="00784539" w:rsidRDefault="008347B4" w:rsidP="008347B4">
      <w:pPr>
        <w:pStyle w:val="SubsectionHead"/>
      </w:pPr>
      <w:r w:rsidRPr="00784539">
        <w:t>Entity metric—financial year starting on 1</w:t>
      </w:r>
      <w:r w:rsidR="00784539" w:rsidRPr="00784539">
        <w:t> </w:t>
      </w:r>
      <w:r w:rsidRPr="00784539">
        <w:t>July 2017</w:t>
      </w:r>
    </w:p>
    <w:p w:rsidR="008347B4" w:rsidRPr="00784539" w:rsidRDefault="008347B4" w:rsidP="008347B4">
      <w:pPr>
        <w:pStyle w:val="subsection"/>
      </w:pPr>
      <w:r w:rsidRPr="00784539">
        <w:tab/>
        <w:t>(3)</w:t>
      </w:r>
      <w:r w:rsidRPr="00784539">
        <w:tab/>
        <w:t xml:space="preserve">The leviable entity’s </w:t>
      </w:r>
      <w:r w:rsidRPr="00784539">
        <w:rPr>
          <w:b/>
          <w:i/>
        </w:rPr>
        <w:t>entity metric</w:t>
      </w:r>
      <w:r w:rsidRPr="00784539">
        <w:t xml:space="preserve"> for the sub</w:t>
      </w:r>
      <w:r w:rsidR="00784539">
        <w:noBreakHyphen/>
      </w:r>
      <w:r w:rsidRPr="00784539">
        <w:t>sector for the financial year starting on 1</w:t>
      </w:r>
      <w:r w:rsidR="00784539" w:rsidRPr="00784539">
        <w:t> </w:t>
      </w:r>
      <w:r w:rsidRPr="00784539">
        <w:t xml:space="preserve">July 2017 is the number of days in the financial year on which the entity holds a licence of the kind mentioned in </w:t>
      </w:r>
      <w:r w:rsidR="00784539" w:rsidRPr="00784539">
        <w:t>subsection (</w:t>
      </w:r>
      <w:r w:rsidRPr="00784539">
        <w:t>1).</w:t>
      </w:r>
    </w:p>
    <w:p w:rsidR="00962535" w:rsidRPr="00784539" w:rsidRDefault="00962535" w:rsidP="00962535">
      <w:pPr>
        <w:pStyle w:val="SubsectionHead"/>
      </w:pPr>
      <w:r w:rsidRPr="00784539">
        <w:t>Levy component—financial year starting on or after 1</w:t>
      </w:r>
      <w:r w:rsidR="00784539" w:rsidRPr="00784539">
        <w:t> </w:t>
      </w:r>
      <w:r w:rsidRPr="00784539">
        <w:t>July 2018</w:t>
      </w:r>
    </w:p>
    <w:p w:rsidR="00A36634" w:rsidRPr="00784539" w:rsidRDefault="00A36634" w:rsidP="00A36634">
      <w:pPr>
        <w:pStyle w:val="subsection"/>
      </w:pPr>
      <w:r w:rsidRPr="00784539">
        <w:tab/>
        <w:t>(</w:t>
      </w:r>
      <w:r w:rsidR="008347B4" w:rsidRPr="00784539">
        <w:t>4</w:t>
      </w:r>
      <w:r w:rsidRPr="00784539">
        <w:t>)</w:t>
      </w:r>
      <w:r w:rsidRPr="00784539">
        <w:tab/>
        <w:t xml:space="preserve">The amount of </w:t>
      </w:r>
      <w:r w:rsidR="00EB027E" w:rsidRPr="00784539">
        <w:t xml:space="preserve">a leviable entity’s </w:t>
      </w:r>
      <w:r w:rsidRPr="00784539">
        <w:t>levy component in respect of the sub</w:t>
      </w:r>
      <w:r w:rsidR="00784539">
        <w:noBreakHyphen/>
      </w:r>
      <w:r w:rsidRPr="00784539">
        <w:t xml:space="preserve">sector for </w:t>
      </w:r>
      <w:r w:rsidR="001750C3" w:rsidRPr="00784539">
        <w:t>a</w:t>
      </w:r>
      <w:r w:rsidRPr="00784539">
        <w:t xml:space="preserve"> </w:t>
      </w:r>
      <w:r w:rsidR="009E3357" w:rsidRPr="00784539">
        <w:t xml:space="preserve">financial year starting on </w:t>
      </w:r>
      <w:r w:rsidR="00962535" w:rsidRPr="00784539">
        <w:t xml:space="preserve">or after </w:t>
      </w:r>
      <w:r w:rsidR="009E3357" w:rsidRPr="00784539">
        <w:t>1</w:t>
      </w:r>
      <w:r w:rsidR="00784539" w:rsidRPr="00784539">
        <w:t> </w:t>
      </w:r>
      <w:r w:rsidR="009E3357" w:rsidRPr="00784539">
        <w:t xml:space="preserve">July </w:t>
      </w:r>
      <w:r w:rsidRPr="00784539">
        <w:t>2018</w:t>
      </w:r>
      <w:r w:rsidR="00962535" w:rsidRPr="00784539">
        <w:t xml:space="preserve"> </w:t>
      </w:r>
      <w:r w:rsidRPr="00784539">
        <w:t>is the sum of:</w:t>
      </w:r>
    </w:p>
    <w:p w:rsidR="00A36634" w:rsidRPr="00784539" w:rsidRDefault="00A36634" w:rsidP="00A36634">
      <w:pPr>
        <w:pStyle w:val="paragraph"/>
      </w:pPr>
      <w:r w:rsidRPr="00784539">
        <w:tab/>
        <w:t>(a)</w:t>
      </w:r>
      <w:r w:rsidRPr="00784539">
        <w:tab/>
        <w:t>the minimum levy component for the sub</w:t>
      </w:r>
      <w:r w:rsidR="00784539">
        <w:noBreakHyphen/>
      </w:r>
      <w:r w:rsidRPr="00784539">
        <w:t>sector; and</w:t>
      </w:r>
    </w:p>
    <w:p w:rsidR="00A36634" w:rsidRPr="00784539" w:rsidRDefault="00A36634" w:rsidP="00A36634">
      <w:pPr>
        <w:pStyle w:val="paragraph"/>
      </w:pPr>
      <w:r w:rsidRPr="00784539">
        <w:tab/>
        <w:t>(b)</w:t>
      </w:r>
      <w:r w:rsidRPr="00784539">
        <w:tab/>
        <w:t>the graduated levy component for the entity for the sub</w:t>
      </w:r>
      <w:r w:rsidR="00784539">
        <w:noBreakHyphen/>
      </w:r>
      <w:r w:rsidRPr="00784539">
        <w:t>sector.</w:t>
      </w:r>
    </w:p>
    <w:p w:rsidR="00A36634" w:rsidRPr="00784539" w:rsidRDefault="00A36634" w:rsidP="00A36634">
      <w:pPr>
        <w:pStyle w:val="notetext"/>
      </w:pPr>
      <w:r w:rsidRPr="00784539">
        <w:t>Note:</w:t>
      </w:r>
      <w:r w:rsidRPr="00784539">
        <w:tab/>
        <w:t>For the graduated levy component, see section</w:t>
      </w:r>
      <w:r w:rsidR="00784539" w:rsidRPr="00784539">
        <w:t> </w:t>
      </w:r>
      <w:r w:rsidR="00085808" w:rsidRPr="00784539">
        <w:t>10</w:t>
      </w:r>
      <w:r w:rsidRPr="00784539">
        <w:t>.</w:t>
      </w:r>
    </w:p>
    <w:p w:rsidR="00C8295A" w:rsidRPr="00784539" w:rsidRDefault="00C8295A" w:rsidP="00C8295A">
      <w:pPr>
        <w:pStyle w:val="SubsectionHead"/>
      </w:pPr>
      <w:r w:rsidRPr="00784539">
        <w:t>Entity metric</w:t>
      </w:r>
      <w:r w:rsidR="00962535" w:rsidRPr="00784539">
        <w:t>—financial year starting on or after 1</w:t>
      </w:r>
      <w:r w:rsidR="00784539" w:rsidRPr="00784539">
        <w:t> </w:t>
      </w:r>
      <w:r w:rsidR="00962535" w:rsidRPr="00784539">
        <w:t>July 2018</w:t>
      </w:r>
    </w:p>
    <w:p w:rsidR="00A36634" w:rsidRPr="00784539" w:rsidRDefault="00A36634" w:rsidP="00A36634">
      <w:pPr>
        <w:pStyle w:val="subsection"/>
      </w:pPr>
      <w:r w:rsidRPr="00784539">
        <w:tab/>
        <w:t>(</w:t>
      </w:r>
      <w:r w:rsidR="008347B4" w:rsidRPr="00784539">
        <w:t>5</w:t>
      </w:r>
      <w:r w:rsidRPr="00784539">
        <w:t>)</w:t>
      </w:r>
      <w:r w:rsidRPr="00784539">
        <w:tab/>
        <w:t xml:space="preserve">The leviable entity’s </w:t>
      </w:r>
      <w:r w:rsidRPr="00784539">
        <w:rPr>
          <w:b/>
          <w:i/>
        </w:rPr>
        <w:t>entity metric</w:t>
      </w:r>
      <w:r w:rsidRPr="00784539">
        <w:t xml:space="preserve"> for the sub</w:t>
      </w:r>
      <w:r w:rsidR="00784539">
        <w:noBreakHyphen/>
      </w:r>
      <w:r w:rsidRPr="00784539">
        <w:t xml:space="preserve">sector for </w:t>
      </w:r>
      <w:r w:rsidR="003E0973" w:rsidRPr="00784539">
        <w:t xml:space="preserve">a </w:t>
      </w:r>
      <w:r w:rsidR="009E3357" w:rsidRPr="00784539">
        <w:t>financial year starting on</w:t>
      </w:r>
      <w:r w:rsidR="00962535" w:rsidRPr="00784539">
        <w:t xml:space="preserve"> or after</w:t>
      </w:r>
      <w:r w:rsidR="009E3357" w:rsidRPr="00784539">
        <w:t xml:space="preserve"> 1</w:t>
      </w:r>
      <w:r w:rsidR="00784539" w:rsidRPr="00784539">
        <w:t> </w:t>
      </w:r>
      <w:r w:rsidR="009E3357" w:rsidRPr="00784539">
        <w:t xml:space="preserve">July </w:t>
      </w:r>
      <w:r w:rsidR="00350B36" w:rsidRPr="00784539">
        <w:t>2018</w:t>
      </w:r>
      <w:r w:rsidR="009E3357" w:rsidRPr="00784539">
        <w:t xml:space="preserve"> </w:t>
      </w:r>
      <w:r w:rsidRPr="00784539">
        <w:t xml:space="preserve">is the gross revenue received </w:t>
      </w:r>
      <w:r w:rsidR="00FF38A9" w:rsidRPr="00784539">
        <w:t xml:space="preserve">in the financial year </w:t>
      </w:r>
      <w:r w:rsidRPr="00784539">
        <w:t>by the entity in</w:t>
      </w:r>
      <w:r w:rsidR="004D201E" w:rsidRPr="00784539">
        <w:t xml:space="preserve"> connection with non</w:t>
      </w:r>
      <w:r w:rsidR="00784539">
        <w:noBreakHyphen/>
      </w:r>
      <w:r w:rsidR="004D201E" w:rsidRPr="00784539">
        <w:t>cash payment products issued by the entity less expenses</w:t>
      </w:r>
      <w:r w:rsidRPr="00784539">
        <w:t xml:space="preserve"> incurred </w:t>
      </w:r>
      <w:r w:rsidR="00BF5698" w:rsidRPr="00784539">
        <w:t>in</w:t>
      </w:r>
      <w:r w:rsidRPr="00784539">
        <w:t xml:space="preserve"> the financial year from dealing in non</w:t>
      </w:r>
      <w:r w:rsidR="00784539">
        <w:noBreakHyphen/>
      </w:r>
      <w:r w:rsidRPr="00784539">
        <w:t>cash payment facilities.</w:t>
      </w:r>
    </w:p>
    <w:p w:rsidR="00A36634" w:rsidRPr="00784539" w:rsidRDefault="00A36634" w:rsidP="00A36634">
      <w:pPr>
        <w:pStyle w:val="subsection"/>
      </w:pPr>
      <w:r w:rsidRPr="00784539">
        <w:tab/>
        <w:t>(</w:t>
      </w:r>
      <w:r w:rsidR="008347B4" w:rsidRPr="00784539">
        <w:t>6</w:t>
      </w:r>
      <w:r w:rsidRPr="00784539">
        <w:t>)</w:t>
      </w:r>
      <w:r w:rsidRPr="00784539">
        <w:tab/>
        <w:t xml:space="preserve">The </w:t>
      </w:r>
      <w:r w:rsidRPr="00784539">
        <w:rPr>
          <w:b/>
          <w:i/>
        </w:rPr>
        <w:t>minimum levy component</w:t>
      </w:r>
      <w:r w:rsidRPr="00784539">
        <w:t xml:space="preserve"> for the sub</w:t>
      </w:r>
      <w:r w:rsidR="00784539">
        <w:noBreakHyphen/>
      </w:r>
      <w:r w:rsidRPr="00784539">
        <w:t>sector is $2,000.</w:t>
      </w:r>
    </w:p>
    <w:p w:rsidR="00A36634" w:rsidRPr="00784539" w:rsidRDefault="00A36634" w:rsidP="00A36634">
      <w:pPr>
        <w:pStyle w:val="ActHead3"/>
        <w:pageBreakBefore/>
      </w:pPr>
      <w:bookmarkStart w:id="50" w:name="_Toc485110078"/>
      <w:r w:rsidRPr="00784539">
        <w:rPr>
          <w:rStyle w:val="CharDivNo"/>
        </w:rPr>
        <w:t>Division</w:t>
      </w:r>
      <w:r w:rsidR="00784539" w:rsidRPr="00784539">
        <w:rPr>
          <w:rStyle w:val="CharDivNo"/>
        </w:rPr>
        <w:t> </w:t>
      </w:r>
      <w:r w:rsidRPr="00784539">
        <w:rPr>
          <w:rStyle w:val="CharDivNo"/>
        </w:rPr>
        <w:t>3</w:t>
      </w:r>
      <w:r w:rsidRPr="00784539">
        <w:t>—</w:t>
      </w:r>
      <w:r w:rsidRPr="00784539">
        <w:rPr>
          <w:rStyle w:val="CharDivText"/>
        </w:rPr>
        <w:t>Investment management, superannuation and related services sector</w:t>
      </w:r>
      <w:bookmarkEnd w:id="50"/>
    </w:p>
    <w:p w:rsidR="00A36634" w:rsidRPr="00784539" w:rsidRDefault="00A36634" w:rsidP="00A36634">
      <w:pPr>
        <w:pStyle w:val="ActHead4"/>
      </w:pPr>
      <w:bookmarkStart w:id="51" w:name="_Toc485110079"/>
      <w:r w:rsidRPr="00784539">
        <w:rPr>
          <w:rStyle w:val="CharSubdNo"/>
        </w:rPr>
        <w:t>Subdivision</w:t>
      </w:r>
      <w:r w:rsidR="00784539" w:rsidRPr="00784539">
        <w:rPr>
          <w:rStyle w:val="CharSubdNo"/>
        </w:rPr>
        <w:t> </w:t>
      </w:r>
      <w:r w:rsidRPr="00784539">
        <w:rPr>
          <w:rStyle w:val="CharSubdNo"/>
        </w:rPr>
        <w:t>3.1</w:t>
      </w:r>
      <w:r w:rsidRPr="00784539">
        <w:t>—</w:t>
      </w:r>
      <w:r w:rsidRPr="00784539">
        <w:rPr>
          <w:rStyle w:val="CharSubdText"/>
        </w:rPr>
        <w:t>General</w:t>
      </w:r>
      <w:bookmarkEnd w:id="51"/>
    </w:p>
    <w:p w:rsidR="00A36634" w:rsidRPr="00784539" w:rsidRDefault="00085808" w:rsidP="00A36634">
      <w:pPr>
        <w:pStyle w:val="ActHead5"/>
      </w:pPr>
      <w:bookmarkStart w:id="52" w:name="_Toc485110080"/>
      <w:r w:rsidRPr="00784539">
        <w:rPr>
          <w:rStyle w:val="CharSectno"/>
        </w:rPr>
        <w:t>29</w:t>
      </w:r>
      <w:r w:rsidR="00A36634" w:rsidRPr="00784539">
        <w:t xml:space="preserve">  Investment management, superannuation and related services sector</w:t>
      </w:r>
      <w:bookmarkEnd w:id="52"/>
    </w:p>
    <w:p w:rsidR="00A36634" w:rsidRPr="00784539" w:rsidRDefault="00A36634" w:rsidP="00A36634">
      <w:pPr>
        <w:pStyle w:val="subsection"/>
      </w:pPr>
      <w:r w:rsidRPr="00784539">
        <w:tab/>
        <w:t>(1)</w:t>
      </w:r>
      <w:r w:rsidRPr="00784539">
        <w:tab/>
        <w:t>Each section in Subdivisions</w:t>
      </w:r>
      <w:r w:rsidR="00784539" w:rsidRPr="00784539">
        <w:t> </w:t>
      </w:r>
      <w:r w:rsidRPr="00784539">
        <w:t>3.2 and 3.3 specifies criteria for identifying one or more leviable entities that form part of the sub</w:t>
      </w:r>
      <w:r w:rsidR="00784539">
        <w:noBreakHyphen/>
      </w:r>
      <w:r w:rsidRPr="00784539">
        <w:t>sector mentioned in the section.</w:t>
      </w:r>
    </w:p>
    <w:p w:rsidR="00A36634" w:rsidRPr="00784539" w:rsidRDefault="00A36634" w:rsidP="00A36634">
      <w:pPr>
        <w:pStyle w:val="subsection"/>
      </w:pPr>
      <w:r w:rsidRPr="00784539">
        <w:tab/>
        <w:t>(2)</w:t>
      </w:r>
      <w:r w:rsidRPr="00784539">
        <w:tab/>
        <w:t>The sub</w:t>
      </w:r>
      <w:r w:rsidR="00784539">
        <w:noBreakHyphen/>
      </w:r>
      <w:r w:rsidRPr="00784539">
        <w:t xml:space="preserve">sectors for which criteria are specified in this Division are in the </w:t>
      </w:r>
      <w:r w:rsidRPr="00784539">
        <w:rPr>
          <w:b/>
          <w:i/>
        </w:rPr>
        <w:t>investment management, superannuation and related services sector</w:t>
      </w:r>
      <w:r w:rsidRPr="00784539">
        <w:t>.</w:t>
      </w:r>
    </w:p>
    <w:p w:rsidR="00A36634" w:rsidRPr="00784539" w:rsidRDefault="00A36634" w:rsidP="00A36634">
      <w:pPr>
        <w:pStyle w:val="subsection"/>
      </w:pPr>
      <w:r w:rsidRPr="00784539">
        <w:tab/>
        <w:t>(3)</w:t>
      </w:r>
      <w:r w:rsidRPr="00784539">
        <w:tab/>
        <w:t>A leviable entity may form part of 2 or more sub</w:t>
      </w:r>
      <w:r w:rsidR="00784539">
        <w:noBreakHyphen/>
      </w:r>
      <w:r w:rsidRPr="00784539">
        <w:t>sectors in the investment management, superannuation and related services sector.</w:t>
      </w:r>
    </w:p>
    <w:p w:rsidR="00A36634" w:rsidRPr="00784539" w:rsidRDefault="00085808" w:rsidP="00A36634">
      <w:pPr>
        <w:pStyle w:val="ActHead5"/>
      </w:pPr>
      <w:bookmarkStart w:id="53" w:name="_Toc485110081"/>
      <w:r w:rsidRPr="00784539">
        <w:rPr>
          <w:rStyle w:val="CharSectno"/>
        </w:rPr>
        <w:t>30</w:t>
      </w:r>
      <w:r w:rsidR="00A36634" w:rsidRPr="00784539">
        <w:t xml:space="preserve">  </w:t>
      </w:r>
      <w:r w:rsidR="001E0039" w:rsidRPr="00784539">
        <w:t>Basic</w:t>
      </w:r>
      <w:r w:rsidR="00A36634" w:rsidRPr="00784539">
        <w:t xml:space="preserve"> levy component applies to sub</w:t>
      </w:r>
      <w:r w:rsidR="00784539">
        <w:noBreakHyphen/>
      </w:r>
      <w:r w:rsidR="00A36634" w:rsidRPr="00784539">
        <w:t>sectors in Subdivision</w:t>
      </w:r>
      <w:r w:rsidR="00784539" w:rsidRPr="00784539">
        <w:t> </w:t>
      </w:r>
      <w:r w:rsidR="00A36634" w:rsidRPr="00784539">
        <w:t>3.2</w:t>
      </w:r>
      <w:bookmarkEnd w:id="53"/>
    </w:p>
    <w:p w:rsidR="00A36634" w:rsidRPr="00784539" w:rsidRDefault="00A36634" w:rsidP="00A36634">
      <w:pPr>
        <w:pStyle w:val="subsection"/>
      </w:pPr>
      <w:r w:rsidRPr="00784539">
        <w:tab/>
      </w:r>
      <w:r w:rsidRPr="00784539">
        <w:tab/>
        <w:t xml:space="preserve">The </w:t>
      </w:r>
      <w:r w:rsidR="001E0039" w:rsidRPr="00784539">
        <w:t>basic</w:t>
      </w:r>
      <w:r w:rsidRPr="00784539">
        <w:t xml:space="preserve"> levy component applies to each sub</w:t>
      </w:r>
      <w:r w:rsidR="00784539">
        <w:noBreakHyphen/>
      </w:r>
      <w:r w:rsidRPr="00784539">
        <w:t>sector specified in a section of Subdivision</w:t>
      </w:r>
      <w:r w:rsidR="00784539" w:rsidRPr="00784539">
        <w:t> </w:t>
      </w:r>
      <w:r w:rsidRPr="00784539">
        <w:t>3.2.</w:t>
      </w:r>
    </w:p>
    <w:p w:rsidR="00A36634" w:rsidRPr="00784539" w:rsidRDefault="00A36634" w:rsidP="00A36634">
      <w:pPr>
        <w:pStyle w:val="notetext"/>
      </w:pPr>
      <w:r w:rsidRPr="00784539">
        <w:t>Note:</w:t>
      </w:r>
      <w:r w:rsidRPr="00784539">
        <w:tab/>
        <w:t xml:space="preserve">For the </w:t>
      </w:r>
      <w:r w:rsidR="001E0039" w:rsidRPr="00784539">
        <w:t xml:space="preserve">basic </w:t>
      </w:r>
      <w:r w:rsidRPr="00784539">
        <w:t>levy component, see section</w:t>
      </w:r>
      <w:r w:rsidR="00784539" w:rsidRPr="00784539">
        <w:t> </w:t>
      </w:r>
      <w:r w:rsidR="00085808" w:rsidRPr="00784539">
        <w:t>9</w:t>
      </w:r>
      <w:r w:rsidRPr="00784539">
        <w:t>.</w:t>
      </w:r>
    </w:p>
    <w:p w:rsidR="00A36634" w:rsidRPr="00784539" w:rsidRDefault="00A36634" w:rsidP="00A36634">
      <w:pPr>
        <w:pStyle w:val="ActHead4"/>
      </w:pPr>
      <w:bookmarkStart w:id="54" w:name="_Toc485110082"/>
      <w:r w:rsidRPr="00784539">
        <w:rPr>
          <w:rStyle w:val="CharSubdNo"/>
        </w:rPr>
        <w:t>Subdivision</w:t>
      </w:r>
      <w:r w:rsidR="00784539" w:rsidRPr="00784539">
        <w:rPr>
          <w:rStyle w:val="CharSubdNo"/>
        </w:rPr>
        <w:t> </w:t>
      </w:r>
      <w:r w:rsidRPr="00784539">
        <w:rPr>
          <w:rStyle w:val="CharSubdNo"/>
        </w:rPr>
        <w:t>3.2</w:t>
      </w:r>
      <w:r w:rsidRPr="00784539">
        <w:t>—</w:t>
      </w:r>
      <w:r w:rsidRPr="00784539">
        <w:rPr>
          <w:rStyle w:val="CharSubdText"/>
        </w:rPr>
        <w:t>Sub</w:t>
      </w:r>
      <w:r w:rsidR="00784539" w:rsidRPr="00784539">
        <w:rPr>
          <w:rStyle w:val="CharSubdText"/>
        </w:rPr>
        <w:noBreakHyphen/>
      </w:r>
      <w:r w:rsidRPr="00784539">
        <w:rPr>
          <w:rStyle w:val="CharSubdText"/>
        </w:rPr>
        <w:t xml:space="preserve">sectors to which </w:t>
      </w:r>
      <w:r w:rsidR="002A68DE" w:rsidRPr="00784539">
        <w:rPr>
          <w:rStyle w:val="CharSubdText"/>
        </w:rPr>
        <w:t xml:space="preserve">basic levy component </w:t>
      </w:r>
      <w:r w:rsidRPr="00784539">
        <w:rPr>
          <w:rStyle w:val="CharSubdText"/>
        </w:rPr>
        <w:t>applies</w:t>
      </w:r>
      <w:bookmarkEnd w:id="54"/>
    </w:p>
    <w:p w:rsidR="00A36634" w:rsidRPr="00784539" w:rsidRDefault="00085808" w:rsidP="00A36634">
      <w:pPr>
        <w:pStyle w:val="ActHead5"/>
      </w:pPr>
      <w:bookmarkStart w:id="55" w:name="_Toc485110083"/>
      <w:r w:rsidRPr="00784539">
        <w:rPr>
          <w:rStyle w:val="CharSectno"/>
        </w:rPr>
        <w:t>31</w:t>
      </w:r>
      <w:r w:rsidR="00A36634" w:rsidRPr="00784539">
        <w:t xml:space="preserve">  Custodians</w:t>
      </w:r>
      <w:bookmarkEnd w:id="55"/>
    </w:p>
    <w:p w:rsidR="00A36634" w:rsidRPr="00784539" w:rsidRDefault="00A36634" w:rsidP="00A36634">
      <w:pPr>
        <w:pStyle w:val="subsection"/>
      </w:pPr>
      <w:r w:rsidRPr="00784539">
        <w:tab/>
      </w:r>
      <w:r w:rsidRPr="00784539">
        <w:tab/>
        <w:t xml:space="preserve">A leviable entity forms part of the </w:t>
      </w:r>
      <w:r w:rsidRPr="00784539">
        <w:rPr>
          <w:b/>
          <w:i/>
        </w:rPr>
        <w:t>custodian</w:t>
      </w:r>
      <w:r w:rsidR="009E3357" w:rsidRPr="00784539">
        <w:rPr>
          <w:b/>
          <w:i/>
        </w:rPr>
        <w:t>s</w:t>
      </w:r>
      <w:r w:rsidRPr="00784539">
        <w:t xml:space="preserve"> sub</w:t>
      </w:r>
      <w:r w:rsidR="00784539">
        <w:noBreakHyphen/>
      </w:r>
      <w:r w:rsidRPr="00784539">
        <w:t xml:space="preserve">sector in a financial year if, </w:t>
      </w:r>
      <w:r w:rsidR="002F043A" w:rsidRPr="00784539">
        <w:t>at any time in the financial year</w:t>
      </w:r>
      <w:r w:rsidRPr="00784539">
        <w:t>, the entity holds an Australian financial services licence that authorises the holder to provide a custodial or depository service.</w:t>
      </w:r>
    </w:p>
    <w:p w:rsidR="00A36634" w:rsidRPr="00784539" w:rsidRDefault="00085808" w:rsidP="00A36634">
      <w:pPr>
        <w:pStyle w:val="ActHead5"/>
      </w:pPr>
      <w:bookmarkStart w:id="56" w:name="_Toc485110084"/>
      <w:r w:rsidRPr="00784539">
        <w:rPr>
          <w:rStyle w:val="CharSectno"/>
        </w:rPr>
        <w:t>32</w:t>
      </w:r>
      <w:r w:rsidR="00A36634" w:rsidRPr="00784539">
        <w:t xml:space="preserve">  Managed discretionary account providers</w:t>
      </w:r>
      <w:bookmarkEnd w:id="56"/>
    </w:p>
    <w:p w:rsidR="00A36634" w:rsidRPr="00784539" w:rsidRDefault="00A36634" w:rsidP="00A36634">
      <w:pPr>
        <w:pStyle w:val="subsection"/>
      </w:pPr>
      <w:r w:rsidRPr="00784539">
        <w:tab/>
      </w:r>
      <w:r w:rsidR="00A219ED" w:rsidRPr="00784539">
        <w:t>(1)</w:t>
      </w:r>
      <w:r w:rsidRPr="00784539">
        <w:tab/>
        <w:t xml:space="preserve">A leviable entity forms part of the </w:t>
      </w:r>
      <w:r w:rsidRPr="00784539">
        <w:rPr>
          <w:b/>
          <w:i/>
        </w:rPr>
        <w:t>managed discretionary account providers</w:t>
      </w:r>
      <w:r w:rsidRPr="00784539">
        <w:t xml:space="preserve"> sub</w:t>
      </w:r>
      <w:r w:rsidR="00784539">
        <w:noBreakHyphen/>
      </w:r>
      <w:r w:rsidRPr="00784539">
        <w:t>sector in a financial year if,</w:t>
      </w:r>
      <w:r w:rsidR="00A219ED" w:rsidRPr="00784539">
        <w:t xml:space="preserve"> </w:t>
      </w:r>
      <w:r w:rsidR="002F043A" w:rsidRPr="00784539">
        <w:t>at any time in the financial year</w:t>
      </w:r>
      <w:r w:rsidRPr="00784539">
        <w:t>, the entity holds an Australian financial services licence that authorises the holder to deal in a financial product by issuing financial products in respect of:</w:t>
      </w:r>
    </w:p>
    <w:p w:rsidR="00A36634" w:rsidRPr="00784539" w:rsidRDefault="00A36634" w:rsidP="00A36634">
      <w:pPr>
        <w:pStyle w:val="paragraph"/>
      </w:pPr>
      <w:r w:rsidRPr="00784539">
        <w:tab/>
        <w:t>(a)</w:t>
      </w:r>
      <w:r w:rsidRPr="00784539">
        <w:tab/>
        <w:t xml:space="preserve">interests in managed investment schemes limited to MDA services (within the meaning of the </w:t>
      </w:r>
      <w:r w:rsidRPr="00784539">
        <w:rPr>
          <w:i/>
        </w:rPr>
        <w:t>ASIC Corporations (Managed Discretionary Account Services) Instrument 2016/968</w:t>
      </w:r>
      <w:r w:rsidRPr="00784539">
        <w:t>); or</w:t>
      </w:r>
    </w:p>
    <w:p w:rsidR="00651CAE" w:rsidRPr="00784539" w:rsidRDefault="00A36634" w:rsidP="00A36634">
      <w:pPr>
        <w:pStyle w:val="paragraph"/>
      </w:pPr>
      <w:r w:rsidRPr="00784539">
        <w:tab/>
        <w:t>(b)</w:t>
      </w:r>
      <w:r w:rsidRPr="00784539">
        <w:tab/>
        <w:t>miscellaneous financial investment products limited to MDA services</w:t>
      </w:r>
      <w:r w:rsidR="00651CAE" w:rsidRPr="00784539">
        <w:t>;</w:t>
      </w:r>
    </w:p>
    <w:p w:rsidR="00A36634" w:rsidRPr="00784539" w:rsidRDefault="00651CAE" w:rsidP="00651CAE">
      <w:pPr>
        <w:pStyle w:val="subsection2"/>
      </w:pPr>
      <w:r w:rsidRPr="00784539">
        <w:t>whether or not the licence also authorises the holder to deal in other financial products.</w:t>
      </w:r>
    </w:p>
    <w:p w:rsidR="00A219ED" w:rsidRPr="00784539" w:rsidRDefault="00A219ED" w:rsidP="00A219ED">
      <w:pPr>
        <w:pStyle w:val="SubsectionHead"/>
      </w:pPr>
      <w:r w:rsidRPr="00784539">
        <w:t>Entity metric</w:t>
      </w:r>
    </w:p>
    <w:p w:rsidR="00A219ED" w:rsidRPr="00784539" w:rsidRDefault="00A219ED" w:rsidP="00A219ED">
      <w:pPr>
        <w:pStyle w:val="subsection"/>
      </w:pPr>
      <w:r w:rsidRPr="00784539">
        <w:tab/>
        <w:t>(2)</w:t>
      </w:r>
      <w:r w:rsidRPr="00784539">
        <w:tab/>
        <w:t xml:space="preserve">The leviable entity’s </w:t>
      </w:r>
      <w:r w:rsidRPr="00784539">
        <w:rPr>
          <w:b/>
          <w:i/>
        </w:rPr>
        <w:t xml:space="preserve">entity metric </w:t>
      </w:r>
      <w:r w:rsidRPr="00784539">
        <w:t>for the sub</w:t>
      </w:r>
      <w:r w:rsidR="00784539">
        <w:noBreakHyphen/>
      </w:r>
      <w:r w:rsidRPr="00784539">
        <w:t>sector for the financial year is the number of days in the financial year</w:t>
      </w:r>
      <w:r w:rsidR="00DB1EE1" w:rsidRPr="00784539">
        <w:t xml:space="preserve"> on which the </w:t>
      </w:r>
      <w:r w:rsidRPr="00784539">
        <w:t xml:space="preserve">entity holds </w:t>
      </w:r>
      <w:r w:rsidR="00DB1EE1" w:rsidRPr="00784539">
        <w:t>a</w:t>
      </w:r>
      <w:r w:rsidRPr="00784539">
        <w:t xml:space="preserve"> licence </w:t>
      </w:r>
      <w:r w:rsidR="00DB1EE1" w:rsidRPr="00784539">
        <w:t xml:space="preserve">of the kind </w:t>
      </w:r>
      <w:r w:rsidRPr="00784539">
        <w:t xml:space="preserve">mentioned in </w:t>
      </w:r>
      <w:r w:rsidR="00784539" w:rsidRPr="00784539">
        <w:t>subsection (</w:t>
      </w:r>
      <w:r w:rsidRPr="00784539">
        <w:t>1).</w:t>
      </w:r>
    </w:p>
    <w:p w:rsidR="00A36634" w:rsidRPr="00784539" w:rsidRDefault="00085808" w:rsidP="00A36634">
      <w:pPr>
        <w:pStyle w:val="ActHead5"/>
      </w:pPr>
      <w:bookmarkStart w:id="57" w:name="_Toc485110085"/>
      <w:r w:rsidRPr="00784539">
        <w:rPr>
          <w:rStyle w:val="CharSectno"/>
        </w:rPr>
        <w:t>33</w:t>
      </w:r>
      <w:r w:rsidR="00A36634" w:rsidRPr="00784539">
        <w:t xml:space="preserve">  Traditional trustee company service providers</w:t>
      </w:r>
      <w:bookmarkEnd w:id="57"/>
    </w:p>
    <w:p w:rsidR="00A36634" w:rsidRPr="00784539" w:rsidRDefault="00A36634" w:rsidP="00A36634">
      <w:pPr>
        <w:pStyle w:val="subsection"/>
      </w:pPr>
      <w:r w:rsidRPr="00784539">
        <w:tab/>
      </w:r>
      <w:r w:rsidR="00A219ED" w:rsidRPr="00784539">
        <w:t>(1)</w:t>
      </w:r>
      <w:r w:rsidRPr="00784539">
        <w:tab/>
        <w:t xml:space="preserve">A leviable entity forms part of the </w:t>
      </w:r>
      <w:r w:rsidRPr="00784539">
        <w:rPr>
          <w:b/>
          <w:i/>
        </w:rPr>
        <w:t>traditional trustee company service providers</w:t>
      </w:r>
      <w:r w:rsidRPr="00784539">
        <w:t xml:space="preserve"> sub</w:t>
      </w:r>
      <w:r w:rsidR="00784539">
        <w:noBreakHyphen/>
      </w:r>
      <w:r w:rsidRPr="00784539">
        <w:t xml:space="preserve">sector in a financial year if, </w:t>
      </w:r>
      <w:r w:rsidR="001E0039" w:rsidRPr="00784539">
        <w:t>at any time in the financial year</w:t>
      </w:r>
      <w:r w:rsidRPr="00784539">
        <w:t>, the entity holds an Australian financial services licence that authorises the holder to provide traditional trustee company services.</w:t>
      </w:r>
    </w:p>
    <w:p w:rsidR="00A219ED" w:rsidRPr="00784539" w:rsidRDefault="00A219ED" w:rsidP="00A219ED">
      <w:pPr>
        <w:pStyle w:val="SubsectionHead"/>
      </w:pPr>
      <w:r w:rsidRPr="00784539">
        <w:t>Entity metric</w:t>
      </w:r>
    </w:p>
    <w:p w:rsidR="00A219ED" w:rsidRPr="00784539" w:rsidRDefault="00A219ED" w:rsidP="00A219ED">
      <w:pPr>
        <w:pStyle w:val="subsection"/>
      </w:pPr>
      <w:r w:rsidRPr="00784539">
        <w:tab/>
        <w:t>(2)</w:t>
      </w:r>
      <w:r w:rsidRPr="00784539">
        <w:tab/>
        <w:t xml:space="preserve">The leviable entity’s </w:t>
      </w:r>
      <w:r w:rsidRPr="00784539">
        <w:rPr>
          <w:b/>
          <w:i/>
        </w:rPr>
        <w:t xml:space="preserve">entity metric </w:t>
      </w:r>
      <w:r w:rsidRPr="00784539">
        <w:t>for the sub</w:t>
      </w:r>
      <w:r w:rsidR="00784539">
        <w:noBreakHyphen/>
      </w:r>
      <w:r w:rsidRPr="00784539">
        <w:t>sector for the financial year is the number of days in the financial year</w:t>
      </w:r>
      <w:r w:rsidR="00DB1EE1" w:rsidRPr="00784539">
        <w:t xml:space="preserve"> on which the entity holds a licence of the kind mentioned in </w:t>
      </w:r>
      <w:r w:rsidR="00784539" w:rsidRPr="00784539">
        <w:t>subsection (</w:t>
      </w:r>
      <w:r w:rsidRPr="00784539">
        <w:t>1).</w:t>
      </w:r>
    </w:p>
    <w:p w:rsidR="00A36634" w:rsidRPr="00784539" w:rsidRDefault="00A36634" w:rsidP="00A36634">
      <w:pPr>
        <w:pStyle w:val="ActHead4"/>
      </w:pPr>
      <w:bookmarkStart w:id="58" w:name="_Toc485110086"/>
      <w:r w:rsidRPr="00784539">
        <w:rPr>
          <w:rStyle w:val="CharSubdNo"/>
        </w:rPr>
        <w:t>Subdivision</w:t>
      </w:r>
      <w:r w:rsidR="00784539" w:rsidRPr="00784539">
        <w:rPr>
          <w:rStyle w:val="CharSubdNo"/>
        </w:rPr>
        <w:t> </w:t>
      </w:r>
      <w:r w:rsidRPr="00784539">
        <w:rPr>
          <w:rStyle w:val="CharSubdNo"/>
        </w:rPr>
        <w:t>3.3</w:t>
      </w:r>
      <w:r w:rsidRPr="00784539">
        <w:t>—</w:t>
      </w:r>
      <w:r w:rsidRPr="00784539">
        <w:rPr>
          <w:rStyle w:val="CharSubdText"/>
        </w:rPr>
        <w:t>Sub</w:t>
      </w:r>
      <w:r w:rsidR="00784539" w:rsidRPr="00784539">
        <w:rPr>
          <w:rStyle w:val="CharSubdText"/>
        </w:rPr>
        <w:noBreakHyphen/>
      </w:r>
      <w:r w:rsidRPr="00784539">
        <w:rPr>
          <w:rStyle w:val="CharSubdText"/>
        </w:rPr>
        <w:t xml:space="preserve">sectors to which graduated </w:t>
      </w:r>
      <w:r w:rsidR="00E366AE" w:rsidRPr="00784539">
        <w:rPr>
          <w:rStyle w:val="CharSubdText"/>
        </w:rPr>
        <w:t>levy component</w:t>
      </w:r>
      <w:r w:rsidRPr="00784539">
        <w:rPr>
          <w:rStyle w:val="CharSubdText"/>
        </w:rPr>
        <w:t xml:space="preserve"> applies</w:t>
      </w:r>
      <w:bookmarkEnd w:id="58"/>
    </w:p>
    <w:p w:rsidR="00A36634" w:rsidRPr="00784539" w:rsidRDefault="00085808" w:rsidP="00A36634">
      <w:pPr>
        <w:pStyle w:val="ActHead5"/>
      </w:pPr>
      <w:bookmarkStart w:id="59" w:name="_Toc485110087"/>
      <w:r w:rsidRPr="00784539">
        <w:rPr>
          <w:rStyle w:val="CharSectno"/>
        </w:rPr>
        <w:t>34</w:t>
      </w:r>
      <w:r w:rsidR="00A36634" w:rsidRPr="00784539">
        <w:t xml:space="preserve">  Operators of investor directed portfolio services</w:t>
      </w:r>
      <w:bookmarkEnd w:id="59"/>
    </w:p>
    <w:p w:rsidR="00A36634" w:rsidRPr="00784539" w:rsidRDefault="00A36634" w:rsidP="00A36634">
      <w:pPr>
        <w:pStyle w:val="subsection"/>
      </w:pPr>
      <w:r w:rsidRPr="00784539">
        <w:tab/>
        <w:t>(1)</w:t>
      </w:r>
      <w:r w:rsidRPr="00784539">
        <w:tab/>
        <w:t xml:space="preserve">A leviable entity forms part of the </w:t>
      </w:r>
      <w:r w:rsidRPr="00784539">
        <w:rPr>
          <w:b/>
          <w:i/>
        </w:rPr>
        <w:t>operators of investor directed portfolio services</w:t>
      </w:r>
      <w:r w:rsidRPr="00784539">
        <w:t xml:space="preserve"> sub</w:t>
      </w:r>
      <w:r w:rsidR="00784539">
        <w:noBreakHyphen/>
      </w:r>
      <w:r w:rsidRPr="00784539">
        <w:t xml:space="preserve">sector in a financial year if, </w:t>
      </w:r>
      <w:r w:rsidR="002F043A" w:rsidRPr="00784539">
        <w:t>at any time in the financial year</w:t>
      </w:r>
      <w:r w:rsidRPr="00784539">
        <w:t xml:space="preserve">, the entity holds an Australian financial services licence that authorises the holder to operate an IDPS (within the </w:t>
      </w:r>
      <w:r w:rsidR="00086CD3" w:rsidRPr="00784539">
        <w:t>meaning of</w:t>
      </w:r>
      <w:r w:rsidRPr="00784539">
        <w:t xml:space="preserve"> section</w:t>
      </w:r>
      <w:r w:rsidR="00784539" w:rsidRPr="00784539">
        <w:t> </w:t>
      </w:r>
      <w:r w:rsidRPr="00784539">
        <w:t xml:space="preserve">21 of </w:t>
      </w:r>
      <w:r w:rsidRPr="00784539">
        <w:rPr>
          <w:i/>
        </w:rPr>
        <w:t>ASIC Class Order</w:t>
      </w:r>
      <w:r w:rsidRPr="00784539">
        <w:t xml:space="preserve"> </w:t>
      </w:r>
      <w:r w:rsidRPr="00784539">
        <w:rPr>
          <w:i/>
        </w:rPr>
        <w:t>[CO</w:t>
      </w:r>
      <w:r w:rsidR="00BC691E" w:rsidRPr="00784539">
        <w:rPr>
          <w:i/>
        </w:rPr>
        <w:t xml:space="preserve"> </w:t>
      </w:r>
      <w:r w:rsidRPr="00784539">
        <w:rPr>
          <w:i/>
        </w:rPr>
        <w:t>13/763]</w:t>
      </w:r>
      <w:r w:rsidRPr="00784539">
        <w:t>).</w:t>
      </w:r>
    </w:p>
    <w:p w:rsidR="00A36634" w:rsidRPr="00784539" w:rsidRDefault="00A36634" w:rsidP="00A36634">
      <w:pPr>
        <w:pStyle w:val="SubsectionHead"/>
      </w:pPr>
      <w:r w:rsidRPr="00784539">
        <w:t>Levy component</w:t>
      </w:r>
    </w:p>
    <w:p w:rsidR="00A36634" w:rsidRPr="00784539" w:rsidRDefault="00A36634" w:rsidP="00A36634">
      <w:pPr>
        <w:pStyle w:val="subsection"/>
      </w:pPr>
      <w:r w:rsidRPr="00784539">
        <w:tab/>
        <w:t>(2)</w:t>
      </w:r>
      <w:r w:rsidRPr="00784539">
        <w:tab/>
        <w:t>The amount of a leviable entity’s levy component in respect of the sub</w:t>
      </w:r>
      <w:r w:rsidR="00784539">
        <w:noBreakHyphen/>
      </w:r>
      <w:r w:rsidRPr="00784539">
        <w:t>sector for a financial year is the sum of:</w:t>
      </w:r>
    </w:p>
    <w:p w:rsidR="00A36634" w:rsidRPr="00784539" w:rsidRDefault="00A36634" w:rsidP="00A36634">
      <w:pPr>
        <w:pStyle w:val="paragraph"/>
      </w:pPr>
      <w:r w:rsidRPr="00784539">
        <w:tab/>
        <w:t>(a)</w:t>
      </w:r>
      <w:r w:rsidRPr="00784539">
        <w:tab/>
        <w:t>the minimum levy component for the sub</w:t>
      </w:r>
      <w:r w:rsidR="00784539">
        <w:noBreakHyphen/>
      </w:r>
      <w:r w:rsidRPr="00784539">
        <w:t>sector; and</w:t>
      </w:r>
    </w:p>
    <w:p w:rsidR="00A36634" w:rsidRPr="00784539" w:rsidRDefault="00A36634" w:rsidP="00A36634">
      <w:pPr>
        <w:pStyle w:val="paragraph"/>
      </w:pPr>
      <w:r w:rsidRPr="00784539">
        <w:tab/>
        <w:t>(b)</w:t>
      </w:r>
      <w:r w:rsidRPr="00784539">
        <w:tab/>
        <w:t>the graduated levy component for the</w:t>
      </w:r>
      <w:r w:rsidR="001C2DE5" w:rsidRPr="00784539">
        <w:t xml:space="preserve"> </w:t>
      </w:r>
      <w:r w:rsidRPr="00784539">
        <w:t>entity for the sub</w:t>
      </w:r>
      <w:r w:rsidR="00784539">
        <w:noBreakHyphen/>
      </w:r>
      <w:r w:rsidRPr="00784539">
        <w:t>sector.</w:t>
      </w:r>
    </w:p>
    <w:p w:rsidR="00A36634" w:rsidRPr="00784539" w:rsidRDefault="00A36634" w:rsidP="00A36634">
      <w:pPr>
        <w:pStyle w:val="notetext"/>
      </w:pPr>
      <w:r w:rsidRPr="00784539">
        <w:t>Note:</w:t>
      </w:r>
      <w:r w:rsidRPr="00784539">
        <w:tab/>
        <w:t>For the graduated levy component, see section</w:t>
      </w:r>
      <w:r w:rsidR="00784539" w:rsidRPr="00784539">
        <w:t> </w:t>
      </w:r>
      <w:r w:rsidR="00085808" w:rsidRPr="00784539">
        <w:t>10</w:t>
      </w:r>
      <w:r w:rsidRPr="00784539">
        <w:t>.</w:t>
      </w:r>
    </w:p>
    <w:p w:rsidR="00A36634" w:rsidRPr="00784539" w:rsidRDefault="00A36634" w:rsidP="00A36634">
      <w:pPr>
        <w:pStyle w:val="SubsectionHead"/>
      </w:pPr>
      <w:r w:rsidRPr="00784539">
        <w:t>Entity metric</w:t>
      </w:r>
    </w:p>
    <w:p w:rsidR="00A36634" w:rsidRPr="00784539" w:rsidRDefault="00A36634" w:rsidP="00AC176E">
      <w:pPr>
        <w:pStyle w:val="subsection"/>
      </w:pPr>
      <w:r w:rsidRPr="00784539">
        <w:tab/>
        <w:t>(3)</w:t>
      </w:r>
      <w:r w:rsidRPr="00784539">
        <w:tab/>
        <w:t xml:space="preserve">The leviable entity’s </w:t>
      </w:r>
      <w:r w:rsidRPr="00784539">
        <w:rPr>
          <w:b/>
          <w:i/>
        </w:rPr>
        <w:t>entity metric</w:t>
      </w:r>
      <w:r w:rsidRPr="00784539">
        <w:t xml:space="preserve"> for the sub</w:t>
      </w:r>
      <w:r w:rsidR="00784539">
        <w:noBreakHyphen/>
      </w:r>
      <w:r w:rsidRPr="00784539">
        <w:t xml:space="preserve">sector for the financial year is the </w:t>
      </w:r>
      <w:r w:rsidR="00AC176E" w:rsidRPr="00784539">
        <w:t>sum of</w:t>
      </w:r>
      <w:r w:rsidR="000F5B6F" w:rsidRPr="00784539">
        <w:t xml:space="preserve"> the following amounts</w:t>
      </w:r>
      <w:r w:rsidR="00AC176E" w:rsidRPr="00784539">
        <w:t>:</w:t>
      </w:r>
    </w:p>
    <w:p w:rsidR="00A36634" w:rsidRPr="00784539" w:rsidRDefault="00A36634" w:rsidP="00A36634">
      <w:pPr>
        <w:pStyle w:val="paragraph"/>
        <w:rPr>
          <w:i/>
        </w:rPr>
      </w:pPr>
      <w:r w:rsidRPr="00784539">
        <w:tab/>
        <w:t>(a)</w:t>
      </w:r>
      <w:r w:rsidRPr="00784539">
        <w:tab/>
      </w:r>
      <w:r w:rsidR="000F5B6F" w:rsidRPr="00784539">
        <w:t xml:space="preserve">the amount of </w:t>
      </w:r>
      <w:r w:rsidR="00AC176E" w:rsidRPr="00784539">
        <w:t xml:space="preserve">gross </w:t>
      </w:r>
      <w:r w:rsidRPr="00784539">
        <w:t>revenue received from IDPS activities undertaken under the entity’s licence</w:t>
      </w:r>
      <w:r w:rsidR="00714947" w:rsidRPr="00784539">
        <w:t xml:space="preserve"> in the financial year</w:t>
      </w:r>
      <w:r w:rsidRPr="00784539">
        <w:t>;</w:t>
      </w:r>
    </w:p>
    <w:p w:rsidR="00A36634" w:rsidRPr="00784539" w:rsidRDefault="00A36634" w:rsidP="00A36634">
      <w:pPr>
        <w:pStyle w:val="paragraph"/>
      </w:pPr>
      <w:r w:rsidRPr="00784539">
        <w:tab/>
        <w:t>(b)</w:t>
      </w:r>
      <w:r w:rsidRPr="00784539">
        <w:tab/>
        <w:t xml:space="preserve">any amount (to the extent that it is not covered under </w:t>
      </w:r>
      <w:r w:rsidR="00784539" w:rsidRPr="00784539">
        <w:t>paragraph (</w:t>
      </w:r>
      <w:r w:rsidRPr="00784539">
        <w:t>a)) paid or payable</w:t>
      </w:r>
      <w:r w:rsidR="00DD07D8" w:rsidRPr="00784539">
        <w:t xml:space="preserve"> in the financial year </w:t>
      </w:r>
      <w:r w:rsidRPr="00784539">
        <w:t>from the IDPS</w:t>
      </w:r>
      <w:r w:rsidR="00DD07D8" w:rsidRPr="00784539">
        <w:t xml:space="preserve"> </w:t>
      </w:r>
      <w:r w:rsidRPr="00784539">
        <w:t xml:space="preserve">for the performance of obligations imposed on an entity as an operator of </w:t>
      </w:r>
      <w:r w:rsidR="0084382E" w:rsidRPr="00784539">
        <w:t>the</w:t>
      </w:r>
      <w:r w:rsidRPr="00784539">
        <w:t xml:space="preserve"> IDPS (even if those obligations are performed by another entity).</w:t>
      </w:r>
    </w:p>
    <w:p w:rsidR="00B02235" w:rsidRPr="00784539" w:rsidRDefault="00B02235" w:rsidP="00B02235">
      <w:pPr>
        <w:pStyle w:val="subsection"/>
      </w:pPr>
      <w:r w:rsidRPr="00784539">
        <w:tab/>
        <w:t>(4)</w:t>
      </w:r>
      <w:r w:rsidRPr="00784539">
        <w:tab/>
        <w:t>Revenue is to be calculated for the purposes of this section in accordance with accounting standards in force at the relevant time (even if the standard does not otherwise apply to the financial year or some or all of the entities concerned).</w:t>
      </w:r>
    </w:p>
    <w:p w:rsidR="00A36634" w:rsidRPr="00784539" w:rsidRDefault="00A36634" w:rsidP="00A36634">
      <w:pPr>
        <w:pStyle w:val="subsection"/>
      </w:pPr>
      <w:r w:rsidRPr="00784539">
        <w:tab/>
        <w:t>(</w:t>
      </w:r>
      <w:r w:rsidR="00B02235" w:rsidRPr="00784539">
        <w:t>5</w:t>
      </w:r>
      <w:r w:rsidRPr="00784539">
        <w:t>)</w:t>
      </w:r>
      <w:r w:rsidRPr="00784539">
        <w:tab/>
        <w:t xml:space="preserve">The </w:t>
      </w:r>
      <w:r w:rsidRPr="00784539">
        <w:rPr>
          <w:b/>
          <w:i/>
        </w:rPr>
        <w:t>minimum levy component</w:t>
      </w:r>
      <w:r w:rsidRPr="00784539">
        <w:t xml:space="preserve"> for the sub</w:t>
      </w:r>
      <w:r w:rsidR="00784539">
        <w:noBreakHyphen/>
      </w:r>
      <w:r w:rsidRPr="00784539">
        <w:t>sector is $10,000.</w:t>
      </w:r>
    </w:p>
    <w:p w:rsidR="00A36634" w:rsidRPr="00784539" w:rsidRDefault="00085808" w:rsidP="00A36634">
      <w:pPr>
        <w:pStyle w:val="ActHead5"/>
      </w:pPr>
      <w:bookmarkStart w:id="60" w:name="_Toc485110088"/>
      <w:r w:rsidRPr="00784539">
        <w:rPr>
          <w:rStyle w:val="CharSectno"/>
        </w:rPr>
        <w:t>35</w:t>
      </w:r>
      <w:r w:rsidR="00A36634" w:rsidRPr="00784539">
        <w:t xml:space="preserve">  Responsible entities</w:t>
      </w:r>
      <w:bookmarkEnd w:id="60"/>
    </w:p>
    <w:p w:rsidR="00A36634" w:rsidRPr="00784539" w:rsidRDefault="00A36634" w:rsidP="00A36634">
      <w:pPr>
        <w:pStyle w:val="subsection"/>
      </w:pPr>
      <w:r w:rsidRPr="00784539">
        <w:tab/>
        <w:t>(1)</w:t>
      </w:r>
      <w:r w:rsidRPr="00784539">
        <w:tab/>
        <w:t xml:space="preserve">A leviable entity forms part of the </w:t>
      </w:r>
      <w:r w:rsidR="00F436B2" w:rsidRPr="00784539">
        <w:rPr>
          <w:b/>
          <w:i/>
        </w:rPr>
        <w:t>responsible entities</w:t>
      </w:r>
      <w:r w:rsidRPr="00784539">
        <w:t xml:space="preserve"> sub</w:t>
      </w:r>
      <w:r w:rsidR="00784539">
        <w:noBreakHyphen/>
      </w:r>
      <w:r w:rsidRPr="00784539">
        <w:t xml:space="preserve">sector in a financial year if, </w:t>
      </w:r>
      <w:r w:rsidR="002F043A" w:rsidRPr="00784539">
        <w:t>at any time in the financial year</w:t>
      </w:r>
      <w:r w:rsidRPr="00784539">
        <w:t>, the entity holds an Australian financial services licence that authorises the holder to operate a registered scheme.</w:t>
      </w:r>
    </w:p>
    <w:p w:rsidR="00A36634" w:rsidRPr="00784539" w:rsidRDefault="00A36634" w:rsidP="00A36634">
      <w:pPr>
        <w:pStyle w:val="SubsectionHead"/>
      </w:pPr>
      <w:r w:rsidRPr="00784539">
        <w:t>Levy component</w:t>
      </w:r>
    </w:p>
    <w:p w:rsidR="00A36634" w:rsidRPr="00784539" w:rsidRDefault="00A36634" w:rsidP="00A36634">
      <w:pPr>
        <w:pStyle w:val="subsection"/>
      </w:pPr>
      <w:r w:rsidRPr="00784539">
        <w:tab/>
        <w:t>(2)</w:t>
      </w:r>
      <w:r w:rsidRPr="00784539">
        <w:tab/>
        <w:t>The amount of a leviable entity’s levy component in respect of the sub</w:t>
      </w:r>
      <w:r w:rsidR="00784539">
        <w:noBreakHyphen/>
      </w:r>
      <w:r w:rsidRPr="00784539">
        <w:t>sector for the financial year is the sum of:</w:t>
      </w:r>
    </w:p>
    <w:p w:rsidR="00A36634" w:rsidRPr="00784539" w:rsidRDefault="00A36634" w:rsidP="00A36634">
      <w:pPr>
        <w:pStyle w:val="paragraph"/>
      </w:pPr>
      <w:r w:rsidRPr="00784539">
        <w:tab/>
        <w:t>(a)</w:t>
      </w:r>
      <w:r w:rsidRPr="00784539">
        <w:tab/>
        <w:t>the minimum levy component for the sub</w:t>
      </w:r>
      <w:r w:rsidR="00784539">
        <w:noBreakHyphen/>
      </w:r>
      <w:r w:rsidRPr="00784539">
        <w:t>sector; and</w:t>
      </w:r>
    </w:p>
    <w:p w:rsidR="00A36634" w:rsidRPr="00784539" w:rsidRDefault="00A36634" w:rsidP="00A36634">
      <w:pPr>
        <w:pStyle w:val="paragraph"/>
      </w:pPr>
      <w:r w:rsidRPr="00784539">
        <w:tab/>
        <w:t>(b)</w:t>
      </w:r>
      <w:r w:rsidRPr="00784539">
        <w:tab/>
        <w:t>if the entity’s entity metric for the sub</w:t>
      </w:r>
      <w:r w:rsidR="00784539">
        <w:noBreakHyphen/>
      </w:r>
      <w:r w:rsidRPr="00784539">
        <w:t>sector for the financial year exceeds the minimum levy threshold—the graduated levy component for the entity for the sub</w:t>
      </w:r>
      <w:r w:rsidR="00784539">
        <w:noBreakHyphen/>
      </w:r>
      <w:r w:rsidRPr="00784539">
        <w:t>sector.</w:t>
      </w:r>
    </w:p>
    <w:p w:rsidR="00A36634" w:rsidRPr="00784539" w:rsidRDefault="00A36634" w:rsidP="00A36634">
      <w:pPr>
        <w:pStyle w:val="notetext"/>
      </w:pPr>
      <w:r w:rsidRPr="00784539">
        <w:t>Note:</w:t>
      </w:r>
      <w:r w:rsidRPr="00784539">
        <w:tab/>
        <w:t>For the graduated levy component, see section</w:t>
      </w:r>
      <w:r w:rsidR="00784539" w:rsidRPr="00784539">
        <w:t> </w:t>
      </w:r>
      <w:r w:rsidR="00085808" w:rsidRPr="00784539">
        <w:t>10</w:t>
      </w:r>
      <w:r w:rsidRPr="00784539">
        <w:t>.</w:t>
      </w:r>
    </w:p>
    <w:p w:rsidR="00A36634" w:rsidRPr="00784539" w:rsidRDefault="00A36634" w:rsidP="00A36634">
      <w:pPr>
        <w:pStyle w:val="SubsectionHead"/>
      </w:pPr>
      <w:r w:rsidRPr="00784539">
        <w:t>Entity metric</w:t>
      </w:r>
    </w:p>
    <w:p w:rsidR="00A36634" w:rsidRPr="00784539" w:rsidRDefault="00A36634" w:rsidP="00A36634">
      <w:pPr>
        <w:pStyle w:val="subsection"/>
      </w:pPr>
      <w:r w:rsidRPr="00784539">
        <w:tab/>
        <w:t>(3)</w:t>
      </w:r>
      <w:r w:rsidRPr="00784539">
        <w:tab/>
        <w:t xml:space="preserve">The leviable entity’s </w:t>
      </w:r>
      <w:r w:rsidRPr="00784539">
        <w:rPr>
          <w:b/>
          <w:i/>
        </w:rPr>
        <w:t>entity metric</w:t>
      </w:r>
      <w:r w:rsidRPr="00784539">
        <w:t xml:space="preserve"> for the sub</w:t>
      </w:r>
      <w:r w:rsidR="00784539">
        <w:noBreakHyphen/>
      </w:r>
      <w:r w:rsidRPr="00784539">
        <w:t xml:space="preserve">sector for the financial year is the total </w:t>
      </w:r>
      <w:r w:rsidR="005030E6" w:rsidRPr="00784539">
        <w:t>value</w:t>
      </w:r>
      <w:r w:rsidRPr="00784539">
        <w:t xml:space="preserve"> of assets in all registered schemes operated by the entity at th</w:t>
      </w:r>
      <w:r w:rsidR="00BF3854" w:rsidRPr="00784539">
        <w:t>e end of the financial year,</w:t>
      </w:r>
      <w:r w:rsidRPr="00784539">
        <w:t xml:space="preserve"> disregarding any assets that are an interest in another registered scheme operated by the entity.</w:t>
      </w:r>
    </w:p>
    <w:p w:rsidR="006C4BF9" w:rsidRPr="00784539" w:rsidRDefault="00C51F7F" w:rsidP="006C4BF9">
      <w:pPr>
        <w:pStyle w:val="subsection"/>
      </w:pPr>
      <w:r w:rsidRPr="00784539">
        <w:tab/>
        <w:t>(4)</w:t>
      </w:r>
      <w:r w:rsidR="006C4BF9" w:rsidRPr="00784539">
        <w:tab/>
        <w:t>However:</w:t>
      </w:r>
    </w:p>
    <w:p w:rsidR="006C4BF9" w:rsidRPr="00784539" w:rsidRDefault="006C4BF9" w:rsidP="006C4BF9">
      <w:pPr>
        <w:pStyle w:val="paragraph"/>
      </w:pPr>
      <w:r w:rsidRPr="00784539">
        <w:tab/>
        <w:t>(a)</w:t>
      </w:r>
      <w:r w:rsidRPr="00784539">
        <w:tab/>
        <w:t xml:space="preserve">there is a </w:t>
      </w:r>
      <w:r w:rsidR="00B43668" w:rsidRPr="00784539">
        <w:t>pro</w:t>
      </w:r>
      <w:r w:rsidR="00784539">
        <w:noBreakHyphen/>
      </w:r>
      <w:r w:rsidR="00B43668" w:rsidRPr="00784539">
        <w:t>rata</w:t>
      </w:r>
      <w:r w:rsidRPr="00784539">
        <w:t xml:space="preserve"> of the entity metric; and</w:t>
      </w:r>
    </w:p>
    <w:p w:rsidR="00533AA9" w:rsidRPr="00784539" w:rsidRDefault="006C4BF9" w:rsidP="00533AA9">
      <w:pPr>
        <w:pStyle w:val="paragraph"/>
      </w:pPr>
      <w:r w:rsidRPr="00784539">
        <w:tab/>
        <w:t>(b)</w:t>
      </w:r>
      <w:r w:rsidRPr="00784539">
        <w:tab/>
        <w:t>for the purposes of section</w:t>
      </w:r>
      <w:r w:rsidR="00784539" w:rsidRPr="00784539">
        <w:t> </w:t>
      </w:r>
      <w:r w:rsidR="00085808" w:rsidRPr="00784539">
        <w:t>11</w:t>
      </w:r>
      <w:r w:rsidRPr="00784539">
        <w:t xml:space="preserve">, the number of counted days is the number of days in the financial year on which the </w:t>
      </w:r>
      <w:r w:rsidR="00A06F69" w:rsidRPr="00784539">
        <w:t xml:space="preserve">leviable </w:t>
      </w:r>
      <w:r w:rsidRPr="00784539">
        <w:t xml:space="preserve">entity </w:t>
      </w:r>
      <w:r w:rsidR="00782DE6" w:rsidRPr="00784539">
        <w:t>holds</w:t>
      </w:r>
      <w:r w:rsidRPr="00784539">
        <w:t xml:space="preserve"> </w:t>
      </w:r>
      <w:r w:rsidR="00F436B2" w:rsidRPr="00784539">
        <w:t>a</w:t>
      </w:r>
      <w:r w:rsidRPr="00784539">
        <w:t xml:space="preserve"> licence</w:t>
      </w:r>
      <w:r w:rsidR="00F436B2" w:rsidRPr="00784539">
        <w:t xml:space="preserve"> of the kind </w:t>
      </w:r>
      <w:r w:rsidRPr="00784539">
        <w:t xml:space="preserve">mentioned in </w:t>
      </w:r>
      <w:r w:rsidR="00784539" w:rsidRPr="00784539">
        <w:t>subsection (</w:t>
      </w:r>
      <w:r w:rsidRPr="00784539">
        <w:t>1).</w:t>
      </w:r>
    </w:p>
    <w:p w:rsidR="00A36634" w:rsidRPr="00784539" w:rsidRDefault="00C51F7F" w:rsidP="00A36634">
      <w:pPr>
        <w:pStyle w:val="subsection"/>
      </w:pPr>
      <w:r w:rsidRPr="00784539">
        <w:tab/>
        <w:t>(5</w:t>
      </w:r>
      <w:r w:rsidR="00A36634" w:rsidRPr="00784539">
        <w:t>)</w:t>
      </w:r>
      <w:r w:rsidR="00A36634" w:rsidRPr="00784539">
        <w:tab/>
        <w:t xml:space="preserve">The </w:t>
      </w:r>
      <w:r w:rsidR="00A36634" w:rsidRPr="00784539">
        <w:rPr>
          <w:b/>
          <w:i/>
        </w:rPr>
        <w:t>minimum levy component</w:t>
      </w:r>
      <w:r w:rsidR="00A36634" w:rsidRPr="00784539">
        <w:t xml:space="preserve"> for the sub</w:t>
      </w:r>
      <w:r w:rsidR="00784539">
        <w:noBreakHyphen/>
      </w:r>
      <w:r w:rsidR="00A36634" w:rsidRPr="00784539">
        <w:t>sector is $7,000.</w:t>
      </w:r>
    </w:p>
    <w:p w:rsidR="00A36634" w:rsidRPr="00784539" w:rsidRDefault="00C51F7F" w:rsidP="00A36634">
      <w:pPr>
        <w:pStyle w:val="subsection"/>
      </w:pPr>
      <w:r w:rsidRPr="00784539">
        <w:tab/>
        <w:t>(6</w:t>
      </w:r>
      <w:r w:rsidR="00A36634" w:rsidRPr="00784539">
        <w:t>)</w:t>
      </w:r>
      <w:r w:rsidR="00A36634" w:rsidRPr="00784539">
        <w:tab/>
        <w:t xml:space="preserve">The </w:t>
      </w:r>
      <w:r w:rsidR="00A36634" w:rsidRPr="00784539">
        <w:rPr>
          <w:b/>
          <w:i/>
        </w:rPr>
        <w:t>minimum levy threshold</w:t>
      </w:r>
      <w:r w:rsidR="00A36634" w:rsidRPr="00784539">
        <w:t xml:space="preserve"> for the sub</w:t>
      </w:r>
      <w:r w:rsidR="00784539">
        <w:noBreakHyphen/>
      </w:r>
      <w:r w:rsidR="00A36634" w:rsidRPr="00784539">
        <w:t>sector is $10,000,000.</w:t>
      </w:r>
    </w:p>
    <w:p w:rsidR="00A36634" w:rsidRPr="00784539" w:rsidRDefault="00085808" w:rsidP="00A36634">
      <w:pPr>
        <w:pStyle w:val="ActHead5"/>
      </w:pPr>
      <w:bookmarkStart w:id="61" w:name="_Toc485110089"/>
      <w:r w:rsidRPr="00784539">
        <w:rPr>
          <w:rStyle w:val="CharSectno"/>
        </w:rPr>
        <w:t>36</w:t>
      </w:r>
      <w:r w:rsidR="00A36634" w:rsidRPr="00784539">
        <w:t xml:space="preserve">  Superannuation trustees</w:t>
      </w:r>
      <w:bookmarkEnd w:id="61"/>
    </w:p>
    <w:p w:rsidR="00A36634" w:rsidRPr="00784539" w:rsidRDefault="00A36634" w:rsidP="00A36634">
      <w:pPr>
        <w:pStyle w:val="subsection"/>
      </w:pPr>
      <w:r w:rsidRPr="00784539">
        <w:tab/>
        <w:t>(1)</w:t>
      </w:r>
      <w:r w:rsidRPr="00784539">
        <w:tab/>
        <w:t xml:space="preserve">A leviable entity forms part of the </w:t>
      </w:r>
      <w:r w:rsidRPr="00784539">
        <w:rPr>
          <w:b/>
          <w:i/>
        </w:rPr>
        <w:t>superannuation trustees</w:t>
      </w:r>
      <w:r w:rsidRPr="00784539">
        <w:t xml:space="preserve"> sub</w:t>
      </w:r>
      <w:r w:rsidR="00784539">
        <w:noBreakHyphen/>
      </w:r>
      <w:r w:rsidRPr="00784539">
        <w:t xml:space="preserve">sector in a financial year if, </w:t>
      </w:r>
      <w:r w:rsidR="002F043A" w:rsidRPr="00784539">
        <w:t>at any time in the financial year</w:t>
      </w:r>
      <w:r w:rsidRPr="00784539">
        <w:t xml:space="preserve">, the entity is an RSE licensee (within the meaning of the </w:t>
      </w:r>
      <w:r w:rsidRPr="00784539">
        <w:rPr>
          <w:i/>
        </w:rPr>
        <w:t>Superannuation Industry (Supervision) Act 1993</w:t>
      </w:r>
      <w:r w:rsidRPr="00784539">
        <w:t>).</w:t>
      </w:r>
    </w:p>
    <w:p w:rsidR="00A36634" w:rsidRPr="00784539" w:rsidRDefault="00A36634" w:rsidP="00A36634">
      <w:pPr>
        <w:pStyle w:val="SubsectionHead"/>
      </w:pPr>
      <w:r w:rsidRPr="00784539">
        <w:t>Levy component</w:t>
      </w:r>
    </w:p>
    <w:p w:rsidR="00A36634" w:rsidRPr="00784539" w:rsidRDefault="00A36634" w:rsidP="00A36634">
      <w:pPr>
        <w:pStyle w:val="subsection"/>
      </w:pPr>
      <w:r w:rsidRPr="00784539">
        <w:tab/>
        <w:t>(2)</w:t>
      </w:r>
      <w:r w:rsidRPr="00784539">
        <w:tab/>
        <w:t>The amount of a leviable entity’s levy component in respect of the sub</w:t>
      </w:r>
      <w:r w:rsidR="00784539">
        <w:noBreakHyphen/>
      </w:r>
      <w:r w:rsidRPr="00784539">
        <w:t>sector for the financial year is the sum of:</w:t>
      </w:r>
    </w:p>
    <w:p w:rsidR="00A36634" w:rsidRPr="00784539" w:rsidRDefault="00A36634" w:rsidP="00A36634">
      <w:pPr>
        <w:pStyle w:val="paragraph"/>
      </w:pPr>
      <w:r w:rsidRPr="00784539">
        <w:tab/>
        <w:t>(a)</w:t>
      </w:r>
      <w:r w:rsidRPr="00784539">
        <w:tab/>
        <w:t>the minimum levy component for the sub</w:t>
      </w:r>
      <w:r w:rsidR="00784539">
        <w:noBreakHyphen/>
      </w:r>
      <w:r w:rsidRPr="00784539">
        <w:t>sector; and</w:t>
      </w:r>
    </w:p>
    <w:p w:rsidR="00A36634" w:rsidRPr="00784539" w:rsidRDefault="00A36634" w:rsidP="00A36634">
      <w:pPr>
        <w:pStyle w:val="paragraph"/>
      </w:pPr>
      <w:r w:rsidRPr="00784539">
        <w:tab/>
        <w:t>(b)</w:t>
      </w:r>
      <w:r w:rsidRPr="00784539">
        <w:tab/>
        <w:t>if the entity’s entity metric for the sub</w:t>
      </w:r>
      <w:r w:rsidR="00784539">
        <w:noBreakHyphen/>
      </w:r>
      <w:r w:rsidRPr="00784539">
        <w:t>sector for the financial year exceeds the minimum levy threshold—the graduated levy component for the entity for the sub</w:t>
      </w:r>
      <w:r w:rsidR="00784539">
        <w:noBreakHyphen/>
      </w:r>
      <w:r w:rsidRPr="00784539">
        <w:t>sector.</w:t>
      </w:r>
    </w:p>
    <w:p w:rsidR="00A36634" w:rsidRPr="00784539" w:rsidRDefault="00A36634" w:rsidP="00A36634">
      <w:pPr>
        <w:pStyle w:val="notetext"/>
      </w:pPr>
      <w:r w:rsidRPr="00784539">
        <w:t>Note:</w:t>
      </w:r>
      <w:r w:rsidRPr="00784539">
        <w:tab/>
        <w:t>For the graduated levy component, see section</w:t>
      </w:r>
      <w:r w:rsidR="00784539" w:rsidRPr="00784539">
        <w:t> </w:t>
      </w:r>
      <w:r w:rsidR="00085808" w:rsidRPr="00784539">
        <w:t>10</w:t>
      </w:r>
      <w:r w:rsidRPr="00784539">
        <w:t>.</w:t>
      </w:r>
    </w:p>
    <w:p w:rsidR="00A36634" w:rsidRPr="00784539" w:rsidRDefault="00A36634" w:rsidP="00A36634">
      <w:pPr>
        <w:pStyle w:val="SubsectionHead"/>
      </w:pPr>
      <w:r w:rsidRPr="00784539">
        <w:t>Entity metric</w:t>
      </w:r>
    </w:p>
    <w:p w:rsidR="00A36634" w:rsidRPr="00784539" w:rsidRDefault="00A36634" w:rsidP="00A36634">
      <w:pPr>
        <w:pStyle w:val="subsection"/>
      </w:pPr>
      <w:r w:rsidRPr="00784539">
        <w:tab/>
        <w:t>(3)</w:t>
      </w:r>
      <w:r w:rsidRPr="00784539">
        <w:tab/>
        <w:t xml:space="preserve">The leviable entity’s </w:t>
      </w:r>
      <w:r w:rsidRPr="00784539">
        <w:rPr>
          <w:b/>
          <w:i/>
        </w:rPr>
        <w:t>entity metric</w:t>
      </w:r>
      <w:r w:rsidRPr="00784539">
        <w:t xml:space="preserve"> for the sub</w:t>
      </w:r>
      <w:r w:rsidR="00784539">
        <w:noBreakHyphen/>
      </w:r>
      <w:r w:rsidRPr="00784539">
        <w:t>sector for the financial year is</w:t>
      </w:r>
      <w:r w:rsidRPr="00784539">
        <w:rPr>
          <w:i/>
        </w:rPr>
        <w:t xml:space="preserve"> </w:t>
      </w:r>
      <w:r w:rsidRPr="00784539">
        <w:t xml:space="preserve">the total </w:t>
      </w:r>
      <w:r w:rsidR="005030E6" w:rsidRPr="00784539">
        <w:t>value</w:t>
      </w:r>
      <w:r w:rsidRPr="00784539">
        <w:t xml:space="preserve"> of assets in all registrable superann</w:t>
      </w:r>
      <w:r w:rsidR="00FF38A9" w:rsidRPr="00784539">
        <w:t xml:space="preserve">uation entities operated by the </w:t>
      </w:r>
      <w:r w:rsidRPr="00784539">
        <w:t xml:space="preserve">entity at </w:t>
      </w:r>
      <w:r w:rsidR="00A536D1" w:rsidRPr="00784539">
        <w:t>the end of the financial year</w:t>
      </w:r>
      <w:r w:rsidRPr="00784539">
        <w:t>, disregarding any assets that are an interest in another registrable superannuation entity operated by the entity.</w:t>
      </w:r>
    </w:p>
    <w:p w:rsidR="006C4BF9" w:rsidRPr="00784539" w:rsidRDefault="00533AA9" w:rsidP="006C4BF9">
      <w:pPr>
        <w:pStyle w:val="subsection"/>
      </w:pPr>
      <w:r w:rsidRPr="00784539">
        <w:tab/>
      </w:r>
      <w:r w:rsidR="006C4BF9" w:rsidRPr="00784539">
        <w:t>(4)</w:t>
      </w:r>
      <w:r w:rsidR="006C4BF9" w:rsidRPr="00784539">
        <w:tab/>
        <w:t>However:</w:t>
      </w:r>
    </w:p>
    <w:p w:rsidR="006C4BF9" w:rsidRPr="00784539" w:rsidRDefault="006C4BF9" w:rsidP="006C4BF9">
      <w:pPr>
        <w:pStyle w:val="paragraph"/>
      </w:pPr>
      <w:r w:rsidRPr="00784539">
        <w:tab/>
        <w:t>(a)</w:t>
      </w:r>
      <w:r w:rsidRPr="00784539">
        <w:tab/>
        <w:t xml:space="preserve">there is a </w:t>
      </w:r>
      <w:r w:rsidR="00B43668" w:rsidRPr="00784539">
        <w:t>pro</w:t>
      </w:r>
      <w:r w:rsidR="00784539">
        <w:noBreakHyphen/>
      </w:r>
      <w:r w:rsidR="00B43668" w:rsidRPr="00784539">
        <w:t>rata</w:t>
      </w:r>
      <w:r w:rsidRPr="00784539">
        <w:t xml:space="preserve"> of the entity metric; and</w:t>
      </w:r>
    </w:p>
    <w:p w:rsidR="006C4BF9" w:rsidRPr="00784539" w:rsidRDefault="006C4BF9" w:rsidP="006C4BF9">
      <w:pPr>
        <w:pStyle w:val="paragraph"/>
      </w:pPr>
      <w:r w:rsidRPr="00784539">
        <w:tab/>
        <w:t>(b)</w:t>
      </w:r>
      <w:r w:rsidRPr="00784539">
        <w:tab/>
        <w:t>for the purposes of section</w:t>
      </w:r>
      <w:r w:rsidR="00784539" w:rsidRPr="00784539">
        <w:t> </w:t>
      </w:r>
      <w:r w:rsidR="00085808" w:rsidRPr="00784539">
        <w:t>11</w:t>
      </w:r>
      <w:r w:rsidRPr="00784539">
        <w:t>, the number of counted days is the number of days in the financial year on which the</w:t>
      </w:r>
      <w:r w:rsidR="00A06F69" w:rsidRPr="00784539">
        <w:t xml:space="preserve"> leviable </w:t>
      </w:r>
      <w:r w:rsidRPr="00784539">
        <w:t>entity was an RSE licensee.</w:t>
      </w:r>
    </w:p>
    <w:p w:rsidR="00A36634" w:rsidRPr="00784539" w:rsidRDefault="00A36634" w:rsidP="00A36634">
      <w:pPr>
        <w:pStyle w:val="subsection"/>
      </w:pPr>
      <w:r w:rsidRPr="00784539">
        <w:tab/>
        <w:t>(</w:t>
      </w:r>
      <w:r w:rsidR="00C060A9" w:rsidRPr="00784539">
        <w:t>5</w:t>
      </w:r>
      <w:r w:rsidRPr="00784539">
        <w:t>)</w:t>
      </w:r>
      <w:r w:rsidRPr="00784539">
        <w:tab/>
        <w:t xml:space="preserve">The </w:t>
      </w:r>
      <w:r w:rsidRPr="00784539">
        <w:rPr>
          <w:b/>
          <w:i/>
        </w:rPr>
        <w:t>minimum levy component</w:t>
      </w:r>
      <w:r w:rsidRPr="00784539">
        <w:t xml:space="preserve"> for the sub</w:t>
      </w:r>
      <w:r w:rsidR="00784539">
        <w:noBreakHyphen/>
      </w:r>
      <w:r w:rsidRPr="00784539">
        <w:t>sector is $18,000.</w:t>
      </w:r>
    </w:p>
    <w:p w:rsidR="00A36634" w:rsidRPr="00784539" w:rsidRDefault="00C060A9" w:rsidP="00A36634">
      <w:pPr>
        <w:pStyle w:val="subsection"/>
      </w:pPr>
      <w:r w:rsidRPr="00784539">
        <w:tab/>
        <w:t>(6</w:t>
      </w:r>
      <w:r w:rsidR="00A36634" w:rsidRPr="00784539">
        <w:t>)</w:t>
      </w:r>
      <w:r w:rsidR="00A36634" w:rsidRPr="00784539">
        <w:tab/>
        <w:t>The</w:t>
      </w:r>
      <w:r w:rsidR="00A36634" w:rsidRPr="00784539">
        <w:rPr>
          <w:b/>
          <w:i/>
        </w:rPr>
        <w:t xml:space="preserve"> minimum levy threshold</w:t>
      </w:r>
      <w:r w:rsidR="00A36634" w:rsidRPr="00784539">
        <w:t xml:space="preserve"> for the sub</w:t>
      </w:r>
      <w:r w:rsidR="00784539">
        <w:noBreakHyphen/>
      </w:r>
      <w:r w:rsidR="00A36634" w:rsidRPr="00784539">
        <w:t>sector is $250,000,000.</w:t>
      </w:r>
    </w:p>
    <w:p w:rsidR="00A36634" w:rsidRPr="00784539" w:rsidRDefault="00085808" w:rsidP="00A36634">
      <w:pPr>
        <w:pStyle w:val="ActHead5"/>
      </w:pPr>
      <w:bookmarkStart w:id="62" w:name="_Toc485110090"/>
      <w:r w:rsidRPr="00784539">
        <w:rPr>
          <w:rStyle w:val="CharSectno"/>
        </w:rPr>
        <w:t>37</w:t>
      </w:r>
      <w:r w:rsidR="00A36634" w:rsidRPr="00784539">
        <w:t xml:space="preserve">  Wholesale trustees</w:t>
      </w:r>
      <w:bookmarkEnd w:id="62"/>
    </w:p>
    <w:p w:rsidR="00A36634" w:rsidRPr="00784539" w:rsidRDefault="00A36634" w:rsidP="00A36634">
      <w:pPr>
        <w:pStyle w:val="subsection"/>
      </w:pPr>
      <w:r w:rsidRPr="00784539">
        <w:tab/>
        <w:t>(1)</w:t>
      </w:r>
      <w:r w:rsidRPr="00784539">
        <w:tab/>
        <w:t xml:space="preserve">A leviable entity forms part of the </w:t>
      </w:r>
      <w:r w:rsidRPr="00784539">
        <w:rPr>
          <w:b/>
          <w:i/>
        </w:rPr>
        <w:t>wholesale trustees</w:t>
      </w:r>
      <w:r w:rsidRPr="00784539">
        <w:t xml:space="preserve"> sub</w:t>
      </w:r>
      <w:r w:rsidR="00784539">
        <w:noBreakHyphen/>
      </w:r>
      <w:r w:rsidRPr="00784539">
        <w:t xml:space="preserve">sector in a financial year if, </w:t>
      </w:r>
      <w:r w:rsidR="002F043A" w:rsidRPr="00784539">
        <w:t>at any time in the financial year</w:t>
      </w:r>
      <w:r w:rsidRPr="00784539">
        <w:t>, the entity holds an Australia financial services licence that authorises the holder to deal in a financial product by issuing interests in, or arranging for the issue of interests in, a managed investment scheme to wholesale clients.</w:t>
      </w:r>
    </w:p>
    <w:p w:rsidR="00A36634" w:rsidRPr="00784539" w:rsidRDefault="00A36634" w:rsidP="00A36634">
      <w:pPr>
        <w:pStyle w:val="SubsectionHead"/>
      </w:pPr>
      <w:r w:rsidRPr="00784539">
        <w:t>Levy component</w:t>
      </w:r>
      <w:r w:rsidR="00B918AC" w:rsidRPr="00784539">
        <w:t xml:space="preserve">—financial year </w:t>
      </w:r>
      <w:r w:rsidR="00962535" w:rsidRPr="00784539">
        <w:t>starting</w:t>
      </w:r>
      <w:r w:rsidR="00B918AC" w:rsidRPr="00784539">
        <w:t xml:space="preserve"> on 1</w:t>
      </w:r>
      <w:r w:rsidR="00784539" w:rsidRPr="00784539">
        <w:t> </w:t>
      </w:r>
      <w:r w:rsidR="00B918AC" w:rsidRPr="00784539">
        <w:t>July 2017</w:t>
      </w:r>
    </w:p>
    <w:p w:rsidR="00A36634" w:rsidRPr="00784539" w:rsidRDefault="00A36634" w:rsidP="00A36634">
      <w:pPr>
        <w:pStyle w:val="subsection"/>
      </w:pPr>
      <w:r w:rsidRPr="00784539">
        <w:tab/>
        <w:t>(2)</w:t>
      </w:r>
      <w:r w:rsidRPr="00784539">
        <w:tab/>
        <w:t xml:space="preserve">The </w:t>
      </w:r>
      <w:r w:rsidR="00A536D1" w:rsidRPr="00784539">
        <w:t>basic</w:t>
      </w:r>
      <w:r w:rsidRPr="00784539">
        <w:t xml:space="preserve"> levy component applies in respect of the sub</w:t>
      </w:r>
      <w:r w:rsidR="00784539">
        <w:noBreakHyphen/>
      </w:r>
      <w:r w:rsidRPr="00784539">
        <w:t xml:space="preserve">sector for the </w:t>
      </w:r>
      <w:r w:rsidR="00B918AC" w:rsidRPr="00784539">
        <w:t xml:space="preserve">financial year </w:t>
      </w:r>
      <w:r w:rsidR="00962535" w:rsidRPr="00784539">
        <w:t>starting</w:t>
      </w:r>
      <w:r w:rsidR="00B918AC" w:rsidRPr="00784539">
        <w:t xml:space="preserve"> on 1</w:t>
      </w:r>
      <w:r w:rsidR="00784539" w:rsidRPr="00784539">
        <w:t> </w:t>
      </w:r>
      <w:r w:rsidR="00B918AC" w:rsidRPr="00784539">
        <w:t>July 2017</w:t>
      </w:r>
      <w:r w:rsidRPr="00784539">
        <w:t>.</w:t>
      </w:r>
    </w:p>
    <w:p w:rsidR="00A36634" w:rsidRPr="00784539" w:rsidRDefault="00A536D1" w:rsidP="00A36634">
      <w:pPr>
        <w:pStyle w:val="notetext"/>
      </w:pPr>
      <w:r w:rsidRPr="00784539">
        <w:t>Note:</w:t>
      </w:r>
      <w:r w:rsidRPr="00784539">
        <w:tab/>
        <w:t xml:space="preserve">For the basic </w:t>
      </w:r>
      <w:r w:rsidR="00A36634" w:rsidRPr="00784539">
        <w:t>levy component, see section</w:t>
      </w:r>
      <w:r w:rsidR="00784539" w:rsidRPr="00784539">
        <w:t> </w:t>
      </w:r>
      <w:r w:rsidR="00085808" w:rsidRPr="00784539">
        <w:t>9</w:t>
      </w:r>
      <w:r w:rsidR="00A36634" w:rsidRPr="00784539">
        <w:t>.</w:t>
      </w:r>
    </w:p>
    <w:p w:rsidR="00B918AC" w:rsidRPr="00784539" w:rsidRDefault="00B918AC" w:rsidP="00B918AC">
      <w:pPr>
        <w:pStyle w:val="SubsectionHead"/>
      </w:pPr>
      <w:r w:rsidRPr="00784539">
        <w:t xml:space="preserve">Entity metric—financial year </w:t>
      </w:r>
      <w:r w:rsidR="00962535" w:rsidRPr="00784539">
        <w:t>starting</w:t>
      </w:r>
      <w:r w:rsidRPr="00784539">
        <w:t xml:space="preserve"> on 1</w:t>
      </w:r>
      <w:r w:rsidR="00784539" w:rsidRPr="00784539">
        <w:t> </w:t>
      </w:r>
      <w:r w:rsidRPr="00784539">
        <w:t>July 2017</w:t>
      </w:r>
    </w:p>
    <w:p w:rsidR="00B918AC" w:rsidRPr="00784539" w:rsidRDefault="00B918AC" w:rsidP="00B918AC">
      <w:pPr>
        <w:pStyle w:val="subsection"/>
      </w:pPr>
      <w:r w:rsidRPr="00784539">
        <w:tab/>
        <w:t>(3)</w:t>
      </w:r>
      <w:r w:rsidRPr="00784539">
        <w:tab/>
        <w:t xml:space="preserve">The leviable entity’s </w:t>
      </w:r>
      <w:r w:rsidRPr="00784539">
        <w:rPr>
          <w:b/>
          <w:i/>
        </w:rPr>
        <w:t>entity metric</w:t>
      </w:r>
      <w:r w:rsidRPr="00784539">
        <w:t xml:space="preserve"> for the sub</w:t>
      </w:r>
      <w:r w:rsidR="00784539">
        <w:noBreakHyphen/>
      </w:r>
      <w:r w:rsidRPr="00784539">
        <w:t xml:space="preserve">sector for the financial year </w:t>
      </w:r>
      <w:r w:rsidR="00962535" w:rsidRPr="00784539">
        <w:t>starting</w:t>
      </w:r>
      <w:r w:rsidRPr="00784539">
        <w:t xml:space="preserve"> on 1</w:t>
      </w:r>
      <w:r w:rsidR="00784539" w:rsidRPr="00784539">
        <w:t> </w:t>
      </w:r>
      <w:r w:rsidRPr="00784539">
        <w:t xml:space="preserve">July 2017 is the number of days in the financial year on which the entity holds a licence of </w:t>
      </w:r>
      <w:r w:rsidR="00313A3E" w:rsidRPr="00784539">
        <w:t xml:space="preserve">a </w:t>
      </w:r>
      <w:r w:rsidRPr="00784539">
        <w:t xml:space="preserve">kind mentioned in </w:t>
      </w:r>
      <w:r w:rsidR="00784539" w:rsidRPr="00784539">
        <w:t>subsection (</w:t>
      </w:r>
      <w:r w:rsidRPr="00784539">
        <w:t>1).</w:t>
      </w:r>
    </w:p>
    <w:p w:rsidR="00B918AC" w:rsidRPr="00784539" w:rsidRDefault="00B918AC" w:rsidP="00B918AC">
      <w:pPr>
        <w:pStyle w:val="SubsectionHead"/>
      </w:pPr>
      <w:r w:rsidRPr="00784539">
        <w:t xml:space="preserve">Levy component—financial year </w:t>
      </w:r>
      <w:r w:rsidR="000D4379" w:rsidRPr="00784539">
        <w:t>starting</w:t>
      </w:r>
      <w:r w:rsidRPr="00784539">
        <w:t xml:space="preserve"> on or after 1</w:t>
      </w:r>
      <w:r w:rsidR="00784539" w:rsidRPr="00784539">
        <w:t> </w:t>
      </w:r>
      <w:r w:rsidRPr="00784539">
        <w:t>July 2018</w:t>
      </w:r>
    </w:p>
    <w:p w:rsidR="00A36634" w:rsidRPr="00784539" w:rsidRDefault="00B918AC" w:rsidP="00A36634">
      <w:pPr>
        <w:pStyle w:val="subsection"/>
      </w:pPr>
      <w:r w:rsidRPr="00784539">
        <w:tab/>
      </w:r>
      <w:r w:rsidR="00A36634" w:rsidRPr="00784539">
        <w:t>(</w:t>
      </w:r>
      <w:r w:rsidRPr="00784539">
        <w:t>4</w:t>
      </w:r>
      <w:r w:rsidR="00A36634" w:rsidRPr="00784539">
        <w:t>)</w:t>
      </w:r>
      <w:r w:rsidR="00A36634" w:rsidRPr="00784539">
        <w:tab/>
        <w:t>The amount of a leviable entity’s levy component in respect of the sub</w:t>
      </w:r>
      <w:r w:rsidR="00784539">
        <w:noBreakHyphen/>
      </w:r>
      <w:r w:rsidR="00A36634" w:rsidRPr="00784539">
        <w:t xml:space="preserve">sector for </w:t>
      </w:r>
      <w:r w:rsidR="009F31F2" w:rsidRPr="00784539">
        <w:t>a</w:t>
      </w:r>
      <w:r w:rsidRPr="00784539">
        <w:t xml:space="preserve"> financial year </w:t>
      </w:r>
      <w:r w:rsidR="009F31F2" w:rsidRPr="00784539">
        <w:t>starting</w:t>
      </w:r>
      <w:r w:rsidRPr="00784539">
        <w:t xml:space="preserve"> on</w:t>
      </w:r>
      <w:r w:rsidR="00E45551" w:rsidRPr="00784539">
        <w:t xml:space="preserve"> or after</w:t>
      </w:r>
      <w:r w:rsidRPr="00784539">
        <w:t xml:space="preserve"> 1</w:t>
      </w:r>
      <w:r w:rsidR="00784539" w:rsidRPr="00784539">
        <w:t> </w:t>
      </w:r>
      <w:r w:rsidRPr="00784539">
        <w:t xml:space="preserve">July </w:t>
      </w:r>
      <w:r w:rsidR="00A36634" w:rsidRPr="00784539">
        <w:t>2018</w:t>
      </w:r>
      <w:r w:rsidR="00E45551" w:rsidRPr="00784539">
        <w:t xml:space="preserve"> </w:t>
      </w:r>
      <w:r w:rsidR="009F31F2" w:rsidRPr="00784539">
        <w:t xml:space="preserve">is </w:t>
      </w:r>
      <w:r w:rsidR="00A36634" w:rsidRPr="00784539">
        <w:t>the sum of:</w:t>
      </w:r>
    </w:p>
    <w:p w:rsidR="00A36634" w:rsidRPr="00784539" w:rsidRDefault="00A36634" w:rsidP="00A36634">
      <w:pPr>
        <w:pStyle w:val="paragraph"/>
      </w:pPr>
      <w:r w:rsidRPr="00784539">
        <w:tab/>
        <w:t>(a)</w:t>
      </w:r>
      <w:r w:rsidRPr="00784539">
        <w:tab/>
        <w:t>the minimum levy component for the sub</w:t>
      </w:r>
      <w:r w:rsidR="00784539">
        <w:noBreakHyphen/>
      </w:r>
      <w:r w:rsidRPr="00784539">
        <w:t>sector; and</w:t>
      </w:r>
    </w:p>
    <w:p w:rsidR="00A36634" w:rsidRPr="00784539" w:rsidRDefault="00A36634" w:rsidP="00A36634">
      <w:pPr>
        <w:pStyle w:val="paragraph"/>
      </w:pPr>
      <w:r w:rsidRPr="00784539">
        <w:tab/>
        <w:t>(b)</w:t>
      </w:r>
      <w:r w:rsidRPr="00784539">
        <w:tab/>
        <w:t>the graduated levy component for the entity for the sub</w:t>
      </w:r>
      <w:r w:rsidR="00784539">
        <w:noBreakHyphen/>
      </w:r>
      <w:r w:rsidRPr="00784539">
        <w:t>sector.</w:t>
      </w:r>
    </w:p>
    <w:p w:rsidR="00A36634" w:rsidRPr="00784539" w:rsidRDefault="00A36634" w:rsidP="00A36634">
      <w:pPr>
        <w:pStyle w:val="notetext"/>
      </w:pPr>
      <w:r w:rsidRPr="00784539">
        <w:t>Note:</w:t>
      </w:r>
      <w:r w:rsidRPr="00784539">
        <w:tab/>
        <w:t>For the graduated levy component, see section</w:t>
      </w:r>
      <w:r w:rsidR="00784539" w:rsidRPr="00784539">
        <w:t> </w:t>
      </w:r>
      <w:r w:rsidR="00085808" w:rsidRPr="00784539">
        <w:t>10</w:t>
      </w:r>
      <w:r w:rsidRPr="00784539">
        <w:t>.</w:t>
      </w:r>
    </w:p>
    <w:p w:rsidR="00A36634" w:rsidRPr="00784539" w:rsidRDefault="00A36634" w:rsidP="00A36634">
      <w:pPr>
        <w:pStyle w:val="SubsectionHead"/>
      </w:pPr>
      <w:r w:rsidRPr="00784539">
        <w:t>Entity metric</w:t>
      </w:r>
      <w:r w:rsidR="0053720B" w:rsidRPr="00784539">
        <w:t xml:space="preserve">—financial year </w:t>
      </w:r>
      <w:r w:rsidR="000D4379" w:rsidRPr="00784539">
        <w:t>starting</w:t>
      </w:r>
      <w:r w:rsidR="00B918AC" w:rsidRPr="00784539">
        <w:t xml:space="preserve"> on or after 1</w:t>
      </w:r>
      <w:r w:rsidR="00784539" w:rsidRPr="00784539">
        <w:t> </w:t>
      </w:r>
      <w:r w:rsidR="00B918AC" w:rsidRPr="00784539">
        <w:t>July 2018</w:t>
      </w:r>
    </w:p>
    <w:p w:rsidR="00A36634" w:rsidRPr="00784539" w:rsidRDefault="00BD6E58" w:rsidP="00A36634">
      <w:pPr>
        <w:pStyle w:val="subsection"/>
      </w:pPr>
      <w:r w:rsidRPr="00784539">
        <w:tab/>
      </w:r>
      <w:r w:rsidR="00A36634" w:rsidRPr="00784539">
        <w:t>(</w:t>
      </w:r>
      <w:r w:rsidRPr="00784539">
        <w:t>5</w:t>
      </w:r>
      <w:r w:rsidR="00A36634" w:rsidRPr="00784539">
        <w:t>)</w:t>
      </w:r>
      <w:r w:rsidR="00A36634" w:rsidRPr="00784539">
        <w:tab/>
        <w:t xml:space="preserve">The leviable entity’s </w:t>
      </w:r>
      <w:r w:rsidR="00A36634" w:rsidRPr="00784539">
        <w:rPr>
          <w:b/>
          <w:i/>
        </w:rPr>
        <w:t>entity metric</w:t>
      </w:r>
      <w:r w:rsidR="00A36634" w:rsidRPr="00784539">
        <w:t xml:space="preserve"> for the sub</w:t>
      </w:r>
      <w:r w:rsidR="00784539">
        <w:noBreakHyphen/>
      </w:r>
      <w:r w:rsidR="00A36634" w:rsidRPr="00784539">
        <w:t xml:space="preserve">sector for </w:t>
      </w:r>
      <w:r w:rsidR="00B918AC" w:rsidRPr="00784539">
        <w:t xml:space="preserve">a financial year </w:t>
      </w:r>
      <w:r w:rsidR="000D4379" w:rsidRPr="00784539">
        <w:t>starting</w:t>
      </w:r>
      <w:r w:rsidR="00B918AC" w:rsidRPr="00784539">
        <w:t xml:space="preserve"> on or after 1</w:t>
      </w:r>
      <w:r w:rsidR="00784539" w:rsidRPr="00784539">
        <w:t> </w:t>
      </w:r>
      <w:r w:rsidR="00B918AC" w:rsidRPr="00784539">
        <w:t xml:space="preserve">July 2018 </w:t>
      </w:r>
      <w:r w:rsidR="00A36634" w:rsidRPr="00784539">
        <w:t xml:space="preserve">is the total </w:t>
      </w:r>
      <w:r w:rsidR="005030E6" w:rsidRPr="00784539">
        <w:t xml:space="preserve">value </w:t>
      </w:r>
      <w:r w:rsidR="00A36634" w:rsidRPr="00784539">
        <w:t xml:space="preserve">of assets at the end of the financial year in </w:t>
      </w:r>
      <w:r w:rsidRPr="00784539">
        <w:t xml:space="preserve">all </w:t>
      </w:r>
      <w:r w:rsidR="00A36634" w:rsidRPr="00784539">
        <w:t xml:space="preserve">unregistered managed investment schemes issued </w:t>
      </w:r>
      <w:r w:rsidRPr="00784539">
        <w:t>by the entity</w:t>
      </w:r>
      <w:r w:rsidR="00A536D1" w:rsidRPr="00784539">
        <w:t>,</w:t>
      </w:r>
      <w:r w:rsidRPr="00784539">
        <w:t xml:space="preserve"> disregarding any assets that are an interest in </w:t>
      </w:r>
      <w:r w:rsidR="00A36634" w:rsidRPr="00784539">
        <w:t>another unregistered managed investment scheme issued by the entity.</w:t>
      </w:r>
    </w:p>
    <w:p w:rsidR="006C4BF9" w:rsidRPr="00784539" w:rsidRDefault="00BD6E58" w:rsidP="006C4BF9">
      <w:pPr>
        <w:pStyle w:val="subsection"/>
      </w:pPr>
      <w:r w:rsidRPr="00784539">
        <w:tab/>
        <w:t>(6</w:t>
      </w:r>
      <w:r w:rsidR="00C060A9" w:rsidRPr="00784539">
        <w:t>)</w:t>
      </w:r>
      <w:r w:rsidR="006C4BF9" w:rsidRPr="00784539">
        <w:tab/>
        <w:t>However:</w:t>
      </w:r>
    </w:p>
    <w:p w:rsidR="006C4BF9" w:rsidRPr="00784539" w:rsidRDefault="006C4BF9" w:rsidP="006C4BF9">
      <w:pPr>
        <w:pStyle w:val="paragraph"/>
      </w:pPr>
      <w:r w:rsidRPr="00784539">
        <w:tab/>
        <w:t>(a)</w:t>
      </w:r>
      <w:r w:rsidRPr="00784539">
        <w:tab/>
        <w:t xml:space="preserve">there is a </w:t>
      </w:r>
      <w:r w:rsidR="00B43668" w:rsidRPr="00784539">
        <w:t>pro</w:t>
      </w:r>
      <w:r w:rsidR="00784539">
        <w:noBreakHyphen/>
      </w:r>
      <w:r w:rsidR="00B43668" w:rsidRPr="00784539">
        <w:t>rata</w:t>
      </w:r>
      <w:r w:rsidRPr="00784539">
        <w:t xml:space="preserve"> of the entity metric</w:t>
      </w:r>
      <w:r w:rsidR="00862135" w:rsidRPr="00784539">
        <w:t xml:space="preserve"> </w:t>
      </w:r>
      <w:r w:rsidR="00E45551" w:rsidRPr="00784539">
        <w:t>for the sub</w:t>
      </w:r>
      <w:r w:rsidR="00784539">
        <w:noBreakHyphen/>
      </w:r>
      <w:r w:rsidR="00E45551" w:rsidRPr="00784539">
        <w:t xml:space="preserve">sector for a financial year </w:t>
      </w:r>
      <w:r w:rsidR="00C06C72" w:rsidRPr="00784539">
        <w:t xml:space="preserve">starting </w:t>
      </w:r>
      <w:r w:rsidR="00E45551" w:rsidRPr="00784539">
        <w:t>on or after 1</w:t>
      </w:r>
      <w:r w:rsidR="00784539" w:rsidRPr="00784539">
        <w:t> </w:t>
      </w:r>
      <w:r w:rsidR="00E45551" w:rsidRPr="00784539">
        <w:t>July 2018</w:t>
      </w:r>
      <w:r w:rsidRPr="00784539">
        <w:t>; and</w:t>
      </w:r>
    </w:p>
    <w:p w:rsidR="006C4BF9" w:rsidRPr="00784539" w:rsidRDefault="006C4BF9" w:rsidP="006C4BF9">
      <w:pPr>
        <w:pStyle w:val="paragraph"/>
      </w:pPr>
      <w:r w:rsidRPr="00784539">
        <w:tab/>
        <w:t>(b)</w:t>
      </w:r>
      <w:r w:rsidRPr="00784539">
        <w:tab/>
        <w:t>for the purposes of section</w:t>
      </w:r>
      <w:r w:rsidR="00784539" w:rsidRPr="00784539">
        <w:t> </w:t>
      </w:r>
      <w:r w:rsidR="00085808" w:rsidRPr="00784539">
        <w:t>11</w:t>
      </w:r>
      <w:r w:rsidRPr="00784539">
        <w:t xml:space="preserve">, the number of counted days is the number of days in the financial year on which the </w:t>
      </w:r>
      <w:r w:rsidR="00A06F69" w:rsidRPr="00784539">
        <w:t xml:space="preserve">leviable </w:t>
      </w:r>
      <w:r w:rsidRPr="00784539">
        <w:t>entity h</w:t>
      </w:r>
      <w:r w:rsidR="00782DE6" w:rsidRPr="00784539">
        <w:t>olds</w:t>
      </w:r>
      <w:r w:rsidRPr="00784539">
        <w:t xml:space="preserve"> </w:t>
      </w:r>
      <w:r w:rsidR="00F436B2" w:rsidRPr="00784539">
        <w:t xml:space="preserve">a </w:t>
      </w:r>
      <w:r w:rsidRPr="00784539">
        <w:t xml:space="preserve">licence </w:t>
      </w:r>
      <w:r w:rsidR="00F436B2" w:rsidRPr="00784539">
        <w:t xml:space="preserve">of the kind </w:t>
      </w:r>
      <w:r w:rsidRPr="00784539">
        <w:t xml:space="preserve">mentioned in </w:t>
      </w:r>
      <w:r w:rsidR="00784539" w:rsidRPr="00784539">
        <w:t>subsection (</w:t>
      </w:r>
      <w:r w:rsidRPr="00784539">
        <w:t>1).</w:t>
      </w:r>
    </w:p>
    <w:p w:rsidR="00A36634" w:rsidRPr="00784539" w:rsidRDefault="00A36634" w:rsidP="00A36634">
      <w:pPr>
        <w:pStyle w:val="subsection"/>
      </w:pPr>
      <w:r w:rsidRPr="00784539">
        <w:tab/>
        <w:t>(</w:t>
      </w:r>
      <w:r w:rsidR="00194138" w:rsidRPr="00784539">
        <w:t>7</w:t>
      </w:r>
      <w:r w:rsidRPr="00784539">
        <w:t>)</w:t>
      </w:r>
      <w:r w:rsidRPr="00784539">
        <w:tab/>
        <w:t xml:space="preserve">The </w:t>
      </w:r>
      <w:r w:rsidRPr="00784539">
        <w:rPr>
          <w:b/>
          <w:i/>
        </w:rPr>
        <w:t>minimum levy component</w:t>
      </w:r>
      <w:r w:rsidRPr="00784539">
        <w:t xml:space="preserve"> for the sub</w:t>
      </w:r>
      <w:r w:rsidR="00784539">
        <w:noBreakHyphen/>
      </w:r>
      <w:r w:rsidRPr="00784539">
        <w:t>sector is $1,000.</w:t>
      </w:r>
    </w:p>
    <w:p w:rsidR="00A36634" w:rsidRPr="00784539" w:rsidRDefault="00A36634" w:rsidP="00A36634">
      <w:pPr>
        <w:pStyle w:val="ActHead3"/>
        <w:pageBreakBefore/>
      </w:pPr>
      <w:bookmarkStart w:id="63" w:name="_Toc485110091"/>
      <w:r w:rsidRPr="00784539">
        <w:rPr>
          <w:rStyle w:val="CharDivNo"/>
        </w:rPr>
        <w:t>Division</w:t>
      </w:r>
      <w:r w:rsidR="00784539" w:rsidRPr="00784539">
        <w:rPr>
          <w:rStyle w:val="CharDivNo"/>
        </w:rPr>
        <w:t> </w:t>
      </w:r>
      <w:r w:rsidRPr="00784539">
        <w:rPr>
          <w:rStyle w:val="CharDivNo"/>
        </w:rPr>
        <w:t>4</w:t>
      </w:r>
      <w:r w:rsidRPr="00784539">
        <w:t>—</w:t>
      </w:r>
      <w:r w:rsidRPr="00784539">
        <w:rPr>
          <w:rStyle w:val="CharDivText"/>
        </w:rPr>
        <w:t>Financial advice sector</w:t>
      </w:r>
      <w:bookmarkEnd w:id="63"/>
    </w:p>
    <w:p w:rsidR="00A36634" w:rsidRPr="00784539" w:rsidRDefault="00A36634" w:rsidP="00A36634">
      <w:pPr>
        <w:pStyle w:val="ActHead4"/>
      </w:pPr>
      <w:bookmarkStart w:id="64" w:name="_Toc485110092"/>
      <w:r w:rsidRPr="00784539">
        <w:rPr>
          <w:rStyle w:val="CharSubdNo"/>
        </w:rPr>
        <w:t>Subdivision</w:t>
      </w:r>
      <w:r w:rsidR="00784539" w:rsidRPr="00784539">
        <w:rPr>
          <w:rStyle w:val="CharSubdNo"/>
        </w:rPr>
        <w:t> </w:t>
      </w:r>
      <w:r w:rsidRPr="00784539">
        <w:rPr>
          <w:rStyle w:val="CharSubdNo"/>
        </w:rPr>
        <w:t>4.1</w:t>
      </w:r>
      <w:r w:rsidRPr="00784539">
        <w:t>—</w:t>
      </w:r>
      <w:r w:rsidRPr="00784539">
        <w:rPr>
          <w:rStyle w:val="CharSubdText"/>
        </w:rPr>
        <w:t>General</w:t>
      </w:r>
      <w:bookmarkEnd w:id="64"/>
    </w:p>
    <w:p w:rsidR="00A36634" w:rsidRPr="00784539" w:rsidRDefault="00085808" w:rsidP="00A36634">
      <w:pPr>
        <w:pStyle w:val="ActHead5"/>
      </w:pPr>
      <w:bookmarkStart w:id="65" w:name="_Toc485110093"/>
      <w:r w:rsidRPr="00784539">
        <w:rPr>
          <w:rStyle w:val="CharSectno"/>
        </w:rPr>
        <w:t>38</w:t>
      </w:r>
      <w:r w:rsidR="00A36634" w:rsidRPr="00784539">
        <w:t xml:space="preserve">  Financial advice sector</w:t>
      </w:r>
      <w:bookmarkEnd w:id="65"/>
    </w:p>
    <w:p w:rsidR="00A36634" w:rsidRPr="00784539" w:rsidRDefault="00A36634" w:rsidP="00A36634">
      <w:pPr>
        <w:pStyle w:val="subsection"/>
      </w:pPr>
      <w:r w:rsidRPr="00784539">
        <w:tab/>
        <w:t>(1)</w:t>
      </w:r>
      <w:r w:rsidRPr="00784539">
        <w:tab/>
        <w:t>Each section in Subdivisions</w:t>
      </w:r>
      <w:r w:rsidR="00784539" w:rsidRPr="00784539">
        <w:t> </w:t>
      </w:r>
      <w:r w:rsidRPr="00784539">
        <w:t>4.2 and 4.3 specifies criteria for identifying one or more leviable entities that form part of the sub</w:t>
      </w:r>
      <w:r w:rsidR="00784539">
        <w:noBreakHyphen/>
      </w:r>
      <w:r w:rsidRPr="00784539">
        <w:t>sector mentioned in the section.</w:t>
      </w:r>
    </w:p>
    <w:p w:rsidR="00A36634" w:rsidRPr="00784539" w:rsidRDefault="00A36634" w:rsidP="00A36634">
      <w:pPr>
        <w:pStyle w:val="subsection"/>
      </w:pPr>
      <w:r w:rsidRPr="00784539">
        <w:tab/>
        <w:t>(2)</w:t>
      </w:r>
      <w:r w:rsidRPr="00784539">
        <w:tab/>
        <w:t>The sub</w:t>
      </w:r>
      <w:r w:rsidR="00784539">
        <w:noBreakHyphen/>
      </w:r>
      <w:r w:rsidRPr="00784539">
        <w:t xml:space="preserve">sectors for which criteria are specified in this Division are in the </w:t>
      </w:r>
      <w:r w:rsidRPr="00784539">
        <w:rPr>
          <w:b/>
          <w:i/>
        </w:rPr>
        <w:t>financial advice sector</w:t>
      </w:r>
      <w:r w:rsidRPr="00784539">
        <w:t>.</w:t>
      </w:r>
    </w:p>
    <w:p w:rsidR="0063168A" w:rsidRPr="00784539" w:rsidRDefault="0063168A" w:rsidP="00A36634">
      <w:pPr>
        <w:pStyle w:val="subsection"/>
      </w:pPr>
      <w:r w:rsidRPr="00784539">
        <w:tab/>
        <w:t>(3)</w:t>
      </w:r>
      <w:r w:rsidRPr="00784539">
        <w:tab/>
        <w:t>A leviable entity may form part of 2 or more sub</w:t>
      </w:r>
      <w:r w:rsidR="00784539">
        <w:noBreakHyphen/>
      </w:r>
      <w:r w:rsidRPr="00784539">
        <w:t>sectors in the financial advice sector.</w:t>
      </w:r>
    </w:p>
    <w:p w:rsidR="00A36634" w:rsidRPr="00784539" w:rsidRDefault="00085808" w:rsidP="00A36634">
      <w:pPr>
        <w:pStyle w:val="ActHead5"/>
      </w:pPr>
      <w:bookmarkStart w:id="66" w:name="_Toc485110094"/>
      <w:r w:rsidRPr="00784539">
        <w:rPr>
          <w:rStyle w:val="CharSectno"/>
        </w:rPr>
        <w:t>39</w:t>
      </w:r>
      <w:r w:rsidR="00A36634" w:rsidRPr="00784539">
        <w:t xml:space="preserve">  </w:t>
      </w:r>
      <w:r w:rsidR="00A536D1" w:rsidRPr="00784539">
        <w:t xml:space="preserve">Basic </w:t>
      </w:r>
      <w:r w:rsidR="00A36634" w:rsidRPr="00784539">
        <w:t>levy component applies to sub</w:t>
      </w:r>
      <w:r w:rsidR="00784539">
        <w:noBreakHyphen/>
      </w:r>
      <w:r w:rsidR="00A36634" w:rsidRPr="00784539">
        <w:t>sectors in Subdivision</w:t>
      </w:r>
      <w:r w:rsidR="00784539" w:rsidRPr="00784539">
        <w:t> </w:t>
      </w:r>
      <w:r w:rsidR="00A36634" w:rsidRPr="00784539">
        <w:t>4.2</w:t>
      </w:r>
      <w:bookmarkEnd w:id="66"/>
    </w:p>
    <w:p w:rsidR="00A36634" w:rsidRPr="00784539" w:rsidRDefault="00A36634" w:rsidP="00A36634">
      <w:pPr>
        <w:pStyle w:val="subsection"/>
      </w:pPr>
      <w:r w:rsidRPr="00784539">
        <w:tab/>
      </w:r>
      <w:r w:rsidRPr="00784539">
        <w:tab/>
        <w:t xml:space="preserve">The </w:t>
      </w:r>
      <w:r w:rsidR="00A536D1" w:rsidRPr="00784539">
        <w:t>basic</w:t>
      </w:r>
      <w:r w:rsidRPr="00784539">
        <w:t xml:space="preserve"> levy component applies to each sub</w:t>
      </w:r>
      <w:r w:rsidR="00784539">
        <w:noBreakHyphen/>
      </w:r>
      <w:r w:rsidRPr="00784539">
        <w:t>sector specified in a section of Subdivision</w:t>
      </w:r>
      <w:r w:rsidR="00784539" w:rsidRPr="00784539">
        <w:t> </w:t>
      </w:r>
      <w:r w:rsidRPr="00784539">
        <w:t>4.2.</w:t>
      </w:r>
    </w:p>
    <w:p w:rsidR="00A36634" w:rsidRPr="00784539" w:rsidRDefault="00A36634" w:rsidP="00A36634">
      <w:pPr>
        <w:pStyle w:val="notetext"/>
      </w:pPr>
      <w:r w:rsidRPr="00784539">
        <w:t>Note:</w:t>
      </w:r>
      <w:r w:rsidRPr="00784539">
        <w:tab/>
        <w:t xml:space="preserve">For the </w:t>
      </w:r>
      <w:r w:rsidR="002A68DE" w:rsidRPr="00784539">
        <w:t xml:space="preserve">basic </w:t>
      </w:r>
      <w:r w:rsidRPr="00784539">
        <w:t>levy component, see section</w:t>
      </w:r>
      <w:r w:rsidR="00784539" w:rsidRPr="00784539">
        <w:t> </w:t>
      </w:r>
      <w:r w:rsidR="00085808" w:rsidRPr="00784539">
        <w:t>9</w:t>
      </w:r>
      <w:r w:rsidRPr="00784539">
        <w:t>.</w:t>
      </w:r>
    </w:p>
    <w:p w:rsidR="00A36634" w:rsidRPr="00784539" w:rsidRDefault="00A36634" w:rsidP="00A36634">
      <w:pPr>
        <w:pStyle w:val="ActHead4"/>
      </w:pPr>
      <w:bookmarkStart w:id="67" w:name="_Toc485110095"/>
      <w:r w:rsidRPr="00784539">
        <w:rPr>
          <w:rStyle w:val="CharSubdNo"/>
        </w:rPr>
        <w:t>Subdivision</w:t>
      </w:r>
      <w:r w:rsidR="00784539" w:rsidRPr="00784539">
        <w:rPr>
          <w:rStyle w:val="CharSubdNo"/>
        </w:rPr>
        <w:t> </w:t>
      </w:r>
      <w:r w:rsidRPr="00784539">
        <w:rPr>
          <w:rStyle w:val="CharSubdNo"/>
        </w:rPr>
        <w:t>4.2</w:t>
      </w:r>
      <w:r w:rsidRPr="00784539">
        <w:t>—</w:t>
      </w:r>
      <w:r w:rsidRPr="00784539">
        <w:rPr>
          <w:rStyle w:val="CharSubdText"/>
        </w:rPr>
        <w:t>Sub</w:t>
      </w:r>
      <w:r w:rsidR="00784539" w:rsidRPr="00784539">
        <w:rPr>
          <w:rStyle w:val="CharSubdText"/>
        </w:rPr>
        <w:noBreakHyphen/>
      </w:r>
      <w:r w:rsidRPr="00784539">
        <w:rPr>
          <w:rStyle w:val="CharSubdText"/>
        </w:rPr>
        <w:t xml:space="preserve">sectors to which </w:t>
      </w:r>
      <w:r w:rsidR="002A68DE" w:rsidRPr="00784539">
        <w:rPr>
          <w:rStyle w:val="CharSubdText"/>
        </w:rPr>
        <w:t>basic levy component</w:t>
      </w:r>
      <w:r w:rsidRPr="00784539">
        <w:rPr>
          <w:rStyle w:val="CharSubdText"/>
        </w:rPr>
        <w:t xml:space="preserve"> applies</w:t>
      </w:r>
      <w:bookmarkEnd w:id="67"/>
    </w:p>
    <w:p w:rsidR="00A36634" w:rsidRPr="00784539" w:rsidRDefault="00085808" w:rsidP="00A36634">
      <w:pPr>
        <w:pStyle w:val="ActHead5"/>
      </w:pPr>
      <w:bookmarkStart w:id="68" w:name="_Toc485110096"/>
      <w:r w:rsidRPr="00784539">
        <w:rPr>
          <w:rStyle w:val="CharSectno"/>
        </w:rPr>
        <w:t>40</w:t>
      </w:r>
      <w:r w:rsidR="00A36634" w:rsidRPr="00784539">
        <w:t xml:space="preserve">  Licensees that provide</w:t>
      </w:r>
      <w:r w:rsidR="00243BF4" w:rsidRPr="00784539">
        <w:t xml:space="preserve"> only</w:t>
      </w:r>
      <w:r w:rsidR="00A36634" w:rsidRPr="00784539">
        <w:t xml:space="preserve"> general advice to retail or wholesale clients</w:t>
      </w:r>
      <w:bookmarkEnd w:id="68"/>
    </w:p>
    <w:p w:rsidR="00A36634" w:rsidRPr="00784539" w:rsidRDefault="00A36634" w:rsidP="00A36634">
      <w:pPr>
        <w:pStyle w:val="subsection"/>
      </w:pPr>
      <w:r w:rsidRPr="00784539">
        <w:tab/>
      </w:r>
      <w:r w:rsidRPr="00784539">
        <w:tab/>
        <w:t xml:space="preserve">A leviable entity forms part of the </w:t>
      </w:r>
      <w:r w:rsidRPr="00784539">
        <w:rPr>
          <w:b/>
          <w:i/>
        </w:rPr>
        <w:t xml:space="preserve">licensees that provide </w:t>
      </w:r>
      <w:r w:rsidR="00243BF4" w:rsidRPr="00784539">
        <w:rPr>
          <w:b/>
          <w:i/>
        </w:rPr>
        <w:t xml:space="preserve">only </w:t>
      </w:r>
      <w:r w:rsidRPr="00784539">
        <w:rPr>
          <w:b/>
          <w:i/>
        </w:rPr>
        <w:t>general advice to retail or wholesale clients</w:t>
      </w:r>
      <w:r w:rsidRPr="00784539">
        <w:t xml:space="preserve"> sub</w:t>
      </w:r>
      <w:r w:rsidR="00784539">
        <w:noBreakHyphen/>
      </w:r>
      <w:r w:rsidRPr="00784539">
        <w:t>sector in a financial year if:</w:t>
      </w:r>
    </w:p>
    <w:p w:rsidR="00A36634" w:rsidRPr="00784539" w:rsidRDefault="00A36634" w:rsidP="00A36634">
      <w:pPr>
        <w:pStyle w:val="paragraph"/>
      </w:pPr>
      <w:r w:rsidRPr="00784539">
        <w:rPr>
          <w:i/>
        </w:rPr>
        <w:tab/>
      </w:r>
      <w:r w:rsidRPr="00784539">
        <w:t>(a)</w:t>
      </w:r>
      <w:r w:rsidRPr="00784539">
        <w:tab/>
        <w:t xml:space="preserve">the entity holds, </w:t>
      </w:r>
      <w:r w:rsidR="002F043A" w:rsidRPr="00784539">
        <w:t>at any time in the financial year</w:t>
      </w:r>
      <w:r w:rsidRPr="00784539">
        <w:t>, an Australian financial services licence; and</w:t>
      </w:r>
    </w:p>
    <w:p w:rsidR="00A36634" w:rsidRPr="00784539" w:rsidRDefault="00B86327" w:rsidP="00A36634">
      <w:pPr>
        <w:pStyle w:val="paragraph"/>
        <w:rPr>
          <w:i/>
        </w:rPr>
      </w:pPr>
      <w:r w:rsidRPr="00784539">
        <w:tab/>
      </w:r>
      <w:r w:rsidR="00A36634" w:rsidRPr="00784539">
        <w:t>(b)</w:t>
      </w:r>
      <w:r w:rsidR="00A36634" w:rsidRPr="00784539">
        <w:tab/>
        <w:t xml:space="preserve">the licence authorises the holder to provide financial product advice that is </w:t>
      </w:r>
      <w:r w:rsidR="00C55242" w:rsidRPr="00784539">
        <w:t xml:space="preserve">only </w:t>
      </w:r>
      <w:r w:rsidR="00A36634" w:rsidRPr="00784539">
        <w:t>general advice.</w:t>
      </w:r>
    </w:p>
    <w:p w:rsidR="00A36634" w:rsidRPr="00784539" w:rsidRDefault="00085808" w:rsidP="00A36634">
      <w:pPr>
        <w:pStyle w:val="ActHead5"/>
      </w:pPr>
      <w:bookmarkStart w:id="69" w:name="_Toc485110097"/>
      <w:r w:rsidRPr="00784539">
        <w:rPr>
          <w:rStyle w:val="CharSectno"/>
        </w:rPr>
        <w:t>41</w:t>
      </w:r>
      <w:r w:rsidR="00A36634" w:rsidRPr="00784539">
        <w:t xml:space="preserve">  Licensees that provide personal advice to </w:t>
      </w:r>
      <w:r w:rsidR="00AC176E" w:rsidRPr="00784539">
        <w:t xml:space="preserve">only </w:t>
      </w:r>
      <w:r w:rsidR="00A36634" w:rsidRPr="00784539">
        <w:t>wholesale clients</w:t>
      </w:r>
      <w:bookmarkEnd w:id="69"/>
    </w:p>
    <w:p w:rsidR="00A36634" w:rsidRPr="00784539" w:rsidRDefault="00A36634" w:rsidP="00CC3761">
      <w:pPr>
        <w:pStyle w:val="subsection"/>
      </w:pPr>
      <w:r w:rsidRPr="00784539">
        <w:tab/>
      </w:r>
      <w:r w:rsidRPr="00784539">
        <w:tab/>
        <w:t xml:space="preserve">A leviable entity forms part of the </w:t>
      </w:r>
      <w:r w:rsidRPr="00784539">
        <w:rPr>
          <w:b/>
          <w:i/>
        </w:rPr>
        <w:t xml:space="preserve">licensees that provide personal advice to </w:t>
      </w:r>
      <w:r w:rsidR="00AC176E" w:rsidRPr="00784539">
        <w:rPr>
          <w:b/>
          <w:i/>
        </w:rPr>
        <w:t xml:space="preserve">only </w:t>
      </w:r>
      <w:r w:rsidRPr="00784539">
        <w:rPr>
          <w:b/>
          <w:i/>
        </w:rPr>
        <w:t>wholesale clients</w:t>
      </w:r>
      <w:r w:rsidRPr="00784539">
        <w:t xml:space="preserve"> sub</w:t>
      </w:r>
      <w:r w:rsidR="00784539">
        <w:noBreakHyphen/>
      </w:r>
      <w:r w:rsidRPr="00784539">
        <w:t>sector in a financial year if</w:t>
      </w:r>
      <w:r w:rsidR="00CC3761" w:rsidRPr="00784539">
        <w:t xml:space="preserve"> </w:t>
      </w:r>
      <w:r w:rsidRPr="00784539">
        <w:t xml:space="preserve">the entity holds, </w:t>
      </w:r>
      <w:r w:rsidR="002F043A" w:rsidRPr="00784539">
        <w:t>at any time in the financial year</w:t>
      </w:r>
      <w:r w:rsidRPr="00784539">
        <w:t xml:space="preserve">, an Australian financial services licence that authorises the holder to provide financial product advice to </w:t>
      </w:r>
      <w:r w:rsidR="00AC176E" w:rsidRPr="00784539">
        <w:t xml:space="preserve">only </w:t>
      </w:r>
      <w:r w:rsidRPr="00784539">
        <w:t>wholesale clients.</w:t>
      </w:r>
    </w:p>
    <w:p w:rsidR="00A36634" w:rsidRPr="00784539" w:rsidRDefault="00085808" w:rsidP="00A36634">
      <w:pPr>
        <w:pStyle w:val="ActHead5"/>
      </w:pPr>
      <w:bookmarkStart w:id="70" w:name="_Toc485110098"/>
      <w:r w:rsidRPr="00784539">
        <w:rPr>
          <w:rStyle w:val="CharSectno"/>
        </w:rPr>
        <w:t>42</w:t>
      </w:r>
      <w:r w:rsidR="00A36634" w:rsidRPr="00784539">
        <w:t xml:space="preserve">  Licensees that provide personal advice to retail clients on </w:t>
      </w:r>
      <w:r w:rsidR="00243BF4" w:rsidRPr="00784539">
        <w:t xml:space="preserve">only </w:t>
      </w:r>
      <w:r w:rsidR="00A36634" w:rsidRPr="00784539">
        <w:t>products that are not relevant financial products</w:t>
      </w:r>
      <w:bookmarkEnd w:id="70"/>
    </w:p>
    <w:p w:rsidR="00A36634" w:rsidRPr="00784539" w:rsidRDefault="00A36634" w:rsidP="00A36634">
      <w:pPr>
        <w:pStyle w:val="subsection"/>
      </w:pPr>
      <w:r w:rsidRPr="00784539">
        <w:tab/>
      </w:r>
      <w:r w:rsidR="00A219ED" w:rsidRPr="00784539">
        <w:t>(1)</w:t>
      </w:r>
      <w:r w:rsidRPr="00784539">
        <w:tab/>
        <w:t xml:space="preserve">A leviable entity forms part of the </w:t>
      </w:r>
      <w:r w:rsidRPr="00784539">
        <w:rPr>
          <w:b/>
          <w:i/>
        </w:rPr>
        <w:t>licensees that provide personal advice to retail clients on</w:t>
      </w:r>
      <w:r w:rsidR="00243BF4" w:rsidRPr="00784539">
        <w:rPr>
          <w:b/>
          <w:i/>
        </w:rPr>
        <w:t xml:space="preserve"> only</w:t>
      </w:r>
      <w:r w:rsidRPr="00784539">
        <w:rPr>
          <w:b/>
          <w:i/>
        </w:rPr>
        <w:t xml:space="preserve"> products that are not relevant financial products</w:t>
      </w:r>
      <w:r w:rsidRPr="00784539">
        <w:t xml:space="preserve"> sub</w:t>
      </w:r>
      <w:r w:rsidR="00784539">
        <w:noBreakHyphen/>
      </w:r>
      <w:r w:rsidRPr="00784539">
        <w:t>sector in a financial year if:</w:t>
      </w:r>
    </w:p>
    <w:p w:rsidR="00A36634" w:rsidRPr="00784539" w:rsidRDefault="00A36634" w:rsidP="00A36634">
      <w:pPr>
        <w:pStyle w:val="paragraph"/>
      </w:pPr>
      <w:r w:rsidRPr="00784539">
        <w:tab/>
        <w:t>(a)</w:t>
      </w:r>
      <w:r w:rsidRPr="00784539">
        <w:tab/>
        <w:t xml:space="preserve">the entity holds, </w:t>
      </w:r>
      <w:r w:rsidR="002F043A" w:rsidRPr="00784539">
        <w:t>at any time in the financial year</w:t>
      </w:r>
      <w:r w:rsidRPr="00784539">
        <w:t>, an Australian financial services licence; and</w:t>
      </w:r>
    </w:p>
    <w:p w:rsidR="00A36634" w:rsidRPr="00784539" w:rsidRDefault="00A36634" w:rsidP="00A36634">
      <w:pPr>
        <w:pStyle w:val="paragraph"/>
      </w:pPr>
      <w:r w:rsidRPr="00784539">
        <w:rPr>
          <w:i/>
        </w:rPr>
        <w:tab/>
      </w:r>
      <w:r w:rsidRPr="00784539">
        <w:t>(b)</w:t>
      </w:r>
      <w:r w:rsidRPr="00784539">
        <w:tab/>
        <w:t xml:space="preserve">the licence authorises the holder to provide </w:t>
      </w:r>
      <w:r w:rsidR="00B10C9B" w:rsidRPr="00784539">
        <w:t xml:space="preserve">financial product advice </w:t>
      </w:r>
      <w:r w:rsidRPr="00784539">
        <w:t xml:space="preserve">(including </w:t>
      </w:r>
      <w:r w:rsidR="00404B70" w:rsidRPr="00784539">
        <w:t xml:space="preserve">a </w:t>
      </w:r>
      <w:r w:rsidRPr="00784539">
        <w:t>class of product advice) to retail clients</w:t>
      </w:r>
      <w:r w:rsidR="00B10C9B" w:rsidRPr="00784539">
        <w:t>, o</w:t>
      </w:r>
      <w:r w:rsidR="00A536D1" w:rsidRPr="00784539">
        <w:t>n</w:t>
      </w:r>
      <w:r w:rsidR="00B10C9B" w:rsidRPr="00784539">
        <w:t xml:space="preserve"> </w:t>
      </w:r>
      <w:r w:rsidR="006631F8" w:rsidRPr="00784539">
        <w:t xml:space="preserve">only </w:t>
      </w:r>
      <w:r w:rsidR="003374C4" w:rsidRPr="00784539">
        <w:t xml:space="preserve">one or more of the </w:t>
      </w:r>
      <w:r w:rsidRPr="00784539">
        <w:t>following products:</w:t>
      </w:r>
    </w:p>
    <w:p w:rsidR="00A36634" w:rsidRPr="00784539" w:rsidRDefault="00A36634" w:rsidP="00A36634">
      <w:pPr>
        <w:pStyle w:val="paragraphsub"/>
      </w:pPr>
      <w:r w:rsidRPr="00784539">
        <w:tab/>
        <w:t>(i)</w:t>
      </w:r>
      <w:r w:rsidRPr="00784539">
        <w:tab/>
        <w:t>basic banking products;</w:t>
      </w:r>
    </w:p>
    <w:p w:rsidR="00A36634" w:rsidRPr="00784539" w:rsidRDefault="00A36634" w:rsidP="00A36634">
      <w:pPr>
        <w:pStyle w:val="paragraphsub"/>
      </w:pPr>
      <w:r w:rsidRPr="00784539">
        <w:tab/>
        <w:t>(ii)</w:t>
      </w:r>
      <w:r w:rsidRPr="00784539">
        <w:tab/>
        <w:t>general insurance products;</w:t>
      </w:r>
    </w:p>
    <w:p w:rsidR="003374C4" w:rsidRPr="00784539" w:rsidRDefault="00A36634" w:rsidP="0080255E">
      <w:pPr>
        <w:pStyle w:val="paragraphsub"/>
      </w:pPr>
      <w:r w:rsidRPr="00784539">
        <w:tab/>
        <w:t>(iii)</w:t>
      </w:r>
      <w:r w:rsidRPr="00784539">
        <w:tab/>
        <w:t>consumer credit insurance (within the meaning of section</w:t>
      </w:r>
      <w:r w:rsidR="00784539" w:rsidRPr="00784539">
        <w:t> </w:t>
      </w:r>
      <w:r w:rsidRPr="00784539">
        <w:t xml:space="preserve">910A of the </w:t>
      </w:r>
      <w:r w:rsidRPr="00784539">
        <w:rPr>
          <w:i/>
        </w:rPr>
        <w:t>Corporations Act 2001</w:t>
      </w:r>
      <w:r w:rsidRPr="00784539">
        <w:t>)</w:t>
      </w:r>
      <w:r w:rsidR="003374C4" w:rsidRPr="00784539">
        <w:t>.</w:t>
      </w:r>
    </w:p>
    <w:p w:rsidR="00A219ED" w:rsidRPr="00784539" w:rsidRDefault="00A219ED" w:rsidP="00A219ED">
      <w:pPr>
        <w:pStyle w:val="SubsectionHead"/>
      </w:pPr>
      <w:r w:rsidRPr="00784539">
        <w:t>Entity metric</w:t>
      </w:r>
    </w:p>
    <w:p w:rsidR="00DB1EE1" w:rsidRPr="00784539" w:rsidRDefault="00A219ED" w:rsidP="00A219ED">
      <w:pPr>
        <w:pStyle w:val="subsection"/>
      </w:pPr>
      <w:r w:rsidRPr="00784539">
        <w:tab/>
        <w:t>(2)</w:t>
      </w:r>
      <w:r w:rsidRPr="00784539">
        <w:tab/>
        <w:t xml:space="preserve">The leviable entity’s </w:t>
      </w:r>
      <w:r w:rsidRPr="00784539">
        <w:rPr>
          <w:b/>
          <w:i/>
        </w:rPr>
        <w:t xml:space="preserve">entity metric </w:t>
      </w:r>
      <w:r w:rsidRPr="00784539">
        <w:t>for the sub</w:t>
      </w:r>
      <w:r w:rsidR="00784539">
        <w:noBreakHyphen/>
      </w:r>
      <w:r w:rsidRPr="00784539">
        <w:t>sector for the financial year is the number of days in the financial year</w:t>
      </w:r>
      <w:r w:rsidR="00DB1EE1" w:rsidRPr="00784539">
        <w:t xml:space="preserve"> on which the entity holds a licence of the kind mentioned in </w:t>
      </w:r>
      <w:r w:rsidR="00784539" w:rsidRPr="00784539">
        <w:t>subsection (</w:t>
      </w:r>
      <w:r w:rsidR="00DB1EE1" w:rsidRPr="00784539">
        <w:t>1)</w:t>
      </w:r>
      <w:r w:rsidR="00EB027E" w:rsidRPr="00784539">
        <w:t>.</w:t>
      </w:r>
    </w:p>
    <w:p w:rsidR="00A36634" w:rsidRPr="00784539" w:rsidRDefault="00A36634" w:rsidP="00A36634">
      <w:pPr>
        <w:pStyle w:val="ActHead4"/>
      </w:pPr>
      <w:bookmarkStart w:id="71" w:name="_Toc485110099"/>
      <w:r w:rsidRPr="00784539">
        <w:rPr>
          <w:rStyle w:val="CharSubdNo"/>
        </w:rPr>
        <w:t>Subdivision</w:t>
      </w:r>
      <w:r w:rsidR="00784539" w:rsidRPr="00784539">
        <w:rPr>
          <w:rStyle w:val="CharSubdNo"/>
        </w:rPr>
        <w:t> </w:t>
      </w:r>
      <w:r w:rsidRPr="00784539">
        <w:rPr>
          <w:rStyle w:val="CharSubdNo"/>
        </w:rPr>
        <w:t>4.3</w:t>
      </w:r>
      <w:r w:rsidRPr="00784539">
        <w:t>—</w:t>
      </w:r>
      <w:r w:rsidRPr="00784539">
        <w:rPr>
          <w:rStyle w:val="CharSubdText"/>
        </w:rPr>
        <w:t>Sub</w:t>
      </w:r>
      <w:r w:rsidR="00784539" w:rsidRPr="00784539">
        <w:rPr>
          <w:rStyle w:val="CharSubdText"/>
        </w:rPr>
        <w:noBreakHyphen/>
      </w:r>
      <w:r w:rsidRPr="00784539">
        <w:rPr>
          <w:rStyle w:val="CharSubdText"/>
        </w:rPr>
        <w:t xml:space="preserve">sectors to which graduated </w:t>
      </w:r>
      <w:r w:rsidR="00E366AE" w:rsidRPr="00784539">
        <w:rPr>
          <w:rStyle w:val="CharSubdText"/>
        </w:rPr>
        <w:t xml:space="preserve">levy component </w:t>
      </w:r>
      <w:r w:rsidRPr="00784539">
        <w:rPr>
          <w:rStyle w:val="CharSubdText"/>
        </w:rPr>
        <w:t>applies</w:t>
      </w:r>
      <w:bookmarkEnd w:id="71"/>
    </w:p>
    <w:p w:rsidR="00A36634" w:rsidRPr="00784539" w:rsidRDefault="00085808" w:rsidP="00A36634">
      <w:pPr>
        <w:pStyle w:val="ActHead5"/>
      </w:pPr>
      <w:bookmarkStart w:id="72" w:name="_Toc485110100"/>
      <w:r w:rsidRPr="00784539">
        <w:rPr>
          <w:rStyle w:val="CharSectno"/>
        </w:rPr>
        <w:t>43</w:t>
      </w:r>
      <w:r w:rsidR="00A36634" w:rsidRPr="00784539">
        <w:t xml:space="preserve">  Licensees that provide personal advice on relevant financial products to retail clients</w:t>
      </w:r>
      <w:bookmarkEnd w:id="72"/>
    </w:p>
    <w:p w:rsidR="00A36634" w:rsidRPr="00784539" w:rsidRDefault="00A36634" w:rsidP="00A36634">
      <w:pPr>
        <w:pStyle w:val="subsection"/>
      </w:pPr>
      <w:r w:rsidRPr="00784539">
        <w:tab/>
        <w:t>(1)</w:t>
      </w:r>
      <w:r w:rsidRPr="00784539">
        <w:tab/>
        <w:t xml:space="preserve">A leviable entity forms part of the </w:t>
      </w:r>
      <w:r w:rsidRPr="00784539">
        <w:rPr>
          <w:b/>
          <w:i/>
        </w:rPr>
        <w:t xml:space="preserve">licensees that provide personal advice on relevant financial products to retail clients </w:t>
      </w:r>
      <w:r w:rsidRPr="00784539">
        <w:t>sub</w:t>
      </w:r>
      <w:r w:rsidR="00784539">
        <w:noBreakHyphen/>
      </w:r>
      <w:r w:rsidRPr="00784539">
        <w:t>sector in a financial year if:</w:t>
      </w:r>
    </w:p>
    <w:p w:rsidR="00A36634" w:rsidRPr="00784539" w:rsidRDefault="00A36634" w:rsidP="00A36634">
      <w:pPr>
        <w:pStyle w:val="paragraph"/>
      </w:pPr>
      <w:r w:rsidRPr="00784539">
        <w:tab/>
        <w:t>(a)</w:t>
      </w:r>
      <w:r w:rsidRPr="00784539">
        <w:tab/>
        <w:t>the entity holds,</w:t>
      </w:r>
      <w:r w:rsidR="004D2F6F" w:rsidRPr="00784539">
        <w:t xml:space="preserve"> </w:t>
      </w:r>
      <w:r w:rsidR="002F043A" w:rsidRPr="00784539">
        <w:t>at any time in the financial year</w:t>
      </w:r>
      <w:r w:rsidRPr="00784539">
        <w:t>, an Australian financial services licence; and</w:t>
      </w:r>
    </w:p>
    <w:p w:rsidR="003374C4" w:rsidRPr="00784539" w:rsidRDefault="00A36634" w:rsidP="0080255E">
      <w:pPr>
        <w:pStyle w:val="paragraph"/>
        <w:rPr>
          <w:i/>
        </w:rPr>
      </w:pPr>
      <w:r w:rsidRPr="00784539">
        <w:tab/>
        <w:t>(b)</w:t>
      </w:r>
      <w:r w:rsidRPr="00784539">
        <w:tab/>
        <w:t xml:space="preserve">the licence authorises the holder to provide financial product advice (including </w:t>
      </w:r>
      <w:r w:rsidR="00404B70" w:rsidRPr="00784539">
        <w:t xml:space="preserve">a </w:t>
      </w:r>
      <w:r w:rsidRPr="00784539">
        <w:t xml:space="preserve">class of product advice) </w:t>
      </w:r>
      <w:r w:rsidR="00B10C9B" w:rsidRPr="00784539">
        <w:t xml:space="preserve">on relevant financial products </w:t>
      </w:r>
      <w:r w:rsidRPr="00784539">
        <w:t>to retail clients</w:t>
      </w:r>
      <w:r w:rsidR="0080255E" w:rsidRPr="00784539">
        <w:t>.</w:t>
      </w:r>
    </w:p>
    <w:p w:rsidR="00A36634" w:rsidRPr="00784539" w:rsidRDefault="00A36634" w:rsidP="00A36634">
      <w:pPr>
        <w:pStyle w:val="SubsectionHead"/>
      </w:pPr>
      <w:r w:rsidRPr="00784539">
        <w:t>Levy component</w:t>
      </w:r>
    </w:p>
    <w:p w:rsidR="00A36634" w:rsidRPr="00784539" w:rsidRDefault="00A36634" w:rsidP="00A36634">
      <w:pPr>
        <w:pStyle w:val="subsection"/>
      </w:pPr>
      <w:r w:rsidRPr="00784539">
        <w:tab/>
        <w:t>(2)</w:t>
      </w:r>
      <w:r w:rsidRPr="00784539">
        <w:tab/>
        <w:t>The amount of a leviable entity’s levy component in respect of the sub</w:t>
      </w:r>
      <w:r w:rsidR="00784539">
        <w:noBreakHyphen/>
      </w:r>
      <w:r w:rsidRPr="00784539">
        <w:t>sector for a financial year is the sum of:</w:t>
      </w:r>
    </w:p>
    <w:p w:rsidR="00A36634" w:rsidRPr="00784539" w:rsidRDefault="00A36634" w:rsidP="00A36634">
      <w:pPr>
        <w:pStyle w:val="paragraph"/>
      </w:pPr>
      <w:r w:rsidRPr="00784539">
        <w:tab/>
        <w:t>(a)</w:t>
      </w:r>
      <w:r w:rsidRPr="00784539">
        <w:tab/>
        <w:t>the minimum levy component for the sub</w:t>
      </w:r>
      <w:r w:rsidR="00784539">
        <w:noBreakHyphen/>
      </w:r>
      <w:r w:rsidRPr="00784539">
        <w:t>sector; and</w:t>
      </w:r>
    </w:p>
    <w:p w:rsidR="00A36634" w:rsidRPr="00784539" w:rsidRDefault="00A36634" w:rsidP="00A36634">
      <w:pPr>
        <w:pStyle w:val="paragraph"/>
      </w:pPr>
      <w:r w:rsidRPr="00784539">
        <w:tab/>
        <w:t>(b)</w:t>
      </w:r>
      <w:r w:rsidRPr="00784539">
        <w:tab/>
        <w:t>the graduated levy component for the entity for the sub</w:t>
      </w:r>
      <w:r w:rsidR="00784539">
        <w:noBreakHyphen/>
      </w:r>
      <w:r w:rsidRPr="00784539">
        <w:t>sector.</w:t>
      </w:r>
    </w:p>
    <w:p w:rsidR="00A36634" w:rsidRPr="00784539" w:rsidRDefault="00A36634" w:rsidP="00A36634">
      <w:pPr>
        <w:pStyle w:val="notetext"/>
      </w:pPr>
      <w:r w:rsidRPr="00784539">
        <w:t>Note:</w:t>
      </w:r>
      <w:r w:rsidRPr="00784539">
        <w:tab/>
        <w:t>For the graduated levy component, see section</w:t>
      </w:r>
      <w:r w:rsidR="00784539" w:rsidRPr="00784539">
        <w:t> </w:t>
      </w:r>
      <w:r w:rsidR="00085808" w:rsidRPr="00784539">
        <w:t>10</w:t>
      </w:r>
      <w:r w:rsidRPr="00784539">
        <w:t>.</w:t>
      </w:r>
    </w:p>
    <w:p w:rsidR="00A36634" w:rsidRPr="00784539" w:rsidRDefault="00A36634" w:rsidP="00A36634">
      <w:pPr>
        <w:pStyle w:val="SubsectionHead"/>
      </w:pPr>
      <w:r w:rsidRPr="00784539">
        <w:t>Entity metric</w:t>
      </w:r>
    </w:p>
    <w:p w:rsidR="00A36634" w:rsidRPr="00784539" w:rsidRDefault="00A36634" w:rsidP="00A36634">
      <w:pPr>
        <w:pStyle w:val="subsection"/>
      </w:pPr>
      <w:r w:rsidRPr="00784539">
        <w:tab/>
        <w:t>(3)</w:t>
      </w:r>
      <w:r w:rsidRPr="00784539">
        <w:tab/>
        <w:t xml:space="preserve">The leviable entity’s </w:t>
      </w:r>
      <w:r w:rsidRPr="00784539">
        <w:rPr>
          <w:b/>
          <w:i/>
        </w:rPr>
        <w:t>entity metric</w:t>
      </w:r>
      <w:r w:rsidRPr="00784539">
        <w:t xml:space="preserve"> for the sub</w:t>
      </w:r>
      <w:r w:rsidR="00784539">
        <w:noBreakHyphen/>
      </w:r>
      <w:r w:rsidRPr="00784539">
        <w:t>sector for the financial year is the number of relevant providers (within the meaning of section</w:t>
      </w:r>
      <w:r w:rsidR="00784539" w:rsidRPr="00784539">
        <w:t> </w:t>
      </w:r>
      <w:r w:rsidRPr="00784539">
        <w:t xml:space="preserve">910A of the </w:t>
      </w:r>
      <w:r w:rsidRPr="00784539">
        <w:rPr>
          <w:i/>
        </w:rPr>
        <w:t>Corporations Act 2001</w:t>
      </w:r>
      <w:r w:rsidRPr="00784539">
        <w:t>) that:</w:t>
      </w:r>
    </w:p>
    <w:p w:rsidR="00A36634" w:rsidRPr="00784539" w:rsidRDefault="00A36634" w:rsidP="00A36634">
      <w:pPr>
        <w:pStyle w:val="paragraph"/>
      </w:pPr>
      <w:r w:rsidRPr="00784539">
        <w:tab/>
        <w:t>(a)</w:t>
      </w:r>
      <w:r w:rsidRPr="00784539">
        <w:tab/>
        <w:t>are registered on the Register of Relevant Providers (within the meaning of section</w:t>
      </w:r>
      <w:r w:rsidR="00784539" w:rsidRPr="00784539">
        <w:t> </w:t>
      </w:r>
      <w:r w:rsidRPr="00784539">
        <w:t>910A of that Act) at the end of the financial year; and</w:t>
      </w:r>
    </w:p>
    <w:p w:rsidR="00404B70" w:rsidRPr="00784539" w:rsidRDefault="00A36634" w:rsidP="00A36634">
      <w:pPr>
        <w:pStyle w:val="paragraph"/>
      </w:pPr>
      <w:r w:rsidRPr="00784539">
        <w:tab/>
        <w:t>(b)</w:t>
      </w:r>
      <w:r w:rsidRPr="00784539">
        <w:tab/>
        <w:t>are authorised to provide personal advice to retail clients on behalf of the entity</w:t>
      </w:r>
      <w:r w:rsidR="00404B70" w:rsidRPr="00784539">
        <w:t>.</w:t>
      </w:r>
    </w:p>
    <w:p w:rsidR="001F5FA8" w:rsidRPr="00784539" w:rsidRDefault="00404B70" w:rsidP="00406715">
      <w:pPr>
        <w:pStyle w:val="subsection"/>
      </w:pPr>
      <w:r w:rsidRPr="00784539">
        <w:tab/>
        <w:t>(4)</w:t>
      </w:r>
      <w:r w:rsidRPr="00784539">
        <w:tab/>
      </w:r>
      <w:r w:rsidR="001F5FA8" w:rsidRPr="00784539">
        <w:t>For the purposes of working out the number of relevant provide</w:t>
      </w:r>
      <w:r w:rsidR="00A44F35" w:rsidRPr="00784539">
        <w:t>r</w:t>
      </w:r>
      <w:r w:rsidR="001F5FA8" w:rsidRPr="00784539">
        <w:t xml:space="preserve">s under </w:t>
      </w:r>
      <w:r w:rsidR="00784539" w:rsidRPr="00784539">
        <w:t>subsection (</w:t>
      </w:r>
      <w:r w:rsidR="001F5FA8" w:rsidRPr="00784539">
        <w:t>3) for an entity that also forms part of the large futures exchange participants sub</w:t>
      </w:r>
      <w:r w:rsidR="00784539">
        <w:noBreakHyphen/>
      </w:r>
      <w:r w:rsidR="001F5FA8" w:rsidRPr="00784539">
        <w:t>sector (see section</w:t>
      </w:r>
      <w:r w:rsidR="00784539" w:rsidRPr="00784539">
        <w:t> </w:t>
      </w:r>
      <w:r w:rsidR="00085808" w:rsidRPr="00784539">
        <w:t>64</w:t>
      </w:r>
      <w:r w:rsidR="001F5FA8" w:rsidRPr="00784539">
        <w:t>), the large securities exchange participants sub</w:t>
      </w:r>
      <w:r w:rsidR="00784539">
        <w:noBreakHyphen/>
      </w:r>
      <w:r w:rsidR="001F5FA8" w:rsidRPr="00784539">
        <w:t>sector (see section</w:t>
      </w:r>
      <w:r w:rsidR="00784539" w:rsidRPr="00784539">
        <w:t> </w:t>
      </w:r>
      <w:r w:rsidR="00085808" w:rsidRPr="00784539">
        <w:t>65</w:t>
      </w:r>
      <w:r w:rsidR="001F5FA8" w:rsidRPr="00784539">
        <w:t>) or the securities dealer sub</w:t>
      </w:r>
      <w:r w:rsidR="00784539">
        <w:noBreakHyphen/>
      </w:r>
      <w:r w:rsidR="001F5FA8" w:rsidRPr="00784539">
        <w:t>sector (see section</w:t>
      </w:r>
      <w:r w:rsidR="00784539" w:rsidRPr="00784539">
        <w:t> </w:t>
      </w:r>
      <w:r w:rsidR="00085808" w:rsidRPr="00784539">
        <w:t>67</w:t>
      </w:r>
      <w:r w:rsidR="001F5FA8" w:rsidRPr="00784539">
        <w:t>) at any time in the financial year, disregard relevant providers that only provide the following kinds of advice:</w:t>
      </w:r>
    </w:p>
    <w:p w:rsidR="001F5FA8" w:rsidRPr="00784539" w:rsidRDefault="001F5FA8" w:rsidP="001F5FA8">
      <w:pPr>
        <w:pStyle w:val="paragraph"/>
      </w:pPr>
      <w:r w:rsidRPr="00784539">
        <w:tab/>
        <w:t>(a)</w:t>
      </w:r>
      <w:r w:rsidRPr="00784539">
        <w:tab/>
        <w:t>advice on financial products that are admitted to quotation;</w:t>
      </w:r>
    </w:p>
    <w:p w:rsidR="001F5FA8" w:rsidRPr="00784539" w:rsidRDefault="001F5FA8" w:rsidP="001F5FA8">
      <w:pPr>
        <w:pStyle w:val="paragraph"/>
      </w:pPr>
      <w:r w:rsidRPr="00784539">
        <w:tab/>
        <w:t>(b)</w:t>
      </w:r>
      <w:r w:rsidRPr="00784539">
        <w:tab/>
        <w:t>advice on financial products that are traded on a prescribed foreign financial market (within the meaning of subregulation</w:t>
      </w:r>
      <w:r w:rsidR="00784539" w:rsidRPr="00784539">
        <w:t> </w:t>
      </w:r>
      <w:r w:rsidRPr="00784539">
        <w:t xml:space="preserve">7.7A.12D(2) of the </w:t>
      </w:r>
      <w:r w:rsidRPr="00784539">
        <w:rPr>
          <w:i/>
        </w:rPr>
        <w:t>Corporations Regulations</w:t>
      </w:r>
      <w:r w:rsidR="00784539" w:rsidRPr="00784539">
        <w:rPr>
          <w:i/>
        </w:rPr>
        <w:t> </w:t>
      </w:r>
      <w:r w:rsidRPr="00784539">
        <w:rPr>
          <w:i/>
        </w:rPr>
        <w:t>2001</w:t>
      </w:r>
      <w:r w:rsidRPr="00784539">
        <w:t>);</w:t>
      </w:r>
    </w:p>
    <w:p w:rsidR="001F5FA8" w:rsidRPr="00784539" w:rsidRDefault="001F5FA8" w:rsidP="001F5FA8">
      <w:pPr>
        <w:pStyle w:val="paragraph"/>
      </w:pPr>
      <w:r w:rsidRPr="00784539">
        <w:tab/>
        <w:t>(c)</w:t>
      </w:r>
      <w:r w:rsidRPr="00784539">
        <w:tab/>
        <w:t>advice on basic banking products.</w:t>
      </w:r>
    </w:p>
    <w:p w:rsidR="006C4BF9" w:rsidRPr="00784539" w:rsidRDefault="00C060A9" w:rsidP="006C4BF9">
      <w:pPr>
        <w:pStyle w:val="subsection"/>
      </w:pPr>
      <w:r w:rsidRPr="00784539">
        <w:tab/>
      </w:r>
      <w:r w:rsidR="006C4BF9" w:rsidRPr="00784539">
        <w:t>(</w:t>
      </w:r>
      <w:r w:rsidR="00942F65" w:rsidRPr="00784539">
        <w:t>5</w:t>
      </w:r>
      <w:r w:rsidR="006C4BF9" w:rsidRPr="00784539">
        <w:t>)</w:t>
      </w:r>
      <w:r w:rsidR="006C4BF9" w:rsidRPr="00784539">
        <w:tab/>
        <w:t>However:</w:t>
      </w:r>
    </w:p>
    <w:p w:rsidR="006C4BF9" w:rsidRPr="00784539" w:rsidRDefault="006C4BF9" w:rsidP="006C4BF9">
      <w:pPr>
        <w:pStyle w:val="paragraph"/>
      </w:pPr>
      <w:r w:rsidRPr="00784539">
        <w:tab/>
        <w:t>(a)</w:t>
      </w:r>
      <w:r w:rsidRPr="00784539">
        <w:tab/>
        <w:t xml:space="preserve">there is a </w:t>
      </w:r>
      <w:r w:rsidR="00B43668" w:rsidRPr="00784539">
        <w:t>pro</w:t>
      </w:r>
      <w:r w:rsidR="00784539">
        <w:noBreakHyphen/>
      </w:r>
      <w:r w:rsidR="00B43668" w:rsidRPr="00784539">
        <w:t>rata</w:t>
      </w:r>
      <w:r w:rsidRPr="00784539">
        <w:t xml:space="preserve"> of the entity metric; and</w:t>
      </w:r>
    </w:p>
    <w:p w:rsidR="006C4BF9" w:rsidRPr="00784539" w:rsidRDefault="006C4BF9" w:rsidP="006C4BF9">
      <w:pPr>
        <w:pStyle w:val="paragraph"/>
      </w:pPr>
      <w:r w:rsidRPr="00784539">
        <w:tab/>
        <w:t>(b)</w:t>
      </w:r>
      <w:r w:rsidRPr="00784539">
        <w:tab/>
        <w:t>for the purposes of section</w:t>
      </w:r>
      <w:r w:rsidR="00784539" w:rsidRPr="00784539">
        <w:t> </w:t>
      </w:r>
      <w:r w:rsidR="00085808" w:rsidRPr="00784539">
        <w:t>11</w:t>
      </w:r>
      <w:r w:rsidRPr="00784539">
        <w:t xml:space="preserve">, the number of counted days is the number of days in the financial year on which the </w:t>
      </w:r>
      <w:r w:rsidR="00A06F69" w:rsidRPr="00784539">
        <w:t xml:space="preserve">leviable </w:t>
      </w:r>
      <w:r w:rsidRPr="00784539">
        <w:t>entity h</w:t>
      </w:r>
      <w:r w:rsidR="00782DE6" w:rsidRPr="00784539">
        <w:t>olds</w:t>
      </w:r>
      <w:r w:rsidRPr="00784539">
        <w:t xml:space="preserve"> </w:t>
      </w:r>
      <w:r w:rsidR="00F436B2" w:rsidRPr="00784539">
        <w:t xml:space="preserve">a </w:t>
      </w:r>
      <w:r w:rsidRPr="00784539">
        <w:t xml:space="preserve">licence </w:t>
      </w:r>
      <w:r w:rsidR="00F436B2" w:rsidRPr="00784539">
        <w:t xml:space="preserve">of the kind </w:t>
      </w:r>
      <w:r w:rsidRPr="00784539">
        <w:t xml:space="preserve">mentioned in </w:t>
      </w:r>
      <w:r w:rsidR="00784539" w:rsidRPr="00784539">
        <w:t>subsection (</w:t>
      </w:r>
      <w:r w:rsidRPr="00784539">
        <w:t>1).</w:t>
      </w:r>
    </w:p>
    <w:p w:rsidR="00A36634" w:rsidRPr="00784539" w:rsidRDefault="00A36634" w:rsidP="00A36634">
      <w:pPr>
        <w:pStyle w:val="subsection"/>
      </w:pPr>
      <w:r w:rsidRPr="00784539">
        <w:tab/>
        <w:t>(</w:t>
      </w:r>
      <w:r w:rsidR="00942F65" w:rsidRPr="00784539">
        <w:t>6</w:t>
      </w:r>
      <w:r w:rsidRPr="00784539">
        <w:t>)</w:t>
      </w:r>
      <w:r w:rsidRPr="00784539">
        <w:tab/>
        <w:t xml:space="preserve">The </w:t>
      </w:r>
      <w:r w:rsidRPr="00784539">
        <w:rPr>
          <w:b/>
          <w:i/>
        </w:rPr>
        <w:t>minimum levy component</w:t>
      </w:r>
      <w:r w:rsidRPr="00784539">
        <w:t xml:space="preserve"> for the sub</w:t>
      </w:r>
      <w:r w:rsidR="00784539">
        <w:noBreakHyphen/>
      </w:r>
      <w:r w:rsidRPr="00784539">
        <w:t>sector is $1,500.</w:t>
      </w:r>
    </w:p>
    <w:p w:rsidR="00A36634" w:rsidRPr="00784539" w:rsidRDefault="00A36634" w:rsidP="00A36634">
      <w:pPr>
        <w:pStyle w:val="ActHead3"/>
        <w:pageBreakBefore/>
      </w:pPr>
      <w:bookmarkStart w:id="73" w:name="_Toc485110101"/>
      <w:r w:rsidRPr="00784539">
        <w:rPr>
          <w:rStyle w:val="CharDivNo"/>
        </w:rPr>
        <w:t>Division</w:t>
      </w:r>
      <w:r w:rsidR="00784539" w:rsidRPr="00784539">
        <w:rPr>
          <w:rStyle w:val="CharDivNo"/>
        </w:rPr>
        <w:t> </w:t>
      </w:r>
      <w:r w:rsidRPr="00784539">
        <w:rPr>
          <w:rStyle w:val="CharDivNo"/>
        </w:rPr>
        <w:t>5</w:t>
      </w:r>
      <w:r w:rsidRPr="00784539">
        <w:t>—</w:t>
      </w:r>
      <w:r w:rsidRPr="00784539">
        <w:rPr>
          <w:rStyle w:val="CharDivText"/>
        </w:rPr>
        <w:t>Market infrastructure and intermediaries sector</w:t>
      </w:r>
      <w:bookmarkEnd w:id="73"/>
    </w:p>
    <w:p w:rsidR="00A36634" w:rsidRPr="00784539" w:rsidRDefault="00A36634" w:rsidP="00A36634">
      <w:pPr>
        <w:pStyle w:val="ActHead4"/>
      </w:pPr>
      <w:bookmarkStart w:id="74" w:name="_Toc485110102"/>
      <w:r w:rsidRPr="00784539">
        <w:rPr>
          <w:rStyle w:val="CharSubdNo"/>
        </w:rPr>
        <w:t>Subdivision</w:t>
      </w:r>
      <w:r w:rsidR="00784539" w:rsidRPr="00784539">
        <w:rPr>
          <w:rStyle w:val="CharSubdNo"/>
        </w:rPr>
        <w:t> </w:t>
      </w:r>
      <w:r w:rsidRPr="00784539">
        <w:rPr>
          <w:rStyle w:val="CharSubdNo"/>
        </w:rPr>
        <w:t>5.1</w:t>
      </w:r>
      <w:r w:rsidRPr="00784539">
        <w:t>—</w:t>
      </w:r>
      <w:r w:rsidRPr="00784539">
        <w:rPr>
          <w:rStyle w:val="CharSubdText"/>
        </w:rPr>
        <w:t>General</w:t>
      </w:r>
      <w:bookmarkEnd w:id="74"/>
    </w:p>
    <w:p w:rsidR="00A36634" w:rsidRPr="00784539" w:rsidRDefault="00085808" w:rsidP="00A36634">
      <w:pPr>
        <w:pStyle w:val="ActHead5"/>
      </w:pPr>
      <w:bookmarkStart w:id="75" w:name="_Toc485110103"/>
      <w:r w:rsidRPr="00784539">
        <w:rPr>
          <w:rStyle w:val="CharSectno"/>
        </w:rPr>
        <w:t>44</w:t>
      </w:r>
      <w:r w:rsidR="00A36634" w:rsidRPr="00784539">
        <w:t xml:space="preserve">  Market infrastructure and intermediaries sector</w:t>
      </w:r>
      <w:bookmarkEnd w:id="75"/>
    </w:p>
    <w:p w:rsidR="00A36634" w:rsidRPr="00784539" w:rsidRDefault="00A36634" w:rsidP="00A36634">
      <w:pPr>
        <w:pStyle w:val="subsection"/>
      </w:pPr>
      <w:r w:rsidRPr="00784539">
        <w:tab/>
        <w:t>(1)</w:t>
      </w:r>
      <w:r w:rsidRPr="00784539">
        <w:tab/>
        <w:t>Each section in Subdivisions</w:t>
      </w:r>
      <w:r w:rsidR="00784539" w:rsidRPr="00784539">
        <w:t> </w:t>
      </w:r>
      <w:r w:rsidRPr="00784539">
        <w:t>5.2 and 5.3 specifies criteria for identifying one or more leviable entities that form part of the sub</w:t>
      </w:r>
      <w:r w:rsidR="00784539">
        <w:noBreakHyphen/>
      </w:r>
      <w:r w:rsidRPr="00784539">
        <w:t>sector mentioned in the section.</w:t>
      </w:r>
    </w:p>
    <w:p w:rsidR="00A36634" w:rsidRPr="00784539" w:rsidRDefault="00A36634" w:rsidP="00A36634">
      <w:pPr>
        <w:pStyle w:val="subsection"/>
      </w:pPr>
      <w:r w:rsidRPr="00784539">
        <w:tab/>
        <w:t>(2)</w:t>
      </w:r>
      <w:r w:rsidRPr="00784539">
        <w:tab/>
        <w:t>The sub</w:t>
      </w:r>
      <w:r w:rsidR="00784539">
        <w:noBreakHyphen/>
      </w:r>
      <w:r w:rsidRPr="00784539">
        <w:t xml:space="preserve">sectors for which criteria are specified in this Division are in the </w:t>
      </w:r>
      <w:r w:rsidRPr="00784539">
        <w:rPr>
          <w:b/>
          <w:i/>
        </w:rPr>
        <w:t>market infrastructure and intermediaries sector</w:t>
      </w:r>
      <w:r w:rsidRPr="00784539">
        <w:t>.</w:t>
      </w:r>
    </w:p>
    <w:p w:rsidR="00EC4C84" w:rsidRPr="00784539" w:rsidRDefault="00A36634" w:rsidP="00415641">
      <w:pPr>
        <w:pStyle w:val="subsection"/>
      </w:pPr>
      <w:r w:rsidRPr="00784539">
        <w:tab/>
        <w:t>(3)</w:t>
      </w:r>
      <w:r w:rsidRPr="00784539">
        <w:tab/>
        <w:t>A leviable entity may form part of 2 or more sub</w:t>
      </w:r>
      <w:r w:rsidR="00784539">
        <w:noBreakHyphen/>
      </w:r>
      <w:r w:rsidRPr="00784539">
        <w:t>sectors in the market infrastructure and intermediaries sector un</w:t>
      </w:r>
      <w:r w:rsidR="00272B1C" w:rsidRPr="00784539">
        <w:t>less otherwise specified in this Division</w:t>
      </w:r>
      <w:r w:rsidRPr="00784539">
        <w:t>.</w:t>
      </w:r>
    </w:p>
    <w:p w:rsidR="00A36634" w:rsidRPr="00784539" w:rsidRDefault="00085808" w:rsidP="00A36634">
      <w:pPr>
        <w:pStyle w:val="ActHead5"/>
      </w:pPr>
      <w:bookmarkStart w:id="76" w:name="_Toc485110104"/>
      <w:r w:rsidRPr="00784539">
        <w:rPr>
          <w:rStyle w:val="CharSectno"/>
        </w:rPr>
        <w:t>45</w:t>
      </w:r>
      <w:r w:rsidR="00A36634" w:rsidRPr="00784539">
        <w:t xml:space="preserve">  </w:t>
      </w:r>
      <w:r w:rsidR="00A536D1" w:rsidRPr="00784539">
        <w:t>Basic</w:t>
      </w:r>
      <w:r w:rsidR="00A36634" w:rsidRPr="00784539">
        <w:t xml:space="preserve"> levy component applies to sub</w:t>
      </w:r>
      <w:r w:rsidR="00784539">
        <w:noBreakHyphen/>
      </w:r>
      <w:r w:rsidR="00A36634" w:rsidRPr="00784539">
        <w:t>sectors in Subdivision</w:t>
      </w:r>
      <w:r w:rsidR="00784539" w:rsidRPr="00784539">
        <w:t> </w:t>
      </w:r>
      <w:r w:rsidR="00A36634" w:rsidRPr="00784539">
        <w:t>5.2</w:t>
      </w:r>
      <w:bookmarkEnd w:id="76"/>
    </w:p>
    <w:p w:rsidR="00A36634" w:rsidRPr="00784539" w:rsidRDefault="00A36634" w:rsidP="00A36634">
      <w:pPr>
        <w:pStyle w:val="subsection"/>
      </w:pPr>
      <w:r w:rsidRPr="00784539">
        <w:tab/>
      </w:r>
      <w:r w:rsidRPr="00784539">
        <w:tab/>
        <w:t xml:space="preserve">The </w:t>
      </w:r>
      <w:r w:rsidR="00A536D1" w:rsidRPr="00784539">
        <w:t xml:space="preserve">basic levy </w:t>
      </w:r>
      <w:r w:rsidRPr="00784539">
        <w:t>component applies to each sub</w:t>
      </w:r>
      <w:r w:rsidR="00784539">
        <w:noBreakHyphen/>
      </w:r>
      <w:r w:rsidRPr="00784539">
        <w:t>sector specified in a section of Subdivision</w:t>
      </w:r>
      <w:r w:rsidR="00784539" w:rsidRPr="00784539">
        <w:t> </w:t>
      </w:r>
      <w:r w:rsidRPr="00784539">
        <w:t>5.2.</w:t>
      </w:r>
    </w:p>
    <w:p w:rsidR="00A36634" w:rsidRPr="00784539" w:rsidRDefault="00A36634" w:rsidP="00A36634">
      <w:pPr>
        <w:pStyle w:val="notetext"/>
      </w:pPr>
      <w:r w:rsidRPr="00784539">
        <w:t>Note:</w:t>
      </w:r>
      <w:r w:rsidRPr="00784539">
        <w:tab/>
        <w:t xml:space="preserve">For the </w:t>
      </w:r>
      <w:r w:rsidR="00A536D1" w:rsidRPr="00784539">
        <w:t xml:space="preserve">basic </w:t>
      </w:r>
      <w:r w:rsidRPr="00784539">
        <w:t>levy component, see section</w:t>
      </w:r>
      <w:r w:rsidR="00784539" w:rsidRPr="00784539">
        <w:t> </w:t>
      </w:r>
      <w:r w:rsidR="00085808" w:rsidRPr="00784539">
        <w:t>9</w:t>
      </w:r>
      <w:r w:rsidRPr="00784539">
        <w:t>.</w:t>
      </w:r>
    </w:p>
    <w:p w:rsidR="00A36634" w:rsidRPr="00784539" w:rsidRDefault="00A36634" w:rsidP="00A36634">
      <w:pPr>
        <w:pStyle w:val="ActHead4"/>
      </w:pPr>
      <w:bookmarkStart w:id="77" w:name="_Toc485110105"/>
      <w:r w:rsidRPr="00784539">
        <w:rPr>
          <w:rStyle w:val="CharSubdNo"/>
        </w:rPr>
        <w:t>Subdivision</w:t>
      </w:r>
      <w:r w:rsidR="00784539" w:rsidRPr="00784539">
        <w:rPr>
          <w:rStyle w:val="CharSubdNo"/>
        </w:rPr>
        <w:t> </w:t>
      </w:r>
      <w:r w:rsidRPr="00784539">
        <w:rPr>
          <w:rStyle w:val="CharSubdNo"/>
        </w:rPr>
        <w:t>5.2</w:t>
      </w:r>
      <w:r w:rsidRPr="00784539">
        <w:t>—</w:t>
      </w:r>
      <w:r w:rsidRPr="00784539">
        <w:rPr>
          <w:rStyle w:val="CharSubdText"/>
        </w:rPr>
        <w:t>Sub</w:t>
      </w:r>
      <w:r w:rsidR="00784539" w:rsidRPr="00784539">
        <w:rPr>
          <w:rStyle w:val="CharSubdText"/>
        </w:rPr>
        <w:noBreakHyphen/>
      </w:r>
      <w:r w:rsidRPr="00784539">
        <w:rPr>
          <w:rStyle w:val="CharSubdText"/>
        </w:rPr>
        <w:t xml:space="preserve">sectors to which </w:t>
      </w:r>
      <w:r w:rsidR="002A68DE" w:rsidRPr="00784539">
        <w:rPr>
          <w:rStyle w:val="CharSubdText"/>
        </w:rPr>
        <w:t>basic levy component</w:t>
      </w:r>
      <w:r w:rsidRPr="00784539">
        <w:rPr>
          <w:rStyle w:val="CharSubdText"/>
        </w:rPr>
        <w:t xml:space="preserve"> applies</w:t>
      </w:r>
      <w:bookmarkEnd w:id="77"/>
    </w:p>
    <w:p w:rsidR="00BA466A" w:rsidRPr="00784539" w:rsidRDefault="00085808" w:rsidP="00BA466A">
      <w:pPr>
        <w:pStyle w:val="ActHead5"/>
      </w:pPr>
      <w:bookmarkStart w:id="78" w:name="_Toc485110106"/>
      <w:r w:rsidRPr="00784539">
        <w:rPr>
          <w:rStyle w:val="CharSectno"/>
        </w:rPr>
        <w:t>46</w:t>
      </w:r>
      <w:r w:rsidR="00BA466A" w:rsidRPr="00784539">
        <w:t xml:space="preserve">  Overseas market operators</w:t>
      </w:r>
      <w:bookmarkEnd w:id="78"/>
    </w:p>
    <w:p w:rsidR="002B7CBB" w:rsidRPr="00784539" w:rsidRDefault="00BA466A" w:rsidP="00BA466A">
      <w:pPr>
        <w:pStyle w:val="subsection"/>
      </w:pPr>
      <w:r w:rsidRPr="00784539">
        <w:tab/>
        <w:t>(1)</w:t>
      </w:r>
      <w:r w:rsidRPr="00784539">
        <w:tab/>
        <w:t xml:space="preserve">A leviable entity forms part of the </w:t>
      </w:r>
      <w:r w:rsidR="006B718C" w:rsidRPr="00784539">
        <w:rPr>
          <w:b/>
          <w:i/>
        </w:rPr>
        <w:t>overseas</w:t>
      </w:r>
      <w:r w:rsidRPr="00784539">
        <w:rPr>
          <w:b/>
          <w:i/>
        </w:rPr>
        <w:t xml:space="preserve"> market operators </w:t>
      </w:r>
      <w:r w:rsidRPr="00784539">
        <w:t>sub</w:t>
      </w:r>
      <w:r w:rsidR="00784539">
        <w:noBreakHyphen/>
      </w:r>
      <w:r w:rsidRPr="00784539">
        <w:t>sector in a financial year if, at any time in the financial year, the entity operates a</w:t>
      </w:r>
      <w:r w:rsidR="002B7CBB" w:rsidRPr="00784539">
        <w:t>n overseas market.</w:t>
      </w:r>
    </w:p>
    <w:p w:rsidR="00BA466A" w:rsidRPr="00784539" w:rsidRDefault="00BA466A" w:rsidP="00BA466A">
      <w:pPr>
        <w:pStyle w:val="SubsectionHead"/>
      </w:pPr>
      <w:r w:rsidRPr="00784539">
        <w:t>Entity metric</w:t>
      </w:r>
    </w:p>
    <w:p w:rsidR="00190897" w:rsidRPr="00784539" w:rsidRDefault="00BA466A" w:rsidP="00BA466A">
      <w:pPr>
        <w:pStyle w:val="subsection"/>
      </w:pPr>
      <w:r w:rsidRPr="00784539">
        <w:tab/>
        <w:t>(2)</w:t>
      </w:r>
      <w:r w:rsidRPr="00784539">
        <w:tab/>
        <w:t xml:space="preserve">The leviable entity’s </w:t>
      </w:r>
      <w:r w:rsidRPr="00784539">
        <w:rPr>
          <w:b/>
          <w:i/>
        </w:rPr>
        <w:t xml:space="preserve">entity metric </w:t>
      </w:r>
      <w:r w:rsidRPr="00784539">
        <w:t>for the sub</w:t>
      </w:r>
      <w:r w:rsidR="00784539">
        <w:noBreakHyphen/>
      </w:r>
      <w:r w:rsidRPr="00784539">
        <w:t>sector for the financial year is</w:t>
      </w:r>
      <w:r w:rsidR="00190897" w:rsidRPr="00784539">
        <w:t>:</w:t>
      </w:r>
    </w:p>
    <w:p w:rsidR="00190897" w:rsidRPr="00784539" w:rsidRDefault="00190897" w:rsidP="00190897">
      <w:pPr>
        <w:pStyle w:val="paragraph"/>
      </w:pPr>
      <w:r w:rsidRPr="00784539">
        <w:tab/>
        <w:t>(a)</w:t>
      </w:r>
      <w:r w:rsidRPr="00784539">
        <w:tab/>
        <w:t xml:space="preserve">unless </w:t>
      </w:r>
      <w:r w:rsidR="00784539" w:rsidRPr="00784539">
        <w:t>paragraph (</w:t>
      </w:r>
      <w:r w:rsidRPr="00784539">
        <w:t>b) applies—the number of days in the financial year on which the entity operated the market; or</w:t>
      </w:r>
    </w:p>
    <w:p w:rsidR="00B103C0" w:rsidRPr="00784539" w:rsidRDefault="00190897" w:rsidP="00190897">
      <w:pPr>
        <w:pStyle w:val="paragraph"/>
      </w:pPr>
      <w:r w:rsidRPr="00784539">
        <w:tab/>
        <w:t>(b)</w:t>
      </w:r>
      <w:r w:rsidRPr="00784539">
        <w:tab/>
        <w:t xml:space="preserve">if the entity operated 2 or more </w:t>
      </w:r>
      <w:r w:rsidR="00B103C0" w:rsidRPr="00784539">
        <w:t xml:space="preserve">overseas markets in the financial year—the sum of the days worked out under </w:t>
      </w:r>
      <w:r w:rsidR="00784539" w:rsidRPr="00784539">
        <w:t>paragraph (</w:t>
      </w:r>
      <w:r w:rsidR="00B103C0" w:rsidRPr="00784539">
        <w:t xml:space="preserve">a) for each of those </w:t>
      </w:r>
      <w:r w:rsidR="00A808BC" w:rsidRPr="00784539">
        <w:t>markets</w:t>
      </w:r>
      <w:r w:rsidR="00B103C0" w:rsidRPr="00784539">
        <w:t>.</w:t>
      </w:r>
    </w:p>
    <w:p w:rsidR="002B7CBB" w:rsidRPr="00784539" w:rsidRDefault="00190897" w:rsidP="002B7CBB">
      <w:pPr>
        <w:pStyle w:val="subsection"/>
      </w:pPr>
      <w:r w:rsidRPr="00784539">
        <w:tab/>
        <w:t>(3)</w:t>
      </w:r>
      <w:r w:rsidRPr="00784539">
        <w:tab/>
        <w:t>A licensed market is a</w:t>
      </w:r>
      <w:r w:rsidR="002B7CBB" w:rsidRPr="00784539">
        <w:t>n</w:t>
      </w:r>
      <w:r w:rsidRPr="00784539">
        <w:t xml:space="preserve"> </w:t>
      </w:r>
      <w:r w:rsidR="00B103C0" w:rsidRPr="00784539">
        <w:rPr>
          <w:b/>
          <w:i/>
        </w:rPr>
        <w:t>overseas market</w:t>
      </w:r>
      <w:r w:rsidR="00B103C0" w:rsidRPr="00784539">
        <w:t xml:space="preserve"> if</w:t>
      </w:r>
      <w:r w:rsidR="002B7CBB" w:rsidRPr="00784539">
        <w:t xml:space="preserve"> </w:t>
      </w:r>
      <w:r w:rsidR="00B103C0" w:rsidRPr="00784539">
        <w:t>the market is licensed under subsection</w:t>
      </w:r>
      <w:r w:rsidR="00784539" w:rsidRPr="00784539">
        <w:t> </w:t>
      </w:r>
      <w:r w:rsidR="00B103C0" w:rsidRPr="00784539">
        <w:t xml:space="preserve">795B(2) of the </w:t>
      </w:r>
      <w:r w:rsidR="002B7CBB" w:rsidRPr="00784539">
        <w:rPr>
          <w:i/>
        </w:rPr>
        <w:t>Corporations Act 2001</w:t>
      </w:r>
      <w:r w:rsidR="002B7CBB" w:rsidRPr="00784539">
        <w:t>.</w:t>
      </w:r>
    </w:p>
    <w:p w:rsidR="006921BE" w:rsidRPr="00784539" w:rsidRDefault="00085808" w:rsidP="006921BE">
      <w:pPr>
        <w:pStyle w:val="ActHead5"/>
      </w:pPr>
      <w:bookmarkStart w:id="79" w:name="_Toc485110107"/>
      <w:r w:rsidRPr="00784539">
        <w:rPr>
          <w:rStyle w:val="CharSectno"/>
        </w:rPr>
        <w:t>47</w:t>
      </w:r>
      <w:r w:rsidR="006921BE" w:rsidRPr="00784539">
        <w:t xml:space="preserve">  Small securities exchange operators with self</w:t>
      </w:r>
      <w:r w:rsidR="00784539">
        <w:noBreakHyphen/>
      </w:r>
      <w:r w:rsidR="006921BE" w:rsidRPr="00784539">
        <w:t>listing function only</w:t>
      </w:r>
      <w:bookmarkEnd w:id="79"/>
    </w:p>
    <w:p w:rsidR="006921BE" w:rsidRPr="00784539" w:rsidRDefault="006921BE" w:rsidP="006921BE">
      <w:pPr>
        <w:pStyle w:val="subsection"/>
      </w:pPr>
      <w:r w:rsidRPr="00784539">
        <w:tab/>
        <w:t>(1)</w:t>
      </w:r>
      <w:r w:rsidRPr="00784539">
        <w:tab/>
        <w:t xml:space="preserve">A leviable entity forms part of the </w:t>
      </w:r>
      <w:r w:rsidRPr="00784539">
        <w:rPr>
          <w:b/>
          <w:i/>
        </w:rPr>
        <w:t>small securities exchange operators with self</w:t>
      </w:r>
      <w:r w:rsidR="00784539">
        <w:rPr>
          <w:b/>
          <w:i/>
        </w:rPr>
        <w:noBreakHyphen/>
      </w:r>
      <w:r w:rsidRPr="00784539">
        <w:rPr>
          <w:b/>
          <w:i/>
        </w:rPr>
        <w:t>listing function only</w:t>
      </w:r>
      <w:r w:rsidRPr="00784539">
        <w:rPr>
          <w:b/>
          <w:i/>
          <w:position w:val="6"/>
          <w:sz w:val="16"/>
        </w:rPr>
        <w:t xml:space="preserve"> </w:t>
      </w:r>
      <w:r w:rsidRPr="00784539">
        <w:t>sub</w:t>
      </w:r>
      <w:r w:rsidR="00784539">
        <w:noBreakHyphen/>
      </w:r>
      <w:r w:rsidRPr="00784539">
        <w:t xml:space="preserve">sector in a financial year if, at any time in the financial year, the entity is the operator of a small securities </w:t>
      </w:r>
      <w:r w:rsidR="00190897" w:rsidRPr="00784539">
        <w:t>(self</w:t>
      </w:r>
      <w:r w:rsidR="00784539">
        <w:noBreakHyphen/>
      </w:r>
      <w:r w:rsidR="00190897" w:rsidRPr="00784539">
        <w:t>listing) exchange</w:t>
      </w:r>
      <w:r w:rsidRPr="00784539">
        <w:t>.</w:t>
      </w:r>
    </w:p>
    <w:p w:rsidR="006921BE" w:rsidRPr="00784539" w:rsidRDefault="006921BE" w:rsidP="006921BE">
      <w:pPr>
        <w:pStyle w:val="SubsectionHead"/>
      </w:pPr>
      <w:r w:rsidRPr="00784539">
        <w:t>Entity metric</w:t>
      </w:r>
    </w:p>
    <w:p w:rsidR="00190897" w:rsidRPr="00784539" w:rsidRDefault="006921BE" w:rsidP="006921BE">
      <w:pPr>
        <w:pStyle w:val="subsection"/>
      </w:pPr>
      <w:r w:rsidRPr="00784539">
        <w:tab/>
        <w:t>(2)</w:t>
      </w:r>
      <w:r w:rsidRPr="00784539">
        <w:tab/>
        <w:t xml:space="preserve">The leviable entity’s </w:t>
      </w:r>
      <w:r w:rsidRPr="00784539">
        <w:rPr>
          <w:b/>
          <w:i/>
        </w:rPr>
        <w:t xml:space="preserve">entity metric </w:t>
      </w:r>
      <w:r w:rsidRPr="00784539">
        <w:t>for the sub</w:t>
      </w:r>
      <w:r w:rsidR="00784539">
        <w:noBreakHyphen/>
      </w:r>
      <w:r w:rsidRPr="00784539">
        <w:t>sector for the financial year is</w:t>
      </w:r>
      <w:r w:rsidR="00190897" w:rsidRPr="00784539">
        <w:t>:</w:t>
      </w:r>
    </w:p>
    <w:p w:rsidR="00190897" w:rsidRPr="00784539" w:rsidRDefault="00190897" w:rsidP="00190897">
      <w:pPr>
        <w:pStyle w:val="paragraph"/>
      </w:pPr>
      <w:r w:rsidRPr="00784539">
        <w:tab/>
        <w:t>(a)</w:t>
      </w:r>
      <w:r w:rsidRPr="00784539">
        <w:tab/>
        <w:t xml:space="preserve">unless </w:t>
      </w:r>
      <w:r w:rsidR="00784539" w:rsidRPr="00784539">
        <w:t>paragraph (</w:t>
      </w:r>
      <w:r w:rsidRPr="00784539">
        <w:t>b) applies—the number of days in the financial year on which the entity operated the exchange; or</w:t>
      </w:r>
    </w:p>
    <w:p w:rsidR="00190897" w:rsidRPr="00784539" w:rsidRDefault="00190897" w:rsidP="00190897">
      <w:pPr>
        <w:pStyle w:val="paragraph"/>
      </w:pPr>
      <w:r w:rsidRPr="00784539">
        <w:tab/>
        <w:t>(b)</w:t>
      </w:r>
      <w:r w:rsidRPr="00784539">
        <w:tab/>
        <w:t>if the entity operated 2 or more small securities (self</w:t>
      </w:r>
      <w:r w:rsidR="00784539">
        <w:noBreakHyphen/>
      </w:r>
      <w:r w:rsidRPr="00784539">
        <w:t>listing) exchange</w:t>
      </w:r>
      <w:r w:rsidR="00C010C1" w:rsidRPr="00784539">
        <w:t>s</w:t>
      </w:r>
      <w:r w:rsidRPr="00784539">
        <w:t xml:space="preserve"> in the financial year—the sum of the days worked out under </w:t>
      </w:r>
      <w:r w:rsidR="00784539" w:rsidRPr="00784539">
        <w:t>paragraph (</w:t>
      </w:r>
      <w:r w:rsidRPr="00784539">
        <w:t>a) for each of those exchanges.</w:t>
      </w:r>
    </w:p>
    <w:p w:rsidR="006921BE" w:rsidRPr="00784539" w:rsidRDefault="006921BE" w:rsidP="006921BE">
      <w:pPr>
        <w:pStyle w:val="subsection"/>
      </w:pPr>
      <w:r w:rsidRPr="00784539">
        <w:tab/>
        <w:t>(3)</w:t>
      </w:r>
      <w:r w:rsidRPr="00784539">
        <w:tab/>
        <w:t xml:space="preserve">A licensed market is a </w:t>
      </w:r>
      <w:r w:rsidRPr="00784539">
        <w:rPr>
          <w:b/>
          <w:i/>
        </w:rPr>
        <w:t xml:space="preserve">small securities </w:t>
      </w:r>
      <w:r w:rsidR="00190897" w:rsidRPr="00784539">
        <w:rPr>
          <w:b/>
          <w:i/>
        </w:rPr>
        <w:t>(self</w:t>
      </w:r>
      <w:r w:rsidR="00784539">
        <w:rPr>
          <w:b/>
          <w:i/>
        </w:rPr>
        <w:noBreakHyphen/>
      </w:r>
      <w:r w:rsidR="00190897" w:rsidRPr="00784539">
        <w:rPr>
          <w:b/>
          <w:i/>
        </w:rPr>
        <w:t xml:space="preserve">listing) </w:t>
      </w:r>
      <w:r w:rsidRPr="00784539">
        <w:rPr>
          <w:b/>
          <w:i/>
        </w:rPr>
        <w:t>exchange</w:t>
      </w:r>
      <w:r w:rsidRPr="00784539">
        <w:t>, in relation to a financial year, if:</w:t>
      </w:r>
    </w:p>
    <w:p w:rsidR="002B0EDD" w:rsidRPr="00784539" w:rsidRDefault="006921BE" w:rsidP="006921BE">
      <w:pPr>
        <w:pStyle w:val="paragraph"/>
      </w:pPr>
      <w:r w:rsidRPr="00784539">
        <w:tab/>
        <w:t>(a)</w:t>
      </w:r>
      <w:r w:rsidRPr="00784539">
        <w:tab/>
      </w:r>
      <w:r w:rsidR="002B0EDD" w:rsidRPr="00784539">
        <w:t>the market is not an overseas market; and</w:t>
      </w:r>
    </w:p>
    <w:p w:rsidR="006921BE" w:rsidRPr="00784539" w:rsidRDefault="002B0EDD" w:rsidP="006921BE">
      <w:pPr>
        <w:pStyle w:val="paragraph"/>
      </w:pPr>
      <w:r w:rsidRPr="00784539">
        <w:tab/>
        <w:t>(b)</w:t>
      </w:r>
      <w:r w:rsidRPr="00784539">
        <w:tab/>
      </w:r>
      <w:r w:rsidR="006921BE" w:rsidRPr="00784539">
        <w:t>only ordinary shares of the market operator can be traded</w:t>
      </w:r>
      <w:r w:rsidR="009630A3" w:rsidRPr="00784539">
        <w:t xml:space="preserve"> on the market</w:t>
      </w:r>
      <w:r w:rsidR="006921BE" w:rsidRPr="00784539">
        <w:t>; and</w:t>
      </w:r>
    </w:p>
    <w:p w:rsidR="00054510" w:rsidRPr="00784539" w:rsidRDefault="006921BE" w:rsidP="006921BE">
      <w:pPr>
        <w:pStyle w:val="paragraph"/>
      </w:pPr>
      <w:r w:rsidRPr="00784539">
        <w:tab/>
        <w:t>(</w:t>
      </w:r>
      <w:r w:rsidR="002B0EDD" w:rsidRPr="00784539">
        <w:t>c</w:t>
      </w:r>
      <w:r w:rsidRPr="00784539">
        <w:t>)</w:t>
      </w:r>
      <w:r w:rsidRPr="00784539">
        <w:tab/>
        <w:t>less than 10 million transactions in ordinary shares of the market operator are entered into</w:t>
      </w:r>
      <w:r w:rsidR="009630A3" w:rsidRPr="00784539">
        <w:t xml:space="preserve"> on the market</w:t>
      </w:r>
      <w:r w:rsidR="00054510" w:rsidRPr="00784539">
        <w:t xml:space="preserve"> in the financial year.</w:t>
      </w:r>
    </w:p>
    <w:p w:rsidR="006921BE" w:rsidRPr="00784539" w:rsidRDefault="00085808" w:rsidP="006921BE">
      <w:pPr>
        <w:pStyle w:val="ActHead5"/>
      </w:pPr>
      <w:bookmarkStart w:id="80" w:name="_Toc485110108"/>
      <w:r w:rsidRPr="00784539">
        <w:rPr>
          <w:rStyle w:val="CharSectno"/>
        </w:rPr>
        <w:t>48</w:t>
      </w:r>
      <w:r w:rsidR="006921BE" w:rsidRPr="00784539">
        <w:t xml:space="preserve">  Small securities exchange operators</w:t>
      </w:r>
      <w:bookmarkEnd w:id="80"/>
    </w:p>
    <w:p w:rsidR="006921BE" w:rsidRPr="00784539" w:rsidRDefault="006921BE" w:rsidP="006921BE">
      <w:pPr>
        <w:pStyle w:val="subsection"/>
      </w:pPr>
      <w:r w:rsidRPr="00784539">
        <w:tab/>
        <w:t>(1)</w:t>
      </w:r>
      <w:r w:rsidRPr="00784539">
        <w:tab/>
        <w:t xml:space="preserve">A leviable entity forms part of the </w:t>
      </w:r>
      <w:r w:rsidRPr="00784539">
        <w:rPr>
          <w:b/>
          <w:i/>
        </w:rPr>
        <w:t>small securities exchange operators</w:t>
      </w:r>
      <w:r w:rsidRPr="00784539">
        <w:rPr>
          <w:b/>
          <w:i/>
          <w:position w:val="6"/>
          <w:sz w:val="16"/>
        </w:rPr>
        <w:t xml:space="preserve"> </w:t>
      </w:r>
      <w:r w:rsidRPr="00784539">
        <w:t>sub</w:t>
      </w:r>
      <w:r w:rsidR="00784539">
        <w:noBreakHyphen/>
      </w:r>
      <w:r w:rsidRPr="00784539">
        <w:t>sector in a financial year if, at any time in the financial year, the entity is the operator of a small securities exchange.</w:t>
      </w:r>
    </w:p>
    <w:p w:rsidR="006921BE" w:rsidRPr="00784539" w:rsidRDefault="006921BE" w:rsidP="006921BE">
      <w:pPr>
        <w:pStyle w:val="SubsectionHead"/>
      </w:pPr>
      <w:r w:rsidRPr="00784539">
        <w:t>Entity metric</w:t>
      </w:r>
    </w:p>
    <w:p w:rsidR="00C010C1" w:rsidRPr="00784539" w:rsidRDefault="006921BE" w:rsidP="006921BE">
      <w:pPr>
        <w:pStyle w:val="subsection"/>
      </w:pPr>
      <w:r w:rsidRPr="00784539">
        <w:tab/>
        <w:t>(2)</w:t>
      </w:r>
      <w:r w:rsidRPr="00784539">
        <w:tab/>
        <w:t xml:space="preserve">The leviable entity’s </w:t>
      </w:r>
      <w:r w:rsidRPr="00784539">
        <w:rPr>
          <w:b/>
          <w:i/>
        </w:rPr>
        <w:t xml:space="preserve">entity metric </w:t>
      </w:r>
      <w:r w:rsidRPr="00784539">
        <w:t>for the sub</w:t>
      </w:r>
      <w:r w:rsidR="00784539">
        <w:noBreakHyphen/>
      </w:r>
      <w:r w:rsidRPr="00784539">
        <w:t>sector for the financial year is</w:t>
      </w:r>
      <w:r w:rsidR="00C010C1" w:rsidRPr="00784539">
        <w:t>:</w:t>
      </w:r>
    </w:p>
    <w:p w:rsidR="00C010C1" w:rsidRPr="00784539" w:rsidRDefault="00C010C1" w:rsidP="00C010C1">
      <w:pPr>
        <w:pStyle w:val="paragraph"/>
      </w:pPr>
      <w:r w:rsidRPr="00784539">
        <w:tab/>
        <w:t>(a)</w:t>
      </w:r>
      <w:r w:rsidRPr="00784539">
        <w:tab/>
        <w:t xml:space="preserve">unless </w:t>
      </w:r>
      <w:r w:rsidR="00784539" w:rsidRPr="00784539">
        <w:t>paragraph (</w:t>
      </w:r>
      <w:r w:rsidRPr="00784539">
        <w:t>b) applies—the number of days in the financial year on which the entity operated the exchange; or</w:t>
      </w:r>
    </w:p>
    <w:p w:rsidR="00C010C1" w:rsidRPr="00784539" w:rsidRDefault="00C010C1" w:rsidP="00C010C1">
      <w:pPr>
        <w:pStyle w:val="paragraph"/>
      </w:pPr>
      <w:r w:rsidRPr="00784539">
        <w:tab/>
        <w:t>(b)</w:t>
      </w:r>
      <w:r w:rsidRPr="00784539">
        <w:tab/>
        <w:t xml:space="preserve">if the entity operated 2 or more small securities exchanges in the financial year—the sum of the days worked out under </w:t>
      </w:r>
      <w:r w:rsidR="00784539" w:rsidRPr="00784539">
        <w:t>paragraph (</w:t>
      </w:r>
      <w:r w:rsidRPr="00784539">
        <w:t>a) for each of those exchanges.</w:t>
      </w:r>
    </w:p>
    <w:p w:rsidR="006921BE" w:rsidRPr="00784539" w:rsidRDefault="006921BE" w:rsidP="006921BE">
      <w:pPr>
        <w:pStyle w:val="subsection"/>
      </w:pPr>
      <w:r w:rsidRPr="00784539">
        <w:tab/>
        <w:t>(3)</w:t>
      </w:r>
      <w:r w:rsidRPr="00784539">
        <w:tab/>
      </w:r>
      <w:r w:rsidR="009630A3" w:rsidRPr="00784539">
        <w:t xml:space="preserve">A licensed market is a </w:t>
      </w:r>
      <w:r w:rsidR="009630A3" w:rsidRPr="00784539">
        <w:rPr>
          <w:b/>
          <w:i/>
        </w:rPr>
        <w:t>small securities exchange</w:t>
      </w:r>
      <w:r w:rsidR="009630A3" w:rsidRPr="00784539">
        <w:t>, in relation to a financial year, if:</w:t>
      </w:r>
    </w:p>
    <w:p w:rsidR="009630A3" w:rsidRPr="00784539" w:rsidRDefault="009630A3" w:rsidP="009630A3">
      <w:pPr>
        <w:pStyle w:val="paragraph"/>
      </w:pPr>
      <w:r w:rsidRPr="00784539">
        <w:tab/>
        <w:t>(a)</w:t>
      </w:r>
      <w:r w:rsidRPr="00784539">
        <w:tab/>
        <w:t>less than 10 million transactions in securities are entered into on the market in the financial year; and</w:t>
      </w:r>
    </w:p>
    <w:p w:rsidR="00054510" w:rsidRPr="00784539" w:rsidRDefault="009630A3" w:rsidP="00C63264">
      <w:pPr>
        <w:pStyle w:val="paragraph"/>
      </w:pPr>
      <w:r w:rsidRPr="00784539">
        <w:tab/>
        <w:t>(b)</w:t>
      </w:r>
      <w:r w:rsidRPr="00784539">
        <w:tab/>
      </w:r>
      <w:r w:rsidR="00C63264" w:rsidRPr="00784539">
        <w:t>the market is not</w:t>
      </w:r>
      <w:r w:rsidR="00054510" w:rsidRPr="00784539">
        <w:t>:</w:t>
      </w:r>
    </w:p>
    <w:p w:rsidR="00054510" w:rsidRPr="00784539" w:rsidRDefault="00054510" w:rsidP="00054510">
      <w:pPr>
        <w:pStyle w:val="paragraphsub"/>
      </w:pPr>
      <w:r w:rsidRPr="00784539">
        <w:tab/>
        <w:t>(i)</w:t>
      </w:r>
      <w:r w:rsidRPr="00784539">
        <w:tab/>
        <w:t>an overseas market; or</w:t>
      </w:r>
    </w:p>
    <w:p w:rsidR="006921BE" w:rsidRPr="00784539" w:rsidRDefault="00054510" w:rsidP="00054510">
      <w:pPr>
        <w:pStyle w:val="paragraphsub"/>
      </w:pPr>
      <w:r w:rsidRPr="00784539">
        <w:tab/>
        <w:t>(ii)</w:t>
      </w:r>
      <w:r w:rsidRPr="00784539">
        <w:tab/>
      </w:r>
      <w:r w:rsidR="00C63264" w:rsidRPr="00784539">
        <w:t>a small securities</w:t>
      </w:r>
      <w:r w:rsidR="00C010C1" w:rsidRPr="00784539">
        <w:t xml:space="preserve"> (self</w:t>
      </w:r>
      <w:r w:rsidR="00784539">
        <w:noBreakHyphen/>
      </w:r>
      <w:r w:rsidR="00C010C1" w:rsidRPr="00784539">
        <w:t>listing)</w:t>
      </w:r>
      <w:r w:rsidR="00C63264" w:rsidRPr="00784539">
        <w:t xml:space="preserve"> exchange</w:t>
      </w:r>
      <w:r w:rsidR="006921BE" w:rsidRPr="00784539">
        <w:t>.</w:t>
      </w:r>
    </w:p>
    <w:p w:rsidR="006921BE" w:rsidRPr="00784539" w:rsidRDefault="00085808" w:rsidP="006921BE">
      <w:pPr>
        <w:pStyle w:val="ActHead5"/>
      </w:pPr>
      <w:bookmarkStart w:id="81" w:name="_Toc485110109"/>
      <w:r w:rsidRPr="00784539">
        <w:rPr>
          <w:rStyle w:val="CharSectno"/>
        </w:rPr>
        <w:t>49</w:t>
      </w:r>
      <w:r w:rsidR="006921BE" w:rsidRPr="00784539">
        <w:t xml:space="preserve">  Small futures exchange operators</w:t>
      </w:r>
      <w:bookmarkEnd w:id="81"/>
    </w:p>
    <w:p w:rsidR="006921BE" w:rsidRPr="00784539" w:rsidRDefault="006921BE" w:rsidP="006921BE">
      <w:pPr>
        <w:pStyle w:val="subsection"/>
      </w:pPr>
      <w:r w:rsidRPr="00784539">
        <w:tab/>
        <w:t>(1)</w:t>
      </w:r>
      <w:r w:rsidRPr="00784539">
        <w:tab/>
        <w:t xml:space="preserve">A leviable entity forms part of the </w:t>
      </w:r>
      <w:r w:rsidRPr="00784539">
        <w:rPr>
          <w:b/>
          <w:i/>
        </w:rPr>
        <w:t>small futures exchange operators</w:t>
      </w:r>
      <w:r w:rsidRPr="00784539">
        <w:rPr>
          <w:b/>
          <w:i/>
          <w:position w:val="6"/>
          <w:sz w:val="16"/>
        </w:rPr>
        <w:t xml:space="preserve"> </w:t>
      </w:r>
      <w:r w:rsidRPr="00784539">
        <w:t>sub</w:t>
      </w:r>
      <w:r w:rsidR="00784539">
        <w:noBreakHyphen/>
      </w:r>
      <w:r w:rsidRPr="00784539">
        <w:t>sector in a financial year if, at any time in the financial year, the entity is the operator of a small futures exchange.</w:t>
      </w:r>
    </w:p>
    <w:p w:rsidR="006921BE" w:rsidRPr="00784539" w:rsidRDefault="006921BE" w:rsidP="006921BE">
      <w:pPr>
        <w:pStyle w:val="SubsectionHead"/>
      </w:pPr>
      <w:r w:rsidRPr="00784539">
        <w:t>Entity metric</w:t>
      </w:r>
    </w:p>
    <w:p w:rsidR="00C010C1" w:rsidRPr="00784539" w:rsidRDefault="006921BE" w:rsidP="006921BE">
      <w:pPr>
        <w:pStyle w:val="subsection"/>
      </w:pPr>
      <w:r w:rsidRPr="00784539">
        <w:tab/>
        <w:t>(2)</w:t>
      </w:r>
      <w:r w:rsidRPr="00784539">
        <w:tab/>
        <w:t xml:space="preserve">The leviable entity’s </w:t>
      </w:r>
      <w:r w:rsidRPr="00784539">
        <w:rPr>
          <w:b/>
          <w:i/>
        </w:rPr>
        <w:t xml:space="preserve">entity metric </w:t>
      </w:r>
      <w:r w:rsidRPr="00784539">
        <w:t>for the sub</w:t>
      </w:r>
      <w:r w:rsidR="00784539">
        <w:noBreakHyphen/>
      </w:r>
      <w:r w:rsidRPr="00784539">
        <w:t>sector for the financial year is</w:t>
      </w:r>
      <w:r w:rsidR="00C010C1" w:rsidRPr="00784539">
        <w:t>:</w:t>
      </w:r>
    </w:p>
    <w:p w:rsidR="00C010C1" w:rsidRPr="00784539" w:rsidRDefault="00C010C1" w:rsidP="00C010C1">
      <w:pPr>
        <w:pStyle w:val="paragraph"/>
      </w:pPr>
      <w:r w:rsidRPr="00784539">
        <w:tab/>
        <w:t>(a)</w:t>
      </w:r>
      <w:r w:rsidRPr="00784539">
        <w:tab/>
        <w:t xml:space="preserve">unless </w:t>
      </w:r>
      <w:r w:rsidR="00784539" w:rsidRPr="00784539">
        <w:t>paragraph (</w:t>
      </w:r>
      <w:r w:rsidRPr="00784539">
        <w:t>b) applies—the number of days in the financial year on which the entity operated the exchange; or</w:t>
      </w:r>
    </w:p>
    <w:p w:rsidR="00C010C1" w:rsidRPr="00784539" w:rsidRDefault="00C010C1" w:rsidP="00C010C1">
      <w:pPr>
        <w:pStyle w:val="paragraph"/>
      </w:pPr>
      <w:r w:rsidRPr="00784539">
        <w:tab/>
        <w:t>(b)</w:t>
      </w:r>
      <w:r w:rsidRPr="00784539">
        <w:tab/>
        <w:t xml:space="preserve">if the entity operated 2 or more small futures exchanges in the financial year—the sum of the days worked out under </w:t>
      </w:r>
      <w:r w:rsidR="00784539" w:rsidRPr="00784539">
        <w:t>paragraph (</w:t>
      </w:r>
      <w:r w:rsidRPr="00784539">
        <w:t>a) for each of those exchanges.</w:t>
      </w:r>
    </w:p>
    <w:p w:rsidR="00C63264" w:rsidRPr="00784539" w:rsidRDefault="006921BE" w:rsidP="00C63264">
      <w:pPr>
        <w:pStyle w:val="subsection"/>
      </w:pPr>
      <w:r w:rsidRPr="00784539">
        <w:tab/>
        <w:t>(3)</w:t>
      </w:r>
      <w:r w:rsidRPr="00784539">
        <w:tab/>
      </w:r>
      <w:r w:rsidR="00C63264" w:rsidRPr="00784539">
        <w:t xml:space="preserve">A licensed market is a </w:t>
      </w:r>
      <w:r w:rsidRPr="00784539">
        <w:rPr>
          <w:b/>
          <w:i/>
        </w:rPr>
        <w:t>small futures exchange</w:t>
      </w:r>
      <w:r w:rsidRPr="00784539">
        <w:t>, in relation to a financial year,</w:t>
      </w:r>
      <w:r w:rsidR="00C63264" w:rsidRPr="00784539">
        <w:t xml:space="preserve"> if:</w:t>
      </w:r>
    </w:p>
    <w:p w:rsidR="00C63264" w:rsidRPr="00784539" w:rsidRDefault="00C63264" w:rsidP="00C63264">
      <w:pPr>
        <w:pStyle w:val="paragraph"/>
      </w:pPr>
      <w:r w:rsidRPr="00784539">
        <w:tab/>
        <w:t>(a)</w:t>
      </w:r>
      <w:r w:rsidRPr="00784539">
        <w:tab/>
        <w:t xml:space="preserve">less than </w:t>
      </w:r>
      <w:r w:rsidR="006921BE" w:rsidRPr="00784539">
        <w:t xml:space="preserve">10 million transactions in futures contracts are entered into </w:t>
      </w:r>
      <w:r w:rsidRPr="00784539">
        <w:t xml:space="preserve">on the market </w:t>
      </w:r>
      <w:r w:rsidR="006921BE" w:rsidRPr="00784539">
        <w:t>in the financial year</w:t>
      </w:r>
      <w:r w:rsidRPr="00784539">
        <w:t>; and</w:t>
      </w:r>
    </w:p>
    <w:p w:rsidR="00054510" w:rsidRPr="00784539" w:rsidRDefault="00C63264" w:rsidP="00C63264">
      <w:pPr>
        <w:pStyle w:val="paragraph"/>
      </w:pPr>
      <w:r w:rsidRPr="00784539">
        <w:tab/>
        <w:t>(b)</w:t>
      </w:r>
      <w:r w:rsidRPr="00784539">
        <w:tab/>
        <w:t>the market is not</w:t>
      </w:r>
      <w:r w:rsidR="00054510" w:rsidRPr="00784539">
        <w:t>:</w:t>
      </w:r>
    </w:p>
    <w:p w:rsidR="00054510" w:rsidRPr="00784539" w:rsidRDefault="00054510" w:rsidP="00054510">
      <w:pPr>
        <w:pStyle w:val="paragraphsub"/>
      </w:pPr>
      <w:r w:rsidRPr="00784539">
        <w:tab/>
        <w:t>(i)</w:t>
      </w:r>
      <w:r w:rsidRPr="00784539">
        <w:tab/>
        <w:t>an overseas market; or</w:t>
      </w:r>
    </w:p>
    <w:p w:rsidR="0013565A" w:rsidRPr="00784539" w:rsidRDefault="0013565A" w:rsidP="00054510">
      <w:pPr>
        <w:pStyle w:val="paragraphsub"/>
      </w:pPr>
      <w:r w:rsidRPr="00784539">
        <w:tab/>
        <w:t>(ii)</w:t>
      </w:r>
      <w:r w:rsidRPr="00784539">
        <w:tab/>
        <w:t>a small securities (self</w:t>
      </w:r>
      <w:r w:rsidR="00784539">
        <w:noBreakHyphen/>
      </w:r>
      <w:r w:rsidRPr="00784539">
        <w:t>listing) exchange; or</w:t>
      </w:r>
    </w:p>
    <w:p w:rsidR="006921BE" w:rsidRPr="00784539" w:rsidRDefault="00054510" w:rsidP="00054510">
      <w:pPr>
        <w:pStyle w:val="paragraphsub"/>
        <w:rPr>
          <w:i/>
        </w:rPr>
      </w:pPr>
      <w:r w:rsidRPr="00784539">
        <w:tab/>
        <w:t>(</w:t>
      </w:r>
      <w:r w:rsidR="0013565A" w:rsidRPr="00784539">
        <w:t>ii</w:t>
      </w:r>
      <w:r w:rsidRPr="00784539">
        <w:t>i)</w:t>
      </w:r>
      <w:r w:rsidRPr="00784539">
        <w:tab/>
      </w:r>
      <w:r w:rsidR="00C63264" w:rsidRPr="00784539">
        <w:t xml:space="preserve">a </w:t>
      </w:r>
      <w:r w:rsidR="006921BE" w:rsidRPr="00784539">
        <w:t>small securities exchange.</w:t>
      </w:r>
    </w:p>
    <w:p w:rsidR="006921BE" w:rsidRPr="00784539" w:rsidRDefault="00085808" w:rsidP="006921BE">
      <w:pPr>
        <w:pStyle w:val="ActHead5"/>
      </w:pPr>
      <w:bookmarkStart w:id="82" w:name="_Toc485110110"/>
      <w:r w:rsidRPr="00784539">
        <w:rPr>
          <w:rStyle w:val="CharSectno"/>
        </w:rPr>
        <w:t>50</w:t>
      </w:r>
      <w:r w:rsidR="006921BE" w:rsidRPr="00784539">
        <w:t xml:space="preserve">  Small derivatives market operators</w:t>
      </w:r>
      <w:bookmarkEnd w:id="82"/>
    </w:p>
    <w:p w:rsidR="006921BE" w:rsidRPr="00784539" w:rsidRDefault="006921BE" w:rsidP="006921BE">
      <w:pPr>
        <w:pStyle w:val="subsection"/>
      </w:pPr>
      <w:r w:rsidRPr="00784539">
        <w:tab/>
        <w:t>(1)</w:t>
      </w:r>
      <w:r w:rsidRPr="00784539">
        <w:tab/>
        <w:t>A leviable entity forms part of the</w:t>
      </w:r>
      <w:r w:rsidRPr="00784539">
        <w:rPr>
          <w:b/>
          <w:i/>
        </w:rPr>
        <w:t xml:space="preserve"> small derivatives market operators</w:t>
      </w:r>
      <w:r w:rsidRPr="00784539">
        <w:rPr>
          <w:b/>
          <w:i/>
          <w:position w:val="6"/>
          <w:sz w:val="16"/>
        </w:rPr>
        <w:t xml:space="preserve"> </w:t>
      </w:r>
      <w:r w:rsidRPr="00784539">
        <w:t>sub</w:t>
      </w:r>
      <w:r w:rsidR="00784539">
        <w:noBreakHyphen/>
      </w:r>
      <w:r w:rsidRPr="00784539">
        <w:t>sector in a financial year if, at any time in the financial year, the entity is the operator of a small derivatives market.</w:t>
      </w:r>
    </w:p>
    <w:p w:rsidR="006921BE" w:rsidRPr="00784539" w:rsidRDefault="006921BE" w:rsidP="006921BE">
      <w:pPr>
        <w:pStyle w:val="SubsectionHead"/>
      </w:pPr>
      <w:r w:rsidRPr="00784539">
        <w:t>Entity metric</w:t>
      </w:r>
    </w:p>
    <w:p w:rsidR="00C010C1" w:rsidRPr="00784539" w:rsidRDefault="006921BE" w:rsidP="006921BE">
      <w:pPr>
        <w:pStyle w:val="subsection"/>
      </w:pPr>
      <w:r w:rsidRPr="00784539">
        <w:tab/>
        <w:t>(2)</w:t>
      </w:r>
      <w:r w:rsidRPr="00784539">
        <w:tab/>
        <w:t xml:space="preserve">The leviable entity’s </w:t>
      </w:r>
      <w:r w:rsidRPr="00784539">
        <w:rPr>
          <w:b/>
          <w:i/>
        </w:rPr>
        <w:t xml:space="preserve">entity metric </w:t>
      </w:r>
      <w:r w:rsidRPr="00784539">
        <w:t>for the sub</w:t>
      </w:r>
      <w:r w:rsidR="00784539">
        <w:noBreakHyphen/>
      </w:r>
      <w:r w:rsidRPr="00784539">
        <w:t>sector for the financial year is</w:t>
      </w:r>
      <w:r w:rsidR="00C010C1" w:rsidRPr="00784539">
        <w:t>:</w:t>
      </w:r>
    </w:p>
    <w:p w:rsidR="00C010C1" w:rsidRPr="00784539" w:rsidRDefault="00C010C1" w:rsidP="00C010C1">
      <w:pPr>
        <w:pStyle w:val="paragraph"/>
      </w:pPr>
      <w:r w:rsidRPr="00784539">
        <w:tab/>
        <w:t>(a)</w:t>
      </w:r>
      <w:r w:rsidRPr="00784539">
        <w:tab/>
        <w:t xml:space="preserve">unless </w:t>
      </w:r>
      <w:r w:rsidR="00784539" w:rsidRPr="00784539">
        <w:t>paragraph (</w:t>
      </w:r>
      <w:r w:rsidRPr="00784539">
        <w:t>b) applies—the number of days in the financial year on which the entity operated the market; or</w:t>
      </w:r>
    </w:p>
    <w:p w:rsidR="00C010C1" w:rsidRPr="00784539" w:rsidRDefault="00C010C1" w:rsidP="00C010C1">
      <w:pPr>
        <w:pStyle w:val="paragraph"/>
      </w:pPr>
      <w:r w:rsidRPr="00784539">
        <w:tab/>
        <w:t>(b)</w:t>
      </w:r>
      <w:r w:rsidRPr="00784539">
        <w:tab/>
        <w:t xml:space="preserve">if the entity operated 2 or more small derivatives markets in the financial year—the sum of the days worked out under </w:t>
      </w:r>
      <w:r w:rsidR="00784539" w:rsidRPr="00784539">
        <w:t>paragraph (</w:t>
      </w:r>
      <w:r w:rsidRPr="00784539">
        <w:t>a) for each of those markets.</w:t>
      </w:r>
    </w:p>
    <w:p w:rsidR="00C63264" w:rsidRPr="00784539" w:rsidRDefault="006921BE" w:rsidP="00C63264">
      <w:pPr>
        <w:pStyle w:val="subsection"/>
      </w:pPr>
      <w:r w:rsidRPr="00784539">
        <w:tab/>
        <w:t>(3)</w:t>
      </w:r>
      <w:r w:rsidRPr="00784539">
        <w:tab/>
      </w:r>
      <w:r w:rsidR="00C63264" w:rsidRPr="00784539">
        <w:t xml:space="preserve">A licensed market is a </w:t>
      </w:r>
      <w:r w:rsidRPr="00784539">
        <w:rPr>
          <w:b/>
          <w:i/>
        </w:rPr>
        <w:t>small derivatives market</w:t>
      </w:r>
      <w:r w:rsidRPr="00784539">
        <w:t xml:space="preserve">, in relation to a financial year, </w:t>
      </w:r>
      <w:r w:rsidR="00C63264" w:rsidRPr="00784539">
        <w:t>if:</w:t>
      </w:r>
    </w:p>
    <w:p w:rsidR="00C63264" w:rsidRPr="00784539" w:rsidRDefault="00C63264" w:rsidP="00C63264">
      <w:pPr>
        <w:pStyle w:val="paragraph"/>
      </w:pPr>
      <w:r w:rsidRPr="00784539">
        <w:tab/>
        <w:t>(a)</w:t>
      </w:r>
      <w:r w:rsidRPr="00784539">
        <w:tab/>
        <w:t xml:space="preserve">less than 10 million </w:t>
      </w:r>
      <w:r w:rsidR="006921BE" w:rsidRPr="00784539">
        <w:t xml:space="preserve">derivative transactions are entered into </w:t>
      </w:r>
      <w:r w:rsidRPr="00784539">
        <w:t xml:space="preserve">on the market </w:t>
      </w:r>
      <w:r w:rsidR="006921BE" w:rsidRPr="00784539">
        <w:t>in the financial year</w:t>
      </w:r>
      <w:r w:rsidRPr="00784539">
        <w:t>; and</w:t>
      </w:r>
    </w:p>
    <w:p w:rsidR="00054510" w:rsidRPr="00784539" w:rsidRDefault="00C63264" w:rsidP="006921BE">
      <w:pPr>
        <w:pStyle w:val="paragraph"/>
      </w:pPr>
      <w:r w:rsidRPr="00784539">
        <w:tab/>
        <w:t>(b)</w:t>
      </w:r>
      <w:r w:rsidRPr="00784539">
        <w:tab/>
        <w:t>the market is not</w:t>
      </w:r>
      <w:r w:rsidR="00054510" w:rsidRPr="00784539">
        <w:t>:</w:t>
      </w:r>
    </w:p>
    <w:p w:rsidR="00054510" w:rsidRPr="00784539" w:rsidRDefault="00054510" w:rsidP="00054510">
      <w:pPr>
        <w:pStyle w:val="paragraphsub"/>
      </w:pPr>
      <w:r w:rsidRPr="00784539">
        <w:tab/>
        <w:t>(i)</w:t>
      </w:r>
      <w:r w:rsidRPr="00784539">
        <w:tab/>
        <w:t>an overseas market; or</w:t>
      </w:r>
    </w:p>
    <w:p w:rsidR="0013565A" w:rsidRPr="00784539" w:rsidRDefault="0013565A" w:rsidP="00054510">
      <w:pPr>
        <w:pStyle w:val="paragraphsub"/>
      </w:pPr>
      <w:r w:rsidRPr="00784539">
        <w:tab/>
        <w:t>(ii)</w:t>
      </w:r>
      <w:r w:rsidRPr="00784539">
        <w:tab/>
        <w:t>a small securities (self</w:t>
      </w:r>
      <w:r w:rsidR="00784539">
        <w:noBreakHyphen/>
      </w:r>
      <w:r w:rsidRPr="00784539">
        <w:t>listing) exchange; or</w:t>
      </w:r>
    </w:p>
    <w:p w:rsidR="0013565A" w:rsidRPr="00784539" w:rsidRDefault="0013565A" w:rsidP="00054510">
      <w:pPr>
        <w:pStyle w:val="paragraphsub"/>
      </w:pPr>
      <w:r w:rsidRPr="00784539">
        <w:tab/>
        <w:t>(iii)</w:t>
      </w:r>
      <w:r w:rsidRPr="00784539">
        <w:tab/>
        <w:t xml:space="preserve">a small </w:t>
      </w:r>
      <w:r w:rsidR="00936DEA" w:rsidRPr="00784539">
        <w:t>securities exchange; or</w:t>
      </w:r>
    </w:p>
    <w:p w:rsidR="006921BE" w:rsidRPr="00784539" w:rsidRDefault="00936DEA" w:rsidP="00054510">
      <w:pPr>
        <w:pStyle w:val="paragraphsub"/>
      </w:pPr>
      <w:r w:rsidRPr="00784539">
        <w:tab/>
        <w:t>(</w:t>
      </w:r>
      <w:r w:rsidR="00054510" w:rsidRPr="00784539">
        <w:t>i</w:t>
      </w:r>
      <w:r w:rsidRPr="00784539">
        <w:t>v</w:t>
      </w:r>
      <w:r w:rsidR="00054510" w:rsidRPr="00784539">
        <w:t>)</w:t>
      </w:r>
      <w:r w:rsidR="00054510" w:rsidRPr="00784539">
        <w:tab/>
        <w:t>a</w:t>
      </w:r>
      <w:r w:rsidR="00C63264" w:rsidRPr="00784539">
        <w:t xml:space="preserve"> small futures exchange</w:t>
      </w:r>
      <w:r w:rsidR="006921BE" w:rsidRPr="00784539">
        <w:t>.</w:t>
      </w:r>
    </w:p>
    <w:p w:rsidR="006921BE" w:rsidRPr="00784539" w:rsidRDefault="00085808" w:rsidP="006921BE">
      <w:pPr>
        <w:pStyle w:val="ActHead5"/>
      </w:pPr>
      <w:bookmarkStart w:id="83" w:name="_Toc485110111"/>
      <w:r w:rsidRPr="00784539">
        <w:rPr>
          <w:rStyle w:val="CharSectno"/>
        </w:rPr>
        <w:t>51</w:t>
      </w:r>
      <w:r w:rsidR="006921BE" w:rsidRPr="00784539">
        <w:t xml:space="preserve">  Large securities exchange operators</w:t>
      </w:r>
      <w:bookmarkEnd w:id="83"/>
    </w:p>
    <w:p w:rsidR="006921BE" w:rsidRPr="00784539" w:rsidRDefault="006921BE" w:rsidP="006921BE">
      <w:pPr>
        <w:pStyle w:val="subsection"/>
      </w:pPr>
      <w:r w:rsidRPr="00784539">
        <w:tab/>
        <w:t>(1)</w:t>
      </w:r>
      <w:r w:rsidRPr="00784539">
        <w:tab/>
        <w:t xml:space="preserve">A leviable entity forms part of the </w:t>
      </w:r>
      <w:r w:rsidRPr="00784539">
        <w:rPr>
          <w:b/>
          <w:i/>
        </w:rPr>
        <w:t>large securities exchange operators</w:t>
      </w:r>
      <w:r w:rsidRPr="00784539">
        <w:t xml:space="preserve"> sub</w:t>
      </w:r>
      <w:r w:rsidR="00784539">
        <w:noBreakHyphen/>
      </w:r>
      <w:r w:rsidRPr="00784539">
        <w:t>sector in a financial year if, at any time in the financial year, the entity is the operator of a large securities exchange.</w:t>
      </w:r>
    </w:p>
    <w:p w:rsidR="006921BE" w:rsidRPr="00784539" w:rsidRDefault="006921BE" w:rsidP="006921BE">
      <w:pPr>
        <w:pStyle w:val="SubsectionHead"/>
      </w:pPr>
      <w:r w:rsidRPr="00784539">
        <w:t>Entity metric</w:t>
      </w:r>
    </w:p>
    <w:p w:rsidR="00C010C1" w:rsidRPr="00784539" w:rsidRDefault="006921BE" w:rsidP="006921BE">
      <w:pPr>
        <w:pStyle w:val="subsection"/>
      </w:pPr>
      <w:r w:rsidRPr="00784539">
        <w:tab/>
        <w:t>(2)</w:t>
      </w:r>
      <w:r w:rsidRPr="00784539">
        <w:tab/>
        <w:t xml:space="preserve">The leviable entity’s </w:t>
      </w:r>
      <w:r w:rsidRPr="00784539">
        <w:rPr>
          <w:b/>
          <w:i/>
        </w:rPr>
        <w:t>entity metric</w:t>
      </w:r>
      <w:r w:rsidRPr="00784539">
        <w:t xml:space="preserve"> for the sub</w:t>
      </w:r>
      <w:r w:rsidR="00784539">
        <w:noBreakHyphen/>
      </w:r>
      <w:r w:rsidRPr="00784539">
        <w:t>sector for the financial year is</w:t>
      </w:r>
      <w:r w:rsidR="00C010C1" w:rsidRPr="00784539">
        <w:t>:</w:t>
      </w:r>
    </w:p>
    <w:p w:rsidR="00F4452C" w:rsidRPr="00784539" w:rsidRDefault="00C010C1" w:rsidP="00C010C1">
      <w:pPr>
        <w:pStyle w:val="paragraph"/>
      </w:pPr>
      <w:r w:rsidRPr="00784539">
        <w:tab/>
        <w:t>(a)</w:t>
      </w:r>
      <w:r w:rsidRPr="00784539">
        <w:tab/>
        <w:t xml:space="preserve">unless </w:t>
      </w:r>
      <w:r w:rsidR="00784539" w:rsidRPr="00784539">
        <w:t>paragraph (</w:t>
      </w:r>
      <w:r w:rsidRPr="00784539">
        <w:t xml:space="preserve">b) applies—the </w:t>
      </w:r>
      <w:r w:rsidR="006921BE" w:rsidRPr="00784539">
        <w:t>total value of all transactions</w:t>
      </w:r>
      <w:r w:rsidR="00F4452C" w:rsidRPr="00784539">
        <w:t xml:space="preserve"> </w:t>
      </w:r>
      <w:r w:rsidR="006921BE" w:rsidRPr="00784539">
        <w:t>that</w:t>
      </w:r>
      <w:r w:rsidR="00F4452C" w:rsidRPr="00784539">
        <w:t>:</w:t>
      </w:r>
    </w:p>
    <w:p w:rsidR="00F4452C" w:rsidRPr="00784539" w:rsidRDefault="00F4452C" w:rsidP="00F4452C">
      <w:pPr>
        <w:pStyle w:val="paragraphsub"/>
      </w:pPr>
      <w:r w:rsidRPr="00784539">
        <w:tab/>
        <w:t>(i)</w:t>
      </w:r>
      <w:r w:rsidRPr="00784539">
        <w:tab/>
      </w:r>
      <w:r w:rsidR="006921BE" w:rsidRPr="00784539">
        <w:t xml:space="preserve">are entered </w:t>
      </w:r>
      <w:r w:rsidRPr="00784539">
        <w:t xml:space="preserve">into </w:t>
      </w:r>
      <w:r w:rsidR="006921BE" w:rsidRPr="00784539">
        <w:t xml:space="preserve">on, or reported to, </w:t>
      </w:r>
      <w:r w:rsidR="00C010C1" w:rsidRPr="00784539">
        <w:t xml:space="preserve">the </w:t>
      </w:r>
      <w:r w:rsidRPr="00784539">
        <w:t xml:space="preserve">large securities </w:t>
      </w:r>
      <w:r w:rsidR="00C010C1" w:rsidRPr="00784539">
        <w:t>exchange operated by the entity</w:t>
      </w:r>
      <w:r w:rsidR="00102FB4" w:rsidRPr="00784539">
        <w:t xml:space="preserve"> in the financial year</w:t>
      </w:r>
      <w:r w:rsidR="00C010C1" w:rsidRPr="00784539">
        <w:t>;</w:t>
      </w:r>
      <w:r w:rsidRPr="00784539">
        <w:t xml:space="preserve"> and</w:t>
      </w:r>
    </w:p>
    <w:p w:rsidR="008C5DD8" w:rsidRPr="00784539" w:rsidRDefault="008C5DD8" w:rsidP="00F4452C">
      <w:pPr>
        <w:pStyle w:val="paragraphsub"/>
      </w:pPr>
      <w:r w:rsidRPr="00784539">
        <w:tab/>
        <w:t>(ii)</w:t>
      </w:r>
      <w:r w:rsidRPr="00784539">
        <w:tab/>
        <w:t>are within the operating rules of the exchange; and</w:t>
      </w:r>
    </w:p>
    <w:p w:rsidR="00C010C1" w:rsidRPr="00784539" w:rsidRDefault="00F4452C" w:rsidP="00F4452C">
      <w:pPr>
        <w:pStyle w:val="paragraphsub"/>
      </w:pPr>
      <w:r w:rsidRPr="00784539">
        <w:tab/>
        <w:t>(</w:t>
      </w:r>
      <w:r w:rsidR="008C5DD8" w:rsidRPr="00784539">
        <w:t>i</w:t>
      </w:r>
      <w:r w:rsidRPr="00784539">
        <w:t>ii)</w:t>
      </w:r>
      <w:r w:rsidRPr="00784539">
        <w:tab/>
        <w:t xml:space="preserve">are not </w:t>
      </w:r>
      <w:r w:rsidR="00EE6F2C" w:rsidRPr="00784539">
        <w:t xml:space="preserve">invalid or </w:t>
      </w:r>
      <w:r w:rsidRPr="00784539">
        <w:t>cancelled;</w:t>
      </w:r>
      <w:r w:rsidR="00C010C1" w:rsidRPr="00784539">
        <w:t xml:space="preserve"> or</w:t>
      </w:r>
    </w:p>
    <w:p w:rsidR="00C010C1" w:rsidRPr="00784539" w:rsidRDefault="00C010C1" w:rsidP="00C010C1">
      <w:pPr>
        <w:pStyle w:val="paragraph"/>
      </w:pPr>
      <w:r w:rsidRPr="00784539">
        <w:tab/>
        <w:t>(b)</w:t>
      </w:r>
      <w:r w:rsidRPr="00784539">
        <w:tab/>
        <w:t xml:space="preserve">if the entity operated 2 or more large securities exchanges in the financial year—the sum of the amounts worked out under </w:t>
      </w:r>
      <w:r w:rsidR="00784539" w:rsidRPr="00784539">
        <w:t>paragraph (</w:t>
      </w:r>
      <w:r w:rsidRPr="00784539">
        <w:t xml:space="preserve">a) for each of those </w:t>
      </w:r>
      <w:r w:rsidR="00B103C0" w:rsidRPr="00784539">
        <w:t>exchanges</w:t>
      </w:r>
      <w:r w:rsidRPr="00784539">
        <w:t>.</w:t>
      </w:r>
    </w:p>
    <w:p w:rsidR="00E87751" w:rsidRPr="00784539" w:rsidRDefault="006921BE" w:rsidP="00C63264">
      <w:pPr>
        <w:pStyle w:val="subsection"/>
      </w:pPr>
      <w:r w:rsidRPr="00784539">
        <w:rPr>
          <w:i/>
        </w:rPr>
        <w:tab/>
      </w:r>
      <w:r w:rsidRPr="00784539">
        <w:t>(3)</w:t>
      </w:r>
      <w:r w:rsidRPr="00784539">
        <w:tab/>
      </w:r>
      <w:r w:rsidR="00C63264" w:rsidRPr="00784539">
        <w:t xml:space="preserve">A licensed market is a </w:t>
      </w:r>
      <w:r w:rsidRPr="00784539">
        <w:rPr>
          <w:b/>
          <w:i/>
        </w:rPr>
        <w:t>large securities exchange</w:t>
      </w:r>
      <w:r w:rsidRPr="00784539">
        <w:t>, in relation to a financial year,</w:t>
      </w:r>
      <w:r w:rsidR="00C63264" w:rsidRPr="00784539">
        <w:t xml:space="preserve"> if</w:t>
      </w:r>
      <w:r w:rsidR="00E87751" w:rsidRPr="00784539">
        <w:t>:</w:t>
      </w:r>
    </w:p>
    <w:p w:rsidR="006921BE" w:rsidRPr="00784539" w:rsidRDefault="00E87751" w:rsidP="00E87751">
      <w:pPr>
        <w:pStyle w:val="paragraph"/>
      </w:pPr>
      <w:r w:rsidRPr="00784539">
        <w:tab/>
        <w:t>(a)</w:t>
      </w:r>
      <w:r w:rsidRPr="00784539">
        <w:tab/>
      </w:r>
      <w:r w:rsidR="009A6923" w:rsidRPr="00784539">
        <w:t xml:space="preserve">10 million or </w:t>
      </w:r>
      <w:r w:rsidR="00C63264" w:rsidRPr="00784539">
        <w:t xml:space="preserve">more transactions </w:t>
      </w:r>
      <w:r w:rsidR="006921BE" w:rsidRPr="00784539">
        <w:t xml:space="preserve">in securities </w:t>
      </w:r>
      <w:r w:rsidR="0044167B" w:rsidRPr="00784539">
        <w:t>are</w:t>
      </w:r>
      <w:r w:rsidR="006921BE" w:rsidRPr="00784539">
        <w:t xml:space="preserve"> entered into </w:t>
      </w:r>
      <w:r w:rsidR="00C63264" w:rsidRPr="00784539">
        <w:t xml:space="preserve">on the market in </w:t>
      </w:r>
      <w:r w:rsidR="006921BE" w:rsidRPr="00784539">
        <w:t>the financial year</w:t>
      </w:r>
      <w:r w:rsidRPr="00784539">
        <w:t>; and</w:t>
      </w:r>
    </w:p>
    <w:p w:rsidR="00E87751" w:rsidRPr="00784539" w:rsidRDefault="00E87751" w:rsidP="00E87751">
      <w:pPr>
        <w:pStyle w:val="paragraph"/>
      </w:pPr>
      <w:r w:rsidRPr="00784539">
        <w:tab/>
        <w:t>(b)</w:t>
      </w:r>
      <w:r w:rsidRPr="00784539">
        <w:tab/>
        <w:t>the market is not an overseas market.</w:t>
      </w:r>
    </w:p>
    <w:p w:rsidR="006921BE" w:rsidRPr="00784539" w:rsidRDefault="00085808" w:rsidP="006921BE">
      <w:pPr>
        <w:pStyle w:val="ActHead5"/>
      </w:pPr>
      <w:bookmarkStart w:id="84" w:name="_Toc485110112"/>
      <w:r w:rsidRPr="00784539">
        <w:rPr>
          <w:rStyle w:val="CharSectno"/>
        </w:rPr>
        <w:t>52</w:t>
      </w:r>
      <w:r w:rsidR="006921BE" w:rsidRPr="00784539">
        <w:t xml:space="preserve">  Large futures exchange operators</w:t>
      </w:r>
      <w:bookmarkEnd w:id="84"/>
    </w:p>
    <w:p w:rsidR="006921BE" w:rsidRPr="00784539" w:rsidRDefault="006921BE" w:rsidP="006921BE">
      <w:pPr>
        <w:pStyle w:val="subsection"/>
      </w:pPr>
      <w:r w:rsidRPr="00784539">
        <w:tab/>
        <w:t>(1)</w:t>
      </w:r>
      <w:r w:rsidRPr="00784539">
        <w:tab/>
        <w:t xml:space="preserve">A leviable entity forms part of the </w:t>
      </w:r>
      <w:r w:rsidRPr="00784539">
        <w:rPr>
          <w:b/>
          <w:i/>
        </w:rPr>
        <w:t>large futures exchange operators</w:t>
      </w:r>
      <w:r w:rsidRPr="00784539">
        <w:rPr>
          <w:b/>
          <w:i/>
          <w:position w:val="6"/>
          <w:sz w:val="16"/>
        </w:rPr>
        <w:t xml:space="preserve"> </w:t>
      </w:r>
      <w:r w:rsidRPr="00784539">
        <w:t>sub</w:t>
      </w:r>
      <w:r w:rsidR="00784539">
        <w:noBreakHyphen/>
      </w:r>
      <w:r w:rsidRPr="00784539">
        <w:t>sector in a financial year if, at any time in the financial year, the entity is the operator of a large futures exchange.</w:t>
      </w:r>
    </w:p>
    <w:p w:rsidR="006921BE" w:rsidRPr="00784539" w:rsidRDefault="006921BE" w:rsidP="006921BE">
      <w:pPr>
        <w:pStyle w:val="SubsectionHead"/>
      </w:pPr>
      <w:r w:rsidRPr="00784539">
        <w:t>Entity metric</w:t>
      </w:r>
    </w:p>
    <w:p w:rsidR="00C010C1" w:rsidRPr="00784539" w:rsidRDefault="006921BE" w:rsidP="006921BE">
      <w:pPr>
        <w:pStyle w:val="subsection"/>
      </w:pPr>
      <w:r w:rsidRPr="00784539">
        <w:tab/>
        <w:t>(2)</w:t>
      </w:r>
      <w:r w:rsidRPr="00784539">
        <w:tab/>
        <w:t xml:space="preserve">The leviable entity’s </w:t>
      </w:r>
      <w:r w:rsidRPr="00784539">
        <w:rPr>
          <w:b/>
          <w:i/>
        </w:rPr>
        <w:t xml:space="preserve">entity metric </w:t>
      </w:r>
      <w:r w:rsidRPr="00784539">
        <w:t>for the sub</w:t>
      </w:r>
      <w:r w:rsidR="00784539">
        <w:noBreakHyphen/>
      </w:r>
      <w:r w:rsidRPr="00784539">
        <w:t>sector for the financial year is</w:t>
      </w:r>
      <w:r w:rsidR="00C010C1" w:rsidRPr="00784539">
        <w:t>:</w:t>
      </w:r>
    </w:p>
    <w:p w:rsidR="00C010C1" w:rsidRPr="00784539" w:rsidRDefault="00C010C1" w:rsidP="00C010C1">
      <w:pPr>
        <w:pStyle w:val="paragraph"/>
      </w:pPr>
      <w:r w:rsidRPr="00784539">
        <w:tab/>
        <w:t>(a)</w:t>
      </w:r>
      <w:r w:rsidRPr="00784539">
        <w:tab/>
        <w:t xml:space="preserve">unless </w:t>
      </w:r>
      <w:r w:rsidR="00784539" w:rsidRPr="00784539">
        <w:t>paragraph (</w:t>
      </w:r>
      <w:r w:rsidRPr="00784539">
        <w:t>b) applies—the number of days in the financial year on which the entity operated the exchange; or</w:t>
      </w:r>
    </w:p>
    <w:p w:rsidR="006921BE" w:rsidRPr="00784539" w:rsidRDefault="00C010C1" w:rsidP="00C010C1">
      <w:pPr>
        <w:pStyle w:val="paragraph"/>
      </w:pPr>
      <w:r w:rsidRPr="00784539">
        <w:tab/>
        <w:t>(b)</w:t>
      </w:r>
      <w:r w:rsidRPr="00784539">
        <w:tab/>
        <w:t xml:space="preserve">if the entity operated 2 or more large futures exchanges in the financial year—the sum of the days worked out under </w:t>
      </w:r>
      <w:r w:rsidR="00784539" w:rsidRPr="00784539">
        <w:t>paragraph (</w:t>
      </w:r>
      <w:r w:rsidRPr="00784539">
        <w:t>a) for each of those exchanges.</w:t>
      </w:r>
    </w:p>
    <w:p w:rsidR="006921BE" w:rsidRPr="00784539" w:rsidRDefault="006921BE" w:rsidP="006921BE">
      <w:pPr>
        <w:pStyle w:val="subsection"/>
      </w:pPr>
      <w:r w:rsidRPr="00784539">
        <w:rPr>
          <w:i/>
        </w:rPr>
        <w:tab/>
      </w:r>
      <w:r w:rsidRPr="00784539">
        <w:t>(3)</w:t>
      </w:r>
      <w:r w:rsidRPr="00784539">
        <w:tab/>
        <w:t xml:space="preserve">A licensed market is a </w:t>
      </w:r>
      <w:r w:rsidRPr="00784539">
        <w:rPr>
          <w:b/>
          <w:i/>
        </w:rPr>
        <w:t>large futures exchange</w:t>
      </w:r>
      <w:r w:rsidRPr="00784539">
        <w:t>, in relation to a financial year, if:</w:t>
      </w:r>
    </w:p>
    <w:p w:rsidR="006921BE" w:rsidRPr="00784539" w:rsidRDefault="006921BE" w:rsidP="006921BE">
      <w:pPr>
        <w:pStyle w:val="paragraph"/>
      </w:pPr>
      <w:r w:rsidRPr="00784539">
        <w:tab/>
        <w:t>(a)</w:t>
      </w:r>
      <w:r w:rsidRPr="00784539">
        <w:tab/>
      </w:r>
      <w:r w:rsidR="009A6923" w:rsidRPr="00784539">
        <w:t xml:space="preserve">10 million or </w:t>
      </w:r>
      <w:r w:rsidRPr="00784539">
        <w:t xml:space="preserve">more futures transactions </w:t>
      </w:r>
      <w:r w:rsidR="00102FB4" w:rsidRPr="00784539">
        <w:t xml:space="preserve">are </w:t>
      </w:r>
      <w:r w:rsidRPr="00784539">
        <w:t>entered into on the market in the financial year; and</w:t>
      </w:r>
    </w:p>
    <w:p w:rsidR="00E87751" w:rsidRPr="00784539" w:rsidRDefault="006921BE" w:rsidP="006921BE">
      <w:pPr>
        <w:pStyle w:val="paragraph"/>
      </w:pPr>
      <w:r w:rsidRPr="00784539">
        <w:tab/>
        <w:t>(b)</w:t>
      </w:r>
      <w:r w:rsidRPr="00784539">
        <w:tab/>
        <w:t>the market is not</w:t>
      </w:r>
      <w:r w:rsidR="00E87751" w:rsidRPr="00784539">
        <w:t>:</w:t>
      </w:r>
    </w:p>
    <w:p w:rsidR="00E87751" w:rsidRPr="00784539" w:rsidRDefault="00E87751" w:rsidP="00E87751">
      <w:pPr>
        <w:pStyle w:val="paragraphsub"/>
      </w:pPr>
      <w:r w:rsidRPr="00784539">
        <w:tab/>
        <w:t>(i)</w:t>
      </w:r>
      <w:r w:rsidRPr="00784539">
        <w:tab/>
        <w:t>an overseas market</w:t>
      </w:r>
      <w:r w:rsidR="008D6DF9" w:rsidRPr="00784539">
        <w:t>; or</w:t>
      </w:r>
    </w:p>
    <w:p w:rsidR="006921BE" w:rsidRPr="00784539" w:rsidRDefault="00E87751" w:rsidP="00E87751">
      <w:pPr>
        <w:pStyle w:val="paragraphsub"/>
      </w:pPr>
      <w:r w:rsidRPr="00784539">
        <w:tab/>
        <w:t>(ii)</w:t>
      </w:r>
      <w:r w:rsidRPr="00784539">
        <w:tab/>
      </w:r>
      <w:r w:rsidR="006921BE" w:rsidRPr="00784539">
        <w:t>a large securities exchange.</w:t>
      </w:r>
    </w:p>
    <w:p w:rsidR="006921BE" w:rsidRPr="00784539" w:rsidRDefault="00085808" w:rsidP="006921BE">
      <w:pPr>
        <w:pStyle w:val="ActHead5"/>
      </w:pPr>
      <w:bookmarkStart w:id="85" w:name="_Toc485110113"/>
      <w:r w:rsidRPr="00784539">
        <w:rPr>
          <w:rStyle w:val="CharSectno"/>
        </w:rPr>
        <w:t>53</w:t>
      </w:r>
      <w:r w:rsidR="006921BE" w:rsidRPr="00784539">
        <w:t xml:space="preserve">  Exempt market operators</w:t>
      </w:r>
      <w:bookmarkEnd w:id="85"/>
    </w:p>
    <w:p w:rsidR="006921BE" w:rsidRPr="00784539" w:rsidRDefault="006921BE" w:rsidP="006921BE">
      <w:pPr>
        <w:pStyle w:val="subsection"/>
      </w:pPr>
      <w:r w:rsidRPr="00784539">
        <w:tab/>
        <w:t>(1)</w:t>
      </w:r>
      <w:r w:rsidRPr="00784539">
        <w:tab/>
        <w:t xml:space="preserve">A leviable entity forms part of the </w:t>
      </w:r>
      <w:r w:rsidRPr="00784539">
        <w:rPr>
          <w:b/>
          <w:i/>
        </w:rPr>
        <w:t>exempt market operators</w:t>
      </w:r>
      <w:r w:rsidRPr="00784539">
        <w:rPr>
          <w:b/>
          <w:i/>
          <w:position w:val="6"/>
          <w:sz w:val="16"/>
        </w:rPr>
        <w:t xml:space="preserve"> </w:t>
      </w:r>
      <w:r w:rsidRPr="00784539">
        <w:t>sub</w:t>
      </w:r>
      <w:r w:rsidR="00784539">
        <w:noBreakHyphen/>
      </w:r>
      <w:r w:rsidRPr="00784539">
        <w:t>sector in a financial year if, at any time in the financial year, the entity is the operator of a financial market that is exempt from the operation of the whole of Part</w:t>
      </w:r>
      <w:r w:rsidR="00784539" w:rsidRPr="00784539">
        <w:t> </w:t>
      </w:r>
      <w:r w:rsidRPr="00784539">
        <w:t xml:space="preserve">7.2 of the </w:t>
      </w:r>
      <w:r w:rsidRPr="00784539">
        <w:rPr>
          <w:i/>
        </w:rPr>
        <w:t>Corporations Act 2001</w:t>
      </w:r>
      <w:r w:rsidRPr="00784539">
        <w:t xml:space="preserve"> (other than because of an exemption granted to a class of financial market under section</w:t>
      </w:r>
      <w:r w:rsidR="00784539" w:rsidRPr="00784539">
        <w:t> </w:t>
      </w:r>
      <w:r w:rsidRPr="00784539">
        <w:t>791C of that Act).</w:t>
      </w:r>
    </w:p>
    <w:p w:rsidR="006921BE" w:rsidRPr="00784539" w:rsidRDefault="006921BE" w:rsidP="006921BE">
      <w:pPr>
        <w:pStyle w:val="SubsectionHead"/>
      </w:pPr>
      <w:r w:rsidRPr="00784539">
        <w:t>Entity metric</w:t>
      </w:r>
    </w:p>
    <w:p w:rsidR="00C010C1" w:rsidRPr="00784539" w:rsidRDefault="006921BE" w:rsidP="006921BE">
      <w:pPr>
        <w:pStyle w:val="subsection"/>
      </w:pPr>
      <w:r w:rsidRPr="00784539">
        <w:tab/>
        <w:t>(2)</w:t>
      </w:r>
      <w:r w:rsidRPr="00784539">
        <w:tab/>
        <w:t xml:space="preserve">The leviable entity’s </w:t>
      </w:r>
      <w:r w:rsidRPr="00784539">
        <w:rPr>
          <w:b/>
          <w:i/>
        </w:rPr>
        <w:t xml:space="preserve">entity metric </w:t>
      </w:r>
      <w:r w:rsidRPr="00784539">
        <w:t>for the sub</w:t>
      </w:r>
      <w:r w:rsidR="00784539">
        <w:noBreakHyphen/>
      </w:r>
      <w:r w:rsidRPr="00784539">
        <w:t>sector for the financial year is</w:t>
      </w:r>
      <w:r w:rsidR="00C010C1" w:rsidRPr="00784539">
        <w:t>:</w:t>
      </w:r>
    </w:p>
    <w:p w:rsidR="00C010C1" w:rsidRPr="00784539" w:rsidRDefault="00C010C1" w:rsidP="00C010C1">
      <w:pPr>
        <w:pStyle w:val="paragraph"/>
      </w:pPr>
      <w:r w:rsidRPr="00784539">
        <w:tab/>
        <w:t>(a)</w:t>
      </w:r>
      <w:r w:rsidRPr="00784539">
        <w:tab/>
        <w:t xml:space="preserve">unless </w:t>
      </w:r>
      <w:r w:rsidR="00784539" w:rsidRPr="00784539">
        <w:t>paragraph (</w:t>
      </w:r>
      <w:r w:rsidRPr="00784539">
        <w:t>b) applies—the number of days in the financial year on which the entity operated the market; or</w:t>
      </w:r>
    </w:p>
    <w:p w:rsidR="00C010C1" w:rsidRPr="00784539" w:rsidRDefault="00C010C1" w:rsidP="00C010C1">
      <w:pPr>
        <w:pStyle w:val="paragraph"/>
      </w:pPr>
      <w:r w:rsidRPr="00784539">
        <w:tab/>
        <w:t>(b)</w:t>
      </w:r>
      <w:r w:rsidRPr="00784539">
        <w:tab/>
        <w:t xml:space="preserve">if the entity operated 2 or more exempt markets in the financial year—the sum of the days worked out under </w:t>
      </w:r>
      <w:r w:rsidR="00784539" w:rsidRPr="00784539">
        <w:t>paragraph (</w:t>
      </w:r>
      <w:r w:rsidRPr="00784539">
        <w:t>a) for each of those markets.</w:t>
      </w:r>
    </w:p>
    <w:p w:rsidR="006921BE" w:rsidRPr="00784539" w:rsidRDefault="00085808" w:rsidP="006921BE">
      <w:pPr>
        <w:pStyle w:val="ActHead5"/>
      </w:pPr>
      <w:bookmarkStart w:id="86" w:name="_Toc485110114"/>
      <w:r w:rsidRPr="00784539">
        <w:rPr>
          <w:rStyle w:val="CharSectno"/>
        </w:rPr>
        <w:t>54</w:t>
      </w:r>
      <w:r w:rsidR="006921BE" w:rsidRPr="00784539">
        <w:t xml:space="preserve">  Tier 1 clearing and settlement facility operators</w:t>
      </w:r>
      <w:bookmarkEnd w:id="86"/>
    </w:p>
    <w:p w:rsidR="006921BE" w:rsidRPr="00784539" w:rsidRDefault="006921BE" w:rsidP="006921BE">
      <w:pPr>
        <w:pStyle w:val="subsection"/>
      </w:pPr>
      <w:r w:rsidRPr="00784539">
        <w:tab/>
        <w:t>(1)</w:t>
      </w:r>
      <w:r w:rsidRPr="00784539">
        <w:tab/>
        <w:t xml:space="preserve">A leviable entity forms part of the </w:t>
      </w:r>
      <w:r w:rsidRPr="00784539">
        <w:rPr>
          <w:b/>
          <w:i/>
        </w:rPr>
        <w:t>Tier 1 clearing and settlement facilit</w:t>
      </w:r>
      <w:r w:rsidR="00F14A90" w:rsidRPr="00784539">
        <w:rPr>
          <w:b/>
          <w:i/>
        </w:rPr>
        <w:t>y</w:t>
      </w:r>
      <w:r w:rsidRPr="00784539">
        <w:rPr>
          <w:b/>
          <w:i/>
        </w:rPr>
        <w:t xml:space="preserve"> </w:t>
      </w:r>
      <w:r w:rsidR="009F1F3A" w:rsidRPr="00784539">
        <w:rPr>
          <w:b/>
          <w:i/>
        </w:rPr>
        <w:t xml:space="preserve">operators </w:t>
      </w:r>
      <w:r w:rsidRPr="00784539">
        <w:t>sub</w:t>
      </w:r>
      <w:r w:rsidR="00784539">
        <w:noBreakHyphen/>
      </w:r>
      <w:r w:rsidRPr="00784539">
        <w:t>sector in a financial year if, at any time in the financial year, the entity holds an Australian CS facility licence that was granted in relation to a clearing and settlement facility that:</w:t>
      </w:r>
    </w:p>
    <w:p w:rsidR="006921BE" w:rsidRPr="00784539" w:rsidRDefault="006921BE" w:rsidP="006921BE">
      <w:pPr>
        <w:pStyle w:val="paragraph"/>
      </w:pPr>
      <w:r w:rsidRPr="00784539">
        <w:tab/>
        <w:t>(a)</w:t>
      </w:r>
      <w:r w:rsidRPr="00784539">
        <w:tab/>
        <w:t>is systemically important in Australia; and</w:t>
      </w:r>
    </w:p>
    <w:p w:rsidR="006921BE" w:rsidRPr="00784539" w:rsidRDefault="006921BE" w:rsidP="006921BE">
      <w:pPr>
        <w:pStyle w:val="paragraph"/>
      </w:pPr>
      <w:r w:rsidRPr="00784539">
        <w:tab/>
        <w:t>(b)</w:t>
      </w:r>
      <w:r w:rsidRPr="00784539">
        <w:tab/>
        <w:t xml:space="preserve">has </w:t>
      </w:r>
      <w:r w:rsidR="00F37AB5" w:rsidRPr="00784539">
        <w:t xml:space="preserve">a </w:t>
      </w:r>
      <w:r w:rsidRPr="00784539">
        <w:t>strong connection to the Australian financial system.</w:t>
      </w:r>
    </w:p>
    <w:p w:rsidR="006921BE" w:rsidRPr="00784539" w:rsidRDefault="006921BE" w:rsidP="006921BE">
      <w:pPr>
        <w:pStyle w:val="SubsectionHead"/>
      </w:pPr>
      <w:r w:rsidRPr="00784539">
        <w:t>Entity metric</w:t>
      </w:r>
    </w:p>
    <w:p w:rsidR="00C010C1" w:rsidRPr="00784539" w:rsidRDefault="006921BE" w:rsidP="006921BE">
      <w:pPr>
        <w:pStyle w:val="subsection"/>
      </w:pPr>
      <w:r w:rsidRPr="00784539">
        <w:tab/>
        <w:t>(2)</w:t>
      </w:r>
      <w:r w:rsidRPr="00784539">
        <w:tab/>
        <w:t xml:space="preserve">The leviable entity’s </w:t>
      </w:r>
      <w:r w:rsidRPr="00784539">
        <w:rPr>
          <w:b/>
          <w:i/>
        </w:rPr>
        <w:t xml:space="preserve">entity metric </w:t>
      </w:r>
      <w:r w:rsidRPr="00784539">
        <w:t>for the sub</w:t>
      </w:r>
      <w:r w:rsidR="00784539">
        <w:noBreakHyphen/>
      </w:r>
      <w:r w:rsidRPr="00784539">
        <w:t>sector for the financial year is</w:t>
      </w:r>
      <w:r w:rsidR="00C010C1" w:rsidRPr="00784539">
        <w:t>:</w:t>
      </w:r>
    </w:p>
    <w:p w:rsidR="00C010C1" w:rsidRPr="00784539" w:rsidRDefault="00C010C1" w:rsidP="00C010C1">
      <w:pPr>
        <w:pStyle w:val="paragraph"/>
      </w:pPr>
      <w:r w:rsidRPr="00784539">
        <w:tab/>
        <w:t>(a)</w:t>
      </w:r>
      <w:r w:rsidRPr="00784539">
        <w:tab/>
        <w:t xml:space="preserve">unless </w:t>
      </w:r>
      <w:r w:rsidR="00784539" w:rsidRPr="00784539">
        <w:t>paragraph (</w:t>
      </w:r>
      <w:r w:rsidRPr="00784539">
        <w:t xml:space="preserve">b) applies—the number of days in the financial year on which the entity operated the </w:t>
      </w:r>
      <w:r w:rsidR="00120A04" w:rsidRPr="00784539">
        <w:t>facility</w:t>
      </w:r>
      <w:r w:rsidRPr="00784539">
        <w:t>; or</w:t>
      </w:r>
    </w:p>
    <w:p w:rsidR="00C010C1" w:rsidRPr="00784539" w:rsidRDefault="00C010C1" w:rsidP="00C010C1">
      <w:pPr>
        <w:pStyle w:val="paragraph"/>
      </w:pPr>
      <w:r w:rsidRPr="00784539">
        <w:tab/>
        <w:t>(b)</w:t>
      </w:r>
      <w:r w:rsidRPr="00784539">
        <w:tab/>
        <w:t>if the entity operated 2 or more</w:t>
      </w:r>
      <w:r w:rsidR="00120A04" w:rsidRPr="00784539">
        <w:t xml:space="preserve"> clearing and settlement facilities of the kind mentioned in </w:t>
      </w:r>
      <w:r w:rsidR="00784539" w:rsidRPr="00784539">
        <w:t>subsection (</w:t>
      </w:r>
      <w:r w:rsidR="00120A04" w:rsidRPr="00784539">
        <w:t>1)</w:t>
      </w:r>
      <w:r w:rsidR="00B73FC8" w:rsidRPr="00784539">
        <w:t xml:space="preserve"> in the financial year</w:t>
      </w:r>
      <w:r w:rsidR="00120A04" w:rsidRPr="00784539">
        <w:t>—</w:t>
      </w:r>
      <w:r w:rsidRPr="00784539">
        <w:t xml:space="preserve">the sum of the days worked out under </w:t>
      </w:r>
      <w:r w:rsidR="00784539" w:rsidRPr="00784539">
        <w:t>paragraph (</w:t>
      </w:r>
      <w:r w:rsidRPr="00784539">
        <w:t xml:space="preserve">a) for each of those </w:t>
      </w:r>
      <w:r w:rsidR="00120A04" w:rsidRPr="00784539">
        <w:t>facilitie</w:t>
      </w:r>
      <w:r w:rsidR="00113CE6" w:rsidRPr="00784539">
        <w:t>s</w:t>
      </w:r>
      <w:r w:rsidRPr="00784539">
        <w:t>.</w:t>
      </w:r>
    </w:p>
    <w:p w:rsidR="006921BE" w:rsidRPr="00784539" w:rsidRDefault="00085808" w:rsidP="006921BE">
      <w:pPr>
        <w:pStyle w:val="ActHead5"/>
      </w:pPr>
      <w:bookmarkStart w:id="87" w:name="_Toc485110115"/>
      <w:r w:rsidRPr="00784539">
        <w:rPr>
          <w:rStyle w:val="CharSectno"/>
        </w:rPr>
        <w:t>55</w:t>
      </w:r>
      <w:r w:rsidR="006921BE" w:rsidRPr="00784539">
        <w:t xml:space="preserve">  Tier 2 clearing and settlement facility operators</w:t>
      </w:r>
      <w:bookmarkEnd w:id="87"/>
    </w:p>
    <w:p w:rsidR="006921BE" w:rsidRPr="00784539" w:rsidRDefault="006921BE" w:rsidP="006921BE">
      <w:pPr>
        <w:pStyle w:val="subsection"/>
      </w:pPr>
      <w:r w:rsidRPr="00784539">
        <w:tab/>
        <w:t>(1)</w:t>
      </w:r>
      <w:r w:rsidRPr="00784539">
        <w:tab/>
        <w:t xml:space="preserve">A leviable entity forms part of the </w:t>
      </w:r>
      <w:r w:rsidRPr="00784539">
        <w:rPr>
          <w:b/>
          <w:i/>
        </w:rPr>
        <w:t>Tier 2 clearing and settlement facilit</w:t>
      </w:r>
      <w:r w:rsidR="00F14A90" w:rsidRPr="00784539">
        <w:rPr>
          <w:b/>
          <w:i/>
        </w:rPr>
        <w:t>y</w:t>
      </w:r>
      <w:r w:rsidR="009F1F3A" w:rsidRPr="00784539">
        <w:rPr>
          <w:b/>
          <w:i/>
        </w:rPr>
        <w:t xml:space="preserve"> operators</w:t>
      </w:r>
      <w:r w:rsidRPr="00784539">
        <w:rPr>
          <w:b/>
          <w:i/>
          <w:position w:val="6"/>
          <w:sz w:val="16"/>
        </w:rPr>
        <w:t xml:space="preserve"> </w:t>
      </w:r>
      <w:r w:rsidRPr="00784539">
        <w:t>sub</w:t>
      </w:r>
      <w:r w:rsidR="00784539">
        <w:noBreakHyphen/>
      </w:r>
      <w:r w:rsidRPr="00784539">
        <w:t>sector in a financial year if, at any time in the financial year, the entity holds an Australian CS facility licence that was granted under subsection</w:t>
      </w:r>
      <w:r w:rsidR="00784539" w:rsidRPr="00784539">
        <w:t> </w:t>
      </w:r>
      <w:r w:rsidRPr="00784539">
        <w:t xml:space="preserve">824B(2) of the </w:t>
      </w:r>
      <w:r w:rsidRPr="00784539">
        <w:rPr>
          <w:i/>
        </w:rPr>
        <w:t xml:space="preserve">Corporations Act 2001 </w:t>
      </w:r>
      <w:r w:rsidRPr="00784539">
        <w:t>in relation to a clearing and settlement facility that:</w:t>
      </w:r>
    </w:p>
    <w:p w:rsidR="006921BE" w:rsidRPr="00784539" w:rsidRDefault="006921BE" w:rsidP="006921BE">
      <w:pPr>
        <w:pStyle w:val="paragraph"/>
      </w:pPr>
      <w:r w:rsidRPr="00784539">
        <w:tab/>
        <w:t>(a)</w:t>
      </w:r>
      <w:r w:rsidRPr="00784539">
        <w:tab/>
        <w:t>is systemically important in Australia; and</w:t>
      </w:r>
    </w:p>
    <w:p w:rsidR="006921BE" w:rsidRPr="00784539" w:rsidRDefault="006921BE" w:rsidP="006921BE">
      <w:pPr>
        <w:pStyle w:val="paragraph"/>
      </w:pPr>
      <w:r w:rsidRPr="00784539">
        <w:tab/>
        <w:t>(b)</w:t>
      </w:r>
      <w:r w:rsidRPr="00784539">
        <w:tab/>
        <w:t>has no strong connection to the Australian financial system.</w:t>
      </w:r>
    </w:p>
    <w:p w:rsidR="006921BE" w:rsidRPr="00784539" w:rsidRDefault="006921BE" w:rsidP="006921BE">
      <w:pPr>
        <w:pStyle w:val="SubsectionHead"/>
      </w:pPr>
      <w:r w:rsidRPr="00784539">
        <w:t>Entity metric</w:t>
      </w:r>
    </w:p>
    <w:p w:rsidR="005C73D9" w:rsidRPr="00784539" w:rsidRDefault="005C73D9" w:rsidP="005C73D9">
      <w:pPr>
        <w:pStyle w:val="subsection"/>
      </w:pPr>
      <w:r w:rsidRPr="00784539">
        <w:tab/>
        <w:t>(2)</w:t>
      </w:r>
      <w:r w:rsidRPr="00784539">
        <w:tab/>
        <w:t xml:space="preserve">The leviable entity’s </w:t>
      </w:r>
      <w:r w:rsidRPr="00784539">
        <w:rPr>
          <w:b/>
          <w:i/>
        </w:rPr>
        <w:t xml:space="preserve">entity metric </w:t>
      </w:r>
      <w:r w:rsidRPr="00784539">
        <w:t>for the sub</w:t>
      </w:r>
      <w:r w:rsidR="00784539">
        <w:noBreakHyphen/>
      </w:r>
      <w:r w:rsidRPr="00784539">
        <w:t>sector for the financial year is:</w:t>
      </w:r>
    </w:p>
    <w:p w:rsidR="005C73D9" w:rsidRPr="00784539" w:rsidRDefault="005C73D9" w:rsidP="005C73D9">
      <w:pPr>
        <w:pStyle w:val="paragraph"/>
      </w:pPr>
      <w:r w:rsidRPr="00784539">
        <w:tab/>
        <w:t>(a)</w:t>
      </w:r>
      <w:r w:rsidRPr="00784539">
        <w:tab/>
        <w:t xml:space="preserve">unless </w:t>
      </w:r>
      <w:r w:rsidR="00784539" w:rsidRPr="00784539">
        <w:t>paragraph (</w:t>
      </w:r>
      <w:r w:rsidRPr="00784539">
        <w:t>b) applies—the number of days in the financial year on which the entity operated the facility; or</w:t>
      </w:r>
    </w:p>
    <w:p w:rsidR="005C73D9" w:rsidRPr="00784539" w:rsidRDefault="005C73D9" w:rsidP="005C73D9">
      <w:pPr>
        <w:pStyle w:val="paragraph"/>
      </w:pPr>
      <w:r w:rsidRPr="00784539">
        <w:tab/>
        <w:t>(b)</w:t>
      </w:r>
      <w:r w:rsidRPr="00784539">
        <w:tab/>
        <w:t xml:space="preserve">if the entity operated 2 or more clearing and settlement facilities of the kind mentioned in </w:t>
      </w:r>
      <w:r w:rsidR="00784539" w:rsidRPr="00784539">
        <w:t>subsection (</w:t>
      </w:r>
      <w:r w:rsidRPr="00784539">
        <w:t>1)</w:t>
      </w:r>
      <w:r w:rsidR="00B73FC8" w:rsidRPr="00784539">
        <w:t xml:space="preserve"> in the financial year</w:t>
      </w:r>
      <w:r w:rsidRPr="00784539">
        <w:t xml:space="preserve">—the sum of the days worked out under </w:t>
      </w:r>
      <w:r w:rsidR="00784539" w:rsidRPr="00784539">
        <w:t>paragraph (</w:t>
      </w:r>
      <w:r w:rsidRPr="00784539">
        <w:t>a) for each of those facilities.</w:t>
      </w:r>
    </w:p>
    <w:p w:rsidR="006921BE" w:rsidRPr="00784539" w:rsidRDefault="00085808" w:rsidP="006921BE">
      <w:pPr>
        <w:pStyle w:val="ActHead5"/>
      </w:pPr>
      <w:bookmarkStart w:id="88" w:name="_Toc485110116"/>
      <w:r w:rsidRPr="00784539">
        <w:rPr>
          <w:rStyle w:val="CharSectno"/>
        </w:rPr>
        <w:t>56</w:t>
      </w:r>
      <w:r w:rsidR="006921BE" w:rsidRPr="00784539">
        <w:t xml:space="preserve">  Tier 3 clearing and settlement facility operators</w:t>
      </w:r>
      <w:bookmarkEnd w:id="88"/>
    </w:p>
    <w:p w:rsidR="006921BE" w:rsidRPr="00784539" w:rsidRDefault="006921BE" w:rsidP="006921BE">
      <w:pPr>
        <w:pStyle w:val="subsection"/>
      </w:pPr>
      <w:r w:rsidRPr="00784539">
        <w:tab/>
        <w:t>(1)</w:t>
      </w:r>
      <w:r w:rsidRPr="00784539">
        <w:tab/>
        <w:t xml:space="preserve">A leviable entity forms part of the </w:t>
      </w:r>
      <w:r w:rsidRPr="00784539">
        <w:rPr>
          <w:b/>
          <w:i/>
        </w:rPr>
        <w:t>Tier 3 clearing and settlement facilit</w:t>
      </w:r>
      <w:r w:rsidR="00F14A90" w:rsidRPr="00784539">
        <w:rPr>
          <w:b/>
          <w:i/>
        </w:rPr>
        <w:t>y</w:t>
      </w:r>
      <w:r w:rsidR="009F1F3A" w:rsidRPr="00784539">
        <w:rPr>
          <w:b/>
          <w:i/>
        </w:rPr>
        <w:t xml:space="preserve"> operators</w:t>
      </w:r>
      <w:r w:rsidRPr="00784539">
        <w:rPr>
          <w:b/>
          <w:i/>
          <w:position w:val="6"/>
          <w:sz w:val="16"/>
        </w:rPr>
        <w:t xml:space="preserve"> </w:t>
      </w:r>
      <w:r w:rsidRPr="00784539">
        <w:t>sub</w:t>
      </w:r>
      <w:r w:rsidR="00784539">
        <w:noBreakHyphen/>
      </w:r>
      <w:r w:rsidRPr="00784539">
        <w:t>sector in a financial year if, at any time in the financial year, the entity holds an Australian CS facility licence that was granted in relation to a clearing and settlement facility that:</w:t>
      </w:r>
    </w:p>
    <w:p w:rsidR="006921BE" w:rsidRPr="00784539" w:rsidRDefault="006921BE" w:rsidP="006921BE">
      <w:pPr>
        <w:pStyle w:val="paragraph"/>
      </w:pPr>
      <w:r w:rsidRPr="00784539">
        <w:tab/>
        <w:t>(a)</w:t>
      </w:r>
      <w:r w:rsidRPr="00784539">
        <w:tab/>
        <w:t>is not systemically important in Australia; and</w:t>
      </w:r>
    </w:p>
    <w:p w:rsidR="006921BE" w:rsidRPr="00784539" w:rsidRDefault="006921BE" w:rsidP="006921BE">
      <w:pPr>
        <w:pStyle w:val="paragraph"/>
      </w:pPr>
      <w:r w:rsidRPr="00784539">
        <w:tab/>
        <w:t>(b)</w:t>
      </w:r>
      <w:r w:rsidRPr="00784539">
        <w:tab/>
        <w:t>has no strong connect</w:t>
      </w:r>
      <w:r w:rsidR="00E72696" w:rsidRPr="00784539">
        <w:t>ion</w:t>
      </w:r>
      <w:r w:rsidRPr="00784539">
        <w:t xml:space="preserve"> to the Australian financial system.</w:t>
      </w:r>
    </w:p>
    <w:p w:rsidR="006921BE" w:rsidRPr="00784539" w:rsidRDefault="006921BE" w:rsidP="006921BE">
      <w:pPr>
        <w:pStyle w:val="SubsectionHead"/>
      </w:pPr>
      <w:r w:rsidRPr="00784539">
        <w:t>Entity metric</w:t>
      </w:r>
    </w:p>
    <w:p w:rsidR="005C73D9" w:rsidRPr="00784539" w:rsidRDefault="005C73D9" w:rsidP="005C73D9">
      <w:pPr>
        <w:pStyle w:val="subsection"/>
      </w:pPr>
      <w:r w:rsidRPr="00784539">
        <w:tab/>
        <w:t>(2)</w:t>
      </w:r>
      <w:r w:rsidRPr="00784539">
        <w:tab/>
        <w:t xml:space="preserve">The leviable entity’s </w:t>
      </w:r>
      <w:r w:rsidRPr="00784539">
        <w:rPr>
          <w:b/>
          <w:i/>
        </w:rPr>
        <w:t xml:space="preserve">entity metric </w:t>
      </w:r>
      <w:r w:rsidRPr="00784539">
        <w:t>for the sub</w:t>
      </w:r>
      <w:r w:rsidR="00784539">
        <w:noBreakHyphen/>
      </w:r>
      <w:r w:rsidRPr="00784539">
        <w:t>sector for the financial year is:</w:t>
      </w:r>
    </w:p>
    <w:p w:rsidR="005C73D9" w:rsidRPr="00784539" w:rsidRDefault="005C73D9" w:rsidP="005C73D9">
      <w:pPr>
        <w:pStyle w:val="paragraph"/>
      </w:pPr>
      <w:r w:rsidRPr="00784539">
        <w:tab/>
        <w:t>(a)</w:t>
      </w:r>
      <w:r w:rsidRPr="00784539">
        <w:tab/>
        <w:t xml:space="preserve">unless </w:t>
      </w:r>
      <w:r w:rsidR="00784539" w:rsidRPr="00784539">
        <w:t>paragraph (</w:t>
      </w:r>
      <w:r w:rsidRPr="00784539">
        <w:t>b) applies—the number of days in the financial year on which the entity operated the facility; or</w:t>
      </w:r>
    </w:p>
    <w:p w:rsidR="005C73D9" w:rsidRPr="00784539" w:rsidRDefault="005C73D9" w:rsidP="005C73D9">
      <w:pPr>
        <w:pStyle w:val="paragraph"/>
      </w:pPr>
      <w:r w:rsidRPr="00784539">
        <w:tab/>
        <w:t>(b)</w:t>
      </w:r>
      <w:r w:rsidRPr="00784539">
        <w:tab/>
        <w:t xml:space="preserve">if the entity operated 2 or more clearing and settlement facilities of the kind mentioned in </w:t>
      </w:r>
      <w:r w:rsidR="00784539" w:rsidRPr="00784539">
        <w:t>subsection (</w:t>
      </w:r>
      <w:r w:rsidRPr="00784539">
        <w:t>1)</w:t>
      </w:r>
      <w:r w:rsidR="00B73FC8" w:rsidRPr="00784539">
        <w:t xml:space="preserve"> in the financial year</w:t>
      </w:r>
      <w:r w:rsidRPr="00784539">
        <w:t xml:space="preserve">—the sum of the days worked out under </w:t>
      </w:r>
      <w:r w:rsidR="00784539" w:rsidRPr="00784539">
        <w:t>paragraph (</w:t>
      </w:r>
      <w:r w:rsidRPr="00784539">
        <w:t>a) for each of those facilities.</w:t>
      </w:r>
    </w:p>
    <w:p w:rsidR="006921BE" w:rsidRPr="00784539" w:rsidRDefault="00085808" w:rsidP="006921BE">
      <w:pPr>
        <w:pStyle w:val="ActHead5"/>
      </w:pPr>
      <w:bookmarkStart w:id="89" w:name="_Toc485110117"/>
      <w:r w:rsidRPr="00784539">
        <w:rPr>
          <w:rStyle w:val="CharSectno"/>
        </w:rPr>
        <w:t>57</w:t>
      </w:r>
      <w:r w:rsidR="006921BE" w:rsidRPr="00784539">
        <w:t xml:space="preserve">  Tier 4 clearing and settlement facility operators</w:t>
      </w:r>
      <w:bookmarkEnd w:id="89"/>
    </w:p>
    <w:p w:rsidR="006921BE" w:rsidRPr="00784539" w:rsidRDefault="006921BE" w:rsidP="006921BE">
      <w:pPr>
        <w:pStyle w:val="subsection"/>
      </w:pPr>
      <w:r w:rsidRPr="00784539">
        <w:tab/>
        <w:t>(1)</w:t>
      </w:r>
      <w:r w:rsidRPr="00784539">
        <w:tab/>
        <w:t xml:space="preserve">A leviable entity forms part of the </w:t>
      </w:r>
      <w:r w:rsidRPr="00784539">
        <w:rPr>
          <w:b/>
          <w:i/>
        </w:rPr>
        <w:t>Tier 4 clearing and settlement facilit</w:t>
      </w:r>
      <w:r w:rsidR="00F14A90" w:rsidRPr="00784539">
        <w:rPr>
          <w:b/>
          <w:i/>
        </w:rPr>
        <w:t>y</w:t>
      </w:r>
      <w:r w:rsidR="009F1F3A" w:rsidRPr="00784539">
        <w:rPr>
          <w:b/>
          <w:i/>
        </w:rPr>
        <w:t xml:space="preserve"> operators</w:t>
      </w:r>
      <w:r w:rsidRPr="00784539">
        <w:rPr>
          <w:b/>
          <w:i/>
          <w:position w:val="6"/>
          <w:sz w:val="16"/>
        </w:rPr>
        <w:t xml:space="preserve"> </w:t>
      </w:r>
      <w:r w:rsidRPr="00784539">
        <w:t>sub</w:t>
      </w:r>
      <w:r w:rsidR="00784539">
        <w:noBreakHyphen/>
      </w:r>
      <w:r w:rsidRPr="00784539">
        <w:t>sector in a financial year if, at any time in the financial year, the entity holds an Australian CS facility licence that authorises the entity to operate a clearing and settlement facility for the sole purpose of clearing and settling trades in the entity’s own shares.</w:t>
      </w:r>
    </w:p>
    <w:p w:rsidR="006921BE" w:rsidRPr="00784539" w:rsidRDefault="006921BE" w:rsidP="006921BE">
      <w:pPr>
        <w:pStyle w:val="SubsectionHead"/>
      </w:pPr>
      <w:r w:rsidRPr="00784539">
        <w:t>Entity metric</w:t>
      </w:r>
    </w:p>
    <w:p w:rsidR="005C73D9" w:rsidRPr="00784539" w:rsidRDefault="005C73D9" w:rsidP="005C73D9">
      <w:pPr>
        <w:pStyle w:val="subsection"/>
      </w:pPr>
      <w:r w:rsidRPr="00784539">
        <w:tab/>
        <w:t>(2)</w:t>
      </w:r>
      <w:r w:rsidRPr="00784539">
        <w:tab/>
        <w:t xml:space="preserve">The leviable entity’s </w:t>
      </w:r>
      <w:r w:rsidRPr="00784539">
        <w:rPr>
          <w:b/>
          <w:i/>
        </w:rPr>
        <w:t xml:space="preserve">entity metric </w:t>
      </w:r>
      <w:r w:rsidRPr="00784539">
        <w:t>for the sub</w:t>
      </w:r>
      <w:r w:rsidR="00784539">
        <w:noBreakHyphen/>
      </w:r>
      <w:r w:rsidRPr="00784539">
        <w:t>sector for the financial year is:</w:t>
      </w:r>
    </w:p>
    <w:p w:rsidR="005C73D9" w:rsidRPr="00784539" w:rsidRDefault="005C73D9" w:rsidP="005C73D9">
      <w:pPr>
        <w:pStyle w:val="paragraph"/>
      </w:pPr>
      <w:r w:rsidRPr="00784539">
        <w:tab/>
        <w:t>(a)</w:t>
      </w:r>
      <w:r w:rsidRPr="00784539">
        <w:tab/>
        <w:t xml:space="preserve">unless </w:t>
      </w:r>
      <w:r w:rsidR="00784539" w:rsidRPr="00784539">
        <w:t>paragraph (</w:t>
      </w:r>
      <w:r w:rsidRPr="00784539">
        <w:t>b) applies—the number of days in the financial year on which the entity operated the facility; or</w:t>
      </w:r>
    </w:p>
    <w:p w:rsidR="005C73D9" w:rsidRPr="00784539" w:rsidRDefault="005C73D9" w:rsidP="005C73D9">
      <w:pPr>
        <w:pStyle w:val="paragraph"/>
      </w:pPr>
      <w:r w:rsidRPr="00784539">
        <w:tab/>
        <w:t>(b)</w:t>
      </w:r>
      <w:r w:rsidRPr="00784539">
        <w:tab/>
        <w:t xml:space="preserve">if the entity operated 2 or more clearing and settlement facilities of the kind mentioned in </w:t>
      </w:r>
      <w:r w:rsidR="00784539" w:rsidRPr="00784539">
        <w:t>subsection (</w:t>
      </w:r>
      <w:r w:rsidRPr="00784539">
        <w:t>1)</w:t>
      </w:r>
      <w:r w:rsidR="00B73FC8" w:rsidRPr="00784539">
        <w:t xml:space="preserve"> in the financial year</w:t>
      </w:r>
      <w:r w:rsidRPr="00784539">
        <w:t xml:space="preserve">—the sum of the days worked out under </w:t>
      </w:r>
      <w:r w:rsidR="00784539" w:rsidRPr="00784539">
        <w:t>paragraph (</w:t>
      </w:r>
      <w:r w:rsidRPr="00784539">
        <w:t>a) for each of those facilities.</w:t>
      </w:r>
    </w:p>
    <w:p w:rsidR="006921BE" w:rsidRPr="00784539" w:rsidRDefault="00085808" w:rsidP="006921BE">
      <w:pPr>
        <w:pStyle w:val="ActHead5"/>
      </w:pPr>
      <w:bookmarkStart w:id="90" w:name="_Toc485110118"/>
      <w:r w:rsidRPr="00784539">
        <w:rPr>
          <w:rStyle w:val="CharSectno"/>
        </w:rPr>
        <w:t>58</w:t>
      </w:r>
      <w:r w:rsidR="006921BE" w:rsidRPr="00784539">
        <w:t xml:space="preserve">  Exempt CS facility operators</w:t>
      </w:r>
      <w:bookmarkEnd w:id="90"/>
    </w:p>
    <w:p w:rsidR="006921BE" w:rsidRPr="00784539" w:rsidRDefault="006921BE" w:rsidP="006921BE">
      <w:pPr>
        <w:pStyle w:val="subsection"/>
      </w:pPr>
      <w:r w:rsidRPr="00784539">
        <w:tab/>
        <w:t>(1)</w:t>
      </w:r>
      <w:r w:rsidRPr="00784539">
        <w:tab/>
        <w:t xml:space="preserve">A leviable entity forms part of the </w:t>
      </w:r>
      <w:r w:rsidRPr="00784539">
        <w:rPr>
          <w:b/>
          <w:i/>
        </w:rPr>
        <w:t>exempt CS facility operators</w:t>
      </w:r>
      <w:r w:rsidRPr="00784539">
        <w:rPr>
          <w:b/>
          <w:i/>
          <w:position w:val="6"/>
          <w:sz w:val="16"/>
        </w:rPr>
        <w:t xml:space="preserve"> </w:t>
      </w:r>
      <w:r w:rsidRPr="00784539">
        <w:t>sub</w:t>
      </w:r>
      <w:r w:rsidR="00784539">
        <w:noBreakHyphen/>
      </w:r>
      <w:r w:rsidRPr="00784539">
        <w:t>sector in a financial year if, at any time in the financial year, the entity is the operator of a clearing and settlement facility that is exempt from the operation of the whole of Part</w:t>
      </w:r>
      <w:r w:rsidR="00784539" w:rsidRPr="00784539">
        <w:t> </w:t>
      </w:r>
      <w:r w:rsidRPr="00784539">
        <w:t xml:space="preserve">7.3 of the </w:t>
      </w:r>
      <w:r w:rsidRPr="00784539">
        <w:rPr>
          <w:i/>
        </w:rPr>
        <w:t>Corporations Act 2001</w:t>
      </w:r>
      <w:r w:rsidRPr="00784539">
        <w:t>.</w:t>
      </w:r>
    </w:p>
    <w:p w:rsidR="006921BE" w:rsidRPr="00784539" w:rsidRDefault="006921BE" w:rsidP="006921BE">
      <w:pPr>
        <w:pStyle w:val="SubsectionHead"/>
      </w:pPr>
      <w:r w:rsidRPr="00784539">
        <w:t>Entity metric</w:t>
      </w:r>
    </w:p>
    <w:p w:rsidR="005C73D9" w:rsidRPr="00784539" w:rsidRDefault="006921BE" w:rsidP="006921BE">
      <w:pPr>
        <w:pStyle w:val="subsection"/>
      </w:pPr>
      <w:r w:rsidRPr="00784539">
        <w:tab/>
        <w:t>(2)</w:t>
      </w:r>
      <w:r w:rsidRPr="00784539">
        <w:tab/>
      </w:r>
      <w:r w:rsidR="002226AF" w:rsidRPr="00784539">
        <w:t xml:space="preserve">The leviable entity’s </w:t>
      </w:r>
      <w:r w:rsidR="002226AF" w:rsidRPr="00784539">
        <w:rPr>
          <w:b/>
          <w:i/>
        </w:rPr>
        <w:t xml:space="preserve">entity metric </w:t>
      </w:r>
      <w:r w:rsidR="002226AF" w:rsidRPr="00784539">
        <w:t>for the sub</w:t>
      </w:r>
      <w:r w:rsidR="00784539">
        <w:noBreakHyphen/>
      </w:r>
      <w:r w:rsidR="002226AF" w:rsidRPr="00784539">
        <w:t>sector for the financial year is</w:t>
      </w:r>
      <w:r w:rsidR="005C73D9" w:rsidRPr="00784539">
        <w:t>:</w:t>
      </w:r>
    </w:p>
    <w:p w:rsidR="005C73D9" w:rsidRPr="00784539" w:rsidRDefault="005C73D9" w:rsidP="005C73D9">
      <w:pPr>
        <w:pStyle w:val="paragraph"/>
      </w:pPr>
      <w:r w:rsidRPr="00784539">
        <w:tab/>
        <w:t>(a)</w:t>
      </w:r>
      <w:r w:rsidRPr="00784539">
        <w:tab/>
        <w:t xml:space="preserve">unless </w:t>
      </w:r>
      <w:r w:rsidR="00784539" w:rsidRPr="00784539">
        <w:t>paragraph (</w:t>
      </w:r>
      <w:r w:rsidRPr="00784539">
        <w:t>b) applies—the number of days in the financial year on which the entity operated the facility; or</w:t>
      </w:r>
    </w:p>
    <w:p w:rsidR="005C73D9" w:rsidRPr="00784539" w:rsidRDefault="005C73D9" w:rsidP="005C73D9">
      <w:pPr>
        <w:pStyle w:val="paragraph"/>
      </w:pPr>
      <w:r w:rsidRPr="00784539">
        <w:tab/>
        <w:t>(b)</w:t>
      </w:r>
      <w:r w:rsidRPr="00784539">
        <w:tab/>
        <w:t xml:space="preserve">if the entity operated 2 or more clearing and settlement facilities of the kind mentioned in </w:t>
      </w:r>
      <w:r w:rsidR="00784539" w:rsidRPr="00784539">
        <w:t>subsection (</w:t>
      </w:r>
      <w:r w:rsidRPr="00784539">
        <w:t>1)</w:t>
      </w:r>
      <w:r w:rsidR="00B73FC8" w:rsidRPr="00784539">
        <w:t xml:space="preserve"> in the financial year</w:t>
      </w:r>
      <w:r w:rsidRPr="00784539">
        <w:t xml:space="preserve">—the sum of the days worked out under </w:t>
      </w:r>
      <w:r w:rsidR="00784539" w:rsidRPr="00784539">
        <w:t>paragraph (</w:t>
      </w:r>
      <w:r w:rsidRPr="00784539">
        <w:t>a) for each of those facilities.</w:t>
      </w:r>
    </w:p>
    <w:p w:rsidR="00A36634" w:rsidRPr="00784539" w:rsidRDefault="00085808" w:rsidP="00A36634">
      <w:pPr>
        <w:pStyle w:val="ActHead5"/>
      </w:pPr>
      <w:bookmarkStart w:id="91" w:name="_Toc485110119"/>
      <w:r w:rsidRPr="00784539">
        <w:rPr>
          <w:rStyle w:val="CharSectno"/>
        </w:rPr>
        <w:t>59</w:t>
      </w:r>
      <w:r w:rsidR="00A36634" w:rsidRPr="00784539">
        <w:t xml:space="preserve">  Australian derivative trade repository </w:t>
      </w:r>
      <w:r w:rsidR="00272B1C" w:rsidRPr="00784539">
        <w:t>operators</w:t>
      </w:r>
      <w:bookmarkEnd w:id="91"/>
    </w:p>
    <w:p w:rsidR="00A36634" w:rsidRPr="00784539" w:rsidRDefault="00A36634" w:rsidP="00A36634">
      <w:pPr>
        <w:pStyle w:val="subsection"/>
      </w:pPr>
      <w:r w:rsidRPr="00784539">
        <w:tab/>
      </w:r>
      <w:r w:rsidR="004D15E9" w:rsidRPr="00784539">
        <w:t>(1)</w:t>
      </w:r>
      <w:r w:rsidRPr="00784539">
        <w:tab/>
        <w:t xml:space="preserve">A leviable entity forms part of the </w:t>
      </w:r>
      <w:r w:rsidRPr="00784539">
        <w:rPr>
          <w:b/>
          <w:i/>
        </w:rPr>
        <w:t xml:space="preserve">Australian derivative trade repository </w:t>
      </w:r>
      <w:r w:rsidR="00272B1C" w:rsidRPr="00784539">
        <w:rPr>
          <w:b/>
          <w:i/>
        </w:rPr>
        <w:t>operators</w:t>
      </w:r>
      <w:r w:rsidRPr="00784539">
        <w:rPr>
          <w:b/>
          <w:i/>
          <w:position w:val="6"/>
          <w:sz w:val="16"/>
        </w:rPr>
        <w:t xml:space="preserve"> </w:t>
      </w:r>
      <w:r w:rsidRPr="00784539">
        <w:t>sub</w:t>
      </w:r>
      <w:r w:rsidR="00784539">
        <w:noBreakHyphen/>
      </w:r>
      <w:r w:rsidRPr="00784539">
        <w:t xml:space="preserve">sector in a financial year if, </w:t>
      </w:r>
      <w:r w:rsidR="002F043A" w:rsidRPr="00784539">
        <w:t>at any time in the financial year</w:t>
      </w:r>
      <w:r w:rsidRPr="00784539">
        <w:t xml:space="preserve">, the entity </w:t>
      </w:r>
      <w:r w:rsidR="00272B1C" w:rsidRPr="00784539">
        <w:t xml:space="preserve">operates a </w:t>
      </w:r>
      <w:r w:rsidR="00147839" w:rsidRPr="00784539">
        <w:t xml:space="preserve">licensed </w:t>
      </w:r>
      <w:r w:rsidR="00272B1C" w:rsidRPr="00784539">
        <w:t>derivative trade repository</w:t>
      </w:r>
      <w:r w:rsidRPr="00784539">
        <w:t>.</w:t>
      </w:r>
    </w:p>
    <w:p w:rsidR="004D15E9" w:rsidRPr="00784539" w:rsidRDefault="004D15E9" w:rsidP="004D15E9">
      <w:pPr>
        <w:pStyle w:val="SubsectionHead"/>
      </w:pPr>
      <w:r w:rsidRPr="00784539">
        <w:t>Entity metric</w:t>
      </w:r>
    </w:p>
    <w:p w:rsidR="005C73D9" w:rsidRPr="00784539" w:rsidRDefault="004D15E9" w:rsidP="004D15E9">
      <w:pPr>
        <w:pStyle w:val="subsection"/>
      </w:pPr>
      <w:r w:rsidRPr="00784539">
        <w:tab/>
        <w:t>(2)</w:t>
      </w:r>
      <w:r w:rsidRPr="00784539">
        <w:tab/>
        <w:t xml:space="preserve">The leviable entity’s </w:t>
      </w:r>
      <w:r w:rsidRPr="00784539">
        <w:rPr>
          <w:b/>
          <w:i/>
        </w:rPr>
        <w:t xml:space="preserve">entity metric </w:t>
      </w:r>
      <w:r w:rsidRPr="00784539">
        <w:t>for the sub</w:t>
      </w:r>
      <w:r w:rsidR="00784539">
        <w:noBreakHyphen/>
      </w:r>
      <w:r w:rsidRPr="00784539">
        <w:t>sector for the financial year is</w:t>
      </w:r>
      <w:r w:rsidR="005C73D9" w:rsidRPr="00784539">
        <w:t>:</w:t>
      </w:r>
    </w:p>
    <w:p w:rsidR="005C73D9" w:rsidRPr="00784539" w:rsidRDefault="005C73D9" w:rsidP="005C73D9">
      <w:pPr>
        <w:pStyle w:val="paragraph"/>
      </w:pPr>
      <w:r w:rsidRPr="00784539">
        <w:tab/>
        <w:t>(a)</w:t>
      </w:r>
      <w:r w:rsidRPr="00784539">
        <w:tab/>
        <w:t xml:space="preserve">unless </w:t>
      </w:r>
      <w:r w:rsidR="00784539" w:rsidRPr="00784539">
        <w:t>paragraph (</w:t>
      </w:r>
      <w:r w:rsidRPr="00784539">
        <w:t>b) applies—the number of days in the financial year on which the entity operated the repository; or</w:t>
      </w:r>
    </w:p>
    <w:p w:rsidR="005C73D9" w:rsidRPr="00784539" w:rsidRDefault="005C73D9" w:rsidP="005C73D9">
      <w:pPr>
        <w:pStyle w:val="paragraph"/>
      </w:pPr>
      <w:r w:rsidRPr="00784539">
        <w:tab/>
        <w:t>(b)</w:t>
      </w:r>
      <w:r w:rsidRPr="00784539">
        <w:tab/>
        <w:t>if the entity operated 2 or more licensed derivative trade repositories</w:t>
      </w:r>
      <w:r w:rsidR="00B73FC8" w:rsidRPr="00784539">
        <w:t xml:space="preserve"> in the financial year</w:t>
      </w:r>
      <w:r w:rsidRPr="00784539">
        <w:t xml:space="preserve">—the sum of the days worked out under </w:t>
      </w:r>
      <w:r w:rsidR="00784539" w:rsidRPr="00784539">
        <w:t>paragraph (</w:t>
      </w:r>
      <w:r w:rsidRPr="00784539">
        <w:t>a) for each of those facilities.</w:t>
      </w:r>
    </w:p>
    <w:p w:rsidR="00A36634" w:rsidRPr="00784539" w:rsidRDefault="00085808" w:rsidP="00A36634">
      <w:pPr>
        <w:pStyle w:val="ActHead5"/>
      </w:pPr>
      <w:bookmarkStart w:id="92" w:name="_Toc485110120"/>
      <w:r w:rsidRPr="00784539">
        <w:rPr>
          <w:rStyle w:val="CharSectno"/>
        </w:rPr>
        <w:t>60</w:t>
      </w:r>
      <w:r w:rsidR="00A36634" w:rsidRPr="00784539">
        <w:t xml:space="preserve">  Credit rating agencies</w:t>
      </w:r>
      <w:bookmarkEnd w:id="92"/>
    </w:p>
    <w:p w:rsidR="00A36634" w:rsidRPr="00784539" w:rsidRDefault="00A36634" w:rsidP="00A36634">
      <w:pPr>
        <w:pStyle w:val="subsection"/>
      </w:pPr>
      <w:r w:rsidRPr="00784539">
        <w:tab/>
      </w:r>
      <w:r w:rsidR="004D15E9" w:rsidRPr="00784539">
        <w:t>(1)</w:t>
      </w:r>
      <w:r w:rsidRPr="00784539">
        <w:tab/>
        <w:t xml:space="preserve">A leviable entity forms part of the </w:t>
      </w:r>
      <w:r w:rsidRPr="00784539">
        <w:rPr>
          <w:b/>
          <w:i/>
        </w:rPr>
        <w:t>credit rating agencies</w:t>
      </w:r>
      <w:r w:rsidRPr="00784539">
        <w:rPr>
          <w:b/>
          <w:i/>
          <w:position w:val="6"/>
          <w:sz w:val="16"/>
        </w:rPr>
        <w:t xml:space="preserve"> </w:t>
      </w:r>
      <w:r w:rsidRPr="00784539">
        <w:t>sub</w:t>
      </w:r>
      <w:r w:rsidR="00784539">
        <w:noBreakHyphen/>
      </w:r>
      <w:r w:rsidRPr="00784539">
        <w:t xml:space="preserve">sector in a financial year if, </w:t>
      </w:r>
      <w:r w:rsidR="002F043A" w:rsidRPr="00784539">
        <w:t>at any time in the financial year</w:t>
      </w:r>
      <w:r w:rsidRPr="00784539">
        <w:t>, the entity holds an Australian financial services licence that authorises the holder to provide general advice by issuing a credit rating.</w:t>
      </w:r>
    </w:p>
    <w:p w:rsidR="004D15E9" w:rsidRPr="00784539" w:rsidRDefault="004D15E9" w:rsidP="004D15E9">
      <w:pPr>
        <w:pStyle w:val="SubsectionHead"/>
      </w:pPr>
      <w:r w:rsidRPr="00784539">
        <w:t>Entity metric</w:t>
      </w:r>
    </w:p>
    <w:p w:rsidR="004D15E9" w:rsidRPr="00784539" w:rsidRDefault="004D15E9" w:rsidP="004D15E9">
      <w:pPr>
        <w:pStyle w:val="subsection"/>
      </w:pPr>
      <w:r w:rsidRPr="00784539">
        <w:tab/>
        <w:t>(2)</w:t>
      </w:r>
      <w:r w:rsidRPr="00784539">
        <w:tab/>
        <w:t xml:space="preserve">The leviable entity’s </w:t>
      </w:r>
      <w:r w:rsidRPr="00784539">
        <w:rPr>
          <w:b/>
          <w:i/>
        </w:rPr>
        <w:t xml:space="preserve">entity metric </w:t>
      </w:r>
      <w:r w:rsidRPr="00784539">
        <w:t>for the sub</w:t>
      </w:r>
      <w:r w:rsidR="00784539">
        <w:noBreakHyphen/>
      </w:r>
      <w:r w:rsidRPr="00784539">
        <w:t>sector for the financial year is the number of days in the financial year</w:t>
      </w:r>
      <w:r w:rsidR="00DB1EE1" w:rsidRPr="00784539">
        <w:t xml:space="preserve"> on which the entity holds a licence of the kind mentioned in </w:t>
      </w:r>
      <w:r w:rsidR="00784539" w:rsidRPr="00784539">
        <w:t>subsection (</w:t>
      </w:r>
      <w:r w:rsidR="00DB1EE1" w:rsidRPr="00784539">
        <w:t>1)</w:t>
      </w:r>
      <w:r w:rsidRPr="00784539">
        <w:t>.</w:t>
      </w:r>
    </w:p>
    <w:p w:rsidR="002226AF" w:rsidRPr="00784539" w:rsidRDefault="00085808" w:rsidP="002226AF">
      <w:pPr>
        <w:pStyle w:val="ActHead5"/>
      </w:pPr>
      <w:bookmarkStart w:id="93" w:name="_Toc485110121"/>
      <w:r w:rsidRPr="00784539">
        <w:rPr>
          <w:rStyle w:val="CharSectno"/>
        </w:rPr>
        <w:t>61</w:t>
      </w:r>
      <w:r w:rsidR="002226AF" w:rsidRPr="00784539">
        <w:t xml:space="preserve">  Retail over</w:t>
      </w:r>
      <w:r w:rsidR="00784539">
        <w:noBreakHyphen/>
      </w:r>
      <w:r w:rsidR="002226AF" w:rsidRPr="00784539">
        <w:t>the</w:t>
      </w:r>
      <w:r w:rsidR="00784539">
        <w:noBreakHyphen/>
      </w:r>
      <w:r w:rsidR="002226AF" w:rsidRPr="00784539">
        <w:t>counter derivatives issuers</w:t>
      </w:r>
      <w:bookmarkEnd w:id="93"/>
    </w:p>
    <w:p w:rsidR="002226AF" w:rsidRPr="00784539" w:rsidRDefault="002226AF" w:rsidP="002226AF">
      <w:pPr>
        <w:pStyle w:val="subsection"/>
      </w:pPr>
      <w:r w:rsidRPr="00784539">
        <w:tab/>
        <w:t>(1)</w:t>
      </w:r>
      <w:r w:rsidRPr="00784539">
        <w:tab/>
        <w:t xml:space="preserve">A leviable entity forms part of the </w:t>
      </w:r>
      <w:r w:rsidRPr="00784539">
        <w:rPr>
          <w:b/>
          <w:i/>
        </w:rPr>
        <w:t>retail over</w:t>
      </w:r>
      <w:r w:rsidR="00784539">
        <w:rPr>
          <w:b/>
          <w:i/>
        </w:rPr>
        <w:noBreakHyphen/>
      </w:r>
      <w:r w:rsidRPr="00784539">
        <w:rPr>
          <w:b/>
          <w:i/>
        </w:rPr>
        <w:t>the</w:t>
      </w:r>
      <w:r w:rsidR="00784539">
        <w:rPr>
          <w:b/>
          <w:i/>
        </w:rPr>
        <w:noBreakHyphen/>
      </w:r>
      <w:r w:rsidRPr="00784539">
        <w:rPr>
          <w:b/>
          <w:i/>
        </w:rPr>
        <w:t>counter derivatives issuers</w:t>
      </w:r>
      <w:r w:rsidRPr="00784539">
        <w:rPr>
          <w:b/>
          <w:i/>
          <w:position w:val="6"/>
          <w:sz w:val="16"/>
        </w:rPr>
        <w:t xml:space="preserve"> </w:t>
      </w:r>
      <w:r w:rsidRPr="00784539">
        <w:t>sub</w:t>
      </w:r>
      <w:r w:rsidR="00784539">
        <w:noBreakHyphen/>
      </w:r>
      <w:r w:rsidRPr="00784539">
        <w:t>sector in a financial year if:</w:t>
      </w:r>
    </w:p>
    <w:p w:rsidR="002226AF" w:rsidRPr="00784539" w:rsidRDefault="002226AF" w:rsidP="002226AF">
      <w:pPr>
        <w:pStyle w:val="paragraph"/>
      </w:pPr>
      <w:r w:rsidRPr="00784539">
        <w:tab/>
        <w:t>(a)</w:t>
      </w:r>
      <w:r w:rsidRPr="00784539">
        <w:tab/>
        <w:t xml:space="preserve">the entity holds, at any time in the financial year, an Australian financial services licence that authorises the holder to provide </w:t>
      </w:r>
      <w:r w:rsidR="00EE6F2C" w:rsidRPr="00784539">
        <w:t xml:space="preserve">both of </w:t>
      </w:r>
      <w:r w:rsidRPr="00784539">
        <w:t>the following financial services to retail clients:</w:t>
      </w:r>
    </w:p>
    <w:p w:rsidR="002226AF" w:rsidRPr="00784539" w:rsidRDefault="002226AF" w:rsidP="002226AF">
      <w:pPr>
        <w:pStyle w:val="paragraphsub"/>
      </w:pPr>
      <w:r w:rsidRPr="00784539">
        <w:tab/>
        <w:t>(i)</w:t>
      </w:r>
      <w:r w:rsidRPr="00784539">
        <w:tab/>
        <w:t>dealing in a financial product by issuing derivatives;</w:t>
      </w:r>
    </w:p>
    <w:p w:rsidR="002226AF" w:rsidRPr="00784539" w:rsidRDefault="002226AF" w:rsidP="002226AF">
      <w:pPr>
        <w:pStyle w:val="paragraphsub"/>
      </w:pPr>
      <w:r w:rsidRPr="00784539">
        <w:tab/>
        <w:t>(ii)</w:t>
      </w:r>
      <w:r w:rsidRPr="00784539">
        <w:tab/>
        <w:t>making a market for derivatives; and</w:t>
      </w:r>
    </w:p>
    <w:p w:rsidR="002226AF" w:rsidRPr="00784539" w:rsidRDefault="002226AF" w:rsidP="002226AF">
      <w:pPr>
        <w:pStyle w:val="paragraph"/>
      </w:pPr>
      <w:r w:rsidRPr="00784539">
        <w:tab/>
        <w:t>(b)</w:t>
      </w:r>
      <w:r w:rsidRPr="00784539">
        <w:tab/>
        <w:t>the entity is not a body regulated by APRA or a participant in a clearing and settlement facility.</w:t>
      </w:r>
    </w:p>
    <w:p w:rsidR="002226AF" w:rsidRPr="00784539" w:rsidRDefault="002226AF" w:rsidP="002226AF">
      <w:pPr>
        <w:pStyle w:val="SubsectionHead"/>
      </w:pPr>
      <w:r w:rsidRPr="00784539">
        <w:t>Entity metric</w:t>
      </w:r>
    </w:p>
    <w:p w:rsidR="002226AF" w:rsidRPr="00784539" w:rsidRDefault="002226AF" w:rsidP="002226AF">
      <w:pPr>
        <w:pStyle w:val="subsection"/>
      </w:pPr>
      <w:r w:rsidRPr="00784539">
        <w:tab/>
        <w:t>(2)</w:t>
      </w:r>
      <w:r w:rsidRPr="00784539">
        <w:tab/>
        <w:t xml:space="preserve">The leviable entity’s </w:t>
      </w:r>
      <w:r w:rsidRPr="00784539">
        <w:rPr>
          <w:b/>
          <w:i/>
        </w:rPr>
        <w:t xml:space="preserve">entity metric </w:t>
      </w:r>
      <w:r w:rsidRPr="00784539">
        <w:t>for the sub</w:t>
      </w:r>
      <w:r w:rsidR="00784539">
        <w:noBreakHyphen/>
      </w:r>
      <w:r w:rsidRPr="00784539">
        <w:t xml:space="preserve">sector for the financial year is the number of days in the financial year on which the entity holds a licence of the kind mentioned in </w:t>
      </w:r>
      <w:r w:rsidR="00784539" w:rsidRPr="00784539">
        <w:t>subsection (</w:t>
      </w:r>
      <w:r w:rsidRPr="00784539">
        <w:t>1).</w:t>
      </w:r>
    </w:p>
    <w:p w:rsidR="00A36634" w:rsidRPr="00784539" w:rsidRDefault="00085808" w:rsidP="00A36634">
      <w:pPr>
        <w:pStyle w:val="ActHead5"/>
      </w:pPr>
      <w:bookmarkStart w:id="94" w:name="_Toc485110122"/>
      <w:r w:rsidRPr="00784539">
        <w:rPr>
          <w:rStyle w:val="CharSectno"/>
        </w:rPr>
        <w:t>62</w:t>
      </w:r>
      <w:r w:rsidR="00A36634" w:rsidRPr="00784539">
        <w:t xml:space="preserve">  Wholesale electricity dealers</w:t>
      </w:r>
      <w:bookmarkEnd w:id="94"/>
    </w:p>
    <w:p w:rsidR="00A36634" w:rsidRPr="00784539" w:rsidRDefault="00A36634" w:rsidP="00A36634">
      <w:pPr>
        <w:pStyle w:val="subsection"/>
      </w:pPr>
      <w:r w:rsidRPr="00784539">
        <w:tab/>
      </w:r>
      <w:r w:rsidRPr="00784539">
        <w:tab/>
        <w:t xml:space="preserve">A leviable entity forms part of the </w:t>
      </w:r>
      <w:r w:rsidRPr="00784539">
        <w:rPr>
          <w:b/>
          <w:i/>
        </w:rPr>
        <w:t>wholesale electricity dealers</w:t>
      </w:r>
      <w:r w:rsidRPr="00784539">
        <w:rPr>
          <w:b/>
          <w:i/>
          <w:position w:val="6"/>
          <w:sz w:val="16"/>
        </w:rPr>
        <w:t xml:space="preserve"> </w:t>
      </w:r>
      <w:r w:rsidRPr="00784539">
        <w:t>sub</w:t>
      </w:r>
      <w:r w:rsidR="00784539">
        <w:noBreakHyphen/>
      </w:r>
      <w:r w:rsidRPr="00784539">
        <w:t>sector in a financial year if</w:t>
      </w:r>
      <w:r w:rsidR="007C3DA6" w:rsidRPr="00784539">
        <w:t>, at any time in the financial year</w:t>
      </w:r>
      <w:r w:rsidRPr="00784539">
        <w:t>:</w:t>
      </w:r>
    </w:p>
    <w:p w:rsidR="00A36634" w:rsidRPr="00784539" w:rsidRDefault="00A36634" w:rsidP="00A36634">
      <w:pPr>
        <w:pStyle w:val="paragraph"/>
      </w:pPr>
      <w:r w:rsidRPr="00784539">
        <w:tab/>
        <w:t>(a)</w:t>
      </w:r>
      <w:r w:rsidRPr="00784539">
        <w:tab/>
        <w:t>the entity incurs liabilities as part of the ordinary business operations of the entity in dealing in, or making a market in, over</w:t>
      </w:r>
      <w:r w:rsidR="00784539">
        <w:noBreakHyphen/>
      </w:r>
      <w:r w:rsidRPr="00784539">
        <w:t>the</w:t>
      </w:r>
      <w:r w:rsidR="00784539">
        <w:noBreakHyphen/>
      </w:r>
      <w:r w:rsidRPr="00784539">
        <w:t>counter derivatives that relate to the wholesale price of electricity; and</w:t>
      </w:r>
    </w:p>
    <w:p w:rsidR="007C3DA6" w:rsidRPr="00784539" w:rsidRDefault="00A36634" w:rsidP="00A36634">
      <w:pPr>
        <w:pStyle w:val="paragraph"/>
      </w:pPr>
      <w:r w:rsidRPr="00784539">
        <w:tab/>
        <w:t>(b)</w:t>
      </w:r>
      <w:r w:rsidRPr="00784539">
        <w:tab/>
        <w:t>the entity is not</w:t>
      </w:r>
      <w:r w:rsidR="007C3DA6" w:rsidRPr="00784539">
        <w:t>:</w:t>
      </w:r>
    </w:p>
    <w:p w:rsidR="007C3DA6" w:rsidRPr="00784539" w:rsidRDefault="007C3DA6" w:rsidP="007C3DA6">
      <w:pPr>
        <w:pStyle w:val="paragraphsub"/>
      </w:pPr>
      <w:r w:rsidRPr="00784539">
        <w:tab/>
        <w:t>(i)</w:t>
      </w:r>
      <w:r w:rsidRPr="00784539">
        <w:tab/>
      </w:r>
      <w:r w:rsidR="00A36634" w:rsidRPr="00784539">
        <w:t>a body regulated by APRA</w:t>
      </w:r>
      <w:r w:rsidRPr="00784539">
        <w:t>;</w:t>
      </w:r>
      <w:r w:rsidR="00A36634" w:rsidRPr="00784539">
        <w:t xml:space="preserve"> or</w:t>
      </w:r>
    </w:p>
    <w:p w:rsidR="007C3DA6" w:rsidRPr="00784539" w:rsidRDefault="007C3DA6" w:rsidP="007C3DA6">
      <w:pPr>
        <w:pStyle w:val="paragraphsub"/>
      </w:pPr>
      <w:r w:rsidRPr="00784539">
        <w:tab/>
        <w:t>(ii)</w:t>
      </w:r>
      <w:r w:rsidRPr="00784539">
        <w:tab/>
      </w:r>
      <w:r w:rsidR="00A36634" w:rsidRPr="00784539">
        <w:t>a participant in a financial market</w:t>
      </w:r>
      <w:r w:rsidRPr="00784539">
        <w:t>; or</w:t>
      </w:r>
    </w:p>
    <w:p w:rsidR="00A36634" w:rsidRPr="00784539" w:rsidRDefault="007C3DA6" w:rsidP="007C3DA6">
      <w:pPr>
        <w:pStyle w:val="paragraphsub"/>
      </w:pPr>
      <w:r w:rsidRPr="00784539">
        <w:tab/>
        <w:t>(iii)</w:t>
      </w:r>
      <w:r w:rsidRPr="00784539">
        <w:tab/>
        <w:t>a participant in a</w:t>
      </w:r>
      <w:r w:rsidR="00A36634" w:rsidRPr="00784539">
        <w:t xml:space="preserve"> clearing and settlement facility.</w:t>
      </w:r>
    </w:p>
    <w:p w:rsidR="00A36634" w:rsidRPr="00784539" w:rsidRDefault="00A36634" w:rsidP="00A36634">
      <w:pPr>
        <w:pStyle w:val="ActHead4"/>
      </w:pPr>
      <w:bookmarkStart w:id="95" w:name="_Toc485110123"/>
      <w:r w:rsidRPr="00784539">
        <w:rPr>
          <w:rStyle w:val="CharSubdNo"/>
        </w:rPr>
        <w:t>Subdivision</w:t>
      </w:r>
      <w:r w:rsidR="00784539" w:rsidRPr="00784539">
        <w:rPr>
          <w:rStyle w:val="CharSubdNo"/>
        </w:rPr>
        <w:t> </w:t>
      </w:r>
      <w:r w:rsidRPr="00784539">
        <w:rPr>
          <w:rStyle w:val="CharSubdNo"/>
        </w:rPr>
        <w:t>5.3</w:t>
      </w:r>
      <w:r w:rsidRPr="00784539">
        <w:t>—</w:t>
      </w:r>
      <w:r w:rsidR="003F141F" w:rsidRPr="00784539">
        <w:rPr>
          <w:rStyle w:val="CharSubdText"/>
        </w:rPr>
        <w:t>Sub</w:t>
      </w:r>
      <w:r w:rsidR="00784539" w:rsidRPr="00784539">
        <w:rPr>
          <w:rStyle w:val="CharSubdText"/>
        </w:rPr>
        <w:noBreakHyphen/>
      </w:r>
      <w:r w:rsidR="003F141F" w:rsidRPr="00784539">
        <w:rPr>
          <w:rStyle w:val="CharSubdText"/>
        </w:rPr>
        <w:t>sectors to which graduated</w:t>
      </w:r>
      <w:r w:rsidRPr="00784539">
        <w:rPr>
          <w:rStyle w:val="CharSubdText"/>
        </w:rPr>
        <w:t xml:space="preserve"> </w:t>
      </w:r>
      <w:r w:rsidR="00E366AE" w:rsidRPr="00784539">
        <w:rPr>
          <w:rStyle w:val="CharSubdText"/>
        </w:rPr>
        <w:t xml:space="preserve">levy component </w:t>
      </w:r>
      <w:r w:rsidRPr="00784539">
        <w:rPr>
          <w:rStyle w:val="CharSubdText"/>
        </w:rPr>
        <w:t>applies</w:t>
      </w:r>
      <w:bookmarkEnd w:id="95"/>
    </w:p>
    <w:p w:rsidR="00A36634" w:rsidRPr="00784539" w:rsidRDefault="00085808" w:rsidP="00A36634">
      <w:pPr>
        <w:pStyle w:val="ActHead5"/>
      </w:pPr>
      <w:bookmarkStart w:id="96" w:name="_Toc485110124"/>
      <w:r w:rsidRPr="00784539">
        <w:rPr>
          <w:rStyle w:val="CharSectno"/>
        </w:rPr>
        <w:t>63</w:t>
      </w:r>
      <w:r w:rsidR="00A36634" w:rsidRPr="00784539">
        <w:t xml:space="preserve">  Corporate advisors</w:t>
      </w:r>
      <w:bookmarkEnd w:id="96"/>
    </w:p>
    <w:p w:rsidR="00A36634" w:rsidRPr="00784539" w:rsidRDefault="00A36634" w:rsidP="00A36634">
      <w:pPr>
        <w:pStyle w:val="subsection"/>
      </w:pPr>
      <w:r w:rsidRPr="00784539">
        <w:tab/>
        <w:t>(1)</w:t>
      </w:r>
      <w:r w:rsidRPr="00784539">
        <w:tab/>
        <w:t xml:space="preserve">A leviable entity forms part of the </w:t>
      </w:r>
      <w:r w:rsidRPr="00784539">
        <w:rPr>
          <w:b/>
          <w:i/>
        </w:rPr>
        <w:t xml:space="preserve">corporate advisors </w:t>
      </w:r>
      <w:r w:rsidRPr="00784539">
        <w:t>sub</w:t>
      </w:r>
      <w:r w:rsidR="00784539">
        <w:noBreakHyphen/>
      </w:r>
      <w:r w:rsidRPr="00784539">
        <w:t>sector in a financial year if</w:t>
      </w:r>
      <w:r w:rsidR="002F043A" w:rsidRPr="00784539">
        <w:t>, at any time in the financial year</w:t>
      </w:r>
      <w:r w:rsidRPr="00784539">
        <w:t>:</w:t>
      </w:r>
    </w:p>
    <w:p w:rsidR="00AC5738" w:rsidRPr="00784539" w:rsidRDefault="00A36634" w:rsidP="00AC5738">
      <w:pPr>
        <w:pStyle w:val="paragraph"/>
      </w:pPr>
      <w:r w:rsidRPr="00784539">
        <w:tab/>
        <w:t>(a)</w:t>
      </w:r>
      <w:r w:rsidRPr="00784539">
        <w:tab/>
      </w:r>
      <w:r w:rsidR="008B448E" w:rsidRPr="00784539">
        <w:t>the entity</w:t>
      </w:r>
      <w:r w:rsidR="00AC5738" w:rsidRPr="00784539">
        <w:t>:</w:t>
      </w:r>
    </w:p>
    <w:p w:rsidR="00AC5738" w:rsidRPr="00784539" w:rsidRDefault="00AC5738" w:rsidP="00AC5738">
      <w:pPr>
        <w:pStyle w:val="paragraphsub"/>
      </w:pPr>
      <w:r w:rsidRPr="00784539">
        <w:tab/>
        <w:t>(i)</w:t>
      </w:r>
      <w:r w:rsidRPr="00784539">
        <w:tab/>
        <w:t xml:space="preserve">holds an </w:t>
      </w:r>
      <w:r w:rsidR="00F67365" w:rsidRPr="00784539">
        <w:t>Australia</w:t>
      </w:r>
      <w:r w:rsidRPr="00784539">
        <w:t>n financial services licence; or</w:t>
      </w:r>
    </w:p>
    <w:p w:rsidR="00F869B2" w:rsidRPr="00784539" w:rsidRDefault="00AC5738" w:rsidP="00AC5738">
      <w:pPr>
        <w:pStyle w:val="paragraphsub"/>
      </w:pPr>
      <w:r w:rsidRPr="00784539">
        <w:tab/>
        <w:t>(ii)</w:t>
      </w:r>
      <w:r w:rsidRPr="00784539">
        <w:tab/>
        <w:t>is exempt from the requirement to hold such a licence under paragraph</w:t>
      </w:r>
      <w:r w:rsidR="00784539" w:rsidRPr="00784539">
        <w:t> </w:t>
      </w:r>
      <w:r w:rsidRPr="00784539">
        <w:t>911A(2)(l) or subsection</w:t>
      </w:r>
      <w:r w:rsidR="00784539" w:rsidRPr="00784539">
        <w:t> </w:t>
      </w:r>
      <w:r w:rsidRPr="00784539">
        <w:t xml:space="preserve">926A(2) of the </w:t>
      </w:r>
      <w:r w:rsidRPr="00784539">
        <w:rPr>
          <w:i/>
        </w:rPr>
        <w:t>Corporations Act 2001</w:t>
      </w:r>
      <w:r w:rsidRPr="00784539">
        <w:t xml:space="preserve"> (other than because of an exemption under the </w:t>
      </w:r>
      <w:r w:rsidRPr="00784539">
        <w:rPr>
          <w:i/>
        </w:rPr>
        <w:t>ASIC Corporations (Foreign Financial Services Providers—Limited Connection) Instrument 2017/182</w:t>
      </w:r>
      <w:r w:rsidRPr="00784539">
        <w:t>); and</w:t>
      </w:r>
    </w:p>
    <w:p w:rsidR="00D31924" w:rsidRPr="00784539" w:rsidRDefault="00F869B2" w:rsidP="00D31924">
      <w:pPr>
        <w:pStyle w:val="paragraph"/>
      </w:pPr>
      <w:r w:rsidRPr="00784539">
        <w:tab/>
        <w:t>(b)</w:t>
      </w:r>
      <w:r w:rsidRPr="00784539">
        <w:tab/>
      </w:r>
      <w:r w:rsidR="00D31924" w:rsidRPr="00784539">
        <w:t>the entity</w:t>
      </w:r>
      <w:r w:rsidR="000A7B40" w:rsidRPr="00784539">
        <w:t>,</w:t>
      </w:r>
      <w:r w:rsidR="00D31924" w:rsidRPr="00784539">
        <w:t xml:space="preserve"> or an authorised representative of the entity</w:t>
      </w:r>
      <w:r w:rsidR="000A7B40" w:rsidRPr="00784539">
        <w:t>,</w:t>
      </w:r>
      <w:r w:rsidR="00D31924" w:rsidRPr="00784539">
        <w:t xml:space="preserve"> provide</w:t>
      </w:r>
      <w:r w:rsidR="00736ADD" w:rsidRPr="00784539">
        <w:t xml:space="preserve">s or holds out that it provides, </w:t>
      </w:r>
      <w:r w:rsidR="00D31924" w:rsidRPr="00784539">
        <w:t xml:space="preserve">one or more of the financial services mentioned in </w:t>
      </w:r>
      <w:r w:rsidR="00784539" w:rsidRPr="00784539">
        <w:t>subsection (</w:t>
      </w:r>
      <w:r w:rsidR="00D31924" w:rsidRPr="00784539">
        <w:t>2).</w:t>
      </w:r>
    </w:p>
    <w:p w:rsidR="00A36634" w:rsidRPr="00784539" w:rsidRDefault="00A36634" w:rsidP="00A36634">
      <w:pPr>
        <w:pStyle w:val="subsection"/>
      </w:pPr>
      <w:r w:rsidRPr="00784539">
        <w:tab/>
        <w:t>(2)</w:t>
      </w:r>
      <w:r w:rsidRPr="00784539">
        <w:tab/>
        <w:t xml:space="preserve">For the purposes of </w:t>
      </w:r>
      <w:r w:rsidR="00784539" w:rsidRPr="00784539">
        <w:t>paragraph (</w:t>
      </w:r>
      <w:r w:rsidRPr="00784539">
        <w:t>1)(b), the financial services are:</w:t>
      </w:r>
    </w:p>
    <w:p w:rsidR="00A36634" w:rsidRPr="00784539" w:rsidRDefault="00A36634" w:rsidP="00A36634">
      <w:pPr>
        <w:pStyle w:val="paragraph"/>
      </w:pPr>
      <w:r w:rsidRPr="00784539">
        <w:tab/>
        <w:t>(a)</w:t>
      </w:r>
      <w:r w:rsidRPr="00784539">
        <w:tab/>
        <w:t xml:space="preserve">financial product advice </w:t>
      </w:r>
      <w:r w:rsidR="000A7B40" w:rsidRPr="00784539">
        <w:t>provided</w:t>
      </w:r>
      <w:r w:rsidRPr="00784539">
        <w:t xml:space="preserve"> in Australia to a wholesale client in the course of advising on any of the following:</w:t>
      </w:r>
    </w:p>
    <w:p w:rsidR="00A36634" w:rsidRPr="00784539" w:rsidRDefault="00A36634" w:rsidP="00A36634">
      <w:pPr>
        <w:pStyle w:val="paragraphsub"/>
      </w:pPr>
      <w:r w:rsidRPr="00784539">
        <w:tab/>
        <w:t>(i)</w:t>
      </w:r>
      <w:r w:rsidRPr="00784539">
        <w:tab/>
        <w:t>takeover bids or merger proposals;</w:t>
      </w:r>
    </w:p>
    <w:p w:rsidR="00A36634" w:rsidRPr="00784539" w:rsidRDefault="00A36634" w:rsidP="00A36634">
      <w:pPr>
        <w:pStyle w:val="paragraphsub"/>
      </w:pPr>
      <w:r w:rsidRPr="00784539">
        <w:tab/>
        <w:t>(ii)</w:t>
      </w:r>
      <w:r w:rsidRPr="00784539">
        <w:tab/>
        <w:t>the structure, pricing, acquisition or disposal of assets or enterprises;</w:t>
      </w:r>
    </w:p>
    <w:p w:rsidR="00A36634" w:rsidRPr="00784539" w:rsidRDefault="00A36634" w:rsidP="00A36634">
      <w:pPr>
        <w:pStyle w:val="paragraphsub"/>
      </w:pPr>
      <w:r w:rsidRPr="00784539">
        <w:tab/>
        <w:t>(iii)</w:t>
      </w:r>
      <w:r w:rsidRPr="00784539">
        <w:tab/>
        <w:t xml:space="preserve">raising or reducing capital through the issue or acquisition of </w:t>
      </w:r>
      <w:r w:rsidR="00332BCA" w:rsidRPr="00784539">
        <w:t>equities</w:t>
      </w:r>
      <w:r w:rsidRPr="00784539">
        <w:t xml:space="preserve"> or debt; and</w:t>
      </w:r>
    </w:p>
    <w:p w:rsidR="00A36634" w:rsidRPr="00784539" w:rsidRDefault="00A36634" w:rsidP="00A36634">
      <w:pPr>
        <w:pStyle w:val="paragraph"/>
      </w:pPr>
      <w:r w:rsidRPr="00784539">
        <w:tab/>
        <w:t>(b)</w:t>
      </w:r>
      <w:r w:rsidRPr="00784539">
        <w:tab/>
        <w:t>dealing in a financial product in Australia by underwriting the issue, acquisition or sale of the product.</w:t>
      </w:r>
    </w:p>
    <w:p w:rsidR="00A36634" w:rsidRPr="00784539" w:rsidRDefault="00A36634" w:rsidP="00A36634">
      <w:pPr>
        <w:pStyle w:val="SubsectionHead"/>
      </w:pPr>
      <w:r w:rsidRPr="00784539">
        <w:t>Levy component</w:t>
      </w:r>
    </w:p>
    <w:p w:rsidR="00A36634" w:rsidRPr="00784539" w:rsidRDefault="00A36634" w:rsidP="00A36634">
      <w:pPr>
        <w:pStyle w:val="subsection"/>
      </w:pPr>
      <w:r w:rsidRPr="00784539">
        <w:tab/>
        <w:t>(3)</w:t>
      </w:r>
      <w:r w:rsidRPr="00784539">
        <w:tab/>
        <w:t>The amount of a leviable entity’s levy component in respect of the sub</w:t>
      </w:r>
      <w:r w:rsidR="00784539">
        <w:noBreakHyphen/>
      </w:r>
      <w:r w:rsidRPr="00784539">
        <w:t>sector for the financial year is the sum of:</w:t>
      </w:r>
    </w:p>
    <w:p w:rsidR="00A36634" w:rsidRPr="00784539" w:rsidRDefault="00A36634" w:rsidP="00A36634">
      <w:pPr>
        <w:pStyle w:val="paragraph"/>
      </w:pPr>
      <w:r w:rsidRPr="00784539">
        <w:tab/>
        <w:t>(a)</w:t>
      </w:r>
      <w:r w:rsidRPr="00784539">
        <w:tab/>
        <w:t>the minimum levy component for the sub</w:t>
      </w:r>
      <w:r w:rsidR="00784539">
        <w:noBreakHyphen/>
      </w:r>
      <w:r w:rsidRPr="00784539">
        <w:t>sector; and</w:t>
      </w:r>
    </w:p>
    <w:p w:rsidR="00A36634" w:rsidRPr="00784539" w:rsidRDefault="00A36634" w:rsidP="00A36634">
      <w:pPr>
        <w:pStyle w:val="paragraph"/>
      </w:pPr>
      <w:r w:rsidRPr="00784539">
        <w:tab/>
        <w:t>(b)</w:t>
      </w:r>
      <w:r w:rsidRPr="00784539">
        <w:tab/>
        <w:t>if the entity’s entity metric for the sub</w:t>
      </w:r>
      <w:r w:rsidR="00784539">
        <w:noBreakHyphen/>
      </w:r>
      <w:r w:rsidRPr="00784539">
        <w:t>sector for the financial year exceeds the minimum levy threshold—the graduated levy component for the entity for the sub</w:t>
      </w:r>
      <w:r w:rsidR="00784539">
        <w:noBreakHyphen/>
      </w:r>
      <w:r w:rsidRPr="00784539">
        <w:t>sector.</w:t>
      </w:r>
    </w:p>
    <w:p w:rsidR="00A36634" w:rsidRPr="00784539" w:rsidRDefault="00A36634" w:rsidP="00A36634">
      <w:pPr>
        <w:pStyle w:val="notetext"/>
      </w:pPr>
      <w:r w:rsidRPr="00784539">
        <w:t>Note:</w:t>
      </w:r>
      <w:r w:rsidRPr="00784539">
        <w:tab/>
        <w:t>For the graduated levy component, see section</w:t>
      </w:r>
      <w:r w:rsidR="00784539" w:rsidRPr="00784539">
        <w:t> </w:t>
      </w:r>
      <w:r w:rsidR="00085808" w:rsidRPr="00784539">
        <w:t>10</w:t>
      </w:r>
      <w:r w:rsidRPr="00784539">
        <w:t>.</w:t>
      </w:r>
    </w:p>
    <w:p w:rsidR="00A36634" w:rsidRPr="00784539" w:rsidRDefault="00A36634" w:rsidP="00A36634">
      <w:pPr>
        <w:pStyle w:val="SubsectionHead"/>
      </w:pPr>
      <w:r w:rsidRPr="00784539">
        <w:t>Entity metric</w:t>
      </w:r>
    </w:p>
    <w:p w:rsidR="008E7D01" w:rsidRPr="00784539" w:rsidRDefault="008E7D01" w:rsidP="008E7D01">
      <w:pPr>
        <w:pStyle w:val="subsection"/>
      </w:pPr>
      <w:r w:rsidRPr="00784539">
        <w:rPr>
          <w:i/>
        </w:rPr>
        <w:tab/>
      </w:r>
      <w:r w:rsidRPr="00784539">
        <w:t>(4)</w:t>
      </w:r>
      <w:r w:rsidRPr="00784539">
        <w:tab/>
        <w:t xml:space="preserve">The leviable entity’s </w:t>
      </w:r>
      <w:r w:rsidRPr="00784539">
        <w:rPr>
          <w:b/>
          <w:i/>
        </w:rPr>
        <w:t>entity metric</w:t>
      </w:r>
      <w:r w:rsidRPr="00784539">
        <w:t xml:space="preserve"> for the sub</w:t>
      </w:r>
      <w:r w:rsidR="00784539">
        <w:noBreakHyphen/>
      </w:r>
      <w:r w:rsidRPr="00784539">
        <w:t xml:space="preserve">sector for the financial year is the total gross revenue made </w:t>
      </w:r>
      <w:r w:rsidR="00BF5698" w:rsidRPr="00784539">
        <w:t>in</w:t>
      </w:r>
      <w:r w:rsidRPr="00784539">
        <w:t xml:space="preserve"> the financial year </w:t>
      </w:r>
      <w:r w:rsidR="000115AA" w:rsidRPr="00784539">
        <w:t>by the entity</w:t>
      </w:r>
      <w:r w:rsidR="00102FB4" w:rsidRPr="00784539">
        <w:t>,</w:t>
      </w:r>
      <w:r w:rsidR="000115AA" w:rsidRPr="00784539">
        <w:t xml:space="preserve"> and the authorised representative of the entity</w:t>
      </w:r>
      <w:r w:rsidR="00102FB4" w:rsidRPr="00784539">
        <w:t>,</w:t>
      </w:r>
      <w:r w:rsidR="000115AA" w:rsidRPr="00784539">
        <w:t xml:space="preserve"> </w:t>
      </w:r>
      <w:r w:rsidRPr="00784539">
        <w:t xml:space="preserve">from providing </w:t>
      </w:r>
      <w:r w:rsidR="000115AA" w:rsidRPr="00784539">
        <w:t>the</w:t>
      </w:r>
      <w:r w:rsidRPr="00784539">
        <w:t xml:space="preserve"> financial service</w:t>
      </w:r>
      <w:r w:rsidR="000115AA" w:rsidRPr="00784539">
        <w:t>s</w:t>
      </w:r>
      <w:r w:rsidRPr="00784539">
        <w:t xml:space="preserve"> mentioned in </w:t>
      </w:r>
      <w:r w:rsidR="00784539" w:rsidRPr="00784539">
        <w:t>subsection (</w:t>
      </w:r>
      <w:r w:rsidRPr="00784539">
        <w:t>2).</w:t>
      </w:r>
    </w:p>
    <w:p w:rsidR="00A36634" w:rsidRPr="00784539" w:rsidRDefault="00A36634" w:rsidP="00A36634">
      <w:pPr>
        <w:pStyle w:val="subsection"/>
      </w:pPr>
      <w:r w:rsidRPr="00784539">
        <w:tab/>
        <w:t>(5)</w:t>
      </w:r>
      <w:r w:rsidRPr="00784539">
        <w:tab/>
        <w:t xml:space="preserve">The </w:t>
      </w:r>
      <w:r w:rsidRPr="00784539">
        <w:rPr>
          <w:b/>
          <w:i/>
        </w:rPr>
        <w:t>minimum levy component</w:t>
      </w:r>
      <w:r w:rsidRPr="00784539">
        <w:t xml:space="preserve"> for the sub</w:t>
      </w:r>
      <w:r w:rsidR="00784539">
        <w:noBreakHyphen/>
      </w:r>
      <w:r w:rsidRPr="00784539">
        <w:t>sector is $1,000.</w:t>
      </w:r>
    </w:p>
    <w:p w:rsidR="00A36634" w:rsidRPr="00784539" w:rsidRDefault="00A36634" w:rsidP="00A36634">
      <w:pPr>
        <w:pStyle w:val="subsection"/>
      </w:pPr>
      <w:r w:rsidRPr="00784539">
        <w:tab/>
        <w:t>(6)</w:t>
      </w:r>
      <w:r w:rsidRPr="00784539">
        <w:tab/>
        <w:t xml:space="preserve">The </w:t>
      </w:r>
      <w:r w:rsidRPr="00784539">
        <w:rPr>
          <w:b/>
          <w:i/>
        </w:rPr>
        <w:t>minimum levy threshold</w:t>
      </w:r>
      <w:r w:rsidRPr="00784539">
        <w:t xml:space="preserve"> for the sub</w:t>
      </w:r>
      <w:r w:rsidR="00784539">
        <w:noBreakHyphen/>
      </w:r>
      <w:r w:rsidRPr="00784539">
        <w:t>sector is $100,000.</w:t>
      </w:r>
    </w:p>
    <w:p w:rsidR="00A36634" w:rsidRPr="00784539" w:rsidRDefault="00085808" w:rsidP="00A36634">
      <w:pPr>
        <w:pStyle w:val="ActHead5"/>
      </w:pPr>
      <w:bookmarkStart w:id="97" w:name="_Toc485110125"/>
      <w:r w:rsidRPr="00784539">
        <w:rPr>
          <w:rStyle w:val="CharSectno"/>
        </w:rPr>
        <w:t>64</w:t>
      </w:r>
      <w:r w:rsidR="00A36634" w:rsidRPr="00784539">
        <w:t xml:space="preserve">  </w:t>
      </w:r>
      <w:r w:rsidR="00CC0E4D" w:rsidRPr="00784539">
        <w:t>Large f</w:t>
      </w:r>
      <w:r w:rsidR="00A36634" w:rsidRPr="00784539">
        <w:t xml:space="preserve">utures </w:t>
      </w:r>
      <w:r w:rsidR="00CC0E4D" w:rsidRPr="00784539">
        <w:t xml:space="preserve">exchange </w:t>
      </w:r>
      <w:r w:rsidR="00A36634" w:rsidRPr="00784539">
        <w:t>participants</w:t>
      </w:r>
      <w:bookmarkEnd w:id="97"/>
    </w:p>
    <w:p w:rsidR="00A36634" w:rsidRPr="00784539" w:rsidRDefault="00A36634" w:rsidP="00A36634">
      <w:pPr>
        <w:pStyle w:val="subsection"/>
      </w:pPr>
      <w:r w:rsidRPr="00784539">
        <w:tab/>
        <w:t>(1)</w:t>
      </w:r>
      <w:r w:rsidRPr="00784539">
        <w:tab/>
        <w:t xml:space="preserve">A leviable entity forms part of the </w:t>
      </w:r>
      <w:r w:rsidR="00CC0E4D" w:rsidRPr="00784539">
        <w:rPr>
          <w:b/>
          <w:i/>
        </w:rPr>
        <w:t xml:space="preserve">large </w:t>
      </w:r>
      <w:r w:rsidRPr="00784539">
        <w:rPr>
          <w:b/>
          <w:i/>
        </w:rPr>
        <w:t xml:space="preserve">futures </w:t>
      </w:r>
      <w:r w:rsidR="00CC0E4D" w:rsidRPr="00784539">
        <w:rPr>
          <w:b/>
          <w:i/>
        </w:rPr>
        <w:t xml:space="preserve">exchange </w:t>
      </w:r>
      <w:r w:rsidRPr="00784539">
        <w:rPr>
          <w:b/>
          <w:i/>
        </w:rPr>
        <w:t xml:space="preserve">participants </w:t>
      </w:r>
      <w:r w:rsidRPr="00784539">
        <w:t>sub</w:t>
      </w:r>
      <w:r w:rsidR="00784539">
        <w:noBreakHyphen/>
      </w:r>
      <w:r w:rsidRPr="00784539">
        <w:t xml:space="preserve">sector in a financial year if, </w:t>
      </w:r>
      <w:r w:rsidR="0067102E" w:rsidRPr="00784539">
        <w:t>at any time in the financial year</w:t>
      </w:r>
      <w:r w:rsidRPr="00784539">
        <w:t xml:space="preserve">, the entity is a participant in a large futures </w:t>
      </w:r>
      <w:r w:rsidR="003752EF" w:rsidRPr="00784539">
        <w:t>exchange</w:t>
      </w:r>
      <w:r w:rsidRPr="00784539">
        <w:t>.</w:t>
      </w:r>
    </w:p>
    <w:p w:rsidR="00A36634" w:rsidRPr="00784539" w:rsidRDefault="00A36634" w:rsidP="00A36634">
      <w:pPr>
        <w:pStyle w:val="SubsectionHead"/>
      </w:pPr>
      <w:r w:rsidRPr="00784539">
        <w:t>Levy component</w:t>
      </w:r>
    </w:p>
    <w:p w:rsidR="001B321E" w:rsidRPr="00784539" w:rsidRDefault="00A36634" w:rsidP="001B321E">
      <w:pPr>
        <w:pStyle w:val="subsection"/>
      </w:pPr>
      <w:r w:rsidRPr="00784539">
        <w:tab/>
      </w:r>
      <w:r w:rsidR="001B321E" w:rsidRPr="00784539">
        <w:t>(2)</w:t>
      </w:r>
      <w:r w:rsidR="001B321E" w:rsidRPr="00784539">
        <w:tab/>
        <w:t>The amount of a leviable entity’s levy component in respect of the sub</w:t>
      </w:r>
      <w:r w:rsidR="00784539">
        <w:noBreakHyphen/>
      </w:r>
      <w:r w:rsidR="001B321E" w:rsidRPr="00784539">
        <w:t>sector for the financial year is the sum of:</w:t>
      </w:r>
    </w:p>
    <w:p w:rsidR="001B321E" w:rsidRPr="00784539" w:rsidRDefault="001B321E" w:rsidP="001B321E">
      <w:pPr>
        <w:pStyle w:val="paragraph"/>
      </w:pPr>
      <w:r w:rsidRPr="00784539">
        <w:tab/>
        <w:t>(a)</w:t>
      </w:r>
      <w:r w:rsidRPr="00784539">
        <w:tab/>
        <w:t>the minimum levy component for the sub</w:t>
      </w:r>
      <w:r w:rsidR="00784539">
        <w:noBreakHyphen/>
      </w:r>
      <w:r w:rsidRPr="00784539">
        <w:t>sector; and</w:t>
      </w:r>
    </w:p>
    <w:p w:rsidR="001B321E" w:rsidRPr="00784539" w:rsidRDefault="001B321E" w:rsidP="001B321E">
      <w:pPr>
        <w:pStyle w:val="paragraph"/>
      </w:pPr>
      <w:r w:rsidRPr="00784539">
        <w:tab/>
        <w:t>(b)</w:t>
      </w:r>
      <w:r w:rsidRPr="00784539">
        <w:tab/>
        <w:t>the IT percentage of the graduated levy component for</w:t>
      </w:r>
      <w:r w:rsidR="00AE2FC5" w:rsidRPr="00784539">
        <w:t xml:space="preserve"> the entity for</w:t>
      </w:r>
      <w:r w:rsidRPr="00784539">
        <w:t xml:space="preserve"> the sub</w:t>
      </w:r>
      <w:r w:rsidR="00784539">
        <w:noBreakHyphen/>
      </w:r>
      <w:r w:rsidRPr="00784539">
        <w:t>sector; and</w:t>
      </w:r>
    </w:p>
    <w:p w:rsidR="001B321E" w:rsidRPr="00784539" w:rsidRDefault="001B321E" w:rsidP="001B321E">
      <w:pPr>
        <w:pStyle w:val="paragraph"/>
      </w:pPr>
      <w:r w:rsidRPr="00784539">
        <w:tab/>
        <w:t>(c)</w:t>
      </w:r>
      <w:r w:rsidRPr="00784539">
        <w:tab/>
        <w:t>10% of the non</w:t>
      </w:r>
      <w:r w:rsidR="00784539">
        <w:noBreakHyphen/>
      </w:r>
      <w:r w:rsidRPr="00784539">
        <w:t>IT percentage of the g</w:t>
      </w:r>
      <w:r w:rsidR="001C2DE5" w:rsidRPr="00784539">
        <w:t xml:space="preserve">raduated levy component for the </w:t>
      </w:r>
      <w:r w:rsidR="00AE2FC5" w:rsidRPr="00784539">
        <w:t xml:space="preserve">entity for the </w:t>
      </w:r>
      <w:r w:rsidRPr="00784539">
        <w:t>sub</w:t>
      </w:r>
      <w:r w:rsidR="00784539">
        <w:noBreakHyphen/>
      </w:r>
      <w:r w:rsidRPr="00784539">
        <w:t>sector; and</w:t>
      </w:r>
    </w:p>
    <w:p w:rsidR="001B321E" w:rsidRPr="00784539" w:rsidRDefault="001B321E" w:rsidP="001B321E">
      <w:pPr>
        <w:pStyle w:val="paragraph"/>
      </w:pPr>
      <w:r w:rsidRPr="00784539">
        <w:tab/>
        <w:t>(d)</w:t>
      </w:r>
      <w:r w:rsidRPr="00784539">
        <w:tab/>
        <w:t>90% of the non</w:t>
      </w:r>
      <w:r w:rsidR="00784539">
        <w:noBreakHyphen/>
      </w:r>
      <w:r w:rsidRPr="00784539">
        <w:t>IT percentage of the g</w:t>
      </w:r>
      <w:r w:rsidR="001C2DE5" w:rsidRPr="00784539">
        <w:t xml:space="preserve">raduated levy component for the </w:t>
      </w:r>
      <w:r w:rsidR="00AE2FC5" w:rsidRPr="00784539">
        <w:t xml:space="preserve">entity for the </w:t>
      </w:r>
      <w:r w:rsidRPr="00784539">
        <w:t>sub</w:t>
      </w:r>
      <w:r w:rsidR="00784539">
        <w:noBreakHyphen/>
      </w:r>
      <w:r w:rsidRPr="00784539">
        <w:t>sector.</w:t>
      </w:r>
    </w:p>
    <w:p w:rsidR="001B321E" w:rsidRPr="00784539" w:rsidRDefault="001B321E" w:rsidP="001B321E">
      <w:pPr>
        <w:pStyle w:val="SubsectionHead"/>
      </w:pPr>
      <w:r w:rsidRPr="00784539">
        <w:t>Entity metric (messages)</w:t>
      </w:r>
    </w:p>
    <w:p w:rsidR="001B321E" w:rsidRPr="00784539" w:rsidRDefault="001B321E" w:rsidP="001B321E">
      <w:pPr>
        <w:pStyle w:val="subsection"/>
      </w:pPr>
      <w:r w:rsidRPr="00784539">
        <w:tab/>
        <w:t>(3)</w:t>
      </w:r>
      <w:r w:rsidRPr="00784539">
        <w:tab/>
        <w:t xml:space="preserve">The leviable entity’s </w:t>
      </w:r>
      <w:r w:rsidRPr="00784539">
        <w:rPr>
          <w:b/>
          <w:i/>
        </w:rPr>
        <w:t>entity metric</w:t>
      </w:r>
      <w:r w:rsidRPr="00784539">
        <w:t xml:space="preserve"> for the sub</w:t>
      </w:r>
      <w:r w:rsidR="00784539">
        <w:noBreakHyphen/>
      </w:r>
      <w:r w:rsidRPr="00784539">
        <w:t>sector for the financial year is the number of messages that:</w:t>
      </w:r>
    </w:p>
    <w:p w:rsidR="001B321E" w:rsidRPr="00784539" w:rsidRDefault="001B321E" w:rsidP="001B321E">
      <w:pPr>
        <w:pStyle w:val="paragraph"/>
      </w:pPr>
      <w:r w:rsidRPr="00784539">
        <w:tab/>
        <w:t>(a)</w:t>
      </w:r>
      <w:r w:rsidRPr="00784539">
        <w:tab/>
        <w:t xml:space="preserve">are </w:t>
      </w:r>
      <w:r w:rsidR="007971E9" w:rsidRPr="00784539">
        <w:t>sent by</w:t>
      </w:r>
      <w:r w:rsidRPr="00784539">
        <w:t xml:space="preserve"> the entity </w:t>
      </w:r>
      <w:r w:rsidR="00BF5698" w:rsidRPr="00784539">
        <w:t>in</w:t>
      </w:r>
      <w:r w:rsidRPr="00784539">
        <w:t xml:space="preserve"> the financial year to a large futures exchange; and</w:t>
      </w:r>
    </w:p>
    <w:p w:rsidR="001B321E" w:rsidRPr="00784539" w:rsidRDefault="001B321E" w:rsidP="001B321E">
      <w:pPr>
        <w:pStyle w:val="paragraph"/>
      </w:pPr>
      <w:r w:rsidRPr="00784539">
        <w:tab/>
        <w:t>(b)</w:t>
      </w:r>
      <w:r w:rsidRPr="00784539">
        <w:tab/>
        <w:t>are reported by the operator of the large futures exchange to ASIC’s Market Surveillance System; and</w:t>
      </w:r>
    </w:p>
    <w:p w:rsidR="001B321E" w:rsidRPr="00784539" w:rsidRDefault="001B321E" w:rsidP="001B321E">
      <w:pPr>
        <w:pStyle w:val="paragraph"/>
      </w:pPr>
      <w:r w:rsidRPr="00784539">
        <w:tab/>
        <w:t>(c)</w:t>
      </w:r>
      <w:r w:rsidRPr="00784539">
        <w:tab/>
        <w:t>are recognised by ASIC’s Market Surveillance System as orders or executed transactions.</w:t>
      </w:r>
    </w:p>
    <w:p w:rsidR="001B321E" w:rsidRPr="00784539" w:rsidRDefault="001B321E" w:rsidP="001B321E">
      <w:pPr>
        <w:pStyle w:val="SubsectionHead"/>
      </w:pPr>
      <w:r w:rsidRPr="00784539">
        <w:t>Entity metric (transactions)</w:t>
      </w:r>
    </w:p>
    <w:p w:rsidR="001B321E" w:rsidRPr="00784539" w:rsidRDefault="001B321E" w:rsidP="001B321E">
      <w:pPr>
        <w:pStyle w:val="subsection"/>
      </w:pPr>
      <w:r w:rsidRPr="00784539">
        <w:tab/>
        <w:t>(4)</w:t>
      </w:r>
      <w:r w:rsidRPr="00784539">
        <w:tab/>
        <w:t xml:space="preserve">However, in working out the graduated levy component for the purposes of </w:t>
      </w:r>
      <w:r w:rsidR="00784539" w:rsidRPr="00784539">
        <w:t>paragraph (</w:t>
      </w:r>
      <w:r w:rsidRPr="00784539">
        <w:t xml:space="preserve">2)(d), the leviable entity’s </w:t>
      </w:r>
      <w:r w:rsidRPr="00784539">
        <w:rPr>
          <w:b/>
          <w:i/>
        </w:rPr>
        <w:t>entity metric</w:t>
      </w:r>
      <w:r w:rsidRPr="00784539">
        <w:t xml:space="preserve"> for the sub</w:t>
      </w:r>
      <w:r w:rsidR="00784539">
        <w:noBreakHyphen/>
      </w:r>
      <w:r w:rsidRPr="00784539">
        <w:t>sector for the financial year is instead the number of transactions that:</w:t>
      </w:r>
    </w:p>
    <w:p w:rsidR="001B321E" w:rsidRPr="00784539" w:rsidRDefault="001B321E" w:rsidP="001B321E">
      <w:pPr>
        <w:pStyle w:val="paragraph"/>
      </w:pPr>
      <w:r w:rsidRPr="00784539">
        <w:tab/>
        <w:t>(a)</w:t>
      </w:r>
      <w:r w:rsidRPr="00784539">
        <w:tab/>
        <w:t xml:space="preserve">are executed on, or reported to, a large futures exchange by the entity </w:t>
      </w:r>
      <w:r w:rsidR="00BF5698" w:rsidRPr="00784539">
        <w:t>in</w:t>
      </w:r>
      <w:r w:rsidRPr="00784539">
        <w:t xml:space="preserve"> the financial year; and</w:t>
      </w:r>
    </w:p>
    <w:p w:rsidR="001B321E" w:rsidRPr="00784539" w:rsidRDefault="001B321E" w:rsidP="001B321E">
      <w:pPr>
        <w:pStyle w:val="paragraph"/>
      </w:pPr>
      <w:r w:rsidRPr="00784539">
        <w:tab/>
        <w:t>(b)</w:t>
      </w:r>
      <w:r w:rsidRPr="00784539">
        <w:tab/>
        <w:t>are reported by the operator of the large futures exchange to ASIC’s Market Surveillance System; and</w:t>
      </w:r>
    </w:p>
    <w:p w:rsidR="001B321E" w:rsidRPr="00784539" w:rsidRDefault="001B321E" w:rsidP="001B321E">
      <w:pPr>
        <w:pStyle w:val="paragraph"/>
      </w:pPr>
      <w:r w:rsidRPr="00784539">
        <w:tab/>
        <w:t>(c)</w:t>
      </w:r>
      <w:r w:rsidRPr="00784539">
        <w:tab/>
        <w:t>are recognised by ASIC’s Market Surveillance System as executed transactions.</w:t>
      </w:r>
    </w:p>
    <w:p w:rsidR="001B321E" w:rsidRPr="00784539" w:rsidRDefault="001B321E" w:rsidP="001B321E">
      <w:pPr>
        <w:pStyle w:val="subsection"/>
      </w:pPr>
      <w:r w:rsidRPr="00784539">
        <w:tab/>
        <w:t>(5)</w:t>
      </w:r>
      <w:r w:rsidRPr="00784539">
        <w:tab/>
        <w:t>In this section:</w:t>
      </w:r>
    </w:p>
    <w:p w:rsidR="001B321E" w:rsidRPr="00784539" w:rsidRDefault="001B321E" w:rsidP="001B321E">
      <w:pPr>
        <w:pStyle w:val="Definition"/>
      </w:pPr>
      <w:r w:rsidRPr="00784539">
        <w:rPr>
          <w:b/>
          <w:i/>
        </w:rPr>
        <w:t>IT percentage</w:t>
      </w:r>
      <w:r w:rsidR="00102FB4" w:rsidRPr="00784539">
        <w:t>,</w:t>
      </w:r>
      <w:r w:rsidRPr="00784539">
        <w:t xml:space="preserve"> for the sub</w:t>
      </w:r>
      <w:r w:rsidR="00784539">
        <w:noBreakHyphen/>
      </w:r>
      <w:r w:rsidRPr="00784539">
        <w:t>sector for the financial year</w:t>
      </w:r>
      <w:r w:rsidR="00102FB4" w:rsidRPr="00784539">
        <w:t>,</w:t>
      </w:r>
      <w:r w:rsidRPr="00784539">
        <w:t xml:space="preserve"> means the percentage determined by ASIC in an annual determination to be the percentage that corresponds to the extent to which the sub</w:t>
      </w:r>
      <w:r w:rsidR="00784539">
        <w:noBreakHyphen/>
      </w:r>
      <w:r w:rsidRPr="00784539">
        <w:t>sector regulatory costs in relation to the sub</w:t>
      </w:r>
      <w:r w:rsidR="00784539">
        <w:noBreakHyphen/>
      </w:r>
      <w:r w:rsidRPr="00784539">
        <w:t>sector for the financial year are attributable to costs relating to information technology.</w:t>
      </w:r>
    </w:p>
    <w:p w:rsidR="001B321E" w:rsidRPr="00784539" w:rsidRDefault="001B321E" w:rsidP="001B321E">
      <w:pPr>
        <w:pStyle w:val="Definition"/>
      </w:pPr>
      <w:r w:rsidRPr="00784539">
        <w:rPr>
          <w:b/>
          <w:i/>
        </w:rPr>
        <w:t>non</w:t>
      </w:r>
      <w:r w:rsidR="00784539">
        <w:rPr>
          <w:b/>
          <w:i/>
        </w:rPr>
        <w:noBreakHyphen/>
      </w:r>
      <w:r w:rsidRPr="00784539">
        <w:rPr>
          <w:b/>
          <w:i/>
        </w:rPr>
        <w:t>IT percentage</w:t>
      </w:r>
      <w:r w:rsidR="00102FB4" w:rsidRPr="00784539">
        <w:t>,</w:t>
      </w:r>
      <w:r w:rsidRPr="00784539">
        <w:t xml:space="preserve"> for the sub</w:t>
      </w:r>
      <w:r w:rsidR="00784539">
        <w:noBreakHyphen/>
      </w:r>
      <w:r w:rsidRPr="00784539">
        <w:t>sector for the financial year</w:t>
      </w:r>
      <w:r w:rsidR="00102FB4" w:rsidRPr="00784539">
        <w:t>,</w:t>
      </w:r>
      <w:r w:rsidRPr="00784539">
        <w:t xml:space="preserve"> means 100% minus the IT percentage for the sub</w:t>
      </w:r>
      <w:r w:rsidR="00784539">
        <w:noBreakHyphen/>
      </w:r>
      <w:r w:rsidRPr="00784539">
        <w:t>sector for the financial year.</w:t>
      </w:r>
    </w:p>
    <w:p w:rsidR="001B321E" w:rsidRPr="00784539" w:rsidRDefault="001B321E" w:rsidP="00295478">
      <w:pPr>
        <w:pStyle w:val="subsection"/>
      </w:pPr>
      <w:r w:rsidRPr="00784539">
        <w:tab/>
        <w:t>(6)</w:t>
      </w:r>
      <w:r w:rsidRPr="00784539">
        <w:tab/>
        <w:t xml:space="preserve">The </w:t>
      </w:r>
      <w:r w:rsidRPr="00784539">
        <w:rPr>
          <w:b/>
          <w:i/>
        </w:rPr>
        <w:t>minimum levy component</w:t>
      </w:r>
      <w:r w:rsidRPr="00784539">
        <w:t xml:space="preserve"> for the sub</w:t>
      </w:r>
      <w:r w:rsidR="00784539">
        <w:noBreakHyphen/>
      </w:r>
      <w:r w:rsidRPr="00784539">
        <w:t>sector is</w:t>
      </w:r>
      <w:r w:rsidR="00295478" w:rsidRPr="00784539">
        <w:t xml:space="preserve"> </w:t>
      </w:r>
      <w:r w:rsidRPr="00784539">
        <w:t>$9,000.</w:t>
      </w:r>
    </w:p>
    <w:p w:rsidR="002938E9" w:rsidRPr="00784539" w:rsidRDefault="00085808" w:rsidP="002938E9">
      <w:pPr>
        <w:pStyle w:val="ActHead5"/>
      </w:pPr>
      <w:bookmarkStart w:id="98" w:name="_Toc485110126"/>
      <w:r w:rsidRPr="00784539">
        <w:rPr>
          <w:rStyle w:val="CharSectno"/>
        </w:rPr>
        <w:t>65</w:t>
      </w:r>
      <w:r w:rsidR="002938E9" w:rsidRPr="00784539">
        <w:t xml:space="preserve">  Large securities </w:t>
      </w:r>
      <w:r w:rsidR="00CC0E4D" w:rsidRPr="00784539">
        <w:t xml:space="preserve">exchange </w:t>
      </w:r>
      <w:r w:rsidR="002938E9" w:rsidRPr="00784539">
        <w:t>participants</w:t>
      </w:r>
      <w:bookmarkEnd w:id="98"/>
    </w:p>
    <w:p w:rsidR="002938E9" w:rsidRPr="00784539" w:rsidRDefault="002938E9" w:rsidP="002938E9">
      <w:pPr>
        <w:pStyle w:val="subsection"/>
      </w:pPr>
      <w:r w:rsidRPr="00784539">
        <w:tab/>
        <w:t>(1)</w:t>
      </w:r>
      <w:r w:rsidRPr="00784539">
        <w:tab/>
        <w:t xml:space="preserve">A leviable entity forms part of the </w:t>
      </w:r>
      <w:r w:rsidRPr="00784539">
        <w:rPr>
          <w:b/>
          <w:i/>
        </w:rPr>
        <w:t xml:space="preserve">large securities </w:t>
      </w:r>
      <w:r w:rsidR="00CC0E4D" w:rsidRPr="00784539">
        <w:rPr>
          <w:b/>
          <w:i/>
        </w:rPr>
        <w:t xml:space="preserve">exchange </w:t>
      </w:r>
      <w:r w:rsidRPr="00784539">
        <w:rPr>
          <w:b/>
          <w:i/>
        </w:rPr>
        <w:t xml:space="preserve">participants </w:t>
      </w:r>
      <w:r w:rsidRPr="00784539">
        <w:t>sub</w:t>
      </w:r>
      <w:r w:rsidR="00784539">
        <w:noBreakHyphen/>
      </w:r>
      <w:r w:rsidRPr="00784539">
        <w:t xml:space="preserve">sector in a financial year if, </w:t>
      </w:r>
      <w:r w:rsidR="0067102E" w:rsidRPr="00784539">
        <w:t>at any time in the financial year</w:t>
      </w:r>
      <w:r w:rsidRPr="00784539">
        <w:t xml:space="preserve">, the entity is a participant in a large </w:t>
      </w:r>
      <w:r w:rsidR="0037378A" w:rsidRPr="00784539">
        <w:t>securities exchange</w:t>
      </w:r>
      <w:r w:rsidRPr="00784539">
        <w:t>.</w:t>
      </w:r>
    </w:p>
    <w:p w:rsidR="002938E9" w:rsidRPr="00784539" w:rsidRDefault="002938E9" w:rsidP="002938E9">
      <w:pPr>
        <w:pStyle w:val="SubsectionHead"/>
      </w:pPr>
      <w:r w:rsidRPr="00784539">
        <w:t>Levy component</w:t>
      </w:r>
    </w:p>
    <w:p w:rsidR="003F3DCD" w:rsidRPr="00784539" w:rsidRDefault="002938E9" w:rsidP="003F3DCD">
      <w:pPr>
        <w:pStyle w:val="subsection"/>
      </w:pPr>
      <w:r w:rsidRPr="00784539">
        <w:tab/>
      </w:r>
      <w:r w:rsidR="003F3DCD" w:rsidRPr="00784539">
        <w:t>(2)</w:t>
      </w:r>
      <w:r w:rsidR="003F3DCD" w:rsidRPr="00784539">
        <w:tab/>
        <w:t>The amount of a leviable entity’s levy component in respect of the sub</w:t>
      </w:r>
      <w:r w:rsidR="00784539">
        <w:noBreakHyphen/>
      </w:r>
      <w:r w:rsidR="003F3DCD" w:rsidRPr="00784539">
        <w:t>sector for the financial year is the sum of:</w:t>
      </w:r>
    </w:p>
    <w:p w:rsidR="003F3DCD" w:rsidRPr="00784539" w:rsidRDefault="003F3DCD" w:rsidP="003F3DCD">
      <w:pPr>
        <w:pStyle w:val="paragraph"/>
      </w:pPr>
      <w:r w:rsidRPr="00784539">
        <w:tab/>
        <w:t>(a)</w:t>
      </w:r>
      <w:r w:rsidRPr="00784539">
        <w:tab/>
        <w:t>the minimum levy component for the sub</w:t>
      </w:r>
      <w:r w:rsidR="00784539">
        <w:noBreakHyphen/>
      </w:r>
      <w:r w:rsidRPr="00784539">
        <w:t>sector; and</w:t>
      </w:r>
    </w:p>
    <w:p w:rsidR="003F3DCD" w:rsidRPr="00784539" w:rsidRDefault="003F3DCD" w:rsidP="003F3DCD">
      <w:pPr>
        <w:pStyle w:val="paragraph"/>
      </w:pPr>
      <w:r w:rsidRPr="00784539">
        <w:tab/>
        <w:t>(b)</w:t>
      </w:r>
      <w:r w:rsidRPr="00784539">
        <w:tab/>
        <w:t>the IT percentage of the graduated levy component for</w:t>
      </w:r>
      <w:r w:rsidR="00AE2FC5" w:rsidRPr="00784539">
        <w:t xml:space="preserve"> the entity for</w:t>
      </w:r>
      <w:r w:rsidRPr="00784539">
        <w:t xml:space="preserve"> the sub</w:t>
      </w:r>
      <w:r w:rsidR="00784539">
        <w:noBreakHyphen/>
      </w:r>
      <w:r w:rsidRPr="00784539">
        <w:t>sector; and</w:t>
      </w:r>
    </w:p>
    <w:p w:rsidR="003F3DCD" w:rsidRPr="00784539" w:rsidRDefault="003F3DCD" w:rsidP="003F3DCD">
      <w:pPr>
        <w:pStyle w:val="paragraph"/>
      </w:pPr>
      <w:r w:rsidRPr="00784539">
        <w:tab/>
        <w:t>(c)</w:t>
      </w:r>
      <w:r w:rsidRPr="00784539">
        <w:tab/>
        <w:t>10% of the non</w:t>
      </w:r>
      <w:r w:rsidR="00784539">
        <w:noBreakHyphen/>
      </w:r>
      <w:r w:rsidRPr="00784539">
        <w:t xml:space="preserve">IT percentage of the graduated levy component for </w:t>
      </w:r>
      <w:r w:rsidR="000E42ED" w:rsidRPr="00784539">
        <w:t xml:space="preserve">the </w:t>
      </w:r>
      <w:r w:rsidR="00AE2FC5" w:rsidRPr="00784539">
        <w:t xml:space="preserve">entity for </w:t>
      </w:r>
      <w:r w:rsidRPr="00784539">
        <w:t>the sub</w:t>
      </w:r>
      <w:r w:rsidR="00784539">
        <w:noBreakHyphen/>
      </w:r>
      <w:r w:rsidRPr="00784539">
        <w:t>sector; and</w:t>
      </w:r>
    </w:p>
    <w:p w:rsidR="003F3DCD" w:rsidRPr="00784539" w:rsidRDefault="003F3DCD" w:rsidP="003F3DCD">
      <w:pPr>
        <w:pStyle w:val="paragraph"/>
      </w:pPr>
      <w:r w:rsidRPr="00784539">
        <w:tab/>
        <w:t>(d)</w:t>
      </w:r>
      <w:r w:rsidRPr="00784539">
        <w:tab/>
        <w:t>90% of the non</w:t>
      </w:r>
      <w:r w:rsidR="00784539">
        <w:noBreakHyphen/>
      </w:r>
      <w:r w:rsidRPr="00784539">
        <w:t>IT percentage of the g</w:t>
      </w:r>
      <w:r w:rsidR="000E42ED" w:rsidRPr="00784539">
        <w:t xml:space="preserve">raduated levy component for the </w:t>
      </w:r>
      <w:r w:rsidR="00AE2FC5" w:rsidRPr="00784539">
        <w:t>entity for the sub</w:t>
      </w:r>
      <w:r w:rsidR="00784539">
        <w:noBreakHyphen/>
      </w:r>
      <w:r w:rsidRPr="00784539">
        <w:t>sector.</w:t>
      </w:r>
    </w:p>
    <w:p w:rsidR="003F3DCD" w:rsidRPr="00784539" w:rsidRDefault="003F3DCD" w:rsidP="003F3DCD">
      <w:pPr>
        <w:pStyle w:val="SubsectionHead"/>
      </w:pPr>
      <w:r w:rsidRPr="00784539">
        <w:t>Entity metric (messages)</w:t>
      </w:r>
    </w:p>
    <w:p w:rsidR="003F3DCD" w:rsidRPr="00784539" w:rsidRDefault="003F3DCD" w:rsidP="003F3DCD">
      <w:pPr>
        <w:pStyle w:val="subsection"/>
      </w:pPr>
      <w:r w:rsidRPr="00784539">
        <w:tab/>
        <w:t>(3)</w:t>
      </w:r>
      <w:r w:rsidRPr="00784539">
        <w:tab/>
        <w:t xml:space="preserve">The leviable entity’s </w:t>
      </w:r>
      <w:r w:rsidRPr="00784539">
        <w:rPr>
          <w:b/>
          <w:i/>
        </w:rPr>
        <w:t>entity metric</w:t>
      </w:r>
      <w:r w:rsidRPr="00784539">
        <w:t xml:space="preserve"> for the sub</w:t>
      </w:r>
      <w:r w:rsidR="00784539">
        <w:noBreakHyphen/>
      </w:r>
      <w:r w:rsidRPr="00784539">
        <w:t>sector for the financial year is the number of messages that:</w:t>
      </w:r>
    </w:p>
    <w:p w:rsidR="003F3DCD" w:rsidRPr="00784539" w:rsidRDefault="003F3DCD" w:rsidP="003F3DCD">
      <w:pPr>
        <w:pStyle w:val="paragraph"/>
      </w:pPr>
      <w:r w:rsidRPr="00784539">
        <w:tab/>
        <w:t>(a)</w:t>
      </w:r>
      <w:r w:rsidRPr="00784539">
        <w:tab/>
        <w:t>are</w:t>
      </w:r>
      <w:r w:rsidR="007971E9" w:rsidRPr="00784539">
        <w:t xml:space="preserve"> sent</w:t>
      </w:r>
      <w:r w:rsidRPr="00784539">
        <w:t xml:space="preserve"> by the entity </w:t>
      </w:r>
      <w:r w:rsidR="00BF5698" w:rsidRPr="00784539">
        <w:t>in</w:t>
      </w:r>
      <w:r w:rsidRPr="00784539">
        <w:t xml:space="preserve"> the financial year to a large securities exchange; and</w:t>
      </w:r>
    </w:p>
    <w:p w:rsidR="003F3DCD" w:rsidRPr="00784539" w:rsidRDefault="003F3DCD" w:rsidP="003F3DCD">
      <w:pPr>
        <w:pStyle w:val="paragraph"/>
      </w:pPr>
      <w:r w:rsidRPr="00784539">
        <w:tab/>
        <w:t>(b)</w:t>
      </w:r>
      <w:r w:rsidRPr="00784539">
        <w:tab/>
        <w:t>are reported by the operator of the large securities exchange to ASIC’s Market Surveillance System; and</w:t>
      </w:r>
    </w:p>
    <w:p w:rsidR="003F3DCD" w:rsidRPr="00784539" w:rsidRDefault="003F3DCD" w:rsidP="003F3DCD">
      <w:pPr>
        <w:pStyle w:val="paragraph"/>
      </w:pPr>
      <w:r w:rsidRPr="00784539">
        <w:tab/>
        <w:t>(c)</w:t>
      </w:r>
      <w:r w:rsidRPr="00784539">
        <w:tab/>
        <w:t>are recognised by ASIC’s Market Surveillance System as orders or executed transactions.</w:t>
      </w:r>
    </w:p>
    <w:p w:rsidR="003F3DCD" w:rsidRPr="00784539" w:rsidRDefault="003F3DCD" w:rsidP="003F3DCD">
      <w:pPr>
        <w:pStyle w:val="SubsectionHead"/>
      </w:pPr>
      <w:r w:rsidRPr="00784539">
        <w:t>Entity metric (transactions)</w:t>
      </w:r>
    </w:p>
    <w:p w:rsidR="003F3DCD" w:rsidRPr="00784539" w:rsidRDefault="003F3DCD" w:rsidP="003F3DCD">
      <w:pPr>
        <w:pStyle w:val="subsection"/>
      </w:pPr>
      <w:r w:rsidRPr="00784539">
        <w:tab/>
        <w:t>(4)</w:t>
      </w:r>
      <w:r w:rsidRPr="00784539">
        <w:tab/>
        <w:t xml:space="preserve">However, in working out the graduated levy component for the purposes of </w:t>
      </w:r>
      <w:r w:rsidR="00784539" w:rsidRPr="00784539">
        <w:t>paragraph (</w:t>
      </w:r>
      <w:r w:rsidRPr="00784539">
        <w:t xml:space="preserve">2)(d), the leviable entity’s </w:t>
      </w:r>
      <w:r w:rsidRPr="00784539">
        <w:rPr>
          <w:b/>
          <w:i/>
        </w:rPr>
        <w:t>entity metric</w:t>
      </w:r>
      <w:r w:rsidRPr="00784539">
        <w:t xml:space="preserve"> for the sub</w:t>
      </w:r>
      <w:r w:rsidR="00784539">
        <w:noBreakHyphen/>
      </w:r>
      <w:r w:rsidRPr="00784539">
        <w:t>sector for the financial year is instead the number of transactions that:</w:t>
      </w:r>
    </w:p>
    <w:p w:rsidR="003F3DCD" w:rsidRPr="00784539" w:rsidRDefault="003F3DCD" w:rsidP="003F3DCD">
      <w:pPr>
        <w:pStyle w:val="paragraph"/>
      </w:pPr>
      <w:r w:rsidRPr="00784539">
        <w:tab/>
        <w:t>(a)</w:t>
      </w:r>
      <w:r w:rsidRPr="00784539">
        <w:tab/>
        <w:t xml:space="preserve">are executed on, or reported to, a large securities exchange by the entity </w:t>
      </w:r>
      <w:r w:rsidR="00BF5698" w:rsidRPr="00784539">
        <w:t>in</w:t>
      </w:r>
      <w:r w:rsidRPr="00784539">
        <w:t xml:space="preserve"> the financial year; and</w:t>
      </w:r>
    </w:p>
    <w:p w:rsidR="003F3DCD" w:rsidRPr="00784539" w:rsidRDefault="003F3DCD" w:rsidP="003F3DCD">
      <w:pPr>
        <w:pStyle w:val="paragraph"/>
      </w:pPr>
      <w:r w:rsidRPr="00784539">
        <w:tab/>
        <w:t>(b)</w:t>
      </w:r>
      <w:r w:rsidRPr="00784539">
        <w:tab/>
        <w:t>are reported by the operator of the large securities exchange to ASIC’s Market Surveillance System; and</w:t>
      </w:r>
    </w:p>
    <w:p w:rsidR="003F3DCD" w:rsidRPr="00784539" w:rsidRDefault="003F3DCD" w:rsidP="003F3DCD">
      <w:pPr>
        <w:pStyle w:val="paragraph"/>
      </w:pPr>
      <w:r w:rsidRPr="00784539">
        <w:tab/>
        <w:t>(c)</w:t>
      </w:r>
      <w:r w:rsidRPr="00784539">
        <w:tab/>
        <w:t>are recognised by ASIC’s Market Surveillance System as executed transactions.</w:t>
      </w:r>
    </w:p>
    <w:p w:rsidR="003F3DCD" w:rsidRPr="00784539" w:rsidRDefault="003F3DCD" w:rsidP="003F3DCD">
      <w:pPr>
        <w:pStyle w:val="subsection"/>
      </w:pPr>
      <w:r w:rsidRPr="00784539">
        <w:tab/>
        <w:t>(5)</w:t>
      </w:r>
      <w:r w:rsidRPr="00784539">
        <w:tab/>
        <w:t>In this section:</w:t>
      </w:r>
    </w:p>
    <w:p w:rsidR="003F3DCD" w:rsidRPr="00784539" w:rsidRDefault="003F3DCD" w:rsidP="003F3DCD">
      <w:pPr>
        <w:pStyle w:val="Definition"/>
      </w:pPr>
      <w:r w:rsidRPr="00784539">
        <w:rPr>
          <w:b/>
          <w:i/>
        </w:rPr>
        <w:t>IT percentage</w:t>
      </w:r>
      <w:r w:rsidR="00102FB4" w:rsidRPr="00784539">
        <w:t>,</w:t>
      </w:r>
      <w:r w:rsidRPr="00784539">
        <w:t xml:space="preserve"> for the sub</w:t>
      </w:r>
      <w:r w:rsidR="00784539">
        <w:noBreakHyphen/>
      </w:r>
      <w:r w:rsidRPr="00784539">
        <w:t>sector for the financial year</w:t>
      </w:r>
      <w:r w:rsidR="00102FB4" w:rsidRPr="00784539">
        <w:t>,</w:t>
      </w:r>
      <w:r w:rsidRPr="00784539">
        <w:t xml:space="preserve"> means the percentage determined by ASIC in an annual determination to be the percentage that corresponds to the extent to which the sub</w:t>
      </w:r>
      <w:r w:rsidR="00784539">
        <w:noBreakHyphen/>
      </w:r>
      <w:r w:rsidRPr="00784539">
        <w:t>sector regulatory costs in relation to the sub</w:t>
      </w:r>
      <w:r w:rsidR="00784539">
        <w:noBreakHyphen/>
      </w:r>
      <w:r w:rsidRPr="00784539">
        <w:t>sector for the financial year are attributable to costs relating to information technology.</w:t>
      </w:r>
    </w:p>
    <w:p w:rsidR="003F3DCD" w:rsidRPr="00784539" w:rsidRDefault="003F3DCD" w:rsidP="003F3DCD">
      <w:pPr>
        <w:pStyle w:val="Definition"/>
      </w:pPr>
      <w:r w:rsidRPr="00784539">
        <w:rPr>
          <w:b/>
          <w:i/>
        </w:rPr>
        <w:t>non</w:t>
      </w:r>
      <w:r w:rsidR="00784539">
        <w:rPr>
          <w:b/>
          <w:i/>
        </w:rPr>
        <w:noBreakHyphen/>
      </w:r>
      <w:r w:rsidRPr="00784539">
        <w:rPr>
          <w:b/>
          <w:i/>
        </w:rPr>
        <w:t>IT percentage</w:t>
      </w:r>
      <w:r w:rsidR="00102FB4" w:rsidRPr="00784539">
        <w:t>,</w:t>
      </w:r>
      <w:r w:rsidRPr="00784539">
        <w:t xml:space="preserve"> for the sub</w:t>
      </w:r>
      <w:r w:rsidR="00784539">
        <w:noBreakHyphen/>
      </w:r>
      <w:r w:rsidRPr="00784539">
        <w:t>sector for the financial year</w:t>
      </w:r>
      <w:r w:rsidR="00102FB4" w:rsidRPr="00784539">
        <w:t>,</w:t>
      </w:r>
      <w:r w:rsidRPr="00784539">
        <w:t xml:space="preserve"> means 100% minus the IT percentage for the sub</w:t>
      </w:r>
      <w:r w:rsidR="00784539">
        <w:noBreakHyphen/>
      </w:r>
      <w:r w:rsidRPr="00784539">
        <w:t>sector for the financial year.</w:t>
      </w:r>
    </w:p>
    <w:p w:rsidR="003F3DCD" w:rsidRPr="00784539" w:rsidRDefault="003F3DCD" w:rsidP="003F3DCD">
      <w:pPr>
        <w:pStyle w:val="subsection"/>
      </w:pPr>
      <w:r w:rsidRPr="00784539">
        <w:tab/>
        <w:t>(6)</w:t>
      </w:r>
      <w:r w:rsidRPr="00784539">
        <w:tab/>
        <w:t xml:space="preserve">The </w:t>
      </w:r>
      <w:r w:rsidRPr="00784539">
        <w:rPr>
          <w:b/>
          <w:i/>
        </w:rPr>
        <w:t>minimum levy component</w:t>
      </w:r>
      <w:r w:rsidRPr="00784539">
        <w:t xml:space="preserve"> for the sub</w:t>
      </w:r>
      <w:r w:rsidR="00784539">
        <w:noBreakHyphen/>
      </w:r>
      <w:r w:rsidRPr="00784539">
        <w:t>sector is $9,000.</w:t>
      </w:r>
    </w:p>
    <w:p w:rsidR="00A36634" w:rsidRPr="00784539" w:rsidRDefault="00085808" w:rsidP="00A36634">
      <w:pPr>
        <w:pStyle w:val="ActHead5"/>
      </w:pPr>
      <w:bookmarkStart w:id="99" w:name="_Toc485110127"/>
      <w:r w:rsidRPr="00784539">
        <w:rPr>
          <w:rStyle w:val="CharSectno"/>
        </w:rPr>
        <w:t>66</w:t>
      </w:r>
      <w:r w:rsidR="00A36634" w:rsidRPr="00784539">
        <w:t xml:space="preserve">  Over</w:t>
      </w:r>
      <w:r w:rsidR="00784539">
        <w:noBreakHyphen/>
      </w:r>
      <w:r w:rsidR="00A36634" w:rsidRPr="00784539">
        <w:t>the</w:t>
      </w:r>
      <w:r w:rsidR="00784539">
        <w:noBreakHyphen/>
      </w:r>
      <w:r w:rsidR="00A36634" w:rsidRPr="00784539">
        <w:t>counter traders</w:t>
      </w:r>
      <w:bookmarkEnd w:id="99"/>
    </w:p>
    <w:p w:rsidR="00A36634" w:rsidRPr="00784539" w:rsidRDefault="00A36634" w:rsidP="00A36634">
      <w:pPr>
        <w:pStyle w:val="subsection"/>
      </w:pPr>
      <w:r w:rsidRPr="00784539">
        <w:tab/>
        <w:t>(1)</w:t>
      </w:r>
      <w:r w:rsidRPr="00784539">
        <w:tab/>
        <w:t xml:space="preserve">A leviable entity forms part of the </w:t>
      </w:r>
      <w:r w:rsidRPr="00784539">
        <w:rPr>
          <w:b/>
          <w:i/>
        </w:rPr>
        <w:t>over</w:t>
      </w:r>
      <w:r w:rsidR="00784539">
        <w:rPr>
          <w:b/>
          <w:i/>
        </w:rPr>
        <w:noBreakHyphen/>
      </w:r>
      <w:r w:rsidRPr="00784539">
        <w:rPr>
          <w:b/>
          <w:i/>
        </w:rPr>
        <w:t>the</w:t>
      </w:r>
      <w:r w:rsidR="00784539">
        <w:rPr>
          <w:b/>
          <w:i/>
        </w:rPr>
        <w:noBreakHyphen/>
      </w:r>
      <w:r w:rsidRPr="00784539">
        <w:rPr>
          <w:b/>
          <w:i/>
        </w:rPr>
        <w:t>counter traders</w:t>
      </w:r>
      <w:r w:rsidRPr="00784539">
        <w:t xml:space="preserve"> sub</w:t>
      </w:r>
      <w:r w:rsidR="00784539">
        <w:noBreakHyphen/>
      </w:r>
      <w:r w:rsidRPr="00784539">
        <w:t>sector in a financial year if</w:t>
      </w:r>
      <w:r w:rsidR="0067102E" w:rsidRPr="00784539">
        <w:t>, at any time in the financial year, the entity</w:t>
      </w:r>
      <w:r w:rsidRPr="00784539">
        <w:t>:</w:t>
      </w:r>
    </w:p>
    <w:p w:rsidR="00AC5738" w:rsidRPr="00784539" w:rsidRDefault="007B119C" w:rsidP="007971E9">
      <w:pPr>
        <w:pStyle w:val="paragraph"/>
      </w:pPr>
      <w:r w:rsidRPr="00784539">
        <w:tab/>
        <w:t>(a)</w:t>
      </w:r>
      <w:r w:rsidRPr="00784539">
        <w:tab/>
      </w:r>
      <w:r w:rsidR="00AC5738" w:rsidRPr="00784539">
        <w:t>holds an Australian financial services licence or is exempt from the requirement to hold such a licence under paragraph</w:t>
      </w:r>
      <w:r w:rsidR="00784539" w:rsidRPr="00784539">
        <w:t> </w:t>
      </w:r>
      <w:r w:rsidR="00AC5738" w:rsidRPr="00784539">
        <w:t>911A(2)(l) or subsection</w:t>
      </w:r>
      <w:r w:rsidR="00784539" w:rsidRPr="00784539">
        <w:t> </w:t>
      </w:r>
      <w:r w:rsidR="00AC5738" w:rsidRPr="00784539">
        <w:t xml:space="preserve">926A(2) of the </w:t>
      </w:r>
      <w:r w:rsidR="00AC5738" w:rsidRPr="00784539">
        <w:rPr>
          <w:i/>
        </w:rPr>
        <w:t>Corporations Act 2001</w:t>
      </w:r>
      <w:r w:rsidR="00AC5738" w:rsidRPr="00784539">
        <w:t xml:space="preserve"> (other than because of an exemption under the </w:t>
      </w:r>
      <w:r w:rsidR="00AC5738" w:rsidRPr="00784539">
        <w:rPr>
          <w:i/>
        </w:rPr>
        <w:t>ASIC Corporations (Foreign Financial Services Providers—Limited Connection) Instrument 2017/182</w:t>
      </w:r>
      <w:r w:rsidR="00AC5738" w:rsidRPr="00784539">
        <w:t>); and</w:t>
      </w:r>
    </w:p>
    <w:p w:rsidR="00A36634" w:rsidRPr="00784539" w:rsidRDefault="00A36634" w:rsidP="00A36634">
      <w:pPr>
        <w:pStyle w:val="paragraph"/>
      </w:pPr>
      <w:r w:rsidRPr="00784539">
        <w:tab/>
        <w:t>(b)</w:t>
      </w:r>
      <w:r w:rsidRPr="00784539">
        <w:tab/>
        <w:t>deals in, or holds out that it deals in, over</w:t>
      </w:r>
      <w:r w:rsidR="00784539">
        <w:noBreakHyphen/>
      </w:r>
      <w:r w:rsidRPr="00784539">
        <w:t>the</w:t>
      </w:r>
      <w:r w:rsidR="00784539">
        <w:noBreakHyphen/>
      </w:r>
      <w:r w:rsidRPr="00784539">
        <w:t>counter financial products by:</w:t>
      </w:r>
    </w:p>
    <w:p w:rsidR="00A36634" w:rsidRPr="00784539" w:rsidRDefault="00A36634" w:rsidP="00A36634">
      <w:pPr>
        <w:pStyle w:val="paragraphsub"/>
      </w:pPr>
      <w:r w:rsidRPr="00784539">
        <w:tab/>
        <w:t>(i)</w:t>
      </w:r>
      <w:r w:rsidRPr="00784539">
        <w:tab/>
        <w:t>acquiring over</w:t>
      </w:r>
      <w:r w:rsidR="00784539">
        <w:noBreakHyphen/>
      </w:r>
      <w:r w:rsidRPr="00784539">
        <w:t>the</w:t>
      </w:r>
      <w:r w:rsidR="00784539">
        <w:noBreakHyphen/>
      </w:r>
      <w:r w:rsidRPr="00784539">
        <w:t>counter financial products from professional investors; or</w:t>
      </w:r>
    </w:p>
    <w:p w:rsidR="00A36634" w:rsidRPr="00784539" w:rsidRDefault="00A36634" w:rsidP="00A36634">
      <w:pPr>
        <w:pStyle w:val="paragraphsub"/>
      </w:pPr>
      <w:r w:rsidRPr="00784539">
        <w:tab/>
        <w:t>(ii)</w:t>
      </w:r>
      <w:r w:rsidRPr="00784539">
        <w:tab/>
        <w:t>disposing of over</w:t>
      </w:r>
      <w:r w:rsidR="00784539">
        <w:noBreakHyphen/>
      </w:r>
      <w:r w:rsidRPr="00784539">
        <w:t>the</w:t>
      </w:r>
      <w:r w:rsidR="00784539">
        <w:noBreakHyphen/>
      </w:r>
      <w:r w:rsidRPr="00784539">
        <w:t>counter financial products to professional investors; or</w:t>
      </w:r>
    </w:p>
    <w:p w:rsidR="00A36634" w:rsidRPr="00784539" w:rsidRDefault="00A36634" w:rsidP="00A36634">
      <w:pPr>
        <w:pStyle w:val="paragraphsub"/>
      </w:pPr>
      <w:r w:rsidRPr="00784539">
        <w:tab/>
        <w:t>(iii)</w:t>
      </w:r>
      <w:r w:rsidRPr="00784539">
        <w:tab/>
        <w:t>issuing over</w:t>
      </w:r>
      <w:r w:rsidR="00784539">
        <w:noBreakHyphen/>
      </w:r>
      <w:r w:rsidRPr="00784539">
        <w:t>the</w:t>
      </w:r>
      <w:r w:rsidR="00784539">
        <w:noBreakHyphen/>
      </w:r>
      <w:r w:rsidRPr="00784539">
        <w:t>counter financial products to professional investors; and</w:t>
      </w:r>
    </w:p>
    <w:p w:rsidR="00A36634" w:rsidRPr="00784539" w:rsidRDefault="00A36634" w:rsidP="00A36634">
      <w:pPr>
        <w:pStyle w:val="paragraph"/>
      </w:pPr>
      <w:r w:rsidRPr="00784539">
        <w:t xml:space="preserve"> </w:t>
      </w:r>
      <w:r w:rsidRPr="00784539">
        <w:tab/>
        <w:t>(c)</w:t>
      </w:r>
      <w:r w:rsidRPr="00784539">
        <w:tab/>
      </w:r>
      <w:r w:rsidR="00EC31BA" w:rsidRPr="00784539">
        <w:t>either</w:t>
      </w:r>
      <w:r w:rsidRPr="00784539">
        <w:t>:</w:t>
      </w:r>
    </w:p>
    <w:p w:rsidR="00A36634" w:rsidRPr="00784539" w:rsidRDefault="00A36634" w:rsidP="00A36634">
      <w:pPr>
        <w:pStyle w:val="paragraphsub"/>
      </w:pPr>
      <w:r w:rsidRPr="00784539">
        <w:tab/>
        <w:t>(i)</w:t>
      </w:r>
      <w:r w:rsidRPr="00784539">
        <w:tab/>
        <w:t>forms part of the corporate advisors sub</w:t>
      </w:r>
      <w:r w:rsidR="00784539">
        <w:noBreakHyphen/>
      </w:r>
      <w:r w:rsidRPr="00784539">
        <w:t>sector (see section</w:t>
      </w:r>
      <w:r w:rsidR="00784539" w:rsidRPr="00784539">
        <w:t> </w:t>
      </w:r>
      <w:r w:rsidR="00085808" w:rsidRPr="00784539">
        <w:t>63</w:t>
      </w:r>
      <w:r w:rsidRPr="00784539">
        <w:t>); or</w:t>
      </w:r>
    </w:p>
    <w:p w:rsidR="00A36634" w:rsidRPr="00784539" w:rsidRDefault="00A36634" w:rsidP="00A36634">
      <w:pPr>
        <w:pStyle w:val="paragraphsub"/>
      </w:pPr>
      <w:r w:rsidRPr="00784539">
        <w:tab/>
        <w:t>(ii)</w:t>
      </w:r>
      <w:r w:rsidRPr="00784539">
        <w:tab/>
        <w:t>is a related body corporate of an entity that forms part of the corporate advisors sub</w:t>
      </w:r>
      <w:r w:rsidR="00784539">
        <w:noBreakHyphen/>
      </w:r>
      <w:r w:rsidRPr="00784539">
        <w:t>sector; and</w:t>
      </w:r>
    </w:p>
    <w:p w:rsidR="00A36634" w:rsidRPr="00784539" w:rsidRDefault="00A36634" w:rsidP="00A36634">
      <w:pPr>
        <w:pStyle w:val="paragraph"/>
      </w:pPr>
      <w:r w:rsidRPr="00784539">
        <w:tab/>
        <w:t>(d)</w:t>
      </w:r>
      <w:r w:rsidRPr="00784539">
        <w:tab/>
        <w:t>does not form part of any of the following sub</w:t>
      </w:r>
      <w:r w:rsidR="00784539">
        <w:noBreakHyphen/>
      </w:r>
      <w:r w:rsidRPr="00784539">
        <w:t>sectors:</w:t>
      </w:r>
    </w:p>
    <w:p w:rsidR="00A36634" w:rsidRPr="00784539" w:rsidRDefault="00A36634" w:rsidP="00A36634">
      <w:pPr>
        <w:pStyle w:val="paragraphsub"/>
      </w:pPr>
      <w:r w:rsidRPr="00784539">
        <w:tab/>
        <w:t>(i)</w:t>
      </w:r>
      <w:r w:rsidRPr="00784539">
        <w:tab/>
        <w:t>the responsible entities sub</w:t>
      </w:r>
      <w:r w:rsidR="00784539">
        <w:noBreakHyphen/>
      </w:r>
      <w:r w:rsidRPr="00784539">
        <w:t>sector (see section</w:t>
      </w:r>
      <w:r w:rsidR="00784539" w:rsidRPr="00784539">
        <w:t> </w:t>
      </w:r>
      <w:r w:rsidR="00085808" w:rsidRPr="00784539">
        <w:t>35</w:t>
      </w:r>
      <w:r w:rsidRPr="00784539">
        <w:t>);</w:t>
      </w:r>
    </w:p>
    <w:p w:rsidR="00A36634" w:rsidRPr="00784539" w:rsidRDefault="00A36634" w:rsidP="00A36634">
      <w:pPr>
        <w:pStyle w:val="paragraphsub"/>
      </w:pPr>
      <w:r w:rsidRPr="00784539">
        <w:tab/>
        <w:t>(ii)</w:t>
      </w:r>
      <w:r w:rsidRPr="00784539">
        <w:tab/>
        <w:t>the superannuation trustees sub</w:t>
      </w:r>
      <w:r w:rsidR="00784539">
        <w:noBreakHyphen/>
      </w:r>
      <w:r w:rsidRPr="00784539">
        <w:t>sector (see section</w:t>
      </w:r>
      <w:r w:rsidR="00784539" w:rsidRPr="00784539">
        <w:t> </w:t>
      </w:r>
      <w:r w:rsidR="00085808" w:rsidRPr="00784539">
        <w:t>36</w:t>
      </w:r>
      <w:r w:rsidRPr="00784539">
        <w:t>);</w:t>
      </w:r>
    </w:p>
    <w:p w:rsidR="00A36634" w:rsidRPr="00784539" w:rsidRDefault="00A36634" w:rsidP="00A36634">
      <w:pPr>
        <w:pStyle w:val="paragraphsub"/>
      </w:pPr>
      <w:r w:rsidRPr="00784539">
        <w:tab/>
        <w:t>(iii)</w:t>
      </w:r>
      <w:r w:rsidRPr="00784539">
        <w:tab/>
        <w:t>the wholesale trustees sub</w:t>
      </w:r>
      <w:r w:rsidR="00784539">
        <w:noBreakHyphen/>
      </w:r>
      <w:r w:rsidRPr="00784539">
        <w:t>sector (see section</w:t>
      </w:r>
      <w:r w:rsidR="00784539" w:rsidRPr="00784539">
        <w:t> </w:t>
      </w:r>
      <w:r w:rsidR="00085808" w:rsidRPr="00784539">
        <w:t>37</w:t>
      </w:r>
      <w:r w:rsidRPr="00784539">
        <w:t>).</w:t>
      </w:r>
    </w:p>
    <w:p w:rsidR="00A36634" w:rsidRPr="00784539" w:rsidRDefault="00A36634" w:rsidP="00A36634">
      <w:pPr>
        <w:pStyle w:val="SubsectionHead"/>
      </w:pPr>
      <w:r w:rsidRPr="00784539">
        <w:t>Levy component</w:t>
      </w:r>
    </w:p>
    <w:p w:rsidR="00A36634" w:rsidRPr="00784539" w:rsidRDefault="00A36634" w:rsidP="00A36634">
      <w:pPr>
        <w:pStyle w:val="subsection"/>
      </w:pPr>
      <w:r w:rsidRPr="00784539">
        <w:tab/>
        <w:t>(2)</w:t>
      </w:r>
      <w:r w:rsidRPr="00784539">
        <w:tab/>
        <w:t>The amount of a leviable entity’s levy component in respect of the sub</w:t>
      </w:r>
      <w:r w:rsidR="00784539">
        <w:noBreakHyphen/>
      </w:r>
      <w:r w:rsidRPr="00784539">
        <w:t>sector for the financial year is the sum of:</w:t>
      </w:r>
    </w:p>
    <w:p w:rsidR="00A36634" w:rsidRPr="00784539" w:rsidRDefault="00A36634" w:rsidP="00A36634">
      <w:pPr>
        <w:pStyle w:val="paragraph"/>
      </w:pPr>
      <w:r w:rsidRPr="00784539">
        <w:tab/>
        <w:t>(a)</w:t>
      </w:r>
      <w:r w:rsidRPr="00784539">
        <w:tab/>
        <w:t>the minimum levy component for the sub</w:t>
      </w:r>
      <w:r w:rsidR="00784539">
        <w:noBreakHyphen/>
      </w:r>
      <w:r w:rsidRPr="00784539">
        <w:t>sector; and</w:t>
      </w:r>
    </w:p>
    <w:p w:rsidR="00A36634" w:rsidRPr="00784539" w:rsidRDefault="00A36634" w:rsidP="00A36634">
      <w:pPr>
        <w:pStyle w:val="paragraph"/>
      </w:pPr>
      <w:r w:rsidRPr="00784539">
        <w:tab/>
        <w:t>(b)</w:t>
      </w:r>
      <w:r w:rsidRPr="00784539">
        <w:tab/>
        <w:t>the graduated levy component for the entity for the sub</w:t>
      </w:r>
      <w:r w:rsidR="00784539">
        <w:noBreakHyphen/>
      </w:r>
      <w:r w:rsidRPr="00784539">
        <w:t>sector.</w:t>
      </w:r>
    </w:p>
    <w:p w:rsidR="00A36634" w:rsidRPr="00784539" w:rsidRDefault="00A36634" w:rsidP="00A36634">
      <w:pPr>
        <w:pStyle w:val="notetext"/>
      </w:pPr>
      <w:r w:rsidRPr="00784539">
        <w:t>Note:</w:t>
      </w:r>
      <w:r w:rsidRPr="00784539">
        <w:tab/>
        <w:t>For the graduated levy component, see section</w:t>
      </w:r>
      <w:r w:rsidR="00784539" w:rsidRPr="00784539">
        <w:t> </w:t>
      </w:r>
      <w:r w:rsidR="00085808" w:rsidRPr="00784539">
        <w:t>10</w:t>
      </w:r>
      <w:r w:rsidRPr="00784539">
        <w:t>.</w:t>
      </w:r>
    </w:p>
    <w:p w:rsidR="00A36634" w:rsidRPr="00784539" w:rsidRDefault="00A36634" w:rsidP="00A36634">
      <w:pPr>
        <w:pStyle w:val="SubsectionHead"/>
      </w:pPr>
      <w:r w:rsidRPr="00784539">
        <w:t>Entity metric</w:t>
      </w:r>
    </w:p>
    <w:p w:rsidR="00BF2A22" w:rsidRPr="00784539" w:rsidRDefault="00A36634" w:rsidP="00880DB9">
      <w:pPr>
        <w:pStyle w:val="subsection"/>
      </w:pPr>
      <w:r w:rsidRPr="00784539">
        <w:tab/>
      </w:r>
      <w:r w:rsidR="0011108E" w:rsidRPr="00784539">
        <w:t>(3)</w:t>
      </w:r>
      <w:r w:rsidR="0011108E" w:rsidRPr="00784539">
        <w:tab/>
        <w:t xml:space="preserve">The leviable entity’s </w:t>
      </w:r>
      <w:r w:rsidR="0011108E" w:rsidRPr="00784539">
        <w:rPr>
          <w:b/>
          <w:i/>
        </w:rPr>
        <w:t>entity metric</w:t>
      </w:r>
      <w:r w:rsidR="0011108E" w:rsidRPr="00784539">
        <w:t xml:space="preserve"> for the sub</w:t>
      </w:r>
      <w:r w:rsidR="00784539">
        <w:noBreakHyphen/>
      </w:r>
      <w:r w:rsidR="0011108E" w:rsidRPr="00784539">
        <w:t>sector for the financial year is</w:t>
      </w:r>
      <w:r w:rsidR="00957381" w:rsidRPr="00784539">
        <w:t xml:space="preserve"> the number of persons who:</w:t>
      </w:r>
    </w:p>
    <w:p w:rsidR="00957381" w:rsidRPr="00784539" w:rsidRDefault="00957381" w:rsidP="00957381">
      <w:pPr>
        <w:pStyle w:val="paragraph"/>
      </w:pPr>
      <w:r w:rsidRPr="00784539">
        <w:tab/>
        <w:t>(a)</w:t>
      </w:r>
      <w:r w:rsidRPr="00784539">
        <w:tab/>
        <w:t>ordinarily act on behalf of the entity or an authorised representative of the entity in the financial year; and</w:t>
      </w:r>
    </w:p>
    <w:p w:rsidR="00957381" w:rsidRPr="00784539" w:rsidRDefault="00957381" w:rsidP="00957381">
      <w:pPr>
        <w:pStyle w:val="paragraph"/>
      </w:pPr>
      <w:r w:rsidRPr="00784539">
        <w:tab/>
        <w:t>(b)</w:t>
      </w:r>
      <w:r w:rsidRPr="00784539">
        <w:tab/>
        <w:t>in so acting have, at any time in the financial year, carried out one or more of the following activities in relation to dealing in an over</w:t>
      </w:r>
      <w:r w:rsidR="00784539">
        <w:noBreakHyphen/>
      </w:r>
      <w:r w:rsidRPr="00784539">
        <w:t>the</w:t>
      </w:r>
      <w:r w:rsidR="00784539">
        <w:noBreakHyphen/>
      </w:r>
      <w:r w:rsidRPr="00784539">
        <w:t>counter financial product with a professional investor:</w:t>
      </w:r>
    </w:p>
    <w:p w:rsidR="00957381" w:rsidRPr="00784539" w:rsidRDefault="00957381" w:rsidP="00957381">
      <w:pPr>
        <w:pStyle w:val="paragraphsub"/>
      </w:pPr>
      <w:r w:rsidRPr="00784539">
        <w:tab/>
        <w:t>(i)</w:t>
      </w:r>
      <w:r w:rsidRPr="00784539">
        <w:tab/>
        <w:t>determining the terms on which the entity is willing</w:t>
      </w:r>
      <w:r w:rsidR="00BD199C" w:rsidRPr="00784539">
        <w:t xml:space="preserve"> to deal;</w:t>
      </w:r>
    </w:p>
    <w:p w:rsidR="00957381" w:rsidRPr="00784539" w:rsidRDefault="00957381" w:rsidP="00957381">
      <w:pPr>
        <w:pStyle w:val="paragraphsub"/>
      </w:pPr>
      <w:r w:rsidRPr="00784539">
        <w:tab/>
        <w:t>(ii)</w:t>
      </w:r>
      <w:r w:rsidRPr="00784539">
        <w:tab/>
        <w:t>making or accepting an offer or an invitation to deal;</w:t>
      </w:r>
    </w:p>
    <w:p w:rsidR="00957381" w:rsidRPr="00784539" w:rsidRDefault="00957381" w:rsidP="00957381">
      <w:pPr>
        <w:pStyle w:val="paragraphsub"/>
      </w:pPr>
      <w:r w:rsidRPr="00784539">
        <w:tab/>
        <w:t>(iii)</w:t>
      </w:r>
      <w:r w:rsidRPr="00784539">
        <w:tab/>
        <w:t xml:space="preserve">managing the financial risk arising from </w:t>
      </w:r>
      <w:r w:rsidR="00BD199C" w:rsidRPr="00784539">
        <w:t>dealing in the</w:t>
      </w:r>
      <w:r w:rsidR="00CD0E33" w:rsidRPr="00784539">
        <w:t xml:space="preserve"> financial</w:t>
      </w:r>
      <w:r w:rsidRPr="00784539">
        <w:t xml:space="preserve"> product.</w:t>
      </w:r>
    </w:p>
    <w:p w:rsidR="00957381" w:rsidRPr="00784539" w:rsidRDefault="00957381" w:rsidP="00957381">
      <w:pPr>
        <w:pStyle w:val="subsection"/>
      </w:pPr>
      <w:r w:rsidRPr="00784539">
        <w:tab/>
        <w:t>(4)</w:t>
      </w:r>
      <w:r w:rsidRPr="00784539">
        <w:tab/>
        <w:t xml:space="preserve">In counting persons for the purposes of </w:t>
      </w:r>
      <w:r w:rsidR="00784539" w:rsidRPr="00784539">
        <w:t>subsection (</w:t>
      </w:r>
      <w:r w:rsidRPr="00784539">
        <w:t>3):</w:t>
      </w:r>
    </w:p>
    <w:p w:rsidR="00957381" w:rsidRPr="00784539" w:rsidRDefault="00957381" w:rsidP="00957381">
      <w:pPr>
        <w:pStyle w:val="paragraph"/>
      </w:pPr>
      <w:r w:rsidRPr="00784539">
        <w:tab/>
        <w:t>(a)</w:t>
      </w:r>
      <w:r w:rsidRPr="00784539">
        <w:tab/>
        <w:t>count a person engaged on a part</w:t>
      </w:r>
      <w:r w:rsidR="00784539">
        <w:noBreakHyphen/>
      </w:r>
      <w:r w:rsidRPr="00784539">
        <w:t>time basis as an appropriate fraction of a person engaged on a full</w:t>
      </w:r>
      <w:r w:rsidR="00784539">
        <w:noBreakHyphen/>
      </w:r>
      <w:r w:rsidRPr="00784539">
        <w:t>time basis; and</w:t>
      </w:r>
    </w:p>
    <w:p w:rsidR="00747515" w:rsidRPr="00784539" w:rsidRDefault="00957381" w:rsidP="00957381">
      <w:pPr>
        <w:pStyle w:val="paragraph"/>
      </w:pPr>
      <w:r w:rsidRPr="00784539">
        <w:tab/>
        <w:t>(b)</w:t>
      </w:r>
      <w:r w:rsidRPr="00784539">
        <w:tab/>
        <w:t>count a person engaged</w:t>
      </w:r>
      <w:r w:rsidRPr="00784539">
        <w:rPr>
          <w:b/>
        </w:rPr>
        <w:t xml:space="preserve"> </w:t>
      </w:r>
      <w:r w:rsidRPr="00784539">
        <w:t>for only a part of the year as an appropriate fraction of a person engaged for the whole of the year</w:t>
      </w:r>
      <w:r w:rsidR="00662461" w:rsidRPr="00784539">
        <w:t>; and</w:t>
      </w:r>
    </w:p>
    <w:p w:rsidR="005F2739" w:rsidRPr="00784539" w:rsidRDefault="00662461" w:rsidP="00957381">
      <w:pPr>
        <w:pStyle w:val="paragraph"/>
      </w:pPr>
      <w:r w:rsidRPr="00784539">
        <w:tab/>
        <w:t>(c)</w:t>
      </w:r>
      <w:r w:rsidRPr="00784539">
        <w:tab/>
      </w:r>
      <w:r w:rsidR="00034992" w:rsidRPr="00784539">
        <w:t xml:space="preserve">if the </w:t>
      </w:r>
      <w:r w:rsidRPr="00784539">
        <w:t xml:space="preserve">entity is exempt from the requirement to hold an Australian financial services licence </w:t>
      </w:r>
      <w:r w:rsidR="00034992" w:rsidRPr="00784539">
        <w:t xml:space="preserve">as </w:t>
      </w:r>
      <w:r w:rsidRPr="00784539">
        <w:t xml:space="preserve">mentioned in </w:t>
      </w:r>
      <w:r w:rsidR="00784539" w:rsidRPr="00784539">
        <w:t>paragraph (</w:t>
      </w:r>
      <w:r w:rsidRPr="00784539">
        <w:t>1)(a)</w:t>
      </w:r>
      <w:r w:rsidR="00C15494" w:rsidRPr="00784539">
        <w:t>—d</w:t>
      </w:r>
      <w:r w:rsidRPr="00784539">
        <w:t xml:space="preserve">isregard </w:t>
      </w:r>
      <w:r w:rsidR="006751DE" w:rsidRPr="00784539">
        <w:t xml:space="preserve">a </w:t>
      </w:r>
      <w:r w:rsidRPr="00784539">
        <w:t xml:space="preserve">person </w:t>
      </w:r>
      <w:r w:rsidR="00812BE8" w:rsidRPr="00784539">
        <w:t>who</w:t>
      </w:r>
      <w:r w:rsidR="001132A6" w:rsidRPr="00784539">
        <w:t xml:space="preserve"> </w:t>
      </w:r>
      <w:r w:rsidR="005F2739" w:rsidRPr="00784539">
        <w:t>satisf</w:t>
      </w:r>
      <w:r w:rsidR="006751DE" w:rsidRPr="00784539">
        <w:t>ies</w:t>
      </w:r>
      <w:r w:rsidR="005F2739" w:rsidRPr="00784539">
        <w:t xml:space="preserve"> both of the following:</w:t>
      </w:r>
    </w:p>
    <w:p w:rsidR="005F2739" w:rsidRPr="00784539" w:rsidRDefault="005F2739" w:rsidP="005F2739">
      <w:pPr>
        <w:pStyle w:val="paragraphsub"/>
      </w:pPr>
      <w:r w:rsidRPr="00784539">
        <w:tab/>
        <w:t>(i)</w:t>
      </w:r>
      <w:r w:rsidRPr="00784539">
        <w:tab/>
        <w:t>the person carried out the activity at a place outside Australia;</w:t>
      </w:r>
    </w:p>
    <w:p w:rsidR="00960203" w:rsidRPr="00784539" w:rsidRDefault="005F2739" w:rsidP="005F2739">
      <w:pPr>
        <w:pStyle w:val="paragraphsub"/>
      </w:pPr>
      <w:r w:rsidRPr="00784539">
        <w:tab/>
        <w:t>(ii)</w:t>
      </w:r>
      <w:r w:rsidRPr="00784539">
        <w:tab/>
        <w:t xml:space="preserve">the person carried out the activity in </w:t>
      </w:r>
      <w:r w:rsidR="00960203" w:rsidRPr="00784539">
        <w:t xml:space="preserve">relation to </w:t>
      </w:r>
      <w:r w:rsidR="00480DD5" w:rsidRPr="00784539">
        <w:t xml:space="preserve">a </w:t>
      </w:r>
      <w:r w:rsidR="00960203" w:rsidRPr="00784539">
        <w:t xml:space="preserve">professional investor that </w:t>
      </w:r>
      <w:r w:rsidR="00511D11" w:rsidRPr="00784539">
        <w:t>was</w:t>
      </w:r>
      <w:r w:rsidR="00960203" w:rsidRPr="00784539">
        <w:t xml:space="preserve"> outside Australia</w:t>
      </w:r>
      <w:r w:rsidR="00BD4776" w:rsidRPr="00784539">
        <w:t>.</w:t>
      </w:r>
    </w:p>
    <w:p w:rsidR="00A36634" w:rsidRPr="00784539" w:rsidRDefault="00C060A9" w:rsidP="00A426FF">
      <w:pPr>
        <w:pStyle w:val="subsection"/>
      </w:pPr>
      <w:r w:rsidRPr="00784539">
        <w:tab/>
        <w:t>(</w:t>
      </w:r>
      <w:r w:rsidR="00957381" w:rsidRPr="00784539">
        <w:t>5</w:t>
      </w:r>
      <w:r w:rsidRPr="00784539">
        <w:t>)</w:t>
      </w:r>
      <w:r w:rsidRPr="00784539">
        <w:tab/>
      </w:r>
      <w:r w:rsidR="00A36634" w:rsidRPr="00784539">
        <w:t xml:space="preserve">The </w:t>
      </w:r>
      <w:r w:rsidR="00A36634" w:rsidRPr="00784539">
        <w:rPr>
          <w:b/>
          <w:i/>
        </w:rPr>
        <w:t>minimum levy component</w:t>
      </w:r>
      <w:r w:rsidR="00A36634" w:rsidRPr="00784539">
        <w:t xml:space="preserve"> for the sub</w:t>
      </w:r>
      <w:r w:rsidR="00784539">
        <w:noBreakHyphen/>
      </w:r>
      <w:r w:rsidR="00A36634" w:rsidRPr="00784539">
        <w:t>sector is $1,000.</w:t>
      </w:r>
    </w:p>
    <w:p w:rsidR="00A36634" w:rsidRPr="00784539" w:rsidRDefault="00085808" w:rsidP="00A36634">
      <w:pPr>
        <w:pStyle w:val="ActHead5"/>
      </w:pPr>
      <w:bookmarkStart w:id="100" w:name="_Toc485110128"/>
      <w:r w:rsidRPr="00784539">
        <w:rPr>
          <w:rStyle w:val="CharSectno"/>
        </w:rPr>
        <w:t>67</w:t>
      </w:r>
      <w:r w:rsidR="00A36634" w:rsidRPr="00784539">
        <w:t xml:space="preserve">  Securities dealers</w:t>
      </w:r>
      <w:bookmarkEnd w:id="100"/>
    </w:p>
    <w:p w:rsidR="00A36634" w:rsidRPr="00784539" w:rsidRDefault="00A36634" w:rsidP="00A36634">
      <w:pPr>
        <w:pStyle w:val="subsection"/>
      </w:pPr>
      <w:r w:rsidRPr="00784539">
        <w:tab/>
        <w:t>(1)</w:t>
      </w:r>
      <w:r w:rsidRPr="00784539">
        <w:tab/>
        <w:t xml:space="preserve">A leviable entity forms part of the </w:t>
      </w:r>
      <w:r w:rsidRPr="00784539">
        <w:rPr>
          <w:b/>
          <w:i/>
        </w:rPr>
        <w:t>securities dealers</w:t>
      </w:r>
      <w:r w:rsidRPr="00784539">
        <w:t xml:space="preserve"> sub</w:t>
      </w:r>
      <w:r w:rsidR="00784539">
        <w:noBreakHyphen/>
      </w:r>
      <w:r w:rsidRPr="00784539">
        <w:t>sector in a financial year if:</w:t>
      </w:r>
    </w:p>
    <w:p w:rsidR="00A36634" w:rsidRPr="00784539" w:rsidRDefault="00A36634" w:rsidP="00A36634">
      <w:pPr>
        <w:pStyle w:val="paragraph"/>
      </w:pPr>
      <w:r w:rsidRPr="00784539">
        <w:tab/>
        <w:t>(a)</w:t>
      </w:r>
      <w:r w:rsidRPr="00784539">
        <w:tab/>
        <w:t>the entity holds</w:t>
      </w:r>
      <w:r w:rsidR="0077433F" w:rsidRPr="00784539">
        <w:t xml:space="preserve">, </w:t>
      </w:r>
      <w:r w:rsidR="00225A2E" w:rsidRPr="00784539">
        <w:t>at any time in the financial year</w:t>
      </w:r>
      <w:r w:rsidR="0077433F" w:rsidRPr="00784539">
        <w:t>,</w:t>
      </w:r>
      <w:r w:rsidRPr="00784539">
        <w:t xml:space="preserve"> an Australian financial services licence that authorises the holder to deal in securities; and</w:t>
      </w:r>
    </w:p>
    <w:p w:rsidR="00A36634" w:rsidRPr="00784539" w:rsidRDefault="00A36634" w:rsidP="00A36634">
      <w:pPr>
        <w:pStyle w:val="paragraph"/>
      </w:pPr>
      <w:r w:rsidRPr="00784539">
        <w:tab/>
        <w:t>(b)</w:t>
      </w:r>
      <w:r w:rsidRPr="00784539">
        <w:tab/>
        <w:t>the entity is not</w:t>
      </w:r>
      <w:r w:rsidR="00E266B4" w:rsidRPr="00784539">
        <w:t>, at any time in the financial year,</w:t>
      </w:r>
      <w:r w:rsidRPr="00784539">
        <w:t xml:space="preserve"> a participant in a clearing and settlement facility</w:t>
      </w:r>
      <w:r w:rsidR="006E4B8F" w:rsidRPr="00784539">
        <w:t xml:space="preserve">, </w:t>
      </w:r>
      <w:r w:rsidR="00117A36" w:rsidRPr="00784539">
        <w:t>a</w:t>
      </w:r>
      <w:r w:rsidR="006E4B8F" w:rsidRPr="00784539">
        <w:t xml:space="preserve"> large</w:t>
      </w:r>
      <w:r w:rsidR="00117A36" w:rsidRPr="00784539">
        <w:t xml:space="preserve"> futures exchange or a large </w:t>
      </w:r>
      <w:r w:rsidR="0037378A" w:rsidRPr="00784539">
        <w:t>securities exchange</w:t>
      </w:r>
      <w:r w:rsidR="00117A36" w:rsidRPr="00784539">
        <w:t>;</w:t>
      </w:r>
      <w:r w:rsidRPr="00784539">
        <w:t xml:space="preserve"> and</w:t>
      </w:r>
    </w:p>
    <w:p w:rsidR="00A36634" w:rsidRPr="00784539" w:rsidRDefault="00A36634" w:rsidP="00A36634">
      <w:pPr>
        <w:pStyle w:val="paragraph"/>
        <w:rPr>
          <w:i/>
        </w:rPr>
      </w:pPr>
      <w:r w:rsidRPr="00784539">
        <w:rPr>
          <w:i/>
        </w:rPr>
        <w:tab/>
      </w:r>
      <w:r w:rsidRPr="00784539">
        <w:t>(c)</w:t>
      </w:r>
      <w:r w:rsidRPr="00784539">
        <w:tab/>
        <w:t xml:space="preserve">more than $250,000 in transactions for the entity </w:t>
      </w:r>
      <w:r w:rsidR="006631F8" w:rsidRPr="00784539">
        <w:t>are</w:t>
      </w:r>
      <w:r w:rsidRPr="00784539">
        <w:t xml:space="preserve"> executed on, or reported to, a large </w:t>
      </w:r>
      <w:r w:rsidR="0037378A" w:rsidRPr="00784539">
        <w:t>securities exchange</w:t>
      </w:r>
      <w:r w:rsidRPr="00784539">
        <w:t xml:space="preserve"> in the financial year.</w:t>
      </w:r>
    </w:p>
    <w:p w:rsidR="00A36634" w:rsidRPr="00784539" w:rsidRDefault="00A36634" w:rsidP="00A36634">
      <w:pPr>
        <w:pStyle w:val="SubsectionHead"/>
      </w:pPr>
      <w:r w:rsidRPr="00784539">
        <w:t>Levy component</w:t>
      </w:r>
    </w:p>
    <w:p w:rsidR="00A36634" w:rsidRPr="00784539" w:rsidRDefault="00A36634" w:rsidP="00A36634">
      <w:pPr>
        <w:pStyle w:val="subsection"/>
      </w:pPr>
      <w:r w:rsidRPr="00784539">
        <w:tab/>
        <w:t>(2)</w:t>
      </w:r>
      <w:r w:rsidRPr="00784539">
        <w:tab/>
        <w:t>The amount of a leviable entity’s levy component in respect of the sub</w:t>
      </w:r>
      <w:r w:rsidR="00784539">
        <w:noBreakHyphen/>
      </w:r>
      <w:r w:rsidRPr="00784539">
        <w:t>sector for a financial year is the sum of:</w:t>
      </w:r>
    </w:p>
    <w:p w:rsidR="00A36634" w:rsidRPr="00784539" w:rsidRDefault="00A36634" w:rsidP="00A36634">
      <w:pPr>
        <w:pStyle w:val="paragraph"/>
      </w:pPr>
      <w:r w:rsidRPr="00784539">
        <w:tab/>
        <w:t>(a)</w:t>
      </w:r>
      <w:r w:rsidRPr="00784539">
        <w:tab/>
        <w:t>the minimum levy component for the sub</w:t>
      </w:r>
      <w:r w:rsidR="00784539">
        <w:noBreakHyphen/>
      </w:r>
      <w:r w:rsidRPr="00784539">
        <w:t>sector; and</w:t>
      </w:r>
    </w:p>
    <w:p w:rsidR="00A36634" w:rsidRPr="00784539" w:rsidRDefault="00A36634" w:rsidP="00A36634">
      <w:pPr>
        <w:pStyle w:val="paragraph"/>
      </w:pPr>
      <w:r w:rsidRPr="00784539">
        <w:tab/>
        <w:t>(b)</w:t>
      </w:r>
      <w:r w:rsidRPr="00784539">
        <w:tab/>
        <w:t>the graduated levy component for the entity for the sub</w:t>
      </w:r>
      <w:r w:rsidR="00784539">
        <w:noBreakHyphen/>
      </w:r>
      <w:r w:rsidRPr="00784539">
        <w:t>sector.</w:t>
      </w:r>
    </w:p>
    <w:p w:rsidR="00A36634" w:rsidRPr="00784539" w:rsidRDefault="00A36634" w:rsidP="00A36634">
      <w:pPr>
        <w:pStyle w:val="notetext"/>
      </w:pPr>
      <w:r w:rsidRPr="00784539">
        <w:t>Note:</w:t>
      </w:r>
      <w:r w:rsidRPr="00784539">
        <w:tab/>
        <w:t>For the graduated levy component, see section</w:t>
      </w:r>
      <w:r w:rsidR="00784539" w:rsidRPr="00784539">
        <w:t> </w:t>
      </w:r>
      <w:r w:rsidR="00085808" w:rsidRPr="00784539">
        <w:t>10</w:t>
      </w:r>
      <w:r w:rsidRPr="00784539">
        <w:t>.</w:t>
      </w:r>
    </w:p>
    <w:p w:rsidR="00A36634" w:rsidRPr="00784539" w:rsidRDefault="00A36634" w:rsidP="00A36634">
      <w:pPr>
        <w:pStyle w:val="SubsectionHead"/>
      </w:pPr>
      <w:r w:rsidRPr="00784539">
        <w:t>Entity metric</w:t>
      </w:r>
    </w:p>
    <w:p w:rsidR="00A36634" w:rsidRPr="00784539" w:rsidRDefault="00A36634" w:rsidP="00A36634">
      <w:pPr>
        <w:pStyle w:val="subsection"/>
        <w:rPr>
          <w:i/>
        </w:rPr>
      </w:pPr>
      <w:r w:rsidRPr="00784539">
        <w:tab/>
        <w:t>(3)</w:t>
      </w:r>
      <w:r w:rsidRPr="00784539">
        <w:tab/>
        <w:t xml:space="preserve">The leviable entity’s </w:t>
      </w:r>
      <w:r w:rsidRPr="00784539">
        <w:rPr>
          <w:b/>
          <w:i/>
        </w:rPr>
        <w:t>entity metric</w:t>
      </w:r>
      <w:r w:rsidRPr="00784539">
        <w:t xml:space="preserve"> for the sub</w:t>
      </w:r>
      <w:r w:rsidR="00784539">
        <w:noBreakHyphen/>
      </w:r>
      <w:r w:rsidRPr="00784539">
        <w:t>sector for the financial year is the total value of transactions in securities (as measured by the buy price plus the sale price of securities) that:</w:t>
      </w:r>
    </w:p>
    <w:p w:rsidR="00A36634" w:rsidRPr="00784539" w:rsidRDefault="00A36634" w:rsidP="00A36634">
      <w:pPr>
        <w:pStyle w:val="paragraph"/>
      </w:pPr>
      <w:r w:rsidRPr="00784539">
        <w:rPr>
          <w:i/>
        </w:rPr>
        <w:tab/>
      </w:r>
      <w:r w:rsidRPr="00784539">
        <w:t>(a)</w:t>
      </w:r>
      <w:r w:rsidRPr="00784539">
        <w:tab/>
        <w:t>are executed</w:t>
      </w:r>
      <w:r w:rsidR="00B81A6F" w:rsidRPr="00784539">
        <w:t xml:space="preserve"> for the entity on, or reported </w:t>
      </w:r>
      <w:r w:rsidR="00106531" w:rsidRPr="00784539">
        <w:t xml:space="preserve">for the entity </w:t>
      </w:r>
      <w:r w:rsidR="00B81A6F" w:rsidRPr="00784539">
        <w:t>to,</w:t>
      </w:r>
      <w:r w:rsidR="00106531" w:rsidRPr="00784539">
        <w:t xml:space="preserve"> a large securities exchange </w:t>
      </w:r>
      <w:r w:rsidR="00BF5698" w:rsidRPr="00784539">
        <w:t>in</w:t>
      </w:r>
      <w:r w:rsidR="00106531" w:rsidRPr="00784539">
        <w:t xml:space="preserve"> the financial year; </w:t>
      </w:r>
      <w:r w:rsidRPr="00784539">
        <w:t>and</w:t>
      </w:r>
    </w:p>
    <w:p w:rsidR="00A36634" w:rsidRPr="00784539" w:rsidRDefault="00A36634" w:rsidP="00A36634">
      <w:pPr>
        <w:pStyle w:val="paragraph"/>
      </w:pPr>
      <w:r w:rsidRPr="00784539">
        <w:tab/>
        <w:t>(b)</w:t>
      </w:r>
      <w:r w:rsidRPr="00784539">
        <w:tab/>
        <w:t xml:space="preserve">are reported by the operator of the large </w:t>
      </w:r>
      <w:r w:rsidR="0037378A" w:rsidRPr="00784539">
        <w:t>securities exchange</w:t>
      </w:r>
      <w:r w:rsidRPr="00784539">
        <w:t xml:space="preserve"> to ASIC’s Market Surveillance System; and</w:t>
      </w:r>
    </w:p>
    <w:p w:rsidR="00A36634" w:rsidRPr="00784539" w:rsidRDefault="00A36634" w:rsidP="00A36634">
      <w:pPr>
        <w:pStyle w:val="paragraph"/>
      </w:pPr>
      <w:r w:rsidRPr="00784539">
        <w:tab/>
        <w:t>(c)</w:t>
      </w:r>
      <w:r w:rsidRPr="00784539">
        <w:tab/>
        <w:t>are recognised by ASIC’s Market Surveillance System as executed transactions.</w:t>
      </w:r>
    </w:p>
    <w:p w:rsidR="00A36634" w:rsidRPr="00784539" w:rsidRDefault="00A36634" w:rsidP="00A36634">
      <w:pPr>
        <w:pStyle w:val="subsection"/>
      </w:pPr>
      <w:r w:rsidRPr="00784539">
        <w:tab/>
        <w:t>(4)</w:t>
      </w:r>
      <w:r w:rsidRPr="00784539">
        <w:tab/>
        <w:t xml:space="preserve">The </w:t>
      </w:r>
      <w:r w:rsidRPr="00784539">
        <w:rPr>
          <w:b/>
          <w:i/>
        </w:rPr>
        <w:t>minimum levy component</w:t>
      </w:r>
      <w:r w:rsidRPr="00784539">
        <w:t xml:space="preserve"> for the sub</w:t>
      </w:r>
      <w:r w:rsidR="00784539">
        <w:noBreakHyphen/>
      </w:r>
      <w:r w:rsidRPr="00784539">
        <w:t>sector is $1,000.</w:t>
      </w:r>
    </w:p>
    <w:p w:rsidR="00A36634" w:rsidRPr="00784539" w:rsidRDefault="00A36634" w:rsidP="00A36634">
      <w:pPr>
        <w:pStyle w:val="ActHead3"/>
        <w:pageBreakBefore/>
      </w:pPr>
      <w:bookmarkStart w:id="101" w:name="_Toc485110129"/>
      <w:r w:rsidRPr="00784539">
        <w:rPr>
          <w:rStyle w:val="CharDivNo"/>
        </w:rPr>
        <w:t>Division</w:t>
      </w:r>
      <w:r w:rsidR="00784539" w:rsidRPr="00784539">
        <w:rPr>
          <w:rStyle w:val="CharDivNo"/>
        </w:rPr>
        <w:t> </w:t>
      </w:r>
      <w:r w:rsidRPr="00784539">
        <w:rPr>
          <w:rStyle w:val="CharDivNo"/>
        </w:rPr>
        <w:t>6</w:t>
      </w:r>
      <w:r w:rsidRPr="00784539">
        <w:t>—</w:t>
      </w:r>
      <w:r w:rsidRPr="00784539">
        <w:rPr>
          <w:rStyle w:val="CharDivText"/>
        </w:rPr>
        <w:t>Insurance sector</w:t>
      </w:r>
      <w:bookmarkEnd w:id="101"/>
    </w:p>
    <w:p w:rsidR="00A36634" w:rsidRPr="00784539" w:rsidRDefault="00A36634" w:rsidP="00A36634">
      <w:pPr>
        <w:pStyle w:val="ActHead4"/>
      </w:pPr>
      <w:bookmarkStart w:id="102" w:name="_Toc485110130"/>
      <w:r w:rsidRPr="00784539">
        <w:rPr>
          <w:rStyle w:val="CharSubdNo"/>
        </w:rPr>
        <w:t>Subdivision</w:t>
      </w:r>
      <w:r w:rsidR="00784539" w:rsidRPr="00784539">
        <w:rPr>
          <w:rStyle w:val="CharSubdNo"/>
        </w:rPr>
        <w:t> </w:t>
      </w:r>
      <w:r w:rsidRPr="00784539">
        <w:rPr>
          <w:rStyle w:val="CharSubdNo"/>
        </w:rPr>
        <w:t>6.1</w:t>
      </w:r>
      <w:r w:rsidRPr="00784539">
        <w:t>—</w:t>
      </w:r>
      <w:r w:rsidRPr="00784539">
        <w:rPr>
          <w:rStyle w:val="CharSubdText"/>
        </w:rPr>
        <w:t>General</w:t>
      </w:r>
      <w:bookmarkEnd w:id="102"/>
    </w:p>
    <w:p w:rsidR="00A36634" w:rsidRPr="00784539" w:rsidRDefault="00085808" w:rsidP="00A36634">
      <w:pPr>
        <w:pStyle w:val="ActHead5"/>
      </w:pPr>
      <w:bookmarkStart w:id="103" w:name="_Toc485110131"/>
      <w:r w:rsidRPr="00784539">
        <w:rPr>
          <w:rStyle w:val="CharSectno"/>
        </w:rPr>
        <w:t>68</w:t>
      </w:r>
      <w:r w:rsidR="00A36634" w:rsidRPr="00784539">
        <w:t xml:space="preserve">  Insurance sector</w:t>
      </w:r>
      <w:bookmarkEnd w:id="103"/>
    </w:p>
    <w:p w:rsidR="00A36634" w:rsidRPr="00784539" w:rsidRDefault="00A36634" w:rsidP="00A36634">
      <w:pPr>
        <w:pStyle w:val="subsection"/>
      </w:pPr>
      <w:r w:rsidRPr="00784539">
        <w:tab/>
        <w:t>(1)</w:t>
      </w:r>
      <w:r w:rsidRPr="00784539">
        <w:tab/>
        <w:t>Each section in Subdivisions</w:t>
      </w:r>
      <w:r w:rsidR="00784539" w:rsidRPr="00784539">
        <w:t> </w:t>
      </w:r>
      <w:r w:rsidRPr="00784539">
        <w:t>6.2 and 6.3 specifies criteria for identifying one or more leviable entities that form part of the sub</w:t>
      </w:r>
      <w:r w:rsidR="00784539">
        <w:noBreakHyphen/>
      </w:r>
      <w:r w:rsidRPr="00784539">
        <w:t>sector mentioned in the section.</w:t>
      </w:r>
    </w:p>
    <w:p w:rsidR="00A36634" w:rsidRPr="00784539" w:rsidRDefault="00A36634" w:rsidP="00A36634">
      <w:pPr>
        <w:pStyle w:val="subsection"/>
      </w:pPr>
      <w:r w:rsidRPr="00784539">
        <w:tab/>
        <w:t>(2)</w:t>
      </w:r>
      <w:r w:rsidRPr="00784539">
        <w:tab/>
        <w:t>The sub</w:t>
      </w:r>
      <w:r w:rsidR="00784539">
        <w:noBreakHyphen/>
      </w:r>
      <w:r w:rsidRPr="00784539">
        <w:t xml:space="preserve">sectors for which criteria are specified in this Division are in the </w:t>
      </w:r>
      <w:r w:rsidRPr="00784539">
        <w:rPr>
          <w:b/>
          <w:i/>
        </w:rPr>
        <w:t>insurance sector</w:t>
      </w:r>
      <w:r w:rsidRPr="00784539">
        <w:t>.</w:t>
      </w:r>
    </w:p>
    <w:p w:rsidR="00A36634" w:rsidRPr="00784539" w:rsidRDefault="00A36634" w:rsidP="00A36634">
      <w:pPr>
        <w:pStyle w:val="subsection"/>
      </w:pPr>
      <w:r w:rsidRPr="00784539">
        <w:tab/>
        <w:t>(3)</w:t>
      </w:r>
      <w:r w:rsidRPr="00784539">
        <w:tab/>
        <w:t>A leviable entity may form part of 2 or more sub</w:t>
      </w:r>
      <w:r w:rsidR="00784539">
        <w:noBreakHyphen/>
      </w:r>
      <w:r w:rsidRPr="00784539">
        <w:t>sectors in the insurance sector unless otherwise specified in th</w:t>
      </w:r>
      <w:r w:rsidR="00E437A5" w:rsidRPr="00784539">
        <w:t>is</w:t>
      </w:r>
      <w:r w:rsidRPr="00784539">
        <w:t xml:space="preserve"> </w:t>
      </w:r>
      <w:r w:rsidR="0063168A" w:rsidRPr="00784539">
        <w:t>Division</w:t>
      </w:r>
      <w:r w:rsidRPr="00784539">
        <w:t>.</w:t>
      </w:r>
    </w:p>
    <w:p w:rsidR="00A36634" w:rsidRPr="00784539" w:rsidRDefault="00085808" w:rsidP="00A36634">
      <w:pPr>
        <w:pStyle w:val="ActHead5"/>
      </w:pPr>
      <w:bookmarkStart w:id="104" w:name="_Toc485110132"/>
      <w:r w:rsidRPr="00784539">
        <w:rPr>
          <w:rStyle w:val="CharSectno"/>
        </w:rPr>
        <w:t>69</w:t>
      </w:r>
      <w:r w:rsidR="00A36634" w:rsidRPr="00784539">
        <w:t xml:space="preserve">  </w:t>
      </w:r>
      <w:r w:rsidR="00E266B4" w:rsidRPr="00784539">
        <w:t>Basic</w:t>
      </w:r>
      <w:r w:rsidR="00A36634" w:rsidRPr="00784539">
        <w:t xml:space="preserve"> levy component applies to sub</w:t>
      </w:r>
      <w:r w:rsidR="00784539">
        <w:noBreakHyphen/>
      </w:r>
      <w:r w:rsidR="00A36634" w:rsidRPr="00784539">
        <w:t>sectors in Subdivision</w:t>
      </w:r>
      <w:r w:rsidR="00784539" w:rsidRPr="00784539">
        <w:t> </w:t>
      </w:r>
      <w:r w:rsidR="00A36634" w:rsidRPr="00784539">
        <w:t>6.2</w:t>
      </w:r>
      <w:bookmarkEnd w:id="104"/>
    </w:p>
    <w:p w:rsidR="00A36634" w:rsidRPr="00784539" w:rsidRDefault="00A36634" w:rsidP="00A36634">
      <w:pPr>
        <w:pStyle w:val="subsection"/>
      </w:pPr>
      <w:r w:rsidRPr="00784539">
        <w:tab/>
      </w:r>
      <w:r w:rsidRPr="00784539">
        <w:tab/>
        <w:t xml:space="preserve">The </w:t>
      </w:r>
      <w:r w:rsidR="00E266B4" w:rsidRPr="00784539">
        <w:t xml:space="preserve">basic </w:t>
      </w:r>
      <w:r w:rsidRPr="00784539">
        <w:t>levy component applies to each sub</w:t>
      </w:r>
      <w:r w:rsidR="00784539">
        <w:noBreakHyphen/>
      </w:r>
      <w:r w:rsidRPr="00784539">
        <w:t>sector specified in a section of Subdivision</w:t>
      </w:r>
      <w:r w:rsidR="00784539" w:rsidRPr="00784539">
        <w:t> </w:t>
      </w:r>
      <w:r w:rsidRPr="00784539">
        <w:t>6.2.</w:t>
      </w:r>
    </w:p>
    <w:p w:rsidR="00A36634" w:rsidRPr="00784539" w:rsidRDefault="00A36634" w:rsidP="00A36634">
      <w:pPr>
        <w:pStyle w:val="notetext"/>
      </w:pPr>
      <w:r w:rsidRPr="00784539">
        <w:t>Note:</w:t>
      </w:r>
      <w:r w:rsidRPr="00784539">
        <w:tab/>
        <w:t xml:space="preserve">For the </w:t>
      </w:r>
      <w:r w:rsidR="005C1498" w:rsidRPr="00784539">
        <w:t>basic</w:t>
      </w:r>
      <w:r w:rsidRPr="00784539">
        <w:t xml:space="preserve"> levy component, see section</w:t>
      </w:r>
      <w:r w:rsidR="00784539" w:rsidRPr="00784539">
        <w:t> </w:t>
      </w:r>
      <w:r w:rsidR="00085808" w:rsidRPr="00784539">
        <w:t>9</w:t>
      </w:r>
      <w:r w:rsidRPr="00784539">
        <w:t>.</w:t>
      </w:r>
    </w:p>
    <w:p w:rsidR="00A36634" w:rsidRPr="00784539" w:rsidRDefault="00A36634" w:rsidP="00A36634">
      <w:pPr>
        <w:pStyle w:val="ActHead4"/>
      </w:pPr>
      <w:bookmarkStart w:id="105" w:name="_Toc485110133"/>
      <w:r w:rsidRPr="00784539">
        <w:rPr>
          <w:rStyle w:val="CharSubdNo"/>
        </w:rPr>
        <w:t>Subdivision</w:t>
      </w:r>
      <w:r w:rsidR="00784539" w:rsidRPr="00784539">
        <w:rPr>
          <w:rStyle w:val="CharSubdNo"/>
        </w:rPr>
        <w:t> </w:t>
      </w:r>
      <w:r w:rsidRPr="00784539">
        <w:rPr>
          <w:rStyle w:val="CharSubdNo"/>
        </w:rPr>
        <w:t>6.2</w:t>
      </w:r>
      <w:r w:rsidRPr="00784539">
        <w:t>—</w:t>
      </w:r>
      <w:r w:rsidRPr="00784539">
        <w:rPr>
          <w:rStyle w:val="CharSubdText"/>
        </w:rPr>
        <w:t>Sub</w:t>
      </w:r>
      <w:r w:rsidR="00784539" w:rsidRPr="00784539">
        <w:rPr>
          <w:rStyle w:val="CharSubdText"/>
        </w:rPr>
        <w:noBreakHyphen/>
      </w:r>
      <w:r w:rsidRPr="00784539">
        <w:rPr>
          <w:rStyle w:val="CharSubdText"/>
        </w:rPr>
        <w:t xml:space="preserve">sectors to which </w:t>
      </w:r>
      <w:r w:rsidR="005C1498" w:rsidRPr="00784539">
        <w:rPr>
          <w:rStyle w:val="CharSubdText"/>
        </w:rPr>
        <w:t xml:space="preserve">basic levy component </w:t>
      </w:r>
      <w:r w:rsidRPr="00784539">
        <w:rPr>
          <w:rStyle w:val="CharSubdText"/>
        </w:rPr>
        <w:t>applies</w:t>
      </w:r>
      <w:bookmarkEnd w:id="105"/>
    </w:p>
    <w:p w:rsidR="00A36634" w:rsidRPr="00784539" w:rsidRDefault="00085808" w:rsidP="00A36634">
      <w:pPr>
        <w:pStyle w:val="ActHead5"/>
      </w:pPr>
      <w:bookmarkStart w:id="106" w:name="_Toc485110134"/>
      <w:r w:rsidRPr="00784539">
        <w:rPr>
          <w:rStyle w:val="CharSectno"/>
        </w:rPr>
        <w:t>70</w:t>
      </w:r>
      <w:r w:rsidR="00A36634" w:rsidRPr="00784539">
        <w:t xml:space="preserve">  Insurance product distributors</w:t>
      </w:r>
      <w:bookmarkEnd w:id="106"/>
    </w:p>
    <w:p w:rsidR="00A36634" w:rsidRPr="00784539" w:rsidRDefault="00A36634" w:rsidP="00A36634">
      <w:pPr>
        <w:pStyle w:val="subsection"/>
      </w:pPr>
      <w:r w:rsidRPr="00784539">
        <w:tab/>
      </w:r>
      <w:r w:rsidRPr="00784539">
        <w:tab/>
        <w:t>A leviable entity forms part of the</w:t>
      </w:r>
      <w:r w:rsidRPr="00784539">
        <w:rPr>
          <w:b/>
          <w:i/>
        </w:rPr>
        <w:t xml:space="preserve"> insurance product distributors</w:t>
      </w:r>
      <w:r w:rsidRPr="00784539">
        <w:t xml:space="preserve"> sub</w:t>
      </w:r>
      <w:r w:rsidR="00784539">
        <w:noBreakHyphen/>
      </w:r>
      <w:r w:rsidRPr="00784539">
        <w:t>sector in a financial year if:</w:t>
      </w:r>
    </w:p>
    <w:p w:rsidR="00A36634" w:rsidRPr="00784539" w:rsidRDefault="00A36634" w:rsidP="00A36634">
      <w:pPr>
        <w:pStyle w:val="paragraph"/>
      </w:pPr>
      <w:r w:rsidRPr="00784539">
        <w:tab/>
        <w:t>(a)</w:t>
      </w:r>
      <w:r w:rsidRPr="00784539">
        <w:tab/>
        <w:t>the entity holds,</w:t>
      </w:r>
      <w:r w:rsidR="00B51A04" w:rsidRPr="00784539">
        <w:t xml:space="preserve"> </w:t>
      </w:r>
      <w:r w:rsidR="00225A2E" w:rsidRPr="00784539">
        <w:t>at any time in the financial year</w:t>
      </w:r>
      <w:r w:rsidRPr="00784539">
        <w:t>, an Australian financial services licence that authorises the holder to deal in general insurance</w:t>
      </w:r>
      <w:r w:rsidR="00AA374C" w:rsidRPr="00784539">
        <w:t xml:space="preserve">, </w:t>
      </w:r>
      <w:r w:rsidRPr="00784539">
        <w:t>life risk insurance products</w:t>
      </w:r>
      <w:r w:rsidR="00AA374C" w:rsidRPr="00784539">
        <w:t xml:space="preserve"> or investment life insurance products</w:t>
      </w:r>
      <w:r w:rsidRPr="00784539">
        <w:t>; and</w:t>
      </w:r>
    </w:p>
    <w:p w:rsidR="00A36634" w:rsidRPr="00784539" w:rsidRDefault="00A36634" w:rsidP="00A36634">
      <w:pPr>
        <w:pStyle w:val="paragraph"/>
      </w:pPr>
      <w:r w:rsidRPr="00784539">
        <w:tab/>
        <w:t>(b)</w:t>
      </w:r>
      <w:r w:rsidRPr="00784539">
        <w:tab/>
        <w:t>the entity does not form part of the insurance product providers sub</w:t>
      </w:r>
      <w:r w:rsidR="00784539">
        <w:noBreakHyphen/>
      </w:r>
      <w:r w:rsidRPr="00784539">
        <w:t>sector</w:t>
      </w:r>
      <w:r w:rsidR="00551984" w:rsidRPr="00784539">
        <w:t xml:space="preserve"> (see section</w:t>
      </w:r>
      <w:r w:rsidR="00784539" w:rsidRPr="00784539">
        <w:t> </w:t>
      </w:r>
      <w:r w:rsidR="00551984" w:rsidRPr="00784539">
        <w:t>72)</w:t>
      </w:r>
      <w:r w:rsidRPr="00784539">
        <w:t xml:space="preserve"> in the financial year.</w:t>
      </w:r>
    </w:p>
    <w:p w:rsidR="00A36634" w:rsidRPr="00784539" w:rsidRDefault="00085808" w:rsidP="00A36634">
      <w:pPr>
        <w:pStyle w:val="ActHead5"/>
      </w:pPr>
      <w:bookmarkStart w:id="107" w:name="_Toc485110135"/>
      <w:r w:rsidRPr="00784539">
        <w:rPr>
          <w:rStyle w:val="CharSectno"/>
        </w:rPr>
        <w:t>71</w:t>
      </w:r>
      <w:r w:rsidR="00A36634" w:rsidRPr="00784539">
        <w:t xml:space="preserve">  Risk management product providers</w:t>
      </w:r>
      <w:bookmarkEnd w:id="107"/>
    </w:p>
    <w:p w:rsidR="00106531" w:rsidRPr="00784539" w:rsidRDefault="00A36634" w:rsidP="00106531">
      <w:pPr>
        <w:pStyle w:val="subsection"/>
      </w:pPr>
      <w:r w:rsidRPr="00784539">
        <w:tab/>
      </w:r>
      <w:r w:rsidR="007E7041" w:rsidRPr="00784539">
        <w:t>(1)</w:t>
      </w:r>
      <w:r w:rsidRPr="00784539">
        <w:tab/>
        <w:t xml:space="preserve">A leviable entity forms part of the </w:t>
      </w:r>
      <w:r w:rsidRPr="00784539">
        <w:rPr>
          <w:b/>
          <w:i/>
        </w:rPr>
        <w:t>risk management product providers</w:t>
      </w:r>
      <w:r w:rsidRPr="00784539">
        <w:t xml:space="preserve"> sub</w:t>
      </w:r>
      <w:r w:rsidR="00784539">
        <w:noBreakHyphen/>
      </w:r>
      <w:r w:rsidRPr="00784539">
        <w:t>sector in a financial year if,</w:t>
      </w:r>
      <w:r w:rsidR="007E7041" w:rsidRPr="00784539">
        <w:t xml:space="preserve"> </w:t>
      </w:r>
      <w:r w:rsidR="00225A2E" w:rsidRPr="00784539">
        <w:t>at any time in the financial year</w:t>
      </w:r>
      <w:r w:rsidRPr="00784539">
        <w:t>, the</w:t>
      </w:r>
      <w:r w:rsidR="00106531" w:rsidRPr="00784539">
        <w:t xml:space="preserve"> entity holds an Australian financial services licence that authorises the holder to deal in a product for managing financial risks that is not a financial product specified in section</w:t>
      </w:r>
      <w:r w:rsidR="00784539" w:rsidRPr="00784539">
        <w:t> </w:t>
      </w:r>
      <w:r w:rsidR="00106531" w:rsidRPr="00784539">
        <w:t xml:space="preserve">764A of the </w:t>
      </w:r>
      <w:r w:rsidR="00106531" w:rsidRPr="00784539">
        <w:rPr>
          <w:i/>
        </w:rPr>
        <w:t>Corporations Act 2001</w:t>
      </w:r>
      <w:r w:rsidR="00106531" w:rsidRPr="00784539">
        <w:t>.</w:t>
      </w:r>
    </w:p>
    <w:p w:rsidR="007E7041" w:rsidRPr="00784539" w:rsidRDefault="007E7041" w:rsidP="007E7041">
      <w:pPr>
        <w:pStyle w:val="SubsectionHead"/>
      </w:pPr>
      <w:r w:rsidRPr="00784539">
        <w:t>Entity metric</w:t>
      </w:r>
    </w:p>
    <w:p w:rsidR="007E7041" w:rsidRPr="00784539" w:rsidRDefault="007E7041" w:rsidP="00A36634">
      <w:pPr>
        <w:pStyle w:val="subsection"/>
      </w:pPr>
      <w:r w:rsidRPr="00784539">
        <w:tab/>
        <w:t>(2)</w:t>
      </w:r>
      <w:r w:rsidRPr="00784539">
        <w:tab/>
        <w:t xml:space="preserve">The leviable entity’s </w:t>
      </w:r>
      <w:r w:rsidRPr="00784539">
        <w:rPr>
          <w:b/>
          <w:i/>
        </w:rPr>
        <w:t xml:space="preserve">entity metric </w:t>
      </w:r>
      <w:r w:rsidRPr="00784539">
        <w:t>for the sub</w:t>
      </w:r>
      <w:r w:rsidR="00784539">
        <w:noBreakHyphen/>
      </w:r>
      <w:r w:rsidRPr="00784539">
        <w:t xml:space="preserve">sector for the financial year is the number of days in the financial year </w:t>
      </w:r>
      <w:r w:rsidR="00106531" w:rsidRPr="00784539">
        <w:t xml:space="preserve">on which the entity holds a licence of the kind mentioned in </w:t>
      </w:r>
      <w:r w:rsidR="00784539" w:rsidRPr="00784539">
        <w:t>subsection (</w:t>
      </w:r>
      <w:r w:rsidRPr="00784539">
        <w:t>1).</w:t>
      </w:r>
    </w:p>
    <w:p w:rsidR="00A36634" w:rsidRPr="00784539" w:rsidRDefault="00A36634" w:rsidP="00A36634">
      <w:pPr>
        <w:pStyle w:val="ActHead4"/>
      </w:pPr>
      <w:bookmarkStart w:id="108" w:name="_Toc485110136"/>
      <w:r w:rsidRPr="00784539">
        <w:rPr>
          <w:rStyle w:val="CharSubdNo"/>
        </w:rPr>
        <w:t>Subdivision</w:t>
      </w:r>
      <w:r w:rsidR="00784539" w:rsidRPr="00784539">
        <w:rPr>
          <w:rStyle w:val="CharSubdNo"/>
        </w:rPr>
        <w:t> </w:t>
      </w:r>
      <w:r w:rsidRPr="00784539">
        <w:rPr>
          <w:rStyle w:val="CharSubdNo"/>
        </w:rPr>
        <w:t>6.3</w:t>
      </w:r>
      <w:r w:rsidRPr="00784539">
        <w:t>—</w:t>
      </w:r>
      <w:r w:rsidR="003F141F" w:rsidRPr="00784539">
        <w:rPr>
          <w:rStyle w:val="CharSubdText"/>
        </w:rPr>
        <w:t>Sub</w:t>
      </w:r>
      <w:r w:rsidR="00784539" w:rsidRPr="00784539">
        <w:rPr>
          <w:rStyle w:val="CharSubdText"/>
        </w:rPr>
        <w:noBreakHyphen/>
      </w:r>
      <w:r w:rsidR="003F141F" w:rsidRPr="00784539">
        <w:rPr>
          <w:rStyle w:val="CharSubdText"/>
        </w:rPr>
        <w:t xml:space="preserve">sectors to which </w:t>
      </w:r>
      <w:r w:rsidR="00E366AE" w:rsidRPr="00784539">
        <w:rPr>
          <w:rStyle w:val="CharSubdText"/>
        </w:rPr>
        <w:t>graduated levy component</w:t>
      </w:r>
      <w:r w:rsidRPr="00784539">
        <w:rPr>
          <w:rStyle w:val="CharSubdText"/>
        </w:rPr>
        <w:t xml:space="preserve"> applies</w:t>
      </w:r>
      <w:bookmarkEnd w:id="108"/>
    </w:p>
    <w:p w:rsidR="00A36634" w:rsidRPr="00784539" w:rsidRDefault="00085808" w:rsidP="00A36634">
      <w:pPr>
        <w:pStyle w:val="ActHead5"/>
      </w:pPr>
      <w:bookmarkStart w:id="109" w:name="_Toc485110137"/>
      <w:r w:rsidRPr="00784539">
        <w:rPr>
          <w:rStyle w:val="CharSectno"/>
        </w:rPr>
        <w:t>72</w:t>
      </w:r>
      <w:r w:rsidR="00A36634" w:rsidRPr="00784539">
        <w:t xml:space="preserve">  Insurance product providers</w:t>
      </w:r>
      <w:bookmarkEnd w:id="109"/>
    </w:p>
    <w:p w:rsidR="00A36634" w:rsidRPr="00784539" w:rsidRDefault="00A36634" w:rsidP="00A36634">
      <w:pPr>
        <w:pStyle w:val="subsection"/>
      </w:pPr>
      <w:r w:rsidRPr="00784539">
        <w:tab/>
        <w:t>(1)</w:t>
      </w:r>
      <w:r w:rsidRPr="00784539">
        <w:tab/>
        <w:t xml:space="preserve">A leviable entity forms part of the </w:t>
      </w:r>
      <w:r w:rsidRPr="00784539">
        <w:rPr>
          <w:b/>
          <w:i/>
        </w:rPr>
        <w:t>insurance product providers</w:t>
      </w:r>
      <w:r w:rsidRPr="00784539">
        <w:t xml:space="preserve"> sub</w:t>
      </w:r>
      <w:r w:rsidR="00784539">
        <w:noBreakHyphen/>
      </w:r>
      <w:r w:rsidRPr="00784539">
        <w:t>sector in a financial year if:</w:t>
      </w:r>
    </w:p>
    <w:p w:rsidR="00A36634" w:rsidRPr="00784539" w:rsidRDefault="00A36634" w:rsidP="00A36634">
      <w:pPr>
        <w:pStyle w:val="paragraph"/>
      </w:pPr>
      <w:r w:rsidRPr="00784539">
        <w:tab/>
        <w:t>(a)</w:t>
      </w:r>
      <w:r w:rsidRPr="00784539">
        <w:tab/>
        <w:t xml:space="preserve">the entity holds, </w:t>
      </w:r>
      <w:r w:rsidR="00225A2E" w:rsidRPr="00784539">
        <w:t>at any time in the financial year</w:t>
      </w:r>
      <w:r w:rsidRPr="00784539">
        <w:t>, an Australian financial services licence that authorises the holder to deal in:</w:t>
      </w:r>
    </w:p>
    <w:p w:rsidR="00A36634" w:rsidRPr="00784539" w:rsidRDefault="00A36634" w:rsidP="00A36634">
      <w:pPr>
        <w:pStyle w:val="paragraphsub"/>
      </w:pPr>
      <w:r w:rsidRPr="00784539">
        <w:tab/>
        <w:t>(i)</w:t>
      </w:r>
      <w:r w:rsidRPr="00784539">
        <w:tab/>
        <w:t>a general insurance product; or</w:t>
      </w:r>
    </w:p>
    <w:p w:rsidR="00A36634" w:rsidRPr="00784539" w:rsidRDefault="00A36634" w:rsidP="00A36634">
      <w:pPr>
        <w:pStyle w:val="paragraphsub"/>
      </w:pPr>
      <w:r w:rsidRPr="00784539">
        <w:tab/>
        <w:t>(ii)</w:t>
      </w:r>
      <w:r w:rsidRPr="00784539">
        <w:tab/>
        <w:t>a life risk insurance product; or</w:t>
      </w:r>
    </w:p>
    <w:p w:rsidR="00A36634" w:rsidRPr="00784539" w:rsidRDefault="00A36634" w:rsidP="00A36634">
      <w:pPr>
        <w:pStyle w:val="paragraphsub"/>
      </w:pPr>
      <w:r w:rsidRPr="00784539">
        <w:tab/>
        <w:t>(iii)</w:t>
      </w:r>
      <w:r w:rsidRPr="00784539">
        <w:tab/>
        <w:t>an investment life insurance product; and</w:t>
      </w:r>
    </w:p>
    <w:p w:rsidR="008C3BA5" w:rsidRPr="00784539" w:rsidRDefault="008C3BA5" w:rsidP="008C3BA5">
      <w:pPr>
        <w:pStyle w:val="paragraph"/>
      </w:pPr>
      <w:r w:rsidRPr="00784539">
        <w:tab/>
        <w:t>(b)</w:t>
      </w:r>
      <w:r w:rsidRPr="00784539">
        <w:tab/>
      </w:r>
      <w:r w:rsidR="003B6F62" w:rsidRPr="00784539">
        <w:t>either or both of the following applies:</w:t>
      </w:r>
    </w:p>
    <w:p w:rsidR="008C3BA5" w:rsidRPr="00784539" w:rsidRDefault="008C3BA5" w:rsidP="008C3BA5">
      <w:pPr>
        <w:pStyle w:val="paragraphsub"/>
      </w:pPr>
      <w:r w:rsidRPr="00784539">
        <w:tab/>
        <w:t>(i)</w:t>
      </w:r>
      <w:r w:rsidRPr="00784539">
        <w:tab/>
      </w:r>
      <w:r w:rsidR="003B6F62" w:rsidRPr="00784539">
        <w:t xml:space="preserve">the entity </w:t>
      </w:r>
      <w:r w:rsidRPr="00784539">
        <w:t>is a body of the kind mentioned in paragraph</w:t>
      </w:r>
      <w:r w:rsidR="00784539" w:rsidRPr="00784539">
        <w:t> </w:t>
      </w:r>
      <w:r w:rsidRPr="00784539">
        <w:t>3(2)(c)</w:t>
      </w:r>
      <w:r w:rsidR="00085808" w:rsidRPr="00784539">
        <w:t xml:space="preserve"> </w:t>
      </w:r>
      <w:r w:rsidRPr="00784539">
        <w:t xml:space="preserve">or (e) of the </w:t>
      </w:r>
      <w:r w:rsidRPr="00784539">
        <w:rPr>
          <w:i/>
        </w:rPr>
        <w:t>Australian Prudential Regulation Authority Act 1998</w:t>
      </w:r>
      <w:r w:rsidR="00AA241F" w:rsidRPr="00784539">
        <w:t>;</w:t>
      </w:r>
    </w:p>
    <w:p w:rsidR="008C3BA5" w:rsidRPr="00784539" w:rsidRDefault="008C3BA5" w:rsidP="008C3BA5">
      <w:pPr>
        <w:pStyle w:val="paragraphsub"/>
      </w:pPr>
      <w:r w:rsidRPr="00784539">
        <w:tab/>
        <w:t>(ii)</w:t>
      </w:r>
      <w:r w:rsidRPr="00784539">
        <w:tab/>
      </w:r>
      <w:r w:rsidR="003B6F62" w:rsidRPr="00784539">
        <w:t xml:space="preserve">the entity has entered into an </w:t>
      </w:r>
      <w:r w:rsidRPr="00784539">
        <w:t xml:space="preserve">arrangement </w:t>
      </w:r>
      <w:r w:rsidR="003B6F62" w:rsidRPr="00784539">
        <w:t xml:space="preserve">covered by </w:t>
      </w:r>
      <w:r w:rsidR="00784539" w:rsidRPr="00784539">
        <w:t>subsection (</w:t>
      </w:r>
      <w:r w:rsidR="003B6F62" w:rsidRPr="00784539">
        <w:t>2).</w:t>
      </w:r>
    </w:p>
    <w:p w:rsidR="00836504" w:rsidRPr="00784539" w:rsidRDefault="00C039A6" w:rsidP="00C039A6">
      <w:pPr>
        <w:pStyle w:val="subsection"/>
      </w:pPr>
      <w:r w:rsidRPr="00784539">
        <w:tab/>
        <w:t>(2)</w:t>
      </w:r>
      <w:r w:rsidRPr="00784539">
        <w:tab/>
      </w:r>
      <w:r w:rsidR="003B6F62" w:rsidRPr="00784539">
        <w:t>This subsection covers an arrangement if:</w:t>
      </w:r>
    </w:p>
    <w:p w:rsidR="00836504" w:rsidRPr="00784539" w:rsidRDefault="00836504" w:rsidP="00836504">
      <w:pPr>
        <w:pStyle w:val="paragraph"/>
      </w:pPr>
      <w:r w:rsidRPr="00784539">
        <w:tab/>
        <w:t>(a)</w:t>
      </w:r>
      <w:r w:rsidRPr="00784539">
        <w:tab/>
        <w:t xml:space="preserve">the </w:t>
      </w:r>
      <w:r w:rsidR="0028411C" w:rsidRPr="00784539">
        <w:t xml:space="preserve">arrangement is an </w:t>
      </w:r>
      <w:r w:rsidRPr="00784539">
        <w:t>intermediary authorisation (within the meaning of paragraph</w:t>
      </w:r>
      <w:r w:rsidR="00784539" w:rsidRPr="00784539">
        <w:t> </w:t>
      </w:r>
      <w:r w:rsidRPr="00784539">
        <w:t xml:space="preserve">911A(2)(b) of the </w:t>
      </w:r>
      <w:r w:rsidRPr="00784539">
        <w:rPr>
          <w:i/>
        </w:rPr>
        <w:t>Corporations Act 2001</w:t>
      </w:r>
      <w:r w:rsidRPr="00784539">
        <w:t>); and</w:t>
      </w:r>
    </w:p>
    <w:p w:rsidR="00836504" w:rsidRPr="00784539" w:rsidRDefault="00836504" w:rsidP="00836504">
      <w:pPr>
        <w:pStyle w:val="paragraph"/>
      </w:pPr>
      <w:r w:rsidRPr="00784539">
        <w:tab/>
        <w:t>(b)</w:t>
      </w:r>
      <w:r w:rsidRPr="00784539">
        <w:tab/>
        <w:t>the product</w:t>
      </w:r>
      <w:r w:rsidR="003B6F62" w:rsidRPr="00784539">
        <w:t xml:space="preserve"> provider mentioned in that paragraph </w:t>
      </w:r>
      <w:r w:rsidRPr="00784539">
        <w:t>does not hold an Australian financial services licence; and</w:t>
      </w:r>
    </w:p>
    <w:p w:rsidR="00836504" w:rsidRPr="00784539" w:rsidRDefault="00836504" w:rsidP="00836504">
      <w:pPr>
        <w:pStyle w:val="paragraph"/>
      </w:pPr>
      <w:r w:rsidRPr="00784539">
        <w:tab/>
        <w:t>(c)</w:t>
      </w:r>
      <w:r w:rsidRPr="00784539">
        <w:tab/>
        <w:t xml:space="preserve">the product </w:t>
      </w:r>
      <w:r w:rsidR="003B6F62" w:rsidRPr="00784539">
        <w:t>provider</w:t>
      </w:r>
      <w:r w:rsidRPr="00784539">
        <w:t>:</w:t>
      </w:r>
    </w:p>
    <w:p w:rsidR="00D52EDE" w:rsidRPr="00784539" w:rsidRDefault="00836504" w:rsidP="00836504">
      <w:pPr>
        <w:pStyle w:val="paragraphsub"/>
      </w:pPr>
      <w:r w:rsidRPr="00784539">
        <w:tab/>
      </w:r>
      <w:r w:rsidR="00D52EDE" w:rsidRPr="00784539">
        <w:t>(i)</w:t>
      </w:r>
      <w:r w:rsidR="00D52EDE" w:rsidRPr="00784539">
        <w:tab/>
      </w:r>
      <w:r w:rsidR="003B6F62" w:rsidRPr="00784539">
        <w:t xml:space="preserve">is </w:t>
      </w:r>
      <w:r w:rsidR="00D52EDE" w:rsidRPr="00784539">
        <w:t>authorised by APRA to carry on an insurance business under section</w:t>
      </w:r>
      <w:r w:rsidR="00784539" w:rsidRPr="00784539">
        <w:t> </w:t>
      </w:r>
      <w:r w:rsidR="00D52EDE" w:rsidRPr="00784539">
        <w:t xml:space="preserve">12 of the </w:t>
      </w:r>
      <w:r w:rsidR="00D52EDE" w:rsidRPr="00784539">
        <w:rPr>
          <w:i/>
        </w:rPr>
        <w:t>Insurance Act 1973</w:t>
      </w:r>
      <w:r w:rsidR="00D52EDE" w:rsidRPr="00784539">
        <w:t>; or</w:t>
      </w:r>
    </w:p>
    <w:p w:rsidR="00D52EDE" w:rsidRPr="00784539" w:rsidRDefault="00D52EDE" w:rsidP="00D52EDE">
      <w:pPr>
        <w:pStyle w:val="paragraphsub"/>
      </w:pPr>
      <w:r w:rsidRPr="00784539">
        <w:tab/>
        <w:t>(ii)</w:t>
      </w:r>
      <w:r w:rsidRPr="00784539">
        <w:tab/>
      </w:r>
      <w:r w:rsidR="003B6F62" w:rsidRPr="00784539">
        <w:t xml:space="preserve">is </w:t>
      </w:r>
      <w:r w:rsidRPr="00784539">
        <w:t>authorised</w:t>
      </w:r>
      <w:r w:rsidR="00C63A0E" w:rsidRPr="00784539">
        <w:t>, or is a subsidiary of a body authorised,</w:t>
      </w:r>
      <w:r w:rsidRPr="00784539">
        <w:t xml:space="preserve"> by APRA to be a non</w:t>
      </w:r>
      <w:r w:rsidR="00784539">
        <w:noBreakHyphen/>
      </w:r>
      <w:r w:rsidRPr="00784539">
        <w:t>operating holding company of a general insurer under section</w:t>
      </w:r>
      <w:r w:rsidR="00784539" w:rsidRPr="00784539">
        <w:t> </w:t>
      </w:r>
      <w:r w:rsidRPr="00784539">
        <w:t xml:space="preserve">18 of the </w:t>
      </w:r>
      <w:r w:rsidRPr="00784539">
        <w:rPr>
          <w:i/>
        </w:rPr>
        <w:t>Insurance Act 1973</w:t>
      </w:r>
      <w:r w:rsidRPr="00784539">
        <w:t>; or</w:t>
      </w:r>
    </w:p>
    <w:p w:rsidR="00D52EDE" w:rsidRPr="00784539" w:rsidRDefault="00C63A0E" w:rsidP="00D52EDE">
      <w:pPr>
        <w:pStyle w:val="paragraphsub"/>
      </w:pPr>
      <w:r w:rsidRPr="00784539">
        <w:tab/>
      </w:r>
      <w:r w:rsidR="00D52EDE" w:rsidRPr="00784539">
        <w:t>(iii)</w:t>
      </w:r>
      <w:r w:rsidR="00D52EDE" w:rsidRPr="00784539">
        <w:tab/>
      </w:r>
      <w:r w:rsidR="003B6F62" w:rsidRPr="00784539">
        <w:t xml:space="preserve">is </w:t>
      </w:r>
      <w:r w:rsidR="00D52EDE" w:rsidRPr="00784539">
        <w:t xml:space="preserve">registered as a life company under the </w:t>
      </w:r>
      <w:r w:rsidR="00D52EDE" w:rsidRPr="00784539">
        <w:rPr>
          <w:i/>
        </w:rPr>
        <w:t>Life Insurance Act 1995</w:t>
      </w:r>
      <w:r w:rsidR="00D52EDE" w:rsidRPr="00784539">
        <w:t>; or</w:t>
      </w:r>
    </w:p>
    <w:p w:rsidR="00C63A0E" w:rsidRPr="00784539" w:rsidRDefault="00D52EDE" w:rsidP="00836504">
      <w:pPr>
        <w:pStyle w:val="paragraphsub"/>
      </w:pPr>
      <w:r w:rsidRPr="00784539">
        <w:tab/>
        <w:t>(iv)</w:t>
      </w:r>
      <w:r w:rsidRPr="00784539">
        <w:tab/>
      </w:r>
      <w:r w:rsidR="003B6F62" w:rsidRPr="00784539">
        <w:t xml:space="preserve">is </w:t>
      </w:r>
      <w:r w:rsidRPr="00784539">
        <w:t>registered</w:t>
      </w:r>
      <w:r w:rsidR="00C63A0E" w:rsidRPr="00784539">
        <w:t>, or is a subsidiary of a body registered,</w:t>
      </w:r>
      <w:r w:rsidRPr="00784539">
        <w:t xml:space="preserve"> as a non</w:t>
      </w:r>
      <w:r w:rsidR="00784539">
        <w:noBreakHyphen/>
      </w:r>
      <w:r w:rsidRPr="00784539">
        <w:t xml:space="preserve">operating holding company of a life company under the </w:t>
      </w:r>
      <w:r w:rsidRPr="00784539">
        <w:rPr>
          <w:i/>
        </w:rPr>
        <w:t>Life Insurance Act 1995</w:t>
      </w:r>
      <w:r w:rsidR="00AA241F" w:rsidRPr="00784539">
        <w:t>.</w:t>
      </w:r>
    </w:p>
    <w:p w:rsidR="00A36634" w:rsidRPr="00784539" w:rsidRDefault="00A36634" w:rsidP="00A36634">
      <w:pPr>
        <w:pStyle w:val="SubsectionHead"/>
      </w:pPr>
      <w:r w:rsidRPr="00784539">
        <w:t>Levy component</w:t>
      </w:r>
      <w:r w:rsidR="004C378B" w:rsidRPr="00784539">
        <w:t>s</w:t>
      </w:r>
    </w:p>
    <w:p w:rsidR="00A36634" w:rsidRPr="00784539" w:rsidRDefault="00A36634" w:rsidP="00A36634">
      <w:pPr>
        <w:pStyle w:val="subsection"/>
      </w:pPr>
      <w:r w:rsidRPr="00784539">
        <w:tab/>
        <w:t>(</w:t>
      </w:r>
      <w:r w:rsidR="008C2CB2" w:rsidRPr="00784539">
        <w:t>3</w:t>
      </w:r>
      <w:r w:rsidRPr="00784539">
        <w:t>)</w:t>
      </w:r>
      <w:r w:rsidRPr="00784539">
        <w:tab/>
        <w:t>The amount of a leviable entity’s levy component in respect of the sub</w:t>
      </w:r>
      <w:r w:rsidR="00784539">
        <w:noBreakHyphen/>
      </w:r>
      <w:r w:rsidRPr="00784539">
        <w:t>sector for the financial year is the sum of:</w:t>
      </w:r>
    </w:p>
    <w:p w:rsidR="00A36634" w:rsidRPr="00784539" w:rsidRDefault="00A36634" w:rsidP="00A36634">
      <w:pPr>
        <w:pStyle w:val="paragraph"/>
      </w:pPr>
      <w:r w:rsidRPr="00784539">
        <w:tab/>
        <w:t>(a)</w:t>
      </w:r>
      <w:r w:rsidRPr="00784539">
        <w:tab/>
        <w:t>the minimum levy component for the sub</w:t>
      </w:r>
      <w:r w:rsidR="00784539">
        <w:noBreakHyphen/>
      </w:r>
      <w:r w:rsidRPr="00784539">
        <w:t>sector; and</w:t>
      </w:r>
    </w:p>
    <w:p w:rsidR="00A36634" w:rsidRPr="00784539" w:rsidRDefault="00A36634" w:rsidP="00A36634">
      <w:pPr>
        <w:pStyle w:val="paragraph"/>
      </w:pPr>
      <w:r w:rsidRPr="00784539">
        <w:tab/>
        <w:t>(b)</w:t>
      </w:r>
      <w:r w:rsidRPr="00784539">
        <w:tab/>
        <w:t>if the</w:t>
      </w:r>
      <w:r w:rsidR="000E42ED" w:rsidRPr="00784539">
        <w:t xml:space="preserve"> </w:t>
      </w:r>
      <w:r w:rsidRPr="00784539">
        <w:t>entity’s entity metric for the sub</w:t>
      </w:r>
      <w:r w:rsidR="00784539">
        <w:noBreakHyphen/>
      </w:r>
      <w:r w:rsidRPr="00784539">
        <w:t>sector for the financial year exceeds the minimum levy threshold—the graduated levy component for the entity for the sub</w:t>
      </w:r>
      <w:r w:rsidR="00784539">
        <w:noBreakHyphen/>
      </w:r>
      <w:r w:rsidRPr="00784539">
        <w:t>sector.</w:t>
      </w:r>
    </w:p>
    <w:p w:rsidR="00A36634" w:rsidRPr="00784539" w:rsidRDefault="00A36634" w:rsidP="00A36634">
      <w:pPr>
        <w:pStyle w:val="notetext"/>
      </w:pPr>
      <w:r w:rsidRPr="00784539">
        <w:t>Note:</w:t>
      </w:r>
      <w:r w:rsidRPr="00784539">
        <w:tab/>
        <w:t>For the graduated levy component, see section</w:t>
      </w:r>
      <w:r w:rsidR="00784539" w:rsidRPr="00784539">
        <w:t> </w:t>
      </w:r>
      <w:r w:rsidR="00085808" w:rsidRPr="00784539">
        <w:t>10</w:t>
      </w:r>
      <w:r w:rsidRPr="00784539">
        <w:t>.</w:t>
      </w:r>
    </w:p>
    <w:p w:rsidR="00A36634" w:rsidRPr="00784539" w:rsidRDefault="00A36634" w:rsidP="00A36634">
      <w:pPr>
        <w:pStyle w:val="SubsectionHead"/>
      </w:pPr>
      <w:r w:rsidRPr="00784539">
        <w:t>Entity metric</w:t>
      </w:r>
    </w:p>
    <w:p w:rsidR="00677035" w:rsidRPr="00784539" w:rsidRDefault="00A36634" w:rsidP="00A36634">
      <w:pPr>
        <w:pStyle w:val="subsection"/>
      </w:pPr>
      <w:r w:rsidRPr="00784539">
        <w:tab/>
        <w:t>(</w:t>
      </w:r>
      <w:r w:rsidR="008C2CB2" w:rsidRPr="00784539">
        <w:t>4</w:t>
      </w:r>
      <w:r w:rsidRPr="00784539">
        <w:t>)</w:t>
      </w:r>
      <w:r w:rsidRPr="00784539">
        <w:tab/>
        <w:t xml:space="preserve">The leviable entity’s </w:t>
      </w:r>
      <w:r w:rsidRPr="00784539">
        <w:rPr>
          <w:b/>
          <w:i/>
        </w:rPr>
        <w:t>entity metric</w:t>
      </w:r>
      <w:r w:rsidRPr="00784539">
        <w:t xml:space="preserve"> for the sub</w:t>
      </w:r>
      <w:r w:rsidR="00784539">
        <w:noBreakHyphen/>
      </w:r>
      <w:r w:rsidRPr="00784539">
        <w:t>sector for the financial year is</w:t>
      </w:r>
      <w:r w:rsidR="00677035" w:rsidRPr="00784539">
        <w:t xml:space="preserve"> the sum of:</w:t>
      </w:r>
    </w:p>
    <w:p w:rsidR="003B6F62" w:rsidRPr="00784539" w:rsidRDefault="00677035" w:rsidP="00861D90">
      <w:pPr>
        <w:pStyle w:val="paragraph"/>
      </w:pPr>
      <w:r w:rsidRPr="00784539">
        <w:tab/>
        <w:t>(a)</w:t>
      </w:r>
      <w:r w:rsidRPr="00784539">
        <w:tab/>
      </w:r>
      <w:r w:rsidR="003B6F62" w:rsidRPr="00784539">
        <w:t xml:space="preserve">to the extent </w:t>
      </w:r>
      <w:r w:rsidR="00784539" w:rsidRPr="00784539">
        <w:t>subparagraph (</w:t>
      </w:r>
      <w:r w:rsidR="003B6F62" w:rsidRPr="00784539">
        <w:t>1)(a)(i) applies:</w:t>
      </w:r>
    </w:p>
    <w:p w:rsidR="003B6F62" w:rsidRPr="00784539" w:rsidRDefault="003B6F62" w:rsidP="003B6F62">
      <w:pPr>
        <w:pStyle w:val="paragraphsub"/>
      </w:pPr>
      <w:r w:rsidRPr="00784539">
        <w:tab/>
        <w:t>(i)</w:t>
      </w:r>
      <w:r w:rsidRPr="00784539">
        <w:tab/>
        <w:t>the gross amount of premiums written in Australia and received in the financial year by the entity, while it carries on a general insurance business (less any reinsurance expenses incurred in the financial year); and</w:t>
      </w:r>
    </w:p>
    <w:p w:rsidR="005D3C71" w:rsidRPr="00784539" w:rsidRDefault="003B6F62" w:rsidP="005D3C71">
      <w:pPr>
        <w:pStyle w:val="paragraphsub"/>
      </w:pPr>
      <w:r w:rsidRPr="00784539">
        <w:tab/>
        <w:t>(ii)</w:t>
      </w:r>
      <w:r w:rsidRPr="00784539">
        <w:tab/>
        <w:t xml:space="preserve">the gross amount of premiums written in Australia and received in the financial year by a product provider mentioned in </w:t>
      </w:r>
      <w:r w:rsidR="00784539" w:rsidRPr="00784539">
        <w:t>subsection (</w:t>
      </w:r>
      <w:r w:rsidRPr="00784539">
        <w:t>2), under offers covered by the entity’s Australian financial services licence, and while the product provider carries on a general insurance business (less any reinsurance expenses incurred in the financial year);</w:t>
      </w:r>
      <w:r w:rsidR="005D3C71" w:rsidRPr="00784539">
        <w:t xml:space="preserve"> and</w:t>
      </w:r>
    </w:p>
    <w:p w:rsidR="003B6F62" w:rsidRPr="00784539" w:rsidRDefault="005D3C71" w:rsidP="005D3C71">
      <w:pPr>
        <w:pStyle w:val="paragraph"/>
      </w:pPr>
      <w:r w:rsidRPr="00784539">
        <w:tab/>
      </w:r>
      <w:r w:rsidR="00E202BE" w:rsidRPr="00784539">
        <w:t>(b)</w:t>
      </w:r>
      <w:r w:rsidR="00E202BE" w:rsidRPr="00784539">
        <w:tab/>
      </w:r>
      <w:r w:rsidR="003B6F62" w:rsidRPr="00784539">
        <w:t xml:space="preserve">to the extent </w:t>
      </w:r>
      <w:r w:rsidR="00784539" w:rsidRPr="00784539">
        <w:t>subparagraph (</w:t>
      </w:r>
      <w:r w:rsidR="003B6F62" w:rsidRPr="00784539">
        <w:t>1)(a)(ii) or (iii) applies:</w:t>
      </w:r>
    </w:p>
    <w:p w:rsidR="003B6F62" w:rsidRPr="00784539" w:rsidRDefault="003B6F62" w:rsidP="003B6F62">
      <w:pPr>
        <w:pStyle w:val="paragraphsub"/>
      </w:pPr>
      <w:r w:rsidRPr="00784539">
        <w:tab/>
        <w:t>(i)</w:t>
      </w:r>
      <w:r w:rsidRPr="00784539">
        <w:tab/>
        <w:t>the net amount of revenue received by the entity in the financial year for life insurance products (less any reinsurance expenses incurred in the financial year); and</w:t>
      </w:r>
    </w:p>
    <w:p w:rsidR="007B7EDD" w:rsidRPr="00784539" w:rsidRDefault="003B6F62" w:rsidP="003B6F62">
      <w:pPr>
        <w:pStyle w:val="paragraphsub"/>
      </w:pPr>
      <w:r w:rsidRPr="00784539">
        <w:tab/>
        <w:t>(ii)</w:t>
      </w:r>
      <w:r w:rsidRPr="00784539">
        <w:tab/>
        <w:t xml:space="preserve">the net amount of revenue received by a product provider mentioned in </w:t>
      </w:r>
      <w:r w:rsidR="00784539" w:rsidRPr="00784539">
        <w:t>subsection (</w:t>
      </w:r>
      <w:r w:rsidRPr="00784539">
        <w:t>2) in the financial year for life insurance products, under offers covered by the entity’s Australian financial services licence (less any reinsurance expenses incurred in the financial year</w:t>
      </w:r>
      <w:r w:rsidR="00272545" w:rsidRPr="00784539">
        <w:t>)</w:t>
      </w:r>
      <w:r w:rsidR="007B7EDD" w:rsidRPr="00784539">
        <w:t>.</w:t>
      </w:r>
    </w:p>
    <w:p w:rsidR="00A36634" w:rsidRPr="00784539" w:rsidRDefault="00A36634" w:rsidP="00A36634">
      <w:pPr>
        <w:pStyle w:val="subsection"/>
      </w:pPr>
      <w:r w:rsidRPr="00784539">
        <w:tab/>
        <w:t>(</w:t>
      </w:r>
      <w:r w:rsidR="008C2CB2" w:rsidRPr="00784539">
        <w:t>5</w:t>
      </w:r>
      <w:r w:rsidRPr="00784539">
        <w:t>)</w:t>
      </w:r>
      <w:r w:rsidRPr="00784539">
        <w:tab/>
        <w:t xml:space="preserve">The </w:t>
      </w:r>
      <w:r w:rsidRPr="00784539">
        <w:rPr>
          <w:b/>
          <w:i/>
        </w:rPr>
        <w:t>minimum levy component</w:t>
      </w:r>
      <w:r w:rsidRPr="00784539">
        <w:t xml:space="preserve"> for the sub</w:t>
      </w:r>
      <w:r w:rsidR="00784539">
        <w:noBreakHyphen/>
      </w:r>
      <w:r w:rsidRPr="00784539">
        <w:t>sector is $20,000.</w:t>
      </w:r>
    </w:p>
    <w:p w:rsidR="00A36634" w:rsidRPr="00784539" w:rsidRDefault="00A36634" w:rsidP="00A36634">
      <w:pPr>
        <w:pStyle w:val="subsection"/>
      </w:pPr>
      <w:r w:rsidRPr="00784539">
        <w:tab/>
        <w:t>(</w:t>
      </w:r>
      <w:r w:rsidR="008C2CB2" w:rsidRPr="00784539">
        <w:t>6</w:t>
      </w:r>
      <w:r w:rsidRPr="00784539">
        <w:t>)</w:t>
      </w:r>
      <w:r w:rsidRPr="00784539">
        <w:tab/>
        <w:t xml:space="preserve">The </w:t>
      </w:r>
      <w:r w:rsidRPr="00784539">
        <w:rPr>
          <w:b/>
          <w:i/>
        </w:rPr>
        <w:t>minimum levy threshold</w:t>
      </w:r>
      <w:r w:rsidRPr="00784539">
        <w:t xml:space="preserve"> for the sub</w:t>
      </w:r>
      <w:r w:rsidR="00784539">
        <w:noBreakHyphen/>
      </w:r>
      <w:r w:rsidRPr="00784539">
        <w:t>sector is</w:t>
      </w:r>
      <w:r w:rsidR="00AA2600" w:rsidRPr="00784539">
        <w:t xml:space="preserve"> </w:t>
      </w:r>
      <w:r w:rsidRPr="00784539">
        <w:t>$5,000,000.</w:t>
      </w:r>
    </w:p>
    <w:p w:rsidR="00A36634" w:rsidRPr="00784539" w:rsidRDefault="00A36634" w:rsidP="00A36634">
      <w:pPr>
        <w:pStyle w:val="ActHead2"/>
        <w:pageBreakBefore/>
      </w:pPr>
      <w:bookmarkStart w:id="110" w:name="f_Check_Lines_above"/>
      <w:bookmarkStart w:id="111" w:name="_Toc485110138"/>
      <w:bookmarkEnd w:id="110"/>
      <w:r w:rsidRPr="00784539">
        <w:rPr>
          <w:rStyle w:val="CharPartNo"/>
        </w:rPr>
        <w:t>Part</w:t>
      </w:r>
      <w:r w:rsidR="00784539" w:rsidRPr="00784539">
        <w:rPr>
          <w:rStyle w:val="CharPartNo"/>
        </w:rPr>
        <w:t> </w:t>
      </w:r>
      <w:r w:rsidRPr="00784539">
        <w:rPr>
          <w:rStyle w:val="CharPartNo"/>
        </w:rPr>
        <w:t>4</w:t>
      </w:r>
      <w:r w:rsidRPr="00784539">
        <w:t>—</w:t>
      </w:r>
      <w:r w:rsidRPr="00784539">
        <w:rPr>
          <w:rStyle w:val="CharPartText"/>
        </w:rPr>
        <w:t>Miscellaneous</w:t>
      </w:r>
      <w:bookmarkEnd w:id="111"/>
    </w:p>
    <w:p w:rsidR="00F30FAE" w:rsidRPr="00784539" w:rsidRDefault="00F30FAE" w:rsidP="00F30FAE">
      <w:pPr>
        <w:pStyle w:val="Header"/>
      </w:pPr>
      <w:r w:rsidRPr="00784539">
        <w:rPr>
          <w:rStyle w:val="CharDivNo"/>
        </w:rPr>
        <w:t xml:space="preserve"> </w:t>
      </w:r>
      <w:r w:rsidRPr="00784539">
        <w:rPr>
          <w:rStyle w:val="CharDivText"/>
        </w:rPr>
        <w:t xml:space="preserve"> </w:t>
      </w:r>
    </w:p>
    <w:p w:rsidR="00A36634" w:rsidRPr="00784539" w:rsidRDefault="00085808" w:rsidP="00A36634">
      <w:pPr>
        <w:pStyle w:val="ActHead5"/>
      </w:pPr>
      <w:bookmarkStart w:id="112" w:name="_Toc485110139"/>
      <w:r w:rsidRPr="00784539">
        <w:rPr>
          <w:rStyle w:val="CharSectno"/>
        </w:rPr>
        <w:t>73</w:t>
      </w:r>
      <w:r w:rsidR="00A36634" w:rsidRPr="00784539">
        <w:t xml:space="preserve">  Annual determination</w:t>
      </w:r>
      <w:bookmarkEnd w:id="112"/>
    </w:p>
    <w:p w:rsidR="003F1387" w:rsidRPr="00784539" w:rsidRDefault="00A36634" w:rsidP="00A36634">
      <w:pPr>
        <w:pStyle w:val="subsection"/>
      </w:pPr>
      <w:r w:rsidRPr="00784539">
        <w:tab/>
      </w:r>
      <w:r w:rsidRPr="00784539">
        <w:tab/>
        <w:t xml:space="preserve">ASIC </w:t>
      </w:r>
      <w:r w:rsidR="00E42693" w:rsidRPr="00784539">
        <w:t>may</w:t>
      </w:r>
      <w:r w:rsidRPr="00784539">
        <w:t>, by legislative instrument, make an annual determination for a financial year specifying matters required or permitted by these regulations to be specified by ASIC in an annual determination</w:t>
      </w:r>
      <w:r w:rsidR="009C164E" w:rsidRPr="00784539">
        <w:t>.</w:t>
      </w:r>
    </w:p>
    <w:p w:rsidR="004F4832" w:rsidRPr="00784539" w:rsidRDefault="004F4832" w:rsidP="00872DED">
      <w:pPr>
        <w:sectPr w:rsidR="004F4832" w:rsidRPr="00784539" w:rsidSect="005A1986">
          <w:headerReference w:type="even" r:id="rId27"/>
          <w:headerReference w:type="default" r:id="rId28"/>
          <w:footerReference w:type="even" r:id="rId29"/>
          <w:footerReference w:type="default" r:id="rId30"/>
          <w:footerReference w:type="first" r:id="rId31"/>
          <w:pgSz w:w="11907" w:h="16839" w:code="9"/>
          <w:pgMar w:top="2233" w:right="1797" w:bottom="1440" w:left="1797" w:header="720" w:footer="709" w:gutter="0"/>
          <w:pgNumType w:start="1"/>
          <w:cols w:space="720"/>
          <w:docGrid w:linePitch="299"/>
        </w:sectPr>
      </w:pPr>
    </w:p>
    <w:p w:rsidR="004F4832" w:rsidRPr="00784539" w:rsidRDefault="004F4832" w:rsidP="004F4832">
      <w:pPr>
        <w:pStyle w:val="ActHead1"/>
      </w:pPr>
      <w:bookmarkStart w:id="113" w:name="_Toc485110140"/>
      <w:r w:rsidRPr="00784539">
        <w:rPr>
          <w:rStyle w:val="CharChapNo"/>
        </w:rPr>
        <w:t>Schedule</w:t>
      </w:r>
      <w:r w:rsidR="00784539" w:rsidRPr="00784539">
        <w:rPr>
          <w:rStyle w:val="CharChapNo"/>
        </w:rPr>
        <w:t> </w:t>
      </w:r>
      <w:r w:rsidRPr="00784539">
        <w:rPr>
          <w:rStyle w:val="CharChapNo"/>
        </w:rPr>
        <w:t>1</w:t>
      </w:r>
      <w:r w:rsidRPr="00784539">
        <w:t>—</w:t>
      </w:r>
      <w:r w:rsidRPr="00784539">
        <w:rPr>
          <w:rStyle w:val="CharChapText"/>
        </w:rPr>
        <w:t>List of sub</w:t>
      </w:r>
      <w:r w:rsidR="00784539" w:rsidRPr="00784539">
        <w:rPr>
          <w:rStyle w:val="CharChapText"/>
        </w:rPr>
        <w:noBreakHyphen/>
      </w:r>
      <w:r w:rsidRPr="00784539">
        <w:rPr>
          <w:rStyle w:val="CharChapText"/>
        </w:rPr>
        <w:t>sectors</w:t>
      </w:r>
      <w:bookmarkEnd w:id="113"/>
    </w:p>
    <w:p w:rsidR="004F4832" w:rsidRPr="00784539" w:rsidRDefault="00E1381A" w:rsidP="00E1381A">
      <w:pPr>
        <w:pStyle w:val="notemargin"/>
      </w:pPr>
      <w:r w:rsidRPr="00784539">
        <w:t>Note:</w:t>
      </w:r>
      <w:r w:rsidRPr="00784539">
        <w:tab/>
        <w:t>See section</w:t>
      </w:r>
      <w:r w:rsidR="00784539" w:rsidRPr="00784539">
        <w:t> </w:t>
      </w:r>
      <w:r w:rsidRPr="00784539">
        <w:t xml:space="preserve">4 (definition of </w:t>
      </w:r>
      <w:r w:rsidRPr="00784539">
        <w:rPr>
          <w:b/>
          <w:i/>
        </w:rPr>
        <w:t>sub</w:t>
      </w:r>
      <w:r w:rsidR="00784539">
        <w:rPr>
          <w:b/>
          <w:i/>
        </w:rPr>
        <w:noBreakHyphen/>
      </w:r>
      <w:r w:rsidRPr="00784539">
        <w:rPr>
          <w:b/>
          <w:i/>
        </w:rPr>
        <w:t>sector</w:t>
      </w:r>
      <w:r w:rsidRPr="00784539">
        <w:t>)</w:t>
      </w:r>
    </w:p>
    <w:p w:rsidR="003F05FD" w:rsidRPr="00784539" w:rsidRDefault="003F05FD" w:rsidP="003F05FD">
      <w:pPr>
        <w:pStyle w:val="Header"/>
      </w:pPr>
      <w:bookmarkStart w:id="114" w:name="f_Check_Lines_below"/>
      <w:bookmarkEnd w:id="114"/>
      <w:r w:rsidRPr="00784539">
        <w:rPr>
          <w:rStyle w:val="CharPartNo"/>
        </w:rPr>
        <w:t xml:space="preserve"> </w:t>
      </w:r>
      <w:r w:rsidRPr="00784539">
        <w:rPr>
          <w:rStyle w:val="CharPartText"/>
        </w:rPr>
        <w:t xml:space="preserve"> </w:t>
      </w:r>
    </w:p>
    <w:p w:rsidR="004F4832" w:rsidRPr="00784539" w:rsidRDefault="004F4832" w:rsidP="004F483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243"/>
        <w:gridCol w:w="3355"/>
      </w:tblGrid>
      <w:tr w:rsidR="004F4832" w:rsidRPr="00784539" w:rsidTr="004F4832">
        <w:trPr>
          <w:tblHeader/>
        </w:trPr>
        <w:tc>
          <w:tcPr>
            <w:tcW w:w="8312" w:type="dxa"/>
            <w:gridSpan w:val="3"/>
            <w:tcBorders>
              <w:top w:val="single" w:sz="12" w:space="0" w:color="auto"/>
              <w:bottom w:val="single" w:sz="6" w:space="0" w:color="auto"/>
            </w:tcBorders>
            <w:shd w:val="clear" w:color="auto" w:fill="auto"/>
          </w:tcPr>
          <w:p w:rsidR="004F4832" w:rsidRPr="00784539" w:rsidRDefault="004F4832" w:rsidP="004F4832">
            <w:pPr>
              <w:pStyle w:val="TableHeading"/>
            </w:pPr>
            <w:r w:rsidRPr="00784539">
              <w:t>List of sub</w:t>
            </w:r>
            <w:r w:rsidR="00784539">
              <w:noBreakHyphen/>
            </w:r>
            <w:r w:rsidRPr="00784539">
              <w:t>sectors</w:t>
            </w:r>
          </w:p>
        </w:tc>
      </w:tr>
      <w:tr w:rsidR="004F4832" w:rsidRPr="00784539" w:rsidTr="004F4832">
        <w:trPr>
          <w:tblHeader/>
        </w:trPr>
        <w:tc>
          <w:tcPr>
            <w:tcW w:w="714" w:type="dxa"/>
            <w:tcBorders>
              <w:top w:val="single" w:sz="6" w:space="0" w:color="auto"/>
              <w:bottom w:val="single" w:sz="12" w:space="0" w:color="auto"/>
            </w:tcBorders>
            <w:shd w:val="clear" w:color="auto" w:fill="auto"/>
          </w:tcPr>
          <w:p w:rsidR="004F4832" w:rsidRPr="00784539" w:rsidRDefault="004F4832" w:rsidP="004F4832">
            <w:pPr>
              <w:pStyle w:val="TableHeading"/>
            </w:pPr>
            <w:r w:rsidRPr="00784539">
              <w:t>Item</w:t>
            </w:r>
          </w:p>
        </w:tc>
        <w:tc>
          <w:tcPr>
            <w:tcW w:w="4243" w:type="dxa"/>
            <w:tcBorders>
              <w:top w:val="single" w:sz="6" w:space="0" w:color="auto"/>
              <w:bottom w:val="single" w:sz="12" w:space="0" w:color="auto"/>
            </w:tcBorders>
            <w:shd w:val="clear" w:color="auto" w:fill="auto"/>
          </w:tcPr>
          <w:p w:rsidR="004F4832" w:rsidRPr="00784539" w:rsidRDefault="004F4832" w:rsidP="005515E4">
            <w:pPr>
              <w:pStyle w:val="TableHeading"/>
            </w:pPr>
            <w:r w:rsidRPr="00784539">
              <w:t>Sub</w:t>
            </w:r>
            <w:r w:rsidR="00784539">
              <w:noBreakHyphen/>
            </w:r>
            <w:r w:rsidRPr="00784539">
              <w:t>sector</w:t>
            </w:r>
            <w:r w:rsidR="005515E4" w:rsidRPr="00784539">
              <w:t>s</w:t>
            </w:r>
          </w:p>
        </w:tc>
        <w:tc>
          <w:tcPr>
            <w:tcW w:w="3355" w:type="dxa"/>
            <w:tcBorders>
              <w:top w:val="single" w:sz="6" w:space="0" w:color="auto"/>
              <w:bottom w:val="single" w:sz="12" w:space="0" w:color="auto"/>
            </w:tcBorders>
            <w:shd w:val="clear" w:color="auto" w:fill="auto"/>
          </w:tcPr>
          <w:p w:rsidR="004F4832" w:rsidRPr="00784539" w:rsidRDefault="005515E4" w:rsidP="004F4832">
            <w:pPr>
              <w:pStyle w:val="TableHeading"/>
            </w:pPr>
            <w:r w:rsidRPr="00784539">
              <w:t>Provisions</w:t>
            </w:r>
          </w:p>
        </w:tc>
      </w:tr>
      <w:tr w:rsidR="00A36634" w:rsidRPr="00784539" w:rsidTr="004F4832">
        <w:tc>
          <w:tcPr>
            <w:tcW w:w="714" w:type="dxa"/>
            <w:tcBorders>
              <w:top w:val="single" w:sz="12" w:space="0" w:color="auto"/>
            </w:tcBorders>
            <w:shd w:val="clear" w:color="auto" w:fill="auto"/>
          </w:tcPr>
          <w:p w:rsidR="00A36634" w:rsidRPr="00784539" w:rsidRDefault="008B7384" w:rsidP="00EB404E">
            <w:pPr>
              <w:pStyle w:val="Tabletext"/>
            </w:pPr>
            <w:r w:rsidRPr="00784539">
              <w:t>1</w:t>
            </w:r>
          </w:p>
        </w:tc>
        <w:tc>
          <w:tcPr>
            <w:tcW w:w="4243" w:type="dxa"/>
            <w:tcBorders>
              <w:top w:val="single" w:sz="12" w:space="0" w:color="auto"/>
            </w:tcBorders>
            <w:shd w:val="clear" w:color="auto" w:fill="auto"/>
          </w:tcPr>
          <w:p w:rsidR="00A36634" w:rsidRPr="00784539" w:rsidRDefault="00A36634" w:rsidP="00EB404E">
            <w:pPr>
              <w:pStyle w:val="Tabletext"/>
            </w:pPr>
            <w:r w:rsidRPr="00784539">
              <w:t>Auditors</w:t>
            </w:r>
            <w:r w:rsidR="00EB404E" w:rsidRPr="00784539">
              <w:t xml:space="preserve"> of disclosing entities</w:t>
            </w:r>
          </w:p>
        </w:tc>
        <w:tc>
          <w:tcPr>
            <w:tcW w:w="3355" w:type="dxa"/>
            <w:tcBorders>
              <w:top w:val="single" w:sz="12" w:space="0" w:color="auto"/>
            </w:tcBorders>
            <w:shd w:val="clear" w:color="auto" w:fill="auto"/>
          </w:tcPr>
          <w:p w:rsidR="00A36634" w:rsidRPr="00784539" w:rsidRDefault="00A36634" w:rsidP="00EB404E">
            <w:pPr>
              <w:pStyle w:val="Tabletext"/>
            </w:pPr>
            <w:r w:rsidRPr="00784539">
              <w:t>section</w:t>
            </w:r>
            <w:r w:rsidR="00784539" w:rsidRPr="00784539">
              <w:t> </w:t>
            </w:r>
            <w:r w:rsidR="00085808" w:rsidRPr="00784539">
              <w:t>15</w:t>
            </w:r>
          </w:p>
        </w:tc>
      </w:tr>
      <w:tr w:rsidR="00A36634" w:rsidRPr="00784539" w:rsidTr="004F4832">
        <w:tc>
          <w:tcPr>
            <w:tcW w:w="714" w:type="dxa"/>
            <w:shd w:val="clear" w:color="auto" w:fill="auto"/>
          </w:tcPr>
          <w:p w:rsidR="00A36634" w:rsidRPr="00784539" w:rsidRDefault="008B7384" w:rsidP="00EB404E">
            <w:pPr>
              <w:pStyle w:val="Tabletext"/>
            </w:pPr>
            <w:r w:rsidRPr="00784539">
              <w:t>2</w:t>
            </w:r>
          </w:p>
        </w:tc>
        <w:tc>
          <w:tcPr>
            <w:tcW w:w="4243" w:type="dxa"/>
            <w:shd w:val="clear" w:color="auto" w:fill="auto"/>
          </w:tcPr>
          <w:p w:rsidR="00A36634" w:rsidRPr="00784539" w:rsidRDefault="00A36634" w:rsidP="00286561">
            <w:pPr>
              <w:pStyle w:val="Tabletext"/>
            </w:pPr>
            <w:r w:rsidRPr="00784539">
              <w:t xml:space="preserve">Australian derivative trade repository </w:t>
            </w:r>
            <w:r w:rsidR="00286561" w:rsidRPr="00784539">
              <w:t>operators</w:t>
            </w:r>
          </w:p>
        </w:tc>
        <w:tc>
          <w:tcPr>
            <w:tcW w:w="3355" w:type="dxa"/>
            <w:shd w:val="clear" w:color="auto" w:fill="auto"/>
          </w:tcPr>
          <w:p w:rsidR="00A36634" w:rsidRPr="00784539" w:rsidRDefault="00A36634" w:rsidP="00EB404E">
            <w:pPr>
              <w:pStyle w:val="Tabletext"/>
            </w:pPr>
            <w:r w:rsidRPr="00784539">
              <w:t>section</w:t>
            </w:r>
            <w:r w:rsidR="00784539" w:rsidRPr="00784539">
              <w:t> </w:t>
            </w:r>
            <w:r w:rsidR="00085808" w:rsidRPr="00784539">
              <w:t>59</w:t>
            </w:r>
          </w:p>
        </w:tc>
      </w:tr>
      <w:tr w:rsidR="00A36634" w:rsidRPr="00784539" w:rsidTr="004F4832">
        <w:tc>
          <w:tcPr>
            <w:tcW w:w="714" w:type="dxa"/>
            <w:shd w:val="clear" w:color="auto" w:fill="auto"/>
          </w:tcPr>
          <w:p w:rsidR="00A36634" w:rsidRPr="00784539" w:rsidRDefault="008B7384" w:rsidP="00EB404E">
            <w:pPr>
              <w:pStyle w:val="Tabletext"/>
            </w:pPr>
            <w:r w:rsidRPr="00784539">
              <w:t>3</w:t>
            </w:r>
          </w:p>
        </w:tc>
        <w:tc>
          <w:tcPr>
            <w:tcW w:w="4243" w:type="dxa"/>
            <w:shd w:val="clear" w:color="auto" w:fill="auto"/>
          </w:tcPr>
          <w:p w:rsidR="00A36634" w:rsidRPr="00784539" w:rsidRDefault="00A36634" w:rsidP="00EB404E">
            <w:pPr>
              <w:pStyle w:val="Tabletext"/>
            </w:pPr>
            <w:r w:rsidRPr="00784539">
              <w:t>Corporate advisors</w:t>
            </w:r>
          </w:p>
        </w:tc>
        <w:tc>
          <w:tcPr>
            <w:tcW w:w="3355" w:type="dxa"/>
            <w:shd w:val="clear" w:color="auto" w:fill="auto"/>
          </w:tcPr>
          <w:p w:rsidR="00A36634" w:rsidRPr="00784539" w:rsidRDefault="00A36634" w:rsidP="00EB404E">
            <w:pPr>
              <w:pStyle w:val="Tabletext"/>
            </w:pPr>
            <w:r w:rsidRPr="00784539">
              <w:t>section</w:t>
            </w:r>
            <w:r w:rsidR="00784539" w:rsidRPr="00784539">
              <w:t> </w:t>
            </w:r>
            <w:r w:rsidR="00085808" w:rsidRPr="00784539">
              <w:t>63</w:t>
            </w:r>
          </w:p>
        </w:tc>
      </w:tr>
      <w:tr w:rsidR="00A36634" w:rsidRPr="00784539" w:rsidTr="004F4832">
        <w:tc>
          <w:tcPr>
            <w:tcW w:w="714" w:type="dxa"/>
            <w:shd w:val="clear" w:color="auto" w:fill="auto"/>
          </w:tcPr>
          <w:p w:rsidR="00A36634" w:rsidRPr="00784539" w:rsidRDefault="008B7384" w:rsidP="00EB404E">
            <w:pPr>
              <w:pStyle w:val="Tabletext"/>
            </w:pPr>
            <w:r w:rsidRPr="00784539">
              <w:t>4</w:t>
            </w:r>
          </w:p>
        </w:tc>
        <w:tc>
          <w:tcPr>
            <w:tcW w:w="4243" w:type="dxa"/>
            <w:shd w:val="clear" w:color="auto" w:fill="auto"/>
          </w:tcPr>
          <w:p w:rsidR="00A36634" w:rsidRPr="00784539" w:rsidRDefault="00A36634" w:rsidP="00EB404E">
            <w:pPr>
              <w:pStyle w:val="Tabletext"/>
            </w:pPr>
            <w:r w:rsidRPr="00784539">
              <w:t>Credit intermediaries</w:t>
            </w:r>
          </w:p>
        </w:tc>
        <w:tc>
          <w:tcPr>
            <w:tcW w:w="3355" w:type="dxa"/>
            <w:shd w:val="clear" w:color="auto" w:fill="auto"/>
          </w:tcPr>
          <w:p w:rsidR="00A36634" w:rsidRPr="00784539" w:rsidRDefault="00A36634" w:rsidP="00EB404E">
            <w:pPr>
              <w:pStyle w:val="Tabletext"/>
            </w:pPr>
            <w:r w:rsidRPr="00784539">
              <w:t>section</w:t>
            </w:r>
            <w:r w:rsidR="00784539" w:rsidRPr="00784539">
              <w:t> </w:t>
            </w:r>
            <w:r w:rsidR="00085808" w:rsidRPr="00784539">
              <w:t>25</w:t>
            </w:r>
          </w:p>
        </w:tc>
      </w:tr>
      <w:tr w:rsidR="00A36634" w:rsidRPr="00784539" w:rsidTr="004F4832">
        <w:tc>
          <w:tcPr>
            <w:tcW w:w="714" w:type="dxa"/>
            <w:shd w:val="clear" w:color="auto" w:fill="auto"/>
          </w:tcPr>
          <w:p w:rsidR="00A36634" w:rsidRPr="00784539" w:rsidRDefault="008B7384" w:rsidP="00EB404E">
            <w:pPr>
              <w:pStyle w:val="Tabletext"/>
            </w:pPr>
            <w:r w:rsidRPr="00784539">
              <w:t>5</w:t>
            </w:r>
          </w:p>
        </w:tc>
        <w:tc>
          <w:tcPr>
            <w:tcW w:w="4243" w:type="dxa"/>
            <w:shd w:val="clear" w:color="auto" w:fill="auto"/>
          </w:tcPr>
          <w:p w:rsidR="00A36634" w:rsidRPr="00784539" w:rsidRDefault="00A36634" w:rsidP="00EB404E">
            <w:pPr>
              <w:pStyle w:val="Tabletext"/>
            </w:pPr>
            <w:r w:rsidRPr="00784539">
              <w:t>Credit providers</w:t>
            </w:r>
          </w:p>
        </w:tc>
        <w:tc>
          <w:tcPr>
            <w:tcW w:w="3355" w:type="dxa"/>
            <w:shd w:val="clear" w:color="auto" w:fill="auto"/>
          </w:tcPr>
          <w:p w:rsidR="00A36634" w:rsidRPr="00784539" w:rsidRDefault="00A36634" w:rsidP="00EB404E">
            <w:pPr>
              <w:pStyle w:val="Tabletext"/>
            </w:pPr>
            <w:r w:rsidRPr="00784539">
              <w:t>section</w:t>
            </w:r>
            <w:r w:rsidR="00784539" w:rsidRPr="00784539">
              <w:t> </w:t>
            </w:r>
            <w:r w:rsidR="00085808" w:rsidRPr="00784539">
              <w:t>26</w:t>
            </w:r>
          </w:p>
        </w:tc>
      </w:tr>
      <w:tr w:rsidR="00A36634" w:rsidRPr="00784539" w:rsidTr="004F4832">
        <w:tc>
          <w:tcPr>
            <w:tcW w:w="714" w:type="dxa"/>
            <w:shd w:val="clear" w:color="auto" w:fill="auto"/>
          </w:tcPr>
          <w:p w:rsidR="00A36634" w:rsidRPr="00784539" w:rsidRDefault="008B7384" w:rsidP="00EB404E">
            <w:pPr>
              <w:pStyle w:val="Tabletext"/>
            </w:pPr>
            <w:r w:rsidRPr="00784539">
              <w:t>6</w:t>
            </w:r>
          </w:p>
        </w:tc>
        <w:tc>
          <w:tcPr>
            <w:tcW w:w="4243" w:type="dxa"/>
            <w:shd w:val="clear" w:color="auto" w:fill="auto"/>
          </w:tcPr>
          <w:p w:rsidR="00A36634" w:rsidRPr="00784539" w:rsidRDefault="00A36634" w:rsidP="00EB404E">
            <w:pPr>
              <w:pStyle w:val="Tabletext"/>
            </w:pPr>
            <w:r w:rsidRPr="00784539">
              <w:t>Credit rating agencies</w:t>
            </w:r>
          </w:p>
        </w:tc>
        <w:tc>
          <w:tcPr>
            <w:tcW w:w="3355" w:type="dxa"/>
            <w:shd w:val="clear" w:color="auto" w:fill="auto"/>
          </w:tcPr>
          <w:p w:rsidR="00A36634" w:rsidRPr="00784539" w:rsidRDefault="00A36634" w:rsidP="00EB404E">
            <w:pPr>
              <w:pStyle w:val="Tabletext"/>
            </w:pPr>
            <w:r w:rsidRPr="00784539">
              <w:t>section</w:t>
            </w:r>
            <w:r w:rsidR="00784539" w:rsidRPr="00784539">
              <w:t> </w:t>
            </w:r>
            <w:r w:rsidR="00085808" w:rsidRPr="00784539">
              <w:t>60</w:t>
            </w:r>
          </w:p>
        </w:tc>
      </w:tr>
      <w:tr w:rsidR="00A36634" w:rsidRPr="00784539" w:rsidTr="004F4832">
        <w:tc>
          <w:tcPr>
            <w:tcW w:w="714" w:type="dxa"/>
            <w:shd w:val="clear" w:color="auto" w:fill="auto"/>
          </w:tcPr>
          <w:p w:rsidR="00A36634" w:rsidRPr="00784539" w:rsidRDefault="008B7384" w:rsidP="00EB404E">
            <w:pPr>
              <w:pStyle w:val="Tabletext"/>
            </w:pPr>
            <w:r w:rsidRPr="00784539">
              <w:t>7</w:t>
            </w:r>
          </w:p>
        </w:tc>
        <w:tc>
          <w:tcPr>
            <w:tcW w:w="4243" w:type="dxa"/>
            <w:shd w:val="clear" w:color="auto" w:fill="auto"/>
          </w:tcPr>
          <w:p w:rsidR="00A36634" w:rsidRPr="00784539" w:rsidRDefault="00A36634" w:rsidP="00EB404E">
            <w:pPr>
              <w:pStyle w:val="Tabletext"/>
            </w:pPr>
            <w:r w:rsidRPr="00784539">
              <w:t>Custodians</w:t>
            </w:r>
          </w:p>
        </w:tc>
        <w:tc>
          <w:tcPr>
            <w:tcW w:w="3355" w:type="dxa"/>
            <w:shd w:val="clear" w:color="auto" w:fill="auto"/>
          </w:tcPr>
          <w:p w:rsidR="00A36634" w:rsidRPr="00784539" w:rsidRDefault="00A36634" w:rsidP="00EB404E">
            <w:pPr>
              <w:pStyle w:val="Tabletext"/>
            </w:pPr>
            <w:r w:rsidRPr="00784539">
              <w:t>section</w:t>
            </w:r>
            <w:r w:rsidR="00784539" w:rsidRPr="00784539">
              <w:t> </w:t>
            </w:r>
            <w:r w:rsidR="00085808" w:rsidRPr="00784539">
              <w:t>31</w:t>
            </w:r>
          </w:p>
        </w:tc>
      </w:tr>
      <w:tr w:rsidR="00A36634" w:rsidRPr="00784539" w:rsidTr="004F4832">
        <w:tc>
          <w:tcPr>
            <w:tcW w:w="714" w:type="dxa"/>
            <w:shd w:val="clear" w:color="auto" w:fill="auto"/>
          </w:tcPr>
          <w:p w:rsidR="00A36634" w:rsidRPr="00784539" w:rsidRDefault="008B7384" w:rsidP="00EB404E">
            <w:pPr>
              <w:pStyle w:val="Tabletext"/>
            </w:pPr>
            <w:r w:rsidRPr="00784539">
              <w:t>8</w:t>
            </w:r>
          </w:p>
        </w:tc>
        <w:tc>
          <w:tcPr>
            <w:tcW w:w="4243" w:type="dxa"/>
            <w:shd w:val="clear" w:color="auto" w:fill="auto"/>
          </w:tcPr>
          <w:p w:rsidR="00A36634" w:rsidRPr="00784539" w:rsidRDefault="00A36634" w:rsidP="00EB404E">
            <w:pPr>
              <w:pStyle w:val="Tabletext"/>
            </w:pPr>
            <w:r w:rsidRPr="00784539">
              <w:t>Deposit product providers</w:t>
            </w:r>
          </w:p>
        </w:tc>
        <w:tc>
          <w:tcPr>
            <w:tcW w:w="3355" w:type="dxa"/>
            <w:shd w:val="clear" w:color="auto" w:fill="auto"/>
          </w:tcPr>
          <w:p w:rsidR="00A36634" w:rsidRPr="00784539" w:rsidRDefault="00A36634" w:rsidP="00EB404E">
            <w:pPr>
              <w:pStyle w:val="Tabletext"/>
            </w:pPr>
            <w:r w:rsidRPr="00784539">
              <w:t>section</w:t>
            </w:r>
            <w:r w:rsidR="00784539" w:rsidRPr="00784539">
              <w:t> </w:t>
            </w:r>
            <w:r w:rsidR="00085808" w:rsidRPr="00784539">
              <w:t>27</w:t>
            </w:r>
          </w:p>
        </w:tc>
      </w:tr>
      <w:tr w:rsidR="00A36634" w:rsidRPr="00784539" w:rsidTr="004F4832">
        <w:tc>
          <w:tcPr>
            <w:tcW w:w="714" w:type="dxa"/>
            <w:shd w:val="clear" w:color="auto" w:fill="auto"/>
          </w:tcPr>
          <w:p w:rsidR="00A36634" w:rsidRPr="00784539" w:rsidRDefault="008B7384" w:rsidP="00EB404E">
            <w:pPr>
              <w:pStyle w:val="Tabletext"/>
            </w:pPr>
            <w:r w:rsidRPr="00784539">
              <w:t>9</w:t>
            </w:r>
          </w:p>
        </w:tc>
        <w:tc>
          <w:tcPr>
            <w:tcW w:w="4243" w:type="dxa"/>
            <w:shd w:val="clear" w:color="auto" w:fill="auto"/>
          </w:tcPr>
          <w:p w:rsidR="00A36634" w:rsidRPr="00784539" w:rsidRDefault="00286561" w:rsidP="00EB404E">
            <w:pPr>
              <w:pStyle w:val="Tabletext"/>
            </w:pPr>
            <w:r w:rsidRPr="00784539">
              <w:t>Exempt CS facility operators</w:t>
            </w:r>
          </w:p>
        </w:tc>
        <w:tc>
          <w:tcPr>
            <w:tcW w:w="3355" w:type="dxa"/>
            <w:shd w:val="clear" w:color="auto" w:fill="auto"/>
          </w:tcPr>
          <w:p w:rsidR="00A36634" w:rsidRPr="00784539" w:rsidRDefault="00A36634" w:rsidP="00EB404E">
            <w:pPr>
              <w:pStyle w:val="Tabletext"/>
            </w:pPr>
            <w:r w:rsidRPr="00784539">
              <w:t>section</w:t>
            </w:r>
            <w:r w:rsidR="00784539" w:rsidRPr="00784539">
              <w:t> </w:t>
            </w:r>
            <w:r w:rsidR="00085808" w:rsidRPr="00784539">
              <w:t>58</w:t>
            </w:r>
          </w:p>
        </w:tc>
      </w:tr>
      <w:tr w:rsidR="00A36634" w:rsidRPr="00784539" w:rsidTr="004F4832">
        <w:tc>
          <w:tcPr>
            <w:tcW w:w="714" w:type="dxa"/>
            <w:shd w:val="clear" w:color="auto" w:fill="auto"/>
          </w:tcPr>
          <w:p w:rsidR="00A36634" w:rsidRPr="00784539" w:rsidRDefault="008B7384" w:rsidP="00EB404E">
            <w:pPr>
              <w:pStyle w:val="Tabletext"/>
            </w:pPr>
            <w:r w:rsidRPr="00784539">
              <w:t>10</w:t>
            </w:r>
          </w:p>
        </w:tc>
        <w:tc>
          <w:tcPr>
            <w:tcW w:w="4243" w:type="dxa"/>
            <w:shd w:val="clear" w:color="auto" w:fill="auto"/>
          </w:tcPr>
          <w:p w:rsidR="00A36634" w:rsidRPr="00784539" w:rsidRDefault="00286561" w:rsidP="00EB404E">
            <w:pPr>
              <w:pStyle w:val="Tabletext"/>
            </w:pPr>
            <w:r w:rsidRPr="00784539">
              <w:t>Exempt market operators</w:t>
            </w:r>
          </w:p>
        </w:tc>
        <w:tc>
          <w:tcPr>
            <w:tcW w:w="3355" w:type="dxa"/>
            <w:shd w:val="clear" w:color="auto" w:fill="auto"/>
          </w:tcPr>
          <w:p w:rsidR="00A36634" w:rsidRPr="00784539" w:rsidRDefault="00A36634" w:rsidP="00EB404E">
            <w:pPr>
              <w:pStyle w:val="Tabletext"/>
            </w:pPr>
            <w:r w:rsidRPr="00784539">
              <w:t>section</w:t>
            </w:r>
            <w:r w:rsidR="00784539" w:rsidRPr="00784539">
              <w:t> </w:t>
            </w:r>
            <w:r w:rsidR="00085808" w:rsidRPr="00784539">
              <w:t>53</w:t>
            </w:r>
          </w:p>
        </w:tc>
      </w:tr>
      <w:tr w:rsidR="00A36634" w:rsidRPr="00784539" w:rsidTr="004F4832">
        <w:tc>
          <w:tcPr>
            <w:tcW w:w="714" w:type="dxa"/>
            <w:shd w:val="clear" w:color="auto" w:fill="auto"/>
          </w:tcPr>
          <w:p w:rsidR="00A36634" w:rsidRPr="00784539" w:rsidRDefault="008B7384" w:rsidP="00EB404E">
            <w:pPr>
              <w:pStyle w:val="Tabletext"/>
            </w:pPr>
            <w:r w:rsidRPr="00784539">
              <w:t>11</w:t>
            </w:r>
          </w:p>
        </w:tc>
        <w:tc>
          <w:tcPr>
            <w:tcW w:w="4243" w:type="dxa"/>
            <w:shd w:val="clear" w:color="auto" w:fill="auto"/>
          </w:tcPr>
          <w:p w:rsidR="00A36634" w:rsidRPr="00784539" w:rsidRDefault="00A36634" w:rsidP="00EB404E">
            <w:pPr>
              <w:pStyle w:val="Tabletext"/>
            </w:pPr>
            <w:r w:rsidRPr="00784539">
              <w:t>Insurance product distributors</w:t>
            </w:r>
          </w:p>
        </w:tc>
        <w:tc>
          <w:tcPr>
            <w:tcW w:w="3355" w:type="dxa"/>
            <w:shd w:val="clear" w:color="auto" w:fill="auto"/>
          </w:tcPr>
          <w:p w:rsidR="00A36634" w:rsidRPr="00784539" w:rsidRDefault="00A36634" w:rsidP="00EB404E">
            <w:pPr>
              <w:pStyle w:val="Tabletext"/>
            </w:pPr>
            <w:r w:rsidRPr="00784539">
              <w:t>section</w:t>
            </w:r>
            <w:r w:rsidR="00784539" w:rsidRPr="00784539">
              <w:t> </w:t>
            </w:r>
            <w:r w:rsidR="00085808" w:rsidRPr="00784539">
              <w:t>70</w:t>
            </w:r>
          </w:p>
        </w:tc>
      </w:tr>
      <w:tr w:rsidR="00A36634" w:rsidRPr="00784539" w:rsidTr="004F4832">
        <w:tc>
          <w:tcPr>
            <w:tcW w:w="714" w:type="dxa"/>
            <w:shd w:val="clear" w:color="auto" w:fill="auto"/>
          </w:tcPr>
          <w:p w:rsidR="00A36634" w:rsidRPr="00784539" w:rsidRDefault="008B7384" w:rsidP="00EB404E">
            <w:pPr>
              <w:pStyle w:val="Tabletext"/>
            </w:pPr>
            <w:r w:rsidRPr="00784539">
              <w:t>12</w:t>
            </w:r>
          </w:p>
        </w:tc>
        <w:tc>
          <w:tcPr>
            <w:tcW w:w="4243" w:type="dxa"/>
            <w:shd w:val="clear" w:color="auto" w:fill="auto"/>
          </w:tcPr>
          <w:p w:rsidR="00A36634" w:rsidRPr="00784539" w:rsidRDefault="00A36634" w:rsidP="00EB404E">
            <w:pPr>
              <w:pStyle w:val="Tabletext"/>
            </w:pPr>
            <w:r w:rsidRPr="00784539">
              <w:t>Insurance product providers</w:t>
            </w:r>
          </w:p>
        </w:tc>
        <w:tc>
          <w:tcPr>
            <w:tcW w:w="3355" w:type="dxa"/>
            <w:shd w:val="clear" w:color="auto" w:fill="auto"/>
          </w:tcPr>
          <w:p w:rsidR="00A36634" w:rsidRPr="00784539" w:rsidRDefault="00A36634" w:rsidP="00EB404E">
            <w:pPr>
              <w:pStyle w:val="Tabletext"/>
            </w:pPr>
            <w:r w:rsidRPr="00784539">
              <w:t>section</w:t>
            </w:r>
            <w:r w:rsidR="00784539" w:rsidRPr="00784539">
              <w:t> </w:t>
            </w:r>
            <w:r w:rsidR="00085808" w:rsidRPr="00784539">
              <w:t>72</w:t>
            </w:r>
          </w:p>
        </w:tc>
      </w:tr>
      <w:tr w:rsidR="00A36634" w:rsidRPr="00784539" w:rsidTr="004F4832">
        <w:tc>
          <w:tcPr>
            <w:tcW w:w="714" w:type="dxa"/>
            <w:shd w:val="clear" w:color="auto" w:fill="auto"/>
          </w:tcPr>
          <w:p w:rsidR="00A36634" w:rsidRPr="00784539" w:rsidRDefault="008B7384" w:rsidP="00EB404E">
            <w:pPr>
              <w:pStyle w:val="Tabletext"/>
            </w:pPr>
            <w:r w:rsidRPr="00784539">
              <w:t>13</w:t>
            </w:r>
          </w:p>
        </w:tc>
        <w:tc>
          <w:tcPr>
            <w:tcW w:w="4243" w:type="dxa"/>
            <w:shd w:val="clear" w:color="auto" w:fill="auto"/>
          </w:tcPr>
          <w:p w:rsidR="00A36634" w:rsidRPr="00784539" w:rsidRDefault="00A36634" w:rsidP="003752EF">
            <w:pPr>
              <w:pStyle w:val="Tabletext"/>
            </w:pPr>
            <w:r w:rsidRPr="00784539">
              <w:t xml:space="preserve">Large futures </w:t>
            </w:r>
            <w:r w:rsidR="003752EF" w:rsidRPr="00784539">
              <w:t>exchange</w:t>
            </w:r>
            <w:r w:rsidRPr="00784539">
              <w:t xml:space="preserve"> operators</w:t>
            </w:r>
          </w:p>
        </w:tc>
        <w:tc>
          <w:tcPr>
            <w:tcW w:w="3355" w:type="dxa"/>
            <w:shd w:val="clear" w:color="auto" w:fill="auto"/>
          </w:tcPr>
          <w:p w:rsidR="00A36634" w:rsidRPr="00784539" w:rsidRDefault="00A36634" w:rsidP="00EB404E">
            <w:pPr>
              <w:pStyle w:val="Tabletext"/>
            </w:pPr>
            <w:r w:rsidRPr="00784539">
              <w:t>section</w:t>
            </w:r>
            <w:r w:rsidR="00784539" w:rsidRPr="00784539">
              <w:t> </w:t>
            </w:r>
            <w:r w:rsidR="00085808" w:rsidRPr="00784539">
              <w:t>52</w:t>
            </w:r>
          </w:p>
        </w:tc>
      </w:tr>
      <w:tr w:rsidR="00CC0E4D" w:rsidRPr="00784539" w:rsidTr="004F4832">
        <w:tc>
          <w:tcPr>
            <w:tcW w:w="714" w:type="dxa"/>
            <w:shd w:val="clear" w:color="auto" w:fill="auto"/>
          </w:tcPr>
          <w:p w:rsidR="00CC0E4D" w:rsidRPr="00784539" w:rsidRDefault="008B7384" w:rsidP="0050547A">
            <w:pPr>
              <w:pStyle w:val="Tabletext"/>
            </w:pPr>
            <w:r w:rsidRPr="00784539">
              <w:t>14</w:t>
            </w:r>
          </w:p>
        </w:tc>
        <w:tc>
          <w:tcPr>
            <w:tcW w:w="4243" w:type="dxa"/>
            <w:shd w:val="clear" w:color="auto" w:fill="auto"/>
          </w:tcPr>
          <w:p w:rsidR="00CC0E4D" w:rsidRPr="00784539" w:rsidRDefault="00CC0E4D" w:rsidP="0050547A">
            <w:pPr>
              <w:pStyle w:val="Tabletext"/>
            </w:pPr>
            <w:r w:rsidRPr="00784539">
              <w:t>Large futures exchange participants</w:t>
            </w:r>
          </w:p>
        </w:tc>
        <w:tc>
          <w:tcPr>
            <w:tcW w:w="3355" w:type="dxa"/>
            <w:shd w:val="clear" w:color="auto" w:fill="auto"/>
          </w:tcPr>
          <w:p w:rsidR="00CC0E4D" w:rsidRPr="00784539" w:rsidRDefault="00CC0E4D" w:rsidP="0050547A">
            <w:pPr>
              <w:pStyle w:val="Tabletext"/>
            </w:pPr>
            <w:r w:rsidRPr="00784539">
              <w:t>section</w:t>
            </w:r>
            <w:r w:rsidR="00784539" w:rsidRPr="00784539">
              <w:t> </w:t>
            </w:r>
            <w:r w:rsidR="00085808" w:rsidRPr="00784539">
              <w:t>64</w:t>
            </w:r>
          </w:p>
        </w:tc>
      </w:tr>
      <w:tr w:rsidR="00CC0E4D" w:rsidRPr="00784539" w:rsidTr="004F4832">
        <w:tc>
          <w:tcPr>
            <w:tcW w:w="714" w:type="dxa"/>
            <w:shd w:val="clear" w:color="auto" w:fill="auto"/>
          </w:tcPr>
          <w:p w:rsidR="00CC0E4D" w:rsidRPr="00784539" w:rsidRDefault="008B7384" w:rsidP="00EB404E">
            <w:pPr>
              <w:pStyle w:val="Tabletext"/>
            </w:pPr>
            <w:r w:rsidRPr="00784539">
              <w:t>15</w:t>
            </w:r>
          </w:p>
        </w:tc>
        <w:tc>
          <w:tcPr>
            <w:tcW w:w="4243" w:type="dxa"/>
            <w:shd w:val="clear" w:color="auto" w:fill="auto"/>
          </w:tcPr>
          <w:p w:rsidR="00CC0E4D" w:rsidRPr="00784539" w:rsidRDefault="00CC0E4D" w:rsidP="00EB404E">
            <w:pPr>
              <w:pStyle w:val="Tabletext"/>
            </w:pPr>
            <w:r w:rsidRPr="00784539">
              <w:t>Large proprietary companies</w:t>
            </w:r>
          </w:p>
        </w:tc>
        <w:tc>
          <w:tcPr>
            <w:tcW w:w="3355" w:type="dxa"/>
            <w:shd w:val="clear" w:color="auto" w:fill="auto"/>
          </w:tcPr>
          <w:p w:rsidR="00CC0E4D" w:rsidRPr="00784539" w:rsidRDefault="00CC0E4D" w:rsidP="00EB404E">
            <w:pPr>
              <w:pStyle w:val="Tabletext"/>
            </w:pPr>
            <w:r w:rsidRPr="00784539">
              <w:t>section</w:t>
            </w:r>
            <w:r w:rsidR="00784539" w:rsidRPr="00784539">
              <w:t> </w:t>
            </w:r>
            <w:r w:rsidR="00085808" w:rsidRPr="00784539">
              <w:t>16</w:t>
            </w:r>
          </w:p>
        </w:tc>
      </w:tr>
      <w:tr w:rsidR="00CC0E4D" w:rsidRPr="00784539" w:rsidTr="004F4832">
        <w:tc>
          <w:tcPr>
            <w:tcW w:w="714" w:type="dxa"/>
            <w:shd w:val="clear" w:color="auto" w:fill="auto"/>
          </w:tcPr>
          <w:p w:rsidR="00CC0E4D" w:rsidRPr="00784539" w:rsidRDefault="008B7384" w:rsidP="000E12DE">
            <w:pPr>
              <w:pStyle w:val="Tabletext"/>
            </w:pPr>
            <w:r w:rsidRPr="00784539">
              <w:t>16</w:t>
            </w:r>
          </w:p>
        </w:tc>
        <w:tc>
          <w:tcPr>
            <w:tcW w:w="4243" w:type="dxa"/>
            <w:shd w:val="clear" w:color="auto" w:fill="auto"/>
          </w:tcPr>
          <w:p w:rsidR="00CC0E4D" w:rsidRPr="00784539" w:rsidRDefault="00CC0E4D" w:rsidP="000E12DE">
            <w:pPr>
              <w:pStyle w:val="Tabletext"/>
            </w:pPr>
            <w:r w:rsidRPr="00784539">
              <w:t>Large securities exchange operators</w:t>
            </w:r>
          </w:p>
        </w:tc>
        <w:tc>
          <w:tcPr>
            <w:tcW w:w="3355" w:type="dxa"/>
            <w:shd w:val="clear" w:color="auto" w:fill="auto"/>
          </w:tcPr>
          <w:p w:rsidR="00CC0E4D" w:rsidRPr="00784539" w:rsidRDefault="00CC0E4D" w:rsidP="000E12DE">
            <w:pPr>
              <w:pStyle w:val="Tabletext"/>
            </w:pPr>
            <w:r w:rsidRPr="00784539">
              <w:t>section</w:t>
            </w:r>
            <w:r w:rsidR="00784539" w:rsidRPr="00784539">
              <w:t> </w:t>
            </w:r>
            <w:r w:rsidR="00085808" w:rsidRPr="00784539">
              <w:t>51</w:t>
            </w:r>
          </w:p>
        </w:tc>
      </w:tr>
      <w:tr w:rsidR="00CC0E4D" w:rsidRPr="00784539" w:rsidTr="004F4832">
        <w:tc>
          <w:tcPr>
            <w:tcW w:w="714" w:type="dxa"/>
            <w:shd w:val="clear" w:color="auto" w:fill="auto"/>
          </w:tcPr>
          <w:p w:rsidR="00CC0E4D" w:rsidRPr="00784539" w:rsidRDefault="008B7384" w:rsidP="00F869B2">
            <w:pPr>
              <w:pStyle w:val="Tabletext"/>
            </w:pPr>
            <w:r w:rsidRPr="00784539">
              <w:t>17</w:t>
            </w:r>
          </w:p>
        </w:tc>
        <w:tc>
          <w:tcPr>
            <w:tcW w:w="4243" w:type="dxa"/>
            <w:shd w:val="clear" w:color="auto" w:fill="auto"/>
          </w:tcPr>
          <w:p w:rsidR="00CC0E4D" w:rsidRPr="00784539" w:rsidRDefault="00CC0E4D" w:rsidP="002938E9">
            <w:pPr>
              <w:pStyle w:val="Tabletext"/>
            </w:pPr>
            <w:r w:rsidRPr="00784539">
              <w:t>Large securities exchange participants</w:t>
            </w:r>
          </w:p>
        </w:tc>
        <w:tc>
          <w:tcPr>
            <w:tcW w:w="3355" w:type="dxa"/>
            <w:shd w:val="clear" w:color="auto" w:fill="auto"/>
          </w:tcPr>
          <w:p w:rsidR="00CC0E4D" w:rsidRPr="00784539" w:rsidRDefault="00CC0E4D" w:rsidP="00F869B2">
            <w:pPr>
              <w:pStyle w:val="Tabletext"/>
            </w:pPr>
            <w:r w:rsidRPr="00784539">
              <w:t>section</w:t>
            </w:r>
            <w:r w:rsidR="00784539" w:rsidRPr="00784539">
              <w:t> </w:t>
            </w:r>
            <w:r w:rsidR="00085808" w:rsidRPr="00784539">
              <w:t>65</w:t>
            </w:r>
          </w:p>
        </w:tc>
      </w:tr>
      <w:tr w:rsidR="00CC0E4D" w:rsidRPr="00784539" w:rsidTr="004F4832">
        <w:tc>
          <w:tcPr>
            <w:tcW w:w="714" w:type="dxa"/>
            <w:shd w:val="clear" w:color="auto" w:fill="auto"/>
          </w:tcPr>
          <w:p w:rsidR="00CC0E4D" w:rsidRPr="00784539" w:rsidRDefault="008B7384" w:rsidP="00EB404E">
            <w:pPr>
              <w:pStyle w:val="Tabletext"/>
            </w:pPr>
            <w:r w:rsidRPr="00784539">
              <w:t>18</w:t>
            </w:r>
          </w:p>
        </w:tc>
        <w:tc>
          <w:tcPr>
            <w:tcW w:w="4243" w:type="dxa"/>
            <w:shd w:val="clear" w:color="auto" w:fill="auto"/>
          </w:tcPr>
          <w:p w:rsidR="00CC0E4D" w:rsidRPr="00784539" w:rsidRDefault="00CC0E4D" w:rsidP="00243BF4">
            <w:pPr>
              <w:pStyle w:val="Tabletext"/>
            </w:pPr>
            <w:r w:rsidRPr="00784539">
              <w:t xml:space="preserve">Licensees that provide </w:t>
            </w:r>
            <w:r w:rsidR="00243BF4" w:rsidRPr="00784539">
              <w:t xml:space="preserve">only </w:t>
            </w:r>
            <w:r w:rsidRPr="00784539">
              <w:t>general advice to retail or wholesale clients</w:t>
            </w:r>
          </w:p>
        </w:tc>
        <w:tc>
          <w:tcPr>
            <w:tcW w:w="3355" w:type="dxa"/>
            <w:shd w:val="clear" w:color="auto" w:fill="auto"/>
          </w:tcPr>
          <w:p w:rsidR="00CC0E4D" w:rsidRPr="00784539" w:rsidRDefault="00CC0E4D" w:rsidP="00EB404E">
            <w:pPr>
              <w:pStyle w:val="Tabletext"/>
            </w:pPr>
            <w:r w:rsidRPr="00784539">
              <w:t>section</w:t>
            </w:r>
            <w:r w:rsidR="00784539" w:rsidRPr="00784539">
              <w:t> </w:t>
            </w:r>
            <w:r w:rsidR="00085808" w:rsidRPr="00784539">
              <w:t>40</w:t>
            </w:r>
          </w:p>
        </w:tc>
      </w:tr>
      <w:tr w:rsidR="008B7384" w:rsidRPr="00784539" w:rsidTr="004F4832">
        <w:tc>
          <w:tcPr>
            <w:tcW w:w="714" w:type="dxa"/>
            <w:shd w:val="clear" w:color="auto" w:fill="auto"/>
          </w:tcPr>
          <w:p w:rsidR="008B7384" w:rsidRPr="00784539" w:rsidRDefault="008B7384" w:rsidP="00800608">
            <w:pPr>
              <w:pStyle w:val="Tabletext"/>
            </w:pPr>
            <w:r w:rsidRPr="00784539">
              <w:t>19</w:t>
            </w:r>
          </w:p>
        </w:tc>
        <w:tc>
          <w:tcPr>
            <w:tcW w:w="4243" w:type="dxa"/>
            <w:shd w:val="clear" w:color="auto" w:fill="auto"/>
          </w:tcPr>
          <w:p w:rsidR="008B7384" w:rsidRPr="00784539" w:rsidRDefault="008B7384" w:rsidP="00800608">
            <w:pPr>
              <w:pStyle w:val="Tabletext"/>
            </w:pPr>
            <w:r w:rsidRPr="00784539">
              <w:t>Licensees that provide personal advice on relevant financial products to retail clients</w:t>
            </w:r>
          </w:p>
        </w:tc>
        <w:tc>
          <w:tcPr>
            <w:tcW w:w="3355" w:type="dxa"/>
            <w:shd w:val="clear" w:color="auto" w:fill="auto"/>
          </w:tcPr>
          <w:p w:rsidR="008B7384" w:rsidRPr="00784539" w:rsidRDefault="008B7384" w:rsidP="00800608">
            <w:pPr>
              <w:pStyle w:val="Tabletext"/>
            </w:pPr>
            <w:r w:rsidRPr="00784539">
              <w:t>section</w:t>
            </w:r>
            <w:r w:rsidR="00784539" w:rsidRPr="00784539">
              <w:t> </w:t>
            </w:r>
            <w:r w:rsidRPr="00784539">
              <w:t>43</w:t>
            </w:r>
          </w:p>
        </w:tc>
      </w:tr>
      <w:tr w:rsidR="008B7384" w:rsidRPr="00784539" w:rsidTr="004F4832">
        <w:tc>
          <w:tcPr>
            <w:tcW w:w="714" w:type="dxa"/>
            <w:shd w:val="clear" w:color="auto" w:fill="auto"/>
          </w:tcPr>
          <w:p w:rsidR="008B7384" w:rsidRPr="00784539" w:rsidRDefault="008B7384" w:rsidP="00436F58">
            <w:pPr>
              <w:pStyle w:val="Tabletext"/>
            </w:pPr>
            <w:r w:rsidRPr="00784539">
              <w:t>20</w:t>
            </w:r>
          </w:p>
        </w:tc>
        <w:tc>
          <w:tcPr>
            <w:tcW w:w="4243" w:type="dxa"/>
            <w:shd w:val="clear" w:color="auto" w:fill="auto"/>
          </w:tcPr>
          <w:p w:rsidR="008B7384" w:rsidRPr="00784539" w:rsidRDefault="008B7384" w:rsidP="00DD07D8">
            <w:pPr>
              <w:pStyle w:val="Tabletext"/>
            </w:pPr>
            <w:r w:rsidRPr="00784539">
              <w:t>Licensees that provide personal advice to only wholesale clients</w:t>
            </w:r>
          </w:p>
        </w:tc>
        <w:tc>
          <w:tcPr>
            <w:tcW w:w="3355" w:type="dxa"/>
            <w:shd w:val="clear" w:color="auto" w:fill="auto"/>
          </w:tcPr>
          <w:p w:rsidR="008B7384" w:rsidRPr="00784539" w:rsidRDefault="008B7384" w:rsidP="00436F58">
            <w:pPr>
              <w:pStyle w:val="Tabletext"/>
            </w:pPr>
            <w:r w:rsidRPr="00784539">
              <w:t>section</w:t>
            </w:r>
            <w:r w:rsidR="00784539" w:rsidRPr="00784539">
              <w:t> </w:t>
            </w:r>
            <w:r w:rsidRPr="00784539">
              <w:t>41</w:t>
            </w:r>
          </w:p>
        </w:tc>
      </w:tr>
      <w:tr w:rsidR="008B7384" w:rsidRPr="00784539" w:rsidTr="004F4832">
        <w:tc>
          <w:tcPr>
            <w:tcW w:w="714" w:type="dxa"/>
            <w:shd w:val="clear" w:color="auto" w:fill="auto"/>
          </w:tcPr>
          <w:p w:rsidR="008B7384" w:rsidRPr="00784539" w:rsidRDefault="008B7384" w:rsidP="00EB404E">
            <w:pPr>
              <w:pStyle w:val="Tabletext"/>
            </w:pPr>
            <w:r w:rsidRPr="00784539">
              <w:t>21</w:t>
            </w:r>
          </w:p>
        </w:tc>
        <w:tc>
          <w:tcPr>
            <w:tcW w:w="4243" w:type="dxa"/>
            <w:shd w:val="clear" w:color="auto" w:fill="auto"/>
          </w:tcPr>
          <w:p w:rsidR="008B7384" w:rsidRPr="00784539" w:rsidRDefault="008B7384" w:rsidP="00243BF4">
            <w:pPr>
              <w:pStyle w:val="Tabletext"/>
            </w:pPr>
            <w:r w:rsidRPr="00784539">
              <w:t>Licensees that provide personal advice to retail clients on only products that are not relevant financial products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42</w:t>
            </w:r>
          </w:p>
        </w:tc>
      </w:tr>
      <w:tr w:rsidR="008B7384" w:rsidRPr="00784539" w:rsidTr="004F4832">
        <w:tc>
          <w:tcPr>
            <w:tcW w:w="714" w:type="dxa"/>
            <w:shd w:val="clear" w:color="auto" w:fill="auto"/>
          </w:tcPr>
          <w:p w:rsidR="008B7384" w:rsidRPr="00784539" w:rsidRDefault="008B7384" w:rsidP="00EB404E">
            <w:pPr>
              <w:pStyle w:val="Tabletext"/>
            </w:pPr>
            <w:r w:rsidRPr="00784539">
              <w:t>22</w:t>
            </w:r>
          </w:p>
        </w:tc>
        <w:tc>
          <w:tcPr>
            <w:tcW w:w="4243" w:type="dxa"/>
            <w:shd w:val="clear" w:color="auto" w:fill="auto"/>
          </w:tcPr>
          <w:p w:rsidR="008B7384" w:rsidRPr="00784539" w:rsidRDefault="008B7384" w:rsidP="00EB404E">
            <w:pPr>
              <w:pStyle w:val="Tabletext"/>
            </w:pPr>
            <w:r w:rsidRPr="00784539">
              <w:t>Listed corporations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19</w:t>
            </w:r>
          </w:p>
        </w:tc>
      </w:tr>
      <w:tr w:rsidR="008B7384" w:rsidRPr="00784539" w:rsidTr="004F4832">
        <w:tc>
          <w:tcPr>
            <w:tcW w:w="714" w:type="dxa"/>
            <w:shd w:val="clear" w:color="auto" w:fill="auto"/>
          </w:tcPr>
          <w:p w:rsidR="008B7384" w:rsidRPr="00784539" w:rsidRDefault="008B7384" w:rsidP="00EB404E">
            <w:pPr>
              <w:pStyle w:val="Tabletext"/>
            </w:pPr>
            <w:r w:rsidRPr="00784539">
              <w:t>23</w:t>
            </w:r>
          </w:p>
        </w:tc>
        <w:tc>
          <w:tcPr>
            <w:tcW w:w="4243" w:type="dxa"/>
            <w:shd w:val="clear" w:color="auto" w:fill="auto"/>
          </w:tcPr>
          <w:p w:rsidR="008B7384" w:rsidRPr="00784539" w:rsidRDefault="008B7384" w:rsidP="00EB404E">
            <w:pPr>
              <w:pStyle w:val="Tabletext"/>
            </w:pPr>
            <w:r w:rsidRPr="00784539">
              <w:t>Managed discretionary account providers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32</w:t>
            </w:r>
          </w:p>
        </w:tc>
      </w:tr>
      <w:tr w:rsidR="008B7384" w:rsidRPr="00784539" w:rsidTr="004F4832">
        <w:tc>
          <w:tcPr>
            <w:tcW w:w="714" w:type="dxa"/>
            <w:shd w:val="clear" w:color="auto" w:fill="auto"/>
          </w:tcPr>
          <w:p w:rsidR="008B7384" w:rsidRPr="00784539" w:rsidRDefault="008B7384" w:rsidP="00EB404E">
            <w:pPr>
              <w:pStyle w:val="Tabletext"/>
            </w:pPr>
            <w:r w:rsidRPr="00784539">
              <w:t>24</w:t>
            </w:r>
          </w:p>
        </w:tc>
        <w:tc>
          <w:tcPr>
            <w:tcW w:w="4243" w:type="dxa"/>
            <w:shd w:val="clear" w:color="auto" w:fill="auto"/>
          </w:tcPr>
          <w:p w:rsidR="008B7384" w:rsidRPr="00784539" w:rsidRDefault="008B7384" w:rsidP="00EB404E">
            <w:pPr>
              <w:pStyle w:val="Tabletext"/>
            </w:pPr>
            <w:r w:rsidRPr="00784539">
              <w:t>Margin lenders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23</w:t>
            </w:r>
          </w:p>
        </w:tc>
      </w:tr>
      <w:tr w:rsidR="008B7384" w:rsidRPr="00784539" w:rsidTr="004F4832">
        <w:tc>
          <w:tcPr>
            <w:tcW w:w="714" w:type="dxa"/>
            <w:shd w:val="clear" w:color="auto" w:fill="auto"/>
          </w:tcPr>
          <w:p w:rsidR="008B7384" w:rsidRPr="00784539" w:rsidRDefault="008B7384" w:rsidP="00EB404E">
            <w:pPr>
              <w:pStyle w:val="Tabletext"/>
            </w:pPr>
            <w:r w:rsidRPr="00784539">
              <w:t>25</w:t>
            </w:r>
          </w:p>
        </w:tc>
        <w:tc>
          <w:tcPr>
            <w:tcW w:w="4243" w:type="dxa"/>
            <w:shd w:val="clear" w:color="auto" w:fill="auto"/>
          </w:tcPr>
          <w:p w:rsidR="008B7384" w:rsidRPr="00784539" w:rsidRDefault="008B7384" w:rsidP="00EB404E">
            <w:pPr>
              <w:pStyle w:val="Tabletext"/>
            </w:pPr>
            <w:r w:rsidRPr="00784539">
              <w:t>Operators of investor directed portfolio services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34</w:t>
            </w:r>
          </w:p>
        </w:tc>
      </w:tr>
      <w:tr w:rsidR="008B7384" w:rsidRPr="00784539" w:rsidTr="004F4832">
        <w:tc>
          <w:tcPr>
            <w:tcW w:w="714" w:type="dxa"/>
            <w:shd w:val="clear" w:color="auto" w:fill="auto"/>
          </w:tcPr>
          <w:p w:rsidR="008B7384" w:rsidRPr="00784539" w:rsidRDefault="008B7384" w:rsidP="00986111">
            <w:pPr>
              <w:pStyle w:val="Tabletext"/>
            </w:pPr>
            <w:r w:rsidRPr="00784539">
              <w:t>26</w:t>
            </w:r>
          </w:p>
        </w:tc>
        <w:tc>
          <w:tcPr>
            <w:tcW w:w="4243" w:type="dxa"/>
            <w:shd w:val="clear" w:color="auto" w:fill="auto"/>
          </w:tcPr>
          <w:p w:rsidR="008B7384" w:rsidRPr="00784539" w:rsidRDefault="008B7384" w:rsidP="00986111">
            <w:pPr>
              <w:pStyle w:val="Tabletext"/>
            </w:pPr>
            <w:r w:rsidRPr="00784539">
              <w:t>Overseas market operators</w:t>
            </w:r>
          </w:p>
        </w:tc>
        <w:tc>
          <w:tcPr>
            <w:tcW w:w="3355" w:type="dxa"/>
            <w:shd w:val="clear" w:color="auto" w:fill="auto"/>
          </w:tcPr>
          <w:p w:rsidR="008B7384" w:rsidRPr="00784539" w:rsidRDefault="008B7384" w:rsidP="00986111">
            <w:pPr>
              <w:pStyle w:val="Tabletext"/>
            </w:pPr>
            <w:r w:rsidRPr="00784539">
              <w:t>section</w:t>
            </w:r>
            <w:r w:rsidR="00784539" w:rsidRPr="00784539">
              <w:t> </w:t>
            </w:r>
            <w:r w:rsidRPr="00784539">
              <w:t>46</w:t>
            </w:r>
          </w:p>
        </w:tc>
      </w:tr>
      <w:tr w:rsidR="008B7384" w:rsidRPr="00784539" w:rsidTr="004F4832">
        <w:tc>
          <w:tcPr>
            <w:tcW w:w="714" w:type="dxa"/>
            <w:shd w:val="clear" w:color="auto" w:fill="auto"/>
          </w:tcPr>
          <w:p w:rsidR="008B7384" w:rsidRPr="00784539" w:rsidRDefault="008B7384" w:rsidP="00EB404E">
            <w:pPr>
              <w:pStyle w:val="Tabletext"/>
            </w:pPr>
            <w:r w:rsidRPr="00784539">
              <w:t>27</w:t>
            </w:r>
          </w:p>
        </w:tc>
        <w:tc>
          <w:tcPr>
            <w:tcW w:w="4243" w:type="dxa"/>
            <w:shd w:val="clear" w:color="auto" w:fill="auto"/>
          </w:tcPr>
          <w:p w:rsidR="008B7384" w:rsidRPr="00784539" w:rsidRDefault="008B7384" w:rsidP="00EB404E">
            <w:pPr>
              <w:pStyle w:val="Tabletext"/>
            </w:pPr>
            <w:r w:rsidRPr="00784539">
              <w:t>Over</w:t>
            </w:r>
            <w:r w:rsidR="00784539">
              <w:noBreakHyphen/>
            </w:r>
            <w:r w:rsidRPr="00784539">
              <w:t>the</w:t>
            </w:r>
            <w:r w:rsidR="00784539">
              <w:noBreakHyphen/>
            </w:r>
            <w:r w:rsidRPr="00784539">
              <w:t>counter traders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66</w:t>
            </w:r>
          </w:p>
        </w:tc>
      </w:tr>
      <w:tr w:rsidR="008B7384" w:rsidRPr="00784539" w:rsidTr="004F4832">
        <w:tc>
          <w:tcPr>
            <w:tcW w:w="714" w:type="dxa"/>
            <w:shd w:val="clear" w:color="auto" w:fill="auto"/>
          </w:tcPr>
          <w:p w:rsidR="008B7384" w:rsidRPr="00784539" w:rsidRDefault="008B7384" w:rsidP="00EB404E">
            <w:pPr>
              <w:pStyle w:val="Tabletext"/>
            </w:pPr>
            <w:r w:rsidRPr="00784539">
              <w:t>28</w:t>
            </w:r>
          </w:p>
        </w:tc>
        <w:tc>
          <w:tcPr>
            <w:tcW w:w="4243" w:type="dxa"/>
            <w:shd w:val="clear" w:color="auto" w:fill="auto"/>
          </w:tcPr>
          <w:p w:rsidR="008B7384" w:rsidRPr="00784539" w:rsidRDefault="008B7384" w:rsidP="00EB404E">
            <w:pPr>
              <w:pStyle w:val="Tabletext"/>
            </w:pPr>
            <w:r w:rsidRPr="00784539">
              <w:t>Payment product providers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28</w:t>
            </w:r>
          </w:p>
        </w:tc>
      </w:tr>
      <w:tr w:rsidR="008B7384" w:rsidRPr="00784539" w:rsidTr="004F4832">
        <w:tc>
          <w:tcPr>
            <w:tcW w:w="714" w:type="dxa"/>
            <w:shd w:val="clear" w:color="auto" w:fill="auto"/>
          </w:tcPr>
          <w:p w:rsidR="008B7384" w:rsidRPr="00784539" w:rsidRDefault="008B7384" w:rsidP="00EB404E">
            <w:pPr>
              <w:pStyle w:val="Tabletext"/>
            </w:pPr>
            <w:r w:rsidRPr="00784539">
              <w:t>29</w:t>
            </w:r>
          </w:p>
        </w:tc>
        <w:tc>
          <w:tcPr>
            <w:tcW w:w="4243" w:type="dxa"/>
            <w:shd w:val="clear" w:color="auto" w:fill="auto"/>
          </w:tcPr>
          <w:p w:rsidR="008B7384" w:rsidRPr="00784539" w:rsidRDefault="008B7384" w:rsidP="00EB404E">
            <w:pPr>
              <w:pStyle w:val="Tabletext"/>
            </w:pPr>
            <w:r w:rsidRPr="00784539">
              <w:t>Public companies (unlisted)</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17</w:t>
            </w:r>
          </w:p>
        </w:tc>
      </w:tr>
      <w:tr w:rsidR="008B7384" w:rsidRPr="00784539" w:rsidTr="004F4832">
        <w:tc>
          <w:tcPr>
            <w:tcW w:w="714" w:type="dxa"/>
            <w:shd w:val="clear" w:color="auto" w:fill="auto"/>
          </w:tcPr>
          <w:p w:rsidR="008B7384" w:rsidRPr="00784539" w:rsidRDefault="008B7384" w:rsidP="00EB404E">
            <w:pPr>
              <w:pStyle w:val="Tabletext"/>
            </w:pPr>
            <w:r w:rsidRPr="00784539">
              <w:t>30</w:t>
            </w:r>
          </w:p>
        </w:tc>
        <w:tc>
          <w:tcPr>
            <w:tcW w:w="4243" w:type="dxa"/>
            <w:shd w:val="clear" w:color="auto" w:fill="auto"/>
          </w:tcPr>
          <w:p w:rsidR="008B7384" w:rsidRPr="00784539" w:rsidRDefault="008B7384" w:rsidP="00EB404E">
            <w:pPr>
              <w:pStyle w:val="Tabletext"/>
            </w:pPr>
            <w:r w:rsidRPr="00784539">
              <w:t>Registered company auditors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18</w:t>
            </w:r>
          </w:p>
        </w:tc>
      </w:tr>
      <w:tr w:rsidR="008B7384" w:rsidRPr="00784539" w:rsidTr="004F4832">
        <w:tc>
          <w:tcPr>
            <w:tcW w:w="714" w:type="dxa"/>
            <w:shd w:val="clear" w:color="auto" w:fill="auto"/>
          </w:tcPr>
          <w:p w:rsidR="008B7384" w:rsidRPr="00784539" w:rsidRDefault="008B7384" w:rsidP="00EB404E">
            <w:pPr>
              <w:pStyle w:val="Tabletext"/>
            </w:pPr>
            <w:r w:rsidRPr="00784539">
              <w:t>31</w:t>
            </w:r>
          </w:p>
        </w:tc>
        <w:tc>
          <w:tcPr>
            <w:tcW w:w="4243" w:type="dxa"/>
            <w:shd w:val="clear" w:color="auto" w:fill="auto"/>
          </w:tcPr>
          <w:p w:rsidR="008B7384" w:rsidRPr="00784539" w:rsidRDefault="008B7384" w:rsidP="00EB404E">
            <w:pPr>
              <w:pStyle w:val="Tabletext"/>
            </w:pPr>
            <w:r w:rsidRPr="00784539">
              <w:t>Registered liquidators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20</w:t>
            </w:r>
          </w:p>
        </w:tc>
      </w:tr>
      <w:tr w:rsidR="008B7384" w:rsidRPr="00784539" w:rsidTr="004F4832">
        <w:tc>
          <w:tcPr>
            <w:tcW w:w="714" w:type="dxa"/>
            <w:shd w:val="clear" w:color="auto" w:fill="auto"/>
          </w:tcPr>
          <w:p w:rsidR="008B7384" w:rsidRPr="00784539" w:rsidRDefault="008B7384" w:rsidP="00EB404E">
            <w:pPr>
              <w:pStyle w:val="Tabletext"/>
            </w:pPr>
            <w:r w:rsidRPr="00784539">
              <w:t>32</w:t>
            </w:r>
          </w:p>
        </w:tc>
        <w:tc>
          <w:tcPr>
            <w:tcW w:w="4243" w:type="dxa"/>
            <w:shd w:val="clear" w:color="auto" w:fill="auto"/>
          </w:tcPr>
          <w:p w:rsidR="008B7384" w:rsidRPr="00784539" w:rsidRDefault="008B7384" w:rsidP="00EB404E">
            <w:pPr>
              <w:pStyle w:val="Tabletext"/>
            </w:pPr>
            <w:r w:rsidRPr="00784539">
              <w:t>Responsible entities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35</w:t>
            </w:r>
          </w:p>
        </w:tc>
      </w:tr>
      <w:tr w:rsidR="008B7384" w:rsidRPr="00784539" w:rsidTr="004F4832">
        <w:tc>
          <w:tcPr>
            <w:tcW w:w="714" w:type="dxa"/>
            <w:shd w:val="clear" w:color="auto" w:fill="auto"/>
          </w:tcPr>
          <w:p w:rsidR="008B7384" w:rsidRPr="00784539" w:rsidRDefault="008B7384" w:rsidP="00EB404E">
            <w:pPr>
              <w:pStyle w:val="Tabletext"/>
            </w:pPr>
            <w:r w:rsidRPr="00784539">
              <w:t>33</w:t>
            </w:r>
          </w:p>
        </w:tc>
        <w:tc>
          <w:tcPr>
            <w:tcW w:w="4243" w:type="dxa"/>
            <w:shd w:val="clear" w:color="auto" w:fill="auto"/>
          </w:tcPr>
          <w:p w:rsidR="008B7384" w:rsidRPr="00784539" w:rsidRDefault="008B7384" w:rsidP="00EB404E">
            <w:pPr>
              <w:pStyle w:val="Tabletext"/>
            </w:pPr>
            <w:r w:rsidRPr="00784539">
              <w:t>Retail over</w:t>
            </w:r>
            <w:r w:rsidR="00784539">
              <w:noBreakHyphen/>
            </w:r>
            <w:r w:rsidRPr="00784539">
              <w:t>the</w:t>
            </w:r>
            <w:r w:rsidR="00784539">
              <w:noBreakHyphen/>
            </w:r>
            <w:r w:rsidRPr="00784539">
              <w:t>counter derivatives issuers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61</w:t>
            </w:r>
          </w:p>
        </w:tc>
      </w:tr>
      <w:tr w:rsidR="008B7384" w:rsidRPr="00784539" w:rsidTr="004F4832">
        <w:tc>
          <w:tcPr>
            <w:tcW w:w="714" w:type="dxa"/>
            <w:shd w:val="clear" w:color="auto" w:fill="auto"/>
          </w:tcPr>
          <w:p w:rsidR="008B7384" w:rsidRPr="00784539" w:rsidRDefault="008B7384" w:rsidP="00EB404E">
            <w:pPr>
              <w:pStyle w:val="Tabletext"/>
            </w:pPr>
            <w:r w:rsidRPr="00784539">
              <w:t>34</w:t>
            </w:r>
          </w:p>
        </w:tc>
        <w:tc>
          <w:tcPr>
            <w:tcW w:w="4243" w:type="dxa"/>
            <w:shd w:val="clear" w:color="auto" w:fill="auto"/>
          </w:tcPr>
          <w:p w:rsidR="008B7384" w:rsidRPr="00784539" w:rsidRDefault="008B7384" w:rsidP="00EB404E">
            <w:pPr>
              <w:pStyle w:val="Tabletext"/>
            </w:pPr>
            <w:r w:rsidRPr="00784539">
              <w:t>Risk management product providers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71</w:t>
            </w:r>
          </w:p>
        </w:tc>
      </w:tr>
      <w:tr w:rsidR="008B7384" w:rsidRPr="00784539" w:rsidTr="004F4832">
        <w:tc>
          <w:tcPr>
            <w:tcW w:w="714" w:type="dxa"/>
            <w:shd w:val="clear" w:color="auto" w:fill="auto"/>
          </w:tcPr>
          <w:p w:rsidR="008B7384" w:rsidRPr="00784539" w:rsidRDefault="008B7384" w:rsidP="00EB404E">
            <w:pPr>
              <w:pStyle w:val="Tabletext"/>
            </w:pPr>
            <w:r w:rsidRPr="00784539">
              <w:t>35</w:t>
            </w:r>
          </w:p>
        </w:tc>
        <w:tc>
          <w:tcPr>
            <w:tcW w:w="4243" w:type="dxa"/>
            <w:shd w:val="clear" w:color="auto" w:fill="auto"/>
          </w:tcPr>
          <w:p w:rsidR="008B7384" w:rsidRPr="00784539" w:rsidRDefault="008B7384" w:rsidP="00EB404E">
            <w:pPr>
              <w:pStyle w:val="Tabletext"/>
            </w:pPr>
            <w:r w:rsidRPr="00784539">
              <w:t>Securities dealers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67</w:t>
            </w:r>
          </w:p>
        </w:tc>
      </w:tr>
      <w:tr w:rsidR="008B7384" w:rsidRPr="00784539" w:rsidTr="004F4832">
        <w:tc>
          <w:tcPr>
            <w:tcW w:w="714" w:type="dxa"/>
            <w:shd w:val="clear" w:color="auto" w:fill="auto"/>
          </w:tcPr>
          <w:p w:rsidR="008B7384" w:rsidRPr="00784539" w:rsidRDefault="008B7384" w:rsidP="00EB404E">
            <w:pPr>
              <w:pStyle w:val="Tabletext"/>
            </w:pPr>
            <w:r w:rsidRPr="00784539">
              <w:t>36</w:t>
            </w:r>
          </w:p>
        </w:tc>
        <w:tc>
          <w:tcPr>
            <w:tcW w:w="4243" w:type="dxa"/>
            <w:shd w:val="clear" w:color="auto" w:fill="auto"/>
          </w:tcPr>
          <w:p w:rsidR="008B7384" w:rsidRPr="00784539" w:rsidRDefault="008B7384" w:rsidP="00EB404E">
            <w:pPr>
              <w:pStyle w:val="Tabletext"/>
            </w:pPr>
            <w:r w:rsidRPr="00784539">
              <w:t>Small amount credit providers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24</w:t>
            </w:r>
          </w:p>
        </w:tc>
      </w:tr>
      <w:tr w:rsidR="008B7384" w:rsidRPr="00784539" w:rsidTr="004F4832">
        <w:tc>
          <w:tcPr>
            <w:tcW w:w="714" w:type="dxa"/>
            <w:shd w:val="clear" w:color="auto" w:fill="auto"/>
          </w:tcPr>
          <w:p w:rsidR="008B7384" w:rsidRPr="00784539" w:rsidRDefault="008B7384" w:rsidP="00EB404E">
            <w:pPr>
              <w:pStyle w:val="Tabletext"/>
            </w:pPr>
            <w:r w:rsidRPr="00784539">
              <w:t>37</w:t>
            </w:r>
          </w:p>
        </w:tc>
        <w:tc>
          <w:tcPr>
            <w:tcW w:w="4243" w:type="dxa"/>
            <w:shd w:val="clear" w:color="auto" w:fill="auto"/>
          </w:tcPr>
          <w:p w:rsidR="008B7384" w:rsidRPr="00784539" w:rsidRDefault="008B7384" w:rsidP="00EB404E">
            <w:pPr>
              <w:pStyle w:val="Tabletext"/>
            </w:pPr>
            <w:r w:rsidRPr="00784539">
              <w:t>Small derivative market operators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50</w:t>
            </w:r>
          </w:p>
        </w:tc>
      </w:tr>
      <w:tr w:rsidR="008B7384" w:rsidRPr="00784539" w:rsidTr="004F4832">
        <w:tc>
          <w:tcPr>
            <w:tcW w:w="714" w:type="dxa"/>
            <w:shd w:val="clear" w:color="auto" w:fill="auto"/>
          </w:tcPr>
          <w:p w:rsidR="008B7384" w:rsidRPr="00784539" w:rsidRDefault="008B7384" w:rsidP="000E12DE">
            <w:pPr>
              <w:pStyle w:val="Tabletext"/>
            </w:pPr>
            <w:r w:rsidRPr="00784539">
              <w:t>38</w:t>
            </w:r>
          </w:p>
        </w:tc>
        <w:tc>
          <w:tcPr>
            <w:tcW w:w="4243" w:type="dxa"/>
            <w:shd w:val="clear" w:color="auto" w:fill="auto"/>
          </w:tcPr>
          <w:p w:rsidR="008B7384" w:rsidRPr="00784539" w:rsidRDefault="008B7384" w:rsidP="000E12DE">
            <w:pPr>
              <w:pStyle w:val="Tabletext"/>
            </w:pPr>
            <w:r w:rsidRPr="00784539">
              <w:t>Small futures exchange operators</w:t>
            </w:r>
          </w:p>
        </w:tc>
        <w:tc>
          <w:tcPr>
            <w:tcW w:w="3355" w:type="dxa"/>
            <w:shd w:val="clear" w:color="auto" w:fill="auto"/>
          </w:tcPr>
          <w:p w:rsidR="008B7384" w:rsidRPr="00784539" w:rsidRDefault="008B7384" w:rsidP="000E12DE">
            <w:pPr>
              <w:pStyle w:val="Tabletext"/>
            </w:pPr>
            <w:r w:rsidRPr="00784539">
              <w:t>section</w:t>
            </w:r>
            <w:r w:rsidR="00784539" w:rsidRPr="00784539">
              <w:t> </w:t>
            </w:r>
            <w:r w:rsidRPr="00784539">
              <w:t>49</w:t>
            </w:r>
          </w:p>
        </w:tc>
      </w:tr>
      <w:tr w:rsidR="008B7384" w:rsidRPr="00784539" w:rsidTr="004F4832">
        <w:tc>
          <w:tcPr>
            <w:tcW w:w="714" w:type="dxa"/>
            <w:shd w:val="clear" w:color="auto" w:fill="auto"/>
          </w:tcPr>
          <w:p w:rsidR="008B7384" w:rsidRPr="00784539" w:rsidRDefault="008B7384" w:rsidP="000E12DE">
            <w:pPr>
              <w:pStyle w:val="Tabletext"/>
            </w:pPr>
            <w:r w:rsidRPr="00784539">
              <w:t>39</w:t>
            </w:r>
          </w:p>
        </w:tc>
        <w:tc>
          <w:tcPr>
            <w:tcW w:w="4243" w:type="dxa"/>
            <w:shd w:val="clear" w:color="auto" w:fill="auto"/>
          </w:tcPr>
          <w:p w:rsidR="008B7384" w:rsidRPr="00784539" w:rsidRDefault="008B7384" w:rsidP="000E12DE">
            <w:pPr>
              <w:pStyle w:val="Tabletext"/>
            </w:pPr>
            <w:r w:rsidRPr="00784539">
              <w:t>Small securities exchange operators</w:t>
            </w:r>
          </w:p>
        </w:tc>
        <w:tc>
          <w:tcPr>
            <w:tcW w:w="3355" w:type="dxa"/>
            <w:shd w:val="clear" w:color="auto" w:fill="auto"/>
          </w:tcPr>
          <w:p w:rsidR="008B7384" w:rsidRPr="00784539" w:rsidRDefault="008B7384" w:rsidP="000E12DE">
            <w:pPr>
              <w:pStyle w:val="Tabletext"/>
            </w:pPr>
            <w:r w:rsidRPr="00784539">
              <w:t>section</w:t>
            </w:r>
            <w:r w:rsidR="00784539" w:rsidRPr="00784539">
              <w:t> </w:t>
            </w:r>
            <w:r w:rsidRPr="00784539">
              <w:t>48</w:t>
            </w:r>
          </w:p>
        </w:tc>
      </w:tr>
      <w:tr w:rsidR="008B7384" w:rsidRPr="00784539" w:rsidTr="004F4832">
        <w:tc>
          <w:tcPr>
            <w:tcW w:w="714" w:type="dxa"/>
            <w:shd w:val="clear" w:color="auto" w:fill="auto"/>
          </w:tcPr>
          <w:p w:rsidR="008B7384" w:rsidRPr="00784539" w:rsidRDefault="008B7384" w:rsidP="000E12DE">
            <w:pPr>
              <w:pStyle w:val="Tabletext"/>
            </w:pPr>
            <w:r w:rsidRPr="00784539">
              <w:t>40</w:t>
            </w:r>
          </w:p>
        </w:tc>
        <w:tc>
          <w:tcPr>
            <w:tcW w:w="4243" w:type="dxa"/>
            <w:shd w:val="clear" w:color="auto" w:fill="auto"/>
          </w:tcPr>
          <w:p w:rsidR="008B7384" w:rsidRPr="00784539" w:rsidRDefault="008B7384" w:rsidP="000E12DE">
            <w:pPr>
              <w:pStyle w:val="Tabletext"/>
            </w:pPr>
            <w:r w:rsidRPr="00784539">
              <w:t>Small securities exchange operators with self</w:t>
            </w:r>
            <w:r w:rsidR="00784539">
              <w:noBreakHyphen/>
            </w:r>
            <w:r w:rsidRPr="00784539">
              <w:t>listing function only</w:t>
            </w:r>
          </w:p>
        </w:tc>
        <w:tc>
          <w:tcPr>
            <w:tcW w:w="3355" w:type="dxa"/>
            <w:shd w:val="clear" w:color="auto" w:fill="auto"/>
          </w:tcPr>
          <w:p w:rsidR="008B7384" w:rsidRPr="00784539" w:rsidRDefault="008B7384" w:rsidP="000E12DE">
            <w:pPr>
              <w:pStyle w:val="Tabletext"/>
            </w:pPr>
            <w:r w:rsidRPr="00784539">
              <w:t>section</w:t>
            </w:r>
            <w:r w:rsidR="00784539" w:rsidRPr="00784539">
              <w:t> </w:t>
            </w:r>
            <w:r w:rsidRPr="00784539">
              <w:t>47</w:t>
            </w:r>
          </w:p>
        </w:tc>
      </w:tr>
      <w:tr w:rsidR="008B7384" w:rsidRPr="00784539" w:rsidTr="004F4832">
        <w:tc>
          <w:tcPr>
            <w:tcW w:w="714" w:type="dxa"/>
            <w:shd w:val="clear" w:color="auto" w:fill="auto"/>
          </w:tcPr>
          <w:p w:rsidR="008B7384" w:rsidRPr="00784539" w:rsidRDefault="008B7384" w:rsidP="00EB404E">
            <w:pPr>
              <w:pStyle w:val="Tabletext"/>
            </w:pPr>
            <w:r w:rsidRPr="00784539">
              <w:t>41</w:t>
            </w:r>
          </w:p>
        </w:tc>
        <w:tc>
          <w:tcPr>
            <w:tcW w:w="4243" w:type="dxa"/>
            <w:shd w:val="clear" w:color="auto" w:fill="auto"/>
          </w:tcPr>
          <w:p w:rsidR="008B7384" w:rsidRPr="00784539" w:rsidRDefault="008B7384" w:rsidP="00EB404E">
            <w:pPr>
              <w:pStyle w:val="Tabletext"/>
            </w:pPr>
            <w:r w:rsidRPr="00784539">
              <w:t>Superannuation trustees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36</w:t>
            </w:r>
          </w:p>
        </w:tc>
      </w:tr>
      <w:tr w:rsidR="008B7384" w:rsidRPr="00784539" w:rsidTr="004F4832">
        <w:tc>
          <w:tcPr>
            <w:tcW w:w="714" w:type="dxa"/>
            <w:shd w:val="clear" w:color="auto" w:fill="auto"/>
          </w:tcPr>
          <w:p w:rsidR="008B7384" w:rsidRPr="00784539" w:rsidRDefault="008B7384" w:rsidP="00EB404E">
            <w:pPr>
              <w:pStyle w:val="Tabletext"/>
            </w:pPr>
            <w:r w:rsidRPr="00784539">
              <w:t>42</w:t>
            </w:r>
          </w:p>
        </w:tc>
        <w:tc>
          <w:tcPr>
            <w:tcW w:w="4243" w:type="dxa"/>
            <w:shd w:val="clear" w:color="auto" w:fill="auto"/>
          </w:tcPr>
          <w:p w:rsidR="008B7384" w:rsidRPr="00784539" w:rsidRDefault="008B7384" w:rsidP="00EB404E">
            <w:pPr>
              <w:pStyle w:val="Tabletext"/>
            </w:pPr>
            <w:r w:rsidRPr="00784539">
              <w:t>Tier 1 clearing and settlement facility operators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54</w:t>
            </w:r>
          </w:p>
        </w:tc>
      </w:tr>
      <w:tr w:rsidR="008B7384" w:rsidRPr="00784539" w:rsidTr="004F4832">
        <w:tc>
          <w:tcPr>
            <w:tcW w:w="714" w:type="dxa"/>
            <w:shd w:val="clear" w:color="auto" w:fill="auto"/>
          </w:tcPr>
          <w:p w:rsidR="008B7384" w:rsidRPr="00784539" w:rsidRDefault="008B7384" w:rsidP="00EB404E">
            <w:pPr>
              <w:pStyle w:val="Tabletext"/>
            </w:pPr>
            <w:r w:rsidRPr="00784539">
              <w:t>43</w:t>
            </w:r>
          </w:p>
        </w:tc>
        <w:tc>
          <w:tcPr>
            <w:tcW w:w="4243" w:type="dxa"/>
            <w:shd w:val="clear" w:color="auto" w:fill="auto"/>
          </w:tcPr>
          <w:p w:rsidR="008B7384" w:rsidRPr="00784539" w:rsidRDefault="008B7384" w:rsidP="00EB404E">
            <w:pPr>
              <w:pStyle w:val="Tabletext"/>
            </w:pPr>
            <w:r w:rsidRPr="00784539">
              <w:t>Tier 2 clearing and settlement facility operators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55</w:t>
            </w:r>
          </w:p>
        </w:tc>
      </w:tr>
      <w:tr w:rsidR="008B7384" w:rsidRPr="00784539" w:rsidTr="004F4832">
        <w:tc>
          <w:tcPr>
            <w:tcW w:w="714" w:type="dxa"/>
            <w:shd w:val="clear" w:color="auto" w:fill="auto"/>
          </w:tcPr>
          <w:p w:rsidR="008B7384" w:rsidRPr="00784539" w:rsidRDefault="008B7384" w:rsidP="00EB404E">
            <w:pPr>
              <w:pStyle w:val="Tabletext"/>
            </w:pPr>
            <w:r w:rsidRPr="00784539">
              <w:t>44</w:t>
            </w:r>
          </w:p>
        </w:tc>
        <w:tc>
          <w:tcPr>
            <w:tcW w:w="4243" w:type="dxa"/>
            <w:shd w:val="clear" w:color="auto" w:fill="auto"/>
          </w:tcPr>
          <w:p w:rsidR="008B7384" w:rsidRPr="00784539" w:rsidRDefault="008B7384" w:rsidP="00EB404E">
            <w:pPr>
              <w:pStyle w:val="Tabletext"/>
            </w:pPr>
            <w:r w:rsidRPr="00784539">
              <w:t>Tier 3 clearing and settlement facility operators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56</w:t>
            </w:r>
          </w:p>
        </w:tc>
      </w:tr>
      <w:tr w:rsidR="008B7384" w:rsidRPr="00784539" w:rsidTr="004F4832">
        <w:tc>
          <w:tcPr>
            <w:tcW w:w="714" w:type="dxa"/>
            <w:shd w:val="clear" w:color="auto" w:fill="auto"/>
          </w:tcPr>
          <w:p w:rsidR="008B7384" w:rsidRPr="00784539" w:rsidRDefault="008B7384" w:rsidP="00EB404E">
            <w:pPr>
              <w:pStyle w:val="Tabletext"/>
            </w:pPr>
            <w:r w:rsidRPr="00784539">
              <w:t>45</w:t>
            </w:r>
          </w:p>
        </w:tc>
        <w:tc>
          <w:tcPr>
            <w:tcW w:w="4243" w:type="dxa"/>
            <w:shd w:val="clear" w:color="auto" w:fill="auto"/>
          </w:tcPr>
          <w:p w:rsidR="008B7384" w:rsidRPr="00784539" w:rsidRDefault="008B7384" w:rsidP="00EB404E">
            <w:pPr>
              <w:pStyle w:val="Tabletext"/>
            </w:pPr>
            <w:r w:rsidRPr="00784539">
              <w:t>Tier 4 clearing and settlement facility operators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57</w:t>
            </w:r>
          </w:p>
        </w:tc>
      </w:tr>
      <w:tr w:rsidR="008B7384" w:rsidRPr="00784539" w:rsidTr="004F4832">
        <w:tc>
          <w:tcPr>
            <w:tcW w:w="714" w:type="dxa"/>
            <w:shd w:val="clear" w:color="auto" w:fill="auto"/>
          </w:tcPr>
          <w:p w:rsidR="008B7384" w:rsidRPr="00784539" w:rsidRDefault="008B7384" w:rsidP="00EB404E">
            <w:pPr>
              <w:pStyle w:val="Tabletext"/>
            </w:pPr>
            <w:r w:rsidRPr="00784539">
              <w:t>46</w:t>
            </w:r>
          </w:p>
        </w:tc>
        <w:tc>
          <w:tcPr>
            <w:tcW w:w="4243" w:type="dxa"/>
            <w:shd w:val="clear" w:color="auto" w:fill="auto"/>
          </w:tcPr>
          <w:p w:rsidR="008B7384" w:rsidRPr="00784539" w:rsidRDefault="008B7384" w:rsidP="00EB404E">
            <w:pPr>
              <w:pStyle w:val="Tabletext"/>
            </w:pPr>
            <w:r w:rsidRPr="00784539">
              <w:t>Traditional trustee company service providers</w:t>
            </w:r>
          </w:p>
        </w:tc>
        <w:tc>
          <w:tcPr>
            <w:tcW w:w="3355" w:type="dxa"/>
            <w:shd w:val="clear" w:color="auto" w:fill="auto"/>
          </w:tcPr>
          <w:p w:rsidR="008B7384" w:rsidRPr="00784539" w:rsidRDefault="008B7384" w:rsidP="00EB404E">
            <w:pPr>
              <w:pStyle w:val="Tabletext"/>
            </w:pPr>
            <w:r w:rsidRPr="00784539">
              <w:t>section</w:t>
            </w:r>
            <w:r w:rsidR="00784539" w:rsidRPr="00784539">
              <w:t> </w:t>
            </w:r>
            <w:r w:rsidRPr="00784539">
              <w:t>33</w:t>
            </w:r>
          </w:p>
        </w:tc>
      </w:tr>
      <w:tr w:rsidR="008B7384" w:rsidRPr="00784539" w:rsidTr="004F4832">
        <w:tc>
          <w:tcPr>
            <w:tcW w:w="714" w:type="dxa"/>
            <w:tcBorders>
              <w:bottom w:val="single" w:sz="2" w:space="0" w:color="auto"/>
            </w:tcBorders>
            <w:shd w:val="clear" w:color="auto" w:fill="auto"/>
          </w:tcPr>
          <w:p w:rsidR="008B7384" w:rsidRPr="00784539" w:rsidRDefault="008B7384" w:rsidP="00EB404E">
            <w:pPr>
              <w:pStyle w:val="Tabletext"/>
            </w:pPr>
            <w:r w:rsidRPr="00784539">
              <w:t>47</w:t>
            </w:r>
          </w:p>
        </w:tc>
        <w:tc>
          <w:tcPr>
            <w:tcW w:w="4243" w:type="dxa"/>
            <w:tcBorders>
              <w:bottom w:val="single" w:sz="2" w:space="0" w:color="auto"/>
            </w:tcBorders>
            <w:shd w:val="clear" w:color="auto" w:fill="auto"/>
          </w:tcPr>
          <w:p w:rsidR="008B7384" w:rsidRPr="00784539" w:rsidRDefault="008B7384" w:rsidP="00EB404E">
            <w:pPr>
              <w:pStyle w:val="Tabletext"/>
            </w:pPr>
            <w:r w:rsidRPr="00784539">
              <w:t>Wholesale electricity dealers</w:t>
            </w:r>
          </w:p>
        </w:tc>
        <w:tc>
          <w:tcPr>
            <w:tcW w:w="3355" w:type="dxa"/>
            <w:tcBorders>
              <w:bottom w:val="single" w:sz="2" w:space="0" w:color="auto"/>
            </w:tcBorders>
            <w:shd w:val="clear" w:color="auto" w:fill="auto"/>
          </w:tcPr>
          <w:p w:rsidR="008B7384" w:rsidRPr="00784539" w:rsidRDefault="008B7384" w:rsidP="00EB404E">
            <w:pPr>
              <w:pStyle w:val="Tabletext"/>
            </w:pPr>
            <w:r w:rsidRPr="00784539">
              <w:t>section</w:t>
            </w:r>
            <w:r w:rsidR="00784539" w:rsidRPr="00784539">
              <w:t> </w:t>
            </w:r>
            <w:r w:rsidRPr="00784539">
              <w:t>62</w:t>
            </w:r>
          </w:p>
        </w:tc>
      </w:tr>
      <w:tr w:rsidR="008B7384" w:rsidRPr="00784539" w:rsidTr="004F4832">
        <w:tc>
          <w:tcPr>
            <w:tcW w:w="714" w:type="dxa"/>
            <w:tcBorders>
              <w:top w:val="single" w:sz="2" w:space="0" w:color="auto"/>
              <w:bottom w:val="single" w:sz="12" w:space="0" w:color="auto"/>
            </w:tcBorders>
            <w:shd w:val="clear" w:color="auto" w:fill="auto"/>
          </w:tcPr>
          <w:p w:rsidR="008B7384" w:rsidRPr="00784539" w:rsidRDefault="008B7384" w:rsidP="00EB404E">
            <w:pPr>
              <w:pStyle w:val="Tabletext"/>
            </w:pPr>
            <w:r w:rsidRPr="00784539">
              <w:t>48</w:t>
            </w:r>
          </w:p>
        </w:tc>
        <w:tc>
          <w:tcPr>
            <w:tcW w:w="4243" w:type="dxa"/>
            <w:tcBorders>
              <w:top w:val="single" w:sz="2" w:space="0" w:color="auto"/>
              <w:bottom w:val="single" w:sz="12" w:space="0" w:color="auto"/>
            </w:tcBorders>
            <w:shd w:val="clear" w:color="auto" w:fill="auto"/>
          </w:tcPr>
          <w:p w:rsidR="008B7384" w:rsidRPr="00784539" w:rsidRDefault="008B7384" w:rsidP="00EB404E">
            <w:pPr>
              <w:pStyle w:val="Tabletext"/>
            </w:pPr>
            <w:r w:rsidRPr="00784539">
              <w:t>Wholesale trustees</w:t>
            </w:r>
          </w:p>
        </w:tc>
        <w:tc>
          <w:tcPr>
            <w:tcW w:w="3355" w:type="dxa"/>
            <w:tcBorders>
              <w:top w:val="single" w:sz="2" w:space="0" w:color="auto"/>
              <w:bottom w:val="single" w:sz="12" w:space="0" w:color="auto"/>
            </w:tcBorders>
            <w:shd w:val="clear" w:color="auto" w:fill="auto"/>
          </w:tcPr>
          <w:p w:rsidR="008B7384" w:rsidRPr="00784539" w:rsidRDefault="008B7384" w:rsidP="00EB404E">
            <w:pPr>
              <w:pStyle w:val="Tabletext"/>
            </w:pPr>
            <w:r w:rsidRPr="00784539">
              <w:t>section</w:t>
            </w:r>
            <w:r w:rsidR="00784539" w:rsidRPr="00784539">
              <w:t> </w:t>
            </w:r>
            <w:r w:rsidRPr="00784539">
              <w:t>37</w:t>
            </w:r>
          </w:p>
        </w:tc>
      </w:tr>
    </w:tbl>
    <w:p w:rsidR="004F4832" w:rsidRPr="00784539" w:rsidRDefault="004F4832" w:rsidP="008936E0">
      <w:pPr>
        <w:pStyle w:val="Tabletext"/>
      </w:pPr>
    </w:p>
    <w:p w:rsidR="004F4832" w:rsidRPr="00784539" w:rsidRDefault="004F4832" w:rsidP="00872DED">
      <w:pPr>
        <w:sectPr w:rsidR="004F4832" w:rsidRPr="00784539" w:rsidSect="005A1986">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rsidR="004F4832" w:rsidRPr="00784539" w:rsidRDefault="004F4832" w:rsidP="00872DED"/>
    <w:sectPr w:rsidR="004F4832" w:rsidRPr="00784539" w:rsidSect="005A1986">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021" w:rsidRDefault="00DC0021" w:rsidP="00715914">
      <w:pPr>
        <w:spacing w:line="240" w:lineRule="auto"/>
      </w:pPr>
      <w:r>
        <w:separator/>
      </w:r>
    </w:p>
  </w:endnote>
  <w:endnote w:type="continuationSeparator" w:id="0">
    <w:p w:rsidR="00DC0021" w:rsidRDefault="00DC002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5A1986" w:rsidRDefault="005A1986" w:rsidP="005A1986">
    <w:pPr>
      <w:pStyle w:val="Footer"/>
      <w:tabs>
        <w:tab w:val="clear" w:pos="4153"/>
        <w:tab w:val="clear" w:pos="8306"/>
        <w:tab w:val="center" w:pos="4150"/>
        <w:tab w:val="right" w:pos="8307"/>
      </w:tabs>
      <w:spacing w:before="120"/>
      <w:rPr>
        <w:i/>
        <w:sz w:val="18"/>
      </w:rPr>
    </w:pPr>
    <w:r w:rsidRPr="005A1986">
      <w:rPr>
        <w:i/>
        <w:sz w:val="18"/>
      </w:rPr>
      <w:t>OPC61693 -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8A2C51" w:rsidRDefault="00DC0021" w:rsidP="004F4832">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DC0021" w:rsidRPr="008A2C51" w:rsidTr="004F4832">
      <w:tc>
        <w:tcPr>
          <w:tcW w:w="947" w:type="pct"/>
        </w:tcPr>
        <w:p w:rsidR="00DC0021" w:rsidRPr="008A2C51" w:rsidRDefault="00DC0021" w:rsidP="00872DED">
          <w:pPr>
            <w:spacing w:line="0" w:lineRule="atLeast"/>
            <w:rPr>
              <w:rFonts w:eastAsia="Calibri" w:cs="Times New Roman"/>
              <w:sz w:val="18"/>
            </w:rPr>
          </w:pPr>
        </w:p>
      </w:tc>
      <w:tc>
        <w:tcPr>
          <w:tcW w:w="3688" w:type="pct"/>
        </w:tcPr>
        <w:p w:rsidR="00DC0021" w:rsidRPr="008A2C51" w:rsidRDefault="00DC0021" w:rsidP="00872DED">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721A47">
            <w:rPr>
              <w:rFonts w:eastAsia="Calibri" w:cs="Times New Roman"/>
              <w:i/>
              <w:sz w:val="18"/>
            </w:rPr>
            <w:t>ASIC Supervisory Cost Recovery Levy Regulations 2017</w:t>
          </w:r>
          <w:r w:rsidRPr="008A2C51">
            <w:rPr>
              <w:rFonts w:eastAsia="Calibri"/>
              <w:i/>
              <w:sz w:val="18"/>
            </w:rPr>
            <w:fldChar w:fldCharType="end"/>
          </w:r>
        </w:p>
      </w:tc>
      <w:tc>
        <w:tcPr>
          <w:tcW w:w="365" w:type="pct"/>
        </w:tcPr>
        <w:p w:rsidR="00DC0021" w:rsidRPr="008A2C51" w:rsidRDefault="00DC0021" w:rsidP="00872DED">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2C4FF3">
            <w:rPr>
              <w:rFonts w:eastAsia="Calibri" w:cs="Times New Roman"/>
              <w:i/>
              <w:noProof/>
              <w:sz w:val="18"/>
            </w:rPr>
            <w:t>41</w:t>
          </w:r>
          <w:r w:rsidRPr="008A2C51">
            <w:rPr>
              <w:rFonts w:eastAsia="Calibri"/>
              <w:i/>
              <w:sz w:val="18"/>
            </w:rPr>
            <w:fldChar w:fldCharType="end"/>
          </w:r>
        </w:p>
      </w:tc>
    </w:tr>
  </w:tbl>
  <w:p w:rsidR="00DC0021" w:rsidRPr="005A1986" w:rsidRDefault="005A1986" w:rsidP="005A1986">
    <w:pPr>
      <w:rPr>
        <w:rFonts w:eastAsia="Calibri" w:cs="Times New Roman"/>
        <w:i/>
        <w:sz w:val="18"/>
      </w:rPr>
    </w:pPr>
    <w:r w:rsidRPr="005A1986">
      <w:rPr>
        <w:rFonts w:eastAsia="Calibri" w:cs="Times New Roman"/>
        <w:i/>
        <w:sz w:val="18"/>
      </w:rPr>
      <w:t>OPC61693 -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Default="00DC0021">
    <w:pPr>
      <w:pBdr>
        <w:top w:val="single" w:sz="6" w:space="1" w:color="auto"/>
      </w:pBdr>
      <w:rPr>
        <w:sz w:val="18"/>
      </w:rPr>
    </w:pPr>
  </w:p>
  <w:p w:rsidR="00DC0021" w:rsidRDefault="00DC0021">
    <w:pPr>
      <w:jc w:val="right"/>
      <w:rPr>
        <w:i/>
        <w:sz w:val="18"/>
      </w:rPr>
    </w:pPr>
    <w:r>
      <w:rPr>
        <w:i/>
        <w:sz w:val="18"/>
      </w:rPr>
      <w:fldChar w:fldCharType="begin"/>
    </w:r>
    <w:r>
      <w:rPr>
        <w:i/>
        <w:sz w:val="18"/>
      </w:rPr>
      <w:instrText xml:space="preserve"> STYLEREF ShortT </w:instrText>
    </w:r>
    <w:r>
      <w:rPr>
        <w:i/>
        <w:sz w:val="18"/>
      </w:rPr>
      <w:fldChar w:fldCharType="separate"/>
    </w:r>
    <w:r w:rsidR="00721A47">
      <w:rPr>
        <w:i/>
        <w:noProof/>
        <w:sz w:val="18"/>
      </w:rPr>
      <w:t>ASIC Supervisory Cost Recovery Levy Regulations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21A4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255FCC">
      <w:rPr>
        <w:i/>
        <w:noProof/>
        <w:sz w:val="18"/>
      </w:rPr>
      <w:t>40</w:t>
    </w:r>
    <w:r>
      <w:rPr>
        <w:i/>
        <w:sz w:val="18"/>
      </w:rPr>
      <w:fldChar w:fldCharType="end"/>
    </w:r>
  </w:p>
  <w:p w:rsidR="00DC0021" w:rsidRPr="005A1986" w:rsidRDefault="005A1986" w:rsidP="005A1986">
    <w:pPr>
      <w:rPr>
        <w:rFonts w:cs="Times New Roman"/>
        <w:i/>
        <w:sz w:val="18"/>
      </w:rPr>
    </w:pPr>
    <w:r w:rsidRPr="005A1986">
      <w:rPr>
        <w:rFonts w:cs="Times New Roman"/>
        <w:i/>
        <w:sz w:val="18"/>
      </w:rPr>
      <w:t>OPC61693 -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2B0EA5" w:rsidRDefault="00DC0021" w:rsidP="004F483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C0021" w:rsidTr="004F4832">
      <w:tc>
        <w:tcPr>
          <w:tcW w:w="365" w:type="pct"/>
        </w:tcPr>
        <w:p w:rsidR="00DC0021" w:rsidRDefault="00DC0021"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5FCC">
            <w:rPr>
              <w:i/>
              <w:noProof/>
              <w:sz w:val="18"/>
            </w:rPr>
            <w:t>40</w:t>
          </w:r>
          <w:r w:rsidRPr="00ED79B6">
            <w:rPr>
              <w:i/>
              <w:sz w:val="18"/>
            </w:rPr>
            <w:fldChar w:fldCharType="end"/>
          </w:r>
        </w:p>
      </w:tc>
      <w:tc>
        <w:tcPr>
          <w:tcW w:w="3688" w:type="pct"/>
        </w:tcPr>
        <w:p w:rsidR="00DC0021" w:rsidRDefault="00DC0021"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21A47">
            <w:rPr>
              <w:i/>
              <w:sz w:val="18"/>
            </w:rPr>
            <w:t>ASIC Supervisory Cost Recovery Levy Regulations 2017</w:t>
          </w:r>
          <w:r w:rsidRPr="007A1328">
            <w:rPr>
              <w:i/>
              <w:sz w:val="18"/>
            </w:rPr>
            <w:fldChar w:fldCharType="end"/>
          </w:r>
        </w:p>
      </w:tc>
      <w:tc>
        <w:tcPr>
          <w:tcW w:w="947" w:type="pct"/>
        </w:tcPr>
        <w:p w:rsidR="00DC0021" w:rsidRDefault="00DC0021" w:rsidP="002B0EA5">
          <w:pPr>
            <w:spacing w:line="0" w:lineRule="atLeast"/>
            <w:jc w:val="right"/>
            <w:rPr>
              <w:sz w:val="18"/>
            </w:rPr>
          </w:pPr>
        </w:p>
      </w:tc>
    </w:tr>
  </w:tbl>
  <w:p w:rsidR="00DC0021" w:rsidRPr="005A1986" w:rsidRDefault="005A1986" w:rsidP="005A1986">
    <w:pPr>
      <w:rPr>
        <w:rFonts w:cs="Times New Roman"/>
        <w:i/>
        <w:sz w:val="18"/>
      </w:rPr>
    </w:pPr>
    <w:r w:rsidRPr="005A1986">
      <w:rPr>
        <w:rFonts w:cs="Times New Roman"/>
        <w:i/>
        <w:sz w:val="18"/>
      </w:rPr>
      <w:t>OPC61693 -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2B0EA5" w:rsidRDefault="00DC0021" w:rsidP="004F483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C0021" w:rsidTr="004F4832">
      <w:tc>
        <w:tcPr>
          <w:tcW w:w="947" w:type="pct"/>
        </w:tcPr>
        <w:p w:rsidR="00DC0021" w:rsidRDefault="00DC0021" w:rsidP="002B0EA5">
          <w:pPr>
            <w:spacing w:line="0" w:lineRule="atLeast"/>
            <w:rPr>
              <w:sz w:val="18"/>
            </w:rPr>
          </w:pPr>
        </w:p>
      </w:tc>
      <w:tc>
        <w:tcPr>
          <w:tcW w:w="3688" w:type="pct"/>
        </w:tcPr>
        <w:p w:rsidR="00DC0021" w:rsidRDefault="00DC0021"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21A47">
            <w:rPr>
              <w:i/>
              <w:sz w:val="18"/>
            </w:rPr>
            <w:t>ASIC Supervisory Cost Recovery Levy Regulations 2017</w:t>
          </w:r>
          <w:r w:rsidRPr="007A1328">
            <w:rPr>
              <w:i/>
              <w:sz w:val="18"/>
            </w:rPr>
            <w:fldChar w:fldCharType="end"/>
          </w:r>
        </w:p>
      </w:tc>
      <w:tc>
        <w:tcPr>
          <w:tcW w:w="365" w:type="pct"/>
        </w:tcPr>
        <w:p w:rsidR="00DC0021" w:rsidRDefault="00DC0021"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5FCC">
            <w:rPr>
              <w:i/>
              <w:noProof/>
              <w:sz w:val="18"/>
            </w:rPr>
            <w:t>40</w:t>
          </w:r>
          <w:r w:rsidRPr="00ED79B6">
            <w:rPr>
              <w:i/>
              <w:sz w:val="18"/>
            </w:rPr>
            <w:fldChar w:fldCharType="end"/>
          </w:r>
        </w:p>
      </w:tc>
    </w:tr>
  </w:tbl>
  <w:p w:rsidR="00DC0021" w:rsidRPr="005A1986" w:rsidRDefault="005A1986" w:rsidP="005A1986">
    <w:pPr>
      <w:rPr>
        <w:rFonts w:cs="Times New Roman"/>
        <w:i/>
        <w:sz w:val="18"/>
      </w:rPr>
    </w:pPr>
    <w:r w:rsidRPr="005A1986">
      <w:rPr>
        <w:rFonts w:cs="Times New Roman"/>
        <w:i/>
        <w:sz w:val="18"/>
      </w:rPr>
      <w:t>OPC61693 -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2B0EA5" w:rsidRDefault="00DC0021"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C0021" w:rsidTr="004F4832">
      <w:tc>
        <w:tcPr>
          <w:tcW w:w="947" w:type="pct"/>
        </w:tcPr>
        <w:p w:rsidR="00DC0021" w:rsidRDefault="00DC0021" w:rsidP="002B0EA5">
          <w:pPr>
            <w:spacing w:line="0" w:lineRule="atLeast"/>
            <w:rPr>
              <w:sz w:val="18"/>
            </w:rPr>
          </w:pPr>
        </w:p>
      </w:tc>
      <w:tc>
        <w:tcPr>
          <w:tcW w:w="3688" w:type="pct"/>
        </w:tcPr>
        <w:p w:rsidR="00DC0021" w:rsidRDefault="00DC0021"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21A47">
            <w:rPr>
              <w:i/>
              <w:sz w:val="18"/>
            </w:rPr>
            <w:t>ASIC Supervisory Cost Recovery Levy Regulations 2017</w:t>
          </w:r>
          <w:r w:rsidRPr="007A1328">
            <w:rPr>
              <w:i/>
              <w:sz w:val="18"/>
            </w:rPr>
            <w:fldChar w:fldCharType="end"/>
          </w:r>
        </w:p>
      </w:tc>
      <w:tc>
        <w:tcPr>
          <w:tcW w:w="365" w:type="pct"/>
        </w:tcPr>
        <w:p w:rsidR="00DC0021" w:rsidRDefault="00DC0021"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5FCC">
            <w:rPr>
              <w:i/>
              <w:noProof/>
              <w:sz w:val="18"/>
            </w:rPr>
            <w:t>40</w:t>
          </w:r>
          <w:r w:rsidRPr="00ED79B6">
            <w:rPr>
              <w:i/>
              <w:sz w:val="18"/>
            </w:rPr>
            <w:fldChar w:fldCharType="end"/>
          </w:r>
        </w:p>
      </w:tc>
    </w:tr>
  </w:tbl>
  <w:p w:rsidR="00DC0021" w:rsidRPr="005A1986" w:rsidRDefault="005A1986" w:rsidP="005A1986">
    <w:pPr>
      <w:rPr>
        <w:rFonts w:cs="Times New Roman"/>
        <w:i/>
        <w:sz w:val="18"/>
      </w:rPr>
    </w:pPr>
    <w:r w:rsidRPr="005A1986">
      <w:rPr>
        <w:rFonts w:cs="Times New Roman"/>
        <w:i/>
        <w:sz w:val="18"/>
      </w:rPr>
      <w:t>OPC61693 -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Default="00DC0021" w:rsidP="004F4832">
    <w:pPr>
      <w:pStyle w:val="Footer"/>
      <w:spacing w:before="120"/>
    </w:pPr>
  </w:p>
  <w:p w:rsidR="00DC0021" w:rsidRPr="005A1986" w:rsidRDefault="005A1986" w:rsidP="005A1986">
    <w:pPr>
      <w:pStyle w:val="Footer"/>
      <w:rPr>
        <w:i/>
        <w:sz w:val="18"/>
      </w:rPr>
    </w:pPr>
    <w:r w:rsidRPr="005A1986">
      <w:rPr>
        <w:i/>
        <w:sz w:val="18"/>
      </w:rPr>
      <w:t>OPC61693 -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5A1986" w:rsidRDefault="005A1986" w:rsidP="005A1986">
    <w:pPr>
      <w:pStyle w:val="Footer"/>
      <w:tabs>
        <w:tab w:val="clear" w:pos="4153"/>
        <w:tab w:val="clear" w:pos="8306"/>
        <w:tab w:val="center" w:pos="4150"/>
        <w:tab w:val="right" w:pos="8307"/>
      </w:tabs>
      <w:spacing w:before="120"/>
      <w:rPr>
        <w:i/>
        <w:sz w:val="18"/>
      </w:rPr>
    </w:pPr>
    <w:r w:rsidRPr="005A1986">
      <w:rPr>
        <w:i/>
        <w:sz w:val="18"/>
      </w:rPr>
      <w:t>OPC61693 -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2B0EA5" w:rsidRDefault="00DC0021" w:rsidP="004F483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C0021" w:rsidTr="004F4832">
      <w:tc>
        <w:tcPr>
          <w:tcW w:w="365" w:type="pct"/>
        </w:tcPr>
        <w:p w:rsidR="00DC0021" w:rsidRDefault="00DC0021" w:rsidP="0048565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C4FF3">
            <w:rPr>
              <w:i/>
              <w:noProof/>
              <w:sz w:val="18"/>
            </w:rPr>
            <w:t>ii</w:t>
          </w:r>
          <w:r w:rsidRPr="00ED79B6">
            <w:rPr>
              <w:i/>
              <w:sz w:val="18"/>
            </w:rPr>
            <w:fldChar w:fldCharType="end"/>
          </w:r>
        </w:p>
      </w:tc>
      <w:tc>
        <w:tcPr>
          <w:tcW w:w="3688" w:type="pct"/>
        </w:tcPr>
        <w:p w:rsidR="00DC0021" w:rsidRDefault="00DC0021" w:rsidP="0048565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21A47">
            <w:rPr>
              <w:i/>
              <w:sz w:val="18"/>
            </w:rPr>
            <w:t>ASIC Supervisory Cost Recovery Levy Regulations 2017</w:t>
          </w:r>
          <w:r w:rsidRPr="007A1328">
            <w:rPr>
              <w:i/>
              <w:sz w:val="18"/>
            </w:rPr>
            <w:fldChar w:fldCharType="end"/>
          </w:r>
        </w:p>
      </w:tc>
      <w:tc>
        <w:tcPr>
          <w:tcW w:w="947" w:type="pct"/>
        </w:tcPr>
        <w:p w:rsidR="00DC0021" w:rsidRDefault="00DC0021" w:rsidP="00485655">
          <w:pPr>
            <w:spacing w:line="0" w:lineRule="atLeast"/>
            <w:jc w:val="right"/>
            <w:rPr>
              <w:sz w:val="18"/>
            </w:rPr>
          </w:pPr>
        </w:p>
      </w:tc>
    </w:tr>
  </w:tbl>
  <w:p w:rsidR="00DC0021" w:rsidRPr="005A1986" w:rsidRDefault="005A1986" w:rsidP="005A1986">
    <w:pPr>
      <w:rPr>
        <w:rFonts w:cs="Times New Roman"/>
        <w:i/>
        <w:sz w:val="18"/>
      </w:rPr>
    </w:pPr>
    <w:r w:rsidRPr="005A1986">
      <w:rPr>
        <w:rFonts w:cs="Times New Roman"/>
        <w:i/>
        <w:sz w:val="18"/>
      </w:rPr>
      <w:t>OPC61693 -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2B0EA5" w:rsidRDefault="00DC0021" w:rsidP="004F483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C0021" w:rsidTr="004F4832">
      <w:tc>
        <w:tcPr>
          <w:tcW w:w="947" w:type="pct"/>
        </w:tcPr>
        <w:p w:rsidR="00DC0021" w:rsidRDefault="00DC0021" w:rsidP="00485655">
          <w:pPr>
            <w:spacing w:line="0" w:lineRule="atLeast"/>
            <w:rPr>
              <w:sz w:val="18"/>
            </w:rPr>
          </w:pPr>
        </w:p>
      </w:tc>
      <w:tc>
        <w:tcPr>
          <w:tcW w:w="3688" w:type="pct"/>
        </w:tcPr>
        <w:p w:rsidR="00DC0021" w:rsidRDefault="00DC0021" w:rsidP="0048565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21A47">
            <w:rPr>
              <w:i/>
              <w:sz w:val="18"/>
            </w:rPr>
            <w:t>ASIC Supervisory Cost Recovery Levy Regulations 2017</w:t>
          </w:r>
          <w:r w:rsidRPr="007A1328">
            <w:rPr>
              <w:i/>
              <w:sz w:val="18"/>
            </w:rPr>
            <w:fldChar w:fldCharType="end"/>
          </w:r>
        </w:p>
      </w:tc>
      <w:tc>
        <w:tcPr>
          <w:tcW w:w="365" w:type="pct"/>
        </w:tcPr>
        <w:p w:rsidR="00DC0021" w:rsidRDefault="00DC0021" w:rsidP="0048565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42D7">
            <w:rPr>
              <w:i/>
              <w:noProof/>
              <w:sz w:val="18"/>
            </w:rPr>
            <w:t>iii</w:t>
          </w:r>
          <w:r w:rsidRPr="00ED79B6">
            <w:rPr>
              <w:i/>
              <w:sz w:val="18"/>
            </w:rPr>
            <w:fldChar w:fldCharType="end"/>
          </w:r>
        </w:p>
      </w:tc>
    </w:tr>
  </w:tbl>
  <w:p w:rsidR="00DC0021" w:rsidRPr="005A1986" w:rsidRDefault="005A1986" w:rsidP="005A1986">
    <w:pPr>
      <w:rPr>
        <w:rFonts w:cs="Times New Roman"/>
        <w:i/>
        <w:sz w:val="18"/>
      </w:rPr>
    </w:pPr>
    <w:r w:rsidRPr="005A1986">
      <w:rPr>
        <w:rFonts w:cs="Times New Roman"/>
        <w:i/>
        <w:sz w:val="18"/>
      </w:rPr>
      <w:t>OPC61693 -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8A2C51" w:rsidRDefault="00DC0021" w:rsidP="004F4832">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DC0021" w:rsidRPr="008A2C51" w:rsidTr="004F4832">
      <w:tc>
        <w:tcPr>
          <w:tcW w:w="365" w:type="pct"/>
        </w:tcPr>
        <w:p w:rsidR="00DC0021" w:rsidRPr="008A2C51" w:rsidRDefault="00DC0021" w:rsidP="00872DED">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2C4FF3">
            <w:rPr>
              <w:rFonts w:eastAsia="Calibri" w:cs="Times New Roman"/>
              <w:i/>
              <w:noProof/>
              <w:sz w:val="18"/>
            </w:rPr>
            <w:t>38</w:t>
          </w:r>
          <w:r w:rsidRPr="008A2C51">
            <w:rPr>
              <w:rFonts w:eastAsia="Calibri"/>
              <w:i/>
              <w:sz w:val="18"/>
            </w:rPr>
            <w:fldChar w:fldCharType="end"/>
          </w:r>
        </w:p>
      </w:tc>
      <w:tc>
        <w:tcPr>
          <w:tcW w:w="3688" w:type="pct"/>
        </w:tcPr>
        <w:p w:rsidR="00DC0021" w:rsidRPr="008A2C51" w:rsidRDefault="00DC0021" w:rsidP="00872DED">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721A47">
            <w:rPr>
              <w:rFonts w:eastAsia="Calibri" w:cs="Times New Roman"/>
              <w:i/>
              <w:sz w:val="18"/>
            </w:rPr>
            <w:t>ASIC Supervisory Cost Recovery Levy Regulations 2017</w:t>
          </w:r>
          <w:r w:rsidRPr="008A2C51">
            <w:rPr>
              <w:rFonts w:eastAsia="Calibri"/>
              <w:i/>
              <w:sz w:val="18"/>
            </w:rPr>
            <w:fldChar w:fldCharType="end"/>
          </w:r>
        </w:p>
      </w:tc>
      <w:tc>
        <w:tcPr>
          <w:tcW w:w="947" w:type="pct"/>
        </w:tcPr>
        <w:p w:rsidR="00DC0021" w:rsidRPr="008A2C51" w:rsidRDefault="00DC0021" w:rsidP="00872DED">
          <w:pPr>
            <w:spacing w:line="0" w:lineRule="atLeast"/>
            <w:jc w:val="right"/>
            <w:rPr>
              <w:rFonts w:eastAsia="Calibri" w:cs="Times New Roman"/>
              <w:sz w:val="18"/>
            </w:rPr>
          </w:pPr>
        </w:p>
      </w:tc>
    </w:tr>
  </w:tbl>
  <w:p w:rsidR="00DC0021" w:rsidRPr="005A1986" w:rsidRDefault="005A1986" w:rsidP="005A1986">
    <w:pPr>
      <w:rPr>
        <w:rFonts w:eastAsia="Calibri" w:cs="Times New Roman"/>
        <w:i/>
        <w:sz w:val="18"/>
      </w:rPr>
    </w:pPr>
    <w:r w:rsidRPr="005A1986">
      <w:rPr>
        <w:rFonts w:eastAsia="Calibri" w:cs="Times New Roman"/>
        <w:i/>
        <w:sz w:val="18"/>
      </w:rPr>
      <w:t>OPC61693 -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8A2C51" w:rsidRDefault="00DC0021" w:rsidP="004F4832">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C0021" w:rsidRPr="008A2C51" w:rsidTr="004F4832">
      <w:tc>
        <w:tcPr>
          <w:tcW w:w="947" w:type="pct"/>
        </w:tcPr>
        <w:p w:rsidR="00DC0021" w:rsidRPr="008A2C51" w:rsidRDefault="00DC0021" w:rsidP="00872DED">
          <w:pPr>
            <w:spacing w:line="0" w:lineRule="atLeast"/>
            <w:rPr>
              <w:rFonts w:eastAsia="Calibri"/>
              <w:sz w:val="18"/>
            </w:rPr>
          </w:pPr>
        </w:p>
      </w:tc>
      <w:tc>
        <w:tcPr>
          <w:tcW w:w="3688" w:type="pct"/>
        </w:tcPr>
        <w:p w:rsidR="00DC0021" w:rsidRPr="008A2C51" w:rsidRDefault="00DC0021" w:rsidP="00872DED">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721A47">
            <w:rPr>
              <w:rFonts w:eastAsia="Calibri"/>
              <w:i/>
              <w:sz w:val="18"/>
            </w:rPr>
            <w:t>ASIC Supervisory Cost Recovery Levy Regulations 2017</w:t>
          </w:r>
          <w:r w:rsidRPr="008A2C51">
            <w:rPr>
              <w:rFonts w:eastAsia="Calibri"/>
              <w:i/>
              <w:sz w:val="18"/>
            </w:rPr>
            <w:fldChar w:fldCharType="end"/>
          </w:r>
        </w:p>
      </w:tc>
      <w:tc>
        <w:tcPr>
          <w:tcW w:w="365" w:type="pct"/>
        </w:tcPr>
        <w:p w:rsidR="00DC0021" w:rsidRPr="008A2C51" w:rsidRDefault="00DC0021" w:rsidP="00872DED">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2D42D7">
            <w:rPr>
              <w:rFonts w:eastAsia="Calibri"/>
              <w:i/>
              <w:noProof/>
              <w:sz w:val="18"/>
            </w:rPr>
            <w:t>1</w:t>
          </w:r>
          <w:r w:rsidRPr="008A2C51">
            <w:rPr>
              <w:rFonts w:eastAsia="Calibri"/>
              <w:i/>
              <w:sz w:val="18"/>
            </w:rPr>
            <w:fldChar w:fldCharType="end"/>
          </w:r>
        </w:p>
      </w:tc>
    </w:tr>
  </w:tbl>
  <w:p w:rsidR="00DC0021" w:rsidRPr="005A1986" w:rsidRDefault="005A1986" w:rsidP="005A1986">
    <w:pPr>
      <w:rPr>
        <w:rFonts w:eastAsia="Calibri" w:cs="Times New Roman"/>
        <w:i/>
        <w:sz w:val="18"/>
      </w:rPr>
    </w:pPr>
    <w:r w:rsidRPr="005A1986">
      <w:rPr>
        <w:rFonts w:eastAsia="Calibri" w:cs="Times New Roman"/>
        <w:i/>
        <w:sz w:val="18"/>
      </w:rPr>
      <w:t>OPC61693 -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2B0EA5" w:rsidRDefault="00DC0021" w:rsidP="004F4832">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DC0021" w:rsidTr="004F4832">
      <w:tc>
        <w:tcPr>
          <w:tcW w:w="947" w:type="pct"/>
        </w:tcPr>
        <w:p w:rsidR="00DC0021" w:rsidRDefault="00DC0021" w:rsidP="00872DED">
          <w:pPr>
            <w:spacing w:line="0" w:lineRule="atLeast"/>
            <w:rPr>
              <w:sz w:val="18"/>
            </w:rPr>
          </w:pPr>
        </w:p>
      </w:tc>
      <w:tc>
        <w:tcPr>
          <w:tcW w:w="3688" w:type="pct"/>
        </w:tcPr>
        <w:p w:rsidR="00DC0021" w:rsidRDefault="00DC0021" w:rsidP="00872DE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21A47">
            <w:rPr>
              <w:i/>
              <w:sz w:val="18"/>
            </w:rPr>
            <w:t>ASIC Supervisory Cost Recovery Levy Regulations 2017</w:t>
          </w:r>
          <w:r w:rsidRPr="007A1328">
            <w:rPr>
              <w:i/>
              <w:sz w:val="18"/>
            </w:rPr>
            <w:fldChar w:fldCharType="end"/>
          </w:r>
        </w:p>
      </w:tc>
      <w:tc>
        <w:tcPr>
          <w:tcW w:w="365" w:type="pct"/>
        </w:tcPr>
        <w:p w:rsidR="00DC0021" w:rsidRDefault="00DC0021" w:rsidP="00872DE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5FCC">
            <w:rPr>
              <w:i/>
              <w:noProof/>
              <w:sz w:val="18"/>
            </w:rPr>
            <w:t>40</w:t>
          </w:r>
          <w:r w:rsidRPr="00ED79B6">
            <w:rPr>
              <w:i/>
              <w:sz w:val="18"/>
            </w:rPr>
            <w:fldChar w:fldCharType="end"/>
          </w:r>
        </w:p>
      </w:tc>
    </w:tr>
  </w:tbl>
  <w:p w:rsidR="00DC0021" w:rsidRPr="00ED79B6" w:rsidRDefault="00DC0021" w:rsidP="004F4832">
    <w:pPr>
      <w:rPr>
        <w:i/>
        <w:sz w:val="18"/>
      </w:rPr>
    </w:pPr>
  </w:p>
  <w:p w:rsidR="00DC0021" w:rsidRPr="005A1986" w:rsidRDefault="005A1986" w:rsidP="005A1986">
    <w:pPr>
      <w:pStyle w:val="Footer"/>
      <w:rPr>
        <w:rFonts w:eastAsia="Calibri"/>
        <w:i/>
        <w:sz w:val="18"/>
      </w:rPr>
    </w:pPr>
    <w:r w:rsidRPr="005A1986">
      <w:rPr>
        <w:rFonts w:eastAsia="Calibri"/>
        <w:i/>
        <w:sz w:val="18"/>
      </w:rPr>
      <w:t>OPC61693 -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8A2C51" w:rsidRDefault="00DC0021" w:rsidP="004F4832">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DC0021" w:rsidRPr="008A2C51" w:rsidTr="004F4832">
      <w:tc>
        <w:tcPr>
          <w:tcW w:w="365" w:type="pct"/>
        </w:tcPr>
        <w:p w:rsidR="00DC0021" w:rsidRPr="008A2C51" w:rsidRDefault="00DC0021" w:rsidP="00872DED">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2C4FF3">
            <w:rPr>
              <w:rFonts w:eastAsia="Calibri" w:cs="Times New Roman"/>
              <w:i/>
              <w:noProof/>
              <w:sz w:val="18"/>
            </w:rPr>
            <w:t>40</w:t>
          </w:r>
          <w:r w:rsidRPr="008A2C51">
            <w:rPr>
              <w:rFonts w:eastAsia="Calibri"/>
              <w:i/>
              <w:sz w:val="18"/>
            </w:rPr>
            <w:fldChar w:fldCharType="end"/>
          </w:r>
        </w:p>
      </w:tc>
      <w:tc>
        <w:tcPr>
          <w:tcW w:w="3688" w:type="pct"/>
        </w:tcPr>
        <w:p w:rsidR="00DC0021" w:rsidRPr="008A2C51" w:rsidRDefault="00DC0021" w:rsidP="00872DED">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721A47">
            <w:rPr>
              <w:rFonts w:eastAsia="Calibri" w:cs="Times New Roman"/>
              <w:i/>
              <w:sz w:val="18"/>
            </w:rPr>
            <w:t>ASIC Supervisory Cost Recovery Levy Regulations 2017</w:t>
          </w:r>
          <w:r w:rsidRPr="008A2C51">
            <w:rPr>
              <w:rFonts w:eastAsia="Calibri"/>
              <w:i/>
              <w:sz w:val="18"/>
            </w:rPr>
            <w:fldChar w:fldCharType="end"/>
          </w:r>
        </w:p>
      </w:tc>
      <w:tc>
        <w:tcPr>
          <w:tcW w:w="947" w:type="pct"/>
        </w:tcPr>
        <w:p w:rsidR="00DC0021" w:rsidRPr="008A2C51" w:rsidRDefault="00DC0021" w:rsidP="00872DED">
          <w:pPr>
            <w:spacing w:line="0" w:lineRule="atLeast"/>
            <w:jc w:val="right"/>
            <w:rPr>
              <w:rFonts w:eastAsia="Calibri" w:cs="Times New Roman"/>
              <w:sz w:val="18"/>
            </w:rPr>
          </w:pPr>
        </w:p>
      </w:tc>
    </w:tr>
  </w:tbl>
  <w:p w:rsidR="00DC0021" w:rsidRPr="005A1986" w:rsidRDefault="005A1986" w:rsidP="005A1986">
    <w:pPr>
      <w:rPr>
        <w:rFonts w:eastAsia="Calibri" w:cs="Times New Roman"/>
        <w:i/>
        <w:sz w:val="18"/>
      </w:rPr>
    </w:pPr>
    <w:r w:rsidRPr="005A1986">
      <w:rPr>
        <w:rFonts w:eastAsia="Calibri" w:cs="Times New Roman"/>
        <w:i/>
        <w:sz w:val="18"/>
      </w:rPr>
      <w:t>OPC61693 -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021" w:rsidRDefault="00DC0021" w:rsidP="00715914">
      <w:pPr>
        <w:spacing w:line="240" w:lineRule="auto"/>
      </w:pPr>
      <w:r>
        <w:separator/>
      </w:r>
    </w:p>
  </w:footnote>
  <w:footnote w:type="continuationSeparator" w:id="0">
    <w:p w:rsidR="00DC0021" w:rsidRDefault="00DC002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5F1388" w:rsidRDefault="00DC0021"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8A2C51" w:rsidRDefault="00DC0021">
    <w:pPr>
      <w:jc w:val="right"/>
      <w:rPr>
        <w:sz w:val="20"/>
      </w:rPr>
    </w:pPr>
    <w:r w:rsidRPr="008A2C51">
      <w:rPr>
        <w:sz w:val="20"/>
      </w:rPr>
      <w:fldChar w:fldCharType="begin"/>
    </w:r>
    <w:r w:rsidRPr="008A2C51">
      <w:rPr>
        <w:sz w:val="20"/>
      </w:rPr>
      <w:instrText xml:space="preserve"> STYLEREF CharChapText </w:instrText>
    </w:r>
    <w:r w:rsidR="002C4FF3">
      <w:rPr>
        <w:sz w:val="20"/>
      </w:rPr>
      <w:fldChar w:fldCharType="separate"/>
    </w:r>
    <w:r w:rsidR="002C4FF3">
      <w:rPr>
        <w:noProof/>
        <w:sz w:val="20"/>
      </w:rPr>
      <w:t>List of sub-sectors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2C4FF3">
      <w:rPr>
        <w:b/>
        <w:sz w:val="20"/>
      </w:rPr>
      <w:fldChar w:fldCharType="separate"/>
    </w:r>
    <w:r w:rsidR="002C4FF3">
      <w:rPr>
        <w:b/>
        <w:noProof/>
        <w:sz w:val="20"/>
      </w:rPr>
      <w:t>Schedule 1</w:t>
    </w:r>
    <w:r w:rsidRPr="008A2C51">
      <w:rPr>
        <w:b/>
        <w:sz w:val="20"/>
      </w:rPr>
      <w:fldChar w:fldCharType="end"/>
    </w:r>
  </w:p>
  <w:p w:rsidR="00DC0021" w:rsidRPr="008A2C51" w:rsidRDefault="00DC0021">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DC0021" w:rsidRPr="008A2C51" w:rsidRDefault="00DC0021" w:rsidP="004F4832">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Default="00DC002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Default="00DC002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21A47">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21A47">
      <w:rPr>
        <w:noProof/>
        <w:sz w:val="20"/>
      </w:rPr>
      <w:t>List of sub-sectors</w:t>
    </w:r>
    <w:r>
      <w:rPr>
        <w:sz w:val="20"/>
      </w:rPr>
      <w:fldChar w:fldCharType="end"/>
    </w:r>
  </w:p>
  <w:p w:rsidR="00DC0021" w:rsidRDefault="00DC002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C0021" w:rsidRPr="007A1328" w:rsidRDefault="00DC002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C0021" w:rsidRPr="007A1328" w:rsidRDefault="00DC0021" w:rsidP="00715914">
    <w:pPr>
      <w:rPr>
        <w:b/>
        <w:sz w:val="24"/>
      </w:rPr>
    </w:pPr>
  </w:p>
  <w:p w:rsidR="00DC0021" w:rsidRPr="007A1328" w:rsidRDefault="00DC0021" w:rsidP="004F483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21A4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21A47">
      <w:rPr>
        <w:noProof/>
        <w:sz w:val="24"/>
      </w:rPr>
      <w:t>73</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7A1328" w:rsidRDefault="00DC002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21A47">
      <w:rPr>
        <w:noProof/>
        <w:sz w:val="20"/>
      </w:rPr>
      <w:t>List of sub-sectors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21A47">
      <w:rPr>
        <w:b/>
        <w:noProof/>
        <w:sz w:val="20"/>
      </w:rPr>
      <w:t>Schedule 1</w:t>
    </w:r>
    <w:r>
      <w:rPr>
        <w:b/>
        <w:sz w:val="20"/>
      </w:rPr>
      <w:fldChar w:fldCharType="end"/>
    </w:r>
  </w:p>
  <w:p w:rsidR="00DC0021" w:rsidRPr="007A1328" w:rsidRDefault="00DC002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C0021" w:rsidRPr="007A1328" w:rsidRDefault="00DC002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C0021" w:rsidRPr="007A1328" w:rsidRDefault="00DC0021" w:rsidP="00715914">
    <w:pPr>
      <w:jc w:val="right"/>
      <w:rPr>
        <w:b/>
        <w:sz w:val="24"/>
      </w:rPr>
    </w:pPr>
  </w:p>
  <w:p w:rsidR="00DC0021" w:rsidRPr="007A1328" w:rsidRDefault="00DC0021" w:rsidP="004F483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21A4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21A47">
      <w:rPr>
        <w:noProof/>
        <w:sz w:val="24"/>
      </w:rPr>
      <w:t>73</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7A1328" w:rsidRDefault="00DC0021"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5F1388" w:rsidRDefault="00DC0021"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5F1388" w:rsidRDefault="00DC0021"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ED79B6" w:rsidRDefault="00DC0021"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ED79B6" w:rsidRDefault="00DC0021"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ED79B6" w:rsidRDefault="00DC002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Pr="008A2C51" w:rsidRDefault="00DC0021" w:rsidP="00872DED">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DC0021" w:rsidRPr="008A2C51" w:rsidRDefault="00DC0021" w:rsidP="00872DED">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002C4FF3">
      <w:rPr>
        <w:rFonts w:eastAsia="Calibri"/>
        <w:b/>
        <w:sz w:val="20"/>
      </w:rPr>
      <w:fldChar w:fldCharType="separate"/>
    </w:r>
    <w:r w:rsidR="002C4FF3">
      <w:rPr>
        <w:rFonts w:eastAsia="Calibri"/>
        <w:b/>
        <w:noProof/>
        <w:sz w:val="20"/>
      </w:rPr>
      <w:t>Part 3</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002C4FF3">
      <w:rPr>
        <w:rFonts w:eastAsia="Calibri"/>
        <w:sz w:val="20"/>
      </w:rPr>
      <w:fldChar w:fldCharType="separate"/>
    </w:r>
    <w:r w:rsidR="002C4FF3">
      <w:rPr>
        <w:rFonts w:eastAsia="Calibri"/>
        <w:noProof/>
        <w:sz w:val="20"/>
      </w:rPr>
      <w:t>Sectors, sub-sectors and levy components</w:t>
    </w:r>
    <w:r w:rsidRPr="008A2C51">
      <w:rPr>
        <w:rFonts w:eastAsia="Calibri"/>
        <w:sz w:val="20"/>
      </w:rPr>
      <w:fldChar w:fldCharType="end"/>
    </w:r>
  </w:p>
  <w:p w:rsidR="00DC0021" w:rsidRPr="008A2C51" w:rsidRDefault="00DC0021" w:rsidP="00872DED">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002C4FF3">
      <w:rPr>
        <w:rFonts w:eastAsia="Calibri"/>
        <w:b/>
        <w:sz w:val="20"/>
      </w:rPr>
      <w:fldChar w:fldCharType="separate"/>
    </w:r>
    <w:r w:rsidR="002C4FF3">
      <w:rPr>
        <w:rFonts w:eastAsia="Calibri"/>
        <w:b/>
        <w:noProof/>
        <w:sz w:val="20"/>
      </w:rPr>
      <w:t>Division 6</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002C4FF3">
      <w:rPr>
        <w:rFonts w:eastAsia="Calibri"/>
        <w:sz w:val="20"/>
      </w:rPr>
      <w:fldChar w:fldCharType="separate"/>
    </w:r>
    <w:r w:rsidR="002C4FF3">
      <w:rPr>
        <w:rFonts w:eastAsia="Calibri"/>
        <w:noProof/>
        <w:sz w:val="20"/>
      </w:rPr>
      <w:t>Insurance sector</w:t>
    </w:r>
    <w:r w:rsidRPr="008A2C51">
      <w:rPr>
        <w:rFonts w:eastAsia="Calibri"/>
        <w:sz w:val="20"/>
      </w:rPr>
      <w:fldChar w:fldCharType="end"/>
    </w:r>
  </w:p>
  <w:p w:rsidR="00DC0021" w:rsidRPr="008A2C51" w:rsidRDefault="00DC0021" w:rsidP="00872DED">
    <w:pPr>
      <w:rPr>
        <w:rFonts w:eastAsia="Calibri"/>
        <w:b/>
        <w:sz w:val="24"/>
      </w:rPr>
    </w:pPr>
  </w:p>
  <w:p w:rsidR="00DC0021" w:rsidRPr="008A2C51" w:rsidRDefault="00DC0021" w:rsidP="004F4832">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721A47">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2C4FF3">
      <w:rPr>
        <w:rFonts w:eastAsia="Calibri"/>
        <w:noProof/>
        <w:sz w:val="24"/>
      </w:rPr>
      <w:t>72</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Default="00DC0021">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DC0021" w:rsidRDefault="00DC0021">
    <w:pPr>
      <w:jc w:val="right"/>
      <w:rPr>
        <w:b/>
        <w:sz w:val="20"/>
      </w:rPr>
    </w:pPr>
    <w:r>
      <w:rPr>
        <w:sz w:val="20"/>
      </w:rPr>
      <w:fldChar w:fldCharType="begin"/>
    </w:r>
    <w:r>
      <w:rPr>
        <w:sz w:val="20"/>
      </w:rPr>
      <w:instrText xml:space="preserve"> STYLEREF CharPartText </w:instrText>
    </w:r>
    <w:r w:rsidR="002C4FF3">
      <w:rPr>
        <w:sz w:val="20"/>
      </w:rPr>
      <w:fldChar w:fldCharType="separate"/>
    </w:r>
    <w:r w:rsidR="002D42D7">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2C4FF3">
      <w:rPr>
        <w:b/>
        <w:sz w:val="20"/>
      </w:rPr>
      <w:fldChar w:fldCharType="separate"/>
    </w:r>
    <w:r w:rsidR="002D42D7">
      <w:rPr>
        <w:b/>
        <w:noProof/>
        <w:sz w:val="20"/>
      </w:rPr>
      <w:t>Part 1</w:t>
    </w:r>
    <w:r>
      <w:rPr>
        <w:b/>
        <w:sz w:val="20"/>
      </w:rPr>
      <w:fldChar w:fldCharType="end"/>
    </w:r>
  </w:p>
  <w:p w:rsidR="00DC0021" w:rsidRDefault="00DC002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DC0021" w:rsidRDefault="00DC0021">
    <w:pPr>
      <w:jc w:val="right"/>
      <w:rPr>
        <w:b/>
      </w:rPr>
    </w:pPr>
  </w:p>
  <w:p w:rsidR="00DC0021" w:rsidRDefault="00DC0021" w:rsidP="004F4832">
    <w:pPr>
      <w:pBdr>
        <w:bottom w:val="single" w:sz="6" w:space="1" w:color="auto"/>
      </w:pBdr>
      <w:spacing w:after="120"/>
      <w:jc w:val="right"/>
    </w:pPr>
    <w:r>
      <w:t xml:space="preserve">Section </w:t>
    </w:r>
    <w:r w:rsidR="002D42D7">
      <w:fldChar w:fldCharType="begin"/>
    </w:r>
    <w:r w:rsidR="002D42D7">
      <w:instrText xml:space="preserve"> STYLEREF CharSectno </w:instrText>
    </w:r>
    <w:r w:rsidR="002D42D7">
      <w:fldChar w:fldCharType="separate"/>
    </w:r>
    <w:r w:rsidR="002D42D7">
      <w:rPr>
        <w:noProof/>
      </w:rPr>
      <w:t>1</w:t>
    </w:r>
    <w:r w:rsidR="002D42D7">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21" w:rsidRDefault="00DC0021">
    <w:pPr>
      <w:rPr>
        <w:sz w:val="20"/>
      </w:rPr>
    </w:pPr>
    <w:r>
      <w:rPr>
        <w:b/>
        <w:sz w:val="20"/>
      </w:rPr>
      <w:fldChar w:fldCharType="begin"/>
    </w:r>
    <w:r>
      <w:rPr>
        <w:b/>
        <w:sz w:val="20"/>
      </w:rPr>
      <w:instrText xml:space="preserve"> STYLEREF CharChapNo </w:instrText>
    </w:r>
    <w:r w:rsidR="002C4FF3">
      <w:rPr>
        <w:b/>
        <w:sz w:val="20"/>
      </w:rPr>
      <w:fldChar w:fldCharType="separate"/>
    </w:r>
    <w:r w:rsidR="002C4FF3">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2C4FF3">
      <w:rPr>
        <w:sz w:val="20"/>
      </w:rPr>
      <w:fldChar w:fldCharType="separate"/>
    </w:r>
    <w:r w:rsidR="002C4FF3">
      <w:rPr>
        <w:noProof/>
        <w:sz w:val="20"/>
      </w:rPr>
      <w:t>List of sub-sectors</w:t>
    </w:r>
    <w:r>
      <w:rPr>
        <w:sz w:val="20"/>
      </w:rPr>
      <w:fldChar w:fldCharType="end"/>
    </w:r>
  </w:p>
  <w:p w:rsidR="00DC0021" w:rsidRDefault="00DC002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DC0021" w:rsidRDefault="00DC0021" w:rsidP="004F4832">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246"/>
    <w:rsid w:val="00000635"/>
    <w:rsid w:val="000019A2"/>
    <w:rsid w:val="00002093"/>
    <w:rsid w:val="000026D6"/>
    <w:rsid w:val="0000286E"/>
    <w:rsid w:val="00003797"/>
    <w:rsid w:val="000053C9"/>
    <w:rsid w:val="00006321"/>
    <w:rsid w:val="00006C82"/>
    <w:rsid w:val="00010CF6"/>
    <w:rsid w:val="00010D66"/>
    <w:rsid w:val="000115AA"/>
    <w:rsid w:val="00011DFC"/>
    <w:rsid w:val="00012104"/>
    <w:rsid w:val="00012585"/>
    <w:rsid w:val="00012A2B"/>
    <w:rsid w:val="00012EE0"/>
    <w:rsid w:val="000136AF"/>
    <w:rsid w:val="0001542B"/>
    <w:rsid w:val="00016E2D"/>
    <w:rsid w:val="00016EA8"/>
    <w:rsid w:val="00016FED"/>
    <w:rsid w:val="00017773"/>
    <w:rsid w:val="0002029D"/>
    <w:rsid w:val="0002087D"/>
    <w:rsid w:val="00020D2D"/>
    <w:rsid w:val="000224A3"/>
    <w:rsid w:val="0002276A"/>
    <w:rsid w:val="000232D9"/>
    <w:rsid w:val="00023893"/>
    <w:rsid w:val="00023DB9"/>
    <w:rsid w:val="0002456A"/>
    <w:rsid w:val="00024612"/>
    <w:rsid w:val="00024EDF"/>
    <w:rsid w:val="0002543F"/>
    <w:rsid w:val="0002562A"/>
    <w:rsid w:val="0002593C"/>
    <w:rsid w:val="0002644A"/>
    <w:rsid w:val="00027EF6"/>
    <w:rsid w:val="0003016A"/>
    <w:rsid w:val="0003049E"/>
    <w:rsid w:val="00030CA8"/>
    <w:rsid w:val="000317DB"/>
    <w:rsid w:val="00032B61"/>
    <w:rsid w:val="000337EB"/>
    <w:rsid w:val="00033A8F"/>
    <w:rsid w:val="00033F8D"/>
    <w:rsid w:val="0003403B"/>
    <w:rsid w:val="00034097"/>
    <w:rsid w:val="00034992"/>
    <w:rsid w:val="00035FDB"/>
    <w:rsid w:val="000361A4"/>
    <w:rsid w:val="00036AB7"/>
    <w:rsid w:val="0004030B"/>
    <w:rsid w:val="0004035E"/>
    <w:rsid w:val="000404EE"/>
    <w:rsid w:val="0004112D"/>
    <w:rsid w:val="0004272E"/>
    <w:rsid w:val="00042DFB"/>
    <w:rsid w:val="00044461"/>
    <w:rsid w:val="00045ACD"/>
    <w:rsid w:val="00045CE3"/>
    <w:rsid w:val="000467AF"/>
    <w:rsid w:val="00047292"/>
    <w:rsid w:val="00050C58"/>
    <w:rsid w:val="00052DC0"/>
    <w:rsid w:val="00052DD6"/>
    <w:rsid w:val="0005348C"/>
    <w:rsid w:val="00053AF8"/>
    <w:rsid w:val="00054510"/>
    <w:rsid w:val="000561A4"/>
    <w:rsid w:val="00057279"/>
    <w:rsid w:val="00057C37"/>
    <w:rsid w:val="00060503"/>
    <w:rsid w:val="00060EED"/>
    <w:rsid w:val="0006108A"/>
    <w:rsid w:val="00061256"/>
    <w:rsid w:val="000614BF"/>
    <w:rsid w:val="0006292F"/>
    <w:rsid w:val="00062EAF"/>
    <w:rsid w:val="00064568"/>
    <w:rsid w:val="000652CE"/>
    <w:rsid w:val="00066B49"/>
    <w:rsid w:val="00067239"/>
    <w:rsid w:val="00070C54"/>
    <w:rsid w:val="00070E57"/>
    <w:rsid w:val="000728DC"/>
    <w:rsid w:val="00074A57"/>
    <w:rsid w:val="00075C5E"/>
    <w:rsid w:val="00076846"/>
    <w:rsid w:val="00076AED"/>
    <w:rsid w:val="000779F4"/>
    <w:rsid w:val="00080F8C"/>
    <w:rsid w:val="000817B5"/>
    <w:rsid w:val="00082380"/>
    <w:rsid w:val="000826AC"/>
    <w:rsid w:val="00083702"/>
    <w:rsid w:val="000839BF"/>
    <w:rsid w:val="00083A3F"/>
    <w:rsid w:val="00083DA0"/>
    <w:rsid w:val="0008477E"/>
    <w:rsid w:val="00084AF2"/>
    <w:rsid w:val="00084FB0"/>
    <w:rsid w:val="00085808"/>
    <w:rsid w:val="000861F5"/>
    <w:rsid w:val="00086224"/>
    <w:rsid w:val="000868C8"/>
    <w:rsid w:val="00086A0A"/>
    <w:rsid w:val="00086ABC"/>
    <w:rsid w:val="00086CD3"/>
    <w:rsid w:val="00086F60"/>
    <w:rsid w:val="00086FBC"/>
    <w:rsid w:val="00087DF5"/>
    <w:rsid w:val="00087F09"/>
    <w:rsid w:val="00090645"/>
    <w:rsid w:val="00090A68"/>
    <w:rsid w:val="000910C5"/>
    <w:rsid w:val="00091118"/>
    <w:rsid w:val="00091F62"/>
    <w:rsid w:val="00092A0E"/>
    <w:rsid w:val="000936DE"/>
    <w:rsid w:val="0009374D"/>
    <w:rsid w:val="00093FE8"/>
    <w:rsid w:val="00094617"/>
    <w:rsid w:val="000950BB"/>
    <w:rsid w:val="00096CD8"/>
    <w:rsid w:val="00097C35"/>
    <w:rsid w:val="00097CAE"/>
    <w:rsid w:val="000A0366"/>
    <w:rsid w:val="000A0ED8"/>
    <w:rsid w:val="000A1225"/>
    <w:rsid w:val="000A1691"/>
    <w:rsid w:val="000A36D8"/>
    <w:rsid w:val="000A3B56"/>
    <w:rsid w:val="000A3F0D"/>
    <w:rsid w:val="000A4A7A"/>
    <w:rsid w:val="000A51A7"/>
    <w:rsid w:val="000A5C85"/>
    <w:rsid w:val="000A66C9"/>
    <w:rsid w:val="000A6C6A"/>
    <w:rsid w:val="000A7B40"/>
    <w:rsid w:val="000B03E5"/>
    <w:rsid w:val="000B0769"/>
    <w:rsid w:val="000B11D0"/>
    <w:rsid w:val="000B1641"/>
    <w:rsid w:val="000B17B5"/>
    <w:rsid w:val="000B241A"/>
    <w:rsid w:val="000B26C8"/>
    <w:rsid w:val="000B3CC4"/>
    <w:rsid w:val="000B4BAB"/>
    <w:rsid w:val="000B55B1"/>
    <w:rsid w:val="000B5EC6"/>
    <w:rsid w:val="000B5F61"/>
    <w:rsid w:val="000B6965"/>
    <w:rsid w:val="000B7288"/>
    <w:rsid w:val="000B77C7"/>
    <w:rsid w:val="000C035C"/>
    <w:rsid w:val="000C09B0"/>
    <w:rsid w:val="000C0B8D"/>
    <w:rsid w:val="000C1273"/>
    <w:rsid w:val="000C1A7B"/>
    <w:rsid w:val="000C242A"/>
    <w:rsid w:val="000C355E"/>
    <w:rsid w:val="000C3749"/>
    <w:rsid w:val="000C42B2"/>
    <w:rsid w:val="000C4D8B"/>
    <w:rsid w:val="000C50A7"/>
    <w:rsid w:val="000C541A"/>
    <w:rsid w:val="000C559E"/>
    <w:rsid w:val="000C606D"/>
    <w:rsid w:val="000C652C"/>
    <w:rsid w:val="000D05EF"/>
    <w:rsid w:val="000D07AB"/>
    <w:rsid w:val="000D152A"/>
    <w:rsid w:val="000D1937"/>
    <w:rsid w:val="000D33C4"/>
    <w:rsid w:val="000D374A"/>
    <w:rsid w:val="000D3B59"/>
    <w:rsid w:val="000D4379"/>
    <w:rsid w:val="000D5D76"/>
    <w:rsid w:val="000D6C38"/>
    <w:rsid w:val="000D7143"/>
    <w:rsid w:val="000D721F"/>
    <w:rsid w:val="000D7682"/>
    <w:rsid w:val="000E0954"/>
    <w:rsid w:val="000E0C96"/>
    <w:rsid w:val="000E12DE"/>
    <w:rsid w:val="000E1682"/>
    <w:rsid w:val="000E220B"/>
    <w:rsid w:val="000E2261"/>
    <w:rsid w:val="000E2BF8"/>
    <w:rsid w:val="000E3FC2"/>
    <w:rsid w:val="000E42ED"/>
    <w:rsid w:val="000E4706"/>
    <w:rsid w:val="000E479D"/>
    <w:rsid w:val="000E4AF4"/>
    <w:rsid w:val="000E4B78"/>
    <w:rsid w:val="000E4DF3"/>
    <w:rsid w:val="000E5823"/>
    <w:rsid w:val="000E74C1"/>
    <w:rsid w:val="000E7CA9"/>
    <w:rsid w:val="000E7EDC"/>
    <w:rsid w:val="000F0343"/>
    <w:rsid w:val="000F21C1"/>
    <w:rsid w:val="000F324A"/>
    <w:rsid w:val="000F3814"/>
    <w:rsid w:val="000F5B6F"/>
    <w:rsid w:val="000F6237"/>
    <w:rsid w:val="000F65C0"/>
    <w:rsid w:val="000F7299"/>
    <w:rsid w:val="000F7B09"/>
    <w:rsid w:val="001004C1"/>
    <w:rsid w:val="001016FE"/>
    <w:rsid w:val="0010235F"/>
    <w:rsid w:val="00102D96"/>
    <w:rsid w:val="00102FB4"/>
    <w:rsid w:val="00102FF8"/>
    <w:rsid w:val="001030C6"/>
    <w:rsid w:val="00104CEB"/>
    <w:rsid w:val="001050ED"/>
    <w:rsid w:val="00105521"/>
    <w:rsid w:val="00105988"/>
    <w:rsid w:val="00105E38"/>
    <w:rsid w:val="001060D0"/>
    <w:rsid w:val="00106531"/>
    <w:rsid w:val="00106F22"/>
    <w:rsid w:val="001070EC"/>
    <w:rsid w:val="0010745C"/>
    <w:rsid w:val="00110426"/>
    <w:rsid w:val="0011108E"/>
    <w:rsid w:val="00112BBE"/>
    <w:rsid w:val="00112C34"/>
    <w:rsid w:val="001132A6"/>
    <w:rsid w:val="00113CE6"/>
    <w:rsid w:val="001149B1"/>
    <w:rsid w:val="00114F66"/>
    <w:rsid w:val="001159E0"/>
    <w:rsid w:val="00115A4A"/>
    <w:rsid w:val="00116547"/>
    <w:rsid w:val="00117A36"/>
    <w:rsid w:val="001209CE"/>
    <w:rsid w:val="00120A04"/>
    <w:rsid w:val="00120B67"/>
    <w:rsid w:val="0012192A"/>
    <w:rsid w:val="00121963"/>
    <w:rsid w:val="00121EB8"/>
    <w:rsid w:val="001221A1"/>
    <w:rsid w:val="0012260C"/>
    <w:rsid w:val="00122CE4"/>
    <w:rsid w:val="0012369D"/>
    <w:rsid w:val="0012390E"/>
    <w:rsid w:val="0012704C"/>
    <w:rsid w:val="00127295"/>
    <w:rsid w:val="001277A2"/>
    <w:rsid w:val="00127C7A"/>
    <w:rsid w:val="0013004F"/>
    <w:rsid w:val="0013032E"/>
    <w:rsid w:val="00130DE0"/>
    <w:rsid w:val="001311FD"/>
    <w:rsid w:val="00131E07"/>
    <w:rsid w:val="001341C4"/>
    <w:rsid w:val="0013529B"/>
    <w:rsid w:val="001352D5"/>
    <w:rsid w:val="0013565A"/>
    <w:rsid w:val="00135908"/>
    <w:rsid w:val="001370AE"/>
    <w:rsid w:val="001370F8"/>
    <w:rsid w:val="001405D5"/>
    <w:rsid w:val="00140BDE"/>
    <w:rsid w:val="00141D17"/>
    <w:rsid w:val="00141F27"/>
    <w:rsid w:val="001443CC"/>
    <w:rsid w:val="00144DFC"/>
    <w:rsid w:val="00145109"/>
    <w:rsid w:val="0014542C"/>
    <w:rsid w:val="0014581E"/>
    <w:rsid w:val="00145EC1"/>
    <w:rsid w:val="001461F2"/>
    <w:rsid w:val="00146AD7"/>
    <w:rsid w:val="00146D5F"/>
    <w:rsid w:val="001473D6"/>
    <w:rsid w:val="001475B8"/>
    <w:rsid w:val="00147839"/>
    <w:rsid w:val="00150317"/>
    <w:rsid w:val="001509DD"/>
    <w:rsid w:val="00151A5B"/>
    <w:rsid w:val="00151F9A"/>
    <w:rsid w:val="00152924"/>
    <w:rsid w:val="00153278"/>
    <w:rsid w:val="00154060"/>
    <w:rsid w:val="00154884"/>
    <w:rsid w:val="00155A83"/>
    <w:rsid w:val="00155ACC"/>
    <w:rsid w:val="0015762D"/>
    <w:rsid w:val="00157C23"/>
    <w:rsid w:val="001601EA"/>
    <w:rsid w:val="0016125C"/>
    <w:rsid w:val="001612F8"/>
    <w:rsid w:val="001615C3"/>
    <w:rsid w:val="00162073"/>
    <w:rsid w:val="00162672"/>
    <w:rsid w:val="0016442B"/>
    <w:rsid w:val="00164A54"/>
    <w:rsid w:val="00165C1A"/>
    <w:rsid w:val="00166C2F"/>
    <w:rsid w:val="00167FB5"/>
    <w:rsid w:val="00172C0B"/>
    <w:rsid w:val="00173897"/>
    <w:rsid w:val="001740AB"/>
    <w:rsid w:val="001750C3"/>
    <w:rsid w:val="001755BC"/>
    <w:rsid w:val="00175A39"/>
    <w:rsid w:val="00176242"/>
    <w:rsid w:val="0017628F"/>
    <w:rsid w:val="001766C2"/>
    <w:rsid w:val="001767C5"/>
    <w:rsid w:val="001770A4"/>
    <w:rsid w:val="00177295"/>
    <w:rsid w:val="00177991"/>
    <w:rsid w:val="00177F01"/>
    <w:rsid w:val="001803BC"/>
    <w:rsid w:val="00180C29"/>
    <w:rsid w:val="00180CA8"/>
    <w:rsid w:val="00180DF2"/>
    <w:rsid w:val="001822B5"/>
    <w:rsid w:val="00182B46"/>
    <w:rsid w:val="00183240"/>
    <w:rsid w:val="00183A2B"/>
    <w:rsid w:val="00183DD9"/>
    <w:rsid w:val="00184863"/>
    <w:rsid w:val="001864FB"/>
    <w:rsid w:val="00187B0E"/>
    <w:rsid w:val="0019004D"/>
    <w:rsid w:val="00190377"/>
    <w:rsid w:val="00190897"/>
    <w:rsid w:val="00191EC7"/>
    <w:rsid w:val="00192D25"/>
    <w:rsid w:val="001939E1"/>
    <w:rsid w:val="00194138"/>
    <w:rsid w:val="00194576"/>
    <w:rsid w:val="00195382"/>
    <w:rsid w:val="00195E67"/>
    <w:rsid w:val="001961BE"/>
    <w:rsid w:val="00197455"/>
    <w:rsid w:val="001979A9"/>
    <w:rsid w:val="001A06A2"/>
    <w:rsid w:val="001A16F0"/>
    <w:rsid w:val="001A22FC"/>
    <w:rsid w:val="001A2A12"/>
    <w:rsid w:val="001A3ADA"/>
    <w:rsid w:val="001A57E8"/>
    <w:rsid w:val="001A5DA1"/>
    <w:rsid w:val="001A5EE9"/>
    <w:rsid w:val="001A635D"/>
    <w:rsid w:val="001A6E20"/>
    <w:rsid w:val="001A704D"/>
    <w:rsid w:val="001A7098"/>
    <w:rsid w:val="001B0575"/>
    <w:rsid w:val="001B0E27"/>
    <w:rsid w:val="001B2EEF"/>
    <w:rsid w:val="001B321E"/>
    <w:rsid w:val="001B39BC"/>
    <w:rsid w:val="001B3E9D"/>
    <w:rsid w:val="001B3F2F"/>
    <w:rsid w:val="001B4185"/>
    <w:rsid w:val="001B693A"/>
    <w:rsid w:val="001B7E38"/>
    <w:rsid w:val="001B7F69"/>
    <w:rsid w:val="001C08B8"/>
    <w:rsid w:val="001C2DE5"/>
    <w:rsid w:val="001C3959"/>
    <w:rsid w:val="001C4651"/>
    <w:rsid w:val="001C5CDB"/>
    <w:rsid w:val="001C5F34"/>
    <w:rsid w:val="001C65D6"/>
    <w:rsid w:val="001C69C4"/>
    <w:rsid w:val="001C78EE"/>
    <w:rsid w:val="001C7FD5"/>
    <w:rsid w:val="001D0E4C"/>
    <w:rsid w:val="001D275B"/>
    <w:rsid w:val="001D34F8"/>
    <w:rsid w:val="001D37EF"/>
    <w:rsid w:val="001D44DD"/>
    <w:rsid w:val="001D4E09"/>
    <w:rsid w:val="001D5119"/>
    <w:rsid w:val="001D51B4"/>
    <w:rsid w:val="001D5E64"/>
    <w:rsid w:val="001D6A68"/>
    <w:rsid w:val="001D7DA4"/>
    <w:rsid w:val="001E0039"/>
    <w:rsid w:val="001E16F2"/>
    <w:rsid w:val="001E2891"/>
    <w:rsid w:val="001E290B"/>
    <w:rsid w:val="001E3590"/>
    <w:rsid w:val="001E3750"/>
    <w:rsid w:val="001E3C4F"/>
    <w:rsid w:val="001E3E0B"/>
    <w:rsid w:val="001E4912"/>
    <w:rsid w:val="001E6340"/>
    <w:rsid w:val="001E6EE1"/>
    <w:rsid w:val="001E7407"/>
    <w:rsid w:val="001E7D7E"/>
    <w:rsid w:val="001F0697"/>
    <w:rsid w:val="001F26BF"/>
    <w:rsid w:val="001F4280"/>
    <w:rsid w:val="001F5D5E"/>
    <w:rsid w:val="001F5FA8"/>
    <w:rsid w:val="001F6219"/>
    <w:rsid w:val="001F778D"/>
    <w:rsid w:val="0020014D"/>
    <w:rsid w:val="00200D63"/>
    <w:rsid w:val="00200DB1"/>
    <w:rsid w:val="00202A57"/>
    <w:rsid w:val="00204ADF"/>
    <w:rsid w:val="00204F11"/>
    <w:rsid w:val="002058E5"/>
    <w:rsid w:val="00205FF7"/>
    <w:rsid w:val="00206D85"/>
    <w:rsid w:val="00206DAF"/>
    <w:rsid w:val="00206ED7"/>
    <w:rsid w:val="00207008"/>
    <w:rsid w:val="00207D47"/>
    <w:rsid w:val="0021118F"/>
    <w:rsid w:val="002116BB"/>
    <w:rsid w:val="00211A8E"/>
    <w:rsid w:val="00211D56"/>
    <w:rsid w:val="00214D06"/>
    <w:rsid w:val="002171A4"/>
    <w:rsid w:val="00217359"/>
    <w:rsid w:val="0021786C"/>
    <w:rsid w:val="00217B17"/>
    <w:rsid w:val="00220184"/>
    <w:rsid w:val="002212C3"/>
    <w:rsid w:val="00221FD6"/>
    <w:rsid w:val="002226AF"/>
    <w:rsid w:val="00223C0E"/>
    <w:rsid w:val="00224102"/>
    <w:rsid w:val="002241B3"/>
    <w:rsid w:val="002249F4"/>
    <w:rsid w:val="00225A2E"/>
    <w:rsid w:val="00225EAA"/>
    <w:rsid w:val="0022627B"/>
    <w:rsid w:val="00226987"/>
    <w:rsid w:val="0023028C"/>
    <w:rsid w:val="00230E89"/>
    <w:rsid w:val="00231947"/>
    <w:rsid w:val="00231F1A"/>
    <w:rsid w:val="002329E6"/>
    <w:rsid w:val="002330B8"/>
    <w:rsid w:val="002344FD"/>
    <w:rsid w:val="002348CF"/>
    <w:rsid w:val="0023499C"/>
    <w:rsid w:val="00234EB6"/>
    <w:rsid w:val="00234FEF"/>
    <w:rsid w:val="002361DC"/>
    <w:rsid w:val="002366DA"/>
    <w:rsid w:val="002372D0"/>
    <w:rsid w:val="0023761F"/>
    <w:rsid w:val="0024010F"/>
    <w:rsid w:val="00240246"/>
    <w:rsid w:val="00240749"/>
    <w:rsid w:val="0024152E"/>
    <w:rsid w:val="00241E2B"/>
    <w:rsid w:val="002422CB"/>
    <w:rsid w:val="00242427"/>
    <w:rsid w:val="002428FB"/>
    <w:rsid w:val="00242A8E"/>
    <w:rsid w:val="00242A9F"/>
    <w:rsid w:val="00242B3B"/>
    <w:rsid w:val="00242DB7"/>
    <w:rsid w:val="0024343C"/>
    <w:rsid w:val="002437D0"/>
    <w:rsid w:val="002437DC"/>
    <w:rsid w:val="00243BF4"/>
    <w:rsid w:val="0024578A"/>
    <w:rsid w:val="00246735"/>
    <w:rsid w:val="00246F27"/>
    <w:rsid w:val="0024771D"/>
    <w:rsid w:val="002500A7"/>
    <w:rsid w:val="00250FC1"/>
    <w:rsid w:val="00253205"/>
    <w:rsid w:val="0025329F"/>
    <w:rsid w:val="00255FCC"/>
    <w:rsid w:val="002564A4"/>
    <w:rsid w:val="00257E3A"/>
    <w:rsid w:val="002600E0"/>
    <w:rsid w:val="00260307"/>
    <w:rsid w:val="0026079B"/>
    <w:rsid w:val="00261029"/>
    <w:rsid w:val="002612A5"/>
    <w:rsid w:val="00261866"/>
    <w:rsid w:val="002624EB"/>
    <w:rsid w:val="002630D0"/>
    <w:rsid w:val="00263284"/>
    <w:rsid w:val="00263BB3"/>
    <w:rsid w:val="00265AB2"/>
    <w:rsid w:val="00266273"/>
    <w:rsid w:val="002664B3"/>
    <w:rsid w:val="00266554"/>
    <w:rsid w:val="00266A24"/>
    <w:rsid w:val="002702FF"/>
    <w:rsid w:val="002706D9"/>
    <w:rsid w:val="00270BDA"/>
    <w:rsid w:val="00270DC3"/>
    <w:rsid w:val="00271DFA"/>
    <w:rsid w:val="00272545"/>
    <w:rsid w:val="00272B1C"/>
    <w:rsid w:val="00274590"/>
    <w:rsid w:val="00274E62"/>
    <w:rsid w:val="002765D2"/>
    <w:rsid w:val="002779B2"/>
    <w:rsid w:val="00280E8C"/>
    <w:rsid w:val="002826F3"/>
    <w:rsid w:val="0028411C"/>
    <w:rsid w:val="00284B7E"/>
    <w:rsid w:val="00285644"/>
    <w:rsid w:val="00286561"/>
    <w:rsid w:val="00286B33"/>
    <w:rsid w:val="00286B69"/>
    <w:rsid w:val="00286FCD"/>
    <w:rsid w:val="00287994"/>
    <w:rsid w:val="00287C6D"/>
    <w:rsid w:val="00287D9E"/>
    <w:rsid w:val="0029198D"/>
    <w:rsid w:val="00291C79"/>
    <w:rsid w:val="00291D3D"/>
    <w:rsid w:val="00292999"/>
    <w:rsid w:val="00293220"/>
    <w:rsid w:val="00293316"/>
    <w:rsid w:val="002938E9"/>
    <w:rsid w:val="00293A3F"/>
    <w:rsid w:val="00293CCC"/>
    <w:rsid w:val="002946AB"/>
    <w:rsid w:val="00294A1D"/>
    <w:rsid w:val="00295478"/>
    <w:rsid w:val="00295F67"/>
    <w:rsid w:val="00296174"/>
    <w:rsid w:val="002969EC"/>
    <w:rsid w:val="00296F06"/>
    <w:rsid w:val="0029708C"/>
    <w:rsid w:val="00297ECB"/>
    <w:rsid w:val="002A026A"/>
    <w:rsid w:val="002A0969"/>
    <w:rsid w:val="002A2639"/>
    <w:rsid w:val="002A33FD"/>
    <w:rsid w:val="002A3736"/>
    <w:rsid w:val="002A3EFA"/>
    <w:rsid w:val="002A4175"/>
    <w:rsid w:val="002A41D9"/>
    <w:rsid w:val="002A4DE5"/>
    <w:rsid w:val="002A68DE"/>
    <w:rsid w:val="002B0328"/>
    <w:rsid w:val="002B0EA5"/>
    <w:rsid w:val="002B0EDD"/>
    <w:rsid w:val="002B173C"/>
    <w:rsid w:val="002B22ED"/>
    <w:rsid w:val="002B3228"/>
    <w:rsid w:val="002B32CE"/>
    <w:rsid w:val="002B381E"/>
    <w:rsid w:val="002B3AFA"/>
    <w:rsid w:val="002B3EA3"/>
    <w:rsid w:val="002B424C"/>
    <w:rsid w:val="002B4817"/>
    <w:rsid w:val="002B519F"/>
    <w:rsid w:val="002B51CE"/>
    <w:rsid w:val="002B5407"/>
    <w:rsid w:val="002B5E25"/>
    <w:rsid w:val="002B7321"/>
    <w:rsid w:val="002B73E5"/>
    <w:rsid w:val="002B7968"/>
    <w:rsid w:val="002B7AAB"/>
    <w:rsid w:val="002B7B38"/>
    <w:rsid w:val="002B7CBB"/>
    <w:rsid w:val="002C03C7"/>
    <w:rsid w:val="002C13AB"/>
    <w:rsid w:val="002C2AC5"/>
    <w:rsid w:val="002C32B2"/>
    <w:rsid w:val="002C3864"/>
    <w:rsid w:val="002C4AC0"/>
    <w:rsid w:val="002C4F19"/>
    <w:rsid w:val="002C4FF3"/>
    <w:rsid w:val="002C5501"/>
    <w:rsid w:val="002C55E6"/>
    <w:rsid w:val="002C5AAC"/>
    <w:rsid w:val="002C7775"/>
    <w:rsid w:val="002C7D73"/>
    <w:rsid w:val="002D03E6"/>
    <w:rsid w:val="002D043A"/>
    <w:rsid w:val="002D19CD"/>
    <w:rsid w:val="002D2FEF"/>
    <w:rsid w:val="002D3704"/>
    <w:rsid w:val="002D42D7"/>
    <w:rsid w:val="002D5472"/>
    <w:rsid w:val="002D5AA4"/>
    <w:rsid w:val="002D5BB5"/>
    <w:rsid w:val="002D6224"/>
    <w:rsid w:val="002D6EB1"/>
    <w:rsid w:val="002D7037"/>
    <w:rsid w:val="002D7C6B"/>
    <w:rsid w:val="002D7EDD"/>
    <w:rsid w:val="002D7F33"/>
    <w:rsid w:val="002E066F"/>
    <w:rsid w:val="002E0827"/>
    <w:rsid w:val="002E3D27"/>
    <w:rsid w:val="002E4330"/>
    <w:rsid w:val="002E503E"/>
    <w:rsid w:val="002E547B"/>
    <w:rsid w:val="002E6B49"/>
    <w:rsid w:val="002F02A9"/>
    <w:rsid w:val="002F0352"/>
    <w:rsid w:val="002F043A"/>
    <w:rsid w:val="002F0959"/>
    <w:rsid w:val="002F0E59"/>
    <w:rsid w:val="002F13CC"/>
    <w:rsid w:val="002F302C"/>
    <w:rsid w:val="002F3737"/>
    <w:rsid w:val="002F3DD3"/>
    <w:rsid w:val="002F3E40"/>
    <w:rsid w:val="002F4014"/>
    <w:rsid w:val="002F409B"/>
    <w:rsid w:val="002F5183"/>
    <w:rsid w:val="002F5AEF"/>
    <w:rsid w:val="002F7C4F"/>
    <w:rsid w:val="00301357"/>
    <w:rsid w:val="00301432"/>
    <w:rsid w:val="003014D0"/>
    <w:rsid w:val="003034EA"/>
    <w:rsid w:val="00304524"/>
    <w:rsid w:val="0030645F"/>
    <w:rsid w:val="003074B7"/>
    <w:rsid w:val="0031151D"/>
    <w:rsid w:val="003126C5"/>
    <w:rsid w:val="003126C8"/>
    <w:rsid w:val="00313A3E"/>
    <w:rsid w:val="0031428D"/>
    <w:rsid w:val="00315479"/>
    <w:rsid w:val="003163CA"/>
    <w:rsid w:val="00316913"/>
    <w:rsid w:val="003175BE"/>
    <w:rsid w:val="00317FA0"/>
    <w:rsid w:val="00320149"/>
    <w:rsid w:val="00321E85"/>
    <w:rsid w:val="003220FC"/>
    <w:rsid w:val="003229CD"/>
    <w:rsid w:val="00325EDF"/>
    <w:rsid w:val="00326951"/>
    <w:rsid w:val="003275FE"/>
    <w:rsid w:val="0032779B"/>
    <w:rsid w:val="00327859"/>
    <w:rsid w:val="003278BE"/>
    <w:rsid w:val="003278F2"/>
    <w:rsid w:val="003302CE"/>
    <w:rsid w:val="00331E97"/>
    <w:rsid w:val="00332499"/>
    <w:rsid w:val="003324A4"/>
    <w:rsid w:val="00332BCA"/>
    <w:rsid w:val="00332C3C"/>
    <w:rsid w:val="003335E8"/>
    <w:rsid w:val="00334DE9"/>
    <w:rsid w:val="003350F9"/>
    <w:rsid w:val="00335A00"/>
    <w:rsid w:val="003367B5"/>
    <w:rsid w:val="003374C4"/>
    <w:rsid w:val="00337FCF"/>
    <w:rsid w:val="00340A9C"/>
    <w:rsid w:val="00340BB5"/>
    <w:rsid w:val="003415D3"/>
    <w:rsid w:val="0034174F"/>
    <w:rsid w:val="00342611"/>
    <w:rsid w:val="00342AE3"/>
    <w:rsid w:val="00342FAB"/>
    <w:rsid w:val="00344321"/>
    <w:rsid w:val="00344B3E"/>
    <w:rsid w:val="00346364"/>
    <w:rsid w:val="003474B2"/>
    <w:rsid w:val="0034757A"/>
    <w:rsid w:val="003475D3"/>
    <w:rsid w:val="00347932"/>
    <w:rsid w:val="0035005F"/>
    <w:rsid w:val="00350306"/>
    <w:rsid w:val="00350AA3"/>
    <w:rsid w:val="00350B36"/>
    <w:rsid w:val="003513F6"/>
    <w:rsid w:val="003524CC"/>
    <w:rsid w:val="0035284C"/>
    <w:rsid w:val="00352B0F"/>
    <w:rsid w:val="00352EA2"/>
    <w:rsid w:val="003530CD"/>
    <w:rsid w:val="0035340A"/>
    <w:rsid w:val="00354DFA"/>
    <w:rsid w:val="00356EB0"/>
    <w:rsid w:val="003571DE"/>
    <w:rsid w:val="00360459"/>
    <w:rsid w:val="00361838"/>
    <w:rsid w:val="00362247"/>
    <w:rsid w:val="00363802"/>
    <w:rsid w:val="00364204"/>
    <w:rsid w:val="00365133"/>
    <w:rsid w:val="00371130"/>
    <w:rsid w:val="00372978"/>
    <w:rsid w:val="00372AC5"/>
    <w:rsid w:val="00372C84"/>
    <w:rsid w:val="00372FAD"/>
    <w:rsid w:val="0037378A"/>
    <w:rsid w:val="003743AB"/>
    <w:rsid w:val="00374C55"/>
    <w:rsid w:val="003752EB"/>
    <w:rsid w:val="003752EF"/>
    <w:rsid w:val="003756CE"/>
    <w:rsid w:val="00375DD6"/>
    <w:rsid w:val="00376B92"/>
    <w:rsid w:val="003770DB"/>
    <w:rsid w:val="003777BA"/>
    <w:rsid w:val="00380BA6"/>
    <w:rsid w:val="003817F5"/>
    <w:rsid w:val="003819EA"/>
    <w:rsid w:val="003822AF"/>
    <w:rsid w:val="0038268D"/>
    <w:rsid w:val="00382752"/>
    <w:rsid w:val="00383468"/>
    <w:rsid w:val="00384E29"/>
    <w:rsid w:val="00384EBC"/>
    <w:rsid w:val="00387616"/>
    <w:rsid w:val="00387AAB"/>
    <w:rsid w:val="00391021"/>
    <w:rsid w:val="00392121"/>
    <w:rsid w:val="00393356"/>
    <w:rsid w:val="00393B0E"/>
    <w:rsid w:val="0039598D"/>
    <w:rsid w:val="0039651D"/>
    <w:rsid w:val="003A0248"/>
    <w:rsid w:val="003A0576"/>
    <w:rsid w:val="003A0934"/>
    <w:rsid w:val="003A15A2"/>
    <w:rsid w:val="003A1995"/>
    <w:rsid w:val="003A3169"/>
    <w:rsid w:val="003A5762"/>
    <w:rsid w:val="003A5BAF"/>
    <w:rsid w:val="003A5CAA"/>
    <w:rsid w:val="003A6034"/>
    <w:rsid w:val="003A7AE3"/>
    <w:rsid w:val="003A7D71"/>
    <w:rsid w:val="003A7F6E"/>
    <w:rsid w:val="003B0208"/>
    <w:rsid w:val="003B12CE"/>
    <w:rsid w:val="003B160B"/>
    <w:rsid w:val="003B1806"/>
    <w:rsid w:val="003B1D73"/>
    <w:rsid w:val="003B1D94"/>
    <w:rsid w:val="003B317A"/>
    <w:rsid w:val="003B32C9"/>
    <w:rsid w:val="003B3D20"/>
    <w:rsid w:val="003B5025"/>
    <w:rsid w:val="003B57D7"/>
    <w:rsid w:val="003B62A6"/>
    <w:rsid w:val="003B683F"/>
    <w:rsid w:val="003B6F62"/>
    <w:rsid w:val="003B7049"/>
    <w:rsid w:val="003B704B"/>
    <w:rsid w:val="003C0243"/>
    <w:rsid w:val="003C04D5"/>
    <w:rsid w:val="003C073B"/>
    <w:rsid w:val="003C0ECF"/>
    <w:rsid w:val="003C1A4A"/>
    <w:rsid w:val="003C3D44"/>
    <w:rsid w:val="003C3EBF"/>
    <w:rsid w:val="003C44BC"/>
    <w:rsid w:val="003C50BA"/>
    <w:rsid w:val="003D0069"/>
    <w:rsid w:val="003D0B49"/>
    <w:rsid w:val="003D0BFE"/>
    <w:rsid w:val="003D17F3"/>
    <w:rsid w:val="003D2EF1"/>
    <w:rsid w:val="003D3486"/>
    <w:rsid w:val="003D34FF"/>
    <w:rsid w:val="003D3ED5"/>
    <w:rsid w:val="003D44D4"/>
    <w:rsid w:val="003D5700"/>
    <w:rsid w:val="003D6021"/>
    <w:rsid w:val="003D6561"/>
    <w:rsid w:val="003D682D"/>
    <w:rsid w:val="003D79B1"/>
    <w:rsid w:val="003E0973"/>
    <w:rsid w:val="003E1F31"/>
    <w:rsid w:val="003E23FD"/>
    <w:rsid w:val="003E26D1"/>
    <w:rsid w:val="003E2AD5"/>
    <w:rsid w:val="003E331D"/>
    <w:rsid w:val="003E44F0"/>
    <w:rsid w:val="003E51B0"/>
    <w:rsid w:val="003E7061"/>
    <w:rsid w:val="003E7FD5"/>
    <w:rsid w:val="003F0092"/>
    <w:rsid w:val="003F05FD"/>
    <w:rsid w:val="003F07E6"/>
    <w:rsid w:val="003F1387"/>
    <w:rsid w:val="003F141F"/>
    <w:rsid w:val="003F17E6"/>
    <w:rsid w:val="003F194D"/>
    <w:rsid w:val="003F3DCD"/>
    <w:rsid w:val="003F4B3C"/>
    <w:rsid w:val="003F547A"/>
    <w:rsid w:val="003F5F8C"/>
    <w:rsid w:val="003F682A"/>
    <w:rsid w:val="003F6E5A"/>
    <w:rsid w:val="0040177B"/>
    <w:rsid w:val="00401A4A"/>
    <w:rsid w:val="004047FF"/>
    <w:rsid w:val="00404B70"/>
    <w:rsid w:val="00404F9B"/>
    <w:rsid w:val="00404FCF"/>
    <w:rsid w:val="00405FCF"/>
    <w:rsid w:val="00406715"/>
    <w:rsid w:val="00406D27"/>
    <w:rsid w:val="00407E13"/>
    <w:rsid w:val="0041004E"/>
    <w:rsid w:val="0041094C"/>
    <w:rsid w:val="00410E40"/>
    <w:rsid w:val="004116CD"/>
    <w:rsid w:val="00411AD5"/>
    <w:rsid w:val="00411DF2"/>
    <w:rsid w:val="004149DF"/>
    <w:rsid w:val="00415641"/>
    <w:rsid w:val="004164A4"/>
    <w:rsid w:val="00417B86"/>
    <w:rsid w:val="00417EB9"/>
    <w:rsid w:val="00420933"/>
    <w:rsid w:val="00420ABA"/>
    <w:rsid w:val="00421479"/>
    <w:rsid w:val="00421A7E"/>
    <w:rsid w:val="00422464"/>
    <w:rsid w:val="00424CA9"/>
    <w:rsid w:val="004271B0"/>
    <w:rsid w:val="00427224"/>
    <w:rsid w:val="00427276"/>
    <w:rsid w:val="004308D0"/>
    <w:rsid w:val="00430C9A"/>
    <w:rsid w:val="00430E80"/>
    <w:rsid w:val="00431033"/>
    <w:rsid w:val="004323C8"/>
    <w:rsid w:val="00432651"/>
    <w:rsid w:val="00433590"/>
    <w:rsid w:val="0043543B"/>
    <w:rsid w:val="004355FF"/>
    <w:rsid w:val="00435A64"/>
    <w:rsid w:val="00436F58"/>
    <w:rsid w:val="00436F6E"/>
    <w:rsid w:val="00437368"/>
    <w:rsid w:val="004374AD"/>
    <w:rsid w:val="00440D05"/>
    <w:rsid w:val="00441561"/>
    <w:rsid w:val="0044167B"/>
    <w:rsid w:val="0044291A"/>
    <w:rsid w:val="00442BAA"/>
    <w:rsid w:val="00442FB4"/>
    <w:rsid w:val="00443180"/>
    <w:rsid w:val="00444DB4"/>
    <w:rsid w:val="00445CD2"/>
    <w:rsid w:val="00446C78"/>
    <w:rsid w:val="00447E9A"/>
    <w:rsid w:val="004507F8"/>
    <w:rsid w:val="004538B8"/>
    <w:rsid w:val="00455619"/>
    <w:rsid w:val="0045580A"/>
    <w:rsid w:val="004568B4"/>
    <w:rsid w:val="0045760F"/>
    <w:rsid w:val="0046049D"/>
    <w:rsid w:val="00460DCB"/>
    <w:rsid w:val="00460EC6"/>
    <w:rsid w:val="00462AED"/>
    <w:rsid w:val="00462B80"/>
    <w:rsid w:val="00463A7B"/>
    <w:rsid w:val="004652A7"/>
    <w:rsid w:val="00467375"/>
    <w:rsid w:val="00467387"/>
    <w:rsid w:val="004701E4"/>
    <w:rsid w:val="00470A3A"/>
    <w:rsid w:val="00470EB6"/>
    <w:rsid w:val="00470F22"/>
    <w:rsid w:val="004714C1"/>
    <w:rsid w:val="00471E74"/>
    <w:rsid w:val="00471F83"/>
    <w:rsid w:val="004736CC"/>
    <w:rsid w:val="00473C9A"/>
    <w:rsid w:val="00475190"/>
    <w:rsid w:val="0047714F"/>
    <w:rsid w:val="0047770E"/>
    <w:rsid w:val="00480188"/>
    <w:rsid w:val="00480873"/>
    <w:rsid w:val="00480B62"/>
    <w:rsid w:val="00480DD5"/>
    <w:rsid w:val="0048260E"/>
    <w:rsid w:val="00482969"/>
    <w:rsid w:val="00482EF5"/>
    <w:rsid w:val="00483DC9"/>
    <w:rsid w:val="00484248"/>
    <w:rsid w:val="00484557"/>
    <w:rsid w:val="00485655"/>
    <w:rsid w:val="00485EA7"/>
    <w:rsid w:val="00487210"/>
    <w:rsid w:val="00487E74"/>
    <w:rsid w:val="004903D5"/>
    <w:rsid w:val="0049131A"/>
    <w:rsid w:val="00491E95"/>
    <w:rsid w:val="00494128"/>
    <w:rsid w:val="00494495"/>
    <w:rsid w:val="0049536B"/>
    <w:rsid w:val="004953C9"/>
    <w:rsid w:val="0049626B"/>
    <w:rsid w:val="00496F97"/>
    <w:rsid w:val="0049758A"/>
    <w:rsid w:val="004A0808"/>
    <w:rsid w:val="004A1121"/>
    <w:rsid w:val="004A1150"/>
    <w:rsid w:val="004A3CA2"/>
    <w:rsid w:val="004A48E8"/>
    <w:rsid w:val="004A4B27"/>
    <w:rsid w:val="004A6277"/>
    <w:rsid w:val="004A678B"/>
    <w:rsid w:val="004A6AFE"/>
    <w:rsid w:val="004A7E11"/>
    <w:rsid w:val="004B01C2"/>
    <w:rsid w:val="004B13B5"/>
    <w:rsid w:val="004B1B04"/>
    <w:rsid w:val="004B2402"/>
    <w:rsid w:val="004B31E9"/>
    <w:rsid w:val="004B3E80"/>
    <w:rsid w:val="004B4360"/>
    <w:rsid w:val="004B499E"/>
    <w:rsid w:val="004B686E"/>
    <w:rsid w:val="004B7EC0"/>
    <w:rsid w:val="004B7F91"/>
    <w:rsid w:val="004B7FD4"/>
    <w:rsid w:val="004C022A"/>
    <w:rsid w:val="004C039B"/>
    <w:rsid w:val="004C0769"/>
    <w:rsid w:val="004C137C"/>
    <w:rsid w:val="004C13AB"/>
    <w:rsid w:val="004C171C"/>
    <w:rsid w:val="004C1E71"/>
    <w:rsid w:val="004C1F00"/>
    <w:rsid w:val="004C1F72"/>
    <w:rsid w:val="004C3131"/>
    <w:rsid w:val="004C378B"/>
    <w:rsid w:val="004D0136"/>
    <w:rsid w:val="004D03CA"/>
    <w:rsid w:val="004D12C6"/>
    <w:rsid w:val="004D15E9"/>
    <w:rsid w:val="004D1A95"/>
    <w:rsid w:val="004D201E"/>
    <w:rsid w:val="004D25C2"/>
    <w:rsid w:val="004D2F6F"/>
    <w:rsid w:val="004D3D6E"/>
    <w:rsid w:val="004D56E5"/>
    <w:rsid w:val="004D72CB"/>
    <w:rsid w:val="004D7C51"/>
    <w:rsid w:val="004D7D2D"/>
    <w:rsid w:val="004E0630"/>
    <w:rsid w:val="004E1868"/>
    <w:rsid w:val="004E1AA1"/>
    <w:rsid w:val="004E3D60"/>
    <w:rsid w:val="004E3FAB"/>
    <w:rsid w:val="004E5F53"/>
    <w:rsid w:val="004E6FAA"/>
    <w:rsid w:val="004E7BEC"/>
    <w:rsid w:val="004F04AF"/>
    <w:rsid w:val="004F0824"/>
    <w:rsid w:val="004F1A4A"/>
    <w:rsid w:val="004F273A"/>
    <w:rsid w:val="004F4832"/>
    <w:rsid w:val="004F4B72"/>
    <w:rsid w:val="004F534E"/>
    <w:rsid w:val="004F738C"/>
    <w:rsid w:val="005010F7"/>
    <w:rsid w:val="00501DE1"/>
    <w:rsid w:val="005030E6"/>
    <w:rsid w:val="00503D49"/>
    <w:rsid w:val="005040E8"/>
    <w:rsid w:val="005049D1"/>
    <w:rsid w:val="00504DD3"/>
    <w:rsid w:val="0050547A"/>
    <w:rsid w:val="005057E1"/>
    <w:rsid w:val="0050600B"/>
    <w:rsid w:val="005064B5"/>
    <w:rsid w:val="00506648"/>
    <w:rsid w:val="00506870"/>
    <w:rsid w:val="0050687D"/>
    <w:rsid w:val="00507332"/>
    <w:rsid w:val="005109C8"/>
    <w:rsid w:val="0051135E"/>
    <w:rsid w:val="00511918"/>
    <w:rsid w:val="00511D11"/>
    <w:rsid w:val="00512251"/>
    <w:rsid w:val="00512E08"/>
    <w:rsid w:val="00516068"/>
    <w:rsid w:val="0051686B"/>
    <w:rsid w:val="00516B8D"/>
    <w:rsid w:val="005208CE"/>
    <w:rsid w:val="00521226"/>
    <w:rsid w:val="005217A2"/>
    <w:rsid w:val="00523068"/>
    <w:rsid w:val="005231BA"/>
    <w:rsid w:val="0052449F"/>
    <w:rsid w:val="005248A2"/>
    <w:rsid w:val="00524E80"/>
    <w:rsid w:val="005253D0"/>
    <w:rsid w:val="00525588"/>
    <w:rsid w:val="00525AC5"/>
    <w:rsid w:val="0052737D"/>
    <w:rsid w:val="00527BC1"/>
    <w:rsid w:val="005302FF"/>
    <w:rsid w:val="0053052F"/>
    <w:rsid w:val="00531997"/>
    <w:rsid w:val="005319FC"/>
    <w:rsid w:val="00531A63"/>
    <w:rsid w:val="005322D7"/>
    <w:rsid w:val="005327CC"/>
    <w:rsid w:val="00532ABD"/>
    <w:rsid w:val="0053317E"/>
    <w:rsid w:val="00533AA9"/>
    <w:rsid w:val="00534245"/>
    <w:rsid w:val="00534D3D"/>
    <w:rsid w:val="00536500"/>
    <w:rsid w:val="00536572"/>
    <w:rsid w:val="0053720B"/>
    <w:rsid w:val="005372DB"/>
    <w:rsid w:val="005378FE"/>
    <w:rsid w:val="0053797B"/>
    <w:rsid w:val="00537FBC"/>
    <w:rsid w:val="00540A0F"/>
    <w:rsid w:val="00540F7F"/>
    <w:rsid w:val="0054154A"/>
    <w:rsid w:val="00541933"/>
    <w:rsid w:val="00541C12"/>
    <w:rsid w:val="00542170"/>
    <w:rsid w:val="00543153"/>
    <w:rsid w:val="0054506E"/>
    <w:rsid w:val="00546A29"/>
    <w:rsid w:val="00547AF9"/>
    <w:rsid w:val="005508D9"/>
    <w:rsid w:val="00550C79"/>
    <w:rsid w:val="005515E4"/>
    <w:rsid w:val="00551984"/>
    <w:rsid w:val="00551D37"/>
    <w:rsid w:val="005521FF"/>
    <w:rsid w:val="00553EC0"/>
    <w:rsid w:val="00553ECF"/>
    <w:rsid w:val="00554E0F"/>
    <w:rsid w:val="005567E9"/>
    <w:rsid w:val="005602EB"/>
    <w:rsid w:val="0056187F"/>
    <w:rsid w:val="00561C0A"/>
    <w:rsid w:val="005629E8"/>
    <w:rsid w:val="005643FC"/>
    <w:rsid w:val="00564436"/>
    <w:rsid w:val="00564C14"/>
    <w:rsid w:val="00565981"/>
    <w:rsid w:val="0056635E"/>
    <w:rsid w:val="00566431"/>
    <w:rsid w:val="00567A18"/>
    <w:rsid w:val="00567ACB"/>
    <w:rsid w:val="00571079"/>
    <w:rsid w:val="0057272F"/>
    <w:rsid w:val="00573094"/>
    <w:rsid w:val="0057365D"/>
    <w:rsid w:val="0057512B"/>
    <w:rsid w:val="005757D1"/>
    <w:rsid w:val="005762AD"/>
    <w:rsid w:val="005765A2"/>
    <w:rsid w:val="00577034"/>
    <w:rsid w:val="005770F4"/>
    <w:rsid w:val="00577591"/>
    <w:rsid w:val="005779C6"/>
    <w:rsid w:val="00581217"/>
    <w:rsid w:val="005822DB"/>
    <w:rsid w:val="005827B2"/>
    <w:rsid w:val="00584811"/>
    <w:rsid w:val="00584CE1"/>
    <w:rsid w:val="0058511A"/>
    <w:rsid w:val="005859F3"/>
    <w:rsid w:val="0058643F"/>
    <w:rsid w:val="00586F1C"/>
    <w:rsid w:val="0059195E"/>
    <w:rsid w:val="00592292"/>
    <w:rsid w:val="00592E97"/>
    <w:rsid w:val="00593AA6"/>
    <w:rsid w:val="00594161"/>
    <w:rsid w:val="005941BA"/>
    <w:rsid w:val="00594749"/>
    <w:rsid w:val="00594D83"/>
    <w:rsid w:val="00595024"/>
    <w:rsid w:val="005956F9"/>
    <w:rsid w:val="005965B8"/>
    <w:rsid w:val="0059723F"/>
    <w:rsid w:val="00597D86"/>
    <w:rsid w:val="005A0662"/>
    <w:rsid w:val="005A06C7"/>
    <w:rsid w:val="005A089A"/>
    <w:rsid w:val="005A09B4"/>
    <w:rsid w:val="005A0C2A"/>
    <w:rsid w:val="005A1304"/>
    <w:rsid w:val="005A1986"/>
    <w:rsid w:val="005A2BBB"/>
    <w:rsid w:val="005A3F82"/>
    <w:rsid w:val="005A5684"/>
    <w:rsid w:val="005A605A"/>
    <w:rsid w:val="005A6BAD"/>
    <w:rsid w:val="005A7899"/>
    <w:rsid w:val="005B0152"/>
    <w:rsid w:val="005B08D2"/>
    <w:rsid w:val="005B1EF7"/>
    <w:rsid w:val="005B21F2"/>
    <w:rsid w:val="005B21FB"/>
    <w:rsid w:val="005B255A"/>
    <w:rsid w:val="005B34FD"/>
    <w:rsid w:val="005B3D29"/>
    <w:rsid w:val="005B3E56"/>
    <w:rsid w:val="005B3E9E"/>
    <w:rsid w:val="005B4067"/>
    <w:rsid w:val="005B4DB5"/>
    <w:rsid w:val="005B5C4B"/>
    <w:rsid w:val="005B7817"/>
    <w:rsid w:val="005B790B"/>
    <w:rsid w:val="005B7DF0"/>
    <w:rsid w:val="005C027D"/>
    <w:rsid w:val="005C1498"/>
    <w:rsid w:val="005C20A4"/>
    <w:rsid w:val="005C36BB"/>
    <w:rsid w:val="005C3886"/>
    <w:rsid w:val="005C3BD5"/>
    <w:rsid w:val="005C3F41"/>
    <w:rsid w:val="005C55F6"/>
    <w:rsid w:val="005C6AF1"/>
    <w:rsid w:val="005C6C61"/>
    <w:rsid w:val="005C73D9"/>
    <w:rsid w:val="005C74E4"/>
    <w:rsid w:val="005D1082"/>
    <w:rsid w:val="005D12BE"/>
    <w:rsid w:val="005D15A6"/>
    <w:rsid w:val="005D1AFC"/>
    <w:rsid w:val="005D261B"/>
    <w:rsid w:val="005D2D09"/>
    <w:rsid w:val="005D3C71"/>
    <w:rsid w:val="005D49D0"/>
    <w:rsid w:val="005D5622"/>
    <w:rsid w:val="005D5E3F"/>
    <w:rsid w:val="005D617F"/>
    <w:rsid w:val="005D679A"/>
    <w:rsid w:val="005E149E"/>
    <w:rsid w:val="005E16AF"/>
    <w:rsid w:val="005E2D36"/>
    <w:rsid w:val="005E2EB1"/>
    <w:rsid w:val="005E4316"/>
    <w:rsid w:val="005E6593"/>
    <w:rsid w:val="005E66FD"/>
    <w:rsid w:val="005E6989"/>
    <w:rsid w:val="005E7E72"/>
    <w:rsid w:val="005F0580"/>
    <w:rsid w:val="005F081F"/>
    <w:rsid w:val="005F0867"/>
    <w:rsid w:val="005F1024"/>
    <w:rsid w:val="005F1444"/>
    <w:rsid w:val="005F15A6"/>
    <w:rsid w:val="005F22C2"/>
    <w:rsid w:val="005F2739"/>
    <w:rsid w:val="005F349D"/>
    <w:rsid w:val="005F3544"/>
    <w:rsid w:val="005F4539"/>
    <w:rsid w:val="005F4C27"/>
    <w:rsid w:val="005F4F10"/>
    <w:rsid w:val="005F56C8"/>
    <w:rsid w:val="005F5F37"/>
    <w:rsid w:val="005F61C2"/>
    <w:rsid w:val="005F6B71"/>
    <w:rsid w:val="00600219"/>
    <w:rsid w:val="0060030A"/>
    <w:rsid w:val="006004F2"/>
    <w:rsid w:val="00600A4C"/>
    <w:rsid w:val="006010F1"/>
    <w:rsid w:val="006020F3"/>
    <w:rsid w:val="00602AF5"/>
    <w:rsid w:val="00603EA0"/>
    <w:rsid w:val="00604B10"/>
    <w:rsid w:val="006057A3"/>
    <w:rsid w:val="0060609D"/>
    <w:rsid w:val="006062E5"/>
    <w:rsid w:val="006065C4"/>
    <w:rsid w:val="00607247"/>
    <w:rsid w:val="00610E22"/>
    <w:rsid w:val="00612811"/>
    <w:rsid w:val="00612C28"/>
    <w:rsid w:val="0061303F"/>
    <w:rsid w:val="00613CE2"/>
    <w:rsid w:val="0061412D"/>
    <w:rsid w:val="0061425C"/>
    <w:rsid w:val="0061493F"/>
    <w:rsid w:val="00615D8D"/>
    <w:rsid w:val="00615F39"/>
    <w:rsid w:val="006161C0"/>
    <w:rsid w:val="00616B7F"/>
    <w:rsid w:val="00616DEF"/>
    <w:rsid w:val="00616FE1"/>
    <w:rsid w:val="006172A4"/>
    <w:rsid w:val="00621E7F"/>
    <w:rsid w:val="0062413E"/>
    <w:rsid w:val="0062490E"/>
    <w:rsid w:val="00624965"/>
    <w:rsid w:val="00625367"/>
    <w:rsid w:val="00625781"/>
    <w:rsid w:val="0062582C"/>
    <w:rsid w:val="00625902"/>
    <w:rsid w:val="00625F70"/>
    <w:rsid w:val="0062619A"/>
    <w:rsid w:val="00627425"/>
    <w:rsid w:val="00630F72"/>
    <w:rsid w:val="0063168A"/>
    <w:rsid w:val="00632235"/>
    <w:rsid w:val="00633EF9"/>
    <w:rsid w:val="00633FC8"/>
    <w:rsid w:val="00634EA7"/>
    <w:rsid w:val="006375B3"/>
    <w:rsid w:val="00637DDD"/>
    <w:rsid w:val="00637EA7"/>
    <w:rsid w:val="006406C4"/>
    <w:rsid w:val="00640D8C"/>
    <w:rsid w:val="00640F30"/>
    <w:rsid w:val="00641781"/>
    <w:rsid w:val="006417DE"/>
    <w:rsid w:val="006422DB"/>
    <w:rsid w:val="0064400A"/>
    <w:rsid w:val="006442D3"/>
    <w:rsid w:val="006444FC"/>
    <w:rsid w:val="00647596"/>
    <w:rsid w:val="006475DA"/>
    <w:rsid w:val="00647BFA"/>
    <w:rsid w:val="00650D2B"/>
    <w:rsid w:val="00651CAE"/>
    <w:rsid w:val="0065236A"/>
    <w:rsid w:val="00652D59"/>
    <w:rsid w:val="00654B55"/>
    <w:rsid w:val="00655362"/>
    <w:rsid w:val="006556DC"/>
    <w:rsid w:val="0065662C"/>
    <w:rsid w:val="00656BB9"/>
    <w:rsid w:val="00657AC6"/>
    <w:rsid w:val="00660DB8"/>
    <w:rsid w:val="006621DD"/>
    <w:rsid w:val="00662461"/>
    <w:rsid w:val="006627D6"/>
    <w:rsid w:val="006631F8"/>
    <w:rsid w:val="00664893"/>
    <w:rsid w:val="00664D8C"/>
    <w:rsid w:val="00665666"/>
    <w:rsid w:val="0066596C"/>
    <w:rsid w:val="00666B01"/>
    <w:rsid w:val="00670802"/>
    <w:rsid w:val="0067102E"/>
    <w:rsid w:val="0067134A"/>
    <w:rsid w:val="006714F8"/>
    <w:rsid w:val="00672130"/>
    <w:rsid w:val="00672833"/>
    <w:rsid w:val="006751DE"/>
    <w:rsid w:val="006759F0"/>
    <w:rsid w:val="00676BD1"/>
    <w:rsid w:val="00677035"/>
    <w:rsid w:val="0067720C"/>
    <w:rsid w:val="00677A68"/>
    <w:rsid w:val="00677CC2"/>
    <w:rsid w:val="00677CC6"/>
    <w:rsid w:val="00677FD4"/>
    <w:rsid w:val="00681B88"/>
    <w:rsid w:val="00682149"/>
    <w:rsid w:val="00682FFF"/>
    <w:rsid w:val="006852C8"/>
    <w:rsid w:val="006855BC"/>
    <w:rsid w:val="00686C18"/>
    <w:rsid w:val="00686D4A"/>
    <w:rsid w:val="00687045"/>
    <w:rsid w:val="006879DB"/>
    <w:rsid w:val="00687AE7"/>
    <w:rsid w:val="006905DE"/>
    <w:rsid w:val="00691B9B"/>
    <w:rsid w:val="00691E7D"/>
    <w:rsid w:val="0069207B"/>
    <w:rsid w:val="006921BE"/>
    <w:rsid w:val="00692972"/>
    <w:rsid w:val="00692D9A"/>
    <w:rsid w:val="00692EBD"/>
    <w:rsid w:val="0069315B"/>
    <w:rsid w:val="00693D09"/>
    <w:rsid w:val="0069651E"/>
    <w:rsid w:val="00696954"/>
    <w:rsid w:val="00697A14"/>
    <w:rsid w:val="006A0B6C"/>
    <w:rsid w:val="006A1646"/>
    <w:rsid w:val="006A1763"/>
    <w:rsid w:val="006A2461"/>
    <w:rsid w:val="006A28A4"/>
    <w:rsid w:val="006A3162"/>
    <w:rsid w:val="006A468E"/>
    <w:rsid w:val="006A4871"/>
    <w:rsid w:val="006A5C4D"/>
    <w:rsid w:val="006A743B"/>
    <w:rsid w:val="006A77BB"/>
    <w:rsid w:val="006B00D4"/>
    <w:rsid w:val="006B1044"/>
    <w:rsid w:val="006B11C1"/>
    <w:rsid w:val="006B12E8"/>
    <w:rsid w:val="006B13C0"/>
    <w:rsid w:val="006B1628"/>
    <w:rsid w:val="006B2291"/>
    <w:rsid w:val="006B4AEF"/>
    <w:rsid w:val="006B5260"/>
    <w:rsid w:val="006B57B2"/>
    <w:rsid w:val="006B5942"/>
    <w:rsid w:val="006B6398"/>
    <w:rsid w:val="006B718C"/>
    <w:rsid w:val="006B7448"/>
    <w:rsid w:val="006C1193"/>
    <w:rsid w:val="006C16BD"/>
    <w:rsid w:val="006C1A88"/>
    <w:rsid w:val="006C2D17"/>
    <w:rsid w:val="006C2ECC"/>
    <w:rsid w:val="006C31EB"/>
    <w:rsid w:val="006C344F"/>
    <w:rsid w:val="006C37ED"/>
    <w:rsid w:val="006C3EC6"/>
    <w:rsid w:val="006C4613"/>
    <w:rsid w:val="006C4BF9"/>
    <w:rsid w:val="006C7471"/>
    <w:rsid w:val="006C7F8C"/>
    <w:rsid w:val="006D02BD"/>
    <w:rsid w:val="006D0913"/>
    <w:rsid w:val="006D134B"/>
    <w:rsid w:val="006D389A"/>
    <w:rsid w:val="006D47AE"/>
    <w:rsid w:val="006D50BB"/>
    <w:rsid w:val="006D55B8"/>
    <w:rsid w:val="006D5C14"/>
    <w:rsid w:val="006D5CD5"/>
    <w:rsid w:val="006E05C9"/>
    <w:rsid w:val="006E13EB"/>
    <w:rsid w:val="006E151E"/>
    <w:rsid w:val="006E1BDA"/>
    <w:rsid w:val="006E20FF"/>
    <w:rsid w:val="006E2C7B"/>
    <w:rsid w:val="006E3FAF"/>
    <w:rsid w:val="006E4A27"/>
    <w:rsid w:val="006E4B72"/>
    <w:rsid w:val="006E4B8F"/>
    <w:rsid w:val="006E4D83"/>
    <w:rsid w:val="006E5800"/>
    <w:rsid w:val="006E5883"/>
    <w:rsid w:val="006E59E2"/>
    <w:rsid w:val="006E5A14"/>
    <w:rsid w:val="006E7389"/>
    <w:rsid w:val="006E75C4"/>
    <w:rsid w:val="006F0640"/>
    <w:rsid w:val="006F1A57"/>
    <w:rsid w:val="006F24A9"/>
    <w:rsid w:val="006F318F"/>
    <w:rsid w:val="006F3795"/>
    <w:rsid w:val="006F408F"/>
    <w:rsid w:val="006F47C1"/>
    <w:rsid w:val="006F4CA7"/>
    <w:rsid w:val="006F55F2"/>
    <w:rsid w:val="006F6FBB"/>
    <w:rsid w:val="006F7885"/>
    <w:rsid w:val="00700B2C"/>
    <w:rsid w:val="00701DC2"/>
    <w:rsid w:val="00702DFB"/>
    <w:rsid w:val="00703018"/>
    <w:rsid w:val="007036E0"/>
    <w:rsid w:val="0070575B"/>
    <w:rsid w:val="0070794B"/>
    <w:rsid w:val="00707FDD"/>
    <w:rsid w:val="0071014D"/>
    <w:rsid w:val="00710FD9"/>
    <w:rsid w:val="00711091"/>
    <w:rsid w:val="00711215"/>
    <w:rsid w:val="00711291"/>
    <w:rsid w:val="00711E6A"/>
    <w:rsid w:val="007122AC"/>
    <w:rsid w:val="00713084"/>
    <w:rsid w:val="007137F5"/>
    <w:rsid w:val="00714947"/>
    <w:rsid w:val="00714AF1"/>
    <w:rsid w:val="007153C7"/>
    <w:rsid w:val="00715914"/>
    <w:rsid w:val="00716A16"/>
    <w:rsid w:val="00716CF8"/>
    <w:rsid w:val="007174C1"/>
    <w:rsid w:val="007176F5"/>
    <w:rsid w:val="00717DF1"/>
    <w:rsid w:val="00720A76"/>
    <w:rsid w:val="007214F5"/>
    <w:rsid w:val="007219B7"/>
    <w:rsid w:val="00721A3C"/>
    <w:rsid w:val="00721A47"/>
    <w:rsid w:val="00721C1B"/>
    <w:rsid w:val="00722777"/>
    <w:rsid w:val="0072292A"/>
    <w:rsid w:val="00723802"/>
    <w:rsid w:val="00723D2A"/>
    <w:rsid w:val="007240FD"/>
    <w:rsid w:val="0072659F"/>
    <w:rsid w:val="0072727B"/>
    <w:rsid w:val="007274A0"/>
    <w:rsid w:val="00727706"/>
    <w:rsid w:val="00730102"/>
    <w:rsid w:val="00730A5F"/>
    <w:rsid w:val="00731E00"/>
    <w:rsid w:val="00731FB6"/>
    <w:rsid w:val="00732689"/>
    <w:rsid w:val="007335E0"/>
    <w:rsid w:val="007339B6"/>
    <w:rsid w:val="00735072"/>
    <w:rsid w:val="00735910"/>
    <w:rsid w:val="00735CF1"/>
    <w:rsid w:val="0073676A"/>
    <w:rsid w:val="00736ADD"/>
    <w:rsid w:val="007371D9"/>
    <w:rsid w:val="00740AAF"/>
    <w:rsid w:val="00741A72"/>
    <w:rsid w:val="00741B3A"/>
    <w:rsid w:val="007420C4"/>
    <w:rsid w:val="007422AC"/>
    <w:rsid w:val="00742502"/>
    <w:rsid w:val="007431EC"/>
    <w:rsid w:val="00743513"/>
    <w:rsid w:val="007440B7"/>
    <w:rsid w:val="0074458A"/>
    <w:rsid w:val="007474CD"/>
    <w:rsid w:val="00747515"/>
    <w:rsid w:val="007503A7"/>
    <w:rsid w:val="0075153F"/>
    <w:rsid w:val="00751CC5"/>
    <w:rsid w:val="007532A8"/>
    <w:rsid w:val="007533A7"/>
    <w:rsid w:val="007535DE"/>
    <w:rsid w:val="00753A64"/>
    <w:rsid w:val="00754AA2"/>
    <w:rsid w:val="00754C2E"/>
    <w:rsid w:val="00755144"/>
    <w:rsid w:val="007553B3"/>
    <w:rsid w:val="00755F29"/>
    <w:rsid w:val="0075782E"/>
    <w:rsid w:val="007579E0"/>
    <w:rsid w:val="00761DBE"/>
    <w:rsid w:val="00762205"/>
    <w:rsid w:val="00762630"/>
    <w:rsid w:val="0076269E"/>
    <w:rsid w:val="007628A0"/>
    <w:rsid w:val="00762A14"/>
    <w:rsid w:val="00763A93"/>
    <w:rsid w:val="00765348"/>
    <w:rsid w:val="007654EE"/>
    <w:rsid w:val="00765790"/>
    <w:rsid w:val="00765B4D"/>
    <w:rsid w:val="00765B6A"/>
    <w:rsid w:val="00765C96"/>
    <w:rsid w:val="007668F4"/>
    <w:rsid w:val="00770C5E"/>
    <w:rsid w:val="007715C9"/>
    <w:rsid w:val="00771947"/>
    <w:rsid w:val="00772E16"/>
    <w:rsid w:val="00773CC1"/>
    <w:rsid w:val="00773D59"/>
    <w:rsid w:val="007741AE"/>
    <w:rsid w:val="0077433F"/>
    <w:rsid w:val="00774EDD"/>
    <w:rsid w:val="00775197"/>
    <w:rsid w:val="007757EC"/>
    <w:rsid w:val="0077677E"/>
    <w:rsid w:val="00777323"/>
    <w:rsid w:val="0077737C"/>
    <w:rsid w:val="007808DD"/>
    <w:rsid w:val="00781333"/>
    <w:rsid w:val="00781690"/>
    <w:rsid w:val="00781776"/>
    <w:rsid w:val="0078238B"/>
    <w:rsid w:val="007823EF"/>
    <w:rsid w:val="00782DE6"/>
    <w:rsid w:val="00782DEB"/>
    <w:rsid w:val="00783204"/>
    <w:rsid w:val="00783797"/>
    <w:rsid w:val="00784539"/>
    <w:rsid w:val="00786907"/>
    <w:rsid w:val="00787791"/>
    <w:rsid w:val="00790514"/>
    <w:rsid w:val="00792604"/>
    <w:rsid w:val="00792634"/>
    <w:rsid w:val="00793B00"/>
    <w:rsid w:val="00794478"/>
    <w:rsid w:val="00794782"/>
    <w:rsid w:val="00794E5C"/>
    <w:rsid w:val="00795472"/>
    <w:rsid w:val="00795C12"/>
    <w:rsid w:val="00796516"/>
    <w:rsid w:val="00796F20"/>
    <w:rsid w:val="00797016"/>
    <w:rsid w:val="007971E9"/>
    <w:rsid w:val="007A0188"/>
    <w:rsid w:val="007A0BA8"/>
    <w:rsid w:val="007A12E5"/>
    <w:rsid w:val="007A2689"/>
    <w:rsid w:val="007A4487"/>
    <w:rsid w:val="007A4FFF"/>
    <w:rsid w:val="007A5ECF"/>
    <w:rsid w:val="007A6816"/>
    <w:rsid w:val="007B0557"/>
    <w:rsid w:val="007B084E"/>
    <w:rsid w:val="007B0C17"/>
    <w:rsid w:val="007B119C"/>
    <w:rsid w:val="007B4022"/>
    <w:rsid w:val="007B41FB"/>
    <w:rsid w:val="007B498B"/>
    <w:rsid w:val="007B6C59"/>
    <w:rsid w:val="007B6E02"/>
    <w:rsid w:val="007B7538"/>
    <w:rsid w:val="007B7D97"/>
    <w:rsid w:val="007B7EDD"/>
    <w:rsid w:val="007B7F59"/>
    <w:rsid w:val="007C19DD"/>
    <w:rsid w:val="007C35F0"/>
    <w:rsid w:val="007C3C3E"/>
    <w:rsid w:val="007C3DA6"/>
    <w:rsid w:val="007C4120"/>
    <w:rsid w:val="007C529E"/>
    <w:rsid w:val="007C5393"/>
    <w:rsid w:val="007C67E7"/>
    <w:rsid w:val="007C7278"/>
    <w:rsid w:val="007C790E"/>
    <w:rsid w:val="007D0E0B"/>
    <w:rsid w:val="007D12E3"/>
    <w:rsid w:val="007D2155"/>
    <w:rsid w:val="007D35AF"/>
    <w:rsid w:val="007D4FE3"/>
    <w:rsid w:val="007D519E"/>
    <w:rsid w:val="007D64E4"/>
    <w:rsid w:val="007D65D4"/>
    <w:rsid w:val="007E0573"/>
    <w:rsid w:val="007E0F59"/>
    <w:rsid w:val="007E163D"/>
    <w:rsid w:val="007E32EB"/>
    <w:rsid w:val="007E32FB"/>
    <w:rsid w:val="007E3647"/>
    <w:rsid w:val="007E47B8"/>
    <w:rsid w:val="007E47E2"/>
    <w:rsid w:val="007E4B66"/>
    <w:rsid w:val="007E4C69"/>
    <w:rsid w:val="007E5164"/>
    <w:rsid w:val="007E554A"/>
    <w:rsid w:val="007E5898"/>
    <w:rsid w:val="007E6A76"/>
    <w:rsid w:val="007E6F59"/>
    <w:rsid w:val="007E7041"/>
    <w:rsid w:val="007E743D"/>
    <w:rsid w:val="007E7B13"/>
    <w:rsid w:val="007F0DB2"/>
    <w:rsid w:val="007F0DCE"/>
    <w:rsid w:val="007F2663"/>
    <w:rsid w:val="007F3160"/>
    <w:rsid w:val="007F3CF6"/>
    <w:rsid w:val="007F3DBB"/>
    <w:rsid w:val="007F499F"/>
    <w:rsid w:val="007F4DE6"/>
    <w:rsid w:val="007F6958"/>
    <w:rsid w:val="007F6B9A"/>
    <w:rsid w:val="007F76F1"/>
    <w:rsid w:val="00800608"/>
    <w:rsid w:val="00800FE9"/>
    <w:rsid w:val="00801EBA"/>
    <w:rsid w:val="00801ED1"/>
    <w:rsid w:val="0080255E"/>
    <w:rsid w:val="00802A1F"/>
    <w:rsid w:val="0080341E"/>
    <w:rsid w:val="008036FB"/>
    <w:rsid w:val="0080555F"/>
    <w:rsid w:val="008058D0"/>
    <w:rsid w:val="00810970"/>
    <w:rsid w:val="00810A8E"/>
    <w:rsid w:val="00811AA6"/>
    <w:rsid w:val="00811F2E"/>
    <w:rsid w:val="00812BE8"/>
    <w:rsid w:val="00812D4A"/>
    <w:rsid w:val="00813F7C"/>
    <w:rsid w:val="00814C76"/>
    <w:rsid w:val="00815AFC"/>
    <w:rsid w:val="00815D05"/>
    <w:rsid w:val="0081668F"/>
    <w:rsid w:val="008173ED"/>
    <w:rsid w:val="0082009C"/>
    <w:rsid w:val="00821097"/>
    <w:rsid w:val="008211FA"/>
    <w:rsid w:val="0082193A"/>
    <w:rsid w:val="00823172"/>
    <w:rsid w:val="00825D57"/>
    <w:rsid w:val="0082613A"/>
    <w:rsid w:val="0082650A"/>
    <w:rsid w:val="008265A6"/>
    <w:rsid w:val="00827258"/>
    <w:rsid w:val="00827949"/>
    <w:rsid w:val="00827CDA"/>
    <w:rsid w:val="00827ED9"/>
    <w:rsid w:val="008306FF"/>
    <w:rsid w:val="00830BB4"/>
    <w:rsid w:val="00830DFB"/>
    <w:rsid w:val="0083188B"/>
    <w:rsid w:val="00831F29"/>
    <w:rsid w:val="008328C9"/>
    <w:rsid w:val="00833B83"/>
    <w:rsid w:val="008347A3"/>
    <w:rsid w:val="008347B4"/>
    <w:rsid w:val="00835FE7"/>
    <w:rsid w:val="00836504"/>
    <w:rsid w:val="00836DF2"/>
    <w:rsid w:val="0083742A"/>
    <w:rsid w:val="0083780E"/>
    <w:rsid w:val="008402AD"/>
    <w:rsid w:val="008405F3"/>
    <w:rsid w:val="0084076B"/>
    <w:rsid w:val="00841A84"/>
    <w:rsid w:val="0084382E"/>
    <w:rsid w:val="00843A1D"/>
    <w:rsid w:val="008446A7"/>
    <w:rsid w:val="0084535C"/>
    <w:rsid w:val="00845495"/>
    <w:rsid w:val="00847A94"/>
    <w:rsid w:val="00850918"/>
    <w:rsid w:val="00851A6A"/>
    <w:rsid w:val="00851BB5"/>
    <w:rsid w:val="0085258A"/>
    <w:rsid w:val="00852CDF"/>
    <w:rsid w:val="0085365A"/>
    <w:rsid w:val="00854BA6"/>
    <w:rsid w:val="00855044"/>
    <w:rsid w:val="00855124"/>
    <w:rsid w:val="00855D68"/>
    <w:rsid w:val="00856A31"/>
    <w:rsid w:val="008605E3"/>
    <w:rsid w:val="00861D90"/>
    <w:rsid w:val="00861F58"/>
    <w:rsid w:val="008620DD"/>
    <w:rsid w:val="00862135"/>
    <w:rsid w:val="00863802"/>
    <w:rsid w:val="00864A52"/>
    <w:rsid w:val="00865B61"/>
    <w:rsid w:val="00865F55"/>
    <w:rsid w:val="008665F8"/>
    <w:rsid w:val="00866BFA"/>
    <w:rsid w:val="00867B53"/>
    <w:rsid w:val="00870106"/>
    <w:rsid w:val="00870EA4"/>
    <w:rsid w:val="008725CF"/>
    <w:rsid w:val="00872B8C"/>
    <w:rsid w:val="00872DED"/>
    <w:rsid w:val="00873DE4"/>
    <w:rsid w:val="0087422D"/>
    <w:rsid w:val="00874522"/>
    <w:rsid w:val="008754D0"/>
    <w:rsid w:val="0087777E"/>
    <w:rsid w:val="00877E19"/>
    <w:rsid w:val="00877F4C"/>
    <w:rsid w:val="00877FA9"/>
    <w:rsid w:val="00880C34"/>
    <w:rsid w:val="00880DB9"/>
    <w:rsid w:val="00881396"/>
    <w:rsid w:val="00881AAC"/>
    <w:rsid w:val="00882F28"/>
    <w:rsid w:val="00883DE4"/>
    <w:rsid w:val="00884FDE"/>
    <w:rsid w:val="008853B2"/>
    <w:rsid w:val="00885601"/>
    <w:rsid w:val="008861ED"/>
    <w:rsid w:val="0088685D"/>
    <w:rsid w:val="0088768D"/>
    <w:rsid w:val="00887CF8"/>
    <w:rsid w:val="00890161"/>
    <w:rsid w:val="00890C16"/>
    <w:rsid w:val="00891146"/>
    <w:rsid w:val="00891167"/>
    <w:rsid w:val="0089144A"/>
    <w:rsid w:val="00891C63"/>
    <w:rsid w:val="00892761"/>
    <w:rsid w:val="00892ACE"/>
    <w:rsid w:val="008936E0"/>
    <w:rsid w:val="008948D2"/>
    <w:rsid w:val="00895D89"/>
    <w:rsid w:val="00897245"/>
    <w:rsid w:val="00897A82"/>
    <w:rsid w:val="008A0A91"/>
    <w:rsid w:val="008A0E90"/>
    <w:rsid w:val="008A0EFC"/>
    <w:rsid w:val="008A101F"/>
    <w:rsid w:val="008A1499"/>
    <w:rsid w:val="008A1675"/>
    <w:rsid w:val="008A1B03"/>
    <w:rsid w:val="008A33C1"/>
    <w:rsid w:val="008A34E8"/>
    <w:rsid w:val="008A36CD"/>
    <w:rsid w:val="008A3A19"/>
    <w:rsid w:val="008A40FA"/>
    <w:rsid w:val="008A4B2E"/>
    <w:rsid w:val="008A6819"/>
    <w:rsid w:val="008A73F5"/>
    <w:rsid w:val="008B0D51"/>
    <w:rsid w:val="008B2FD8"/>
    <w:rsid w:val="008B33BF"/>
    <w:rsid w:val="008B448E"/>
    <w:rsid w:val="008B45AC"/>
    <w:rsid w:val="008B45EE"/>
    <w:rsid w:val="008B5B14"/>
    <w:rsid w:val="008B61FA"/>
    <w:rsid w:val="008B7384"/>
    <w:rsid w:val="008C0006"/>
    <w:rsid w:val="008C0908"/>
    <w:rsid w:val="008C0A6A"/>
    <w:rsid w:val="008C1592"/>
    <w:rsid w:val="008C22BC"/>
    <w:rsid w:val="008C255B"/>
    <w:rsid w:val="008C2BDF"/>
    <w:rsid w:val="008C2CB2"/>
    <w:rsid w:val="008C3BA5"/>
    <w:rsid w:val="008C3BAE"/>
    <w:rsid w:val="008C4659"/>
    <w:rsid w:val="008C485B"/>
    <w:rsid w:val="008C4F4D"/>
    <w:rsid w:val="008C52E2"/>
    <w:rsid w:val="008C595E"/>
    <w:rsid w:val="008C5B0F"/>
    <w:rsid w:val="008C5DD8"/>
    <w:rsid w:val="008C6139"/>
    <w:rsid w:val="008C6AF7"/>
    <w:rsid w:val="008C7A8A"/>
    <w:rsid w:val="008D0647"/>
    <w:rsid w:val="008D0EE0"/>
    <w:rsid w:val="008D1A19"/>
    <w:rsid w:val="008D2184"/>
    <w:rsid w:val="008D2664"/>
    <w:rsid w:val="008D34D4"/>
    <w:rsid w:val="008D4471"/>
    <w:rsid w:val="008D5421"/>
    <w:rsid w:val="008D5DA9"/>
    <w:rsid w:val="008D6DF9"/>
    <w:rsid w:val="008D70D5"/>
    <w:rsid w:val="008D7977"/>
    <w:rsid w:val="008D7AF9"/>
    <w:rsid w:val="008E00D4"/>
    <w:rsid w:val="008E0D92"/>
    <w:rsid w:val="008E0E9F"/>
    <w:rsid w:val="008E29CD"/>
    <w:rsid w:val="008E359B"/>
    <w:rsid w:val="008E572F"/>
    <w:rsid w:val="008E6090"/>
    <w:rsid w:val="008E741A"/>
    <w:rsid w:val="008E7744"/>
    <w:rsid w:val="008E7D01"/>
    <w:rsid w:val="008E7DA0"/>
    <w:rsid w:val="008E7FB6"/>
    <w:rsid w:val="008F0693"/>
    <w:rsid w:val="008F0710"/>
    <w:rsid w:val="008F19F6"/>
    <w:rsid w:val="008F33D2"/>
    <w:rsid w:val="008F54E7"/>
    <w:rsid w:val="008F58DE"/>
    <w:rsid w:val="008F6098"/>
    <w:rsid w:val="008F6363"/>
    <w:rsid w:val="008F6A5E"/>
    <w:rsid w:val="008F6C15"/>
    <w:rsid w:val="008F6E1F"/>
    <w:rsid w:val="008F6E61"/>
    <w:rsid w:val="008F724B"/>
    <w:rsid w:val="008F7572"/>
    <w:rsid w:val="008F794D"/>
    <w:rsid w:val="009008F0"/>
    <w:rsid w:val="00902364"/>
    <w:rsid w:val="0090267E"/>
    <w:rsid w:val="00902E0A"/>
    <w:rsid w:val="00903422"/>
    <w:rsid w:val="0090417B"/>
    <w:rsid w:val="00904A11"/>
    <w:rsid w:val="00904A28"/>
    <w:rsid w:val="009050D7"/>
    <w:rsid w:val="00906274"/>
    <w:rsid w:val="00906C0F"/>
    <w:rsid w:val="0090758E"/>
    <w:rsid w:val="00907B86"/>
    <w:rsid w:val="00907C44"/>
    <w:rsid w:val="00910341"/>
    <w:rsid w:val="009106DA"/>
    <w:rsid w:val="009107B9"/>
    <w:rsid w:val="00912114"/>
    <w:rsid w:val="00912B85"/>
    <w:rsid w:val="00912D5F"/>
    <w:rsid w:val="0091389C"/>
    <w:rsid w:val="00914364"/>
    <w:rsid w:val="009145F6"/>
    <w:rsid w:val="0091486A"/>
    <w:rsid w:val="009148D7"/>
    <w:rsid w:val="009150F2"/>
    <w:rsid w:val="0091512C"/>
    <w:rsid w:val="009158F9"/>
    <w:rsid w:val="00916A32"/>
    <w:rsid w:val="00917247"/>
    <w:rsid w:val="00920680"/>
    <w:rsid w:val="00920FF4"/>
    <w:rsid w:val="009213EB"/>
    <w:rsid w:val="009217DF"/>
    <w:rsid w:val="00922877"/>
    <w:rsid w:val="00923135"/>
    <w:rsid w:val="00923FD7"/>
    <w:rsid w:val="00924091"/>
    <w:rsid w:val="009240AF"/>
    <w:rsid w:val="009243CA"/>
    <w:rsid w:val="0092446B"/>
    <w:rsid w:val="00927FE3"/>
    <w:rsid w:val="0093101B"/>
    <w:rsid w:val="009310F2"/>
    <w:rsid w:val="009315B3"/>
    <w:rsid w:val="00931C0E"/>
    <w:rsid w:val="00931C61"/>
    <w:rsid w:val="00932377"/>
    <w:rsid w:val="009334DF"/>
    <w:rsid w:val="00933626"/>
    <w:rsid w:val="0093481B"/>
    <w:rsid w:val="00935590"/>
    <w:rsid w:val="009359AE"/>
    <w:rsid w:val="00935B22"/>
    <w:rsid w:val="00936A68"/>
    <w:rsid w:val="00936B76"/>
    <w:rsid w:val="00936DEA"/>
    <w:rsid w:val="00936EE0"/>
    <w:rsid w:val="00941F96"/>
    <w:rsid w:val="00942565"/>
    <w:rsid w:val="00942F65"/>
    <w:rsid w:val="00943A81"/>
    <w:rsid w:val="00944636"/>
    <w:rsid w:val="00945604"/>
    <w:rsid w:val="00945972"/>
    <w:rsid w:val="009465ED"/>
    <w:rsid w:val="009473FC"/>
    <w:rsid w:val="00947D5A"/>
    <w:rsid w:val="00950467"/>
    <w:rsid w:val="00950C12"/>
    <w:rsid w:val="009511B2"/>
    <w:rsid w:val="009532A5"/>
    <w:rsid w:val="009560EF"/>
    <w:rsid w:val="00957381"/>
    <w:rsid w:val="00957E14"/>
    <w:rsid w:val="009600A7"/>
    <w:rsid w:val="00960203"/>
    <w:rsid w:val="00960302"/>
    <w:rsid w:val="009604DA"/>
    <w:rsid w:val="00961156"/>
    <w:rsid w:val="009612FA"/>
    <w:rsid w:val="00961869"/>
    <w:rsid w:val="00962535"/>
    <w:rsid w:val="009628DD"/>
    <w:rsid w:val="009630A3"/>
    <w:rsid w:val="009631D9"/>
    <w:rsid w:val="009633B4"/>
    <w:rsid w:val="00963642"/>
    <w:rsid w:val="00963851"/>
    <w:rsid w:val="00963924"/>
    <w:rsid w:val="00964BE0"/>
    <w:rsid w:val="00965B1C"/>
    <w:rsid w:val="00965F5D"/>
    <w:rsid w:val="0096725F"/>
    <w:rsid w:val="009677CF"/>
    <w:rsid w:val="00967AB4"/>
    <w:rsid w:val="00967E36"/>
    <w:rsid w:val="00970AF0"/>
    <w:rsid w:val="00971622"/>
    <w:rsid w:val="00972050"/>
    <w:rsid w:val="00972140"/>
    <w:rsid w:val="009724F1"/>
    <w:rsid w:val="009752DE"/>
    <w:rsid w:val="00976CE0"/>
    <w:rsid w:val="0097725A"/>
    <w:rsid w:val="00977E0C"/>
    <w:rsid w:val="009813B2"/>
    <w:rsid w:val="0098159B"/>
    <w:rsid w:val="00981CF7"/>
    <w:rsid w:val="009827C9"/>
    <w:rsid w:val="00985912"/>
    <w:rsid w:val="00985949"/>
    <w:rsid w:val="00985D3D"/>
    <w:rsid w:val="00986111"/>
    <w:rsid w:val="00986305"/>
    <w:rsid w:val="009868E9"/>
    <w:rsid w:val="00987BFA"/>
    <w:rsid w:val="0099056E"/>
    <w:rsid w:val="00996939"/>
    <w:rsid w:val="009970BB"/>
    <w:rsid w:val="00997B73"/>
    <w:rsid w:val="009A06CC"/>
    <w:rsid w:val="009A21CA"/>
    <w:rsid w:val="009A260C"/>
    <w:rsid w:val="009A36F0"/>
    <w:rsid w:val="009A377F"/>
    <w:rsid w:val="009A40A3"/>
    <w:rsid w:val="009A4993"/>
    <w:rsid w:val="009A6055"/>
    <w:rsid w:val="009A63FE"/>
    <w:rsid w:val="009A6923"/>
    <w:rsid w:val="009A6EE3"/>
    <w:rsid w:val="009B0277"/>
    <w:rsid w:val="009B0363"/>
    <w:rsid w:val="009B0596"/>
    <w:rsid w:val="009B087E"/>
    <w:rsid w:val="009B1168"/>
    <w:rsid w:val="009B13C6"/>
    <w:rsid w:val="009B248D"/>
    <w:rsid w:val="009B33E3"/>
    <w:rsid w:val="009B4415"/>
    <w:rsid w:val="009B4BBF"/>
    <w:rsid w:val="009B6CEE"/>
    <w:rsid w:val="009C0F65"/>
    <w:rsid w:val="009C164E"/>
    <w:rsid w:val="009C2616"/>
    <w:rsid w:val="009C27D6"/>
    <w:rsid w:val="009C2BD6"/>
    <w:rsid w:val="009C5317"/>
    <w:rsid w:val="009C5825"/>
    <w:rsid w:val="009C5DD7"/>
    <w:rsid w:val="009C7D3F"/>
    <w:rsid w:val="009D1EAF"/>
    <w:rsid w:val="009D41DC"/>
    <w:rsid w:val="009D5379"/>
    <w:rsid w:val="009D593E"/>
    <w:rsid w:val="009D5E66"/>
    <w:rsid w:val="009D6755"/>
    <w:rsid w:val="009D753B"/>
    <w:rsid w:val="009D785D"/>
    <w:rsid w:val="009D7DB8"/>
    <w:rsid w:val="009D7EC0"/>
    <w:rsid w:val="009E008A"/>
    <w:rsid w:val="009E19C7"/>
    <w:rsid w:val="009E2410"/>
    <w:rsid w:val="009E3357"/>
    <w:rsid w:val="009E378E"/>
    <w:rsid w:val="009E5559"/>
    <w:rsid w:val="009E5620"/>
    <w:rsid w:val="009E5830"/>
    <w:rsid w:val="009E6A36"/>
    <w:rsid w:val="009F0E4D"/>
    <w:rsid w:val="009F1C52"/>
    <w:rsid w:val="009F1E81"/>
    <w:rsid w:val="009F1F3A"/>
    <w:rsid w:val="009F225B"/>
    <w:rsid w:val="009F289B"/>
    <w:rsid w:val="009F31F2"/>
    <w:rsid w:val="009F3891"/>
    <w:rsid w:val="009F3AD4"/>
    <w:rsid w:val="009F4193"/>
    <w:rsid w:val="009F4258"/>
    <w:rsid w:val="009F6DF2"/>
    <w:rsid w:val="00A00167"/>
    <w:rsid w:val="00A00789"/>
    <w:rsid w:val="00A02794"/>
    <w:rsid w:val="00A02E2F"/>
    <w:rsid w:val="00A0350C"/>
    <w:rsid w:val="00A03B6D"/>
    <w:rsid w:val="00A04676"/>
    <w:rsid w:val="00A04E35"/>
    <w:rsid w:val="00A06F69"/>
    <w:rsid w:val="00A07043"/>
    <w:rsid w:val="00A108C2"/>
    <w:rsid w:val="00A11929"/>
    <w:rsid w:val="00A11EBC"/>
    <w:rsid w:val="00A130AD"/>
    <w:rsid w:val="00A138C3"/>
    <w:rsid w:val="00A14FA6"/>
    <w:rsid w:val="00A1538D"/>
    <w:rsid w:val="00A16075"/>
    <w:rsid w:val="00A16887"/>
    <w:rsid w:val="00A169B7"/>
    <w:rsid w:val="00A16EAE"/>
    <w:rsid w:val="00A206FE"/>
    <w:rsid w:val="00A2074B"/>
    <w:rsid w:val="00A21278"/>
    <w:rsid w:val="00A217CD"/>
    <w:rsid w:val="00A219ED"/>
    <w:rsid w:val="00A21DC8"/>
    <w:rsid w:val="00A22C98"/>
    <w:rsid w:val="00A231E2"/>
    <w:rsid w:val="00A24452"/>
    <w:rsid w:val="00A251AD"/>
    <w:rsid w:val="00A25CE6"/>
    <w:rsid w:val="00A26E8B"/>
    <w:rsid w:val="00A275AA"/>
    <w:rsid w:val="00A27EFF"/>
    <w:rsid w:val="00A307E8"/>
    <w:rsid w:val="00A309ED"/>
    <w:rsid w:val="00A30B6D"/>
    <w:rsid w:val="00A326FC"/>
    <w:rsid w:val="00A32830"/>
    <w:rsid w:val="00A32922"/>
    <w:rsid w:val="00A32E0A"/>
    <w:rsid w:val="00A32E5F"/>
    <w:rsid w:val="00A32F10"/>
    <w:rsid w:val="00A32F4C"/>
    <w:rsid w:val="00A34EB7"/>
    <w:rsid w:val="00A36634"/>
    <w:rsid w:val="00A36772"/>
    <w:rsid w:val="00A36D31"/>
    <w:rsid w:val="00A36E17"/>
    <w:rsid w:val="00A36E4B"/>
    <w:rsid w:val="00A3756D"/>
    <w:rsid w:val="00A3758C"/>
    <w:rsid w:val="00A426FF"/>
    <w:rsid w:val="00A4289E"/>
    <w:rsid w:val="00A42E37"/>
    <w:rsid w:val="00A43106"/>
    <w:rsid w:val="00A4452F"/>
    <w:rsid w:val="00A44F35"/>
    <w:rsid w:val="00A45D7A"/>
    <w:rsid w:val="00A45F16"/>
    <w:rsid w:val="00A469F9"/>
    <w:rsid w:val="00A46F89"/>
    <w:rsid w:val="00A47266"/>
    <w:rsid w:val="00A479AD"/>
    <w:rsid w:val="00A47AB7"/>
    <w:rsid w:val="00A505C8"/>
    <w:rsid w:val="00A507C1"/>
    <w:rsid w:val="00A51CDC"/>
    <w:rsid w:val="00A51EAA"/>
    <w:rsid w:val="00A523CC"/>
    <w:rsid w:val="00A5295F"/>
    <w:rsid w:val="00A52F72"/>
    <w:rsid w:val="00A536D1"/>
    <w:rsid w:val="00A53DFF"/>
    <w:rsid w:val="00A5496D"/>
    <w:rsid w:val="00A55713"/>
    <w:rsid w:val="00A6041D"/>
    <w:rsid w:val="00A61053"/>
    <w:rsid w:val="00A617B9"/>
    <w:rsid w:val="00A61FAF"/>
    <w:rsid w:val="00A62CC1"/>
    <w:rsid w:val="00A6312B"/>
    <w:rsid w:val="00A6483C"/>
    <w:rsid w:val="00A64912"/>
    <w:rsid w:val="00A6493A"/>
    <w:rsid w:val="00A66B18"/>
    <w:rsid w:val="00A66C1A"/>
    <w:rsid w:val="00A678C7"/>
    <w:rsid w:val="00A70A74"/>
    <w:rsid w:val="00A71147"/>
    <w:rsid w:val="00A72929"/>
    <w:rsid w:val="00A73EA3"/>
    <w:rsid w:val="00A744B1"/>
    <w:rsid w:val="00A747B5"/>
    <w:rsid w:val="00A74B3B"/>
    <w:rsid w:val="00A77081"/>
    <w:rsid w:val="00A77D85"/>
    <w:rsid w:val="00A77E56"/>
    <w:rsid w:val="00A802BC"/>
    <w:rsid w:val="00A8079C"/>
    <w:rsid w:val="00A808BC"/>
    <w:rsid w:val="00A809EC"/>
    <w:rsid w:val="00A8105A"/>
    <w:rsid w:val="00A811B1"/>
    <w:rsid w:val="00A81309"/>
    <w:rsid w:val="00A81607"/>
    <w:rsid w:val="00A81929"/>
    <w:rsid w:val="00A81B50"/>
    <w:rsid w:val="00A81E60"/>
    <w:rsid w:val="00A81F16"/>
    <w:rsid w:val="00A827F9"/>
    <w:rsid w:val="00A82A11"/>
    <w:rsid w:val="00A82C45"/>
    <w:rsid w:val="00A83AAF"/>
    <w:rsid w:val="00A841DF"/>
    <w:rsid w:val="00A8492A"/>
    <w:rsid w:val="00A856E4"/>
    <w:rsid w:val="00A85D92"/>
    <w:rsid w:val="00A867B2"/>
    <w:rsid w:val="00A871AC"/>
    <w:rsid w:val="00A872DC"/>
    <w:rsid w:val="00A87C0B"/>
    <w:rsid w:val="00A87ED2"/>
    <w:rsid w:val="00A90A25"/>
    <w:rsid w:val="00A918E7"/>
    <w:rsid w:val="00A91A39"/>
    <w:rsid w:val="00A92C2F"/>
    <w:rsid w:val="00A93F21"/>
    <w:rsid w:val="00A9401E"/>
    <w:rsid w:val="00A942B9"/>
    <w:rsid w:val="00A95658"/>
    <w:rsid w:val="00A95AF3"/>
    <w:rsid w:val="00A97AEB"/>
    <w:rsid w:val="00A97DA8"/>
    <w:rsid w:val="00AA11BD"/>
    <w:rsid w:val="00AA18D1"/>
    <w:rsid w:val="00AA241F"/>
    <w:rsid w:val="00AA2600"/>
    <w:rsid w:val="00AA31D6"/>
    <w:rsid w:val="00AA374C"/>
    <w:rsid w:val="00AA4F75"/>
    <w:rsid w:val="00AA7076"/>
    <w:rsid w:val="00AB0F11"/>
    <w:rsid w:val="00AB276A"/>
    <w:rsid w:val="00AB28A2"/>
    <w:rsid w:val="00AB3DDF"/>
    <w:rsid w:val="00AB44D6"/>
    <w:rsid w:val="00AB4B64"/>
    <w:rsid w:val="00AB6F10"/>
    <w:rsid w:val="00AB7327"/>
    <w:rsid w:val="00AB7ED6"/>
    <w:rsid w:val="00AC03E1"/>
    <w:rsid w:val="00AC09E2"/>
    <w:rsid w:val="00AC0C89"/>
    <w:rsid w:val="00AC0E8D"/>
    <w:rsid w:val="00AC1114"/>
    <w:rsid w:val="00AC176E"/>
    <w:rsid w:val="00AC1D03"/>
    <w:rsid w:val="00AC308D"/>
    <w:rsid w:val="00AC4662"/>
    <w:rsid w:val="00AC46F2"/>
    <w:rsid w:val="00AC4709"/>
    <w:rsid w:val="00AC4BEB"/>
    <w:rsid w:val="00AC5738"/>
    <w:rsid w:val="00AC6012"/>
    <w:rsid w:val="00AC7220"/>
    <w:rsid w:val="00AC7F21"/>
    <w:rsid w:val="00AD040A"/>
    <w:rsid w:val="00AD0C92"/>
    <w:rsid w:val="00AD0DE4"/>
    <w:rsid w:val="00AD1AEC"/>
    <w:rsid w:val="00AD1B9C"/>
    <w:rsid w:val="00AD1EA6"/>
    <w:rsid w:val="00AD2025"/>
    <w:rsid w:val="00AD246C"/>
    <w:rsid w:val="00AD24E4"/>
    <w:rsid w:val="00AD3538"/>
    <w:rsid w:val="00AD3CFE"/>
    <w:rsid w:val="00AD44F5"/>
    <w:rsid w:val="00AD4C86"/>
    <w:rsid w:val="00AD5641"/>
    <w:rsid w:val="00AD732E"/>
    <w:rsid w:val="00AD7AA3"/>
    <w:rsid w:val="00AD7CB7"/>
    <w:rsid w:val="00AD7F31"/>
    <w:rsid w:val="00AE0334"/>
    <w:rsid w:val="00AE10DB"/>
    <w:rsid w:val="00AE16D8"/>
    <w:rsid w:val="00AE1C01"/>
    <w:rsid w:val="00AE1F5D"/>
    <w:rsid w:val="00AE2B34"/>
    <w:rsid w:val="00AE2B7E"/>
    <w:rsid w:val="00AE2F7A"/>
    <w:rsid w:val="00AE2FC5"/>
    <w:rsid w:val="00AE3072"/>
    <w:rsid w:val="00AE7BFB"/>
    <w:rsid w:val="00AE7F9F"/>
    <w:rsid w:val="00AF06CF"/>
    <w:rsid w:val="00AF06F0"/>
    <w:rsid w:val="00AF11C3"/>
    <w:rsid w:val="00AF2928"/>
    <w:rsid w:val="00AF2984"/>
    <w:rsid w:val="00AF39D5"/>
    <w:rsid w:val="00AF39D6"/>
    <w:rsid w:val="00AF3A79"/>
    <w:rsid w:val="00AF3CF7"/>
    <w:rsid w:val="00AF3D05"/>
    <w:rsid w:val="00AF3EBD"/>
    <w:rsid w:val="00AF3EEB"/>
    <w:rsid w:val="00AF4263"/>
    <w:rsid w:val="00AF5842"/>
    <w:rsid w:val="00AF5D7A"/>
    <w:rsid w:val="00AF6184"/>
    <w:rsid w:val="00AF69AC"/>
    <w:rsid w:val="00AF72AF"/>
    <w:rsid w:val="00AF7632"/>
    <w:rsid w:val="00B00215"/>
    <w:rsid w:val="00B00357"/>
    <w:rsid w:val="00B015EB"/>
    <w:rsid w:val="00B01DF1"/>
    <w:rsid w:val="00B02235"/>
    <w:rsid w:val="00B029C2"/>
    <w:rsid w:val="00B02EF0"/>
    <w:rsid w:val="00B02FA2"/>
    <w:rsid w:val="00B03DE3"/>
    <w:rsid w:val="00B05740"/>
    <w:rsid w:val="00B05BCC"/>
    <w:rsid w:val="00B05D4C"/>
    <w:rsid w:val="00B06671"/>
    <w:rsid w:val="00B066E5"/>
    <w:rsid w:val="00B103C0"/>
    <w:rsid w:val="00B1060E"/>
    <w:rsid w:val="00B10C9B"/>
    <w:rsid w:val="00B10E04"/>
    <w:rsid w:val="00B11253"/>
    <w:rsid w:val="00B136FC"/>
    <w:rsid w:val="00B13A0F"/>
    <w:rsid w:val="00B13D9B"/>
    <w:rsid w:val="00B14302"/>
    <w:rsid w:val="00B1535F"/>
    <w:rsid w:val="00B15CAC"/>
    <w:rsid w:val="00B16C4F"/>
    <w:rsid w:val="00B20503"/>
    <w:rsid w:val="00B2118C"/>
    <w:rsid w:val="00B2164F"/>
    <w:rsid w:val="00B21F29"/>
    <w:rsid w:val="00B22E52"/>
    <w:rsid w:val="00B238E2"/>
    <w:rsid w:val="00B24779"/>
    <w:rsid w:val="00B25CF7"/>
    <w:rsid w:val="00B25E04"/>
    <w:rsid w:val="00B25FAC"/>
    <w:rsid w:val="00B26079"/>
    <w:rsid w:val="00B268F3"/>
    <w:rsid w:val="00B269CA"/>
    <w:rsid w:val="00B269FA"/>
    <w:rsid w:val="00B26F87"/>
    <w:rsid w:val="00B27295"/>
    <w:rsid w:val="00B31564"/>
    <w:rsid w:val="00B31D0F"/>
    <w:rsid w:val="00B32A28"/>
    <w:rsid w:val="00B33B3C"/>
    <w:rsid w:val="00B33C84"/>
    <w:rsid w:val="00B3402D"/>
    <w:rsid w:val="00B341EC"/>
    <w:rsid w:val="00B3433C"/>
    <w:rsid w:val="00B368EC"/>
    <w:rsid w:val="00B36CC1"/>
    <w:rsid w:val="00B36FE5"/>
    <w:rsid w:val="00B3700D"/>
    <w:rsid w:val="00B37538"/>
    <w:rsid w:val="00B40C07"/>
    <w:rsid w:val="00B40EFD"/>
    <w:rsid w:val="00B410EA"/>
    <w:rsid w:val="00B41448"/>
    <w:rsid w:val="00B43668"/>
    <w:rsid w:val="00B436C1"/>
    <w:rsid w:val="00B43BD7"/>
    <w:rsid w:val="00B4478E"/>
    <w:rsid w:val="00B44C05"/>
    <w:rsid w:val="00B44D4F"/>
    <w:rsid w:val="00B46132"/>
    <w:rsid w:val="00B46909"/>
    <w:rsid w:val="00B47368"/>
    <w:rsid w:val="00B477A6"/>
    <w:rsid w:val="00B51A04"/>
    <w:rsid w:val="00B51A59"/>
    <w:rsid w:val="00B520BF"/>
    <w:rsid w:val="00B5211A"/>
    <w:rsid w:val="00B52423"/>
    <w:rsid w:val="00B52575"/>
    <w:rsid w:val="00B53A98"/>
    <w:rsid w:val="00B53E52"/>
    <w:rsid w:val="00B53E97"/>
    <w:rsid w:val="00B54457"/>
    <w:rsid w:val="00B55D44"/>
    <w:rsid w:val="00B572E0"/>
    <w:rsid w:val="00B57661"/>
    <w:rsid w:val="00B612DF"/>
    <w:rsid w:val="00B62C94"/>
    <w:rsid w:val="00B63834"/>
    <w:rsid w:val="00B63E8A"/>
    <w:rsid w:val="00B66627"/>
    <w:rsid w:val="00B67A8F"/>
    <w:rsid w:val="00B70DF9"/>
    <w:rsid w:val="00B70F33"/>
    <w:rsid w:val="00B7212E"/>
    <w:rsid w:val="00B72771"/>
    <w:rsid w:val="00B72AF0"/>
    <w:rsid w:val="00B733D4"/>
    <w:rsid w:val="00B73459"/>
    <w:rsid w:val="00B73FC8"/>
    <w:rsid w:val="00B766A4"/>
    <w:rsid w:val="00B7749C"/>
    <w:rsid w:val="00B8004A"/>
    <w:rsid w:val="00B80199"/>
    <w:rsid w:val="00B80263"/>
    <w:rsid w:val="00B802BF"/>
    <w:rsid w:val="00B81A6F"/>
    <w:rsid w:val="00B81B9B"/>
    <w:rsid w:val="00B81EE0"/>
    <w:rsid w:val="00B820BA"/>
    <w:rsid w:val="00B827A8"/>
    <w:rsid w:val="00B8597A"/>
    <w:rsid w:val="00B86327"/>
    <w:rsid w:val="00B86F05"/>
    <w:rsid w:val="00B87317"/>
    <w:rsid w:val="00B918AC"/>
    <w:rsid w:val="00B93246"/>
    <w:rsid w:val="00B932F0"/>
    <w:rsid w:val="00B93CBC"/>
    <w:rsid w:val="00B94F09"/>
    <w:rsid w:val="00B95A0A"/>
    <w:rsid w:val="00B96C37"/>
    <w:rsid w:val="00BA0972"/>
    <w:rsid w:val="00BA1F00"/>
    <w:rsid w:val="00BA220B"/>
    <w:rsid w:val="00BA3B69"/>
    <w:rsid w:val="00BA466A"/>
    <w:rsid w:val="00BA4FC1"/>
    <w:rsid w:val="00BA70A8"/>
    <w:rsid w:val="00BA751F"/>
    <w:rsid w:val="00BB0087"/>
    <w:rsid w:val="00BB0799"/>
    <w:rsid w:val="00BB1DA3"/>
    <w:rsid w:val="00BB21FE"/>
    <w:rsid w:val="00BB274F"/>
    <w:rsid w:val="00BB2A49"/>
    <w:rsid w:val="00BB2F64"/>
    <w:rsid w:val="00BB3D29"/>
    <w:rsid w:val="00BB5136"/>
    <w:rsid w:val="00BB63C2"/>
    <w:rsid w:val="00BB6D61"/>
    <w:rsid w:val="00BB70DC"/>
    <w:rsid w:val="00BC19FC"/>
    <w:rsid w:val="00BC261B"/>
    <w:rsid w:val="00BC2FB0"/>
    <w:rsid w:val="00BC3C1E"/>
    <w:rsid w:val="00BC3C75"/>
    <w:rsid w:val="00BC3C9B"/>
    <w:rsid w:val="00BC42CF"/>
    <w:rsid w:val="00BC4E17"/>
    <w:rsid w:val="00BC50C7"/>
    <w:rsid w:val="00BC691E"/>
    <w:rsid w:val="00BC7CFC"/>
    <w:rsid w:val="00BD199C"/>
    <w:rsid w:val="00BD3015"/>
    <w:rsid w:val="00BD400A"/>
    <w:rsid w:val="00BD4776"/>
    <w:rsid w:val="00BD515F"/>
    <w:rsid w:val="00BD53A0"/>
    <w:rsid w:val="00BD586E"/>
    <w:rsid w:val="00BD6E58"/>
    <w:rsid w:val="00BE0041"/>
    <w:rsid w:val="00BE08FE"/>
    <w:rsid w:val="00BE11B9"/>
    <w:rsid w:val="00BE2129"/>
    <w:rsid w:val="00BE26BB"/>
    <w:rsid w:val="00BE719A"/>
    <w:rsid w:val="00BE720A"/>
    <w:rsid w:val="00BF0345"/>
    <w:rsid w:val="00BF08EB"/>
    <w:rsid w:val="00BF0E62"/>
    <w:rsid w:val="00BF1336"/>
    <w:rsid w:val="00BF2677"/>
    <w:rsid w:val="00BF2A22"/>
    <w:rsid w:val="00BF2C96"/>
    <w:rsid w:val="00BF3854"/>
    <w:rsid w:val="00BF3B8A"/>
    <w:rsid w:val="00BF4F40"/>
    <w:rsid w:val="00BF5698"/>
    <w:rsid w:val="00BF5A30"/>
    <w:rsid w:val="00BF5DB5"/>
    <w:rsid w:val="00BF6644"/>
    <w:rsid w:val="00BF6B99"/>
    <w:rsid w:val="00BF6F73"/>
    <w:rsid w:val="00C010C1"/>
    <w:rsid w:val="00C01EF7"/>
    <w:rsid w:val="00C025BD"/>
    <w:rsid w:val="00C02686"/>
    <w:rsid w:val="00C027BF"/>
    <w:rsid w:val="00C03199"/>
    <w:rsid w:val="00C039A6"/>
    <w:rsid w:val="00C03CD5"/>
    <w:rsid w:val="00C0548B"/>
    <w:rsid w:val="00C060A9"/>
    <w:rsid w:val="00C062EB"/>
    <w:rsid w:val="00C068C3"/>
    <w:rsid w:val="00C06C72"/>
    <w:rsid w:val="00C102BE"/>
    <w:rsid w:val="00C1149A"/>
    <w:rsid w:val="00C11D28"/>
    <w:rsid w:val="00C13732"/>
    <w:rsid w:val="00C1411F"/>
    <w:rsid w:val="00C148C7"/>
    <w:rsid w:val="00C14AF8"/>
    <w:rsid w:val="00C1503A"/>
    <w:rsid w:val="00C15494"/>
    <w:rsid w:val="00C16484"/>
    <w:rsid w:val="00C1736A"/>
    <w:rsid w:val="00C20233"/>
    <w:rsid w:val="00C20E26"/>
    <w:rsid w:val="00C22AAE"/>
    <w:rsid w:val="00C23661"/>
    <w:rsid w:val="00C23EBA"/>
    <w:rsid w:val="00C240C8"/>
    <w:rsid w:val="00C24532"/>
    <w:rsid w:val="00C24634"/>
    <w:rsid w:val="00C246F7"/>
    <w:rsid w:val="00C257F3"/>
    <w:rsid w:val="00C264FA"/>
    <w:rsid w:val="00C27EA7"/>
    <w:rsid w:val="00C30C11"/>
    <w:rsid w:val="00C31DE7"/>
    <w:rsid w:val="00C3238C"/>
    <w:rsid w:val="00C32854"/>
    <w:rsid w:val="00C32B00"/>
    <w:rsid w:val="00C32D86"/>
    <w:rsid w:val="00C33810"/>
    <w:rsid w:val="00C33A83"/>
    <w:rsid w:val="00C33FA4"/>
    <w:rsid w:val="00C36E1A"/>
    <w:rsid w:val="00C40114"/>
    <w:rsid w:val="00C40183"/>
    <w:rsid w:val="00C40B16"/>
    <w:rsid w:val="00C41329"/>
    <w:rsid w:val="00C415A0"/>
    <w:rsid w:val="00C419AF"/>
    <w:rsid w:val="00C41B7D"/>
    <w:rsid w:val="00C42BF8"/>
    <w:rsid w:val="00C42E0D"/>
    <w:rsid w:val="00C432AD"/>
    <w:rsid w:val="00C4343B"/>
    <w:rsid w:val="00C44BA8"/>
    <w:rsid w:val="00C46A2E"/>
    <w:rsid w:val="00C46C35"/>
    <w:rsid w:val="00C46E6D"/>
    <w:rsid w:val="00C478BD"/>
    <w:rsid w:val="00C47CAE"/>
    <w:rsid w:val="00C50043"/>
    <w:rsid w:val="00C50C6F"/>
    <w:rsid w:val="00C51F7F"/>
    <w:rsid w:val="00C522DB"/>
    <w:rsid w:val="00C52B8D"/>
    <w:rsid w:val="00C53B1C"/>
    <w:rsid w:val="00C53CD6"/>
    <w:rsid w:val="00C53DBA"/>
    <w:rsid w:val="00C54237"/>
    <w:rsid w:val="00C54B6D"/>
    <w:rsid w:val="00C55242"/>
    <w:rsid w:val="00C5584C"/>
    <w:rsid w:val="00C55B81"/>
    <w:rsid w:val="00C56E69"/>
    <w:rsid w:val="00C57B97"/>
    <w:rsid w:val="00C6175F"/>
    <w:rsid w:val="00C6291A"/>
    <w:rsid w:val="00C62DF0"/>
    <w:rsid w:val="00C63264"/>
    <w:rsid w:val="00C63760"/>
    <w:rsid w:val="00C63A0E"/>
    <w:rsid w:val="00C6607A"/>
    <w:rsid w:val="00C66F45"/>
    <w:rsid w:val="00C70B70"/>
    <w:rsid w:val="00C71224"/>
    <w:rsid w:val="00C71466"/>
    <w:rsid w:val="00C71D51"/>
    <w:rsid w:val="00C74F9E"/>
    <w:rsid w:val="00C7573B"/>
    <w:rsid w:val="00C769B3"/>
    <w:rsid w:val="00C76CA6"/>
    <w:rsid w:val="00C8295A"/>
    <w:rsid w:val="00C82FB0"/>
    <w:rsid w:val="00C84956"/>
    <w:rsid w:val="00C85157"/>
    <w:rsid w:val="00C92FF4"/>
    <w:rsid w:val="00C93955"/>
    <w:rsid w:val="00C94567"/>
    <w:rsid w:val="00C945B4"/>
    <w:rsid w:val="00C948B0"/>
    <w:rsid w:val="00C95C56"/>
    <w:rsid w:val="00C96912"/>
    <w:rsid w:val="00CA0593"/>
    <w:rsid w:val="00CA0958"/>
    <w:rsid w:val="00CA19A6"/>
    <w:rsid w:val="00CA2AEB"/>
    <w:rsid w:val="00CA330D"/>
    <w:rsid w:val="00CA4052"/>
    <w:rsid w:val="00CA4664"/>
    <w:rsid w:val="00CA4958"/>
    <w:rsid w:val="00CA4D05"/>
    <w:rsid w:val="00CA5613"/>
    <w:rsid w:val="00CA5744"/>
    <w:rsid w:val="00CB1F4E"/>
    <w:rsid w:val="00CB2D4F"/>
    <w:rsid w:val="00CB412C"/>
    <w:rsid w:val="00CB494B"/>
    <w:rsid w:val="00CB50CD"/>
    <w:rsid w:val="00CB62B5"/>
    <w:rsid w:val="00CB6887"/>
    <w:rsid w:val="00CB6BD0"/>
    <w:rsid w:val="00CB745C"/>
    <w:rsid w:val="00CB77A6"/>
    <w:rsid w:val="00CC02B8"/>
    <w:rsid w:val="00CC09D5"/>
    <w:rsid w:val="00CC0E4D"/>
    <w:rsid w:val="00CC13D4"/>
    <w:rsid w:val="00CC2F49"/>
    <w:rsid w:val="00CC3761"/>
    <w:rsid w:val="00CC4007"/>
    <w:rsid w:val="00CC47E2"/>
    <w:rsid w:val="00CC491C"/>
    <w:rsid w:val="00CC5C10"/>
    <w:rsid w:val="00CC6440"/>
    <w:rsid w:val="00CC714E"/>
    <w:rsid w:val="00CC7185"/>
    <w:rsid w:val="00CD0642"/>
    <w:rsid w:val="00CD0E33"/>
    <w:rsid w:val="00CD200F"/>
    <w:rsid w:val="00CD541C"/>
    <w:rsid w:val="00CD61A1"/>
    <w:rsid w:val="00CD62C9"/>
    <w:rsid w:val="00CE0022"/>
    <w:rsid w:val="00CE038B"/>
    <w:rsid w:val="00CE03B7"/>
    <w:rsid w:val="00CE0428"/>
    <w:rsid w:val="00CE1C89"/>
    <w:rsid w:val="00CE428F"/>
    <w:rsid w:val="00CE493D"/>
    <w:rsid w:val="00CE4E68"/>
    <w:rsid w:val="00CE51C7"/>
    <w:rsid w:val="00CE5A1F"/>
    <w:rsid w:val="00CE6309"/>
    <w:rsid w:val="00CE6A4F"/>
    <w:rsid w:val="00CE7C05"/>
    <w:rsid w:val="00CF0260"/>
    <w:rsid w:val="00CF0BB2"/>
    <w:rsid w:val="00CF3182"/>
    <w:rsid w:val="00CF367A"/>
    <w:rsid w:val="00CF3ADE"/>
    <w:rsid w:val="00CF3D1D"/>
    <w:rsid w:val="00CF3EE8"/>
    <w:rsid w:val="00CF575A"/>
    <w:rsid w:val="00CF5D14"/>
    <w:rsid w:val="00CF65A7"/>
    <w:rsid w:val="00CF7F44"/>
    <w:rsid w:val="00D00024"/>
    <w:rsid w:val="00D00111"/>
    <w:rsid w:val="00D006F5"/>
    <w:rsid w:val="00D00D6F"/>
    <w:rsid w:val="00D01C6E"/>
    <w:rsid w:val="00D020EC"/>
    <w:rsid w:val="00D02616"/>
    <w:rsid w:val="00D02BF8"/>
    <w:rsid w:val="00D03DAD"/>
    <w:rsid w:val="00D040EE"/>
    <w:rsid w:val="00D04ADE"/>
    <w:rsid w:val="00D05207"/>
    <w:rsid w:val="00D0545C"/>
    <w:rsid w:val="00D05937"/>
    <w:rsid w:val="00D069C4"/>
    <w:rsid w:val="00D06D3D"/>
    <w:rsid w:val="00D06DD3"/>
    <w:rsid w:val="00D07FD2"/>
    <w:rsid w:val="00D103B5"/>
    <w:rsid w:val="00D10BC4"/>
    <w:rsid w:val="00D11596"/>
    <w:rsid w:val="00D11E90"/>
    <w:rsid w:val="00D126D7"/>
    <w:rsid w:val="00D1272E"/>
    <w:rsid w:val="00D13441"/>
    <w:rsid w:val="00D1391A"/>
    <w:rsid w:val="00D14421"/>
    <w:rsid w:val="00D15EC0"/>
    <w:rsid w:val="00D17AEE"/>
    <w:rsid w:val="00D17E7E"/>
    <w:rsid w:val="00D20192"/>
    <w:rsid w:val="00D2127E"/>
    <w:rsid w:val="00D21307"/>
    <w:rsid w:val="00D21341"/>
    <w:rsid w:val="00D219C9"/>
    <w:rsid w:val="00D22235"/>
    <w:rsid w:val="00D224B8"/>
    <w:rsid w:val="00D225DD"/>
    <w:rsid w:val="00D22628"/>
    <w:rsid w:val="00D22938"/>
    <w:rsid w:val="00D229A3"/>
    <w:rsid w:val="00D2365A"/>
    <w:rsid w:val="00D23F2B"/>
    <w:rsid w:val="00D2455A"/>
    <w:rsid w:val="00D25819"/>
    <w:rsid w:val="00D25AB4"/>
    <w:rsid w:val="00D26046"/>
    <w:rsid w:val="00D26054"/>
    <w:rsid w:val="00D26409"/>
    <w:rsid w:val="00D30F93"/>
    <w:rsid w:val="00D315C0"/>
    <w:rsid w:val="00D31924"/>
    <w:rsid w:val="00D32CE3"/>
    <w:rsid w:val="00D32F7A"/>
    <w:rsid w:val="00D33807"/>
    <w:rsid w:val="00D33C8D"/>
    <w:rsid w:val="00D347F9"/>
    <w:rsid w:val="00D34D7E"/>
    <w:rsid w:val="00D35015"/>
    <w:rsid w:val="00D35967"/>
    <w:rsid w:val="00D35F9E"/>
    <w:rsid w:val="00D3612C"/>
    <w:rsid w:val="00D3708F"/>
    <w:rsid w:val="00D41864"/>
    <w:rsid w:val="00D41C26"/>
    <w:rsid w:val="00D4272C"/>
    <w:rsid w:val="00D44680"/>
    <w:rsid w:val="00D45C91"/>
    <w:rsid w:val="00D461A7"/>
    <w:rsid w:val="00D46B0F"/>
    <w:rsid w:val="00D50868"/>
    <w:rsid w:val="00D52EDE"/>
    <w:rsid w:val="00D530CA"/>
    <w:rsid w:val="00D53144"/>
    <w:rsid w:val="00D54B5E"/>
    <w:rsid w:val="00D55625"/>
    <w:rsid w:val="00D556CF"/>
    <w:rsid w:val="00D562B2"/>
    <w:rsid w:val="00D61453"/>
    <w:rsid w:val="00D61B80"/>
    <w:rsid w:val="00D62F3D"/>
    <w:rsid w:val="00D63269"/>
    <w:rsid w:val="00D63D4E"/>
    <w:rsid w:val="00D64695"/>
    <w:rsid w:val="00D64FA4"/>
    <w:rsid w:val="00D65DBA"/>
    <w:rsid w:val="00D675E2"/>
    <w:rsid w:val="00D7035D"/>
    <w:rsid w:val="00D704BF"/>
    <w:rsid w:val="00D7050A"/>
    <w:rsid w:val="00D706A8"/>
    <w:rsid w:val="00D70B50"/>
    <w:rsid w:val="00D70DFB"/>
    <w:rsid w:val="00D71CF3"/>
    <w:rsid w:val="00D7206A"/>
    <w:rsid w:val="00D72720"/>
    <w:rsid w:val="00D72933"/>
    <w:rsid w:val="00D73315"/>
    <w:rsid w:val="00D7383E"/>
    <w:rsid w:val="00D73F1D"/>
    <w:rsid w:val="00D75238"/>
    <w:rsid w:val="00D756B1"/>
    <w:rsid w:val="00D766DF"/>
    <w:rsid w:val="00D81CE3"/>
    <w:rsid w:val="00D83CC1"/>
    <w:rsid w:val="00D84544"/>
    <w:rsid w:val="00D84AF0"/>
    <w:rsid w:val="00D87559"/>
    <w:rsid w:val="00D87AB5"/>
    <w:rsid w:val="00D87D46"/>
    <w:rsid w:val="00D9110A"/>
    <w:rsid w:val="00D91127"/>
    <w:rsid w:val="00D91648"/>
    <w:rsid w:val="00D9192C"/>
    <w:rsid w:val="00D92233"/>
    <w:rsid w:val="00D930DB"/>
    <w:rsid w:val="00D93A50"/>
    <w:rsid w:val="00D93A5F"/>
    <w:rsid w:val="00D9450F"/>
    <w:rsid w:val="00D94A36"/>
    <w:rsid w:val="00D94B9B"/>
    <w:rsid w:val="00D94CFB"/>
    <w:rsid w:val="00D957F2"/>
    <w:rsid w:val="00D96D1B"/>
    <w:rsid w:val="00D971A2"/>
    <w:rsid w:val="00DA186E"/>
    <w:rsid w:val="00DA1ABF"/>
    <w:rsid w:val="00DA361C"/>
    <w:rsid w:val="00DA38C8"/>
    <w:rsid w:val="00DA3C12"/>
    <w:rsid w:val="00DA483A"/>
    <w:rsid w:val="00DA4B49"/>
    <w:rsid w:val="00DA5691"/>
    <w:rsid w:val="00DA5B63"/>
    <w:rsid w:val="00DA5DC4"/>
    <w:rsid w:val="00DA5E8B"/>
    <w:rsid w:val="00DA6600"/>
    <w:rsid w:val="00DA7B9E"/>
    <w:rsid w:val="00DB00F4"/>
    <w:rsid w:val="00DB1EE1"/>
    <w:rsid w:val="00DB3DF5"/>
    <w:rsid w:val="00DB475B"/>
    <w:rsid w:val="00DB5399"/>
    <w:rsid w:val="00DB6179"/>
    <w:rsid w:val="00DC0021"/>
    <w:rsid w:val="00DC05D2"/>
    <w:rsid w:val="00DC0997"/>
    <w:rsid w:val="00DC0ED4"/>
    <w:rsid w:val="00DC1A1A"/>
    <w:rsid w:val="00DC2D0E"/>
    <w:rsid w:val="00DC2E24"/>
    <w:rsid w:val="00DC423C"/>
    <w:rsid w:val="00DC4F88"/>
    <w:rsid w:val="00DC73A7"/>
    <w:rsid w:val="00DD062F"/>
    <w:rsid w:val="00DD0648"/>
    <w:rsid w:val="00DD0791"/>
    <w:rsid w:val="00DD07D8"/>
    <w:rsid w:val="00DD1DE2"/>
    <w:rsid w:val="00DD2667"/>
    <w:rsid w:val="00DD290A"/>
    <w:rsid w:val="00DD29C8"/>
    <w:rsid w:val="00DD4584"/>
    <w:rsid w:val="00DD5E18"/>
    <w:rsid w:val="00DD6771"/>
    <w:rsid w:val="00DD6875"/>
    <w:rsid w:val="00DD6984"/>
    <w:rsid w:val="00DE0BFC"/>
    <w:rsid w:val="00DE1428"/>
    <w:rsid w:val="00DE1E52"/>
    <w:rsid w:val="00DE39D1"/>
    <w:rsid w:val="00DE3B61"/>
    <w:rsid w:val="00DE3D1B"/>
    <w:rsid w:val="00DE5669"/>
    <w:rsid w:val="00DE5BB6"/>
    <w:rsid w:val="00DE69DD"/>
    <w:rsid w:val="00DE6BC2"/>
    <w:rsid w:val="00DE6EFE"/>
    <w:rsid w:val="00DF0C98"/>
    <w:rsid w:val="00DF188D"/>
    <w:rsid w:val="00DF3215"/>
    <w:rsid w:val="00DF3615"/>
    <w:rsid w:val="00DF3FC6"/>
    <w:rsid w:val="00DF41AC"/>
    <w:rsid w:val="00DF43B2"/>
    <w:rsid w:val="00DF529E"/>
    <w:rsid w:val="00DF55A3"/>
    <w:rsid w:val="00DF5D16"/>
    <w:rsid w:val="00DF61BB"/>
    <w:rsid w:val="00DF651B"/>
    <w:rsid w:val="00DF6BAC"/>
    <w:rsid w:val="00DF7AE1"/>
    <w:rsid w:val="00DF7AEB"/>
    <w:rsid w:val="00DF7C53"/>
    <w:rsid w:val="00E016A1"/>
    <w:rsid w:val="00E01775"/>
    <w:rsid w:val="00E026EC"/>
    <w:rsid w:val="00E02740"/>
    <w:rsid w:val="00E0288A"/>
    <w:rsid w:val="00E02B25"/>
    <w:rsid w:val="00E034DD"/>
    <w:rsid w:val="00E04F61"/>
    <w:rsid w:val="00E05704"/>
    <w:rsid w:val="00E05B60"/>
    <w:rsid w:val="00E05F7C"/>
    <w:rsid w:val="00E06200"/>
    <w:rsid w:val="00E06DE2"/>
    <w:rsid w:val="00E0749B"/>
    <w:rsid w:val="00E07706"/>
    <w:rsid w:val="00E07BFF"/>
    <w:rsid w:val="00E10719"/>
    <w:rsid w:val="00E12659"/>
    <w:rsid w:val="00E12B76"/>
    <w:rsid w:val="00E1381A"/>
    <w:rsid w:val="00E158C6"/>
    <w:rsid w:val="00E15983"/>
    <w:rsid w:val="00E164EE"/>
    <w:rsid w:val="00E17387"/>
    <w:rsid w:val="00E1768D"/>
    <w:rsid w:val="00E202BE"/>
    <w:rsid w:val="00E241A9"/>
    <w:rsid w:val="00E251AE"/>
    <w:rsid w:val="00E2542C"/>
    <w:rsid w:val="00E25613"/>
    <w:rsid w:val="00E259C5"/>
    <w:rsid w:val="00E266B4"/>
    <w:rsid w:val="00E26924"/>
    <w:rsid w:val="00E27F2F"/>
    <w:rsid w:val="00E302BE"/>
    <w:rsid w:val="00E30356"/>
    <w:rsid w:val="00E305D0"/>
    <w:rsid w:val="00E3134A"/>
    <w:rsid w:val="00E313F2"/>
    <w:rsid w:val="00E32C2F"/>
    <w:rsid w:val="00E32D8D"/>
    <w:rsid w:val="00E333ED"/>
    <w:rsid w:val="00E338EF"/>
    <w:rsid w:val="00E33DF7"/>
    <w:rsid w:val="00E35F29"/>
    <w:rsid w:val="00E3618F"/>
    <w:rsid w:val="00E366AE"/>
    <w:rsid w:val="00E36F72"/>
    <w:rsid w:val="00E3776A"/>
    <w:rsid w:val="00E37D2A"/>
    <w:rsid w:val="00E408E4"/>
    <w:rsid w:val="00E414A0"/>
    <w:rsid w:val="00E41840"/>
    <w:rsid w:val="00E42693"/>
    <w:rsid w:val="00E42FDC"/>
    <w:rsid w:val="00E437A5"/>
    <w:rsid w:val="00E43D19"/>
    <w:rsid w:val="00E441B3"/>
    <w:rsid w:val="00E443F6"/>
    <w:rsid w:val="00E44A58"/>
    <w:rsid w:val="00E44C17"/>
    <w:rsid w:val="00E44F7D"/>
    <w:rsid w:val="00E45044"/>
    <w:rsid w:val="00E45551"/>
    <w:rsid w:val="00E458AC"/>
    <w:rsid w:val="00E46BA1"/>
    <w:rsid w:val="00E50343"/>
    <w:rsid w:val="00E5119A"/>
    <w:rsid w:val="00E538F7"/>
    <w:rsid w:val="00E567B9"/>
    <w:rsid w:val="00E60029"/>
    <w:rsid w:val="00E6024B"/>
    <w:rsid w:val="00E60C1F"/>
    <w:rsid w:val="00E6149B"/>
    <w:rsid w:val="00E614EA"/>
    <w:rsid w:val="00E61BD3"/>
    <w:rsid w:val="00E61DF1"/>
    <w:rsid w:val="00E61F77"/>
    <w:rsid w:val="00E639CA"/>
    <w:rsid w:val="00E644A8"/>
    <w:rsid w:val="00E64BAB"/>
    <w:rsid w:val="00E65BD3"/>
    <w:rsid w:val="00E66931"/>
    <w:rsid w:val="00E66969"/>
    <w:rsid w:val="00E66FED"/>
    <w:rsid w:val="00E67287"/>
    <w:rsid w:val="00E708D8"/>
    <w:rsid w:val="00E7101B"/>
    <w:rsid w:val="00E71166"/>
    <w:rsid w:val="00E71866"/>
    <w:rsid w:val="00E71E89"/>
    <w:rsid w:val="00E72148"/>
    <w:rsid w:val="00E723DE"/>
    <w:rsid w:val="00E72696"/>
    <w:rsid w:val="00E72F40"/>
    <w:rsid w:val="00E738CB"/>
    <w:rsid w:val="00E74DC7"/>
    <w:rsid w:val="00E75FF5"/>
    <w:rsid w:val="00E77231"/>
    <w:rsid w:val="00E77E0A"/>
    <w:rsid w:val="00E81807"/>
    <w:rsid w:val="00E81C3D"/>
    <w:rsid w:val="00E821B9"/>
    <w:rsid w:val="00E82A60"/>
    <w:rsid w:val="00E836D0"/>
    <w:rsid w:val="00E83BFC"/>
    <w:rsid w:val="00E83DF5"/>
    <w:rsid w:val="00E85C54"/>
    <w:rsid w:val="00E87751"/>
    <w:rsid w:val="00E90783"/>
    <w:rsid w:val="00E924E8"/>
    <w:rsid w:val="00E928AD"/>
    <w:rsid w:val="00E9460D"/>
    <w:rsid w:val="00E94D5E"/>
    <w:rsid w:val="00E95718"/>
    <w:rsid w:val="00E95F8C"/>
    <w:rsid w:val="00E97149"/>
    <w:rsid w:val="00E975CE"/>
    <w:rsid w:val="00E97F31"/>
    <w:rsid w:val="00EA0BF6"/>
    <w:rsid w:val="00EA1B74"/>
    <w:rsid w:val="00EA23C7"/>
    <w:rsid w:val="00EA258F"/>
    <w:rsid w:val="00EA38F1"/>
    <w:rsid w:val="00EA3A73"/>
    <w:rsid w:val="00EA4541"/>
    <w:rsid w:val="00EA5DE8"/>
    <w:rsid w:val="00EA6A5E"/>
    <w:rsid w:val="00EA7100"/>
    <w:rsid w:val="00EB027E"/>
    <w:rsid w:val="00EB05F7"/>
    <w:rsid w:val="00EB1CEB"/>
    <w:rsid w:val="00EB22CA"/>
    <w:rsid w:val="00EB2357"/>
    <w:rsid w:val="00EB404E"/>
    <w:rsid w:val="00EB4AD3"/>
    <w:rsid w:val="00EB501B"/>
    <w:rsid w:val="00EB51A2"/>
    <w:rsid w:val="00EB56F5"/>
    <w:rsid w:val="00EB60F2"/>
    <w:rsid w:val="00EB6A7F"/>
    <w:rsid w:val="00EB6B34"/>
    <w:rsid w:val="00EB6EB7"/>
    <w:rsid w:val="00EB737D"/>
    <w:rsid w:val="00EC01C1"/>
    <w:rsid w:val="00EC04BB"/>
    <w:rsid w:val="00EC11B6"/>
    <w:rsid w:val="00EC16DF"/>
    <w:rsid w:val="00EC2A06"/>
    <w:rsid w:val="00EC2EAD"/>
    <w:rsid w:val="00EC3100"/>
    <w:rsid w:val="00EC31BA"/>
    <w:rsid w:val="00EC3D4B"/>
    <w:rsid w:val="00EC4221"/>
    <w:rsid w:val="00EC42D5"/>
    <w:rsid w:val="00EC4C84"/>
    <w:rsid w:val="00EC6209"/>
    <w:rsid w:val="00EC70C5"/>
    <w:rsid w:val="00EC7B50"/>
    <w:rsid w:val="00EC7FC6"/>
    <w:rsid w:val="00ED0586"/>
    <w:rsid w:val="00ED1190"/>
    <w:rsid w:val="00ED167B"/>
    <w:rsid w:val="00ED3722"/>
    <w:rsid w:val="00ED39D7"/>
    <w:rsid w:val="00ED3A42"/>
    <w:rsid w:val="00ED3CFB"/>
    <w:rsid w:val="00ED4E44"/>
    <w:rsid w:val="00ED4F1C"/>
    <w:rsid w:val="00ED75C4"/>
    <w:rsid w:val="00EE07DD"/>
    <w:rsid w:val="00EE1BF9"/>
    <w:rsid w:val="00EE6315"/>
    <w:rsid w:val="00EE6F2C"/>
    <w:rsid w:val="00EF198E"/>
    <w:rsid w:val="00EF1ED7"/>
    <w:rsid w:val="00EF2E3A"/>
    <w:rsid w:val="00EF3217"/>
    <w:rsid w:val="00EF39AF"/>
    <w:rsid w:val="00EF3B29"/>
    <w:rsid w:val="00EF420D"/>
    <w:rsid w:val="00EF450A"/>
    <w:rsid w:val="00EF4C99"/>
    <w:rsid w:val="00EF510E"/>
    <w:rsid w:val="00EF5AFC"/>
    <w:rsid w:val="00EF5F50"/>
    <w:rsid w:val="00EF6E63"/>
    <w:rsid w:val="00EF7755"/>
    <w:rsid w:val="00EF78E1"/>
    <w:rsid w:val="00EF7BF5"/>
    <w:rsid w:val="00EF7F45"/>
    <w:rsid w:val="00F01976"/>
    <w:rsid w:val="00F02921"/>
    <w:rsid w:val="00F02FDB"/>
    <w:rsid w:val="00F033AE"/>
    <w:rsid w:val="00F033EC"/>
    <w:rsid w:val="00F0392D"/>
    <w:rsid w:val="00F0464F"/>
    <w:rsid w:val="00F04B6F"/>
    <w:rsid w:val="00F05554"/>
    <w:rsid w:val="00F05807"/>
    <w:rsid w:val="00F0638E"/>
    <w:rsid w:val="00F06C88"/>
    <w:rsid w:val="00F072A7"/>
    <w:rsid w:val="00F073CC"/>
    <w:rsid w:val="00F07610"/>
    <w:rsid w:val="00F078DC"/>
    <w:rsid w:val="00F103A6"/>
    <w:rsid w:val="00F107D6"/>
    <w:rsid w:val="00F10D44"/>
    <w:rsid w:val="00F10F4F"/>
    <w:rsid w:val="00F130E3"/>
    <w:rsid w:val="00F1423E"/>
    <w:rsid w:val="00F14738"/>
    <w:rsid w:val="00F14A90"/>
    <w:rsid w:val="00F155CA"/>
    <w:rsid w:val="00F16656"/>
    <w:rsid w:val="00F17E6F"/>
    <w:rsid w:val="00F201B4"/>
    <w:rsid w:val="00F205AB"/>
    <w:rsid w:val="00F21ABA"/>
    <w:rsid w:val="00F23B1A"/>
    <w:rsid w:val="00F24B8E"/>
    <w:rsid w:val="00F268B6"/>
    <w:rsid w:val="00F30FAE"/>
    <w:rsid w:val="00F311C2"/>
    <w:rsid w:val="00F31870"/>
    <w:rsid w:val="00F327A4"/>
    <w:rsid w:val="00F33201"/>
    <w:rsid w:val="00F3377C"/>
    <w:rsid w:val="00F3452C"/>
    <w:rsid w:val="00F358AF"/>
    <w:rsid w:val="00F36C89"/>
    <w:rsid w:val="00F3715B"/>
    <w:rsid w:val="00F37662"/>
    <w:rsid w:val="00F37AB5"/>
    <w:rsid w:val="00F4124C"/>
    <w:rsid w:val="00F4160F"/>
    <w:rsid w:val="00F4215C"/>
    <w:rsid w:val="00F436B2"/>
    <w:rsid w:val="00F4452C"/>
    <w:rsid w:val="00F4579C"/>
    <w:rsid w:val="00F46125"/>
    <w:rsid w:val="00F46B58"/>
    <w:rsid w:val="00F47194"/>
    <w:rsid w:val="00F47ED7"/>
    <w:rsid w:val="00F511DF"/>
    <w:rsid w:val="00F5234A"/>
    <w:rsid w:val="00F52415"/>
    <w:rsid w:val="00F553C9"/>
    <w:rsid w:val="00F60061"/>
    <w:rsid w:val="00F60B76"/>
    <w:rsid w:val="00F61B89"/>
    <w:rsid w:val="00F62D42"/>
    <w:rsid w:val="00F62F86"/>
    <w:rsid w:val="00F63AF3"/>
    <w:rsid w:val="00F63F36"/>
    <w:rsid w:val="00F64C14"/>
    <w:rsid w:val="00F6643D"/>
    <w:rsid w:val="00F66969"/>
    <w:rsid w:val="00F67365"/>
    <w:rsid w:val="00F67622"/>
    <w:rsid w:val="00F71237"/>
    <w:rsid w:val="00F71ACD"/>
    <w:rsid w:val="00F71B97"/>
    <w:rsid w:val="00F73BD6"/>
    <w:rsid w:val="00F7415E"/>
    <w:rsid w:val="00F74DE9"/>
    <w:rsid w:val="00F7616A"/>
    <w:rsid w:val="00F7698A"/>
    <w:rsid w:val="00F76A1C"/>
    <w:rsid w:val="00F80189"/>
    <w:rsid w:val="00F809FF"/>
    <w:rsid w:val="00F815C4"/>
    <w:rsid w:val="00F823A7"/>
    <w:rsid w:val="00F82709"/>
    <w:rsid w:val="00F83989"/>
    <w:rsid w:val="00F84777"/>
    <w:rsid w:val="00F864C5"/>
    <w:rsid w:val="00F869B2"/>
    <w:rsid w:val="00F876D6"/>
    <w:rsid w:val="00F90B50"/>
    <w:rsid w:val="00F90E5C"/>
    <w:rsid w:val="00F921A4"/>
    <w:rsid w:val="00F92221"/>
    <w:rsid w:val="00F9632C"/>
    <w:rsid w:val="00F974D6"/>
    <w:rsid w:val="00FA01BD"/>
    <w:rsid w:val="00FA1E0F"/>
    <w:rsid w:val="00FA2F8E"/>
    <w:rsid w:val="00FA5392"/>
    <w:rsid w:val="00FA53EE"/>
    <w:rsid w:val="00FA5800"/>
    <w:rsid w:val="00FA7533"/>
    <w:rsid w:val="00FB0955"/>
    <w:rsid w:val="00FB3002"/>
    <w:rsid w:val="00FB396F"/>
    <w:rsid w:val="00FB39EA"/>
    <w:rsid w:val="00FB40BA"/>
    <w:rsid w:val="00FB4EC3"/>
    <w:rsid w:val="00FB5459"/>
    <w:rsid w:val="00FB6BE7"/>
    <w:rsid w:val="00FB712D"/>
    <w:rsid w:val="00FB7469"/>
    <w:rsid w:val="00FB7851"/>
    <w:rsid w:val="00FC040A"/>
    <w:rsid w:val="00FC04E1"/>
    <w:rsid w:val="00FC07E6"/>
    <w:rsid w:val="00FC0916"/>
    <w:rsid w:val="00FC2E6A"/>
    <w:rsid w:val="00FC3813"/>
    <w:rsid w:val="00FC45CA"/>
    <w:rsid w:val="00FC4DD8"/>
    <w:rsid w:val="00FC625D"/>
    <w:rsid w:val="00FC77D0"/>
    <w:rsid w:val="00FC7CEC"/>
    <w:rsid w:val="00FD0184"/>
    <w:rsid w:val="00FD021F"/>
    <w:rsid w:val="00FD14F0"/>
    <w:rsid w:val="00FD1633"/>
    <w:rsid w:val="00FD21F4"/>
    <w:rsid w:val="00FD3338"/>
    <w:rsid w:val="00FD48AE"/>
    <w:rsid w:val="00FD57AA"/>
    <w:rsid w:val="00FD5F84"/>
    <w:rsid w:val="00FD607D"/>
    <w:rsid w:val="00FD6E2A"/>
    <w:rsid w:val="00FD77EE"/>
    <w:rsid w:val="00FD7AED"/>
    <w:rsid w:val="00FE0407"/>
    <w:rsid w:val="00FE38C5"/>
    <w:rsid w:val="00FE40DC"/>
    <w:rsid w:val="00FE5A50"/>
    <w:rsid w:val="00FE5EEF"/>
    <w:rsid w:val="00FE662B"/>
    <w:rsid w:val="00FE705B"/>
    <w:rsid w:val="00FE7A3C"/>
    <w:rsid w:val="00FE7DFE"/>
    <w:rsid w:val="00FF0904"/>
    <w:rsid w:val="00FF1211"/>
    <w:rsid w:val="00FF1E6D"/>
    <w:rsid w:val="00FF2565"/>
    <w:rsid w:val="00FF2995"/>
    <w:rsid w:val="00FF3728"/>
    <w:rsid w:val="00FF38A9"/>
    <w:rsid w:val="00FF3945"/>
    <w:rsid w:val="00FF6502"/>
    <w:rsid w:val="00FF6656"/>
    <w:rsid w:val="00FF6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4539"/>
    <w:pPr>
      <w:spacing w:line="260" w:lineRule="atLeast"/>
    </w:pPr>
    <w:rPr>
      <w:sz w:val="22"/>
    </w:rPr>
  </w:style>
  <w:style w:type="paragraph" w:styleId="Heading1">
    <w:name w:val="heading 1"/>
    <w:basedOn w:val="Normal"/>
    <w:next w:val="Normal"/>
    <w:link w:val="Heading1Char"/>
    <w:uiPriority w:val="9"/>
    <w:qFormat/>
    <w:rsid w:val="00784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845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845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45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45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45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45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453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8453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84539"/>
  </w:style>
  <w:style w:type="paragraph" w:customStyle="1" w:styleId="OPCParaBase">
    <w:name w:val="OPCParaBase"/>
    <w:qFormat/>
    <w:rsid w:val="00784539"/>
    <w:pPr>
      <w:spacing w:line="260" w:lineRule="atLeast"/>
    </w:pPr>
    <w:rPr>
      <w:rFonts w:eastAsia="Times New Roman" w:cs="Times New Roman"/>
      <w:sz w:val="22"/>
      <w:lang w:eastAsia="en-AU"/>
    </w:rPr>
  </w:style>
  <w:style w:type="paragraph" w:customStyle="1" w:styleId="ShortT">
    <w:name w:val="ShortT"/>
    <w:basedOn w:val="OPCParaBase"/>
    <w:next w:val="Normal"/>
    <w:qFormat/>
    <w:rsid w:val="00784539"/>
    <w:pPr>
      <w:spacing w:line="240" w:lineRule="auto"/>
    </w:pPr>
    <w:rPr>
      <w:b/>
      <w:sz w:val="40"/>
    </w:rPr>
  </w:style>
  <w:style w:type="paragraph" w:customStyle="1" w:styleId="ActHead1">
    <w:name w:val="ActHead 1"/>
    <w:aliases w:val="c"/>
    <w:basedOn w:val="OPCParaBase"/>
    <w:next w:val="Normal"/>
    <w:qFormat/>
    <w:rsid w:val="0078453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453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453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453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8453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453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453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453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453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84539"/>
  </w:style>
  <w:style w:type="paragraph" w:customStyle="1" w:styleId="Blocks">
    <w:name w:val="Blocks"/>
    <w:aliases w:val="bb"/>
    <w:basedOn w:val="OPCParaBase"/>
    <w:qFormat/>
    <w:rsid w:val="00784539"/>
    <w:pPr>
      <w:spacing w:line="240" w:lineRule="auto"/>
    </w:pPr>
    <w:rPr>
      <w:sz w:val="24"/>
    </w:rPr>
  </w:style>
  <w:style w:type="paragraph" w:customStyle="1" w:styleId="BoxText">
    <w:name w:val="BoxText"/>
    <w:aliases w:val="bt"/>
    <w:basedOn w:val="OPCParaBase"/>
    <w:qFormat/>
    <w:rsid w:val="0078453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4539"/>
    <w:rPr>
      <w:b/>
    </w:rPr>
  </w:style>
  <w:style w:type="paragraph" w:customStyle="1" w:styleId="BoxHeadItalic">
    <w:name w:val="BoxHeadItalic"/>
    <w:aliases w:val="bhi"/>
    <w:basedOn w:val="BoxText"/>
    <w:next w:val="BoxStep"/>
    <w:qFormat/>
    <w:rsid w:val="00784539"/>
    <w:rPr>
      <w:i/>
    </w:rPr>
  </w:style>
  <w:style w:type="paragraph" w:customStyle="1" w:styleId="BoxList">
    <w:name w:val="BoxList"/>
    <w:aliases w:val="bl"/>
    <w:basedOn w:val="BoxText"/>
    <w:qFormat/>
    <w:rsid w:val="00784539"/>
    <w:pPr>
      <w:ind w:left="1559" w:hanging="425"/>
    </w:pPr>
  </w:style>
  <w:style w:type="paragraph" w:customStyle="1" w:styleId="BoxNote">
    <w:name w:val="BoxNote"/>
    <w:aliases w:val="bn"/>
    <w:basedOn w:val="BoxText"/>
    <w:qFormat/>
    <w:rsid w:val="00784539"/>
    <w:pPr>
      <w:tabs>
        <w:tab w:val="left" w:pos="1985"/>
      </w:tabs>
      <w:spacing w:before="122" w:line="198" w:lineRule="exact"/>
      <w:ind w:left="2948" w:hanging="1814"/>
    </w:pPr>
    <w:rPr>
      <w:sz w:val="18"/>
    </w:rPr>
  </w:style>
  <w:style w:type="paragraph" w:customStyle="1" w:styleId="BoxPara">
    <w:name w:val="BoxPara"/>
    <w:aliases w:val="bp"/>
    <w:basedOn w:val="BoxText"/>
    <w:qFormat/>
    <w:rsid w:val="00784539"/>
    <w:pPr>
      <w:tabs>
        <w:tab w:val="right" w:pos="2268"/>
      </w:tabs>
      <w:ind w:left="2552" w:hanging="1418"/>
    </w:pPr>
  </w:style>
  <w:style w:type="paragraph" w:customStyle="1" w:styleId="BoxStep">
    <w:name w:val="BoxStep"/>
    <w:aliases w:val="bs"/>
    <w:basedOn w:val="BoxText"/>
    <w:qFormat/>
    <w:rsid w:val="00784539"/>
    <w:pPr>
      <w:ind w:left="1985" w:hanging="851"/>
    </w:pPr>
  </w:style>
  <w:style w:type="character" w:customStyle="1" w:styleId="CharAmPartNo">
    <w:name w:val="CharAmPartNo"/>
    <w:basedOn w:val="OPCCharBase"/>
    <w:uiPriority w:val="1"/>
    <w:qFormat/>
    <w:rsid w:val="00784539"/>
  </w:style>
  <w:style w:type="character" w:customStyle="1" w:styleId="CharAmPartText">
    <w:name w:val="CharAmPartText"/>
    <w:basedOn w:val="OPCCharBase"/>
    <w:uiPriority w:val="1"/>
    <w:qFormat/>
    <w:rsid w:val="00784539"/>
  </w:style>
  <w:style w:type="character" w:customStyle="1" w:styleId="CharAmSchNo">
    <w:name w:val="CharAmSchNo"/>
    <w:basedOn w:val="OPCCharBase"/>
    <w:uiPriority w:val="1"/>
    <w:qFormat/>
    <w:rsid w:val="00784539"/>
  </w:style>
  <w:style w:type="character" w:customStyle="1" w:styleId="CharAmSchText">
    <w:name w:val="CharAmSchText"/>
    <w:basedOn w:val="OPCCharBase"/>
    <w:uiPriority w:val="1"/>
    <w:qFormat/>
    <w:rsid w:val="00784539"/>
  </w:style>
  <w:style w:type="character" w:customStyle="1" w:styleId="CharBoldItalic">
    <w:name w:val="CharBoldItalic"/>
    <w:basedOn w:val="OPCCharBase"/>
    <w:uiPriority w:val="1"/>
    <w:qFormat/>
    <w:rsid w:val="00784539"/>
    <w:rPr>
      <w:b/>
      <w:i/>
    </w:rPr>
  </w:style>
  <w:style w:type="character" w:customStyle="1" w:styleId="CharChapNo">
    <w:name w:val="CharChapNo"/>
    <w:basedOn w:val="OPCCharBase"/>
    <w:qFormat/>
    <w:rsid w:val="00784539"/>
  </w:style>
  <w:style w:type="character" w:customStyle="1" w:styleId="CharChapText">
    <w:name w:val="CharChapText"/>
    <w:basedOn w:val="OPCCharBase"/>
    <w:qFormat/>
    <w:rsid w:val="00784539"/>
  </w:style>
  <w:style w:type="character" w:customStyle="1" w:styleId="CharDivNo">
    <w:name w:val="CharDivNo"/>
    <w:basedOn w:val="OPCCharBase"/>
    <w:qFormat/>
    <w:rsid w:val="00784539"/>
  </w:style>
  <w:style w:type="character" w:customStyle="1" w:styleId="CharDivText">
    <w:name w:val="CharDivText"/>
    <w:basedOn w:val="OPCCharBase"/>
    <w:qFormat/>
    <w:rsid w:val="00784539"/>
  </w:style>
  <w:style w:type="character" w:customStyle="1" w:styleId="CharItalic">
    <w:name w:val="CharItalic"/>
    <w:basedOn w:val="OPCCharBase"/>
    <w:uiPriority w:val="1"/>
    <w:qFormat/>
    <w:rsid w:val="00784539"/>
    <w:rPr>
      <w:i/>
    </w:rPr>
  </w:style>
  <w:style w:type="character" w:customStyle="1" w:styleId="CharPartNo">
    <w:name w:val="CharPartNo"/>
    <w:basedOn w:val="OPCCharBase"/>
    <w:qFormat/>
    <w:rsid w:val="00784539"/>
  </w:style>
  <w:style w:type="character" w:customStyle="1" w:styleId="CharPartText">
    <w:name w:val="CharPartText"/>
    <w:basedOn w:val="OPCCharBase"/>
    <w:qFormat/>
    <w:rsid w:val="00784539"/>
  </w:style>
  <w:style w:type="character" w:customStyle="1" w:styleId="CharSectno">
    <w:name w:val="CharSectno"/>
    <w:basedOn w:val="OPCCharBase"/>
    <w:qFormat/>
    <w:rsid w:val="00784539"/>
  </w:style>
  <w:style w:type="character" w:customStyle="1" w:styleId="CharSubdNo">
    <w:name w:val="CharSubdNo"/>
    <w:basedOn w:val="OPCCharBase"/>
    <w:uiPriority w:val="1"/>
    <w:qFormat/>
    <w:rsid w:val="00784539"/>
  </w:style>
  <w:style w:type="character" w:customStyle="1" w:styleId="CharSubdText">
    <w:name w:val="CharSubdText"/>
    <w:basedOn w:val="OPCCharBase"/>
    <w:uiPriority w:val="1"/>
    <w:qFormat/>
    <w:rsid w:val="00784539"/>
  </w:style>
  <w:style w:type="paragraph" w:customStyle="1" w:styleId="CTA--">
    <w:name w:val="CTA --"/>
    <w:basedOn w:val="OPCParaBase"/>
    <w:next w:val="Normal"/>
    <w:rsid w:val="00784539"/>
    <w:pPr>
      <w:spacing w:before="60" w:line="240" w:lineRule="atLeast"/>
      <w:ind w:left="142" w:hanging="142"/>
    </w:pPr>
    <w:rPr>
      <w:sz w:val="20"/>
    </w:rPr>
  </w:style>
  <w:style w:type="paragraph" w:customStyle="1" w:styleId="CTA-">
    <w:name w:val="CTA -"/>
    <w:basedOn w:val="OPCParaBase"/>
    <w:rsid w:val="00784539"/>
    <w:pPr>
      <w:spacing w:before="60" w:line="240" w:lineRule="atLeast"/>
      <w:ind w:left="85" w:hanging="85"/>
    </w:pPr>
    <w:rPr>
      <w:sz w:val="20"/>
    </w:rPr>
  </w:style>
  <w:style w:type="paragraph" w:customStyle="1" w:styleId="CTA---">
    <w:name w:val="CTA ---"/>
    <w:basedOn w:val="OPCParaBase"/>
    <w:next w:val="Normal"/>
    <w:rsid w:val="00784539"/>
    <w:pPr>
      <w:spacing w:before="60" w:line="240" w:lineRule="atLeast"/>
      <w:ind w:left="198" w:hanging="198"/>
    </w:pPr>
    <w:rPr>
      <w:sz w:val="20"/>
    </w:rPr>
  </w:style>
  <w:style w:type="paragraph" w:customStyle="1" w:styleId="CTA----">
    <w:name w:val="CTA ----"/>
    <w:basedOn w:val="OPCParaBase"/>
    <w:next w:val="Normal"/>
    <w:rsid w:val="00784539"/>
    <w:pPr>
      <w:spacing w:before="60" w:line="240" w:lineRule="atLeast"/>
      <w:ind w:left="255" w:hanging="255"/>
    </w:pPr>
    <w:rPr>
      <w:sz w:val="20"/>
    </w:rPr>
  </w:style>
  <w:style w:type="paragraph" w:customStyle="1" w:styleId="CTA1a">
    <w:name w:val="CTA 1(a)"/>
    <w:basedOn w:val="OPCParaBase"/>
    <w:rsid w:val="00784539"/>
    <w:pPr>
      <w:tabs>
        <w:tab w:val="right" w:pos="414"/>
      </w:tabs>
      <w:spacing w:before="40" w:line="240" w:lineRule="atLeast"/>
      <w:ind w:left="675" w:hanging="675"/>
    </w:pPr>
    <w:rPr>
      <w:sz w:val="20"/>
    </w:rPr>
  </w:style>
  <w:style w:type="paragraph" w:customStyle="1" w:styleId="CTA1ai">
    <w:name w:val="CTA 1(a)(i)"/>
    <w:basedOn w:val="OPCParaBase"/>
    <w:rsid w:val="00784539"/>
    <w:pPr>
      <w:tabs>
        <w:tab w:val="right" w:pos="1004"/>
      </w:tabs>
      <w:spacing w:before="40" w:line="240" w:lineRule="atLeast"/>
      <w:ind w:left="1253" w:hanging="1253"/>
    </w:pPr>
    <w:rPr>
      <w:sz w:val="20"/>
    </w:rPr>
  </w:style>
  <w:style w:type="paragraph" w:customStyle="1" w:styleId="CTA2a">
    <w:name w:val="CTA 2(a)"/>
    <w:basedOn w:val="OPCParaBase"/>
    <w:rsid w:val="00784539"/>
    <w:pPr>
      <w:tabs>
        <w:tab w:val="right" w:pos="482"/>
      </w:tabs>
      <w:spacing w:before="40" w:line="240" w:lineRule="atLeast"/>
      <w:ind w:left="748" w:hanging="748"/>
    </w:pPr>
    <w:rPr>
      <w:sz w:val="20"/>
    </w:rPr>
  </w:style>
  <w:style w:type="paragraph" w:customStyle="1" w:styleId="CTA2ai">
    <w:name w:val="CTA 2(a)(i)"/>
    <w:basedOn w:val="OPCParaBase"/>
    <w:rsid w:val="00784539"/>
    <w:pPr>
      <w:tabs>
        <w:tab w:val="right" w:pos="1089"/>
      </w:tabs>
      <w:spacing w:before="40" w:line="240" w:lineRule="atLeast"/>
      <w:ind w:left="1327" w:hanging="1327"/>
    </w:pPr>
    <w:rPr>
      <w:sz w:val="20"/>
    </w:rPr>
  </w:style>
  <w:style w:type="paragraph" w:customStyle="1" w:styleId="CTA3a">
    <w:name w:val="CTA 3(a)"/>
    <w:basedOn w:val="OPCParaBase"/>
    <w:rsid w:val="00784539"/>
    <w:pPr>
      <w:tabs>
        <w:tab w:val="right" w:pos="556"/>
      </w:tabs>
      <w:spacing w:before="40" w:line="240" w:lineRule="atLeast"/>
      <w:ind w:left="805" w:hanging="805"/>
    </w:pPr>
    <w:rPr>
      <w:sz w:val="20"/>
    </w:rPr>
  </w:style>
  <w:style w:type="paragraph" w:customStyle="1" w:styleId="CTA3ai">
    <w:name w:val="CTA 3(a)(i)"/>
    <w:basedOn w:val="OPCParaBase"/>
    <w:rsid w:val="00784539"/>
    <w:pPr>
      <w:tabs>
        <w:tab w:val="right" w:pos="1140"/>
      </w:tabs>
      <w:spacing w:before="40" w:line="240" w:lineRule="atLeast"/>
      <w:ind w:left="1361" w:hanging="1361"/>
    </w:pPr>
    <w:rPr>
      <w:sz w:val="20"/>
    </w:rPr>
  </w:style>
  <w:style w:type="paragraph" w:customStyle="1" w:styleId="CTA4a">
    <w:name w:val="CTA 4(a)"/>
    <w:basedOn w:val="OPCParaBase"/>
    <w:rsid w:val="00784539"/>
    <w:pPr>
      <w:tabs>
        <w:tab w:val="right" w:pos="624"/>
      </w:tabs>
      <w:spacing w:before="40" w:line="240" w:lineRule="atLeast"/>
      <w:ind w:left="873" w:hanging="873"/>
    </w:pPr>
    <w:rPr>
      <w:sz w:val="20"/>
    </w:rPr>
  </w:style>
  <w:style w:type="paragraph" w:customStyle="1" w:styleId="CTA4ai">
    <w:name w:val="CTA 4(a)(i)"/>
    <w:basedOn w:val="OPCParaBase"/>
    <w:rsid w:val="00784539"/>
    <w:pPr>
      <w:tabs>
        <w:tab w:val="right" w:pos="1213"/>
      </w:tabs>
      <w:spacing w:before="40" w:line="240" w:lineRule="atLeast"/>
      <w:ind w:left="1452" w:hanging="1452"/>
    </w:pPr>
    <w:rPr>
      <w:sz w:val="20"/>
    </w:rPr>
  </w:style>
  <w:style w:type="paragraph" w:customStyle="1" w:styleId="CTACAPS">
    <w:name w:val="CTA CAPS"/>
    <w:basedOn w:val="OPCParaBase"/>
    <w:rsid w:val="00784539"/>
    <w:pPr>
      <w:spacing w:before="60" w:line="240" w:lineRule="atLeast"/>
    </w:pPr>
    <w:rPr>
      <w:sz w:val="20"/>
    </w:rPr>
  </w:style>
  <w:style w:type="paragraph" w:customStyle="1" w:styleId="CTAright">
    <w:name w:val="CTA right"/>
    <w:basedOn w:val="OPCParaBase"/>
    <w:rsid w:val="00784539"/>
    <w:pPr>
      <w:spacing w:before="60" w:line="240" w:lineRule="auto"/>
      <w:jc w:val="right"/>
    </w:pPr>
    <w:rPr>
      <w:sz w:val="20"/>
    </w:rPr>
  </w:style>
  <w:style w:type="paragraph" w:customStyle="1" w:styleId="subsection">
    <w:name w:val="subsection"/>
    <w:aliases w:val="ss"/>
    <w:basedOn w:val="OPCParaBase"/>
    <w:link w:val="subsectionChar"/>
    <w:rsid w:val="00784539"/>
    <w:pPr>
      <w:tabs>
        <w:tab w:val="right" w:pos="1021"/>
      </w:tabs>
      <w:spacing w:before="180" w:line="240" w:lineRule="auto"/>
      <w:ind w:left="1134" w:hanging="1134"/>
    </w:pPr>
  </w:style>
  <w:style w:type="paragraph" w:customStyle="1" w:styleId="Definition">
    <w:name w:val="Definition"/>
    <w:aliases w:val="dd"/>
    <w:basedOn w:val="OPCParaBase"/>
    <w:rsid w:val="00784539"/>
    <w:pPr>
      <w:spacing w:before="180" w:line="240" w:lineRule="auto"/>
      <w:ind w:left="1134"/>
    </w:pPr>
  </w:style>
  <w:style w:type="paragraph" w:customStyle="1" w:styleId="EndNotespara">
    <w:name w:val="EndNotes(para)"/>
    <w:aliases w:val="eta"/>
    <w:basedOn w:val="OPCParaBase"/>
    <w:next w:val="EndNotessubpara"/>
    <w:rsid w:val="0078453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453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453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4539"/>
    <w:pPr>
      <w:tabs>
        <w:tab w:val="right" w:pos="1412"/>
      </w:tabs>
      <w:spacing w:before="60" w:line="240" w:lineRule="auto"/>
      <w:ind w:left="1525" w:hanging="1525"/>
    </w:pPr>
    <w:rPr>
      <w:sz w:val="20"/>
    </w:rPr>
  </w:style>
  <w:style w:type="paragraph" w:customStyle="1" w:styleId="Formula">
    <w:name w:val="Formula"/>
    <w:basedOn w:val="OPCParaBase"/>
    <w:rsid w:val="00784539"/>
    <w:pPr>
      <w:spacing w:line="240" w:lineRule="auto"/>
      <w:ind w:left="1134"/>
    </w:pPr>
    <w:rPr>
      <w:sz w:val="20"/>
    </w:rPr>
  </w:style>
  <w:style w:type="paragraph" w:styleId="Header">
    <w:name w:val="header"/>
    <w:basedOn w:val="OPCParaBase"/>
    <w:link w:val="HeaderChar"/>
    <w:unhideWhenUsed/>
    <w:rsid w:val="0078453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84539"/>
    <w:rPr>
      <w:rFonts w:eastAsia="Times New Roman" w:cs="Times New Roman"/>
      <w:sz w:val="16"/>
      <w:lang w:eastAsia="en-AU"/>
    </w:rPr>
  </w:style>
  <w:style w:type="paragraph" w:customStyle="1" w:styleId="House">
    <w:name w:val="House"/>
    <w:basedOn w:val="OPCParaBase"/>
    <w:rsid w:val="00784539"/>
    <w:pPr>
      <w:spacing w:line="240" w:lineRule="auto"/>
    </w:pPr>
    <w:rPr>
      <w:sz w:val="28"/>
    </w:rPr>
  </w:style>
  <w:style w:type="paragraph" w:customStyle="1" w:styleId="Item">
    <w:name w:val="Item"/>
    <w:aliases w:val="i"/>
    <w:basedOn w:val="OPCParaBase"/>
    <w:next w:val="ItemHead"/>
    <w:rsid w:val="00784539"/>
    <w:pPr>
      <w:keepLines/>
      <w:spacing w:before="80" w:line="240" w:lineRule="auto"/>
      <w:ind w:left="709"/>
    </w:pPr>
  </w:style>
  <w:style w:type="paragraph" w:customStyle="1" w:styleId="ItemHead">
    <w:name w:val="ItemHead"/>
    <w:aliases w:val="ih"/>
    <w:basedOn w:val="OPCParaBase"/>
    <w:next w:val="Item"/>
    <w:rsid w:val="0078453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84539"/>
    <w:pPr>
      <w:spacing w:line="240" w:lineRule="auto"/>
    </w:pPr>
    <w:rPr>
      <w:b/>
      <w:sz w:val="32"/>
    </w:rPr>
  </w:style>
  <w:style w:type="paragraph" w:customStyle="1" w:styleId="notedraft">
    <w:name w:val="note(draft)"/>
    <w:aliases w:val="nd"/>
    <w:basedOn w:val="OPCParaBase"/>
    <w:rsid w:val="00784539"/>
    <w:pPr>
      <w:spacing w:before="240" w:line="240" w:lineRule="auto"/>
      <w:ind w:left="284" w:hanging="284"/>
    </w:pPr>
    <w:rPr>
      <w:i/>
      <w:sz w:val="24"/>
    </w:rPr>
  </w:style>
  <w:style w:type="paragraph" w:customStyle="1" w:styleId="notemargin">
    <w:name w:val="note(margin)"/>
    <w:aliases w:val="nm"/>
    <w:basedOn w:val="OPCParaBase"/>
    <w:rsid w:val="00784539"/>
    <w:pPr>
      <w:tabs>
        <w:tab w:val="left" w:pos="709"/>
      </w:tabs>
      <w:spacing w:before="122" w:line="198" w:lineRule="exact"/>
      <w:ind w:left="709" w:hanging="709"/>
    </w:pPr>
    <w:rPr>
      <w:sz w:val="18"/>
    </w:rPr>
  </w:style>
  <w:style w:type="paragraph" w:customStyle="1" w:styleId="noteToPara">
    <w:name w:val="noteToPara"/>
    <w:aliases w:val="ntp"/>
    <w:basedOn w:val="OPCParaBase"/>
    <w:rsid w:val="00784539"/>
    <w:pPr>
      <w:spacing w:before="122" w:line="198" w:lineRule="exact"/>
      <w:ind w:left="2353" w:hanging="709"/>
    </w:pPr>
    <w:rPr>
      <w:sz w:val="18"/>
    </w:rPr>
  </w:style>
  <w:style w:type="paragraph" w:customStyle="1" w:styleId="noteParlAmend">
    <w:name w:val="note(ParlAmend)"/>
    <w:aliases w:val="npp"/>
    <w:basedOn w:val="OPCParaBase"/>
    <w:next w:val="ParlAmend"/>
    <w:rsid w:val="00784539"/>
    <w:pPr>
      <w:spacing w:line="240" w:lineRule="auto"/>
      <w:jc w:val="right"/>
    </w:pPr>
    <w:rPr>
      <w:rFonts w:ascii="Arial" w:hAnsi="Arial"/>
      <w:b/>
      <w:i/>
    </w:rPr>
  </w:style>
  <w:style w:type="paragraph" w:customStyle="1" w:styleId="notetext">
    <w:name w:val="note(text)"/>
    <w:aliases w:val="n"/>
    <w:basedOn w:val="OPCParaBase"/>
    <w:link w:val="notetextChar"/>
    <w:rsid w:val="00784539"/>
    <w:pPr>
      <w:spacing w:before="122" w:line="240" w:lineRule="auto"/>
      <w:ind w:left="1985" w:hanging="851"/>
    </w:pPr>
    <w:rPr>
      <w:sz w:val="18"/>
    </w:rPr>
  </w:style>
  <w:style w:type="paragraph" w:customStyle="1" w:styleId="Page1">
    <w:name w:val="Page1"/>
    <w:basedOn w:val="OPCParaBase"/>
    <w:rsid w:val="00784539"/>
    <w:pPr>
      <w:spacing w:before="5600" w:line="240" w:lineRule="auto"/>
    </w:pPr>
    <w:rPr>
      <w:b/>
      <w:sz w:val="32"/>
    </w:rPr>
  </w:style>
  <w:style w:type="paragraph" w:customStyle="1" w:styleId="PageBreak">
    <w:name w:val="PageBreak"/>
    <w:aliases w:val="pb"/>
    <w:basedOn w:val="OPCParaBase"/>
    <w:rsid w:val="00784539"/>
    <w:pPr>
      <w:spacing w:line="240" w:lineRule="auto"/>
    </w:pPr>
    <w:rPr>
      <w:sz w:val="20"/>
    </w:rPr>
  </w:style>
  <w:style w:type="paragraph" w:customStyle="1" w:styleId="paragraphsub">
    <w:name w:val="paragraph(sub)"/>
    <w:aliases w:val="aa"/>
    <w:basedOn w:val="OPCParaBase"/>
    <w:rsid w:val="00784539"/>
    <w:pPr>
      <w:tabs>
        <w:tab w:val="right" w:pos="1985"/>
      </w:tabs>
      <w:spacing w:before="40" w:line="240" w:lineRule="auto"/>
      <w:ind w:left="2098" w:hanging="2098"/>
    </w:pPr>
  </w:style>
  <w:style w:type="paragraph" w:customStyle="1" w:styleId="paragraphsub-sub">
    <w:name w:val="paragraph(sub-sub)"/>
    <w:aliases w:val="aaa"/>
    <w:basedOn w:val="OPCParaBase"/>
    <w:rsid w:val="00784539"/>
    <w:pPr>
      <w:tabs>
        <w:tab w:val="right" w:pos="2722"/>
      </w:tabs>
      <w:spacing w:before="40" w:line="240" w:lineRule="auto"/>
      <w:ind w:left="2835" w:hanging="2835"/>
    </w:pPr>
  </w:style>
  <w:style w:type="paragraph" w:customStyle="1" w:styleId="paragraph">
    <w:name w:val="paragraph"/>
    <w:aliases w:val="a"/>
    <w:basedOn w:val="OPCParaBase"/>
    <w:link w:val="paragraphChar"/>
    <w:rsid w:val="00784539"/>
    <w:pPr>
      <w:tabs>
        <w:tab w:val="right" w:pos="1531"/>
      </w:tabs>
      <w:spacing w:before="40" w:line="240" w:lineRule="auto"/>
      <w:ind w:left="1644" w:hanging="1644"/>
    </w:pPr>
  </w:style>
  <w:style w:type="paragraph" w:customStyle="1" w:styleId="ParlAmend">
    <w:name w:val="ParlAmend"/>
    <w:aliases w:val="pp"/>
    <w:basedOn w:val="OPCParaBase"/>
    <w:rsid w:val="00784539"/>
    <w:pPr>
      <w:spacing w:before="240" w:line="240" w:lineRule="atLeast"/>
      <w:ind w:hanging="567"/>
    </w:pPr>
    <w:rPr>
      <w:sz w:val="24"/>
    </w:rPr>
  </w:style>
  <w:style w:type="paragraph" w:customStyle="1" w:styleId="Penalty">
    <w:name w:val="Penalty"/>
    <w:basedOn w:val="OPCParaBase"/>
    <w:rsid w:val="00784539"/>
    <w:pPr>
      <w:tabs>
        <w:tab w:val="left" w:pos="2977"/>
      </w:tabs>
      <w:spacing w:before="180" w:line="240" w:lineRule="auto"/>
      <w:ind w:left="1985" w:hanging="851"/>
    </w:pPr>
  </w:style>
  <w:style w:type="paragraph" w:customStyle="1" w:styleId="Portfolio">
    <w:name w:val="Portfolio"/>
    <w:basedOn w:val="OPCParaBase"/>
    <w:rsid w:val="00784539"/>
    <w:pPr>
      <w:spacing w:line="240" w:lineRule="auto"/>
    </w:pPr>
    <w:rPr>
      <w:i/>
      <w:sz w:val="20"/>
    </w:rPr>
  </w:style>
  <w:style w:type="paragraph" w:customStyle="1" w:styleId="Preamble">
    <w:name w:val="Preamble"/>
    <w:basedOn w:val="OPCParaBase"/>
    <w:next w:val="Normal"/>
    <w:rsid w:val="0078453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4539"/>
    <w:pPr>
      <w:spacing w:line="240" w:lineRule="auto"/>
    </w:pPr>
    <w:rPr>
      <w:i/>
      <w:sz w:val="20"/>
    </w:rPr>
  </w:style>
  <w:style w:type="paragraph" w:customStyle="1" w:styleId="Session">
    <w:name w:val="Session"/>
    <w:basedOn w:val="OPCParaBase"/>
    <w:rsid w:val="00784539"/>
    <w:pPr>
      <w:spacing w:line="240" w:lineRule="auto"/>
    </w:pPr>
    <w:rPr>
      <w:sz w:val="28"/>
    </w:rPr>
  </w:style>
  <w:style w:type="paragraph" w:customStyle="1" w:styleId="Sponsor">
    <w:name w:val="Sponsor"/>
    <w:basedOn w:val="OPCParaBase"/>
    <w:rsid w:val="00784539"/>
    <w:pPr>
      <w:spacing w:line="240" w:lineRule="auto"/>
    </w:pPr>
    <w:rPr>
      <w:i/>
    </w:rPr>
  </w:style>
  <w:style w:type="paragraph" w:customStyle="1" w:styleId="Subitem">
    <w:name w:val="Subitem"/>
    <w:aliases w:val="iss"/>
    <w:basedOn w:val="OPCParaBase"/>
    <w:rsid w:val="00784539"/>
    <w:pPr>
      <w:spacing w:before="180" w:line="240" w:lineRule="auto"/>
      <w:ind w:left="709" w:hanging="709"/>
    </w:pPr>
  </w:style>
  <w:style w:type="paragraph" w:customStyle="1" w:styleId="SubitemHead">
    <w:name w:val="SubitemHead"/>
    <w:aliases w:val="issh"/>
    <w:basedOn w:val="OPCParaBase"/>
    <w:rsid w:val="0078453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4539"/>
    <w:pPr>
      <w:spacing w:before="40" w:line="240" w:lineRule="auto"/>
      <w:ind w:left="1134"/>
    </w:pPr>
  </w:style>
  <w:style w:type="paragraph" w:customStyle="1" w:styleId="SubsectionHead">
    <w:name w:val="SubsectionHead"/>
    <w:aliases w:val="ssh"/>
    <w:basedOn w:val="OPCParaBase"/>
    <w:next w:val="subsection"/>
    <w:rsid w:val="00784539"/>
    <w:pPr>
      <w:keepNext/>
      <w:keepLines/>
      <w:spacing w:before="240" w:line="240" w:lineRule="auto"/>
      <w:ind w:left="1134"/>
    </w:pPr>
    <w:rPr>
      <w:i/>
    </w:rPr>
  </w:style>
  <w:style w:type="paragraph" w:customStyle="1" w:styleId="Tablea">
    <w:name w:val="Table(a)"/>
    <w:aliases w:val="ta"/>
    <w:basedOn w:val="OPCParaBase"/>
    <w:rsid w:val="00784539"/>
    <w:pPr>
      <w:spacing w:before="60" w:line="240" w:lineRule="auto"/>
      <w:ind w:left="284" w:hanging="284"/>
    </w:pPr>
    <w:rPr>
      <w:sz w:val="20"/>
    </w:rPr>
  </w:style>
  <w:style w:type="paragraph" w:customStyle="1" w:styleId="TableAA">
    <w:name w:val="Table(AA)"/>
    <w:aliases w:val="taaa"/>
    <w:basedOn w:val="OPCParaBase"/>
    <w:rsid w:val="0078453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453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84539"/>
    <w:pPr>
      <w:spacing w:before="60" w:line="240" w:lineRule="atLeast"/>
    </w:pPr>
    <w:rPr>
      <w:sz w:val="20"/>
    </w:rPr>
  </w:style>
  <w:style w:type="paragraph" w:customStyle="1" w:styleId="TLPBoxTextnote">
    <w:name w:val="TLPBoxText(note"/>
    <w:aliases w:val="right)"/>
    <w:basedOn w:val="OPCParaBase"/>
    <w:rsid w:val="0078453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453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4539"/>
    <w:pPr>
      <w:spacing w:before="122" w:line="198" w:lineRule="exact"/>
      <w:ind w:left="1985" w:hanging="851"/>
      <w:jc w:val="right"/>
    </w:pPr>
    <w:rPr>
      <w:sz w:val="18"/>
    </w:rPr>
  </w:style>
  <w:style w:type="paragraph" w:customStyle="1" w:styleId="TLPTableBullet">
    <w:name w:val="TLPTableBullet"/>
    <w:aliases w:val="ttb"/>
    <w:basedOn w:val="OPCParaBase"/>
    <w:rsid w:val="00784539"/>
    <w:pPr>
      <w:spacing w:line="240" w:lineRule="exact"/>
      <w:ind w:left="284" w:hanging="284"/>
    </w:pPr>
    <w:rPr>
      <w:sz w:val="20"/>
    </w:rPr>
  </w:style>
  <w:style w:type="paragraph" w:styleId="TOC1">
    <w:name w:val="toc 1"/>
    <w:basedOn w:val="OPCParaBase"/>
    <w:next w:val="Normal"/>
    <w:uiPriority w:val="39"/>
    <w:unhideWhenUsed/>
    <w:rsid w:val="0078453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8453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8453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78453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8453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8453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8453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8453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8453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84539"/>
    <w:pPr>
      <w:keepLines/>
      <w:spacing w:before="240" w:after="120" w:line="240" w:lineRule="auto"/>
      <w:ind w:left="794"/>
    </w:pPr>
    <w:rPr>
      <w:b/>
      <w:kern w:val="28"/>
      <w:sz w:val="20"/>
    </w:rPr>
  </w:style>
  <w:style w:type="paragraph" w:customStyle="1" w:styleId="TofSectsHeading">
    <w:name w:val="TofSects(Heading)"/>
    <w:basedOn w:val="OPCParaBase"/>
    <w:rsid w:val="00784539"/>
    <w:pPr>
      <w:spacing w:before="240" w:after="120" w:line="240" w:lineRule="auto"/>
    </w:pPr>
    <w:rPr>
      <w:b/>
      <w:sz w:val="24"/>
    </w:rPr>
  </w:style>
  <w:style w:type="paragraph" w:customStyle="1" w:styleId="TofSectsSection">
    <w:name w:val="TofSects(Section)"/>
    <w:basedOn w:val="OPCParaBase"/>
    <w:rsid w:val="00784539"/>
    <w:pPr>
      <w:keepLines/>
      <w:spacing w:before="40" w:line="240" w:lineRule="auto"/>
      <w:ind w:left="1588" w:hanging="794"/>
    </w:pPr>
    <w:rPr>
      <w:kern w:val="28"/>
      <w:sz w:val="18"/>
    </w:rPr>
  </w:style>
  <w:style w:type="paragraph" w:customStyle="1" w:styleId="TofSectsSubdiv">
    <w:name w:val="TofSects(Subdiv)"/>
    <w:basedOn w:val="OPCParaBase"/>
    <w:rsid w:val="00784539"/>
    <w:pPr>
      <w:keepLines/>
      <w:spacing w:before="80" w:line="240" w:lineRule="auto"/>
      <w:ind w:left="1588" w:hanging="794"/>
    </w:pPr>
    <w:rPr>
      <w:kern w:val="28"/>
    </w:rPr>
  </w:style>
  <w:style w:type="paragraph" w:customStyle="1" w:styleId="WRStyle">
    <w:name w:val="WR Style"/>
    <w:aliases w:val="WR"/>
    <w:basedOn w:val="OPCParaBase"/>
    <w:rsid w:val="00784539"/>
    <w:pPr>
      <w:spacing w:before="240" w:line="240" w:lineRule="auto"/>
      <w:ind w:left="284" w:hanging="284"/>
    </w:pPr>
    <w:rPr>
      <w:b/>
      <w:i/>
      <w:kern w:val="28"/>
      <w:sz w:val="24"/>
    </w:rPr>
  </w:style>
  <w:style w:type="paragraph" w:customStyle="1" w:styleId="notepara">
    <w:name w:val="note(para)"/>
    <w:aliases w:val="na"/>
    <w:basedOn w:val="OPCParaBase"/>
    <w:rsid w:val="00784539"/>
    <w:pPr>
      <w:spacing w:before="40" w:line="198" w:lineRule="exact"/>
      <w:ind w:left="2354" w:hanging="369"/>
    </w:pPr>
    <w:rPr>
      <w:sz w:val="18"/>
    </w:rPr>
  </w:style>
  <w:style w:type="paragraph" w:styleId="Footer">
    <w:name w:val="footer"/>
    <w:link w:val="FooterChar"/>
    <w:rsid w:val="0078453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84539"/>
    <w:rPr>
      <w:rFonts w:eastAsia="Times New Roman" w:cs="Times New Roman"/>
      <w:sz w:val="22"/>
      <w:szCs w:val="24"/>
      <w:lang w:eastAsia="en-AU"/>
    </w:rPr>
  </w:style>
  <w:style w:type="character" w:styleId="LineNumber">
    <w:name w:val="line number"/>
    <w:basedOn w:val="OPCCharBase"/>
    <w:uiPriority w:val="99"/>
    <w:semiHidden/>
    <w:unhideWhenUsed/>
    <w:rsid w:val="00784539"/>
    <w:rPr>
      <w:sz w:val="16"/>
    </w:rPr>
  </w:style>
  <w:style w:type="table" w:customStyle="1" w:styleId="CFlag">
    <w:name w:val="CFlag"/>
    <w:basedOn w:val="TableNormal"/>
    <w:uiPriority w:val="99"/>
    <w:rsid w:val="00784539"/>
    <w:rPr>
      <w:rFonts w:eastAsia="Times New Roman" w:cs="Times New Roman"/>
      <w:lang w:eastAsia="en-AU"/>
    </w:rPr>
    <w:tblPr/>
  </w:style>
  <w:style w:type="paragraph" w:styleId="BalloonText">
    <w:name w:val="Balloon Text"/>
    <w:basedOn w:val="Normal"/>
    <w:link w:val="BalloonTextChar"/>
    <w:uiPriority w:val="99"/>
    <w:semiHidden/>
    <w:unhideWhenUsed/>
    <w:rsid w:val="007845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39"/>
    <w:rPr>
      <w:rFonts w:ascii="Tahoma" w:hAnsi="Tahoma" w:cs="Tahoma"/>
      <w:sz w:val="16"/>
      <w:szCs w:val="16"/>
    </w:rPr>
  </w:style>
  <w:style w:type="table" w:styleId="TableGrid">
    <w:name w:val="Table Grid"/>
    <w:basedOn w:val="TableNormal"/>
    <w:uiPriority w:val="59"/>
    <w:rsid w:val="00784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84539"/>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784539"/>
    <w:rPr>
      <w:i/>
      <w:sz w:val="32"/>
      <w:szCs w:val="32"/>
    </w:rPr>
  </w:style>
  <w:style w:type="paragraph" w:customStyle="1" w:styleId="SignCoverPageEnd">
    <w:name w:val="SignCoverPageEnd"/>
    <w:basedOn w:val="OPCParaBase"/>
    <w:next w:val="Normal"/>
    <w:rsid w:val="0078453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84539"/>
    <w:pPr>
      <w:pBdr>
        <w:top w:val="single" w:sz="4" w:space="1" w:color="auto"/>
      </w:pBdr>
      <w:spacing w:before="360"/>
      <w:ind w:right="397"/>
      <w:jc w:val="both"/>
    </w:pPr>
  </w:style>
  <w:style w:type="paragraph" w:customStyle="1" w:styleId="NotesHeading2">
    <w:name w:val="NotesHeading 2"/>
    <w:basedOn w:val="OPCParaBase"/>
    <w:next w:val="Normal"/>
    <w:rsid w:val="00784539"/>
    <w:rPr>
      <w:b/>
      <w:sz w:val="28"/>
      <w:szCs w:val="28"/>
    </w:rPr>
  </w:style>
  <w:style w:type="paragraph" w:customStyle="1" w:styleId="NotesHeading1">
    <w:name w:val="NotesHeading 1"/>
    <w:basedOn w:val="OPCParaBase"/>
    <w:next w:val="Normal"/>
    <w:rsid w:val="00784539"/>
    <w:pPr>
      <w:outlineLvl w:val="0"/>
    </w:pPr>
    <w:rPr>
      <w:b/>
      <w:sz w:val="28"/>
      <w:szCs w:val="28"/>
    </w:rPr>
  </w:style>
  <w:style w:type="paragraph" w:customStyle="1" w:styleId="CompiledActNo">
    <w:name w:val="CompiledActNo"/>
    <w:basedOn w:val="OPCParaBase"/>
    <w:next w:val="Normal"/>
    <w:rsid w:val="00784539"/>
    <w:rPr>
      <w:b/>
      <w:sz w:val="24"/>
      <w:szCs w:val="24"/>
    </w:rPr>
  </w:style>
  <w:style w:type="paragraph" w:customStyle="1" w:styleId="ENotesText">
    <w:name w:val="ENotesText"/>
    <w:aliases w:val="Ent"/>
    <w:basedOn w:val="OPCParaBase"/>
    <w:next w:val="Normal"/>
    <w:rsid w:val="00784539"/>
    <w:pPr>
      <w:spacing w:before="120"/>
    </w:pPr>
  </w:style>
  <w:style w:type="paragraph" w:customStyle="1" w:styleId="CompiledMadeUnder">
    <w:name w:val="CompiledMadeUnder"/>
    <w:basedOn w:val="OPCParaBase"/>
    <w:next w:val="Normal"/>
    <w:rsid w:val="00784539"/>
    <w:rPr>
      <w:i/>
      <w:sz w:val="24"/>
      <w:szCs w:val="24"/>
    </w:rPr>
  </w:style>
  <w:style w:type="paragraph" w:customStyle="1" w:styleId="Paragraphsub-sub-sub">
    <w:name w:val="Paragraph(sub-sub-sub)"/>
    <w:aliases w:val="aaaa"/>
    <w:basedOn w:val="OPCParaBase"/>
    <w:rsid w:val="00784539"/>
    <w:pPr>
      <w:tabs>
        <w:tab w:val="right" w:pos="3402"/>
      </w:tabs>
      <w:spacing w:before="40" w:line="240" w:lineRule="auto"/>
      <w:ind w:left="3402" w:hanging="3402"/>
    </w:pPr>
  </w:style>
  <w:style w:type="paragraph" w:customStyle="1" w:styleId="TableTextEndNotes">
    <w:name w:val="TableTextEndNotes"/>
    <w:aliases w:val="Tten"/>
    <w:basedOn w:val="Normal"/>
    <w:rsid w:val="00784539"/>
    <w:pPr>
      <w:spacing w:before="60" w:line="240" w:lineRule="auto"/>
    </w:pPr>
    <w:rPr>
      <w:rFonts w:cs="Arial"/>
      <w:sz w:val="20"/>
      <w:szCs w:val="22"/>
    </w:rPr>
  </w:style>
  <w:style w:type="paragraph" w:customStyle="1" w:styleId="NoteToSubpara">
    <w:name w:val="NoteToSubpara"/>
    <w:aliases w:val="nts"/>
    <w:basedOn w:val="OPCParaBase"/>
    <w:rsid w:val="00784539"/>
    <w:pPr>
      <w:spacing w:before="40" w:line="198" w:lineRule="exact"/>
      <w:ind w:left="2835" w:hanging="709"/>
    </w:pPr>
    <w:rPr>
      <w:sz w:val="18"/>
    </w:rPr>
  </w:style>
  <w:style w:type="paragraph" w:customStyle="1" w:styleId="ENoteTableHeading">
    <w:name w:val="ENoteTableHeading"/>
    <w:aliases w:val="enth"/>
    <w:basedOn w:val="OPCParaBase"/>
    <w:rsid w:val="00784539"/>
    <w:pPr>
      <w:keepNext/>
      <w:spacing w:before="60" w:line="240" w:lineRule="atLeast"/>
    </w:pPr>
    <w:rPr>
      <w:rFonts w:ascii="Arial" w:hAnsi="Arial"/>
      <w:b/>
      <w:sz w:val="16"/>
    </w:rPr>
  </w:style>
  <w:style w:type="paragraph" w:customStyle="1" w:styleId="ENoteTTi">
    <w:name w:val="ENoteTTi"/>
    <w:aliases w:val="entti"/>
    <w:basedOn w:val="OPCParaBase"/>
    <w:rsid w:val="00784539"/>
    <w:pPr>
      <w:keepNext/>
      <w:spacing w:before="60" w:line="240" w:lineRule="atLeast"/>
      <w:ind w:left="170"/>
    </w:pPr>
    <w:rPr>
      <w:sz w:val="16"/>
    </w:rPr>
  </w:style>
  <w:style w:type="paragraph" w:customStyle="1" w:styleId="ENotesHeading1">
    <w:name w:val="ENotesHeading 1"/>
    <w:aliases w:val="Enh1"/>
    <w:basedOn w:val="OPCParaBase"/>
    <w:next w:val="Normal"/>
    <w:rsid w:val="00784539"/>
    <w:pPr>
      <w:spacing w:before="120"/>
      <w:outlineLvl w:val="1"/>
    </w:pPr>
    <w:rPr>
      <w:b/>
      <w:sz w:val="28"/>
      <w:szCs w:val="28"/>
    </w:rPr>
  </w:style>
  <w:style w:type="paragraph" w:customStyle="1" w:styleId="ENotesHeading2">
    <w:name w:val="ENotesHeading 2"/>
    <w:aliases w:val="Enh2"/>
    <w:basedOn w:val="OPCParaBase"/>
    <w:next w:val="Normal"/>
    <w:rsid w:val="00784539"/>
    <w:pPr>
      <w:spacing w:before="120" w:after="120"/>
      <w:outlineLvl w:val="2"/>
    </w:pPr>
    <w:rPr>
      <w:b/>
      <w:sz w:val="24"/>
      <w:szCs w:val="28"/>
    </w:rPr>
  </w:style>
  <w:style w:type="paragraph" w:customStyle="1" w:styleId="ENoteTTIndentHeading">
    <w:name w:val="ENoteTTIndentHeading"/>
    <w:aliases w:val="enTTHi"/>
    <w:basedOn w:val="OPCParaBase"/>
    <w:rsid w:val="0078453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84539"/>
    <w:pPr>
      <w:spacing w:before="60" w:line="240" w:lineRule="atLeast"/>
    </w:pPr>
    <w:rPr>
      <w:sz w:val="16"/>
    </w:rPr>
  </w:style>
  <w:style w:type="paragraph" w:customStyle="1" w:styleId="MadeunderText">
    <w:name w:val="MadeunderText"/>
    <w:basedOn w:val="OPCParaBase"/>
    <w:next w:val="CompiledMadeUnder"/>
    <w:rsid w:val="00784539"/>
    <w:pPr>
      <w:spacing w:before="240"/>
    </w:pPr>
    <w:rPr>
      <w:sz w:val="24"/>
      <w:szCs w:val="24"/>
    </w:rPr>
  </w:style>
  <w:style w:type="paragraph" w:customStyle="1" w:styleId="ENotesHeading3">
    <w:name w:val="ENotesHeading 3"/>
    <w:aliases w:val="Enh3"/>
    <w:basedOn w:val="OPCParaBase"/>
    <w:next w:val="Normal"/>
    <w:rsid w:val="00784539"/>
    <w:pPr>
      <w:keepNext/>
      <w:spacing w:before="120" w:line="240" w:lineRule="auto"/>
      <w:outlineLvl w:val="4"/>
    </w:pPr>
    <w:rPr>
      <w:b/>
      <w:szCs w:val="24"/>
    </w:rPr>
  </w:style>
  <w:style w:type="character" w:customStyle="1" w:styleId="CharSubPartTextCASA">
    <w:name w:val="CharSubPartText(CASA)"/>
    <w:basedOn w:val="OPCCharBase"/>
    <w:uiPriority w:val="1"/>
    <w:rsid w:val="00784539"/>
  </w:style>
  <w:style w:type="character" w:customStyle="1" w:styleId="CharSubPartNoCASA">
    <w:name w:val="CharSubPartNo(CASA)"/>
    <w:basedOn w:val="OPCCharBase"/>
    <w:uiPriority w:val="1"/>
    <w:rsid w:val="00784539"/>
  </w:style>
  <w:style w:type="paragraph" w:customStyle="1" w:styleId="ENoteTTIndentHeadingSub">
    <w:name w:val="ENoteTTIndentHeadingSub"/>
    <w:aliases w:val="enTTHis"/>
    <w:basedOn w:val="OPCParaBase"/>
    <w:rsid w:val="00784539"/>
    <w:pPr>
      <w:keepNext/>
      <w:spacing w:before="60" w:line="240" w:lineRule="atLeast"/>
      <w:ind w:left="340"/>
    </w:pPr>
    <w:rPr>
      <w:b/>
      <w:sz w:val="16"/>
    </w:rPr>
  </w:style>
  <w:style w:type="paragraph" w:customStyle="1" w:styleId="ENoteTTiSub">
    <w:name w:val="ENoteTTiSub"/>
    <w:aliases w:val="enttis"/>
    <w:basedOn w:val="OPCParaBase"/>
    <w:rsid w:val="00784539"/>
    <w:pPr>
      <w:keepNext/>
      <w:spacing w:before="60" w:line="240" w:lineRule="atLeast"/>
      <w:ind w:left="340"/>
    </w:pPr>
    <w:rPr>
      <w:sz w:val="16"/>
    </w:rPr>
  </w:style>
  <w:style w:type="paragraph" w:customStyle="1" w:styleId="SubDivisionMigration">
    <w:name w:val="SubDivisionMigration"/>
    <w:aliases w:val="sdm"/>
    <w:basedOn w:val="OPCParaBase"/>
    <w:rsid w:val="0078453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4539"/>
    <w:pPr>
      <w:keepNext/>
      <w:keepLines/>
      <w:spacing w:before="240" w:line="240" w:lineRule="auto"/>
      <w:ind w:left="1134" w:hanging="1134"/>
    </w:pPr>
    <w:rPr>
      <w:b/>
      <w:sz w:val="28"/>
    </w:rPr>
  </w:style>
  <w:style w:type="paragraph" w:customStyle="1" w:styleId="FreeForm">
    <w:name w:val="FreeForm"/>
    <w:rsid w:val="004F4832"/>
    <w:rPr>
      <w:rFonts w:ascii="Arial" w:hAnsi="Arial"/>
      <w:sz w:val="22"/>
    </w:rPr>
  </w:style>
  <w:style w:type="paragraph" w:customStyle="1" w:styleId="SOText">
    <w:name w:val="SO Text"/>
    <w:aliases w:val="sot"/>
    <w:link w:val="SOTextChar"/>
    <w:rsid w:val="0078453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84539"/>
    <w:rPr>
      <w:sz w:val="22"/>
    </w:rPr>
  </w:style>
  <w:style w:type="paragraph" w:customStyle="1" w:styleId="SOTextNote">
    <w:name w:val="SO TextNote"/>
    <w:aliases w:val="sont"/>
    <w:basedOn w:val="SOText"/>
    <w:qFormat/>
    <w:rsid w:val="00784539"/>
    <w:pPr>
      <w:spacing w:before="122" w:line="198" w:lineRule="exact"/>
      <w:ind w:left="1843" w:hanging="709"/>
    </w:pPr>
    <w:rPr>
      <w:sz w:val="18"/>
    </w:rPr>
  </w:style>
  <w:style w:type="paragraph" w:customStyle="1" w:styleId="SOPara">
    <w:name w:val="SO Para"/>
    <w:aliases w:val="soa"/>
    <w:basedOn w:val="SOText"/>
    <w:link w:val="SOParaChar"/>
    <w:qFormat/>
    <w:rsid w:val="00784539"/>
    <w:pPr>
      <w:tabs>
        <w:tab w:val="right" w:pos="1786"/>
      </w:tabs>
      <w:spacing w:before="40"/>
      <w:ind w:left="2070" w:hanging="936"/>
    </w:pPr>
  </w:style>
  <w:style w:type="character" w:customStyle="1" w:styleId="SOParaChar">
    <w:name w:val="SO Para Char"/>
    <w:aliases w:val="soa Char"/>
    <w:basedOn w:val="DefaultParagraphFont"/>
    <w:link w:val="SOPara"/>
    <w:rsid w:val="00784539"/>
    <w:rPr>
      <w:sz w:val="22"/>
    </w:rPr>
  </w:style>
  <w:style w:type="paragraph" w:customStyle="1" w:styleId="FileName">
    <w:name w:val="FileName"/>
    <w:basedOn w:val="Normal"/>
    <w:rsid w:val="00784539"/>
  </w:style>
  <w:style w:type="paragraph" w:customStyle="1" w:styleId="TableHeading">
    <w:name w:val="TableHeading"/>
    <w:aliases w:val="th"/>
    <w:basedOn w:val="OPCParaBase"/>
    <w:next w:val="Tabletext"/>
    <w:rsid w:val="00784539"/>
    <w:pPr>
      <w:keepNext/>
      <w:spacing w:before="60" w:line="240" w:lineRule="atLeast"/>
    </w:pPr>
    <w:rPr>
      <w:b/>
      <w:sz w:val="20"/>
    </w:rPr>
  </w:style>
  <w:style w:type="paragraph" w:customStyle="1" w:styleId="SOHeadBold">
    <w:name w:val="SO HeadBold"/>
    <w:aliases w:val="sohb"/>
    <w:basedOn w:val="SOText"/>
    <w:next w:val="SOText"/>
    <w:link w:val="SOHeadBoldChar"/>
    <w:qFormat/>
    <w:rsid w:val="00784539"/>
    <w:rPr>
      <w:b/>
    </w:rPr>
  </w:style>
  <w:style w:type="character" w:customStyle="1" w:styleId="SOHeadBoldChar">
    <w:name w:val="SO HeadBold Char"/>
    <w:aliases w:val="sohb Char"/>
    <w:basedOn w:val="DefaultParagraphFont"/>
    <w:link w:val="SOHeadBold"/>
    <w:rsid w:val="00784539"/>
    <w:rPr>
      <w:b/>
      <w:sz w:val="22"/>
    </w:rPr>
  </w:style>
  <w:style w:type="paragraph" w:customStyle="1" w:styleId="SOHeadItalic">
    <w:name w:val="SO HeadItalic"/>
    <w:aliases w:val="sohi"/>
    <w:basedOn w:val="SOText"/>
    <w:next w:val="SOText"/>
    <w:link w:val="SOHeadItalicChar"/>
    <w:qFormat/>
    <w:rsid w:val="00784539"/>
    <w:rPr>
      <w:i/>
    </w:rPr>
  </w:style>
  <w:style w:type="character" w:customStyle="1" w:styleId="SOHeadItalicChar">
    <w:name w:val="SO HeadItalic Char"/>
    <w:aliases w:val="sohi Char"/>
    <w:basedOn w:val="DefaultParagraphFont"/>
    <w:link w:val="SOHeadItalic"/>
    <w:rsid w:val="00784539"/>
    <w:rPr>
      <w:i/>
      <w:sz w:val="22"/>
    </w:rPr>
  </w:style>
  <w:style w:type="paragraph" w:customStyle="1" w:styleId="SOBullet">
    <w:name w:val="SO Bullet"/>
    <w:aliases w:val="sotb"/>
    <w:basedOn w:val="SOText"/>
    <w:link w:val="SOBulletChar"/>
    <w:qFormat/>
    <w:rsid w:val="00784539"/>
    <w:pPr>
      <w:ind w:left="1559" w:hanging="425"/>
    </w:pPr>
  </w:style>
  <w:style w:type="character" w:customStyle="1" w:styleId="SOBulletChar">
    <w:name w:val="SO Bullet Char"/>
    <w:aliases w:val="sotb Char"/>
    <w:basedOn w:val="DefaultParagraphFont"/>
    <w:link w:val="SOBullet"/>
    <w:rsid w:val="00784539"/>
    <w:rPr>
      <w:sz w:val="22"/>
    </w:rPr>
  </w:style>
  <w:style w:type="paragraph" w:customStyle="1" w:styleId="SOBulletNote">
    <w:name w:val="SO BulletNote"/>
    <w:aliases w:val="sonb"/>
    <w:basedOn w:val="SOTextNote"/>
    <w:link w:val="SOBulletNoteChar"/>
    <w:qFormat/>
    <w:rsid w:val="00784539"/>
    <w:pPr>
      <w:tabs>
        <w:tab w:val="left" w:pos="1560"/>
      </w:tabs>
      <w:ind w:left="2268" w:hanging="1134"/>
    </w:pPr>
  </w:style>
  <w:style w:type="character" w:customStyle="1" w:styleId="SOBulletNoteChar">
    <w:name w:val="SO BulletNote Char"/>
    <w:aliases w:val="sonb Char"/>
    <w:basedOn w:val="DefaultParagraphFont"/>
    <w:link w:val="SOBulletNote"/>
    <w:rsid w:val="00784539"/>
    <w:rPr>
      <w:sz w:val="18"/>
    </w:rPr>
  </w:style>
  <w:style w:type="paragraph" w:customStyle="1" w:styleId="SOText2">
    <w:name w:val="SO Text2"/>
    <w:aliases w:val="sot2"/>
    <w:basedOn w:val="Normal"/>
    <w:next w:val="SOText"/>
    <w:link w:val="SOText2Char"/>
    <w:rsid w:val="0078453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84539"/>
    <w:rPr>
      <w:sz w:val="22"/>
    </w:rPr>
  </w:style>
  <w:style w:type="paragraph" w:customStyle="1" w:styleId="SubPartCASA">
    <w:name w:val="SubPart(CASA)"/>
    <w:aliases w:val="csp"/>
    <w:basedOn w:val="OPCParaBase"/>
    <w:next w:val="ActHead3"/>
    <w:rsid w:val="0078453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84539"/>
    <w:rPr>
      <w:rFonts w:eastAsia="Times New Roman" w:cs="Times New Roman"/>
      <w:sz w:val="22"/>
      <w:lang w:eastAsia="en-AU"/>
    </w:rPr>
  </w:style>
  <w:style w:type="character" w:customStyle="1" w:styleId="notetextChar">
    <w:name w:val="note(text) Char"/>
    <w:aliases w:val="n Char"/>
    <w:basedOn w:val="DefaultParagraphFont"/>
    <w:link w:val="notetext"/>
    <w:rsid w:val="00784539"/>
    <w:rPr>
      <w:rFonts w:eastAsia="Times New Roman" w:cs="Times New Roman"/>
      <w:sz w:val="18"/>
      <w:lang w:eastAsia="en-AU"/>
    </w:rPr>
  </w:style>
  <w:style w:type="character" w:customStyle="1" w:styleId="Heading1Char">
    <w:name w:val="Heading 1 Char"/>
    <w:basedOn w:val="DefaultParagraphFont"/>
    <w:link w:val="Heading1"/>
    <w:uiPriority w:val="9"/>
    <w:rsid w:val="007845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845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8453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8453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8453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8453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8453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8453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84539"/>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996939"/>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4539"/>
    <w:pPr>
      <w:spacing w:line="260" w:lineRule="atLeast"/>
    </w:pPr>
    <w:rPr>
      <w:sz w:val="22"/>
    </w:rPr>
  </w:style>
  <w:style w:type="paragraph" w:styleId="Heading1">
    <w:name w:val="heading 1"/>
    <w:basedOn w:val="Normal"/>
    <w:next w:val="Normal"/>
    <w:link w:val="Heading1Char"/>
    <w:uiPriority w:val="9"/>
    <w:qFormat/>
    <w:rsid w:val="00784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845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845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45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45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45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45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453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8453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84539"/>
  </w:style>
  <w:style w:type="paragraph" w:customStyle="1" w:styleId="OPCParaBase">
    <w:name w:val="OPCParaBase"/>
    <w:qFormat/>
    <w:rsid w:val="00784539"/>
    <w:pPr>
      <w:spacing w:line="260" w:lineRule="atLeast"/>
    </w:pPr>
    <w:rPr>
      <w:rFonts w:eastAsia="Times New Roman" w:cs="Times New Roman"/>
      <w:sz w:val="22"/>
      <w:lang w:eastAsia="en-AU"/>
    </w:rPr>
  </w:style>
  <w:style w:type="paragraph" w:customStyle="1" w:styleId="ShortT">
    <w:name w:val="ShortT"/>
    <w:basedOn w:val="OPCParaBase"/>
    <w:next w:val="Normal"/>
    <w:qFormat/>
    <w:rsid w:val="00784539"/>
    <w:pPr>
      <w:spacing w:line="240" w:lineRule="auto"/>
    </w:pPr>
    <w:rPr>
      <w:b/>
      <w:sz w:val="40"/>
    </w:rPr>
  </w:style>
  <w:style w:type="paragraph" w:customStyle="1" w:styleId="ActHead1">
    <w:name w:val="ActHead 1"/>
    <w:aliases w:val="c"/>
    <w:basedOn w:val="OPCParaBase"/>
    <w:next w:val="Normal"/>
    <w:qFormat/>
    <w:rsid w:val="0078453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8453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8453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8453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8453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8453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8453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8453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8453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84539"/>
  </w:style>
  <w:style w:type="paragraph" w:customStyle="1" w:styleId="Blocks">
    <w:name w:val="Blocks"/>
    <w:aliases w:val="bb"/>
    <w:basedOn w:val="OPCParaBase"/>
    <w:qFormat/>
    <w:rsid w:val="00784539"/>
    <w:pPr>
      <w:spacing w:line="240" w:lineRule="auto"/>
    </w:pPr>
    <w:rPr>
      <w:sz w:val="24"/>
    </w:rPr>
  </w:style>
  <w:style w:type="paragraph" w:customStyle="1" w:styleId="BoxText">
    <w:name w:val="BoxText"/>
    <w:aliases w:val="bt"/>
    <w:basedOn w:val="OPCParaBase"/>
    <w:qFormat/>
    <w:rsid w:val="0078453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84539"/>
    <w:rPr>
      <w:b/>
    </w:rPr>
  </w:style>
  <w:style w:type="paragraph" w:customStyle="1" w:styleId="BoxHeadItalic">
    <w:name w:val="BoxHeadItalic"/>
    <w:aliases w:val="bhi"/>
    <w:basedOn w:val="BoxText"/>
    <w:next w:val="BoxStep"/>
    <w:qFormat/>
    <w:rsid w:val="00784539"/>
    <w:rPr>
      <w:i/>
    </w:rPr>
  </w:style>
  <w:style w:type="paragraph" w:customStyle="1" w:styleId="BoxList">
    <w:name w:val="BoxList"/>
    <w:aliases w:val="bl"/>
    <w:basedOn w:val="BoxText"/>
    <w:qFormat/>
    <w:rsid w:val="00784539"/>
    <w:pPr>
      <w:ind w:left="1559" w:hanging="425"/>
    </w:pPr>
  </w:style>
  <w:style w:type="paragraph" w:customStyle="1" w:styleId="BoxNote">
    <w:name w:val="BoxNote"/>
    <w:aliases w:val="bn"/>
    <w:basedOn w:val="BoxText"/>
    <w:qFormat/>
    <w:rsid w:val="00784539"/>
    <w:pPr>
      <w:tabs>
        <w:tab w:val="left" w:pos="1985"/>
      </w:tabs>
      <w:spacing w:before="122" w:line="198" w:lineRule="exact"/>
      <w:ind w:left="2948" w:hanging="1814"/>
    </w:pPr>
    <w:rPr>
      <w:sz w:val="18"/>
    </w:rPr>
  </w:style>
  <w:style w:type="paragraph" w:customStyle="1" w:styleId="BoxPara">
    <w:name w:val="BoxPara"/>
    <w:aliases w:val="bp"/>
    <w:basedOn w:val="BoxText"/>
    <w:qFormat/>
    <w:rsid w:val="00784539"/>
    <w:pPr>
      <w:tabs>
        <w:tab w:val="right" w:pos="2268"/>
      </w:tabs>
      <w:ind w:left="2552" w:hanging="1418"/>
    </w:pPr>
  </w:style>
  <w:style w:type="paragraph" w:customStyle="1" w:styleId="BoxStep">
    <w:name w:val="BoxStep"/>
    <w:aliases w:val="bs"/>
    <w:basedOn w:val="BoxText"/>
    <w:qFormat/>
    <w:rsid w:val="00784539"/>
    <w:pPr>
      <w:ind w:left="1985" w:hanging="851"/>
    </w:pPr>
  </w:style>
  <w:style w:type="character" w:customStyle="1" w:styleId="CharAmPartNo">
    <w:name w:val="CharAmPartNo"/>
    <w:basedOn w:val="OPCCharBase"/>
    <w:uiPriority w:val="1"/>
    <w:qFormat/>
    <w:rsid w:val="00784539"/>
  </w:style>
  <w:style w:type="character" w:customStyle="1" w:styleId="CharAmPartText">
    <w:name w:val="CharAmPartText"/>
    <w:basedOn w:val="OPCCharBase"/>
    <w:uiPriority w:val="1"/>
    <w:qFormat/>
    <w:rsid w:val="00784539"/>
  </w:style>
  <w:style w:type="character" w:customStyle="1" w:styleId="CharAmSchNo">
    <w:name w:val="CharAmSchNo"/>
    <w:basedOn w:val="OPCCharBase"/>
    <w:uiPriority w:val="1"/>
    <w:qFormat/>
    <w:rsid w:val="00784539"/>
  </w:style>
  <w:style w:type="character" w:customStyle="1" w:styleId="CharAmSchText">
    <w:name w:val="CharAmSchText"/>
    <w:basedOn w:val="OPCCharBase"/>
    <w:uiPriority w:val="1"/>
    <w:qFormat/>
    <w:rsid w:val="00784539"/>
  </w:style>
  <w:style w:type="character" w:customStyle="1" w:styleId="CharBoldItalic">
    <w:name w:val="CharBoldItalic"/>
    <w:basedOn w:val="OPCCharBase"/>
    <w:uiPriority w:val="1"/>
    <w:qFormat/>
    <w:rsid w:val="00784539"/>
    <w:rPr>
      <w:b/>
      <w:i/>
    </w:rPr>
  </w:style>
  <w:style w:type="character" w:customStyle="1" w:styleId="CharChapNo">
    <w:name w:val="CharChapNo"/>
    <w:basedOn w:val="OPCCharBase"/>
    <w:qFormat/>
    <w:rsid w:val="00784539"/>
  </w:style>
  <w:style w:type="character" w:customStyle="1" w:styleId="CharChapText">
    <w:name w:val="CharChapText"/>
    <w:basedOn w:val="OPCCharBase"/>
    <w:qFormat/>
    <w:rsid w:val="00784539"/>
  </w:style>
  <w:style w:type="character" w:customStyle="1" w:styleId="CharDivNo">
    <w:name w:val="CharDivNo"/>
    <w:basedOn w:val="OPCCharBase"/>
    <w:qFormat/>
    <w:rsid w:val="00784539"/>
  </w:style>
  <w:style w:type="character" w:customStyle="1" w:styleId="CharDivText">
    <w:name w:val="CharDivText"/>
    <w:basedOn w:val="OPCCharBase"/>
    <w:qFormat/>
    <w:rsid w:val="00784539"/>
  </w:style>
  <w:style w:type="character" w:customStyle="1" w:styleId="CharItalic">
    <w:name w:val="CharItalic"/>
    <w:basedOn w:val="OPCCharBase"/>
    <w:uiPriority w:val="1"/>
    <w:qFormat/>
    <w:rsid w:val="00784539"/>
    <w:rPr>
      <w:i/>
    </w:rPr>
  </w:style>
  <w:style w:type="character" w:customStyle="1" w:styleId="CharPartNo">
    <w:name w:val="CharPartNo"/>
    <w:basedOn w:val="OPCCharBase"/>
    <w:qFormat/>
    <w:rsid w:val="00784539"/>
  </w:style>
  <w:style w:type="character" w:customStyle="1" w:styleId="CharPartText">
    <w:name w:val="CharPartText"/>
    <w:basedOn w:val="OPCCharBase"/>
    <w:qFormat/>
    <w:rsid w:val="00784539"/>
  </w:style>
  <w:style w:type="character" w:customStyle="1" w:styleId="CharSectno">
    <w:name w:val="CharSectno"/>
    <w:basedOn w:val="OPCCharBase"/>
    <w:qFormat/>
    <w:rsid w:val="00784539"/>
  </w:style>
  <w:style w:type="character" w:customStyle="1" w:styleId="CharSubdNo">
    <w:name w:val="CharSubdNo"/>
    <w:basedOn w:val="OPCCharBase"/>
    <w:uiPriority w:val="1"/>
    <w:qFormat/>
    <w:rsid w:val="00784539"/>
  </w:style>
  <w:style w:type="character" w:customStyle="1" w:styleId="CharSubdText">
    <w:name w:val="CharSubdText"/>
    <w:basedOn w:val="OPCCharBase"/>
    <w:uiPriority w:val="1"/>
    <w:qFormat/>
    <w:rsid w:val="00784539"/>
  </w:style>
  <w:style w:type="paragraph" w:customStyle="1" w:styleId="CTA--">
    <w:name w:val="CTA --"/>
    <w:basedOn w:val="OPCParaBase"/>
    <w:next w:val="Normal"/>
    <w:rsid w:val="00784539"/>
    <w:pPr>
      <w:spacing w:before="60" w:line="240" w:lineRule="atLeast"/>
      <w:ind w:left="142" w:hanging="142"/>
    </w:pPr>
    <w:rPr>
      <w:sz w:val="20"/>
    </w:rPr>
  </w:style>
  <w:style w:type="paragraph" w:customStyle="1" w:styleId="CTA-">
    <w:name w:val="CTA -"/>
    <w:basedOn w:val="OPCParaBase"/>
    <w:rsid w:val="00784539"/>
    <w:pPr>
      <w:spacing w:before="60" w:line="240" w:lineRule="atLeast"/>
      <w:ind w:left="85" w:hanging="85"/>
    </w:pPr>
    <w:rPr>
      <w:sz w:val="20"/>
    </w:rPr>
  </w:style>
  <w:style w:type="paragraph" w:customStyle="1" w:styleId="CTA---">
    <w:name w:val="CTA ---"/>
    <w:basedOn w:val="OPCParaBase"/>
    <w:next w:val="Normal"/>
    <w:rsid w:val="00784539"/>
    <w:pPr>
      <w:spacing w:before="60" w:line="240" w:lineRule="atLeast"/>
      <w:ind w:left="198" w:hanging="198"/>
    </w:pPr>
    <w:rPr>
      <w:sz w:val="20"/>
    </w:rPr>
  </w:style>
  <w:style w:type="paragraph" w:customStyle="1" w:styleId="CTA----">
    <w:name w:val="CTA ----"/>
    <w:basedOn w:val="OPCParaBase"/>
    <w:next w:val="Normal"/>
    <w:rsid w:val="00784539"/>
    <w:pPr>
      <w:spacing w:before="60" w:line="240" w:lineRule="atLeast"/>
      <w:ind w:left="255" w:hanging="255"/>
    </w:pPr>
    <w:rPr>
      <w:sz w:val="20"/>
    </w:rPr>
  </w:style>
  <w:style w:type="paragraph" w:customStyle="1" w:styleId="CTA1a">
    <w:name w:val="CTA 1(a)"/>
    <w:basedOn w:val="OPCParaBase"/>
    <w:rsid w:val="00784539"/>
    <w:pPr>
      <w:tabs>
        <w:tab w:val="right" w:pos="414"/>
      </w:tabs>
      <w:spacing w:before="40" w:line="240" w:lineRule="atLeast"/>
      <w:ind w:left="675" w:hanging="675"/>
    </w:pPr>
    <w:rPr>
      <w:sz w:val="20"/>
    </w:rPr>
  </w:style>
  <w:style w:type="paragraph" w:customStyle="1" w:styleId="CTA1ai">
    <w:name w:val="CTA 1(a)(i)"/>
    <w:basedOn w:val="OPCParaBase"/>
    <w:rsid w:val="00784539"/>
    <w:pPr>
      <w:tabs>
        <w:tab w:val="right" w:pos="1004"/>
      </w:tabs>
      <w:spacing w:before="40" w:line="240" w:lineRule="atLeast"/>
      <w:ind w:left="1253" w:hanging="1253"/>
    </w:pPr>
    <w:rPr>
      <w:sz w:val="20"/>
    </w:rPr>
  </w:style>
  <w:style w:type="paragraph" w:customStyle="1" w:styleId="CTA2a">
    <w:name w:val="CTA 2(a)"/>
    <w:basedOn w:val="OPCParaBase"/>
    <w:rsid w:val="00784539"/>
    <w:pPr>
      <w:tabs>
        <w:tab w:val="right" w:pos="482"/>
      </w:tabs>
      <w:spacing w:before="40" w:line="240" w:lineRule="atLeast"/>
      <w:ind w:left="748" w:hanging="748"/>
    </w:pPr>
    <w:rPr>
      <w:sz w:val="20"/>
    </w:rPr>
  </w:style>
  <w:style w:type="paragraph" w:customStyle="1" w:styleId="CTA2ai">
    <w:name w:val="CTA 2(a)(i)"/>
    <w:basedOn w:val="OPCParaBase"/>
    <w:rsid w:val="00784539"/>
    <w:pPr>
      <w:tabs>
        <w:tab w:val="right" w:pos="1089"/>
      </w:tabs>
      <w:spacing w:before="40" w:line="240" w:lineRule="atLeast"/>
      <w:ind w:left="1327" w:hanging="1327"/>
    </w:pPr>
    <w:rPr>
      <w:sz w:val="20"/>
    </w:rPr>
  </w:style>
  <w:style w:type="paragraph" w:customStyle="1" w:styleId="CTA3a">
    <w:name w:val="CTA 3(a)"/>
    <w:basedOn w:val="OPCParaBase"/>
    <w:rsid w:val="00784539"/>
    <w:pPr>
      <w:tabs>
        <w:tab w:val="right" w:pos="556"/>
      </w:tabs>
      <w:spacing w:before="40" w:line="240" w:lineRule="atLeast"/>
      <w:ind w:left="805" w:hanging="805"/>
    </w:pPr>
    <w:rPr>
      <w:sz w:val="20"/>
    </w:rPr>
  </w:style>
  <w:style w:type="paragraph" w:customStyle="1" w:styleId="CTA3ai">
    <w:name w:val="CTA 3(a)(i)"/>
    <w:basedOn w:val="OPCParaBase"/>
    <w:rsid w:val="00784539"/>
    <w:pPr>
      <w:tabs>
        <w:tab w:val="right" w:pos="1140"/>
      </w:tabs>
      <w:spacing w:before="40" w:line="240" w:lineRule="atLeast"/>
      <w:ind w:left="1361" w:hanging="1361"/>
    </w:pPr>
    <w:rPr>
      <w:sz w:val="20"/>
    </w:rPr>
  </w:style>
  <w:style w:type="paragraph" w:customStyle="1" w:styleId="CTA4a">
    <w:name w:val="CTA 4(a)"/>
    <w:basedOn w:val="OPCParaBase"/>
    <w:rsid w:val="00784539"/>
    <w:pPr>
      <w:tabs>
        <w:tab w:val="right" w:pos="624"/>
      </w:tabs>
      <w:spacing w:before="40" w:line="240" w:lineRule="atLeast"/>
      <w:ind w:left="873" w:hanging="873"/>
    </w:pPr>
    <w:rPr>
      <w:sz w:val="20"/>
    </w:rPr>
  </w:style>
  <w:style w:type="paragraph" w:customStyle="1" w:styleId="CTA4ai">
    <w:name w:val="CTA 4(a)(i)"/>
    <w:basedOn w:val="OPCParaBase"/>
    <w:rsid w:val="00784539"/>
    <w:pPr>
      <w:tabs>
        <w:tab w:val="right" w:pos="1213"/>
      </w:tabs>
      <w:spacing w:before="40" w:line="240" w:lineRule="atLeast"/>
      <w:ind w:left="1452" w:hanging="1452"/>
    </w:pPr>
    <w:rPr>
      <w:sz w:val="20"/>
    </w:rPr>
  </w:style>
  <w:style w:type="paragraph" w:customStyle="1" w:styleId="CTACAPS">
    <w:name w:val="CTA CAPS"/>
    <w:basedOn w:val="OPCParaBase"/>
    <w:rsid w:val="00784539"/>
    <w:pPr>
      <w:spacing w:before="60" w:line="240" w:lineRule="atLeast"/>
    </w:pPr>
    <w:rPr>
      <w:sz w:val="20"/>
    </w:rPr>
  </w:style>
  <w:style w:type="paragraph" w:customStyle="1" w:styleId="CTAright">
    <w:name w:val="CTA right"/>
    <w:basedOn w:val="OPCParaBase"/>
    <w:rsid w:val="00784539"/>
    <w:pPr>
      <w:spacing w:before="60" w:line="240" w:lineRule="auto"/>
      <w:jc w:val="right"/>
    </w:pPr>
    <w:rPr>
      <w:sz w:val="20"/>
    </w:rPr>
  </w:style>
  <w:style w:type="paragraph" w:customStyle="1" w:styleId="subsection">
    <w:name w:val="subsection"/>
    <w:aliases w:val="ss"/>
    <w:basedOn w:val="OPCParaBase"/>
    <w:link w:val="subsectionChar"/>
    <w:rsid w:val="00784539"/>
    <w:pPr>
      <w:tabs>
        <w:tab w:val="right" w:pos="1021"/>
      </w:tabs>
      <w:spacing w:before="180" w:line="240" w:lineRule="auto"/>
      <w:ind w:left="1134" w:hanging="1134"/>
    </w:pPr>
  </w:style>
  <w:style w:type="paragraph" w:customStyle="1" w:styleId="Definition">
    <w:name w:val="Definition"/>
    <w:aliases w:val="dd"/>
    <w:basedOn w:val="OPCParaBase"/>
    <w:rsid w:val="00784539"/>
    <w:pPr>
      <w:spacing w:before="180" w:line="240" w:lineRule="auto"/>
      <w:ind w:left="1134"/>
    </w:pPr>
  </w:style>
  <w:style w:type="paragraph" w:customStyle="1" w:styleId="EndNotespara">
    <w:name w:val="EndNotes(para)"/>
    <w:aliases w:val="eta"/>
    <w:basedOn w:val="OPCParaBase"/>
    <w:next w:val="EndNotessubpara"/>
    <w:rsid w:val="0078453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8453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8453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84539"/>
    <w:pPr>
      <w:tabs>
        <w:tab w:val="right" w:pos="1412"/>
      </w:tabs>
      <w:spacing w:before="60" w:line="240" w:lineRule="auto"/>
      <w:ind w:left="1525" w:hanging="1525"/>
    </w:pPr>
    <w:rPr>
      <w:sz w:val="20"/>
    </w:rPr>
  </w:style>
  <w:style w:type="paragraph" w:customStyle="1" w:styleId="Formula">
    <w:name w:val="Formula"/>
    <w:basedOn w:val="OPCParaBase"/>
    <w:rsid w:val="00784539"/>
    <w:pPr>
      <w:spacing w:line="240" w:lineRule="auto"/>
      <w:ind w:left="1134"/>
    </w:pPr>
    <w:rPr>
      <w:sz w:val="20"/>
    </w:rPr>
  </w:style>
  <w:style w:type="paragraph" w:styleId="Header">
    <w:name w:val="header"/>
    <w:basedOn w:val="OPCParaBase"/>
    <w:link w:val="HeaderChar"/>
    <w:unhideWhenUsed/>
    <w:rsid w:val="0078453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84539"/>
    <w:rPr>
      <w:rFonts w:eastAsia="Times New Roman" w:cs="Times New Roman"/>
      <w:sz w:val="16"/>
      <w:lang w:eastAsia="en-AU"/>
    </w:rPr>
  </w:style>
  <w:style w:type="paragraph" w:customStyle="1" w:styleId="House">
    <w:name w:val="House"/>
    <w:basedOn w:val="OPCParaBase"/>
    <w:rsid w:val="00784539"/>
    <w:pPr>
      <w:spacing w:line="240" w:lineRule="auto"/>
    </w:pPr>
    <w:rPr>
      <w:sz w:val="28"/>
    </w:rPr>
  </w:style>
  <w:style w:type="paragraph" w:customStyle="1" w:styleId="Item">
    <w:name w:val="Item"/>
    <w:aliases w:val="i"/>
    <w:basedOn w:val="OPCParaBase"/>
    <w:next w:val="ItemHead"/>
    <w:rsid w:val="00784539"/>
    <w:pPr>
      <w:keepLines/>
      <w:spacing w:before="80" w:line="240" w:lineRule="auto"/>
      <w:ind w:left="709"/>
    </w:pPr>
  </w:style>
  <w:style w:type="paragraph" w:customStyle="1" w:styleId="ItemHead">
    <w:name w:val="ItemHead"/>
    <w:aliases w:val="ih"/>
    <w:basedOn w:val="OPCParaBase"/>
    <w:next w:val="Item"/>
    <w:rsid w:val="0078453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84539"/>
    <w:pPr>
      <w:spacing w:line="240" w:lineRule="auto"/>
    </w:pPr>
    <w:rPr>
      <w:b/>
      <w:sz w:val="32"/>
    </w:rPr>
  </w:style>
  <w:style w:type="paragraph" w:customStyle="1" w:styleId="notedraft">
    <w:name w:val="note(draft)"/>
    <w:aliases w:val="nd"/>
    <w:basedOn w:val="OPCParaBase"/>
    <w:rsid w:val="00784539"/>
    <w:pPr>
      <w:spacing w:before="240" w:line="240" w:lineRule="auto"/>
      <w:ind w:left="284" w:hanging="284"/>
    </w:pPr>
    <w:rPr>
      <w:i/>
      <w:sz w:val="24"/>
    </w:rPr>
  </w:style>
  <w:style w:type="paragraph" w:customStyle="1" w:styleId="notemargin">
    <w:name w:val="note(margin)"/>
    <w:aliases w:val="nm"/>
    <w:basedOn w:val="OPCParaBase"/>
    <w:rsid w:val="00784539"/>
    <w:pPr>
      <w:tabs>
        <w:tab w:val="left" w:pos="709"/>
      </w:tabs>
      <w:spacing w:before="122" w:line="198" w:lineRule="exact"/>
      <w:ind w:left="709" w:hanging="709"/>
    </w:pPr>
    <w:rPr>
      <w:sz w:val="18"/>
    </w:rPr>
  </w:style>
  <w:style w:type="paragraph" w:customStyle="1" w:styleId="noteToPara">
    <w:name w:val="noteToPara"/>
    <w:aliases w:val="ntp"/>
    <w:basedOn w:val="OPCParaBase"/>
    <w:rsid w:val="00784539"/>
    <w:pPr>
      <w:spacing w:before="122" w:line="198" w:lineRule="exact"/>
      <w:ind w:left="2353" w:hanging="709"/>
    </w:pPr>
    <w:rPr>
      <w:sz w:val="18"/>
    </w:rPr>
  </w:style>
  <w:style w:type="paragraph" w:customStyle="1" w:styleId="noteParlAmend">
    <w:name w:val="note(ParlAmend)"/>
    <w:aliases w:val="npp"/>
    <w:basedOn w:val="OPCParaBase"/>
    <w:next w:val="ParlAmend"/>
    <w:rsid w:val="00784539"/>
    <w:pPr>
      <w:spacing w:line="240" w:lineRule="auto"/>
      <w:jc w:val="right"/>
    </w:pPr>
    <w:rPr>
      <w:rFonts w:ascii="Arial" w:hAnsi="Arial"/>
      <w:b/>
      <w:i/>
    </w:rPr>
  </w:style>
  <w:style w:type="paragraph" w:customStyle="1" w:styleId="notetext">
    <w:name w:val="note(text)"/>
    <w:aliases w:val="n"/>
    <w:basedOn w:val="OPCParaBase"/>
    <w:link w:val="notetextChar"/>
    <w:rsid w:val="00784539"/>
    <w:pPr>
      <w:spacing w:before="122" w:line="240" w:lineRule="auto"/>
      <w:ind w:left="1985" w:hanging="851"/>
    </w:pPr>
    <w:rPr>
      <w:sz w:val="18"/>
    </w:rPr>
  </w:style>
  <w:style w:type="paragraph" w:customStyle="1" w:styleId="Page1">
    <w:name w:val="Page1"/>
    <w:basedOn w:val="OPCParaBase"/>
    <w:rsid w:val="00784539"/>
    <w:pPr>
      <w:spacing w:before="5600" w:line="240" w:lineRule="auto"/>
    </w:pPr>
    <w:rPr>
      <w:b/>
      <w:sz w:val="32"/>
    </w:rPr>
  </w:style>
  <w:style w:type="paragraph" w:customStyle="1" w:styleId="PageBreak">
    <w:name w:val="PageBreak"/>
    <w:aliases w:val="pb"/>
    <w:basedOn w:val="OPCParaBase"/>
    <w:rsid w:val="00784539"/>
    <w:pPr>
      <w:spacing w:line="240" w:lineRule="auto"/>
    </w:pPr>
    <w:rPr>
      <w:sz w:val="20"/>
    </w:rPr>
  </w:style>
  <w:style w:type="paragraph" w:customStyle="1" w:styleId="paragraphsub">
    <w:name w:val="paragraph(sub)"/>
    <w:aliases w:val="aa"/>
    <w:basedOn w:val="OPCParaBase"/>
    <w:rsid w:val="00784539"/>
    <w:pPr>
      <w:tabs>
        <w:tab w:val="right" w:pos="1985"/>
      </w:tabs>
      <w:spacing w:before="40" w:line="240" w:lineRule="auto"/>
      <w:ind w:left="2098" w:hanging="2098"/>
    </w:pPr>
  </w:style>
  <w:style w:type="paragraph" w:customStyle="1" w:styleId="paragraphsub-sub">
    <w:name w:val="paragraph(sub-sub)"/>
    <w:aliases w:val="aaa"/>
    <w:basedOn w:val="OPCParaBase"/>
    <w:rsid w:val="00784539"/>
    <w:pPr>
      <w:tabs>
        <w:tab w:val="right" w:pos="2722"/>
      </w:tabs>
      <w:spacing w:before="40" w:line="240" w:lineRule="auto"/>
      <w:ind w:left="2835" w:hanging="2835"/>
    </w:pPr>
  </w:style>
  <w:style w:type="paragraph" w:customStyle="1" w:styleId="paragraph">
    <w:name w:val="paragraph"/>
    <w:aliases w:val="a"/>
    <w:basedOn w:val="OPCParaBase"/>
    <w:link w:val="paragraphChar"/>
    <w:rsid w:val="00784539"/>
    <w:pPr>
      <w:tabs>
        <w:tab w:val="right" w:pos="1531"/>
      </w:tabs>
      <w:spacing w:before="40" w:line="240" w:lineRule="auto"/>
      <w:ind w:left="1644" w:hanging="1644"/>
    </w:pPr>
  </w:style>
  <w:style w:type="paragraph" w:customStyle="1" w:styleId="ParlAmend">
    <w:name w:val="ParlAmend"/>
    <w:aliases w:val="pp"/>
    <w:basedOn w:val="OPCParaBase"/>
    <w:rsid w:val="00784539"/>
    <w:pPr>
      <w:spacing w:before="240" w:line="240" w:lineRule="atLeast"/>
      <w:ind w:hanging="567"/>
    </w:pPr>
    <w:rPr>
      <w:sz w:val="24"/>
    </w:rPr>
  </w:style>
  <w:style w:type="paragraph" w:customStyle="1" w:styleId="Penalty">
    <w:name w:val="Penalty"/>
    <w:basedOn w:val="OPCParaBase"/>
    <w:rsid w:val="00784539"/>
    <w:pPr>
      <w:tabs>
        <w:tab w:val="left" w:pos="2977"/>
      </w:tabs>
      <w:spacing w:before="180" w:line="240" w:lineRule="auto"/>
      <w:ind w:left="1985" w:hanging="851"/>
    </w:pPr>
  </w:style>
  <w:style w:type="paragraph" w:customStyle="1" w:styleId="Portfolio">
    <w:name w:val="Portfolio"/>
    <w:basedOn w:val="OPCParaBase"/>
    <w:rsid w:val="00784539"/>
    <w:pPr>
      <w:spacing w:line="240" w:lineRule="auto"/>
    </w:pPr>
    <w:rPr>
      <w:i/>
      <w:sz w:val="20"/>
    </w:rPr>
  </w:style>
  <w:style w:type="paragraph" w:customStyle="1" w:styleId="Preamble">
    <w:name w:val="Preamble"/>
    <w:basedOn w:val="OPCParaBase"/>
    <w:next w:val="Normal"/>
    <w:rsid w:val="0078453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84539"/>
    <w:pPr>
      <w:spacing w:line="240" w:lineRule="auto"/>
    </w:pPr>
    <w:rPr>
      <w:i/>
      <w:sz w:val="20"/>
    </w:rPr>
  </w:style>
  <w:style w:type="paragraph" w:customStyle="1" w:styleId="Session">
    <w:name w:val="Session"/>
    <w:basedOn w:val="OPCParaBase"/>
    <w:rsid w:val="00784539"/>
    <w:pPr>
      <w:spacing w:line="240" w:lineRule="auto"/>
    </w:pPr>
    <w:rPr>
      <w:sz w:val="28"/>
    </w:rPr>
  </w:style>
  <w:style w:type="paragraph" w:customStyle="1" w:styleId="Sponsor">
    <w:name w:val="Sponsor"/>
    <w:basedOn w:val="OPCParaBase"/>
    <w:rsid w:val="00784539"/>
    <w:pPr>
      <w:spacing w:line="240" w:lineRule="auto"/>
    </w:pPr>
    <w:rPr>
      <w:i/>
    </w:rPr>
  </w:style>
  <w:style w:type="paragraph" w:customStyle="1" w:styleId="Subitem">
    <w:name w:val="Subitem"/>
    <w:aliases w:val="iss"/>
    <w:basedOn w:val="OPCParaBase"/>
    <w:rsid w:val="00784539"/>
    <w:pPr>
      <w:spacing w:before="180" w:line="240" w:lineRule="auto"/>
      <w:ind w:left="709" w:hanging="709"/>
    </w:pPr>
  </w:style>
  <w:style w:type="paragraph" w:customStyle="1" w:styleId="SubitemHead">
    <w:name w:val="SubitemHead"/>
    <w:aliases w:val="issh"/>
    <w:basedOn w:val="OPCParaBase"/>
    <w:rsid w:val="0078453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84539"/>
    <w:pPr>
      <w:spacing w:before="40" w:line="240" w:lineRule="auto"/>
      <w:ind w:left="1134"/>
    </w:pPr>
  </w:style>
  <w:style w:type="paragraph" w:customStyle="1" w:styleId="SubsectionHead">
    <w:name w:val="SubsectionHead"/>
    <w:aliases w:val="ssh"/>
    <w:basedOn w:val="OPCParaBase"/>
    <w:next w:val="subsection"/>
    <w:rsid w:val="00784539"/>
    <w:pPr>
      <w:keepNext/>
      <w:keepLines/>
      <w:spacing w:before="240" w:line="240" w:lineRule="auto"/>
      <w:ind w:left="1134"/>
    </w:pPr>
    <w:rPr>
      <w:i/>
    </w:rPr>
  </w:style>
  <w:style w:type="paragraph" w:customStyle="1" w:styleId="Tablea">
    <w:name w:val="Table(a)"/>
    <w:aliases w:val="ta"/>
    <w:basedOn w:val="OPCParaBase"/>
    <w:rsid w:val="00784539"/>
    <w:pPr>
      <w:spacing w:before="60" w:line="240" w:lineRule="auto"/>
      <w:ind w:left="284" w:hanging="284"/>
    </w:pPr>
    <w:rPr>
      <w:sz w:val="20"/>
    </w:rPr>
  </w:style>
  <w:style w:type="paragraph" w:customStyle="1" w:styleId="TableAA">
    <w:name w:val="Table(AA)"/>
    <w:aliases w:val="taaa"/>
    <w:basedOn w:val="OPCParaBase"/>
    <w:rsid w:val="0078453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8453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84539"/>
    <w:pPr>
      <w:spacing w:before="60" w:line="240" w:lineRule="atLeast"/>
    </w:pPr>
    <w:rPr>
      <w:sz w:val="20"/>
    </w:rPr>
  </w:style>
  <w:style w:type="paragraph" w:customStyle="1" w:styleId="TLPBoxTextnote">
    <w:name w:val="TLPBoxText(note"/>
    <w:aliases w:val="right)"/>
    <w:basedOn w:val="OPCParaBase"/>
    <w:rsid w:val="0078453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8453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84539"/>
    <w:pPr>
      <w:spacing w:before="122" w:line="198" w:lineRule="exact"/>
      <w:ind w:left="1985" w:hanging="851"/>
      <w:jc w:val="right"/>
    </w:pPr>
    <w:rPr>
      <w:sz w:val="18"/>
    </w:rPr>
  </w:style>
  <w:style w:type="paragraph" w:customStyle="1" w:styleId="TLPTableBullet">
    <w:name w:val="TLPTableBullet"/>
    <w:aliases w:val="ttb"/>
    <w:basedOn w:val="OPCParaBase"/>
    <w:rsid w:val="00784539"/>
    <w:pPr>
      <w:spacing w:line="240" w:lineRule="exact"/>
      <w:ind w:left="284" w:hanging="284"/>
    </w:pPr>
    <w:rPr>
      <w:sz w:val="20"/>
    </w:rPr>
  </w:style>
  <w:style w:type="paragraph" w:styleId="TOC1">
    <w:name w:val="toc 1"/>
    <w:basedOn w:val="OPCParaBase"/>
    <w:next w:val="Normal"/>
    <w:uiPriority w:val="39"/>
    <w:unhideWhenUsed/>
    <w:rsid w:val="0078453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8453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8453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78453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8453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8453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8453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8453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8453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84539"/>
    <w:pPr>
      <w:keepLines/>
      <w:spacing w:before="240" w:after="120" w:line="240" w:lineRule="auto"/>
      <w:ind w:left="794"/>
    </w:pPr>
    <w:rPr>
      <w:b/>
      <w:kern w:val="28"/>
      <w:sz w:val="20"/>
    </w:rPr>
  </w:style>
  <w:style w:type="paragraph" w:customStyle="1" w:styleId="TofSectsHeading">
    <w:name w:val="TofSects(Heading)"/>
    <w:basedOn w:val="OPCParaBase"/>
    <w:rsid w:val="00784539"/>
    <w:pPr>
      <w:spacing w:before="240" w:after="120" w:line="240" w:lineRule="auto"/>
    </w:pPr>
    <w:rPr>
      <w:b/>
      <w:sz w:val="24"/>
    </w:rPr>
  </w:style>
  <w:style w:type="paragraph" w:customStyle="1" w:styleId="TofSectsSection">
    <w:name w:val="TofSects(Section)"/>
    <w:basedOn w:val="OPCParaBase"/>
    <w:rsid w:val="00784539"/>
    <w:pPr>
      <w:keepLines/>
      <w:spacing w:before="40" w:line="240" w:lineRule="auto"/>
      <w:ind w:left="1588" w:hanging="794"/>
    </w:pPr>
    <w:rPr>
      <w:kern w:val="28"/>
      <w:sz w:val="18"/>
    </w:rPr>
  </w:style>
  <w:style w:type="paragraph" w:customStyle="1" w:styleId="TofSectsSubdiv">
    <w:name w:val="TofSects(Subdiv)"/>
    <w:basedOn w:val="OPCParaBase"/>
    <w:rsid w:val="00784539"/>
    <w:pPr>
      <w:keepLines/>
      <w:spacing w:before="80" w:line="240" w:lineRule="auto"/>
      <w:ind w:left="1588" w:hanging="794"/>
    </w:pPr>
    <w:rPr>
      <w:kern w:val="28"/>
    </w:rPr>
  </w:style>
  <w:style w:type="paragraph" w:customStyle="1" w:styleId="WRStyle">
    <w:name w:val="WR Style"/>
    <w:aliases w:val="WR"/>
    <w:basedOn w:val="OPCParaBase"/>
    <w:rsid w:val="00784539"/>
    <w:pPr>
      <w:spacing w:before="240" w:line="240" w:lineRule="auto"/>
      <w:ind w:left="284" w:hanging="284"/>
    </w:pPr>
    <w:rPr>
      <w:b/>
      <w:i/>
      <w:kern w:val="28"/>
      <w:sz w:val="24"/>
    </w:rPr>
  </w:style>
  <w:style w:type="paragraph" w:customStyle="1" w:styleId="notepara">
    <w:name w:val="note(para)"/>
    <w:aliases w:val="na"/>
    <w:basedOn w:val="OPCParaBase"/>
    <w:rsid w:val="00784539"/>
    <w:pPr>
      <w:spacing w:before="40" w:line="198" w:lineRule="exact"/>
      <w:ind w:left="2354" w:hanging="369"/>
    </w:pPr>
    <w:rPr>
      <w:sz w:val="18"/>
    </w:rPr>
  </w:style>
  <w:style w:type="paragraph" w:styleId="Footer">
    <w:name w:val="footer"/>
    <w:link w:val="FooterChar"/>
    <w:rsid w:val="0078453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84539"/>
    <w:rPr>
      <w:rFonts w:eastAsia="Times New Roman" w:cs="Times New Roman"/>
      <w:sz w:val="22"/>
      <w:szCs w:val="24"/>
      <w:lang w:eastAsia="en-AU"/>
    </w:rPr>
  </w:style>
  <w:style w:type="character" w:styleId="LineNumber">
    <w:name w:val="line number"/>
    <w:basedOn w:val="OPCCharBase"/>
    <w:uiPriority w:val="99"/>
    <w:semiHidden/>
    <w:unhideWhenUsed/>
    <w:rsid w:val="00784539"/>
    <w:rPr>
      <w:sz w:val="16"/>
    </w:rPr>
  </w:style>
  <w:style w:type="table" w:customStyle="1" w:styleId="CFlag">
    <w:name w:val="CFlag"/>
    <w:basedOn w:val="TableNormal"/>
    <w:uiPriority w:val="99"/>
    <w:rsid w:val="00784539"/>
    <w:rPr>
      <w:rFonts w:eastAsia="Times New Roman" w:cs="Times New Roman"/>
      <w:lang w:eastAsia="en-AU"/>
    </w:rPr>
    <w:tblPr/>
  </w:style>
  <w:style w:type="paragraph" w:styleId="BalloonText">
    <w:name w:val="Balloon Text"/>
    <w:basedOn w:val="Normal"/>
    <w:link w:val="BalloonTextChar"/>
    <w:uiPriority w:val="99"/>
    <w:semiHidden/>
    <w:unhideWhenUsed/>
    <w:rsid w:val="007845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39"/>
    <w:rPr>
      <w:rFonts w:ascii="Tahoma" w:hAnsi="Tahoma" w:cs="Tahoma"/>
      <w:sz w:val="16"/>
      <w:szCs w:val="16"/>
    </w:rPr>
  </w:style>
  <w:style w:type="table" w:styleId="TableGrid">
    <w:name w:val="Table Grid"/>
    <w:basedOn w:val="TableNormal"/>
    <w:uiPriority w:val="59"/>
    <w:rsid w:val="00784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84539"/>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784539"/>
    <w:rPr>
      <w:i/>
      <w:sz w:val="32"/>
      <w:szCs w:val="32"/>
    </w:rPr>
  </w:style>
  <w:style w:type="paragraph" w:customStyle="1" w:styleId="SignCoverPageEnd">
    <w:name w:val="SignCoverPageEnd"/>
    <w:basedOn w:val="OPCParaBase"/>
    <w:next w:val="Normal"/>
    <w:rsid w:val="0078453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84539"/>
    <w:pPr>
      <w:pBdr>
        <w:top w:val="single" w:sz="4" w:space="1" w:color="auto"/>
      </w:pBdr>
      <w:spacing w:before="360"/>
      <w:ind w:right="397"/>
      <w:jc w:val="both"/>
    </w:pPr>
  </w:style>
  <w:style w:type="paragraph" w:customStyle="1" w:styleId="NotesHeading2">
    <w:name w:val="NotesHeading 2"/>
    <w:basedOn w:val="OPCParaBase"/>
    <w:next w:val="Normal"/>
    <w:rsid w:val="00784539"/>
    <w:rPr>
      <w:b/>
      <w:sz w:val="28"/>
      <w:szCs w:val="28"/>
    </w:rPr>
  </w:style>
  <w:style w:type="paragraph" w:customStyle="1" w:styleId="NotesHeading1">
    <w:name w:val="NotesHeading 1"/>
    <w:basedOn w:val="OPCParaBase"/>
    <w:next w:val="Normal"/>
    <w:rsid w:val="00784539"/>
    <w:pPr>
      <w:outlineLvl w:val="0"/>
    </w:pPr>
    <w:rPr>
      <w:b/>
      <w:sz w:val="28"/>
      <w:szCs w:val="28"/>
    </w:rPr>
  </w:style>
  <w:style w:type="paragraph" w:customStyle="1" w:styleId="CompiledActNo">
    <w:name w:val="CompiledActNo"/>
    <w:basedOn w:val="OPCParaBase"/>
    <w:next w:val="Normal"/>
    <w:rsid w:val="00784539"/>
    <w:rPr>
      <w:b/>
      <w:sz w:val="24"/>
      <w:szCs w:val="24"/>
    </w:rPr>
  </w:style>
  <w:style w:type="paragraph" w:customStyle="1" w:styleId="ENotesText">
    <w:name w:val="ENotesText"/>
    <w:aliases w:val="Ent"/>
    <w:basedOn w:val="OPCParaBase"/>
    <w:next w:val="Normal"/>
    <w:rsid w:val="00784539"/>
    <w:pPr>
      <w:spacing w:before="120"/>
    </w:pPr>
  </w:style>
  <w:style w:type="paragraph" w:customStyle="1" w:styleId="CompiledMadeUnder">
    <w:name w:val="CompiledMadeUnder"/>
    <w:basedOn w:val="OPCParaBase"/>
    <w:next w:val="Normal"/>
    <w:rsid w:val="00784539"/>
    <w:rPr>
      <w:i/>
      <w:sz w:val="24"/>
      <w:szCs w:val="24"/>
    </w:rPr>
  </w:style>
  <w:style w:type="paragraph" w:customStyle="1" w:styleId="Paragraphsub-sub-sub">
    <w:name w:val="Paragraph(sub-sub-sub)"/>
    <w:aliases w:val="aaaa"/>
    <w:basedOn w:val="OPCParaBase"/>
    <w:rsid w:val="00784539"/>
    <w:pPr>
      <w:tabs>
        <w:tab w:val="right" w:pos="3402"/>
      </w:tabs>
      <w:spacing w:before="40" w:line="240" w:lineRule="auto"/>
      <w:ind w:left="3402" w:hanging="3402"/>
    </w:pPr>
  </w:style>
  <w:style w:type="paragraph" w:customStyle="1" w:styleId="TableTextEndNotes">
    <w:name w:val="TableTextEndNotes"/>
    <w:aliases w:val="Tten"/>
    <w:basedOn w:val="Normal"/>
    <w:rsid w:val="00784539"/>
    <w:pPr>
      <w:spacing w:before="60" w:line="240" w:lineRule="auto"/>
    </w:pPr>
    <w:rPr>
      <w:rFonts w:cs="Arial"/>
      <w:sz w:val="20"/>
      <w:szCs w:val="22"/>
    </w:rPr>
  </w:style>
  <w:style w:type="paragraph" w:customStyle="1" w:styleId="NoteToSubpara">
    <w:name w:val="NoteToSubpara"/>
    <w:aliases w:val="nts"/>
    <w:basedOn w:val="OPCParaBase"/>
    <w:rsid w:val="00784539"/>
    <w:pPr>
      <w:spacing w:before="40" w:line="198" w:lineRule="exact"/>
      <w:ind w:left="2835" w:hanging="709"/>
    </w:pPr>
    <w:rPr>
      <w:sz w:val="18"/>
    </w:rPr>
  </w:style>
  <w:style w:type="paragraph" w:customStyle="1" w:styleId="ENoteTableHeading">
    <w:name w:val="ENoteTableHeading"/>
    <w:aliases w:val="enth"/>
    <w:basedOn w:val="OPCParaBase"/>
    <w:rsid w:val="00784539"/>
    <w:pPr>
      <w:keepNext/>
      <w:spacing w:before="60" w:line="240" w:lineRule="atLeast"/>
    </w:pPr>
    <w:rPr>
      <w:rFonts w:ascii="Arial" w:hAnsi="Arial"/>
      <w:b/>
      <w:sz w:val="16"/>
    </w:rPr>
  </w:style>
  <w:style w:type="paragraph" w:customStyle="1" w:styleId="ENoteTTi">
    <w:name w:val="ENoteTTi"/>
    <w:aliases w:val="entti"/>
    <w:basedOn w:val="OPCParaBase"/>
    <w:rsid w:val="00784539"/>
    <w:pPr>
      <w:keepNext/>
      <w:spacing w:before="60" w:line="240" w:lineRule="atLeast"/>
      <w:ind w:left="170"/>
    </w:pPr>
    <w:rPr>
      <w:sz w:val="16"/>
    </w:rPr>
  </w:style>
  <w:style w:type="paragraph" w:customStyle="1" w:styleId="ENotesHeading1">
    <w:name w:val="ENotesHeading 1"/>
    <w:aliases w:val="Enh1"/>
    <w:basedOn w:val="OPCParaBase"/>
    <w:next w:val="Normal"/>
    <w:rsid w:val="00784539"/>
    <w:pPr>
      <w:spacing w:before="120"/>
      <w:outlineLvl w:val="1"/>
    </w:pPr>
    <w:rPr>
      <w:b/>
      <w:sz w:val="28"/>
      <w:szCs w:val="28"/>
    </w:rPr>
  </w:style>
  <w:style w:type="paragraph" w:customStyle="1" w:styleId="ENotesHeading2">
    <w:name w:val="ENotesHeading 2"/>
    <w:aliases w:val="Enh2"/>
    <w:basedOn w:val="OPCParaBase"/>
    <w:next w:val="Normal"/>
    <w:rsid w:val="00784539"/>
    <w:pPr>
      <w:spacing w:before="120" w:after="120"/>
      <w:outlineLvl w:val="2"/>
    </w:pPr>
    <w:rPr>
      <w:b/>
      <w:sz w:val="24"/>
      <w:szCs w:val="28"/>
    </w:rPr>
  </w:style>
  <w:style w:type="paragraph" w:customStyle="1" w:styleId="ENoteTTIndentHeading">
    <w:name w:val="ENoteTTIndentHeading"/>
    <w:aliases w:val="enTTHi"/>
    <w:basedOn w:val="OPCParaBase"/>
    <w:rsid w:val="0078453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84539"/>
    <w:pPr>
      <w:spacing w:before="60" w:line="240" w:lineRule="atLeast"/>
    </w:pPr>
    <w:rPr>
      <w:sz w:val="16"/>
    </w:rPr>
  </w:style>
  <w:style w:type="paragraph" w:customStyle="1" w:styleId="MadeunderText">
    <w:name w:val="MadeunderText"/>
    <w:basedOn w:val="OPCParaBase"/>
    <w:next w:val="CompiledMadeUnder"/>
    <w:rsid w:val="00784539"/>
    <w:pPr>
      <w:spacing w:before="240"/>
    </w:pPr>
    <w:rPr>
      <w:sz w:val="24"/>
      <w:szCs w:val="24"/>
    </w:rPr>
  </w:style>
  <w:style w:type="paragraph" w:customStyle="1" w:styleId="ENotesHeading3">
    <w:name w:val="ENotesHeading 3"/>
    <w:aliases w:val="Enh3"/>
    <w:basedOn w:val="OPCParaBase"/>
    <w:next w:val="Normal"/>
    <w:rsid w:val="00784539"/>
    <w:pPr>
      <w:keepNext/>
      <w:spacing w:before="120" w:line="240" w:lineRule="auto"/>
      <w:outlineLvl w:val="4"/>
    </w:pPr>
    <w:rPr>
      <w:b/>
      <w:szCs w:val="24"/>
    </w:rPr>
  </w:style>
  <w:style w:type="character" w:customStyle="1" w:styleId="CharSubPartTextCASA">
    <w:name w:val="CharSubPartText(CASA)"/>
    <w:basedOn w:val="OPCCharBase"/>
    <w:uiPriority w:val="1"/>
    <w:rsid w:val="00784539"/>
  </w:style>
  <w:style w:type="character" w:customStyle="1" w:styleId="CharSubPartNoCASA">
    <w:name w:val="CharSubPartNo(CASA)"/>
    <w:basedOn w:val="OPCCharBase"/>
    <w:uiPriority w:val="1"/>
    <w:rsid w:val="00784539"/>
  </w:style>
  <w:style w:type="paragraph" w:customStyle="1" w:styleId="ENoteTTIndentHeadingSub">
    <w:name w:val="ENoteTTIndentHeadingSub"/>
    <w:aliases w:val="enTTHis"/>
    <w:basedOn w:val="OPCParaBase"/>
    <w:rsid w:val="00784539"/>
    <w:pPr>
      <w:keepNext/>
      <w:spacing w:before="60" w:line="240" w:lineRule="atLeast"/>
      <w:ind w:left="340"/>
    </w:pPr>
    <w:rPr>
      <w:b/>
      <w:sz w:val="16"/>
    </w:rPr>
  </w:style>
  <w:style w:type="paragraph" w:customStyle="1" w:styleId="ENoteTTiSub">
    <w:name w:val="ENoteTTiSub"/>
    <w:aliases w:val="enttis"/>
    <w:basedOn w:val="OPCParaBase"/>
    <w:rsid w:val="00784539"/>
    <w:pPr>
      <w:keepNext/>
      <w:spacing w:before="60" w:line="240" w:lineRule="atLeast"/>
      <w:ind w:left="340"/>
    </w:pPr>
    <w:rPr>
      <w:sz w:val="16"/>
    </w:rPr>
  </w:style>
  <w:style w:type="paragraph" w:customStyle="1" w:styleId="SubDivisionMigration">
    <w:name w:val="SubDivisionMigration"/>
    <w:aliases w:val="sdm"/>
    <w:basedOn w:val="OPCParaBase"/>
    <w:rsid w:val="0078453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84539"/>
    <w:pPr>
      <w:keepNext/>
      <w:keepLines/>
      <w:spacing w:before="240" w:line="240" w:lineRule="auto"/>
      <w:ind w:left="1134" w:hanging="1134"/>
    </w:pPr>
    <w:rPr>
      <w:b/>
      <w:sz w:val="28"/>
    </w:rPr>
  </w:style>
  <w:style w:type="paragraph" w:customStyle="1" w:styleId="FreeForm">
    <w:name w:val="FreeForm"/>
    <w:rsid w:val="004F4832"/>
    <w:rPr>
      <w:rFonts w:ascii="Arial" w:hAnsi="Arial"/>
      <w:sz w:val="22"/>
    </w:rPr>
  </w:style>
  <w:style w:type="paragraph" w:customStyle="1" w:styleId="SOText">
    <w:name w:val="SO Text"/>
    <w:aliases w:val="sot"/>
    <w:link w:val="SOTextChar"/>
    <w:rsid w:val="0078453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84539"/>
    <w:rPr>
      <w:sz w:val="22"/>
    </w:rPr>
  </w:style>
  <w:style w:type="paragraph" w:customStyle="1" w:styleId="SOTextNote">
    <w:name w:val="SO TextNote"/>
    <w:aliases w:val="sont"/>
    <w:basedOn w:val="SOText"/>
    <w:qFormat/>
    <w:rsid w:val="00784539"/>
    <w:pPr>
      <w:spacing w:before="122" w:line="198" w:lineRule="exact"/>
      <w:ind w:left="1843" w:hanging="709"/>
    </w:pPr>
    <w:rPr>
      <w:sz w:val="18"/>
    </w:rPr>
  </w:style>
  <w:style w:type="paragraph" w:customStyle="1" w:styleId="SOPara">
    <w:name w:val="SO Para"/>
    <w:aliases w:val="soa"/>
    <w:basedOn w:val="SOText"/>
    <w:link w:val="SOParaChar"/>
    <w:qFormat/>
    <w:rsid w:val="00784539"/>
    <w:pPr>
      <w:tabs>
        <w:tab w:val="right" w:pos="1786"/>
      </w:tabs>
      <w:spacing w:before="40"/>
      <w:ind w:left="2070" w:hanging="936"/>
    </w:pPr>
  </w:style>
  <w:style w:type="character" w:customStyle="1" w:styleId="SOParaChar">
    <w:name w:val="SO Para Char"/>
    <w:aliases w:val="soa Char"/>
    <w:basedOn w:val="DefaultParagraphFont"/>
    <w:link w:val="SOPara"/>
    <w:rsid w:val="00784539"/>
    <w:rPr>
      <w:sz w:val="22"/>
    </w:rPr>
  </w:style>
  <w:style w:type="paragraph" w:customStyle="1" w:styleId="FileName">
    <w:name w:val="FileName"/>
    <w:basedOn w:val="Normal"/>
    <w:rsid w:val="00784539"/>
  </w:style>
  <w:style w:type="paragraph" w:customStyle="1" w:styleId="TableHeading">
    <w:name w:val="TableHeading"/>
    <w:aliases w:val="th"/>
    <w:basedOn w:val="OPCParaBase"/>
    <w:next w:val="Tabletext"/>
    <w:rsid w:val="00784539"/>
    <w:pPr>
      <w:keepNext/>
      <w:spacing w:before="60" w:line="240" w:lineRule="atLeast"/>
    </w:pPr>
    <w:rPr>
      <w:b/>
      <w:sz w:val="20"/>
    </w:rPr>
  </w:style>
  <w:style w:type="paragraph" w:customStyle="1" w:styleId="SOHeadBold">
    <w:name w:val="SO HeadBold"/>
    <w:aliases w:val="sohb"/>
    <w:basedOn w:val="SOText"/>
    <w:next w:val="SOText"/>
    <w:link w:val="SOHeadBoldChar"/>
    <w:qFormat/>
    <w:rsid w:val="00784539"/>
    <w:rPr>
      <w:b/>
    </w:rPr>
  </w:style>
  <w:style w:type="character" w:customStyle="1" w:styleId="SOHeadBoldChar">
    <w:name w:val="SO HeadBold Char"/>
    <w:aliases w:val="sohb Char"/>
    <w:basedOn w:val="DefaultParagraphFont"/>
    <w:link w:val="SOHeadBold"/>
    <w:rsid w:val="00784539"/>
    <w:rPr>
      <w:b/>
      <w:sz w:val="22"/>
    </w:rPr>
  </w:style>
  <w:style w:type="paragraph" w:customStyle="1" w:styleId="SOHeadItalic">
    <w:name w:val="SO HeadItalic"/>
    <w:aliases w:val="sohi"/>
    <w:basedOn w:val="SOText"/>
    <w:next w:val="SOText"/>
    <w:link w:val="SOHeadItalicChar"/>
    <w:qFormat/>
    <w:rsid w:val="00784539"/>
    <w:rPr>
      <w:i/>
    </w:rPr>
  </w:style>
  <w:style w:type="character" w:customStyle="1" w:styleId="SOHeadItalicChar">
    <w:name w:val="SO HeadItalic Char"/>
    <w:aliases w:val="sohi Char"/>
    <w:basedOn w:val="DefaultParagraphFont"/>
    <w:link w:val="SOHeadItalic"/>
    <w:rsid w:val="00784539"/>
    <w:rPr>
      <w:i/>
      <w:sz w:val="22"/>
    </w:rPr>
  </w:style>
  <w:style w:type="paragraph" w:customStyle="1" w:styleId="SOBullet">
    <w:name w:val="SO Bullet"/>
    <w:aliases w:val="sotb"/>
    <w:basedOn w:val="SOText"/>
    <w:link w:val="SOBulletChar"/>
    <w:qFormat/>
    <w:rsid w:val="00784539"/>
    <w:pPr>
      <w:ind w:left="1559" w:hanging="425"/>
    </w:pPr>
  </w:style>
  <w:style w:type="character" w:customStyle="1" w:styleId="SOBulletChar">
    <w:name w:val="SO Bullet Char"/>
    <w:aliases w:val="sotb Char"/>
    <w:basedOn w:val="DefaultParagraphFont"/>
    <w:link w:val="SOBullet"/>
    <w:rsid w:val="00784539"/>
    <w:rPr>
      <w:sz w:val="22"/>
    </w:rPr>
  </w:style>
  <w:style w:type="paragraph" w:customStyle="1" w:styleId="SOBulletNote">
    <w:name w:val="SO BulletNote"/>
    <w:aliases w:val="sonb"/>
    <w:basedOn w:val="SOTextNote"/>
    <w:link w:val="SOBulletNoteChar"/>
    <w:qFormat/>
    <w:rsid w:val="00784539"/>
    <w:pPr>
      <w:tabs>
        <w:tab w:val="left" w:pos="1560"/>
      </w:tabs>
      <w:ind w:left="2268" w:hanging="1134"/>
    </w:pPr>
  </w:style>
  <w:style w:type="character" w:customStyle="1" w:styleId="SOBulletNoteChar">
    <w:name w:val="SO BulletNote Char"/>
    <w:aliases w:val="sonb Char"/>
    <w:basedOn w:val="DefaultParagraphFont"/>
    <w:link w:val="SOBulletNote"/>
    <w:rsid w:val="00784539"/>
    <w:rPr>
      <w:sz w:val="18"/>
    </w:rPr>
  </w:style>
  <w:style w:type="paragraph" w:customStyle="1" w:styleId="SOText2">
    <w:name w:val="SO Text2"/>
    <w:aliases w:val="sot2"/>
    <w:basedOn w:val="Normal"/>
    <w:next w:val="SOText"/>
    <w:link w:val="SOText2Char"/>
    <w:rsid w:val="0078453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84539"/>
    <w:rPr>
      <w:sz w:val="22"/>
    </w:rPr>
  </w:style>
  <w:style w:type="paragraph" w:customStyle="1" w:styleId="SubPartCASA">
    <w:name w:val="SubPart(CASA)"/>
    <w:aliases w:val="csp"/>
    <w:basedOn w:val="OPCParaBase"/>
    <w:next w:val="ActHead3"/>
    <w:rsid w:val="0078453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84539"/>
    <w:rPr>
      <w:rFonts w:eastAsia="Times New Roman" w:cs="Times New Roman"/>
      <w:sz w:val="22"/>
      <w:lang w:eastAsia="en-AU"/>
    </w:rPr>
  </w:style>
  <w:style w:type="character" w:customStyle="1" w:styleId="notetextChar">
    <w:name w:val="note(text) Char"/>
    <w:aliases w:val="n Char"/>
    <w:basedOn w:val="DefaultParagraphFont"/>
    <w:link w:val="notetext"/>
    <w:rsid w:val="00784539"/>
    <w:rPr>
      <w:rFonts w:eastAsia="Times New Roman" w:cs="Times New Roman"/>
      <w:sz w:val="18"/>
      <w:lang w:eastAsia="en-AU"/>
    </w:rPr>
  </w:style>
  <w:style w:type="character" w:customStyle="1" w:styleId="Heading1Char">
    <w:name w:val="Heading 1 Char"/>
    <w:basedOn w:val="DefaultParagraphFont"/>
    <w:link w:val="Heading1"/>
    <w:uiPriority w:val="9"/>
    <w:rsid w:val="007845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845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8453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8453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8453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8453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8453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8453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84539"/>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996939"/>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9.xml"/><Relationship Id="rId42"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header" Target="header10.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header" Target="header8.xm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5FA72-8CC3-4E42-8D42-4FC448D8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47</Pages>
  <Words>12869</Words>
  <Characters>65898</Characters>
  <Application>Microsoft Office Word</Application>
  <DocSecurity>0</DocSecurity>
  <PresentationFormat/>
  <Lines>1559</Lines>
  <Paragraphs>999</Paragraphs>
  <ScaleCrop>false</ScaleCrop>
  <HeadingPairs>
    <vt:vector size="2" baseType="variant">
      <vt:variant>
        <vt:lpstr>Title</vt:lpstr>
      </vt:variant>
      <vt:variant>
        <vt:i4>1</vt:i4>
      </vt:variant>
    </vt:vector>
  </HeadingPairs>
  <TitlesOfParts>
    <vt:vector size="1" baseType="lpstr">
      <vt:lpstr>ASIC Supervisory Cost Recovery Levy Regulations 2017</vt:lpstr>
    </vt:vector>
  </TitlesOfParts>
  <Manager/>
  <Company/>
  <LinksUpToDate>false</LinksUpToDate>
  <CharactersWithSpaces>78224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2017-06-08T03:53:00Z</cp:lastPrinted>
  <dcterms:created xsi:type="dcterms:W3CDTF">2017-06-22T05:27:00Z</dcterms:created>
  <dcterms:modified xsi:type="dcterms:W3CDTF">2017-06-22T05:27:00Z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ASIC Supervisory Cost Recovery Levy Regulations 2017</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27 June 2017</vt:lpwstr>
  </property>
  <property fmtid="{D5CDD505-2E9C-101B-9397-08002B2CF9AE}" pid="9" name="Exco">
    <vt:lpwstr>Yes</vt:lpwstr>
  </property>
  <property fmtid="{D5CDD505-2E9C-101B-9397-08002B2CF9AE}" pid="10" name="Authority">
    <vt:lpwstr/>
  </property>
  <property fmtid="{D5CDD505-2E9C-101B-9397-08002B2CF9AE}" pid="11" name="ID">
    <vt:lpwstr>OPC61693</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ASIC Supervisory Cost Recovery Levy Act 2016</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27 June 2017</vt:lpwstr>
  </property>
</Properties>
</file>