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F5" w:rsidRPr="0001165D" w:rsidRDefault="004B52F5" w:rsidP="004B52F5">
      <w:pPr>
        <w:rPr>
          <w:sz w:val="28"/>
        </w:rPr>
      </w:pPr>
      <w:r w:rsidRPr="0001165D">
        <w:rPr>
          <w:noProof/>
          <w:lang w:eastAsia="en-AU"/>
        </w:rPr>
        <w:drawing>
          <wp:inline distT="0" distB="0" distL="0" distR="0" wp14:anchorId="6305E0AE" wp14:editId="738962D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F5" w:rsidRPr="0001165D" w:rsidRDefault="004B52F5" w:rsidP="004B52F5">
      <w:pPr>
        <w:rPr>
          <w:sz w:val="19"/>
        </w:rPr>
      </w:pPr>
    </w:p>
    <w:p w:rsidR="004B52F5" w:rsidRPr="0001165D" w:rsidRDefault="004B52F5" w:rsidP="004B52F5">
      <w:pPr>
        <w:pStyle w:val="ShortT"/>
      </w:pPr>
      <w:r w:rsidRPr="0001165D">
        <w:t>Foreign Acquisitions and Takeovers Amendment (Exemptions and Other Measures) Regulations</w:t>
      </w:r>
      <w:r w:rsidR="0001165D" w:rsidRPr="0001165D">
        <w:t> </w:t>
      </w:r>
      <w:r w:rsidRPr="0001165D">
        <w:t>2017</w:t>
      </w:r>
    </w:p>
    <w:p w:rsidR="004B52F5" w:rsidRPr="0001165D" w:rsidRDefault="004B52F5" w:rsidP="004B52F5">
      <w:pPr>
        <w:pStyle w:val="SignCoverPageStart"/>
        <w:spacing w:before="240"/>
        <w:rPr>
          <w:szCs w:val="22"/>
        </w:rPr>
      </w:pPr>
      <w:r w:rsidRPr="0001165D">
        <w:rPr>
          <w:szCs w:val="22"/>
        </w:rPr>
        <w:t xml:space="preserve">I, General the Honourable Sir Peter Cosgrove AK MC (Ret’d), </w:t>
      </w:r>
      <w:r w:rsidR="0001165D" w:rsidRPr="0001165D">
        <w:rPr>
          <w:szCs w:val="22"/>
        </w:rPr>
        <w:t>Governor</w:t>
      </w:r>
      <w:r w:rsidR="0001165D">
        <w:rPr>
          <w:szCs w:val="22"/>
        </w:rPr>
        <w:noBreakHyphen/>
      </w:r>
      <w:r w:rsidR="0001165D" w:rsidRPr="0001165D">
        <w:rPr>
          <w:szCs w:val="22"/>
        </w:rPr>
        <w:t>General</w:t>
      </w:r>
      <w:r w:rsidRPr="0001165D">
        <w:rPr>
          <w:szCs w:val="22"/>
        </w:rPr>
        <w:t xml:space="preserve"> of the Commonwealth of Australia, acting with the advice of the Federal Executive Council, make the following regulation</w:t>
      </w:r>
      <w:r w:rsidR="00477641" w:rsidRPr="0001165D">
        <w:rPr>
          <w:szCs w:val="22"/>
        </w:rPr>
        <w:t>s</w:t>
      </w:r>
      <w:r w:rsidRPr="0001165D">
        <w:rPr>
          <w:szCs w:val="22"/>
        </w:rPr>
        <w:t>.</w:t>
      </w:r>
    </w:p>
    <w:p w:rsidR="0096407D" w:rsidRPr="0001165D" w:rsidRDefault="0096407D" w:rsidP="0096407D">
      <w:pPr>
        <w:keepNext/>
        <w:spacing w:before="720" w:line="240" w:lineRule="atLeast"/>
        <w:ind w:right="397"/>
        <w:jc w:val="both"/>
        <w:rPr>
          <w:szCs w:val="22"/>
        </w:rPr>
      </w:pPr>
      <w:r w:rsidRPr="0001165D">
        <w:rPr>
          <w:szCs w:val="22"/>
        </w:rPr>
        <w:t xml:space="preserve">Dated </w:t>
      </w:r>
      <w:bookmarkStart w:id="0" w:name="BKCheck15B_1"/>
      <w:bookmarkEnd w:id="0"/>
      <w:r w:rsidRPr="0001165D">
        <w:rPr>
          <w:szCs w:val="22"/>
        </w:rPr>
        <w:fldChar w:fldCharType="begin"/>
      </w:r>
      <w:r w:rsidRPr="0001165D">
        <w:rPr>
          <w:szCs w:val="22"/>
        </w:rPr>
        <w:instrText xml:space="preserve"> DOCPROPERTY  DateMade </w:instrText>
      </w:r>
      <w:r w:rsidRPr="0001165D">
        <w:rPr>
          <w:szCs w:val="22"/>
        </w:rPr>
        <w:fldChar w:fldCharType="separate"/>
      </w:r>
      <w:r w:rsidR="00E77690">
        <w:rPr>
          <w:szCs w:val="22"/>
        </w:rPr>
        <w:t>27 June 2017</w:t>
      </w:r>
      <w:r w:rsidRPr="0001165D">
        <w:rPr>
          <w:szCs w:val="22"/>
        </w:rPr>
        <w:fldChar w:fldCharType="end"/>
      </w:r>
    </w:p>
    <w:p w:rsidR="0096407D" w:rsidRPr="0001165D" w:rsidRDefault="0096407D" w:rsidP="0096407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1165D">
        <w:rPr>
          <w:szCs w:val="22"/>
        </w:rPr>
        <w:t>Peter Cosgrove</w:t>
      </w:r>
    </w:p>
    <w:p w:rsidR="0096407D" w:rsidRPr="0001165D" w:rsidRDefault="0001165D" w:rsidP="0096407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165D">
        <w:rPr>
          <w:szCs w:val="22"/>
        </w:rPr>
        <w:t>Governor</w:t>
      </w:r>
      <w:r>
        <w:rPr>
          <w:szCs w:val="22"/>
        </w:rPr>
        <w:noBreakHyphen/>
      </w:r>
      <w:r w:rsidRPr="0001165D">
        <w:rPr>
          <w:szCs w:val="22"/>
        </w:rPr>
        <w:t>General</w:t>
      </w:r>
    </w:p>
    <w:p w:rsidR="0096407D" w:rsidRPr="0001165D" w:rsidRDefault="0096407D" w:rsidP="0096407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1165D">
        <w:rPr>
          <w:szCs w:val="22"/>
        </w:rPr>
        <w:t>By His Excellency’s Command</w:t>
      </w:r>
    </w:p>
    <w:p w:rsidR="0096407D" w:rsidRPr="0001165D" w:rsidRDefault="0096407D" w:rsidP="0096407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1165D">
        <w:rPr>
          <w:szCs w:val="22"/>
        </w:rPr>
        <w:t>Scott Morrison</w:t>
      </w:r>
    </w:p>
    <w:p w:rsidR="0096407D" w:rsidRPr="0001165D" w:rsidRDefault="0096407D" w:rsidP="0096407D">
      <w:pPr>
        <w:pStyle w:val="SignCoverPageEnd"/>
        <w:rPr>
          <w:szCs w:val="22"/>
        </w:rPr>
      </w:pPr>
      <w:r w:rsidRPr="0001165D">
        <w:rPr>
          <w:szCs w:val="22"/>
        </w:rPr>
        <w:t>Treasurer</w:t>
      </w:r>
    </w:p>
    <w:p w:rsidR="0096407D" w:rsidRPr="0001165D" w:rsidRDefault="0096407D" w:rsidP="0096407D"/>
    <w:p w:rsidR="0096407D" w:rsidRPr="0001165D" w:rsidRDefault="0096407D" w:rsidP="0096407D"/>
    <w:p w:rsidR="0096407D" w:rsidRPr="0001165D" w:rsidRDefault="0096407D" w:rsidP="0096407D"/>
    <w:p w:rsidR="0096407D" w:rsidRPr="0001165D" w:rsidRDefault="0096407D" w:rsidP="0096407D"/>
    <w:p w:rsidR="0096407D" w:rsidRPr="0001165D" w:rsidRDefault="0096407D" w:rsidP="0096407D">
      <w:pPr>
        <w:pStyle w:val="Header"/>
        <w:tabs>
          <w:tab w:val="clear" w:pos="4150"/>
          <w:tab w:val="clear" w:pos="8307"/>
        </w:tabs>
      </w:pPr>
      <w:r w:rsidRPr="0001165D">
        <w:rPr>
          <w:rStyle w:val="CharAmSchNo"/>
        </w:rPr>
        <w:t xml:space="preserve"> </w:t>
      </w:r>
      <w:r w:rsidRPr="0001165D">
        <w:rPr>
          <w:rStyle w:val="CharAmSchText"/>
        </w:rPr>
        <w:t xml:space="preserve"> </w:t>
      </w:r>
    </w:p>
    <w:p w:rsidR="0096407D" w:rsidRPr="0001165D" w:rsidRDefault="0096407D" w:rsidP="0096407D">
      <w:pPr>
        <w:pStyle w:val="Header"/>
        <w:tabs>
          <w:tab w:val="clear" w:pos="4150"/>
          <w:tab w:val="clear" w:pos="8307"/>
        </w:tabs>
      </w:pPr>
      <w:r w:rsidRPr="0001165D">
        <w:rPr>
          <w:rStyle w:val="CharAmPartNo"/>
        </w:rPr>
        <w:t xml:space="preserve"> </w:t>
      </w:r>
      <w:r w:rsidRPr="0001165D">
        <w:rPr>
          <w:rStyle w:val="CharAmPartText"/>
        </w:rPr>
        <w:t xml:space="preserve"> </w:t>
      </w:r>
    </w:p>
    <w:p w:rsidR="0096407D" w:rsidRPr="0001165D" w:rsidRDefault="0096407D" w:rsidP="0096407D">
      <w:pPr>
        <w:sectPr w:rsidR="0096407D" w:rsidRPr="0001165D" w:rsidSect="00CA49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96407D" w:rsidRPr="0001165D" w:rsidRDefault="0096407D" w:rsidP="0096407D">
      <w:pPr>
        <w:rPr>
          <w:sz w:val="36"/>
        </w:rPr>
      </w:pPr>
      <w:r w:rsidRPr="0001165D">
        <w:rPr>
          <w:sz w:val="36"/>
        </w:rPr>
        <w:lastRenderedPageBreak/>
        <w:t>Contents</w:t>
      </w:r>
    </w:p>
    <w:bookmarkStart w:id="1" w:name="BKCheck15B_2"/>
    <w:bookmarkEnd w:id="1"/>
    <w:p w:rsidR="005669B5" w:rsidRPr="0001165D" w:rsidRDefault="005669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165D">
        <w:fldChar w:fldCharType="begin"/>
      </w:r>
      <w:r w:rsidRPr="0001165D">
        <w:instrText xml:space="preserve"> TOC \o "1-9" </w:instrText>
      </w:r>
      <w:r w:rsidRPr="0001165D">
        <w:fldChar w:fldCharType="separate"/>
      </w:r>
      <w:r w:rsidRPr="0001165D">
        <w:rPr>
          <w:noProof/>
        </w:rPr>
        <w:t>1</w:t>
      </w:r>
      <w:r w:rsidRPr="0001165D">
        <w:rPr>
          <w:noProof/>
        </w:rPr>
        <w:tab/>
        <w:t>Name</w:t>
      </w:r>
      <w:r w:rsidRPr="0001165D">
        <w:rPr>
          <w:noProof/>
        </w:rPr>
        <w:tab/>
      </w:r>
      <w:r w:rsidRPr="0001165D">
        <w:rPr>
          <w:noProof/>
        </w:rPr>
        <w:fldChar w:fldCharType="begin"/>
      </w:r>
      <w:r w:rsidRPr="0001165D">
        <w:rPr>
          <w:noProof/>
        </w:rPr>
        <w:instrText xml:space="preserve"> PAGEREF _Toc485631176 \h </w:instrText>
      </w:r>
      <w:r w:rsidRPr="0001165D">
        <w:rPr>
          <w:noProof/>
        </w:rPr>
      </w:r>
      <w:r w:rsidRPr="0001165D">
        <w:rPr>
          <w:noProof/>
        </w:rPr>
        <w:fldChar w:fldCharType="separate"/>
      </w:r>
      <w:r w:rsidR="00E77690">
        <w:rPr>
          <w:noProof/>
        </w:rPr>
        <w:t>1</w:t>
      </w:r>
      <w:r w:rsidRPr="0001165D">
        <w:rPr>
          <w:noProof/>
        </w:rPr>
        <w:fldChar w:fldCharType="end"/>
      </w:r>
    </w:p>
    <w:p w:rsidR="005669B5" w:rsidRPr="0001165D" w:rsidRDefault="005669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165D">
        <w:rPr>
          <w:noProof/>
        </w:rPr>
        <w:t>2</w:t>
      </w:r>
      <w:r w:rsidRPr="0001165D">
        <w:rPr>
          <w:noProof/>
        </w:rPr>
        <w:tab/>
        <w:t>Commencement</w:t>
      </w:r>
      <w:r w:rsidRPr="0001165D">
        <w:rPr>
          <w:noProof/>
        </w:rPr>
        <w:tab/>
      </w:r>
      <w:r w:rsidRPr="0001165D">
        <w:rPr>
          <w:noProof/>
        </w:rPr>
        <w:fldChar w:fldCharType="begin"/>
      </w:r>
      <w:r w:rsidRPr="0001165D">
        <w:rPr>
          <w:noProof/>
        </w:rPr>
        <w:instrText xml:space="preserve"> PAGEREF _Toc485631177 \h </w:instrText>
      </w:r>
      <w:r w:rsidRPr="0001165D">
        <w:rPr>
          <w:noProof/>
        </w:rPr>
      </w:r>
      <w:r w:rsidRPr="0001165D">
        <w:rPr>
          <w:noProof/>
        </w:rPr>
        <w:fldChar w:fldCharType="separate"/>
      </w:r>
      <w:r w:rsidR="00E77690">
        <w:rPr>
          <w:noProof/>
        </w:rPr>
        <w:t>1</w:t>
      </w:r>
      <w:r w:rsidRPr="0001165D">
        <w:rPr>
          <w:noProof/>
        </w:rPr>
        <w:fldChar w:fldCharType="end"/>
      </w:r>
    </w:p>
    <w:p w:rsidR="005669B5" w:rsidRPr="0001165D" w:rsidRDefault="005669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165D">
        <w:rPr>
          <w:noProof/>
        </w:rPr>
        <w:t>3</w:t>
      </w:r>
      <w:r w:rsidRPr="0001165D">
        <w:rPr>
          <w:noProof/>
        </w:rPr>
        <w:tab/>
        <w:t>Authority</w:t>
      </w:r>
      <w:r w:rsidRPr="0001165D">
        <w:rPr>
          <w:noProof/>
        </w:rPr>
        <w:tab/>
      </w:r>
      <w:r w:rsidRPr="0001165D">
        <w:rPr>
          <w:noProof/>
        </w:rPr>
        <w:fldChar w:fldCharType="begin"/>
      </w:r>
      <w:r w:rsidRPr="0001165D">
        <w:rPr>
          <w:noProof/>
        </w:rPr>
        <w:instrText xml:space="preserve"> PAGEREF _Toc485631178 \h </w:instrText>
      </w:r>
      <w:r w:rsidRPr="0001165D">
        <w:rPr>
          <w:noProof/>
        </w:rPr>
      </w:r>
      <w:r w:rsidRPr="0001165D">
        <w:rPr>
          <w:noProof/>
        </w:rPr>
        <w:fldChar w:fldCharType="separate"/>
      </w:r>
      <w:r w:rsidR="00E77690">
        <w:rPr>
          <w:noProof/>
        </w:rPr>
        <w:t>1</w:t>
      </w:r>
      <w:r w:rsidRPr="0001165D">
        <w:rPr>
          <w:noProof/>
        </w:rPr>
        <w:fldChar w:fldCharType="end"/>
      </w:r>
    </w:p>
    <w:p w:rsidR="005669B5" w:rsidRPr="0001165D" w:rsidRDefault="005669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165D">
        <w:rPr>
          <w:noProof/>
        </w:rPr>
        <w:t>4</w:t>
      </w:r>
      <w:r w:rsidRPr="0001165D">
        <w:rPr>
          <w:noProof/>
        </w:rPr>
        <w:tab/>
        <w:t>Schedules</w:t>
      </w:r>
      <w:r w:rsidRPr="0001165D">
        <w:rPr>
          <w:noProof/>
        </w:rPr>
        <w:tab/>
      </w:r>
      <w:r w:rsidRPr="0001165D">
        <w:rPr>
          <w:noProof/>
        </w:rPr>
        <w:fldChar w:fldCharType="begin"/>
      </w:r>
      <w:r w:rsidRPr="0001165D">
        <w:rPr>
          <w:noProof/>
        </w:rPr>
        <w:instrText xml:space="preserve"> PAGEREF _Toc485631179 \h </w:instrText>
      </w:r>
      <w:r w:rsidRPr="0001165D">
        <w:rPr>
          <w:noProof/>
        </w:rPr>
      </w:r>
      <w:r w:rsidRPr="0001165D">
        <w:rPr>
          <w:noProof/>
        </w:rPr>
        <w:fldChar w:fldCharType="separate"/>
      </w:r>
      <w:r w:rsidR="00E77690">
        <w:rPr>
          <w:noProof/>
        </w:rPr>
        <w:t>1</w:t>
      </w:r>
      <w:r w:rsidRPr="0001165D">
        <w:rPr>
          <w:noProof/>
        </w:rPr>
        <w:fldChar w:fldCharType="end"/>
      </w:r>
    </w:p>
    <w:p w:rsidR="005669B5" w:rsidRPr="0001165D" w:rsidRDefault="005669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165D">
        <w:rPr>
          <w:noProof/>
        </w:rPr>
        <w:t>Schedule</w:t>
      </w:r>
      <w:r w:rsidR="0001165D" w:rsidRPr="0001165D">
        <w:rPr>
          <w:noProof/>
        </w:rPr>
        <w:t> </w:t>
      </w:r>
      <w:r w:rsidRPr="0001165D">
        <w:rPr>
          <w:noProof/>
        </w:rPr>
        <w:t>1—Exemptions</w:t>
      </w:r>
      <w:r w:rsidRPr="0001165D">
        <w:rPr>
          <w:b w:val="0"/>
          <w:noProof/>
          <w:sz w:val="18"/>
        </w:rPr>
        <w:tab/>
      </w:r>
      <w:r w:rsidRPr="0001165D">
        <w:rPr>
          <w:b w:val="0"/>
          <w:noProof/>
          <w:sz w:val="18"/>
        </w:rPr>
        <w:fldChar w:fldCharType="begin"/>
      </w:r>
      <w:r w:rsidRPr="0001165D">
        <w:rPr>
          <w:b w:val="0"/>
          <w:noProof/>
          <w:sz w:val="18"/>
        </w:rPr>
        <w:instrText xml:space="preserve"> PAGEREF _Toc485631180 \h </w:instrText>
      </w:r>
      <w:r w:rsidRPr="0001165D">
        <w:rPr>
          <w:b w:val="0"/>
          <w:noProof/>
          <w:sz w:val="18"/>
        </w:rPr>
      </w:r>
      <w:r w:rsidRPr="0001165D">
        <w:rPr>
          <w:b w:val="0"/>
          <w:noProof/>
          <w:sz w:val="18"/>
        </w:rPr>
        <w:fldChar w:fldCharType="separate"/>
      </w:r>
      <w:r w:rsidR="00E77690">
        <w:rPr>
          <w:b w:val="0"/>
          <w:noProof/>
          <w:sz w:val="18"/>
        </w:rPr>
        <w:t>2</w:t>
      </w:r>
      <w:r w:rsidRPr="0001165D">
        <w:rPr>
          <w:b w:val="0"/>
          <w:noProof/>
          <w:sz w:val="18"/>
        </w:rPr>
        <w:fldChar w:fldCharType="end"/>
      </w:r>
    </w:p>
    <w:p w:rsidR="005669B5" w:rsidRPr="0001165D" w:rsidRDefault="005669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165D">
        <w:rPr>
          <w:noProof/>
        </w:rPr>
        <w:t>Foreign Acquisitions and Takeovers Regulation</w:t>
      </w:r>
      <w:r w:rsidR="0001165D" w:rsidRPr="0001165D">
        <w:rPr>
          <w:noProof/>
        </w:rPr>
        <w:t> </w:t>
      </w:r>
      <w:r w:rsidRPr="0001165D">
        <w:rPr>
          <w:noProof/>
        </w:rPr>
        <w:t>2015</w:t>
      </w:r>
      <w:r w:rsidRPr="0001165D">
        <w:rPr>
          <w:i w:val="0"/>
          <w:noProof/>
          <w:sz w:val="18"/>
        </w:rPr>
        <w:tab/>
      </w:r>
      <w:r w:rsidRPr="0001165D">
        <w:rPr>
          <w:i w:val="0"/>
          <w:noProof/>
          <w:sz w:val="18"/>
        </w:rPr>
        <w:fldChar w:fldCharType="begin"/>
      </w:r>
      <w:r w:rsidRPr="0001165D">
        <w:rPr>
          <w:i w:val="0"/>
          <w:noProof/>
          <w:sz w:val="18"/>
        </w:rPr>
        <w:instrText xml:space="preserve"> PAGEREF _Toc485631181 \h </w:instrText>
      </w:r>
      <w:r w:rsidRPr="0001165D">
        <w:rPr>
          <w:i w:val="0"/>
          <w:noProof/>
          <w:sz w:val="18"/>
        </w:rPr>
      </w:r>
      <w:r w:rsidRPr="0001165D">
        <w:rPr>
          <w:i w:val="0"/>
          <w:noProof/>
          <w:sz w:val="18"/>
        </w:rPr>
        <w:fldChar w:fldCharType="separate"/>
      </w:r>
      <w:r w:rsidR="00E77690">
        <w:rPr>
          <w:i w:val="0"/>
          <w:noProof/>
          <w:sz w:val="18"/>
        </w:rPr>
        <w:t>2</w:t>
      </w:r>
      <w:r w:rsidRPr="0001165D">
        <w:rPr>
          <w:i w:val="0"/>
          <w:noProof/>
          <w:sz w:val="18"/>
        </w:rPr>
        <w:fldChar w:fldCharType="end"/>
      </w:r>
    </w:p>
    <w:p w:rsidR="005669B5" w:rsidRPr="0001165D" w:rsidRDefault="005669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165D">
        <w:rPr>
          <w:noProof/>
        </w:rPr>
        <w:t>Schedule</w:t>
      </w:r>
      <w:r w:rsidR="0001165D" w:rsidRPr="0001165D">
        <w:rPr>
          <w:noProof/>
        </w:rPr>
        <w:t> </w:t>
      </w:r>
      <w:r w:rsidRPr="0001165D">
        <w:rPr>
          <w:noProof/>
        </w:rPr>
        <w:t>2—Exemption certificates</w:t>
      </w:r>
      <w:r w:rsidRPr="0001165D">
        <w:rPr>
          <w:b w:val="0"/>
          <w:noProof/>
          <w:sz w:val="18"/>
        </w:rPr>
        <w:tab/>
      </w:r>
      <w:r w:rsidRPr="0001165D">
        <w:rPr>
          <w:b w:val="0"/>
          <w:noProof/>
          <w:sz w:val="18"/>
        </w:rPr>
        <w:fldChar w:fldCharType="begin"/>
      </w:r>
      <w:r w:rsidRPr="0001165D">
        <w:rPr>
          <w:b w:val="0"/>
          <w:noProof/>
          <w:sz w:val="18"/>
        </w:rPr>
        <w:instrText xml:space="preserve"> PAGEREF _Toc485631184 \h </w:instrText>
      </w:r>
      <w:r w:rsidRPr="0001165D">
        <w:rPr>
          <w:b w:val="0"/>
          <w:noProof/>
          <w:sz w:val="18"/>
        </w:rPr>
      </w:r>
      <w:r w:rsidRPr="0001165D">
        <w:rPr>
          <w:b w:val="0"/>
          <w:noProof/>
          <w:sz w:val="18"/>
        </w:rPr>
        <w:fldChar w:fldCharType="separate"/>
      </w:r>
      <w:r w:rsidR="00E77690">
        <w:rPr>
          <w:b w:val="0"/>
          <w:noProof/>
          <w:sz w:val="18"/>
        </w:rPr>
        <w:t>6</w:t>
      </w:r>
      <w:r w:rsidRPr="0001165D">
        <w:rPr>
          <w:b w:val="0"/>
          <w:noProof/>
          <w:sz w:val="18"/>
        </w:rPr>
        <w:fldChar w:fldCharType="end"/>
      </w:r>
    </w:p>
    <w:p w:rsidR="005669B5" w:rsidRPr="0001165D" w:rsidRDefault="005669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165D">
        <w:rPr>
          <w:noProof/>
        </w:rPr>
        <w:t>Foreign Acquisitions and Takeovers Regulation</w:t>
      </w:r>
      <w:r w:rsidR="0001165D" w:rsidRPr="0001165D">
        <w:rPr>
          <w:noProof/>
        </w:rPr>
        <w:t> </w:t>
      </w:r>
      <w:r w:rsidRPr="0001165D">
        <w:rPr>
          <w:noProof/>
        </w:rPr>
        <w:t>2015</w:t>
      </w:r>
      <w:r w:rsidRPr="0001165D">
        <w:rPr>
          <w:i w:val="0"/>
          <w:noProof/>
          <w:sz w:val="18"/>
        </w:rPr>
        <w:tab/>
      </w:r>
      <w:r w:rsidRPr="0001165D">
        <w:rPr>
          <w:i w:val="0"/>
          <w:noProof/>
          <w:sz w:val="18"/>
        </w:rPr>
        <w:fldChar w:fldCharType="begin"/>
      </w:r>
      <w:r w:rsidRPr="0001165D">
        <w:rPr>
          <w:i w:val="0"/>
          <w:noProof/>
          <w:sz w:val="18"/>
        </w:rPr>
        <w:instrText xml:space="preserve"> PAGEREF _Toc485631185 \h </w:instrText>
      </w:r>
      <w:r w:rsidRPr="0001165D">
        <w:rPr>
          <w:i w:val="0"/>
          <w:noProof/>
          <w:sz w:val="18"/>
        </w:rPr>
      </w:r>
      <w:r w:rsidRPr="0001165D">
        <w:rPr>
          <w:i w:val="0"/>
          <w:noProof/>
          <w:sz w:val="18"/>
        </w:rPr>
        <w:fldChar w:fldCharType="separate"/>
      </w:r>
      <w:r w:rsidR="00E77690">
        <w:rPr>
          <w:i w:val="0"/>
          <w:noProof/>
          <w:sz w:val="18"/>
        </w:rPr>
        <w:t>6</w:t>
      </w:r>
      <w:r w:rsidRPr="0001165D">
        <w:rPr>
          <w:i w:val="0"/>
          <w:noProof/>
          <w:sz w:val="18"/>
        </w:rPr>
        <w:fldChar w:fldCharType="end"/>
      </w:r>
    </w:p>
    <w:p w:rsidR="005669B5" w:rsidRPr="0001165D" w:rsidRDefault="005669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165D">
        <w:rPr>
          <w:noProof/>
        </w:rPr>
        <w:t>Schedule</w:t>
      </w:r>
      <w:r w:rsidR="0001165D" w:rsidRPr="0001165D">
        <w:rPr>
          <w:noProof/>
        </w:rPr>
        <w:t> </w:t>
      </w:r>
      <w:r w:rsidRPr="0001165D">
        <w:rPr>
          <w:noProof/>
        </w:rPr>
        <w:t>3—Miscellaneous</w:t>
      </w:r>
      <w:r w:rsidRPr="0001165D">
        <w:rPr>
          <w:b w:val="0"/>
          <w:noProof/>
          <w:sz w:val="18"/>
        </w:rPr>
        <w:tab/>
      </w:r>
      <w:r w:rsidRPr="0001165D">
        <w:rPr>
          <w:b w:val="0"/>
          <w:noProof/>
          <w:sz w:val="18"/>
        </w:rPr>
        <w:fldChar w:fldCharType="begin"/>
      </w:r>
      <w:r w:rsidRPr="0001165D">
        <w:rPr>
          <w:b w:val="0"/>
          <w:noProof/>
          <w:sz w:val="18"/>
        </w:rPr>
        <w:instrText xml:space="preserve"> PAGEREF _Toc485631189 \h </w:instrText>
      </w:r>
      <w:r w:rsidRPr="0001165D">
        <w:rPr>
          <w:b w:val="0"/>
          <w:noProof/>
          <w:sz w:val="18"/>
        </w:rPr>
      </w:r>
      <w:r w:rsidRPr="0001165D">
        <w:rPr>
          <w:b w:val="0"/>
          <w:noProof/>
          <w:sz w:val="18"/>
        </w:rPr>
        <w:fldChar w:fldCharType="separate"/>
      </w:r>
      <w:r w:rsidR="00E77690">
        <w:rPr>
          <w:b w:val="0"/>
          <w:noProof/>
          <w:sz w:val="18"/>
        </w:rPr>
        <w:t>10</w:t>
      </w:r>
      <w:r w:rsidRPr="0001165D">
        <w:rPr>
          <w:b w:val="0"/>
          <w:noProof/>
          <w:sz w:val="18"/>
        </w:rPr>
        <w:fldChar w:fldCharType="end"/>
      </w:r>
    </w:p>
    <w:p w:rsidR="005669B5" w:rsidRPr="0001165D" w:rsidRDefault="005669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165D">
        <w:rPr>
          <w:noProof/>
        </w:rPr>
        <w:t>Foreign Acquisitions and Takeovers Regulation</w:t>
      </w:r>
      <w:r w:rsidR="0001165D" w:rsidRPr="0001165D">
        <w:rPr>
          <w:noProof/>
        </w:rPr>
        <w:t> </w:t>
      </w:r>
      <w:r w:rsidRPr="0001165D">
        <w:rPr>
          <w:noProof/>
        </w:rPr>
        <w:t>2015</w:t>
      </w:r>
      <w:r w:rsidRPr="0001165D">
        <w:rPr>
          <w:i w:val="0"/>
          <w:noProof/>
          <w:sz w:val="18"/>
        </w:rPr>
        <w:tab/>
      </w:r>
      <w:r w:rsidRPr="0001165D">
        <w:rPr>
          <w:i w:val="0"/>
          <w:noProof/>
          <w:sz w:val="18"/>
        </w:rPr>
        <w:fldChar w:fldCharType="begin"/>
      </w:r>
      <w:r w:rsidRPr="0001165D">
        <w:rPr>
          <w:i w:val="0"/>
          <w:noProof/>
          <w:sz w:val="18"/>
        </w:rPr>
        <w:instrText xml:space="preserve"> PAGEREF _Toc485631190 \h </w:instrText>
      </w:r>
      <w:r w:rsidRPr="0001165D">
        <w:rPr>
          <w:i w:val="0"/>
          <w:noProof/>
          <w:sz w:val="18"/>
        </w:rPr>
      </w:r>
      <w:r w:rsidRPr="0001165D">
        <w:rPr>
          <w:i w:val="0"/>
          <w:noProof/>
          <w:sz w:val="18"/>
        </w:rPr>
        <w:fldChar w:fldCharType="separate"/>
      </w:r>
      <w:r w:rsidR="00E77690">
        <w:rPr>
          <w:i w:val="0"/>
          <w:noProof/>
          <w:sz w:val="18"/>
        </w:rPr>
        <w:t>10</w:t>
      </w:r>
      <w:r w:rsidRPr="0001165D">
        <w:rPr>
          <w:i w:val="0"/>
          <w:noProof/>
          <w:sz w:val="18"/>
        </w:rPr>
        <w:fldChar w:fldCharType="end"/>
      </w:r>
    </w:p>
    <w:p w:rsidR="005669B5" w:rsidRPr="0001165D" w:rsidRDefault="005669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165D">
        <w:rPr>
          <w:noProof/>
        </w:rPr>
        <w:t>Schedule</w:t>
      </w:r>
      <w:r w:rsidR="0001165D" w:rsidRPr="0001165D">
        <w:rPr>
          <w:noProof/>
        </w:rPr>
        <w:t> </w:t>
      </w:r>
      <w:r w:rsidRPr="0001165D">
        <w:rPr>
          <w:noProof/>
        </w:rPr>
        <w:t>4—Application and transitional</w:t>
      </w:r>
      <w:r w:rsidRPr="0001165D">
        <w:rPr>
          <w:b w:val="0"/>
          <w:noProof/>
          <w:sz w:val="18"/>
        </w:rPr>
        <w:tab/>
      </w:r>
      <w:r w:rsidRPr="0001165D">
        <w:rPr>
          <w:b w:val="0"/>
          <w:noProof/>
          <w:sz w:val="18"/>
        </w:rPr>
        <w:fldChar w:fldCharType="begin"/>
      </w:r>
      <w:r w:rsidRPr="0001165D">
        <w:rPr>
          <w:b w:val="0"/>
          <w:noProof/>
          <w:sz w:val="18"/>
        </w:rPr>
        <w:instrText xml:space="preserve"> PAGEREF _Toc485631191 \h </w:instrText>
      </w:r>
      <w:r w:rsidRPr="0001165D">
        <w:rPr>
          <w:b w:val="0"/>
          <w:noProof/>
          <w:sz w:val="18"/>
        </w:rPr>
      </w:r>
      <w:r w:rsidRPr="0001165D">
        <w:rPr>
          <w:b w:val="0"/>
          <w:noProof/>
          <w:sz w:val="18"/>
        </w:rPr>
        <w:fldChar w:fldCharType="separate"/>
      </w:r>
      <w:r w:rsidR="00E77690">
        <w:rPr>
          <w:b w:val="0"/>
          <w:noProof/>
          <w:sz w:val="18"/>
        </w:rPr>
        <w:t>12</w:t>
      </w:r>
      <w:r w:rsidRPr="0001165D">
        <w:rPr>
          <w:b w:val="0"/>
          <w:noProof/>
          <w:sz w:val="18"/>
        </w:rPr>
        <w:fldChar w:fldCharType="end"/>
      </w:r>
    </w:p>
    <w:p w:rsidR="005669B5" w:rsidRPr="0001165D" w:rsidRDefault="005669B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165D">
        <w:rPr>
          <w:noProof/>
        </w:rPr>
        <w:t>Foreign Acquisitions and Takeovers Regulation</w:t>
      </w:r>
      <w:r w:rsidR="0001165D" w:rsidRPr="0001165D">
        <w:rPr>
          <w:noProof/>
        </w:rPr>
        <w:t> </w:t>
      </w:r>
      <w:r w:rsidRPr="0001165D">
        <w:rPr>
          <w:noProof/>
        </w:rPr>
        <w:t>2015</w:t>
      </w:r>
      <w:r w:rsidRPr="0001165D">
        <w:rPr>
          <w:i w:val="0"/>
          <w:noProof/>
          <w:sz w:val="18"/>
        </w:rPr>
        <w:tab/>
      </w:r>
      <w:r w:rsidRPr="0001165D">
        <w:rPr>
          <w:i w:val="0"/>
          <w:noProof/>
          <w:sz w:val="18"/>
        </w:rPr>
        <w:fldChar w:fldCharType="begin"/>
      </w:r>
      <w:r w:rsidRPr="0001165D">
        <w:rPr>
          <w:i w:val="0"/>
          <w:noProof/>
          <w:sz w:val="18"/>
        </w:rPr>
        <w:instrText xml:space="preserve"> PAGEREF _Toc485631192 \h </w:instrText>
      </w:r>
      <w:r w:rsidRPr="0001165D">
        <w:rPr>
          <w:i w:val="0"/>
          <w:noProof/>
          <w:sz w:val="18"/>
        </w:rPr>
      </w:r>
      <w:r w:rsidRPr="0001165D">
        <w:rPr>
          <w:i w:val="0"/>
          <w:noProof/>
          <w:sz w:val="18"/>
        </w:rPr>
        <w:fldChar w:fldCharType="separate"/>
      </w:r>
      <w:r w:rsidR="00E77690">
        <w:rPr>
          <w:i w:val="0"/>
          <w:noProof/>
          <w:sz w:val="18"/>
        </w:rPr>
        <w:t>12</w:t>
      </w:r>
      <w:r w:rsidRPr="0001165D">
        <w:rPr>
          <w:i w:val="0"/>
          <w:noProof/>
          <w:sz w:val="18"/>
        </w:rPr>
        <w:fldChar w:fldCharType="end"/>
      </w:r>
    </w:p>
    <w:p w:rsidR="0096407D" w:rsidRPr="0001165D" w:rsidRDefault="005669B5" w:rsidP="0096407D">
      <w:r w:rsidRPr="0001165D">
        <w:fldChar w:fldCharType="end"/>
      </w:r>
    </w:p>
    <w:p w:rsidR="0096407D" w:rsidRPr="0001165D" w:rsidRDefault="0096407D" w:rsidP="0096407D">
      <w:pPr>
        <w:sectPr w:rsidR="0096407D" w:rsidRPr="0001165D" w:rsidSect="00CA490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6407D" w:rsidRPr="0001165D" w:rsidRDefault="0096407D" w:rsidP="0096407D">
      <w:pPr>
        <w:pStyle w:val="ActHead5"/>
      </w:pPr>
      <w:bookmarkStart w:id="2" w:name="_Toc485631176"/>
      <w:r w:rsidRPr="0001165D">
        <w:rPr>
          <w:rStyle w:val="CharSectno"/>
        </w:rPr>
        <w:lastRenderedPageBreak/>
        <w:t>1</w:t>
      </w:r>
      <w:r w:rsidRPr="0001165D">
        <w:t xml:space="preserve">  Name</w:t>
      </w:r>
      <w:bookmarkEnd w:id="2"/>
    </w:p>
    <w:p w:rsidR="0096407D" w:rsidRPr="0001165D" w:rsidRDefault="006D619B" w:rsidP="0096407D">
      <w:pPr>
        <w:pStyle w:val="subsection"/>
      </w:pPr>
      <w:r w:rsidRPr="0001165D">
        <w:tab/>
      </w:r>
      <w:r w:rsidRPr="0001165D">
        <w:tab/>
        <w:t>This instrument is</w:t>
      </w:r>
      <w:r w:rsidR="0096407D" w:rsidRPr="0001165D">
        <w:t xml:space="preserve"> the </w:t>
      </w:r>
      <w:bookmarkStart w:id="3" w:name="BKCheck15B_3"/>
      <w:bookmarkEnd w:id="3"/>
      <w:r w:rsidR="0096407D" w:rsidRPr="0001165D">
        <w:rPr>
          <w:i/>
        </w:rPr>
        <w:fldChar w:fldCharType="begin"/>
      </w:r>
      <w:r w:rsidR="0096407D" w:rsidRPr="0001165D">
        <w:rPr>
          <w:i/>
        </w:rPr>
        <w:instrText xml:space="preserve"> STYLEREF  ShortT </w:instrText>
      </w:r>
      <w:r w:rsidR="0096407D" w:rsidRPr="0001165D">
        <w:rPr>
          <w:i/>
        </w:rPr>
        <w:fldChar w:fldCharType="separate"/>
      </w:r>
      <w:r w:rsidR="00E77690">
        <w:rPr>
          <w:i/>
          <w:noProof/>
        </w:rPr>
        <w:t>Foreign Acquisitions and Takeovers Amendment (Exemptions and Other Measures) Regulations 2017</w:t>
      </w:r>
      <w:r w:rsidR="0096407D" w:rsidRPr="0001165D">
        <w:rPr>
          <w:i/>
        </w:rPr>
        <w:fldChar w:fldCharType="end"/>
      </w:r>
      <w:r w:rsidR="0096407D" w:rsidRPr="0001165D">
        <w:t>.</w:t>
      </w:r>
    </w:p>
    <w:p w:rsidR="0096407D" w:rsidRPr="0001165D" w:rsidRDefault="0096407D" w:rsidP="0096407D">
      <w:pPr>
        <w:pStyle w:val="ActHead5"/>
      </w:pPr>
      <w:bookmarkStart w:id="4" w:name="_Toc485631177"/>
      <w:r w:rsidRPr="0001165D">
        <w:rPr>
          <w:rStyle w:val="CharSectno"/>
        </w:rPr>
        <w:t>2</w:t>
      </w:r>
      <w:r w:rsidRPr="0001165D">
        <w:t xml:space="preserve">  Commencement</w:t>
      </w:r>
      <w:bookmarkEnd w:id="4"/>
    </w:p>
    <w:p w:rsidR="0096407D" w:rsidRPr="0001165D" w:rsidRDefault="0096407D" w:rsidP="0096407D">
      <w:pPr>
        <w:pStyle w:val="subsection"/>
      </w:pPr>
      <w:r w:rsidRPr="0001165D">
        <w:tab/>
        <w:t>(1)</w:t>
      </w:r>
      <w:r w:rsidRPr="0001165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6407D" w:rsidRPr="0001165D" w:rsidRDefault="0096407D" w:rsidP="0096407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6407D" w:rsidRPr="0001165D" w:rsidTr="000C75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Heading"/>
            </w:pPr>
            <w:r w:rsidRPr="0001165D">
              <w:t>Commencement information</w:t>
            </w:r>
          </w:p>
        </w:tc>
      </w:tr>
      <w:tr w:rsidR="0096407D" w:rsidRPr="0001165D" w:rsidTr="000C75A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Heading"/>
            </w:pPr>
            <w:r w:rsidRPr="0001165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Heading"/>
            </w:pPr>
            <w:r w:rsidRPr="0001165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Heading"/>
            </w:pPr>
            <w:r w:rsidRPr="0001165D">
              <w:t>Column 3</w:t>
            </w:r>
          </w:p>
        </w:tc>
      </w:tr>
      <w:tr w:rsidR="0096407D" w:rsidRPr="0001165D" w:rsidTr="000C75A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Heading"/>
            </w:pPr>
            <w:r w:rsidRPr="0001165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Heading"/>
            </w:pPr>
            <w:r w:rsidRPr="0001165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Heading"/>
            </w:pPr>
            <w:r w:rsidRPr="0001165D">
              <w:t>Date/Details</w:t>
            </w:r>
          </w:p>
        </w:tc>
      </w:tr>
      <w:tr w:rsidR="0096407D" w:rsidRPr="0001165D" w:rsidTr="000C75A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text"/>
            </w:pPr>
            <w:r w:rsidRPr="0001165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6407D" w:rsidRPr="0001165D" w:rsidRDefault="0096407D" w:rsidP="00F66C04">
            <w:pPr>
              <w:pStyle w:val="Tabletext"/>
            </w:pPr>
            <w:r w:rsidRPr="0001165D">
              <w:t>At the same time as Schedule</w:t>
            </w:r>
            <w:r w:rsidR="0001165D" w:rsidRPr="0001165D">
              <w:t> </w:t>
            </w:r>
            <w:r w:rsidRPr="0001165D">
              <w:t xml:space="preserve">1 to the </w:t>
            </w:r>
            <w:r w:rsidRPr="0001165D">
              <w:rPr>
                <w:i/>
              </w:rPr>
              <w:t>Foreign Acquisitions and Takeovers Fees Imposition Amendment (Fee Streamlining and Other Measures) Act 2017</w:t>
            </w:r>
            <w:r w:rsidRPr="0001165D">
              <w:t xml:space="preserve"> commences.</w:t>
            </w:r>
          </w:p>
          <w:p w:rsidR="0096407D" w:rsidRPr="0001165D" w:rsidRDefault="0096407D" w:rsidP="00F66C04">
            <w:pPr>
              <w:pStyle w:val="Tabletext"/>
            </w:pPr>
            <w:r w:rsidRPr="0001165D">
              <w:t>However, the provisions do not commence at all if that Schedule does not commence.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407D" w:rsidRPr="0001165D" w:rsidRDefault="0049165D" w:rsidP="00F66C04">
            <w:pPr>
              <w:pStyle w:val="Tabletext"/>
            </w:pPr>
            <w:r>
              <w:t>24 June 2017</w:t>
            </w:r>
            <w:bookmarkStart w:id="5" w:name="_GoBack"/>
            <w:bookmarkEnd w:id="5"/>
          </w:p>
        </w:tc>
      </w:tr>
    </w:tbl>
    <w:p w:rsidR="0096407D" w:rsidRPr="0001165D" w:rsidRDefault="0096407D" w:rsidP="0096407D">
      <w:pPr>
        <w:pStyle w:val="notetext"/>
      </w:pPr>
      <w:r w:rsidRPr="0001165D">
        <w:rPr>
          <w:snapToGrid w:val="0"/>
          <w:lang w:eastAsia="en-US"/>
        </w:rPr>
        <w:t>Note:</w:t>
      </w:r>
      <w:r w:rsidRPr="0001165D">
        <w:rPr>
          <w:snapToGrid w:val="0"/>
          <w:lang w:eastAsia="en-US"/>
        </w:rPr>
        <w:tab/>
        <w:t xml:space="preserve">This table relates only to the provisions of this </w:t>
      </w:r>
      <w:r w:rsidRPr="0001165D">
        <w:t xml:space="preserve">instrument </w:t>
      </w:r>
      <w:r w:rsidRPr="0001165D">
        <w:rPr>
          <w:snapToGrid w:val="0"/>
          <w:lang w:eastAsia="en-US"/>
        </w:rPr>
        <w:t xml:space="preserve">as originally made. It will not be amended to deal with any later amendments of this </w:t>
      </w:r>
      <w:r w:rsidRPr="0001165D">
        <w:t>instrument</w:t>
      </w:r>
      <w:r w:rsidRPr="0001165D">
        <w:rPr>
          <w:snapToGrid w:val="0"/>
          <w:lang w:eastAsia="en-US"/>
        </w:rPr>
        <w:t>.</w:t>
      </w:r>
    </w:p>
    <w:p w:rsidR="0096407D" w:rsidRPr="0001165D" w:rsidRDefault="0096407D" w:rsidP="0096407D">
      <w:pPr>
        <w:pStyle w:val="subsection"/>
      </w:pPr>
      <w:r w:rsidRPr="0001165D">
        <w:tab/>
        <w:t>(2)</w:t>
      </w:r>
      <w:r w:rsidRPr="0001165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96407D" w:rsidRPr="0001165D" w:rsidRDefault="0096407D" w:rsidP="0096407D">
      <w:pPr>
        <w:pStyle w:val="ActHead5"/>
      </w:pPr>
      <w:bookmarkStart w:id="6" w:name="_Toc485631178"/>
      <w:r w:rsidRPr="0001165D">
        <w:rPr>
          <w:rStyle w:val="CharSectno"/>
        </w:rPr>
        <w:t>3</w:t>
      </w:r>
      <w:r w:rsidRPr="0001165D">
        <w:t xml:space="preserve">  Authority</w:t>
      </w:r>
      <w:bookmarkEnd w:id="6"/>
    </w:p>
    <w:p w:rsidR="0096407D" w:rsidRPr="0001165D" w:rsidRDefault="0096407D" w:rsidP="0096407D">
      <w:pPr>
        <w:pStyle w:val="subsection"/>
      </w:pPr>
      <w:r w:rsidRPr="0001165D">
        <w:tab/>
      </w:r>
      <w:r w:rsidRPr="0001165D">
        <w:tab/>
        <w:t xml:space="preserve">This instrument is made under the </w:t>
      </w:r>
      <w:r w:rsidRPr="0001165D">
        <w:rPr>
          <w:i/>
        </w:rPr>
        <w:t>Foreign Acquisitions and Takeovers Act 1975.</w:t>
      </w:r>
    </w:p>
    <w:p w:rsidR="0096407D" w:rsidRPr="0001165D" w:rsidRDefault="0096407D" w:rsidP="0096407D">
      <w:pPr>
        <w:pStyle w:val="ActHead5"/>
      </w:pPr>
      <w:bookmarkStart w:id="7" w:name="_Toc485631179"/>
      <w:r w:rsidRPr="0001165D">
        <w:rPr>
          <w:rStyle w:val="CharSectno"/>
        </w:rPr>
        <w:t>4</w:t>
      </w:r>
      <w:r w:rsidRPr="0001165D">
        <w:t xml:space="preserve">  Schedules</w:t>
      </w:r>
      <w:bookmarkEnd w:id="7"/>
    </w:p>
    <w:p w:rsidR="0096407D" w:rsidRPr="0001165D" w:rsidRDefault="0096407D" w:rsidP="0096407D">
      <w:pPr>
        <w:pStyle w:val="subsection"/>
      </w:pPr>
      <w:r w:rsidRPr="0001165D">
        <w:tab/>
      </w:r>
      <w:r w:rsidRPr="0001165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6407D" w:rsidRPr="0001165D" w:rsidRDefault="0096407D" w:rsidP="0096407D">
      <w:pPr>
        <w:pStyle w:val="ActHead6"/>
        <w:pageBreakBefore/>
      </w:pPr>
      <w:bookmarkStart w:id="8" w:name="_Toc485631180"/>
      <w:bookmarkStart w:id="9" w:name="opcAmSched"/>
      <w:r w:rsidRPr="0001165D">
        <w:rPr>
          <w:rStyle w:val="CharAmSchNo"/>
        </w:rPr>
        <w:t>Schedule</w:t>
      </w:r>
      <w:r w:rsidR="0001165D" w:rsidRPr="0001165D">
        <w:rPr>
          <w:rStyle w:val="CharAmSchNo"/>
        </w:rPr>
        <w:t> </w:t>
      </w:r>
      <w:r w:rsidRPr="0001165D">
        <w:rPr>
          <w:rStyle w:val="CharAmSchNo"/>
        </w:rPr>
        <w:t>1</w:t>
      </w:r>
      <w:r w:rsidRPr="0001165D">
        <w:t>—</w:t>
      </w:r>
      <w:r w:rsidRPr="0001165D">
        <w:rPr>
          <w:rStyle w:val="CharAmSchText"/>
        </w:rPr>
        <w:t>Exemptions</w:t>
      </w:r>
      <w:bookmarkEnd w:id="8"/>
    </w:p>
    <w:bookmarkEnd w:id="9"/>
    <w:p w:rsidR="0096407D" w:rsidRPr="0001165D" w:rsidRDefault="0096407D" w:rsidP="0096407D">
      <w:pPr>
        <w:pStyle w:val="Header"/>
      </w:pPr>
      <w:r w:rsidRPr="0001165D">
        <w:rPr>
          <w:rStyle w:val="CharAmPartNo"/>
        </w:rPr>
        <w:t xml:space="preserve"> </w:t>
      </w:r>
      <w:r w:rsidRPr="0001165D">
        <w:rPr>
          <w:rStyle w:val="CharAmPartText"/>
        </w:rPr>
        <w:t xml:space="preserve"> </w:t>
      </w:r>
    </w:p>
    <w:p w:rsidR="0096407D" w:rsidRPr="0001165D" w:rsidRDefault="0096407D" w:rsidP="0096407D">
      <w:pPr>
        <w:pStyle w:val="ActHead9"/>
      </w:pPr>
      <w:bookmarkStart w:id="10" w:name="_Toc485631181"/>
      <w:r w:rsidRPr="0001165D">
        <w:t>Foreign Acquisitions and Takeovers Regulation</w:t>
      </w:r>
      <w:r w:rsidR="0001165D" w:rsidRPr="0001165D">
        <w:t> </w:t>
      </w:r>
      <w:r w:rsidRPr="0001165D">
        <w:t>2015</w:t>
      </w:r>
      <w:bookmarkEnd w:id="10"/>
    </w:p>
    <w:p w:rsidR="0096407D" w:rsidRPr="0001165D" w:rsidRDefault="00AC03A3" w:rsidP="0096407D">
      <w:pPr>
        <w:pStyle w:val="ItemHead"/>
        <w:tabs>
          <w:tab w:val="left" w:pos="6663"/>
        </w:tabs>
      </w:pPr>
      <w:r w:rsidRPr="0001165D">
        <w:t>1</w:t>
      </w:r>
      <w:r w:rsidR="0096407D" w:rsidRPr="0001165D">
        <w:t xml:space="preserve">  Section</w:t>
      </w:r>
      <w:r w:rsidR="0001165D" w:rsidRPr="0001165D">
        <w:t> </w:t>
      </w:r>
      <w:r w:rsidR="0096407D" w:rsidRPr="0001165D">
        <w:t>5</w:t>
      </w:r>
    </w:p>
    <w:p w:rsidR="0096407D" w:rsidRPr="0001165D" w:rsidRDefault="0096407D" w:rsidP="0096407D">
      <w:pPr>
        <w:pStyle w:val="Item"/>
      </w:pPr>
      <w:r w:rsidRPr="0001165D">
        <w:t>Insert:</w:t>
      </w:r>
    </w:p>
    <w:p w:rsidR="0096407D" w:rsidRPr="0001165D" w:rsidRDefault="0096407D" w:rsidP="0096407D">
      <w:pPr>
        <w:pStyle w:val="Definition"/>
      </w:pPr>
      <w:r w:rsidRPr="0001165D">
        <w:rPr>
          <w:b/>
          <w:i/>
        </w:rPr>
        <w:t>education institution</w:t>
      </w:r>
      <w:r w:rsidRPr="0001165D">
        <w:rPr>
          <w:i/>
        </w:rPr>
        <w:t xml:space="preserve"> </w:t>
      </w:r>
      <w:r w:rsidRPr="0001165D">
        <w:t xml:space="preserve">has the same meaning as in the </w:t>
      </w:r>
      <w:r w:rsidRPr="0001165D">
        <w:rPr>
          <w:i/>
        </w:rPr>
        <w:t>Student Assistance Act 1973</w:t>
      </w:r>
      <w:r w:rsidRPr="0001165D">
        <w:t>.</w:t>
      </w:r>
    </w:p>
    <w:p w:rsidR="0096407D" w:rsidRPr="0001165D" w:rsidRDefault="0096407D" w:rsidP="0096407D">
      <w:pPr>
        <w:pStyle w:val="Definition"/>
      </w:pPr>
      <w:r w:rsidRPr="0001165D">
        <w:rPr>
          <w:b/>
          <w:i/>
        </w:rPr>
        <w:t>residential care</w:t>
      </w:r>
      <w:r w:rsidRPr="0001165D">
        <w:rPr>
          <w:i/>
        </w:rPr>
        <w:t xml:space="preserve"> </w:t>
      </w:r>
      <w:r w:rsidRPr="0001165D">
        <w:t xml:space="preserve">has the same meaning as in the </w:t>
      </w:r>
      <w:r w:rsidRPr="0001165D">
        <w:rPr>
          <w:i/>
        </w:rPr>
        <w:t>Aged Care Act 1997</w:t>
      </w:r>
      <w:r w:rsidRPr="0001165D">
        <w:t>.</w:t>
      </w:r>
    </w:p>
    <w:p w:rsidR="0096407D" w:rsidRPr="0001165D" w:rsidRDefault="0096407D" w:rsidP="0096407D">
      <w:pPr>
        <w:pStyle w:val="Definition"/>
      </w:pPr>
      <w:r w:rsidRPr="0001165D">
        <w:rPr>
          <w:b/>
          <w:i/>
        </w:rPr>
        <w:t>retirement village</w:t>
      </w:r>
      <w:r w:rsidRPr="0001165D">
        <w:t xml:space="preserve"> has the same meaning as in the </w:t>
      </w:r>
      <w:r w:rsidRPr="0001165D">
        <w:rPr>
          <w:i/>
        </w:rPr>
        <w:t>A New Tax System (Goods and Services Tax) Act 1999</w:t>
      </w:r>
      <w:r w:rsidRPr="0001165D">
        <w:t>.</w:t>
      </w:r>
    </w:p>
    <w:p w:rsidR="0096407D" w:rsidRPr="0001165D" w:rsidRDefault="0096407D" w:rsidP="0096407D">
      <w:pPr>
        <w:pStyle w:val="Definition"/>
      </w:pPr>
      <w:r w:rsidRPr="0001165D">
        <w:rPr>
          <w:b/>
          <w:i/>
        </w:rPr>
        <w:t>school</w:t>
      </w:r>
      <w:r w:rsidRPr="0001165D">
        <w:t xml:space="preserve"> has the same meaning as in the </w:t>
      </w:r>
      <w:r w:rsidRPr="0001165D">
        <w:rPr>
          <w:i/>
        </w:rPr>
        <w:t>A New Tax System (Goods and Services Tax) Act 1999</w:t>
      </w:r>
      <w:r w:rsidRPr="0001165D">
        <w:t>.</w:t>
      </w:r>
    </w:p>
    <w:p w:rsidR="00510E69" w:rsidRPr="0001165D" w:rsidRDefault="00AC03A3" w:rsidP="00510E69">
      <w:pPr>
        <w:pStyle w:val="ItemHead"/>
      </w:pPr>
      <w:r w:rsidRPr="0001165D">
        <w:t>2</w:t>
      </w:r>
      <w:r w:rsidR="0096407D" w:rsidRPr="0001165D">
        <w:t xml:space="preserve">  </w:t>
      </w:r>
      <w:r w:rsidR="00510E69" w:rsidRPr="0001165D">
        <w:t>Section</w:t>
      </w:r>
      <w:r w:rsidR="0001165D" w:rsidRPr="0001165D">
        <w:t> </w:t>
      </w:r>
      <w:r w:rsidR="00510E69" w:rsidRPr="0001165D">
        <w:t xml:space="preserve">5 (definition of </w:t>
      </w:r>
      <w:r w:rsidR="00510E69" w:rsidRPr="0001165D">
        <w:rPr>
          <w:i/>
        </w:rPr>
        <w:t>vacant</w:t>
      </w:r>
      <w:r w:rsidR="00510E69" w:rsidRPr="0001165D">
        <w:t>)</w:t>
      </w:r>
    </w:p>
    <w:p w:rsidR="00510E69" w:rsidRPr="0001165D" w:rsidRDefault="00510E69" w:rsidP="00510E69">
      <w:pPr>
        <w:pStyle w:val="Item"/>
      </w:pPr>
      <w:r w:rsidRPr="0001165D">
        <w:t>Repeal the definition, substitute:</w:t>
      </w:r>
    </w:p>
    <w:p w:rsidR="00510E69" w:rsidRPr="0001165D" w:rsidRDefault="00510E69" w:rsidP="00510E69">
      <w:pPr>
        <w:pStyle w:val="Definition"/>
      </w:pPr>
      <w:r w:rsidRPr="0001165D">
        <w:rPr>
          <w:b/>
          <w:i/>
        </w:rPr>
        <w:t>vacant</w:t>
      </w:r>
      <w:r w:rsidRPr="0001165D">
        <w:t>:</w:t>
      </w:r>
    </w:p>
    <w:p w:rsidR="00510E69" w:rsidRPr="0001165D" w:rsidRDefault="00510E69" w:rsidP="00510E69">
      <w:pPr>
        <w:pStyle w:val="paragraph"/>
      </w:pPr>
      <w:r w:rsidRPr="0001165D">
        <w:tab/>
        <w:t>(a)</w:t>
      </w:r>
      <w:r w:rsidRPr="0001165D">
        <w:tab/>
        <w:t xml:space="preserve">land is </w:t>
      </w:r>
      <w:r w:rsidRPr="0001165D">
        <w:rPr>
          <w:b/>
          <w:i/>
        </w:rPr>
        <w:t>vacant</w:t>
      </w:r>
      <w:r w:rsidRPr="0001165D">
        <w:t xml:space="preserve"> if there is no substantive permanent building on the land that can be lawfully occupied by persons, goods or livestock; but</w:t>
      </w:r>
    </w:p>
    <w:p w:rsidR="00510E69" w:rsidRPr="0001165D" w:rsidRDefault="00510E69" w:rsidP="00510E69">
      <w:pPr>
        <w:pStyle w:val="paragraph"/>
      </w:pPr>
      <w:r w:rsidRPr="0001165D">
        <w:tab/>
        <w:t>(b)</w:t>
      </w:r>
      <w:r w:rsidRPr="0001165D">
        <w:tab/>
        <w:t xml:space="preserve">despite </w:t>
      </w:r>
      <w:r w:rsidR="0001165D" w:rsidRPr="0001165D">
        <w:t>paragraph (</w:t>
      </w:r>
      <w:r w:rsidRPr="0001165D">
        <w:t xml:space="preserve">a), land is not </w:t>
      </w:r>
      <w:r w:rsidRPr="0001165D">
        <w:rPr>
          <w:b/>
          <w:i/>
        </w:rPr>
        <w:t>vacant</w:t>
      </w:r>
      <w:r w:rsidRPr="0001165D">
        <w:t xml:space="preserve"> if a wind or solar power station is located on the surface of the land.</w:t>
      </w:r>
    </w:p>
    <w:p w:rsidR="00BF286F" w:rsidRPr="0001165D" w:rsidRDefault="00AC03A3" w:rsidP="00BF286F">
      <w:pPr>
        <w:pStyle w:val="ItemHead"/>
      </w:pPr>
      <w:r w:rsidRPr="0001165D">
        <w:t>3</w:t>
      </w:r>
      <w:r w:rsidR="00BF286F" w:rsidRPr="0001165D">
        <w:t xml:space="preserve">  Section</w:t>
      </w:r>
      <w:r w:rsidR="0001165D" w:rsidRPr="0001165D">
        <w:t> </w:t>
      </w:r>
      <w:r w:rsidR="00BF286F" w:rsidRPr="0001165D">
        <w:t>5</w:t>
      </w:r>
    </w:p>
    <w:p w:rsidR="00BF286F" w:rsidRPr="0001165D" w:rsidRDefault="00BF286F" w:rsidP="00BF286F">
      <w:pPr>
        <w:pStyle w:val="Item"/>
      </w:pPr>
      <w:r w:rsidRPr="0001165D">
        <w:t>Insert:</w:t>
      </w:r>
    </w:p>
    <w:p w:rsidR="00510E69" w:rsidRPr="0001165D" w:rsidRDefault="00510E69" w:rsidP="00510E69">
      <w:pPr>
        <w:pStyle w:val="Definition"/>
      </w:pPr>
      <w:r w:rsidRPr="0001165D">
        <w:rPr>
          <w:b/>
          <w:i/>
        </w:rPr>
        <w:t>value</w:t>
      </w:r>
      <w:r w:rsidRPr="0001165D">
        <w:t>, of an interest in Australian land held by an entity, includes the value of the entity’s interest (if any) in a wind or solar power station located on</w:t>
      </w:r>
      <w:r w:rsidRPr="0001165D">
        <w:rPr>
          <w:i/>
        </w:rPr>
        <w:t xml:space="preserve"> </w:t>
      </w:r>
      <w:r w:rsidRPr="0001165D">
        <w:t>the land (whether on or beneath the surface).</w:t>
      </w:r>
    </w:p>
    <w:p w:rsidR="00510E69" w:rsidRPr="0001165D" w:rsidRDefault="00510E69" w:rsidP="00510E69">
      <w:pPr>
        <w:pStyle w:val="Definition"/>
      </w:pPr>
      <w:r w:rsidRPr="0001165D">
        <w:rPr>
          <w:b/>
          <w:i/>
        </w:rPr>
        <w:t>wind or solar power station</w:t>
      </w:r>
      <w:r w:rsidRPr="0001165D">
        <w:t xml:space="preserve"> means:</w:t>
      </w:r>
    </w:p>
    <w:p w:rsidR="00510E69" w:rsidRPr="0001165D" w:rsidRDefault="00510E69" w:rsidP="00510E69">
      <w:pPr>
        <w:pStyle w:val="paragraph"/>
      </w:pPr>
      <w:r w:rsidRPr="0001165D">
        <w:tab/>
        <w:t>(a)</w:t>
      </w:r>
      <w:r w:rsidRPr="0001165D">
        <w:tab/>
        <w:t xml:space="preserve">an accredited power station within the meaning of the </w:t>
      </w:r>
      <w:r w:rsidRPr="0001165D">
        <w:rPr>
          <w:i/>
        </w:rPr>
        <w:t>Renewable Energy (Electricity) Act 2000</w:t>
      </w:r>
      <w:r w:rsidRPr="0001165D">
        <w:t xml:space="preserve"> that is:</w:t>
      </w:r>
    </w:p>
    <w:p w:rsidR="00510E69" w:rsidRPr="0001165D" w:rsidRDefault="00510E69" w:rsidP="00510E69">
      <w:pPr>
        <w:pStyle w:val="paragraphsub"/>
      </w:pPr>
      <w:r w:rsidRPr="0001165D">
        <w:tab/>
        <w:t>(i)</w:t>
      </w:r>
      <w:r w:rsidRPr="0001165D">
        <w:tab/>
        <w:t>a wind power station (incorporating one or more wind turbines); or</w:t>
      </w:r>
    </w:p>
    <w:p w:rsidR="00510E69" w:rsidRPr="0001165D" w:rsidRDefault="00510E69" w:rsidP="00510E69">
      <w:pPr>
        <w:pStyle w:val="paragraphsub"/>
      </w:pPr>
      <w:r w:rsidRPr="0001165D">
        <w:tab/>
        <w:t>(ii)</w:t>
      </w:r>
      <w:r w:rsidRPr="0001165D">
        <w:tab/>
        <w:t>a solar electricity generation system; or</w:t>
      </w:r>
    </w:p>
    <w:p w:rsidR="00510E69" w:rsidRPr="0001165D" w:rsidRDefault="00510E69" w:rsidP="00510E69">
      <w:pPr>
        <w:pStyle w:val="paragraph"/>
      </w:pPr>
      <w:r w:rsidRPr="0001165D">
        <w:tab/>
        <w:t>(b)</w:t>
      </w:r>
      <w:r w:rsidRPr="0001165D">
        <w:tab/>
        <w:t xml:space="preserve">any component of such an accredited power station that is taken to be a part of the power station for the purposes of the </w:t>
      </w:r>
      <w:r w:rsidRPr="0001165D">
        <w:rPr>
          <w:i/>
        </w:rPr>
        <w:t>Renewable Energy (Electricity) Act 2000</w:t>
      </w:r>
      <w:r w:rsidRPr="0001165D">
        <w:t>.</w:t>
      </w:r>
    </w:p>
    <w:p w:rsidR="00510E69" w:rsidRPr="0001165D" w:rsidRDefault="00510E69" w:rsidP="00510E69">
      <w:pPr>
        <w:pStyle w:val="notetext"/>
      </w:pPr>
      <w:r w:rsidRPr="0001165D">
        <w:t>Note:</w:t>
      </w:r>
      <w:r w:rsidRPr="0001165D">
        <w:tab/>
        <w:t>For components of a wind or solar power station that are taken to be a part of the power station for the purposes of that Act, see clause</w:t>
      </w:r>
      <w:r w:rsidR="0001165D" w:rsidRPr="0001165D">
        <w:t> </w:t>
      </w:r>
      <w:r w:rsidRPr="0001165D">
        <w:t>8 or 10 of Schedule</w:t>
      </w:r>
      <w:r w:rsidR="0001165D" w:rsidRPr="0001165D">
        <w:t> </w:t>
      </w:r>
      <w:r w:rsidRPr="0001165D">
        <w:t xml:space="preserve">1 to the </w:t>
      </w:r>
      <w:r w:rsidRPr="0001165D">
        <w:rPr>
          <w:i/>
        </w:rPr>
        <w:t>Renewable Energy (Electricity) Regulations</w:t>
      </w:r>
      <w:r w:rsidR="0001165D" w:rsidRPr="0001165D">
        <w:rPr>
          <w:i/>
        </w:rPr>
        <w:t> </w:t>
      </w:r>
      <w:r w:rsidRPr="0001165D">
        <w:rPr>
          <w:i/>
        </w:rPr>
        <w:t>2001</w:t>
      </w:r>
      <w:r w:rsidRPr="0001165D">
        <w:t>.</w:t>
      </w:r>
    </w:p>
    <w:p w:rsidR="0096407D" w:rsidRPr="0001165D" w:rsidRDefault="00AC03A3" w:rsidP="00510E69">
      <w:pPr>
        <w:pStyle w:val="ItemHead"/>
      </w:pPr>
      <w:r w:rsidRPr="0001165D">
        <w:t>4</w:t>
      </w:r>
      <w:r w:rsidR="0096407D" w:rsidRPr="0001165D">
        <w:t xml:space="preserve">  At the end of section</w:t>
      </w:r>
      <w:r w:rsidR="0001165D" w:rsidRPr="0001165D">
        <w:t> </w:t>
      </w:r>
      <w:r w:rsidR="0096407D" w:rsidRPr="0001165D">
        <w:t>38</w:t>
      </w:r>
    </w:p>
    <w:p w:rsidR="0096407D" w:rsidRPr="0001165D" w:rsidRDefault="0096407D" w:rsidP="0096407D">
      <w:pPr>
        <w:pStyle w:val="Item"/>
      </w:pPr>
      <w:r w:rsidRPr="0001165D">
        <w:t>Add:</w:t>
      </w:r>
    </w:p>
    <w:p w:rsidR="0096407D" w:rsidRPr="0001165D" w:rsidRDefault="0096407D" w:rsidP="0096407D">
      <w:pPr>
        <w:pStyle w:val="SubsectionHead"/>
      </w:pPr>
      <w:r w:rsidRPr="0001165D">
        <w:t>Acquisition of interests in residential land used for residential care, retirement villages and certain forms of student accommodation</w:t>
      </w:r>
    </w:p>
    <w:p w:rsidR="0096407D" w:rsidRPr="0001165D" w:rsidRDefault="0096407D" w:rsidP="0096407D">
      <w:pPr>
        <w:pStyle w:val="subsection"/>
      </w:pPr>
      <w:r w:rsidRPr="0001165D">
        <w:tab/>
        <w:t>(5)</w:t>
      </w:r>
      <w:r w:rsidRPr="0001165D">
        <w:tab/>
        <w:t>All of the following apply: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land is used for:</w:t>
      </w:r>
    </w:p>
    <w:p w:rsidR="0096407D" w:rsidRPr="0001165D" w:rsidRDefault="0096407D" w:rsidP="0096407D">
      <w:pPr>
        <w:pStyle w:val="paragraphsub"/>
      </w:pPr>
      <w:r w:rsidRPr="0001165D">
        <w:tab/>
        <w:t>(i)</w:t>
      </w:r>
      <w:r w:rsidRPr="0001165D">
        <w:tab/>
        <w:t>premises that provide for residential care; or</w:t>
      </w:r>
    </w:p>
    <w:p w:rsidR="0096407D" w:rsidRPr="0001165D" w:rsidRDefault="0096407D" w:rsidP="0096407D">
      <w:pPr>
        <w:pStyle w:val="paragraphsub"/>
      </w:pPr>
      <w:r w:rsidRPr="0001165D">
        <w:tab/>
        <w:t>(ii)</w:t>
      </w:r>
      <w:r w:rsidRPr="0001165D">
        <w:tab/>
        <w:t>a retirement village; or</w:t>
      </w:r>
    </w:p>
    <w:p w:rsidR="0096407D" w:rsidRPr="0001165D" w:rsidRDefault="0096407D" w:rsidP="0096407D">
      <w:pPr>
        <w:pStyle w:val="paragraphsub"/>
      </w:pPr>
      <w:r w:rsidRPr="0001165D">
        <w:tab/>
        <w:t>(iii)</w:t>
      </w:r>
      <w:r w:rsidRPr="0001165D">
        <w:tab/>
        <w:t>premises that provide accommodation to students in connection with an education institution that is not a school;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 xml:space="preserve">the foreign person is </w:t>
      </w:r>
      <w:r w:rsidR="00D862E0" w:rsidRPr="0001165D">
        <w:t>not</w:t>
      </w:r>
      <w:r w:rsidRPr="0001165D">
        <w:t xml:space="preserve"> a foreign government investor;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the value of the land acquired is less than:</w:t>
      </w:r>
    </w:p>
    <w:p w:rsidR="0096407D" w:rsidRPr="0001165D" w:rsidRDefault="0096407D" w:rsidP="0096407D">
      <w:pPr>
        <w:pStyle w:val="paragraphsub"/>
      </w:pPr>
      <w:r w:rsidRPr="0001165D">
        <w:tab/>
        <w:t>(i)</w:t>
      </w:r>
      <w:r w:rsidRPr="0001165D">
        <w:tab/>
        <w:t>if the land is covered by paragraphs 52(6)(b) and (c)—the value prescribed by item</w:t>
      </w:r>
      <w:r w:rsidR="0001165D" w:rsidRPr="0001165D">
        <w:t> </w:t>
      </w:r>
      <w:r w:rsidRPr="0001165D">
        <w:t>3 of the table in subsection</w:t>
      </w:r>
      <w:r w:rsidR="0001165D" w:rsidRPr="0001165D">
        <w:t> </w:t>
      </w:r>
      <w:r w:rsidRPr="0001165D">
        <w:t>52(5); or</w:t>
      </w:r>
    </w:p>
    <w:p w:rsidR="0096407D" w:rsidRPr="0001165D" w:rsidRDefault="0096407D" w:rsidP="0096407D">
      <w:pPr>
        <w:pStyle w:val="paragraphsub"/>
      </w:pPr>
      <w:r w:rsidRPr="0001165D">
        <w:tab/>
        <w:t>(ii)</w:t>
      </w:r>
      <w:r w:rsidRPr="0001165D">
        <w:tab/>
        <w:t>otherwise—the value prescribed by item</w:t>
      </w:r>
      <w:r w:rsidR="0001165D" w:rsidRPr="0001165D">
        <w:t> </w:t>
      </w:r>
      <w:r w:rsidRPr="0001165D">
        <w:t>4 of the table in subsection</w:t>
      </w:r>
      <w:r w:rsidR="0001165D" w:rsidRPr="0001165D">
        <w:t> </w:t>
      </w:r>
      <w:r w:rsidRPr="0001165D">
        <w:t>52(5).</w:t>
      </w:r>
    </w:p>
    <w:p w:rsidR="0096407D" w:rsidRPr="0001165D" w:rsidRDefault="0096407D" w:rsidP="0096407D">
      <w:pPr>
        <w:pStyle w:val="notetext"/>
      </w:pPr>
      <w:r w:rsidRPr="0001165D">
        <w:t>Note:</w:t>
      </w:r>
      <w:r w:rsidRPr="0001165D">
        <w:tab/>
        <w:t>A value prescribed by an item in the table in subsection</w:t>
      </w:r>
      <w:r w:rsidR="0001165D" w:rsidRPr="0001165D">
        <w:t> </w:t>
      </w:r>
      <w:r w:rsidRPr="0001165D">
        <w:t>52(5) may be indexed under section</w:t>
      </w:r>
      <w:r w:rsidR="0001165D" w:rsidRPr="0001165D">
        <w:t> </w:t>
      </w:r>
      <w:r w:rsidRPr="0001165D">
        <w:t>53.</w:t>
      </w:r>
    </w:p>
    <w:p w:rsidR="0096407D" w:rsidRPr="0001165D" w:rsidRDefault="0096407D" w:rsidP="0096407D">
      <w:pPr>
        <w:pStyle w:val="SubsectionHead"/>
      </w:pPr>
      <w:r w:rsidRPr="0001165D">
        <w:t>Certain acquisition of interests in residential land used as retirement villages</w:t>
      </w:r>
    </w:p>
    <w:p w:rsidR="0096407D" w:rsidRPr="0001165D" w:rsidRDefault="0096407D" w:rsidP="0096407D">
      <w:pPr>
        <w:pStyle w:val="subsection"/>
      </w:pPr>
      <w:r w:rsidRPr="0001165D">
        <w:tab/>
        <w:t>(6)</w:t>
      </w:r>
      <w:r w:rsidRPr="0001165D">
        <w:tab/>
        <w:t>All of the following apply: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foreign person has an existing interest in the land;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the land is used for a retirement village that the foreign person owns;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the foreign person increases their existing interest in the land by acquiring an interest in a dwelling contained in the retirement village.</w:t>
      </w:r>
    </w:p>
    <w:p w:rsidR="00510E69" w:rsidRPr="0001165D" w:rsidRDefault="00AC03A3" w:rsidP="00510E69">
      <w:pPr>
        <w:pStyle w:val="ItemHead"/>
      </w:pPr>
      <w:r w:rsidRPr="0001165D">
        <w:t>5</w:t>
      </w:r>
      <w:r w:rsidR="00510E69" w:rsidRPr="0001165D">
        <w:t xml:space="preserve">  After subsection</w:t>
      </w:r>
      <w:r w:rsidR="0001165D" w:rsidRPr="0001165D">
        <w:t> </w:t>
      </w:r>
      <w:r w:rsidR="00510E69" w:rsidRPr="0001165D">
        <w:t>40(2)</w:t>
      </w:r>
    </w:p>
    <w:p w:rsidR="00510E69" w:rsidRPr="0001165D" w:rsidRDefault="00510E69" w:rsidP="00510E69">
      <w:pPr>
        <w:pStyle w:val="Item"/>
      </w:pPr>
      <w:r w:rsidRPr="0001165D">
        <w:t>Insert:</w:t>
      </w:r>
    </w:p>
    <w:p w:rsidR="00510E69" w:rsidRPr="0001165D" w:rsidRDefault="006452CF" w:rsidP="00510E69">
      <w:pPr>
        <w:pStyle w:val="SubsectionHead"/>
      </w:pPr>
      <w:r w:rsidRPr="0001165D">
        <w:t>W</w:t>
      </w:r>
      <w:r w:rsidR="00510E69" w:rsidRPr="0001165D">
        <w:t>ind or solar power station</w:t>
      </w:r>
      <w:r w:rsidR="000602BB" w:rsidRPr="0001165D">
        <w:t xml:space="preserve"> owners and operators</w:t>
      </w:r>
    </w:p>
    <w:p w:rsidR="00510E69" w:rsidRPr="0001165D" w:rsidRDefault="00510E69" w:rsidP="00510E69">
      <w:pPr>
        <w:pStyle w:val="subsection"/>
      </w:pPr>
      <w:r w:rsidRPr="0001165D">
        <w:tab/>
        <w:t>(2A)</w:t>
      </w:r>
      <w:r w:rsidRPr="0001165D">
        <w:tab/>
        <w:t xml:space="preserve">An owner or operator, or an associate of an owner or operator, of a wind or solar power station, who takes an action relating to an interest in agricultural land for the sole purpose of </w:t>
      </w:r>
      <w:r w:rsidR="006452CF" w:rsidRPr="0001165D">
        <w:t xml:space="preserve">acquiring or </w:t>
      </w:r>
      <w:r w:rsidRPr="0001165D">
        <w:t>operating</w:t>
      </w:r>
      <w:r w:rsidR="006452CF" w:rsidRPr="0001165D">
        <w:t xml:space="preserve"> a wind or solar power station already located </w:t>
      </w:r>
      <w:r w:rsidRPr="0001165D">
        <w:t>on the land (whether on or beneath the surface) may, for the purposes of subsections</w:t>
      </w:r>
      <w:r w:rsidR="0001165D" w:rsidRPr="0001165D">
        <w:t> </w:t>
      </w:r>
      <w:r w:rsidRPr="0001165D">
        <w:t>52(2) and (3) of the Act, disregard the fact that the land is agricultural land.</w:t>
      </w:r>
    </w:p>
    <w:p w:rsidR="00510E69" w:rsidRPr="0001165D" w:rsidRDefault="00AC03A3" w:rsidP="00510E69">
      <w:pPr>
        <w:pStyle w:val="ItemHead"/>
      </w:pPr>
      <w:r w:rsidRPr="0001165D">
        <w:t>6</w:t>
      </w:r>
      <w:r w:rsidR="0096407D" w:rsidRPr="0001165D">
        <w:t xml:space="preserve">  </w:t>
      </w:r>
      <w:r w:rsidR="00510E69" w:rsidRPr="0001165D">
        <w:t>At the end of Subdivision A of Division</w:t>
      </w:r>
      <w:r w:rsidR="0001165D" w:rsidRPr="0001165D">
        <w:t> </w:t>
      </w:r>
      <w:r w:rsidR="00510E69" w:rsidRPr="0001165D">
        <w:t>4 of Part</w:t>
      </w:r>
      <w:r w:rsidR="0001165D" w:rsidRPr="0001165D">
        <w:t> </w:t>
      </w:r>
      <w:r w:rsidR="00510E69" w:rsidRPr="0001165D">
        <w:t>3</w:t>
      </w:r>
    </w:p>
    <w:p w:rsidR="00510E69" w:rsidRPr="0001165D" w:rsidRDefault="00510E69" w:rsidP="00510E69">
      <w:pPr>
        <w:pStyle w:val="Item"/>
      </w:pPr>
      <w:r w:rsidRPr="0001165D">
        <w:t>Add:</w:t>
      </w:r>
    </w:p>
    <w:p w:rsidR="00510E69" w:rsidRPr="0001165D" w:rsidRDefault="00510E69" w:rsidP="00510E69">
      <w:pPr>
        <w:pStyle w:val="ActHead5"/>
      </w:pPr>
      <w:bookmarkStart w:id="11" w:name="_Toc485631182"/>
      <w:r w:rsidRPr="0001165D">
        <w:rPr>
          <w:rStyle w:val="CharSectno"/>
        </w:rPr>
        <w:t>41A</w:t>
      </w:r>
      <w:r w:rsidRPr="0001165D">
        <w:t xml:space="preserve">  Exemption—foreign persons in which foreign custodian corporations have interests</w:t>
      </w:r>
      <w:bookmarkEnd w:id="11"/>
    </w:p>
    <w:p w:rsidR="00510E69" w:rsidRPr="0001165D" w:rsidRDefault="00510E69" w:rsidP="00510E69">
      <w:pPr>
        <w:pStyle w:val="subsection"/>
      </w:pPr>
      <w:r w:rsidRPr="0001165D">
        <w:tab/>
        <w:t>(1)</w:t>
      </w:r>
      <w:r w:rsidRPr="0001165D">
        <w:tab/>
        <w:t>This section applies in relation to the following provisions:</w:t>
      </w:r>
    </w:p>
    <w:p w:rsidR="00510E69" w:rsidRPr="0001165D" w:rsidRDefault="00510E69" w:rsidP="00510E69">
      <w:pPr>
        <w:pStyle w:val="paragraph"/>
      </w:pPr>
      <w:r w:rsidRPr="0001165D">
        <w:tab/>
        <w:t>(a)</w:t>
      </w:r>
      <w:r w:rsidRPr="0001165D">
        <w:tab/>
        <w:t>Division</w:t>
      </w:r>
      <w:r w:rsidR="0001165D" w:rsidRPr="0001165D">
        <w:t> </w:t>
      </w:r>
      <w:r w:rsidRPr="0001165D">
        <w:t>3 of Part</w:t>
      </w:r>
      <w:r w:rsidR="0001165D" w:rsidRPr="0001165D">
        <w:t> </w:t>
      </w:r>
      <w:r w:rsidRPr="0001165D">
        <w:t>2 of the Act (meaning of notifiable action);</w:t>
      </w:r>
    </w:p>
    <w:p w:rsidR="00510E69" w:rsidRPr="0001165D" w:rsidRDefault="00510E69" w:rsidP="00510E69">
      <w:pPr>
        <w:pStyle w:val="paragraph"/>
      </w:pPr>
      <w:r w:rsidRPr="0001165D">
        <w:tab/>
        <w:t>(b)</w:t>
      </w:r>
      <w:r w:rsidRPr="0001165D">
        <w:tab/>
        <w:t>Part</w:t>
      </w:r>
      <w:r w:rsidR="0001165D" w:rsidRPr="0001165D">
        <w:t> </w:t>
      </w:r>
      <w:r w:rsidRPr="0001165D">
        <w:t>4 of the Act (notice of notifiable actions and significant actions);</w:t>
      </w:r>
    </w:p>
    <w:p w:rsidR="00510E69" w:rsidRPr="0001165D" w:rsidRDefault="00510E69" w:rsidP="00510E69">
      <w:pPr>
        <w:pStyle w:val="paragraph"/>
      </w:pPr>
      <w:r w:rsidRPr="0001165D">
        <w:tab/>
        <w:t>(c)</w:t>
      </w:r>
      <w:r w:rsidRPr="0001165D">
        <w:tab/>
        <w:t>any other provision of the Act to the extent that it relates to either of those provisions.</w:t>
      </w:r>
    </w:p>
    <w:p w:rsidR="00510E69" w:rsidRPr="0001165D" w:rsidRDefault="00510E69" w:rsidP="00510E69">
      <w:pPr>
        <w:pStyle w:val="subsection"/>
      </w:pPr>
      <w:r w:rsidRPr="0001165D">
        <w:tab/>
        <w:t>(2)</w:t>
      </w:r>
      <w:r w:rsidRPr="0001165D">
        <w:tab/>
        <w:t xml:space="preserve">The provisions mentioned in </w:t>
      </w:r>
      <w:r w:rsidR="0001165D" w:rsidRPr="0001165D">
        <w:t>subsection (</w:t>
      </w:r>
      <w:r w:rsidRPr="0001165D">
        <w:t>1) do not apply in relation to any action taken by a foreign person if, when the action is taken:</w:t>
      </w:r>
    </w:p>
    <w:p w:rsidR="00510E69" w:rsidRPr="0001165D" w:rsidRDefault="00510E69" w:rsidP="00510E69">
      <w:pPr>
        <w:pStyle w:val="paragraph"/>
      </w:pPr>
      <w:r w:rsidRPr="0001165D">
        <w:tab/>
        <w:t>(a)</w:t>
      </w:r>
      <w:r w:rsidRPr="0001165D">
        <w:tab/>
        <w:t>the foreign person is a corporation, the trustee of a trust or the general partner of a limited partnership (see subsection</w:t>
      </w:r>
      <w:r w:rsidR="0001165D" w:rsidRPr="0001165D">
        <w:t> </w:t>
      </w:r>
      <w:r w:rsidRPr="0001165D">
        <w:t>18(1)); and</w:t>
      </w:r>
    </w:p>
    <w:p w:rsidR="00510E69" w:rsidRPr="0001165D" w:rsidRDefault="00510E69" w:rsidP="00510E69">
      <w:pPr>
        <w:pStyle w:val="paragraph"/>
      </w:pPr>
      <w:r w:rsidRPr="0001165D">
        <w:tab/>
        <w:t>(b)</w:t>
      </w:r>
      <w:r w:rsidRPr="0001165D">
        <w:tab/>
        <w:t xml:space="preserve">an interest or part of an interest (the </w:t>
      </w:r>
      <w:r w:rsidRPr="0001165D">
        <w:rPr>
          <w:b/>
          <w:i/>
        </w:rPr>
        <w:t>custodian share</w:t>
      </w:r>
      <w:r w:rsidRPr="0001165D">
        <w:t>) in that corporation, trust or limited partnership is held by a corporation of the kind mentioned in paragraph</w:t>
      </w:r>
      <w:r w:rsidR="0001165D" w:rsidRPr="0001165D">
        <w:t> </w:t>
      </w:r>
      <w:r w:rsidRPr="0001165D">
        <w:t xml:space="preserve">30(a) (the </w:t>
      </w:r>
      <w:r w:rsidRPr="0001165D">
        <w:rPr>
          <w:b/>
          <w:i/>
        </w:rPr>
        <w:t>foreign custodian corporation</w:t>
      </w:r>
      <w:r w:rsidRPr="0001165D">
        <w:t>); and</w:t>
      </w:r>
    </w:p>
    <w:p w:rsidR="00510E69" w:rsidRPr="0001165D" w:rsidRDefault="00510E69" w:rsidP="00510E69">
      <w:pPr>
        <w:pStyle w:val="paragraph"/>
      </w:pPr>
      <w:r w:rsidRPr="0001165D">
        <w:tab/>
        <w:t>(c)</w:t>
      </w:r>
      <w:r w:rsidRPr="0001165D">
        <w:tab/>
        <w:t>the custodian share is held in the course of the foreign custodian corporation’s business of providing the custodian services mentioned in paragraph</w:t>
      </w:r>
      <w:r w:rsidR="0001165D" w:rsidRPr="0001165D">
        <w:t> </w:t>
      </w:r>
      <w:r w:rsidRPr="0001165D">
        <w:t>30(a); and</w:t>
      </w:r>
    </w:p>
    <w:p w:rsidR="00510E69" w:rsidRPr="0001165D" w:rsidRDefault="00510E69" w:rsidP="00510E69">
      <w:pPr>
        <w:pStyle w:val="paragraph"/>
      </w:pPr>
      <w:r w:rsidRPr="0001165D">
        <w:tab/>
        <w:t>(d)</w:t>
      </w:r>
      <w:r w:rsidRPr="0001165D">
        <w:tab/>
        <w:t>the foreign person would not be a foreign person if:</w:t>
      </w:r>
    </w:p>
    <w:p w:rsidR="00510E69" w:rsidRPr="0001165D" w:rsidRDefault="00510E69" w:rsidP="00510E69">
      <w:pPr>
        <w:pStyle w:val="paragraphsub"/>
      </w:pPr>
      <w:r w:rsidRPr="0001165D">
        <w:tab/>
        <w:t>(i)</w:t>
      </w:r>
      <w:r w:rsidRPr="0001165D">
        <w:tab/>
        <w:t xml:space="preserve">in a case in which there is only one foreign custodian corporation to which </w:t>
      </w:r>
      <w:r w:rsidR="0001165D" w:rsidRPr="0001165D">
        <w:t>paragraphs (</w:t>
      </w:r>
      <w:r w:rsidRPr="0001165D">
        <w:t xml:space="preserve">b) and (c) apply—that foreign custodian corporation did not hold the custodian share to which </w:t>
      </w:r>
      <w:r w:rsidR="0001165D" w:rsidRPr="0001165D">
        <w:t>paragraph (</w:t>
      </w:r>
      <w:r w:rsidRPr="0001165D">
        <w:t>c) applies; or</w:t>
      </w:r>
    </w:p>
    <w:p w:rsidR="00510E69" w:rsidRPr="0001165D" w:rsidRDefault="00510E69" w:rsidP="00510E69">
      <w:pPr>
        <w:pStyle w:val="paragraphsub"/>
      </w:pPr>
      <w:r w:rsidRPr="0001165D">
        <w:tab/>
        <w:t>(ii)</w:t>
      </w:r>
      <w:r w:rsidRPr="0001165D">
        <w:tab/>
        <w:t xml:space="preserve">in a case in which there are 2 or more foreign custodian corporations to which </w:t>
      </w:r>
      <w:r w:rsidR="0001165D" w:rsidRPr="0001165D">
        <w:t>paragraphs (</w:t>
      </w:r>
      <w:r w:rsidRPr="0001165D">
        <w:t xml:space="preserve">b) and (c) apply—none of those foreign custodian corporations held the custodian shares to which </w:t>
      </w:r>
      <w:r w:rsidR="0001165D" w:rsidRPr="0001165D">
        <w:t>paragraph (</w:t>
      </w:r>
      <w:r w:rsidRPr="0001165D">
        <w:t>c) applies.</w:t>
      </w:r>
    </w:p>
    <w:p w:rsidR="00510E69" w:rsidRPr="0001165D" w:rsidRDefault="00510E69" w:rsidP="00510E69">
      <w:pPr>
        <w:pStyle w:val="notetext"/>
      </w:pPr>
      <w:r w:rsidRPr="0001165D">
        <w:t>Example:</w:t>
      </w:r>
      <w:r w:rsidRPr="0001165D">
        <w:tab/>
        <w:t>Foreign custodian corporations are foreign persons (see paragraph</w:t>
      </w:r>
      <w:r w:rsidR="0001165D" w:rsidRPr="0001165D">
        <w:t> </w:t>
      </w:r>
      <w:r w:rsidRPr="0001165D">
        <w:t>30(a)). A foreign custodian corporation (</w:t>
      </w:r>
      <w:r w:rsidRPr="0001165D">
        <w:rPr>
          <w:b/>
          <w:i/>
        </w:rPr>
        <w:t>Corporation FC</w:t>
      </w:r>
      <w:r w:rsidRPr="0001165D">
        <w:t>) holds a total interest of 25% in another corporation (</w:t>
      </w:r>
      <w:r w:rsidRPr="0001165D">
        <w:rPr>
          <w:b/>
          <w:i/>
        </w:rPr>
        <w:t>Corporation F</w:t>
      </w:r>
      <w:r w:rsidRPr="0001165D">
        <w:t>). No other foreign person holds an interest in Corporation F. Corporation FC’s interest makes Corporation F a foreign person because it is a substantial interest (at least 20%).</w:t>
      </w:r>
    </w:p>
    <w:p w:rsidR="00510E69" w:rsidRPr="0001165D" w:rsidRDefault="00510E69" w:rsidP="00510E69">
      <w:pPr>
        <w:pStyle w:val="notetext"/>
      </w:pPr>
      <w:r w:rsidRPr="0001165D">
        <w:tab/>
        <w:t xml:space="preserve">15% of Corporation FC’s interest in Corporation F is a custodian share to which </w:t>
      </w:r>
      <w:r w:rsidR="0001165D" w:rsidRPr="0001165D">
        <w:t>paragraph (</w:t>
      </w:r>
      <w:r w:rsidRPr="0001165D">
        <w:t xml:space="preserve">2)(c) applies. That paragraph does not apply to 10% of the interest. Corporation F would not be a foreign person if it were not for the custodian share held by Corporation FC (see </w:t>
      </w:r>
      <w:r w:rsidR="0001165D" w:rsidRPr="0001165D">
        <w:t>paragraph (</w:t>
      </w:r>
      <w:r w:rsidRPr="0001165D">
        <w:t>2)(d)).</w:t>
      </w:r>
    </w:p>
    <w:p w:rsidR="00510E69" w:rsidRPr="0001165D" w:rsidRDefault="00510E69" w:rsidP="00510E69">
      <w:pPr>
        <w:pStyle w:val="notetext"/>
      </w:pPr>
      <w:r w:rsidRPr="0001165D">
        <w:tab/>
        <w:t xml:space="preserve">The provisions mentioned in </w:t>
      </w:r>
      <w:r w:rsidR="0001165D" w:rsidRPr="0001165D">
        <w:t>subsection (</w:t>
      </w:r>
      <w:r w:rsidRPr="0001165D">
        <w:t>1) do not apply in relation to any action taken by Corporation F.</w:t>
      </w:r>
    </w:p>
    <w:p w:rsidR="00510E69" w:rsidRPr="0001165D" w:rsidRDefault="00AC03A3" w:rsidP="00510E69">
      <w:pPr>
        <w:pStyle w:val="ItemHead"/>
      </w:pPr>
      <w:r w:rsidRPr="0001165D">
        <w:t>7</w:t>
      </w:r>
      <w:r w:rsidR="00510E69" w:rsidRPr="0001165D">
        <w:t xml:space="preserve">  Section</w:t>
      </w:r>
      <w:r w:rsidR="0001165D" w:rsidRPr="0001165D">
        <w:t> </w:t>
      </w:r>
      <w:r w:rsidR="00510E69" w:rsidRPr="0001165D">
        <w:t>44 (heading)</w:t>
      </w:r>
    </w:p>
    <w:p w:rsidR="00510E69" w:rsidRPr="0001165D" w:rsidRDefault="00510E69" w:rsidP="00510E69">
      <w:pPr>
        <w:pStyle w:val="Item"/>
      </w:pPr>
      <w:r w:rsidRPr="0001165D">
        <w:t>Repeal the heading, substitute:</w:t>
      </w:r>
    </w:p>
    <w:p w:rsidR="00510E69" w:rsidRPr="0001165D" w:rsidRDefault="00510E69" w:rsidP="00510E69">
      <w:pPr>
        <w:pStyle w:val="ActHead5"/>
      </w:pPr>
      <w:bookmarkStart w:id="12" w:name="_Toc485631183"/>
      <w:r w:rsidRPr="0001165D">
        <w:rPr>
          <w:rStyle w:val="CharSectno"/>
        </w:rPr>
        <w:t>44</w:t>
      </w:r>
      <w:r w:rsidRPr="0001165D">
        <w:t xml:space="preserve">  Land that is not agricultural land</w:t>
      </w:r>
      <w:bookmarkEnd w:id="12"/>
    </w:p>
    <w:p w:rsidR="00510E69" w:rsidRPr="0001165D" w:rsidRDefault="00AC03A3" w:rsidP="00510E69">
      <w:pPr>
        <w:pStyle w:val="ItemHead"/>
      </w:pPr>
      <w:r w:rsidRPr="0001165D">
        <w:t>8</w:t>
      </w:r>
      <w:r w:rsidR="00510E69" w:rsidRPr="0001165D">
        <w:t xml:space="preserve">  Subsection</w:t>
      </w:r>
      <w:r w:rsidR="0001165D" w:rsidRPr="0001165D">
        <w:t> </w:t>
      </w:r>
      <w:r w:rsidR="00510E69" w:rsidRPr="0001165D">
        <w:t>44(1)</w:t>
      </w:r>
    </w:p>
    <w:p w:rsidR="00510E69" w:rsidRPr="0001165D" w:rsidRDefault="00510E69" w:rsidP="00510E69">
      <w:pPr>
        <w:pStyle w:val="Item"/>
      </w:pPr>
      <w:r w:rsidRPr="0001165D">
        <w:t xml:space="preserve">Omit “The kind of land that is not </w:t>
      </w:r>
      <w:r w:rsidRPr="0001165D">
        <w:rPr>
          <w:b/>
          <w:i/>
        </w:rPr>
        <w:t>agricultural land</w:t>
      </w:r>
      <w:r w:rsidRPr="0001165D">
        <w:t>”, substitute “For the purposes of subsection</w:t>
      </w:r>
      <w:r w:rsidR="0001165D" w:rsidRPr="0001165D">
        <w:t> </w:t>
      </w:r>
      <w:r w:rsidRPr="0001165D">
        <w:t>37(3) of the Act, the kind of land that is not agricultural land”.</w:t>
      </w:r>
    </w:p>
    <w:p w:rsidR="00510E69" w:rsidRPr="0001165D" w:rsidRDefault="00AC03A3" w:rsidP="00510E69">
      <w:pPr>
        <w:pStyle w:val="ItemHead"/>
      </w:pPr>
      <w:r w:rsidRPr="0001165D">
        <w:t>9</w:t>
      </w:r>
      <w:r w:rsidR="00510E69" w:rsidRPr="0001165D">
        <w:t xml:space="preserve">  At the end of subsection</w:t>
      </w:r>
      <w:r w:rsidR="0001165D" w:rsidRPr="0001165D">
        <w:t> </w:t>
      </w:r>
      <w:r w:rsidR="00510E69" w:rsidRPr="0001165D">
        <w:t>44(1)</w:t>
      </w:r>
    </w:p>
    <w:p w:rsidR="00510E69" w:rsidRPr="0001165D" w:rsidRDefault="00510E69" w:rsidP="00510E69">
      <w:pPr>
        <w:pStyle w:val="Item"/>
      </w:pPr>
      <w:r w:rsidRPr="0001165D">
        <w:t>Add:</w:t>
      </w:r>
    </w:p>
    <w:p w:rsidR="00510E69" w:rsidRPr="0001165D" w:rsidRDefault="00510E69" w:rsidP="00510E69">
      <w:pPr>
        <w:pStyle w:val="notetext"/>
      </w:pPr>
      <w:r w:rsidRPr="0001165D">
        <w:t>Note:</w:t>
      </w:r>
      <w:r w:rsidRPr="0001165D">
        <w:tab/>
        <w:t>Section</w:t>
      </w:r>
      <w:r w:rsidR="0001165D" w:rsidRPr="0001165D">
        <w:t> </w:t>
      </w:r>
      <w:r w:rsidRPr="0001165D">
        <w:t xml:space="preserve">4 of the Act defines </w:t>
      </w:r>
      <w:r w:rsidRPr="0001165D">
        <w:rPr>
          <w:b/>
          <w:i/>
        </w:rPr>
        <w:t>agricultural land</w:t>
      </w:r>
      <w:r w:rsidRPr="0001165D">
        <w:t xml:space="preserve"> as land in Australia that is used, or that could reasonably be used, for a primary production business. That definition, as modified by this section, applies in this instrument as well as in the Act (see section</w:t>
      </w:r>
      <w:r w:rsidR="0001165D" w:rsidRPr="0001165D">
        <w:t> </w:t>
      </w:r>
      <w:r w:rsidRPr="0001165D">
        <w:t xml:space="preserve">13 of the </w:t>
      </w:r>
      <w:r w:rsidRPr="0001165D">
        <w:rPr>
          <w:i/>
        </w:rPr>
        <w:t>Legislation Act 2003</w:t>
      </w:r>
      <w:r w:rsidRPr="0001165D">
        <w:t>).</w:t>
      </w:r>
    </w:p>
    <w:p w:rsidR="00510E69" w:rsidRPr="0001165D" w:rsidRDefault="00AC03A3" w:rsidP="00510E69">
      <w:pPr>
        <w:pStyle w:val="ItemHead"/>
      </w:pPr>
      <w:r w:rsidRPr="0001165D">
        <w:t>10</w:t>
      </w:r>
      <w:r w:rsidR="00510E69" w:rsidRPr="0001165D">
        <w:t xml:space="preserve">  At the end of paragraph</w:t>
      </w:r>
      <w:r w:rsidR="0001165D" w:rsidRPr="0001165D">
        <w:t> </w:t>
      </w:r>
      <w:r w:rsidR="00510E69" w:rsidRPr="0001165D">
        <w:t>44(4)(b)</w:t>
      </w:r>
    </w:p>
    <w:p w:rsidR="00510E69" w:rsidRPr="0001165D" w:rsidRDefault="00510E69" w:rsidP="00510E69">
      <w:pPr>
        <w:pStyle w:val="Item"/>
      </w:pPr>
      <w:r w:rsidRPr="0001165D">
        <w:t>Add:</w:t>
      </w:r>
    </w:p>
    <w:p w:rsidR="00510E69" w:rsidRPr="0001165D" w:rsidRDefault="00510E69" w:rsidP="00510E69">
      <w:pPr>
        <w:pStyle w:val="paragraphsub"/>
      </w:pPr>
      <w:r w:rsidRPr="0001165D">
        <w:tab/>
        <w:t>or (v)</w:t>
      </w:r>
      <w:r w:rsidRPr="0001165D">
        <w:tab/>
        <w:t>an approval (including accreditation) for establishing or operating a wind or solar power station to be located on the land (whether on or beneath the surface);</w:t>
      </w:r>
    </w:p>
    <w:p w:rsidR="00510E69" w:rsidRPr="0001165D" w:rsidRDefault="00AC03A3" w:rsidP="00510E69">
      <w:pPr>
        <w:pStyle w:val="ItemHead"/>
      </w:pPr>
      <w:r w:rsidRPr="0001165D">
        <w:t>11</w:t>
      </w:r>
      <w:r w:rsidR="00510E69" w:rsidRPr="0001165D">
        <w:t xml:space="preserve">  Subsection</w:t>
      </w:r>
      <w:r w:rsidR="0001165D" w:rsidRPr="0001165D">
        <w:t> </w:t>
      </w:r>
      <w:r w:rsidR="00510E69" w:rsidRPr="0001165D">
        <w:t>44(6)</w:t>
      </w:r>
    </w:p>
    <w:p w:rsidR="00510E69" w:rsidRPr="0001165D" w:rsidRDefault="00510E69" w:rsidP="00510E69">
      <w:pPr>
        <w:pStyle w:val="Item"/>
      </w:pPr>
      <w:r w:rsidRPr="0001165D">
        <w:t>After “allowing”, insert “any or all of”.</w:t>
      </w:r>
    </w:p>
    <w:p w:rsidR="00510E69" w:rsidRPr="0001165D" w:rsidRDefault="00AC03A3" w:rsidP="00510E69">
      <w:pPr>
        <w:pStyle w:val="ItemHead"/>
      </w:pPr>
      <w:r w:rsidRPr="0001165D">
        <w:t>12</w:t>
      </w:r>
      <w:r w:rsidR="00510E69" w:rsidRPr="0001165D">
        <w:t xml:space="preserve">  After subsection</w:t>
      </w:r>
      <w:r w:rsidR="0001165D" w:rsidRPr="0001165D">
        <w:t> </w:t>
      </w:r>
      <w:r w:rsidR="00510E69" w:rsidRPr="0001165D">
        <w:t>44(7)</w:t>
      </w:r>
    </w:p>
    <w:p w:rsidR="00510E69" w:rsidRPr="0001165D" w:rsidRDefault="00510E69" w:rsidP="00510E69">
      <w:pPr>
        <w:pStyle w:val="Item"/>
      </w:pPr>
      <w:r w:rsidRPr="0001165D">
        <w:t>Insert:</w:t>
      </w:r>
    </w:p>
    <w:p w:rsidR="00510E69" w:rsidRPr="0001165D" w:rsidRDefault="00510E69" w:rsidP="00510E69">
      <w:pPr>
        <w:pStyle w:val="SubsectionHead"/>
      </w:pPr>
      <w:r w:rsidRPr="0001165D">
        <w:t>Land used for wind or solar power station</w:t>
      </w:r>
    </w:p>
    <w:p w:rsidR="00510E69" w:rsidRPr="0001165D" w:rsidRDefault="00510E69" w:rsidP="00510E69">
      <w:pPr>
        <w:pStyle w:val="subsection"/>
      </w:pPr>
      <w:r w:rsidRPr="0001165D">
        <w:tab/>
        <w:t>(7A)</w:t>
      </w:r>
      <w:r w:rsidRPr="0001165D">
        <w:tab/>
        <w:t>The land is used wholly or predominantly for a wind or solar power station located on the land (whether on or beneath the surface).</w:t>
      </w:r>
    </w:p>
    <w:p w:rsidR="00510E69" w:rsidRPr="0001165D" w:rsidRDefault="00510E69" w:rsidP="00510E69">
      <w:pPr>
        <w:pStyle w:val="subsection"/>
      </w:pPr>
      <w:r w:rsidRPr="0001165D">
        <w:tab/>
        <w:t>(7B)</w:t>
      </w:r>
      <w:r w:rsidRPr="0001165D">
        <w:tab/>
        <w:t>An approval of a government authority (including accreditation) is in force allowing a wind or solar power station to be established or operated on the land (whether on or beneath the surface).</w:t>
      </w:r>
    </w:p>
    <w:p w:rsidR="00510E69" w:rsidRPr="0001165D" w:rsidRDefault="00510E69" w:rsidP="00510E69">
      <w:pPr>
        <w:pStyle w:val="subsection"/>
      </w:pPr>
      <w:r w:rsidRPr="0001165D">
        <w:tab/>
        <w:t>(7C)</w:t>
      </w:r>
      <w:r w:rsidRPr="0001165D">
        <w:tab/>
        <w:t xml:space="preserve">The land was acquired solely, or is used wholly or predominantly, to meet a condition of an approval mentioned in </w:t>
      </w:r>
      <w:r w:rsidR="0001165D" w:rsidRPr="0001165D">
        <w:t>subsection (</w:t>
      </w:r>
      <w:r w:rsidRPr="0001165D">
        <w:t>7B) that relates to other land.</w:t>
      </w:r>
    </w:p>
    <w:p w:rsidR="0096407D" w:rsidRPr="0001165D" w:rsidRDefault="0096407D" w:rsidP="0096407D">
      <w:pPr>
        <w:pStyle w:val="ActHead6"/>
        <w:pageBreakBefore/>
      </w:pPr>
      <w:bookmarkStart w:id="13" w:name="_Toc485631184"/>
      <w:r w:rsidRPr="0001165D">
        <w:rPr>
          <w:rStyle w:val="CharAmSchNo"/>
        </w:rPr>
        <w:t>Schedule</w:t>
      </w:r>
      <w:r w:rsidR="0001165D" w:rsidRPr="0001165D">
        <w:rPr>
          <w:rStyle w:val="CharAmSchNo"/>
        </w:rPr>
        <w:t> </w:t>
      </w:r>
      <w:r w:rsidRPr="0001165D">
        <w:rPr>
          <w:rStyle w:val="CharAmSchNo"/>
        </w:rPr>
        <w:t>2</w:t>
      </w:r>
      <w:r w:rsidRPr="0001165D">
        <w:t>—</w:t>
      </w:r>
      <w:r w:rsidRPr="0001165D">
        <w:rPr>
          <w:rStyle w:val="CharAmSchText"/>
        </w:rPr>
        <w:t>Exemption certificates</w:t>
      </w:r>
      <w:bookmarkEnd w:id="13"/>
    </w:p>
    <w:p w:rsidR="0096407D" w:rsidRPr="0001165D" w:rsidRDefault="0096407D" w:rsidP="0096407D">
      <w:pPr>
        <w:pStyle w:val="Header"/>
      </w:pPr>
      <w:r w:rsidRPr="0001165D">
        <w:rPr>
          <w:rStyle w:val="CharAmPartNo"/>
        </w:rPr>
        <w:t xml:space="preserve"> </w:t>
      </w:r>
      <w:r w:rsidRPr="0001165D">
        <w:rPr>
          <w:rStyle w:val="CharAmPartText"/>
        </w:rPr>
        <w:t xml:space="preserve"> </w:t>
      </w:r>
    </w:p>
    <w:p w:rsidR="0096407D" w:rsidRPr="0001165D" w:rsidRDefault="0096407D" w:rsidP="0096407D">
      <w:pPr>
        <w:pStyle w:val="ActHead9"/>
      </w:pPr>
      <w:bookmarkStart w:id="14" w:name="_Toc485631185"/>
      <w:r w:rsidRPr="0001165D">
        <w:t>Foreign Acquisitions and Takeovers Regulation</w:t>
      </w:r>
      <w:r w:rsidR="0001165D" w:rsidRPr="0001165D">
        <w:t> </w:t>
      </w:r>
      <w:r w:rsidRPr="0001165D">
        <w:t>2015</w:t>
      </w:r>
      <w:bookmarkEnd w:id="14"/>
    </w:p>
    <w:p w:rsidR="0096407D" w:rsidRPr="0001165D" w:rsidRDefault="0096407D" w:rsidP="0096407D">
      <w:pPr>
        <w:pStyle w:val="ItemHead"/>
        <w:tabs>
          <w:tab w:val="left" w:pos="6663"/>
        </w:tabs>
      </w:pPr>
      <w:r w:rsidRPr="0001165D">
        <w:t>1  Section</w:t>
      </w:r>
      <w:r w:rsidR="0001165D" w:rsidRPr="0001165D">
        <w:t> </w:t>
      </w:r>
      <w:r w:rsidRPr="0001165D">
        <w:t>5</w:t>
      </w:r>
    </w:p>
    <w:p w:rsidR="0096407D" w:rsidRPr="0001165D" w:rsidRDefault="0096407D" w:rsidP="0096407D">
      <w:pPr>
        <w:pStyle w:val="Item"/>
      </w:pPr>
      <w:r w:rsidRPr="0001165D">
        <w:t>Insert:</w:t>
      </w:r>
    </w:p>
    <w:p w:rsidR="0096407D" w:rsidRPr="0001165D" w:rsidRDefault="0096407D" w:rsidP="0096407D">
      <w:pPr>
        <w:pStyle w:val="Definition"/>
      </w:pPr>
      <w:r w:rsidRPr="0001165D">
        <w:rPr>
          <w:b/>
          <w:i/>
        </w:rPr>
        <w:t>near</w:t>
      </w:r>
      <w:r w:rsidR="0001165D">
        <w:rPr>
          <w:b/>
          <w:i/>
        </w:rPr>
        <w:noBreakHyphen/>
      </w:r>
      <w:r w:rsidRPr="0001165D">
        <w:rPr>
          <w:b/>
          <w:i/>
        </w:rPr>
        <w:t>new dwelling interest</w:t>
      </w:r>
      <w:r w:rsidRPr="0001165D">
        <w:t xml:space="preserve"> means an interest in a dwelling, if all of the following apply: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dwelling is contained in a development;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an agreement to sell the interest in the dwelling had become binding;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that agreement did not result in the transfer of title to the interest, and is no longer in force;</w:t>
      </w:r>
    </w:p>
    <w:p w:rsidR="0096407D" w:rsidRPr="0001165D" w:rsidRDefault="0096407D" w:rsidP="0096407D">
      <w:pPr>
        <w:pStyle w:val="paragraph"/>
      </w:pPr>
      <w:r w:rsidRPr="0001165D">
        <w:tab/>
        <w:t>(d)</w:t>
      </w:r>
      <w:r w:rsidRPr="0001165D">
        <w:tab/>
        <w:t>the interest is to be sold under another agreement;</w:t>
      </w:r>
    </w:p>
    <w:p w:rsidR="0096407D" w:rsidRPr="0001165D" w:rsidRDefault="0096407D" w:rsidP="0096407D">
      <w:pPr>
        <w:pStyle w:val="paragraph"/>
      </w:pPr>
      <w:r w:rsidRPr="0001165D">
        <w:tab/>
        <w:t>(e)</w:t>
      </w:r>
      <w:r w:rsidRPr="0001165D">
        <w:tab/>
        <w:t xml:space="preserve">the interest would be an interest in a new dwelling, to be acquired under the other agreement, if there were no agreements to which </w:t>
      </w:r>
      <w:r w:rsidR="0001165D" w:rsidRPr="0001165D">
        <w:t>paragraphs (</w:t>
      </w:r>
      <w:r w:rsidRPr="0001165D">
        <w:t>b) and (c) applied.</w:t>
      </w:r>
    </w:p>
    <w:p w:rsidR="0096407D" w:rsidRPr="0001165D" w:rsidRDefault="0096407D" w:rsidP="0096407D">
      <w:pPr>
        <w:pStyle w:val="ItemHead"/>
        <w:tabs>
          <w:tab w:val="left" w:pos="6663"/>
        </w:tabs>
      </w:pPr>
      <w:r w:rsidRPr="0001165D">
        <w:t>2  Section</w:t>
      </w:r>
      <w:r w:rsidR="0001165D" w:rsidRPr="0001165D">
        <w:t> </w:t>
      </w:r>
      <w:r w:rsidRPr="0001165D">
        <w:t>42</w:t>
      </w:r>
    </w:p>
    <w:p w:rsidR="0096407D" w:rsidRPr="0001165D" w:rsidRDefault="0096407D" w:rsidP="0096407D">
      <w:pPr>
        <w:pStyle w:val="Item"/>
      </w:pPr>
      <w:r w:rsidRPr="0001165D">
        <w:t>Repeal the section, substitute:</w:t>
      </w:r>
    </w:p>
    <w:p w:rsidR="0096407D" w:rsidRPr="0001165D" w:rsidRDefault="0096407D" w:rsidP="0096407D">
      <w:pPr>
        <w:pStyle w:val="ActHead5"/>
      </w:pPr>
      <w:bookmarkStart w:id="15" w:name="_Toc485631186"/>
      <w:r w:rsidRPr="0001165D">
        <w:rPr>
          <w:rStyle w:val="CharSectno"/>
        </w:rPr>
        <w:t>42</w:t>
      </w:r>
      <w:r w:rsidRPr="0001165D">
        <w:t xml:space="preserve">  Exemption certificate for businesses or entities</w:t>
      </w:r>
      <w:bookmarkEnd w:id="15"/>
    </w:p>
    <w:p w:rsidR="0096407D" w:rsidRPr="0001165D" w:rsidRDefault="0096407D" w:rsidP="0096407D">
      <w:pPr>
        <w:pStyle w:val="subsection"/>
      </w:pPr>
      <w:r w:rsidRPr="0001165D">
        <w:tab/>
        <w:t>(1)</w:t>
      </w:r>
      <w:r w:rsidRPr="0001165D">
        <w:tab/>
        <w:t xml:space="preserve">A foreign person may apply for a certificate under this section (a </w:t>
      </w:r>
      <w:r w:rsidRPr="0001165D">
        <w:rPr>
          <w:b/>
          <w:i/>
        </w:rPr>
        <w:t>businesses or entities certificate</w:t>
      </w:r>
      <w:r w:rsidRPr="0001165D">
        <w:t>) if the foreign person or any other foreign person proposes to acquire one or more kinds of interests in the assets of an Australian business or the securities of an entity.</w:t>
      </w:r>
    </w:p>
    <w:p w:rsidR="0096407D" w:rsidRPr="0001165D" w:rsidRDefault="0096407D" w:rsidP="0096407D">
      <w:pPr>
        <w:pStyle w:val="notetext"/>
      </w:pPr>
      <w:r w:rsidRPr="0001165D">
        <w:t>Note:</w:t>
      </w:r>
      <w:r w:rsidRPr="0001165D">
        <w:tab/>
        <w:t>See also Part</w:t>
      </w:r>
      <w:r w:rsidR="0001165D" w:rsidRPr="0001165D">
        <w:t> </w:t>
      </w:r>
      <w:r w:rsidRPr="0001165D">
        <w:t>6 (fees) and section</w:t>
      </w:r>
      <w:r w:rsidR="0001165D" w:rsidRPr="0001165D">
        <w:t> </w:t>
      </w:r>
      <w:r w:rsidRPr="0001165D">
        <w:t>135 (manner of notification and application) of the Act.</w:t>
      </w:r>
    </w:p>
    <w:p w:rsidR="0096407D" w:rsidRPr="0001165D" w:rsidRDefault="0096407D" w:rsidP="0096407D">
      <w:pPr>
        <w:pStyle w:val="subsection"/>
      </w:pPr>
      <w:r w:rsidRPr="0001165D">
        <w:tab/>
        <w:t>(2)</w:t>
      </w:r>
      <w:r w:rsidRPr="0001165D">
        <w:tab/>
        <w:t>The Treasurer may give a certificate if the Treasurer is satisfied that acquisitions of those kinds of interests by that foreign person are not contrary to the national interest.</w:t>
      </w:r>
    </w:p>
    <w:p w:rsidR="0096407D" w:rsidRPr="0001165D" w:rsidRDefault="0096407D" w:rsidP="0096407D">
      <w:pPr>
        <w:pStyle w:val="subsection"/>
      </w:pPr>
      <w:r w:rsidRPr="0001165D">
        <w:tab/>
        <w:t>(3)</w:t>
      </w:r>
      <w:r w:rsidRPr="0001165D">
        <w:tab/>
        <w:t>The certificate must specify: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foreign person, who may not yet be incorporated or established, to whom the certificate relates (or will relate);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the kinds of interests to which the certificate relates; and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whether the acquisition of any of those kinds of interests:</w:t>
      </w:r>
    </w:p>
    <w:p w:rsidR="0096407D" w:rsidRPr="0001165D" w:rsidRDefault="0096407D" w:rsidP="0096407D">
      <w:pPr>
        <w:pStyle w:val="paragraphsub"/>
      </w:pPr>
      <w:r w:rsidRPr="0001165D">
        <w:tab/>
        <w:t>(i)</w:t>
      </w:r>
      <w:r w:rsidRPr="0001165D">
        <w:tab/>
        <w:t>does not give rise to a notifiable action; or</w:t>
      </w:r>
    </w:p>
    <w:p w:rsidR="0096407D" w:rsidRPr="0001165D" w:rsidRDefault="0096407D" w:rsidP="0096407D">
      <w:pPr>
        <w:pStyle w:val="paragraphsub"/>
      </w:pPr>
      <w:r w:rsidRPr="0001165D">
        <w:tab/>
        <w:t>(ii)</w:t>
      </w:r>
      <w:r w:rsidRPr="0001165D">
        <w:tab/>
        <w:t>neither gives rise to a significant action nor a notifiable action.</w:t>
      </w:r>
    </w:p>
    <w:p w:rsidR="0096407D" w:rsidRPr="0001165D" w:rsidRDefault="0096407D" w:rsidP="0096407D">
      <w:pPr>
        <w:pStyle w:val="notetext"/>
      </w:pPr>
      <w:r w:rsidRPr="0001165D">
        <w:t>Note:</w:t>
      </w:r>
      <w:r w:rsidRPr="0001165D">
        <w:tab/>
        <w:t>For other things that the certificate may specify, see section</w:t>
      </w:r>
      <w:r w:rsidR="0001165D" w:rsidRPr="0001165D">
        <w:t> </w:t>
      </w:r>
      <w:r w:rsidRPr="0001165D">
        <w:t>60 of the Act.</w:t>
      </w:r>
    </w:p>
    <w:p w:rsidR="0096407D" w:rsidRPr="0001165D" w:rsidRDefault="0096407D" w:rsidP="0096407D">
      <w:pPr>
        <w:pStyle w:val="subsection"/>
      </w:pPr>
      <w:r w:rsidRPr="0001165D">
        <w:tab/>
        <w:t>(4)</w:t>
      </w:r>
      <w:r w:rsidRPr="0001165D">
        <w:tab/>
        <w:t>For the purposes of subsection</w:t>
      </w:r>
      <w:r w:rsidR="0001165D" w:rsidRPr="0001165D">
        <w:t> </w:t>
      </w:r>
      <w:r w:rsidRPr="0001165D">
        <w:t xml:space="preserve">45(3) of the Act, an action is not a </w:t>
      </w:r>
      <w:r w:rsidRPr="0001165D">
        <w:rPr>
          <w:b/>
          <w:i/>
        </w:rPr>
        <w:t>significant action</w:t>
      </w:r>
      <w:r w:rsidRPr="0001165D">
        <w:t xml:space="preserve"> if: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action is an acquisition by a foreign person of an interest in assets of an Australian business or securities of an entity;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the foreign person is specified in a businesses or entities certificate; and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the interest is of a kind specified in the certificate; and</w:t>
      </w:r>
    </w:p>
    <w:p w:rsidR="0096407D" w:rsidRPr="0001165D" w:rsidRDefault="0096407D" w:rsidP="0096407D">
      <w:pPr>
        <w:pStyle w:val="paragraph"/>
      </w:pPr>
      <w:r w:rsidRPr="0001165D">
        <w:tab/>
        <w:t>(d)</w:t>
      </w:r>
      <w:r w:rsidRPr="0001165D">
        <w:tab/>
        <w:t>the acquisition of the interest is specified in the certificate as not giving rise to a significant action; and</w:t>
      </w:r>
    </w:p>
    <w:p w:rsidR="0096407D" w:rsidRPr="0001165D" w:rsidRDefault="0096407D" w:rsidP="0096407D">
      <w:pPr>
        <w:pStyle w:val="paragraph"/>
      </w:pPr>
      <w:r w:rsidRPr="0001165D">
        <w:tab/>
        <w:t>(e)</w:t>
      </w:r>
      <w:r w:rsidRPr="0001165D">
        <w:tab/>
        <w:t>the conditions (if any) specified in the certificate are met.</w:t>
      </w:r>
    </w:p>
    <w:p w:rsidR="0096407D" w:rsidRPr="0001165D" w:rsidRDefault="0096407D" w:rsidP="0096407D">
      <w:pPr>
        <w:pStyle w:val="subsection"/>
      </w:pPr>
      <w:r w:rsidRPr="0001165D">
        <w:tab/>
        <w:t>(5)</w:t>
      </w:r>
      <w:r w:rsidRPr="0001165D">
        <w:tab/>
        <w:t>For the purposes of subsection</w:t>
      </w:r>
      <w:r w:rsidR="0001165D" w:rsidRPr="0001165D">
        <w:t> </w:t>
      </w:r>
      <w:r w:rsidRPr="0001165D">
        <w:t xml:space="preserve">49(2) of the Act, an action is not a </w:t>
      </w:r>
      <w:r w:rsidRPr="0001165D">
        <w:rPr>
          <w:b/>
          <w:i/>
        </w:rPr>
        <w:t>notifiable action</w:t>
      </w:r>
      <w:r w:rsidRPr="0001165D">
        <w:t xml:space="preserve"> if: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action is an acquisition by a foreign person of an interest in assets of an Australian business or securities of an entity;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the foreign person is specified in an Australian businesses or entities certificate; and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the interest is of a kind specified in the certificate; and</w:t>
      </w:r>
    </w:p>
    <w:p w:rsidR="0096407D" w:rsidRPr="0001165D" w:rsidRDefault="0096407D" w:rsidP="0096407D">
      <w:pPr>
        <w:pStyle w:val="paragraph"/>
      </w:pPr>
      <w:r w:rsidRPr="0001165D">
        <w:tab/>
        <w:t>(d)</w:t>
      </w:r>
      <w:r w:rsidRPr="0001165D">
        <w:tab/>
        <w:t>the conditions (if any) specified in the certificate are met.</w:t>
      </w:r>
    </w:p>
    <w:p w:rsidR="0096407D" w:rsidRPr="0001165D" w:rsidRDefault="0096407D" w:rsidP="0096407D">
      <w:pPr>
        <w:pStyle w:val="ItemHead"/>
        <w:tabs>
          <w:tab w:val="left" w:pos="6663"/>
        </w:tabs>
      </w:pPr>
      <w:r w:rsidRPr="0001165D">
        <w:t>3  Subsection</w:t>
      </w:r>
      <w:r w:rsidR="0001165D" w:rsidRPr="0001165D">
        <w:t> </w:t>
      </w:r>
      <w:r w:rsidRPr="0001165D">
        <w:t>43(1)</w:t>
      </w:r>
    </w:p>
    <w:p w:rsidR="0096407D" w:rsidRPr="0001165D" w:rsidRDefault="0096407D" w:rsidP="0096407D">
      <w:pPr>
        <w:pStyle w:val="Item"/>
      </w:pPr>
      <w:r w:rsidRPr="0001165D">
        <w:t xml:space="preserve">After “under this section”, insert “(a </w:t>
      </w:r>
      <w:r w:rsidRPr="0001165D">
        <w:rPr>
          <w:b/>
          <w:i/>
        </w:rPr>
        <w:t>tenements and mining, production or exploration entities certificate</w:t>
      </w:r>
      <w:r w:rsidRPr="0001165D">
        <w:t>)”.</w:t>
      </w:r>
    </w:p>
    <w:p w:rsidR="0096407D" w:rsidRPr="0001165D" w:rsidRDefault="0096407D" w:rsidP="0096407D">
      <w:pPr>
        <w:pStyle w:val="ItemHead"/>
        <w:tabs>
          <w:tab w:val="left" w:pos="6663"/>
        </w:tabs>
      </w:pPr>
      <w:r w:rsidRPr="0001165D">
        <w:t>4  Subsection</w:t>
      </w:r>
      <w:r w:rsidR="0001165D" w:rsidRPr="0001165D">
        <w:t> </w:t>
      </w:r>
      <w:r w:rsidRPr="0001165D">
        <w:t>43(2)</w:t>
      </w:r>
    </w:p>
    <w:p w:rsidR="0096407D" w:rsidRPr="0001165D" w:rsidRDefault="0096407D" w:rsidP="0096407D">
      <w:pPr>
        <w:pStyle w:val="Item"/>
      </w:pPr>
      <w:r w:rsidRPr="0001165D">
        <w:t>Omit “is not contrary”, substitute “are not contrary”.</w:t>
      </w:r>
    </w:p>
    <w:p w:rsidR="0096407D" w:rsidRPr="0001165D" w:rsidRDefault="0096407D" w:rsidP="0096407D">
      <w:pPr>
        <w:pStyle w:val="ItemHead"/>
        <w:tabs>
          <w:tab w:val="left" w:pos="6663"/>
        </w:tabs>
      </w:pPr>
      <w:r w:rsidRPr="0001165D">
        <w:t>5  At the end of section</w:t>
      </w:r>
      <w:r w:rsidR="0001165D" w:rsidRPr="0001165D">
        <w:t> </w:t>
      </w:r>
      <w:r w:rsidRPr="0001165D">
        <w:t>43</w:t>
      </w:r>
    </w:p>
    <w:p w:rsidR="0096407D" w:rsidRPr="0001165D" w:rsidRDefault="0096407D" w:rsidP="0096407D">
      <w:pPr>
        <w:pStyle w:val="Item"/>
      </w:pPr>
      <w:r w:rsidRPr="0001165D">
        <w:t>Add:</w:t>
      </w:r>
    </w:p>
    <w:p w:rsidR="0096407D" w:rsidRPr="0001165D" w:rsidRDefault="0096407D" w:rsidP="0096407D">
      <w:pPr>
        <w:pStyle w:val="subsection"/>
      </w:pPr>
      <w:r w:rsidRPr="0001165D">
        <w:tab/>
        <w:t>(4)</w:t>
      </w:r>
      <w:r w:rsidRPr="0001165D">
        <w:tab/>
        <w:t>For the purposes of subsections</w:t>
      </w:r>
      <w:r w:rsidR="0001165D" w:rsidRPr="0001165D">
        <w:t> </w:t>
      </w:r>
      <w:r w:rsidRPr="0001165D">
        <w:t xml:space="preserve">45(3) and 49(2) of the Act, an action is not a </w:t>
      </w:r>
      <w:r w:rsidRPr="0001165D">
        <w:rPr>
          <w:b/>
          <w:i/>
        </w:rPr>
        <w:t>significant action</w:t>
      </w:r>
      <w:r w:rsidRPr="0001165D">
        <w:t xml:space="preserve"> or a </w:t>
      </w:r>
      <w:r w:rsidRPr="0001165D">
        <w:rPr>
          <w:b/>
          <w:i/>
        </w:rPr>
        <w:t>notifiable action</w:t>
      </w:r>
      <w:r w:rsidRPr="0001165D">
        <w:t xml:space="preserve"> if: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action is an acquisition by a foreign person of an interest in securities or in a tenement;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the foreign person is specified in a tenements and mining, production or exploration entities certificate; and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the interest is of a kind specified in the certificate; and</w:t>
      </w:r>
    </w:p>
    <w:p w:rsidR="0096407D" w:rsidRPr="0001165D" w:rsidRDefault="0096407D" w:rsidP="0096407D">
      <w:pPr>
        <w:pStyle w:val="paragraph"/>
      </w:pPr>
      <w:r w:rsidRPr="0001165D">
        <w:tab/>
        <w:t>(d)</w:t>
      </w:r>
      <w:r w:rsidRPr="0001165D">
        <w:tab/>
        <w:t>the conditions (if any) specified in the certificate are met.</w:t>
      </w:r>
    </w:p>
    <w:p w:rsidR="0096407D" w:rsidRPr="0001165D" w:rsidRDefault="0096407D" w:rsidP="0096407D">
      <w:pPr>
        <w:pStyle w:val="ItemHead"/>
        <w:tabs>
          <w:tab w:val="left" w:pos="6663"/>
        </w:tabs>
      </w:pPr>
      <w:r w:rsidRPr="0001165D">
        <w:t>6  At the end of Division</w:t>
      </w:r>
      <w:r w:rsidR="0001165D" w:rsidRPr="0001165D">
        <w:t> </w:t>
      </w:r>
      <w:r w:rsidRPr="0001165D">
        <w:t>4 of Part</w:t>
      </w:r>
      <w:r w:rsidR="0001165D" w:rsidRPr="0001165D">
        <w:t> </w:t>
      </w:r>
      <w:r w:rsidRPr="0001165D">
        <w:t>3</w:t>
      </w:r>
    </w:p>
    <w:p w:rsidR="0096407D" w:rsidRPr="0001165D" w:rsidRDefault="0096407D" w:rsidP="0096407D">
      <w:pPr>
        <w:pStyle w:val="Item"/>
      </w:pPr>
      <w:r w:rsidRPr="0001165D">
        <w:t>Add:</w:t>
      </w:r>
    </w:p>
    <w:p w:rsidR="0096407D" w:rsidRPr="0001165D" w:rsidRDefault="0096407D" w:rsidP="0096407D">
      <w:pPr>
        <w:pStyle w:val="ActHead5"/>
        <w:spacing w:before="240"/>
      </w:pPr>
      <w:bookmarkStart w:id="16" w:name="_Toc485631187"/>
      <w:r w:rsidRPr="0001165D">
        <w:rPr>
          <w:rStyle w:val="CharSectno"/>
        </w:rPr>
        <w:t>43A</w:t>
      </w:r>
      <w:r w:rsidRPr="0001165D">
        <w:t xml:space="preserve">  Exemption certificates for residential land (near</w:t>
      </w:r>
      <w:r w:rsidR="0001165D">
        <w:noBreakHyphen/>
      </w:r>
      <w:r w:rsidRPr="0001165D">
        <w:t>new dwelling interests)</w:t>
      </w:r>
      <w:bookmarkEnd w:id="16"/>
    </w:p>
    <w:p w:rsidR="0096407D" w:rsidRPr="0001165D" w:rsidRDefault="0096407D" w:rsidP="0096407D">
      <w:pPr>
        <w:pStyle w:val="subsection"/>
      </w:pPr>
      <w:r w:rsidRPr="0001165D">
        <w:tab/>
        <w:t>(1)</w:t>
      </w:r>
      <w:r w:rsidRPr="0001165D">
        <w:tab/>
        <w:t xml:space="preserve">A person may apply for a certificate under this section (a </w:t>
      </w:r>
      <w:r w:rsidRPr="0001165D">
        <w:rPr>
          <w:b/>
          <w:i/>
        </w:rPr>
        <w:t>residential land (near</w:t>
      </w:r>
      <w:r w:rsidR="0001165D">
        <w:rPr>
          <w:b/>
          <w:i/>
        </w:rPr>
        <w:noBreakHyphen/>
      </w:r>
      <w:r w:rsidRPr="0001165D">
        <w:rPr>
          <w:b/>
          <w:i/>
        </w:rPr>
        <w:t>new dwelling interests) certificate</w:t>
      </w:r>
      <w:r w:rsidRPr="0001165D">
        <w:t>) if: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person has acquired, or will acquire,</w:t>
      </w:r>
      <w:r w:rsidR="00691C95" w:rsidRPr="0001165D">
        <w:t xml:space="preserve"> an interest in Australian land</w:t>
      </w:r>
      <w:r w:rsidRPr="0001165D">
        <w:t>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the person has built, or proposes to build, new dwellings on that land; and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some or all of the interests in those dwellings are, or may become, near</w:t>
      </w:r>
      <w:r w:rsidR="0001165D">
        <w:noBreakHyphen/>
      </w:r>
      <w:r w:rsidRPr="0001165D">
        <w:t>new dwelling interests; and</w:t>
      </w:r>
    </w:p>
    <w:p w:rsidR="0096407D" w:rsidRPr="0001165D" w:rsidRDefault="0096407D" w:rsidP="0096407D">
      <w:pPr>
        <w:pStyle w:val="paragraph"/>
      </w:pPr>
      <w:r w:rsidRPr="0001165D">
        <w:tab/>
        <w:t>(d)</w:t>
      </w:r>
      <w:r w:rsidRPr="0001165D">
        <w:tab/>
        <w:t>the person proposes to dispose of the near</w:t>
      </w:r>
      <w:r w:rsidR="0001165D">
        <w:rPr>
          <w:b/>
        </w:rPr>
        <w:noBreakHyphen/>
      </w:r>
      <w:r w:rsidRPr="0001165D">
        <w:t>new dwelling interests to foreign persons.</w:t>
      </w:r>
    </w:p>
    <w:p w:rsidR="0096407D" w:rsidRPr="0001165D" w:rsidRDefault="0096407D" w:rsidP="0096407D">
      <w:pPr>
        <w:pStyle w:val="notetext"/>
      </w:pPr>
      <w:r w:rsidRPr="0001165D">
        <w:t>Note:</w:t>
      </w:r>
      <w:r w:rsidRPr="0001165D">
        <w:tab/>
        <w:t>See also Part</w:t>
      </w:r>
      <w:r w:rsidR="0001165D" w:rsidRPr="0001165D">
        <w:t> </w:t>
      </w:r>
      <w:r w:rsidRPr="0001165D">
        <w:t>6 (fees) and section</w:t>
      </w:r>
      <w:r w:rsidR="0001165D" w:rsidRPr="0001165D">
        <w:t> </w:t>
      </w:r>
      <w:r w:rsidRPr="0001165D">
        <w:t>135 (manner of notification and application) of the Act.</w:t>
      </w:r>
    </w:p>
    <w:p w:rsidR="0096407D" w:rsidRPr="0001165D" w:rsidRDefault="0096407D" w:rsidP="0096407D">
      <w:pPr>
        <w:pStyle w:val="subsection"/>
      </w:pPr>
      <w:r w:rsidRPr="0001165D">
        <w:tab/>
        <w:t>(2)</w:t>
      </w:r>
      <w:r w:rsidRPr="0001165D">
        <w:tab/>
        <w:t>The Treasurer may give a certificate if the Treasurer is satisfied that the disposal of the near</w:t>
      </w:r>
      <w:r w:rsidR="0001165D">
        <w:noBreakHyphen/>
      </w:r>
      <w:r w:rsidRPr="0001165D">
        <w:t>new dwelling interests to foreign persons is not contrary to the national interest.</w:t>
      </w:r>
    </w:p>
    <w:p w:rsidR="0096407D" w:rsidRPr="0001165D" w:rsidRDefault="0096407D" w:rsidP="0096407D">
      <w:pPr>
        <w:pStyle w:val="subsection"/>
      </w:pPr>
      <w:r w:rsidRPr="0001165D">
        <w:tab/>
        <w:t>(3)</w:t>
      </w:r>
      <w:r w:rsidRPr="0001165D">
        <w:tab/>
        <w:t>The certificate must specify: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person (who may not yet be incorporated or established) to whom the certificate relates;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that the certificate covers interests that are, or could be, near</w:t>
      </w:r>
      <w:r w:rsidR="0001165D">
        <w:noBreakHyphen/>
      </w:r>
      <w:r w:rsidRPr="0001165D">
        <w:t>new dwelling interests.</w:t>
      </w:r>
    </w:p>
    <w:p w:rsidR="0096407D" w:rsidRPr="0001165D" w:rsidRDefault="0096407D" w:rsidP="0096407D">
      <w:pPr>
        <w:pStyle w:val="notetext"/>
      </w:pPr>
      <w:r w:rsidRPr="0001165D">
        <w:t>Note:</w:t>
      </w:r>
      <w:r w:rsidRPr="0001165D">
        <w:tab/>
        <w:t>For other things that the certificate may specify, see section</w:t>
      </w:r>
      <w:r w:rsidR="0001165D" w:rsidRPr="0001165D">
        <w:t> </w:t>
      </w:r>
      <w:r w:rsidRPr="0001165D">
        <w:t>60 of the Act.</w:t>
      </w:r>
    </w:p>
    <w:p w:rsidR="0096407D" w:rsidRPr="0001165D" w:rsidRDefault="0096407D" w:rsidP="0096407D">
      <w:pPr>
        <w:pStyle w:val="subsection"/>
      </w:pPr>
      <w:r w:rsidRPr="0001165D">
        <w:tab/>
        <w:t>(4)</w:t>
      </w:r>
      <w:r w:rsidRPr="0001165D">
        <w:tab/>
        <w:t>For the purposes of subsections</w:t>
      </w:r>
      <w:r w:rsidR="0001165D" w:rsidRPr="0001165D">
        <w:t> </w:t>
      </w:r>
      <w:r w:rsidRPr="0001165D">
        <w:t xml:space="preserve">45(3) and 49(2) of the Act, an action is not a </w:t>
      </w:r>
      <w:r w:rsidRPr="0001165D">
        <w:rPr>
          <w:b/>
          <w:i/>
        </w:rPr>
        <w:t>significant action</w:t>
      </w:r>
      <w:r w:rsidRPr="0001165D">
        <w:t xml:space="preserve"> or a </w:t>
      </w:r>
      <w:r w:rsidRPr="0001165D">
        <w:rPr>
          <w:b/>
          <w:i/>
        </w:rPr>
        <w:t>notifiable action</w:t>
      </w:r>
      <w:r w:rsidRPr="0001165D">
        <w:t xml:space="preserve"> if: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action is a foreign person acquiring a near</w:t>
      </w:r>
      <w:r w:rsidR="0001165D">
        <w:noBreakHyphen/>
      </w:r>
      <w:r w:rsidRPr="0001165D">
        <w:t>new dwelling interest;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 xml:space="preserve">the acquisition was from a person (the </w:t>
      </w:r>
      <w:r w:rsidRPr="0001165D">
        <w:rPr>
          <w:b/>
          <w:i/>
        </w:rPr>
        <w:t>specified person</w:t>
      </w:r>
      <w:r w:rsidRPr="0001165D">
        <w:t>) who was specified in a residential land (near</w:t>
      </w:r>
      <w:r w:rsidR="0001165D">
        <w:noBreakHyphen/>
      </w:r>
      <w:r w:rsidRPr="0001165D">
        <w:t>new dwelling interests) certificate; and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the interest is specified in the certificate; and</w:t>
      </w:r>
    </w:p>
    <w:p w:rsidR="0096407D" w:rsidRPr="0001165D" w:rsidRDefault="0096407D" w:rsidP="0096407D">
      <w:pPr>
        <w:pStyle w:val="paragraph"/>
      </w:pPr>
      <w:r w:rsidRPr="0001165D">
        <w:tab/>
        <w:t>(d)</w:t>
      </w:r>
      <w:r w:rsidRPr="0001165D">
        <w:tab/>
        <w:t xml:space="preserve">the specified person provided the foreign person with a copy of that certificate before the </w:t>
      </w:r>
      <w:r w:rsidR="00E6407E" w:rsidRPr="0001165D">
        <w:t xml:space="preserve">foreign </w:t>
      </w:r>
      <w:r w:rsidRPr="0001165D">
        <w:t>person acquired the interest; and</w:t>
      </w:r>
    </w:p>
    <w:p w:rsidR="0096407D" w:rsidRPr="0001165D" w:rsidRDefault="0096407D" w:rsidP="0096407D">
      <w:pPr>
        <w:pStyle w:val="paragraph"/>
      </w:pPr>
      <w:r w:rsidRPr="0001165D">
        <w:tab/>
        <w:t>(e)</w:t>
      </w:r>
      <w:r w:rsidRPr="0001165D">
        <w:tab/>
        <w:t>either:</w:t>
      </w:r>
    </w:p>
    <w:p w:rsidR="0096407D" w:rsidRPr="0001165D" w:rsidRDefault="0096407D" w:rsidP="0096407D">
      <w:pPr>
        <w:pStyle w:val="paragraphsub"/>
      </w:pPr>
      <w:r w:rsidRPr="0001165D">
        <w:tab/>
        <w:t>(i)</w:t>
      </w:r>
      <w:r w:rsidRPr="0001165D">
        <w:tab/>
        <w:t>the conditions (if any) specified in the certificate were met; or</w:t>
      </w:r>
    </w:p>
    <w:p w:rsidR="0096407D" w:rsidRPr="0001165D" w:rsidRDefault="0096407D" w:rsidP="0096407D">
      <w:pPr>
        <w:pStyle w:val="paragraphsub"/>
      </w:pPr>
      <w:r w:rsidRPr="0001165D">
        <w:tab/>
        <w:t>(ii)</w:t>
      </w:r>
      <w:r w:rsidRPr="0001165D">
        <w:tab/>
        <w:t>the foreign person is not, at the time of the action, aware that one or more of the conditions specified in the certificate have not been met.</w:t>
      </w:r>
    </w:p>
    <w:p w:rsidR="0096407D" w:rsidRPr="0001165D" w:rsidRDefault="0096407D" w:rsidP="0096407D">
      <w:pPr>
        <w:pStyle w:val="ActHead5"/>
      </w:pPr>
      <w:bookmarkStart w:id="17" w:name="_Toc485631188"/>
      <w:r w:rsidRPr="0001165D">
        <w:rPr>
          <w:rStyle w:val="CharSectno"/>
        </w:rPr>
        <w:t>43B</w:t>
      </w:r>
      <w:r w:rsidRPr="0001165D">
        <w:t xml:space="preserve">  Exemption certificates for residential land (other than established dwellings)</w:t>
      </w:r>
      <w:bookmarkEnd w:id="17"/>
    </w:p>
    <w:p w:rsidR="0096407D" w:rsidRPr="0001165D" w:rsidRDefault="0096407D" w:rsidP="0096407D">
      <w:pPr>
        <w:pStyle w:val="subsection"/>
      </w:pPr>
      <w:r w:rsidRPr="0001165D">
        <w:tab/>
        <w:t>(1)</w:t>
      </w:r>
      <w:r w:rsidRPr="0001165D">
        <w:tab/>
        <w:t xml:space="preserve">A foreign person may apply for a certificate under this section (a </w:t>
      </w:r>
      <w:r w:rsidRPr="0001165D">
        <w:rPr>
          <w:b/>
          <w:i/>
        </w:rPr>
        <w:t>residential land (other than established dwellings) certificate</w:t>
      </w:r>
      <w:r w:rsidRPr="0001165D">
        <w:t>)</w:t>
      </w:r>
      <w:r w:rsidRPr="0001165D">
        <w:rPr>
          <w:b/>
          <w:i/>
        </w:rPr>
        <w:t xml:space="preserve"> </w:t>
      </w:r>
      <w:r w:rsidRPr="0001165D">
        <w:t xml:space="preserve">if the foreign person or any other foreign person proposes to acquire </w:t>
      </w:r>
      <w:r w:rsidR="00340DBE" w:rsidRPr="0001165D">
        <w:t>only</w:t>
      </w:r>
      <w:r w:rsidRPr="0001165D">
        <w:t xml:space="preserve"> one of the following: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an interest in a new dwelling;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a near</w:t>
      </w:r>
      <w:r w:rsidR="0001165D">
        <w:noBreakHyphen/>
      </w:r>
      <w:r w:rsidRPr="0001165D">
        <w:t>new dwelling interest;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>an interest in vacant residential land.</w:t>
      </w:r>
    </w:p>
    <w:p w:rsidR="0096407D" w:rsidRPr="0001165D" w:rsidRDefault="0096407D" w:rsidP="0096407D">
      <w:pPr>
        <w:pStyle w:val="notetext"/>
      </w:pPr>
      <w:r w:rsidRPr="0001165D">
        <w:t>Note:</w:t>
      </w:r>
      <w:r w:rsidRPr="0001165D">
        <w:tab/>
        <w:t>See also Part</w:t>
      </w:r>
      <w:r w:rsidR="0001165D" w:rsidRPr="0001165D">
        <w:t> </w:t>
      </w:r>
      <w:r w:rsidRPr="0001165D">
        <w:t>6 (fees) and section</w:t>
      </w:r>
      <w:r w:rsidR="0001165D" w:rsidRPr="0001165D">
        <w:t> </w:t>
      </w:r>
      <w:r w:rsidRPr="0001165D">
        <w:t>135 (manner of notification and application) of the Act.</w:t>
      </w:r>
    </w:p>
    <w:p w:rsidR="0096407D" w:rsidRPr="0001165D" w:rsidRDefault="0096407D" w:rsidP="0096407D">
      <w:pPr>
        <w:pStyle w:val="subsection"/>
      </w:pPr>
      <w:r w:rsidRPr="0001165D">
        <w:tab/>
        <w:t>(2)</w:t>
      </w:r>
      <w:r w:rsidRPr="0001165D">
        <w:tab/>
        <w:t>The Treasurer may give a certificate if the Treasurer is satisfied that the acquisition of those kinds of interests by that foreign person is not contrary to the national interest.</w:t>
      </w:r>
    </w:p>
    <w:p w:rsidR="0096407D" w:rsidRPr="0001165D" w:rsidRDefault="0096407D" w:rsidP="0096407D">
      <w:pPr>
        <w:pStyle w:val="subsection"/>
      </w:pPr>
      <w:r w:rsidRPr="0001165D">
        <w:tab/>
        <w:t>(3)</w:t>
      </w:r>
      <w:r w:rsidRPr="0001165D">
        <w:tab/>
        <w:t>The certificate must specify: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person to whom the certificate relates;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the kind of interest to which the certificate relates.</w:t>
      </w:r>
    </w:p>
    <w:p w:rsidR="0096407D" w:rsidRPr="0001165D" w:rsidRDefault="0096407D" w:rsidP="0096407D">
      <w:pPr>
        <w:pStyle w:val="notetext"/>
      </w:pPr>
      <w:r w:rsidRPr="0001165D">
        <w:t>Note:</w:t>
      </w:r>
      <w:r w:rsidRPr="0001165D">
        <w:tab/>
        <w:t>For other things that the certificate may specify, see section</w:t>
      </w:r>
      <w:r w:rsidR="0001165D" w:rsidRPr="0001165D">
        <w:t> </w:t>
      </w:r>
      <w:r w:rsidRPr="0001165D">
        <w:t>60 of the Act.</w:t>
      </w:r>
    </w:p>
    <w:p w:rsidR="0096407D" w:rsidRPr="0001165D" w:rsidRDefault="0096407D" w:rsidP="0096407D">
      <w:pPr>
        <w:pStyle w:val="subsection"/>
      </w:pPr>
      <w:r w:rsidRPr="0001165D">
        <w:tab/>
        <w:t>(4)</w:t>
      </w:r>
      <w:r w:rsidRPr="0001165D">
        <w:tab/>
        <w:t>For the purposes of subsections</w:t>
      </w:r>
      <w:r w:rsidR="0001165D" w:rsidRPr="0001165D">
        <w:t> </w:t>
      </w:r>
      <w:r w:rsidRPr="0001165D">
        <w:t xml:space="preserve">45(3) and 49(2) of the Act, an action is not a </w:t>
      </w:r>
      <w:r w:rsidRPr="0001165D">
        <w:rPr>
          <w:b/>
          <w:i/>
        </w:rPr>
        <w:t>significant action</w:t>
      </w:r>
      <w:r w:rsidRPr="0001165D">
        <w:t xml:space="preserve"> or a </w:t>
      </w:r>
      <w:r w:rsidRPr="0001165D">
        <w:rPr>
          <w:b/>
          <w:i/>
        </w:rPr>
        <w:t>notifiable action</w:t>
      </w:r>
      <w:r w:rsidRPr="0001165D">
        <w:t xml:space="preserve"> if: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the action is an acquisition by a foreign person of an interest in Australian land; and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>the foreign person is specified in a residential land (other than established dwellings) certificate; and</w:t>
      </w:r>
    </w:p>
    <w:p w:rsidR="0096407D" w:rsidRPr="0001165D" w:rsidRDefault="0096407D" w:rsidP="0096407D">
      <w:pPr>
        <w:pStyle w:val="paragraph"/>
      </w:pPr>
      <w:r w:rsidRPr="0001165D">
        <w:tab/>
        <w:t>(c)</w:t>
      </w:r>
      <w:r w:rsidRPr="0001165D">
        <w:tab/>
        <w:t xml:space="preserve">the interest is of </w:t>
      </w:r>
      <w:r w:rsidR="00EC12F9" w:rsidRPr="0001165D">
        <w:t>the 3</w:t>
      </w:r>
      <w:r w:rsidRPr="0001165D">
        <w:t xml:space="preserve"> kind</w:t>
      </w:r>
      <w:r w:rsidR="00EC12F9" w:rsidRPr="0001165D">
        <w:t>s</w:t>
      </w:r>
      <w:r w:rsidRPr="0001165D">
        <w:t xml:space="preserve"> specified in the certificate; and</w:t>
      </w:r>
    </w:p>
    <w:p w:rsidR="0096407D" w:rsidRPr="0001165D" w:rsidRDefault="0096407D" w:rsidP="0096407D">
      <w:pPr>
        <w:pStyle w:val="paragraph"/>
      </w:pPr>
      <w:r w:rsidRPr="0001165D">
        <w:tab/>
        <w:t>(d)</w:t>
      </w:r>
      <w:r w:rsidRPr="0001165D">
        <w:tab/>
        <w:t>the conditions (if any) specified in the certificate are met.</w:t>
      </w:r>
    </w:p>
    <w:p w:rsidR="0096407D" w:rsidRPr="0001165D" w:rsidRDefault="0096407D" w:rsidP="0096407D">
      <w:pPr>
        <w:pStyle w:val="ItemHead"/>
        <w:tabs>
          <w:tab w:val="left" w:pos="6663"/>
        </w:tabs>
      </w:pPr>
      <w:r w:rsidRPr="0001165D">
        <w:t>7  Section</w:t>
      </w:r>
      <w:r w:rsidR="0001165D" w:rsidRPr="0001165D">
        <w:t> </w:t>
      </w:r>
      <w:r w:rsidRPr="0001165D">
        <w:t>58</w:t>
      </w:r>
    </w:p>
    <w:p w:rsidR="0096407D" w:rsidRPr="0001165D" w:rsidRDefault="0096407D" w:rsidP="0096407D">
      <w:pPr>
        <w:pStyle w:val="Item"/>
      </w:pPr>
      <w:r w:rsidRPr="0001165D">
        <w:t>Repeal the section.</w:t>
      </w:r>
    </w:p>
    <w:p w:rsidR="0096407D" w:rsidRPr="0001165D" w:rsidRDefault="0096407D" w:rsidP="0096407D">
      <w:pPr>
        <w:pStyle w:val="ActHead6"/>
        <w:pageBreakBefore/>
      </w:pPr>
      <w:bookmarkStart w:id="18" w:name="_Toc485631189"/>
      <w:r w:rsidRPr="0001165D">
        <w:rPr>
          <w:rStyle w:val="CharAmSchNo"/>
        </w:rPr>
        <w:t>Schedule</w:t>
      </w:r>
      <w:r w:rsidR="0001165D" w:rsidRPr="0001165D">
        <w:rPr>
          <w:rStyle w:val="CharAmSchNo"/>
        </w:rPr>
        <w:t> </w:t>
      </w:r>
      <w:r w:rsidRPr="0001165D">
        <w:rPr>
          <w:rStyle w:val="CharAmSchNo"/>
        </w:rPr>
        <w:t>3</w:t>
      </w:r>
      <w:r w:rsidRPr="0001165D">
        <w:t>—</w:t>
      </w:r>
      <w:r w:rsidRPr="0001165D">
        <w:rPr>
          <w:rStyle w:val="CharAmSchText"/>
        </w:rPr>
        <w:t>Miscellaneous</w:t>
      </w:r>
      <w:bookmarkEnd w:id="18"/>
    </w:p>
    <w:p w:rsidR="0096407D" w:rsidRPr="0001165D" w:rsidRDefault="0096407D" w:rsidP="0096407D">
      <w:pPr>
        <w:pStyle w:val="Header"/>
      </w:pPr>
      <w:r w:rsidRPr="0001165D">
        <w:rPr>
          <w:rStyle w:val="CharAmPartNo"/>
        </w:rPr>
        <w:t xml:space="preserve"> </w:t>
      </w:r>
      <w:r w:rsidRPr="0001165D">
        <w:rPr>
          <w:rStyle w:val="CharAmPartText"/>
        </w:rPr>
        <w:t xml:space="preserve"> </w:t>
      </w:r>
    </w:p>
    <w:p w:rsidR="0096407D" w:rsidRPr="0001165D" w:rsidRDefault="0096407D" w:rsidP="0096407D">
      <w:pPr>
        <w:pStyle w:val="ActHead9"/>
      </w:pPr>
      <w:bookmarkStart w:id="19" w:name="_Toc485631190"/>
      <w:r w:rsidRPr="0001165D">
        <w:t>Foreign Acquisitions and Takeovers Regulation</w:t>
      </w:r>
      <w:r w:rsidR="0001165D" w:rsidRPr="0001165D">
        <w:t> </w:t>
      </w:r>
      <w:r w:rsidRPr="0001165D">
        <w:t>2015</w:t>
      </w:r>
      <w:bookmarkEnd w:id="19"/>
    </w:p>
    <w:p w:rsidR="0096407D" w:rsidRPr="0001165D" w:rsidRDefault="003115D3" w:rsidP="0096407D">
      <w:pPr>
        <w:pStyle w:val="ItemHead"/>
      </w:pPr>
      <w:r w:rsidRPr="0001165D">
        <w:t>1</w:t>
      </w:r>
      <w:r w:rsidR="0096407D" w:rsidRPr="0001165D">
        <w:t xml:space="preserve">  Subsection</w:t>
      </w:r>
      <w:r w:rsidR="0001165D" w:rsidRPr="0001165D">
        <w:t> </w:t>
      </w:r>
      <w:r w:rsidR="0096407D" w:rsidRPr="0001165D">
        <w:t>10(2)</w:t>
      </w:r>
    </w:p>
    <w:p w:rsidR="00C932B7" w:rsidRPr="0001165D" w:rsidRDefault="00474B51" w:rsidP="00C932B7">
      <w:pPr>
        <w:pStyle w:val="Item"/>
      </w:pPr>
      <w:r w:rsidRPr="0001165D">
        <w:t>Repeal the subsection, substitute:</w:t>
      </w:r>
    </w:p>
    <w:p w:rsidR="00474B51" w:rsidRPr="0001165D" w:rsidRDefault="00474B51" w:rsidP="00474B51">
      <w:pPr>
        <w:pStyle w:val="subsection"/>
      </w:pPr>
      <w:r w:rsidRPr="0001165D">
        <w:tab/>
        <w:t>(2)</w:t>
      </w:r>
      <w:r w:rsidRPr="0001165D">
        <w:tab/>
        <w:t xml:space="preserve">Despite </w:t>
      </w:r>
      <w:r w:rsidR="0001165D" w:rsidRPr="0001165D">
        <w:t>subsection (</w:t>
      </w:r>
      <w:r w:rsidRPr="0001165D">
        <w:t xml:space="preserve">1), if a foreign government investor carries on an Australian business, the foreign government investor does not </w:t>
      </w:r>
      <w:r w:rsidRPr="0001165D">
        <w:rPr>
          <w:b/>
          <w:i/>
        </w:rPr>
        <w:t>start an Australian business</w:t>
      </w:r>
      <w:r w:rsidRPr="0001165D">
        <w:t xml:space="preserve"> merely because the foreign government investor, alone or together with one or more persons, establishes a new entity:</w:t>
      </w:r>
    </w:p>
    <w:p w:rsidR="00474B51" w:rsidRPr="0001165D" w:rsidRDefault="00474B51" w:rsidP="00474B51">
      <w:pPr>
        <w:pStyle w:val="paragraph"/>
      </w:pPr>
      <w:r w:rsidRPr="0001165D">
        <w:tab/>
        <w:t>(a)</w:t>
      </w:r>
      <w:r w:rsidRPr="0001165D">
        <w:tab/>
        <w:t>that carries on the same Australian business; or</w:t>
      </w:r>
    </w:p>
    <w:p w:rsidR="00474B51" w:rsidRPr="0001165D" w:rsidRDefault="00474B51" w:rsidP="00474B51">
      <w:pPr>
        <w:pStyle w:val="paragraph"/>
      </w:pPr>
      <w:r w:rsidRPr="0001165D">
        <w:tab/>
        <w:t>(b)</w:t>
      </w:r>
      <w:r w:rsidRPr="0001165D">
        <w:tab/>
        <w:t>for the purposes of acquiring interests in assets of the same Australian business.</w:t>
      </w:r>
    </w:p>
    <w:p w:rsidR="0096407D" w:rsidRPr="0001165D" w:rsidRDefault="003115D3" w:rsidP="0096407D">
      <w:pPr>
        <w:pStyle w:val="ItemHead"/>
      </w:pPr>
      <w:r w:rsidRPr="0001165D">
        <w:t>2</w:t>
      </w:r>
      <w:r w:rsidR="0096407D" w:rsidRPr="0001165D">
        <w:t xml:space="preserve">  Paragraph 37(4)(e)</w:t>
      </w:r>
    </w:p>
    <w:p w:rsidR="0096407D" w:rsidRPr="0001165D" w:rsidRDefault="0096407D" w:rsidP="0096407D">
      <w:pPr>
        <w:pStyle w:val="Item"/>
      </w:pPr>
      <w:r w:rsidRPr="0001165D">
        <w:t>Repeal the paragraph.</w:t>
      </w:r>
    </w:p>
    <w:p w:rsidR="0096407D" w:rsidRPr="0001165D" w:rsidRDefault="003115D3" w:rsidP="0096407D">
      <w:pPr>
        <w:pStyle w:val="ItemHead"/>
      </w:pPr>
      <w:r w:rsidRPr="0001165D">
        <w:t>3</w:t>
      </w:r>
      <w:r w:rsidR="0096407D" w:rsidRPr="0001165D">
        <w:t xml:space="preserve">  Paragraph 52(3)(a)</w:t>
      </w:r>
    </w:p>
    <w:p w:rsidR="0096407D" w:rsidRPr="0001165D" w:rsidRDefault="0096407D" w:rsidP="0096407D">
      <w:pPr>
        <w:pStyle w:val="Item"/>
      </w:pPr>
      <w:r w:rsidRPr="0001165D">
        <w:t xml:space="preserve">After “that is vacant,”, insert “(except interests in land covered by </w:t>
      </w:r>
      <w:r w:rsidR="0001165D" w:rsidRPr="0001165D">
        <w:t>subsection (</w:t>
      </w:r>
      <w:r w:rsidRPr="0001165D">
        <w:t>3A)),”.</w:t>
      </w:r>
    </w:p>
    <w:p w:rsidR="0096407D" w:rsidRPr="0001165D" w:rsidRDefault="003115D3" w:rsidP="0096407D">
      <w:pPr>
        <w:pStyle w:val="ItemHead"/>
      </w:pPr>
      <w:r w:rsidRPr="0001165D">
        <w:t>4</w:t>
      </w:r>
      <w:r w:rsidR="0096407D" w:rsidRPr="0001165D">
        <w:t xml:space="preserve">  After subsection</w:t>
      </w:r>
      <w:r w:rsidR="0001165D" w:rsidRPr="0001165D">
        <w:t> </w:t>
      </w:r>
      <w:r w:rsidR="0096407D" w:rsidRPr="0001165D">
        <w:t>52(3)</w:t>
      </w:r>
    </w:p>
    <w:p w:rsidR="0096407D" w:rsidRPr="0001165D" w:rsidRDefault="0096407D" w:rsidP="0096407D">
      <w:pPr>
        <w:pStyle w:val="Item"/>
      </w:pPr>
      <w:r w:rsidRPr="0001165D">
        <w:t>Insert:</w:t>
      </w:r>
    </w:p>
    <w:p w:rsidR="0096407D" w:rsidRPr="0001165D" w:rsidRDefault="0096407D" w:rsidP="0096407D">
      <w:pPr>
        <w:pStyle w:val="subsection"/>
      </w:pPr>
      <w:r w:rsidRPr="0001165D">
        <w:tab/>
        <w:t>(3A)</w:t>
      </w:r>
      <w:r w:rsidRPr="0001165D">
        <w:tab/>
        <w:t>The following land is covered by this subsection:</w:t>
      </w:r>
    </w:p>
    <w:p w:rsidR="0096407D" w:rsidRPr="0001165D" w:rsidRDefault="0096407D" w:rsidP="0096407D">
      <w:pPr>
        <w:pStyle w:val="paragraph"/>
      </w:pPr>
      <w:r w:rsidRPr="0001165D">
        <w:tab/>
        <w:t>(a)</w:t>
      </w:r>
      <w:r w:rsidRPr="0001165D">
        <w:tab/>
        <w:t>residential land covered by paragraph</w:t>
      </w:r>
      <w:r w:rsidR="0001165D" w:rsidRPr="0001165D">
        <w:t> </w:t>
      </w:r>
      <w:r w:rsidRPr="0001165D">
        <w:t>38(5)(a);</w:t>
      </w:r>
    </w:p>
    <w:p w:rsidR="0096407D" w:rsidRPr="0001165D" w:rsidRDefault="0096407D" w:rsidP="0096407D">
      <w:pPr>
        <w:pStyle w:val="paragraph"/>
      </w:pPr>
      <w:r w:rsidRPr="0001165D">
        <w:tab/>
        <w:t>(b)</w:t>
      </w:r>
      <w:r w:rsidRPr="0001165D">
        <w:tab/>
        <w:t xml:space="preserve">residential land covered by </w:t>
      </w:r>
      <w:r w:rsidR="0001165D" w:rsidRPr="0001165D">
        <w:t>subsection (</w:t>
      </w:r>
      <w:r w:rsidRPr="0001165D">
        <w:t>2) of this section.</w:t>
      </w:r>
    </w:p>
    <w:p w:rsidR="0096407D" w:rsidRPr="0001165D" w:rsidRDefault="003115D3" w:rsidP="0096407D">
      <w:pPr>
        <w:pStyle w:val="ItemHead"/>
      </w:pPr>
      <w:r w:rsidRPr="0001165D">
        <w:t>5</w:t>
      </w:r>
      <w:r w:rsidR="0096407D" w:rsidRPr="0001165D">
        <w:t xml:space="preserve">  At the end of subparagraph</w:t>
      </w:r>
      <w:r w:rsidR="0001165D" w:rsidRPr="0001165D">
        <w:t> </w:t>
      </w:r>
      <w:r w:rsidR="0096407D" w:rsidRPr="0001165D">
        <w:t>52(6)(c)(i)</w:t>
      </w:r>
    </w:p>
    <w:p w:rsidR="0096407D" w:rsidRPr="0001165D" w:rsidRDefault="0096407D" w:rsidP="0096407D">
      <w:pPr>
        <w:pStyle w:val="Item"/>
      </w:pPr>
      <w:r w:rsidRPr="0001165D">
        <w:t xml:space="preserve">Add “, except land leased to bodies covered by </w:t>
      </w:r>
      <w:r w:rsidR="0001165D" w:rsidRPr="0001165D">
        <w:t>subsection (</w:t>
      </w:r>
      <w:r w:rsidRPr="0001165D">
        <w:t>6A)”.</w:t>
      </w:r>
    </w:p>
    <w:p w:rsidR="0096407D" w:rsidRPr="0001165D" w:rsidRDefault="003115D3" w:rsidP="0096407D">
      <w:pPr>
        <w:pStyle w:val="ItemHead"/>
      </w:pPr>
      <w:r w:rsidRPr="0001165D">
        <w:t>6</w:t>
      </w:r>
      <w:r w:rsidR="0096407D" w:rsidRPr="0001165D">
        <w:t xml:space="preserve">  Subparagraph 52(6)(c)(v)</w:t>
      </w:r>
    </w:p>
    <w:p w:rsidR="0096407D" w:rsidRPr="0001165D" w:rsidRDefault="0096407D" w:rsidP="0096407D">
      <w:pPr>
        <w:pStyle w:val="Item"/>
      </w:pPr>
      <w:r w:rsidRPr="0001165D">
        <w:t>Repeal the subparagraph.</w:t>
      </w:r>
    </w:p>
    <w:p w:rsidR="0096407D" w:rsidRPr="0001165D" w:rsidRDefault="003115D3" w:rsidP="0096407D">
      <w:pPr>
        <w:pStyle w:val="ItemHead"/>
      </w:pPr>
      <w:r w:rsidRPr="0001165D">
        <w:t>7</w:t>
      </w:r>
      <w:r w:rsidR="0096407D" w:rsidRPr="0001165D">
        <w:t xml:space="preserve">  After subsection</w:t>
      </w:r>
      <w:r w:rsidR="0001165D" w:rsidRPr="0001165D">
        <w:t> </w:t>
      </w:r>
      <w:r w:rsidR="0096407D" w:rsidRPr="0001165D">
        <w:t>52(6)</w:t>
      </w:r>
    </w:p>
    <w:p w:rsidR="0096407D" w:rsidRPr="0001165D" w:rsidRDefault="0096407D" w:rsidP="0096407D">
      <w:pPr>
        <w:pStyle w:val="Item"/>
      </w:pPr>
      <w:r w:rsidRPr="0001165D">
        <w:t>Insert:</w:t>
      </w:r>
    </w:p>
    <w:p w:rsidR="004302AA" w:rsidRPr="0001165D" w:rsidRDefault="0096407D" w:rsidP="004302AA">
      <w:pPr>
        <w:pStyle w:val="subsection"/>
      </w:pPr>
      <w:r w:rsidRPr="0001165D">
        <w:tab/>
      </w:r>
      <w:r w:rsidR="004302AA" w:rsidRPr="0001165D">
        <w:t>(6A)</w:t>
      </w:r>
      <w:r w:rsidR="004302AA" w:rsidRPr="0001165D">
        <w:tab/>
        <w:t xml:space="preserve">This subsection covers a </w:t>
      </w:r>
      <w:r w:rsidR="00550C2B" w:rsidRPr="0001165D">
        <w:t xml:space="preserve">corporate </w:t>
      </w:r>
      <w:r w:rsidR="004302AA" w:rsidRPr="0001165D">
        <w:t xml:space="preserve">Commonwealth </w:t>
      </w:r>
      <w:r w:rsidR="00550C2B" w:rsidRPr="0001165D">
        <w:t>entity</w:t>
      </w:r>
      <w:r w:rsidR="004302AA" w:rsidRPr="0001165D">
        <w:t xml:space="preserve"> (within the meaning of the </w:t>
      </w:r>
      <w:r w:rsidR="004302AA" w:rsidRPr="0001165D">
        <w:rPr>
          <w:i/>
        </w:rPr>
        <w:t>Public Governance, Performance and Accountability Act 2013</w:t>
      </w:r>
      <w:r w:rsidR="004302AA" w:rsidRPr="0001165D">
        <w:t>) other than the following bodies:</w:t>
      </w:r>
    </w:p>
    <w:p w:rsidR="004302AA" w:rsidRPr="0001165D" w:rsidRDefault="004302AA" w:rsidP="004302AA">
      <w:pPr>
        <w:pStyle w:val="paragraph"/>
      </w:pPr>
      <w:r w:rsidRPr="0001165D">
        <w:tab/>
        <w:t>(a)</w:t>
      </w:r>
      <w:r w:rsidRPr="0001165D">
        <w:tab/>
        <w:t>the Australian Nuclear Science and Technology Organisation;</w:t>
      </w:r>
    </w:p>
    <w:p w:rsidR="004302AA" w:rsidRPr="0001165D" w:rsidRDefault="004302AA" w:rsidP="004302AA">
      <w:pPr>
        <w:pStyle w:val="paragraph"/>
      </w:pPr>
      <w:r w:rsidRPr="0001165D">
        <w:tab/>
        <w:t>(b)</w:t>
      </w:r>
      <w:r w:rsidRPr="0001165D">
        <w:tab/>
        <w:t>Comcare (the body corporate established under section</w:t>
      </w:r>
      <w:r w:rsidR="0001165D" w:rsidRPr="0001165D">
        <w:t> </w:t>
      </w:r>
      <w:r w:rsidRPr="0001165D">
        <w:t xml:space="preserve">68 of the </w:t>
      </w:r>
      <w:r w:rsidRPr="0001165D">
        <w:rPr>
          <w:i/>
        </w:rPr>
        <w:t>Safety, Rehabilitation and Compensation Act 1988</w:t>
      </w:r>
      <w:r w:rsidRPr="0001165D">
        <w:t>);</w:t>
      </w:r>
    </w:p>
    <w:p w:rsidR="004302AA" w:rsidRPr="0001165D" w:rsidRDefault="004302AA" w:rsidP="004302AA">
      <w:pPr>
        <w:pStyle w:val="paragraph"/>
      </w:pPr>
      <w:r w:rsidRPr="0001165D">
        <w:tab/>
        <w:t>(c)</w:t>
      </w:r>
      <w:r w:rsidRPr="0001165D">
        <w:tab/>
      </w:r>
      <w:r w:rsidR="00474B51" w:rsidRPr="0001165D">
        <w:t xml:space="preserve">the CSC (short for Commonwealth Superannuation Corporation) within the meaning of the </w:t>
      </w:r>
      <w:r w:rsidR="00474B51" w:rsidRPr="0001165D">
        <w:rPr>
          <w:i/>
          <w:iCs/>
        </w:rPr>
        <w:t>Governance of Australian Government Superannuation Schemes Act 2011</w:t>
      </w:r>
      <w:r w:rsidR="00474B51" w:rsidRPr="0001165D">
        <w:t>;</w:t>
      </w:r>
    </w:p>
    <w:p w:rsidR="004302AA" w:rsidRPr="0001165D" w:rsidRDefault="004302AA" w:rsidP="004302AA">
      <w:pPr>
        <w:pStyle w:val="paragraph"/>
      </w:pPr>
      <w:r w:rsidRPr="0001165D">
        <w:tab/>
        <w:t>(d)</w:t>
      </w:r>
      <w:r w:rsidRPr="0001165D">
        <w:tab/>
        <w:t>the Commonwealth Scientific and Industrial Research Organisation;</w:t>
      </w:r>
    </w:p>
    <w:p w:rsidR="004302AA" w:rsidRPr="0001165D" w:rsidRDefault="004302AA" w:rsidP="004302AA">
      <w:pPr>
        <w:pStyle w:val="paragraph"/>
      </w:pPr>
      <w:r w:rsidRPr="0001165D">
        <w:tab/>
        <w:t>(e)</w:t>
      </w:r>
      <w:r w:rsidRPr="0001165D">
        <w:tab/>
        <w:t>the Reserve Bank of Australia.</w:t>
      </w:r>
    </w:p>
    <w:p w:rsidR="0096407D" w:rsidRPr="0001165D" w:rsidRDefault="003115D3" w:rsidP="0096407D">
      <w:pPr>
        <w:pStyle w:val="ItemHead"/>
      </w:pPr>
      <w:r w:rsidRPr="0001165D">
        <w:t>8</w:t>
      </w:r>
      <w:r w:rsidR="0096407D" w:rsidRPr="0001165D">
        <w:t xml:space="preserve">  Paragraph 56(4)(b)</w:t>
      </w:r>
    </w:p>
    <w:p w:rsidR="0096407D" w:rsidRPr="0001165D" w:rsidRDefault="0096407D" w:rsidP="0096407D">
      <w:pPr>
        <w:pStyle w:val="Item"/>
      </w:pPr>
      <w:r w:rsidRPr="0001165D">
        <w:t>Omit “1%”, substitute “5%”</w:t>
      </w:r>
      <w:r w:rsidR="005F37C8" w:rsidRPr="0001165D">
        <w:t>.</w:t>
      </w:r>
    </w:p>
    <w:p w:rsidR="0096407D" w:rsidRPr="0001165D" w:rsidRDefault="003115D3" w:rsidP="0096407D">
      <w:pPr>
        <w:pStyle w:val="ItemHead"/>
      </w:pPr>
      <w:r w:rsidRPr="0001165D">
        <w:t>9</w:t>
      </w:r>
      <w:r w:rsidR="0096407D" w:rsidRPr="0001165D">
        <w:t xml:space="preserve">  Paragraph 56(4)(c)</w:t>
      </w:r>
    </w:p>
    <w:p w:rsidR="0096407D" w:rsidRPr="0001165D" w:rsidRDefault="0096407D" w:rsidP="0096407D">
      <w:pPr>
        <w:pStyle w:val="Item"/>
      </w:pPr>
      <w:r w:rsidRPr="0001165D">
        <w:t>Omit “$10</w:t>
      </w:r>
      <w:r w:rsidR="0001165D" w:rsidRPr="0001165D">
        <w:t> </w:t>
      </w:r>
      <w:r w:rsidRPr="0001165D">
        <w:t>000</w:t>
      </w:r>
      <w:r w:rsidR="0001165D" w:rsidRPr="0001165D">
        <w:t> </w:t>
      </w:r>
      <w:r w:rsidRPr="0001165D">
        <w:t>000”, substitute “$55 million”.</w:t>
      </w:r>
    </w:p>
    <w:p w:rsidR="00B3763E" w:rsidRPr="0001165D" w:rsidRDefault="003115D3" w:rsidP="00B3763E">
      <w:pPr>
        <w:pStyle w:val="ItemHead"/>
      </w:pPr>
      <w:r w:rsidRPr="0001165D">
        <w:t>10</w:t>
      </w:r>
      <w:r w:rsidR="0096407D" w:rsidRPr="0001165D">
        <w:t xml:space="preserve">  </w:t>
      </w:r>
      <w:r w:rsidR="00B3763E" w:rsidRPr="0001165D">
        <w:t>At the end of section</w:t>
      </w:r>
      <w:r w:rsidR="0001165D" w:rsidRPr="0001165D">
        <w:t> </w:t>
      </w:r>
      <w:r w:rsidR="00B3763E" w:rsidRPr="0001165D">
        <w:t>56</w:t>
      </w:r>
    </w:p>
    <w:p w:rsidR="00B3763E" w:rsidRPr="0001165D" w:rsidRDefault="00B3763E" w:rsidP="00B3763E">
      <w:pPr>
        <w:pStyle w:val="Item"/>
      </w:pPr>
      <w:r w:rsidRPr="0001165D">
        <w:t>Add:</w:t>
      </w:r>
    </w:p>
    <w:p w:rsidR="00B3763E" w:rsidRPr="0001165D" w:rsidRDefault="00B3763E" w:rsidP="00B3763E">
      <w:pPr>
        <w:pStyle w:val="SubsectionHead"/>
      </w:pPr>
      <w:r w:rsidRPr="0001165D">
        <w:t>Exception—acquisition of initial interest by entity established by consortium</w:t>
      </w:r>
    </w:p>
    <w:p w:rsidR="00EC12F9" w:rsidRPr="0001165D" w:rsidRDefault="00B3763E" w:rsidP="00B3763E">
      <w:pPr>
        <w:pStyle w:val="subsection"/>
      </w:pPr>
      <w:r w:rsidRPr="0001165D">
        <w:tab/>
        <w:t>(5)</w:t>
      </w:r>
      <w:r w:rsidRPr="0001165D">
        <w:tab/>
      </w:r>
      <w:r w:rsidR="0001165D" w:rsidRPr="0001165D">
        <w:t>Paragraph (</w:t>
      </w:r>
      <w:r w:rsidRPr="0001165D">
        <w:t xml:space="preserve">1)(a) does not apply in relation to an acquisition of an initial direct interest in an Australian entity by a foreign government investor if the entity is established by one or more </w:t>
      </w:r>
      <w:r w:rsidR="00620687" w:rsidRPr="0001165D">
        <w:t>persons</w:t>
      </w:r>
      <w:r w:rsidR="00474B51" w:rsidRPr="0001165D">
        <w:t xml:space="preserve"> </w:t>
      </w:r>
      <w:r w:rsidRPr="0001165D">
        <w:t>for the purposes of the entity making a</w:t>
      </w:r>
      <w:r w:rsidR="00EC12F9" w:rsidRPr="0001165D">
        <w:t xml:space="preserve"> later</w:t>
      </w:r>
      <w:r w:rsidRPr="0001165D">
        <w:t xml:space="preserve"> acquisition</w:t>
      </w:r>
      <w:r w:rsidR="007439F3" w:rsidRPr="0001165D">
        <w:t xml:space="preserve"> that is a significant action and a notifiable action</w:t>
      </w:r>
      <w:r w:rsidRPr="0001165D">
        <w:t>.</w:t>
      </w:r>
    </w:p>
    <w:p w:rsidR="0096407D" w:rsidRPr="0001165D" w:rsidRDefault="0096407D" w:rsidP="00B3763E">
      <w:pPr>
        <w:pStyle w:val="ActHead6"/>
        <w:pageBreakBefore/>
      </w:pPr>
      <w:bookmarkStart w:id="20" w:name="_Toc485631191"/>
      <w:bookmarkStart w:id="21" w:name="opcCurrentFind"/>
      <w:r w:rsidRPr="0001165D">
        <w:rPr>
          <w:rStyle w:val="CharAmSchNo"/>
        </w:rPr>
        <w:t>Schedule</w:t>
      </w:r>
      <w:r w:rsidR="0001165D" w:rsidRPr="0001165D">
        <w:rPr>
          <w:rStyle w:val="CharAmSchNo"/>
        </w:rPr>
        <w:t> </w:t>
      </w:r>
      <w:r w:rsidRPr="0001165D">
        <w:rPr>
          <w:rStyle w:val="CharAmSchNo"/>
        </w:rPr>
        <w:t>4</w:t>
      </w:r>
      <w:r w:rsidRPr="0001165D">
        <w:t>—</w:t>
      </w:r>
      <w:r w:rsidRPr="0001165D">
        <w:rPr>
          <w:rStyle w:val="CharAmSchText"/>
        </w:rPr>
        <w:t>Application and transitional</w:t>
      </w:r>
      <w:bookmarkEnd w:id="20"/>
    </w:p>
    <w:bookmarkEnd w:id="21"/>
    <w:p w:rsidR="0096407D" w:rsidRPr="0001165D" w:rsidRDefault="0096407D" w:rsidP="0096407D">
      <w:pPr>
        <w:pStyle w:val="Header"/>
      </w:pPr>
      <w:r w:rsidRPr="0001165D">
        <w:rPr>
          <w:rStyle w:val="CharAmPartNo"/>
        </w:rPr>
        <w:t xml:space="preserve"> </w:t>
      </w:r>
      <w:r w:rsidRPr="0001165D">
        <w:rPr>
          <w:rStyle w:val="CharAmPartText"/>
        </w:rPr>
        <w:t xml:space="preserve"> </w:t>
      </w:r>
    </w:p>
    <w:p w:rsidR="0096407D" w:rsidRPr="0001165D" w:rsidRDefault="0096407D" w:rsidP="0096407D">
      <w:pPr>
        <w:pStyle w:val="ActHead9"/>
      </w:pPr>
      <w:bookmarkStart w:id="22" w:name="_Toc485631192"/>
      <w:r w:rsidRPr="0001165D">
        <w:t>Foreign Acquisitions and Takeovers Regulation</w:t>
      </w:r>
      <w:r w:rsidR="0001165D" w:rsidRPr="0001165D">
        <w:t> </w:t>
      </w:r>
      <w:r w:rsidRPr="0001165D">
        <w:t>2015</w:t>
      </w:r>
      <w:bookmarkEnd w:id="22"/>
    </w:p>
    <w:p w:rsidR="0096407D" w:rsidRPr="0001165D" w:rsidRDefault="0096407D" w:rsidP="0096407D">
      <w:pPr>
        <w:pStyle w:val="ItemHead"/>
      </w:pPr>
      <w:r w:rsidRPr="0001165D">
        <w:t>1  At the end of Part</w:t>
      </w:r>
      <w:r w:rsidR="0001165D" w:rsidRPr="0001165D">
        <w:t> </w:t>
      </w:r>
      <w:r w:rsidRPr="0001165D">
        <w:t>7</w:t>
      </w:r>
    </w:p>
    <w:p w:rsidR="0096407D" w:rsidRPr="0001165D" w:rsidRDefault="0096407D" w:rsidP="0096407D">
      <w:pPr>
        <w:pStyle w:val="Item"/>
      </w:pPr>
      <w:r w:rsidRPr="0001165D">
        <w:t>Add:</w:t>
      </w:r>
    </w:p>
    <w:p w:rsidR="0096407D" w:rsidRPr="0001165D" w:rsidRDefault="0096407D" w:rsidP="0096407D">
      <w:pPr>
        <w:pStyle w:val="ActHead5"/>
      </w:pPr>
      <w:bookmarkStart w:id="23" w:name="_Toc485631193"/>
      <w:r w:rsidRPr="0001165D">
        <w:rPr>
          <w:rStyle w:val="CharSectno"/>
        </w:rPr>
        <w:t>68</w:t>
      </w:r>
      <w:r w:rsidRPr="0001165D">
        <w:t xml:space="preserve">  Amendments made by the </w:t>
      </w:r>
      <w:r w:rsidRPr="0001165D">
        <w:rPr>
          <w:i/>
        </w:rPr>
        <w:t>Foreign Acquisitions and Takeovers Amendment (Exemptions and Other Measures) Regulations</w:t>
      </w:r>
      <w:r w:rsidR="0001165D" w:rsidRPr="0001165D">
        <w:rPr>
          <w:i/>
        </w:rPr>
        <w:t> </w:t>
      </w:r>
      <w:r w:rsidRPr="0001165D">
        <w:rPr>
          <w:i/>
        </w:rPr>
        <w:t>2017</w:t>
      </w:r>
      <w:bookmarkEnd w:id="23"/>
    </w:p>
    <w:p w:rsidR="004E0C9B" w:rsidRPr="0001165D" w:rsidRDefault="0096407D" w:rsidP="009126FC">
      <w:pPr>
        <w:pStyle w:val="subsection"/>
      </w:pPr>
      <w:r w:rsidRPr="0001165D">
        <w:tab/>
      </w:r>
      <w:r w:rsidRPr="0001165D">
        <w:tab/>
        <w:t xml:space="preserve">The amendments </w:t>
      </w:r>
      <w:r w:rsidR="00EC12F9" w:rsidRPr="0001165D">
        <w:t xml:space="preserve">of this instrument </w:t>
      </w:r>
      <w:r w:rsidRPr="0001165D">
        <w:t xml:space="preserve">made by the </w:t>
      </w:r>
      <w:r w:rsidRPr="0001165D">
        <w:rPr>
          <w:i/>
        </w:rPr>
        <w:t>Foreign Acquisitions and Takeovers Amendment (Exemptions and Other Measures) Regulations</w:t>
      </w:r>
      <w:r w:rsidR="0001165D" w:rsidRPr="0001165D">
        <w:rPr>
          <w:i/>
        </w:rPr>
        <w:t> </w:t>
      </w:r>
      <w:r w:rsidRPr="0001165D">
        <w:rPr>
          <w:i/>
        </w:rPr>
        <w:t>2017</w:t>
      </w:r>
      <w:r w:rsidRPr="0001165D">
        <w:t xml:space="preserve"> apply in relation to an action taken on or after the commencement of th</w:t>
      </w:r>
      <w:r w:rsidR="001259A7" w:rsidRPr="0001165D">
        <w:t>ose Regulations</w:t>
      </w:r>
      <w:r w:rsidRPr="0001165D">
        <w:t>.</w:t>
      </w:r>
    </w:p>
    <w:sectPr w:rsidR="004E0C9B" w:rsidRPr="0001165D" w:rsidSect="00CA490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04" w:rsidRDefault="00F66C04" w:rsidP="0048364F">
      <w:pPr>
        <w:spacing w:line="240" w:lineRule="auto"/>
      </w:pPr>
      <w:r>
        <w:separator/>
      </w:r>
    </w:p>
  </w:endnote>
  <w:endnote w:type="continuationSeparator" w:id="0">
    <w:p w:rsidR="00F66C04" w:rsidRDefault="00F66C0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CA490D" w:rsidRDefault="00CA490D" w:rsidP="00CA49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490D">
      <w:rPr>
        <w:i/>
        <w:sz w:val="18"/>
      </w:rPr>
      <w:t>OPC62679 -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Default="005669B5" w:rsidP="005669B5"/>
  <w:p w:rsidR="005669B5" w:rsidRPr="00CA490D" w:rsidRDefault="00CA490D" w:rsidP="00CA490D">
    <w:pPr>
      <w:rPr>
        <w:rFonts w:cs="Times New Roman"/>
        <w:i/>
        <w:sz w:val="18"/>
      </w:rPr>
    </w:pPr>
    <w:r w:rsidRPr="00CA490D">
      <w:rPr>
        <w:rFonts w:cs="Times New Roman"/>
        <w:i/>
        <w:sz w:val="18"/>
      </w:rPr>
      <w:t>OPC62679 -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CA490D" w:rsidRDefault="00CA490D" w:rsidP="00CA49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490D">
      <w:rPr>
        <w:i/>
        <w:sz w:val="18"/>
      </w:rPr>
      <w:t>OPC62679 -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E33C1C" w:rsidRDefault="005669B5" w:rsidP="005669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69B5" w:rsidTr="000116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7C14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690">
            <w:rPr>
              <w:i/>
              <w:sz w:val="18"/>
            </w:rPr>
            <w:t>Foreign Acquisitions and Takeovers Amendment (Exemptions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right"/>
            <w:rPr>
              <w:sz w:val="18"/>
            </w:rPr>
          </w:pPr>
        </w:p>
      </w:tc>
    </w:tr>
  </w:tbl>
  <w:p w:rsidR="005669B5" w:rsidRPr="00CA490D" w:rsidRDefault="00CA490D" w:rsidP="00CA490D">
    <w:pPr>
      <w:rPr>
        <w:rFonts w:cs="Times New Roman"/>
        <w:i/>
        <w:sz w:val="18"/>
      </w:rPr>
    </w:pPr>
    <w:r w:rsidRPr="00CA490D">
      <w:rPr>
        <w:rFonts w:cs="Times New Roman"/>
        <w:i/>
        <w:sz w:val="18"/>
      </w:rPr>
      <w:t>OPC62679 -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E33C1C" w:rsidRDefault="005669B5" w:rsidP="005669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669B5" w:rsidTr="0001165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690">
            <w:rPr>
              <w:i/>
              <w:sz w:val="18"/>
            </w:rPr>
            <w:t>Foreign Acquisitions and Takeovers Amendment (Exemptions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16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69B5" w:rsidRPr="00CA490D" w:rsidRDefault="00CA490D" w:rsidP="00CA490D">
    <w:pPr>
      <w:rPr>
        <w:rFonts w:cs="Times New Roman"/>
        <w:i/>
        <w:sz w:val="18"/>
      </w:rPr>
    </w:pPr>
    <w:r w:rsidRPr="00CA490D">
      <w:rPr>
        <w:rFonts w:cs="Times New Roman"/>
        <w:i/>
        <w:sz w:val="18"/>
      </w:rPr>
      <w:t>OPC62679 -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E33C1C" w:rsidRDefault="005669B5" w:rsidP="005669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69B5" w:rsidTr="0001165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165D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690">
            <w:rPr>
              <w:i/>
              <w:sz w:val="18"/>
            </w:rPr>
            <w:t>Foreign Acquisitions and Takeovers Amendment (Exemptions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right"/>
            <w:rPr>
              <w:sz w:val="18"/>
            </w:rPr>
          </w:pPr>
        </w:p>
      </w:tc>
    </w:tr>
  </w:tbl>
  <w:p w:rsidR="005669B5" w:rsidRPr="00CA490D" w:rsidRDefault="00CA490D" w:rsidP="00CA490D">
    <w:pPr>
      <w:rPr>
        <w:rFonts w:cs="Times New Roman"/>
        <w:i/>
        <w:sz w:val="18"/>
      </w:rPr>
    </w:pPr>
    <w:r w:rsidRPr="00CA490D">
      <w:rPr>
        <w:rFonts w:cs="Times New Roman"/>
        <w:i/>
        <w:sz w:val="18"/>
      </w:rPr>
      <w:t>OPC62679 -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E33C1C" w:rsidRDefault="005669B5" w:rsidP="005669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69B5" w:rsidTr="00C146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690">
            <w:rPr>
              <w:i/>
              <w:sz w:val="18"/>
            </w:rPr>
            <w:t>Foreign Acquisitions and Takeovers Amendment (Exemptions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916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69B5" w:rsidRPr="00CA490D" w:rsidRDefault="00CA490D" w:rsidP="00CA490D">
    <w:pPr>
      <w:rPr>
        <w:rFonts w:cs="Times New Roman"/>
        <w:i/>
        <w:sz w:val="18"/>
      </w:rPr>
    </w:pPr>
    <w:r w:rsidRPr="00CA490D">
      <w:rPr>
        <w:rFonts w:cs="Times New Roman"/>
        <w:i/>
        <w:sz w:val="18"/>
      </w:rPr>
      <w:t>OPC62679 -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E33C1C" w:rsidRDefault="005669B5" w:rsidP="005669B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69B5" w:rsidTr="00C146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7690">
            <w:rPr>
              <w:i/>
              <w:sz w:val="18"/>
            </w:rPr>
            <w:t>Foreign Acquisitions and Takeovers Amendment (Exemptions and Other Measures)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69B5" w:rsidRDefault="005669B5" w:rsidP="00C146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7C14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69B5" w:rsidRPr="00CA490D" w:rsidRDefault="00CA490D" w:rsidP="00CA490D">
    <w:pPr>
      <w:rPr>
        <w:rFonts w:cs="Times New Roman"/>
        <w:i/>
        <w:sz w:val="18"/>
      </w:rPr>
    </w:pPr>
    <w:r w:rsidRPr="00CA490D">
      <w:rPr>
        <w:rFonts w:cs="Times New Roman"/>
        <w:i/>
        <w:sz w:val="18"/>
      </w:rPr>
      <w:t>OPC62679 -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04" w:rsidRDefault="00F66C04" w:rsidP="0048364F">
      <w:pPr>
        <w:spacing w:line="240" w:lineRule="auto"/>
      </w:pPr>
      <w:r>
        <w:separator/>
      </w:r>
    </w:p>
  </w:footnote>
  <w:footnote w:type="continuationSeparator" w:id="0">
    <w:p w:rsidR="00F66C04" w:rsidRDefault="00F66C0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5F1388" w:rsidRDefault="005669B5" w:rsidP="005669B5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5F1388" w:rsidRDefault="005669B5" w:rsidP="005669B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5F1388" w:rsidRDefault="005669B5" w:rsidP="005669B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ED79B6" w:rsidRDefault="005669B5" w:rsidP="005669B5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ED79B6" w:rsidRDefault="005669B5" w:rsidP="005669B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ED79B6" w:rsidRDefault="005669B5" w:rsidP="005669B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A961C4" w:rsidRDefault="005669B5" w:rsidP="005669B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9165D">
      <w:rPr>
        <w:b/>
        <w:noProof/>
        <w:sz w:val="20"/>
      </w:rPr>
      <w:t>Schedule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9165D">
      <w:rPr>
        <w:noProof/>
        <w:sz w:val="20"/>
      </w:rPr>
      <w:t>Application and transitional</w:t>
    </w:r>
    <w:r>
      <w:rPr>
        <w:sz w:val="20"/>
      </w:rPr>
      <w:fldChar w:fldCharType="end"/>
    </w:r>
  </w:p>
  <w:p w:rsidR="005669B5" w:rsidRPr="00A961C4" w:rsidRDefault="005669B5" w:rsidP="005669B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669B5" w:rsidRPr="00A961C4" w:rsidRDefault="005669B5" w:rsidP="005669B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A961C4" w:rsidRDefault="005669B5" w:rsidP="005669B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669B5" w:rsidRPr="00A961C4" w:rsidRDefault="005669B5" w:rsidP="005669B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669B5" w:rsidRPr="00A961C4" w:rsidRDefault="005669B5" w:rsidP="005669B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B5" w:rsidRPr="00A961C4" w:rsidRDefault="005669B5" w:rsidP="005669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B22050"/>
    <w:multiLevelType w:val="hybridMultilevel"/>
    <w:tmpl w:val="04082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10E05"/>
    <w:multiLevelType w:val="hybridMultilevel"/>
    <w:tmpl w:val="B0564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90223"/>
    <w:multiLevelType w:val="hybridMultilevel"/>
    <w:tmpl w:val="32545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A00D8"/>
    <w:multiLevelType w:val="hybridMultilevel"/>
    <w:tmpl w:val="95B0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B42E7"/>
    <w:multiLevelType w:val="hybridMultilevel"/>
    <w:tmpl w:val="04FC9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418E1A3B"/>
    <w:multiLevelType w:val="hybridMultilevel"/>
    <w:tmpl w:val="DF182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3563C"/>
    <w:multiLevelType w:val="hybridMultilevel"/>
    <w:tmpl w:val="21645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5158B"/>
    <w:multiLevelType w:val="hybridMultilevel"/>
    <w:tmpl w:val="48EAC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72B6C"/>
    <w:multiLevelType w:val="hybridMultilevel"/>
    <w:tmpl w:val="3454E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7"/>
  </w:num>
  <w:num w:numId="14">
    <w:abstractNumId w:val="20"/>
  </w:num>
  <w:num w:numId="15">
    <w:abstractNumId w:val="15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48"/>
    <w:rsid w:val="000041C6"/>
    <w:rsid w:val="000063E4"/>
    <w:rsid w:val="00010F6E"/>
    <w:rsid w:val="00011222"/>
    <w:rsid w:val="000113BC"/>
    <w:rsid w:val="0001165D"/>
    <w:rsid w:val="000136AF"/>
    <w:rsid w:val="000204B9"/>
    <w:rsid w:val="00024D3B"/>
    <w:rsid w:val="00025060"/>
    <w:rsid w:val="0004044E"/>
    <w:rsid w:val="000447D7"/>
    <w:rsid w:val="00044D22"/>
    <w:rsid w:val="00046D00"/>
    <w:rsid w:val="000602BB"/>
    <w:rsid w:val="000614BF"/>
    <w:rsid w:val="00072C53"/>
    <w:rsid w:val="00077591"/>
    <w:rsid w:val="00083D59"/>
    <w:rsid w:val="0008602B"/>
    <w:rsid w:val="000B7FB4"/>
    <w:rsid w:val="000C4E79"/>
    <w:rsid w:val="000C63F0"/>
    <w:rsid w:val="000C75A0"/>
    <w:rsid w:val="000D05EF"/>
    <w:rsid w:val="000E19DE"/>
    <w:rsid w:val="000E74B2"/>
    <w:rsid w:val="000F21C1"/>
    <w:rsid w:val="000F6B02"/>
    <w:rsid w:val="000F7427"/>
    <w:rsid w:val="00100323"/>
    <w:rsid w:val="0010745C"/>
    <w:rsid w:val="00116975"/>
    <w:rsid w:val="00122FDA"/>
    <w:rsid w:val="001259A7"/>
    <w:rsid w:val="00126F1A"/>
    <w:rsid w:val="00133F8E"/>
    <w:rsid w:val="001372B7"/>
    <w:rsid w:val="00144912"/>
    <w:rsid w:val="00146A11"/>
    <w:rsid w:val="00146D65"/>
    <w:rsid w:val="00147210"/>
    <w:rsid w:val="00154EAC"/>
    <w:rsid w:val="001643C9"/>
    <w:rsid w:val="00165568"/>
    <w:rsid w:val="00166C2F"/>
    <w:rsid w:val="00167641"/>
    <w:rsid w:val="00171515"/>
    <w:rsid w:val="001716C9"/>
    <w:rsid w:val="00171EAE"/>
    <w:rsid w:val="00173A47"/>
    <w:rsid w:val="001814A6"/>
    <w:rsid w:val="001816F8"/>
    <w:rsid w:val="00187A5A"/>
    <w:rsid w:val="00191859"/>
    <w:rsid w:val="00193461"/>
    <w:rsid w:val="001939E1"/>
    <w:rsid w:val="00195382"/>
    <w:rsid w:val="0019683F"/>
    <w:rsid w:val="00196CD5"/>
    <w:rsid w:val="001A6DC7"/>
    <w:rsid w:val="001A7F8B"/>
    <w:rsid w:val="001B3097"/>
    <w:rsid w:val="001B7A5D"/>
    <w:rsid w:val="001C4EC1"/>
    <w:rsid w:val="001C69C4"/>
    <w:rsid w:val="001D4229"/>
    <w:rsid w:val="001D6FFD"/>
    <w:rsid w:val="001D7F83"/>
    <w:rsid w:val="001E04A3"/>
    <w:rsid w:val="001E1379"/>
    <w:rsid w:val="001E16D0"/>
    <w:rsid w:val="001E3590"/>
    <w:rsid w:val="001E562E"/>
    <w:rsid w:val="001E7407"/>
    <w:rsid w:val="001F6924"/>
    <w:rsid w:val="00201D27"/>
    <w:rsid w:val="00202FD7"/>
    <w:rsid w:val="00212EF0"/>
    <w:rsid w:val="00221EB3"/>
    <w:rsid w:val="00231427"/>
    <w:rsid w:val="00231DDC"/>
    <w:rsid w:val="0023766C"/>
    <w:rsid w:val="00240749"/>
    <w:rsid w:val="00240FE7"/>
    <w:rsid w:val="00262888"/>
    <w:rsid w:val="00265FBC"/>
    <w:rsid w:val="00266D05"/>
    <w:rsid w:val="00270427"/>
    <w:rsid w:val="00277F69"/>
    <w:rsid w:val="002805B2"/>
    <w:rsid w:val="00281009"/>
    <w:rsid w:val="0028291B"/>
    <w:rsid w:val="002932B1"/>
    <w:rsid w:val="00294C6D"/>
    <w:rsid w:val="00295408"/>
    <w:rsid w:val="00297ECB"/>
    <w:rsid w:val="002A0FFD"/>
    <w:rsid w:val="002A5F6B"/>
    <w:rsid w:val="002B2731"/>
    <w:rsid w:val="002B32E4"/>
    <w:rsid w:val="002B5B89"/>
    <w:rsid w:val="002B7071"/>
    <w:rsid w:val="002B7D96"/>
    <w:rsid w:val="002C7140"/>
    <w:rsid w:val="002D043A"/>
    <w:rsid w:val="002D761B"/>
    <w:rsid w:val="002F4F4D"/>
    <w:rsid w:val="002F577C"/>
    <w:rsid w:val="00304E75"/>
    <w:rsid w:val="00305D93"/>
    <w:rsid w:val="00305FB4"/>
    <w:rsid w:val="00306902"/>
    <w:rsid w:val="003072FA"/>
    <w:rsid w:val="00307561"/>
    <w:rsid w:val="003115D3"/>
    <w:rsid w:val="0031713F"/>
    <w:rsid w:val="00317970"/>
    <w:rsid w:val="00322A9B"/>
    <w:rsid w:val="0033787A"/>
    <w:rsid w:val="00340DBE"/>
    <w:rsid w:val="003415D3"/>
    <w:rsid w:val="00352B0F"/>
    <w:rsid w:val="00361BD9"/>
    <w:rsid w:val="00363549"/>
    <w:rsid w:val="003777B9"/>
    <w:rsid w:val="003801D0"/>
    <w:rsid w:val="00387D22"/>
    <w:rsid w:val="0039186D"/>
    <w:rsid w:val="0039206E"/>
    <w:rsid w:val="003921FC"/>
    <w:rsid w:val="0039228E"/>
    <w:rsid w:val="003926B5"/>
    <w:rsid w:val="003A395B"/>
    <w:rsid w:val="003A4322"/>
    <w:rsid w:val="003A59F7"/>
    <w:rsid w:val="003B04EC"/>
    <w:rsid w:val="003B3833"/>
    <w:rsid w:val="003C2E7E"/>
    <w:rsid w:val="003C5F2B"/>
    <w:rsid w:val="003D0BFE"/>
    <w:rsid w:val="003D2D67"/>
    <w:rsid w:val="003D5700"/>
    <w:rsid w:val="003E313E"/>
    <w:rsid w:val="003E5FF5"/>
    <w:rsid w:val="003F4CA9"/>
    <w:rsid w:val="003F567B"/>
    <w:rsid w:val="003F677C"/>
    <w:rsid w:val="004010E7"/>
    <w:rsid w:val="00401403"/>
    <w:rsid w:val="00405B90"/>
    <w:rsid w:val="0041087D"/>
    <w:rsid w:val="004116CD"/>
    <w:rsid w:val="00412B83"/>
    <w:rsid w:val="00413204"/>
    <w:rsid w:val="00424CA9"/>
    <w:rsid w:val="004302AA"/>
    <w:rsid w:val="00430871"/>
    <w:rsid w:val="00433910"/>
    <w:rsid w:val="004368C5"/>
    <w:rsid w:val="0044291A"/>
    <w:rsid w:val="00443EFE"/>
    <w:rsid w:val="004541B9"/>
    <w:rsid w:val="00460499"/>
    <w:rsid w:val="004630AE"/>
    <w:rsid w:val="004707F5"/>
    <w:rsid w:val="00474B51"/>
    <w:rsid w:val="00476523"/>
    <w:rsid w:val="00477641"/>
    <w:rsid w:val="00480FB9"/>
    <w:rsid w:val="00482726"/>
    <w:rsid w:val="0048364F"/>
    <w:rsid w:val="00483A82"/>
    <w:rsid w:val="00483B85"/>
    <w:rsid w:val="00486382"/>
    <w:rsid w:val="00486DE0"/>
    <w:rsid w:val="0049165D"/>
    <w:rsid w:val="00496F97"/>
    <w:rsid w:val="004A1828"/>
    <w:rsid w:val="004A2484"/>
    <w:rsid w:val="004B52F5"/>
    <w:rsid w:val="004C00DB"/>
    <w:rsid w:val="004C0255"/>
    <w:rsid w:val="004C5B5A"/>
    <w:rsid w:val="004C6444"/>
    <w:rsid w:val="004C6DE1"/>
    <w:rsid w:val="004D473C"/>
    <w:rsid w:val="004E0C9B"/>
    <w:rsid w:val="004E707F"/>
    <w:rsid w:val="004F1FAC"/>
    <w:rsid w:val="004F3A90"/>
    <w:rsid w:val="004F676E"/>
    <w:rsid w:val="00500F73"/>
    <w:rsid w:val="00503FD5"/>
    <w:rsid w:val="00510E69"/>
    <w:rsid w:val="005124A1"/>
    <w:rsid w:val="00516B8D"/>
    <w:rsid w:val="00520A1E"/>
    <w:rsid w:val="00520AFA"/>
    <w:rsid w:val="005268D5"/>
    <w:rsid w:val="00537FBC"/>
    <w:rsid w:val="00543469"/>
    <w:rsid w:val="00550C2B"/>
    <w:rsid w:val="00557C7A"/>
    <w:rsid w:val="00560E3F"/>
    <w:rsid w:val="005651E8"/>
    <w:rsid w:val="005669B5"/>
    <w:rsid w:val="00576891"/>
    <w:rsid w:val="00583F06"/>
    <w:rsid w:val="00584811"/>
    <w:rsid w:val="005851A5"/>
    <w:rsid w:val="00585C3D"/>
    <w:rsid w:val="0058646E"/>
    <w:rsid w:val="0058656B"/>
    <w:rsid w:val="00591E07"/>
    <w:rsid w:val="00593AA6"/>
    <w:rsid w:val="00594161"/>
    <w:rsid w:val="00594749"/>
    <w:rsid w:val="005972CE"/>
    <w:rsid w:val="005A058C"/>
    <w:rsid w:val="005A2368"/>
    <w:rsid w:val="005A2380"/>
    <w:rsid w:val="005A569E"/>
    <w:rsid w:val="005B4067"/>
    <w:rsid w:val="005C12DE"/>
    <w:rsid w:val="005C3F41"/>
    <w:rsid w:val="005E0385"/>
    <w:rsid w:val="005E19ED"/>
    <w:rsid w:val="005E2AA0"/>
    <w:rsid w:val="005E552A"/>
    <w:rsid w:val="005F37C8"/>
    <w:rsid w:val="005F4383"/>
    <w:rsid w:val="005F48F3"/>
    <w:rsid w:val="005F64A4"/>
    <w:rsid w:val="00600219"/>
    <w:rsid w:val="006107C7"/>
    <w:rsid w:val="00620687"/>
    <w:rsid w:val="006249E6"/>
    <w:rsid w:val="00630733"/>
    <w:rsid w:val="00631BCB"/>
    <w:rsid w:val="006334C2"/>
    <w:rsid w:val="0064468A"/>
    <w:rsid w:val="006452CF"/>
    <w:rsid w:val="00645F86"/>
    <w:rsid w:val="00646D5F"/>
    <w:rsid w:val="00653D27"/>
    <w:rsid w:val="00654CCA"/>
    <w:rsid w:val="0065507C"/>
    <w:rsid w:val="00656DE9"/>
    <w:rsid w:val="00663BDD"/>
    <w:rsid w:val="00664DEB"/>
    <w:rsid w:val="006656DF"/>
    <w:rsid w:val="00667591"/>
    <w:rsid w:val="00671188"/>
    <w:rsid w:val="00677CC2"/>
    <w:rsid w:val="00680F17"/>
    <w:rsid w:val="00685BBD"/>
    <w:rsid w:val="00685F42"/>
    <w:rsid w:val="00691C95"/>
    <w:rsid w:val="0069207B"/>
    <w:rsid w:val="006937E2"/>
    <w:rsid w:val="0069392E"/>
    <w:rsid w:val="006977FB"/>
    <w:rsid w:val="006A5064"/>
    <w:rsid w:val="006B262A"/>
    <w:rsid w:val="006C2C12"/>
    <w:rsid w:val="006C3FFF"/>
    <w:rsid w:val="006C7F8C"/>
    <w:rsid w:val="006D3667"/>
    <w:rsid w:val="006D4E91"/>
    <w:rsid w:val="006D619B"/>
    <w:rsid w:val="006E004B"/>
    <w:rsid w:val="006E0B95"/>
    <w:rsid w:val="006E23DC"/>
    <w:rsid w:val="006E3818"/>
    <w:rsid w:val="006E7147"/>
    <w:rsid w:val="006F03CC"/>
    <w:rsid w:val="006F121C"/>
    <w:rsid w:val="006F2324"/>
    <w:rsid w:val="00700B2C"/>
    <w:rsid w:val="00701E6A"/>
    <w:rsid w:val="00703802"/>
    <w:rsid w:val="0070665D"/>
    <w:rsid w:val="00706F69"/>
    <w:rsid w:val="00713084"/>
    <w:rsid w:val="00713B69"/>
    <w:rsid w:val="00722023"/>
    <w:rsid w:val="00731E00"/>
    <w:rsid w:val="00736E3D"/>
    <w:rsid w:val="007439F3"/>
    <w:rsid w:val="00743A82"/>
    <w:rsid w:val="007440B7"/>
    <w:rsid w:val="00760C9A"/>
    <w:rsid w:val="007634AD"/>
    <w:rsid w:val="00767924"/>
    <w:rsid w:val="007715C9"/>
    <w:rsid w:val="007723DA"/>
    <w:rsid w:val="00774EDD"/>
    <w:rsid w:val="007757EC"/>
    <w:rsid w:val="007769D4"/>
    <w:rsid w:val="00784A25"/>
    <w:rsid w:val="00785AFA"/>
    <w:rsid w:val="00785C26"/>
    <w:rsid w:val="007903AC"/>
    <w:rsid w:val="00790817"/>
    <w:rsid w:val="007A2343"/>
    <w:rsid w:val="007A3548"/>
    <w:rsid w:val="007A7F9F"/>
    <w:rsid w:val="007B4A75"/>
    <w:rsid w:val="007B71DC"/>
    <w:rsid w:val="007B735C"/>
    <w:rsid w:val="007C6D63"/>
    <w:rsid w:val="007D066B"/>
    <w:rsid w:val="007E3A24"/>
    <w:rsid w:val="007E7D4A"/>
    <w:rsid w:val="007F3149"/>
    <w:rsid w:val="007F3EE2"/>
    <w:rsid w:val="008007F6"/>
    <w:rsid w:val="0080313E"/>
    <w:rsid w:val="00806F25"/>
    <w:rsid w:val="00810E9A"/>
    <w:rsid w:val="00815982"/>
    <w:rsid w:val="00816A0E"/>
    <w:rsid w:val="008213A5"/>
    <w:rsid w:val="00826DA5"/>
    <w:rsid w:val="00830E2A"/>
    <w:rsid w:val="00833416"/>
    <w:rsid w:val="008424E9"/>
    <w:rsid w:val="00845F03"/>
    <w:rsid w:val="0084776F"/>
    <w:rsid w:val="00856A31"/>
    <w:rsid w:val="00857DA5"/>
    <w:rsid w:val="0086200C"/>
    <w:rsid w:val="00863B64"/>
    <w:rsid w:val="00870B86"/>
    <w:rsid w:val="00872A03"/>
    <w:rsid w:val="00872A45"/>
    <w:rsid w:val="00874B69"/>
    <w:rsid w:val="00874BE8"/>
    <w:rsid w:val="008754D0"/>
    <w:rsid w:val="00877D48"/>
    <w:rsid w:val="00880795"/>
    <w:rsid w:val="0088147B"/>
    <w:rsid w:val="008838DA"/>
    <w:rsid w:val="00887776"/>
    <w:rsid w:val="0089783B"/>
    <w:rsid w:val="008A688C"/>
    <w:rsid w:val="008B15F9"/>
    <w:rsid w:val="008C05F5"/>
    <w:rsid w:val="008C5067"/>
    <w:rsid w:val="008D0EE0"/>
    <w:rsid w:val="008D7C14"/>
    <w:rsid w:val="008E00F0"/>
    <w:rsid w:val="008E6F79"/>
    <w:rsid w:val="008F07E3"/>
    <w:rsid w:val="008F45B0"/>
    <w:rsid w:val="008F4F1C"/>
    <w:rsid w:val="0090660F"/>
    <w:rsid w:val="00907271"/>
    <w:rsid w:val="009072F3"/>
    <w:rsid w:val="00910967"/>
    <w:rsid w:val="009126FC"/>
    <w:rsid w:val="00917458"/>
    <w:rsid w:val="00925CF5"/>
    <w:rsid w:val="00926A5E"/>
    <w:rsid w:val="00932377"/>
    <w:rsid w:val="0093275F"/>
    <w:rsid w:val="00932A33"/>
    <w:rsid w:val="00935B29"/>
    <w:rsid w:val="00946A5E"/>
    <w:rsid w:val="00957C83"/>
    <w:rsid w:val="0096407D"/>
    <w:rsid w:val="009848EC"/>
    <w:rsid w:val="00993EB6"/>
    <w:rsid w:val="0099597E"/>
    <w:rsid w:val="009B3629"/>
    <w:rsid w:val="009C15B7"/>
    <w:rsid w:val="009C3120"/>
    <w:rsid w:val="009C49D8"/>
    <w:rsid w:val="009C7019"/>
    <w:rsid w:val="009D7011"/>
    <w:rsid w:val="009E3601"/>
    <w:rsid w:val="009F727E"/>
    <w:rsid w:val="00A1027A"/>
    <w:rsid w:val="00A16622"/>
    <w:rsid w:val="00A1735D"/>
    <w:rsid w:val="00A2057D"/>
    <w:rsid w:val="00A231E2"/>
    <w:rsid w:val="00A2550D"/>
    <w:rsid w:val="00A26DBE"/>
    <w:rsid w:val="00A272CF"/>
    <w:rsid w:val="00A30C3D"/>
    <w:rsid w:val="00A326A4"/>
    <w:rsid w:val="00A4169B"/>
    <w:rsid w:val="00A4361F"/>
    <w:rsid w:val="00A5094D"/>
    <w:rsid w:val="00A5197F"/>
    <w:rsid w:val="00A64912"/>
    <w:rsid w:val="00A70A74"/>
    <w:rsid w:val="00A71C4E"/>
    <w:rsid w:val="00A813F3"/>
    <w:rsid w:val="00A87AB9"/>
    <w:rsid w:val="00AA1A3C"/>
    <w:rsid w:val="00AB1ACD"/>
    <w:rsid w:val="00AB3315"/>
    <w:rsid w:val="00AB7B41"/>
    <w:rsid w:val="00AC03A3"/>
    <w:rsid w:val="00AC06B3"/>
    <w:rsid w:val="00AC4AC5"/>
    <w:rsid w:val="00AD3DFC"/>
    <w:rsid w:val="00AD5641"/>
    <w:rsid w:val="00AE0774"/>
    <w:rsid w:val="00AE364C"/>
    <w:rsid w:val="00AE50A2"/>
    <w:rsid w:val="00AE5EDC"/>
    <w:rsid w:val="00AF0336"/>
    <w:rsid w:val="00AF2F46"/>
    <w:rsid w:val="00AF6613"/>
    <w:rsid w:val="00B00902"/>
    <w:rsid w:val="00B032D8"/>
    <w:rsid w:val="00B05EEE"/>
    <w:rsid w:val="00B10CF3"/>
    <w:rsid w:val="00B24F8A"/>
    <w:rsid w:val="00B3320D"/>
    <w:rsid w:val="00B332B8"/>
    <w:rsid w:val="00B33B3C"/>
    <w:rsid w:val="00B344BA"/>
    <w:rsid w:val="00B3763E"/>
    <w:rsid w:val="00B44657"/>
    <w:rsid w:val="00B46348"/>
    <w:rsid w:val="00B51C68"/>
    <w:rsid w:val="00B611A4"/>
    <w:rsid w:val="00B61D2C"/>
    <w:rsid w:val="00B620EF"/>
    <w:rsid w:val="00B62FCA"/>
    <w:rsid w:val="00B63BDE"/>
    <w:rsid w:val="00B655DE"/>
    <w:rsid w:val="00B65F29"/>
    <w:rsid w:val="00B676B3"/>
    <w:rsid w:val="00B757AC"/>
    <w:rsid w:val="00B92CF8"/>
    <w:rsid w:val="00BA0033"/>
    <w:rsid w:val="00BA5026"/>
    <w:rsid w:val="00BB5E95"/>
    <w:rsid w:val="00BB6E79"/>
    <w:rsid w:val="00BB7D09"/>
    <w:rsid w:val="00BC40FD"/>
    <w:rsid w:val="00BC4F91"/>
    <w:rsid w:val="00BD59CA"/>
    <w:rsid w:val="00BD60E6"/>
    <w:rsid w:val="00BD6838"/>
    <w:rsid w:val="00BD7CF6"/>
    <w:rsid w:val="00BE1BA8"/>
    <w:rsid w:val="00BE253A"/>
    <w:rsid w:val="00BE719A"/>
    <w:rsid w:val="00BE720A"/>
    <w:rsid w:val="00BF22EE"/>
    <w:rsid w:val="00BF286F"/>
    <w:rsid w:val="00BF4533"/>
    <w:rsid w:val="00BF5378"/>
    <w:rsid w:val="00BF5576"/>
    <w:rsid w:val="00BF5AC2"/>
    <w:rsid w:val="00BF6F69"/>
    <w:rsid w:val="00C00571"/>
    <w:rsid w:val="00C01616"/>
    <w:rsid w:val="00C067E5"/>
    <w:rsid w:val="00C15528"/>
    <w:rsid w:val="00C164CA"/>
    <w:rsid w:val="00C20E3B"/>
    <w:rsid w:val="00C214AB"/>
    <w:rsid w:val="00C21B63"/>
    <w:rsid w:val="00C21D0B"/>
    <w:rsid w:val="00C25001"/>
    <w:rsid w:val="00C26C75"/>
    <w:rsid w:val="00C31C3B"/>
    <w:rsid w:val="00C32700"/>
    <w:rsid w:val="00C330E6"/>
    <w:rsid w:val="00C33CC9"/>
    <w:rsid w:val="00C34720"/>
    <w:rsid w:val="00C42BF8"/>
    <w:rsid w:val="00C44086"/>
    <w:rsid w:val="00C460AE"/>
    <w:rsid w:val="00C50043"/>
    <w:rsid w:val="00C60225"/>
    <w:rsid w:val="00C61048"/>
    <w:rsid w:val="00C61F93"/>
    <w:rsid w:val="00C63713"/>
    <w:rsid w:val="00C73F04"/>
    <w:rsid w:val="00C7573B"/>
    <w:rsid w:val="00C76CF3"/>
    <w:rsid w:val="00C77E30"/>
    <w:rsid w:val="00C814F5"/>
    <w:rsid w:val="00C931C7"/>
    <w:rsid w:val="00C932B7"/>
    <w:rsid w:val="00C959AF"/>
    <w:rsid w:val="00CA490D"/>
    <w:rsid w:val="00CB0180"/>
    <w:rsid w:val="00CB1CD7"/>
    <w:rsid w:val="00CB3470"/>
    <w:rsid w:val="00CC5E57"/>
    <w:rsid w:val="00CD0172"/>
    <w:rsid w:val="00CD0E5D"/>
    <w:rsid w:val="00CD1470"/>
    <w:rsid w:val="00CD2941"/>
    <w:rsid w:val="00CD606E"/>
    <w:rsid w:val="00CD7ECB"/>
    <w:rsid w:val="00CE1C20"/>
    <w:rsid w:val="00CE5341"/>
    <w:rsid w:val="00CE7693"/>
    <w:rsid w:val="00CF0BB2"/>
    <w:rsid w:val="00CF182B"/>
    <w:rsid w:val="00D00AAF"/>
    <w:rsid w:val="00D0104A"/>
    <w:rsid w:val="00D13441"/>
    <w:rsid w:val="00D1561E"/>
    <w:rsid w:val="00D17B17"/>
    <w:rsid w:val="00D202A3"/>
    <w:rsid w:val="00D22295"/>
    <w:rsid w:val="00D243A3"/>
    <w:rsid w:val="00D26CFE"/>
    <w:rsid w:val="00D333D9"/>
    <w:rsid w:val="00D33440"/>
    <w:rsid w:val="00D37FEC"/>
    <w:rsid w:val="00D40403"/>
    <w:rsid w:val="00D42321"/>
    <w:rsid w:val="00D52BF1"/>
    <w:rsid w:val="00D52EFE"/>
    <w:rsid w:val="00D62952"/>
    <w:rsid w:val="00D63EF6"/>
    <w:rsid w:val="00D70103"/>
    <w:rsid w:val="00D70DFB"/>
    <w:rsid w:val="00D714C9"/>
    <w:rsid w:val="00D74556"/>
    <w:rsid w:val="00D766DF"/>
    <w:rsid w:val="00D7676A"/>
    <w:rsid w:val="00D83D21"/>
    <w:rsid w:val="00D84B58"/>
    <w:rsid w:val="00D862E0"/>
    <w:rsid w:val="00D925D1"/>
    <w:rsid w:val="00D93095"/>
    <w:rsid w:val="00D97385"/>
    <w:rsid w:val="00DA5BF6"/>
    <w:rsid w:val="00DB28D9"/>
    <w:rsid w:val="00DB7583"/>
    <w:rsid w:val="00DC2317"/>
    <w:rsid w:val="00DC74F0"/>
    <w:rsid w:val="00DC765D"/>
    <w:rsid w:val="00DD4045"/>
    <w:rsid w:val="00DD4502"/>
    <w:rsid w:val="00DE51F7"/>
    <w:rsid w:val="00DE570E"/>
    <w:rsid w:val="00DF48E9"/>
    <w:rsid w:val="00E036A2"/>
    <w:rsid w:val="00E05704"/>
    <w:rsid w:val="00E05C38"/>
    <w:rsid w:val="00E05C46"/>
    <w:rsid w:val="00E12345"/>
    <w:rsid w:val="00E24091"/>
    <w:rsid w:val="00E30206"/>
    <w:rsid w:val="00E31E07"/>
    <w:rsid w:val="00E33C1C"/>
    <w:rsid w:val="00E35F15"/>
    <w:rsid w:val="00E443FC"/>
    <w:rsid w:val="00E45FE7"/>
    <w:rsid w:val="00E476B8"/>
    <w:rsid w:val="00E4787F"/>
    <w:rsid w:val="00E478EA"/>
    <w:rsid w:val="00E54292"/>
    <w:rsid w:val="00E55BCD"/>
    <w:rsid w:val="00E6407E"/>
    <w:rsid w:val="00E73EC4"/>
    <w:rsid w:val="00E74DC7"/>
    <w:rsid w:val="00E76FAB"/>
    <w:rsid w:val="00E77690"/>
    <w:rsid w:val="00E83E2E"/>
    <w:rsid w:val="00E84B32"/>
    <w:rsid w:val="00E87699"/>
    <w:rsid w:val="00E90566"/>
    <w:rsid w:val="00E90FF4"/>
    <w:rsid w:val="00EC0400"/>
    <w:rsid w:val="00EC12F9"/>
    <w:rsid w:val="00ED3116"/>
    <w:rsid w:val="00ED3A7D"/>
    <w:rsid w:val="00ED78F2"/>
    <w:rsid w:val="00EE3BDC"/>
    <w:rsid w:val="00EF12E0"/>
    <w:rsid w:val="00EF2E3A"/>
    <w:rsid w:val="00F01325"/>
    <w:rsid w:val="00F047E2"/>
    <w:rsid w:val="00F078DC"/>
    <w:rsid w:val="00F10EB9"/>
    <w:rsid w:val="00F13E86"/>
    <w:rsid w:val="00F17407"/>
    <w:rsid w:val="00F20571"/>
    <w:rsid w:val="00F24C35"/>
    <w:rsid w:val="00F4179E"/>
    <w:rsid w:val="00F54116"/>
    <w:rsid w:val="00F54E48"/>
    <w:rsid w:val="00F5638D"/>
    <w:rsid w:val="00F56759"/>
    <w:rsid w:val="00F6520D"/>
    <w:rsid w:val="00F66C04"/>
    <w:rsid w:val="00F6721F"/>
    <w:rsid w:val="00F677A9"/>
    <w:rsid w:val="00F77444"/>
    <w:rsid w:val="00F82E42"/>
    <w:rsid w:val="00F84CF5"/>
    <w:rsid w:val="00F87071"/>
    <w:rsid w:val="00FA420B"/>
    <w:rsid w:val="00FA568F"/>
    <w:rsid w:val="00FB02E9"/>
    <w:rsid w:val="00FB03B3"/>
    <w:rsid w:val="00FB192C"/>
    <w:rsid w:val="00FB3675"/>
    <w:rsid w:val="00FC2469"/>
    <w:rsid w:val="00FC31A0"/>
    <w:rsid w:val="00FD43D6"/>
    <w:rsid w:val="00FD7CFE"/>
    <w:rsid w:val="00FF2DC0"/>
    <w:rsid w:val="00FF3089"/>
    <w:rsid w:val="00FF3B04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16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6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6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6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6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6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6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6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165D"/>
  </w:style>
  <w:style w:type="paragraph" w:customStyle="1" w:styleId="OPCParaBase">
    <w:name w:val="OPCParaBase"/>
    <w:qFormat/>
    <w:rsid w:val="000116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16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16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16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16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16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16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16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16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16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16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165D"/>
  </w:style>
  <w:style w:type="paragraph" w:customStyle="1" w:styleId="Blocks">
    <w:name w:val="Blocks"/>
    <w:aliases w:val="bb"/>
    <w:basedOn w:val="OPCParaBase"/>
    <w:qFormat/>
    <w:rsid w:val="000116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16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16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165D"/>
    <w:rPr>
      <w:i/>
    </w:rPr>
  </w:style>
  <w:style w:type="paragraph" w:customStyle="1" w:styleId="BoxList">
    <w:name w:val="BoxList"/>
    <w:aliases w:val="bl"/>
    <w:basedOn w:val="BoxText"/>
    <w:qFormat/>
    <w:rsid w:val="000116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16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16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165D"/>
    <w:pPr>
      <w:ind w:left="1985" w:hanging="851"/>
    </w:pPr>
  </w:style>
  <w:style w:type="character" w:customStyle="1" w:styleId="CharAmPartNo">
    <w:name w:val="CharAmPartNo"/>
    <w:basedOn w:val="OPCCharBase"/>
    <w:qFormat/>
    <w:rsid w:val="0001165D"/>
  </w:style>
  <w:style w:type="character" w:customStyle="1" w:styleId="CharAmPartText">
    <w:name w:val="CharAmPartText"/>
    <w:basedOn w:val="OPCCharBase"/>
    <w:qFormat/>
    <w:rsid w:val="0001165D"/>
  </w:style>
  <w:style w:type="character" w:customStyle="1" w:styleId="CharAmSchNo">
    <w:name w:val="CharAmSchNo"/>
    <w:basedOn w:val="OPCCharBase"/>
    <w:qFormat/>
    <w:rsid w:val="0001165D"/>
  </w:style>
  <w:style w:type="character" w:customStyle="1" w:styleId="CharAmSchText">
    <w:name w:val="CharAmSchText"/>
    <w:basedOn w:val="OPCCharBase"/>
    <w:qFormat/>
    <w:rsid w:val="0001165D"/>
  </w:style>
  <w:style w:type="character" w:customStyle="1" w:styleId="CharBoldItalic">
    <w:name w:val="CharBoldItalic"/>
    <w:basedOn w:val="OPCCharBase"/>
    <w:uiPriority w:val="1"/>
    <w:qFormat/>
    <w:rsid w:val="000116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165D"/>
  </w:style>
  <w:style w:type="character" w:customStyle="1" w:styleId="CharChapText">
    <w:name w:val="CharChapText"/>
    <w:basedOn w:val="OPCCharBase"/>
    <w:uiPriority w:val="1"/>
    <w:qFormat/>
    <w:rsid w:val="0001165D"/>
  </w:style>
  <w:style w:type="character" w:customStyle="1" w:styleId="CharDivNo">
    <w:name w:val="CharDivNo"/>
    <w:basedOn w:val="OPCCharBase"/>
    <w:uiPriority w:val="1"/>
    <w:qFormat/>
    <w:rsid w:val="0001165D"/>
  </w:style>
  <w:style w:type="character" w:customStyle="1" w:styleId="CharDivText">
    <w:name w:val="CharDivText"/>
    <w:basedOn w:val="OPCCharBase"/>
    <w:uiPriority w:val="1"/>
    <w:qFormat/>
    <w:rsid w:val="0001165D"/>
  </w:style>
  <w:style w:type="character" w:customStyle="1" w:styleId="CharItalic">
    <w:name w:val="CharItalic"/>
    <w:basedOn w:val="OPCCharBase"/>
    <w:uiPriority w:val="1"/>
    <w:qFormat/>
    <w:rsid w:val="0001165D"/>
    <w:rPr>
      <w:i/>
    </w:rPr>
  </w:style>
  <w:style w:type="character" w:customStyle="1" w:styleId="CharPartNo">
    <w:name w:val="CharPartNo"/>
    <w:basedOn w:val="OPCCharBase"/>
    <w:uiPriority w:val="1"/>
    <w:qFormat/>
    <w:rsid w:val="0001165D"/>
  </w:style>
  <w:style w:type="character" w:customStyle="1" w:styleId="CharPartText">
    <w:name w:val="CharPartText"/>
    <w:basedOn w:val="OPCCharBase"/>
    <w:uiPriority w:val="1"/>
    <w:qFormat/>
    <w:rsid w:val="0001165D"/>
  </w:style>
  <w:style w:type="character" w:customStyle="1" w:styleId="CharSectno">
    <w:name w:val="CharSectno"/>
    <w:basedOn w:val="OPCCharBase"/>
    <w:qFormat/>
    <w:rsid w:val="0001165D"/>
  </w:style>
  <w:style w:type="character" w:customStyle="1" w:styleId="CharSubdNo">
    <w:name w:val="CharSubdNo"/>
    <w:basedOn w:val="OPCCharBase"/>
    <w:uiPriority w:val="1"/>
    <w:qFormat/>
    <w:rsid w:val="0001165D"/>
  </w:style>
  <w:style w:type="character" w:customStyle="1" w:styleId="CharSubdText">
    <w:name w:val="CharSubdText"/>
    <w:basedOn w:val="OPCCharBase"/>
    <w:uiPriority w:val="1"/>
    <w:qFormat/>
    <w:rsid w:val="0001165D"/>
  </w:style>
  <w:style w:type="paragraph" w:customStyle="1" w:styleId="CTA--">
    <w:name w:val="CTA --"/>
    <w:basedOn w:val="OPCParaBase"/>
    <w:next w:val="Normal"/>
    <w:rsid w:val="000116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16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16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16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16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16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16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16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16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16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16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16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16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16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16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16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16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16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16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16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16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16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16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16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16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16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16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16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16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16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16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16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16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16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16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116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16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16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16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16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16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16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16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16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16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16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16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16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16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16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16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16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16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16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16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165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165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165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165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165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165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165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165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165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16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16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16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16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16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16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16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16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165D"/>
    <w:rPr>
      <w:sz w:val="16"/>
    </w:rPr>
  </w:style>
  <w:style w:type="table" w:customStyle="1" w:styleId="CFlag">
    <w:name w:val="CFlag"/>
    <w:basedOn w:val="TableNormal"/>
    <w:uiPriority w:val="99"/>
    <w:rsid w:val="0001165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1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75A0"/>
    <w:rPr>
      <w:color w:val="0000FF"/>
      <w:u w:val="single"/>
    </w:rPr>
  </w:style>
  <w:style w:type="table" w:styleId="TableGrid">
    <w:name w:val="Table Grid"/>
    <w:basedOn w:val="TableNormal"/>
    <w:uiPriority w:val="59"/>
    <w:rsid w:val="0001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165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165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16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16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16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16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165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16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16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165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116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16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16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16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16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16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16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16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16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16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16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165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165D"/>
  </w:style>
  <w:style w:type="character" w:customStyle="1" w:styleId="CharSubPartNoCASA">
    <w:name w:val="CharSubPartNo(CASA)"/>
    <w:basedOn w:val="OPCCharBase"/>
    <w:uiPriority w:val="1"/>
    <w:rsid w:val="0001165D"/>
  </w:style>
  <w:style w:type="paragraph" w:customStyle="1" w:styleId="ENoteTTIndentHeadingSub">
    <w:name w:val="ENoteTTIndentHeadingSub"/>
    <w:aliases w:val="enTTHis"/>
    <w:basedOn w:val="OPCParaBase"/>
    <w:rsid w:val="000116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16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16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16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16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75A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16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165D"/>
    <w:rPr>
      <w:sz w:val="22"/>
    </w:rPr>
  </w:style>
  <w:style w:type="paragraph" w:customStyle="1" w:styleId="SOTextNote">
    <w:name w:val="SO TextNote"/>
    <w:aliases w:val="sont"/>
    <w:basedOn w:val="SOText"/>
    <w:qFormat/>
    <w:rsid w:val="000116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16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165D"/>
    <w:rPr>
      <w:sz w:val="22"/>
    </w:rPr>
  </w:style>
  <w:style w:type="paragraph" w:customStyle="1" w:styleId="FileName">
    <w:name w:val="FileName"/>
    <w:basedOn w:val="Normal"/>
    <w:rsid w:val="0001165D"/>
  </w:style>
  <w:style w:type="paragraph" w:customStyle="1" w:styleId="TableHeading">
    <w:name w:val="TableHeading"/>
    <w:aliases w:val="th"/>
    <w:basedOn w:val="OPCParaBase"/>
    <w:next w:val="Tabletext"/>
    <w:rsid w:val="000116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16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16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16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16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16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16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16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16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16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165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16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165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165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1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65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6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65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65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65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6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6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C231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DC2317"/>
    <w:rPr>
      <w:rFonts w:eastAsia="Times New Roman" w:cs="Times New Roman"/>
      <w:b/>
      <w:kern w:val="28"/>
      <w:sz w:val="24"/>
      <w:lang w:eastAsia="en-AU"/>
    </w:rPr>
  </w:style>
  <w:style w:type="paragraph" w:customStyle="1" w:styleId="ENotesText">
    <w:name w:val="ENotesText"/>
    <w:aliases w:val="Ent"/>
    <w:basedOn w:val="OPCParaBase"/>
    <w:next w:val="Normal"/>
    <w:rsid w:val="0001165D"/>
    <w:pPr>
      <w:spacing w:before="120"/>
    </w:pPr>
  </w:style>
  <w:style w:type="paragraph" w:customStyle="1" w:styleId="TableTextEndNotes">
    <w:name w:val="TableTextEndNotes"/>
    <w:aliases w:val="Tten"/>
    <w:basedOn w:val="Normal"/>
    <w:rsid w:val="0001165D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165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6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6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6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6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6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6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6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165D"/>
  </w:style>
  <w:style w:type="paragraph" w:customStyle="1" w:styleId="OPCParaBase">
    <w:name w:val="OPCParaBase"/>
    <w:qFormat/>
    <w:rsid w:val="0001165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165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16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16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16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16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165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165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16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16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165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165D"/>
  </w:style>
  <w:style w:type="paragraph" w:customStyle="1" w:styleId="Blocks">
    <w:name w:val="Blocks"/>
    <w:aliases w:val="bb"/>
    <w:basedOn w:val="OPCParaBase"/>
    <w:qFormat/>
    <w:rsid w:val="000116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16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16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165D"/>
    <w:rPr>
      <w:i/>
    </w:rPr>
  </w:style>
  <w:style w:type="paragraph" w:customStyle="1" w:styleId="BoxList">
    <w:name w:val="BoxList"/>
    <w:aliases w:val="bl"/>
    <w:basedOn w:val="BoxText"/>
    <w:qFormat/>
    <w:rsid w:val="000116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16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16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165D"/>
    <w:pPr>
      <w:ind w:left="1985" w:hanging="851"/>
    </w:pPr>
  </w:style>
  <w:style w:type="character" w:customStyle="1" w:styleId="CharAmPartNo">
    <w:name w:val="CharAmPartNo"/>
    <w:basedOn w:val="OPCCharBase"/>
    <w:qFormat/>
    <w:rsid w:val="0001165D"/>
  </w:style>
  <w:style w:type="character" w:customStyle="1" w:styleId="CharAmPartText">
    <w:name w:val="CharAmPartText"/>
    <w:basedOn w:val="OPCCharBase"/>
    <w:qFormat/>
    <w:rsid w:val="0001165D"/>
  </w:style>
  <w:style w:type="character" w:customStyle="1" w:styleId="CharAmSchNo">
    <w:name w:val="CharAmSchNo"/>
    <w:basedOn w:val="OPCCharBase"/>
    <w:qFormat/>
    <w:rsid w:val="0001165D"/>
  </w:style>
  <w:style w:type="character" w:customStyle="1" w:styleId="CharAmSchText">
    <w:name w:val="CharAmSchText"/>
    <w:basedOn w:val="OPCCharBase"/>
    <w:qFormat/>
    <w:rsid w:val="0001165D"/>
  </w:style>
  <w:style w:type="character" w:customStyle="1" w:styleId="CharBoldItalic">
    <w:name w:val="CharBoldItalic"/>
    <w:basedOn w:val="OPCCharBase"/>
    <w:uiPriority w:val="1"/>
    <w:qFormat/>
    <w:rsid w:val="000116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165D"/>
  </w:style>
  <w:style w:type="character" w:customStyle="1" w:styleId="CharChapText">
    <w:name w:val="CharChapText"/>
    <w:basedOn w:val="OPCCharBase"/>
    <w:uiPriority w:val="1"/>
    <w:qFormat/>
    <w:rsid w:val="0001165D"/>
  </w:style>
  <w:style w:type="character" w:customStyle="1" w:styleId="CharDivNo">
    <w:name w:val="CharDivNo"/>
    <w:basedOn w:val="OPCCharBase"/>
    <w:uiPriority w:val="1"/>
    <w:qFormat/>
    <w:rsid w:val="0001165D"/>
  </w:style>
  <w:style w:type="character" w:customStyle="1" w:styleId="CharDivText">
    <w:name w:val="CharDivText"/>
    <w:basedOn w:val="OPCCharBase"/>
    <w:uiPriority w:val="1"/>
    <w:qFormat/>
    <w:rsid w:val="0001165D"/>
  </w:style>
  <w:style w:type="character" w:customStyle="1" w:styleId="CharItalic">
    <w:name w:val="CharItalic"/>
    <w:basedOn w:val="OPCCharBase"/>
    <w:uiPriority w:val="1"/>
    <w:qFormat/>
    <w:rsid w:val="0001165D"/>
    <w:rPr>
      <w:i/>
    </w:rPr>
  </w:style>
  <w:style w:type="character" w:customStyle="1" w:styleId="CharPartNo">
    <w:name w:val="CharPartNo"/>
    <w:basedOn w:val="OPCCharBase"/>
    <w:uiPriority w:val="1"/>
    <w:qFormat/>
    <w:rsid w:val="0001165D"/>
  </w:style>
  <w:style w:type="character" w:customStyle="1" w:styleId="CharPartText">
    <w:name w:val="CharPartText"/>
    <w:basedOn w:val="OPCCharBase"/>
    <w:uiPriority w:val="1"/>
    <w:qFormat/>
    <w:rsid w:val="0001165D"/>
  </w:style>
  <w:style w:type="character" w:customStyle="1" w:styleId="CharSectno">
    <w:name w:val="CharSectno"/>
    <w:basedOn w:val="OPCCharBase"/>
    <w:qFormat/>
    <w:rsid w:val="0001165D"/>
  </w:style>
  <w:style w:type="character" w:customStyle="1" w:styleId="CharSubdNo">
    <w:name w:val="CharSubdNo"/>
    <w:basedOn w:val="OPCCharBase"/>
    <w:uiPriority w:val="1"/>
    <w:qFormat/>
    <w:rsid w:val="0001165D"/>
  </w:style>
  <w:style w:type="character" w:customStyle="1" w:styleId="CharSubdText">
    <w:name w:val="CharSubdText"/>
    <w:basedOn w:val="OPCCharBase"/>
    <w:uiPriority w:val="1"/>
    <w:qFormat/>
    <w:rsid w:val="0001165D"/>
  </w:style>
  <w:style w:type="paragraph" w:customStyle="1" w:styleId="CTA--">
    <w:name w:val="CTA --"/>
    <w:basedOn w:val="OPCParaBase"/>
    <w:next w:val="Normal"/>
    <w:rsid w:val="000116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16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16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16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16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16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16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16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16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16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16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16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16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165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165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165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16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16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16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16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165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165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165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165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165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165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16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16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16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16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16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16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165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165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16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1165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16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16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16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16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16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16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16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16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16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16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16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16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16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16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165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16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165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16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16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165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1165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165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165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165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165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165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165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165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16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16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16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16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165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165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165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165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165D"/>
    <w:rPr>
      <w:sz w:val="16"/>
    </w:rPr>
  </w:style>
  <w:style w:type="table" w:customStyle="1" w:styleId="CFlag">
    <w:name w:val="CFlag"/>
    <w:basedOn w:val="TableNormal"/>
    <w:uiPriority w:val="99"/>
    <w:rsid w:val="0001165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1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75A0"/>
    <w:rPr>
      <w:color w:val="0000FF"/>
      <w:u w:val="single"/>
    </w:rPr>
  </w:style>
  <w:style w:type="table" w:styleId="TableGrid">
    <w:name w:val="Table Grid"/>
    <w:basedOn w:val="TableNormal"/>
    <w:uiPriority w:val="59"/>
    <w:rsid w:val="0001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165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165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16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165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16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165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165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16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16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165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116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16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16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16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16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16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16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16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16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16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16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165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165D"/>
  </w:style>
  <w:style w:type="character" w:customStyle="1" w:styleId="CharSubPartNoCASA">
    <w:name w:val="CharSubPartNo(CASA)"/>
    <w:basedOn w:val="OPCCharBase"/>
    <w:uiPriority w:val="1"/>
    <w:rsid w:val="0001165D"/>
  </w:style>
  <w:style w:type="paragraph" w:customStyle="1" w:styleId="ENoteTTIndentHeadingSub">
    <w:name w:val="ENoteTTIndentHeadingSub"/>
    <w:aliases w:val="enTTHis"/>
    <w:basedOn w:val="OPCParaBase"/>
    <w:rsid w:val="000116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16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16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16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165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75A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16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165D"/>
    <w:rPr>
      <w:sz w:val="22"/>
    </w:rPr>
  </w:style>
  <w:style w:type="paragraph" w:customStyle="1" w:styleId="SOTextNote">
    <w:name w:val="SO TextNote"/>
    <w:aliases w:val="sont"/>
    <w:basedOn w:val="SOText"/>
    <w:qFormat/>
    <w:rsid w:val="000116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16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165D"/>
    <w:rPr>
      <w:sz w:val="22"/>
    </w:rPr>
  </w:style>
  <w:style w:type="paragraph" w:customStyle="1" w:styleId="FileName">
    <w:name w:val="FileName"/>
    <w:basedOn w:val="Normal"/>
    <w:rsid w:val="0001165D"/>
  </w:style>
  <w:style w:type="paragraph" w:customStyle="1" w:styleId="TableHeading">
    <w:name w:val="TableHeading"/>
    <w:aliases w:val="th"/>
    <w:basedOn w:val="OPCParaBase"/>
    <w:next w:val="Tabletext"/>
    <w:rsid w:val="0001165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16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165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16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165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16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165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16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165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16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165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165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165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165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1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65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6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65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65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65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6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6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DC231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DC2317"/>
    <w:rPr>
      <w:rFonts w:eastAsia="Times New Roman" w:cs="Times New Roman"/>
      <w:b/>
      <w:kern w:val="28"/>
      <w:sz w:val="24"/>
      <w:lang w:eastAsia="en-AU"/>
    </w:rPr>
  </w:style>
  <w:style w:type="paragraph" w:customStyle="1" w:styleId="ENotesText">
    <w:name w:val="ENotesText"/>
    <w:aliases w:val="Ent"/>
    <w:basedOn w:val="OPCParaBase"/>
    <w:next w:val="Normal"/>
    <w:rsid w:val="0001165D"/>
    <w:pPr>
      <w:spacing w:before="120"/>
    </w:pPr>
  </w:style>
  <w:style w:type="paragraph" w:customStyle="1" w:styleId="TableTextEndNotes">
    <w:name w:val="TableTextEndNotes"/>
    <w:aliases w:val="Tten"/>
    <w:basedOn w:val="Normal"/>
    <w:rsid w:val="0001165D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6CE2-2B9F-4482-8429-AD2B5822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16</Pages>
  <Words>2952</Words>
  <Characters>16827</Characters>
  <Application>Microsoft Office Word</Application>
  <DocSecurity>4</DocSecurity>
  <PresentationFormat/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2017-06-18T23:34:00Z</cp:lastPrinted>
  <dcterms:created xsi:type="dcterms:W3CDTF">2017-06-29T03:24:00Z</dcterms:created>
  <dcterms:modified xsi:type="dcterms:W3CDTF">2017-06-29T03:24:00Z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Foreign Acquisitions and Takeovers Amendment (Exemptions and Other Measures) Regulations 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June 2017</vt:lpwstr>
  </property>
  <property fmtid="{D5CDD505-2E9C-101B-9397-08002B2CF9AE}" pid="10" name="Authority">
    <vt:lpwstr/>
  </property>
  <property fmtid="{D5CDD505-2E9C-101B-9397-08002B2CF9AE}" pid="11" name="ID">
    <vt:lpwstr>OPC62679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 Foreign Acquisitions and Takeovers ACt 1975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27 June 2017</vt:lpwstr>
  </property>
</Properties>
</file>