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948" w:rsidRDefault="00BE2948" w:rsidP="00D82537">
      <w:pPr>
        <w:spacing w:before="240" w:after="240"/>
        <w:jc w:val="center"/>
        <w:rPr>
          <w:rFonts w:ascii="Times New Roman" w:hAnsi="Times New Roman" w:cs="Times New Roman"/>
          <w:b/>
          <w:sz w:val="24"/>
          <w:szCs w:val="24"/>
          <w:u w:val="single"/>
        </w:rPr>
      </w:pPr>
      <w:r>
        <w:rPr>
          <w:rFonts w:ascii="Times New Roman" w:hAnsi="Times New Roman" w:cs="Times New Roman"/>
          <w:b/>
          <w:sz w:val="24"/>
          <w:szCs w:val="24"/>
          <w:u w:val="single"/>
        </w:rPr>
        <w:t>EXPLANATORY STATEMENT</w:t>
      </w:r>
    </w:p>
    <w:p w:rsidR="00BE2948" w:rsidRPr="00F62760" w:rsidRDefault="00BE2948" w:rsidP="00D82537">
      <w:pPr>
        <w:pStyle w:val="Heading2"/>
        <w:spacing w:before="240" w:after="240"/>
        <w:jc w:val="center"/>
        <w:rPr>
          <w:rFonts w:ascii="Times New Roman" w:hAnsi="Times New Roman" w:cs="Times New Roman"/>
          <w:sz w:val="24"/>
          <w:szCs w:val="24"/>
          <w:u w:val="single"/>
        </w:rPr>
      </w:pPr>
      <w:r w:rsidRPr="00F62760">
        <w:rPr>
          <w:rFonts w:ascii="Times New Roman" w:hAnsi="Times New Roman" w:cs="Times New Roman"/>
          <w:color w:val="auto"/>
          <w:sz w:val="24"/>
          <w:szCs w:val="24"/>
          <w:u w:val="single"/>
        </w:rPr>
        <w:t xml:space="preserve">Issued by the authority of the Minister for Immigration and Border Protection </w:t>
      </w:r>
    </w:p>
    <w:p w:rsidR="00BE2948" w:rsidRPr="00F62760" w:rsidRDefault="00BE2948" w:rsidP="00D82537">
      <w:pPr>
        <w:pStyle w:val="Heading2"/>
        <w:spacing w:before="240" w:after="240"/>
        <w:jc w:val="center"/>
        <w:rPr>
          <w:rFonts w:ascii="Times New Roman" w:hAnsi="Times New Roman" w:cs="Times New Roman"/>
          <w:color w:val="auto"/>
          <w:sz w:val="24"/>
          <w:szCs w:val="24"/>
        </w:rPr>
      </w:pPr>
      <w:r w:rsidRPr="00F62760">
        <w:rPr>
          <w:rFonts w:ascii="Times New Roman" w:hAnsi="Times New Roman" w:cs="Times New Roman"/>
          <w:i/>
          <w:color w:val="auto"/>
          <w:sz w:val="24"/>
          <w:szCs w:val="24"/>
        </w:rPr>
        <w:t>Customs Act 1901</w:t>
      </w:r>
    </w:p>
    <w:p w:rsidR="00BE2948" w:rsidRPr="00F62760" w:rsidRDefault="00BE2948" w:rsidP="00F62760">
      <w:pPr>
        <w:pStyle w:val="Heading2"/>
        <w:spacing w:before="240" w:after="240"/>
        <w:jc w:val="center"/>
        <w:rPr>
          <w:rFonts w:ascii="Times New Roman" w:hAnsi="Times New Roman" w:cs="Times New Roman"/>
          <w:i/>
          <w:color w:val="auto"/>
          <w:sz w:val="24"/>
          <w:szCs w:val="24"/>
        </w:rPr>
      </w:pPr>
      <w:r w:rsidRPr="00F62760">
        <w:rPr>
          <w:rFonts w:ascii="Times New Roman" w:hAnsi="Times New Roman" w:cs="Times New Roman"/>
          <w:i/>
          <w:color w:val="auto"/>
          <w:sz w:val="24"/>
          <w:szCs w:val="24"/>
        </w:rPr>
        <w:t>Customs (Prohibited Exports) Amendment (Liquefied Natural Gas) Regulation</w:t>
      </w:r>
      <w:r w:rsidR="00B63DB7" w:rsidRPr="00F62760">
        <w:rPr>
          <w:rFonts w:ascii="Times New Roman" w:hAnsi="Times New Roman" w:cs="Times New Roman"/>
          <w:i/>
          <w:color w:val="auto"/>
          <w:sz w:val="24"/>
          <w:szCs w:val="24"/>
        </w:rPr>
        <w:t>s</w:t>
      </w:r>
      <w:r w:rsidRPr="00F62760">
        <w:rPr>
          <w:rFonts w:ascii="Times New Roman" w:hAnsi="Times New Roman" w:cs="Times New Roman"/>
          <w:i/>
          <w:color w:val="auto"/>
          <w:sz w:val="24"/>
          <w:szCs w:val="24"/>
        </w:rPr>
        <w:t xml:space="preserve"> 2017</w:t>
      </w:r>
    </w:p>
    <w:p w:rsidR="00F561EB" w:rsidRDefault="00F561EB" w:rsidP="00F561EB">
      <w:pPr>
        <w:spacing w:before="240" w:after="240"/>
        <w:rPr>
          <w:rFonts w:ascii="Times New Roman" w:hAnsi="Times New Roman" w:cs="Times New Roman"/>
          <w:b/>
          <w:sz w:val="24"/>
          <w:szCs w:val="24"/>
          <w:u w:val="single"/>
        </w:rPr>
      </w:pPr>
      <w:r w:rsidRPr="000D0E22">
        <w:rPr>
          <w:rFonts w:ascii="Times New Roman" w:hAnsi="Times New Roman" w:cs="Times New Roman"/>
          <w:b/>
          <w:sz w:val="24"/>
          <w:szCs w:val="24"/>
          <w:u w:val="single"/>
        </w:rPr>
        <w:t>Purpose and Operation</w:t>
      </w:r>
    </w:p>
    <w:p w:rsidR="00F561EB" w:rsidRDefault="00F561EB" w:rsidP="00F561EB">
      <w:pPr>
        <w:rPr>
          <w:rFonts w:ascii="Times New Roman" w:hAnsi="Times New Roman" w:cs="Times New Roman"/>
          <w:sz w:val="24"/>
          <w:szCs w:val="24"/>
        </w:rPr>
      </w:pPr>
      <w:r w:rsidRPr="00087B67">
        <w:rPr>
          <w:rFonts w:ascii="Times New Roman" w:hAnsi="Times New Roman" w:cs="Times New Roman"/>
          <w:sz w:val="24"/>
          <w:szCs w:val="24"/>
        </w:rPr>
        <w:t xml:space="preserve">The </w:t>
      </w:r>
      <w:r w:rsidRPr="00323950">
        <w:rPr>
          <w:rFonts w:ascii="Times New Roman" w:hAnsi="Times New Roman" w:cs="Times New Roman"/>
          <w:i/>
          <w:sz w:val="24"/>
          <w:szCs w:val="24"/>
        </w:rPr>
        <w:t>Customs (Prohibited Exports) Amendment (Liquefied Natural Gas) Regulations 2017</w:t>
      </w:r>
      <w:r w:rsidRPr="00087B67">
        <w:rPr>
          <w:rFonts w:ascii="Times New Roman" w:hAnsi="Times New Roman" w:cs="Times New Roman"/>
          <w:sz w:val="24"/>
          <w:szCs w:val="24"/>
        </w:rPr>
        <w:t xml:space="preserve"> </w:t>
      </w:r>
      <w:r>
        <w:rPr>
          <w:rFonts w:ascii="Times New Roman" w:hAnsi="Times New Roman" w:cs="Times New Roman"/>
          <w:sz w:val="24"/>
          <w:szCs w:val="24"/>
        </w:rPr>
        <w:t xml:space="preserve">(the Amendment Regulations) </w:t>
      </w:r>
      <w:r w:rsidR="004306B0">
        <w:rPr>
          <w:rFonts w:ascii="Times New Roman" w:hAnsi="Times New Roman" w:cs="Times New Roman"/>
          <w:sz w:val="24"/>
          <w:szCs w:val="24"/>
        </w:rPr>
        <w:t xml:space="preserve">would amend </w:t>
      </w:r>
      <w:r w:rsidRPr="00087B67">
        <w:rPr>
          <w:rFonts w:ascii="Times New Roman" w:hAnsi="Times New Roman" w:cs="Times New Roman"/>
          <w:sz w:val="24"/>
          <w:szCs w:val="24"/>
        </w:rPr>
        <w:t xml:space="preserve">the </w:t>
      </w:r>
      <w:bookmarkStart w:id="0" w:name="_Toc484005656"/>
      <w:r w:rsidRPr="003C34B6">
        <w:rPr>
          <w:rFonts w:ascii="Times New Roman" w:hAnsi="Times New Roman" w:cs="Times New Roman"/>
          <w:i/>
          <w:sz w:val="24"/>
          <w:szCs w:val="24"/>
        </w:rPr>
        <w:t>Customs (Prohibited Exports) Regulations 1958</w:t>
      </w:r>
      <w:bookmarkEnd w:id="0"/>
      <w:r>
        <w:rPr>
          <w:rFonts w:ascii="Times New Roman" w:hAnsi="Times New Roman" w:cs="Times New Roman"/>
          <w:i/>
          <w:sz w:val="24"/>
          <w:szCs w:val="24"/>
        </w:rPr>
        <w:t xml:space="preserve"> </w:t>
      </w:r>
      <w:r>
        <w:rPr>
          <w:rFonts w:ascii="Times New Roman" w:hAnsi="Times New Roman" w:cs="Times New Roman"/>
          <w:sz w:val="24"/>
          <w:szCs w:val="24"/>
        </w:rPr>
        <w:t xml:space="preserve">(the </w:t>
      </w:r>
      <w:r w:rsidR="004306B0">
        <w:rPr>
          <w:rFonts w:ascii="Times New Roman" w:hAnsi="Times New Roman" w:cs="Times New Roman"/>
          <w:sz w:val="24"/>
          <w:szCs w:val="24"/>
        </w:rPr>
        <w:t xml:space="preserve">Principal </w:t>
      </w:r>
      <w:r>
        <w:rPr>
          <w:rFonts w:ascii="Times New Roman" w:hAnsi="Times New Roman" w:cs="Times New Roman"/>
          <w:sz w:val="24"/>
          <w:szCs w:val="24"/>
        </w:rPr>
        <w:t>Regulations)</w:t>
      </w:r>
      <w:r w:rsidR="004306B0">
        <w:rPr>
          <w:rFonts w:ascii="Times New Roman" w:hAnsi="Times New Roman" w:cs="Times New Roman"/>
          <w:sz w:val="24"/>
          <w:szCs w:val="24"/>
        </w:rPr>
        <w:t xml:space="preserve"> to </w:t>
      </w:r>
      <w:r w:rsidR="004306B0" w:rsidRPr="00087B67">
        <w:rPr>
          <w:rFonts w:ascii="Times New Roman" w:hAnsi="Times New Roman" w:cs="Times New Roman"/>
          <w:sz w:val="24"/>
          <w:szCs w:val="24"/>
        </w:rPr>
        <w:t>insert a new Division 6</w:t>
      </w:r>
      <w:r w:rsidRPr="007334CB">
        <w:rPr>
          <w:rFonts w:ascii="Times New Roman" w:hAnsi="Times New Roman" w:cs="Times New Roman"/>
          <w:sz w:val="24"/>
          <w:szCs w:val="24"/>
        </w:rPr>
        <w:t xml:space="preserve">. </w:t>
      </w:r>
      <w:r w:rsidR="004306B0">
        <w:rPr>
          <w:rFonts w:ascii="Times New Roman" w:hAnsi="Times New Roman" w:cs="Times New Roman"/>
          <w:sz w:val="24"/>
          <w:szCs w:val="24"/>
        </w:rPr>
        <w:t xml:space="preserve">This new Division </w:t>
      </w:r>
      <w:r>
        <w:rPr>
          <w:rFonts w:ascii="Times New Roman" w:hAnsi="Times New Roman" w:cs="Times New Roman"/>
          <w:sz w:val="24"/>
          <w:szCs w:val="24"/>
        </w:rPr>
        <w:t>establishes a framework for restrictions on the export</w:t>
      </w:r>
      <w:r w:rsidRPr="00087B67">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087B67">
        <w:rPr>
          <w:rFonts w:ascii="Times New Roman" w:hAnsi="Times New Roman" w:cs="Times New Roman"/>
          <w:sz w:val="24"/>
          <w:szCs w:val="24"/>
        </w:rPr>
        <w:t>liquefied natural gas</w:t>
      </w:r>
      <w:r>
        <w:rPr>
          <w:rFonts w:ascii="Times New Roman" w:hAnsi="Times New Roman" w:cs="Times New Roman"/>
          <w:sz w:val="24"/>
          <w:szCs w:val="24"/>
        </w:rPr>
        <w:t xml:space="preserve"> (LNG</w:t>
      </w:r>
      <w:r w:rsidRPr="00087B67">
        <w:rPr>
          <w:rFonts w:ascii="Times New Roman" w:hAnsi="Times New Roman" w:cs="Times New Roman"/>
          <w:sz w:val="24"/>
          <w:szCs w:val="24"/>
        </w:rPr>
        <w:t>)</w:t>
      </w:r>
      <w:r>
        <w:rPr>
          <w:rFonts w:ascii="Times New Roman" w:hAnsi="Times New Roman" w:cs="Times New Roman"/>
          <w:sz w:val="24"/>
          <w:szCs w:val="24"/>
        </w:rPr>
        <w:t xml:space="preserve"> from LNG projects to </w:t>
      </w:r>
      <w:proofErr w:type="gramStart"/>
      <w:r>
        <w:rPr>
          <w:rFonts w:ascii="Times New Roman" w:hAnsi="Times New Roman" w:cs="Times New Roman"/>
          <w:sz w:val="24"/>
          <w:szCs w:val="24"/>
        </w:rPr>
        <w:t>be imposed</w:t>
      </w:r>
      <w:proofErr w:type="gramEnd"/>
      <w:r>
        <w:rPr>
          <w:rFonts w:ascii="Times New Roman" w:hAnsi="Times New Roman" w:cs="Times New Roman"/>
          <w:sz w:val="24"/>
          <w:szCs w:val="24"/>
        </w:rPr>
        <w:t xml:space="preserve"> where the Resources Minister determines there is a reasonable prospect of a supply shortage in the domestic market. </w:t>
      </w:r>
    </w:p>
    <w:p w:rsidR="00F561EB" w:rsidRDefault="00F561EB" w:rsidP="00F561EB">
      <w:pPr>
        <w:rPr>
          <w:rFonts w:ascii="Times New Roman" w:hAnsi="Times New Roman" w:cs="Times New Roman"/>
          <w:sz w:val="24"/>
          <w:szCs w:val="24"/>
        </w:rPr>
      </w:pPr>
      <w:r>
        <w:rPr>
          <w:rFonts w:ascii="Times New Roman" w:hAnsi="Times New Roman" w:cs="Times New Roman"/>
          <w:sz w:val="24"/>
          <w:szCs w:val="24"/>
        </w:rPr>
        <w:t xml:space="preserve">The </w:t>
      </w:r>
      <w:r w:rsidR="00985506">
        <w:rPr>
          <w:rFonts w:ascii="Times New Roman" w:hAnsi="Times New Roman" w:cs="Times New Roman"/>
          <w:sz w:val="24"/>
          <w:szCs w:val="24"/>
        </w:rPr>
        <w:t>mechanism</w:t>
      </w:r>
      <w:r w:rsidR="00985506" w:rsidRPr="00985506">
        <w:rPr>
          <w:rFonts w:ascii="Times New Roman" w:hAnsi="Times New Roman" w:cs="Times New Roman"/>
          <w:sz w:val="24"/>
          <w:szCs w:val="24"/>
        </w:rPr>
        <w:t xml:space="preserve"> </w:t>
      </w:r>
      <w:r>
        <w:rPr>
          <w:rFonts w:ascii="Times New Roman" w:hAnsi="Times New Roman" w:cs="Times New Roman"/>
          <w:sz w:val="24"/>
          <w:szCs w:val="24"/>
        </w:rPr>
        <w:t>implement</w:t>
      </w:r>
      <w:r w:rsidR="00985506">
        <w:rPr>
          <w:rFonts w:ascii="Times New Roman" w:hAnsi="Times New Roman" w:cs="Times New Roman"/>
          <w:sz w:val="24"/>
          <w:szCs w:val="24"/>
        </w:rPr>
        <w:t>ed by</w:t>
      </w:r>
      <w:r>
        <w:rPr>
          <w:rFonts w:ascii="Times New Roman" w:hAnsi="Times New Roman" w:cs="Times New Roman"/>
          <w:sz w:val="24"/>
          <w:szCs w:val="24"/>
        </w:rPr>
        <w:t xml:space="preserve"> </w:t>
      </w:r>
      <w:r w:rsidR="00985506">
        <w:rPr>
          <w:rFonts w:ascii="Times New Roman" w:hAnsi="Times New Roman" w:cs="Times New Roman"/>
          <w:sz w:val="24"/>
          <w:szCs w:val="24"/>
        </w:rPr>
        <w:t>the Amendment Regulations is</w:t>
      </w:r>
      <w:r>
        <w:rPr>
          <w:rFonts w:ascii="Times New Roman" w:hAnsi="Times New Roman" w:cs="Times New Roman"/>
          <w:sz w:val="24"/>
          <w:szCs w:val="24"/>
        </w:rPr>
        <w:t xml:space="preserve"> to </w:t>
      </w:r>
      <w:proofErr w:type="gramStart"/>
      <w:r>
        <w:rPr>
          <w:rFonts w:ascii="Times New Roman" w:hAnsi="Times New Roman" w:cs="Times New Roman"/>
          <w:sz w:val="24"/>
          <w:szCs w:val="24"/>
        </w:rPr>
        <w:t>be known</w:t>
      </w:r>
      <w:proofErr w:type="gramEnd"/>
      <w:r>
        <w:rPr>
          <w:rFonts w:ascii="Times New Roman" w:hAnsi="Times New Roman" w:cs="Times New Roman"/>
          <w:sz w:val="24"/>
          <w:szCs w:val="24"/>
        </w:rPr>
        <w:t xml:space="preserve"> as the </w:t>
      </w:r>
      <w:r w:rsidRPr="0062496B">
        <w:rPr>
          <w:rFonts w:ascii="Times New Roman" w:hAnsi="Times New Roman" w:cs="Times New Roman"/>
          <w:sz w:val="24"/>
          <w:szCs w:val="24"/>
        </w:rPr>
        <w:t xml:space="preserve">Australian Domestic Gas Security Mechanism </w:t>
      </w:r>
      <w:r>
        <w:rPr>
          <w:rFonts w:ascii="Times New Roman" w:hAnsi="Times New Roman" w:cs="Times New Roman"/>
          <w:sz w:val="24"/>
          <w:szCs w:val="24"/>
        </w:rPr>
        <w:t>(ADGSM).</w:t>
      </w:r>
    </w:p>
    <w:p w:rsidR="00F561EB" w:rsidRPr="00FD174F" w:rsidRDefault="00F561EB" w:rsidP="00F561EB">
      <w:pPr>
        <w:rPr>
          <w:rFonts w:ascii="Times New Roman" w:hAnsi="Times New Roman" w:cs="Times New Roman"/>
          <w:sz w:val="24"/>
          <w:szCs w:val="24"/>
        </w:rPr>
      </w:pPr>
      <w:r w:rsidRPr="00FD174F">
        <w:rPr>
          <w:rFonts w:ascii="Times New Roman" w:hAnsi="Times New Roman" w:cs="Times New Roman"/>
          <w:sz w:val="24"/>
          <w:szCs w:val="24"/>
        </w:rPr>
        <w:t xml:space="preserve">The purpose of the ADGSM is to ensure that there is a </w:t>
      </w:r>
      <w:r w:rsidR="00955E66">
        <w:rPr>
          <w:rFonts w:ascii="Times New Roman" w:hAnsi="Times New Roman" w:cs="Times New Roman"/>
          <w:sz w:val="24"/>
          <w:szCs w:val="24"/>
        </w:rPr>
        <w:t>sufficient</w:t>
      </w:r>
      <w:r w:rsidRPr="00FD174F">
        <w:rPr>
          <w:rFonts w:ascii="Times New Roman" w:hAnsi="Times New Roman" w:cs="Times New Roman"/>
          <w:sz w:val="24"/>
          <w:szCs w:val="24"/>
        </w:rPr>
        <w:t xml:space="preserve"> supply of gas to meet the needs of Australian consumers, including households and industry, by requiring, if necessary, LNG exporters which are drawing gas from the domestic market to limit exports or find offsetting sources of new gas.</w:t>
      </w:r>
    </w:p>
    <w:p w:rsidR="00F561EB" w:rsidRDefault="00F561EB" w:rsidP="00F561EB">
      <w:pPr>
        <w:rPr>
          <w:rFonts w:ascii="Times New Roman" w:hAnsi="Times New Roman" w:cs="Times New Roman"/>
          <w:sz w:val="24"/>
          <w:szCs w:val="24"/>
        </w:rPr>
      </w:pPr>
      <w:r w:rsidRPr="00FD174F">
        <w:rPr>
          <w:rFonts w:ascii="Times New Roman" w:hAnsi="Times New Roman" w:cs="Times New Roman"/>
          <w:sz w:val="24"/>
          <w:szCs w:val="24"/>
        </w:rPr>
        <w:t xml:space="preserve">The ADGSM is </w:t>
      </w:r>
      <w:r>
        <w:rPr>
          <w:rFonts w:ascii="Times New Roman" w:hAnsi="Times New Roman" w:cs="Times New Roman"/>
          <w:sz w:val="24"/>
          <w:szCs w:val="24"/>
        </w:rPr>
        <w:t xml:space="preserve">short term and </w:t>
      </w:r>
      <w:r w:rsidRPr="00FD174F">
        <w:rPr>
          <w:rFonts w:ascii="Times New Roman" w:hAnsi="Times New Roman" w:cs="Times New Roman"/>
          <w:sz w:val="24"/>
          <w:szCs w:val="24"/>
        </w:rPr>
        <w:t>targeted</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It </w:t>
      </w:r>
      <w:r w:rsidR="006B27AD">
        <w:rPr>
          <w:rFonts w:ascii="Times New Roman" w:hAnsi="Times New Roman" w:cs="Times New Roman"/>
          <w:sz w:val="24"/>
          <w:szCs w:val="24"/>
        </w:rPr>
        <w:t>is expected to</w:t>
      </w:r>
      <w:r>
        <w:rPr>
          <w:rFonts w:ascii="Times New Roman" w:hAnsi="Times New Roman" w:cs="Times New Roman"/>
          <w:sz w:val="24"/>
          <w:szCs w:val="24"/>
        </w:rPr>
        <w:t xml:space="preserve"> operate for five years: long enough to provide the gas market with </w:t>
      </w:r>
      <w:r w:rsidR="009F7852">
        <w:rPr>
          <w:rFonts w:ascii="Times New Roman" w:hAnsi="Times New Roman" w:cs="Times New Roman"/>
          <w:sz w:val="24"/>
          <w:szCs w:val="24"/>
        </w:rPr>
        <w:t xml:space="preserve">annual </w:t>
      </w:r>
      <w:r>
        <w:rPr>
          <w:rFonts w:ascii="Times New Roman" w:hAnsi="Times New Roman" w:cs="Times New Roman"/>
          <w:sz w:val="24"/>
          <w:szCs w:val="24"/>
        </w:rPr>
        <w:t xml:space="preserve">supply security and a powerful signal to guide gas sourcing decisions, but not so long as to </w:t>
      </w:r>
      <w:r w:rsidR="009F7852">
        <w:rPr>
          <w:rFonts w:ascii="Times New Roman" w:hAnsi="Times New Roman" w:cs="Times New Roman"/>
          <w:sz w:val="24"/>
          <w:szCs w:val="24"/>
        </w:rPr>
        <w:t>discourage</w:t>
      </w:r>
      <w:r>
        <w:rPr>
          <w:rFonts w:ascii="Times New Roman" w:hAnsi="Times New Roman" w:cs="Times New Roman"/>
          <w:sz w:val="24"/>
          <w:szCs w:val="24"/>
        </w:rPr>
        <w:t xml:space="preserve"> </w:t>
      </w:r>
      <w:r w:rsidR="00B00BA9">
        <w:rPr>
          <w:rFonts w:ascii="Times New Roman" w:hAnsi="Times New Roman" w:cs="Times New Roman"/>
          <w:sz w:val="24"/>
          <w:szCs w:val="24"/>
        </w:rPr>
        <w:t>S</w:t>
      </w:r>
      <w:r>
        <w:rPr>
          <w:rFonts w:ascii="Times New Roman" w:hAnsi="Times New Roman" w:cs="Times New Roman"/>
          <w:sz w:val="24"/>
          <w:szCs w:val="24"/>
        </w:rPr>
        <w:t>tates</w:t>
      </w:r>
      <w:r w:rsidR="00B00BA9">
        <w:rPr>
          <w:rFonts w:ascii="Times New Roman" w:hAnsi="Times New Roman" w:cs="Times New Roman"/>
          <w:sz w:val="24"/>
          <w:szCs w:val="24"/>
        </w:rPr>
        <w:t>,</w:t>
      </w:r>
      <w:r>
        <w:rPr>
          <w:rFonts w:ascii="Times New Roman" w:hAnsi="Times New Roman" w:cs="Times New Roman"/>
          <w:sz w:val="24"/>
          <w:szCs w:val="24"/>
        </w:rPr>
        <w:t xml:space="preserve"> </w:t>
      </w:r>
      <w:r w:rsidR="00B00BA9">
        <w:rPr>
          <w:rFonts w:ascii="Times New Roman" w:hAnsi="Times New Roman" w:cs="Times New Roman"/>
          <w:sz w:val="24"/>
          <w:szCs w:val="24"/>
        </w:rPr>
        <w:t>T</w:t>
      </w:r>
      <w:r>
        <w:rPr>
          <w:rFonts w:ascii="Times New Roman" w:hAnsi="Times New Roman" w:cs="Times New Roman"/>
          <w:sz w:val="24"/>
          <w:szCs w:val="24"/>
        </w:rPr>
        <w:t>erritories</w:t>
      </w:r>
      <w:r w:rsidR="00B00BA9">
        <w:rPr>
          <w:rFonts w:ascii="Times New Roman" w:hAnsi="Times New Roman" w:cs="Times New Roman"/>
          <w:sz w:val="24"/>
          <w:szCs w:val="24"/>
        </w:rPr>
        <w:t>,</w:t>
      </w:r>
      <w:r>
        <w:rPr>
          <w:rFonts w:ascii="Times New Roman" w:hAnsi="Times New Roman" w:cs="Times New Roman"/>
          <w:sz w:val="24"/>
          <w:szCs w:val="24"/>
        </w:rPr>
        <w:t xml:space="preserve"> and gas producers from developing new resources in the belief that export constraints will always be used to make good on a declining gas resource base.</w:t>
      </w:r>
      <w:proofErr w:type="gramEnd"/>
      <w:r w:rsidR="00DF06C4">
        <w:rPr>
          <w:rFonts w:ascii="Times New Roman" w:hAnsi="Times New Roman" w:cs="Times New Roman"/>
          <w:sz w:val="24"/>
          <w:szCs w:val="24"/>
        </w:rPr>
        <w:t xml:space="preserve"> The ADGSM </w:t>
      </w:r>
      <w:proofErr w:type="gramStart"/>
      <w:r w:rsidR="00DF06C4">
        <w:rPr>
          <w:rFonts w:ascii="Times New Roman" w:hAnsi="Times New Roman" w:cs="Times New Roman"/>
          <w:sz w:val="24"/>
          <w:szCs w:val="24"/>
        </w:rPr>
        <w:t>will also be reviewed</w:t>
      </w:r>
      <w:proofErr w:type="gramEnd"/>
      <w:r w:rsidR="00DF06C4">
        <w:rPr>
          <w:rFonts w:ascii="Times New Roman" w:hAnsi="Times New Roman" w:cs="Times New Roman"/>
          <w:sz w:val="24"/>
          <w:szCs w:val="24"/>
        </w:rPr>
        <w:t xml:space="preserve"> in 2020 to consider whether it is </w:t>
      </w:r>
      <w:r w:rsidR="009F7852">
        <w:rPr>
          <w:rFonts w:ascii="Times New Roman" w:hAnsi="Times New Roman" w:cs="Times New Roman"/>
          <w:sz w:val="24"/>
          <w:szCs w:val="24"/>
        </w:rPr>
        <w:t>meeting its objectives, whether it should be amended</w:t>
      </w:r>
      <w:r w:rsidR="00DF06C4">
        <w:rPr>
          <w:rFonts w:ascii="Times New Roman" w:hAnsi="Times New Roman" w:cs="Times New Roman"/>
          <w:sz w:val="24"/>
          <w:szCs w:val="24"/>
        </w:rPr>
        <w:t xml:space="preserve"> or </w:t>
      </w:r>
      <w:r w:rsidR="009F7852">
        <w:rPr>
          <w:rFonts w:ascii="Times New Roman" w:hAnsi="Times New Roman" w:cs="Times New Roman"/>
          <w:sz w:val="24"/>
          <w:szCs w:val="24"/>
        </w:rPr>
        <w:t>whether it is no longer required</w:t>
      </w:r>
      <w:r w:rsidR="00DF06C4">
        <w:rPr>
          <w:rFonts w:ascii="Times New Roman" w:hAnsi="Times New Roman" w:cs="Times New Roman"/>
          <w:sz w:val="24"/>
          <w:szCs w:val="24"/>
        </w:rPr>
        <w:t xml:space="preserve">. </w:t>
      </w:r>
    </w:p>
    <w:p w:rsidR="00985506" w:rsidRPr="00FD174F" w:rsidRDefault="00985506" w:rsidP="00985506">
      <w:pPr>
        <w:rPr>
          <w:rFonts w:ascii="Times New Roman" w:hAnsi="Times New Roman" w:cs="Times New Roman"/>
          <w:sz w:val="24"/>
          <w:szCs w:val="24"/>
        </w:rPr>
      </w:pPr>
      <w:r w:rsidRPr="00FD174F">
        <w:rPr>
          <w:rFonts w:ascii="Times New Roman" w:hAnsi="Times New Roman" w:cs="Times New Roman"/>
          <w:bCs/>
          <w:sz w:val="24"/>
          <w:szCs w:val="24"/>
        </w:rPr>
        <w:t xml:space="preserve">If export controls </w:t>
      </w:r>
      <w:proofErr w:type="gramStart"/>
      <w:r w:rsidRPr="00FD174F">
        <w:rPr>
          <w:rFonts w:ascii="Times New Roman" w:hAnsi="Times New Roman" w:cs="Times New Roman"/>
          <w:bCs/>
          <w:sz w:val="24"/>
          <w:szCs w:val="24"/>
        </w:rPr>
        <w:t>are</w:t>
      </w:r>
      <w:proofErr w:type="gramEnd"/>
      <w:r w:rsidRPr="00FD174F">
        <w:rPr>
          <w:rFonts w:ascii="Times New Roman" w:hAnsi="Times New Roman" w:cs="Times New Roman"/>
          <w:bCs/>
          <w:sz w:val="24"/>
          <w:szCs w:val="24"/>
        </w:rPr>
        <w:t xml:space="preserve"> invoked, the export of LNG would require a permission from the</w:t>
      </w:r>
      <w:r w:rsidR="00F62760">
        <w:rPr>
          <w:rFonts w:ascii="Times New Roman" w:hAnsi="Times New Roman" w:cs="Times New Roman"/>
          <w:bCs/>
          <w:sz w:val="24"/>
          <w:szCs w:val="24"/>
        </w:rPr>
        <w:t xml:space="preserve"> Resources</w:t>
      </w:r>
      <w:r w:rsidRPr="00FD174F">
        <w:rPr>
          <w:rFonts w:ascii="Times New Roman" w:hAnsi="Times New Roman" w:cs="Times New Roman"/>
          <w:bCs/>
          <w:sz w:val="24"/>
          <w:szCs w:val="24"/>
        </w:rPr>
        <w:t xml:space="preserve"> Minister. The permission may have conditions attached with which the holder must comply, such as the </w:t>
      </w:r>
      <w:r>
        <w:rPr>
          <w:rFonts w:ascii="Times New Roman" w:hAnsi="Times New Roman" w:cs="Times New Roman"/>
          <w:bCs/>
          <w:sz w:val="24"/>
          <w:szCs w:val="24"/>
        </w:rPr>
        <w:t xml:space="preserve">annual </w:t>
      </w:r>
      <w:r w:rsidRPr="00FD174F">
        <w:rPr>
          <w:rFonts w:ascii="Times New Roman" w:hAnsi="Times New Roman" w:cs="Times New Roman"/>
          <w:bCs/>
          <w:sz w:val="24"/>
          <w:szCs w:val="24"/>
        </w:rPr>
        <w:t xml:space="preserve">volume of LNG that </w:t>
      </w:r>
      <w:proofErr w:type="gramStart"/>
      <w:r w:rsidRPr="00FD174F">
        <w:rPr>
          <w:rFonts w:ascii="Times New Roman" w:hAnsi="Times New Roman" w:cs="Times New Roman"/>
          <w:bCs/>
          <w:sz w:val="24"/>
          <w:szCs w:val="24"/>
        </w:rPr>
        <w:t>can be exported</w:t>
      </w:r>
      <w:proofErr w:type="gramEnd"/>
      <w:r w:rsidRPr="00FD174F">
        <w:rPr>
          <w:rFonts w:ascii="Times New Roman" w:hAnsi="Times New Roman" w:cs="Times New Roman"/>
          <w:bCs/>
          <w:sz w:val="24"/>
          <w:szCs w:val="24"/>
        </w:rPr>
        <w:t xml:space="preserve">. </w:t>
      </w:r>
      <w:r>
        <w:rPr>
          <w:rFonts w:ascii="Times New Roman" w:hAnsi="Times New Roman" w:cs="Times New Roman"/>
          <w:sz w:val="24"/>
          <w:szCs w:val="24"/>
        </w:rPr>
        <w:t>T</w:t>
      </w:r>
      <w:r w:rsidRPr="00FD174F">
        <w:rPr>
          <w:rFonts w:ascii="Times New Roman" w:hAnsi="Times New Roman" w:cs="Times New Roman"/>
          <w:sz w:val="24"/>
          <w:szCs w:val="24"/>
        </w:rPr>
        <w:t xml:space="preserve">he </w:t>
      </w:r>
      <w:r>
        <w:rPr>
          <w:rFonts w:ascii="Times New Roman" w:hAnsi="Times New Roman" w:cs="Times New Roman"/>
          <w:sz w:val="24"/>
          <w:szCs w:val="24"/>
        </w:rPr>
        <w:t xml:space="preserve">volume of LNG exporters are allowed to export </w:t>
      </w:r>
      <w:r w:rsidRPr="00FD174F">
        <w:rPr>
          <w:rFonts w:ascii="Times New Roman" w:hAnsi="Times New Roman" w:cs="Times New Roman"/>
          <w:sz w:val="24"/>
          <w:szCs w:val="24"/>
        </w:rPr>
        <w:t xml:space="preserve">will take into account </w:t>
      </w:r>
      <w:r>
        <w:rPr>
          <w:rFonts w:ascii="Times New Roman" w:hAnsi="Times New Roman" w:cs="Times New Roman"/>
          <w:sz w:val="24"/>
          <w:szCs w:val="24"/>
        </w:rPr>
        <w:t>expected</w:t>
      </w:r>
      <w:r w:rsidRPr="00FD174F">
        <w:rPr>
          <w:rFonts w:ascii="Times New Roman" w:hAnsi="Times New Roman" w:cs="Times New Roman"/>
          <w:sz w:val="24"/>
          <w:szCs w:val="24"/>
        </w:rPr>
        <w:t xml:space="preserve"> market needs</w:t>
      </w:r>
      <w:r>
        <w:rPr>
          <w:rFonts w:ascii="Times New Roman" w:hAnsi="Times New Roman" w:cs="Times New Roman"/>
          <w:sz w:val="24"/>
          <w:szCs w:val="24"/>
        </w:rPr>
        <w:t>, and factors driving any shortfall</w:t>
      </w:r>
      <w:r w:rsidRPr="00FD174F">
        <w:rPr>
          <w:rFonts w:ascii="Times New Roman" w:hAnsi="Times New Roman" w:cs="Times New Roman"/>
          <w:sz w:val="24"/>
          <w:szCs w:val="24"/>
        </w:rPr>
        <w:t xml:space="preserve"> </w:t>
      </w:r>
      <w:r>
        <w:rPr>
          <w:rFonts w:ascii="Times New Roman" w:hAnsi="Times New Roman" w:cs="Times New Roman"/>
          <w:sz w:val="24"/>
          <w:szCs w:val="24"/>
        </w:rPr>
        <w:t xml:space="preserve">including </w:t>
      </w:r>
      <w:r w:rsidRPr="00FD174F">
        <w:rPr>
          <w:rFonts w:ascii="Times New Roman" w:hAnsi="Times New Roman" w:cs="Times New Roman"/>
          <w:sz w:val="24"/>
          <w:szCs w:val="24"/>
        </w:rPr>
        <w:t xml:space="preserve">the extent to which LNG projects </w:t>
      </w:r>
      <w:r>
        <w:rPr>
          <w:rFonts w:ascii="Times New Roman" w:hAnsi="Times New Roman" w:cs="Times New Roman"/>
          <w:sz w:val="24"/>
          <w:szCs w:val="24"/>
        </w:rPr>
        <w:t>are contributing</w:t>
      </w:r>
      <w:r w:rsidRPr="00FD174F">
        <w:rPr>
          <w:rFonts w:ascii="Times New Roman" w:hAnsi="Times New Roman" w:cs="Times New Roman"/>
          <w:sz w:val="24"/>
          <w:szCs w:val="24"/>
        </w:rPr>
        <w:t xml:space="preserve"> to </w:t>
      </w:r>
      <w:r>
        <w:rPr>
          <w:rFonts w:ascii="Times New Roman" w:hAnsi="Times New Roman" w:cs="Times New Roman"/>
          <w:sz w:val="24"/>
          <w:szCs w:val="24"/>
        </w:rPr>
        <w:t>such an outlook</w:t>
      </w:r>
      <w:r w:rsidRPr="00FD174F">
        <w:rPr>
          <w:rFonts w:ascii="Times New Roman" w:hAnsi="Times New Roman" w:cs="Times New Roman"/>
          <w:sz w:val="24"/>
          <w:szCs w:val="24"/>
        </w:rPr>
        <w:t xml:space="preserve">. </w:t>
      </w:r>
      <w:r w:rsidRPr="00FD174F">
        <w:rPr>
          <w:rFonts w:ascii="Times New Roman" w:hAnsi="Times New Roman" w:cs="Times New Roman"/>
          <w:bCs/>
          <w:sz w:val="24"/>
          <w:szCs w:val="24"/>
        </w:rPr>
        <w:t>To ensure certainty for exporters</w:t>
      </w:r>
      <w:r>
        <w:rPr>
          <w:rFonts w:ascii="Times New Roman" w:hAnsi="Times New Roman" w:cs="Times New Roman"/>
          <w:bCs/>
          <w:sz w:val="24"/>
          <w:szCs w:val="24"/>
        </w:rPr>
        <w:t xml:space="preserve"> once permissions </w:t>
      </w:r>
      <w:proofErr w:type="gramStart"/>
      <w:r>
        <w:rPr>
          <w:rFonts w:ascii="Times New Roman" w:hAnsi="Times New Roman" w:cs="Times New Roman"/>
          <w:bCs/>
          <w:sz w:val="24"/>
          <w:szCs w:val="24"/>
        </w:rPr>
        <w:t>have been issued</w:t>
      </w:r>
      <w:proofErr w:type="gramEnd"/>
      <w:r>
        <w:rPr>
          <w:rFonts w:ascii="Times New Roman" w:hAnsi="Times New Roman" w:cs="Times New Roman"/>
          <w:bCs/>
          <w:sz w:val="24"/>
          <w:szCs w:val="24"/>
        </w:rPr>
        <w:t>,</w:t>
      </w:r>
      <w:r w:rsidRPr="00FD174F">
        <w:rPr>
          <w:rFonts w:ascii="Times New Roman" w:hAnsi="Times New Roman" w:cs="Times New Roman"/>
          <w:bCs/>
          <w:sz w:val="24"/>
          <w:szCs w:val="24"/>
        </w:rPr>
        <w:t xml:space="preserve"> it will not be possible for the </w:t>
      </w:r>
      <w:r w:rsidR="00DE4869">
        <w:rPr>
          <w:rFonts w:ascii="Times New Roman" w:hAnsi="Times New Roman" w:cs="Times New Roman"/>
          <w:bCs/>
          <w:sz w:val="24"/>
          <w:szCs w:val="24"/>
        </w:rPr>
        <w:t xml:space="preserve">Resources </w:t>
      </w:r>
      <w:r w:rsidRPr="00FD174F">
        <w:rPr>
          <w:rFonts w:ascii="Times New Roman" w:hAnsi="Times New Roman" w:cs="Times New Roman"/>
          <w:bCs/>
          <w:sz w:val="24"/>
          <w:szCs w:val="24"/>
        </w:rPr>
        <w:t xml:space="preserve">Minister to vary </w:t>
      </w:r>
      <w:r>
        <w:rPr>
          <w:rFonts w:ascii="Times New Roman" w:hAnsi="Times New Roman" w:cs="Times New Roman"/>
          <w:bCs/>
          <w:sz w:val="24"/>
          <w:szCs w:val="24"/>
        </w:rPr>
        <w:t xml:space="preserve">permission </w:t>
      </w:r>
      <w:r w:rsidRPr="00FD174F">
        <w:rPr>
          <w:rFonts w:ascii="Times New Roman" w:hAnsi="Times New Roman" w:cs="Times New Roman"/>
          <w:bCs/>
          <w:sz w:val="24"/>
          <w:szCs w:val="24"/>
        </w:rPr>
        <w:t xml:space="preserve">conditions </w:t>
      </w:r>
      <w:r>
        <w:rPr>
          <w:rFonts w:ascii="Times New Roman" w:hAnsi="Times New Roman" w:cs="Times New Roman"/>
          <w:bCs/>
          <w:sz w:val="24"/>
          <w:szCs w:val="24"/>
        </w:rPr>
        <w:t>(including</w:t>
      </w:r>
      <w:r w:rsidRPr="00FD174F">
        <w:rPr>
          <w:rFonts w:ascii="Times New Roman" w:hAnsi="Times New Roman" w:cs="Times New Roman"/>
          <w:bCs/>
          <w:sz w:val="24"/>
          <w:szCs w:val="24"/>
        </w:rPr>
        <w:t xml:space="preserve"> export volumes</w:t>
      </w:r>
      <w:r>
        <w:rPr>
          <w:rFonts w:ascii="Times New Roman" w:hAnsi="Times New Roman" w:cs="Times New Roman"/>
          <w:bCs/>
          <w:sz w:val="24"/>
          <w:szCs w:val="24"/>
        </w:rPr>
        <w:t>)</w:t>
      </w:r>
      <w:r w:rsidRPr="00FD174F">
        <w:rPr>
          <w:rFonts w:ascii="Times New Roman" w:hAnsi="Times New Roman" w:cs="Times New Roman"/>
          <w:bCs/>
          <w:sz w:val="24"/>
          <w:szCs w:val="24"/>
        </w:rPr>
        <w:t xml:space="preserve"> without the agreement of the </w:t>
      </w:r>
      <w:r w:rsidR="00BC44DF">
        <w:rPr>
          <w:rFonts w:ascii="Times New Roman" w:hAnsi="Times New Roman" w:cs="Times New Roman"/>
          <w:bCs/>
          <w:sz w:val="24"/>
          <w:szCs w:val="24"/>
        </w:rPr>
        <w:t xml:space="preserve">permission </w:t>
      </w:r>
      <w:r w:rsidRPr="00FD174F">
        <w:rPr>
          <w:rFonts w:ascii="Times New Roman" w:hAnsi="Times New Roman" w:cs="Times New Roman"/>
          <w:bCs/>
          <w:sz w:val="24"/>
          <w:szCs w:val="24"/>
        </w:rPr>
        <w:t>holder</w:t>
      </w:r>
      <w:r w:rsidR="00B00BA9">
        <w:rPr>
          <w:rFonts w:ascii="Times New Roman" w:hAnsi="Times New Roman" w:cs="Times New Roman"/>
          <w:bCs/>
          <w:sz w:val="24"/>
          <w:szCs w:val="24"/>
        </w:rPr>
        <w:t>,</w:t>
      </w:r>
      <w:r w:rsidR="00BC44DF">
        <w:rPr>
          <w:rFonts w:ascii="Times New Roman" w:hAnsi="Times New Roman" w:cs="Times New Roman"/>
          <w:bCs/>
          <w:sz w:val="24"/>
          <w:szCs w:val="24"/>
        </w:rPr>
        <w:t xml:space="preserve"> unless the permission </w:t>
      </w:r>
      <w:r w:rsidR="00BC44DF" w:rsidRPr="00FD174F">
        <w:rPr>
          <w:rFonts w:ascii="Times New Roman" w:hAnsi="Times New Roman" w:cs="Times New Roman"/>
          <w:bCs/>
          <w:sz w:val="24"/>
          <w:szCs w:val="24"/>
        </w:rPr>
        <w:t>holder</w:t>
      </w:r>
      <w:r w:rsidR="00BC44DF">
        <w:rPr>
          <w:rFonts w:ascii="Times New Roman" w:hAnsi="Times New Roman" w:cs="Times New Roman"/>
          <w:bCs/>
          <w:sz w:val="24"/>
          <w:szCs w:val="24"/>
        </w:rPr>
        <w:t xml:space="preserve"> has breached a condition of the permission</w:t>
      </w:r>
      <w:r w:rsidRPr="00FD174F">
        <w:rPr>
          <w:rFonts w:ascii="Times New Roman" w:hAnsi="Times New Roman" w:cs="Times New Roman"/>
          <w:bCs/>
          <w:sz w:val="24"/>
          <w:szCs w:val="24"/>
        </w:rPr>
        <w:t xml:space="preserve">. </w:t>
      </w:r>
      <w:r>
        <w:rPr>
          <w:rFonts w:ascii="Times New Roman" w:hAnsi="Times New Roman" w:cs="Times New Roman"/>
          <w:bCs/>
          <w:sz w:val="24"/>
          <w:szCs w:val="24"/>
        </w:rPr>
        <w:t>Penalties for non-compliance</w:t>
      </w:r>
      <w:r w:rsidR="00BC44DF">
        <w:rPr>
          <w:rFonts w:ascii="Times New Roman" w:hAnsi="Times New Roman" w:cs="Times New Roman"/>
          <w:bCs/>
          <w:sz w:val="24"/>
          <w:szCs w:val="24"/>
        </w:rPr>
        <w:t xml:space="preserve"> with permission conditions</w:t>
      </w:r>
      <w:r>
        <w:rPr>
          <w:rFonts w:ascii="Times New Roman" w:hAnsi="Times New Roman" w:cs="Times New Roman"/>
          <w:bCs/>
          <w:sz w:val="24"/>
          <w:szCs w:val="24"/>
        </w:rPr>
        <w:t xml:space="preserve">, including revocation of export permissions, will apply. </w:t>
      </w:r>
    </w:p>
    <w:p w:rsidR="00F561EB" w:rsidRDefault="00F561EB" w:rsidP="00F561EB">
      <w:pPr>
        <w:rPr>
          <w:rFonts w:ascii="Times New Roman" w:hAnsi="Times New Roman" w:cs="Times New Roman"/>
          <w:sz w:val="24"/>
          <w:szCs w:val="24"/>
        </w:rPr>
      </w:pPr>
      <w:r w:rsidRPr="00FD174F">
        <w:rPr>
          <w:rFonts w:ascii="Times New Roman" w:hAnsi="Times New Roman" w:cs="Times New Roman"/>
          <w:sz w:val="24"/>
          <w:szCs w:val="24"/>
        </w:rPr>
        <w:t>By removing the prospect of supply shortages and ensuring there is enough overall gas to meet needs</w:t>
      </w:r>
      <w:r>
        <w:rPr>
          <w:rFonts w:ascii="Times New Roman" w:hAnsi="Times New Roman" w:cs="Times New Roman"/>
          <w:sz w:val="24"/>
          <w:szCs w:val="24"/>
        </w:rPr>
        <w:t>,</w:t>
      </w:r>
      <w:r w:rsidRPr="00FD174F">
        <w:rPr>
          <w:rFonts w:ascii="Times New Roman" w:hAnsi="Times New Roman" w:cs="Times New Roman"/>
          <w:sz w:val="24"/>
          <w:szCs w:val="24"/>
        </w:rPr>
        <w:t xml:space="preserve"> </w:t>
      </w:r>
      <w:r w:rsidRPr="001D4A8E">
        <w:rPr>
          <w:rFonts w:ascii="Times New Roman" w:hAnsi="Times New Roman" w:cs="Times New Roman"/>
          <w:sz w:val="24"/>
          <w:szCs w:val="24"/>
        </w:rPr>
        <w:t xml:space="preserve">it will ensure prices </w:t>
      </w:r>
      <w:r>
        <w:rPr>
          <w:rFonts w:ascii="Times New Roman" w:hAnsi="Times New Roman" w:cs="Times New Roman"/>
          <w:sz w:val="24"/>
          <w:szCs w:val="24"/>
        </w:rPr>
        <w:t xml:space="preserve">better reflect a commercial cost of supply and </w:t>
      </w:r>
      <w:proofErr w:type="gramStart"/>
      <w:r w:rsidRPr="001D4A8E">
        <w:rPr>
          <w:rFonts w:ascii="Times New Roman" w:hAnsi="Times New Roman" w:cs="Times New Roman"/>
          <w:sz w:val="24"/>
          <w:szCs w:val="24"/>
        </w:rPr>
        <w:t xml:space="preserve">are not </w:t>
      </w:r>
      <w:r w:rsidRPr="001D4A8E">
        <w:rPr>
          <w:rFonts w:ascii="Times New Roman" w:hAnsi="Times New Roman" w:cs="Times New Roman"/>
          <w:sz w:val="24"/>
          <w:szCs w:val="24"/>
        </w:rPr>
        <w:lastRenderedPageBreak/>
        <w:t>inflated</w:t>
      </w:r>
      <w:proofErr w:type="gramEnd"/>
      <w:r w:rsidRPr="001D4A8E">
        <w:rPr>
          <w:rFonts w:ascii="Times New Roman" w:hAnsi="Times New Roman" w:cs="Times New Roman"/>
          <w:sz w:val="24"/>
          <w:szCs w:val="24"/>
        </w:rPr>
        <w:t xml:space="preserve"> due to a belief of future scarcity.</w:t>
      </w:r>
      <w:r w:rsidRPr="00FD174F">
        <w:rPr>
          <w:rFonts w:ascii="Times New Roman" w:hAnsi="Times New Roman" w:cs="Times New Roman"/>
          <w:sz w:val="24"/>
          <w:szCs w:val="24"/>
        </w:rPr>
        <w:t xml:space="preserve"> A further benefit will be to encourage the development of new and additional sources of gas to </w:t>
      </w:r>
      <w:r>
        <w:rPr>
          <w:rFonts w:ascii="Times New Roman" w:hAnsi="Times New Roman" w:cs="Times New Roman"/>
          <w:sz w:val="24"/>
          <w:szCs w:val="24"/>
        </w:rPr>
        <w:t>supply</w:t>
      </w:r>
      <w:r w:rsidRPr="00FD174F">
        <w:rPr>
          <w:rFonts w:ascii="Times New Roman" w:hAnsi="Times New Roman" w:cs="Times New Roman"/>
          <w:sz w:val="24"/>
          <w:szCs w:val="24"/>
        </w:rPr>
        <w:t xml:space="preserve"> export projects and discourage </w:t>
      </w:r>
      <w:r>
        <w:rPr>
          <w:rFonts w:ascii="Times New Roman" w:hAnsi="Times New Roman" w:cs="Times New Roman"/>
          <w:sz w:val="24"/>
          <w:szCs w:val="24"/>
        </w:rPr>
        <w:t>export</w:t>
      </w:r>
      <w:r w:rsidRPr="00FD174F">
        <w:rPr>
          <w:rFonts w:ascii="Times New Roman" w:hAnsi="Times New Roman" w:cs="Times New Roman"/>
          <w:sz w:val="24"/>
          <w:szCs w:val="24"/>
        </w:rPr>
        <w:t xml:space="preserve"> projects from buying </w:t>
      </w:r>
      <w:r w:rsidR="009F7852">
        <w:rPr>
          <w:rFonts w:ascii="Times New Roman" w:hAnsi="Times New Roman" w:cs="Times New Roman"/>
          <w:sz w:val="24"/>
          <w:szCs w:val="24"/>
        </w:rPr>
        <w:t xml:space="preserve">gas </w:t>
      </w:r>
      <w:r w:rsidRPr="00FD174F">
        <w:rPr>
          <w:rFonts w:ascii="Times New Roman" w:hAnsi="Times New Roman" w:cs="Times New Roman"/>
          <w:sz w:val="24"/>
          <w:szCs w:val="24"/>
        </w:rPr>
        <w:t>from the traded market in direct competition with domestic consumers.</w:t>
      </w:r>
    </w:p>
    <w:p w:rsidR="00985506" w:rsidRDefault="00985506" w:rsidP="00985506">
      <w:pPr>
        <w:rPr>
          <w:rFonts w:ascii="Times New Roman" w:hAnsi="Times New Roman" w:cs="Times New Roman"/>
          <w:bCs/>
          <w:sz w:val="24"/>
          <w:szCs w:val="24"/>
        </w:rPr>
      </w:pPr>
      <w:r>
        <w:rPr>
          <w:rFonts w:ascii="Times New Roman" w:hAnsi="Times New Roman" w:cs="Times New Roman"/>
          <w:bCs/>
          <w:sz w:val="24"/>
          <w:szCs w:val="24"/>
        </w:rPr>
        <w:t xml:space="preserve">While the </w:t>
      </w:r>
      <w:r w:rsidRPr="006E20F6">
        <w:rPr>
          <w:rFonts w:ascii="Times New Roman" w:hAnsi="Times New Roman" w:cs="Times New Roman"/>
          <w:bCs/>
          <w:sz w:val="24"/>
          <w:szCs w:val="24"/>
        </w:rPr>
        <w:t xml:space="preserve">ADGSM </w:t>
      </w:r>
      <w:r>
        <w:rPr>
          <w:rFonts w:ascii="Times New Roman" w:hAnsi="Times New Roman" w:cs="Times New Roman"/>
          <w:bCs/>
          <w:sz w:val="24"/>
          <w:szCs w:val="24"/>
        </w:rPr>
        <w:t xml:space="preserve">provides an important </w:t>
      </w:r>
      <w:proofErr w:type="gramStart"/>
      <w:r>
        <w:rPr>
          <w:rFonts w:ascii="Times New Roman" w:hAnsi="Times New Roman" w:cs="Times New Roman"/>
          <w:bCs/>
          <w:sz w:val="24"/>
          <w:szCs w:val="24"/>
        </w:rPr>
        <w:t>back-stop</w:t>
      </w:r>
      <w:proofErr w:type="gramEnd"/>
      <w:r>
        <w:rPr>
          <w:rFonts w:ascii="Times New Roman" w:hAnsi="Times New Roman" w:cs="Times New Roman"/>
          <w:bCs/>
          <w:sz w:val="24"/>
          <w:szCs w:val="24"/>
        </w:rPr>
        <w:t xml:space="preserve"> mechanism to provide for </w:t>
      </w:r>
      <w:r w:rsidR="001F266D">
        <w:rPr>
          <w:rFonts w:ascii="Times New Roman" w:hAnsi="Times New Roman" w:cs="Times New Roman"/>
          <w:bCs/>
          <w:sz w:val="24"/>
          <w:szCs w:val="24"/>
        </w:rPr>
        <w:t>sufficient</w:t>
      </w:r>
      <w:r>
        <w:rPr>
          <w:rFonts w:ascii="Times New Roman" w:hAnsi="Times New Roman" w:cs="Times New Roman"/>
          <w:bCs/>
          <w:sz w:val="24"/>
          <w:szCs w:val="24"/>
        </w:rPr>
        <w:t xml:space="preserve"> reasonably priced gas for Australian gas users, the Government’s preference is to</w:t>
      </w:r>
      <w:r w:rsidRPr="006E20F6">
        <w:rPr>
          <w:rFonts w:ascii="Times New Roman" w:hAnsi="Times New Roman" w:cs="Times New Roman"/>
          <w:bCs/>
          <w:sz w:val="24"/>
          <w:szCs w:val="24"/>
        </w:rPr>
        <w:t xml:space="preserve"> work with the gas </w:t>
      </w:r>
      <w:r>
        <w:rPr>
          <w:rFonts w:ascii="Times New Roman" w:hAnsi="Times New Roman" w:cs="Times New Roman"/>
          <w:bCs/>
          <w:sz w:val="24"/>
          <w:szCs w:val="24"/>
        </w:rPr>
        <w:t xml:space="preserve">supply </w:t>
      </w:r>
      <w:r w:rsidRPr="006E20F6">
        <w:rPr>
          <w:rFonts w:ascii="Times New Roman" w:hAnsi="Times New Roman" w:cs="Times New Roman"/>
          <w:bCs/>
          <w:sz w:val="24"/>
          <w:szCs w:val="24"/>
        </w:rPr>
        <w:t xml:space="preserve">industry </w:t>
      </w:r>
      <w:r>
        <w:rPr>
          <w:rFonts w:ascii="Times New Roman" w:hAnsi="Times New Roman" w:cs="Times New Roman"/>
          <w:bCs/>
          <w:sz w:val="24"/>
          <w:szCs w:val="24"/>
        </w:rPr>
        <w:t xml:space="preserve">and domestic gas users </w:t>
      </w:r>
      <w:r w:rsidRPr="006E20F6">
        <w:rPr>
          <w:rFonts w:ascii="Times New Roman" w:hAnsi="Times New Roman" w:cs="Times New Roman"/>
          <w:bCs/>
          <w:sz w:val="24"/>
          <w:szCs w:val="24"/>
        </w:rPr>
        <w:t xml:space="preserve">to develop non-regulatory solutions to address potential supply shortfalls and impediments to gas development. </w:t>
      </w:r>
      <w:r w:rsidR="009F7852">
        <w:rPr>
          <w:rFonts w:ascii="Times New Roman" w:hAnsi="Times New Roman" w:cs="Times New Roman"/>
          <w:bCs/>
          <w:sz w:val="24"/>
          <w:szCs w:val="24"/>
        </w:rPr>
        <w:t xml:space="preserve">This can occur at any point prior to, during or after the ADGSM </w:t>
      </w:r>
      <w:proofErr w:type="gramStart"/>
      <w:r w:rsidR="009F7852">
        <w:rPr>
          <w:rFonts w:ascii="Times New Roman" w:hAnsi="Times New Roman" w:cs="Times New Roman"/>
          <w:bCs/>
          <w:sz w:val="24"/>
          <w:szCs w:val="24"/>
        </w:rPr>
        <w:t>decision making</w:t>
      </w:r>
      <w:proofErr w:type="gramEnd"/>
      <w:r w:rsidR="009F7852">
        <w:rPr>
          <w:rFonts w:ascii="Times New Roman" w:hAnsi="Times New Roman" w:cs="Times New Roman"/>
          <w:bCs/>
          <w:sz w:val="24"/>
          <w:szCs w:val="24"/>
        </w:rPr>
        <w:t xml:space="preserve"> processes.</w:t>
      </w:r>
    </w:p>
    <w:p w:rsidR="00985506" w:rsidRDefault="00985506" w:rsidP="00985506">
      <w:pPr>
        <w:rPr>
          <w:rFonts w:ascii="Times New Roman" w:hAnsi="Times New Roman" w:cs="Times New Roman"/>
          <w:bCs/>
          <w:sz w:val="24"/>
          <w:szCs w:val="24"/>
        </w:rPr>
      </w:pPr>
      <w:r>
        <w:rPr>
          <w:rFonts w:ascii="Times New Roman" w:hAnsi="Times New Roman" w:cs="Times New Roman"/>
          <w:bCs/>
          <w:sz w:val="24"/>
          <w:szCs w:val="24"/>
        </w:rPr>
        <w:t xml:space="preserve">The mechanism </w:t>
      </w:r>
      <w:proofErr w:type="gramStart"/>
      <w:r>
        <w:rPr>
          <w:rFonts w:ascii="Times New Roman" w:hAnsi="Times New Roman" w:cs="Times New Roman"/>
          <w:bCs/>
          <w:sz w:val="24"/>
          <w:szCs w:val="24"/>
        </w:rPr>
        <w:t>has been structured</w:t>
      </w:r>
      <w:proofErr w:type="gramEnd"/>
      <w:r>
        <w:rPr>
          <w:rFonts w:ascii="Times New Roman" w:hAnsi="Times New Roman" w:cs="Times New Roman"/>
          <w:bCs/>
          <w:sz w:val="24"/>
          <w:szCs w:val="24"/>
        </w:rPr>
        <w:t xml:space="preserve"> to balance domestic gas market considerations with the operational and planning requirements of a globally integrated and highly competitive export industry. This means key steps in the ADGSM </w:t>
      </w:r>
      <w:proofErr w:type="gramStart"/>
      <w:r>
        <w:rPr>
          <w:rFonts w:ascii="Times New Roman" w:hAnsi="Times New Roman" w:cs="Times New Roman"/>
          <w:bCs/>
          <w:sz w:val="24"/>
          <w:szCs w:val="24"/>
        </w:rPr>
        <w:t>will be undertaken</w:t>
      </w:r>
      <w:proofErr w:type="gramEnd"/>
      <w:r>
        <w:rPr>
          <w:rFonts w:ascii="Times New Roman" w:hAnsi="Times New Roman" w:cs="Times New Roman"/>
          <w:bCs/>
          <w:sz w:val="24"/>
          <w:szCs w:val="24"/>
        </w:rPr>
        <w:t xml:space="preserve"> with sufficient consultation and opportunity for exporters to plan their production and logistical schedules for the year ahead. </w:t>
      </w:r>
    </w:p>
    <w:p w:rsidR="004A2DFC" w:rsidRPr="004A2DFC" w:rsidRDefault="004A2DFC" w:rsidP="00985506">
      <w:pPr>
        <w:rPr>
          <w:rFonts w:ascii="Times New Roman" w:hAnsi="Times New Roman" w:cs="Times New Roman"/>
          <w:sz w:val="24"/>
          <w:szCs w:val="24"/>
        </w:rPr>
      </w:pPr>
      <w:r>
        <w:rPr>
          <w:rFonts w:ascii="Times New Roman" w:hAnsi="Times New Roman" w:cs="Times New Roman"/>
          <w:sz w:val="24"/>
          <w:szCs w:val="24"/>
        </w:rPr>
        <w:t xml:space="preserve">The mechanism has also been structured </w:t>
      </w:r>
      <w:proofErr w:type="gramStart"/>
      <w:r>
        <w:rPr>
          <w:rFonts w:ascii="Times New Roman" w:hAnsi="Times New Roman" w:cs="Times New Roman"/>
          <w:sz w:val="24"/>
          <w:szCs w:val="24"/>
        </w:rPr>
        <w:t>so as to</w:t>
      </w:r>
      <w:proofErr w:type="gramEnd"/>
      <w:r>
        <w:rPr>
          <w:rFonts w:ascii="Times New Roman" w:hAnsi="Times New Roman" w:cs="Times New Roman"/>
          <w:sz w:val="24"/>
          <w:szCs w:val="24"/>
        </w:rPr>
        <w:t xml:space="preserve"> provide LNG exporters operating in markets that are no in prospect of shortfall, with as little regulatory and business impact as possible. </w:t>
      </w:r>
    </w:p>
    <w:p w:rsidR="00985506" w:rsidRDefault="00985506" w:rsidP="00985506">
      <w:pPr>
        <w:rPr>
          <w:rFonts w:ascii="Times New Roman" w:hAnsi="Times New Roman" w:cs="Times New Roman"/>
          <w:bCs/>
          <w:sz w:val="24"/>
          <w:szCs w:val="24"/>
        </w:rPr>
      </w:pPr>
      <w:r>
        <w:rPr>
          <w:rFonts w:ascii="Times New Roman" w:hAnsi="Times New Roman" w:cs="Times New Roman"/>
          <w:bCs/>
          <w:sz w:val="24"/>
          <w:szCs w:val="24"/>
        </w:rPr>
        <w:t xml:space="preserve">For this </w:t>
      </w:r>
      <w:proofErr w:type="gramStart"/>
      <w:r>
        <w:rPr>
          <w:rFonts w:ascii="Times New Roman" w:hAnsi="Times New Roman" w:cs="Times New Roman"/>
          <w:bCs/>
          <w:sz w:val="24"/>
          <w:szCs w:val="24"/>
        </w:rPr>
        <w:t>reason</w:t>
      </w:r>
      <w:proofErr w:type="gramEnd"/>
      <w:r>
        <w:rPr>
          <w:rFonts w:ascii="Times New Roman" w:hAnsi="Times New Roman" w:cs="Times New Roman"/>
          <w:bCs/>
          <w:sz w:val="24"/>
          <w:szCs w:val="24"/>
        </w:rPr>
        <w:t xml:space="preserve"> the mechanism has not included an ability </w:t>
      </w:r>
      <w:r w:rsidR="004306B0">
        <w:rPr>
          <w:rFonts w:ascii="Times New Roman" w:hAnsi="Times New Roman" w:cs="Times New Roman"/>
          <w:bCs/>
          <w:sz w:val="24"/>
          <w:szCs w:val="24"/>
        </w:rPr>
        <w:t>for the</w:t>
      </w:r>
      <w:r w:rsidR="00DE4869">
        <w:rPr>
          <w:rFonts w:ascii="Times New Roman" w:hAnsi="Times New Roman" w:cs="Times New Roman"/>
          <w:bCs/>
          <w:sz w:val="24"/>
          <w:szCs w:val="24"/>
        </w:rPr>
        <w:t xml:space="preserve"> Resources</w:t>
      </w:r>
      <w:r w:rsidR="004306B0">
        <w:rPr>
          <w:rFonts w:ascii="Times New Roman" w:hAnsi="Times New Roman" w:cs="Times New Roman"/>
          <w:bCs/>
          <w:sz w:val="24"/>
          <w:szCs w:val="24"/>
        </w:rPr>
        <w:t xml:space="preserve"> Minister </w:t>
      </w:r>
      <w:r>
        <w:rPr>
          <w:rFonts w:ascii="Times New Roman" w:hAnsi="Times New Roman" w:cs="Times New Roman"/>
          <w:bCs/>
          <w:sz w:val="24"/>
          <w:szCs w:val="24"/>
        </w:rPr>
        <w:t xml:space="preserve">to impose additional shorter-term export controls outside stipulated timeframes. This structure </w:t>
      </w:r>
      <w:proofErr w:type="gramStart"/>
      <w:r>
        <w:rPr>
          <w:rFonts w:ascii="Times New Roman" w:hAnsi="Times New Roman" w:cs="Times New Roman"/>
          <w:bCs/>
          <w:sz w:val="24"/>
          <w:szCs w:val="24"/>
        </w:rPr>
        <w:t>will be monitored</w:t>
      </w:r>
      <w:proofErr w:type="gramEnd"/>
      <w:r>
        <w:rPr>
          <w:rFonts w:ascii="Times New Roman" w:hAnsi="Times New Roman" w:cs="Times New Roman"/>
          <w:bCs/>
          <w:sz w:val="24"/>
          <w:szCs w:val="24"/>
        </w:rPr>
        <w:t xml:space="preserve"> on an on-going basis and should it not be delivering against its objectives then further adjustments may be made. This </w:t>
      </w:r>
      <w:proofErr w:type="gramStart"/>
      <w:r>
        <w:rPr>
          <w:rFonts w:ascii="Times New Roman" w:hAnsi="Times New Roman" w:cs="Times New Roman"/>
          <w:bCs/>
          <w:sz w:val="24"/>
          <w:szCs w:val="24"/>
        </w:rPr>
        <w:t>would be undertaken</w:t>
      </w:r>
      <w:proofErr w:type="gramEnd"/>
      <w:r>
        <w:rPr>
          <w:rFonts w:ascii="Times New Roman" w:hAnsi="Times New Roman" w:cs="Times New Roman"/>
          <w:bCs/>
          <w:sz w:val="24"/>
          <w:szCs w:val="24"/>
        </w:rPr>
        <w:t xml:space="preserve"> in consultation with the LNG export industry</w:t>
      </w:r>
      <w:r w:rsidR="009F7852">
        <w:rPr>
          <w:rFonts w:ascii="Times New Roman" w:hAnsi="Times New Roman" w:cs="Times New Roman"/>
          <w:bCs/>
          <w:sz w:val="24"/>
          <w:szCs w:val="24"/>
        </w:rPr>
        <w:t xml:space="preserve"> and other gas market participants</w:t>
      </w:r>
      <w:r>
        <w:rPr>
          <w:rFonts w:ascii="Times New Roman" w:hAnsi="Times New Roman" w:cs="Times New Roman"/>
          <w:bCs/>
          <w:sz w:val="24"/>
          <w:szCs w:val="24"/>
        </w:rPr>
        <w:t xml:space="preserve">.  </w:t>
      </w:r>
    </w:p>
    <w:p w:rsidR="00F561EB" w:rsidRDefault="00F561EB" w:rsidP="00F561EB">
      <w:pPr>
        <w:rPr>
          <w:rFonts w:ascii="Times New Roman" w:hAnsi="Times New Roman" w:cs="Times New Roman"/>
          <w:bCs/>
          <w:sz w:val="24"/>
          <w:szCs w:val="24"/>
        </w:rPr>
      </w:pPr>
      <w:r w:rsidRPr="00FD174F">
        <w:rPr>
          <w:rFonts w:ascii="Times New Roman" w:hAnsi="Times New Roman" w:cs="Times New Roman"/>
          <w:bCs/>
          <w:sz w:val="24"/>
          <w:szCs w:val="24"/>
        </w:rPr>
        <w:t xml:space="preserve">The ADGSM is </w:t>
      </w:r>
      <w:r>
        <w:rPr>
          <w:rFonts w:ascii="Times New Roman" w:hAnsi="Times New Roman" w:cs="Times New Roman"/>
          <w:bCs/>
          <w:sz w:val="24"/>
          <w:szCs w:val="24"/>
        </w:rPr>
        <w:t xml:space="preserve">also </w:t>
      </w:r>
      <w:r w:rsidRPr="00FD174F">
        <w:rPr>
          <w:rFonts w:ascii="Times New Roman" w:hAnsi="Times New Roman" w:cs="Times New Roman"/>
          <w:bCs/>
          <w:sz w:val="24"/>
          <w:szCs w:val="24"/>
        </w:rPr>
        <w:t xml:space="preserve">part of a comprehensive work programme designed to bring on more supply and improve the operation of the gas market. </w:t>
      </w:r>
      <w:r w:rsidRPr="00BA49DE">
        <w:rPr>
          <w:rFonts w:ascii="Times New Roman" w:hAnsi="Times New Roman" w:cs="Times New Roman"/>
          <w:bCs/>
          <w:sz w:val="24"/>
          <w:szCs w:val="24"/>
        </w:rPr>
        <w:t xml:space="preserve">The Government will provide close to $93 million over the next four years to increase gas production and support affordable energy prices. </w:t>
      </w:r>
    </w:p>
    <w:p w:rsidR="00F561EB" w:rsidRPr="006E20F6" w:rsidRDefault="00F561EB" w:rsidP="00F561EB">
      <w:pPr>
        <w:rPr>
          <w:rFonts w:ascii="Times New Roman" w:hAnsi="Times New Roman" w:cs="Times New Roman"/>
          <w:bCs/>
          <w:sz w:val="24"/>
          <w:szCs w:val="24"/>
        </w:rPr>
      </w:pPr>
      <w:r w:rsidRPr="00BA49DE">
        <w:rPr>
          <w:rFonts w:ascii="Times New Roman" w:hAnsi="Times New Roman" w:cs="Times New Roman"/>
          <w:bCs/>
          <w:sz w:val="24"/>
          <w:szCs w:val="24"/>
        </w:rPr>
        <w:t xml:space="preserve">The Australian Government is working closely with the Australian Energy Market Operator (AEMO) to implement a </w:t>
      </w:r>
      <w:proofErr w:type="gramStart"/>
      <w:r w:rsidRPr="00BA49DE">
        <w:rPr>
          <w:rFonts w:ascii="Times New Roman" w:hAnsi="Times New Roman" w:cs="Times New Roman"/>
          <w:bCs/>
          <w:sz w:val="24"/>
          <w:szCs w:val="24"/>
        </w:rPr>
        <w:t>gas peak supply guarantee</w:t>
      </w:r>
      <w:proofErr w:type="gramEnd"/>
      <w:r w:rsidRPr="00BA49DE">
        <w:rPr>
          <w:rFonts w:ascii="Times New Roman" w:hAnsi="Times New Roman" w:cs="Times New Roman"/>
          <w:bCs/>
          <w:sz w:val="24"/>
          <w:szCs w:val="24"/>
        </w:rPr>
        <w:t xml:space="preserve"> to ensure gas is available during periods of peak demand. The </w:t>
      </w:r>
      <w:r>
        <w:rPr>
          <w:rFonts w:ascii="Times New Roman" w:hAnsi="Times New Roman" w:cs="Times New Roman"/>
          <w:bCs/>
          <w:sz w:val="24"/>
          <w:szCs w:val="24"/>
        </w:rPr>
        <w:t>gas peak supply guarantee</w:t>
      </w:r>
      <w:r w:rsidRPr="00BA49DE">
        <w:rPr>
          <w:rFonts w:ascii="Times New Roman" w:hAnsi="Times New Roman" w:cs="Times New Roman"/>
          <w:bCs/>
          <w:sz w:val="24"/>
          <w:szCs w:val="24"/>
        </w:rPr>
        <w:t xml:space="preserve"> work led by AEMO involves a guarantee by gas producers that gas </w:t>
      </w:r>
      <w:proofErr w:type="gramStart"/>
      <w:r w:rsidRPr="00BA49DE">
        <w:rPr>
          <w:rFonts w:ascii="Times New Roman" w:hAnsi="Times New Roman" w:cs="Times New Roman"/>
          <w:bCs/>
          <w:sz w:val="24"/>
          <w:szCs w:val="24"/>
        </w:rPr>
        <w:t>will be made</w:t>
      </w:r>
      <w:proofErr w:type="gramEnd"/>
      <w:r w:rsidRPr="00BA49DE">
        <w:rPr>
          <w:rFonts w:ascii="Times New Roman" w:hAnsi="Times New Roman" w:cs="Times New Roman"/>
          <w:bCs/>
          <w:sz w:val="24"/>
          <w:szCs w:val="24"/>
        </w:rPr>
        <w:t xml:space="preserve"> available to the national electricity market during peak periods. It </w:t>
      </w:r>
      <w:proofErr w:type="gramStart"/>
      <w:r w:rsidRPr="00BA49DE">
        <w:rPr>
          <w:rFonts w:ascii="Times New Roman" w:hAnsi="Times New Roman" w:cs="Times New Roman"/>
          <w:bCs/>
          <w:sz w:val="24"/>
          <w:szCs w:val="24"/>
        </w:rPr>
        <w:t>is being implemented</w:t>
      </w:r>
      <w:proofErr w:type="gramEnd"/>
      <w:r w:rsidRPr="00BA49DE">
        <w:rPr>
          <w:rFonts w:ascii="Times New Roman" w:hAnsi="Times New Roman" w:cs="Times New Roman"/>
          <w:bCs/>
          <w:sz w:val="24"/>
          <w:szCs w:val="24"/>
        </w:rPr>
        <w:t xml:space="preserve"> in states and territories through the Council of Australian Governments </w:t>
      </w:r>
      <w:r>
        <w:rPr>
          <w:rFonts w:ascii="Times New Roman" w:hAnsi="Times New Roman" w:cs="Times New Roman"/>
          <w:bCs/>
          <w:sz w:val="24"/>
          <w:szCs w:val="24"/>
        </w:rPr>
        <w:t xml:space="preserve">(COAG) </w:t>
      </w:r>
      <w:r w:rsidRPr="00BA49DE">
        <w:rPr>
          <w:rFonts w:ascii="Times New Roman" w:hAnsi="Times New Roman" w:cs="Times New Roman"/>
          <w:bCs/>
          <w:sz w:val="24"/>
          <w:szCs w:val="24"/>
        </w:rPr>
        <w:t>Energy Council.</w:t>
      </w:r>
      <w:r w:rsidRPr="006E20F6">
        <w:rPr>
          <w:rFonts w:ascii="Times New Roman" w:hAnsi="Times New Roman" w:cs="Times New Roman"/>
          <w:bCs/>
          <w:sz w:val="24"/>
          <w:szCs w:val="24"/>
        </w:rPr>
        <w:t xml:space="preserve">  </w:t>
      </w:r>
    </w:p>
    <w:p w:rsidR="00F561EB" w:rsidRPr="006E20F6" w:rsidRDefault="00F561EB" w:rsidP="00F561EB">
      <w:pPr>
        <w:rPr>
          <w:rFonts w:ascii="Times New Roman" w:hAnsi="Times New Roman" w:cs="Times New Roman"/>
          <w:bCs/>
          <w:sz w:val="24"/>
          <w:szCs w:val="24"/>
        </w:rPr>
      </w:pPr>
      <w:r w:rsidRPr="006E20F6">
        <w:rPr>
          <w:rFonts w:ascii="Times New Roman" w:hAnsi="Times New Roman" w:cs="Times New Roman"/>
          <w:bCs/>
          <w:sz w:val="24"/>
          <w:szCs w:val="24"/>
        </w:rPr>
        <w:t xml:space="preserve">The Australian Government </w:t>
      </w:r>
      <w:r>
        <w:rPr>
          <w:rFonts w:ascii="Times New Roman" w:hAnsi="Times New Roman" w:cs="Times New Roman"/>
          <w:bCs/>
          <w:sz w:val="24"/>
          <w:szCs w:val="24"/>
        </w:rPr>
        <w:t>will provide</w:t>
      </w:r>
      <w:r w:rsidRPr="006E20F6">
        <w:rPr>
          <w:rFonts w:ascii="Times New Roman" w:hAnsi="Times New Roman" w:cs="Times New Roman"/>
          <w:bCs/>
          <w:sz w:val="24"/>
          <w:szCs w:val="24"/>
        </w:rPr>
        <w:t xml:space="preserve"> $6.6 million to the </w:t>
      </w:r>
      <w:r>
        <w:rPr>
          <w:rFonts w:ascii="Times New Roman" w:hAnsi="Times New Roman" w:cs="Times New Roman"/>
          <w:bCs/>
          <w:sz w:val="24"/>
          <w:szCs w:val="24"/>
        </w:rPr>
        <w:t>Australian Competition and Consumer Commission (</w:t>
      </w:r>
      <w:r w:rsidRPr="006E20F6">
        <w:rPr>
          <w:rFonts w:ascii="Times New Roman" w:hAnsi="Times New Roman" w:cs="Times New Roman"/>
          <w:bCs/>
          <w:sz w:val="24"/>
          <w:szCs w:val="24"/>
        </w:rPr>
        <w:t>ACCC</w:t>
      </w:r>
      <w:r>
        <w:rPr>
          <w:rFonts w:ascii="Times New Roman" w:hAnsi="Times New Roman" w:cs="Times New Roman"/>
          <w:bCs/>
          <w:sz w:val="24"/>
          <w:szCs w:val="24"/>
        </w:rPr>
        <w:t>)</w:t>
      </w:r>
      <w:r w:rsidRPr="006E20F6">
        <w:rPr>
          <w:rFonts w:ascii="Times New Roman" w:hAnsi="Times New Roman" w:cs="Times New Roman"/>
          <w:bCs/>
          <w:sz w:val="24"/>
          <w:szCs w:val="24"/>
        </w:rPr>
        <w:t xml:space="preserve"> to conduct a wide-ranging inquiry into the supply of and demand for wholesale gas in Australia, as well as to publish regular information on the supply and pricing of gas for the next three years. Matters to </w:t>
      </w:r>
      <w:proofErr w:type="gramStart"/>
      <w:r w:rsidRPr="006E20F6">
        <w:rPr>
          <w:rFonts w:ascii="Times New Roman" w:hAnsi="Times New Roman" w:cs="Times New Roman"/>
          <w:bCs/>
          <w:sz w:val="24"/>
          <w:szCs w:val="24"/>
        </w:rPr>
        <w:t>be considered</w:t>
      </w:r>
      <w:proofErr w:type="gramEnd"/>
      <w:r w:rsidRPr="006E20F6">
        <w:rPr>
          <w:rFonts w:ascii="Times New Roman" w:hAnsi="Times New Roman" w:cs="Times New Roman"/>
          <w:bCs/>
          <w:sz w:val="24"/>
          <w:szCs w:val="24"/>
        </w:rPr>
        <w:t xml:space="preserve"> by the inquiry will include:</w:t>
      </w:r>
    </w:p>
    <w:p w:rsidR="00F561EB" w:rsidRPr="00973451" w:rsidRDefault="00F561EB" w:rsidP="0066381C">
      <w:pPr>
        <w:pStyle w:val="ListParagraph"/>
        <w:numPr>
          <w:ilvl w:val="0"/>
          <w:numId w:val="5"/>
        </w:numPr>
        <w:rPr>
          <w:rFonts w:ascii="Times New Roman" w:hAnsi="Times New Roman" w:cs="Times New Roman"/>
          <w:bCs/>
          <w:sz w:val="24"/>
          <w:szCs w:val="24"/>
        </w:rPr>
      </w:pPr>
      <w:r w:rsidRPr="00973451">
        <w:rPr>
          <w:rFonts w:ascii="Times New Roman" w:hAnsi="Times New Roman" w:cs="Times New Roman"/>
          <w:bCs/>
          <w:sz w:val="24"/>
          <w:szCs w:val="24"/>
        </w:rPr>
        <w:t>the pricing and availability of offers to supply gas</w:t>
      </w:r>
      <w:r>
        <w:rPr>
          <w:rFonts w:ascii="Times New Roman" w:hAnsi="Times New Roman" w:cs="Times New Roman"/>
          <w:bCs/>
          <w:sz w:val="24"/>
          <w:szCs w:val="24"/>
        </w:rPr>
        <w:t>;</w:t>
      </w:r>
    </w:p>
    <w:p w:rsidR="00F561EB" w:rsidRPr="00973451" w:rsidRDefault="00F561EB" w:rsidP="0066381C">
      <w:pPr>
        <w:pStyle w:val="ListParagraph"/>
        <w:numPr>
          <w:ilvl w:val="0"/>
          <w:numId w:val="5"/>
        </w:numPr>
        <w:rPr>
          <w:rFonts w:ascii="Times New Roman" w:hAnsi="Times New Roman" w:cs="Times New Roman"/>
          <w:bCs/>
          <w:sz w:val="24"/>
          <w:szCs w:val="24"/>
        </w:rPr>
      </w:pPr>
      <w:r w:rsidRPr="00973451">
        <w:rPr>
          <w:rFonts w:ascii="Times New Roman" w:hAnsi="Times New Roman" w:cs="Times New Roman"/>
          <w:bCs/>
          <w:sz w:val="24"/>
          <w:szCs w:val="24"/>
        </w:rPr>
        <w:lastRenderedPageBreak/>
        <w:t>the volumes of gas supplied or available for current or future supply, including natural gas extracted or produced in Australia, or imported into Australia</w:t>
      </w:r>
      <w:r>
        <w:rPr>
          <w:rFonts w:ascii="Times New Roman" w:hAnsi="Times New Roman" w:cs="Times New Roman"/>
          <w:bCs/>
          <w:sz w:val="24"/>
          <w:szCs w:val="24"/>
        </w:rPr>
        <w:t>;</w:t>
      </w:r>
    </w:p>
    <w:p w:rsidR="00F561EB" w:rsidRPr="00973451" w:rsidRDefault="00F561EB" w:rsidP="0066381C">
      <w:pPr>
        <w:pStyle w:val="ListParagraph"/>
        <w:numPr>
          <w:ilvl w:val="0"/>
          <w:numId w:val="5"/>
        </w:numPr>
        <w:rPr>
          <w:rFonts w:ascii="Times New Roman" w:hAnsi="Times New Roman" w:cs="Times New Roman"/>
          <w:bCs/>
          <w:sz w:val="24"/>
          <w:szCs w:val="24"/>
        </w:rPr>
      </w:pPr>
      <w:r w:rsidRPr="00973451">
        <w:rPr>
          <w:rFonts w:ascii="Times New Roman" w:hAnsi="Times New Roman" w:cs="Times New Roman"/>
          <w:bCs/>
          <w:sz w:val="24"/>
          <w:szCs w:val="24"/>
        </w:rPr>
        <w:t>the pricing, volume and availability of gas for domestic supply, compared to the pricing, volume and availability of gas for export</w:t>
      </w:r>
      <w:r>
        <w:rPr>
          <w:rFonts w:ascii="Times New Roman" w:hAnsi="Times New Roman" w:cs="Times New Roman"/>
          <w:bCs/>
          <w:sz w:val="24"/>
          <w:szCs w:val="24"/>
        </w:rPr>
        <w:t>; and</w:t>
      </w:r>
    </w:p>
    <w:p w:rsidR="00F561EB" w:rsidRPr="00973451" w:rsidRDefault="00F561EB" w:rsidP="0066381C">
      <w:pPr>
        <w:pStyle w:val="ListParagraph"/>
        <w:numPr>
          <w:ilvl w:val="0"/>
          <w:numId w:val="5"/>
        </w:numPr>
        <w:rPr>
          <w:rFonts w:ascii="Times New Roman" w:hAnsi="Times New Roman" w:cs="Times New Roman"/>
          <w:bCs/>
          <w:sz w:val="24"/>
          <w:szCs w:val="24"/>
        </w:rPr>
      </w:pPr>
      <w:r w:rsidRPr="00973451">
        <w:rPr>
          <w:rFonts w:ascii="Times New Roman" w:hAnsi="Times New Roman" w:cs="Times New Roman"/>
          <w:bCs/>
          <w:sz w:val="24"/>
          <w:szCs w:val="24"/>
        </w:rPr>
        <w:t>the pricing, volume and availability of other goods or services, such as goods or services for drilling, storing or processing gas, that enable, assist or facilitate the supply of gas or gas transportation services in Australia.</w:t>
      </w:r>
    </w:p>
    <w:p w:rsidR="00F561EB" w:rsidRPr="006E20F6" w:rsidRDefault="00F561EB" w:rsidP="00F561EB">
      <w:pPr>
        <w:rPr>
          <w:rFonts w:ascii="Times New Roman" w:hAnsi="Times New Roman" w:cs="Times New Roman"/>
          <w:bCs/>
          <w:sz w:val="24"/>
          <w:szCs w:val="24"/>
        </w:rPr>
      </w:pPr>
      <w:r w:rsidRPr="006E20F6">
        <w:rPr>
          <w:rFonts w:ascii="Times New Roman" w:hAnsi="Times New Roman" w:cs="Times New Roman"/>
          <w:bCs/>
          <w:sz w:val="24"/>
          <w:szCs w:val="24"/>
        </w:rPr>
        <w:t>The ACCC inquiry will place significantly more pressure on wholesale and retail traders to be transparent in pricing, and to be fair and reasonable in c</w:t>
      </w:r>
      <w:r>
        <w:rPr>
          <w:rFonts w:ascii="Times New Roman" w:hAnsi="Times New Roman" w:cs="Times New Roman"/>
          <w:bCs/>
          <w:sz w:val="24"/>
          <w:szCs w:val="24"/>
        </w:rPr>
        <w:t xml:space="preserve">ontracting with gas consumers. The Government is prepared to respond should the information in the ACCC review suggest that action is required to promote fair and reasonable market outcomes. </w:t>
      </w:r>
    </w:p>
    <w:p w:rsidR="00F561EB" w:rsidRPr="00973451" w:rsidRDefault="00F561EB" w:rsidP="00F561EB">
      <w:pPr>
        <w:rPr>
          <w:rFonts w:ascii="Times New Roman" w:hAnsi="Times New Roman" w:cs="Times New Roman"/>
          <w:bCs/>
          <w:sz w:val="24"/>
          <w:szCs w:val="24"/>
        </w:rPr>
      </w:pPr>
      <w:r w:rsidRPr="006E20F6">
        <w:rPr>
          <w:rFonts w:ascii="Times New Roman" w:hAnsi="Times New Roman" w:cs="Times New Roman"/>
          <w:bCs/>
          <w:sz w:val="24"/>
          <w:szCs w:val="24"/>
        </w:rPr>
        <w:t xml:space="preserve">The </w:t>
      </w:r>
      <w:r>
        <w:rPr>
          <w:rFonts w:ascii="Times New Roman" w:hAnsi="Times New Roman" w:cs="Times New Roman"/>
          <w:bCs/>
          <w:sz w:val="24"/>
          <w:szCs w:val="24"/>
        </w:rPr>
        <w:t xml:space="preserve">Australian </w:t>
      </w:r>
      <w:r w:rsidRPr="006E20F6">
        <w:rPr>
          <w:rFonts w:ascii="Times New Roman" w:hAnsi="Times New Roman" w:cs="Times New Roman"/>
          <w:bCs/>
          <w:sz w:val="24"/>
          <w:szCs w:val="24"/>
        </w:rPr>
        <w:t xml:space="preserve">Government </w:t>
      </w:r>
      <w:r>
        <w:rPr>
          <w:rFonts w:ascii="Times New Roman" w:hAnsi="Times New Roman" w:cs="Times New Roman"/>
          <w:bCs/>
          <w:sz w:val="24"/>
          <w:szCs w:val="24"/>
        </w:rPr>
        <w:t>will also provide</w:t>
      </w:r>
      <w:r w:rsidRPr="006E20F6">
        <w:rPr>
          <w:rFonts w:ascii="Times New Roman" w:hAnsi="Times New Roman" w:cs="Times New Roman"/>
          <w:bCs/>
          <w:sz w:val="24"/>
          <w:szCs w:val="24"/>
        </w:rPr>
        <w:t xml:space="preserve"> $28.7 million for a package to accelerate the responsible development of onshore gas for the domestic market</w:t>
      </w:r>
      <w:r>
        <w:rPr>
          <w:rFonts w:ascii="Times New Roman" w:hAnsi="Times New Roman" w:cs="Times New Roman"/>
          <w:bCs/>
          <w:sz w:val="24"/>
          <w:szCs w:val="24"/>
        </w:rPr>
        <w:t>.</w:t>
      </w:r>
      <w:r w:rsidRPr="006E20F6">
        <w:rPr>
          <w:rFonts w:ascii="Times New Roman" w:hAnsi="Times New Roman" w:cs="Times New Roman"/>
          <w:bCs/>
          <w:sz w:val="24"/>
          <w:szCs w:val="24"/>
        </w:rPr>
        <w:t xml:space="preserve"> This package contains a $26 million Gas Acceleration Program (GAP) that will provide grants directly to the states and </w:t>
      </w:r>
      <w:r>
        <w:rPr>
          <w:rFonts w:ascii="Times New Roman" w:hAnsi="Times New Roman" w:cs="Times New Roman"/>
          <w:bCs/>
          <w:sz w:val="24"/>
          <w:szCs w:val="24"/>
        </w:rPr>
        <w:t xml:space="preserve">the </w:t>
      </w:r>
      <w:r w:rsidRPr="006E20F6">
        <w:rPr>
          <w:rFonts w:ascii="Times New Roman" w:hAnsi="Times New Roman" w:cs="Times New Roman"/>
          <w:bCs/>
          <w:sz w:val="24"/>
          <w:szCs w:val="24"/>
        </w:rPr>
        <w:t xml:space="preserve">Northern Territory. The Australian Government will provide $2.7 million </w:t>
      </w:r>
      <w:proofErr w:type="gramStart"/>
      <w:r w:rsidRPr="006E20F6">
        <w:rPr>
          <w:rFonts w:ascii="Times New Roman" w:hAnsi="Times New Roman" w:cs="Times New Roman"/>
          <w:bCs/>
          <w:sz w:val="24"/>
          <w:szCs w:val="24"/>
        </w:rPr>
        <w:t>to fully fund</w:t>
      </w:r>
      <w:proofErr w:type="gramEnd"/>
      <w:r w:rsidRPr="006E20F6">
        <w:rPr>
          <w:rFonts w:ascii="Times New Roman" w:hAnsi="Times New Roman" w:cs="Times New Roman"/>
          <w:bCs/>
          <w:sz w:val="24"/>
          <w:szCs w:val="24"/>
        </w:rPr>
        <w:t xml:space="preserve"> three initiatives, delivered through the COAG Energy Council, to ensure a fair return to landowners. </w:t>
      </w:r>
    </w:p>
    <w:p w:rsidR="00F561EB" w:rsidRPr="006E20F6" w:rsidRDefault="00F561EB" w:rsidP="00F561EB">
      <w:pPr>
        <w:rPr>
          <w:rFonts w:ascii="Times New Roman" w:hAnsi="Times New Roman" w:cs="Times New Roman"/>
          <w:bCs/>
          <w:sz w:val="24"/>
          <w:szCs w:val="24"/>
        </w:rPr>
      </w:pPr>
      <w:r w:rsidRPr="006E20F6">
        <w:rPr>
          <w:rFonts w:ascii="Times New Roman" w:hAnsi="Times New Roman" w:cs="Times New Roman"/>
          <w:bCs/>
          <w:sz w:val="24"/>
          <w:szCs w:val="24"/>
        </w:rPr>
        <w:t xml:space="preserve">The </w:t>
      </w:r>
      <w:r>
        <w:rPr>
          <w:rFonts w:ascii="Times New Roman" w:hAnsi="Times New Roman" w:cs="Times New Roman"/>
          <w:bCs/>
          <w:sz w:val="24"/>
          <w:szCs w:val="24"/>
        </w:rPr>
        <w:t xml:space="preserve">Australian </w:t>
      </w:r>
      <w:r w:rsidRPr="006E20F6">
        <w:rPr>
          <w:rFonts w:ascii="Times New Roman" w:hAnsi="Times New Roman" w:cs="Times New Roman"/>
          <w:bCs/>
          <w:sz w:val="24"/>
          <w:szCs w:val="24"/>
        </w:rPr>
        <w:t xml:space="preserve">Government </w:t>
      </w:r>
      <w:r>
        <w:rPr>
          <w:rFonts w:ascii="Times New Roman" w:hAnsi="Times New Roman" w:cs="Times New Roman"/>
          <w:bCs/>
          <w:sz w:val="24"/>
          <w:szCs w:val="24"/>
        </w:rPr>
        <w:t>will also provide</w:t>
      </w:r>
      <w:r w:rsidRPr="006E20F6">
        <w:rPr>
          <w:rFonts w:ascii="Times New Roman" w:hAnsi="Times New Roman" w:cs="Times New Roman"/>
          <w:bCs/>
          <w:sz w:val="24"/>
          <w:szCs w:val="24"/>
        </w:rPr>
        <w:t xml:space="preserve"> $30.4 million over four years to </w:t>
      </w:r>
      <w:r>
        <w:rPr>
          <w:rFonts w:ascii="Times New Roman" w:hAnsi="Times New Roman" w:cs="Times New Roman"/>
          <w:bCs/>
          <w:sz w:val="24"/>
          <w:szCs w:val="24"/>
        </w:rPr>
        <w:t xml:space="preserve">enable </w:t>
      </w:r>
      <w:r w:rsidRPr="006E20F6">
        <w:rPr>
          <w:rFonts w:ascii="Times New Roman" w:hAnsi="Times New Roman" w:cs="Times New Roman"/>
          <w:bCs/>
          <w:sz w:val="24"/>
          <w:szCs w:val="24"/>
        </w:rPr>
        <w:t>the CSIRO and Geoscience Australia</w:t>
      </w:r>
      <w:r>
        <w:rPr>
          <w:rFonts w:ascii="Times New Roman" w:hAnsi="Times New Roman" w:cs="Times New Roman"/>
          <w:bCs/>
          <w:sz w:val="24"/>
          <w:szCs w:val="24"/>
        </w:rPr>
        <w:t xml:space="preserve"> to </w:t>
      </w:r>
      <w:r w:rsidRPr="006E20F6">
        <w:rPr>
          <w:rFonts w:ascii="Times New Roman" w:hAnsi="Times New Roman" w:cs="Times New Roman"/>
          <w:bCs/>
          <w:sz w:val="24"/>
          <w:szCs w:val="24"/>
        </w:rPr>
        <w:t xml:space="preserve">undertake combined bioregional and geological assessments. This work will identify the potential impacts </w:t>
      </w:r>
      <w:r>
        <w:rPr>
          <w:rFonts w:ascii="Times New Roman" w:hAnsi="Times New Roman" w:cs="Times New Roman"/>
          <w:bCs/>
          <w:sz w:val="24"/>
          <w:szCs w:val="24"/>
        </w:rPr>
        <w:t xml:space="preserve">of gas development </w:t>
      </w:r>
      <w:r w:rsidRPr="006E20F6">
        <w:rPr>
          <w:rFonts w:ascii="Times New Roman" w:hAnsi="Times New Roman" w:cs="Times New Roman"/>
          <w:bCs/>
          <w:sz w:val="24"/>
          <w:szCs w:val="24"/>
        </w:rPr>
        <w:t xml:space="preserve">on water resources and other environmental assets.  </w:t>
      </w:r>
    </w:p>
    <w:p w:rsidR="00F561EB" w:rsidRDefault="00F561EB" w:rsidP="00F561EB">
      <w:pPr>
        <w:rPr>
          <w:rFonts w:ascii="Times New Roman" w:hAnsi="Times New Roman" w:cs="Times New Roman"/>
          <w:bCs/>
          <w:sz w:val="24"/>
          <w:szCs w:val="24"/>
        </w:rPr>
      </w:pPr>
      <w:r w:rsidRPr="006E20F6">
        <w:rPr>
          <w:rFonts w:ascii="Times New Roman" w:hAnsi="Times New Roman" w:cs="Times New Roman"/>
          <w:bCs/>
          <w:sz w:val="24"/>
          <w:szCs w:val="24"/>
        </w:rPr>
        <w:t xml:space="preserve">To improve gas market efficiency and transparency, the </w:t>
      </w:r>
      <w:r>
        <w:rPr>
          <w:rFonts w:ascii="Times New Roman" w:hAnsi="Times New Roman" w:cs="Times New Roman"/>
          <w:bCs/>
          <w:sz w:val="24"/>
          <w:szCs w:val="24"/>
        </w:rPr>
        <w:t xml:space="preserve">Australian </w:t>
      </w:r>
      <w:r w:rsidRPr="006E20F6">
        <w:rPr>
          <w:rFonts w:ascii="Times New Roman" w:hAnsi="Times New Roman" w:cs="Times New Roman"/>
          <w:bCs/>
          <w:sz w:val="24"/>
          <w:szCs w:val="24"/>
        </w:rPr>
        <w:t xml:space="preserve">Government has allocated $19.6 million over four years from 2017-18 to the Gas Market Reform Group to accelerate reforms agreed by the COAG Energy Council. </w:t>
      </w:r>
    </w:p>
    <w:p w:rsidR="00F561EB" w:rsidRPr="006E20F6" w:rsidRDefault="00F561EB" w:rsidP="00F561EB">
      <w:pPr>
        <w:rPr>
          <w:rFonts w:ascii="Times New Roman" w:hAnsi="Times New Roman" w:cs="Times New Roman"/>
          <w:bCs/>
          <w:sz w:val="24"/>
          <w:szCs w:val="24"/>
        </w:rPr>
      </w:pPr>
      <w:r w:rsidRPr="006E20F6">
        <w:rPr>
          <w:rFonts w:ascii="Times New Roman" w:hAnsi="Times New Roman" w:cs="Times New Roman"/>
          <w:bCs/>
          <w:sz w:val="24"/>
          <w:szCs w:val="24"/>
        </w:rPr>
        <w:t xml:space="preserve">The package also includes $7.6 million in 2017-18 </w:t>
      </w:r>
      <w:proofErr w:type="gramStart"/>
      <w:r w:rsidRPr="006E20F6">
        <w:rPr>
          <w:rFonts w:ascii="Times New Roman" w:hAnsi="Times New Roman" w:cs="Times New Roman"/>
          <w:bCs/>
          <w:sz w:val="24"/>
          <w:szCs w:val="24"/>
        </w:rPr>
        <w:t>for</w:t>
      </w:r>
      <w:proofErr w:type="gramEnd"/>
      <w:r w:rsidRPr="006E20F6">
        <w:rPr>
          <w:rFonts w:ascii="Times New Roman" w:hAnsi="Times New Roman" w:cs="Times New Roman"/>
          <w:bCs/>
          <w:sz w:val="24"/>
          <w:szCs w:val="24"/>
        </w:rPr>
        <w:t>:</w:t>
      </w:r>
    </w:p>
    <w:p w:rsidR="00F561EB" w:rsidRPr="00973451" w:rsidRDefault="00F561EB" w:rsidP="0066381C">
      <w:pPr>
        <w:pStyle w:val="ListParagraph"/>
        <w:numPr>
          <w:ilvl w:val="0"/>
          <w:numId w:val="6"/>
        </w:numPr>
        <w:rPr>
          <w:rFonts w:ascii="Times New Roman" w:hAnsi="Times New Roman" w:cs="Times New Roman"/>
          <w:bCs/>
          <w:sz w:val="24"/>
          <w:szCs w:val="24"/>
        </w:rPr>
      </w:pPr>
      <w:r w:rsidRPr="00973451">
        <w:rPr>
          <w:rFonts w:ascii="Times New Roman" w:hAnsi="Times New Roman" w:cs="Times New Roman"/>
          <w:bCs/>
          <w:sz w:val="24"/>
          <w:szCs w:val="24"/>
        </w:rPr>
        <w:t xml:space="preserve">pre-feasibility studies and cost benefit analyses of two potential gas pipelines to South Australia; </w:t>
      </w:r>
    </w:p>
    <w:p w:rsidR="00F561EB" w:rsidRPr="00973451" w:rsidRDefault="00F561EB" w:rsidP="0066381C">
      <w:pPr>
        <w:pStyle w:val="ListParagraph"/>
        <w:numPr>
          <w:ilvl w:val="0"/>
          <w:numId w:val="6"/>
        </w:numPr>
        <w:rPr>
          <w:rFonts w:ascii="Times New Roman" w:hAnsi="Times New Roman" w:cs="Times New Roman"/>
          <w:bCs/>
          <w:sz w:val="24"/>
          <w:szCs w:val="24"/>
        </w:rPr>
      </w:pPr>
      <w:r w:rsidRPr="00973451">
        <w:rPr>
          <w:rFonts w:ascii="Times New Roman" w:hAnsi="Times New Roman" w:cs="Times New Roman"/>
          <w:bCs/>
          <w:sz w:val="24"/>
          <w:szCs w:val="24"/>
        </w:rPr>
        <w:t>AEMO to undertake a scoping study of potential improvements to the National Gas Services Bulletin Board that would allow users to view real-time data about gas availability;</w:t>
      </w:r>
    </w:p>
    <w:p w:rsidR="00F561EB" w:rsidRPr="00973451" w:rsidRDefault="00F561EB" w:rsidP="0066381C">
      <w:pPr>
        <w:pStyle w:val="ListParagraph"/>
        <w:numPr>
          <w:ilvl w:val="0"/>
          <w:numId w:val="6"/>
        </w:numPr>
        <w:rPr>
          <w:rFonts w:ascii="Times New Roman" w:hAnsi="Times New Roman" w:cs="Times New Roman"/>
          <w:bCs/>
          <w:sz w:val="24"/>
          <w:szCs w:val="24"/>
        </w:rPr>
      </w:pPr>
      <w:r>
        <w:rPr>
          <w:rFonts w:ascii="Times New Roman" w:hAnsi="Times New Roman" w:cs="Times New Roman"/>
          <w:bCs/>
          <w:sz w:val="24"/>
          <w:szCs w:val="24"/>
        </w:rPr>
        <w:t>a</w:t>
      </w:r>
      <w:r w:rsidRPr="00973451">
        <w:rPr>
          <w:rFonts w:ascii="Times New Roman" w:hAnsi="Times New Roman" w:cs="Times New Roman"/>
          <w:bCs/>
          <w:sz w:val="24"/>
          <w:szCs w:val="24"/>
        </w:rPr>
        <w:t>n examination of the constraints on increased gas supply on the east coast of Australia; and</w:t>
      </w:r>
    </w:p>
    <w:p w:rsidR="00F561EB" w:rsidRPr="00973451" w:rsidRDefault="00F561EB" w:rsidP="0066381C">
      <w:pPr>
        <w:pStyle w:val="ListParagraph"/>
        <w:numPr>
          <w:ilvl w:val="0"/>
          <w:numId w:val="6"/>
        </w:numPr>
        <w:rPr>
          <w:rFonts w:ascii="Times New Roman" w:hAnsi="Times New Roman" w:cs="Times New Roman"/>
          <w:bCs/>
          <w:sz w:val="24"/>
          <w:szCs w:val="24"/>
        </w:rPr>
      </w:pPr>
      <w:proofErr w:type="gramStart"/>
      <w:r>
        <w:rPr>
          <w:rFonts w:ascii="Times New Roman" w:hAnsi="Times New Roman" w:cs="Times New Roman"/>
          <w:bCs/>
          <w:sz w:val="24"/>
          <w:szCs w:val="24"/>
        </w:rPr>
        <w:t>a</w:t>
      </w:r>
      <w:proofErr w:type="gramEnd"/>
      <w:r w:rsidRPr="00973451">
        <w:rPr>
          <w:rFonts w:ascii="Times New Roman" w:hAnsi="Times New Roman" w:cs="Times New Roman"/>
          <w:bCs/>
          <w:sz w:val="24"/>
          <w:szCs w:val="24"/>
        </w:rPr>
        <w:t xml:space="preserve"> detailed study of current and potential gas production in offshore south eastern Australia.</w:t>
      </w:r>
    </w:p>
    <w:p w:rsidR="00F561EB" w:rsidRPr="006E20F6" w:rsidRDefault="00F561EB" w:rsidP="00F561EB">
      <w:pPr>
        <w:rPr>
          <w:rFonts w:ascii="Times New Roman" w:hAnsi="Times New Roman" w:cs="Times New Roman"/>
          <w:bCs/>
          <w:sz w:val="24"/>
          <w:szCs w:val="24"/>
        </w:rPr>
      </w:pPr>
      <w:r w:rsidRPr="006E20F6">
        <w:rPr>
          <w:rFonts w:ascii="Times New Roman" w:hAnsi="Times New Roman" w:cs="Times New Roman"/>
          <w:bCs/>
          <w:sz w:val="24"/>
          <w:szCs w:val="24"/>
        </w:rPr>
        <w:t xml:space="preserve">While this work will deliver credible improvements to the operation of the gas market and supply base, a </w:t>
      </w:r>
      <w:proofErr w:type="gramStart"/>
      <w:r w:rsidRPr="006E20F6">
        <w:rPr>
          <w:rFonts w:ascii="Times New Roman" w:hAnsi="Times New Roman" w:cs="Times New Roman"/>
          <w:bCs/>
          <w:sz w:val="24"/>
          <w:szCs w:val="24"/>
        </w:rPr>
        <w:t>long term</w:t>
      </w:r>
      <w:proofErr w:type="gramEnd"/>
      <w:r w:rsidRPr="006E20F6">
        <w:rPr>
          <w:rFonts w:ascii="Times New Roman" w:hAnsi="Times New Roman" w:cs="Times New Roman"/>
          <w:bCs/>
          <w:sz w:val="24"/>
          <w:szCs w:val="24"/>
        </w:rPr>
        <w:t xml:space="preserve"> solution to </w:t>
      </w:r>
      <w:r>
        <w:rPr>
          <w:rFonts w:ascii="Times New Roman" w:hAnsi="Times New Roman" w:cs="Times New Roman"/>
          <w:bCs/>
          <w:sz w:val="24"/>
          <w:szCs w:val="24"/>
        </w:rPr>
        <w:t>increase supply</w:t>
      </w:r>
      <w:r w:rsidRPr="006E20F6">
        <w:rPr>
          <w:rFonts w:ascii="Times New Roman" w:hAnsi="Times New Roman" w:cs="Times New Roman"/>
          <w:bCs/>
          <w:sz w:val="24"/>
          <w:szCs w:val="24"/>
        </w:rPr>
        <w:t xml:space="preserve"> must include the lifting of bans and restrictions on gas development imposed by some states and territories, </w:t>
      </w:r>
      <w:r>
        <w:rPr>
          <w:rFonts w:ascii="Times New Roman" w:hAnsi="Times New Roman" w:cs="Times New Roman"/>
          <w:bCs/>
          <w:sz w:val="24"/>
          <w:szCs w:val="24"/>
        </w:rPr>
        <w:t>which</w:t>
      </w:r>
      <w:r w:rsidRPr="006E20F6">
        <w:rPr>
          <w:rFonts w:ascii="Times New Roman" w:hAnsi="Times New Roman" w:cs="Times New Roman"/>
          <w:bCs/>
          <w:sz w:val="24"/>
          <w:szCs w:val="24"/>
        </w:rPr>
        <w:t xml:space="preserve"> are preventing new resources of gas from being developed</w:t>
      </w:r>
      <w:r w:rsidR="009F7852">
        <w:rPr>
          <w:rFonts w:ascii="Times New Roman" w:hAnsi="Times New Roman" w:cs="Times New Roman"/>
          <w:bCs/>
          <w:sz w:val="24"/>
          <w:szCs w:val="24"/>
        </w:rPr>
        <w:t xml:space="preserve"> and inhibiting much needed market competition</w:t>
      </w:r>
      <w:r w:rsidRPr="006E20F6">
        <w:rPr>
          <w:rFonts w:ascii="Times New Roman" w:hAnsi="Times New Roman" w:cs="Times New Roman"/>
          <w:bCs/>
          <w:sz w:val="24"/>
          <w:szCs w:val="24"/>
        </w:rPr>
        <w:t>.</w:t>
      </w:r>
    </w:p>
    <w:p w:rsidR="00F561EB" w:rsidRPr="00C07BFB" w:rsidRDefault="00F561EB" w:rsidP="00E61948">
      <w:pPr>
        <w:keepNext/>
        <w:rPr>
          <w:rFonts w:ascii="Times New Roman" w:hAnsi="Times New Roman" w:cs="Times New Roman"/>
          <w:i/>
          <w:sz w:val="24"/>
          <w:szCs w:val="24"/>
        </w:rPr>
      </w:pPr>
      <w:proofErr w:type="gramStart"/>
      <w:r w:rsidRPr="00783C54">
        <w:rPr>
          <w:rFonts w:ascii="Times New Roman" w:hAnsi="Times New Roman" w:cs="Times New Roman"/>
          <w:i/>
          <w:sz w:val="24"/>
          <w:szCs w:val="24"/>
        </w:rPr>
        <w:lastRenderedPageBreak/>
        <w:t>Decision making</w:t>
      </w:r>
      <w:proofErr w:type="gramEnd"/>
      <w:r w:rsidRPr="00783C54">
        <w:rPr>
          <w:rFonts w:ascii="Times New Roman" w:hAnsi="Times New Roman" w:cs="Times New Roman"/>
          <w:i/>
          <w:sz w:val="24"/>
          <w:szCs w:val="24"/>
        </w:rPr>
        <w:t xml:space="preserve"> </w:t>
      </w:r>
    </w:p>
    <w:p w:rsidR="00985506" w:rsidRDefault="00985506" w:rsidP="00985506">
      <w:pPr>
        <w:rPr>
          <w:rFonts w:ascii="Times New Roman" w:hAnsi="Times New Roman" w:cs="Times New Roman"/>
          <w:sz w:val="24"/>
          <w:szCs w:val="24"/>
        </w:rPr>
      </w:pPr>
      <w:r>
        <w:rPr>
          <w:rFonts w:ascii="Times New Roman" w:hAnsi="Times New Roman" w:cs="Times New Roman"/>
          <w:sz w:val="24"/>
          <w:szCs w:val="24"/>
        </w:rPr>
        <w:t xml:space="preserve">The ADGSM creates two decision points for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firstly, the power to determine when a year will be a domestic shortfall year; and secondly, the power to grant permissions to LNG exporters to export LNG in a domestic shortfall year. </w:t>
      </w:r>
    </w:p>
    <w:p w:rsidR="00985506" w:rsidRPr="00FD174F" w:rsidRDefault="00DE4869" w:rsidP="00985506">
      <w:pPr>
        <w:rPr>
          <w:rFonts w:ascii="Times New Roman" w:hAnsi="Times New Roman" w:cs="Times New Roman"/>
          <w:sz w:val="24"/>
          <w:szCs w:val="24"/>
        </w:rPr>
      </w:pPr>
      <w:r>
        <w:rPr>
          <w:rFonts w:ascii="Times New Roman" w:hAnsi="Times New Roman" w:cs="Times New Roman"/>
          <w:bCs/>
          <w:sz w:val="24"/>
          <w:szCs w:val="24"/>
        </w:rPr>
        <w:t>The Resources Minister</w:t>
      </w:r>
      <w:r w:rsidR="00985506">
        <w:rPr>
          <w:rFonts w:ascii="Times New Roman" w:hAnsi="Times New Roman" w:cs="Times New Roman"/>
          <w:bCs/>
          <w:sz w:val="24"/>
          <w:szCs w:val="24"/>
        </w:rPr>
        <w:t>’s</w:t>
      </w:r>
      <w:r w:rsidR="00985506" w:rsidRPr="00FD174F">
        <w:rPr>
          <w:rFonts w:ascii="Times New Roman" w:hAnsi="Times New Roman" w:cs="Times New Roman"/>
          <w:bCs/>
          <w:sz w:val="24"/>
          <w:szCs w:val="24"/>
        </w:rPr>
        <w:t xml:space="preserve"> determination </w:t>
      </w:r>
      <w:proofErr w:type="gramStart"/>
      <w:r w:rsidR="00985506" w:rsidRPr="00FD174F">
        <w:rPr>
          <w:rFonts w:ascii="Times New Roman" w:hAnsi="Times New Roman" w:cs="Times New Roman"/>
          <w:bCs/>
          <w:sz w:val="24"/>
          <w:szCs w:val="24"/>
        </w:rPr>
        <w:t>would be made</w:t>
      </w:r>
      <w:proofErr w:type="gramEnd"/>
      <w:r w:rsidR="00985506" w:rsidRPr="00FD174F">
        <w:rPr>
          <w:rFonts w:ascii="Times New Roman" w:hAnsi="Times New Roman" w:cs="Times New Roman"/>
          <w:bCs/>
          <w:sz w:val="24"/>
          <w:szCs w:val="24"/>
        </w:rPr>
        <w:t xml:space="preserve"> based on the best available information with regard to </w:t>
      </w:r>
      <w:r w:rsidR="00985506">
        <w:rPr>
          <w:rFonts w:ascii="Times New Roman" w:hAnsi="Times New Roman" w:cs="Times New Roman"/>
          <w:bCs/>
          <w:sz w:val="24"/>
          <w:szCs w:val="24"/>
        </w:rPr>
        <w:t xml:space="preserve">current and projected </w:t>
      </w:r>
      <w:r w:rsidR="00985506" w:rsidRPr="00FD174F">
        <w:rPr>
          <w:rFonts w:ascii="Times New Roman" w:hAnsi="Times New Roman" w:cs="Times New Roman"/>
          <w:bCs/>
          <w:sz w:val="24"/>
          <w:szCs w:val="24"/>
        </w:rPr>
        <w:t>gas market conditions for the forthcoming year</w:t>
      </w:r>
      <w:r w:rsidR="00985506">
        <w:rPr>
          <w:rFonts w:ascii="Times New Roman" w:hAnsi="Times New Roman" w:cs="Times New Roman"/>
          <w:bCs/>
          <w:sz w:val="24"/>
          <w:szCs w:val="24"/>
        </w:rPr>
        <w:t>. This will include</w:t>
      </w:r>
      <w:r w:rsidR="00985506" w:rsidRPr="00FD174F">
        <w:rPr>
          <w:rFonts w:ascii="Times New Roman" w:hAnsi="Times New Roman" w:cs="Times New Roman"/>
          <w:bCs/>
          <w:sz w:val="24"/>
          <w:szCs w:val="24"/>
        </w:rPr>
        <w:t xml:space="preserve"> advice from market bodies on whether there is the potential for a shortfall relative to demand projected at reasonable prices</w:t>
      </w:r>
      <w:r w:rsidR="00985506">
        <w:rPr>
          <w:rFonts w:ascii="Times New Roman" w:hAnsi="Times New Roman" w:cs="Times New Roman"/>
          <w:bCs/>
          <w:sz w:val="24"/>
          <w:szCs w:val="24"/>
        </w:rPr>
        <w:t>,</w:t>
      </w:r>
      <w:r w:rsidR="00985506" w:rsidRPr="00FD174F">
        <w:rPr>
          <w:rFonts w:ascii="Times New Roman" w:hAnsi="Times New Roman" w:cs="Times New Roman"/>
          <w:bCs/>
          <w:sz w:val="24"/>
          <w:szCs w:val="24"/>
        </w:rPr>
        <w:t xml:space="preserve"> </w:t>
      </w:r>
      <w:r w:rsidR="00985506">
        <w:rPr>
          <w:rFonts w:ascii="Times New Roman" w:hAnsi="Times New Roman" w:cs="Times New Roman"/>
          <w:bCs/>
          <w:sz w:val="24"/>
          <w:szCs w:val="24"/>
        </w:rPr>
        <w:t>complemented with</w:t>
      </w:r>
      <w:r w:rsidR="00985506" w:rsidRPr="00FD174F">
        <w:rPr>
          <w:rFonts w:ascii="Times New Roman" w:hAnsi="Times New Roman" w:cs="Times New Roman"/>
          <w:bCs/>
          <w:sz w:val="24"/>
          <w:szCs w:val="24"/>
        </w:rPr>
        <w:t xml:space="preserve"> information </w:t>
      </w:r>
      <w:r w:rsidR="008B08A1">
        <w:rPr>
          <w:rFonts w:ascii="Times New Roman" w:hAnsi="Times New Roman" w:cs="Times New Roman"/>
          <w:bCs/>
          <w:sz w:val="24"/>
          <w:szCs w:val="24"/>
        </w:rPr>
        <w:t xml:space="preserve">and submissions </w:t>
      </w:r>
      <w:r w:rsidR="00985506" w:rsidRPr="00FD174F">
        <w:rPr>
          <w:rFonts w:ascii="Times New Roman" w:hAnsi="Times New Roman" w:cs="Times New Roman"/>
          <w:bCs/>
          <w:sz w:val="24"/>
          <w:szCs w:val="24"/>
        </w:rPr>
        <w:t>from gas suppliers, LNG exporters</w:t>
      </w:r>
      <w:r w:rsidR="008B08A1">
        <w:rPr>
          <w:rFonts w:ascii="Times New Roman" w:hAnsi="Times New Roman" w:cs="Times New Roman"/>
          <w:bCs/>
          <w:sz w:val="24"/>
          <w:szCs w:val="24"/>
        </w:rPr>
        <w:t>, large gas consumers, other affected stakeholders,</w:t>
      </w:r>
      <w:r w:rsidR="00985506" w:rsidRPr="00FD174F">
        <w:rPr>
          <w:rFonts w:ascii="Times New Roman" w:hAnsi="Times New Roman" w:cs="Times New Roman"/>
          <w:bCs/>
          <w:sz w:val="24"/>
          <w:szCs w:val="24"/>
        </w:rPr>
        <w:t xml:space="preserve"> and </w:t>
      </w:r>
      <w:r w:rsidR="008B08A1">
        <w:rPr>
          <w:rFonts w:ascii="Times New Roman" w:hAnsi="Times New Roman" w:cs="Times New Roman"/>
          <w:bCs/>
          <w:sz w:val="24"/>
          <w:szCs w:val="24"/>
        </w:rPr>
        <w:t>members of the public</w:t>
      </w:r>
      <w:r w:rsidR="00985506" w:rsidRPr="00FD174F">
        <w:rPr>
          <w:rFonts w:ascii="Times New Roman" w:hAnsi="Times New Roman" w:cs="Times New Roman"/>
          <w:bCs/>
          <w:sz w:val="24"/>
          <w:szCs w:val="24"/>
        </w:rPr>
        <w:t xml:space="preserve">. </w:t>
      </w:r>
      <w:r w:rsidR="00EE466B">
        <w:rPr>
          <w:rFonts w:ascii="Times New Roman" w:hAnsi="Times New Roman" w:cs="Times New Roman"/>
          <w:bCs/>
          <w:sz w:val="24"/>
          <w:szCs w:val="24"/>
        </w:rPr>
        <w:t xml:space="preserve">Prior to </w:t>
      </w:r>
      <w:r w:rsidR="00985506">
        <w:rPr>
          <w:rFonts w:ascii="Times New Roman" w:hAnsi="Times New Roman" w:cs="Times New Roman"/>
          <w:bCs/>
          <w:sz w:val="24"/>
          <w:szCs w:val="24"/>
        </w:rPr>
        <w:t xml:space="preserve">making </w:t>
      </w:r>
      <w:r w:rsidR="00EE466B">
        <w:rPr>
          <w:rFonts w:ascii="Times New Roman" w:hAnsi="Times New Roman" w:cs="Times New Roman"/>
          <w:bCs/>
          <w:sz w:val="24"/>
          <w:szCs w:val="24"/>
        </w:rPr>
        <w:t>a determination</w:t>
      </w:r>
      <w:r w:rsidR="00985506">
        <w:rPr>
          <w:rFonts w:ascii="Times New Roman" w:hAnsi="Times New Roman" w:cs="Times New Roman"/>
          <w:bCs/>
          <w:sz w:val="24"/>
          <w:szCs w:val="24"/>
        </w:rPr>
        <w:t xml:space="preserve">, </w:t>
      </w:r>
      <w:r>
        <w:rPr>
          <w:rFonts w:ascii="Times New Roman" w:hAnsi="Times New Roman" w:cs="Times New Roman"/>
          <w:bCs/>
          <w:sz w:val="24"/>
          <w:szCs w:val="24"/>
        </w:rPr>
        <w:t>the Resources Minister</w:t>
      </w:r>
      <w:r w:rsidR="00985506">
        <w:rPr>
          <w:rFonts w:ascii="Times New Roman" w:hAnsi="Times New Roman" w:cs="Times New Roman"/>
          <w:bCs/>
          <w:sz w:val="24"/>
          <w:szCs w:val="24"/>
        </w:rPr>
        <w:t xml:space="preserve"> will also consult other relevant Ministers, including the Prime Minister and </w:t>
      </w:r>
      <w:bookmarkStart w:id="1" w:name="_GoBack"/>
      <w:r w:rsidR="00985506">
        <w:rPr>
          <w:rFonts w:ascii="Times New Roman" w:hAnsi="Times New Roman" w:cs="Times New Roman"/>
          <w:bCs/>
          <w:sz w:val="24"/>
          <w:szCs w:val="24"/>
        </w:rPr>
        <w:t>the Minister</w:t>
      </w:r>
      <w:bookmarkEnd w:id="1"/>
      <w:r w:rsidR="00985506">
        <w:rPr>
          <w:rFonts w:ascii="Times New Roman" w:hAnsi="Times New Roman" w:cs="Times New Roman"/>
          <w:bCs/>
          <w:sz w:val="24"/>
          <w:szCs w:val="24"/>
        </w:rPr>
        <w:t>s with responsibility for Energy, Trade and Industry.</w:t>
      </w:r>
      <w:r w:rsidR="009F7852">
        <w:rPr>
          <w:rFonts w:ascii="Times New Roman" w:hAnsi="Times New Roman" w:cs="Times New Roman"/>
          <w:bCs/>
          <w:sz w:val="24"/>
          <w:szCs w:val="24"/>
        </w:rPr>
        <w:t xml:space="preserve"> </w:t>
      </w:r>
    </w:p>
    <w:p w:rsidR="00F561EB" w:rsidRDefault="00F561EB" w:rsidP="00F561EB">
      <w:pPr>
        <w:rPr>
          <w:rFonts w:ascii="Times New Roman" w:hAnsi="Times New Roman" w:cs="Times New Roman"/>
          <w:sz w:val="24"/>
          <w:szCs w:val="24"/>
        </w:rPr>
      </w:pPr>
      <w:r>
        <w:rPr>
          <w:rFonts w:ascii="Times New Roman" w:hAnsi="Times New Roman" w:cs="Times New Roman"/>
          <w:sz w:val="24"/>
          <w:szCs w:val="24"/>
        </w:rPr>
        <w:t xml:space="preserve">In developing the ADGSM, it </w:t>
      </w:r>
      <w:proofErr w:type="gramStart"/>
      <w:r>
        <w:rPr>
          <w:rFonts w:ascii="Times New Roman" w:hAnsi="Times New Roman" w:cs="Times New Roman"/>
          <w:sz w:val="24"/>
          <w:szCs w:val="24"/>
        </w:rPr>
        <w:t>was considered</w:t>
      </w:r>
      <w:proofErr w:type="gramEnd"/>
      <w:r>
        <w:rPr>
          <w:rFonts w:ascii="Times New Roman" w:hAnsi="Times New Roman" w:cs="Times New Roman"/>
          <w:sz w:val="24"/>
          <w:szCs w:val="24"/>
        </w:rPr>
        <w:t xml:space="preserve"> that the inclusion of </w:t>
      </w:r>
      <w:r w:rsidRPr="00C07BFB">
        <w:rPr>
          <w:rFonts w:ascii="Times New Roman" w:hAnsi="Times New Roman" w:cs="Times New Roman"/>
          <w:sz w:val="24"/>
          <w:szCs w:val="24"/>
        </w:rPr>
        <w:t xml:space="preserve">an objective </w:t>
      </w:r>
      <w:r>
        <w:rPr>
          <w:rFonts w:ascii="Times New Roman" w:hAnsi="Times New Roman" w:cs="Times New Roman"/>
          <w:sz w:val="24"/>
          <w:szCs w:val="24"/>
        </w:rPr>
        <w:t>formula</w:t>
      </w:r>
      <w:r w:rsidRPr="00C07BFB">
        <w:rPr>
          <w:rFonts w:ascii="Times New Roman" w:hAnsi="Times New Roman" w:cs="Times New Roman"/>
          <w:sz w:val="24"/>
          <w:szCs w:val="24"/>
        </w:rPr>
        <w:t xml:space="preserve"> </w:t>
      </w:r>
      <w:r>
        <w:rPr>
          <w:rFonts w:ascii="Times New Roman" w:hAnsi="Times New Roman" w:cs="Times New Roman"/>
          <w:sz w:val="24"/>
          <w:szCs w:val="24"/>
        </w:rPr>
        <w:t xml:space="preserve">to be followed by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in order to determine whether a potential shortfall exists</w:t>
      </w:r>
      <w:r w:rsidRPr="00C07BFB">
        <w:rPr>
          <w:rFonts w:ascii="Times New Roman" w:hAnsi="Times New Roman" w:cs="Times New Roman"/>
          <w:sz w:val="24"/>
          <w:szCs w:val="24"/>
        </w:rPr>
        <w:t xml:space="preserve"> could have adverse outcomes.</w:t>
      </w:r>
      <w:r>
        <w:rPr>
          <w:rFonts w:ascii="Times New Roman" w:hAnsi="Times New Roman" w:cs="Times New Roman"/>
          <w:sz w:val="24"/>
          <w:szCs w:val="24"/>
        </w:rPr>
        <w:t xml:space="preserve"> </w:t>
      </w:r>
      <w:r w:rsidRPr="00CD265D">
        <w:rPr>
          <w:rFonts w:ascii="Times New Roman" w:hAnsi="Times New Roman" w:cs="Times New Roman"/>
          <w:sz w:val="24"/>
          <w:szCs w:val="24"/>
        </w:rPr>
        <w:t xml:space="preserve">It </w:t>
      </w:r>
      <w:proofErr w:type="gramStart"/>
      <w:r w:rsidRPr="00CD265D">
        <w:rPr>
          <w:rFonts w:ascii="Times New Roman" w:hAnsi="Times New Roman" w:cs="Times New Roman"/>
          <w:sz w:val="24"/>
          <w:szCs w:val="24"/>
        </w:rPr>
        <w:t>was considered</w:t>
      </w:r>
      <w:proofErr w:type="gramEnd"/>
      <w:r w:rsidRPr="00CD265D">
        <w:rPr>
          <w:rFonts w:ascii="Times New Roman" w:hAnsi="Times New Roman" w:cs="Times New Roman"/>
          <w:sz w:val="24"/>
          <w:szCs w:val="24"/>
        </w:rPr>
        <w:t xml:space="preserve"> preferable that </w:t>
      </w:r>
      <w:r w:rsidR="00DE4869">
        <w:rPr>
          <w:rFonts w:ascii="Times New Roman" w:hAnsi="Times New Roman" w:cs="Times New Roman"/>
          <w:sz w:val="24"/>
          <w:szCs w:val="24"/>
        </w:rPr>
        <w:t>the Resources Minister</w:t>
      </w:r>
      <w:r w:rsidRPr="00CD265D">
        <w:rPr>
          <w:rFonts w:ascii="Times New Roman" w:hAnsi="Times New Roman" w:cs="Times New Roman"/>
          <w:sz w:val="24"/>
          <w:szCs w:val="24"/>
        </w:rPr>
        <w:t xml:space="preserve"> should have the discretion to balance a wide range of information</w:t>
      </w:r>
      <w:r>
        <w:rPr>
          <w:rFonts w:ascii="Times New Roman" w:hAnsi="Times New Roman" w:cs="Times New Roman"/>
          <w:sz w:val="24"/>
          <w:szCs w:val="24"/>
        </w:rPr>
        <w:t xml:space="preserve">, and to be able to assess the veracity of that information, in making decisions about whether a shortfall is likely. For example, this allows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to give less weight to information that he or she considers reflects ‘gaming’ of the mechanism, or other strategic behaviour by market participants. </w:t>
      </w:r>
    </w:p>
    <w:p w:rsidR="00F561EB" w:rsidRPr="00C07BFB" w:rsidRDefault="00F561EB" w:rsidP="00F561EB">
      <w:pPr>
        <w:rPr>
          <w:rFonts w:ascii="Times New Roman" w:hAnsi="Times New Roman" w:cs="Times New Roman"/>
          <w:sz w:val="24"/>
          <w:szCs w:val="24"/>
        </w:rPr>
      </w:pPr>
      <w:r>
        <w:rPr>
          <w:rFonts w:ascii="Times New Roman" w:hAnsi="Times New Roman" w:cs="Times New Roman"/>
          <w:sz w:val="24"/>
          <w:szCs w:val="24"/>
        </w:rPr>
        <w:t xml:space="preserve">To ensure a consistent approach </w:t>
      </w:r>
      <w:proofErr w:type="gramStart"/>
      <w:r>
        <w:rPr>
          <w:rFonts w:ascii="Times New Roman" w:hAnsi="Times New Roman" w:cs="Times New Roman"/>
          <w:sz w:val="24"/>
          <w:szCs w:val="24"/>
        </w:rPr>
        <w:t>is taken</w:t>
      </w:r>
      <w:proofErr w:type="gramEnd"/>
      <w:r>
        <w:rPr>
          <w:rFonts w:ascii="Times New Roman" w:hAnsi="Times New Roman" w:cs="Times New Roman"/>
          <w:sz w:val="24"/>
          <w:szCs w:val="24"/>
        </w:rPr>
        <w:t xml:space="preserve"> in relation to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’s decisions under new Division 6,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will make guidelines to set out matters relevant to those decisions. </w:t>
      </w:r>
      <w:r w:rsidRPr="00100243">
        <w:rPr>
          <w:rFonts w:ascii="Times New Roman" w:hAnsi="Times New Roman" w:cs="Times New Roman"/>
          <w:sz w:val="24"/>
          <w:szCs w:val="24"/>
        </w:rPr>
        <w:t xml:space="preserve">The guidelines will be </w:t>
      </w:r>
      <w:r w:rsidR="00F73810">
        <w:rPr>
          <w:rFonts w:ascii="Times New Roman" w:hAnsi="Times New Roman" w:cs="Times New Roman"/>
          <w:sz w:val="24"/>
          <w:szCs w:val="24"/>
        </w:rPr>
        <w:t>a notifiable instrument, registered on the Federal Register of Legislation</w:t>
      </w:r>
      <w:r w:rsidRPr="00100243">
        <w:rPr>
          <w:rFonts w:ascii="Times New Roman" w:hAnsi="Times New Roman" w:cs="Times New Roman"/>
          <w:sz w:val="24"/>
          <w:szCs w:val="24"/>
        </w:rPr>
        <w:t>.</w:t>
      </w:r>
      <w:r>
        <w:rPr>
          <w:rFonts w:ascii="Times New Roman" w:hAnsi="Times New Roman" w:cs="Times New Roman"/>
          <w:sz w:val="24"/>
          <w:szCs w:val="24"/>
        </w:rPr>
        <w:t xml:space="preserve"> </w:t>
      </w:r>
    </w:p>
    <w:p w:rsidR="00F561EB" w:rsidRDefault="00F561EB" w:rsidP="00F561EB">
      <w:pPr>
        <w:rPr>
          <w:rFonts w:ascii="Times New Roman" w:hAnsi="Times New Roman" w:cs="Times New Roman"/>
          <w:sz w:val="24"/>
          <w:szCs w:val="24"/>
        </w:rPr>
      </w:pPr>
      <w:r w:rsidRPr="00C07BFB">
        <w:rPr>
          <w:rFonts w:ascii="Times New Roman" w:hAnsi="Times New Roman" w:cs="Times New Roman"/>
          <w:sz w:val="24"/>
          <w:szCs w:val="24"/>
        </w:rPr>
        <w:t xml:space="preserve">The </w:t>
      </w:r>
      <w:r>
        <w:rPr>
          <w:rFonts w:ascii="Times New Roman" w:hAnsi="Times New Roman" w:cs="Times New Roman"/>
          <w:sz w:val="24"/>
          <w:szCs w:val="24"/>
        </w:rPr>
        <w:t>ADGSM</w:t>
      </w:r>
      <w:r w:rsidRPr="00C07BFB">
        <w:rPr>
          <w:rFonts w:ascii="Times New Roman" w:hAnsi="Times New Roman" w:cs="Times New Roman"/>
          <w:sz w:val="24"/>
          <w:szCs w:val="24"/>
        </w:rPr>
        <w:t xml:space="preserve"> does not provide </w:t>
      </w:r>
      <w:r>
        <w:rPr>
          <w:rFonts w:ascii="Times New Roman" w:hAnsi="Times New Roman" w:cs="Times New Roman"/>
          <w:sz w:val="24"/>
          <w:szCs w:val="24"/>
        </w:rPr>
        <w:t xml:space="preserve">for </w:t>
      </w:r>
      <w:r w:rsidRPr="00C07BFB">
        <w:rPr>
          <w:rFonts w:ascii="Times New Roman" w:hAnsi="Times New Roman" w:cs="Times New Roman"/>
          <w:sz w:val="24"/>
          <w:szCs w:val="24"/>
        </w:rPr>
        <w:t>merit</w:t>
      </w:r>
      <w:r>
        <w:rPr>
          <w:rFonts w:ascii="Times New Roman" w:hAnsi="Times New Roman" w:cs="Times New Roman"/>
          <w:sz w:val="24"/>
          <w:szCs w:val="24"/>
        </w:rPr>
        <w:t>s</w:t>
      </w:r>
      <w:r w:rsidRPr="00C07BFB">
        <w:rPr>
          <w:rFonts w:ascii="Times New Roman" w:hAnsi="Times New Roman" w:cs="Times New Roman"/>
          <w:sz w:val="24"/>
          <w:szCs w:val="24"/>
        </w:rPr>
        <w:t xml:space="preserve"> review o</w:t>
      </w:r>
      <w:r>
        <w:rPr>
          <w:rFonts w:ascii="Times New Roman" w:hAnsi="Times New Roman" w:cs="Times New Roman"/>
          <w:sz w:val="24"/>
          <w:szCs w:val="24"/>
        </w:rPr>
        <w:t>f</w:t>
      </w:r>
      <w:r w:rsidRPr="00C07BFB">
        <w:rPr>
          <w:rFonts w:ascii="Times New Roman" w:hAnsi="Times New Roman" w:cs="Times New Roman"/>
          <w:sz w:val="24"/>
          <w:szCs w:val="24"/>
        </w:rPr>
        <w:t xml:space="preserve"> </w:t>
      </w:r>
      <w:r w:rsidR="00DE4869">
        <w:rPr>
          <w:rFonts w:ascii="Times New Roman" w:hAnsi="Times New Roman" w:cs="Times New Roman"/>
          <w:sz w:val="24"/>
          <w:szCs w:val="24"/>
        </w:rPr>
        <w:t>the Resources Minister</w:t>
      </w:r>
      <w:r>
        <w:rPr>
          <w:rFonts w:ascii="Times New Roman" w:hAnsi="Times New Roman" w:cs="Times New Roman"/>
          <w:sz w:val="24"/>
          <w:szCs w:val="24"/>
        </w:rPr>
        <w:t>’</w:t>
      </w:r>
      <w:r w:rsidRPr="00C07BFB">
        <w:rPr>
          <w:rFonts w:ascii="Times New Roman" w:hAnsi="Times New Roman" w:cs="Times New Roman"/>
          <w:sz w:val="24"/>
          <w:szCs w:val="24"/>
        </w:rPr>
        <w:t xml:space="preserve">s decisions. </w:t>
      </w:r>
      <w:r>
        <w:rPr>
          <w:rFonts w:ascii="Times New Roman" w:hAnsi="Times New Roman" w:cs="Times New Roman"/>
          <w:sz w:val="24"/>
          <w:szCs w:val="24"/>
        </w:rPr>
        <w:t xml:space="preserve">Decisions of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under new Division 6 would be judicially reviewable. </w:t>
      </w:r>
    </w:p>
    <w:p w:rsidR="00985506" w:rsidRDefault="00985506" w:rsidP="00985506">
      <w:pPr>
        <w:spacing w:before="240" w:after="240"/>
        <w:rPr>
          <w:rFonts w:ascii="Times New Roman" w:hAnsi="Times New Roman" w:cs="Times New Roman"/>
          <w:b/>
          <w:sz w:val="24"/>
          <w:szCs w:val="24"/>
          <w:u w:val="single"/>
        </w:rPr>
      </w:pPr>
      <w:r>
        <w:rPr>
          <w:rFonts w:ascii="Times New Roman" w:hAnsi="Times New Roman" w:cs="Times New Roman"/>
          <w:b/>
          <w:sz w:val="24"/>
          <w:szCs w:val="24"/>
          <w:u w:val="single"/>
        </w:rPr>
        <w:t>Background</w:t>
      </w:r>
    </w:p>
    <w:p w:rsidR="00985506" w:rsidRPr="00A87F9E" w:rsidRDefault="00985506" w:rsidP="00985506">
      <w:pPr>
        <w:rPr>
          <w:rFonts w:ascii="Times New Roman" w:hAnsi="Times New Roman" w:cs="Times New Roman"/>
          <w:sz w:val="24"/>
          <w:szCs w:val="24"/>
        </w:rPr>
      </w:pPr>
      <w:r w:rsidRPr="00A87F9E">
        <w:rPr>
          <w:rFonts w:ascii="Times New Roman" w:hAnsi="Times New Roman" w:cs="Times New Roman"/>
          <w:sz w:val="24"/>
          <w:szCs w:val="24"/>
        </w:rPr>
        <w:t>The Australian Government strongly supports the establishment of LNG exports on the East coast of Australia</w:t>
      </w:r>
      <w:r>
        <w:rPr>
          <w:rFonts w:ascii="Times New Roman" w:hAnsi="Times New Roman" w:cs="Times New Roman"/>
          <w:sz w:val="24"/>
          <w:szCs w:val="24"/>
        </w:rPr>
        <w:t>,</w:t>
      </w:r>
      <w:r w:rsidRPr="00A87F9E">
        <w:rPr>
          <w:rFonts w:ascii="Times New Roman" w:hAnsi="Times New Roman" w:cs="Times New Roman"/>
          <w:sz w:val="24"/>
          <w:szCs w:val="24"/>
        </w:rPr>
        <w:t xml:space="preserve"> which have underwritten a massive expansion in new gas reserves. However, for a range of complex reasons, including the failure to develop new resources as previously forecast, this additional demand has at times contributed to supply pressure on that market. While most of the supply needs of these projects is being met from new gas sources, a modest but significant amount of supply needs is met from the wholesale gas market or other </w:t>
      </w:r>
      <w:proofErr w:type="gramStart"/>
      <w:r w:rsidRPr="00A87F9E">
        <w:rPr>
          <w:rFonts w:ascii="Times New Roman" w:hAnsi="Times New Roman" w:cs="Times New Roman"/>
          <w:sz w:val="24"/>
          <w:szCs w:val="24"/>
        </w:rPr>
        <w:t>sources which</w:t>
      </w:r>
      <w:proofErr w:type="gramEnd"/>
      <w:r w:rsidRPr="00A87F9E">
        <w:rPr>
          <w:rFonts w:ascii="Times New Roman" w:hAnsi="Times New Roman" w:cs="Times New Roman"/>
          <w:sz w:val="24"/>
          <w:szCs w:val="24"/>
        </w:rPr>
        <w:t xml:space="preserve"> have traditionally supplied Australian consumers.</w:t>
      </w:r>
    </w:p>
    <w:p w:rsidR="00985506" w:rsidRDefault="00985506" w:rsidP="00985506">
      <w:pPr>
        <w:rPr>
          <w:rFonts w:ascii="Times New Roman" w:hAnsi="Times New Roman" w:cs="Times New Roman"/>
          <w:sz w:val="24"/>
          <w:szCs w:val="24"/>
        </w:rPr>
      </w:pPr>
      <w:r>
        <w:rPr>
          <w:rFonts w:ascii="Times New Roman" w:hAnsi="Times New Roman" w:cs="Times New Roman"/>
          <w:sz w:val="24"/>
          <w:szCs w:val="24"/>
        </w:rPr>
        <w:t xml:space="preserve">At a time of acute market </w:t>
      </w:r>
      <w:proofErr w:type="gramStart"/>
      <w:r>
        <w:rPr>
          <w:rFonts w:ascii="Times New Roman" w:hAnsi="Times New Roman" w:cs="Times New Roman"/>
          <w:sz w:val="24"/>
          <w:szCs w:val="24"/>
        </w:rPr>
        <w:t>tightness</w:t>
      </w:r>
      <w:proofErr w:type="gramEnd"/>
      <w:r>
        <w:rPr>
          <w:rFonts w:ascii="Times New Roman" w:hAnsi="Times New Roman" w:cs="Times New Roman"/>
          <w:sz w:val="24"/>
          <w:szCs w:val="24"/>
        </w:rPr>
        <w:t xml:space="preserve"> this risks impairing Australia’s gas supply security and adds pressure to prices which are at, or above, export parity. This is a</w:t>
      </w:r>
      <w:r w:rsidRPr="00783C54">
        <w:rPr>
          <w:rFonts w:ascii="Times New Roman" w:hAnsi="Times New Roman" w:cs="Times New Roman"/>
          <w:sz w:val="24"/>
          <w:szCs w:val="24"/>
        </w:rPr>
        <w:t xml:space="preserve"> key risk for Australian business competitiveness and cost of living pressures</w:t>
      </w:r>
      <w:r>
        <w:rPr>
          <w:rFonts w:ascii="Times New Roman" w:hAnsi="Times New Roman" w:cs="Times New Roman"/>
          <w:sz w:val="24"/>
          <w:szCs w:val="24"/>
        </w:rPr>
        <w:t xml:space="preserve"> with </w:t>
      </w:r>
      <w:r w:rsidRPr="00C07BFB">
        <w:rPr>
          <w:rFonts w:ascii="Times New Roman" w:hAnsi="Times New Roman" w:cs="Times New Roman"/>
          <w:sz w:val="24"/>
          <w:szCs w:val="24"/>
        </w:rPr>
        <w:t xml:space="preserve">some gas-using sectors at high risk of shutting down. </w:t>
      </w:r>
    </w:p>
    <w:p w:rsidR="00985506" w:rsidRPr="00783C54" w:rsidRDefault="00985506" w:rsidP="00985506">
      <w:pPr>
        <w:rPr>
          <w:rFonts w:ascii="Times New Roman" w:hAnsi="Times New Roman" w:cs="Times New Roman"/>
          <w:sz w:val="24"/>
          <w:szCs w:val="24"/>
        </w:rPr>
      </w:pPr>
      <w:r w:rsidRPr="00C07BFB">
        <w:rPr>
          <w:rFonts w:ascii="Times New Roman" w:hAnsi="Times New Roman" w:cs="Times New Roman"/>
          <w:sz w:val="24"/>
          <w:szCs w:val="24"/>
        </w:rPr>
        <w:lastRenderedPageBreak/>
        <w:t xml:space="preserve">The prospect of industrial </w:t>
      </w:r>
      <w:r>
        <w:rPr>
          <w:rFonts w:ascii="Times New Roman" w:hAnsi="Times New Roman" w:cs="Times New Roman"/>
          <w:sz w:val="24"/>
          <w:szCs w:val="24"/>
        </w:rPr>
        <w:t>‘</w:t>
      </w:r>
      <w:r w:rsidRPr="00C07BFB">
        <w:rPr>
          <w:rFonts w:ascii="Times New Roman" w:hAnsi="Times New Roman" w:cs="Times New Roman"/>
          <w:sz w:val="24"/>
          <w:szCs w:val="24"/>
        </w:rPr>
        <w:t>demand destruction</w:t>
      </w:r>
      <w:r>
        <w:rPr>
          <w:rFonts w:ascii="Times New Roman" w:hAnsi="Times New Roman" w:cs="Times New Roman"/>
          <w:sz w:val="24"/>
          <w:szCs w:val="24"/>
        </w:rPr>
        <w:t>’</w:t>
      </w:r>
      <w:r w:rsidRPr="00C07BFB">
        <w:rPr>
          <w:rFonts w:ascii="Times New Roman" w:hAnsi="Times New Roman" w:cs="Times New Roman"/>
          <w:sz w:val="24"/>
          <w:szCs w:val="24"/>
        </w:rPr>
        <w:t>, as well as higher household costs due to higher than internationally benchmarked gas prices, is not sustainable for the economy</w:t>
      </w:r>
      <w:r>
        <w:rPr>
          <w:rFonts w:ascii="Times New Roman" w:hAnsi="Times New Roman" w:cs="Times New Roman"/>
          <w:sz w:val="24"/>
          <w:szCs w:val="24"/>
        </w:rPr>
        <w:t xml:space="preserve"> or for the long-term future of our valuable LNG export industry</w:t>
      </w:r>
      <w:r w:rsidRPr="00C07BFB">
        <w:rPr>
          <w:rFonts w:ascii="Times New Roman" w:hAnsi="Times New Roman" w:cs="Times New Roman"/>
          <w:sz w:val="24"/>
          <w:szCs w:val="24"/>
        </w:rPr>
        <w:t>.</w:t>
      </w:r>
    </w:p>
    <w:p w:rsidR="00BE2948" w:rsidRDefault="00BE2948" w:rsidP="006D4004">
      <w:pPr>
        <w:keepNext/>
        <w:spacing w:before="240" w:after="240"/>
        <w:rPr>
          <w:rFonts w:ascii="Times New Roman" w:hAnsi="Times New Roman" w:cs="Times New Roman"/>
          <w:b/>
          <w:sz w:val="24"/>
          <w:szCs w:val="24"/>
          <w:u w:val="single"/>
        </w:rPr>
      </w:pPr>
      <w:r>
        <w:rPr>
          <w:rFonts w:ascii="Times New Roman" w:hAnsi="Times New Roman" w:cs="Times New Roman"/>
          <w:b/>
          <w:sz w:val="24"/>
          <w:szCs w:val="24"/>
          <w:u w:val="single"/>
        </w:rPr>
        <w:t>Authority</w:t>
      </w:r>
    </w:p>
    <w:p w:rsidR="00BE2948" w:rsidRPr="00A6002B" w:rsidRDefault="00BE2948" w:rsidP="00BE2948">
      <w:pPr>
        <w:shd w:val="clear" w:color="auto" w:fill="FFFFFF"/>
        <w:spacing w:before="100" w:beforeAutospacing="1" w:after="100" w:afterAutospacing="1" w:line="300" w:lineRule="atLeast"/>
        <w:rPr>
          <w:rFonts w:ascii="Times New Roman" w:eastAsia="Times New Roman" w:hAnsi="Times New Roman" w:cs="Times New Roman"/>
          <w:color w:val="000000"/>
          <w:sz w:val="24"/>
          <w:szCs w:val="24"/>
          <w:lang w:eastAsia="en-AU"/>
        </w:rPr>
      </w:pPr>
      <w:proofErr w:type="gramStart"/>
      <w:r w:rsidRPr="00A6002B">
        <w:rPr>
          <w:rFonts w:ascii="Times New Roman" w:eastAsia="Times New Roman" w:hAnsi="Times New Roman" w:cs="Times New Roman"/>
          <w:color w:val="000000"/>
          <w:sz w:val="24"/>
          <w:szCs w:val="24"/>
          <w:lang w:eastAsia="en-AU"/>
        </w:rPr>
        <w:t xml:space="preserve">Subsection 270(1) of the </w:t>
      </w:r>
      <w:r w:rsidRPr="00A6002B">
        <w:rPr>
          <w:rFonts w:ascii="Times New Roman" w:eastAsia="Times New Roman" w:hAnsi="Times New Roman" w:cs="Times New Roman"/>
          <w:i/>
          <w:color w:val="000000"/>
          <w:sz w:val="24"/>
          <w:szCs w:val="24"/>
          <w:lang w:eastAsia="en-AU"/>
        </w:rPr>
        <w:t>Customs Act 1901</w:t>
      </w:r>
      <w:r w:rsidRPr="00A6002B">
        <w:rPr>
          <w:rFonts w:ascii="Times New Roman" w:eastAsia="Times New Roman" w:hAnsi="Times New Roman" w:cs="Times New Roman"/>
          <w:color w:val="000000"/>
          <w:sz w:val="24"/>
          <w:szCs w:val="24"/>
          <w:lang w:eastAsia="en-AU"/>
        </w:rPr>
        <w:t xml:space="preserve"> (the Act) provides, in part, that the Governor</w:t>
      </w:r>
      <w:r w:rsidRPr="00A6002B">
        <w:rPr>
          <w:rFonts w:ascii="Times New Roman" w:eastAsia="Times New Roman" w:hAnsi="Times New Roman" w:cs="Times New Roman"/>
          <w:color w:val="000000"/>
          <w:sz w:val="24"/>
          <w:szCs w:val="24"/>
          <w:lang w:eastAsia="en-AU"/>
        </w:rPr>
        <w:noBreakHyphen/>
        <w:t>General may make regulations not inconsistent with the Act prescribing all matters which are required or permitted to be prescribed</w:t>
      </w:r>
      <w:r w:rsidR="00601A48">
        <w:rPr>
          <w:rFonts w:ascii="Times New Roman" w:eastAsia="Times New Roman" w:hAnsi="Times New Roman" w:cs="Times New Roman"/>
          <w:color w:val="000000"/>
          <w:sz w:val="24"/>
          <w:szCs w:val="24"/>
          <w:lang w:eastAsia="en-AU"/>
        </w:rPr>
        <w:t>,</w:t>
      </w:r>
      <w:r w:rsidRPr="00A6002B">
        <w:rPr>
          <w:rFonts w:ascii="Times New Roman" w:eastAsia="Times New Roman" w:hAnsi="Times New Roman" w:cs="Times New Roman"/>
          <w:color w:val="000000"/>
          <w:sz w:val="24"/>
          <w:szCs w:val="24"/>
          <w:lang w:eastAsia="en-AU"/>
        </w:rPr>
        <w:t xml:space="preserve"> or as may be necessary or convenient to be prescribed</w:t>
      </w:r>
      <w:r w:rsidR="00601A48">
        <w:rPr>
          <w:rFonts w:ascii="Times New Roman" w:eastAsia="Times New Roman" w:hAnsi="Times New Roman" w:cs="Times New Roman"/>
          <w:color w:val="000000"/>
          <w:sz w:val="24"/>
          <w:szCs w:val="24"/>
          <w:lang w:eastAsia="en-AU"/>
        </w:rPr>
        <w:t>,</w:t>
      </w:r>
      <w:r w:rsidRPr="00A6002B">
        <w:rPr>
          <w:rFonts w:ascii="Times New Roman" w:eastAsia="Times New Roman" w:hAnsi="Times New Roman" w:cs="Times New Roman"/>
          <w:color w:val="000000"/>
          <w:sz w:val="24"/>
          <w:szCs w:val="24"/>
          <w:lang w:eastAsia="en-AU"/>
        </w:rPr>
        <w:t xml:space="preserve"> for giving effect to the Act</w:t>
      </w:r>
      <w:r w:rsidR="00601A48">
        <w:rPr>
          <w:rFonts w:ascii="Times New Roman" w:eastAsia="Times New Roman" w:hAnsi="Times New Roman" w:cs="Times New Roman"/>
          <w:color w:val="000000"/>
          <w:sz w:val="24"/>
          <w:szCs w:val="24"/>
          <w:lang w:eastAsia="en-AU"/>
        </w:rPr>
        <w:t>,</w:t>
      </w:r>
      <w:r w:rsidRPr="00A6002B">
        <w:rPr>
          <w:rFonts w:ascii="Times New Roman" w:eastAsia="Times New Roman" w:hAnsi="Times New Roman" w:cs="Times New Roman"/>
          <w:color w:val="000000"/>
          <w:sz w:val="24"/>
          <w:szCs w:val="24"/>
          <w:lang w:eastAsia="en-AU"/>
        </w:rPr>
        <w:t xml:space="preserve"> or for the condu</w:t>
      </w:r>
      <w:r w:rsidR="00DB29CD">
        <w:rPr>
          <w:rFonts w:ascii="Times New Roman" w:eastAsia="Times New Roman" w:hAnsi="Times New Roman" w:cs="Times New Roman"/>
          <w:color w:val="000000"/>
          <w:sz w:val="24"/>
          <w:szCs w:val="24"/>
          <w:lang w:eastAsia="en-AU"/>
        </w:rPr>
        <w:t>ct of any business relating to c</w:t>
      </w:r>
      <w:r w:rsidRPr="00A6002B">
        <w:rPr>
          <w:rFonts w:ascii="Times New Roman" w:eastAsia="Times New Roman" w:hAnsi="Times New Roman" w:cs="Times New Roman"/>
          <w:color w:val="000000"/>
          <w:sz w:val="24"/>
          <w:szCs w:val="24"/>
          <w:lang w:eastAsia="en-AU"/>
        </w:rPr>
        <w:t>ustoms.</w:t>
      </w:r>
      <w:proofErr w:type="gramEnd"/>
    </w:p>
    <w:p w:rsidR="00BE2948" w:rsidRDefault="00BE2948" w:rsidP="00BE2948">
      <w:pPr>
        <w:shd w:val="clear" w:color="auto" w:fill="FFFFFF"/>
        <w:spacing w:before="100" w:beforeAutospacing="1" w:after="100" w:afterAutospacing="1" w:line="300" w:lineRule="atLeast"/>
        <w:rPr>
          <w:rFonts w:ascii="Times New Roman" w:eastAsia="Times New Roman" w:hAnsi="Times New Roman" w:cs="Times New Roman"/>
          <w:color w:val="000000"/>
          <w:sz w:val="24"/>
          <w:szCs w:val="24"/>
          <w:lang w:eastAsia="en-AU"/>
        </w:rPr>
      </w:pPr>
      <w:r w:rsidRPr="00A6002B">
        <w:rPr>
          <w:rFonts w:ascii="Times New Roman" w:eastAsia="Times New Roman" w:hAnsi="Times New Roman" w:cs="Times New Roman"/>
          <w:color w:val="000000"/>
          <w:sz w:val="24"/>
          <w:szCs w:val="24"/>
          <w:lang w:eastAsia="en-AU"/>
        </w:rPr>
        <w:t xml:space="preserve">In particular, section 112 of the Act allows the Governor-General to make </w:t>
      </w:r>
      <w:proofErr w:type="gramStart"/>
      <w:r w:rsidRPr="00A6002B">
        <w:rPr>
          <w:rFonts w:ascii="Times New Roman" w:eastAsia="Times New Roman" w:hAnsi="Times New Roman" w:cs="Times New Roman"/>
          <w:color w:val="000000"/>
          <w:sz w:val="24"/>
          <w:szCs w:val="24"/>
          <w:lang w:eastAsia="en-AU"/>
        </w:rPr>
        <w:t>regulations which</w:t>
      </w:r>
      <w:proofErr w:type="gramEnd"/>
      <w:r w:rsidRPr="00A6002B">
        <w:rPr>
          <w:rFonts w:ascii="Times New Roman" w:eastAsia="Times New Roman" w:hAnsi="Times New Roman" w:cs="Times New Roman"/>
          <w:color w:val="000000"/>
          <w:sz w:val="24"/>
          <w:szCs w:val="24"/>
          <w:lang w:eastAsia="en-AU"/>
        </w:rPr>
        <w:t xml:space="preserve"> prohibit the exportation of goods from Australia. </w:t>
      </w:r>
    </w:p>
    <w:p w:rsidR="00BE2948" w:rsidRDefault="00BE2948" w:rsidP="00BE2948">
      <w:pPr>
        <w:spacing w:before="240" w:after="240"/>
        <w:rPr>
          <w:rFonts w:ascii="Times New Roman" w:hAnsi="Times New Roman" w:cs="Times New Roman"/>
          <w:b/>
          <w:sz w:val="24"/>
          <w:szCs w:val="24"/>
          <w:u w:val="single"/>
        </w:rPr>
      </w:pPr>
      <w:r>
        <w:rPr>
          <w:rFonts w:ascii="Times New Roman" w:hAnsi="Times New Roman" w:cs="Times New Roman"/>
          <w:b/>
          <w:sz w:val="24"/>
          <w:szCs w:val="24"/>
          <w:u w:val="single"/>
        </w:rPr>
        <w:t>Consultation</w:t>
      </w:r>
    </w:p>
    <w:p w:rsidR="0033023B" w:rsidRPr="0033023B" w:rsidRDefault="0033023B" w:rsidP="0033023B">
      <w:pPr>
        <w:rPr>
          <w:rFonts w:ascii="Times New Roman" w:hAnsi="Times New Roman" w:cs="Times New Roman"/>
          <w:sz w:val="24"/>
          <w:szCs w:val="24"/>
        </w:rPr>
      </w:pPr>
      <w:r w:rsidRPr="0033023B">
        <w:rPr>
          <w:rFonts w:ascii="Times New Roman" w:hAnsi="Times New Roman" w:cs="Times New Roman"/>
          <w:sz w:val="24"/>
          <w:szCs w:val="24"/>
        </w:rPr>
        <w:t xml:space="preserve">Following the Government’s initial industry meetings, on 27 April 2017, </w:t>
      </w:r>
      <w:r w:rsidR="00DE4869">
        <w:rPr>
          <w:rFonts w:ascii="Times New Roman" w:hAnsi="Times New Roman" w:cs="Times New Roman"/>
          <w:sz w:val="24"/>
          <w:szCs w:val="24"/>
        </w:rPr>
        <w:t>the Resources Minister</w:t>
      </w:r>
      <w:r w:rsidR="00E35E4E">
        <w:rPr>
          <w:rFonts w:ascii="Times New Roman" w:hAnsi="Times New Roman" w:cs="Times New Roman"/>
          <w:sz w:val="24"/>
          <w:szCs w:val="24"/>
        </w:rPr>
        <w:t xml:space="preserve"> for Resources</w:t>
      </w:r>
      <w:r w:rsidRPr="0033023B">
        <w:rPr>
          <w:rFonts w:ascii="Times New Roman" w:hAnsi="Times New Roman" w:cs="Times New Roman"/>
          <w:sz w:val="24"/>
          <w:szCs w:val="24"/>
        </w:rPr>
        <w:t xml:space="preserve"> wrote to industry and government stakeholders to inform them of the proposed ADGSM. </w:t>
      </w:r>
      <w:r w:rsidR="00E35E4E">
        <w:rPr>
          <w:rFonts w:ascii="Times New Roman" w:hAnsi="Times New Roman" w:cs="Times New Roman"/>
          <w:sz w:val="24"/>
          <w:szCs w:val="24"/>
        </w:rPr>
        <w:t>The</w:t>
      </w:r>
      <w:r w:rsidRPr="0033023B">
        <w:rPr>
          <w:rFonts w:ascii="Times New Roman" w:hAnsi="Times New Roman" w:cs="Times New Roman"/>
          <w:sz w:val="24"/>
          <w:szCs w:val="24"/>
        </w:rPr>
        <w:t xml:space="preserve"> letter included a discussion </w:t>
      </w:r>
      <w:proofErr w:type="gramStart"/>
      <w:r w:rsidRPr="0033023B">
        <w:rPr>
          <w:rFonts w:ascii="Times New Roman" w:hAnsi="Times New Roman" w:cs="Times New Roman"/>
          <w:sz w:val="24"/>
          <w:szCs w:val="24"/>
        </w:rPr>
        <w:t>paper which</w:t>
      </w:r>
      <w:proofErr w:type="gramEnd"/>
      <w:r w:rsidRPr="0033023B">
        <w:rPr>
          <w:rFonts w:ascii="Times New Roman" w:hAnsi="Times New Roman" w:cs="Times New Roman"/>
          <w:sz w:val="24"/>
          <w:szCs w:val="24"/>
        </w:rPr>
        <w:t xml:space="preserve"> outlined the ADGSM’s initial design</w:t>
      </w:r>
      <w:r w:rsidR="00E35E4E">
        <w:rPr>
          <w:rFonts w:ascii="Times New Roman" w:hAnsi="Times New Roman" w:cs="Times New Roman"/>
          <w:sz w:val="24"/>
          <w:szCs w:val="24"/>
        </w:rPr>
        <w:t xml:space="preserve">, </w:t>
      </w:r>
      <w:r w:rsidRPr="0033023B">
        <w:rPr>
          <w:rFonts w:ascii="Times New Roman" w:hAnsi="Times New Roman" w:cs="Times New Roman"/>
          <w:sz w:val="24"/>
          <w:szCs w:val="24"/>
        </w:rPr>
        <w:t xml:space="preserve">requested feedback on the ADGSM, and asked for </w:t>
      </w:r>
      <w:r w:rsidR="008A3368" w:rsidRPr="001F71FD">
        <w:rPr>
          <w:rFonts w:ascii="Times New Roman" w:hAnsi="Times New Roman" w:cs="Times New Roman"/>
          <w:sz w:val="24"/>
          <w:szCs w:val="24"/>
        </w:rPr>
        <w:t>stakeholders’</w:t>
      </w:r>
      <w:r w:rsidRPr="0033023B">
        <w:rPr>
          <w:rFonts w:ascii="Times New Roman" w:hAnsi="Times New Roman" w:cs="Times New Roman"/>
          <w:sz w:val="24"/>
          <w:szCs w:val="24"/>
        </w:rPr>
        <w:t xml:space="preserve"> participation as the Government continued to develop the mechanism. </w:t>
      </w:r>
    </w:p>
    <w:p w:rsidR="0033023B" w:rsidRPr="0033023B" w:rsidRDefault="0033023B" w:rsidP="0033023B">
      <w:pPr>
        <w:rPr>
          <w:rFonts w:ascii="Times New Roman" w:hAnsi="Times New Roman" w:cs="Times New Roman"/>
          <w:sz w:val="24"/>
          <w:szCs w:val="24"/>
        </w:rPr>
      </w:pPr>
      <w:r w:rsidRPr="0033023B">
        <w:rPr>
          <w:rFonts w:ascii="Times New Roman" w:hAnsi="Times New Roman" w:cs="Times New Roman"/>
          <w:sz w:val="24"/>
          <w:szCs w:val="24"/>
        </w:rPr>
        <w:t>DIIS conducted three meetings (</w:t>
      </w:r>
      <w:r w:rsidR="008A3368">
        <w:rPr>
          <w:rFonts w:ascii="Times New Roman" w:hAnsi="Times New Roman" w:cs="Times New Roman"/>
          <w:sz w:val="24"/>
          <w:szCs w:val="24"/>
        </w:rPr>
        <w:t xml:space="preserve">on </w:t>
      </w:r>
      <w:r w:rsidRPr="0033023B">
        <w:rPr>
          <w:rFonts w:ascii="Times New Roman" w:hAnsi="Times New Roman" w:cs="Times New Roman"/>
          <w:sz w:val="24"/>
          <w:szCs w:val="24"/>
        </w:rPr>
        <w:t>4 May 2017, 11 May 2017 and 26 May 2017) with each of the east coast LNG projects, and their joint venture partners.</w:t>
      </w:r>
    </w:p>
    <w:p w:rsidR="0033023B" w:rsidRPr="0033023B" w:rsidRDefault="0033023B" w:rsidP="0033023B">
      <w:pPr>
        <w:rPr>
          <w:rFonts w:ascii="Times New Roman" w:hAnsi="Times New Roman" w:cs="Times New Roman"/>
          <w:sz w:val="24"/>
          <w:szCs w:val="24"/>
        </w:rPr>
      </w:pPr>
      <w:r w:rsidRPr="0033023B">
        <w:rPr>
          <w:rFonts w:ascii="Times New Roman" w:hAnsi="Times New Roman" w:cs="Times New Roman"/>
          <w:sz w:val="24"/>
          <w:szCs w:val="24"/>
        </w:rPr>
        <w:t xml:space="preserve">On 15 May 2017, DIIS held a similar meeting for interested parties at the APPEA Oil &amp; Gas Conference and Exhibition 2017. In particular, the invitation </w:t>
      </w:r>
      <w:proofErr w:type="gramStart"/>
      <w:r w:rsidRPr="0033023B">
        <w:rPr>
          <w:rFonts w:ascii="Times New Roman" w:hAnsi="Times New Roman" w:cs="Times New Roman"/>
          <w:sz w:val="24"/>
          <w:szCs w:val="24"/>
        </w:rPr>
        <w:t>was extended</w:t>
      </w:r>
      <w:proofErr w:type="gramEnd"/>
      <w:r w:rsidRPr="0033023B">
        <w:rPr>
          <w:rFonts w:ascii="Times New Roman" w:hAnsi="Times New Roman" w:cs="Times New Roman"/>
          <w:sz w:val="24"/>
          <w:szCs w:val="24"/>
        </w:rPr>
        <w:t xml:space="preserve"> to all joint venture partners in LNG projects that operate out of the Northern Territory and Western Australia. </w:t>
      </w:r>
    </w:p>
    <w:p w:rsidR="0033023B" w:rsidRPr="0033023B" w:rsidRDefault="0033023B" w:rsidP="0033023B">
      <w:pPr>
        <w:rPr>
          <w:rFonts w:ascii="Times New Roman" w:hAnsi="Times New Roman" w:cs="Times New Roman"/>
          <w:sz w:val="24"/>
          <w:szCs w:val="24"/>
        </w:rPr>
      </w:pPr>
      <w:r w:rsidRPr="0033023B">
        <w:rPr>
          <w:rFonts w:ascii="Times New Roman" w:hAnsi="Times New Roman" w:cs="Times New Roman"/>
          <w:sz w:val="24"/>
          <w:szCs w:val="24"/>
        </w:rPr>
        <w:t xml:space="preserve">On 6 June 2017, DIIS hosted a meeting between the three east coast LNG projects. The objective of the meeting was to receive initial feedback on the draft ADGSM documents, and to facilitate discussion about the possibility of an industry-led solution, which would preclude the need for triggering export controls under the ADGSM. </w:t>
      </w:r>
    </w:p>
    <w:p w:rsidR="00B92A42" w:rsidRPr="00B92A42" w:rsidRDefault="001F71FD" w:rsidP="00B92A42">
      <w:pPr>
        <w:rPr>
          <w:rFonts w:ascii="Times New Roman" w:hAnsi="Times New Roman" w:cs="Times New Roman"/>
          <w:sz w:val="24"/>
          <w:szCs w:val="24"/>
        </w:rPr>
      </w:pPr>
      <w:r>
        <w:rPr>
          <w:rFonts w:ascii="Times New Roman" w:hAnsi="Times New Roman" w:cs="Times New Roman"/>
          <w:sz w:val="24"/>
          <w:szCs w:val="24"/>
        </w:rPr>
        <w:t xml:space="preserve">Feedback received from stakeholders at these meetings in relation to the ADGSM </w:t>
      </w:r>
      <w:proofErr w:type="gramStart"/>
      <w:r>
        <w:rPr>
          <w:rFonts w:ascii="Times New Roman" w:hAnsi="Times New Roman" w:cs="Times New Roman"/>
          <w:sz w:val="24"/>
          <w:szCs w:val="24"/>
        </w:rPr>
        <w:t>was mixed</w:t>
      </w:r>
      <w:proofErr w:type="gramEnd"/>
      <w:r>
        <w:rPr>
          <w:rFonts w:ascii="Times New Roman" w:hAnsi="Times New Roman" w:cs="Times New Roman"/>
          <w:sz w:val="24"/>
          <w:szCs w:val="24"/>
        </w:rPr>
        <w:t>. G</w:t>
      </w:r>
      <w:r w:rsidR="00B92A42" w:rsidRPr="00B92A42">
        <w:rPr>
          <w:rFonts w:ascii="Times New Roman" w:hAnsi="Times New Roman" w:cs="Times New Roman"/>
          <w:sz w:val="24"/>
          <w:szCs w:val="24"/>
        </w:rPr>
        <w:t xml:space="preserve">as exporters </w:t>
      </w:r>
      <w:r>
        <w:rPr>
          <w:rFonts w:ascii="Times New Roman" w:hAnsi="Times New Roman" w:cs="Times New Roman"/>
          <w:sz w:val="24"/>
          <w:szCs w:val="24"/>
        </w:rPr>
        <w:t xml:space="preserve">generally </w:t>
      </w:r>
      <w:r w:rsidR="00B92A42" w:rsidRPr="00B92A42">
        <w:rPr>
          <w:rFonts w:ascii="Times New Roman" w:hAnsi="Times New Roman" w:cs="Times New Roman"/>
          <w:sz w:val="24"/>
          <w:szCs w:val="24"/>
        </w:rPr>
        <w:t xml:space="preserve">understood the Government’s </w:t>
      </w:r>
      <w:proofErr w:type="gramStart"/>
      <w:r w:rsidR="00B92A42" w:rsidRPr="00B92A42">
        <w:rPr>
          <w:rFonts w:ascii="Times New Roman" w:hAnsi="Times New Roman" w:cs="Times New Roman"/>
          <w:sz w:val="24"/>
          <w:szCs w:val="24"/>
        </w:rPr>
        <w:t>rationale,</w:t>
      </w:r>
      <w:proofErr w:type="gramEnd"/>
      <w:r w:rsidR="00B92A42" w:rsidRPr="00B92A42">
        <w:rPr>
          <w:rFonts w:ascii="Times New Roman" w:hAnsi="Times New Roman" w:cs="Times New Roman"/>
          <w:sz w:val="24"/>
          <w:szCs w:val="24"/>
        </w:rPr>
        <w:t xml:space="preserve"> </w:t>
      </w:r>
      <w:r>
        <w:rPr>
          <w:rFonts w:ascii="Times New Roman" w:hAnsi="Times New Roman" w:cs="Times New Roman"/>
          <w:sz w:val="24"/>
          <w:szCs w:val="24"/>
        </w:rPr>
        <w:t xml:space="preserve">however </w:t>
      </w:r>
      <w:r w:rsidR="00B92A42" w:rsidRPr="00B92A42">
        <w:rPr>
          <w:rFonts w:ascii="Times New Roman" w:hAnsi="Times New Roman" w:cs="Times New Roman"/>
          <w:sz w:val="24"/>
          <w:szCs w:val="24"/>
        </w:rPr>
        <w:t xml:space="preserve">they challenged the need for intervention. </w:t>
      </w:r>
      <w:r w:rsidR="00B92A42">
        <w:rPr>
          <w:rFonts w:ascii="Times New Roman" w:hAnsi="Times New Roman" w:cs="Times New Roman"/>
          <w:sz w:val="24"/>
          <w:szCs w:val="24"/>
        </w:rPr>
        <w:t>The</w:t>
      </w:r>
      <w:r>
        <w:rPr>
          <w:rFonts w:ascii="Times New Roman" w:hAnsi="Times New Roman" w:cs="Times New Roman"/>
          <w:sz w:val="24"/>
          <w:szCs w:val="24"/>
        </w:rPr>
        <w:t>y</w:t>
      </w:r>
      <w:r w:rsidR="00B92A42">
        <w:rPr>
          <w:rFonts w:ascii="Times New Roman" w:hAnsi="Times New Roman" w:cs="Times New Roman"/>
          <w:sz w:val="24"/>
          <w:szCs w:val="24"/>
        </w:rPr>
        <w:t xml:space="preserve"> raised issues </w:t>
      </w:r>
      <w:r>
        <w:rPr>
          <w:rFonts w:ascii="Times New Roman" w:hAnsi="Times New Roman" w:cs="Times New Roman"/>
          <w:sz w:val="24"/>
          <w:szCs w:val="24"/>
        </w:rPr>
        <w:t>such as</w:t>
      </w:r>
      <w:r w:rsidR="00B92A42" w:rsidRPr="00B92A42">
        <w:rPr>
          <w:rFonts w:ascii="Times New Roman" w:hAnsi="Times New Roman" w:cs="Times New Roman"/>
          <w:sz w:val="24"/>
          <w:szCs w:val="24"/>
        </w:rPr>
        <w:t xml:space="preserve"> restrictive state and territory government policies, declining production in mature gas fields</w:t>
      </w:r>
      <w:r>
        <w:rPr>
          <w:rFonts w:ascii="Times New Roman" w:hAnsi="Times New Roman" w:cs="Times New Roman"/>
          <w:sz w:val="24"/>
          <w:szCs w:val="24"/>
        </w:rPr>
        <w:t>,</w:t>
      </w:r>
      <w:r w:rsidR="00B92A42" w:rsidRPr="00B92A42">
        <w:rPr>
          <w:rFonts w:ascii="Times New Roman" w:hAnsi="Times New Roman" w:cs="Times New Roman"/>
          <w:sz w:val="24"/>
          <w:szCs w:val="24"/>
        </w:rPr>
        <w:t xml:space="preserve"> and</w:t>
      </w:r>
      <w:r w:rsidR="00B92A42">
        <w:rPr>
          <w:rFonts w:ascii="Times New Roman" w:hAnsi="Times New Roman" w:cs="Times New Roman"/>
          <w:sz w:val="24"/>
          <w:szCs w:val="24"/>
        </w:rPr>
        <w:t xml:space="preserve"> poor </w:t>
      </w:r>
      <w:r w:rsidR="00B92A42" w:rsidRPr="00B92A42">
        <w:rPr>
          <w:rFonts w:ascii="Times New Roman" w:hAnsi="Times New Roman" w:cs="Times New Roman"/>
          <w:sz w:val="24"/>
          <w:szCs w:val="24"/>
        </w:rPr>
        <w:t>competiti</w:t>
      </w:r>
      <w:r w:rsidR="00B92A42">
        <w:rPr>
          <w:rFonts w:ascii="Times New Roman" w:hAnsi="Times New Roman" w:cs="Times New Roman"/>
          <w:sz w:val="24"/>
          <w:szCs w:val="24"/>
        </w:rPr>
        <w:t>on</w:t>
      </w:r>
      <w:r w:rsidR="00B92A42" w:rsidRPr="00B92A42">
        <w:rPr>
          <w:rFonts w:ascii="Times New Roman" w:hAnsi="Times New Roman" w:cs="Times New Roman"/>
          <w:sz w:val="24"/>
          <w:szCs w:val="24"/>
        </w:rPr>
        <w:t xml:space="preserve"> dynamics in the wholesale market.</w:t>
      </w:r>
      <w:r w:rsidR="00B92A42">
        <w:rPr>
          <w:rFonts w:ascii="Times New Roman" w:hAnsi="Times New Roman" w:cs="Times New Roman"/>
          <w:sz w:val="24"/>
          <w:szCs w:val="24"/>
        </w:rPr>
        <w:t xml:space="preserve"> </w:t>
      </w:r>
      <w:r>
        <w:rPr>
          <w:rFonts w:ascii="Times New Roman" w:hAnsi="Times New Roman" w:cs="Times New Roman"/>
          <w:sz w:val="24"/>
          <w:szCs w:val="24"/>
        </w:rPr>
        <w:t>While t</w:t>
      </w:r>
      <w:r w:rsidR="00B92A42" w:rsidRPr="00B92A42">
        <w:rPr>
          <w:rFonts w:ascii="Times New Roman" w:hAnsi="Times New Roman" w:cs="Times New Roman"/>
          <w:sz w:val="24"/>
          <w:szCs w:val="24"/>
        </w:rPr>
        <w:t>he Government is undertaking separate actions to address non-exporter related issues with Australia’s gas markets, none of these points justified Australian consumers bearing the risk and cost of export-driven shortfalls.</w:t>
      </w:r>
    </w:p>
    <w:p w:rsidR="00B92A42" w:rsidRPr="0033023B" w:rsidRDefault="00B92A42" w:rsidP="00B92A42">
      <w:pPr>
        <w:rPr>
          <w:rFonts w:ascii="Times New Roman" w:hAnsi="Times New Roman" w:cs="Times New Roman"/>
          <w:sz w:val="24"/>
          <w:szCs w:val="24"/>
        </w:rPr>
      </w:pPr>
      <w:r w:rsidRPr="0033023B">
        <w:rPr>
          <w:rFonts w:ascii="Times New Roman" w:hAnsi="Times New Roman" w:cs="Times New Roman"/>
          <w:sz w:val="24"/>
          <w:szCs w:val="24"/>
        </w:rPr>
        <w:t xml:space="preserve">In addition to these departmental meetings, </w:t>
      </w:r>
      <w:r>
        <w:rPr>
          <w:rFonts w:ascii="Times New Roman" w:hAnsi="Times New Roman" w:cs="Times New Roman"/>
          <w:sz w:val="24"/>
          <w:szCs w:val="24"/>
        </w:rPr>
        <w:t>the Minister for Resources</w:t>
      </w:r>
      <w:r w:rsidRPr="0033023B">
        <w:rPr>
          <w:rFonts w:ascii="Times New Roman" w:hAnsi="Times New Roman" w:cs="Times New Roman"/>
          <w:sz w:val="24"/>
          <w:szCs w:val="24"/>
        </w:rPr>
        <w:t xml:space="preserve"> </w:t>
      </w:r>
      <w:r w:rsidR="001F71FD">
        <w:rPr>
          <w:rFonts w:ascii="Times New Roman" w:hAnsi="Times New Roman" w:cs="Times New Roman"/>
          <w:sz w:val="24"/>
          <w:szCs w:val="24"/>
        </w:rPr>
        <w:t>and Northern Australia</w:t>
      </w:r>
      <w:r w:rsidRPr="0033023B">
        <w:rPr>
          <w:rFonts w:ascii="Times New Roman" w:hAnsi="Times New Roman" w:cs="Times New Roman"/>
          <w:sz w:val="24"/>
          <w:szCs w:val="24"/>
        </w:rPr>
        <w:t xml:space="preserve"> engaged directly with industry leaders in person and by correspondence. </w:t>
      </w:r>
    </w:p>
    <w:p w:rsidR="0005355B" w:rsidRDefault="00B92A42" w:rsidP="00E7682A">
      <w:pPr>
        <w:rPr>
          <w:rFonts w:ascii="Times New Roman" w:hAnsi="Times New Roman" w:cs="Times New Roman"/>
          <w:sz w:val="24"/>
          <w:szCs w:val="24"/>
        </w:rPr>
      </w:pPr>
      <w:r w:rsidRPr="0033023B">
        <w:rPr>
          <w:rFonts w:ascii="Times New Roman" w:hAnsi="Times New Roman" w:cs="Times New Roman"/>
          <w:sz w:val="24"/>
          <w:szCs w:val="24"/>
        </w:rPr>
        <w:t xml:space="preserve">On 5 June 2017, </w:t>
      </w:r>
      <w:r w:rsidR="00DA113A">
        <w:rPr>
          <w:rFonts w:ascii="Times New Roman" w:hAnsi="Times New Roman" w:cs="Times New Roman"/>
          <w:sz w:val="24"/>
          <w:szCs w:val="24"/>
        </w:rPr>
        <w:t>exposure</w:t>
      </w:r>
      <w:r w:rsidRPr="0033023B">
        <w:rPr>
          <w:rFonts w:ascii="Times New Roman" w:hAnsi="Times New Roman" w:cs="Times New Roman"/>
          <w:sz w:val="24"/>
          <w:szCs w:val="24"/>
        </w:rPr>
        <w:t xml:space="preserve"> draft</w:t>
      </w:r>
      <w:r w:rsidR="008272F0">
        <w:rPr>
          <w:rFonts w:ascii="Times New Roman" w:hAnsi="Times New Roman" w:cs="Times New Roman"/>
          <w:sz w:val="24"/>
          <w:szCs w:val="24"/>
        </w:rPr>
        <w:t>s</w:t>
      </w:r>
      <w:r w:rsidRPr="0033023B">
        <w:rPr>
          <w:rFonts w:ascii="Times New Roman" w:hAnsi="Times New Roman" w:cs="Times New Roman"/>
          <w:sz w:val="24"/>
          <w:szCs w:val="24"/>
        </w:rPr>
        <w:t xml:space="preserve"> </w:t>
      </w:r>
      <w:r w:rsidR="00DA113A">
        <w:rPr>
          <w:rFonts w:ascii="Times New Roman" w:hAnsi="Times New Roman" w:cs="Times New Roman"/>
          <w:sz w:val="24"/>
          <w:szCs w:val="24"/>
        </w:rPr>
        <w:t xml:space="preserve">of the </w:t>
      </w:r>
      <w:r w:rsidRPr="0033023B">
        <w:rPr>
          <w:rFonts w:ascii="Times New Roman" w:hAnsi="Times New Roman" w:cs="Times New Roman"/>
          <w:sz w:val="24"/>
          <w:szCs w:val="24"/>
        </w:rPr>
        <w:t xml:space="preserve">regulations, guidelines and explanatory material </w:t>
      </w:r>
      <w:proofErr w:type="gramStart"/>
      <w:r w:rsidR="008272F0">
        <w:rPr>
          <w:rFonts w:ascii="Times New Roman" w:hAnsi="Times New Roman" w:cs="Times New Roman"/>
          <w:sz w:val="24"/>
          <w:szCs w:val="24"/>
        </w:rPr>
        <w:t>were</w:t>
      </w:r>
      <w:r w:rsidR="00DA113A">
        <w:rPr>
          <w:rFonts w:ascii="Times New Roman" w:hAnsi="Times New Roman" w:cs="Times New Roman"/>
          <w:sz w:val="24"/>
          <w:szCs w:val="24"/>
        </w:rPr>
        <w:t xml:space="preserve"> released</w:t>
      </w:r>
      <w:proofErr w:type="gramEnd"/>
      <w:r w:rsidR="00DA113A">
        <w:rPr>
          <w:rFonts w:ascii="Times New Roman" w:hAnsi="Times New Roman" w:cs="Times New Roman"/>
          <w:sz w:val="24"/>
          <w:szCs w:val="24"/>
        </w:rPr>
        <w:t xml:space="preserve"> </w:t>
      </w:r>
      <w:r w:rsidRPr="0033023B">
        <w:rPr>
          <w:rFonts w:ascii="Times New Roman" w:hAnsi="Times New Roman" w:cs="Times New Roman"/>
          <w:sz w:val="24"/>
          <w:szCs w:val="24"/>
        </w:rPr>
        <w:t xml:space="preserve">for consultation until 12 June 2017. </w:t>
      </w:r>
      <w:r w:rsidR="0035610A">
        <w:rPr>
          <w:rFonts w:ascii="Times New Roman" w:hAnsi="Times New Roman" w:cs="Times New Roman"/>
          <w:sz w:val="24"/>
          <w:szCs w:val="24"/>
        </w:rPr>
        <w:t xml:space="preserve">Stakeholders </w:t>
      </w:r>
      <w:r w:rsidR="0005355B">
        <w:rPr>
          <w:rFonts w:ascii="Times New Roman" w:hAnsi="Times New Roman" w:cs="Times New Roman"/>
          <w:sz w:val="24"/>
          <w:szCs w:val="24"/>
        </w:rPr>
        <w:t>including</w:t>
      </w:r>
      <w:r w:rsidR="0035610A">
        <w:rPr>
          <w:rFonts w:ascii="Times New Roman" w:hAnsi="Times New Roman" w:cs="Times New Roman"/>
          <w:sz w:val="24"/>
          <w:szCs w:val="24"/>
        </w:rPr>
        <w:t xml:space="preserve"> LNG projects, major gas </w:t>
      </w:r>
      <w:r w:rsidR="0035610A">
        <w:rPr>
          <w:rFonts w:ascii="Times New Roman" w:hAnsi="Times New Roman" w:cs="Times New Roman"/>
          <w:sz w:val="24"/>
          <w:szCs w:val="24"/>
        </w:rPr>
        <w:lastRenderedPageBreak/>
        <w:t>users, peak body and consu</w:t>
      </w:r>
      <w:r w:rsidR="00AE47E8">
        <w:rPr>
          <w:rFonts w:ascii="Times New Roman" w:hAnsi="Times New Roman" w:cs="Times New Roman"/>
          <w:sz w:val="24"/>
          <w:szCs w:val="24"/>
        </w:rPr>
        <w:t>mer interest groups, and S</w:t>
      </w:r>
      <w:r w:rsidR="0035610A">
        <w:rPr>
          <w:rFonts w:ascii="Times New Roman" w:hAnsi="Times New Roman" w:cs="Times New Roman"/>
          <w:sz w:val="24"/>
          <w:szCs w:val="24"/>
        </w:rPr>
        <w:t xml:space="preserve">tate and </w:t>
      </w:r>
      <w:r w:rsidR="00AE47E8">
        <w:rPr>
          <w:rFonts w:ascii="Times New Roman" w:hAnsi="Times New Roman" w:cs="Times New Roman"/>
          <w:sz w:val="24"/>
          <w:szCs w:val="24"/>
        </w:rPr>
        <w:t>T</w:t>
      </w:r>
      <w:r w:rsidR="0035610A">
        <w:rPr>
          <w:rFonts w:ascii="Times New Roman" w:hAnsi="Times New Roman" w:cs="Times New Roman"/>
          <w:sz w:val="24"/>
          <w:szCs w:val="24"/>
        </w:rPr>
        <w:t>erritory governments</w:t>
      </w:r>
      <w:r w:rsidR="0005355B">
        <w:rPr>
          <w:rFonts w:ascii="Times New Roman" w:hAnsi="Times New Roman" w:cs="Times New Roman"/>
          <w:sz w:val="24"/>
          <w:szCs w:val="24"/>
        </w:rPr>
        <w:t xml:space="preserve">, </w:t>
      </w:r>
      <w:proofErr w:type="gramStart"/>
      <w:r w:rsidR="0005355B">
        <w:rPr>
          <w:rFonts w:ascii="Times New Roman" w:hAnsi="Times New Roman" w:cs="Times New Roman"/>
          <w:sz w:val="24"/>
          <w:szCs w:val="24"/>
        </w:rPr>
        <w:t>were invited</w:t>
      </w:r>
      <w:proofErr w:type="gramEnd"/>
      <w:r w:rsidR="0005355B">
        <w:rPr>
          <w:rFonts w:ascii="Times New Roman" w:hAnsi="Times New Roman" w:cs="Times New Roman"/>
          <w:sz w:val="24"/>
          <w:szCs w:val="24"/>
        </w:rPr>
        <w:t xml:space="preserve"> to make submissions</w:t>
      </w:r>
      <w:r w:rsidR="0035610A">
        <w:rPr>
          <w:rFonts w:ascii="Times New Roman" w:hAnsi="Times New Roman" w:cs="Times New Roman"/>
          <w:sz w:val="24"/>
          <w:szCs w:val="24"/>
        </w:rPr>
        <w:t xml:space="preserve">. </w:t>
      </w:r>
    </w:p>
    <w:p w:rsidR="006D3BF8" w:rsidRDefault="008A3368" w:rsidP="008473E5">
      <w:pPr>
        <w:rPr>
          <w:rFonts w:ascii="Times New Roman" w:hAnsi="Times New Roman" w:cs="Times New Roman"/>
          <w:sz w:val="24"/>
          <w:szCs w:val="24"/>
        </w:rPr>
      </w:pPr>
      <w:r>
        <w:rPr>
          <w:rFonts w:ascii="Times New Roman" w:hAnsi="Times New Roman" w:cs="Times New Roman"/>
          <w:sz w:val="24"/>
          <w:szCs w:val="24"/>
        </w:rPr>
        <w:t>A number of common</w:t>
      </w:r>
      <w:r w:rsidR="00E7682A" w:rsidRPr="008C50F1">
        <w:rPr>
          <w:rFonts w:ascii="Times New Roman" w:hAnsi="Times New Roman" w:cs="Times New Roman"/>
          <w:sz w:val="24"/>
          <w:szCs w:val="24"/>
        </w:rPr>
        <w:t xml:space="preserve"> themes </w:t>
      </w:r>
      <w:r>
        <w:rPr>
          <w:rFonts w:ascii="Times New Roman" w:hAnsi="Times New Roman" w:cs="Times New Roman"/>
          <w:sz w:val="24"/>
          <w:szCs w:val="24"/>
        </w:rPr>
        <w:t>emerged</w:t>
      </w:r>
      <w:r w:rsidR="00E7682A" w:rsidRPr="008C50F1">
        <w:rPr>
          <w:rFonts w:ascii="Times New Roman" w:hAnsi="Times New Roman" w:cs="Times New Roman"/>
          <w:sz w:val="24"/>
          <w:szCs w:val="24"/>
        </w:rPr>
        <w:t xml:space="preserve"> from the submissions</w:t>
      </w:r>
      <w:r w:rsidR="0005355B">
        <w:rPr>
          <w:rFonts w:ascii="Times New Roman" w:hAnsi="Times New Roman" w:cs="Times New Roman"/>
          <w:sz w:val="24"/>
          <w:szCs w:val="24"/>
        </w:rPr>
        <w:t xml:space="preserve"> received</w:t>
      </w:r>
      <w:r w:rsidR="0035610A">
        <w:rPr>
          <w:rFonts w:ascii="Times New Roman" w:hAnsi="Times New Roman" w:cs="Times New Roman"/>
          <w:sz w:val="24"/>
          <w:szCs w:val="24"/>
        </w:rPr>
        <w:t>.</w:t>
      </w:r>
      <w:r w:rsidR="00E7682A" w:rsidRPr="008C50F1">
        <w:rPr>
          <w:rFonts w:ascii="Times New Roman" w:hAnsi="Times New Roman" w:cs="Times New Roman"/>
        </w:rPr>
        <w:t xml:space="preserve"> </w:t>
      </w:r>
      <w:r w:rsidR="0005355B">
        <w:rPr>
          <w:rFonts w:ascii="Times New Roman" w:hAnsi="Times New Roman" w:cs="Times New Roman"/>
          <w:sz w:val="24"/>
          <w:szCs w:val="24"/>
        </w:rPr>
        <w:t>Gas consumers’</w:t>
      </w:r>
      <w:r w:rsidR="006D3BF8" w:rsidRPr="006D3BF8">
        <w:rPr>
          <w:rFonts w:ascii="Times New Roman" w:hAnsi="Times New Roman" w:cs="Times New Roman"/>
          <w:sz w:val="24"/>
          <w:szCs w:val="24"/>
        </w:rPr>
        <w:t xml:space="preserve"> concerns </w:t>
      </w:r>
      <w:r w:rsidR="0005355B">
        <w:rPr>
          <w:rFonts w:ascii="Times New Roman" w:hAnsi="Times New Roman" w:cs="Times New Roman"/>
          <w:sz w:val="24"/>
          <w:szCs w:val="24"/>
        </w:rPr>
        <w:t>suggested the proposal should</w:t>
      </w:r>
      <w:r w:rsidR="006D3BF8">
        <w:rPr>
          <w:rFonts w:ascii="Times New Roman" w:hAnsi="Times New Roman" w:cs="Times New Roman"/>
          <w:sz w:val="24"/>
          <w:szCs w:val="24"/>
        </w:rPr>
        <w:t>:</w:t>
      </w:r>
      <w:r w:rsidR="0035610A" w:rsidRPr="008473E5">
        <w:rPr>
          <w:rFonts w:ascii="Times New Roman" w:hAnsi="Times New Roman" w:cs="Times New Roman"/>
          <w:sz w:val="24"/>
          <w:szCs w:val="24"/>
        </w:rPr>
        <w:t xml:space="preserve"> </w:t>
      </w:r>
    </w:p>
    <w:p w:rsidR="00E7682A" w:rsidRPr="008C50F1" w:rsidRDefault="006D3BF8" w:rsidP="0066381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explicitly</w:t>
      </w:r>
      <w:r w:rsidR="008473E5">
        <w:rPr>
          <w:rFonts w:ascii="Times New Roman" w:hAnsi="Times New Roman" w:cs="Times New Roman"/>
          <w:sz w:val="24"/>
          <w:szCs w:val="24"/>
        </w:rPr>
        <w:t xml:space="preserve"> require </w:t>
      </w:r>
      <w:r w:rsidR="00DE4869">
        <w:rPr>
          <w:rFonts w:ascii="Times New Roman" w:hAnsi="Times New Roman" w:cs="Times New Roman"/>
          <w:sz w:val="24"/>
          <w:szCs w:val="24"/>
        </w:rPr>
        <w:t>the Resources Minister</w:t>
      </w:r>
      <w:r w:rsidR="008473E5">
        <w:rPr>
          <w:rFonts w:ascii="Times New Roman" w:hAnsi="Times New Roman" w:cs="Times New Roman"/>
          <w:sz w:val="24"/>
          <w:szCs w:val="24"/>
        </w:rPr>
        <w:t xml:space="preserve"> to consult with</w:t>
      </w:r>
      <w:r w:rsidR="00E7682A" w:rsidRPr="008473E5">
        <w:rPr>
          <w:rFonts w:ascii="Times New Roman" w:hAnsi="Times New Roman" w:cs="Times New Roman"/>
          <w:sz w:val="24"/>
          <w:szCs w:val="24"/>
        </w:rPr>
        <w:t xml:space="preserve"> </w:t>
      </w:r>
      <w:r>
        <w:rPr>
          <w:rFonts w:ascii="Times New Roman" w:hAnsi="Times New Roman" w:cs="Times New Roman"/>
          <w:sz w:val="24"/>
          <w:szCs w:val="24"/>
        </w:rPr>
        <w:t xml:space="preserve">consumers </w:t>
      </w:r>
      <w:r w:rsidR="00E7682A" w:rsidRPr="008473E5">
        <w:rPr>
          <w:rFonts w:ascii="Times New Roman" w:hAnsi="Times New Roman" w:cs="Times New Roman"/>
          <w:sz w:val="24"/>
          <w:szCs w:val="24"/>
        </w:rPr>
        <w:t>in the consultation process</w:t>
      </w:r>
      <w:r w:rsidR="008A3368">
        <w:rPr>
          <w:rFonts w:ascii="Times New Roman" w:hAnsi="Times New Roman" w:cs="Times New Roman"/>
          <w:sz w:val="24"/>
          <w:szCs w:val="24"/>
        </w:rPr>
        <w:t>;</w:t>
      </w:r>
      <w:r w:rsidR="0035610A" w:rsidRPr="008473E5">
        <w:rPr>
          <w:rFonts w:ascii="Times New Roman" w:hAnsi="Times New Roman" w:cs="Times New Roman"/>
          <w:sz w:val="24"/>
          <w:szCs w:val="24"/>
        </w:rPr>
        <w:t xml:space="preserve"> </w:t>
      </w:r>
    </w:p>
    <w:p w:rsidR="00E7682A" w:rsidRPr="006D3BF8" w:rsidRDefault="00E7682A" w:rsidP="0066381C">
      <w:pPr>
        <w:pStyle w:val="ListParagraph"/>
        <w:numPr>
          <w:ilvl w:val="0"/>
          <w:numId w:val="9"/>
        </w:numPr>
      </w:pPr>
      <w:r w:rsidRPr="006D3BF8">
        <w:rPr>
          <w:rFonts w:ascii="Times New Roman" w:hAnsi="Times New Roman" w:cs="Times New Roman"/>
          <w:sz w:val="24"/>
          <w:szCs w:val="24"/>
        </w:rPr>
        <w:t>include affordability of gas</w:t>
      </w:r>
      <w:r w:rsidR="006D3BF8">
        <w:rPr>
          <w:rFonts w:ascii="Times New Roman" w:hAnsi="Times New Roman" w:cs="Times New Roman"/>
          <w:sz w:val="24"/>
          <w:szCs w:val="24"/>
        </w:rPr>
        <w:t xml:space="preserve"> and gas liquids (such as ethane)</w:t>
      </w:r>
      <w:r w:rsidRPr="006D3BF8">
        <w:rPr>
          <w:rFonts w:ascii="Times New Roman" w:hAnsi="Times New Roman" w:cs="Times New Roman"/>
          <w:sz w:val="24"/>
          <w:szCs w:val="24"/>
        </w:rPr>
        <w:t xml:space="preserve"> in </w:t>
      </w:r>
      <w:r w:rsidR="00DE4869">
        <w:rPr>
          <w:rFonts w:ascii="Times New Roman" w:hAnsi="Times New Roman" w:cs="Times New Roman"/>
          <w:sz w:val="24"/>
          <w:szCs w:val="24"/>
        </w:rPr>
        <w:t>the Resources Minister</w:t>
      </w:r>
      <w:r w:rsidR="006D3BF8">
        <w:rPr>
          <w:rFonts w:ascii="Times New Roman" w:hAnsi="Times New Roman" w:cs="Times New Roman"/>
          <w:sz w:val="24"/>
          <w:szCs w:val="24"/>
        </w:rPr>
        <w:t>’s declaration of shortfall</w:t>
      </w:r>
      <w:r w:rsidR="008A3368">
        <w:rPr>
          <w:rFonts w:ascii="Times New Roman" w:hAnsi="Times New Roman" w:cs="Times New Roman"/>
          <w:sz w:val="24"/>
          <w:szCs w:val="24"/>
        </w:rPr>
        <w:t>;</w:t>
      </w:r>
      <w:r w:rsidR="00FE7A64">
        <w:rPr>
          <w:rFonts w:ascii="Times New Roman" w:hAnsi="Times New Roman" w:cs="Times New Roman"/>
          <w:sz w:val="24"/>
          <w:szCs w:val="24"/>
        </w:rPr>
        <w:t xml:space="preserve"> </w:t>
      </w:r>
    </w:p>
    <w:p w:rsidR="00FE7A64" w:rsidRDefault="007E64F8" w:rsidP="0066381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f</w:t>
      </w:r>
      <w:r w:rsidR="00E7682A" w:rsidRPr="008473E5">
        <w:rPr>
          <w:rFonts w:ascii="Times New Roman" w:hAnsi="Times New Roman" w:cs="Times New Roman"/>
          <w:sz w:val="24"/>
          <w:szCs w:val="24"/>
        </w:rPr>
        <w:t>ast</w:t>
      </w:r>
      <w:r w:rsidR="00E7682A" w:rsidRPr="008C50F1">
        <w:rPr>
          <w:rFonts w:ascii="Times New Roman" w:hAnsi="Times New Roman" w:cs="Times New Roman"/>
          <w:sz w:val="24"/>
          <w:szCs w:val="24"/>
        </w:rPr>
        <w:t xml:space="preserve"> track gas market reform</w:t>
      </w:r>
      <w:r w:rsidR="00FE7A64">
        <w:rPr>
          <w:rFonts w:ascii="Times New Roman" w:hAnsi="Times New Roman" w:cs="Times New Roman"/>
          <w:sz w:val="24"/>
          <w:szCs w:val="24"/>
        </w:rPr>
        <w:t>;</w:t>
      </w:r>
      <w:r w:rsidR="00E7682A" w:rsidRPr="008C50F1">
        <w:rPr>
          <w:rFonts w:ascii="Times New Roman" w:hAnsi="Times New Roman" w:cs="Times New Roman"/>
          <w:sz w:val="24"/>
          <w:szCs w:val="24"/>
        </w:rPr>
        <w:t xml:space="preserve"> and</w:t>
      </w:r>
    </w:p>
    <w:p w:rsidR="00E7682A" w:rsidRPr="008C50F1" w:rsidRDefault="00E7682A" w:rsidP="0066381C">
      <w:pPr>
        <w:pStyle w:val="ListParagraph"/>
        <w:numPr>
          <w:ilvl w:val="0"/>
          <w:numId w:val="9"/>
        </w:numPr>
        <w:rPr>
          <w:rFonts w:ascii="Times New Roman" w:hAnsi="Times New Roman" w:cs="Times New Roman"/>
          <w:sz w:val="24"/>
          <w:szCs w:val="24"/>
        </w:rPr>
      </w:pPr>
      <w:proofErr w:type="gramStart"/>
      <w:r w:rsidRPr="008C50F1">
        <w:rPr>
          <w:rFonts w:ascii="Times New Roman" w:hAnsi="Times New Roman" w:cs="Times New Roman"/>
          <w:sz w:val="24"/>
          <w:szCs w:val="24"/>
        </w:rPr>
        <w:t>link</w:t>
      </w:r>
      <w:proofErr w:type="gramEnd"/>
      <w:r w:rsidRPr="008C50F1">
        <w:rPr>
          <w:rFonts w:ascii="Times New Roman" w:hAnsi="Times New Roman" w:cs="Times New Roman"/>
          <w:sz w:val="24"/>
          <w:szCs w:val="24"/>
        </w:rPr>
        <w:t xml:space="preserve"> the ADGSM to the suite of actions </w:t>
      </w:r>
      <w:r w:rsidR="008A3368">
        <w:rPr>
          <w:rFonts w:ascii="Times New Roman" w:hAnsi="Times New Roman" w:cs="Times New Roman"/>
          <w:sz w:val="24"/>
          <w:szCs w:val="24"/>
        </w:rPr>
        <w:t xml:space="preserve">already </w:t>
      </w:r>
      <w:r w:rsidRPr="008C50F1">
        <w:rPr>
          <w:rFonts w:ascii="Times New Roman" w:hAnsi="Times New Roman" w:cs="Times New Roman"/>
          <w:sz w:val="24"/>
          <w:szCs w:val="24"/>
        </w:rPr>
        <w:t>underway to improve gas supply</w:t>
      </w:r>
      <w:r w:rsidR="008A3368">
        <w:rPr>
          <w:rFonts w:ascii="Times New Roman" w:hAnsi="Times New Roman" w:cs="Times New Roman"/>
          <w:sz w:val="24"/>
          <w:szCs w:val="24"/>
        </w:rPr>
        <w:t>.</w:t>
      </w:r>
      <w:r w:rsidRPr="008C50F1">
        <w:rPr>
          <w:rFonts w:ascii="Times New Roman" w:hAnsi="Times New Roman" w:cs="Times New Roman"/>
          <w:sz w:val="24"/>
          <w:szCs w:val="24"/>
        </w:rPr>
        <w:t xml:space="preserve"> </w:t>
      </w:r>
    </w:p>
    <w:p w:rsidR="006D3BF8" w:rsidRDefault="006D3BF8" w:rsidP="0005355B">
      <w:pPr>
        <w:rPr>
          <w:rFonts w:ascii="Times New Roman" w:hAnsi="Times New Roman" w:cs="Times New Roman"/>
          <w:sz w:val="24"/>
          <w:szCs w:val="24"/>
        </w:rPr>
      </w:pPr>
      <w:r>
        <w:rPr>
          <w:rFonts w:ascii="Times New Roman" w:hAnsi="Times New Roman" w:cs="Times New Roman"/>
          <w:sz w:val="24"/>
          <w:szCs w:val="24"/>
        </w:rPr>
        <w:t>LNG industry and gas producer</w:t>
      </w:r>
      <w:r w:rsidR="0005355B">
        <w:rPr>
          <w:rFonts w:ascii="Times New Roman" w:hAnsi="Times New Roman" w:cs="Times New Roman"/>
          <w:sz w:val="24"/>
          <w:szCs w:val="24"/>
        </w:rPr>
        <w:t>s’</w:t>
      </w:r>
      <w:r>
        <w:rPr>
          <w:rFonts w:ascii="Times New Roman" w:hAnsi="Times New Roman" w:cs="Times New Roman"/>
          <w:sz w:val="24"/>
          <w:szCs w:val="24"/>
        </w:rPr>
        <w:t xml:space="preserve"> concerns </w:t>
      </w:r>
      <w:r w:rsidR="00A578A4">
        <w:rPr>
          <w:rFonts w:ascii="Times New Roman" w:hAnsi="Times New Roman" w:cs="Times New Roman"/>
          <w:sz w:val="24"/>
          <w:szCs w:val="24"/>
        </w:rPr>
        <w:t xml:space="preserve">in relation to the exposure draft material </w:t>
      </w:r>
      <w:r>
        <w:rPr>
          <w:rFonts w:ascii="Times New Roman" w:hAnsi="Times New Roman" w:cs="Times New Roman"/>
          <w:sz w:val="24"/>
          <w:szCs w:val="24"/>
        </w:rPr>
        <w:t xml:space="preserve">were similar to those raised in </w:t>
      </w:r>
      <w:r w:rsidR="0005355B">
        <w:rPr>
          <w:rFonts w:ascii="Times New Roman" w:hAnsi="Times New Roman" w:cs="Times New Roman"/>
          <w:sz w:val="24"/>
          <w:szCs w:val="24"/>
        </w:rPr>
        <w:t>earlier</w:t>
      </w:r>
      <w:r>
        <w:rPr>
          <w:rFonts w:ascii="Times New Roman" w:hAnsi="Times New Roman" w:cs="Times New Roman"/>
          <w:sz w:val="24"/>
          <w:szCs w:val="24"/>
        </w:rPr>
        <w:t xml:space="preserve"> consultations</w:t>
      </w:r>
      <w:r w:rsidR="00A578A4">
        <w:rPr>
          <w:rFonts w:ascii="Times New Roman" w:hAnsi="Times New Roman" w:cs="Times New Roman"/>
          <w:sz w:val="24"/>
          <w:szCs w:val="24"/>
        </w:rPr>
        <w:t>, and included:</w:t>
      </w:r>
      <w:r>
        <w:rPr>
          <w:rFonts w:ascii="Times New Roman" w:hAnsi="Times New Roman" w:cs="Times New Roman"/>
          <w:sz w:val="24"/>
          <w:szCs w:val="24"/>
        </w:rPr>
        <w:t xml:space="preserve"> </w:t>
      </w:r>
    </w:p>
    <w:p w:rsidR="006D3BF8" w:rsidRDefault="0005355B" w:rsidP="0066381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the preference for</w:t>
      </w:r>
      <w:r w:rsidR="008A3368">
        <w:rPr>
          <w:rFonts w:ascii="Times New Roman" w:hAnsi="Times New Roman" w:cs="Times New Roman"/>
          <w:sz w:val="24"/>
          <w:szCs w:val="24"/>
        </w:rPr>
        <w:t xml:space="preserve"> </w:t>
      </w:r>
      <w:r w:rsidR="006D3BF8">
        <w:rPr>
          <w:rFonts w:ascii="Times New Roman" w:hAnsi="Times New Roman" w:cs="Times New Roman"/>
          <w:sz w:val="24"/>
          <w:szCs w:val="24"/>
        </w:rPr>
        <w:t xml:space="preserve">an industry led solution </w:t>
      </w:r>
      <w:r w:rsidR="003352DA">
        <w:rPr>
          <w:rFonts w:ascii="Times New Roman" w:hAnsi="Times New Roman" w:cs="Times New Roman"/>
          <w:sz w:val="24"/>
          <w:szCs w:val="24"/>
        </w:rPr>
        <w:t xml:space="preserve">to address a shortfall before </w:t>
      </w:r>
      <w:r w:rsidR="00DE4869">
        <w:rPr>
          <w:rFonts w:ascii="Times New Roman" w:hAnsi="Times New Roman" w:cs="Times New Roman"/>
          <w:sz w:val="24"/>
          <w:szCs w:val="24"/>
        </w:rPr>
        <w:t>the Resources Minister</w:t>
      </w:r>
      <w:r w:rsidR="003352DA">
        <w:rPr>
          <w:rFonts w:ascii="Times New Roman" w:hAnsi="Times New Roman" w:cs="Times New Roman"/>
          <w:sz w:val="24"/>
          <w:szCs w:val="24"/>
        </w:rPr>
        <w:t xml:space="preserve"> makes a declaration</w:t>
      </w:r>
      <w:r>
        <w:rPr>
          <w:rFonts w:ascii="Times New Roman" w:hAnsi="Times New Roman" w:cs="Times New Roman"/>
          <w:sz w:val="24"/>
          <w:szCs w:val="24"/>
        </w:rPr>
        <w:t>;</w:t>
      </w:r>
    </w:p>
    <w:p w:rsidR="003352DA" w:rsidRDefault="000921D9" w:rsidP="0066381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the desire for longer</w:t>
      </w:r>
      <w:r w:rsidR="003352DA">
        <w:rPr>
          <w:rFonts w:ascii="Times New Roman" w:hAnsi="Times New Roman" w:cs="Times New Roman"/>
          <w:sz w:val="24"/>
          <w:szCs w:val="24"/>
        </w:rPr>
        <w:t xml:space="preserve"> timeframes for consultation when </w:t>
      </w:r>
      <w:r w:rsidR="00DE4869">
        <w:rPr>
          <w:rFonts w:ascii="Times New Roman" w:hAnsi="Times New Roman" w:cs="Times New Roman"/>
          <w:sz w:val="24"/>
          <w:szCs w:val="24"/>
        </w:rPr>
        <w:t>the Resources Minister</w:t>
      </w:r>
      <w:r w:rsidR="003352DA">
        <w:rPr>
          <w:rFonts w:ascii="Times New Roman" w:hAnsi="Times New Roman" w:cs="Times New Roman"/>
          <w:sz w:val="24"/>
          <w:szCs w:val="24"/>
        </w:rPr>
        <w:t xml:space="preserve"> makes a declaration </w:t>
      </w:r>
      <w:r>
        <w:rPr>
          <w:rFonts w:ascii="Times New Roman" w:hAnsi="Times New Roman" w:cs="Times New Roman"/>
          <w:sz w:val="24"/>
          <w:szCs w:val="24"/>
        </w:rPr>
        <w:t>or a</w:t>
      </w:r>
      <w:r w:rsidR="003352DA">
        <w:rPr>
          <w:rFonts w:ascii="Times New Roman" w:hAnsi="Times New Roman" w:cs="Times New Roman"/>
          <w:sz w:val="24"/>
          <w:szCs w:val="24"/>
        </w:rPr>
        <w:t xml:space="preserve"> determination</w:t>
      </w:r>
      <w:r>
        <w:rPr>
          <w:rFonts w:ascii="Times New Roman" w:hAnsi="Times New Roman" w:cs="Times New Roman"/>
          <w:sz w:val="24"/>
          <w:szCs w:val="24"/>
        </w:rPr>
        <w:t>;</w:t>
      </w:r>
    </w:p>
    <w:p w:rsidR="003352DA" w:rsidRDefault="000921D9" w:rsidP="0066381C">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the desire for exemptions from the Australia-wide application of the ADGSM; and</w:t>
      </w:r>
    </w:p>
    <w:p w:rsidR="003352DA" w:rsidRDefault="00BA3D84" w:rsidP="0066381C">
      <w:pPr>
        <w:pStyle w:val="ListParagraph"/>
        <w:numPr>
          <w:ilvl w:val="0"/>
          <w:numId w:val="9"/>
        </w:numPr>
        <w:rPr>
          <w:rFonts w:ascii="Times New Roman" w:hAnsi="Times New Roman" w:cs="Times New Roman"/>
          <w:sz w:val="24"/>
          <w:szCs w:val="24"/>
        </w:rPr>
      </w:pPr>
      <w:proofErr w:type="gramStart"/>
      <w:r>
        <w:rPr>
          <w:rFonts w:ascii="Times New Roman" w:hAnsi="Times New Roman" w:cs="Times New Roman"/>
          <w:sz w:val="24"/>
          <w:szCs w:val="24"/>
        </w:rPr>
        <w:t>c</w:t>
      </w:r>
      <w:r w:rsidR="000921D9">
        <w:rPr>
          <w:rFonts w:ascii="Times New Roman" w:hAnsi="Times New Roman" w:cs="Times New Roman"/>
          <w:sz w:val="24"/>
          <w:szCs w:val="24"/>
        </w:rPr>
        <w:t>oncerns</w:t>
      </w:r>
      <w:proofErr w:type="gramEnd"/>
      <w:r w:rsidR="000921D9">
        <w:rPr>
          <w:rFonts w:ascii="Times New Roman" w:hAnsi="Times New Roman" w:cs="Times New Roman"/>
          <w:sz w:val="24"/>
          <w:szCs w:val="24"/>
        </w:rPr>
        <w:t xml:space="preserve"> regarding the </w:t>
      </w:r>
      <w:r w:rsidR="003352DA">
        <w:rPr>
          <w:rFonts w:ascii="Times New Roman" w:hAnsi="Times New Roman" w:cs="Times New Roman"/>
          <w:sz w:val="24"/>
          <w:szCs w:val="24"/>
        </w:rPr>
        <w:t>level of Ministerial discretion</w:t>
      </w:r>
      <w:r w:rsidR="007E64F8">
        <w:rPr>
          <w:rFonts w:ascii="Times New Roman" w:hAnsi="Times New Roman" w:cs="Times New Roman"/>
          <w:sz w:val="24"/>
          <w:szCs w:val="24"/>
        </w:rPr>
        <w:t xml:space="preserve"> in determining a shortfall</w:t>
      </w:r>
      <w:r w:rsidR="000921D9">
        <w:rPr>
          <w:rFonts w:ascii="Times New Roman" w:hAnsi="Times New Roman" w:cs="Times New Roman"/>
          <w:sz w:val="24"/>
          <w:szCs w:val="24"/>
        </w:rPr>
        <w:t xml:space="preserve">. </w:t>
      </w:r>
    </w:p>
    <w:p w:rsidR="007E64F8" w:rsidRDefault="00182937" w:rsidP="00B92A42">
      <w:pPr>
        <w:rPr>
          <w:rFonts w:ascii="Times New Roman" w:hAnsi="Times New Roman" w:cs="Times New Roman"/>
          <w:sz w:val="24"/>
          <w:szCs w:val="24"/>
        </w:rPr>
      </w:pPr>
      <w:r w:rsidRPr="00516EC0">
        <w:rPr>
          <w:rFonts w:ascii="Times New Roman" w:hAnsi="Times New Roman" w:cs="Times New Roman"/>
          <w:sz w:val="24"/>
          <w:szCs w:val="24"/>
        </w:rPr>
        <w:t xml:space="preserve">Submissions </w:t>
      </w:r>
      <w:proofErr w:type="gramStart"/>
      <w:r w:rsidRPr="00516EC0">
        <w:rPr>
          <w:rFonts w:ascii="Times New Roman" w:hAnsi="Times New Roman" w:cs="Times New Roman"/>
          <w:sz w:val="24"/>
          <w:szCs w:val="24"/>
        </w:rPr>
        <w:t>were also received</w:t>
      </w:r>
      <w:proofErr w:type="gramEnd"/>
      <w:r w:rsidRPr="00516EC0">
        <w:rPr>
          <w:rFonts w:ascii="Times New Roman" w:hAnsi="Times New Roman" w:cs="Times New Roman"/>
          <w:sz w:val="24"/>
          <w:szCs w:val="24"/>
        </w:rPr>
        <w:t xml:space="preserve"> from most State and Territory governments. A broad range of views were expressed in these submissions, which </w:t>
      </w:r>
      <w:r w:rsidR="00283296">
        <w:rPr>
          <w:rFonts w:ascii="Times New Roman" w:hAnsi="Times New Roman" w:cs="Times New Roman"/>
          <w:sz w:val="24"/>
          <w:szCs w:val="24"/>
        </w:rPr>
        <w:t>raised</w:t>
      </w:r>
      <w:r w:rsidRPr="00516EC0">
        <w:rPr>
          <w:rFonts w:ascii="Times New Roman" w:hAnsi="Times New Roman" w:cs="Times New Roman"/>
          <w:sz w:val="24"/>
          <w:szCs w:val="24"/>
        </w:rPr>
        <w:t xml:space="preserve"> concerns around the need for energy security, affordability of gas, certainty for LNG exporters and gas consumers, and regulatory impacts</w:t>
      </w:r>
      <w:r w:rsidR="00861D55" w:rsidRPr="00516EC0">
        <w:rPr>
          <w:rFonts w:ascii="Times New Roman" w:hAnsi="Times New Roman" w:cs="Times New Roman"/>
          <w:sz w:val="24"/>
          <w:szCs w:val="24"/>
        </w:rPr>
        <w:t>, amongst other issues</w:t>
      </w:r>
      <w:r w:rsidR="00340B5A" w:rsidRPr="00516EC0">
        <w:rPr>
          <w:rFonts w:ascii="Times New Roman" w:hAnsi="Times New Roman" w:cs="Times New Roman"/>
          <w:sz w:val="24"/>
          <w:szCs w:val="24"/>
        </w:rPr>
        <w:t>.</w:t>
      </w:r>
      <w:r w:rsidR="00340B5A">
        <w:rPr>
          <w:rFonts w:ascii="Times New Roman" w:hAnsi="Times New Roman" w:cs="Times New Roman"/>
          <w:sz w:val="24"/>
          <w:szCs w:val="24"/>
        </w:rPr>
        <w:t xml:space="preserve"> </w:t>
      </w:r>
    </w:p>
    <w:p w:rsidR="00622458" w:rsidRDefault="00943304" w:rsidP="00B92A42">
      <w:pPr>
        <w:rPr>
          <w:rFonts w:ascii="Times New Roman" w:hAnsi="Times New Roman" w:cs="Times New Roman"/>
          <w:sz w:val="24"/>
          <w:szCs w:val="24"/>
        </w:rPr>
      </w:pPr>
      <w:r>
        <w:rPr>
          <w:rFonts w:ascii="Times New Roman" w:hAnsi="Times New Roman" w:cs="Times New Roman"/>
          <w:sz w:val="24"/>
          <w:szCs w:val="24"/>
        </w:rPr>
        <w:t xml:space="preserve">In developing the ADGSM, </w:t>
      </w:r>
      <w:r w:rsidR="00622458">
        <w:rPr>
          <w:rFonts w:ascii="Times New Roman" w:hAnsi="Times New Roman" w:cs="Times New Roman"/>
          <w:sz w:val="24"/>
          <w:szCs w:val="24"/>
        </w:rPr>
        <w:t xml:space="preserve">DIIS </w:t>
      </w:r>
      <w:r>
        <w:rPr>
          <w:rFonts w:ascii="Times New Roman" w:hAnsi="Times New Roman" w:cs="Times New Roman"/>
          <w:sz w:val="24"/>
          <w:szCs w:val="24"/>
        </w:rPr>
        <w:t xml:space="preserve">also </w:t>
      </w:r>
      <w:r w:rsidR="00622458">
        <w:rPr>
          <w:rFonts w:ascii="Times New Roman" w:hAnsi="Times New Roman" w:cs="Times New Roman"/>
          <w:sz w:val="24"/>
          <w:szCs w:val="24"/>
        </w:rPr>
        <w:t xml:space="preserve">consulted with the Australian Government </w:t>
      </w:r>
      <w:r w:rsidR="00340B5A">
        <w:rPr>
          <w:rFonts w:ascii="Times New Roman" w:hAnsi="Times New Roman" w:cs="Times New Roman"/>
          <w:sz w:val="24"/>
          <w:szCs w:val="24"/>
        </w:rPr>
        <w:t>D</w:t>
      </w:r>
      <w:r w:rsidR="0023419E">
        <w:rPr>
          <w:rFonts w:ascii="Times New Roman" w:hAnsi="Times New Roman" w:cs="Times New Roman"/>
          <w:sz w:val="24"/>
          <w:szCs w:val="24"/>
        </w:rPr>
        <w:t>epartment</w:t>
      </w:r>
      <w:r>
        <w:rPr>
          <w:rFonts w:ascii="Times New Roman" w:hAnsi="Times New Roman" w:cs="Times New Roman"/>
          <w:sz w:val="24"/>
          <w:szCs w:val="24"/>
        </w:rPr>
        <w:t xml:space="preserve"> of</w:t>
      </w:r>
      <w:r w:rsidR="00622458">
        <w:rPr>
          <w:rFonts w:ascii="Times New Roman" w:hAnsi="Times New Roman" w:cs="Times New Roman"/>
          <w:sz w:val="24"/>
          <w:szCs w:val="24"/>
        </w:rPr>
        <w:t xml:space="preserve"> Prime Minister and Cabinet, </w:t>
      </w:r>
      <w:r w:rsidR="0023419E">
        <w:rPr>
          <w:rFonts w:ascii="Times New Roman" w:hAnsi="Times New Roman" w:cs="Times New Roman"/>
          <w:sz w:val="24"/>
          <w:szCs w:val="24"/>
        </w:rPr>
        <w:t xml:space="preserve">Department of </w:t>
      </w:r>
      <w:r w:rsidR="00622458">
        <w:rPr>
          <w:rFonts w:ascii="Times New Roman" w:hAnsi="Times New Roman" w:cs="Times New Roman"/>
          <w:sz w:val="24"/>
          <w:szCs w:val="24"/>
        </w:rPr>
        <w:t xml:space="preserve">Immigration and Border Protection, </w:t>
      </w:r>
      <w:r w:rsidR="0023419E">
        <w:rPr>
          <w:rFonts w:ascii="Times New Roman" w:hAnsi="Times New Roman" w:cs="Times New Roman"/>
          <w:sz w:val="24"/>
          <w:szCs w:val="24"/>
        </w:rPr>
        <w:t xml:space="preserve">Department of </w:t>
      </w:r>
      <w:r w:rsidR="00622458">
        <w:rPr>
          <w:rFonts w:ascii="Times New Roman" w:hAnsi="Times New Roman" w:cs="Times New Roman"/>
          <w:sz w:val="24"/>
          <w:szCs w:val="24"/>
        </w:rPr>
        <w:t xml:space="preserve">Foreign Affairs and Trade, </w:t>
      </w:r>
      <w:r w:rsidR="0023419E">
        <w:rPr>
          <w:rFonts w:ascii="Times New Roman" w:hAnsi="Times New Roman" w:cs="Times New Roman"/>
          <w:sz w:val="24"/>
          <w:szCs w:val="24"/>
        </w:rPr>
        <w:t xml:space="preserve">Department of </w:t>
      </w:r>
      <w:r w:rsidR="00340B5A">
        <w:rPr>
          <w:rFonts w:ascii="Times New Roman" w:hAnsi="Times New Roman" w:cs="Times New Roman"/>
          <w:sz w:val="24"/>
          <w:szCs w:val="24"/>
        </w:rPr>
        <w:t xml:space="preserve">the </w:t>
      </w:r>
      <w:r w:rsidR="00622458">
        <w:rPr>
          <w:rFonts w:ascii="Times New Roman" w:hAnsi="Times New Roman" w:cs="Times New Roman"/>
          <w:sz w:val="24"/>
          <w:szCs w:val="24"/>
        </w:rPr>
        <w:t>Treasury</w:t>
      </w:r>
      <w:r w:rsidR="0023419E">
        <w:rPr>
          <w:rFonts w:ascii="Times New Roman" w:hAnsi="Times New Roman" w:cs="Times New Roman"/>
          <w:sz w:val="24"/>
          <w:szCs w:val="24"/>
        </w:rPr>
        <w:t>,</w:t>
      </w:r>
      <w:r w:rsidR="00622458">
        <w:rPr>
          <w:rFonts w:ascii="Times New Roman" w:hAnsi="Times New Roman" w:cs="Times New Roman"/>
          <w:sz w:val="24"/>
          <w:szCs w:val="24"/>
        </w:rPr>
        <w:t xml:space="preserve"> and </w:t>
      </w:r>
      <w:r w:rsidR="0023419E">
        <w:rPr>
          <w:rFonts w:ascii="Times New Roman" w:hAnsi="Times New Roman" w:cs="Times New Roman"/>
          <w:sz w:val="24"/>
          <w:szCs w:val="24"/>
        </w:rPr>
        <w:t xml:space="preserve">Department of </w:t>
      </w:r>
      <w:r w:rsidR="00340B5A">
        <w:rPr>
          <w:rFonts w:ascii="Times New Roman" w:hAnsi="Times New Roman" w:cs="Times New Roman"/>
          <w:sz w:val="24"/>
          <w:szCs w:val="24"/>
        </w:rPr>
        <w:t>the</w:t>
      </w:r>
      <w:r w:rsidR="00622458">
        <w:rPr>
          <w:rFonts w:ascii="Times New Roman" w:hAnsi="Times New Roman" w:cs="Times New Roman"/>
          <w:sz w:val="24"/>
          <w:szCs w:val="24"/>
        </w:rPr>
        <w:t xml:space="preserve"> Environment</w:t>
      </w:r>
      <w:r w:rsidR="00340B5A">
        <w:rPr>
          <w:rFonts w:ascii="Times New Roman" w:hAnsi="Times New Roman" w:cs="Times New Roman"/>
          <w:sz w:val="24"/>
          <w:szCs w:val="24"/>
        </w:rPr>
        <w:t xml:space="preserve"> and Energy</w:t>
      </w:r>
      <w:r w:rsidR="00622458">
        <w:rPr>
          <w:rFonts w:ascii="Times New Roman" w:hAnsi="Times New Roman" w:cs="Times New Roman"/>
          <w:sz w:val="24"/>
          <w:szCs w:val="24"/>
        </w:rPr>
        <w:t xml:space="preserve">. </w:t>
      </w:r>
    </w:p>
    <w:p w:rsidR="00B92A42" w:rsidRPr="0033023B" w:rsidRDefault="00B92A42" w:rsidP="00B92A42">
      <w:pPr>
        <w:rPr>
          <w:rFonts w:ascii="Times New Roman" w:hAnsi="Times New Roman" w:cs="Times New Roman"/>
          <w:sz w:val="24"/>
          <w:szCs w:val="24"/>
        </w:rPr>
      </w:pPr>
      <w:r w:rsidRPr="0033023B">
        <w:rPr>
          <w:rFonts w:ascii="Times New Roman" w:hAnsi="Times New Roman" w:cs="Times New Roman"/>
          <w:sz w:val="24"/>
          <w:szCs w:val="24"/>
        </w:rPr>
        <w:t xml:space="preserve">During the week beginning 19 June 2017, DIIS </w:t>
      </w:r>
      <w:r>
        <w:rPr>
          <w:rFonts w:ascii="Times New Roman" w:hAnsi="Times New Roman" w:cs="Times New Roman"/>
          <w:sz w:val="24"/>
          <w:szCs w:val="24"/>
        </w:rPr>
        <w:t>conducted</w:t>
      </w:r>
      <w:r w:rsidRPr="0033023B">
        <w:rPr>
          <w:rFonts w:ascii="Times New Roman" w:hAnsi="Times New Roman" w:cs="Times New Roman"/>
          <w:sz w:val="24"/>
          <w:szCs w:val="24"/>
        </w:rPr>
        <w:t xml:space="preserve"> international consultations with major trading partners including Japan, South Korea, Malaysia and China.</w:t>
      </w:r>
    </w:p>
    <w:p w:rsidR="0033023B" w:rsidRPr="00EB0082" w:rsidRDefault="000F6198" w:rsidP="00EB0082">
      <w:pPr>
        <w:pStyle w:val="BodyText"/>
        <w:rPr>
          <w:rFonts w:ascii="Times New Roman" w:hAnsi="Times New Roman" w:cs="Times New Roman"/>
          <w:sz w:val="24"/>
          <w:szCs w:val="24"/>
        </w:rPr>
      </w:pPr>
      <w:r>
        <w:rPr>
          <w:rFonts w:ascii="Times New Roman" w:hAnsi="Times New Roman" w:cs="Times New Roman"/>
          <w:sz w:val="24"/>
          <w:szCs w:val="24"/>
        </w:rPr>
        <w:t xml:space="preserve">The consultation </w:t>
      </w:r>
      <w:r w:rsidR="00521FBA">
        <w:rPr>
          <w:rFonts w:ascii="Times New Roman" w:hAnsi="Times New Roman" w:cs="Times New Roman"/>
          <w:sz w:val="24"/>
          <w:szCs w:val="24"/>
        </w:rPr>
        <w:t>informed significant</w:t>
      </w:r>
      <w:r>
        <w:rPr>
          <w:rFonts w:ascii="Times New Roman" w:hAnsi="Times New Roman" w:cs="Times New Roman"/>
          <w:sz w:val="24"/>
          <w:szCs w:val="24"/>
        </w:rPr>
        <w:t xml:space="preserve"> amendments to the regulations and </w:t>
      </w:r>
      <w:proofErr w:type="gramStart"/>
      <w:r>
        <w:rPr>
          <w:rFonts w:ascii="Times New Roman" w:hAnsi="Times New Roman" w:cs="Times New Roman"/>
          <w:sz w:val="24"/>
          <w:szCs w:val="24"/>
        </w:rPr>
        <w:t xml:space="preserve">guidelines </w:t>
      </w:r>
      <w:r w:rsidR="00096C23">
        <w:rPr>
          <w:rFonts w:ascii="Times New Roman" w:hAnsi="Times New Roman" w:cs="Times New Roman"/>
          <w:sz w:val="24"/>
          <w:szCs w:val="24"/>
        </w:rPr>
        <w:t>which</w:t>
      </w:r>
      <w:proofErr w:type="gramEnd"/>
      <w:r w:rsidR="00096C23">
        <w:rPr>
          <w:rFonts w:ascii="Times New Roman" w:hAnsi="Times New Roman" w:cs="Times New Roman"/>
          <w:sz w:val="24"/>
          <w:szCs w:val="24"/>
        </w:rPr>
        <w:t xml:space="preserve"> </w:t>
      </w:r>
      <w:r>
        <w:rPr>
          <w:rFonts w:ascii="Times New Roman" w:hAnsi="Times New Roman" w:cs="Times New Roman"/>
          <w:sz w:val="24"/>
          <w:szCs w:val="24"/>
        </w:rPr>
        <w:t xml:space="preserve">improve the design and operation of the ADGSM. </w:t>
      </w:r>
    </w:p>
    <w:p w:rsidR="007C3B66" w:rsidRPr="004F23C3" w:rsidRDefault="00CA28A3" w:rsidP="004F23C3">
      <w:pPr>
        <w:pStyle w:val="Title"/>
      </w:pPr>
      <w:r w:rsidRPr="00CA28A3">
        <w:rPr>
          <w:rFonts w:ascii="Times New Roman" w:hAnsi="Times New Roman" w:cs="Times New Roman"/>
          <w:sz w:val="24"/>
          <w:szCs w:val="24"/>
        </w:rPr>
        <w:t>OPC62682 - A</w:t>
      </w:r>
      <w:r w:rsidR="007C3B66">
        <w:rPr>
          <w:rFonts w:ascii="Times New Roman" w:hAnsi="Times New Roman" w:cs="Times New Roman"/>
          <w:b/>
          <w:sz w:val="24"/>
          <w:szCs w:val="24"/>
          <w:highlight w:val="yellow"/>
          <w:u w:val="single"/>
        </w:rPr>
        <w:br w:type="page"/>
      </w:r>
    </w:p>
    <w:sdt>
      <w:sdtPr>
        <w:rPr>
          <w:rFonts w:asciiTheme="minorHAnsi" w:eastAsiaTheme="minorHAnsi" w:hAnsiTheme="minorHAnsi" w:cstheme="minorBidi"/>
          <w:color w:val="auto"/>
          <w:sz w:val="22"/>
          <w:szCs w:val="22"/>
          <w:lang w:val="en-AU"/>
        </w:rPr>
        <w:id w:val="834421440"/>
        <w:docPartObj>
          <w:docPartGallery w:val="Table of Contents"/>
          <w:docPartUnique/>
        </w:docPartObj>
      </w:sdtPr>
      <w:sdtEndPr>
        <w:rPr>
          <w:b/>
          <w:bCs/>
          <w:noProof/>
        </w:rPr>
      </w:sdtEndPr>
      <w:sdtContent>
        <w:p w:rsidR="004F23C3" w:rsidRPr="004F23C3" w:rsidRDefault="004F23C3" w:rsidP="007C3B66">
          <w:pPr>
            <w:pStyle w:val="TOCHeading"/>
            <w:jc w:val="center"/>
            <w:rPr>
              <w:rStyle w:val="Heading1Char"/>
            </w:rPr>
          </w:pPr>
          <w:r w:rsidRPr="004F23C3">
            <w:rPr>
              <w:rStyle w:val="Heading1Char"/>
            </w:rPr>
            <w:t>Regulation Impact Statement</w:t>
          </w:r>
        </w:p>
        <w:p w:rsidR="004F23C3" w:rsidRDefault="004F23C3" w:rsidP="007C3B66">
          <w:pPr>
            <w:pStyle w:val="TOCHeading"/>
            <w:jc w:val="center"/>
            <w:rPr>
              <w:rFonts w:asciiTheme="minorHAnsi" w:eastAsiaTheme="minorHAnsi" w:hAnsiTheme="minorHAnsi" w:cstheme="minorBidi"/>
              <w:color w:val="auto"/>
              <w:sz w:val="22"/>
              <w:szCs w:val="22"/>
              <w:lang w:val="en-AU"/>
            </w:rPr>
          </w:pPr>
        </w:p>
        <w:p w:rsidR="0066381C" w:rsidRDefault="0066381C" w:rsidP="007C3B66">
          <w:pPr>
            <w:pStyle w:val="TOCHeading"/>
            <w:jc w:val="center"/>
          </w:pPr>
          <w:r>
            <w:t>Table of Contents</w:t>
          </w:r>
        </w:p>
        <w:p w:rsidR="0066381C" w:rsidRDefault="0066381C" w:rsidP="0066381C">
          <w:pPr>
            <w:pStyle w:val="TOC1"/>
            <w:tabs>
              <w:tab w:val="left" w:pos="440"/>
              <w:tab w:val="right" w:leader="dot" w:pos="9016"/>
            </w:tabs>
            <w:rPr>
              <w:rFonts w:eastAsiaTheme="minorEastAsia"/>
              <w:noProof/>
              <w:lang w:eastAsia="en-AU"/>
            </w:rPr>
          </w:pPr>
          <w:r>
            <w:fldChar w:fldCharType="begin"/>
          </w:r>
          <w:r>
            <w:instrText xml:space="preserve"> TOC \o "1-3" \h \z \u </w:instrText>
          </w:r>
          <w:r>
            <w:fldChar w:fldCharType="separate"/>
          </w:r>
          <w:hyperlink w:anchor="_Toc485406130" w:history="1">
            <w:r w:rsidRPr="000855A8">
              <w:rPr>
                <w:rStyle w:val="Hyperlink"/>
                <w:noProof/>
              </w:rPr>
              <w:t>1</w:t>
            </w:r>
            <w:r>
              <w:rPr>
                <w:rFonts w:eastAsiaTheme="minorEastAsia"/>
                <w:noProof/>
                <w:lang w:eastAsia="en-AU"/>
              </w:rPr>
              <w:tab/>
            </w:r>
            <w:r w:rsidRPr="000855A8">
              <w:rPr>
                <w:rStyle w:val="Hyperlink"/>
                <w:noProof/>
              </w:rPr>
              <w:t>Executive Summary</w:t>
            </w:r>
            <w:r>
              <w:rPr>
                <w:noProof/>
                <w:webHidden/>
              </w:rPr>
              <w:tab/>
            </w:r>
            <w:r>
              <w:rPr>
                <w:noProof/>
                <w:webHidden/>
              </w:rPr>
              <w:fldChar w:fldCharType="begin"/>
            </w:r>
            <w:r>
              <w:rPr>
                <w:noProof/>
                <w:webHidden/>
              </w:rPr>
              <w:instrText xml:space="preserve"> PAGEREF _Toc485406130 \h </w:instrText>
            </w:r>
            <w:r>
              <w:rPr>
                <w:noProof/>
                <w:webHidden/>
              </w:rPr>
            </w:r>
            <w:r>
              <w:rPr>
                <w:noProof/>
                <w:webHidden/>
              </w:rPr>
              <w:fldChar w:fldCharType="separate"/>
            </w:r>
            <w:r w:rsidR="00D565EF">
              <w:rPr>
                <w:noProof/>
                <w:webHidden/>
              </w:rPr>
              <w:t>9</w:t>
            </w:r>
            <w:r>
              <w:rPr>
                <w:noProof/>
                <w:webHidden/>
              </w:rPr>
              <w:fldChar w:fldCharType="end"/>
            </w:r>
          </w:hyperlink>
        </w:p>
        <w:p w:rsidR="0066381C" w:rsidRDefault="00CA28A3" w:rsidP="0066381C">
          <w:pPr>
            <w:pStyle w:val="TOC1"/>
            <w:tabs>
              <w:tab w:val="left" w:pos="440"/>
              <w:tab w:val="right" w:leader="dot" w:pos="9016"/>
            </w:tabs>
            <w:rPr>
              <w:rFonts w:eastAsiaTheme="minorEastAsia"/>
              <w:noProof/>
              <w:lang w:eastAsia="en-AU"/>
            </w:rPr>
          </w:pPr>
          <w:hyperlink w:anchor="_Toc485406131" w:history="1">
            <w:r w:rsidR="0066381C" w:rsidRPr="000855A8">
              <w:rPr>
                <w:rStyle w:val="Hyperlink"/>
                <w:noProof/>
              </w:rPr>
              <w:t>2</w:t>
            </w:r>
            <w:r w:rsidR="0066381C">
              <w:rPr>
                <w:rFonts w:eastAsiaTheme="minorEastAsia"/>
                <w:noProof/>
                <w:lang w:eastAsia="en-AU"/>
              </w:rPr>
              <w:tab/>
            </w:r>
            <w:r w:rsidR="0066381C" w:rsidRPr="000855A8">
              <w:rPr>
                <w:rStyle w:val="Hyperlink"/>
                <w:noProof/>
              </w:rPr>
              <w:t>Policy Problem</w:t>
            </w:r>
            <w:r w:rsidR="0066381C">
              <w:rPr>
                <w:noProof/>
                <w:webHidden/>
              </w:rPr>
              <w:tab/>
            </w:r>
            <w:r w:rsidR="0066381C">
              <w:rPr>
                <w:noProof/>
                <w:webHidden/>
              </w:rPr>
              <w:fldChar w:fldCharType="begin"/>
            </w:r>
            <w:r w:rsidR="0066381C">
              <w:rPr>
                <w:noProof/>
                <w:webHidden/>
              </w:rPr>
              <w:instrText xml:space="preserve"> PAGEREF _Toc485406131 \h </w:instrText>
            </w:r>
            <w:r w:rsidR="0066381C">
              <w:rPr>
                <w:noProof/>
                <w:webHidden/>
              </w:rPr>
            </w:r>
            <w:r w:rsidR="0066381C">
              <w:rPr>
                <w:noProof/>
                <w:webHidden/>
              </w:rPr>
              <w:fldChar w:fldCharType="separate"/>
            </w:r>
            <w:r w:rsidR="00D565EF">
              <w:rPr>
                <w:noProof/>
                <w:webHidden/>
              </w:rPr>
              <w:t>10</w:t>
            </w:r>
            <w:r w:rsidR="0066381C">
              <w:rPr>
                <w:noProof/>
                <w:webHidden/>
              </w:rPr>
              <w:fldChar w:fldCharType="end"/>
            </w:r>
          </w:hyperlink>
        </w:p>
        <w:p w:rsidR="0066381C" w:rsidRDefault="00CA28A3" w:rsidP="0066381C">
          <w:pPr>
            <w:pStyle w:val="TOC1"/>
            <w:tabs>
              <w:tab w:val="left" w:pos="440"/>
              <w:tab w:val="right" w:leader="dot" w:pos="9016"/>
            </w:tabs>
            <w:rPr>
              <w:rFonts w:eastAsiaTheme="minorEastAsia"/>
              <w:noProof/>
              <w:lang w:eastAsia="en-AU"/>
            </w:rPr>
          </w:pPr>
          <w:hyperlink w:anchor="_Toc485406132" w:history="1">
            <w:r w:rsidR="0066381C" w:rsidRPr="000855A8">
              <w:rPr>
                <w:rStyle w:val="Hyperlink"/>
                <w:noProof/>
              </w:rPr>
              <w:t>3</w:t>
            </w:r>
            <w:r w:rsidR="0066381C">
              <w:rPr>
                <w:rFonts w:eastAsiaTheme="minorEastAsia"/>
                <w:noProof/>
                <w:lang w:eastAsia="en-AU"/>
              </w:rPr>
              <w:tab/>
            </w:r>
            <w:r w:rsidR="0066381C" w:rsidRPr="000855A8">
              <w:rPr>
                <w:rStyle w:val="Hyperlink"/>
                <w:noProof/>
              </w:rPr>
              <w:t>Government Intervention</w:t>
            </w:r>
            <w:r w:rsidR="0066381C">
              <w:rPr>
                <w:noProof/>
                <w:webHidden/>
              </w:rPr>
              <w:tab/>
            </w:r>
            <w:r w:rsidR="0066381C">
              <w:rPr>
                <w:noProof/>
                <w:webHidden/>
              </w:rPr>
              <w:fldChar w:fldCharType="begin"/>
            </w:r>
            <w:r w:rsidR="0066381C">
              <w:rPr>
                <w:noProof/>
                <w:webHidden/>
              </w:rPr>
              <w:instrText xml:space="preserve"> PAGEREF _Toc485406132 \h </w:instrText>
            </w:r>
            <w:r w:rsidR="0066381C">
              <w:rPr>
                <w:noProof/>
                <w:webHidden/>
              </w:rPr>
            </w:r>
            <w:r w:rsidR="0066381C">
              <w:rPr>
                <w:noProof/>
                <w:webHidden/>
              </w:rPr>
              <w:fldChar w:fldCharType="separate"/>
            </w:r>
            <w:r w:rsidR="00D565EF">
              <w:rPr>
                <w:noProof/>
                <w:webHidden/>
              </w:rPr>
              <w:t>13</w:t>
            </w:r>
            <w:r w:rsidR="0066381C">
              <w:rPr>
                <w:noProof/>
                <w:webHidden/>
              </w:rPr>
              <w:fldChar w:fldCharType="end"/>
            </w:r>
          </w:hyperlink>
        </w:p>
        <w:p w:rsidR="0066381C" w:rsidRDefault="00CA28A3" w:rsidP="0066381C">
          <w:pPr>
            <w:pStyle w:val="TOC1"/>
            <w:tabs>
              <w:tab w:val="left" w:pos="440"/>
              <w:tab w:val="right" w:leader="dot" w:pos="9016"/>
            </w:tabs>
            <w:rPr>
              <w:rFonts w:eastAsiaTheme="minorEastAsia"/>
              <w:noProof/>
              <w:lang w:eastAsia="en-AU"/>
            </w:rPr>
          </w:pPr>
          <w:hyperlink w:anchor="_Toc485406133" w:history="1">
            <w:r w:rsidR="0066381C" w:rsidRPr="000855A8">
              <w:rPr>
                <w:rStyle w:val="Hyperlink"/>
                <w:noProof/>
              </w:rPr>
              <w:t>4</w:t>
            </w:r>
            <w:r w:rsidR="0066381C">
              <w:rPr>
                <w:rFonts w:eastAsiaTheme="minorEastAsia"/>
                <w:noProof/>
                <w:lang w:eastAsia="en-AU"/>
              </w:rPr>
              <w:tab/>
            </w:r>
            <w:r w:rsidR="0066381C" w:rsidRPr="000855A8">
              <w:rPr>
                <w:rStyle w:val="Hyperlink"/>
                <w:noProof/>
              </w:rPr>
              <w:t>Policy Options</w:t>
            </w:r>
            <w:r w:rsidR="0066381C">
              <w:rPr>
                <w:noProof/>
                <w:webHidden/>
              </w:rPr>
              <w:tab/>
            </w:r>
            <w:r w:rsidR="0066381C">
              <w:rPr>
                <w:noProof/>
                <w:webHidden/>
              </w:rPr>
              <w:fldChar w:fldCharType="begin"/>
            </w:r>
            <w:r w:rsidR="0066381C">
              <w:rPr>
                <w:noProof/>
                <w:webHidden/>
              </w:rPr>
              <w:instrText xml:space="preserve"> PAGEREF _Toc485406133 \h </w:instrText>
            </w:r>
            <w:r w:rsidR="0066381C">
              <w:rPr>
                <w:noProof/>
                <w:webHidden/>
              </w:rPr>
            </w:r>
            <w:r w:rsidR="0066381C">
              <w:rPr>
                <w:noProof/>
                <w:webHidden/>
              </w:rPr>
              <w:fldChar w:fldCharType="separate"/>
            </w:r>
            <w:r w:rsidR="00D565EF">
              <w:rPr>
                <w:noProof/>
                <w:webHidden/>
              </w:rPr>
              <w:t>14</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34" w:history="1">
            <w:r w:rsidR="0066381C" w:rsidRPr="000855A8">
              <w:rPr>
                <w:rStyle w:val="Hyperlink"/>
                <w:noProof/>
              </w:rPr>
              <w:t>4.1</w:t>
            </w:r>
            <w:r w:rsidR="0066381C">
              <w:rPr>
                <w:rFonts w:eastAsiaTheme="minorEastAsia"/>
                <w:noProof/>
                <w:lang w:eastAsia="en-AU"/>
              </w:rPr>
              <w:tab/>
            </w:r>
            <w:r w:rsidR="0066381C" w:rsidRPr="000855A8">
              <w:rPr>
                <w:rStyle w:val="Hyperlink"/>
                <w:noProof/>
              </w:rPr>
              <w:t>Status quo – no change to the current unregulated environment</w:t>
            </w:r>
            <w:r w:rsidR="0066381C">
              <w:rPr>
                <w:noProof/>
                <w:webHidden/>
              </w:rPr>
              <w:tab/>
            </w:r>
            <w:r w:rsidR="0066381C">
              <w:rPr>
                <w:noProof/>
                <w:webHidden/>
              </w:rPr>
              <w:fldChar w:fldCharType="begin"/>
            </w:r>
            <w:r w:rsidR="0066381C">
              <w:rPr>
                <w:noProof/>
                <w:webHidden/>
              </w:rPr>
              <w:instrText xml:space="preserve"> PAGEREF _Toc485406134 \h </w:instrText>
            </w:r>
            <w:r w:rsidR="0066381C">
              <w:rPr>
                <w:noProof/>
                <w:webHidden/>
              </w:rPr>
            </w:r>
            <w:r w:rsidR="0066381C">
              <w:rPr>
                <w:noProof/>
                <w:webHidden/>
              </w:rPr>
              <w:fldChar w:fldCharType="separate"/>
            </w:r>
            <w:r w:rsidR="00D565EF">
              <w:rPr>
                <w:noProof/>
                <w:webHidden/>
              </w:rPr>
              <w:t>14</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35" w:history="1">
            <w:r w:rsidR="0066381C" w:rsidRPr="000855A8">
              <w:rPr>
                <w:rStyle w:val="Hyperlink"/>
                <w:noProof/>
              </w:rPr>
              <w:t>4.2</w:t>
            </w:r>
            <w:r w:rsidR="0066381C">
              <w:rPr>
                <w:rFonts w:eastAsiaTheme="minorEastAsia"/>
                <w:noProof/>
                <w:lang w:eastAsia="en-AU"/>
              </w:rPr>
              <w:tab/>
            </w:r>
            <w:r w:rsidR="0066381C" w:rsidRPr="000855A8">
              <w:rPr>
                <w:rStyle w:val="Hyperlink"/>
                <w:noProof/>
              </w:rPr>
              <w:t>Industry led agreement to guarantee adequate supply</w:t>
            </w:r>
            <w:r w:rsidR="0066381C">
              <w:rPr>
                <w:noProof/>
                <w:webHidden/>
              </w:rPr>
              <w:tab/>
            </w:r>
            <w:r w:rsidR="0066381C">
              <w:rPr>
                <w:noProof/>
                <w:webHidden/>
              </w:rPr>
              <w:fldChar w:fldCharType="begin"/>
            </w:r>
            <w:r w:rsidR="0066381C">
              <w:rPr>
                <w:noProof/>
                <w:webHidden/>
              </w:rPr>
              <w:instrText xml:space="preserve"> PAGEREF _Toc485406135 \h </w:instrText>
            </w:r>
            <w:r w:rsidR="0066381C">
              <w:rPr>
                <w:noProof/>
                <w:webHidden/>
              </w:rPr>
            </w:r>
            <w:r w:rsidR="0066381C">
              <w:rPr>
                <w:noProof/>
                <w:webHidden/>
              </w:rPr>
              <w:fldChar w:fldCharType="separate"/>
            </w:r>
            <w:r w:rsidR="00D565EF">
              <w:rPr>
                <w:noProof/>
                <w:webHidden/>
              </w:rPr>
              <w:t>14</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36" w:history="1">
            <w:r w:rsidR="0066381C" w:rsidRPr="000855A8">
              <w:rPr>
                <w:rStyle w:val="Hyperlink"/>
                <w:noProof/>
              </w:rPr>
              <w:t>4.3</w:t>
            </w:r>
            <w:r w:rsidR="0066381C">
              <w:rPr>
                <w:rFonts w:eastAsiaTheme="minorEastAsia"/>
                <w:noProof/>
                <w:lang w:eastAsia="en-AU"/>
              </w:rPr>
              <w:tab/>
            </w:r>
            <w:r w:rsidR="0066381C" w:rsidRPr="000855A8">
              <w:rPr>
                <w:rStyle w:val="Hyperlink"/>
                <w:noProof/>
              </w:rPr>
              <w:t>Gas reservation policy – imposing a blanket quota for the domestic market</w:t>
            </w:r>
            <w:r w:rsidR="0066381C">
              <w:rPr>
                <w:noProof/>
                <w:webHidden/>
              </w:rPr>
              <w:tab/>
            </w:r>
            <w:r w:rsidR="0066381C">
              <w:rPr>
                <w:noProof/>
                <w:webHidden/>
              </w:rPr>
              <w:fldChar w:fldCharType="begin"/>
            </w:r>
            <w:r w:rsidR="0066381C">
              <w:rPr>
                <w:noProof/>
                <w:webHidden/>
              </w:rPr>
              <w:instrText xml:space="preserve"> PAGEREF _Toc485406136 \h </w:instrText>
            </w:r>
            <w:r w:rsidR="0066381C">
              <w:rPr>
                <w:noProof/>
                <w:webHidden/>
              </w:rPr>
            </w:r>
            <w:r w:rsidR="0066381C">
              <w:rPr>
                <w:noProof/>
                <w:webHidden/>
              </w:rPr>
              <w:fldChar w:fldCharType="separate"/>
            </w:r>
            <w:r w:rsidR="00D565EF">
              <w:rPr>
                <w:noProof/>
                <w:webHidden/>
              </w:rPr>
              <w:t>14</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37" w:history="1">
            <w:r w:rsidR="0066381C" w:rsidRPr="000855A8">
              <w:rPr>
                <w:rStyle w:val="Hyperlink"/>
                <w:noProof/>
              </w:rPr>
              <w:t>4.4</w:t>
            </w:r>
            <w:r w:rsidR="0066381C">
              <w:rPr>
                <w:rFonts w:eastAsiaTheme="minorEastAsia"/>
                <w:noProof/>
                <w:lang w:eastAsia="en-AU"/>
              </w:rPr>
              <w:tab/>
            </w:r>
            <w:r w:rsidR="0066381C" w:rsidRPr="000855A8">
              <w:rPr>
                <w:rStyle w:val="Hyperlink"/>
                <w:noProof/>
              </w:rPr>
              <w:t>Export controls</w:t>
            </w:r>
            <w:r w:rsidR="0066381C">
              <w:rPr>
                <w:noProof/>
                <w:webHidden/>
              </w:rPr>
              <w:tab/>
            </w:r>
            <w:r w:rsidR="0066381C">
              <w:rPr>
                <w:noProof/>
                <w:webHidden/>
              </w:rPr>
              <w:fldChar w:fldCharType="begin"/>
            </w:r>
            <w:r w:rsidR="0066381C">
              <w:rPr>
                <w:noProof/>
                <w:webHidden/>
              </w:rPr>
              <w:instrText xml:space="preserve"> PAGEREF _Toc485406137 \h </w:instrText>
            </w:r>
            <w:r w:rsidR="0066381C">
              <w:rPr>
                <w:noProof/>
                <w:webHidden/>
              </w:rPr>
            </w:r>
            <w:r w:rsidR="0066381C">
              <w:rPr>
                <w:noProof/>
                <w:webHidden/>
              </w:rPr>
              <w:fldChar w:fldCharType="separate"/>
            </w:r>
            <w:r w:rsidR="00D565EF">
              <w:rPr>
                <w:noProof/>
                <w:webHidden/>
              </w:rPr>
              <w:t>15</w:t>
            </w:r>
            <w:r w:rsidR="0066381C">
              <w:rPr>
                <w:noProof/>
                <w:webHidden/>
              </w:rPr>
              <w:fldChar w:fldCharType="end"/>
            </w:r>
          </w:hyperlink>
        </w:p>
        <w:p w:rsidR="0066381C" w:rsidRDefault="00CA28A3" w:rsidP="0066381C">
          <w:pPr>
            <w:pStyle w:val="TOC1"/>
            <w:tabs>
              <w:tab w:val="left" w:pos="440"/>
              <w:tab w:val="right" w:leader="dot" w:pos="9016"/>
            </w:tabs>
            <w:rPr>
              <w:rFonts w:eastAsiaTheme="minorEastAsia"/>
              <w:noProof/>
              <w:lang w:eastAsia="en-AU"/>
            </w:rPr>
          </w:pPr>
          <w:hyperlink w:anchor="_Toc485406138" w:history="1">
            <w:r w:rsidR="0066381C" w:rsidRPr="000855A8">
              <w:rPr>
                <w:rStyle w:val="Hyperlink"/>
                <w:noProof/>
              </w:rPr>
              <w:t>5</w:t>
            </w:r>
            <w:r w:rsidR="0066381C">
              <w:rPr>
                <w:rFonts w:eastAsiaTheme="minorEastAsia"/>
                <w:noProof/>
                <w:lang w:eastAsia="en-AU"/>
              </w:rPr>
              <w:tab/>
            </w:r>
            <w:r w:rsidR="0066381C" w:rsidRPr="000855A8">
              <w:rPr>
                <w:rStyle w:val="Hyperlink"/>
                <w:noProof/>
              </w:rPr>
              <w:t>Net Benefits</w:t>
            </w:r>
            <w:r w:rsidR="0066381C">
              <w:rPr>
                <w:noProof/>
                <w:webHidden/>
              </w:rPr>
              <w:tab/>
            </w:r>
            <w:r w:rsidR="0066381C">
              <w:rPr>
                <w:noProof/>
                <w:webHidden/>
              </w:rPr>
              <w:fldChar w:fldCharType="begin"/>
            </w:r>
            <w:r w:rsidR="0066381C">
              <w:rPr>
                <w:noProof/>
                <w:webHidden/>
              </w:rPr>
              <w:instrText xml:space="preserve"> PAGEREF _Toc485406138 \h </w:instrText>
            </w:r>
            <w:r w:rsidR="0066381C">
              <w:rPr>
                <w:noProof/>
                <w:webHidden/>
              </w:rPr>
            </w:r>
            <w:r w:rsidR="0066381C">
              <w:rPr>
                <w:noProof/>
                <w:webHidden/>
              </w:rPr>
              <w:fldChar w:fldCharType="separate"/>
            </w:r>
            <w:r w:rsidR="00D565EF">
              <w:rPr>
                <w:noProof/>
                <w:webHidden/>
              </w:rPr>
              <w:t>19</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39" w:history="1">
            <w:r w:rsidR="0066381C" w:rsidRPr="000855A8">
              <w:rPr>
                <w:rStyle w:val="Hyperlink"/>
                <w:noProof/>
              </w:rPr>
              <w:t>5.1</w:t>
            </w:r>
            <w:r w:rsidR="0066381C">
              <w:rPr>
                <w:rFonts w:eastAsiaTheme="minorEastAsia"/>
                <w:noProof/>
                <w:lang w:eastAsia="en-AU"/>
              </w:rPr>
              <w:tab/>
            </w:r>
            <w:r w:rsidR="0066381C" w:rsidRPr="000855A8">
              <w:rPr>
                <w:rStyle w:val="Hyperlink"/>
                <w:noProof/>
              </w:rPr>
              <w:t>Impact analysis: status quo</w:t>
            </w:r>
            <w:r w:rsidR="0066381C">
              <w:rPr>
                <w:noProof/>
                <w:webHidden/>
              </w:rPr>
              <w:tab/>
            </w:r>
            <w:r w:rsidR="0066381C">
              <w:rPr>
                <w:noProof/>
                <w:webHidden/>
              </w:rPr>
              <w:fldChar w:fldCharType="begin"/>
            </w:r>
            <w:r w:rsidR="0066381C">
              <w:rPr>
                <w:noProof/>
                <w:webHidden/>
              </w:rPr>
              <w:instrText xml:space="preserve"> PAGEREF _Toc485406139 \h </w:instrText>
            </w:r>
            <w:r w:rsidR="0066381C">
              <w:rPr>
                <w:noProof/>
                <w:webHidden/>
              </w:rPr>
            </w:r>
            <w:r w:rsidR="0066381C">
              <w:rPr>
                <w:noProof/>
                <w:webHidden/>
              </w:rPr>
              <w:fldChar w:fldCharType="separate"/>
            </w:r>
            <w:r w:rsidR="00D565EF">
              <w:rPr>
                <w:noProof/>
                <w:webHidden/>
              </w:rPr>
              <w:t>19</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40" w:history="1">
            <w:r w:rsidR="0066381C" w:rsidRPr="000855A8">
              <w:rPr>
                <w:rStyle w:val="Hyperlink"/>
                <w:noProof/>
              </w:rPr>
              <w:t>Overview</w:t>
            </w:r>
            <w:r w:rsidR="0066381C">
              <w:rPr>
                <w:noProof/>
                <w:webHidden/>
              </w:rPr>
              <w:tab/>
            </w:r>
            <w:r w:rsidR="0066381C">
              <w:rPr>
                <w:noProof/>
                <w:webHidden/>
              </w:rPr>
              <w:fldChar w:fldCharType="begin"/>
            </w:r>
            <w:r w:rsidR="0066381C">
              <w:rPr>
                <w:noProof/>
                <w:webHidden/>
              </w:rPr>
              <w:instrText xml:space="preserve"> PAGEREF _Toc485406140 \h </w:instrText>
            </w:r>
            <w:r w:rsidR="0066381C">
              <w:rPr>
                <w:noProof/>
                <w:webHidden/>
              </w:rPr>
            </w:r>
            <w:r w:rsidR="0066381C">
              <w:rPr>
                <w:noProof/>
                <w:webHidden/>
              </w:rPr>
              <w:fldChar w:fldCharType="separate"/>
            </w:r>
            <w:r w:rsidR="00D565EF">
              <w:rPr>
                <w:noProof/>
                <w:webHidden/>
              </w:rPr>
              <w:t>19</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41" w:history="1">
            <w:r w:rsidR="0066381C" w:rsidRPr="000855A8">
              <w:rPr>
                <w:rStyle w:val="Hyperlink"/>
                <w:noProof/>
              </w:rPr>
              <w:t>Costs</w:t>
            </w:r>
            <w:r w:rsidR="0066381C">
              <w:rPr>
                <w:noProof/>
                <w:webHidden/>
              </w:rPr>
              <w:tab/>
            </w:r>
            <w:r w:rsidR="0066381C">
              <w:rPr>
                <w:noProof/>
                <w:webHidden/>
              </w:rPr>
              <w:fldChar w:fldCharType="begin"/>
            </w:r>
            <w:r w:rsidR="0066381C">
              <w:rPr>
                <w:noProof/>
                <w:webHidden/>
              </w:rPr>
              <w:instrText xml:space="preserve"> PAGEREF _Toc485406141 \h </w:instrText>
            </w:r>
            <w:r w:rsidR="0066381C">
              <w:rPr>
                <w:noProof/>
                <w:webHidden/>
              </w:rPr>
            </w:r>
            <w:r w:rsidR="0066381C">
              <w:rPr>
                <w:noProof/>
                <w:webHidden/>
              </w:rPr>
              <w:fldChar w:fldCharType="separate"/>
            </w:r>
            <w:r w:rsidR="00D565EF">
              <w:rPr>
                <w:noProof/>
                <w:webHidden/>
              </w:rPr>
              <w:t>19</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42" w:history="1">
            <w:r w:rsidR="0066381C" w:rsidRPr="000855A8">
              <w:rPr>
                <w:rStyle w:val="Hyperlink"/>
                <w:noProof/>
              </w:rPr>
              <w:t>Benefits</w:t>
            </w:r>
            <w:r w:rsidR="0066381C">
              <w:rPr>
                <w:noProof/>
                <w:webHidden/>
              </w:rPr>
              <w:tab/>
            </w:r>
            <w:r w:rsidR="0066381C">
              <w:rPr>
                <w:noProof/>
                <w:webHidden/>
              </w:rPr>
              <w:fldChar w:fldCharType="begin"/>
            </w:r>
            <w:r w:rsidR="0066381C">
              <w:rPr>
                <w:noProof/>
                <w:webHidden/>
              </w:rPr>
              <w:instrText xml:space="preserve"> PAGEREF _Toc485406142 \h </w:instrText>
            </w:r>
            <w:r w:rsidR="0066381C">
              <w:rPr>
                <w:noProof/>
                <w:webHidden/>
              </w:rPr>
            </w:r>
            <w:r w:rsidR="0066381C">
              <w:rPr>
                <w:noProof/>
                <w:webHidden/>
              </w:rPr>
              <w:fldChar w:fldCharType="separate"/>
            </w:r>
            <w:r w:rsidR="00D565EF">
              <w:rPr>
                <w:noProof/>
                <w:webHidden/>
              </w:rPr>
              <w:t>20</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43" w:history="1">
            <w:r w:rsidR="0066381C" w:rsidRPr="000855A8">
              <w:rPr>
                <w:rStyle w:val="Hyperlink"/>
                <w:noProof/>
              </w:rPr>
              <w:t>Net benefit</w:t>
            </w:r>
            <w:r w:rsidR="0066381C">
              <w:rPr>
                <w:noProof/>
                <w:webHidden/>
              </w:rPr>
              <w:tab/>
            </w:r>
            <w:r w:rsidR="0066381C">
              <w:rPr>
                <w:noProof/>
                <w:webHidden/>
              </w:rPr>
              <w:fldChar w:fldCharType="begin"/>
            </w:r>
            <w:r w:rsidR="0066381C">
              <w:rPr>
                <w:noProof/>
                <w:webHidden/>
              </w:rPr>
              <w:instrText xml:space="preserve"> PAGEREF _Toc485406143 \h </w:instrText>
            </w:r>
            <w:r w:rsidR="0066381C">
              <w:rPr>
                <w:noProof/>
                <w:webHidden/>
              </w:rPr>
            </w:r>
            <w:r w:rsidR="0066381C">
              <w:rPr>
                <w:noProof/>
                <w:webHidden/>
              </w:rPr>
              <w:fldChar w:fldCharType="separate"/>
            </w:r>
            <w:r w:rsidR="00D565EF">
              <w:rPr>
                <w:noProof/>
                <w:webHidden/>
              </w:rPr>
              <w:t>20</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44" w:history="1">
            <w:r w:rsidR="0066381C" w:rsidRPr="000855A8">
              <w:rPr>
                <w:rStyle w:val="Hyperlink"/>
                <w:noProof/>
              </w:rPr>
              <w:t>5.2</w:t>
            </w:r>
            <w:r w:rsidR="0066381C">
              <w:rPr>
                <w:rFonts w:eastAsiaTheme="minorEastAsia"/>
                <w:noProof/>
                <w:lang w:eastAsia="en-AU"/>
              </w:rPr>
              <w:tab/>
            </w:r>
            <w:r w:rsidR="0066381C" w:rsidRPr="000855A8">
              <w:rPr>
                <w:rStyle w:val="Hyperlink"/>
                <w:noProof/>
              </w:rPr>
              <w:t>Impact analysis: industry led agreement to guarantee adequate supply</w:t>
            </w:r>
            <w:r w:rsidR="0066381C">
              <w:rPr>
                <w:noProof/>
                <w:webHidden/>
              </w:rPr>
              <w:tab/>
            </w:r>
            <w:r w:rsidR="0066381C">
              <w:rPr>
                <w:noProof/>
                <w:webHidden/>
              </w:rPr>
              <w:fldChar w:fldCharType="begin"/>
            </w:r>
            <w:r w:rsidR="0066381C">
              <w:rPr>
                <w:noProof/>
                <w:webHidden/>
              </w:rPr>
              <w:instrText xml:space="preserve"> PAGEREF _Toc485406144 \h </w:instrText>
            </w:r>
            <w:r w:rsidR="0066381C">
              <w:rPr>
                <w:noProof/>
                <w:webHidden/>
              </w:rPr>
            </w:r>
            <w:r w:rsidR="0066381C">
              <w:rPr>
                <w:noProof/>
                <w:webHidden/>
              </w:rPr>
              <w:fldChar w:fldCharType="separate"/>
            </w:r>
            <w:r w:rsidR="00D565EF">
              <w:rPr>
                <w:noProof/>
                <w:webHidden/>
              </w:rPr>
              <w:t>20</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45" w:history="1">
            <w:r w:rsidR="0066381C" w:rsidRPr="000855A8">
              <w:rPr>
                <w:rStyle w:val="Hyperlink"/>
                <w:noProof/>
              </w:rPr>
              <w:t>Overview</w:t>
            </w:r>
            <w:r w:rsidR="0066381C">
              <w:rPr>
                <w:noProof/>
                <w:webHidden/>
              </w:rPr>
              <w:tab/>
            </w:r>
            <w:r w:rsidR="0066381C">
              <w:rPr>
                <w:noProof/>
                <w:webHidden/>
              </w:rPr>
              <w:fldChar w:fldCharType="begin"/>
            </w:r>
            <w:r w:rsidR="0066381C">
              <w:rPr>
                <w:noProof/>
                <w:webHidden/>
              </w:rPr>
              <w:instrText xml:space="preserve"> PAGEREF _Toc485406145 \h </w:instrText>
            </w:r>
            <w:r w:rsidR="0066381C">
              <w:rPr>
                <w:noProof/>
                <w:webHidden/>
              </w:rPr>
            </w:r>
            <w:r w:rsidR="0066381C">
              <w:rPr>
                <w:noProof/>
                <w:webHidden/>
              </w:rPr>
              <w:fldChar w:fldCharType="separate"/>
            </w:r>
            <w:r w:rsidR="00D565EF">
              <w:rPr>
                <w:noProof/>
                <w:webHidden/>
              </w:rPr>
              <w:t>20</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46" w:history="1">
            <w:r w:rsidR="0066381C" w:rsidRPr="000855A8">
              <w:rPr>
                <w:rStyle w:val="Hyperlink"/>
                <w:noProof/>
              </w:rPr>
              <w:t>Costs</w:t>
            </w:r>
            <w:r w:rsidR="0066381C">
              <w:rPr>
                <w:noProof/>
                <w:webHidden/>
              </w:rPr>
              <w:tab/>
            </w:r>
            <w:r w:rsidR="0066381C">
              <w:rPr>
                <w:noProof/>
                <w:webHidden/>
              </w:rPr>
              <w:fldChar w:fldCharType="begin"/>
            </w:r>
            <w:r w:rsidR="0066381C">
              <w:rPr>
                <w:noProof/>
                <w:webHidden/>
              </w:rPr>
              <w:instrText xml:space="preserve"> PAGEREF _Toc485406146 \h </w:instrText>
            </w:r>
            <w:r w:rsidR="0066381C">
              <w:rPr>
                <w:noProof/>
                <w:webHidden/>
              </w:rPr>
            </w:r>
            <w:r w:rsidR="0066381C">
              <w:rPr>
                <w:noProof/>
                <w:webHidden/>
              </w:rPr>
              <w:fldChar w:fldCharType="separate"/>
            </w:r>
            <w:r w:rsidR="00D565EF">
              <w:rPr>
                <w:noProof/>
                <w:webHidden/>
              </w:rPr>
              <w:t>20</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47" w:history="1">
            <w:r w:rsidR="0066381C" w:rsidRPr="000855A8">
              <w:rPr>
                <w:rStyle w:val="Hyperlink"/>
                <w:noProof/>
              </w:rPr>
              <w:t>Benefits</w:t>
            </w:r>
            <w:r w:rsidR="0066381C">
              <w:rPr>
                <w:noProof/>
                <w:webHidden/>
              </w:rPr>
              <w:tab/>
            </w:r>
            <w:r w:rsidR="0066381C">
              <w:rPr>
                <w:noProof/>
                <w:webHidden/>
              </w:rPr>
              <w:fldChar w:fldCharType="begin"/>
            </w:r>
            <w:r w:rsidR="0066381C">
              <w:rPr>
                <w:noProof/>
                <w:webHidden/>
              </w:rPr>
              <w:instrText xml:space="preserve"> PAGEREF _Toc485406147 \h </w:instrText>
            </w:r>
            <w:r w:rsidR="0066381C">
              <w:rPr>
                <w:noProof/>
                <w:webHidden/>
              </w:rPr>
            </w:r>
            <w:r w:rsidR="0066381C">
              <w:rPr>
                <w:noProof/>
                <w:webHidden/>
              </w:rPr>
              <w:fldChar w:fldCharType="separate"/>
            </w:r>
            <w:r w:rsidR="00D565EF">
              <w:rPr>
                <w:noProof/>
                <w:webHidden/>
              </w:rPr>
              <w:t>21</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48" w:history="1">
            <w:r w:rsidR="0066381C" w:rsidRPr="000855A8">
              <w:rPr>
                <w:rStyle w:val="Hyperlink"/>
                <w:noProof/>
              </w:rPr>
              <w:t>Net benefit</w:t>
            </w:r>
            <w:r w:rsidR="0066381C">
              <w:rPr>
                <w:noProof/>
                <w:webHidden/>
              </w:rPr>
              <w:tab/>
            </w:r>
            <w:r w:rsidR="0066381C">
              <w:rPr>
                <w:noProof/>
                <w:webHidden/>
              </w:rPr>
              <w:fldChar w:fldCharType="begin"/>
            </w:r>
            <w:r w:rsidR="0066381C">
              <w:rPr>
                <w:noProof/>
                <w:webHidden/>
              </w:rPr>
              <w:instrText xml:space="preserve"> PAGEREF _Toc485406148 \h </w:instrText>
            </w:r>
            <w:r w:rsidR="0066381C">
              <w:rPr>
                <w:noProof/>
                <w:webHidden/>
              </w:rPr>
            </w:r>
            <w:r w:rsidR="0066381C">
              <w:rPr>
                <w:noProof/>
                <w:webHidden/>
              </w:rPr>
              <w:fldChar w:fldCharType="separate"/>
            </w:r>
            <w:r w:rsidR="00D565EF">
              <w:rPr>
                <w:noProof/>
                <w:webHidden/>
              </w:rPr>
              <w:t>21</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49" w:history="1">
            <w:r w:rsidR="0066381C" w:rsidRPr="000855A8">
              <w:rPr>
                <w:rStyle w:val="Hyperlink"/>
                <w:noProof/>
              </w:rPr>
              <w:t>5.3</w:t>
            </w:r>
            <w:r w:rsidR="0066381C">
              <w:rPr>
                <w:rFonts w:eastAsiaTheme="minorEastAsia"/>
                <w:noProof/>
                <w:lang w:eastAsia="en-AU"/>
              </w:rPr>
              <w:tab/>
            </w:r>
            <w:r w:rsidR="0066381C" w:rsidRPr="000855A8">
              <w:rPr>
                <w:rStyle w:val="Hyperlink"/>
                <w:noProof/>
              </w:rPr>
              <w:t>Impact analysis: gas reservation</w:t>
            </w:r>
            <w:r w:rsidR="0066381C">
              <w:rPr>
                <w:noProof/>
                <w:webHidden/>
              </w:rPr>
              <w:tab/>
            </w:r>
            <w:r w:rsidR="0066381C">
              <w:rPr>
                <w:noProof/>
                <w:webHidden/>
              </w:rPr>
              <w:fldChar w:fldCharType="begin"/>
            </w:r>
            <w:r w:rsidR="0066381C">
              <w:rPr>
                <w:noProof/>
                <w:webHidden/>
              </w:rPr>
              <w:instrText xml:space="preserve"> PAGEREF _Toc485406149 \h </w:instrText>
            </w:r>
            <w:r w:rsidR="0066381C">
              <w:rPr>
                <w:noProof/>
                <w:webHidden/>
              </w:rPr>
            </w:r>
            <w:r w:rsidR="0066381C">
              <w:rPr>
                <w:noProof/>
                <w:webHidden/>
              </w:rPr>
              <w:fldChar w:fldCharType="separate"/>
            </w:r>
            <w:r w:rsidR="00D565EF">
              <w:rPr>
                <w:noProof/>
                <w:webHidden/>
              </w:rPr>
              <w:t>21</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50" w:history="1">
            <w:r w:rsidR="0066381C" w:rsidRPr="000855A8">
              <w:rPr>
                <w:rStyle w:val="Hyperlink"/>
                <w:noProof/>
              </w:rPr>
              <w:t>Overview</w:t>
            </w:r>
            <w:r w:rsidR="0066381C">
              <w:rPr>
                <w:noProof/>
                <w:webHidden/>
              </w:rPr>
              <w:tab/>
            </w:r>
            <w:r w:rsidR="0066381C">
              <w:rPr>
                <w:noProof/>
                <w:webHidden/>
              </w:rPr>
              <w:fldChar w:fldCharType="begin"/>
            </w:r>
            <w:r w:rsidR="0066381C">
              <w:rPr>
                <w:noProof/>
                <w:webHidden/>
              </w:rPr>
              <w:instrText xml:space="preserve"> PAGEREF _Toc485406150 \h </w:instrText>
            </w:r>
            <w:r w:rsidR="0066381C">
              <w:rPr>
                <w:noProof/>
                <w:webHidden/>
              </w:rPr>
            </w:r>
            <w:r w:rsidR="0066381C">
              <w:rPr>
                <w:noProof/>
                <w:webHidden/>
              </w:rPr>
              <w:fldChar w:fldCharType="separate"/>
            </w:r>
            <w:r w:rsidR="00D565EF">
              <w:rPr>
                <w:noProof/>
                <w:webHidden/>
              </w:rPr>
              <w:t>21</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51" w:history="1">
            <w:r w:rsidR="0066381C" w:rsidRPr="000855A8">
              <w:rPr>
                <w:rStyle w:val="Hyperlink"/>
                <w:noProof/>
              </w:rPr>
              <w:t>Costs</w:t>
            </w:r>
            <w:r w:rsidR="0066381C">
              <w:rPr>
                <w:noProof/>
                <w:webHidden/>
              </w:rPr>
              <w:tab/>
            </w:r>
            <w:r w:rsidR="0066381C">
              <w:rPr>
                <w:noProof/>
                <w:webHidden/>
              </w:rPr>
              <w:fldChar w:fldCharType="begin"/>
            </w:r>
            <w:r w:rsidR="0066381C">
              <w:rPr>
                <w:noProof/>
                <w:webHidden/>
              </w:rPr>
              <w:instrText xml:space="preserve"> PAGEREF _Toc485406151 \h </w:instrText>
            </w:r>
            <w:r w:rsidR="0066381C">
              <w:rPr>
                <w:noProof/>
                <w:webHidden/>
              </w:rPr>
            </w:r>
            <w:r w:rsidR="0066381C">
              <w:rPr>
                <w:noProof/>
                <w:webHidden/>
              </w:rPr>
              <w:fldChar w:fldCharType="separate"/>
            </w:r>
            <w:r w:rsidR="00D565EF">
              <w:rPr>
                <w:noProof/>
                <w:webHidden/>
              </w:rPr>
              <w:t>22</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52" w:history="1">
            <w:r w:rsidR="0066381C" w:rsidRPr="000855A8">
              <w:rPr>
                <w:rStyle w:val="Hyperlink"/>
                <w:noProof/>
              </w:rPr>
              <w:t>Benefits</w:t>
            </w:r>
            <w:r w:rsidR="0066381C">
              <w:rPr>
                <w:noProof/>
                <w:webHidden/>
              </w:rPr>
              <w:tab/>
            </w:r>
            <w:r w:rsidR="0066381C">
              <w:rPr>
                <w:noProof/>
                <w:webHidden/>
              </w:rPr>
              <w:fldChar w:fldCharType="begin"/>
            </w:r>
            <w:r w:rsidR="0066381C">
              <w:rPr>
                <w:noProof/>
                <w:webHidden/>
              </w:rPr>
              <w:instrText xml:space="preserve"> PAGEREF _Toc485406152 \h </w:instrText>
            </w:r>
            <w:r w:rsidR="0066381C">
              <w:rPr>
                <w:noProof/>
                <w:webHidden/>
              </w:rPr>
            </w:r>
            <w:r w:rsidR="0066381C">
              <w:rPr>
                <w:noProof/>
                <w:webHidden/>
              </w:rPr>
              <w:fldChar w:fldCharType="separate"/>
            </w:r>
            <w:r w:rsidR="00D565EF">
              <w:rPr>
                <w:noProof/>
                <w:webHidden/>
              </w:rPr>
              <w:t>23</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53" w:history="1">
            <w:r w:rsidR="0066381C" w:rsidRPr="000855A8">
              <w:rPr>
                <w:rStyle w:val="Hyperlink"/>
                <w:noProof/>
              </w:rPr>
              <w:t>Net benefit</w:t>
            </w:r>
            <w:r w:rsidR="0066381C">
              <w:rPr>
                <w:noProof/>
                <w:webHidden/>
              </w:rPr>
              <w:tab/>
            </w:r>
            <w:r w:rsidR="0066381C">
              <w:rPr>
                <w:noProof/>
                <w:webHidden/>
              </w:rPr>
              <w:fldChar w:fldCharType="begin"/>
            </w:r>
            <w:r w:rsidR="0066381C">
              <w:rPr>
                <w:noProof/>
                <w:webHidden/>
              </w:rPr>
              <w:instrText xml:space="preserve"> PAGEREF _Toc485406153 \h </w:instrText>
            </w:r>
            <w:r w:rsidR="0066381C">
              <w:rPr>
                <w:noProof/>
                <w:webHidden/>
              </w:rPr>
            </w:r>
            <w:r w:rsidR="0066381C">
              <w:rPr>
                <w:noProof/>
                <w:webHidden/>
              </w:rPr>
              <w:fldChar w:fldCharType="separate"/>
            </w:r>
            <w:r w:rsidR="00D565EF">
              <w:rPr>
                <w:noProof/>
                <w:webHidden/>
              </w:rPr>
              <w:t>26</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54" w:history="1">
            <w:r w:rsidR="0066381C" w:rsidRPr="000855A8">
              <w:rPr>
                <w:rStyle w:val="Hyperlink"/>
                <w:noProof/>
              </w:rPr>
              <w:t>5.4</w:t>
            </w:r>
            <w:r w:rsidR="0066381C">
              <w:rPr>
                <w:rFonts w:eastAsiaTheme="minorEastAsia"/>
                <w:noProof/>
                <w:lang w:eastAsia="en-AU"/>
              </w:rPr>
              <w:tab/>
            </w:r>
            <w:r w:rsidR="0066381C" w:rsidRPr="000855A8">
              <w:rPr>
                <w:rStyle w:val="Hyperlink"/>
                <w:noProof/>
              </w:rPr>
              <w:t>Impact analysis: export controls</w:t>
            </w:r>
            <w:r w:rsidR="0066381C">
              <w:rPr>
                <w:noProof/>
                <w:webHidden/>
              </w:rPr>
              <w:tab/>
            </w:r>
            <w:r w:rsidR="0066381C">
              <w:rPr>
                <w:noProof/>
                <w:webHidden/>
              </w:rPr>
              <w:fldChar w:fldCharType="begin"/>
            </w:r>
            <w:r w:rsidR="0066381C">
              <w:rPr>
                <w:noProof/>
                <w:webHidden/>
              </w:rPr>
              <w:instrText xml:space="preserve"> PAGEREF _Toc485406154 \h </w:instrText>
            </w:r>
            <w:r w:rsidR="0066381C">
              <w:rPr>
                <w:noProof/>
                <w:webHidden/>
              </w:rPr>
            </w:r>
            <w:r w:rsidR="0066381C">
              <w:rPr>
                <w:noProof/>
                <w:webHidden/>
              </w:rPr>
              <w:fldChar w:fldCharType="separate"/>
            </w:r>
            <w:r w:rsidR="00D565EF">
              <w:rPr>
                <w:noProof/>
                <w:webHidden/>
              </w:rPr>
              <w:t>26</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55" w:history="1">
            <w:r w:rsidR="0066381C" w:rsidRPr="000855A8">
              <w:rPr>
                <w:rStyle w:val="Hyperlink"/>
                <w:noProof/>
              </w:rPr>
              <w:t>Overview</w:t>
            </w:r>
            <w:r w:rsidR="0066381C">
              <w:rPr>
                <w:noProof/>
                <w:webHidden/>
              </w:rPr>
              <w:tab/>
            </w:r>
            <w:r w:rsidR="0066381C">
              <w:rPr>
                <w:noProof/>
                <w:webHidden/>
              </w:rPr>
              <w:fldChar w:fldCharType="begin"/>
            </w:r>
            <w:r w:rsidR="0066381C">
              <w:rPr>
                <w:noProof/>
                <w:webHidden/>
              </w:rPr>
              <w:instrText xml:space="preserve"> PAGEREF _Toc485406155 \h </w:instrText>
            </w:r>
            <w:r w:rsidR="0066381C">
              <w:rPr>
                <w:noProof/>
                <w:webHidden/>
              </w:rPr>
            </w:r>
            <w:r w:rsidR="0066381C">
              <w:rPr>
                <w:noProof/>
                <w:webHidden/>
              </w:rPr>
              <w:fldChar w:fldCharType="separate"/>
            </w:r>
            <w:r w:rsidR="00D565EF">
              <w:rPr>
                <w:noProof/>
                <w:webHidden/>
              </w:rPr>
              <w:t>26</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56" w:history="1">
            <w:r w:rsidR="0066381C" w:rsidRPr="000855A8">
              <w:rPr>
                <w:rStyle w:val="Hyperlink"/>
                <w:noProof/>
              </w:rPr>
              <w:t>Costs</w:t>
            </w:r>
            <w:r w:rsidR="0066381C">
              <w:rPr>
                <w:noProof/>
                <w:webHidden/>
              </w:rPr>
              <w:tab/>
            </w:r>
            <w:r w:rsidR="0066381C">
              <w:rPr>
                <w:noProof/>
                <w:webHidden/>
              </w:rPr>
              <w:fldChar w:fldCharType="begin"/>
            </w:r>
            <w:r w:rsidR="0066381C">
              <w:rPr>
                <w:noProof/>
                <w:webHidden/>
              </w:rPr>
              <w:instrText xml:space="preserve"> PAGEREF _Toc485406156 \h </w:instrText>
            </w:r>
            <w:r w:rsidR="0066381C">
              <w:rPr>
                <w:noProof/>
                <w:webHidden/>
              </w:rPr>
            </w:r>
            <w:r w:rsidR="0066381C">
              <w:rPr>
                <w:noProof/>
                <w:webHidden/>
              </w:rPr>
              <w:fldChar w:fldCharType="separate"/>
            </w:r>
            <w:r w:rsidR="00D565EF">
              <w:rPr>
                <w:noProof/>
                <w:webHidden/>
              </w:rPr>
              <w:t>26</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57" w:history="1">
            <w:r w:rsidR="0066381C" w:rsidRPr="000855A8">
              <w:rPr>
                <w:rStyle w:val="Hyperlink"/>
                <w:noProof/>
              </w:rPr>
              <w:t>Benefits</w:t>
            </w:r>
            <w:r w:rsidR="0066381C">
              <w:rPr>
                <w:noProof/>
                <w:webHidden/>
              </w:rPr>
              <w:tab/>
            </w:r>
            <w:r w:rsidR="0066381C">
              <w:rPr>
                <w:noProof/>
                <w:webHidden/>
              </w:rPr>
              <w:fldChar w:fldCharType="begin"/>
            </w:r>
            <w:r w:rsidR="0066381C">
              <w:rPr>
                <w:noProof/>
                <w:webHidden/>
              </w:rPr>
              <w:instrText xml:space="preserve"> PAGEREF _Toc485406157 \h </w:instrText>
            </w:r>
            <w:r w:rsidR="0066381C">
              <w:rPr>
                <w:noProof/>
                <w:webHidden/>
              </w:rPr>
            </w:r>
            <w:r w:rsidR="0066381C">
              <w:rPr>
                <w:noProof/>
                <w:webHidden/>
              </w:rPr>
              <w:fldChar w:fldCharType="separate"/>
            </w:r>
            <w:r w:rsidR="00D565EF">
              <w:rPr>
                <w:noProof/>
                <w:webHidden/>
              </w:rPr>
              <w:t>28</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58" w:history="1">
            <w:r w:rsidR="0066381C" w:rsidRPr="000855A8">
              <w:rPr>
                <w:rStyle w:val="Hyperlink"/>
                <w:noProof/>
              </w:rPr>
              <w:t>Net benefit</w:t>
            </w:r>
            <w:r w:rsidR="0066381C">
              <w:rPr>
                <w:noProof/>
                <w:webHidden/>
              </w:rPr>
              <w:tab/>
            </w:r>
            <w:r w:rsidR="0066381C">
              <w:rPr>
                <w:noProof/>
                <w:webHidden/>
              </w:rPr>
              <w:fldChar w:fldCharType="begin"/>
            </w:r>
            <w:r w:rsidR="0066381C">
              <w:rPr>
                <w:noProof/>
                <w:webHidden/>
              </w:rPr>
              <w:instrText xml:space="preserve"> PAGEREF _Toc485406158 \h </w:instrText>
            </w:r>
            <w:r w:rsidR="0066381C">
              <w:rPr>
                <w:noProof/>
                <w:webHidden/>
              </w:rPr>
            </w:r>
            <w:r w:rsidR="0066381C">
              <w:rPr>
                <w:noProof/>
                <w:webHidden/>
              </w:rPr>
              <w:fldChar w:fldCharType="separate"/>
            </w:r>
            <w:r w:rsidR="00D565EF">
              <w:rPr>
                <w:noProof/>
                <w:webHidden/>
              </w:rPr>
              <w:t>28</w:t>
            </w:r>
            <w:r w:rsidR="0066381C">
              <w:rPr>
                <w:noProof/>
                <w:webHidden/>
              </w:rPr>
              <w:fldChar w:fldCharType="end"/>
            </w:r>
          </w:hyperlink>
        </w:p>
        <w:p w:rsidR="0066381C" w:rsidRDefault="00CA28A3" w:rsidP="0066381C">
          <w:pPr>
            <w:pStyle w:val="TOC1"/>
            <w:tabs>
              <w:tab w:val="left" w:pos="440"/>
              <w:tab w:val="right" w:leader="dot" w:pos="9016"/>
            </w:tabs>
            <w:rPr>
              <w:rFonts w:eastAsiaTheme="minorEastAsia"/>
              <w:noProof/>
              <w:lang w:eastAsia="en-AU"/>
            </w:rPr>
          </w:pPr>
          <w:hyperlink w:anchor="_Toc485406159" w:history="1">
            <w:r w:rsidR="0066381C" w:rsidRPr="000855A8">
              <w:rPr>
                <w:rStyle w:val="Hyperlink"/>
                <w:noProof/>
              </w:rPr>
              <w:t>6</w:t>
            </w:r>
            <w:r w:rsidR="0066381C">
              <w:rPr>
                <w:rFonts w:eastAsiaTheme="minorEastAsia"/>
                <w:noProof/>
                <w:lang w:eastAsia="en-AU"/>
              </w:rPr>
              <w:tab/>
            </w:r>
            <w:r w:rsidR="0066381C" w:rsidRPr="000855A8">
              <w:rPr>
                <w:rStyle w:val="Hyperlink"/>
                <w:noProof/>
              </w:rPr>
              <w:t>Consultations</w:t>
            </w:r>
            <w:r w:rsidR="0066381C">
              <w:rPr>
                <w:noProof/>
                <w:webHidden/>
              </w:rPr>
              <w:tab/>
            </w:r>
            <w:r w:rsidR="0066381C">
              <w:rPr>
                <w:noProof/>
                <w:webHidden/>
              </w:rPr>
              <w:fldChar w:fldCharType="begin"/>
            </w:r>
            <w:r w:rsidR="0066381C">
              <w:rPr>
                <w:noProof/>
                <w:webHidden/>
              </w:rPr>
              <w:instrText xml:space="preserve"> PAGEREF _Toc485406159 \h </w:instrText>
            </w:r>
            <w:r w:rsidR="0066381C">
              <w:rPr>
                <w:noProof/>
                <w:webHidden/>
              </w:rPr>
            </w:r>
            <w:r w:rsidR="0066381C">
              <w:rPr>
                <w:noProof/>
                <w:webHidden/>
              </w:rPr>
              <w:fldChar w:fldCharType="separate"/>
            </w:r>
            <w:r w:rsidR="00D565EF">
              <w:rPr>
                <w:noProof/>
                <w:webHidden/>
              </w:rPr>
              <w:t>28</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60" w:history="1">
            <w:r w:rsidR="0066381C" w:rsidRPr="000855A8">
              <w:rPr>
                <w:rStyle w:val="Hyperlink"/>
                <w:noProof/>
              </w:rPr>
              <w:t>6.1</w:t>
            </w:r>
            <w:r w:rsidR="0066381C">
              <w:rPr>
                <w:rFonts w:eastAsiaTheme="minorEastAsia"/>
                <w:noProof/>
                <w:lang w:eastAsia="en-AU"/>
              </w:rPr>
              <w:tab/>
            </w:r>
            <w:r w:rsidR="0066381C" w:rsidRPr="000855A8">
              <w:rPr>
                <w:rStyle w:val="Hyperlink"/>
                <w:noProof/>
              </w:rPr>
              <w:t>Past consultations</w:t>
            </w:r>
            <w:r w:rsidR="0066381C">
              <w:rPr>
                <w:noProof/>
                <w:webHidden/>
              </w:rPr>
              <w:tab/>
            </w:r>
            <w:r w:rsidR="0066381C">
              <w:rPr>
                <w:noProof/>
                <w:webHidden/>
              </w:rPr>
              <w:fldChar w:fldCharType="begin"/>
            </w:r>
            <w:r w:rsidR="0066381C">
              <w:rPr>
                <w:noProof/>
                <w:webHidden/>
              </w:rPr>
              <w:instrText xml:space="preserve"> PAGEREF _Toc485406160 \h </w:instrText>
            </w:r>
            <w:r w:rsidR="0066381C">
              <w:rPr>
                <w:noProof/>
                <w:webHidden/>
              </w:rPr>
            </w:r>
            <w:r w:rsidR="0066381C">
              <w:rPr>
                <w:noProof/>
                <w:webHidden/>
              </w:rPr>
              <w:fldChar w:fldCharType="separate"/>
            </w:r>
            <w:r w:rsidR="00D565EF">
              <w:rPr>
                <w:noProof/>
                <w:webHidden/>
              </w:rPr>
              <w:t>29</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61" w:history="1">
            <w:r w:rsidR="0066381C" w:rsidRPr="000855A8">
              <w:rPr>
                <w:rStyle w:val="Hyperlink"/>
                <w:noProof/>
              </w:rPr>
              <w:t>Initial ‘round table’ consultations</w:t>
            </w:r>
            <w:r w:rsidR="0066381C">
              <w:rPr>
                <w:noProof/>
                <w:webHidden/>
              </w:rPr>
              <w:tab/>
            </w:r>
            <w:r w:rsidR="0066381C">
              <w:rPr>
                <w:noProof/>
                <w:webHidden/>
              </w:rPr>
              <w:fldChar w:fldCharType="begin"/>
            </w:r>
            <w:r w:rsidR="0066381C">
              <w:rPr>
                <w:noProof/>
                <w:webHidden/>
              </w:rPr>
              <w:instrText xml:space="preserve"> PAGEREF _Toc485406161 \h </w:instrText>
            </w:r>
            <w:r w:rsidR="0066381C">
              <w:rPr>
                <w:noProof/>
                <w:webHidden/>
              </w:rPr>
            </w:r>
            <w:r w:rsidR="0066381C">
              <w:rPr>
                <w:noProof/>
                <w:webHidden/>
              </w:rPr>
              <w:fldChar w:fldCharType="separate"/>
            </w:r>
            <w:r w:rsidR="00D565EF">
              <w:rPr>
                <w:noProof/>
                <w:webHidden/>
              </w:rPr>
              <w:t>29</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62" w:history="1">
            <w:r w:rsidR="0066381C" w:rsidRPr="000855A8">
              <w:rPr>
                <w:rStyle w:val="Hyperlink"/>
                <w:noProof/>
              </w:rPr>
              <w:t>Consultation on the ADGSM</w:t>
            </w:r>
            <w:r w:rsidR="0066381C">
              <w:rPr>
                <w:noProof/>
                <w:webHidden/>
              </w:rPr>
              <w:tab/>
            </w:r>
            <w:r w:rsidR="0066381C">
              <w:rPr>
                <w:noProof/>
                <w:webHidden/>
              </w:rPr>
              <w:fldChar w:fldCharType="begin"/>
            </w:r>
            <w:r w:rsidR="0066381C">
              <w:rPr>
                <w:noProof/>
                <w:webHidden/>
              </w:rPr>
              <w:instrText xml:space="preserve"> PAGEREF _Toc485406162 \h </w:instrText>
            </w:r>
            <w:r w:rsidR="0066381C">
              <w:rPr>
                <w:noProof/>
                <w:webHidden/>
              </w:rPr>
            </w:r>
            <w:r w:rsidR="0066381C">
              <w:rPr>
                <w:noProof/>
                <w:webHidden/>
              </w:rPr>
              <w:fldChar w:fldCharType="separate"/>
            </w:r>
            <w:r w:rsidR="00D565EF">
              <w:rPr>
                <w:noProof/>
                <w:webHidden/>
              </w:rPr>
              <w:t>29</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63" w:history="1">
            <w:r w:rsidR="0066381C" w:rsidRPr="000855A8">
              <w:rPr>
                <w:rStyle w:val="Hyperlink"/>
                <w:noProof/>
              </w:rPr>
              <w:t>6.2</w:t>
            </w:r>
            <w:r w:rsidR="0066381C">
              <w:rPr>
                <w:rFonts w:eastAsiaTheme="minorEastAsia"/>
                <w:noProof/>
                <w:lang w:eastAsia="en-AU"/>
              </w:rPr>
              <w:tab/>
            </w:r>
            <w:r w:rsidR="0066381C" w:rsidRPr="000855A8">
              <w:rPr>
                <w:rStyle w:val="Hyperlink"/>
                <w:noProof/>
              </w:rPr>
              <w:t>Planned consultations</w:t>
            </w:r>
            <w:r w:rsidR="0066381C">
              <w:rPr>
                <w:noProof/>
                <w:webHidden/>
              </w:rPr>
              <w:tab/>
            </w:r>
            <w:r w:rsidR="0066381C">
              <w:rPr>
                <w:noProof/>
                <w:webHidden/>
              </w:rPr>
              <w:fldChar w:fldCharType="begin"/>
            </w:r>
            <w:r w:rsidR="0066381C">
              <w:rPr>
                <w:noProof/>
                <w:webHidden/>
              </w:rPr>
              <w:instrText xml:space="preserve"> PAGEREF _Toc485406163 \h </w:instrText>
            </w:r>
            <w:r w:rsidR="0066381C">
              <w:rPr>
                <w:noProof/>
                <w:webHidden/>
              </w:rPr>
            </w:r>
            <w:r w:rsidR="0066381C">
              <w:rPr>
                <w:noProof/>
                <w:webHidden/>
              </w:rPr>
              <w:fldChar w:fldCharType="separate"/>
            </w:r>
            <w:r w:rsidR="00D565EF">
              <w:rPr>
                <w:noProof/>
                <w:webHidden/>
              </w:rPr>
              <w:t>30</w:t>
            </w:r>
            <w:r w:rsidR="0066381C">
              <w:rPr>
                <w:noProof/>
                <w:webHidden/>
              </w:rPr>
              <w:fldChar w:fldCharType="end"/>
            </w:r>
          </w:hyperlink>
        </w:p>
        <w:p w:rsidR="0066381C" w:rsidRDefault="00CA28A3" w:rsidP="0066381C">
          <w:pPr>
            <w:pStyle w:val="TOC1"/>
            <w:tabs>
              <w:tab w:val="left" w:pos="440"/>
              <w:tab w:val="right" w:leader="dot" w:pos="9016"/>
            </w:tabs>
            <w:rPr>
              <w:rFonts w:eastAsiaTheme="minorEastAsia"/>
              <w:noProof/>
              <w:lang w:eastAsia="en-AU"/>
            </w:rPr>
          </w:pPr>
          <w:hyperlink w:anchor="_Toc485406164" w:history="1">
            <w:r w:rsidR="0066381C" w:rsidRPr="000855A8">
              <w:rPr>
                <w:rStyle w:val="Hyperlink"/>
                <w:noProof/>
              </w:rPr>
              <w:t>7</w:t>
            </w:r>
            <w:r w:rsidR="0066381C">
              <w:rPr>
                <w:rFonts w:eastAsiaTheme="minorEastAsia"/>
                <w:noProof/>
                <w:lang w:eastAsia="en-AU"/>
              </w:rPr>
              <w:tab/>
            </w:r>
            <w:r w:rsidR="0066381C" w:rsidRPr="000855A8">
              <w:rPr>
                <w:rStyle w:val="Hyperlink"/>
                <w:noProof/>
              </w:rPr>
              <w:t>Recommendation</w:t>
            </w:r>
            <w:r w:rsidR="0066381C">
              <w:rPr>
                <w:noProof/>
                <w:webHidden/>
              </w:rPr>
              <w:tab/>
            </w:r>
            <w:r w:rsidR="0066381C">
              <w:rPr>
                <w:noProof/>
                <w:webHidden/>
              </w:rPr>
              <w:fldChar w:fldCharType="begin"/>
            </w:r>
            <w:r w:rsidR="0066381C">
              <w:rPr>
                <w:noProof/>
                <w:webHidden/>
              </w:rPr>
              <w:instrText xml:space="preserve"> PAGEREF _Toc485406164 \h </w:instrText>
            </w:r>
            <w:r w:rsidR="0066381C">
              <w:rPr>
                <w:noProof/>
                <w:webHidden/>
              </w:rPr>
            </w:r>
            <w:r w:rsidR="0066381C">
              <w:rPr>
                <w:noProof/>
                <w:webHidden/>
              </w:rPr>
              <w:fldChar w:fldCharType="separate"/>
            </w:r>
            <w:r w:rsidR="00D565EF">
              <w:rPr>
                <w:noProof/>
                <w:webHidden/>
              </w:rPr>
              <w:t>30</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65" w:history="1">
            <w:r w:rsidR="0066381C" w:rsidRPr="000855A8">
              <w:rPr>
                <w:rStyle w:val="Hyperlink"/>
                <w:noProof/>
              </w:rPr>
              <w:t>7.1</w:t>
            </w:r>
            <w:r w:rsidR="0066381C">
              <w:rPr>
                <w:rFonts w:eastAsiaTheme="minorEastAsia"/>
                <w:noProof/>
                <w:lang w:eastAsia="en-AU"/>
              </w:rPr>
              <w:tab/>
            </w:r>
            <w:r w:rsidR="0066381C" w:rsidRPr="000855A8">
              <w:rPr>
                <w:rStyle w:val="Hyperlink"/>
                <w:noProof/>
              </w:rPr>
              <w:t>Recommendation and justification</w:t>
            </w:r>
            <w:r w:rsidR="0066381C">
              <w:rPr>
                <w:noProof/>
                <w:webHidden/>
              </w:rPr>
              <w:tab/>
            </w:r>
            <w:r w:rsidR="0066381C">
              <w:rPr>
                <w:noProof/>
                <w:webHidden/>
              </w:rPr>
              <w:fldChar w:fldCharType="begin"/>
            </w:r>
            <w:r w:rsidR="0066381C">
              <w:rPr>
                <w:noProof/>
                <w:webHidden/>
              </w:rPr>
              <w:instrText xml:space="preserve"> PAGEREF _Toc485406165 \h </w:instrText>
            </w:r>
            <w:r w:rsidR="0066381C">
              <w:rPr>
                <w:noProof/>
                <w:webHidden/>
              </w:rPr>
            </w:r>
            <w:r w:rsidR="0066381C">
              <w:rPr>
                <w:noProof/>
                <w:webHidden/>
              </w:rPr>
              <w:fldChar w:fldCharType="separate"/>
            </w:r>
            <w:r w:rsidR="00D565EF">
              <w:rPr>
                <w:noProof/>
                <w:webHidden/>
              </w:rPr>
              <w:t>30</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66" w:history="1">
            <w:r w:rsidR="0066381C" w:rsidRPr="000855A8">
              <w:rPr>
                <w:rStyle w:val="Hyperlink"/>
                <w:noProof/>
              </w:rPr>
              <w:t>7.2</w:t>
            </w:r>
            <w:r w:rsidR="0066381C">
              <w:rPr>
                <w:rFonts w:eastAsiaTheme="minorEastAsia"/>
                <w:noProof/>
                <w:lang w:eastAsia="en-AU"/>
              </w:rPr>
              <w:tab/>
            </w:r>
            <w:r w:rsidR="0066381C" w:rsidRPr="000855A8">
              <w:rPr>
                <w:rStyle w:val="Hyperlink"/>
                <w:noProof/>
              </w:rPr>
              <w:t>Stakeholder feedback</w:t>
            </w:r>
            <w:r w:rsidR="0066381C">
              <w:rPr>
                <w:noProof/>
                <w:webHidden/>
              </w:rPr>
              <w:tab/>
            </w:r>
            <w:r w:rsidR="0066381C">
              <w:rPr>
                <w:noProof/>
                <w:webHidden/>
              </w:rPr>
              <w:fldChar w:fldCharType="begin"/>
            </w:r>
            <w:r w:rsidR="0066381C">
              <w:rPr>
                <w:noProof/>
                <w:webHidden/>
              </w:rPr>
              <w:instrText xml:space="preserve"> PAGEREF _Toc485406166 \h </w:instrText>
            </w:r>
            <w:r w:rsidR="0066381C">
              <w:rPr>
                <w:noProof/>
                <w:webHidden/>
              </w:rPr>
            </w:r>
            <w:r w:rsidR="0066381C">
              <w:rPr>
                <w:noProof/>
                <w:webHidden/>
              </w:rPr>
              <w:fldChar w:fldCharType="separate"/>
            </w:r>
            <w:r w:rsidR="00D565EF">
              <w:rPr>
                <w:noProof/>
                <w:webHidden/>
              </w:rPr>
              <w:t>31</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67" w:history="1">
            <w:r w:rsidR="0066381C" w:rsidRPr="000855A8">
              <w:rPr>
                <w:rStyle w:val="Hyperlink"/>
                <w:noProof/>
              </w:rPr>
              <w:t>7.3</w:t>
            </w:r>
            <w:r w:rsidR="0066381C">
              <w:rPr>
                <w:rFonts w:eastAsiaTheme="minorEastAsia"/>
                <w:noProof/>
                <w:lang w:eastAsia="en-AU"/>
              </w:rPr>
              <w:tab/>
            </w:r>
            <w:r w:rsidR="0066381C" w:rsidRPr="000855A8">
              <w:rPr>
                <w:rStyle w:val="Hyperlink"/>
                <w:noProof/>
              </w:rPr>
              <w:t>Caveats and qualifications</w:t>
            </w:r>
            <w:r w:rsidR="0066381C">
              <w:rPr>
                <w:noProof/>
                <w:webHidden/>
              </w:rPr>
              <w:tab/>
            </w:r>
            <w:r w:rsidR="0066381C">
              <w:rPr>
                <w:noProof/>
                <w:webHidden/>
              </w:rPr>
              <w:fldChar w:fldCharType="begin"/>
            </w:r>
            <w:r w:rsidR="0066381C">
              <w:rPr>
                <w:noProof/>
                <w:webHidden/>
              </w:rPr>
              <w:instrText xml:space="preserve"> PAGEREF _Toc485406167 \h </w:instrText>
            </w:r>
            <w:r w:rsidR="0066381C">
              <w:rPr>
                <w:noProof/>
                <w:webHidden/>
              </w:rPr>
            </w:r>
            <w:r w:rsidR="0066381C">
              <w:rPr>
                <w:noProof/>
                <w:webHidden/>
              </w:rPr>
              <w:fldChar w:fldCharType="separate"/>
            </w:r>
            <w:r w:rsidR="00D565EF">
              <w:rPr>
                <w:noProof/>
                <w:webHidden/>
              </w:rPr>
              <w:t>32</w:t>
            </w:r>
            <w:r w:rsidR="0066381C">
              <w:rPr>
                <w:noProof/>
                <w:webHidden/>
              </w:rPr>
              <w:fldChar w:fldCharType="end"/>
            </w:r>
          </w:hyperlink>
        </w:p>
        <w:p w:rsidR="0066381C" w:rsidRDefault="00CA28A3" w:rsidP="0066381C">
          <w:pPr>
            <w:pStyle w:val="TOC1"/>
            <w:tabs>
              <w:tab w:val="left" w:pos="440"/>
              <w:tab w:val="right" w:leader="dot" w:pos="9016"/>
            </w:tabs>
            <w:rPr>
              <w:rFonts w:eastAsiaTheme="minorEastAsia"/>
              <w:noProof/>
              <w:lang w:eastAsia="en-AU"/>
            </w:rPr>
          </w:pPr>
          <w:hyperlink w:anchor="_Toc485406168" w:history="1">
            <w:r w:rsidR="0066381C" w:rsidRPr="000855A8">
              <w:rPr>
                <w:rStyle w:val="Hyperlink"/>
                <w:noProof/>
              </w:rPr>
              <w:t>8</w:t>
            </w:r>
            <w:r w:rsidR="0066381C">
              <w:rPr>
                <w:rFonts w:eastAsiaTheme="minorEastAsia"/>
                <w:noProof/>
                <w:lang w:eastAsia="en-AU"/>
              </w:rPr>
              <w:tab/>
            </w:r>
            <w:r w:rsidR="0066381C" w:rsidRPr="000855A8">
              <w:rPr>
                <w:rStyle w:val="Hyperlink"/>
                <w:noProof/>
              </w:rPr>
              <w:t>Implementation</w:t>
            </w:r>
            <w:r w:rsidR="0066381C">
              <w:rPr>
                <w:noProof/>
                <w:webHidden/>
              </w:rPr>
              <w:tab/>
            </w:r>
            <w:r w:rsidR="0066381C">
              <w:rPr>
                <w:noProof/>
                <w:webHidden/>
              </w:rPr>
              <w:fldChar w:fldCharType="begin"/>
            </w:r>
            <w:r w:rsidR="0066381C">
              <w:rPr>
                <w:noProof/>
                <w:webHidden/>
              </w:rPr>
              <w:instrText xml:space="preserve"> PAGEREF _Toc485406168 \h </w:instrText>
            </w:r>
            <w:r w:rsidR="0066381C">
              <w:rPr>
                <w:noProof/>
                <w:webHidden/>
              </w:rPr>
            </w:r>
            <w:r w:rsidR="0066381C">
              <w:rPr>
                <w:noProof/>
                <w:webHidden/>
              </w:rPr>
              <w:fldChar w:fldCharType="separate"/>
            </w:r>
            <w:r w:rsidR="00D565EF">
              <w:rPr>
                <w:noProof/>
                <w:webHidden/>
              </w:rPr>
              <w:t>32</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69" w:history="1">
            <w:r w:rsidR="0066381C" w:rsidRPr="000855A8">
              <w:rPr>
                <w:rStyle w:val="Hyperlink"/>
                <w:noProof/>
              </w:rPr>
              <w:t>8.1</w:t>
            </w:r>
            <w:r w:rsidR="0066381C">
              <w:rPr>
                <w:rFonts w:eastAsiaTheme="minorEastAsia"/>
                <w:noProof/>
                <w:lang w:eastAsia="en-AU"/>
              </w:rPr>
              <w:tab/>
            </w:r>
            <w:r w:rsidR="0066381C" w:rsidRPr="000855A8">
              <w:rPr>
                <w:rStyle w:val="Hyperlink"/>
                <w:noProof/>
              </w:rPr>
              <w:t>Steps to implementing the ADGSM</w:t>
            </w:r>
            <w:r w:rsidR="0066381C">
              <w:rPr>
                <w:noProof/>
                <w:webHidden/>
              </w:rPr>
              <w:tab/>
            </w:r>
            <w:r w:rsidR="0066381C">
              <w:rPr>
                <w:noProof/>
                <w:webHidden/>
              </w:rPr>
              <w:fldChar w:fldCharType="begin"/>
            </w:r>
            <w:r w:rsidR="0066381C">
              <w:rPr>
                <w:noProof/>
                <w:webHidden/>
              </w:rPr>
              <w:instrText xml:space="preserve"> PAGEREF _Toc485406169 \h </w:instrText>
            </w:r>
            <w:r w:rsidR="0066381C">
              <w:rPr>
                <w:noProof/>
                <w:webHidden/>
              </w:rPr>
            </w:r>
            <w:r w:rsidR="0066381C">
              <w:rPr>
                <w:noProof/>
                <w:webHidden/>
              </w:rPr>
              <w:fldChar w:fldCharType="separate"/>
            </w:r>
            <w:r w:rsidR="00D565EF">
              <w:rPr>
                <w:noProof/>
                <w:webHidden/>
              </w:rPr>
              <w:t>33</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70" w:history="1">
            <w:r w:rsidR="0066381C" w:rsidRPr="000855A8">
              <w:rPr>
                <w:rStyle w:val="Hyperlink"/>
                <w:noProof/>
              </w:rPr>
              <w:t>Implementation risks</w:t>
            </w:r>
            <w:r w:rsidR="0066381C">
              <w:rPr>
                <w:noProof/>
                <w:webHidden/>
              </w:rPr>
              <w:tab/>
            </w:r>
            <w:r w:rsidR="0066381C">
              <w:rPr>
                <w:noProof/>
                <w:webHidden/>
              </w:rPr>
              <w:fldChar w:fldCharType="begin"/>
            </w:r>
            <w:r w:rsidR="0066381C">
              <w:rPr>
                <w:noProof/>
                <w:webHidden/>
              </w:rPr>
              <w:instrText xml:space="preserve"> PAGEREF _Toc485406170 \h </w:instrText>
            </w:r>
            <w:r w:rsidR="0066381C">
              <w:rPr>
                <w:noProof/>
                <w:webHidden/>
              </w:rPr>
            </w:r>
            <w:r w:rsidR="0066381C">
              <w:rPr>
                <w:noProof/>
                <w:webHidden/>
              </w:rPr>
              <w:fldChar w:fldCharType="separate"/>
            </w:r>
            <w:r w:rsidR="00D565EF">
              <w:rPr>
                <w:noProof/>
                <w:webHidden/>
              </w:rPr>
              <w:t>34</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71" w:history="1">
            <w:r w:rsidR="0066381C" w:rsidRPr="000855A8">
              <w:rPr>
                <w:rStyle w:val="Hyperlink"/>
                <w:noProof/>
              </w:rPr>
              <w:t>Reviewing the mechanism</w:t>
            </w:r>
            <w:r w:rsidR="0066381C">
              <w:rPr>
                <w:noProof/>
                <w:webHidden/>
              </w:rPr>
              <w:tab/>
            </w:r>
            <w:r w:rsidR="0066381C">
              <w:rPr>
                <w:noProof/>
                <w:webHidden/>
              </w:rPr>
              <w:fldChar w:fldCharType="begin"/>
            </w:r>
            <w:r w:rsidR="0066381C">
              <w:rPr>
                <w:noProof/>
                <w:webHidden/>
              </w:rPr>
              <w:instrText xml:space="preserve"> PAGEREF _Toc485406171 \h </w:instrText>
            </w:r>
            <w:r w:rsidR="0066381C">
              <w:rPr>
                <w:noProof/>
                <w:webHidden/>
              </w:rPr>
            </w:r>
            <w:r w:rsidR="0066381C">
              <w:rPr>
                <w:noProof/>
                <w:webHidden/>
              </w:rPr>
              <w:fldChar w:fldCharType="separate"/>
            </w:r>
            <w:r w:rsidR="00D565EF">
              <w:rPr>
                <w:noProof/>
                <w:webHidden/>
              </w:rPr>
              <w:t>34</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72" w:history="1">
            <w:r w:rsidR="0066381C" w:rsidRPr="000855A8">
              <w:rPr>
                <w:rStyle w:val="Hyperlink"/>
                <w:noProof/>
              </w:rPr>
              <w:t>8.2</w:t>
            </w:r>
            <w:r w:rsidR="0066381C">
              <w:rPr>
                <w:rFonts w:eastAsiaTheme="minorEastAsia"/>
                <w:noProof/>
                <w:lang w:eastAsia="en-AU"/>
              </w:rPr>
              <w:tab/>
            </w:r>
            <w:r w:rsidR="0066381C" w:rsidRPr="000855A8">
              <w:rPr>
                <w:rStyle w:val="Hyperlink"/>
                <w:noProof/>
              </w:rPr>
              <w:t>Alternatives to the ADGSM for implementing export controls</w:t>
            </w:r>
            <w:r w:rsidR="0066381C">
              <w:rPr>
                <w:noProof/>
                <w:webHidden/>
              </w:rPr>
              <w:tab/>
            </w:r>
            <w:r w:rsidR="0066381C">
              <w:rPr>
                <w:noProof/>
                <w:webHidden/>
              </w:rPr>
              <w:fldChar w:fldCharType="begin"/>
            </w:r>
            <w:r w:rsidR="0066381C">
              <w:rPr>
                <w:noProof/>
                <w:webHidden/>
              </w:rPr>
              <w:instrText xml:space="preserve"> PAGEREF _Toc485406172 \h </w:instrText>
            </w:r>
            <w:r w:rsidR="0066381C">
              <w:rPr>
                <w:noProof/>
                <w:webHidden/>
              </w:rPr>
            </w:r>
            <w:r w:rsidR="0066381C">
              <w:rPr>
                <w:noProof/>
                <w:webHidden/>
              </w:rPr>
              <w:fldChar w:fldCharType="separate"/>
            </w:r>
            <w:r w:rsidR="00D565EF">
              <w:rPr>
                <w:noProof/>
                <w:webHidden/>
              </w:rPr>
              <w:t>35</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73" w:history="1">
            <w:r w:rsidR="0066381C" w:rsidRPr="000855A8">
              <w:rPr>
                <w:rStyle w:val="Hyperlink"/>
                <w:noProof/>
              </w:rPr>
              <w:t>Gas-sourcing model</w:t>
            </w:r>
            <w:r w:rsidR="0066381C">
              <w:rPr>
                <w:noProof/>
                <w:webHidden/>
              </w:rPr>
              <w:tab/>
            </w:r>
            <w:r w:rsidR="0066381C">
              <w:rPr>
                <w:noProof/>
                <w:webHidden/>
              </w:rPr>
              <w:fldChar w:fldCharType="begin"/>
            </w:r>
            <w:r w:rsidR="0066381C">
              <w:rPr>
                <w:noProof/>
                <w:webHidden/>
              </w:rPr>
              <w:instrText xml:space="preserve"> PAGEREF _Toc485406173 \h </w:instrText>
            </w:r>
            <w:r w:rsidR="0066381C">
              <w:rPr>
                <w:noProof/>
                <w:webHidden/>
              </w:rPr>
            </w:r>
            <w:r w:rsidR="0066381C">
              <w:rPr>
                <w:noProof/>
                <w:webHidden/>
              </w:rPr>
              <w:fldChar w:fldCharType="separate"/>
            </w:r>
            <w:r w:rsidR="00D565EF">
              <w:rPr>
                <w:noProof/>
                <w:webHidden/>
              </w:rPr>
              <w:t>35</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74" w:history="1">
            <w:r w:rsidR="0066381C" w:rsidRPr="000855A8">
              <w:rPr>
                <w:rStyle w:val="Hyperlink"/>
                <w:noProof/>
              </w:rPr>
              <w:t>Equally distributed restrictions, or restrictions linked to gas volumes</w:t>
            </w:r>
            <w:r w:rsidR="0066381C">
              <w:rPr>
                <w:noProof/>
                <w:webHidden/>
              </w:rPr>
              <w:tab/>
            </w:r>
            <w:r w:rsidR="0066381C">
              <w:rPr>
                <w:noProof/>
                <w:webHidden/>
              </w:rPr>
              <w:fldChar w:fldCharType="begin"/>
            </w:r>
            <w:r w:rsidR="0066381C">
              <w:rPr>
                <w:noProof/>
                <w:webHidden/>
              </w:rPr>
              <w:instrText xml:space="preserve"> PAGEREF _Toc485406174 \h </w:instrText>
            </w:r>
            <w:r w:rsidR="0066381C">
              <w:rPr>
                <w:noProof/>
                <w:webHidden/>
              </w:rPr>
            </w:r>
            <w:r w:rsidR="0066381C">
              <w:rPr>
                <w:noProof/>
                <w:webHidden/>
              </w:rPr>
              <w:fldChar w:fldCharType="separate"/>
            </w:r>
            <w:r w:rsidR="00D565EF">
              <w:rPr>
                <w:noProof/>
                <w:webHidden/>
              </w:rPr>
              <w:t>35</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75" w:history="1">
            <w:r w:rsidR="0066381C" w:rsidRPr="000855A8">
              <w:rPr>
                <w:rStyle w:val="Hyperlink"/>
                <w:noProof/>
              </w:rPr>
              <w:t>Future contracts model</w:t>
            </w:r>
            <w:r w:rsidR="0066381C">
              <w:rPr>
                <w:noProof/>
                <w:webHidden/>
              </w:rPr>
              <w:tab/>
            </w:r>
            <w:r w:rsidR="0066381C">
              <w:rPr>
                <w:noProof/>
                <w:webHidden/>
              </w:rPr>
              <w:fldChar w:fldCharType="begin"/>
            </w:r>
            <w:r w:rsidR="0066381C">
              <w:rPr>
                <w:noProof/>
                <w:webHidden/>
              </w:rPr>
              <w:instrText xml:space="preserve"> PAGEREF _Toc485406175 \h </w:instrText>
            </w:r>
            <w:r w:rsidR="0066381C">
              <w:rPr>
                <w:noProof/>
                <w:webHidden/>
              </w:rPr>
            </w:r>
            <w:r w:rsidR="0066381C">
              <w:rPr>
                <w:noProof/>
                <w:webHidden/>
              </w:rPr>
              <w:fldChar w:fldCharType="separate"/>
            </w:r>
            <w:r w:rsidR="00D565EF">
              <w:rPr>
                <w:noProof/>
                <w:webHidden/>
              </w:rPr>
              <w:t>35</w:t>
            </w:r>
            <w:r w:rsidR="0066381C">
              <w:rPr>
                <w:noProof/>
                <w:webHidden/>
              </w:rPr>
              <w:fldChar w:fldCharType="end"/>
            </w:r>
          </w:hyperlink>
        </w:p>
        <w:p w:rsidR="0066381C" w:rsidRDefault="00CA28A3" w:rsidP="0066381C">
          <w:pPr>
            <w:pStyle w:val="TOC1"/>
            <w:tabs>
              <w:tab w:val="left" w:pos="440"/>
              <w:tab w:val="right" w:leader="dot" w:pos="9016"/>
            </w:tabs>
            <w:rPr>
              <w:rFonts w:eastAsiaTheme="minorEastAsia"/>
              <w:noProof/>
              <w:lang w:eastAsia="en-AU"/>
            </w:rPr>
          </w:pPr>
          <w:hyperlink w:anchor="_Toc485406176" w:history="1">
            <w:r w:rsidR="0066381C" w:rsidRPr="000855A8">
              <w:rPr>
                <w:rStyle w:val="Hyperlink"/>
                <w:noProof/>
              </w:rPr>
              <w:t>9</w:t>
            </w:r>
            <w:r w:rsidR="0066381C">
              <w:rPr>
                <w:rFonts w:eastAsiaTheme="minorEastAsia"/>
                <w:noProof/>
                <w:lang w:eastAsia="en-AU"/>
              </w:rPr>
              <w:tab/>
            </w:r>
            <w:r w:rsidR="0066381C" w:rsidRPr="000855A8">
              <w:rPr>
                <w:rStyle w:val="Hyperlink"/>
                <w:noProof/>
              </w:rPr>
              <w:t>Appendices</w:t>
            </w:r>
            <w:r w:rsidR="0066381C">
              <w:rPr>
                <w:noProof/>
                <w:webHidden/>
              </w:rPr>
              <w:tab/>
            </w:r>
            <w:r w:rsidR="0066381C">
              <w:rPr>
                <w:noProof/>
                <w:webHidden/>
              </w:rPr>
              <w:fldChar w:fldCharType="begin"/>
            </w:r>
            <w:r w:rsidR="0066381C">
              <w:rPr>
                <w:noProof/>
                <w:webHidden/>
              </w:rPr>
              <w:instrText xml:space="preserve"> PAGEREF _Toc485406176 \h </w:instrText>
            </w:r>
            <w:r w:rsidR="0066381C">
              <w:rPr>
                <w:noProof/>
                <w:webHidden/>
              </w:rPr>
            </w:r>
            <w:r w:rsidR="0066381C">
              <w:rPr>
                <w:noProof/>
                <w:webHidden/>
              </w:rPr>
              <w:fldChar w:fldCharType="separate"/>
            </w:r>
            <w:r w:rsidR="00D565EF">
              <w:rPr>
                <w:noProof/>
                <w:webHidden/>
              </w:rPr>
              <w:t>36</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77" w:history="1">
            <w:r w:rsidR="0066381C" w:rsidRPr="000855A8">
              <w:rPr>
                <w:rStyle w:val="Hyperlink"/>
                <w:noProof/>
              </w:rPr>
              <w:t>9.1</w:t>
            </w:r>
            <w:r w:rsidR="0066381C">
              <w:rPr>
                <w:rFonts w:eastAsiaTheme="minorEastAsia"/>
                <w:noProof/>
                <w:lang w:eastAsia="en-AU"/>
              </w:rPr>
              <w:tab/>
            </w:r>
            <w:r w:rsidR="0066381C" w:rsidRPr="000855A8">
              <w:rPr>
                <w:rStyle w:val="Hyperlink"/>
                <w:noProof/>
              </w:rPr>
              <w:t>Appendix A: Gas use statistics</w:t>
            </w:r>
            <w:r w:rsidR="0066381C">
              <w:rPr>
                <w:noProof/>
                <w:webHidden/>
              </w:rPr>
              <w:tab/>
            </w:r>
            <w:r w:rsidR="0066381C">
              <w:rPr>
                <w:noProof/>
                <w:webHidden/>
              </w:rPr>
              <w:fldChar w:fldCharType="begin"/>
            </w:r>
            <w:r w:rsidR="0066381C">
              <w:rPr>
                <w:noProof/>
                <w:webHidden/>
              </w:rPr>
              <w:instrText xml:space="preserve"> PAGEREF _Toc485406177 \h </w:instrText>
            </w:r>
            <w:r w:rsidR="0066381C">
              <w:rPr>
                <w:noProof/>
                <w:webHidden/>
              </w:rPr>
            </w:r>
            <w:r w:rsidR="0066381C">
              <w:rPr>
                <w:noProof/>
                <w:webHidden/>
              </w:rPr>
              <w:fldChar w:fldCharType="separate"/>
            </w:r>
            <w:r w:rsidR="00D565EF">
              <w:rPr>
                <w:noProof/>
                <w:webHidden/>
              </w:rPr>
              <w:t>36</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78" w:history="1">
            <w:r w:rsidR="0066381C" w:rsidRPr="000855A8">
              <w:rPr>
                <w:rStyle w:val="Hyperlink"/>
                <w:noProof/>
              </w:rPr>
              <w:t>Manufacturing industries most exposed to energy price shocks.</w:t>
            </w:r>
            <w:r w:rsidR="0066381C">
              <w:rPr>
                <w:noProof/>
                <w:webHidden/>
              </w:rPr>
              <w:tab/>
            </w:r>
            <w:r w:rsidR="0066381C">
              <w:rPr>
                <w:noProof/>
                <w:webHidden/>
              </w:rPr>
              <w:fldChar w:fldCharType="begin"/>
            </w:r>
            <w:r w:rsidR="0066381C">
              <w:rPr>
                <w:noProof/>
                <w:webHidden/>
              </w:rPr>
              <w:instrText xml:space="preserve"> PAGEREF _Toc485406178 \h </w:instrText>
            </w:r>
            <w:r w:rsidR="0066381C">
              <w:rPr>
                <w:noProof/>
                <w:webHidden/>
              </w:rPr>
            </w:r>
            <w:r w:rsidR="0066381C">
              <w:rPr>
                <w:noProof/>
                <w:webHidden/>
              </w:rPr>
              <w:fldChar w:fldCharType="separate"/>
            </w:r>
            <w:r w:rsidR="00D565EF">
              <w:rPr>
                <w:noProof/>
                <w:webHidden/>
              </w:rPr>
              <w:t>36</w:t>
            </w:r>
            <w:r w:rsidR="0066381C">
              <w:rPr>
                <w:noProof/>
                <w:webHidden/>
              </w:rPr>
              <w:fldChar w:fldCharType="end"/>
            </w:r>
          </w:hyperlink>
        </w:p>
        <w:p w:rsidR="0066381C" w:rsidRDefault="00CA28A3" w:rsidP="0066381C">
          <w:pPr>
            <w:pStyle w:val="TOC2"/>
            <w:tabs>
              <w:tab w:val="left" w:pos="880"/>
              <w:tab w:val="right" w:leader="dot" w:pos="9016"/>
            </w:tabs>
            <w:rPr>
              <w:rFonts w:eastAsiaTheme="minorEastAsia"/>
              <w:noProof/>
              <w:lang w:eastAsia="en-AU"/>
            </w:rPr>
          </w:pPr>
          <w:hyperlink w:anchor="_Toc485406179" w:history="1">
            <w:r w:rsidR="0066381C" w:rsidRPr="000855A8">
              <w:rPr>
                <w:rStyle w:val="Hyperlink"/>
                <w:noProof/>
              </w:rPr>
              <w:t>9.2</w:t>
            </w:r>
            <w:r w:rsidR="0066381C">
              <w:rPr>
                <w:rFonts w:eastAsiaTheme="minorEastAsia"/>
                <w:noProof/>
                <w:lang w:eastAsia="en-AU"/>
              </w:rPr>
              <w:tab/>
            </w:r>
            <w:r w:rsidR="0066381C" w:rsidRPr="000855A8">
              <w:rPr>
                <w:rStyle w:val="Hyperlink"/>
                <w:noProof/>
              </w:rPr>
              <w:t>Appendix B: Cost analysis of the ADGSM</w:t>
            </w:r>
            <w:r w:rsidR="0066381C">
              <w:rPr>
                <w:noProof/>
                <w:webHidden/>
              </w:rPr>
              <w:tab/>
            </w:r>
            <w:r w:rsidR="0066381C">
              <w:rPr>
                <w:noProof/>
                <w:webHidden/>
              </w:rPr>
              <w:fldChar w:fldCharType="begin"/>
            </w:r>
            <w:r w:rsidR="0066381C">
              <w:rPr>
                <w:noProof/>
                <w:webHidden/>
              </w:rPr>
              <w:instrText xml:space="preserve"> PAGEREF _Toc485406179 \h </w:instrText>
            </w:r>
            <w:r w:rsidR="0066381C">
              <w:rPr>
                <w:noProof/>
                <w:webHidden/>
              </w:rPr>
            </w:r>
            <w:r w:rsidR="0066381C">
              <w:rPr>
                <w:noProof/>
                <w:webHidden/>
              </w:rPr>
              <w:fldChar w:fldCharType="separate"/>
            </w:r>
            <w:r w:rsidR="00D565EF">
              <w:rPr>
                <w:noProof/>
                <w:webHidden/>
              </w:rPr>
              <w:t>36</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80" w:history="1">
            <w:r w:rsidR="0066381C" w:rsidRPr="000855A8">
              <w:rPr>
                <w:rStyle w:val="Hyperlink"/>
                <w:noProof/>
              </w:rPr>
              <w:t>Cost summary</w:t>
            </w:r>
            <w:r w:rsidR="0066381C">
              <w:rPr>
                <w:noProof/>
                <w:webHidden/>
              </w:rPr>
              <w:tab/>
            </w:r>
            <w:r w:rsidR="0066381C">
              <w:rPr>
                <w:noProof/>
                <w:webHidden/>
              </w:rPr>
              <w:fldChar w:fldCharType="begin"/>
            </w:r>
            <w:r w:rsidR="0066381C">
              <w:rPr>
                <w:noProof/>
                <w:webHidden/>
              </w:rPr>
              <w:instrText xml:space="preserve"> PAGEREF _Toc485406180 \h </w:instrText>
            </w:r>
            <w:r w:rsidR="0066381C">
              <w:rPr>
                <w:noProof/>
                <w:webHidden/>
              </w:rPr>
            </w:r>
            <w:r w:rsidR="0066381C">
              <w:rPr>
                <w:noProof/>
                <w:webHidden/>
              </w:rPr>
              <w:fldChar w:fldCharType="separate"/>
            </w:r>
            <w:r w:rsidR="00D565EF">
              <w:rPr>
                <w:noProof/>
                <w:webHidden/>
              </w:rPr>
              <w:t>36</w:t>
            </w:r>
            <w:r w:rsidR="0066381C">
              <w:rPr>
                <w:noProof/>
                <w:webHidden/>
              </w:rPr>
              <w:fldChar w:fldCharType="end"/>
            </w:r>
          </w:hyperlink>
        </w:p>
        <w:p w:rsidR="0066381C" w:rsidRDefault="00CA28A3" w:rsidP="0066381C">
          <w:pPr>
            <w:pStyle w:val="TOC3"/>
            <w:rPr>
              <w:rFonts w:eastAsiaTheme="minorEastAsia"/>
              <w:noProof/>
              <w:lang w:eastAsia="en-AU"/>
            </w:rPr>
          </w:pPr>
          <w:hyperlink w:anchor="_Toc485406181" w:history="1">
            <w:r w:rsidR="0066381C" w:rsidRPr="000855A8">
              <w:rPr>
                <w:rStyle w:val="Hyperlink"/>
                <w:noProof/>
              </w:rPr>
              <w:t>Additional assumptions and methodology</w:t>
            </w:r>
            <w:r w:rsidR="0066381C">
              <w:rPr>
                <w:noProof/>
                <w:webHidden/>
              </w:rPr>
              <w:tab/>
            </w:r>
            <w:r w:rsidR="0066381C">
              <w:rPr>
                <w:noProof/>
                <w:webHidden/>
              </w:rPr>
              <w:fldChar w:fldCharType="begin"/>
            </w:r>
            <w:r w:rsidR="0066381C">
              <w:rPr>
                <w:noProof/>
                <w:webHidden/>
              </w:rPr>
              <w:instrText xml:space="preserve"> PAGEREF _Toc485406181 \h </w:instrText>
            </w:r>
            <w:r w:rsidR="0066381C">
              <w:rPr>
                <w:noProof/>
                <w:webHidden/>
              </w:rPr>
            </w:r>
            <w:r w:rsidR="0066381C">
              <w:rPr>
                <w:noProof/>
                <w:webHidden/>
              </w:rPr>
              <w:fldChar w:fldCharType="separate"/>
            </w:r>
            <w:r w:rsidR="00D565EF">
              <w:rPr>
                <w:noProof/>
                <w:webHidden/>
              </w:rPr>
              <w:t>39</w:t>
            </w:r>
            <w:r w:rsidR="0066381C">
              <w:rPr>
                <w:noProof/>
                <w:webHidden/>
              </w:rPr>
              <w:fldChar w:fldCharType="end"/>
            </w:r>
          </w:hyperlink>
        </w:p>
        <w:p w:rsidR="0066381C" w:rsidRDefault="0066381C" w:rsidP="0066381C">
          <w:r>
            <w:rPr>
              <w:b/>
              <w:bCs/>
              <w:noProof/>
            </w:rPr>
            <w:fldChar w:fldCharType="end"/>
          </w:r>
        </w:p>
      </w:sdtContent>
    </w:sdt>
    <w:p w:rsidR="0066381C" w:rsidRDefault="0066381C" w:rsidP="0066381C">
      <w:r>
        <w:br w:type="page"/>
      </w:r>
    </w:p>
    <w:p w:rsidR="0066381C" w:rsidRDefault="0066381C" w:rsidP="0066381C">
      <w:pPr>
        <w:pStyle w:val="Heading1"/>
        <w:numPr>
          <w:ilvl w:val="0"/>
          <w:numId w:val="10"/>
        </w:numPr>
        <w:tabs>
          <w:tab w:val="clear" w:pos="567"/>
        </w:tabs>
        <w:spacing w:after="0" w:line="259" w:lineRule="auto"/>
      </w:pPr>
      <w:bookmarkStart w:id="2" w:name="_Toc482985538"/>
      <w:bookmarkStart w:id="3" w:name="_Toc483323133"/>
      <w:bookmarkStart w:id="4" w:name="_Toc484770724"/>
      <w:bookmarkStart w:id="5" w:name="_Toc484774998"/>
      <w:bookmarkStart w:id="6" w:name="_Toc484779041"/>
      <w:bookmarkStart w:id="7" w:name="_Toc484784240"/>
      <w:bookmarkStart w:id="8" w:name="_Toc484795058"/>
      <w:bookmarkStart w:id="9" w:name="_Toc485406130"/>
      <w:r>
        <w:lastRenderedPageBreak/>
        <w:t>Executive Summary</w:t>
      </w:r>
      <w:bookmarkEnd w:id="2"/>
      <w:bookmarkEnd w:id="3"/>
      <w:bookmarkEnd w:id="4"/>
      <w:bookmarkEnd w:id="5"/>
      <w:bookmarkEnd w:id="6"/>
      <w:bookmarkEnd w:id="7"/>
      <w:bookmarkEnd w:id="8"/>
      <w:bookmarkEnd w:id="9"/>
      <w:r>
        <w:t xml:space="preserve"> </w:t>
      </w:r>
    </w:p>
    <w:p w:rsidR="0066381C" w:rsidRDefault="0066381C" w:rsidP="0066381C">
      <w:pPr>
        <w:rPr>
          <w:color w:val="000000"/>
        </w:rPr>
      </w:pPr>
      <w:r>
        <w:rPr>
          <w:color w:val="000000"/>
        </w:rPr>
        <w:t xml:space="preserve">Over the past </w:t>
      </w:r>
      <w:proofErr w:type="gramStart"/>
      <w:r>
        <w:rPr>
          <w:color w:val="000000"/>
        </w:rPr>
        <w:t>decade</w:t>
      </w:r>
      <w:proofErr w:type="gramEnd"/>
      <w:r>
        <w:rPr>
          <w:color w:val="000000"/>
        </w:rPr>
        <w:t xml:space="preserve"> Australia’s liquefied natural gas (LNG) capacity has grown substantially on the back of $200 billon investment in gas facilities in Western Australia, Northern Territory and Queensland. By 2021, Australia is set to equal or exceed the production capacity of Qatar, currently the world’s largest LNG producer. Part of this capital investment has been in developing Australia’s significant onshore gas resources, particularly coal seam gas resources in Queensland. While </w:t>
      </w:r>
      <w:r w:rsidRPr="00F8495C">
        <w:rPr>
          <w:color w:val="000000"/>
        </w:rPr>
        <w:t>gas reserves are</w:t>
      </w:r>
      <w:r>
        <w:rPr>
          <w:color w:val="000000"/>
        </w:rPr>
        <w:t xml:space="preserve"> currently substantial and gas production has increased, gas supply on the east coast is struggling to keep pace with demand. Recent forecasts by the Australian Energy Market Operator (AEMO) predict a tight supply/demand balance and potential domestic shortfalls in coming years. It has become evident that, in part, the reason for tight supply is </w:t>
      </w:r>
      <w:proofErr w:type="gramStart"/>
      <w:r>
        <w:rPr>
          <w:color w:val="000000"/>
        </w:rPr>
        <w:t>because</w:t>
      </w:r>
      <w:proofErr w:type="gramEnd"/>
      <w:r>
        <w:rPr>
          <w:color w:val="000000"/>
        </w:rPr>
        <w:t xml:space="preserve"> some export projects are drawing a larger than expected volume from the domestic market.</w:t>
      </w:r>
    </w:p>
    <w:p w:rsidR="0066381C" w:rsidRPr="0021754E" w:rsidRDefault="0066381C" w:rsidP="0066381C">
      <w:r>
        <w:rPr>
          <w:color w:val="000000"/>
        </w:rPr>
        <w:t xml:space="preserve">This situation is placing some gas-using sectors at high risk of shutting down. The Government estimates that as many as </w:t>
      </w:r>
      <w:r w:rsidRPr="00B224C7">
        <w:t>6</w:t>
      </w:r>
      <w:r>
        <w:t xml:space="preserve">5 </w:t>
      </w:r>
      <w:r w:rsidRPr="00B224C7">
        <w:t xml:space="preserve">000 jobs rely on industries where gas </w:t>
      </w:r>
      <w:r>
        <w:t xml:space="preserve">often makes up </w:t>
      </w:r>
      <w:r w:rsidRPr="00B224C7">
        <w:t>more than 15 per cent of input costs</w:t>
      </w:r>
      <w:r w:rsidRPr="0021754E">
        <w:t xml:space="preserve">. </w:t>
      </w:r>
      <w:r>
        <w:t>S</w:t>
      </w:r>
      <w:r>
        <w:rPr>
          <w:color w:val="000000"/>
        </w:rPr>
        <w:t xml:space="preserve">ecurity of supply and higher prices have also </w:t>
      </w:r>
      <w:proofErr w:type="gramStart"/>
      <w:r>
        <w:rPr>
          <w:color w:val="000000"/>
        </w:rPr>
        <w:t>impacted on</w:t>
      </w:r>
      <w:proofErr w:type="gramEnd"/>
      <w:r>
        <w:rPr>
          <w:color w:val="000000"/>
        </w:rPr>
        <w:t xml:space="preserve"> industry competiveness and household cost of living. The uncertainty of supply security and failures in the gas market require Government action. </w:t>
      </w:r>
    </w:p>
    <w:p w:rsidR="0066381C" w:rsidRDefault="0066381C" w:rsidP="0066381C">
      <w:pPr>
        <w:spacing w:after="240" w:line="240" w:lineRule="auto"/>
        <w:contextualSpacing/>
        <w:rPr>
          <w:lang w:eastAsia="en-AU"/>
        </w:rPr>
      </w:pPr>
      <w:proofErr w:type="gramStart"/>
      <w:r>
        <w:t>The G</w:t>
      </w:r>
      <w:r w:rsidRPr="0021754E">
        <w:t>overnment is intervening to respond to market shortfalls</w:t>
      </w:r>
      <w:r>
        <w:t xml:space="preserve"> in a number of ways,</w:t>
      </w:r>
      <w:r w:rsidRPr="0021754E">
        <w:t xml:space="preserve"> including: </w:t>
      </w:r>
      <w:r>
        <w:t xml:space="preserve">committing </w:t>
      </w:r>
      <w:r w:rsidRPr="0021754E">
        <w:rPr>
          <w:lang w:eastAsia="en-AU"/>
        </w:rPr>
        <w:t xml:space="preserve">$28.7 million for measures to increase the supply of gas; </w:t>
      </w:r>
      <w:r>
        <w:rPr>
          <w:lang w:eastAsia="en-AU"/>
        </w:rPr>
        <w:t xml:space="preserve">obtaining </w:t>
      </w:r>
      <w:r w:rsidRPr="0021754E">
        <w:t xml:space="preserve">a </w:t>
      </w:r>
      <w:r>
        <w:t>guarantee from gas producers</w:t>
      </w:r>
      <w:r w:rsidRPr="0021754E">
        <w:t xml:space="preserve"> to ensure </w:t>
      </w:r>
      <w:r>
        <w:t>that gas is available for the national electricity market</w:t>
      </w:r>
      <w:r w:rsidRPr="0021754E">
        <w:t xml:space="preserve"> during peak periods</w:t>
      </w:r>
      <w:r>
        <w:t>;</w:t>
      </w:r>
      <w:r w:rsidRPr="0021754E">
        <w:t xml:space="preserve"> and </w:t>
      </w:r>
      <w:r>
        <w:t xml:space="preserve">launching </w:t>
      </w:r>
      <w:r w:rsidRPr="0021754E">
        <w:t xml:space="preserve">an </w:t>
      </w:r>
      <w:r>
        <w:t>Australian Competition and Consumer Commission</w:t>
      </w:r>
      <w:r w:rsidRPr="0021754E" w:rsidDel="00C904DD">
        <w:t xml:space="preserve"> </w:t>
      </w:r>
      <w:r>
        <w:t xml:space="preserve">(ACCC) </w:t>
      </w:r>
      <w:r w:rsidRPr="0021754E">
        <w:t xml:space="preserve">investigation </w:t>
      </w:r>
      <w:r>
        <w:t>into</w:t>
      </w:r>
      <w:r w:rsidRPr="0021754E">
        <w:t xml:space="preserve"> Australian gas markets and </w:t>
      </w:r>
      <w:r>
        <w:t xml:space="preserve">work to improve </w:t>
      </w:r>
      <w:r w:rsidRPr="0021754E">
        <w:t>market transparency.</w:t>
      </w:r>
      <w:proofErr w:type="gramEnd"/>
      <w:r w:rsidRPr="0021754E">
        <w:t xml:space="preserve"> However, these initiatives </w:t>
      </w:r>
      <w:proofErr w:type="gramStart"/>
      <w:r>
        <w:t>are expected</w:t>
      </w:r>
      <w:proofErr w:type="gramEnd"/>
      <w:r w:rsidRPr="0021754E">
        <w:t xml:space="preserve"> to have an impact in the medium term</w:t>
      </w:r>
      <w:r>
        <w:t xml:space="preserve">. </w:t>
      </w:r>
    </w:p>
    <w:p w:rsidR="0066381C" w:rsidRPr="0021754E" w:rsidRDefault="0066381C" w:rsidP="0066381C">
      <w:pPr>
        <w:spacing w:after="240" w:line="240" w:lineRule="auto"/>
        <w:contextualSpacing/>
      </w:pPr>
    </w:p>
    <w:p w:rsidR="0066381C" w:rsidRPr="004B0143" w:rsidRDefault="0066381C" w:rsidP="0066381C">
      <w:pPr>
        <w:spacing w:after="240" w:line="240" w:lineRule="auto"/>
        <w:contextualSpacing/>
      </w:pPr>
      <w:r>
        <w:rPr>
          <w:color w:val="000000"/>
        </w:rPr>
        <w:t>Therefore, to have a more timely and targeted impact on gas security, t</w:t>
      </w:r>
      <w:r w:rsidRPr="00B145F9">
        <w:rPr>
          <w:color w:val="000000"/>
        </w:rPr>
        <w:t xml:space="preserve">he Government </w:t>
      </w:r>
      <w:r>
        <w:rPr>
          <w:color w:val="000000"/>
        </w:rPr>
        <w:t>decided to</w:t>
      </w:r>
      <w:r w:rsidRPr="00B145F9">
        <w:rPr>
          <w:color w:val="000000"/>
        </w:rPr>
        <w:t xml:space="preserve"> </w:t>
      </w:r>
      <w:r>
        <w:rPr>
          <w:color w:val="000000"/>
        </w:rPr>
        <w:t>introduce</w:t>
      </w:r>
      <w:r w:rsidRPr="00B145F9">
        <w:rPr>
          <w:color w:val="000000"/>
        </w:rPr>
        <w:t xml:space="preserve"> an export licens</w:t>
      </w:r>
      <w:r>
        <w:rPr>
          <w:color w:val="000000"/>
        </w:rPr>
        <w:t>ing system, referred to as the Australian Domestic Gas Security Mechanism (ADGSM)</w:t>
      </w:r>
      <w:r w:rsidRPr="00A53A2F">
        <w:rPr>
          <w:color w:val="000000"/>
        </w:rPr>
        <w:t xml:space="preserve"> </w:t>
      </w:r>
      <w:r>
        <w:rPr>
          <w:color w:val="000000"/>
        </w:rPr>
        <w:t>by 1 July 2017</w:t>
      </w:r>
      <w:r w:rsidRPr="00B145F9">
        <w:rPr>
          <w:color w:val="000000"/>
        </w:rPr>
        <w:t>. </w:t>
      </w:r>
      <w:r>
        <w:rPr>
          <w:color w:val="000000"/>
        </w:rPr>
        <w:t xml:space="preserve">This decision </w:t>
      </w:r>
      <w:proofErr w:type="gramStart"/>
      <w:r>
        <w:rPr>
          <w:color w:val="000000"/>
        </w:rPr>
        <w:t>was made</w:t>
      </w:r>
      <w:proofErr w:type="gramEnd"/>
      <w:r>
        <w:rPr>
          <w:color w:val="000000"/>
        </w:rPr>
        <w:t xml:space="preserve"> following consideration of an interim Regulatory Impact Statement (RIS).</w:t>
      </w:r>
      <w:r w:rsidRPr="00B145F9">
        <w:rPr>
          <w:color w:val="000000"/>
        </w:rPr>
        <w:t xml:space="preserve"> </w:t>
      </w:r>
      <w:r>
        <w:t xml:space="preserve">The Department of Industry, Innovation and Science (DIIS) has lead policy responsibility for the implementation of the ADGSM. </w:t>
      </w:r>
    </w:p>
    <w:p w:rsidR="0066381C" w:rsidRDefault="0066381C" w:rsidP="0066381C">
      <w:pPr>
        <w:spacing w:after="240" w:line="240" w:lineRule="auto"/>
        <w:contextualSpacing/>
        <w:rPr>
          <w:lang w:eastAsia="en-AU"/>
        </w:rPr>
      </w:pPr>
    </w:p>
    <w:p w:rsidR="0066381C" w:rsidRPr="0021754E" w:rsidRDefault="0066381C" w:rsidP="0066381C">
      <w:pPr>
        <w:spacing w:after="240" w:line="240" w:lineRule="auto"/>
        <w:contextualSpacing/>
        <w:rPr>
          <w:lang w:eastAsia="en-AU"/>
        </w:rPr>
      </w:pPr>
      <w:r>
        <w:rPr>
          <w:lang w:eastAsia="en-AU"/>
        </w:rPr>
        <w:t>This RIS considers three</w:t>
      </w:r>
      <w:r w:rsidRPr="0021754E">
        <w:rPr>
          <w:lang w:eastAsia="en-AU"/>
        </w:rPr>
        <w:t xml:space="preserve"> policy options </w:t>
      </w:r>
      <w:r>
        <w:rPr>
          <w:lang w:eastAsia="en-AU"/>
        </w:rPr>
        <w:t xml:space="preserve">for Government intervention in addition to the </w:t>
      </w:r>
      <w:r w:rsidRPr="0021754E">
        <w:rPr>
          <w:lang w:eastAsia="en-AU"/>
        </w:rPr>
        <w:t>status quo</w:t>
      </w:r>
      <w:r>
        <w:rPr>
          <w:lang w:eastAsia="en-AU"/>
        </w:rPr>
        <w:t>:</w:t>
      </w:r>
      <w:r w:rsidRPr="0021754E">
        <w:rPr>
          <w:lang w:eastAsia="en-AU"/>
        </w:rPr>
        <w:t xml:space="preserve"> a</w:t>
      </w:r>
      <w:r>
        <w:rPr>
          <w:lang w:eastAsia="en-AU"/>
        </w:rPr>
        <w:t>n</w:t>
      </w:r>
      <w:r w:rsidRPr="0021754E">
        <w:rPr>
          <w:lang w:eastAsia="en-AU"/>
        </w:rPr>
        <w:t xml:space="preserve"> </w:t>
      </w:r>
      <w:r>
        <w:rPr>
          <w:lang w:eastAsia="en-AU"/>
        </w:rPr>
        <w:t>industry led</w:t>
      </w:r>
      <w:r w:rsidRPr="0021754E">
        <w:rPr>
          <w:lang w:eastAsia="en-AU"/>
        </w:rPr>
        <w:t xml:space="preserve"> agreement, gas reservation policy and export controls. </w:t>
      </w:r>
      <w:r>
        <w:rPr>
          <w:lang w:eastAsia="en-AU"/>
        </w:rPr>
        <w:t xml:space="preserve">Each option </w:t>
      </w:r>
      <w:proofErr w:type="gramStart"/>
      <w:r>
        <w:rPr>
          <w:lang w:eastAsia="en-AU"/>
        </w:rPr>
        <w:t>was considered</w:t>
      </w:r>
      <w:proofErr w:type="gramEnd"/>
      <w:r>
        <w:rPr>
          <w:lang w:eastAsia="en-AU"/>
        </w:rPr>
        <w:t xml:space="preserve"> on its merits, as detailed in Section </w:t>
      </w:r>
      <w:r>
        <w:rPr>
          <w:lang w:eastAsia="en-AU"/>
        </w:rPr>
        <w:fldChar w:fldCharType="begin"/>
      </w:r>
      <w:r>
        <w:rPr>
          <w:lang w:eastAsia="en-AU"/>
        </w:rPr>
        <w:instrText xml:space="preserve"> REF _Ref482797128 \r \h </w:instrText>
      </w:r>
      <w:r>
        <w:rPr>
          <w:lang w:eastAsia="en-AU"/>
        </w:rPr>
      </w:r>
      <w:r>
        <w:rPr>
          <w:lang w:eastAsia="en-AU"/>
        </w:rPr>
        <w:fldChar w:fldCharType="separate"/>
      </w:r>
      <w:r w:rsidR="00D565EF">
        <w:rPr>
          <w:lang w:eastAsia="en-AU"/>
        </w:rPr>
        <w:t>5</w:t>
      </w:r>
      <w:r>
        <w:rPr>
          <w:lang w:eastAsia="en-AU"/>
        </w:rPr>
        <w:fldChar w:fldCharType="end"/>
      </w:r>
      <w:r>
        <w:rPr>
          <w:lang w:eastAsia="en-AU"/>
        </w:rPr>
        <w:t xml:space="preserve">. The ADGSM </w:t>
      </w:r>
      <w:proofErr w:type="gramStart"/>
      <w:r>
        <w:rPr>
          <w:lang w:eastAsia="en-AU"/>
        </w:rPr>
        <w:t>was evaluated</w:t>
      </w:r>
      <w:proofErr w:type="gramEnd"/>
      <w:r>
        <w:rPr>
          <w:lang w:eastAsia="en-AU"/>
        </w:rPr>
        <w:t xml:space="preserve"> as being the most favourable in terms of balancing outcomes for domestic gas users and potential impacts on gas exporters. </w:t>
      </w:r>
    </w:p>
    <w:p w:rsidR="0066381C" w:rsidRPr="0021754E" w:rsidRDefault="0066381C" w:rsidP="0066381C">
      <w:pPr>
        <w:spacing w:after="240" w:line="240" w:lineRule="auto"/>
        <w:contextualSpacing/>
        <w:rPr>
          <w:lang w:eastAsia="en-AU"/>
        </w:rPr>
      </w:pPr>
    </w:p>
    <w:p w:rsidR="0066381C" w:rsidRPr="0027771E" w:rsidRDefault="0066381C" w:rsidP="0066381C">
      <w:pPr>
        <w:autoSpaceDE w:val="0"/>
        <w:autoSpaceDN w:val="0"/>
        <w:spacing w:after="0" w:line="240" w:lineRule="auto"/>
      </w:pPr>
      <w:r>
        <w:t xml:space="preserve">The ADGSM will be a regulation under the </w:t>
      </w:r>
      <w:r w:rsidRPr="008A20E3">
        <w:rPr>
          <w:i/>
        </w:rPr>
        <w:t>Customs Act 1901</w:t>
      </w:r>
      <w:r w:rsidRPr="007B32FF">
        <w:t>,</w:t>
      </w:r>
      <w:r>
        <w:t xml:space="preserve"> with guidelines to contain detailed process and timeframes for how the mechanism will operate. Risks </w:t>
      </w:r>
      <w:proofErr w:type="gramStart"/>
      <w:r>
        <w:t>will be managed</w:t>
      </w:r>
      <w:proofErr w:type="gramEnd"/>
      <w:r>
        <w:t xml:space="preserve"> on an ongoing basis through finalisation of the design in consultation with industry and international trading partners. Feedback from consultations and submissions resulted in a number of improvements to the mechanism. Consultations on the exposure draft legislation and </w:t>
      </w:r>
      <w:proofErr w:type="gramStart"/>
      <w:r>
        <w:t>guidelines also</w:t>
      </w:r>
      <w:proofErr w:type="gramEnd"/>
      <w:r>
        <w:t xml:space="preserve"> occurred.</w:t>
      </w:r>
    </w:p>
    <w:p w:rsidR="0066381C" w:rsidRDefault="0066381C" w:rsidP="0066381C">
      <w:pPr>
        <w:autoSpaceDE w:val="0"/>
        <w:autoSpaceDN w:val="0"/>
        <w:spacing w:after="0" w:line="240" w:lineRule="auto"/>
      </w:pPr>
    </w:p>
    <w:p w:rsidR="0066381C" w:rsidRDefault="0066381C" w:rsidP="0066381C">
      <w:pPr>
        <w:autoSpaceDE w:val="0"/>
        <w:autoSpaceDN w:val="0"/>
        <w:spacing w:after="0" w:line="240" w:lineRule="auto"/>
      </w:pPr>
      <w:r>
        <w:t xml:space="preserve">The ADGSM is a temporary measure and </w:t>
      </w:r>
      <w:proofErr w:type="gramStart"/>
      <w:r>
        <w:t>will be repealed</w:t>
      </w:r>
      <w:proofErr w:type="gramEnd"/>
      <w:r>
        <w:t xml:space="preserve"> on 1 January 2023, if it has not already been repealed by this date. After the first two years of operation, a review of the mechanism will take place to assess whether it has operated as intended and whether it has had a material impact on energy security and sectors of the economy that rely on gas. </w:t>
      </w:r>
    </w:p>
    <w:p w:rsidR="0066381C" w:rsidRDefault="0066381C" w:rsidP="0066381C">
      <w:r>
        <w:br w:type="page"/>
      </w:r>
    </w:p>
    <w:p w:rsidR="0066381C" w:rsidRDefault="0066381C" w:rsidP="0066381C">
      <w:pPr>
        <w:pStyle w:val="Heading1"/>
        <w:numPr>
          <w:ilvl w:val="0"/>
          <w:numId w:val="10"/>
        </w:numPr>
        <w:tabs>
          <w:tab w:val="clear" w:pos="567"/>
        </w:tabs>
        <w:spacing w:after="0" w:line="259" w:lineRule="auto"/>
      </w:pPr>
      <w:bookmarkStart w:id="10" w:name="_Ref482788137"/>
      <w:bookmarkStart w:id="11" w:name="_Toc482985539"/>
      <w:bookmarkStart w:id="12" w:name="_Toc483323134"/>
      <w:bookmarkStart w:id="13" w:name="_Toc484770725"/>
      <w:bookmarkStart w:id="14" w:name="_Toc484774999"/>
      <w:bookmarkStart w:id="15" w:name="_Toc484779042"/>
      <w:bookmarkStart w:id="16" w:name="_Toc484784241"/>
      <w:bookmarkStart w:id="17" w:name="_Toc484795059"/>
      <w:bookmarkStart w:id="18" w:name="_Toc485406131"/>
      <w:r>
        <w:lastRenderedPageBreak/>
        <w:t>Policy Problem</w:t>
      </w:r>
      <w:bookmarkEnd w:id="10"/>
      <w:bookmarkEnd w:id="11"/>
      <w:bookmarkEnd w:id="12"/>
      <w:bookmarkEnd w:id="13"/>
      <w:bookmarkEnd w:id="14"/>
      <w:bookmarkEnd w:id="15"/>
      <w:bookmarkEnd w:id="16"/>
      <w:bookmarkEnd w:id="17"/>
      <w:bookmarkEnd w:id="18"/>
      <w:r>
        <w:t xml:space="preserve"> </w:t>
      </w:r>
    </w:p>
    <w:p w:rsidR="0066381C" w:rsidRDefault="0066381C" w:rsidP="0066381C">
      <w:r>
        <w:t xml:space="preserve">In the absence of </w:t>
      </w:r>
      <w:proofErr w:type="gramStart"/>
      <w:r>
        <w:t>government</w:t>
      </w:r>
      <w:proofErr w:type="gramEnd"/>
      <w:r>
        <w:t xml:space="preserve"> intervention Australia’s east coast gas market faces the prospect of future gas shortfalls, or insufficient gas supply, to meet projected demand. </w:t>
      </w:r>
    </w:p>
    <w:p w:rsidR="0066381C" w:rsidRDefault="0066381C" w:rsidP="0066381C">
      <w:r>
        <w:t>In March 2017, t</w:t>
      </w:r>
      <w:r w:rsidRPr="002466E6">
        <w:t>he Australian Energy Market Operator</w:t>
      </w:r>
      <w:r>
        <w:t>’s</w:t>
      </w:r>
      <w:r w:rsidRPr="002466E6">
        <w:t xml:space="preserve"> (AEMO</w:t>
      </w:r>
      <w:r>
        <w:t>’s</w:t>
      </w:r>
      <w:r w:rsidRPr="002466E6">
        <w:t xml:space="preserve">) </w:t>
      </w:r>
      <w:r>
        <w:t>Gas Statement of Opportunities (GSOO)</w:t>
      </w:r>
      <w:r w:rsidRPr="002466E6">
        <w:t xml:space="preserve"> </w:t>
      </w:r>
      <w:r>
        <w:t>forecast stated that unless supply increases,</w:t>
      </w:r>
      <w:r w:rsidRPr="002466E6">
        <w:t xml:space="preserve"> gas supply shortfalls </w:t>
      </w:r>
      <w:r>
        <w:t xml:space="preserve">will </w:t>
      </w:r>
      <w:r w:rsidRPr="002466E6">
        <w:t>emerg</w:t>
      </w:r>
      <w:r>
        <w:t>e</w:t>
      </w:r>
      <w:r w:rsidRPr="002466E6">
        <w:t xml:space="preserve"> in some states from 2018-2019</w:t>
      </w:r>
      <w:r>
        <w:t xml:space="preserve"> of between 10 </w:t>
      </w:r>
      <w:proofErr w:type="spellStart"/>
      <w:r>
        <w:t>petajoules</w:t>
      </w:r>
      <w:proofErr w:type="spellEnd"/>
      <w:r>
        <w:t xml:space="preserve"> per annum (PJ/a) and 54 PJ/a to the end of the 2036 outlook period. AEMO forecast domestic demand to remain flat over the outlook, with increases in population growth and gas powered electricity generation </w:t>
      </w:r>
      <w:proofErr w:type="gramStart"/>
      <w:r>
        <w:t>being offset</w:t>
      </w:r>
      <w:proofErr w:type="gramEnd"/>
      <w:r>
        <w:t xml:space="preserve"> by the movement of the economy away from energy-intensive industry, improvements in energy efficiency and changing consumer preferences for electrical appliances. With negligible changes in domestic demand growth on the east coast, the immediate drivers of the shortfall in the domestic market are a reduction in gas production, from 600 PJ in 2017 to 478 PJ in 2021 that is occurring while liquefied natural gas (LNG) production for export increases to 1,430 PJ/a by 2020.</w:t>
      </w:r>
      <w:r>
        <w:rPr>
          <w:rStyle w:val="FootnoteReference"/>
        </w:rPr>
        <w:footnoteReference w:id="2"/>
      </w:r>
      <w:r>
        <w:t xml:space="preserve"> </w:t>
      </w:r>
    </w:p>
    <w:p w:rsidR="0066381C" w:rsidRDefault="0066381C" w:rsidP="0066381C">
      <w:r>
        <w:t xml:space="preserve">Even if a shortfall </w:t>
      </w:r>
      <w:proofErr w:type="gramStart"/>
      <w:r>
        <w:t>is not predicted</w:t>
      </w:r>
      <w:proofErr w:type="gramEnd"/>
      <w:r>
        <w:t xml:space="preserve"> in subsequent updates to the GSOO, the supply-demand balance in the east coast market is expected to be tight and be heavily influenced by the behaviours of LNG exporters. </w:t>
      </w:r>
    </w:p>
    <w:p w:rsidR="0066381C" w:rsidRPr="008D57AB" w:rsidRDefault="0066381C" w:rsidP="0066381C">
      <w:pPr>
        <w:rPr>
          <w:color w:val="1F4E79" w:themeColor="accent1" w:themeShade="80"/>
        </w:rPr>
      </w:pPr>
      <w:r w:rsidRPr="008D57AB">
        <w:rPr>
          <w:color w:val="1F4E79" w:themeColor="accent1" w:themeShade="80"/>
        </w:rPr>
        <w:t>The drivers of shortfall</w:t>
      </w:r>
    </w:p>
    <w:p w:rsidR="0066381C" w:rsidRDefault="0066381C" w:rsidP="0066381C">
      <w:r>
        <w:t xml:space="preserve">A range of major gas consumers on the east coast are reportedly receiving contract offers well above export parity prices even allowing for transport and distribution costs. The following indicate technical, regulatory and </w:t>
      </w:r>
      <w:proofErr w:type="gramStart"/>
      <w:r>
        <w:t>market factors are generating uncertainty about future gas supply, and will contribute to shortfalls in the east coast domestic market</w:t>
      </w:r>
      <w:proofErr w:type="gramEnd"/>
      <w:r>
        <w:t xml:space="preserve">:  </w:t>
      </w:r>
    </w:p>
    <w:p w:rsidR="0066381C" w:rsidRPr="00F00E2A" w:rsidRDefault="0066381C" w:rsidP="0066381C">
      <w:pPr>
        <w:pStyle w:val="ListParagraph"/>
        <w:numPr>
          <w:ilvl w:val="0"/>
          <w:numId w:val="28"/>
        </w:numPr>
        <w:autoSpaceDE w:val="0"/>
        <w:autoSpaceDN w:val="0"/>
        <w:adjustRightInd w:val="0"/>
        <w:spacing w:after="0" w:line="240" w:lineRule="auto"/>
        <w:rPr>
          <w:rFonts w:cs="Gotham Light"/>
          <w:color w:val="000000"/>
        </w:rPr>
      </w:pPr>
      <w:r>
        <w:rPr>
          <w:rFonts w:cs="Gotham Light"/>
          <w:color w:val="000000"/>
        </w:rPr>
        <w:t>Net g</w:t>
      </w:r>
      <w:r w:rsidRPr="00F00E2A">
        <w:rPr>
          <w:rFonts w:cs="Gotham Light"/>
          <w:color w:val="000000"/>
        </w:rPr>
        <w:t xml:space="preserve">as flows to the LNG projects, which are removing gas from the domestic market. </w:t>
      </w:r>
    </w:p>
    <w:p w:rsidR="0066381C" w:rsidRPr="00CD514F" w:rsidRDefault="0066381C" w:rsidP="0066381C">
      <w:pPr>
        <w:pStyle w:val="ListParagraph"/>
        <w:numPr>
          <w:ilvl w:val="0"/>
          <w:numId w:val="28"/>
        </w:numPr>
        <w:spacing w:after="160" w:line="259" w:lineRule="auto"/>
      </w:pPr>
      <w:r w:rsidRPr="00CD514F">
        <w:t xml:space="preserve">Low oil prices, which </w:t>
      </w:r>
      <w:r>
        <w:t>are</w:t>
      </w:r>
      <w:r w:rsidRPr="00CD514F">
        <w:t xml:space="preserve"> resulting in declining investment in gas exploration </w:t>
      </w:r>
      <w:r>
        <w:t xml:space="preserve">and drilling resulting in </w:t>
      </w:r>
      <w:r w:rsidRPr="00CD514F">
        <w:t>lower production forecasts for both domestic and LNG projects.</w:t>
      </w:r>
    </w:p>
    <w:p w:rsidR="0066381C" w:rsidRPr="00CD514F" w:rsidRDefault="0066381C" w:rsidP="0066381C">
      <w:pPr>
        <w:pStyle w:val="ListParagraph"/>
        <w:numPr>
          <w:ilvl w:val="0"/>
          <w:numId w:val="28"/>
        </w:numPr>
        <w:spacing w:after="160" w:line="259" w:lineRule="auto"/>
      </w:pPr>
      <w:r w:rsidRPr="00CD514F">
        <w:t xml:space="preserve">Moratoria and regulatory </w:t>
      </w:r>
      <w:proofErr w:type="gramStart"/>
      <w:r w:rsidRPr="00CD514F">
        <w:t>restrictions which</w:t>
      </w:r>
      <w:proofErr w:type="gramEnd"/>
      <w:r w:rsidRPr="00CD514F">
        <w:t xml:space="preserve"> are affecting onshore gas exploration and development, </w:t>
      </w:r>
      <w:r>
        <w:t xml:space="preserve">particularly </w:t>
      </w:r>
      <w:r w:rsidRPr="00CD514F">
        <w:t xml:space="preserve">in New South Wales, Victoria and the Northern Territory. </w:t>
      </w:r>
    </w:p>
    <w:p w:rsidR="0066381C" w:rsidRPr="00F00E2A" w:rsidRDefault="0066381C" w:rsidP="0066381C">
      <w:pPr>
        <w:pStyle w:val="ListParagraph"/>
        <w:numPr>
          <w:ilvl w:val="0"/>
          <w:numId w:val="28"/>
        </w:numPr>
        <w:autoSpaceDE w:val="0"/>
        <w:autoSpaceDN w:val="0"/>
        <w:adjustRightInd w:val="0"/>
        <w:spacing w:after="0" w:line="240" w:lineRule="auto"/>
        <w:rPr>
          <w:rFonts w:cs="Gotham Light"/>
          <w:color w:val="000000"/>
        </w:rPr>
      </w:pPr>
      <w:r w:rsidRPr="00CD514F">
        <w:t xml:space="preserve">Higher than expected costs of gas production associated with developing coal seam gas </w:t>
      </w:r>
      <w:r>
        <w:t>(CSG)</w:t>
      </w:r>
      <w:r w:rsidRPr="00CD514F">
        <w:t xml:space="preserve">  </w:t>
      </w:r>
    </w:p>
    <w:p w:rsidR="0066381C" w:rsidRPr="00E85FC8" w:rsidRDefault="0066381C" w:rsidP="0066381C">
      <w:pPr>
        <w:pStyle w:val="ListParagraph"/>
        <w:numPr>
          <w:ilvl w:val="0"/>
          <w:numId w:val="28"/>
        </w:numPr>
        <w:autoSpaceDE w:val="0"/>
        <w:autoSpaceDN w:val="0"/>
        <w:adjustRightInd w:val="0"/>
        <w:spacing w:after="0" w:line="240" w:lineRule="auto"/>
      </w:pPr>
      <w:r>
        <w:t>L</w:t>
      </w:r>
      <w:r w:rsidRPr="00F00E2A">
        <w:t>ack of market transparency, including price information.</w:t>
      </w:r>
    </w:p>
    <w:p w:rsidR="0066381C" w:rsidRPr="00E85FC8" w:rsidRDefault="0066381C" w:rsidP="0066381C">
      <w:pPr>
        <w:pStyle w:val="ListParagraph"/>
        <w:numPr>
          <w:ilvl w:val="0"/>
          <w:numId w:val="28"/>
        </w:numPr>
        <w:autoSpaceDE w:val="0"/>
        <w:autoSpaceDN w:val="0"/>
        <w:adjustRightInd w:val="0"/>
        <w:spacing w:after="0" w:line="240" w:lineRule="auto"/>
        <w:rPr>
          <w:rFonts w:cs="Gotham Light"/>
          <w:color w:val="000000"/>
        </w:rPr>
      </w:pPr>
      <w:r w:rsidRPr="00E85FC8">
        <w:rPr>
          <w:rFonts w:cs="Gotham Light"/>
          <w:color w:val="000000"/>
        </w:rPr>
        <w:t>Poor gas production flow rates</w:t>
      </w:r>
      <w:r>
        <w:rPr>
          <w:rFonts w:cs="Gotham Light"/>
          <w:color w:val="000000"/>
        </w:rPr>
        <w:t xml:space="preserve"> in some new unconventional gas resources</w:t>
      </w:r>
      <w:r w:rsidRPr="00E85FC8">
        <w:rPr>
          <w:rFonts w:cs="Gotham Light"/>
          <w:color w:val="000000"/>
        </w:rPr>
        <w:t>, which compromise the financial viability of field development</w:t>
      </w:r>
      <w:r>
        <w:rPr>
          <w:rFonts w:cs="Gotham Light"/>
          <w:color w:val="000000"/>
        </w:rPr>
        <w:t>.</w:t>
      </w:r>
      <w:r w:rsidRPr="00E85FC8">
        <w:rPr>
          <w:rFonts w:cs="Gotham Light"/>
          <w:color w:val="000000"/>
        </w:rPr>
        <w:t xml:space="preserve"> </w:t>
      </w:r>
    </w:p>
    <w:p w:rsidR="0066381C" w:rsidRPr="00E85FC8" w:rsidRDefault="0066381C" w:rsidP="0066381C">
      <w:pPr>
        <w:pStyle w:val="ListParagraph"/>
        <w:numPr>
          <w:ilvl w:val="0"/>
          <w:numId w:val="28"/>
        </w:numPr>
        <w:autoSpaceDE w:val="0"/>
        <w:autoSpaceDN w:val="0"/>
        <w:adjustRightInd w:val="0"/>
        <w:spacing w:after="0" w:line="240" w:lineRule="auto"/>
        <w:rPr>
          <w:rFonts w:cs="Gotham Light"/>
          <w:color w:val="000000"/>
        </w:rPr>
      </w:pPr>
      <w:r w:rsidRPr="00E85FC8">
        <w:rPr>
          <w:rFonts w:cs="Gotham Light"/>
          <w:color w:val="000000"/>
        </w:rPr>
        <w:t>Declining production of mature petroleum basins</w:t>
      </w:r>
      <w:r>
        <w:rPr>
          <w:rFonts w:cs="Gotham Light"/>
          <w:color w:val="000000"/>
        </w:rPr>
        <w:t>.</w:t>
      </w:r>
      <w:r w:rsidRPr="00E85FC8">
        <w:rPr>
          <w:rFonts w:cs="Gotham Light"/>
          <w:color w:val="000000"/>
        </w:rPr>
        <w:t xml:space="preserve"> </w:t>
      </w:r>
    </w:p>
    <w:p w:rsidR="0066381C" w:rsidRPr="00E85FC8" w:rsidRDefault="0066381C" w:rsidP="0066381C">
      <w:pPr>
        <w:autoSpaceDE w:val="0"/>
        <w:autoSpaceDN w:val="0"/>
        <w:adjustRightInd w:val="0"/>
        <w:spacing w:after="0" w:line="240" w:lineRule="auto"/>
        <w:rPr>
          <w:rFonts w:ascii="Gotham Light" w:hAnsi="Gotham Light" w:cs="Gotham Light"/>
          <w:color w:val="000000"/>
          <w:sz w:val="20"/>
          <w:szCs w:val="20"/>
        </w:rPr>
      </w:pPr>
    </w:p>
    <w:p w:rsidR="0066381C" w:rsidRDefault="0066381C" w:rsidP="0066381C">
      <w:pPr>
        <w:rPr>
          <w:rFonts w:ascii="Calibri" w:hAnsi="Calibri"/>
          <w:color w:val="000000"/>
        </w:rPr>
      </w:pPr>
      <w:r>
        <w:t>In their 2017 State of the Energy Market Report, the Australian Energy Regulator noted m</w:t>
      </w:r>
      <w:r>
        <w:rPr>
          <w:rFonts w:ascii="Calibri" w:hAnsi="Calibri"/>
          <w:color w:val="000000"/>
        </w:rPr>
        <w:t xml:space="preserve">ost gas sales in eastern Australia </w:t>
      </w:r>
      <w:proofErr w:type="gramStart"/>
      <w:r>
        <w:rPr>
          <w:rFonts w:ascii="Calibri" w:hAnsi="Calibri"/>
          <w:color w:val="000000"/>
        </w:rPr>
        <w:t>are struck</w:t>
      </w:r>
      <w:proofErr w:type="gramEnd"/>
      <w:r>
        <w:rPr>
          <w:rFonts w:ascii="Calibri" w:hAnsi="Calibri"/>
          <w:color w:val="000000"/>
        </w:rPr>
        <w:t xml:space="preserve"> under confidential bilateral contracts, traditionally locking in terms and conditions over a long period. While the industry has shifted towards shorter term contracts with review provisions more recently, public information about wholesale gas prices is opaque. </w:t>
      </w:r>
    </w:p>
    <w:p w:rsidR="0066381C" w:rsidRDefault="0066381C" w:rsidP="0066381C">
      <w:r>
        <w:rPr>
          <w:rFonts w:ascii="Calibri" w:hAnsi="Calibri"/>
          <w:color w:val="000000"/>
        </w:rPr>
        <w:lastRenderedPageBreak/>
        <w:t xml:space="preserve">Most pricing information is private and particular to specific contracts and negotiations. There is also disparity between </w:t>
      </w:r>
      <w:proofErr w:type="gramStart"/>
      <w:r>
        <w:rPr>
          <w:rFonts w:ascii="Calibri" w:hAnsi="Calibri"/>
          <w:color w:val="000000"/>
        </w:rPr>
        <w:t>the type of information available to large participants such as gas producers and retailers, and what is available to customers that less frequently participate in the market</w:t>
      </w:r>
      <w:proofErr w:type="gramEnd"/>
      <w:r>
        <w:rPr>
          <w:rFonts w:ascii="Calibri" w:hAnsi="Calibri"/>
          <w:color w:val="000000"/>
        </w:rPr>
        <w:t xml:space="preserve">. Currently, no accurate and useful indicative price is readily available to the market. Nevertheless, it is clear that gas prices struck under new contracts have risen sharply, with offerings up to $20 per gigajoule </w:t>
      </w:r>
      <w:proofErr w:type="gramStart"/>
      <w:r>
        <w:rPr>
          <w:rFonts w:ascii="Calibri" w:hAnsi="Calibri"/>
          <w:color w:val="000000"/>
        </w:rPr>
        <w:t>being quoted</w:t>
      </w:r>
      <w:proofErr w:type="gramEnd"/>
      <w:r>
        <w:rPr>
          <w:rFonts w:ascii="Calibri" w:hAnsi="Calibri"/>
          <w:color w:val="000000"/>
        </w:rPr>
        <w:t xml:space="preserve"> in 2017. These prices are significantly above LNG netback prices (allowing for transport and distribution/retail costs), making it theoretically more profitable for an LNG producer to sell gas domestically than to export it</w:t>
      </w:r>
      <w:r>
        <w:rPr>
          <w:rStyle w:val="FootnoteReference"/>
          <w:rFonts w:ascii="Calibri" w:hAnsi="Calibri"/>
          <w:color w:val="000000"/>
        </w:rPr>
        <w:footnoteReference w:id="3"/>
      </w:r>
      <w:r>
        <w:rPr>
          <w:rFonts w:ascii="Calibri" w:hAnsi="Calibri"/>
          <w:color w:val="000000"/>
        </w:rPr>
        <w:t xml:space="preserve">.  </w:t>
      </w:r>
    </w:p>
    <w:p w:rsidR="0066381C" w:rsidRPr="008D57AB" w:rsidRDefault="0066381C" w:rsidP="0066381C">
      <w:pPr>
        <w:rPr>
          <w:color w:val="1F4E79" w:themeColor="accent1" w:themeShade="80"/>
        </w:rPr>
      </w:pPr>
      <w:r w:rsidRPr="008D57AB">
        <w:rPr>
          <w:color w:val="1F4E79" w:themeColor="accent1" w:themeShade="80"/>
        </w:rPr>
        <w:t>The challenges in supply gas to markets</w:t>
      </w:r>
    </w:p>
    <w:p w:rsidR="0066381C" w:rsidRPr="009F7EB1" w:rsidRDefault="0066381C" w:rsidP="0066381C">
      <w:r>
        <w:t>The Australian Government monitors and analyses the impact of LNG export facilities on the east coast market. In 2014, the Government released the Eastern Australian Domestic Gas Market Study (the Gas Market Study) to help address information gaps and inform debate on strategy for gas policy. More recent reform processes include the ACCC’s 2016 i</w:t>
      </w:r>
      <w:r w:rsidRPr="00B13291">
        <w:t>nquiry into the east coast gas market</w:t>
      </w:r>
      <w:r>
        <w:t>, which</w:t>
      </w:r>
      <w:r w:rsidRPr="00A160E2">
        <w:t xml:space="preserve"> </w:t>
      </w:r>
      <w:r>
        <w:t>looked into the</w:t>
      </w:r>
      <w:r w:rsidRPr="00B13291">
        <w:t xml:space="preserve"> competitiveness of wholesale gas prices </w:t>
      </w:r>
      <w:r>
        <w:t>as well as</w:t>
      </w:r>
      <w:r w:rsidRPr="00B13291">
        <w:t xml:space="preserve"> </w:t>
      </w:r>
      <w:r>
        <w:t>the</w:t>
      </w:r>
      <w:r w:rsidRPr="00B13291">
        <w:t xml:space="preserve"> </w:t>
      </w:r>
      <w:r w:rsidRPr="004133BA">
        <w:t>structure of the gas industry</w:t>
      </w:r>
      <w:r>
        <w:t>, and the Australian Energy Market Commission’s (</w:t>
      </w:r>
      <w:r w:rsidRPr="009F7EB1">
        <w:t>AEMC</w:t>
      </w:r>
      <w:r>
        <w:t>) 2016</w:t>
      </w:r>
      <w:r w:rsidRPr="009F7EB1">
        <w:t xml:space="preserve"> East</w:t>
      </w:r>
      <w:r>
        <w:t xml:space="preserve"> Coast </w:t>
      </w:r>
      <w:r w:rsidRPr="009F7EB1">
        <w:t>Wholesale Gas Market and Pipelines Framework</w:t>
      </w:r>
      <w:r>
        <w:t>s</w:t>
      </w:r>
      <w:r w:rsidRPr="009F7EB1">
        <w:t xml:space="preserve"> Review. The ACCC inquiry and AEMC review recommended ways to promote gas market co</w:t>
      </w:r>
      <w:r w:rsidRPr="00152914">
        <w:t>mpetition and encourage supply.</w:t>
      </w:r>
      <w:r>
        <w:t xml:space="preserve"> </w:t>
      </w:r>
      <w:r w:rsidRPr="009F7EB1">
        <w:t xml:space="preserve">The recommendations included reforms to spot market design, better quality information to market participants, and easier access to gas pipelines. </w:t>
      </w:r>
      <w:r>
        <w:t>In August 2016, t</w:t>
      </w:r>
      <w:r w:rsidRPr="009F7EB1">
        <w:t>he C</w:t>
      </w:r>
      <w:r>
        <w:t xml:space="preserve">ouncil </w:t>
      </w:r>
      <w:r w:rsidRPr="009F7EB1">
        <w:t>o</w:t>
      </w:r>
      <w:r>
        <w:t xml:space="preserve">f </w:t>
      </w:r>
      <w:r w:rsidRPr="009F7EB1">
        <w:t>A</w:t>
      </w:r>
      <w:r>
        <w:t xml:space="preserve">ustralian </w:t>
      </w:r>
      <w:r w:rsidRPr="009F7EB1">
        <w:t>G</w:t>
      </w:r>
      <w:r>
        <w:t>overnments (</w:t>
      </w:r>
      <w:proofErr w:type="spellStart"/>
      <w:r>
        <w:t>CoAG</w:t>
      </w:r>
      <w:proofErr w:type="spellEnd"/>
      <w:r>
        <w:t>)</w:t>
      </w:r>
      <w:r w:rsidRPr="009F7EB1">
        <w:t xml:space="preserve"> Energy Council </w:t>
      </w:r>
      <w:r>
        <w:t>agreed to</w:t>
      </w:r>
      <w:r w:rsidRPr="00152914">
        <w:t xml:space="preserve"> </w:t>
      </w:r>
      <w:r>
        <w:t>establish</w:t>
      </w:r>
      <w:r w:rsidRPr="009F7EB1">
        <w:t xml:space="preserve"> </w:t>
      </w:r>
      <w:r>
        <w:t>the</w:t>
      </w:r>
      <w:r w:rsidRPr="009F7EB1">
        <w:t xml:space="preserve"> Gas Market Reform Group to implement the </w:t>
      </w:r>
      <w:r>
        <w:t>Inquiry’s</w:t>
      </w:r>
      <w:r w:rsidRPr="009F7EB1">
        <w:t xml:space="preserve"> and </w:t>
      </w:r>
      <w:r>
        <w:t>R</w:t>
      </w:r>
      <w:r w:rsidRPr="009F7EB1">
        <w:t>eview’s recommendations.</w:t>
      </w:r>
    </w:p>
    <w:p w:rsidR="0066381C" w:rsidRDefault="0066381C" w:rsidP="0066381C">
      <w:r>
        <w:t xml:space="preserve">Recognising the impact of a supply constrained east coast market, both the Gas Market Study and the ACCC inquiry recommended against any form of reservation style restrictions, or export controls, instead recommending reforms to improve the operation of the gas market to drive incentives for investment in new supply over the long term. </w:t>
      </w:r>
    </w:p>
    <w:p w:rsidR="0066381C" w:rsidRDefault="0066381C" w:rsidP="0066381C">
      <w:r>
        <w:t xml:space="preserve">While these reforms are ongoing, the supply situation, and consequential impact on gas contract prices, have worsened faster and more deeply than anticipated. This </w:t>
      </w:r>
      <w:proofErr w:type="gramStart"/>
      <w:r>
        <w:t>can be partly attributed</w:t>
      </w:r>
      <w:proofErr w:type="gramEnd"/>
      <w:r>
        <w:t xml:space="preserve"> to technical issues experienced by the upstream CSG field operations of the three LNG projects in Queensland. The Queensland LNG projects are the first globally to produce LNG using CSG as the predominant feedstock. While this has been largely successful, there have been challenges for gas companies. Gas produced from coal seams, when compared to conventional geological reservoirs, has different production characteristics. Moreover, modelling of conventional field production has been developed over decades and will yield a reasonably high level of accuracy while model flow rate volumes and overall production returns for CSG fields remains challenging. </w:t>
      </w:r>
      <w:proofErr w:type="gramStart"/>
      <w:r>
        <w:t>Wells drilled are returning variable results and, notably, lower than expected production volumes.</w:t>
      </w:r>
      <w:proofErr w:type="gramEnd"/>
      <w:r>
        <w:t xml:space="preserve"> This issue has been exacerbated by the low oil </w:t>
      </w:r>
      <w:proofErr w:type="gramStart"/>
      <w:r>
        <w:t>price which</w:t>
      </w:r>
      <w:proofErr w:type="gramEnd"/>
      <w:r>
        <w:t xml:space="preserve"> has led to more conservative investment decisions away from new field development and research to overcome technical issues. </w:t>
      </w:r>
    </w:p>
    <w:p w:rsidR="0066381C" w:rsidRDefault="0066381C" w:rsidP="0066381C">
      <w:proofErr w:type="gramStart"/>
      <w:r>
        <w:t>As a consequence</w:t>
      </w:r>
      <w:proofErr w:type="gramEnd"/>
      <w:r>
        <w:t xml:space="preserve">, at least one project is reported to have a deficit in the amount of gas required to meet their LNG commitments, meaning that gas needs to be purchased from other fields, some of </w:t>
      </w:r>
      <w:r>
        <w:lastRenderedPageBreak/>
        <w:t>which have historically supplied the domestic market. This lower than anticipated production of CSG has meant the anticipated extra surplus of gas initially predicted to be available to the domestic market has not eventuated.</w:t>
      </w:r>
    </w:p>
    <w:p w:rsidR="0066381C" w:rsidRDefault="0066381C" w:rsidP="0066381C">
      <w:r>
        <w:t xml:space="preserve">LNG exporters have sales commitments with buyers that </w:t>
      </w:r>
      <w:proofErr w:type="gramStart"/>
      <w:r>
        <w:t>are typically secured</w:t>
      </w:r>
      <w:proofErr w:type="gramEnd"/>
      <w:r>
        <w:t xml:space="preserve"> through long-term contracts with inflexible or difficult-to-alter conditions. Some companies use ‘own gas’ and/or third party contracted gas to meet these commitments. AEMO expects, under tight supply conditions, </w:t>
      </w:r>
      <w:r w:rsidRPr="00B234FF">
        <w:t xml:space="preserve">that LNG </w:t>
      </w:r>
      <w:r>
        <w:t>export</w:t>
      </w:r>
      <w:r w:rsidRPr="00B234FF">
        <w:t xml:space="preserve"> demand will be satisfied</w:t>
      </w:r>
      <w:r>
        <w:t xml:space="preserve"> first,</w:t>
      </w:r>
      <w:r w:rsidRPr="00B234FF">
        <w:t xml:space="preserve"> and that any gas shortfalls would </w:t>
      </w:r>
      <w:r>
        <w:t xml:space="preserve">therefore </w:t>
      </w:r>
      <w:proofErr w:type="gramStart"/>
      <w:r w:rsidRPr="00B234FF">
        <w:t>impact</w:t>
      </w:r>
      <w:proofErr w:type="gramEnd"/>
      <w:r w:rsidRPr="00B234FF">
        <w:t xml:space="preserve"> supply to domestic </w:t>
      </w:r>
      <w:r>
        <w:t>consumers</w:t>
      </w:r>
      <w:r w:rsidRPr="00B234FF">
        <w:t xml:space="preserve"> – industrial, commercial, residential customers, and </w:t>
      </w:r>
      <w:r>
        <w:t>gas powered generation</w:t>
      </w:r>
      <w:r>
        <w:rPr>
          <w:rStyle w:val="FootnoteReference"/>
        </w:rPr>
        <w:footnoteReference w:id="4"/>
      </w:r>
      <w:r w:rsidRPr="00B234FF">
        <w:t>.</w:t>
      </w:r>
      <w:r>
        <w:t xml:space="preserve"> Export schedules </w:t>
      </w:r>
      <w:proofErr w:type="gramStart"/>
      <w:r>
        <w:t>are also fixed</w:t>
      </w:r>
      <w:proofErr w:type="gramEnd"/>
      <w:r>
        <w:t xml:space="preserve"> into tight shipping schedules with buyers, typically over 18 month periods. These contract features can limit opportunities for LNG exporters to divert gas to the domestic market during periods of tight supply or to take advantage of higher domestic prices. </w:t>
      </w:r>
    </w:p>
    <w:p w:rsidR="0066381C" w:rsidRPr="008D57AB" w:rsidRDefault="0066381C" w:rsidP="0066381C">
      <w:pPr>
        <w:rPr>
          <w:color w:val="1F4E79" w:themeColor="accent1" w:themeShade="80"/>
        </w:rPr>
      </w:pPr>
      <w:r w:rsidRPr="008D57AB">
        <w:rPr>
          <w:color w:val="1F4E79" w:themeColor="accent1" w:themeShade="80"/>
        </w:rPr>
        <w:t xml:space="preserve">Impacts of not having sufficient gas </w:t>
      </w:r>
    </w:p>
    <w:p w:rsidR="0066381C" w:rsidRDefault="0066381C" w:rsidP="0066381C">
      <w:r>
        <w:t>Supply security</w:t>
      </w:r>
      <w:r w:rsidRPr="007C0C7C">
        <w:t xml:space="preserve"> and price of gas </w:t>
      </w:r>
      <w:r>
        <w:t>are</w:t>
      </w:r>
      <w:r w:rsidRPr="007C0C7C">
        <w:t xml:space="preserve"> key risks for Australian </w:t>
      </w:r>
      <w:r>
        <w:t>industry</w:t>
      </w:r>
      <w:r w:rsidRPr="007C0C7C">
        <w:t xml:space="preserve"> competitiveness</w:t>
      </w:r>
      <w:r>
        <w:t>,</w:t>
      </w:r>
      <w:r w:rsidRPr="007C0C7C">
        <w:t xml:space="preserve"> and cost of living pressures. </w:t>
      </w:r>
      <w:r>
        <w:t xml:space="preserve">Half of all Australian households use mains gas, including 63 per cent of households in capital cities. </w:t>
      </w:r>
      <w:r w:rsidRPr="00B224C7">
        <w:t xml:space="preserve">The Government estimates that </w:t>
      </w:r>
      <w:r>
        <w:t>as many as</w:t>
      </w:r>
      <w:r w:rsidRPr="00B224C7">
        <w:t xml:space="preserve"> 6</w:t>
      </w:r>
      <w:r>
        <w:t xml:space="preserve">5 </w:t>
      </w:r>
      <w:r w:rsidRPr="00B224C7">
        <w:t xml:space="preserve">000 jobs rely on industries where gas </w:t>
      </w:r>
      <w:r>
        <w:t xml:space="preserve">often makes up </w:t>
      </w:r>
      <w:r w:rsidRPr="00B224C7">
        <w:t>more than 15 per cent of input costs</w:t>
      </w:r>
      <w:r>
        <w:t xml:space="preserve"> (see Appendix A)</w:t>
      </w:r>
      <w:r w:rsidRPr="00B224C7">
        <w:t xml:space="preserve">. In some of these industries, gas can account for up to 80 per cent of input costs, and in many </w:t>
      </w:r>
      <w:proofErr w:type="gramStart"/>
      <w:r w:rsidRPr="00B224C7">
        <w:t>cases</w:t>
      </w:r>
      <w:proofErr w:type="gramEnd"/>
      <w:r w:rsidRPr="00B224C7">
        <w:t xml:space="preserve"> there is limited or no ability to substitute for gas</w:t>
      </w:r>
      <w:r>
        <w:rPr>
          <w:rStyle w:val="FootnoteReference"/>
        </w:rPr>
        <w:footnoteReference w:id="5"/>
      </w:r>
      <w:r w:rsidRPr="00B224C7">
        <w:t>.</w:t>
      </w:r>
      <w:r>
        <w:t xml:space="preserve"> In 2014, BIS Shrapnel estimated that a shortfall would cost the east coast manufacturing sector a minimum of $14 billion</w:t>
      </w:r>
      <w:r>
        <w:rPr>
          <w:rStyle w:val="FootnoteReference"/>
        </w:rPr>
        <w:footnoteReference w:id="6"/>
      </w:r>
      <w:r>
        <w:t>. Repercussions would also filter through to the broader economy, and include negative impacts on economic activity (gross domestic product) and overall employment</w:t>
      </w:r>
      <w:r>
        <w:rPr>
          <w:rStyle w:val="FootnoteReference"/>
        </w:rPr>
        <w:t>3</w:t>
      </w:r>
      <w:r>
        <w:t xml:space="preserve">. For gas dependent industries to make investment decisions that are vital to their long run strategic positioning, they require more supply certainty. </w:t>
      </w:r>
    </w:p>
    <w:p w:rsidR="0066381C" w:rsidRDefault="0066381C" w:rsidP="0066381C">
      <w:pPr>
        <w:rPr>
          <w:color w:val="000000"/>
        </w:rPr>
      </w:pPr>
      <w:r w:rsidRPr="003D11DA">
        <w:t xml:space="preserve">To </w:t>
      </w:r>
      <w:r>
        <w:t xml:space="preserve">help </w:t>
      </w:r>
      <w:r w:rsidRPr="003D11DA">
        <w:t xml:space="preserve">find a solution to the </w:t>
      </w:r>
      <w:r>
        <w:t>potential</w:t>
      </w:r>
      <w:r w:rsidRPr="003D11DA">
        <w:t xml:space="preserve"> crisis, the Prime Ministe</w:t>
      </w:r>
      <w:r>
        <w:t>r met with east coast exporters</w:t>
      </w:r>
      <w:r w:rsidRPr="003D11DA">
        <w:t xml:space="preserve"> </w:t>
      </w:r>
      <w:r>
        <w:t>in</w:t>
      </w:r>
      <w:r w:rsidRPr="003D11DA">
        <w:t xml:space="preserve"> March and April 2017. </w:t>
      </w:r>
      <w:r>
        <w:t xml:space="preserve">Throughout the industry meetings, the Government made it clear that its preference was for industry to respond of its own volition, and improve supply and price outcomes. Despite making progress, not all of the east coast LNG exporters satisfactorily outlined their plans to contribute more gas to the domestic market. See Section </w:t>
      </w:r>
      <w:r>
        <w:fldChar w:fldCharType="begin"/>
      </w:r>
      <w:r>
        <w:instrText xml:space="preserve"> REF _Ref482984334 \r \h </w:instrText>
      </w:r>
      <w:r>
        <w:fldChar w:fldCharType="separate"/>
      </w:r>
      <w:r w:rsidR="00D565EF">
        <w:t>6</w:t>
      </w:r>
      <w:r>
        <w:fldChar w:fldCharType="end"/>
      </w:r>
      <w:r>
        <w:t xml:space="preserve"> for a comprehensive summary of subsequent stakeholder consultations. </w:t>
      </w:r>
    </w:p>
    <w:p w:rsidR="0066381C" w:rsidRPr="00D23DAB" w:rsidRDefault="0066381C" w:rsidP="0066381C">
      <w:r>
        <w:t xml:space="preserve">The Government is committed to increasing the reliability and affordability of gas for Australian consumers and has announced a range of actions to increase the supply of gas in the medium term. In the short term, the Government has committed to improving energy security by </w:t>
      </w:r>
      <w:r w:rsidRPr="002466E6">
        <w:t xml:space="preserve">intervening in the LNG export market to ensure domestic gas needs </w:t>
      </w:r>
      <w:proofErr w:type="gramStart"/>
      <w:r w:rsidRPr="002466E6">
        <w:t>are met</w:t>
      </w:r>
      <w:proofErr w:type="gramEnd"/>
      <w:r w:rsidRPr="002466E6">
        <w:t>.</w:t>
      </w:r>
      <w:r>
        <w:t xml:space="preserve"> To meet this commitment, the </w:t>
      </w:r>
      <w:r>
        <w:lastRenderedPageBreak/>
        <w:t>Government has announced the Australian Domestic Gas Security Mechanism (ADGSM).</w:t>
      </w:r>
      <w:r w:rsidRPr="002466E6">
        <w:t xml:space="preserve"> At </w:t>
      </w:r>
      <w:proofErr w:type="gramStart"/>
      <w:r w:rsidRPr="002466E6">
        <w:t>present</w:t>
      </w:r>
      <w:proofErr w:type="gramEnd"/>
      <w:r w:rsidRPr="002466E6">
        <w:t xml:space="preserve"> there is no regulation</w:t>
      </w:r>
      <w:r>
        <w:t xml:space="preserve"> of LNG exports on the eastern seaboard. Without a mechanism to intervene in the market, the Government has limited power to prevent a domestic gas shortfall caused by LNG exports.</w:t>
      </w:r>
      <w:r>
        <w:rPr>
          <w:rStyle w:val="FootnoteReference"/>
        </w:rPr>
        <w:footnoteReference w:id="7"/>
      </w:r>
      <w:bookmarkStart w:id="19" w:name="_Toc484765438"/>
      <w:bookmarkStart w:id="20" w:name="_Toc484765946"/>
      <w:bookmarkEnd w:id="19"/>
      <w:bookmarkEnd w:id="20"/>
    </w:p>
    <w:p w:rsidR="0066381C" w:rsidRDefault="0066381C" w:rsidP="0066381C">
      <w:pPr>
        <w:pStyle w:val="Heading1"/>
        <w:numPr>
          <w:ilvl w:val="0"/>
          <w:numId w:val="10"/>
        </w:numPr>
        <w:tabs>
          <w:tab w:val="clear" w:pos="567"/>
        </w:tabs>
        <w:spacing w:after="0" w:line="259" w:lineRule="auto"/>
      </w:pPr>
      <w:bookmarkStart w:id="21" w:name="_Toc484765439"/>
      <w:bookmarkStart w:id="22" w:name="_Toc484765947"/>
      <w:bookmarkStart w:id="23" w:name="_Toc484770727"/>
      <w:bookmarkStart w:id="24" w:name="_Toc484790452"/>
      <w:bookmarkStart w:id="25" w:name="_Ref482795170"/>
      <w:bookmarkStart w:id="26" w:name="_Toc482985540"/>
      <w:bookmarkStart w:id="27" w:name="_Toc483323135"/>
      <w:bookmarkStart w:id="28" w:name="_Toc484770728"/>
      <w:bookmarkStart w:id="29" w:name="_Toc484775000"/>
      <w:bookmarkStart w:id="30" w:name="_Toc484779043"/>
      <w:bookmarkStart w:id="31" w:name="_Toc484784242"/>
      <w:bookmarkStart w:id="32" w:name="_Toc484795060"/>
      <w:bookmarkStart w:id="33" w:name="_Toc485406132"/>
      <w:bookmarkEnd w:id="21"/>
      <w:bookmarkEnd w:id="22"/>
      <w:bookmarkEnd w:id="23"/>
      <w:bookmarkEnd w:id="24"/>
      <w:r>
        <w:t>Government Intervention</w:t>
      </w:r>
      <w:bookmarkEnd w:id="25"/>
      <w:bookmarkEnd w:id="26"/>
      <w:bookmarkEnd w:id="27"/>
      <w:bookmarkEnd w:id="28"/>
      <w:bookmarkEnd w:id="29"/>
      <w:bookmarkEnd w:id="30"/>
      <w:bookmarkEnd w:id="31"/>
      <w:bookmarkEnd w:id="32"/>
      <w:bookmarkEnd w:id="33"/>
    </w:p>
    <w:p w:rsidR="0066381C" w:rsidRPr="00DD2BB0" w:rsidRDefault="0066381C" w:rsidP="0066381C">
      <w:r w:rsidRPr="00DD2BB0">
        <w:t xml:space="preserve">The reasons for current </w:t>
      </w:r>
      <w:r>
        <w:t xml:space="preserve">east coast gas </w:t>
      </w:r>
      <w:r w:rsidRPr="00DD2BB0">
        <w:t>market conditions are complex</w:t>
      </w:r>
      <w:r>
        <w:t>. W</w:t>
      </w:r>
      <w:r w:rsidRPr="00DD2BB0">
        <w:t xml:space="preserve">hile they cannot be </w:t>
      </w:r>
      <w:r>
        <w:t>solely</w:t>
      </w:r>
      <w:r w:rsidRPr="00DD2BB0">
        <w:t xml:space="preserve"> associated with the </w:t>
      </w:r>
      <w:r>
        <w:t>commencement</w:t>
      </w:r>
      <w:r w:rsidRPr="00DD2BB0">
        <w:t xml:space="preserve"> of LNG exports, it is clear that rising export demand </w:t>
      </w:r>
      <w:r>
        <w:t>and the failure of supply to increase incrementally are</w:t>
      </w:r>
      <w:r w:rsidRPr="00DD2BB0">
        <w:t xml:space="preserve"> important factor</w:t>
      </w:r>
      <w:r>
        <w:t>s</w:t>
      </w:r>
      <w:r w:rsidRPr="00DD2BB0">
        <w:t xml:space="preserve"> in the gas security outlook.</w:t>
      </w:r>
    </w:p>
    <w:p w:rsidR="0066381C" w:rsidRDefault="0066381C" w:rsidP="0066381C">
      <w:r w:rsidRPr="00DD2BB0">
        <w:t xml:space="preserve">The Government strongly supports the ongoing operation of Australia’s </w:t>
      </w:r>
      <w:proofErr w:type="gramStart"/>
      <w:r w:rsidRPr="00DD2BB0">
        <w:t>world class</w:t>
      </w:r>
      <w:proofErr w:type="gramEnd"/>
      <w:r w:rsidRPr="00DD2BB0">
        <w:t xml:space="preserve"> LNG industry. The foundation LNG projects in Western Australia and Northern Australia have been the backbone </w:t>
      </w:r>
      <w:r>
        <w:t>for</w:t>
      </w:r>
      <w:r w:rsidRPr="00DD2BB0">
        <w:t xml:space="preserve"> </w:t>
      </w:r>
      <w:r>
        <w:t>supplying</w:t>
      </w:r>
      <w:r w:rsidRPr="00DD2BB0">
        <w:t xml:space="preserve"> their domestic gas markets.</w:t>
      </w:r>
    </w:p>
    <w:p w:rsidR="0066381C" w:rsidRDefault="0066381C" w:rsidP="0066381C">
      <w:r w:rsidRPr="00DD2BB0">
        <w:t xml:space="preserve">Similarly, the </w:t>
      </w:r>
      <w:r>
        <w:t xml:space="preserve">East Coast </w:t>
      </w:r>
      <w:r w:rsidRPr="00DD2BB0">
        <w:t xml:space="preserve">LNG industry has underpinned the development of vast new </w:t>
      </w:r>
      <w:r>
        <w:t>CSG</w:t>
      </w:r>
      <w:r w:rsidRPr="00DD2BB0">
        <w:t xml:space="preserve"> reserves</w:t>
      </w:r>
      <w:r>
        <w:t xml:space="preserve"> in Queensland and the refurbishment of conventional tenements in the Cooper Basin</w:t>
      </w:r>
      <w:r w:rsidRPr="00DD2BB0">
        <w:t xml:space="preserve">. At the time the east coast LNG facilities </w:t>
      </w:r>
      <w:proofErr w:type="gramStart"/>
      <w:r w:rsidRPr="00DD2BB0">
        <w:t>were approved</w:t>
      </w:r>
      <w:proofErr w:type="gramEnd"/>
      <w:r w:rsidRPr="00DD2BB0">
        <w:t xml:space="preserve"> for operation</w:t>
      </w:r>
      <w:r>
        <w:t>,</w:t>
      </w:r>
      <w:r w:rsidRPr="00DD2BB0">
        <w:t xml:space="preserve"> it was expected that they would largely meet their gas supply needs through the development of </w:t>
      </w:r>
      <w:r>
        <w:t xml:space="preserve">their own </w:t>
      </w:r>
      <w:r w:rsidRPr="00DD2BB0">
        <w:t>new resources as well as add additional supplies to the east coast</w:t>
      </w:r>
      <w:r>
        <w:t xml:space="preserve"> market.</w:t>
      </w:r>
    </w:p>
    <w:p w:rsidR="0066381C" w:rsidRDefault="0066381C" w:rsidP="0066381C">
      <w:r w:rsidRPr="00DD2BB0">
        <w:t>While this has largely been the case, the performance of some projects in developing their own supplies has been poorer than expected</w:t>
      </w:r>
      <w:r>
        <w:t>. It</w:t>
      </w:r>
      <w:r w:rsidRPr="00DD2BB0">
        <w:t xml:space="preserve"> is now clear that the additional demand placed on the market,</w:t>
      </w:r>
      <w:r>
        <w:t xml:space="preserve"> the inability of some exporters to adequately increase supply,</w:t>
      </w:r>
      <w:r w:rsidRPr="00DD2BB0">
        <w:t xml:space="preserve"> </w:t>
      </w:r>
      <w:r>
        <w:t>and</w:t>
      </w:r>
      <w:r w:rsidRPr="00DD2BB0">
        <w:t xml:space="preserve"> restrictions placed on developing new gas supplies</w:t>
      </w:r>
      <w:r>
        <w:t xml:space="preserve"> in some jurisdictions</w:t>
      </w:r>
      <w:r w:rsidRPr="00DD2BB0">
        <w:t>, has driven prices well above the cost of production and transport</w:t>
      </w:r>
      <w:r>
        <w:t>,</w:t>
      </w:r>
      <w:r w:rsidRPr="00DD2BB0">
        <w:t xml:space="preserve"> and generated the prospect of a mar</w:t>
      </w:r>
      <w:r>
        <w:t>ket shortfall in future years.</w:t>
      </w:r>
    </w:p>
    <w:p w:rsidR="0066381C" w:rsidRDefault="0066381C" w:rsidP="0066381C">
      <w:r w:rsidRPr="00DD2BB0">
        <w:t>In effect</w:t>
      </w:r>
      <w:r>
        <w:t>,</w:t>
      </w:r>
      <w:r w:rsidRPr="00DD2BB0">
        <w:t xml:space="preserve"> much of the risk of under-performance in these export projects </w:t>
      </w:r>
      <w:proofErr w:type="gramStart"/>
      <w:r w:rsidRPr="00DD2BB0">
        <w:t>has been tran</w:t>
      </w:r>
      <w:r>
        <w:t>sferred</w:t>
      </w:r>
      <w:proofErr w:type="gramEnd"/>
      <w:r>
        <w:t xml:space="preserve"> onto domestic gas consumers. T</w:t>
      </w:r>
      <w:r w:rsidRPr="00DD2BB0">
        <w:t>he prospect of gas shortages driving widespread industrial demand destruction</w:t>
      </w:r>
      <w:r>
        <w:t>,</w:t>
      </w:r>
      <w:r w:rsidRPr="00DD2BB0">
        <w:t xml:space="preserve"> and spiralling household </w:t>
      </w:r>
      <w:r>
        <w:t xml:space="preserve">energy </w:t>
      </w:r>
      <w:r w:rsidRPr="00DD2BB0">
        <w:t>costs</w:t>
      </w:r>
      <w:r>
        <w:t xml:space="preserve"> is</w:t>
      </w:r>
      <w:r w:rsidRPr="00DD2BB0">
        <w:t xml:space="preserve"> not sustainable for domesti</w:t>
      </w:r>
      <w:r>
        <w:t>c gas consumers or the economy.</w:t>
      </w:r>
    </w:p>
    <w:p w:rsidR="0066381C" w:rsidRDefault="0066381C" w:rsidP="0066381C">
      <w:r w:rsidRPr="00B224C7">
        <w:t>It is important to note that if overall supply is sufficient to meet the n</w:t>
      </w:r>
      <w:r>
        <w:t>eeds of domestic gas consumers,</w:t>
      </w:r>
      <w:r w:rsidDel="0037026F">
        <w:t xml:space="preserve"> </w:t>
      </w:r>
      <w:r>
        <w:t>the Government will not intervene in the market</w:t>
      </w:r>
      <w:r w:rsidRPr="00B224C7">
        <w:t xml:space="preserve">. </w:t>
      </w:r>
      <w:r>
        <w:t xml:space="preserve">Similarly, the Government has been clear that any intervention in the market would be targeted and temporary (see Section </w:t>
      </w:r>
      <w:r>
        <w:fldChar w:fldCharType="begin"/>
      </w:r>
      <w:r>
        <w:instrText xml:space="preserve"> REF _Ref482906600 \r \h </w:instrText>
      </w:r>
      <w:r>
        <w:fldChar w:fldCharType="separate"/>
      </w:r>
      <w:r w:rsidR="00D565EF">
        <w:t>8</w:t>
      </w:r>
      <w:r>
        <w:fldChar w:fldCharType="end"/>
      </w:r>
      <w:r>
        <w:t>).</w:t>
      </w:r>
    </w:p>
    <w:p w:rsidR="0066381C" w:rsidRDefault="0066381C" w:rsidP="0066381C">
      <w:r>
        <w:t>The rationale for introducing export controls is to:</w:t>
      </w:r>
    </w:p>
    <w:p w:rsidR="0066381C" w:rsidRDefault="0066381C" w:rsidP="0066381C">
      <w:pPr>
        <w:pStyle w:val="ListParagraph"/>
        <w:numPr>
          <w:ilvl w:val="0"/>
          <w:numId w:val="25"/>
        </w:numPr>
        <w:spacing w:after="160" w:line="259" w:lineRule="auto"/>
      </w:pPr>
      <w:r>
        <w:t>intervene in the short term to ease the pressure on domestic gas users</w:t>
      </w:r>
    </w:p>
    <w:p w:rsidR="0066381C" w:rsidRDefault="0066381C" w:rsidP="0066381C">
      <w:pPr>
        <w:pStyle w:val="ListParagraph"/>
        <w:numPr>
          <w:ilvl w:val="0"/>
          <w:numId w:val="25"/>
        </w:numPr>
        <w:spacing w:after="160" w:line="259" w:lineRule="auto"/>
      </w:pPr>
      <w:proofErr w:type="gramStart"/>
      <w:r>
        <w:t>stabilise</w:t>
      </w:r>
      <w:proofErr w:type="gramEnd"/>
      <w:r>
        <w:t xml:space="preserve"> supply security whilst longer term changes to address information gaps, infrastructure constraints and regulatory failures are completed.</w:t>
      </w:r>
    </w:p>
    <w:p w:rsidR="0066381C" w:rsidRDefault="0066381C" w:rsidP="0066381C">
      <w:r>
        <w:t>A mechanism that discourages LNG exporters from excessively drawing from the domestic market would act as a powerful incentive for industry to develop new gas resources. Such a mechanism would also prevent an export-driven shortfall, thereby providing a ‘back-stop’ guarantee of domestic supply. However, the Government does not believe that export</w:t>
      </w:r>
      <w:r w:rsidDel="00EC6D90">
        <w:t xml:space="preserve"> </w:t>
      </w:r>
      <w:r>
        <w:t>controls is the only solution to all of the issues with Australia’s domestic gas markets. Export</w:t>
      </w:r>
      <w:r w:rsidDel="00EC6D90">
        <w:t xml:space="preserve"> </w:t>
      </w:r>
      <w:r>
        <w:t xml:space="preserve">controls would complement other </w:t>
      </w:r>
      <w:r>
        <w:lastRenderedPageBreak/>
        <w:t xml:space="preserve">government, including </w:t>
      </w:r>
      <w:proofErr w:type="spellStart"/>
      <w:r>
        <w:t>CoAG</w:t>
      </w:r>
      <w:proofErr w:type="spellEnd"/>
      <w:r>
        <w:t xml:space="preserve"> Energy Council actions, which </w:t>
      </w:r>
      <w:proofErr w:type="gramStart"/>
      <w:r>
        <w:t>are designed</w:t>
      </w:r>
      <w:proofErr w:type="gramEnd"/>
      <w:r>
        <w:t xml:space="preserve"> to </w:t>
      </w:r>
      <w:r w:rsidRPr="007E1C01">
        <w:t xml:space="preserve">improve the efficiency, competitiveness and transparency of gas markets and increase the development of </w:t>
      </w:r>
      <w:r>
        <w:t>Australia’s</w:t>
      </w:r>
      <w:r w:rsidRPr="007E1C01">
        <w:t xml:space="preserve"> gas resources</w:t>
      </w:r>
      <w:r>
        <w:t xml:space="preserve">. </w:t>
      </w:r>
      <w:r w:rsidRPr="007E1C01">
        <w:t xml:space="preserve"> </w:t>
      </w:r>
    </w:p>
    <w:p w:rsidR="0066381C" w:rsidRDefault="0066381C" w:rsidP="0066381C">
      <w:pPr>
        <w:pStyle w:val="Heading1"/>
        <w:numPr>
          <w:ilvl w:val="0"/>
          <w:numId w:val="10"/>
        </w:numPr>
        <w:tabs>
          <w:tab w:val="clear" w:pos="567"/>
        </w:tabs>
        <w:spacing w:after="0" w:line="259" w:lineRule="auto"/>
      </w:pPr>
      <w:bookmarkStart w:id="34" w:name="_Ref482813672"/>
      <w:bookmarkStart w:id="35" w:name="_Toc482985541"/>
      <w:bookmarkStart w:id="36" w:name="_Toc483323136"/>
      <w:bookmarkStart w:id="37" w:name="_Toc484770729"/>
      <w:bookmarkStart w:id="38" w:name="_Toc484775001"/>
      <w:bookmarkStart w:id="39" w:name="_Toc484779044"/>
      <w:bookmarkStart w:id="40" w:name="_Toc484784243"/>
      <w:bookmarkStart w:id="41" w:name="_Toc484795061"/>
      <w:bookmarkStart w:id="42" w:name="_Toc485406133"/>
      <w:bookmarkStart w:id="43" w:name="_Ref482697188"/>
      <w:r>
        <w:t>Policy Options</w:t>
      </w:r>
      <w:bookmarkEnd w:id="34"/>
      <w:bookmarkEnd w:id="35"/>
      <w:bookmarkEnd w:id="36"/>
      <w:bookmarkEnd w:id="37"/>
      <w:bookmarkEnd w:id="38"/>
      <w:bookmarkEnd w:id="39"/>
      <w:bookmarkEnd w:id="40"/>
      <w:bookmarkEnd w:id="41"/>
      <w:bookmarkEnd w:id="42"/>
      <w:r>
        <w:t xml:space="preserve"> </w:t>
      </w:r>
      <w:bookmarkEnd w:id="43"/>
    </w:p>
    <w:p w:rsidR="0066381C" w:rsidRDefault="0066381C" w:rsidP="0066381C">
      <w:r>
        <w:t>The Government has identified the following options to increase the reliability and affordability of domestic supply by influencing LNG exporters:</w:t>
      </w:r>
    </w:p>
    <w:p w:rsidR="0066381C" w:rsidRDefault="0066381C" w:rsidP="0066381C">
      <w:pPr>
        <w:pStyle w:val="ListParagraph"/>
        <w:numPr>
          <w:ilvl w:val="0"/>
          <w:numId w:val="4"/>
        </w:numPr>
        <w:spacing w:after="160" w:line="259" w:lineRule="auto"/>
      </w:pPr>
      <w:r>
        <w:t>Option 1: Status quo</w:t>
      </w:r>
    </w:p>
    <w:p w:rsidR="0066381C" w:rsidRDefault="0066381C" w:rsidP="0066381C">
      <w:pPr>
        <w:pStyle w:val="ListParagraph"/>
        <w:numPr>
          <w:ilvl w:val="0"/>
          <w:numId w:val="4"/>
        </w:numPr>
        <w:spacing w:after="160" w:line="259" w:lineRule="auto"/>
      </w:pPr>
      <w:r>
        <w:t xml:space="preserve">Option 2: Industry led agreement to guarantee adequate supply </w:t>
      </w:r>
    </w:p>
    <w:p w:rsidR="0066381C" w:rsidRDefault="0066381C" w:rsidP="0066381C">
      <w:pPr>
        <w:pStyle w:val="ListParagraph"/>
        <w:numPr>
          <w:ilvl w:val="0"/>
          <w:numId w:val="4"/>
        </w:numPr>
        <w:spacing w:after="160" w:line="259" w:lineRule="auto"/>
      </w:pPr>
      <w:r>
        <w:t>Option 3: Gas reservation policy</w:t>
      </w:r>
    </w:p>
    <w:p w:rsidR="0066381C" w:rsidRPr="0024297E" w:rsidRDefault="0066381C" w:rsidP="0066381C">
      <w:pPr>
        <w:pStyle w:val="ListParagraph"/>
        <w:numPr>
          <w:ilvl w:val="0"/>
          <w:numId w:val="4"/>
        </w:numPr>
        <w:spacing w:after="160" w:line="259" w:lineRule="auto"/>
      </w:pPr>
      <w:r>
        <w:t>Option 4:</w:t>
      </w:r>
      <w:r w:rsidRPr="0024297E">
        <w:t xml:space="preserve"> Export controls </w:t>
      </w:r>
    </w:p>
    <w:p w:rsidR="0066381C" w:rsidRDefault="0066381C" w:rsidP="0066381C">
      <w:pPr>
        <w:pStyle w:val="Heading2"/>
        <w:numPr>
          <w:ilvl w:val="0"/>
          <w:numId w:val="12"/>
        </w:numPr>
        <w:spacing w:line="259" w:lineRule="auto"/>
        <w:ind w:left="426" w:hanging="426"/>
      </w:pPr>
      <w:r w:rsidRPr="0024297E">
        <w:tab/>
      </w:r>
      <w:bookmarkStart w:id="44" w:name="_Toc482985542"/>
      <w:bookmarkStart w:id="45" w:name="_Toc483323137"/>
      <w:bookmarkStart w:id="46" w:name="_Toc484770730"/>
      <w:bookmarkStart w:id="47" w:name="_Toc484775002"/>
      <w:bookmarkStart w:id="48" w:name="_Toc484779045"/>
      <w:bookmarkStart w:id="49" w:name="_Toc484784244"/>
      <w:bookmarkStart w:id="50" w:name="_Toc484795062"/>
      <w:bookmarkStart w:id="51" w:name="_Toc485406134"/>
      <w:r w:rsidRPr="0024297E">
        <w:t xml:space="preserve">Status quo – no change to the current unregulated </w:t>
      </w:r>
      <w:r>
        <w:t>environment</w:t>
      </w:r>
      <w:bookmarkEnd w:id="44"/>
      <w:bookmarkEnd w:id="45"/>
      <w:bookmarkEnd w:id="46"/>
      <w:bookmarkEnd w:id="47"/>
      <w:bookmarkEnd w:id="48"/>
      <w:bookmarkEnd w:id="49"/>
      <w:bookmarkEnd w:id="50"/>
      <w:bookmarkEnd w:id="51"/>
    </w:p>
    <w:p w:rsidR="0066381C" w:rsidRDefault="0066381C" w:rsidP="0066381C">
      <w:r>
        <w:t xml:space="preserve">The status quo option represents what would occur in the absence of any specific action by the Government to address the policy problem outlined in Section </w:t>
      </w:r>
      <w:r>
        <w:fldChar w:fldCharType="begin"/>
      </w:r>
      <w:r>
        <w:instrText xml:space="preserve"> REF _Ref482788137 \r \h </w:instrText>
      </w:r>
      <w:r>
        <w:fldChar w:fldCharType="separate"/>
      </w:r>
      <w:r w:rsidR="00D565EF">
        <w:t>2</w:t>
      </w:r>
      <w:r>
        <w:fldChar w:fldCharType="end"/>
      </w:r>
      <w:r>
        <w:t xml:space="preserve">. In other words, the Government would not intervene to ensure that there is adequate supply to the domestic market in the short term. </w:t>
      </w:r>
    </w:p>
    <w:p w:rsidR="0066381C" w:rsidRDefault="0066381C" w:rsidP="0066381C">
      <w:r>
        <w:t>If there is no intervention, the Government will have no recourse to influence LNG exporters.</w:t>
      </w:r>
    </w:p>
    <w:p w:rsidR="0066381C" w:rsidRDefault="0066381C" w:rsidP="0066381C">
      <w:pPr>
        <w:pStyle w:val="Heading2"/>
        <w:numPr>
          <w:ilvl w:val="0"/>
          <w:numId w:val="12"/>
        </w:numPr>
        <w:spacing w:line="259" w:lineRule="auto"/>
        <w:ind w:left="426" w:hanging="426"/>
      </w:pPr>
      <w:bookmarkStart w:id="52" w:name="_Ref482724809"/>
      <w:bookmarkStart w:id="53" w:name="_Toc482985543"/>
      <w:bookmarkStart w:id="54" w:name="_Toc483323138"/>
      <w:r>
        <w:tab/>
      </w:r>
      <w:bookmarkStart w:id="55" w:name="_Toc484770731"/>
      <w:bookmarkStart w:id="56" w:name="_Toc484775003"/>
      <w:bookmarkStart w:id="57" w:name="_Toc484779046"/>
      <w:bookmarkStart w:id="58" w:name="_Toc484784245"/>
      <w:bookmarkStart w:id="59" w:name="_Toc484795063"/>
      <w:bookmarkStart w:id="60" w:name="_Toc485406135"/>
      <w:r>
        <w:t xml:space="preserve">Industry led </w:t>
      </w:r>
      <w:r w:rsidRPr="006B6417">
        <w:t>agreement to guarantee adequate supply</w:t>
      </w:r>
      <w:bookmarkEnd w:id="52"/>
      <w:bookmarkEnd w:id="53"/>
      <w:bookmarkEnd w:id="54"/>
      <w:bookmarkEnd w:id="55"/>
      <w:bookmarkEnd w:id="56"/>
      <w:bookmarkEnd w:id="57"/>
      <w:bookmarkEnd w:id="58"/>
      <w:bookmarkEnd w:id="59"/>
      <w:bookmarkEnd w:id="60"/>
      <w:r w:rsidRPr="006B6417">
        <w:t xml:space="preserve"> </w:t>
      </w:r>
    </w:p>
    <w:p w:rsidR="0066381C" w:rsidRPr="00A15D9F" w:rsidRDefault="0066381C" w:rsidP="0066381C">
      <w:r w:rsidRPr="0004619D">
        <w:t xml:space="preserve">In this option, LNG exporters would nominate a specific volume of gas to guarantee an adequate supply of gas to the domestic market. This guarantee would likely come in the form of a formal, signed agreement between exporters and Government. </w:t>
      </w:r>
      <w:proofErr w:type="gramStart"/>
      <w:r w:rsidRPr="0004619D">
        <w:t>Any terms of the agreement would be enforced by industry participants</w:t>
      </w:r>
      <w:proofErr w:type="gramEnd"/>
      <w:r w:rsidRPr="0004619D">
        <w:t>.</w:t>
      </w:r>
    </w:p>
    <w:p w:rsidR="0066381C" w:rsidRDefault="0066381C" w:rsidP="0066381C">
      <w:r>
        <w:t xml:space="preserve">It is unclear how this option </w:t>
      </w:r>
      <w:proofErr w:type="gramStart"/>
      <w:r>
        <w:t>could be enforced</w:t>
      </w:r>
      <w:proofErr w:type="gramEnd"/>
      <w:r>
        <w:t xml:space="preserve"> to an extent that the domestic gas market would have confidence that supply is assured. During the consultation </w:t>
      </w:r>
      <w:proofErr w:type="gramStart"/>
      <w:r>
        <w:t>process</w:t>
      </w:r>
      <w:proofErr w:type="gramEnd"/>
      <w:r>
        <w:t xml:space="preserve"> this option was explored. However, industry were unable to provide a level of assurance sufficient to render this option viable in light of the risks of a domestic shortfall occurring if industry do not meet their stated supply commitments. The possibility of an industry-led solution would be appropriate to include in the option to </w:t>
      </w:r>
      <w:proofErr w:type="gramStart"/>
      <w:r>
        <w:t>be implemented</w:t>
      </w:r>
      <w:proofErr w:type="gramEnd"/>
      <w:r>
        <w:t xml:space="preserve">. </w:t>
      </w:r>
    </w:p>
    <w:p w:rsidR="0066381C" w:rsidRDefault="0066381C" w:rsidP="0066381C">
      <w:pPr>
        <w:pStyle w:val="Heading2"/>
        <w:numPr>
          <w:ilvl w:val="0"/>
          <w:numId w:val="12"/>
        </w:numPr>
        <w:spacing w:line="259" w:lineRule="auto"/>
        <w:ind w:left="426" w:hanging="426"/>
      </w:pPr>
      <w:r>
        <w:tab/>
      </w:r>
      <w:bookmarkStart w:id="61" w:name="_Toc482985544"/>
      <w:bookmarkStart w:id="62" w:name="_Toc483323139"/>
      <w:bookmarkStart w:id="63" w:name="_Ref483392562"/>
      <w:bookmarkStart w:id="64" w:name="_Ref483393269"/>
      <w:bookmarkStart w:id="65" w:name="_Ref483394534"/>
      <w:bookmarkStart w:id="66" w:name="_Toc484770732"/>
      <w:bookmarkStart w:id="67" w:name="_Toc484775004"/>
      <w:bookmarkStart w:id="68" w:name="_Toc484779047"/>
      <w:bookmarkStart w:id="69" w:name="_Toc484784246"/>
      <w:bookmarkStart w:id="70" w:name="_Toc484795064"/>
      <w:bookmarkStart w:id="71" w:name="_Toc485406136"/>
      <w:r w:rsidRPr="00117253">
        <w:t>Gas reservation policy – imposing a blanket quota for the domestic market</w:t>
      </w:r>
      <w:bookmarkEnd w:id="61"/>
      <w:bookmarkEnd w:id="62"/>
      <w:bookmarkEnd w:id="63"/>
      <w:bookmarkEnd w:id="64"/>
      <w:bookmarkEnd w:id="65"/>
      <w:bookmarkEnd w:id="66"/>
      <w:bookmarkEnd w:id="67"/>
      <w:bookmarkEnd w:id="68"/>
      <w:bookmarkEnd w:id="69"/>
      <w:bookmarkEnd w:id="70"/>
      <w:bookmarkEnd w:id="71"/>
    </w:p>
    <w:p w:rsidR="0066381C" w:rsidDel="00055F72" w:rsidRDefault="0066381C" w:rsidP="0066381C">
      <w:r w:rsidDel="00055F72">
        <w:t>A gas reservation policy would reserve a fixed amount of gas production for domestic use</w:t>
      </w:r>
      <w:r>
        <w:t xml:space="preserve"> or earmark specific acreage releases for gas exploration and development as only being for domestic sales</w:t>
      </w:r>
      <w:r w:rsidDel="00055F72">
        <w:t>. For example, Western Australia has a policy that reserves 15 per cent of gas from offshore developments</w:t>
      </w:r>
      <w:r>
        <w:t xml:space="preserve"> while Queensland is providing some limited gas tenements as being for the domestic market alone.</w:t>
      </w:r>
    </w:p>
    <w:p w:rsidR="0066381C" w:rsidRPr="000333C7" w:rsidRDefault="0066381C" w:rsidP="0066381C">
      <w:r>
        <w:t>Reservation policies, while not widely used in Australia to date, have been targeted at providing additional gas for the domestic market but without setting an overall target or cap for the amount delivered. It is not clear how a reservation policy would act as a mechanism to address a specific market shortfall at a point in time although it might be possible to establish a provision to have the gas reservation amount (</w:t>
      </w:r>
      <w:proofErr w:type="spellStart"/>
      <w:r>
        <w:t>eg</w:t>
      </w:r>
      <w:proofErr w:type="spellEnd"/>
      <w:r>
        <w:t xml:space="preserve"> the 15 % contribution rate) swing up or down according to circumstance</w:t>
      </w:r>
    </w:p>
    <w:p w:rsidR="0066381C" w:rsidRPr="000333C7" w:rsidRDefault="0066381C" w:rsidP="0066381C">
      <w:r>
        <w:lastRenderedPageBreak/>
        <w:t>This raises several key issues</w:t>
      </w:r>
      <w:r w:rsidRPr="000333C7">
        <w:t>:</w:t>
      </w:r>
    </w:p>
    <w:p w:rsidR="0066381C" w:rsidRPr="000333C7" w:rsidRDefault="0066381C" w:rsidP="0066381C">
      <w:pPr>
        <w:pStyle w:val="ListParagraph"/>
        <w:numPr>
          <w:ilvl w:val="0"/>
          <w:numId w:val="26"/>
        </w:numPr>
        <w:spacing w:after="160" w:line="259" w:lineRule="auto"/>
      </w:pPr>
      <w:r w:rsidRPr="000333C7">
        <w:t xml:space="preserve">If the percentage </w:t>
      </w:r>
      <w:proofErr w:type="gramStart"/>
      <w:r w:rsidRPr="000333C7">
        <w:t>was</w:t>
      </w:r>
      <w:proofErr w:type="gramEnd"/>
      <w:r w:rsidRPr="000333C7">
        <w:t xml:space="preserve"> fixed, then to guarantee that there was no shortfall, the percentage would need to have a built-in margin of error</w:t>
      </w:r>
      <w:r>
        <w:t xml:space="preserve"> to account for ‘normal’ fluctuations in production (such as unforeseen technical and maintenance events)</w:t>
      </w:r>
      <w:r w:rsidRPr="000333C7">
        <w:t xml:space="preserve">. This would result in the domestic market being oversupplied, </w:t>
      </w:r>
      <w:r>
        <w:t xml:space="preserve">to the extent that the trigger under-estimates the supply fluctuations, </w:t>
      </w:r>
      <w:r w:rsidRPr="000333C7">
        <w:t>with the cost borne by exporters</w:t>
      </w:r>
      <w:r>
        <w:t xml:space="preserve"> and a reduced incentive for other gas project developers to bring on new gas</w:t>
      </w:r>
      <w:r w:rsidRPr="000333C7">
        <w:t xml:space="preserve">. </w:t>
      </w:r>
    </w:p>
    <w:p w:rsidR="0066381C" w:rsidRPr="000333C7" w:rsidRDefault="0066381C" w:rsidP="0066381C">
      <w:pPr>
        <w:pStyle w:val="ListParagraph"/>
        <w:numPr>
          <w:ilvl w:val="0"/>
          <w:numId w:val="26"/>
        </w:numPr>
        <w:spacing w:after="160" w:line="259" w:lineRule="auto"/>
      </w:pPr>
      <w:r w:rsidRPr="000333C7">
        <w:t xml:space="preserve">If the percentage </w:t>
      </w:r>
      <w:proofErr w:type="gramStart"/>
      <w:r w:rsidRPr="000333C7">
        <w:t>was fixed</w:t>
      </w:r>
      <w:proofErr w:type="gramEnd"/>
      <w:r w:rsidRPr="000333C7">
        <w:t>, but there was not a built-in margin of error, then the domestic market would be at risk of a shortfall. This would fail to achieve the policy objective of securing an adequate supply of gas for the domestic market.</w:t>
      </w:r>
    </w:p>
    <w:p w:rsidR="0066381C" w:rsidRDefault="0066381C" w:rsidP="0066381C">
      <w:r>
        <w:t>A more serious limitation is that the Australian Government’s ability to impose a reservation policy (</w:t>
      </w:r>
      <w:proofErr w:type="gramStart"/>
      <w:r>
        <w:t>either in tenement earmarking or a</w:t>
      </w:r>
      <w:proofErr w:type="gramEnd"/>
      <w:r>
        <w:t xml:space="preserve"> domestic gas contribution amount) would be confined to gas resources in offshore waters. In the East Coast </w:t>
      </w:r>
      <w:proofErr w:type="gramStart"/>
      <w:r>
        <w:t>market</w:t>
      </w:r>
      <w:proofErr w:type="gramEnd"/>
      <w:r>
        <w:t xml:space="preserve"> this would be the offshore fields in Bass Strait and the Gippsland region. Under the Australian </w:t>
      </w:r>
      <w:proofErr w:type="gramStart"/>
      <w:r>
        <w:t>federation</w:t>
      </w:r>
      <w:proofErr w:type="gramEnd"/>
      <w:r>
        <w:t xml:space="preserve"> the States and Territories retain the responsibility for administration and management of on-shore gas resources. Applying a </w:t>
      </w:r>
      <w:proofErr w:type="gramStart"/>
      <w:r>
        <w:t>gas reservation policy gas</w:t>
      </w:r>
      <w:proofErr w:type="gramEnd"/>
      <w:r>
        <w:t xml:space="preserve"> in offshore waters would have limited or no effect on the East Coast market given that most of this gas currently supplies the Victorian and New South Wales markets.</w:t>
      </w:r>
    </w:p>
    <w:p w:rsidR="0066381C" w:rsidRDefault="0066381C" w:rsidP="0066381C">
      <w:r>
        <w:t xml:space="preserve">The application of comprehensive reservation policy would therefore need to </w:t>
      </w:r>
      <w:proofErr w:type="gramStart"/>
      <w:r>
        <w:t>be implemented</w:t>
      </w:r>
      <w:proofErr w:type="gramEnd"/>
      <w:r>
        <w:t xml:space="preserve"> through cooperative action taken by the Australian and State and Territory Governments. Such action would take some time to develop in a uniform way and it is not clear that </w:t>
      </w:r>
      <w:proofErr w:type="gramStart"/>
      <w:r>
        <w:t>it would be supported by all governments</w:t>
      </w:r>
      <w:proofErr w:type="gramEnd"/>
      <w:r>
        <w:t>.</w:t>
      </w:r>
    </w:p>
    <w:p w:rsidR="0066381C" w:rsidRPr="000333C7" w:rsidRDefault="0066381C" w:rsidP="0066381C">
      <w:r>
        <w:t>U</w:t>
      </w:r>
      <w:r w:rsidRPr="000333C7">
        <w:t xml:space="preserve">nless otherwise stated, when this RIS uses the term ‘gas reservation’ it refers to a </w:t>
      </w:r>
      <w:r>
        <w:t xml:space="preserve">blanket reservation </w:t>
      </w:r>
      <w:r w:rsidRPr="000333C7">
        <w:t>policy that reserves a fixed percentage of gas, all the time</w:t>
      </w:r>
      <w:r>
        <w:t xml:space="preserve"> through a policy framework agreed by the Australian and State and Territory Governments.</w:t>
      </w:r>
    </w:p>
    <w:p w:rsidR="0066381C" w:rsidRPr="00B1364B" w:rsidRDefault="0066381C" w:rsidP="0066381C">
      <w:pPr>
        <w:pStyle w:val="Heading2"/>
        <w:numPr>
          <w:ilvl w:val="0"/>
          <w:numId w:val="12"/>
        </w:numPr>
        <w:spacing w:line="259" w:lineRule="auto"/>
        <w:ind w:left="426" w:hanging="426"/>
      </w:pPr>
      <w:r w:rsidRPr="00B1364B">
        <w:tab/>
      </w:r>
      <w:bookmarkStart w:id="72" w:name="_Ref482870532"/>
      <w:bookmarkStart w:id="73" w:name="_Ref482882435"/>
      <w:bookmarkStart w:id="74" w:name="_Toc482985545"/>
      <w:bookmarkStart w:id="75" w:name="_Toc483323140"/>
      <w:bookmarkStart w:id="76" w:name="_Toc484770733"/>
      <w:bookmarkStart w:id="77" w:name="_Toc484775005"/>
      <w:bookmarkStart w:id="78" w:name="_Toc484779048"/>
      <w:bookmarkStart w:id="79" w:name="_Toc484784247"/>
      <w:bookmarkStart w:id="80" w:name="_Toc484795065"/>
      <w:bookmarkStart w:id="81" w:name="_Toc485406137"/>
      <w:r w:rsidRPr="00B1364B">
        <w:t>Export controls</w:t>
      </w:r>
      <w:bookmarkEnd w:id="72"/>
      <w:bookmarkEnd w:id="73"/>
      <w:bookmarkEnd w:id="74"/>
      <w:bookmarkEnd w:id="75"/>
      <w:bookmarkEnd w:id="76"/>
      <w:bookmarkEnd w:id="77"/>
      <w:bookmarkEnd w:id="78"/>
      <w:bookmarkEnd w:id="79"/>
      <w:bookmarkEnd w:id="80"/>
      <w:bookmarkEnd w:id="81"/>
    </w:p>
    <w:p w:rsidR="0066381C" w:rsidRDefault="0066381C" w:rsidP="0066381C">
      <w:r>
        <w:t xml:space="preserve">Export controls would work by requiring LNG projects to obtain an Export Permission before exporting LNG. Permissions could have conditions attached to them, including the volume of LNG allowed for export. Similarly, before granting an Export Permission, the Government could consider an individual exporter’s contributions to market conditions like supply-demand balance and competition. </w:t>
      </w:r>
    </w:p>
    <w:p w:rsidR="0066381C" w:rsidRDefault="0066381C" w:rsidP="0066381C">
      <w:r>
        <w:t xml:space="preserve">Like a blanket reservation policy, export controls have the potential to be triggered by a Government determination (e.g. of an impending shortfall of domestic supply). However, export controls are a “lighter touch” regulatory option, because they can be more easily targeted (e.g. at export projects that contributed to a shortfall). Similarly, they can be tailored so that exporters would only bear an additional cost if the market </w:t>
      </w:r>
      <w:proofErr w:type="gramStart"/>
      <w:r>
        <w:t>was</w:t>
      </w:r>
      <w:proofErr w:type="gramEnd"/>
      <w:r>
        <w:t xml:space="preserve"> not adequately supplied. This is consistent with the Government’s policy to encourage LNG export operations in Australia</w:t>
      </w:r>
      <w:proofErr w:type="gramStart"/>
      <w:r>
        <w:t>,.</w:t>
      </w:r>
      <w:proofErr w:type="gramEnd"/>
    </w:p>
    <w:p w:rsidR="0066381C" w:rsidRDefault="0066381C" w:rsidP="0066381C">
      <w:r>
        <w:t xml:space="preserve">There are a number of methods to implement export controls, as outlined in Section </w:t>
      </w:r>
      <w:r>
        <w:fldChar w:fldCharType="begin"/>
      </w:r>
      <w:r>
        <w:instrText xml:space="preserve"> REF _Ref482906600 \r \h </w:instrText>
      </w:r>
      <w:r>
        <w:fldChar w:fldCharType="separate"/>
      </w:r>
      <w:r w:rsidR="00D565EF">
        <w:t>8</w:t>
      </w:r>
      <w:r>
        <w:fldChar w:fldCharType="end"/>
      </w:r>
      <w:r>
        <w:t xml:space="preserve">. Herein, unless otherwise stated, specific details of export controls relate to the Australian Domestic Gas Security Mechanism (ADGSM), which the Government announced on </w:t>
      </w:r>
      <w:r w:rsidRPr="00C35CE3">
        <w:t>27 April 2017.</w:t>
      </w:r>
      <w:r>
        <w:t xml:space="preserve"> The ADGSM</w:t>
      </w:r>
      <w:r w:rsidDel="004A35F6">
        <w:t xml:space="preserve"> </w:t>
      </w:r>
      <w:proofErr w:type="gramStart"/>
      <w:r>
        <w:t>is considered</w:t>
      </w:r>
      <w:proofErr w:type="gramEnd"/>
      <w:r>
        <w:t xml:space="preserve"> the most effective method to implement export controls as it:</w:t>
      </w:r>
    </w:p>
    <w:p w:rsidR="0066381C" w:rsidRDefault="0066381C" w:rsidP="0066381C">
      <w:pPr>
        <w:pStyle w:val="ListParagraph"/>
        <w:numPr>
          <w:ilvl w:val="0"/>
          <w:numId w:val="16"/>
        </w:numPr>
        <w:spacing w:after="160" w:line="259" w:lineRule="auto"/>
      </w:pPr>
      <w:r>
        <w:lastRenderedPageBreak/>
        <w:t>effectively provides security for domestic gas consumers</w:t>
      </w:r>
    </w:p>
    <w:p w:rsidR="0066381C" w:rsidRDefault="0066381C" w:rsidP="0066381C">
      <w:pPr>
        <w:pStyle w:val="ListParagraph"/>
        <w:numPr>
          <w:ilvl w:val="0"/>
          <w:numId w:val="16"/>
        </w:numPr>
        <w:spacing w:after="160" w:line="259" w:lineRule="auto"/>
      </w:pPr>
      <w:r>
        <w:t>does not interfere in the market unless it is necessary to secure an adequate supply of gas for domestic gas consumers</w:t>
      </w:r>
    </w:p>
    <w:p w:rsidR="0066381C" w:rsidRDefault="0066381C" w:rsidP="0066381C">
      <w:pPr>
        <w:pStyle w:val="ListParagraph"/>
        <w:numPr>
          <w:ilvl w:val="0"/>
          <w:numId w:val="16"/>
        </w:numPr>
        <w:spacing w:after="160" w:line="259" w:lineRule="auto"/>
      </w:pPr>
      <w:r>
        <w:t>incentivises exporters to produce more gas rather than draw it from the domestic market</w:t>
      </w:r>
    </w:p>
    <w:p w:rsidR="0066381C" w:rsidRDefault="0066381C" w:rsidP="0066381C">
      <w:pPr>
        <w:pStyle w:val="ListParagraph"/>
        <w:numPr>
          <w:ilvl w:val="0"/>
          <w:numId w:val="16"/>
        </w:numPr>
        <w:spacing w:after="160" w:line="259" w:lineRule="auto"/>
      </w:pPr>
      <w:r>
        <w:t>minimised compliance costs and market distortions</w:t>
      </w:r>
    </w:p>
    <w:p w:rsidR="0066381C" w:rsidRDefault="0066381C" w:rsidP="0066381C">
      <w:pPr>
        <w:pStyle w:val="ListParagraph"/>
        <w:numPr>
          <w:ilvl w:val="0"/>
          <w:numId w:val="16"/>
        </w:numPr>
        <w:spacing w:after="160" w:line="259" w:lineRule="auto"/>
      </w:pPr>
      <w:r>
        <w:t>maximises the consistency and transparency of LNG exporters’ requirements, and flexibility in how the requirements could be met</w:t>
      </w:r>
    </w:p>
    <w:p w:rsidR="0066381C" w:rsidRDefault="0066381C" w:rsidP="0066381C">
      <w:pPr>
        <w:pStyle w:val="ListParagraph"/>
        <w:numPr>
          <w:ilvl w:val="0"/>
          <w:numId w:val="16"/>
        </w:numPr>
        <w:spacing w:after="160" w:line="259" w:lineRule="auto"/>
      </w:pPr>
      <w:proofErr w:type="gramStart"/>
      <w:r>
        <w:t>complements</w:t>
      </w:r>
      <w:proofErr w:type="gramEnd"/>
      <w:r>
        <w:t xml:space="preserve"> other Government initiatives including the ACCC gas market transparency monitoring regime, and the peak supply guarantee.</w:t>
      </w:r>
    </w:p>
    <w:p w:rsidR="0066381C" w:rsidRDefault="0066381C" w:rsidP="0066381C">
      <w:r>
        <w:t xml:space="preserve">There is a discussion of alternative implementation methods in Section </w:t>
      </w:r>
      <w:r>
        <w:fldChar w:fldCharType="begin"/>
      </w:r>
      <w:r>
        <w:instrText xml:space="preserve"> REF _Ref482906600 \r \h </w:instrText>
      </w:r>
      <w:r>
        <w:fldChar w:fldCharType="separate"/>
      </w:r>
      <w:r w:rsidR="00D565EF">
        <w:t>8</w:t>
      </w:r>
      <w:r>
        <w:fldChar w:fldCharType="end"/>
      </w:r>
      <w:r>
        <w:t>.</w:t>
      </w:r>
    </w:p>
    <w:p w:rsidR="0066381C" w:rsidRDefault="0066381C" w:rsidP="0066381C">
      <w:pPr>
        <w:sectPr w:rsidR="0066381C" w:rsidSect="00B66568">
          <w:footerReference w:type="default" r:id="rId12"/>
          <w:pgSz w:w="11906" w:h="16838"/>
          <w:pgMar w:top="1440" w:right="1440" w:bottom="1276" w:left="1440" w:header="708" w:footer="549" w:gutter="0"/>
          <w:cols w:space="708"/>
          <w:titlePg/>
          <w:docGrid w:linePitch="360"/>
        </w:sectPr>
      </w:pPr>
      <w:r>
        <w:t xml:space="preserve">The following flow chart summarises how the ADGSM would operate and the steps </w:t>
      </w:r>
      <w:proofErr w:type="gramStart"/>
      <w:r>
        <w:t>were used</w:t>
      </w:r>
      <w:proofErr w:type="gramEnd"/>
      <w:r>
        <w:t xml:space="preserve"> to assess the regulatory costs in Section </w:t>
      </w:r>
      <w:r>
        <w:fldChar w:fldCharType="begin"/>
      </w:r>
      <w:r>
        <w:instrText xml:space="preserve"> REF _Ref482797128 \r \h </w:instrText>
      </w:r>
      <w:r>
        <w:fldChar w:fldCharType="separate"/>
      </w:r>
      <w:r w:rsidR="00D565EF">
        <w:t>5</w:t>
      </w:r>
      <w:r>
        <w:fldChar w:fldCharType="end"/>
      </w:r>
      <w:r>
        <w:t>.</w:t>
      </w:r>
    </w:p>
    <w:p w:rsidR="0066381C" w:rsidRDefault="0066381C" w:rsidP="0066381C">
      <w:r>
        <w:rPr>
          <w:noProof/>
          <w:lang w:eastAsia="en-AU"/>
        </w:rPr>
        <w:lastRenderedPageBreak/>
        <w:drawing>
          <wp:inline distT="0" distB="0" distL="0" distR="0" wp14:anchorId="61BC4BE9" wp14:editId="59BAD792">
            <wp:extent cx="9541510" cy="6713220"/>
            <wp:effectExtent l="0" t="0" r="2540" b="0"/>
            <wp:docPr id="10" name="Picture 10" descr="This is a diagram setting out each of the steps in the process for the Australian Domestic Gas Security Mechanism, and the timeframes associated with each step. " title="Stepped process and timeframes for ADG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cess 1.png"/>
                    <pic:cNvPicPr/>
                  </pic:nvPicPr>
                  <pic:blipFill>
                    <a:blip r:embed="rId13">
                      <a:extLst>
                        <a:ext uri="{28A0092B-C50C-407E-A947-70E740481C1C}">
                          <a14:useLocalDpi xmlns:a14="http://schemas.microsoft.com/office/drawing/2010/main" val="0"/>
                        </a:ext>
                      </a:extLst>
                    </a:blip>
                    <a:stretch>
                      <a:fillRect/>
                    </a:stretch>
                  </pic:blipFill>
                  <pic:spPr>
                    <a:xfrm>
                      <a:off x="0" y="0"/>
                      <a:ext cx="9541510" cy="6713220"/>
                    </a:xfrm>
                    <a:prstGeom prst="rect">
                      <a:avLst/>
                    </a:prstGeom>
                  </pic:spPr>
                </pic:pic>
              </a:graphicData>
            </a:graphic>
          </wp:inline>
        </w:drawing>
      </w:r>
    </w:p>
    <w:p w:rsidR="0066381C" w:rsidRDefault="0066381C" w:rsidP="0066381C">
      <w:pPr>
        <w:sectPr w:rsidR="0066381C" w:rsidSect="00B66568">
          <w:pgSz w:w="16838" w:h="11906" w:orient="landscape"/>
          <w:pgMar w:top="284" w:right="678" w:bottom="567" w:left="1134" w:header="708" w:footer="35" w:gutter="0"/>
          <w:cols w:space="708"/>
          <w:docGrid w:linePitch="360"/>
        </w:sectPr>
      </w:pPr>
      <w:r>
        <w:rPr>
          <w:noProof/>
          <w:lang w:eastAsia="en-AU"/>
        </w:rPr>
        <w:lastRenderedPageBreak/>
        <w:drawing>
          <wp:inline distT="0" distB="0" distL="0" distR="0" wp14:anchorId="4A3FE144" wp14:editId="70456441">
            <wp:extent cx="9541510" cy="6572250"/>
            <wp:effectExtent l="0" t="0" r="2540" b="0"/>
            <wp:docPr id="11" name="Picture 11" descr="This diagram sets out the steps involved in the Minister's method for calculating the Total Market Security Obligation, the Exporter Market Security Obligations, and the net market position of an exporter (which will inform the volume allowed on their export permission). " title="Calculating TMSO, the EMSOs and Provisional Export Per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cess 2.png"/>
                    <pic:cNvPicPr/>
                  </pic:nvPicPr>
                  <pic:blipFill>
                    <a:blip r:embed="rId14">
                      <a:extLst>
                        <a:ext uri="{28A0092B-C50C-407E-A947-70E740481C1C}">
                          <a14:useLocalDpi xmlns:a14="http://schemas.microsoft.com/office/drawing/2010/main" val="0"/>
                        </a:ext>
                      </a:extLst>
                    </a:blip>
                    <a:stretch>
                      <a:fillRect/>
                    </a:stretch>
                  </pic:blipFill>
                  <pic:spPr>
                    <a:xfrm>
                      <a:off x="0" y="0"/>
                      <a:ext cx="9541510" cy="6572250"/>
                    </a:xfrm>
                    <a:prstGeom prst="rect">
                      <a:avLst/>
                    </a:prstGeom>
                  </pic:spPr>
                </pic:pic>
              </a:graphicData>
            </a:graphic>
          </wp:inline>
        </w:drawing>
      </w:r>
    </w:p>
    <w:p w:rsidR="0066381C" w:rsidRPr="000B132C" w:rsidRDefault="0066381C" w:rsidP="0066381C">
      <w:pPr>
        <w:pStyle w:val="Heading1"/>
        <w:numPr>
          <w:ilvl w:val="0"/>
          <w:numId w:val="10"/>
        </w:numPr>
        <w:tabs>
          <w:tab w:val="clear" w:pos="567"/>
        </w:tabs>
        <w:spacing w:after="0" w:line="259" w:lineRule="auto"/>
      </w:pPr>
      <w:bookmarkStart w:id="82" w:name="_Ref482797128"/>
      <w:bookmarkStart w:id="83" w:name="_Toc482985546"/>
      <w:bookmarkStart w:id="84" w:name="_Toc483323141"/>
      <w:bookmarkStart w:id="85" w:name="_Toc484770734"/>
      <w:bookmarkStart w:id="86" w:name="_Toc484775006"/>
      <w:bookmarkStart w:id="87" w:name="_Toc484779049"/>
      <w:bookmarkStart w:id="88" w:name="_Toc484784248"/>
      <w:bookmarkStart w:id="89" w:name="_Toc484795066"/>
      <w:bookmarkStart w:id="90" w:name="_Toc485406138"/>
      <w:r w:rsidRPr="000B132C">
        <w:lastRenderedPageBreak/>
        <w:t>Net Benefits</w:t>
      </w:r>
      <w:bookmarkEnd w:id="82"/>
      <w:bookmarkEnd w:id="83"/>
      <w:bookmarkEnd w:id="84"/>
      <w:bookmarkEnd w:id="85"/>
      <w:bookmarkEnd w:id="86"/>
      <w:bookmarkEnd w:id="87"/>
      <w:bookmarkEnd w:id="88"/>
      <w:bookmarkEnd w:id="89"/>
      <w:bookmarkEnd w:id="90"/>
    </w:p>
    <w:p w:rsidR="0066381C" w:rsidRDefault="0066381C" w:rsidP="0066381C">
      <w:r>
        <w:t xml:space="preserve">The purpose of this section is to provide an indication of the likely impacts arising from implementation of the options outlined in Section </w:t>
      </w:r>
      <w:r>
        <w:fldChar w:fldCharType="begin"/>
      </w:r>
      <w:r>
        <w:instrText xml:space="preserve"> REF _Ref482697188 \n \h </w:instrText>
      </w:r>
      <w:r>
        <w:fldChar w:fldCharType="separate"/>
      </w:r>
      <w:r w:rsidR="00D565EF">
        <w:t>4</w:t>
      </w:r>
      <w:r>
        <w:fldChar w:fldCharType="end"/>
      </w:r>
      <w:r>
        <w:t xml:space="preserve">. It does this by analysing the costs and benefits of each option, and comparing the net benefit against the status quo. </w:t>
      </w:r>
    </w:p>
    <w:p w:rsidR="0066381C" w:rsidRDefault="0066381C" w:rsidP="0066381C">
      <w:pPr>
        <w:pStyle w:val="Heading2"/>
        <w:numPr>
          <w:ilvl w:val="0"/>
          <w:numId w:val="13"/>
        </w:numPr>
        <w:spacing w:line="259" w:lineRule="auto"/>
        <w:ind w:left="709" w:hanging="709"/>
      </w:pPr>
      <w:r>
        <w:tab/>
      </w:r>
      <w:bookmarkStart w:id="91" w:name="_Toc482985547"/>
      <w:bookmarkStart w:id="92" w:name="_Toc483323142"/>
      <w:bookmarkStart w:id="93" w:name="_Toc484775007"/>
      <w:bookmarkStart w:id="94" w:name="_Toc484779050"/>
      <w:bookmarkStart w:id="95" w:name="_Toc484784249"/>
      <w:bookmarkStart w:id="96" w:name="_Toc484795067"/>
      <w:bookmarkStart w:id="97" w:name="_Toc485406139"/>
      <w:bookmarkStart w:id="98" w:name="_Toc484770735"/>
      <w:r>
        <w:t>Impact analysis: status quo</w:t>
      </w:r>
      <w:bookmarkEnd w:id="91"/>
      <w:bookmarkEnd w:id="92"/>
      <w:bookmarkEnd w:id="93"/>
      <w:bookmarkEnd w:id="94"/>
      <w:bookmarkEnd w:id="95"/>
      <w:bookmarkEnd w:id="96"/>
      <w:bookmarkEnd w:id="97"/>
      <w:r>
        <w:t xml:space="preserve"> </w:t>
      </w:r>
      <w:bookmarkEnd w:id="98"/>
    </w:p>
    <w:p w:rsidR="0066381C" w:rsidRDefault="0066381C" w:rsidP="0066381C">
      <w:pPr>
        <w:pStyle w:val="Heading3"/>
      </w:pPr>
      <w:bookmarkStart w:id="99" w:name="_Toc482985548"/>
      <w:bookmarkStart w:id="100" w:name="_Toc483323143"/>
      <w:bookmarkStart w:id="101" w:name="_Toc484770736"/>
      <w:bookmarkStart w:id="102" w:name="_Toc484775008"/>
      <w:bookmarkStart w:id="103" w:name="_Toc484779051"/>
      <w:bookmarkStart w:id="104" w:name="_Toc484784250"/>
      <w:bookmarkStart w:id="105" w:name="_Toc484795068"/>
      <w:bookmarkStart w:id="106" w:name="_Toc485406140"/>
      <w:r>
        <w:t>Overview</w:t>
      </w:r>
      <w:bookmarkEnd w:id="99"/>
      <w:bookmarkEnd w:id="100"/>
      <w:bookmarkEnd w:id="101"/>
      <w:bookmarkEnd w:id="102"/>
      <w:bookmarkEnd w:id="103"/>
      <w:bookmarkEnd w:id="104"/>
      <w:bookmarkEnd w:id="105"/>
      <w:bookmarkEnd w:id="106"/>
    </w:p>
    <w:p w:rsidR="0066381C" w:rsidRDefault="0066381C" w:rsidP="0066381C">
      <w:r>
        <w:t xml:space="preserve">If the status quo </w:t>
      </w:r>
      <w:proofErr w:type="gramStart"/>
      <w:r>
        <w:t>is maintained</w:t>
      </w:r>
      <w:proofErr w:type="gramEnd"/>
      <w:r>
        <w:t>, then the Government will have no recourse to influence LNG exporter behaviour.</w:t>
      </w:r>
    </w:p>
    <w:p w:rsidR="0066381C" w:rsidRDefault="0066381C" w:rsidP="0066381C">
      <w:r>
        <w:t xml:space="preserve">If this is the case, then there is nothing to suggest that the gas supply situation will improve for domestic and commercial gas consumers, particularly on the east coast. Despite the Government’s announcement to introduce export controls, some companies have signalled their intent to increase LNG exports. Recent domestic short-term prices have risen above LNG netbacks (measured against spot prices) in Queensland, New South Wales, Victoria and South Australia. </w:t>
      </w:r>
      <w:r w:rsidRPr="006C6D0B">
        <w:t>Further, there have been reports of industrial gas consumers receiving short, medium and long-term contract offers at higher than netback prices</w:t>
      </w:r>
      <w:r w:rsidRPr="006C6D0B">
        <w:rPr>
          <w:rStyle w:val="FootnoteReference"/>
        </w:rPr>
        <w:footnoteReference w:id="8"/>
      </w:r>
      <w:r w:rsidRPr="006C6D0B">
        <w:t>. This indicates that the domestic market lacks confidence that there will be a sufficient gas supply in the future.</w:t>
      </w:r>
      <w:r>
        <w:t xml:space="preserve"> </w:t>
      </w:r>
    </w:p>
    <w:p w:rsidR="0066381C" w:rsidRDefault="0066381C" w:rsidP="0066381C">
      <w:r>
        <w:t>The supply shortfall identified by AEMO in the 2017 GSOO also has potential implications for system security within the National Electricity Market (NEM). Gas Powered Generation (GPG)</w:t>
      </w:r>
      <w:r w:rsidRPr="00E90386">
        <w:t xml:space="preserve"> is required in the NEM to provide operational flexibility by increasing and decreasing generation relatively quickly to meet changing demand when wind and solar generation is unavailable. The risk of short-term interruptions of electricity demand will increase when there is not enough GPG available to increase generation fast enough to meet demand.</w:t>
      </w:r>
    </w:p>
    <w:p w:rsidR="0066381C" w:rsidRDefault="0066381C" w:rsidP="0066381C">
      <w:r>
        <w:t xml:space="preserve">If there is a gas supply shortfall, then there is a risk that large consumers such as manufacturers will be forced to reduce or cease production due to supply </w:t>
      </w:r>
      <w:proofErr w:type="gramStart"/>
      <w:r>
        <w:t>uncertainty.</w:t>
      </w:r>
      <w:proofErr w:type="gramEnd"/>
      <w:r>
        <w:t xml:space="preserve"> If the market perceives that there will be a shortfall, this could also have the effect of inflating future gas supply contract price offers. In both </w:t>
      </w:r>
      <w:proofErr w:type="gramStart"/>
      <w:r>
        <w:t>cases</w:t>
      </w:r>
      <w:proofErr w:type="gramEnd"/>
      <w:r>
        <w:t xml:space="preserve"> there are significant flow on effects to manufacturers, consumers and employees.</w:t>
      </w:r>
    </w:p>
    <w:p w:rsidR="0066381C" w:rsidRDefault="0066381C" w:rsidP="0066381C">
      <w:pPr>
        <w:pStyle w:val="Heading3"/>
      </w:pPr>
      <w:bookmarkStart w:id="107" w:name="_Toc482985549"/>
      <w:bookmarkStart w:id="108" w:name="_Toc483323144"/>
      <w:bookmarkStart w:id="109" w:name="_Toc484770737"/>
      <w:bookmarkStart w:id="110" w:name="_Toc484775009"/>
      <w:bookmarkStart w:id="111" w:name="_Toc484779052"/>
      <w:bookmarkStart w:id="112" w:name="_Toc484784251"/>
      <w:bookmarkStart w:id="113" w:name="_Toc484795069"/>
      <w:bookmarkStart w:id="114" w:name="_Toc485406141"/>
      <w:r>
        <w:t>Costs</w:t>
      </w:r>
      <w:bookmarkEnd w:id="107"/>
      <w:bookmarkEnd w:id="108"/>
      <w:bookmarkEnd w:id="109"/>
      <w:bookmarkEnd w:id="110"/>
      <w:bookmarkEnd w:id="111"/>
      <w:bookmarkEnd w:id="112"/>
      <w:bookmarkEnd w:id="113"/>
      <w:bookmarkEnd w:id="114"/>
    </w:p>
    <w:p w:rsidR="0066381C" w:rsidRDefault="0066381C" w:rsidP="0066381C">
      <w:r>
        <w:t xml:space="preserve">By its nature, maintaining the status quo would not result in any additional regulatory costs for the gas industry or Government. Nor would it change the current market situation where long-term take or pay export contracts, and the economics of LNG facilities are resulting in gas </w:t>
      </w:r>
      <w:proofErr w:type="gramStart"/>
      <w:r>
        <w:t>being exported</w:t>
      </w:r>
      <w:proofErr w:type="gramEnd"/>
      <w:r>
        <w:t xml:space="preserve"> at prices lower than those being offered to the domestic market. However, it means that domestic gas consumers would continue to bear the risk of insufficient gas to supply both domestic and export demand. These consumers include households, and gas-dependent businesses that employ thousands of Australians. </w:t>
      </w:r>
    </w:p>
    <w:p w:rsidR="0066381C" w:rsidRDefault="0066381C" w:rsidP="0066381C">
      <w:r>
        <w:t xml:space="preserve">This could result in the untenable situation where domestic gas consumers have less reliable supply, and are paying more than their overseas counterparts that source their gas from Australia. In 2014, </w:t>
      </w:r>
      <w:r>
        <w:lastRenderedPageBreak/>
        <w:t>BIS Shrapnel estimated that a shortfall would cost the east coast manufacturing sector a minimum of $14 billion</w:t>
      </w:r>
      <w:r>
        <w:rPr>
          <w:rStyle w:val="FootnoteReference"/>
        </w:rPr>
        <w:footnoteReference w:id="9"/>
      </w:r>
      <w:r>
        <w:t xml:space="preserve">.  </w:t>
      </w:r>
    </w:p>
    <w:p w:rsidR="0066381C" w:rsidRDefault="0066381C" w:rsidP="0066381C">
      <w:pPr>
        <w:pStyle w:val="Heading3"/>
      </w:pPr>
      <w:bookmarkStart w:id="115" w:name="_Toc482985550"/>
      <w:bookmarkStart w:id="116" w:name="_Toc483323145"/>
      <w:bookmarkStart w:id="117" w:name="_Toc484770738"/>
      <w:bookmarkStart w:id="118" w:name="_Toc484775010"/>
      <w:bookmarkStart w:id="119" w:name="_Toc484779053"/>
      <w:bookmarkStart w:id="120" w:name="_Toc484784252"/>
      <w:bookmarkStart w:id="121" w:name="_Toc484795070"/>
      <w:bookmarkStart w:id="122" w:name="_Toc485406142"/>
      <w:r>
        <w:t>Benefits</w:t>
      </w:r>
      <w:bookmarkEnd w:id="115"/>
      <w:bookmarkEnd w:id="116"/>
      <w:bookmarkEnd w:id="117"/>
      <w:bookmarkEnd w:id="118"/>
      <w:bookmarkEnd w:id="119"/>
      <w:bookmarkEnd w:id="120"/>
      <w:bookmarkEnd w:id="121"/>
      <w:bookmarkEnd w:id="122"/>
    </w:p>
    <w:p w:rsidR="0066381C" w:rsidRDefault="0066381C" w:rsidP="0066381C">
      <w:r>
        <w:t xml:space="preserve">Maintaining the status quo would provide greater certainty to the LNG export industry and other gas market participants. However, </w:t>
      </w:r>
      <w:proofErr w:type="gramStart"/>
      <w:r>
        <w:t>most gas market participants</w:t>
      </w:r>
      <w:proofErr w:type="gramEnd"/>
      <w:r>
        <w:t xml:space="preserve"> understand the need for the Government’s concern about security of supply.</w:t>
      </w:r>
    </w:p>
    <w:p w:rsidR="0066381C" w:rsidRDefault="0066381C" w:rsidP="0066381C">
      <w:pPr>
        <w:pStyle w:val="Heading3"/>
      </w:pPr>
      <w:bookmarkStart w:id="123" w:name="_Toc482985551"/>
      <w:bookmarkStart w:id="124" w:name="_Toc483323146"/>
      <w:bookmarkStart w:id="125" w:name="_Toc484770739"/>
      <w:bookmarkStart w:id="126" w:name="_Toc484775011"/>
      <w:bookmarkStart w:id="127" w:name="_Toc484779054"/>
      <w:bookmarkStart w:id="128" w:name="_Toc484784253"/>
      <w:bookmarkStart w:id="129" w:name="_Toc484795071"/>
      <w:bookmarkStart w:id="130" w:name="_Toc485406143"/>
      <w:r>
        <w:t>Net benefit</w:t>
      </w:r>
      <w:bookmarkEnd w:id="123"/>
      <w:bookmarkEnd w:id="124"/>
      <w:bookmarkEnd w:id="125"/>
      <w:bookmarkEnd w:id="126"/>
      <w:bookmarkEnd w:id="127"/>
      <w:bookmarkEnd w:id="128"/>
      <w:bookmarkEnd w:id="129"/>
      <w:bookmarkEnd w:id="130"/>
    </w:p>
    <w:p w:rsidR="0066381C" w:rsidRPr="00A15D9F" w:rsidRDefault="0066381C" w:rsidP="0066381C">
      <w:r>
        <w:t>The cost of doing nothing outweighs the benefits. It is unacceptable to take no action.</w:t>
      </w:r>
    </w:p>
    <w:p w:rsidR="0066381C" w:rsidRPr="0069432F" w:rsidRDefault="0066381C" w:rsidP="0066381C">
      <w:pPr>
        <w:pStyle w:val="Heading2"/>
        <w:numPr>
          <w:ilvl w:val="0"/>
          <w:numId w:val="13"/>
        </w:numPr>
        <w:spacing w:line="259" w:lineRule="auto"/>
        <w:ind w:left="714" w:hanging="714"/>
      </w:pPr>
      <w:r>
        <w:tab/>
      </w:r>
      <w:bookmarkStart w:id="131" w:name="_Ref482910292"/>
      <w:bookmarkStart w:id="132" w:name="_Toc482985552"/>
      <w:bookmarkStart w:id="133" w:name="_Toc483323147"/>
      <w:bookmarkStart w:id="134" w:name="_Toc484770740"/>
      <w:bookmarkStart w:id="135" w:name="_Toc484775012"/>
      <w:bookmarkStart w:id="136" w:name="_Toc484779055"/>
      <w:bookmarkStart w:id="137" w:name="_Toc484784254"/>
      <w:bookmarkStart w:id="138" w:name="_Toc484795072"/>
      <w:bookmarkStart w:id="139" w:name="_Toc485406144"/>
      <w:r w:rsidRPr="0069432F">
        <w:t xml:space="preserve">Impact analysis: </w:t>
      </w:r>
      <w:r>
        <w:t>industry led</w:t>
      </w:r>
      <w:r w:rsidRPr="0069432F">
        <w:t xml:space="preserve"> agreement to guarantee adequate supply</w:t>
      </w:r>
      <w:bookmarkEnd w:id="131"/>
      <w:bookmarkEnd w:id="132"/>
      <w:bookmarkEnd w:id="133"/>
      <w:bookmarkEnd w:id="134"/>
      <w:bookmarkEnd w:id="135"/>
      <w:bookmarkEnd w:id="136"/>
      <w:bookmarkEnd w:id="137"/>
      <w:bookmarkEnd w:id="138"/>
      <w:bookmarkEnd w:id="139"/>
    </w:p>
    <w:p w:rsidR="0066381C" w:rsidRDefault="0066381C" w:rsidP="0066381C">
      <w:pPr>
        <w:pStyle w:val="Heading3"/>
      </w:pPr>
      <w:bookmarkStart w:id="140" w:name="_Toc482985553"/>
      <w:bookmarkStart w:id="141" w:name="_Toc483323148"/>
      <w:bookmarkStart w:id="142" w:name="_Toc484770741"/>
      <w:bookmarkStart w:id="143" w:name="_Toc484775013"/>
      <w:bookmarkStart w:id="144" w:name="_Toc484779056"/>
      <w:bookmarkStart w:id="145" w:name="_Toc484784255"/>
      <w:bookmarkStart w:id="146" w:name="_Toc484795073"/>
      <w:bookmarkStart w:id="147" w:name="_Toc485406145"/>
      <w:r>
        <w:t>Overview</w:t>
      </w:r>
      <w:bookmarkEnd w:id="140"/>
      <w:bookmarkEnd w:id="141"/>
      <w:bookmarkEnd w:id="142"/>
      <w:bookmarkEnd w:id="143"/>
      <w:bookmarkEnd w:id="144"/>
      <w:bookmarkEnd w:id="145"/>
      <w:bookmarkEnd w:id="146"/>
      <w:bookmarkEnd w:id="147"/>
    </w:p>
    <w:p w:rsidR="0066381C" w:rsidRDefault="0066381C" w:rsidP="0066381C">
      <w:r>
        <w:t xml:space="preserve">The Government would seek an agreement from exporters and other producers to guarantee an adequate gas supply to the </w:t>
      </w:r>
      <w:r w:rsidRPr="004356EC">
        <w:t>domestic market. This was the objective of the meetings between the Government and industry in March and April 2017.</w:t>
      </w:r>
      <w:r>
        <w:t xml:space="preserve"> Throughout the industry meetings, the Government made it clear that its preference was for industry to respond of its own volition, and improve supply and price outcomes without the need for Government intervention.</w:t>
      </w:r>
    </w:p>
    <w:p w:rsidR="0066381C" w:rsidRDefault="0066381C" w:rsidP="0066381C">
      <w:r>
        <w:t>This approach was effective in getting gas producers and pipeline operators to guarantee that they would supply enough gas to the NEM in times of peak demand (e.g. in heatwaves)</w:t>
      </w:r>
      <w:r>
        <w:rPr>
          <w:rStyle w:val="FootnoteReference"/>
        </w:rPr>
        <w:footnoteReference w:id="10"/>
      </w:r>
      <w:r>
        <w:rPr>
          <w:vertAlign w:val="superscript"/>
        </w:rPr>
        <w:t>,</w:t>
      </w:r>
      <w:r>
        <w:rPr>
          <w:rStyle w:val="FootnoteReference"/>
        </w:rPr>
        <w:footnoteReference w:id="11"/>
      </w:r>
      <w:r>
        <w:t xml:space="preserve">. However, east coast gas producers were unable to make a broader guarantee that the domestic gas market – not just the NEM – </w:t>
      </w:r>
      <w:proofErr w:type="gramStart"/>
      <w:r>
        <w:t>would be supplied</w:t>
      </w:r>
      <w:proofErr w:type="gramEnd"/>
      <w:r>
        <w:t xml:space="preserve"> with sufficient gas. As the Government continued its consultations (detailed in Section </w:t>
      </w:r>
      <w:r>
        <w:fldChar w:fldCharType="begin"/>
      </w:r>
      <w:r>
        <w:instrText xml:space="preserve"> REF _Ref482984392 \r \h </w:instrText>
      </w:r>
      <w:r>
        <w:fldChar w:fldCharType="separate"/>
      </w:r>
      <w:r w:rsidR="00D565EF">
        <w:t>6</w:t>
      </w:r>
      <w:r>
        <w:fldChar w:fldCharType="end"/>
      </w:r>
      <w:r>
        <w:t xml:space="preserve">), industry did not provide evidence to suggest that such an agreement </w:t>
      </w:r>
      <w:proofErr w:type="gramStart"/>
      <w:r>
        <w:t>could be reached</w:t>
      </w:r>
      <w:proofErr w:type="gramEnd"/>
      <w:r>
        <w:t xml:space="preserve">. Additionally, it is unclear how this option </w:t>
      </w:r>
      <w:proofErr w:type="gramStart"/>
      <w:r>
        <w:t>could be enforced</w:t>
      </w:r>
      <w:proofErr w:type="gramEnd"/>
      <w:r>
        <w:t xml:space="preserve"> to an extent that the domestic gas market had confidence that supply was assured.</w:t>
      </w:r>
    </w:p>
    <w:p w:rsidR="0066381C" w:rsidRDefault="0066381C" w:rsidP="0066381C">
      <w:pPr>
        <w:pStyle w:val="Heading3"/>
      </w:pPr>
      <w:bookmarkStart w:id="148" w:name="_Toc482985554"/>
      <w:bookmarkStart w:id="149" w:name="_Toc483323149"/>
      <w:bookmarkStart w:id="150" w:name="_Toc484770742"/>
      <w:bookmarkStart w:id="151" w:name="_Toc484775014"/>
      <w:bookmarkStart w:id="152" w:name="_Toc484779057"/>
      <w:bookmarkStart w:id="153" w:name="_Toc484784256"/>
      <w:bookmarkStart w:id="154" w:name="_Toc484795074"/>
      <w:bookmarkStart w:id="155" w:name="_Toc485406146"/>
      <w:r>
        <w:t>Costs</w:t>
      </w:r>
      <w:bookmarkEnd w:id="148"/>
      <w:bookmarkEnd w:id="149"/>
      <w:bookmarkEnd w:id="150"/>
      <w:bookmarkEnd w:id="151"/>
      <w:bookmarkEnd w:id="152"/>
      <w:bookmarkEnd w:id="153"/>
      <w:bookmarkEnd w:id="154"/>
      <w:bookmarkEnd w:id="155"/>
    </w:p>
    <w:p w:rsidR="0066381C" w:rsidRDefault="0066381C" w:rsidP="0066381C">
      <w:r>
        <w:t xml:space="preserve">This option would likely have no additional regulatory costs for LNG exporters.  </w:t>
      </w:r>
    </w:p>
    <w:p w:rsidR="0066381C" w:rsidRDefault="0066381C" w:rsidP="0066381C">
      <w:r>
        <w:t xml:space="preserve">Once the agreement was developed, this option is likely to have ongoing business costs, depending on the terms of the agreement. As the agreement </w:t>
      </w:r>
      <w:proofErr w:type="gramStart"/>
      <w:r>
        <w:t>would be co-designed and enforced by industry,</w:t>
      </w:r>
      <w:proofErr w:type="gramEnd"/>
      <w:r>
        <w:t xml:space="preserve"> any additional costs would be taken voluntarily, and would form part of the exporters’ social licence to operate; i.e. the costs would be an industry-accepted “cost of doing business”.</w:t>
      </w:r>
    </w:p>
    <w:p w:rsidR="0066381C" w:rsidRDefault="0066381C" w:rsidP="0066381C">
      <w:r>
        <w:t xml:space="preserve">A major drawback of this option is that the Government would not be in a position to intervene if exporters did not provide the domestic market with enough gas. By the time a shortfall was apparent, the negative effects </w:t>
      </w:r>
      <w:proofErr w:type="gramStart"/>
      <w:r>
        <w:t>would already be passed on</w:t>
      </w:r>
      <w:proofErr w:type="gramEnd"/>
      <w:r>
        <w:t xml:space="preserve"> to domestic gas consumers in the form of lower reliability and higher prices. In other words, the risk of an export-driven supply shortfall (and the associated flow-on effects) would still be borne by domestic gas consumers. This presents significant risks of industrial demand destruction. </w:t>
      </w:r>
    </w:p>
    <w:p w:rsidR="0066381C" w:rsidRDefault="0066381C" w:rsidP="0066381C">
      <w:r>
        <w:lastRenderedPageBreak/>
        <w:t xml:space="preserve">Further, it is unlikely that LNG exporters would agree to guarantee a quantity of gas to the domestic market that </w:t>
      </w:r>
      <w:proofErr w:type="gramStart"/>
      <w:r>
        <w:t>is deemed</w:t>
      </w:r>
      <w:proofErr w:type="gramEnd"/>
      <w:r>
        <w:t xml:space="preserve"> sufficient by consumers and the Government. Such agreements may also take a long time to </w:t>
      </w:r>
      <w:proofErr w:type="gramStart"/>
      <w:r>
        <w:t>be reached</w:t>
      </w:r>
      <w:proofErr w:type="gramEnd"/>
      <w:r>
        <w:t xml:space="preserve">. As discussed in Section </w:t>
      </w:r>
      <w:r>
        <w:fldChar w:fldCharType="begin"/>
      </w:r>
      <w:r>
        <w:instrText xml:space="preserve"> REF _Ref482795170 \r \h </w:instrText>
      </w:r>
      <w:r>
        <w:fldChar w:fldCharType="separate"/>
      </w:r>
      <w:r w:rsidR="00D565EF">
        <w:t>3</w:t>
      </w:r>
      <w:r>
        <w:fldChar w:fldCharType="end"/>
      </w:r>
      <w:r>
        <w:t>, the Government has previously met with gas exporters and producers on the east coast, and given them the opportunity to improve supply and price outcomes of their own volition. Despite making progress, not all of the east coast LNG exporters satisfactorily outlined their plans to contribute a sufficient supply of gas to the domestic market. While the costs are unlikely to reach the levels of the status quo option, it is likely that this option would result in some users exiting the market, resulting in a loss of jobs and economic output.</w:t>
      </w:r>
    </w:p>
    <w:p w:rsidR="0066381C" w:rsidRDefault="0066381C" w:rsidP="0066381C">
      <w:pPr>
        <w:pStyle w:val="Heading3"/>
      </w:pPr>
      <w:bookmarkStart w:id="156" w:name="_Toc482985555"/>
      <w:bookmarkStart w:id="157" w:name="_Toc483323150"/>
      <w:bookmarkStart w:id="158" w:name="_Toc484770743"/>
      <w:bookmarkStart w:id="159" w:name="_Toc484775015"/>
      <w:bookmarkStart w:id="160" w:name="_Toc484779058"/>
      <w:bookmarkStart w:id="161" w:name="_Toc484784257"/>
      <w:bookmarkStart w:id="162" w:name="_Toc484795075"/>
      <w:bookmarkStart w:id="163" w:name="_Toc485406147"/>
      <w:r>
        <w:t>Benefits</w:t>
      </w:r>
      <w:bookmarkEnd w:id="156"/>
      <w:bookmarkEnd w:id="157"/>
      <w:bookmarkEnd w:id="158"/>
      <w:bookmarkEnd w:id="159"/>
      <w:bookmarkEnd w:id="160"/>
      <w:bookmarkEnd w:id="161"/>
      <w:bookmarkEnd w:id="162"/>
      <w:bookmarkEnd w:id="163"/>
    </w:p>
    <w:p w:rsidR="0066381C" w:rsidRDefault="0066381C" w:rsidP="0066381C">
      <w:r>
        <w:t xml:space="preserve">A commitment from exporters to provide the domestic market with an adequate supply of gas might decrease the likelihood, and perceived likelihood of a shortfall. If this happened, then this would ease supply and price pressures. However, unless the agreement outlined substantial consequences for failing </w:t>
      </w:r>
      <w:proofErr w:type="gramStart"/>
      <w:r>
        <w:t>to adequately supply</w:t>
      </w:r>
      <w:proofErr w:type="gramEnd"/>
      <w:r>
        <w:t xml:space="preserve"> the domestic market, these positive effects are unlikely to eventuate and are potentially small in magnitude.</w:t>
      </w:r>
    </w:p>
    <w:p w:rsidR="0066381C" w:rsidRPr="005D559F" w:rsidRDefault="0066381C" w:rsidP="0066381C">
      <w:pPr>
        <w:pStyle w:val="Heading3"/>
      </w:pPr>
      <w:bookmarkStart w:id="164" w:name="_Toc482985556"/>
      <w:bookmarkStart w:id="165" w:name="_Toc483323151"/>
      <w:bookmarkStart w:id="166" w:name="_Toc484770744"/>
      <w:bookmarkStart w:id="167" w:name="_Toc484775016"/>
      <w:bookmarkStart w:id="168" w:name="_Toc484779059"/>
      <w:bookmarkStart w:id="169" w:name="_Toc484784258"/>
      <w:bookmarkStart w:id="170" w:name="_Toc484795076"/>
      <w:bookmarkStart w:id="171" w:name="_Toc485406148"/>
      <w:r>
        <w:t>Net benefit</w:t>
      </w:r>
      <w:bookmarkEnd w:id="164"/>
      <w:bookmarkEnd w:id="165"/>
      <w:bookmarkEnd w:id="166"/>
      <w:bookmarkEnd w:id="167"/>
      <w:bookmarkEnd w:id="168"/>
      <w:bookmarkEnd w:id="169"/>
      <w:bookmarkEnd w:id="170"/>
      <w:bookmarkEnd w:id="171"/>
    </w:p>
    <w:p w:rsidR="0066381C" w:rsidRPr="005D559F" w:rsidRDefault="0066381C" w:rsidP="0066381C">
      <w:r>
        <w:t xml:space="preserve">If this option fails, or is perceived to be likely to fail, then it is likely to lead to reduced economic activity in Australian gas-reliant industries. Additionally, the likelihood of realising any benefit is small. The net benefit of this option is uncertain and potentially negligible.  </w:t>
      </w:r>
    </w:p>
    <w:p w:rsidR="0066381C" w:rsidRPr="00150C11" w:rsidRDefault="0066381C" w:rsidP="0066381C">
      <w:pPr>
        <w:pStyle w:val="Heading2"/>
        <w:numPr>
          <w:ilvl w:val="0"/>
          <w:numId w:val="13"/>
        </w:numPr>
        <w:spacing w:line="259" w:lineRule="auto"/>
        <w:ind w:left="709" w:hanging="709"/>
      </w:pPr>
      <w:r>
        <w:tab/>
      </w:r>
      <w:bookmarkStart w:id="172" w:name="_Toc483323152"/>
      <w:bookmarkStart w:id="173" w:name="_Ref484427154"/>
      <w:bookmarkStart w:id="174" w:name="_Toc484770745"/>
      <w:bookmarkStart w:id="175" w:name="_Toc484775017"/>
      <w:bookmarkStart w:id="176" w:name="_Toc484779060"/>
      <w:bookmarkStart w:id="177" w:name="_Toc484784259"/>
      <w:bookmarkStart w:id="178" w:name="_Toc484795077"/>
      <w:bookmarkStart w:id="179" w:name="_Toc485406149"/>
      <w:bookmarkStart w:id="180" w:name="_Ref482910282"/>
      <w:bookmarkStart w:id="181" w:name="_Toc482985557"/>
      <w:r w:rsidRPr="00150C11">
        <w:t>Impact analysis: gas reservation</w:t>
      </w:r>
      <w:bookmarkEnd w:id="172"/>
      <w:bookmarkEnd w:id="173"/>
      <w:bookmarkEnd w:id="174"/>
      <w:bookmarkEnd w:id="175"/>
      <w:bookmarkEnd w:id="176"/>
      <w:bookmarkEnd w:id="177"/>
      <w:bookmarkEnd w:id="178"/>
      <w:bookmarkEnd w:id="179"/>
      <w:r w:rsidRPr="00150C11">
        <w:t xml:space="preserve"> </w:t>
      </w:r>
      <w:bookmarkEnd w:id="180"/>
      <w:bookmarkEnd w:id="181"/>
    </w:p>
    <w:p w:rsidR="0066381C" w:rsidRDefault="0066381C" w:rsidP="0066381C">
      <w:pPr>
        <w:pStyle w:val="Heading3"/>
      </w:pPr>
      <w:bookmarkStart w:id="182" w:name="_Toc482985558"/>
      <w:bookmarkStart w:id="183" w:name="_Toc483323153"/>
      <w:bookmarkStart w:id="184" w:name="_Toc484770746"/>
      <w:bookmarkStart w:id="185" w:name="_Toc484775018"/>
      <w:bookmarkStart w:id="186" w:name="_Toc484779061"/>
      <w:bookmarkStart w:id="187" w:name="_Toc484784260"/>
      <w:bookmarkStart w:id="188" w:name="_Toc484795078"/>
      <w:bookmarkStart w:id="189" w:name="_Toc485406150"/>
      <w:r>
        <w:t>Overview</w:t>
      </w:r>
      <w:bookmarkEnd w:id="182"/>
      <w:bookmarkEnd w:id="183"/>
      <w:bookmarkEnd w:id="184"/>
      <w:bookmarkEnd w:id="185"/>
      <w:bookmarkEnd w:id="186"/>
      <w:bookmarkEnd w:id="187"/>
      <w:bookmarkEnd w:id="188"/>
      <w:bookmarkEnd w:id="189"/>
    </w:p>
    <w:p w:rsidR="0066381C" w:rsidRDefault="0066381C" w:rsidP="0066381C">
      <w:r>
        <w:t>A gas reservation policy would require exporters to make a quota of gas available to the domestic market. Although a reservation policy would provide extra security to the domestic market, it would also present a number of difficulties.</w:t>
      </w:r>
    </w:p>
    <w:p w:rsidR="0066381C" w:rsidRDefault="0066381C" w:rsidP="0066381C">
      <w:r>
        <w:t xml:space="preserve">Firstly, it would be difficult to target this option only at exporters, in order to meet the policy objective of preventing an export-driven shortfall. This is because it is hard to identify the point along the value chain at which the percentage </w:t>
      </w:r>
      <w:proofErr w:type="gramStart"/>
      <w:r>
        <w:t>should be applied</w:t>
      </w:r>
      <w:proofErr w:type="gramEnd"/>
      <w:r>
        <w:t>, for example:</w:t>
      </w:r>
    </w:p>
    <w:p w:rsidR="0066381C" w:rsidRPr="00184C48" w:rsidRDefault="0066381C" w:rsidP="0066381C">
      <w:pPr>
        <w:pStyle w:val="ListParagraph"/>
        <w:numPr>
          <w:ilvl w:val="0"/>
          <w:numId w:val="15"/>
        </w:numPr>
        <w:spacing w:after="160" w:line="259" w:lineRule="auto"/>
        <w:ind w:left="760" w:hanging="357"/>
        <w:contextualSpacing w:val="0"/>
      </w:pPr>
      <w:r>
        <w:t xml:space="preserve">If the percentage </w:t>
      </w:r>
      <w:proofErr w:type="gramStart"/>
      <w:r>
        <w:t>is applied</w:t>
      </w:r>
      <w:proofErr w:type="gramEnd"/>
      <w:r>
        <w:t xml:space="preserve"> to the gas that an LNG exporter produces from its own fields, then it dis-incentivises the development of new gas, and encourages exporters to purchase </w:t>
      </w:r>
      <w:r w:rsidRPr="00184C48">
        <w:t>from third parties. This would contradict the Government’s intent to encourage a productive</w:t>
      </w:r>
      <w:r>
        <w:t xml:space="preserve">, socially </w:t>
      </w:r>
      <w:r w:rsidRPr="00184C48">
        <w:t>responsible LNG industry.</w:t>
      </w:r>
    </w:p>
    <w:p w:rsidR="0066381C" w:rsidRPr="00184C48" w:rsidRDefault="0066381C" w:rsidP="0066381C">
      <w:pPr>
        <w:pStyle w:val="ListParagraph"/>
        <w:numPr>
          <w:ilvl w:val="0"/>
          <w:numId w:val="15"/>
        </w:numPr>
        <w:spacing w:after="160" w:line="259" w:lineRule="auto"/>
        <w:ind w:left="760" w:hanging="357"/>
        <w:contextualSpacing w:val="0"/>
      </w:pPr>
      <w:r w:rsidRPr="00184C48">
        <w:t xml:space="preserve">If the percentage is applied to the third party producers from which an LNG exporter purchases gas, </w:t>
      </w:r>
      <w:r>
        <w:t>then it</w:t>
      </w:r>
      <w:r w:rsidRPr="00184C48">
        <w:t xml:space="preserve"> pushes the cost of mitigating an export-driven shortfall onto producers that </w:t>
      </w:r>
      <w:proofErr w:type="gramStart"/>
      <w:r w:rsidRPr="00184C48">
        <w:t>aren’t</w:t>
      </w:r>
      <w:proofErr w:type="gramEnd"/>
      <w:r w:rsidRPr="00184C48">
        <w:t xml:space="preserve"> involved in exports</w:t>
      </w:r>
      <w:r>
        <w:t>, without having any impact on exporters</w:t>
      </w:r>
      <w:r w:rsidRPr="00184C48">
        <w:t xml:space="preserve">. </w:t>
      </w:r>
    </w:p>
    <w:p w:rsidR="0066381C" w:rsidRDefault="0066381C" w:rsidP="0066381C">
      <w:pPr>
        <w:pStyle w:val="ListParagraph"/>
        <w:numPr>
          <w:ilvl w:val="0"/>
          <w:numId w:val="15"/>
        </w:numPr>
        <w:spacing w:after="160" w:line="259" w:lineRule="auto"/>
        <w:contextualSpacing w:val="0"/>
      </w:pPr>
      <w:r>
        <w:t xml:space="preserve">If the percentage </w:t>
      </w:r>
      <w:proofErr w:type="gramStart"/>
      <w:r>
        <w:t>is applied</w:t>
      </w:r>
      <w:proofErr w:type="gramEnd"/>
      <w:r>
        <w:t xml:space="preserve"> to an LNG exporter after it purchases gas from a third party, then, using the 15 per cent example, an exporter could just purchase 115 per cent of the gas it wanted, and sell the remainder to the domestic market. This would do nothing to ease supply pressures for domestic gas consumers. </w:t>
      </w:r>
    </w:p>
    <w:p w:rsidR="0066381C" w:rsidRDefault="0066381C" w:rsidP="0066381C">
      <w:r>
        <w:t xml:space="preserve">Secondly, if a blanket reservation policy </w:t>
      </w:r>
      <w:proofErr w:type="gramStart"/>
      <w:r>
        <w:t>was</w:t>
      </w:r>
      <w:proofErr w:type="gramEnd"/>
      <w:r>
        <w:t xml:space="preserve"> effectively targeted at exporters, it would spread the cost of preventing a shortfall across projects that did not contribute to it. This would shift </w:t>
      </w:r>
      <w:r>
        <w:lastRenderedPageBreak/>
        <w:t>accountability away from exporters that have had a negative impact on the domestic market onto exporters whose operations may have resulted in a net benefit to the domestic market.</w:t>
      </w:r>
    </w:p>
    <w:p w:rsidR="0066381C" w:rsidRDefault="0066381C" w:rsidP="0066381C">
      <w:r>
        <w:t>Similarly, i</w:t>
      </w:r>
      <w:r w:rsidRPr="00863881">
        <w:t xml:space="preserve">f the percentage </w:t>
      </w:r>
      <w:r>
        <w:t>was</w:t>
      </w:r>
      <w:r w:rsidRPr="00863881">
        <w:t xml:space="preserve"> applied based on the quantity of LNG that an exporter </w:t>
      </w:r>
      <w:r>
        <w:t>ships overseas</w:t>
      </w:r>
      <w:r w:rsidRPr="00863881">
        <w:t xml:space="preserve">, or the exporter’s nameplate capacity, then it </w:t>
      </w:r>
      <w:r>
        <w:t>would</w:t>
      </w:r>
      <w:r w:rsidRPr="00863881">
        <w:t xml:space="preserve"> not discriminate between an exporter that produced all of its feed</w:t>
      </w:r>
      <w:r>
        <w:t>-</w:t>
      </w:r>
      <w:r w:rsidRPr="00863881">
        <w:t>gas itself, and an exporter that sourced all</w:t>
      </w:r>
      <w:r>
        <w:t xml:space="preserve"> (or part)</w:t>
      </w:r>
      <w:r w:rsidRPr="00863881">
        <w:t xml:space="preserve"> of its gas from third parties. This </w:t>
      </w:r>
      <w:r>
        <w:t>would not</w:t>
      </w:r>
      <w:r w:rsidRPr="00863881">
        <w:t xml:space="preserve"> </w:t>
      </w:r>
      <w:r>
        <w:t>incentivise</w:t>
      </w:r>
      <w:r w:rsidRPr="00863881">
        <w:t xml:space="preserve"> exporters to produce additional gas.</w:t>
      </w:r>
    </w:p>
    <w:p w:rsidR="0066381C" w:rsidRDefault="0066381C" w:rsidP="0066381C">
      <w:r>
        <w:t xml:space="preserve">Thirdly, a reservation policy would increase the real cost to LNG projects in circumstances where the domestic market was already well supplied. This would reduce the potential profitability of LNG exports. However, the </w:t>
      </w:r>
      <w:proofErr w:type="gramStart"/>
      <w:r>
        <w:t>flip</w:t>
      </w:r>
      <w:proofErr w:type="gramEnd"/>
      <w:r>
        <w:t xml:space="preserve"> side of this is that when LNG projects are exporting large quantities of LNG, the domestic market would be supplied with a large quantity of gas. This extra supply could help</w:t>
      </w:r>
      <w:r w:rsidRPr="000333C7">
        <w:t xml:space="preserve"> driv</w:t>
      </w:r>
      <w:r>
        <w:t>e</w:t>
      </w:r>
      <w:r w:rsidRPr="000333C7">
        <w:t xml:space="preserve"> down domestic prices.</w:t>
      </w:r>
    </w:p>
    <w:p w:rsidR="0066381C" w:rsidRPr="0069432F" w:rsidRDefault="0066381C" w:rsidP="0066381C">
      <w:r>
        <w:t xml:space="preserve">Fourthly, it would be challenging to develop a comprehensive gas reservation framework that </w:t>
      </w:r>
      <w:proofErr w:type="gramStart"/>
      <w:r>
        <w:t>could be agreed</w:t>
      </w:r>
      <w:proofErr w:type="gramEnd"/>
      <w:r>
        <w:t xml:space="preserve"> by the Australian and all State and Territory Governments in Australia within a reasonable timeframe to address near term market concerns. It is likely that such framework would only be prospective rather than </w:t>
      </w:r>
      <w:proofErr w:type="gramStart"/>
      <w:r>
        <w:t>retrospective which</w:t>
      </w:r>
      <w:proofErr w:type="gramEnd"/>
      <w:r>
        <w:t xml:space="preserve"> would mean that it would only begin to incrementally influence market supply as new gas supply projects were developed rather than having an immediate or near term impact.</w:t>
      </w:r>
    </w:p>
    <w:p w:rsidR="0066381C" w:rsidRDefault="0066381C" w:rsidP="0066381C">
      <w:pPr>
        <w:pStyle w:val="Heading3"/>
      </w:pPr>
      <w:bookmarkStart w:id="190" w:name="_Toc482985559"/>
      <w:bookmarkStart w:id="191" w:name="_Toc483323154"/>
      <w:bookmarkStart w:id="192" w:name="_Toc484770747"/>
      <w:bookmarkStart w:id="193" w:name="_Toc484775019"/>
      <w:bookmarkStart w:id="194" w:name="_Toc484779062"/>
      <w:bookmarkStart w:id="195" w:name="_Toc484784261"/>
      <w:bookmarkStart w:id="196" w:name="_Toc484795079"/>
      <w:bookmarkStart w:id="197" w:name="_Toc485406151"/>
      <w:r>
        <w:t>Costs</w:t>
      </w:r>
      <w:bookmarkEnd w:id="190"/>
      <w:bookmarkEnd w:id="191"/>
      <w:bookmarkEnd w:id="192"/>
      <w:bookmarkEnd w:id="193"/>
      <w:bookmarkEnd w:id="194"/>
      <w:bookmarkEnd w:id="195"/>
      <w:bookmarkEnd w:id="196"/>
      <w:bookmarkEnd w:id="197"/>
    </w:p>
    <w:p w:rsidR="0066381C" w:rsidRDefault="0066381C" w:rsidP="0066381C">
      <w:r>
        <w:t xml:space="preserve">There are negligible regulatory costs associated with LNG exporters complying with gas reservation policies. </w:t>
      </w:r>
    </w:p>
    <w:p w:rsidR="0066381C" w:rsidRDefault="0066381C" w:rsidP="0066381C">
      <w:r w:rsidRPr="000333C7">
        <w:t>There is, however, potential for substantial business costs. As an example, consider the three east coast LNG exporters operating out of Gladstone, who have a combined nameplate capacity of 25.3 million tonnes per annum (</w:t>
      </w:r>
      <w:proofErr w:type="spellStart"/>
      <w:r w:rsidRPr="000333C7">
        <w:t>Mtpa</w:t>
      </w:r>
      <w:proofErr w:type="spellEnd"/>
      <w:r w:rsidRPr="000333C7">
        <w:t>). Five per cent (a third of WA’s 15 per cent reservation</w:t>
      </w:r>
      <w:r>
        <w:t xml:space="preserve"> policy</w:t>
      </w:r>
      <w:r w:rsidRPr="000333C7">
        <w:t>) of this is nearly 1.3 Mt, which is equivalent to 70 PJ, or just over a tenth of east coast domestic demand. At the March 2017 export unit value for Australian LNG ($8.30/GJ</w:t>
      </w:r>
      <w:r w:rsidRPr="000333C7">
        <w:rPr>
          <w:rStyle w:val="FootnoteReference"/>
        </w:rPr>
        <w:footnoteReference w:id="12"/>
      </w:r>
      <w:r w:rsidRPr="000333C7">
        <w:t>)</w:t>
      </w:r>
      <w:proofErr w:type="gramStart"/>
      <w:r w:rsidRPr="000333C7">
        <w:t>,</w:t>
      </w:r>
      <w:proofErr w:type="gramEnd"/>
      <w:r w:rsidRPr="000333C7">
        <w:t xml:space="preserve"> this volume would be worth over $580 million</w:t>
      </w:r>
      <w:r w:rsidRPr="000333C7">
        <w:rPr>
          <w:rStyle w:val="FootnoteReference"/>
        </w:rPr>
        <w:footnoteReference w:id="13"/>
      </w:r>
      <w:r w:rsidRPr="000333C7">
        <w:t xml:space="preserve">. Depending on the price of gas domestically, compared with internationally, this could have significant impacts on LNG exporters’ profitability, particularly if the domestic market </w:t>
      </w:r>
      <w:proofErr w:type="gramStart"/>
      <w:r w:rsidRPr="000333C7">
        <w:t>was already adequately supplied</w:t>
      </w:r>
      <w:proofErr w:type="gramEnd"/>
      <w:r w:rsidRPr="000333C7">
        <w:t>. This is evident in Western Australia, where domestic spot prices are well below LNG spot prices</w:t>
      </w:r>
      <w:r w:rsidRPr="000333C7">
        <w:rPr>
          <w:rStyle w:val="FootnoteReference"/>
        </w:rPr>
        <w:footnoteReference w:id="14"/>
      </w:r>
      <w:r w:rsidRPr="000333C7">
        <w:t>. Lower domestic prices could also discourage exploration and development aimed at supplying the domestic market.</w:t>
      </w:r>
    </w:p>
    <w:p w:rsidR="0066381C" w:rsidRDefault="0066381C" w:rsidP="0066381C">
      <w:r>
        <w:t xml:space="preserve">The retrospective application of a gas reservation policy would introduce the risk of LNG exporters not being able fulfil contractual volumes with buyers, if gas field production could not be ramped up to meet the additional supply required under the reservation requirements. Undelivered LNG cargoes would incur penalties, however the terms of LNG sales-purchase contracts are confidential, </w:t>
      </w:r>
      <w:r>
        <w:lastRenderedPageBreak/>
        <w:t xml:space="preserve">and it is therefore not possible to quantify the cost on exporters or if force majeure clauses would apply.  </w:t>
      </w:r>
    </w:p>
    <w:p w:rsidR="0066381C" w:rsidRPr="00FC76A2" w:rsidRDefault="0066381C" w:rsidP="0066381C">
      <w:r w:rsidRPr="00FC76A2">
        <w:t xml:space="preserve">Applying a </w:t>
      </w:r>
      <w:proofErr w:type="gramStart"/>
      <w:r w:rsidRPr="00FC76A2">
        <w:t xml:space="preserve">blanket gas reservation </w:t>
      </w:r>
      <w:r>
        <w:t>policy</w:t>
      </w:r>
      <w:proofErr w:type="gramEnd"/>
      <w:r>
        <w:t xml:space="preserve"> </w:t>
      </w:r>
      <w:r w:rsidRPr="00FC76A2">
        <w:t xml:space="preserve">would </w:t>
      </w:r>
      <w:r>
        <w:t xml:space="preserve">also </w:t>
      </w:r>
      <w:r w:rsidRPr="00FC76A2">
        <w:t>carry</w:t>
      </w:r>
      <w:r>
        <w:t xml:space="preserve"> a high level of sovereign risk.</w:t>
      </w:r>
      <w:r w:rsidRPr="00FC76A2">
        <w:t xml:space="preserve"> </w:t>
      </w:r>
      <w:r>
        <w:t xml:space="preserve">LNG projects require billions of dollars in upfront exploration and infrastructure investment. Australian and overseas investors make their investment decisions with the knowledge that Australia has a historically stable regulatory environment. Applying a reservation policy retrospectively would reduce the profitability of all LNG projects by changing the rules under which investors made their final investment decisions. It might also </w:t>
      </w:r>
      <w:proofErr w:type="gramStart"/>
      <w:r>
        <w:t>impact</w:t>
      </w:r>
      <w:proofErr w:type="gramEnd"/>
      <w:r>
        <w:t xml:space="preserve"> the ability of exporters to meet their contracts</w:t>
      </w:r>
      <w:r>
        <w:rPr>
          <w:rStyle w:val="FootnoteReference"/>
        </w:rPr>
        <w:footnoteReference w:id="15"/>
      </w:r>
      <w:r>
        <w:t xml:space="preserve">, given their economically viable levels of production, and would inflexibly change the parameters under which the exporters can do business. </w:t>
      </w:r>
    </w:p>
    <w:p w:rsidR="0066381C" w:rsidRDefault="0066381C" w:rsidP="0066381C">
      <w:r w:rsidRPr="00997DB4">
        <w:t>If the reservation policy was applied at all times (</w:t>
      </w:r>
      <w:r>
        <w:t xml:space="preserve">see Section </w:t>
      </w:r>
      <w:r>
        <w:fldChar w:fldCharType="begin"/>
      </w:r>
      <w:r>
        <w:instrText xml:space="preserve"> REF _Ref483392562 \r \h </w:instrText>
      </w:r>
      <w:r>
        <w:fldChar w:fldCharType="separate"/>
      </w:r>
      <w:r w:rsidR="00D565EF">
        <w:t>4.3</w:t>
      </w:r>
      <w:r>
        <w:fldChar w:fldCharType="end"/>
      </w:r>
      <w:r w:rsidRPr="00997DB4">
        <w:t xml:space="preserve">), then it is possible that the domestic market would become oversupplied, and prices would become artificially low. This would have the effect of shifting a cost from </w:t>
      </w:r>
      <w:r>
        <w:t>domestic gas consumers</w:t>
      </w:r>
      <w:r w:rsidRPr="00997DB4">
        <w:t xml:space="preserve">, to producers. Several studies have argued that </w:t>
      </w:r>
      <w:r>
        <w:t>this results in</w:t>
      </w:r>
      <w:r w:rsidRPr="00997DB4">
        <w:t xml:space="preserve"> an overall loss to the economy, because resources could be allocated more </w:t>
      </w:r>
      <w:r w:rsidRPr="009D4A37">
        <w:t>efficiently</w:t>
      </w:r>
      <w:r w:rsidRPr="009D4A37">
        <w:rPr>
          <w:rStyle w:val="FootnoteReference"/>
        </w:rPr>
        <w:footnoteReference w:id="16"/>
      </w:r>
      <w:proofErr w:type="gramStart"/>
      <w:r w:rsidRPr="009D4A37">
        <w:rPr>
          <w:vertAlign w:val="superscript"/>
        </w:rPr>
        <w:t>,</w:t>
      </w:r>
      <w:r w:rsidRPr="009D4A37">
        <w:rPr>
          <w:rStyle w:val="FootnoteReference"/>
        </w:rPr>
        <w:footnoteReference w:id="17"/>
      </w:r>
      <w:r w:rsidRPr="009D4A37">
        <w:t>.</w:t>
      </w:r>
      <w:proofErr w:type="gramEnd"/>
      <w:r w:rsidRPr="00997DB4">
        <w:t xml:space="preserve"> It </w:t>
      </w:r>
      <w:proofErr w:type="gramStart"/>
      <w:r w:rsidRPr="00997DB4">
        <w:t>should be noted</w:t>
      </w:r>
      <w:proofErr w:type="gramEnd"/>
      <w:r w:rsidRPr="00997DB4">
        <w:t xml:space="preserve"> that the Deloitte report that argues this point compares the effects of a reservation policy, to an environment that is entirely market driven. This is not currently the case in Australia, because some state and territory government policies restrict the exploration and development of onshore gas. An alternative view is that the lower gas prices would benefit the economy in the long run, due to reduced cost for industrial gas users like</w:t>
      </w:r>
      <w:r>
        <w:t xml:space="preserve"> </w:t>
      </w:r>
      <w:r w:rsidRPr="00997DB4">
        <w:t>manufacturers</w:t>
      </w:r>
      <w:r w:rsidRPr="00997DB4">
        <w:rPr>
          <w:rStyle w:val="FootnoteReference"/>
        </w:rPr>
        <w:footnoteReference w:id="18"/>
      </w:r>
      <w:proofErr w:type="gramStart"/>
      <w:r>
        <w:rPr>
          <w:vertAlign w:val="superscript"/>
        </w:rPr>
        <w:t xml:space="preserve">, </w:t>
      </w:r>
      <w:proofErr w:type="gramEnd"/>
      <w:r>
        <w:rPr>
          <w:rStyle w:val="FootnoteReference"/>
        </w:rPr>
        <w:footnoteReference w:id="19"/>
      </w:r>
      <w:r w:rsidRPr="00997DB4">
        <w:t>.</w:t>
      </w:r>
      <w:r>
        <w:t xml:space="preserve"> </w:t>
      </w:r>
    </w:p>
    <w:p w:rsidR="0066381C" w:rsidRPr="000333C7" w:rsidRDefault="0066381C" w:rsidP="0066381C">
      <w:r>
        <w:t xml:space="preserve">There are also potential </w:t>
      </w:r>
      <w:proofErr w:type="gramStart"/>
      <w:r>
        <w:t>long term</w:t>
      </w:r>
      <w:proofErr w:type="gramEnd"/>
      <w:r>
        <w:t xml:space="preserve"> costs for consumers. The ACCC’s 2016 </w:t>
      </w:r>
      <w:r w:rsidRPr="005E35D9">
        <w:rPr>
          <w:i/>
        </w:rPr>
        <w:t>Inquiry into the east coast gas market</w:t>
      </w:r>
      <w:r>
        <w:t xml:space="preserve"> investigated the benefits of a gas reservation policy. After considering evidence from the former Bureau of Resources and Energy Economics, and the Western Australian Economic Regulatory Authority, </w:t>
      </w:r>
      <w:r w:rsidRPr="005E35D9">
        <w:t>the ACCC recommended against reservation policies “given their likely detrimental effect on already uncertain supply”.</w:t>
      </w:r>
      <w:r>
        <w:t xml:space="preserve"> This is because, in the </w:t>
      </w:r>
      <w:proofErr w:type="gramStart"/>
      <w:r>
        <w:t>long run</w:t>
      </w:r>
      <w:proofErr w:type="gramEnd"/>
      <w:r>
        <w:t xml:space="preserve">, a reservation policy has the potential to reduce export profitability, </w:t>
      </w:r>
      <w:r w:rsidRPr="000333C7">
        <w:t>resulting in reduced levels of exploration and development, and increased pressure on supply.</w:t>
      </w:r>
    </w:p>
    <w:p w:rsidR="0066381C" w:rsidRPr="000333C7" w:rsidRDefault="0066381C" w:rsidP="0066381C">
      <w:r w:rsidRPr="000333C7">
        <w:t xml:space="preserve">Finally, under the Constitution, any regulation from the Australian Government must not discriminate based on geographical location. Therefore, a blanket reservation policy would </w:t>
      </w:r>
      <w:proofErr w:type="gramStart"/>
      <w:r w:rsidRPr="000333C7">
        <w:t>impact</w:t>
      </w:r>
      <w:proofErr w:type="gramEnd"/>
      <w:r w:rsidRPr="000333C7">
        <w:t xml:space="preserve"> exporters operating out of all Australian states and territories. Given that it is not currently physically, or economically viable to transport gas between the west and east coasts, a reservation policy would potentially impose a cost on exporters that are not in a position to increase supply to consumers experiencing a shortfall on the other side of the country.</w:t>
      </w:r>
    </w:p>
    <w:p w:rsidR="0066381C" w:rsidRDefault="0066381C" w:rsidP="0066381C">
      <w:pPr>
        <w:pStyle w:val="Heading3"/>
        <w:tabs>
          <w:tab w:val="left" w:pos="7146"/>
        </w:tabs>
      </w:pPr>
      <w:bookmarkStart w:id="198" w:name="_Toc482985560"/>
      <w:bookmarkStart w:id="199" w:name="_Toc483323155"/>
      <w:bookmarkStart w:id="200" w:name="_Toc484770748"/>
      <w:bookmarkStart w:id="201" w:name="_Toc484775020"/>
      <w:bookmarkStart w:id="202" w:name="_Toc484779063"/>
      <w:bookmarkStart w:id="203" w:name="_Toc484784262"/>
      <w:bookmarkStart w:id="204" w:name="_Toc484795080"/>
      <w:bookmarkStart w:id="205" w:name="_Toc485406152"/>
      <w:r>
        <w:t>Benefits</w:t>
      </w:r>
      <w:bookmarkEnd w:id="198"/>
      <w:bookmarkEnd w:id="199"/>
      <w:bookmarkEnd w:id="200"/>
      <w:bookmarkEnd w:id="201"/>
      <w:bookmarkEnd w:id="202"/>
      <w:bookmarkEnd w:id="203"/>
      <w:bookmarkEnd w:id="204"/>
      <w:bookmarkEnd w:id="205"/>
    </w:p>
    <w:p w:rsidR="0066381C" w:rsidRDefault="0066381C" w:rsidP="0066381C">
      <w:r>
        <w:t xml:space="preserve">The benefits of a gas reservation policy centre on the guarantee of a dedicated </w:t>
      </w:r>
      <w:proofErr w:type="gramStart"/>
      <w:r>
        <w:t>long term</w:t>
      </w:r>
      <w:proofErr w:type="gramEnd"/>
      <w:r>
        <w:t xml:space="preserve"> supply of gas for domestic gas consumers. Internationally, several countries have gas reservation policies, including Israel, Indonesia and Egypt that reserve between 30 and 60 per cent of gas production for domestic users. Providing a long term dedicated supply, particularly for industrial gas users such as </w:t>
      </w:r>
      <w:r w:rsidRPr="00997DB4">
        <w:lastRenderedPageBreak/>
        <w:t>manufacturers</w:t>
      </w:r>
      <w:r>
        <w:t xml:space="preserve">, is important as it provides certainty on the cost and availability of a critical business input. </w:t>
      </w:r>
    </w:p>
    <w:p w:rsidR="0066381C" w:rsidRDefault="0066381C" w:rsidP="0066381C">
      <w:r>
        <w:t xml:space="preserve">In the basic chemical manufacturing industry, for example, gas accounts for about 25 per cent of intermediate input costs. In other heavy manufacturing industries like glass and glass product manufacturing, ceramic product manufacturing and polymer product manufacturing, gas accounts for at least 10 per cent of the input costs. </w:t>
      </w:r>
      <w:proofErr w:type="gramStart"/>
      <w:r>
        <w:t>Therefore</w:t>
      </w:r>
      <w:proofErr w:type="gramEnd"/>
      <w:r>
        <w:t xml:space="preserve"> increasing gas prices could have a significant impact on the profitability of these industries. These industries are also significant employers. The polymer product manufacturing industry, for example, employs over 31 000 people throughout NSW, Victoria, Queensland and South Australia. </w:t>
      </w:r>
    </w:p>
    <w:p w:rsidR="0066381C" w:rsidRDefault="0066381C" w:rsidP="0066381C">
      <w:r>
        <w:t xml:space="preserve">Western Australia is the only Australian state with a broadly applied gas reservation policy. The policy, introduced prospectively rather than retrospectively, reserves 15 per cent of gas </w:t>
      </w:r>
      <w:proofErr w:type="gramStart"/>
      <w:r>
        <w:t>from each LNG export project for the domestic market, with allowances for</w:t>
      </w:r>
      <w:r w:rsidRPr="001C55B2">
        <w:t xml:space="preserve"> negotiations between the </w:t>
      </w:r>
      <w:r>
        <w:t>s</w:t>
      </w:r>
      <w:r w:rsidRPr="001C55B2">
        <w:t>tate and LNG</w:t>
      </w:r>
      <w:r>
        <w:t xml:space="preserve"> companies</w:t>
      </w:r>
      <w:r w:rsidRPr="001C55B2">
        <w:t xml:space="preserve"> t</w:t>
      </w:r>
      <w:r>
        <w:t>o occur on a case-by-case basis</w:t>
      </w:r>
      <w:proofErr w:type="gramEnd"/>
      <w:r>
        <w:t>. It should be noted that the east and west coast markets have different characteristics (e.g. infrastructure constraints, demand profiles), and it is difficult to separate the impact of a reservation policy from these factors.</w:t>
      </w:r>
    </w:p>
    <w:p w:rsidR="0066381C" w:rsidRDefault="0066381C" w:rsidP="0066381C">
      <w:r>
        <w:t xml:space="preserve">However, the western domestic gas market has significantly lower gas prices compared to the east coast. As outlined in </w:t>
      </w:r>
      <w:r>
        <w:fldChar w:fldCharType="begin"/>
      </w:r>
      <w:r>
        <w:instrText xml:space="preserve"> REF _Ref484436983 \h </w:instrText>
      </w:r>
      <w:r>
        <w:fldChar w:fldCharType="separate"/>
      </w:r>
      <w:r w:rsidR="00D565EF" w:rsidRPr="00401EDA">
        <w:t xml:space="preserve">Figure </w:t>
      </w:r>
      <w:r w:rsidR="00D565EF">
        <w:rPr>
          <w:noProof/>
        </w:rPr>
        <w:t>1</w:t>
      </w:r>
      <w:r>
        <w:fldChar w:fldCharType="end"/>
      </w:r>
      <w:r>
        <w:t>, east coast spot prices have increased as LNG production has ramped up in Gladstone</w:t>
      </w:r>
      <w:r>
        <w:rPr>
          <w:rStyle w:val="FootnoteReference"/>
        </w:rPr>
        <w:footnoteReference w:id="20"/>
      </w:r>
      <w:r>
        <w:t xml:space="preserve">. This increase is significant, with gas in April 2017 valued at roughly $9/GJ, which is about triple the price in September 2010. In Western Australia, domestic spot prices are currently below 2009 levels, at $4-5/GJ (see </w:t>
      </w:r>
      <w:r>
        <w:fldChar w:fldCharType="begin"/>
      </w:r>
      <w:r>
        <w:instrText xml:space="preserve"> REF _Ref484436986 \h </w:instrText>
      </w:r>
      <w:r>
        <w:fldChar w:fldCharType="separate"/>
      </w:r>
      <w:r w:rsidR="00D565EF" w:rsidRPr="00401EDA">
        <w:t xml:space="preserve">Figure </w:t>
      </w:r>
      <w:r w:rsidR="00D565EF">
        <w:rPr>
          <w:noProof/>
        </w:rPr>
        <w:t>2</w:t>
      </w:r>
      <w:r>
        <w:fldChar w:fldCharType="end"/>
      </w:r>
      <w:r>
        <w:t>) despite LNG export volumes nearly doubling. Domestic spot prices on the east coast have also been significantly more volatile than on the west coast.</w:t>
      </w:r>
    </w:p>
    <w:p w:rsidR="0066381C" w:rsidRDefault="0066381C" w:rsidP="0066381C">
      <w:r>
        <w:t xml:space="preserve">These trends indicate that Western Australia’s domestic market has a secure supply, regardless of how much LNG </w:t>
      </w:r>
      <w:proofErr w:type="gramStart"/>
      <w:r>
        <w:t>is exported</w:t>
      </w:r>
      <w:proofErr w:type="gramEnd"/>
      <w:r>
        <w:t xml:space="preserve">. It is probable that this security </w:t>
      </w:r>
      <w:proofErr w:type="gramStart"/>
      <w:r>
        <w:t>is achieved</w:t>
      </w:r>
      <w:proofErr w:type="gramEnd"/>
      <w:r>
        <w:t xml:space="preserve"> through Western Australia’s reservation policy, as evidenced in short-term trading market (STTM) pricing. It </w:t>
      </w:r>
      <w:proofErr w:type="gramStart"/>
      <w:r>
        <w:t>should be noted</w:t>
      </w:r>
      <w:proofErr w:type="gramEnd"/>
      <w:r>
        <w:t xml:space="preserve"> that Western Australia’s gas is primarily sourced from offshore conventional resources.</w:t>
      </w:r>
    </w:p>
    <w:p w:rsidR="0066381C" w:rsidRPr="00401EDA" w:rsidRDefault="0066381C" w:rsidP="0066381C">
      <w:pPr>
        <w:pStyle w:val="Caption"/>
        <w:keepNext/>
        <w:spacing w:after="0"/>
        <w:rPr>
          <w:sz w:val="22"/>
          <w:szCs w:val="22"/>
        </w:rPr>
      </w:pPr>
      <w:bookmarkStart w:id="206" w:name="_Ref484436983"/>
      <w:r w:rsidRPr="00401EDA">
        <w:rPr>
          <w:sz w:val="22"/>
          <w:szCs w:val="22"/>
        </w:rPr>
        <w:lastRenderedPageBreak/>
        <w:t xml:space="preserve">Figure </w:t>
      </w:r>
      <w:r w:rsidRPr="00FC00DC">
        <w:rPr>
          <w:sz w:val="22"/>
          <w:szCs w:val="22"/>
        </w:rPr>
        <w:fldChar w:fldCharType="begin"/>
      </w:r>
      <w:r w:rsidRPr="00401EDA">
        <w:rPr>
          <w:sz w:val="22"/>
          <w:szCs w:val="22"/>
        </w:rPr>
        <w:instrText xml:space="preserve"> SEQ Figure \* ARABIC </w:instrText>
      </w:r>
      <w:r w:rsidRPr="00FC00DC">
        <w:rPr>
          <w:sz w:val="22"/>
          <w:szCs w:val="22"/>
        </w:rPr>
        <w:fldChar w:fldCharType="separate"/>
      </w:r>
      <w:r w:rsidR="00D565EF">
        <w:rPr>
          <w:noProof/>
          <w:sz w:val="22"/>
          <w:szCs w:val="22"/>
        </w:rPr>
        <w:t>1</w:t>
      </w:r>
      <w:r w:rsidRPr="00FC00DC">
        <w:rPr>
          <w:sz w:val="22"/>
          <w:szCs w:val="22"/>
        </w:rPr>
        <w:fldChar w:fldCharType="end"/>
      </w:r>
      <w:bookmarkEnd w:id="206"/>
      <w:r w:rsidRPr="00401EDA">
        <w:rPr>
          <w:sz w:val="22"/>
          <w:szCs w:val="22"/>
        </w:rPr>
        <w:t xml:space="preserve">: East coast </w:t>
      </w:r>
      <w:proofErr w:type="gramStart"/>
      <w:r w:rsidRPr="00401EDA">
        <w:rPr>
          <w:sz w:val="22"/>
          <w:szCs w:val="22"/>
        </w:rPr>
        <w:t>short term</w:t>
      </w:r>
      <w:proofErr w:type="gramEnd"/>
      <w:r w:rsidRPr="00401EDA">
        <w:rPr>
          <w:sz w:val="22"/>
          <w:szCs w:val="22"/>
        </w:rPr>
        <w:t xml:space="preserve"> gas</w:t>
      </w:r>
      <w:r>
        <w:rPr>
          <w:sz w:val="22"/>
          <w:szCs w:val="22"/>
        </w:rPr>
        <w:t xml:space="preserve"> – daily</w:t>
      </w:r>
      <w:r w:rsidRPr="00401EDA">
        <w:rPr>
          <w:sz w:val="22"/>
          <w:szCs w:val="22"/>
        </w:rPr>
        <w:t xml:space="preserve"> prices</w:t>
      </w:r>
      <w:r>
        <w:rPr>
          <w:sz w:val="22"/>
          <w:szCs w:val="22"/>
        </w:rPr>
        <w:t xml:space="preserve"> (monthly average)</w:t>
      </w:r>
      <w:r>
        <w:rPr>
          <w:rStyle w:val="FootnoteReference"/>
          <w:sz w:val="22"/>
          <w:szCs w:val="22"/>
        </w:rPr>
        <w:footnoteReference w:id="21"/>
      </w:r>
    </w:p>
    <w:p w:rsidR="0066381C" w:rsidRDefault="0066381C" w:rsidP="0066381C">
      <w:pPr>
        <w:autoSpaceDE w:val="0"/>
        <w:autoSpaceDN w:val="0"/>
        <w:adjustRightInd w:val="0"/>
      </w:pPr>
      <w:r>
        <w:rPr>
          <w:noProof/>
          <w:lang w:eastAsia="en-AU"/>
        </w:rPr>
        <w:drawing>
          <wp:inline distT="0" distB="0" distL="0" distR="0" wp14:anchorId="344C19A2" wp14:editId="6680201C">
            <wp:extent cx="5617029" cy="3176776"/>
            <wp:effectExtent l="0" t="0" r="3175"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6381C" w:rsidRDefault="0066381C" w:rsidP="0066381C">
      <w:bookmarkStart w:id="207" w:name="_Toc482985561"/>
      <w:bookmarkStart w:id="208" w:name="_Toc483323156"/>
    </w:p>
    <w:p w:rsidR="0066381C" w:rsidRPr="00401EDA" w:rsidRDefault="0066381C" w:rsidP="0066381C">
      <w:pPr>
        <w:pStyle w:val="Caption"/>
        <w:keepNext/>
        <w:spacing w:after="0"/>
        <w:rPr>
          <w:sz w:val="22"/>
          <w:szCs w:val="22"/>
        </w:rPr>
      </w:pPr>
      <w:bookmarkStart w:id="209" w:name="_Ref484436986"/>
      <w:r w:rsidRPr="00401EDA">
        <w:rPr>
          <w:sz w:val="22"/>
          <w:szCs w:val="22"/>
        </w:rPr>
        <w:t xml:space="preserve">Figure </w:t>
      </w:r>
      <w:r w:rsidRPr="00FC00DC">
        <w:rPr>
          <w:sz w:val="22"/>
          <w:szCs w:val="22"/>
        </w:rPr>
        <w:fldChar w:fldCharType="begin"/>
      </w:r>
      <w:r w:rsidRPr="00401EDA">
        <w:rPr>
          <w:sz w:val="22"/>
          <w:szCs w:val="22"/>
        </w:rPr>
        <w:instrText xml:space="preserve"> SEQ Figure \* ARABIC </w:instrText>
      </w:r>
      <w:r w:rsidRPr="00FC00DC">
        <w:rPr>
          <w:sz w:val="22"/>
          <w:szCs w:val="22"/>
        </w:rPr>
        <w:fldChar w:fldCharType="separate"/>
      </w:r>
      <w:r w:rsidR="00D565EF">
        <w:rPr>
          <w:noProof/>
          <w:sz w:val="22"/>
          <w:szCs w:val="22"/>
        </w:rPr>
        <w:t>2</w:t>
      </w:r>
      <w:r w:rsidRPr="00FC00DC">
        <w:rPr>
          <w:sz w:val="22"/>
          <w:szCs w:val="22"/>
        </w:rPr>
        <w:fldChar w:fldCharType="end"/>
      </w:r>
      <w:bookmarkEnd w:id="209"/>
      <w:r w:rsidRPr="00401EDA">
        <w:rPr>
          <w:sz w:val="22"/>
          <w:szCs w:val="22"/>
        </w:rPr>
        <w:t xml:space="preserve">: Western Australian </w:t>
      </w:r>
      <w:proofErr w:type="gramStart"/>
      <w:r w:rsidRPr="00401EDA">
        <w:rPr>
          <w:sz w:val="22"/>
          <w:szCs w:val="22"/>
        </w:rPr>
        <w:t>short term</w:t>
      </w:r>
      <w:proofErr w:type="gramEnd"/>
      <w:r w:rsidRPr="00401EDA">
        <w:rPr>
          <w:sz w:val="22"/>
          <w:szCs w:val="22"/>
        </w:rPr>
        <w:t xml:space="preserve"> gas</w:t>
      </w:r>
      <w:r>
        <w:rPr>
          <w:sz w:val="22"/>
          <w:szCs w:val="22"/>
        </w:rPr>
        <w:t xml:space="preserve"> – daily</w:t>
      </w:r>
      <w:r w:rsidRPr="00401EDA">
        <w:rPr>
          <w:sz w:val="22"/>
          <w:szCs w:val="22"/>
        </w:rPr>
        <w:t xml:space="preserve"> prices</w:t>
      </w:r>
      <w:r>
        <w:rPr>
          <w:sz w:val="22"/>
          <w:szCs w:val="22"/>
        </w:rPr>
        <w:t xml:space="preserve"> (monthly average)</w:t>
      </w:r>
      <w:r>
        <w:rPr>
          <w:rStyle w:val="FootnoteReference"/>
          <w:sz w:val="22"/>
          <w:szCs w:val="22"/>
        </w:rPr>
        <w:footnoteReference w:id="22"/>
      </w:r>
    </w:p>
    <w:p w:rsidR="0066381C" w:rsidRDefault="0066381C" w:rsidP="0066381C">
      <w:r>
        <w:rPr>
          <w:noProof/>
          <w:lang w:eastAsia="en-AU"/>
        </w:rPr>
        <w:drawing>
          <wp:inline distT="0" distB="0" distL="0" distR="0" wp14:anchorId="5C5CBE38" wp14:editId="6DD0AB89">
            <wp:extent cx="5647267" cy="3327400"/>
            <wp:effectExtent l="0" t="0" r="0" b="6350"/>
            <wp:docPr id="2" name="Picture 2" descr="This graph charts the daily prices (monthly average) of short term gas in WA from July 2009 to April 2017. " title="Figure 2: Western Australian short term gas - daily prices (monthly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4" t="9731" r="796" b="1316"/>
                    <a:stretch/>
                  </pic:blipFill>
                  <pic:spPr bwMode="auto">
                    <a:xfrm>
                      <a:off x="0" y="0"/>
                      <a:ext cx="5648525" cy="3328141"/>
                    </a:xfrm>
                    <a:prstGeom prst="rect">
                      <a:avLst/>
                    </a:prstGeom>
                    <a:noFill/>
                    <a:ln>
                      <a:noFill/>
                    </a:ln>
                    <a:extLst>
                      <a:ext uri="{53640926-AAD7-44D8-BBD7-CCE9431645EC}">
                        <a14:shadowObscured xmlns:a14="http://schemas.microsoft.com/office/drawing/2010/main"/>
                      </a:ext>
                    </a:extLst>
                  </pic:spPr>
                </pic:pic>
              </a:graphicData>
            </a:graphic>
          </wp:inline>
        </w:drawing>
      </w:r>
    </w:p>
    <w:p w:rsidR="0066381C" w:rsidRDefault="0066381C" w:rsidP="0066381C"/>
    <w:p w:rsidR="0066381C" w:rsidRDefault="0066381C" w:rsidP="0066381C">
      <w:r>
        <w:lastRenderedPageBreak/>
        <w:t xml:space="preserve">According to BIS Shrapnel, Western Australia’s reservation policy has been able to supply </w:t>
      </w:r>
      <w:r w:rsidRPr="008A2041">
        <w:t>stabl</w:t>
      </w:r>
      <w:r>
        <w:t xml:space="preserve">e, secure and affordable energy to users, and enabled </w:t>
      </w:r>
      <w:r w:rsidRPr="008A2041">
        <w:t xml:space="preserve">development </w:t>
      </w:r>
      <w:r>
        <w:t xml:space="preserve">of Western Australia’s mining, minerals </w:t>
      </w:r>
      <w:r w:rsidRPr="008A2041">
        <w:t>proce</w:t>
      </w:r>
      <w:r>
        <w:t xml:space="preserve">ssing, power generation and </w:t>
      </w:r>
      <w:r w:rsidRPr="008A2041">
        <w:t>manufacturi</w:t>
      </w:r>
      <w:r>
        <w:t xml:space="preserve">ng industries. Gas reservation has also provided </w:t>
      </w:r>
      <w:r w:rsidRPr="008A2041">
        <w:t>price competition to other alternative energy</w:t>
      </w:r>
      <w:r>
        <w:t xml:space="preserve"> sources, such as coal, ensuring </w:t>
      </w:r>
      <w:proofErr w:type="gramStart"/>
      <w:r>
        <w:t xml:space="preserve">more </w:t>
      </w:r>
      <w:r w:rsidRPr="008A2041">
        <w:t>competitive energy pricing</w:t>
      </w:r>
      <w:r>
        <w:t xml:space="preserve"> overall</w:t>
      </w:r>
      <w:proofErr w:type="gramEnd"/>
      <w:r w:rsidRPr="00997DB4">
        <w:rPr>
          <w:rStyle w:val="FootnoteReference"/>
        </w:rPr>
        <w:footnoteReference w:id="23"/>
      </w:r>
      <w:r>
        <w:t xml:space="preserve">. The Western Australian Government also considers the </w:t>
      </w:r>
      <w:r w:rsidRPr="00680EDD">
        <w:t>availability of low cost g</w:t>
      </w:r>
      <w:r>
        <w:t xml:space="preserve">as to have been a </w:t>
      </w:r>
      <w:r w:rsidRPr="00680EDD">
        <w:t>m</w:t>
      </w:r>
      <w:r>
        <w:t xml:space="preserve">ajor driver of </w:t>
      </w:r>
      <w:r w:rsidRPr="00680EDD">
        <w:t>the State’s strong ec</w:t>
      </w:r>
      <w:r>
        <w:t xml:space="preserve">onomic growth over the two </w:t>
      </w:r>
      <w:r w:rsidRPr="00680EDD">
        <w:t>decades</w:t>
      </w:r>
      <w:r>
        <w:t xml:space="preserve"> to 2006</w:t>
      </w:r>
      <w:r>
        <w:rPr>
          <w:rStyle w:val="FootnoteReference"/>
        </w:rPr>
        <w:footnoteReference w:id="24"/>
      </w:r>
      <w:r>
        <w:t>.</w:t>
      </w:r>
    </w:p>
    <w:p w:rsidR="0066381C" w:rsidRPr="005D559F" w:rsidRDefault="0066381C" w:rsidP="0066381C">
      <w:pPr>
        <w:pStyle w:val="Heading3"/>
      </w:pPr>
      <w:bookmarkStart w:id="210" w:name="_Toc484770749"/>
      <w:bookmarkStart w:id="211" w:name="_Toc484775021"/>
      <w:bookmarkStart w:id="212" w:name="_Toc484779064"/>
      <w:bookmarkStart w:id="213" w:name="_Toc484784263"/>
      <w:bookmarkStart w:id="214" w:name="_Toc484795081"/>
      <w:bookmarkStart w:id="215" w:name="_Toc485406153"/>
      <w:r>
        <w:t>Net benefit</w:t>
      </w:r>
      <w:bookmarkEnd w:id="207"/>
      <w:bookmarkEnd w:id="208"/>
      <w:bookmarkEnd w:id="210"/>
      <w:bookmarkEnd w:id="211"/>
      <w:bookmarkEnd w:id="212"/>
      <w:bookmarkEnd w:id="213"/>
      <w:bookmarkEnd w:id="214"/>
      <w:bookmarkEnd w:id="215"/>
    </w:p>
    <w:p w:rsidR="0066381C" w:rsidRPr="005D559F" w:rsidRDefault="0066381C" w:rsidP="0066381C">
      <w:r>
        <w:t xml:space="preserve">In comparison to the status quo, a permanent gas reservation policy would have a substantial short to medium term net benefit for domestic gas consumers, but come at a high cost to all LNG exporters, and potentially Australia’s reputation as a low-risk destination for international investment. In the </w:t>
      </w:r>
      <w:proofErr w:type="gramStart"/>
      <w:r>
        <w:t>long run</w:t>
      </w:r>
      <w:proofErr w:type="gramEnd"/>
      <w:r>
        <w:t xml:space="preserve">, the impact of restrictions on LNG projects is likely to result in a reduction in exploration and development of new fields, because production in Australia has historically been the direct result of LNG projects. This could diminish or negate any </w:t>
      </w:r>
      <w:proofErr w:type="gramStart"/>
      <w:r>
        <w:t>long term</w:t>
      </w:r>
      <w:proofErr w:type="gramEnd"/>
      <w:r>
        <w:t xml:space="preserve"> benefit to consumers.</w:t>
      </w:r>
    </w:p>
    <w:p w:rsidR="0066381C" w:rsidRPr="00B6340C" w:rsidRDefault="0066381C" w:rsidP="0066381C">
      <w:pPr>
        <w:pStyle w:val="Heading2"/>
        <w:numPr>
          <w:ilvl w:val="0"/>
          <w:numId w:val="13"/>
        </w:numPr>
        <w:spacing w:line="259" w:lineRule="auto"/>
        <w:ind w:left="709" w:hanging="709"/>
      </w:pPr>
      <w:bookmarkStart w:id="216" w:name="_Toc484765467"/>
      <w:bookmarkStart w:id="217" w:name="_Toc484765975"/>
      <w:bookmarkStart w:id="218" w:name="_Toc484770750"/>
      <w:bookmarkEnd w:id="216"/>
      <w:bookmarkEnd w:id="217"/>
      <w:bookmarkEnd w:id="218"/>
      <w:r>
        <w:tab/>
      </w:r>
      <w:bookmarkStart w:id="219" w:name="_Ref482866830"/>
      <w:bookmarkStart w:id="220" w:name="_Toc482985562"/>
      <w:bookmarkStart w:id="221" w:name="_Toc483323157"/>
      <w:bookmarkStart w:id="222" w:name="_Toc484770751"/>
      <w:bookmarkStart w:id="223" w:name="_Toc484775022"/>
      <w:bookmarkStart w:id="224" w:name="_Toc484779065"/>
      <w:bookmarkStart w:id="225" w:name="_Toc484784264"/>
      <w:bookmarkStart w:id="226" w:name="_Toc484795082"/>
      <w:bookmarkStart w:id="227" w:name="_Toc485406154"/>
      <w:r w:rsidRPr="00B6340C">
        <w:t>Impact analysis: export controls</w:t>
      </w:r>
      <w:bookmarkEnd w:id="219"/>
      <w:bookmarkEnd w:id="220"/>
      <w:bookmarkEnd w:id="221"/>
      <w:bookmarkEnd w:id="222"/>
      <w:bookmarkEnd w:id="223"/>
      <w:bookmarkEnd w:id="224"/>
      <w:bookmarkEnd w:id="225"/>
      <w:bookmarkEnd w:id="226"/>
      <w:bookmarkEnd w:id="227"/>
    </w:p>
    <w:p w:rsidR="0066381C" w:rsidRDefault="0066381C" w:rsidP="0066381C">
      <w:pPr>
        <w:pStyle w:val="Heading3"/>
      </w:pPr>
      <w:bookmarkStart w:id="228" w:name="_Toc482985563"/>
      <w:bookmarkStart w:id="229" w:name="_Toc483323158"/>
      <w:bookmarkStart w:id="230" w:name="_Toc484770752"/>
      <w:bookmarkStart w:id="231" w:name="_Toc484775023"/>
      <w:bookmarkStart w:id="232" w:name="_Toc484779066"/>
      <w:bookmarkStart w:id="233" w:name="_Toc484784265"/>
      <w:bookmarkStart w:id="234" w:name="_Toc484795083"/>
      <w:bookmarkStart w:id="235" w:name="_Toc485406155"/>
      <w:r>
        <w:t>Overview</w:t>
      </w:r>
      <w:bookmarkEnd w:id="228"/>
      <w:bookmarkEnd w:id="229"/>
      <w:bookmarkEnd w:id="230"/>
      <w:bookmarkEnd w:id="231"/>
      <w:bookmarkEnd w:id="232"/>
      <w:bookmarkEnd w:id="233"/>
      <w:bookmarkEnd w:id="234"/>
      <w:bookmarkEnd w:id="235"/>
    </w:p>
    <w:p w:rsidR="0066381C" w:rsidRPr="0063647F" w:rsidRDefault="0066381C" w:rsidP="0066381C">
      <w:r w:rsidRPr="0063647F">
        <w:t xml:space="preserve">Export controls would work by limiting the quantity of LNG that gas exporters </w:t>
      </w:r>
      <w:proofErr w:type="gramStart"/>
      <w:r w:rsidRPr="0063647F">
        <w:t>are licensed</w:t>
      </w:r>
      <w:proofErr w:type="gramEnd"/>
      <w:r w:rsidRPr="0063647F">
        <w:t xml:space="preserve"> to ship overseas. This would increase the amount of gas available to </w:t>
      </w:r>
      <w:r>
        <w:t>domestic gas consumers</w:t>
      </w:r>
      <w:r w:rsidRPr="0063647F">
        <w:t xml:space="preserve">, by incentivising exporters to redirect their production to the domestic market. There are a number of ways to implement export controls, which </w:t>
      </w:r>
      <w:proofErr w:type="gramStart"/>
      <w:r w:rsidRPr="0063647F">
        <w:t>are discussed</w:t>
      </w:r>
      <w:proofErr w:type="gramEnd"/>
      <w:r w:rsidRPr="0063647F">
        <w:t xml:space="preserve"> in Section </w:t>
      </w:r>
      <w:r>
        <w:fldChar w:fldCharType="begin"/>
      </w:r>
      <w:r>
        <w:instrText xml:space="preserve"> REF _Ref482906600 \r \h </w:instrText>
      </w:r>
      <w:r>
        <w:fldChar w:fldCharType="separate"/>
      </w:r>
      <w:r w:rsidR="00D565EF">
        <w:t>8</w:t>
      </w:r>
      <w:r>
        <w:fldChar w:fldCharType="end"/>
      </w:r>
      <w:r w:rsidRPr="0063647F">
        <w:t xml:space="preserve">. This section focuses on the costs and benefits of implementing the ADGSM, </w:t>
      </w:r>
      <w:r>
        <w:t xml:space="preserve">which </w:t>
      </w:r>
      <w:proofErr w:type="gramStart"/>
      <w:r>
        <w:t>is</w:t>
      </w:r>
      <w:r w:rsidRPr="0063647F">
        <w:t xml:space="preserve"> outlined</w:t>
      </w:r>
      <w:proofErr w:type="gramEnd"/>
      <w:r w:rsidRPr="0063647F">
        <w:t xml:space="preserve"> in Section </w:t>
      </w:r>
      <w:r w:rsidRPr="0063647F">
        <w:fldChar w:fldCharType="begin"/>
      </w:r>
      <w:r w:rsidRPr="0063647F">
        <w:instrText xml:space="preserve"> REF _Ref482870532 \r \h </w:instrText>
      </w:r>
      <w:r>
        <w:instrText xml:space="preserve"> \* MERGEFORMAT </w:instrText>
      </w:r>
      <w:r w:rsidRPr="0063647F">
        <w:fldChar w:fldCharType="separate"/>
      </w:r>
      <w:r w:rsidR="00D565EF">
        <w:t>4.4</w:t>
      </w:r>
      <w:r w:rsidRPr="0063647F">
        <w:fldChar w:fldCharType="end"/>
      </w:r>
      <w:r>
        <w:t xml:space="preserve">. </w:t>
      </w:r>
      <w:r w:rsidRPr="0063647F">
        <w:t xml:space="preserve">Importantly, the ADGSM would only result in export controls if the domestic market </w:t>
      </w:r>
      <w:proofErr w:type="gramStart"/>
      <w:r w:rsidRPr="0063647F">
        <w:t>was</w:t>
      </w:r>
      <w:proofErr w:type="gramEnd"/>
      <w:r w:rsidRPr="0063647F">
        <w:t xml:space="preserve"> not adequately supplied.</w:t>
      </w:r>
    </w:p>
    <w:p w:rsidR="0066381C" w:rsidRDefault="0066381C" w:rsidP="0066381C">
      <w:pPr>
        <w:pStyle w:val="Heading3"/>
      </w:pPr>
      <w:bookmarkStart w:id="236" w:name="_Toc482985564"/>
      <w:bookmarkStart w:id="237" w:name="_Toc483323159"/>
      <w:bookmarkStart w:id="238" w:name="_Toc484770753"/>
      <w:bookmarkStart w:id="239" w:name="_Toc484775024"/>
      <w:bookmarkStart w:id="240" w:name="_Toc484779067"/>
      <w:bookmarkStart w:id="241" w:name="_Toc484784266"/>
      <w:bookmarkStart w:id="242" w:name="_Toc484795084"/>
      <w:bookmarkStart w:id="243" w:name="_Toc485406156"/>
      <w:r>
        <w:t>Costs</w:t>
      </w:r>
      <w:bookmarkEnd w:id="236"/>
      <w:bookmarkEnd w:id="237"/>
      <w:bookmarkEnd w:id="238"/>
      <w:bookmarkEnd w:id="239"/>
      <w:bookmarkEnd w:id="240"/>
      <w:bookmarkEnd w:id="241"/>
      <w:bookmarkEnd w:id="242"/>
      <w:bookmarkEnd w:id="243"/>
    </w:p>
    <w:p w:rsidR="0066381C" w:rsidRDefault="0066381C" w:rsidP="0066381C">
      <w:r>
        <w:t xml:space="preserve">The regulatory costs to industry associated with this option are largely administrative. Costs </w:t>
      </w:r>
      <w:proofErr w:type="gramStart"/>
      <w:r>
        <w:t>have been estimated</w:t>
      </w:r>
      <w:proofErr w:type="gramEnd"/>
      <w:r>
        <w:t xml:space="preserve"> based on the labour required to comply with each step of the process. This RIS estimates the total regulatory cost to the gas industry to be </w:t>
      </w:r>
      <w:r w:rsidRPr="00160F19">
        <w:t>approximately $1</w:t>
      </w:r>
      <w:r>
        <w:t>80</w:t>
      </w:r>
      <w:r w:rsidRPr="00160F19">
        <w:t>,000 per annum.</w:t>
      </w:r>
      <w:r>
        <w:t xml:space="preserve"> A full breakdown of this estimate, including assumptions and caveats </w:t>
      </w:r>
      <w:proofErr w:type="gramStart"/>
      <w:r>
        <w:t>is detailed</w:t>
      </w:r>
      <w:proofErr w:type="gramEnd"/>
      <w:r>
        <w:t xml:space="preserve"> in Appendix B. This figure is relatively insignificant in an industry where the yearly revenue for an export project </w:t>
      </w:r>
      <w:proofErr w:type="gramStart"/>
      <w:r>
        <w:t>is measured</w:t>
      </w:r>
      <w:proofErr w:type="gramEnd"/>
      <w:r>
        <w:t xml:space="preserve"> in billions. </w:t>
      </w:r>
      <w:r w:rsidRPr="0093075F">
        <w:t xml:space="preserve">A regulatory offset </w:t>
      </w:r>
      <w:proofErr w:type="gramStart"/>
      <w:r w:rsidRPr="0093075F">
        <w:t>has not been identified</w:t>
      </w:r>
      <w:proofErr w:type="gramEnd"/>
      <w:r w:rsidRPr="0093075F">
        <w:t xml:space="preserve">. </w:t>
      </w:r>
      <w:proofErr w:type="gramStart"/>
      <w:r w:rsidRPr="0093075F">
        <w:t>However, DIIS is seeking to pursue net reductions in compliance costs and will work with affected stakeholders and across Government to identify regulatory burden reductions where appropriate.</w:t>
      </w:r>
      <w:proofErr w:type="gramEnd"/>
    </w:p>
    <w:p w:rsidR="0066381C" w:rsidRDefault="0066381C" w:rsidP="0066381C">
      <w:r>
        <w:t xml:space="preserve">It is also worth noting that the annual regulatory burden is likely to be lower than estimated in most years, because </w:t>
      </w:r>
      <w:r w:rsidR="00DE4869">
        <w:t>the Resources Minister</w:t>
      </w:r>
      <w:r>
        <w:t xml:space="preserve">’s determination point (see Appendix B) of the export controls process </w:t>
      </w:r>
      <w:proofErr w:type="gramStart"/>
      <w:r>
        <w:t>would only be instigated</w:t>
      </w:r>
      <w:proofErr w:type="gramEnd"/>
      <w:r>
        <w:t xml:space="preserve"> in the event that a domestic shortfall was likely. </w:t>
      </w:r>
    </w:p>
    <w:p w:rsidR="0066381C" w:rsidRDefault="0066381C" w:rsidP="0066381C">
      <w:r>
        <w:t xml:space="preserve">The multi-step process also means that export controls </w:t>
      </w:r>
      <w:proofErr w:type="gramStart"/>
      <w:r>
        <w:t>would not be applied</w:t>
      </w:r>
      <w:proofErr w:type="gramEnd"/>
      <w:r>
        <w:t xml:space="preserve"> all the time. Therefore, the cost for businesses to redirect gas into the domestic market would not be permanent, as would </w:t>
      </w:r>
      <w:r>
        <w:lastRenderedPageBreak/>
        <w:t>be the case for a permanently applied gas reservation policy</w:t>
      </w:r>
      <w:r>
        <w:rPr>
          <w:rStyle w:val="FootnoteReference"/>
        </w:rPr>
        <w:footnoteReference w:id="25"/>
      </w:r>
      <w:r>
        <w:t xml:space="preserve">. Additionally, exporters </w:t>
      </w:r>
      <w:proofErr w:type="gramStart"/>
      <w:r>
        <w:t>would only be impacted</w:t>
      </w:r>
      <w:proofErr w:type="gramEnd"/>
      <w:r>
        <w:t xml:space="preserve"> to the extent that they were contributing to a shortfall. Both of these design features lower impact on industry, in comparison to a gas reservation policy. However, there would still be an additional cost in comparison to the status quo.</w:t>
      </w:r>
    </w:p>
    <w:p w:rsidR="0066381C" w:rsidRPr="00FC00DC" w:rsidRDefault="0066381C" w:rsidP="0066381C">
      <w:r>
        <w:t>L</w:t>
      </w:r>
      <w:r w:rsidRPr="004C585F">
        <w:t>ike the reservation option, there are</w:t>
      </w:r>
      <w:r>
        <w:t xml:space="preserve"> other</w:t>
      </w:r>
      <w:r w:rsidRPr="004C585F">
        <w:t xml:space="preserve"> potential</w:t>
      </w:r>
      <w:r>
        <w:t xml:space="preserve"> negative</w:t>
      </w:r>
      <w:r w:rsidRPr="004C585F">
        <w:t xml:space="preserve"> </w:t>
      </w:r>
      <w:r>
        <w:t>impacts from the prospective application of e</w:t>
      </w:r>
      <w:r w:rsidRPr="004C585F">
        <w:t>xport restrictions.</w:t>
      </w:r>
      <w:r>
        <w:t xml:space="preserve"> This includes the risk of LNG exporters not being able fulfil contractual volumes with buyers if gas field production could not be ramped up to meet the additional supply required to meet Export Permission conditions. Undelivered LNG cargoes would likely incur penalties, however the terms of LNG sales-purchase contracts are confidential, and it is therefore not possible to quantify the cost on exporters.  </w:t>
      </w:r>
    </w:p>
    <w:p w:rsidR="0066381C" w:rsidRDefault="0066381C" w:rsidP="0066381C">
      <w:r w:rsidRPr="00FC76A2">
        <w:t xml:space="preserve">Applying </w:t>
      </w:r>
      <w:r>
        <w:t>export controls</w:t>
      </w:r>
      <w:r w:rsidRPr="00FC76A2">
        <w:t xml:space="preserve"> </w:t>
      </w:r>
      <w:r>
        <w:t xml:space="preserve">also </w:t>
      </w:r>
      <w:r w:rsidRPr="00FC76A2">
        <w:t>carry</w:t>
      </w:r>
      <w:r>
        <w:t xml:space="preserve"> a high level of sovereign risk.</w:t>
      </w:r>
      <w:r w:rsidRPr="00FC76A2">
        <w:t xml:space="preserve"> </w:t>
      </w:r>
      <w:r>
        <w:t xml:space="preserve">LNG projects require billions of dollars in upfront exploration and infrastructure investment. Australian and overseas investors make their investment decisions with the knowledge that Australia has a historically stable regulatory environment.  As with a reservation policy, it is likely that Australia’s attractiveness as a destination for investment in gas resources and infrastructure </w:t>
      </w:r>
      <w:proofErr w:type="gramStart"/>
      <w:r>
        <w:t>would be affected</w:t>
      </w:r>
      <w:proofErr w:type="gramEnd"/>
      <w:r>
        <w:t xml:space="preserve">. At this </w:t>
      </w:r>
      <w:proofErr w:type="gramStart"/>
      <w:r>
        <w:t>point</w:t>
      </w:r>
      <w:proofErr w:type="gramEnd"/>
      <w:r>
        <w:t xml:space="preserve"> it is difficult to determine the extent of the damage to Australia’s reputation as an investment destination in the gas sector and this will likely depend on the frequency and depth at which export controls are applied and the nature of LNG contracts.</w:t>
      </w:r>
    </w:p>
    <w:p w:rsidR="0066381C" w:rsidRDefault="0066381C" w:rsidP="0066381C">
      <w:r>
        <w:t>The best assessment is that</w:t>
      </w:r>
      <w:r w:rsidRPr="004C585F">
        <w:t xml:space="preserve"> the cost to industry would be less than the equivalent cost under reservation, because the total amount of gas redirected </w:t>
      </w:r>
      <w:proofErr w:type="gramStart"/>
      <w:r w:rsidRPr="004C585F">
        <w:t>would be linked</w:t>
      </w:r>
      <w:proofErr w:type="gramEnd"/>
      <w:r w:rsidRPr="004C585F">
        <w:t xml:space="preserve"> to </w:t>
      </w:r>
      <w:r>
        <w:t>exporters in a</w:t>
      </w:r>
      <w:r w:rsidRPr="004C585F">
        <w:t xml:space="preserve"> shortfall</w:t>
      </w:r>
      <w:r>
        <w:t xml:space="preserve"> market rather than a sector wide and permanent regulatory requirement</w:t>
      </w:r>
      <w:r w:rsidRPr="004C585F">
        <w:t>.</w:t>
      </w:r>
      <w:r>
        <w:t xml:space="preserve"> The number of LNG exporters captured by export controls would also be lower than under a reservation policy. </w:t>
      </w:r>
      <w:proofErr w:type="gramStart"/>
      <w:r>
        <w:t>This is not to say the cost of redirecting gas from export to the domestic market is not potentially significant but in the current market circumstance where domestic wholesale prices are at or above export parity, it could even be possible for the exporter to arbitrage across both markets through a combination of domestic diversion and LNG swaps to minimise losses or even gain value.</w:t>
      </w:r>
      <w:proofErr w:type="gramEnd"/>
    </w:p>
    <w:p w:rsidR="0066381C" w:rsidRDefault="0066381C" w:rsidP="0066381C">
      <w:r>
        <w:t xml:space="preserve">Although there may be a small degree of regulatory burden for gas producers, exporters and large consumers to generate production and consumption forecasts, this is not directly a result of this policy option; it is a requirement of other Government initiatives, including market reform work led by the ACCC, and improved forecasting by organisations like AEMO. Therefore, this RIS does not include generating this information as an additional business cost. The process of collating the information and supplying it to the Government </w:t>
      </w:r>
      <w:proofErr w:type="gramStart"/>
      <w:r>
        <w:t>is captured</w:t>
      </w:r>
      <w:proofErr w:type="gramEnd"/>
      <w:r>
        <w:t xml:space="preserve"> in the regulatory burden costing in Appendix B. </w:t>
      </w:r>
    </w:p>
    <w:p w:rsidR="0066381C" w:rsidRPr="009B43A7" w:rsidRDefault="0066381C" w:rsidP="0066381C">
      <w:r>
        <w:t xml:space="preserve">Despite these impacts, the ADGSM is still a reasonable option for two reasons. Firstly, the ADGSM would have a substantial net benefit on security in domestic supply and consequently lower prices for domestic consumers. Secondly, the alternative to targeted export controls, which would still address the policy problem adequately, is a broader policy like gas reservation. As discussed in </w:t>
      </w:r>
      <w:r>
        <w:lastRenderedPageBreak/>
        <w:t xml:space="preserve">Section </w:t>
      </w:r>
      <w:r>
        <w:fldChar w:fldCharType="begin"/>
      </w:r>
      <w:r>
        <w:instrText xml:space="preserve"> REF _Ref482910292 \r \h </w:instrText>
      </w:r>
      <w:r>
        <w:fldChar w:fldCharType="separate"/>
      </w:r>
      <w:r w:rsidR="00D565EF">
        <w:t>5.2</w:t>
      </w:r>
      <w:r>
        <w:fldChar w:fldCharType="end"/>
      </w:r>
      <w:r>
        <w:t>, a blanket policy would result in higher costs (and therefore a lower net benefit), thereby making it less desirable.</w:t>
      </w:r>
    </w:p>
    <w:p w:rsidR="0066381C" w:rsidRDefault="0066381C" w:rsidP="0066381C">
      <w:r>
        <w:t xml:space="preserve">If enacted, the ADGSM would prevent LNG exporters from selling a certain volume of gas to the export market and increase the availability of supply to the domestic market. As spot prices in export markets are currently below international contract prices, it </w:t>
      </w:r>
      <w:proofErr w:type="gramStart"/>
      <w:r>
        <w:t>is anticipated</w:t>
      </w:r>
      <w:proofErr w:type="gramEnd"/>
      <w:r>
        <w:t xml:space="preserve"> that exporters would make up the shortfall in the spot market. </w:t>
      </w:r>
    </w:p>
    <w:p w:rsidR="0066381C" w:rsidRPr="009B43A7" w:rsidRDefault="0066381C" w:rsidP="0066381C">
      <w:r>
        <w:t xml:space="preserve">Failure to ensure an adequate supply of gas would have significant negative effects on industrial gas users, the </w:t>
      </w:r>
      <w:proofErr w:type="gramStart"/>
      <w:r>
        <w:t>gas power generation sector</w:t>
      </w:r>
      <w:proofErr w:type="gramEnd"/>
      <w:r>
        <w:t xml:space="preserve"> and residential gas consumers. </w:t>
      </w:r>
    </w:p>
    <w:p w:rsidR="0066381C" w:rsidRPr="005D559F" w:rsidRDefault="0066381C" w:rsidP="0066381C">
      <w:pPr>
        <w:pStyle w:val="Heading3"/>
      </w:pPr>
      <w:bookmarkStart w:id="244" w:name="_Toc482985565"/>
      <w:bookmarkStart w:id="245" w:name="_Toc483323160"/>
      <w:bookmarkStart w:id="246" w:name="_Toc484770754"/>
      <w:bookmarkStart w:id="247" w:name="_Toc484775025"/>
      <w:bookmarkStart w:id="248" w:name="_Toc484779068"/>
      <w:bookmarkStart w:id="249" w:name="_Toc484784267"/>
      <w:bookmarkStart w:id="250" w:name="_Toc484795085"/>
      <w:bookmarkStart w:id="251" w:name="_Toc485406157"/>
      <w:r w:rsidRPr="00AA16B3">
        <w:t>Benefits</w:t>
      </w:r>
      <w:bookmarkEnd w:id="244"/>
      <w:bookmarkEnd w:id="245"/>
      <w:bookmarkEnd w:id="246"/>
      <w:bookmarkEnd w:id="247"/>
      <w:bookmarkEnd w:id="248"/>
      <w:bookmarkEnd w:id="249"/>
      <w:bookmarkEnd w:id="250"/>
      <w:bookmarkEnd w:id="251"/>
    </w:p>
    <w:p w:rsidR="0066381C" w:rsidRDefault="0066381C" w:rsidP="0066381C">
      <w:r>
        <w:t xml:space="preserve">Export controls that </w:t>
      </w:r>
      <w:proofErr w:type="gramStart"/>
      <w:r>
        <w:t>are linked</w:t>
      </w:r>
      <w:proofErr w:type="gramEnd"/>
      <w:r>
        <w:t xml:space="preserve"> to projected shortfalls, would ensure that the domestic market is supplied with an adequate quantity of gas. This would help to combat market uncertainty, which </w:t>
      </w:r>
      <w:proofErr w:type="gramStart"/>
      <w:r>
        <w:t>may, in turn, reduce</w:t>
      </w:r>
      <w:proofErr w:type="gramEnd"/>
      <w:r>
        <w:t xml:space="preserve"> pressure on prices. </w:t>
      </w:r>
    </w:p>
    <w:p w:rsidR="0066381C" w:rsidRDefault="0066381C" w:rsidP="0066381C">
      <w:r>
        <w:t xml:space="preserve">Gas reliant industries (detailed in Appendix A) are the other main beneficiary from export controls. These industries employ more than 65 000 Australians and their dependence on gas makes them sensitive to any price fluctuations. </w:t>
      </w:r>
    </w:p>
    <w:p w:rsidR="0066381C" w:rsidRDefault="0066381C" w:rsidP="0066381C">
      <w:r>
        <w:t xml:space="preserve">Other direct beneficiaries would include the 50 per cent of Australian households who have mains gas. For these households, the increased availability of reasonably priced gas would have a direct reduction in cost of living expenses. Energy bills make up a significant part of monthly household expenditure. For example, in Victoria, energy services (which include both gas and electricity) </w:t>
      </w:r>
      <w:proofErr w:type="gramStart"/>
      <w:r>
        <w:t>are estimated</w:t>
      </w:r>
      <w:proofErr w:type="gramEnd"/>
      <w:r>
        <w:t xml:space="preserve"> to cost approximately $550 per month for an average house and $355 per month for an average apartment</w:t>
      </w:r>
      <w:r>
        <w:rPr>
          <w:rStyle w:val="FootnoteReference"/>
        </w:rPr>
        <w:footnoteReference w:id="26"/>
      </w:r>
      <w:r>
        <w:t xml:space="preserve">. Reductions in gas prices, therefore, will result in a meaningful difference to Australian households, especially as reductions in gas prices are likely to cause price competition in </w:t>
      </w:r>
      <w:r w:rsidRPr="008A2041">
        <w:t>energy</w:t>
      </w:r>
      <w:r>
        <w:t xml:space="preserve"> sources and place downward pressure on energy prices more broadly. </w:t>
      </w:r>
    </w:p>
    <w:p w:rsidR="0066381C" w:rsidRPr="005D559F" w:rsidRDefault="0066381C" w:rsidP="0066381C">
      <w:pPr>
        <w:pStyle w:val="Heading3"/>
      </w:pPr>
      <w:bookmarkStart w:id="252" w:name="_Toc482985566"/>
      <w:bookmarkStart w:id="253" w:name="_Toc483323161"/>
      <w:bookmarkStart w:id="254" w:name="_Toc484770755"/>
      <w:bookmarkStart w:id="255" w:name="_Toc484775026"/>
      <w:bookmarkStart w:id="256" w:name="_Toc484779069"/>
      <w:bookmarkStart w:id="257" w:name="_Toc484784268"/>
      <w:bookmarkStart w:id="258" w:name="_Toc484795086"/>
      <w:bookmarkStart w:id="259" w:name="_Toc485406158"/>
      <w:r>
        <w:t>Net benefit</w:t>
      </w:r>
      <w:bookmarkEnd w:id="252"/>
      <w:bookmarkEnd w:id="253"/>
      <w:bookmarkEnd w:id="254"/>
      <w:bookmarkEnd w:id="255"/>
      <w:bookmarkEnd w:id="256"/>
      <w:bookmarkEnd w:id="257"/>
      <w:bookmarkEnd w:id="258"/>
      <w:bookmarkEnd w:id="259"/>
    </w:p>
    <w:p w:rsidR="0066381C" w:rsidRDefault="0066381C" w:rsidP="0066381C">
      <w:r>
        <w:t xml:space="preserve">Compared to all other options, including the status quo, the export controls outlined in the ADGSM have the strongest likelihood of securing an adequate supply of gas for domestic users, with the least market distortions. In times when the market </w:t>
      </w:r>
      <w:proofErr w:type="gramStart"/>
      <w:r>
        <w:t>was sufficiently supplied</w:t>
      </w:r>
      <w:proofErr w:type="gramEnd"/>
      <w:r>
        <w:t xml:space="preserve">, the ADGSM would not be triggered. </w:t>
      </w:r>
    </w:p>
    <w:p w:rsidR="0066381C" w:rsidRDefault="0066381C" w:rsidP="0066381C">
      <w:r>
        <w:t xml:space="preserve">Non-regulatory costs </w:t>
      </w:r>
      <w:proofErr w:type="gramStart"/>
      <w:r>
        <w:t>would only be imposed</w:t>
      </w:r>
      <w:proofErr w:type="gramEnd"/>
      <w:r>
        <w:t xml:space="preserve"> in the event that a domestic shortfall was likely. Additionally, the mechanism would only impose business costs on exporters that were in net deficit (i.e. contributed to the shortage). This means that the overall cost would be proportionate to the exporters’ role in contributing a shortfall, while the benefit to consumers would be substantial and widespread. As a result, the net benefit of this proposal is greater than the net benefit of all other options, including the status quo.</w:t>
      </w:r>
    </w:p>
    <w:p w:rsidR="0066381C" w:rsidRPr="0068513B" w:rsidRDefault="0066381C" w:rsidP="0066381C">
      <w:pPr>
        <w:pStyle w:val="Heading1"/>
        <w:numPr>
          <w:ilvl w:val="0"/>
          <w:numId w:val="10"/>
        </w:numPr>
        <w:tabs>
          <w:tab w:val="clear" w:pos="567"/>
        </w:tabs>
        <w:spacing w:after="0" w:line="259" w:lineRule="auto"/>
      </w:pPr>
      <w:bookmarkStart w:id="260" w:name="_Toc484765473"/>
      <w:bookmarkStart w:id="261" w:name="_Toc484765981"/>
      <w:bookmarkStart w:id="262" w:name="_Toc484770756"/>
      <w:bookmarkStart w:id="263" w:name="_Ref482696964"/>
      <w:bookmarkStart w:id="264" w:name="_Ref482722535"/>
      <w:bookmarkStart w:id="265" w:name="_Ref482811942"/>
      <w:bookmarkStart w:id="266" w:name="_Ref482905019"/>
      <w:bookmarkStart w:id="267" w:name="_Ref482984303"/>
      <w:bookmarkStart w:id="268" w:name="_Ref482984334"/>
      <w:bookmarkStart w:id="269" w:name="_Ref482984392"/>
      <w:bookmarkStart w:id="270" w:name="_Toc482985569"/>
      <w:bookmarkStart w:id="271" w:name="_Toc483323163"/>
      <w:bookmarkStart w:id="272" w:name="_Toc484770763"/>
      <w:bookmarkStart w:id="273" w:name="_Toc484775027"/>
      <w:bookmarkStart w:id="274" w:name="_Toc484779070"/>
      <w:bookmarkStart w:id="275" w:name="_Toc484784269"/>
      <w:bookmarkStart w:id="276" w:name="_Toc484795087"/>
      <w:bookmarkStart w:id="277" w:name="_Toc485406159"/>
      <w:bookmarkEnd w:id="260"/>
      <w:bookmarkEnd w:id="261"/>
      <w:bookmarkEnd w:id="262"/>
      <w:r w:rsidRPr="0068513B">
        <w:t>Consultation</w:t>
      </w:r>
      <w:bookmarkEnd w:id="263"/>
      <w:bookmarkEnd w:id="264"/>
      <w:r w:rsidRPr="0068513B">
        <w:t>s</w:t>
      </w:r>
      <w:bookmarkEnd w:id="265"/>
      <w:bookmarkEnd w:id="266"/>
      <w:bookmarkEnd w:id="267"/>
      <w:bookmarkEnd w:id="268"/>
      <w:bookmarkEnd w:id="269"/>
      <w:bookmarkEnd w:id="270"/>
      <w:bookmarkEnd w:id="271"/>
      <w:bookmarkEnd w:id="272"/>
      <w:bookmarkEnd w:id="273"/>
      <w:bookmarkEnd w:id="274"/>
      <w:bookmarkEnd w:id="275"/>
      <w:bookmarkEnd w:id="276"/>
      <w:bookmarkEnd w:id="277"/>
    </w:p>
    <w:p w:rsidR="0066381C" w:rsidRDefault="0066381C" w:rsidP="0066381C">
      <w:r>
        <w:t xml:space="preserve">Between March 2017 and May 2017, the Government had steady engagement with industry in order to deliver Australian households and businesses with an adequate supply of gas at reasonable prices.  </w:t>
      </w:r>
      <w:r>
        <w:lastRenderedPageBreak/>
        <w:t xml:space="preserve">The Government will continue to collaborate with industry, as it refines the ADGSM </w:t>
      </w:r>
      <w:proofErr w:type="gramStart"/>
      <w:r>
        <w:t>to better safeguard</w:t>
      </w:r>
      <w:proofErr w:type="gramEnd"/>
      <w:r>
        <w:t xml:space="preserve"> Australia’s domestic gas supply. This section summarises the consultation process. </w:t>
      </w:r>
    </w:p>
    <w:p w:rsidR="0066381C" w:rsidRDefault="0066381C" w:rsidP="0066381C">
      <w:r>
        <w:t xml:space="preserve">It </w:t>
      </w:r>
      <w:proofErr w:type="gramStart"/>
      <w:r>
        <w:t>should be noted</w:t>
      </w:r>
      <w:proofErr w:type="gramEnd"/>
      <w:r>
        <w:t xml:space="preserve"> that the consultations focussed on the ADGSM. However, the industry provided feedback on additional policy options, including some additional options for implementing export controls, which </w:t>
      </w:r>
      <w:proofErr w:type="gramStart"/>
      <w:r>
        <w:t>are discussed</w:t>
      </w:r>
      <w:proofErr w:type="gramEnd"/>
      <w:r>
        <w:t xml:space="preserve"> in Section </w:t>
      </w:r>
      <w:r>
        <w:fldChar w:fldCharType="begin"/>
      </w:r>
      <w:r>
        <w:instrText xml:space="preserve"> REF _Ref482906600 \r \h </w:instrText>
      </w:r>
      <w:r>
        <w:fldChar w:fldCharType="separate"/>
      </w:r>
      <w:r w:rsidR="00D565EF">
        <w:t>8</w:t>
      </w:r>
      <w:r>
        <w:fldChar w:fldCharType="end"/>
      </w:r>
      <w:r>
        <w:rPr>
          <w:rStyle w:val="CommentReference"/>
        </w:rPr>
        <w:t>.</w:t>
      </w:r>
      <w:r>
        <w:t xml:space="preserve"> Some additional options </w:t>
      </w:r>
      <w:proofErr w:type="gramStart"/>
      <w:r>
        <w:t>were considered</w:t>
      </w:r>
      <w:proofErr w:type="gramEnd"/>
      <w:r>
        <w:t xml:space="preserve"> unfeasible, and/or did not solve the policy problem. These options were not included in this RIS. </w:t>
      </w:r>
    </w:p>
    <w:p w:rsidR="0066381C" w:rsidRDefault="0066381C" w:rsidP="0066381C">
      <w:pPr>
        <w:pStyle w:val="Heading2"/>
        <w:numPr>
          <w:ilvl w:val="0"/>
          <w:numId w:val="14"/>
        </w:numPr>
        <w:spacing w:line="259" w:lineRule="auto"/>
        <w:ind w:left="686" w:hanging="686"/>
      </w:pPr>
      <w:bookmarkStart w:id="278" w:name="_Toc482985570"/>
      <w:bookmarkStart w:id="279" w:name="_Toc483323164"/>
      <w:bookmarkStart w:id="280" w:name="_Toc484770764"/>
      <w:bookmarkStart w:id="281" w:name="_Toc484775028"/>
      <w:bookmarkStart w:id="282" w:name="_Toc484779071"/>
      <w:bookmarkStart w:id="283" w:name="_Toc484784270"/>
      <w:bookmarkStart w:id="284" w:name="_Toc484795088"/>
      <w:bookmarkStart w:id="285" w:name="_Toc485406160"/>
      <w:r>
        <w:t>Past consultations</w:t>
      </w:r>
      <w:bookmarkEnd w:id="278"/>
      <w:bookmarkEnd w:id="279"/>
      <w:bookmarkEnd w:id="280"/>
      <w:bookmarkEnd w:id="281"/>
      <w:bookmarkEnd w:id="282"/>
      <w:bookmarkEnd w:id="283"/>
      <w:bookmarkEnd w:id="284"/>
      <w:bookmarkEnd w:id="285"/>
    </w:p>
    <w:p w:rsidR="0066381C" w:rsidRDefault="0066381C" w:rsidP="0066381C">
      <w:pPr>
        <w:pStyle w:val="Heading3"/>
      </w:pPr>
      <w:bookmarkStart w:id="286" w:name="_Toc482985571"/>
      <w:bookmarkStart w:id="287" w:name="_Toc483323165"/>
      <w:bookmarkStart w:id="288" w:name="_Toc484770765"/>
      <w:bookmarkStart w:id="289" w:name="_Toc484775029"/>
      <w:bookmarkStart w:id="290" w:name="_Toc484779072"/>
      <w:bookmarkStart w:id="291" w:name="_Toc484784271"/>
      <w:bookmarkStart w:id="292" w:name="_Toc484795089"/>
      <w:bookmarkStart w:id="293" w:name="_Toc485406161"/>
      <w:r>
        <w:t>Initial ‘round table’ consultations</w:t>
      </w:r>
      <w:bookmarkEnd w:id="286"/>
      <w:bookmarkEnd w:id="287"/>
      <w:bookmarkEnd w:id="288"/>
      <w:bookmarkEnd w:id="289"/>
      <w:bookmarkEnd w:id="290"/>
      <w:bookmarkEnd w:id="291"/>
      <w:bookmarkEnd w:id="292"/>
      <w:bookmarkEnd w:id="293"/>
    </w:p>
    <w:p w:rsidR="0066381C" w:rsidRDefault="0066381C" w:rsidP="0066381C">
      <w:r>
        <w:t>Before considering intervention in the gas market, the Prime Minister hosted meetings with east coast gas producers and exporters on 15 March 2017 and 19 April 2017. At those meetings, the Government sought commitments:</w:t>
      </w:r>
    </w:p>
    <w:p w:rsidR="0066381C" w:rsidRDefault="0066381C" w:rsidP="0066381C">
      <w:pPr>
        <w:pStyle w:val="ListParagraph"/>
        <w:numPr>
          <w:ilvl w:val="0"/>
          <w:numId w:val="11"/>
        </w:numPr>
        <w:spacing w:after="160" w:line="259" w:lineRule="auto"/>
      </w:pPr>
      <w:r>
        <w:t>from gas producers to make more gas available to the domestic market as soon as possible</w:t>
      </w:r>
    </w:p>
    <w:p w:rsidR="0066381C" w:rsidRDefault="0066381C" w:rsidP="0066381C">
      <w:pPr>
        <w:pStyle w:val="ListParagraph"/>
        <w:numPr>
          <w:ilvl w:val="0"/>
          <w:numId w:val="11"/>
        </w:numPr>
        <w:spacing w:after="160" w:line="259" w:lineRule="auto"/>
      </w:pPr>
      <w:proofErr w:type="gramStart"/>
      <w:r>
        <w:t>from</w:t>
      </w:r>
      <w:proofErr w:type="gramEnd"/>
      <w:r>
        <w:t xml:space="preserve"> LNG exporters to have a net contribution gas to the domestic market, rather than ‘drawing down’ on domestic supply.</w:t>
      </w:r>
    </w:p>
    <w:p w:rsidR="0066381C" w:rsidRDefault="0066381C" w:rsidP="0066381C">
      <w:r w:rsidRPr="009718FA">
        <w:t xml:space="preserve">In addition to meeting with gas producers and exporters, on 29 March 2017, the Government met with gas pipeline operators, and relevant peak bodies. </w:t>
      </w:r>
    </w:p>
    <w:p w:rsidR="0066381C" w:rsidRDefault="0066381C" w:rsidP="0066381C">
      <w:r>
        <w:t xml:space="preserve">Throughout the industry meetings, the Government made it clear that its preference was for industry to respond of its own volition, and improve supply and price outcomes. </w:t>
      </w:r>
      <w:r w:rsidRPr="00D31595">
        <w:t xml:space="preserve">However, the Prime Minister </w:t>
      </w:r>
      <w:r>
        <w:t>also</w:t>
      </w:r>
      <w:r w:rsidRPr="00D31595">
        <w:t xml:space="preserve"> made it clear that the Government </w:t>
      </w:r>
      <w:r>
        <w:t>would</w:t>
      </w:r>
      <w:r w:rsidRPr="00D31595">
        <w:t xml:space="preserve"> intervene if gas producers </w:t>
      </w:r>
      <w:r>
        <w:t>did</w:t>
      </w:r>
      <w:r w:rsidRPr="00D31595">
        <w:t xml:space="preserve"> not meet commitments to address the current tightness in the domestic market. </w:t>
      </w:r>
      <w:r>
        <w:t>Despite making progress, not all of the east coast LNG exporters satisfactorily outlined their plans to contribute enough gas to the domestic market to offset the impact of their operations.</w:t>
      </w:r>
    </w:p>
    <w:p w:rsidR="0066381C" w:rsidRDefault="0066381C" w:rsidP="0066381C">
      <w:pPr>
        <w:pStyle w:val="Heading3"/>
      </w:pPr>
      <w:bookmarkStart w:id="294" w:name="_Toc482985572"/>
      <w:bookmarkStart w:id="295" w:name="_Toc483323166"/>
      <w:bookmarkStart w:id="296" w:name="_Toc484770766"/>
      <w:bookmarkStart w:id="297" w:name="_Toc484775030"/>
      <w:bookmarkStart w:id="298" w:name="_Toc484779073"/>
      <w:bookmarkStart w:id="299" w:name="_Toc484784272"/>
      <w:bookmarkStart w:id="300" w:name="_Toc484795090"/>
      <w:bookmarkStart w:id="301" w:name="_Toc485406162"/>
      <w:r>
        <w:t>Consultation on the ADGSM</w:t>
      </w:r>
      <w:bookmarkEnd w:id="294"/>
      <w:bookmarkEnd w:id="295"/>
      <w:bookmarkEnd w:id="296"/>
      <w:bookmarkEnd w:id="297"/>
      <w:bookmarkEnd w:id="298"/>
      <w:bookmarkEnd w:id="299"/>
      <w:bookmarkEnd w:id="300"/>
      <w:bookmarkEnd w:id="301"/>
    </w:p>
    <w:p w:rsidR="0066381C" w:rsidRDefault="0066381C" w:rsidP="0066381C">
      <w:r>
        <w:t xml:space="preserve">Following the unsatisfactory outcome of the Government’s initial industry meetings, </w:t>
      </w:r>
      <w:r w:rsidRPr="009718C1">
        <w:t>Senator the Hon Matthew Canavan, Minister for Resources and Northern Australia, wrote</w:t>
      </w:r>
      <w:r>
        <w:t xml:space="preserve"> to industry and government stakeholders in late April 2017 to inform them of the proposed ADGSM. His letter included a discussion paper, which outlined the ADGSM’s initial design. Minister Canavan requested feedback on the ADGSM, and asked for participation as the Government continued to develop the mechanism. Minister Canavan initially requested written submissions by 11 May 2017, but this deadline was later extended in order to allow for </w:t>
      </w:r>
      <w:proofErr w:type="gramStart"/>
      <w:r>
        <w:t>more comprehensive consultations</w:t>
      </w:r>
      <w:proofErr w:type="gramEnd"/>
      <w:r>
        <w:t>.</w:t>
      </w:r>
    </w:p>
    <w:p w:rsidR="0066381C" w:rsidRDefault="0066381C" w:rsidP="0066381C">
      <w:r>
        <w:t>DIIS conducted three meetings (4 May 2017, 11 May </w:t>
      </w:r>
      <w:r w:rsidRPr="0022462D">
        <w:t>2017 and 26 May</w:t>
      </w:r>
      <w:r>
        <w:t xml:space="preserve"> 2017) with each of the joint venture partners involved in each of the east coast LNG projects. These meetings aimed to provide clarity about the policy intent of the ADGSM and its proposed operation. The meetings provided the exporters with the opportunity to </w:t>
      </w:r>
      <w:proofErr w:type="gramStart"/>
      <w:r>
        <w:t>critique</w:t>
      </w:r>
      <w:proofErr w:type="gramEnd"/>
      <w:r>
        <w:t xml:space="preserve"> the mechanism and offer improvements and alternative suggestions. At the meetings, DIIS encouraged out of session communication to help the mechanism to achieve its policy objectives, while minimising the burden on the LNG export industry.</w:t>
      </w:r>
    </w:p>
    <w:p w:rsidR="0066381C" w:rsidRDefault="0066381C" w:rsidP="0066381C">
      <w:r>
        <w:t xml:space="preserve">On 15 May 2017, DIIS held a similar meeting for interested parties at the 2017 APPEA Oil &amp; Gas Conference and Exhibition. This invitation </w:t>
      </w:r>
      <w:proofErr w:type="gramStart"/>
      <w:r>
        <w:t>was extended</w:t>
      </w:r>
      <w:proofErr w:type="gramEnd"/>
      <w:r>
        <w:t xml:space="preserve"> to all joint venture partners in LNG projects that operate out of the Northern Territory and Western Australia. </w:t>
      </w:r>
    </w:p>
    <w:p w:rsidR="0066381C" w:rsidRDefault="0066381C" w:rsidP="0066381C">
      <w:r>
        <w:lastRenderedPageBreak/>
        <w:t>DIIS also had a number of meetings with individual companies when requested.</w:t>
      </w:r>
    </w:p>
    <w:p w:rsidR="0066381C" w:rsidRDefault="0066381C" w:rsidP="0066381C">
      <w:r w:rsidRPr="00876F5C">
        <w:t xml:space="preserve">On 5 June 2017, exposure drafts of the regulations, guidelines and explanatory material </w:t>
      </w:r>
      <w:r>
        <w:t xml:space="preserve">for the ADGSM </w:t>
      </w:r>
      <w:proofErr w:type="gramStart"/>
      <w:r w:rsidRPr="00876F5C">
        <w:t>were released</w:t>
      </w:r>
      <w:proofErr w:type="gramEnd"/>
      <w:r w:rsidRPr="00876F5C">
        <w:t xml:space="preserve"> for consultation until 12 June 2017. Stakeholders including LNG projects, major gas users, peak body and consumer interest groups, and State and Territory governments, </w:t>
      </w:r>
      <w:proofErr w:type="gramStart"/>
      <w:r w:rsidRPr="00876F5C">
        <w:t>were invited</w:t>
      </w:r>
      <w:proofErr w:type="gramEnd"/>
      <w:r w:rsidRPr="00876F5C">
        <w:t xml:space="preserve"> to make submissions.</w:t>
      </w:r>
      <w:r>
        <w:t xml:space="preserve"> </w:t>
      </w:r>
    </w:p>
    <w:p w:rsidR="0066381C" w:rsidRDefault="0066381C" w:rsidP="0066381C">
      <w:proofErr w:type="gramStart"/>
      <w:r>
        <w:t>34</w:t>
      </w:r>
      <w:proofErr w:type="gramEnd"/>
      <w:r>
        <w:t xml:space="preserve"> submissions were received from LNG projects, LNG producers, large gas consumers, businesses, State and Territory governments, other affected stakeholders, and members of the public. Feedback from the submissions </w:t>
      </w:r>
      <w:proofErr w:type="gramStart"/>
      <w:r>
        <w:t>was considered</w:t>
      </w:r>
      <w:proofErr w:type="gramEnd"/>
      <w:r>
        <w:t xml:space="preserve"> and informed the further development of the ADGSM. </w:t>
      </w:r>
    </w:p>
    <w:p w:rsidR="0066381C" w:rsidRDefault="0066381C" w:rsidP="0066381C">
      <w:r w:rsidRPr="00876F5C">
        <w:t>DIIS also consulted with the Australian Government Department of Prime Minister and Cabinet, Department of Immigration and Border Protection, Department of Foreign Affairs and Trade, Department of the Treasury, and Department of the Environment and Energy.</w:t>
      </w:r>
    </w:p>
    <w:p w:rsidR="0066381C" w:rsidRPr="002E3098" w:rsidRDefault="0066381C" w:rsidP="0066381C">
      <w:r>
        <w:t xml:space="preserve">During the week beginning 19 June 2017, DIIS conducted international consultations with major trading partners including Japan, South Korea, Malaysia and China. </w:t>
      </w:r>
    </w:p>
    <w:p w:rsidR="0066381C" w:rsidRDefault="0066381C" w:rsidP="0066381C">
      <w:r>
        <w:t>In addition to the formal meetings, Minister Canavan has engaged directly with industry leaders in person, and by correspondence.</w:t>
      </w:r>
    </w:p>
    <w:p w:rsidR="0066381C" w:rsidRDefault="0066381C" w:rsidP="0066381C">
      <w:pPr>
        <w:pStyle w:val="Heading2"/>
        <w:numPr>
          <w:ilvl w:val="0"/>
          <w:numId w:val="14"/>
        </w:numPr>
        <w:spacing w:line="259" w:lineRule="auto"/>
        <w:ind w:left="686" w:hanging="686"/>
      </w:pPr>
      <w:bookmarkStart w:id="302" w:name="_Toc482985573"/>
      <w:bookmarkStart w:id="303" w:name="_Toc483323167"/>
      <w:bookmarkStart w:id="304" w:name="_Toc484770767"/>
      <w:bookmarkStart w:id="305" w:name="_Toc484775031"/>
      <w:bookmarkStart w:id="306" w:name="_Toc484779074"/>
      <w:bookmarkStart w:id="307" w:name="_Toc484784273"/>
      <w:bookmarkStart w:id="308" w:name="_Toc484795091"/>
      <w:bookmarkStart w:id="309" w:name="_Toc485406163"/>
      <w:r>
        <w:t>Planned consultations</w:t>
      </w:r>
      <w:bookmarkEnd w:id="302"/>
      <w:bookmarkEnd w:id="303"/>
      <w:bookmarkEnd w:id="304"/>
      <w:bookmarkEnd w:id="305"/>
      <w:bookmarkEnd w:id="306"/>
      <w:bookmarkEnd w:id="307"/>
      <w:bookmarkEnd w:id="308"/>
      <w:bookmarkEnd w:id="309"/>
    </w:p>
    <w:p w:rsidR="0066381C" w:rsidRDefault="0066381C" w:rsidP="0066381C">
      <w:r>
        <w:t>The Government will continue to encourage industry to engage with DIIS, as it works towards finalising the mechanism.</w:t>
      </w:r>
    </w:p>
    <w:p w:rsidR="0066381C" w:rsidRDefault="0066381C" w:rsidP="0066381C">
      <w:r>
        <w:t xml:space="preserve">Implementation of the ADGSM will build in further opportunities for consultations with industry in relation to the possibility of industry-led </w:t>
      </w:r>
      <w:proofErr w:type="gramStart"/>
      <w:r>
        <w:t>solutions which</w:t>
      </w:r>
      <w:proofErr w:type="gramEnd"/>
      <w:r>
        <w:t xml:space="preserve"> would preclude the need for export controls. </w:t>
      </w:r>
    </w:p>
    <w:p w:rsidR="0066381C" w:rsidRPr="00AA16B3" w:rsidRDefault="0066381C" w:rsidP="0066381C">
      <w:pPr>
        <w:pStyle w:val="Heading1"/>
        <w:numPr>
          <w:ilvl w:val="0"/>
          <w:numId w:val="10"/>
        </w:numPr>
        <w:tabs>
          <w:tab w:val="clear" w:pos="567"/>
        </w:tabs>
        <w:spacing w:after="0" w:line="259" w:lineRule="auto"/>
      </w:pPr>
      <w:bookmarkStart w:id="310" w:name="_Ref482912128"/>
      <w:bookmarkStart w:id="311" w:name="_Toc482985574"/>
      <w:bookmarkStart w:id="312" w:name="_Toc483323168"/>
      <w:bookmarkStart w:id="313" w:name="_Toc484770768"/>
      <w:bookmarkStart w:id="314" w:name="_Toc484775032"/>
      <w:bookmarkStart w:id="315" w:name="_Toc484779075"/>
      <w:bookmarkStart w:id="316" w:name="_Toc484784274"/>
      <w:bookmarkStart w:id="317" w:name="_Toc484795092"/>
      <w:bookmarkStart w:id="318" w:name="_Toc485406164"/>
      <w:r w:rsidRPr="00AA16B3">
        <w:t>Recommendation</w:t>
      </w:r>
      <w:bookmarkEnd w:id="310"/>
      <w:bookmarkEnd w:id="311"/>
      <w:bookmarkEnd w:id="312"/>
      <w:bookmarkEnd w:id="313"/>
      <w:bookmarkEnd w:id="314"/>
      <w:bookmarkEnd w:id="315"/>
      <w:bookmarkEnd w:id="316"/>
      <w:bookmarkEnd w:id="317"/>
      <w:bookmarkEnd w:id="318"/>
    </w:p>
    <w:p w:rsidR="0066381C" w:rsidRDefault="0066381C" w:rsidP="0066381C">
      <w:pPr>
        <w:pStyle w:val="Heading2"/>
        <w:numPr>
          <w:ilvl w:val="0"/>
          <w:numId w:val="19"/>
        </w:numPr>
        <w:spacing w:line="259" w:lineRule="auto"/>
        <w:ind w:left="426" w:hanging="426"/>
      </w:pPr>
      <w:r>
        <w:tab/>
      </w:r>
      <w:bookmarkStart w:id="319" w:name="_Toc482985575"/>
      <w:bookmarkStart w:id="320" w:name="_Toc483323169"/>
      <w:bookmarkStart w:id="321" w:name="_Toc484770769"/>
      <w:bookmarkStart w:id="322" w:name="_Toc484775033"/>
      <w:bookmarkStart w:id="323" w:name="_Toc484779076"/>
      <w:bookmarkStart w:id="324" w:name="_Toc484784275"/>
      <w:bookmarkStart w:id="325" w:name="_Toc484795093"/>
      <w:bookmarkStart w:id="326" w:name="_Toc485406165"/>
      <w:r>
        <w:t>Recommendation and justification</w:t>
      </w:r>
      <w:bookmarkEnd w:id="319"/>
      <w:bookmarkEnd w:id="320"/>
      <w:bookmarkEnd w:id="321"/>
      <w:bookmarkEnd w:id="322"/>
      <w:bookmarkEnd w:id="323"/>
      <w:bookmarkEnd w:id="324"/>
      <w:bookmarkEnd w:id="325"/>
      <w:bookmarkEnd w:id="326"/>
    </w:p>
    <w:p w:rsidR="0066381C" w:rsidRDefault="0066381C" w:rsidP="0066381C">
      <w:r>
        <w:t xml:space="preserve">This RIS considered four options to increase the security of Australia’s domestic supply by influencing LNG exporters. </w:t>
      </w:r>
    </w:p>
    <w:p w:rsidR="0066381C" w:rsidRDefault="0066381C" w:rsidP="0066381C">
      <w:r>
        <w:t>The first option was for the Government to maintain the status quo, and leave the LNG export market unregulated. This option is untenable, because it leaves Australian gas consumers in a position of shouldering all of the risk of an export driven shortfall.</w:t>
      </w:r>
    </w:p>
    <w:p w:rsidR="0066381C" w:rsidRDefault="0066381C" w:rsidP="0066381C">
      <w:r>
        <w:t xml:space="preserve">The second option was for LNG exporters </w:t>
      </w:r>
      <w:proofErr w:type="gramStart"/>
      <w:r>
        <w:t>to voluntarily agree</w:t>
      </w:r>
      <w:proofErr w:type="gramEnd"/>
      <w:r>
        <w:t xml:space="preserve"> to guarantee an adequate supply of gas to the domestic market. The net benefit of this option is negligible, because the likelihood of an enforceable commitment effectively preventing a shortfall, or perceived shortfall is low. As in the first option, the risk of an export-driven supply shortfall (and the associated flow-on effects) would still be fully borne by domestic gas consumers. </w:t>
      </w:r>
    </w:p>
    <w:p w:rsidR="0066381C" w:rsidRPr="0046644E" w:rsidRDefault="0066381C" w:rsidP="0066381C">
      <w:r w:rsidRPr="0046644E">
        <w:t xml:space="preserve">The third option was a </w:t>
      </w:r>
      <w:proofErr w:type="gramStart"/>
      <w:r w:rsidRPr="0046644E">
        <w:t xml:space="preserve">blanket </w:t>
      </w:r>
      <w:r>
        <w:t xml:space="preserve">gas </w:t>
      </w:r>
      <w:r w:rsidRPr="0046644E">
        <w:t xml:space="preserve">reservation </w:t>
      </w:r>
      <w:r>
        <w:t>policy</w:t>
      </w:r>
      <w:proofErr w:type="gramEnd"/>
      <w:r w:rsidRPr="0046644E">
        <w:t xml:space="preserve">. Compared with the first two options, this option is substantially more likely to meet the policy objective of securing an adequate supply of gas for </w:t>
      </w:r>
      <w:r>
        <w:t>domestic gas consumers</w:t>
      </w:r>
      <w:r w:rsidRPr="0046644E">
        <w:t xml:space="preserve">. However, </w:t>
      </w:r>
      <w:r>
        <w:t>less restrictive options were available</w:t>
      </w:r>
      <w:r w:rsidRPr="0046644E">
        <w:t xml:space="preserve">. If the reservation policy was permanent, it could also have negative effects on </w:t>
      </w:r>
      <w:proofErr w:type="gramStart"/>
      <w:r w:rsidRPr="0046644E">
        <w:t>long term</w:t>
      </w:r>
      <w:proofErr w:type="gramEnd"/>
      <w:r w:rsidRPr="0046644E">
        <w:t xml:space="preserve"> supply, because it dis-</w:t>
      </w:r>
      <w:r w:rsidRPr="0046644E">
        <w:lastRenderedPageBreak/>
        <w:t xml:space="preserve">incentivises exploration and development. </w:t>
      </w:r>
      <w:r>
        <w:t xml:space="preserve">This would counter the positive short to medium term benefit to domestic gas consumers. The only viable non-permanent reservation method is equivalent to implementing export controls (see Sections </w:t>
      </w:r>
      <w:r>
        <w:fldChar w:fldCharType="begin"/>
      </w:r>
      <w:r>
        <w:instrText xml:space="preserve"> REF _Ref483394534 \r \h </w:instrText>
      </w:r>
      <w:r>
        <w:fldChar w:fldCharType="separate"/>
      </w:r>
      <w:r w:rsidR="00D565EF">
        <w:t>4.3</w:t>
      </w:r>
      <w:r>
        <w:fldChar w:fldCharType="end"/>
      </w:r>
      <w:r>
        <w:t xml:space="preserve"> and </w:t>
      </w:r>
      <w:r>
        <w:fldChar w:fldCharType="begin"/>
      </w:r>
      <w:r>
        <w:instrText xml:space="preserve"> REF _Ref483394559 \r \h </w:instrText>
      </w:r>
      <w:r>
        <w:fldChar w:fldCharType="separate"/>
      </w:r>
      <w:r w:rsidR="00D565EF">
        <w:t>8.2</w:t>
      </w:r>
      <w:r>
        <w:fldChar w:fldCharType="end"/>
      </w:r>
      <w:r>
        <w:t xml:space="preserve"> for further discussion).</w:t>
      </w:r>
    </w:p>
    <w:p w:rsidR="0066381C" w:rsidRDefault="0066381C" w:rsidP="0066381C">
      <w:r w:rsidRPr="00DF095C">
        <w:t xml:space="preserve">The fourth option was for the Government to employ export controls. Compared to the status quo, the export controls outlined in the ADGSM have a strong likelihood of securing an adequate supply of gas for the domestic market. Compared with a </w:t>
      </w:r>
      <w:r>
        <w:t xml:space="preserve">blanket </w:t>
      </w:r>
      <w:r w:rsidRPr="00DF095C">
        <w:t xml:space="preserve">reservation policy, the ADGSM is likely to redirect less gas into the domestic market, so the </w:t>
      </w:r>
      <w:proofErr w:type="gramStart"/>
      <w:r w:rsidRPr="00DF095C">
        <w:t>short term</w:t>
      </w:r>
      <w:proofErr w:type="gramEnd"/>
      <w:r w:rsidRPr="00DF095C">
        <w:t xml:space="preserve"> benefit to consumers is less. However, the ADGSM is likely to impose a substantially smaller cost on </w:t>
      </w:r>
      <w:r>
        <w:t xml:space="preserve">LNG </w:t>
      </w:r>
      <w:r w:rsidRPr="00DF095C">
        <w:t xml:space="preserve">exporters, which would be in proportion to their contribution to a domestic shortfall. Although </w:t>
      </w:r>
      <w:r>
        <w:t xml:space="preserve">the regulatory burden is higher for export controls in comparison to the other options, </w:t>
      </w:r>
      <w:r w:rsidRPr="00DF095C">
        <w:t xml:space="preserve">the cost is </w:t>
      </w:r>
      <w:r>
        <w:t>negligible</w:t>
      </w:r>
      <w:r w:rsidRPr="00DF095C">
        <w:t xml:space="preserve"> in comparison to other business costs in</w:t>
      </w:r>
      <w:r>
        <w:t>curred by</w:t>
      </w:r>
      <w:r w:rsidRPr="00DF095C">
        <w:t xml:space="preserve"> the LNG export industry.</w:t>
      </w:r>
      <w:r>
        <w:t xml:space="preserve"> </w:t>
      </w:r>
    </w:p>
    <w:p w:rsidR="0066381C" w:rsidRDefault="0066381C" w:rsidP="0066381C">
      <w:r>
        <w:t xml:space="preserve">After considering all four options, </w:t>
      </w:r>
      <w:r w:rsidRPr="002B002C">
        <w:rPr>
          <w:b/>
        </w:rPr>
        <w:t>this RIS recommends export controls</w:t>
      </w:r>
      <w:r>
        <w:t xml:space="preserve"> as the most appropriate method to solve the policy problem. The preferred method of implementation is through the proposed ADGSM, as it would meet the policy objective more effectively than other export control designs (see Section </w:t>
      </w:r>
      <w:r>
        <w:fldChar w:fldCharType="begin"/>
      </w:r>
      <w:r>
        <w:instrText xml:space="preserve"> REF _Ref482906600 \r \h </w:instrText>
      </w:r>
      <w:r>
        <w:fldChar w:fldCharType="separate"/>
      </w:r>
      <w:r w:rsidR="00D565EF">
        <w:t>8</w:t>
      </w:r>
      <w:r>
        <w:fldChar w:fldCharType="end"/>
      </w:r>
      <w:r>
        <w:t xml:space="preserve">).  </w:t>
      </w:r>
      <w:bookmarkStart w:id="327" w:name="_Ref482720656"/>
      <w:bookmarkStart w:id="328" w:name="_Ref482722703"/>
    </w:p>
    <w:p w:rsidR="0066381C" w:rsidRPr="000827D0" w:rsidRDefault="0066381C" w:rsidP="0066381C">
      <w:r w:rsidRPr="00AB076F">
        <w:t>However, the Government does not believe that export controls is the only solution to all of the issues with Australia’s domestic gas markets. Export controls</w:t>
      </w:r>
      <w:r>
        <w:t>, and the implementation of the ADGSM,</w:t>
      </w:r>
      <w:r w:rsidRPr="00AB076F">
        <w:t xml:space="preserve"> would complement other government, including </w:t>
      </w:r>
      <w:proofErr w:type="spellStart"/>
      <w:r w:rsidRPr="00AB076F">
        <w:t>CoAG</w:t>
      </w:r>
      <w:proofErr w:type="spellEnd"/>
      <w:r w:rsidRPr="00AB076F">
        <w:t xml:space="preserve"> Energy Council actions, which </w:t>
      </w:r>
      <w:proofErr w:type="gramStart"/>
      <w:r w:rsidRPr="00AB076F">
        <w:t>are designed</w:t>
      </w:r>
      <w:proofErr w:type="gramEnd"/>
      <w:r w:rsidRPr="00AB076F">
        <w:t xml:space="preserve"> to improve the efficiency, competitiveness and transparency of gas markets and increase the development of Australia’s gas resources.  </w:t>
      </w:r>
    </w:p>
    <w:p w:rsidR="0066381C" w:rsidRPr="0022462D" w:rsidRDefault="0066381C" w:rsidP="0066381C">
      <w:pPr>
        <w:pStyle w:val="Heading2"/>
        <w:numPr>
          <w:ilvl w:val="0"/>
          <w:numId w:val="19"/>
        </w:numPr>
        <w:spacing w:line="259" w:lineRule="auto"/>
        <w:ind w:left="426" w:hanging="426"/>
      </w:pPr>
      <w:r>
        <w:tab/>
      </w:r>
      <w:bookmarkStart w:id="329" w:name="_Toc482985576"/>
      <w:bookmarkStart w:id="330" w:name="_Toc483323170"/>
      <w:bookmarkStart w:id="331" w:name="_Ref484446594"/>
      <w:bookmarkStart w:id="332" w:name="_Toc484770770"/>
      <w:bookmarkStart w:id="333" w:name="_Toc484775034"/>
      <w:bookmarkStart w:id="334" w:name="_Toc484779077"/>
      <w:bookmarkStart w:id="335" w:name="_Toc484784276"/>
      <w:bookmarkStart w:id="336" w:name="_Toc484795094"/>
      <w:bookmarkStart w:id="337" w:name="_Toc485406166"/>
      <w:r w:rsidRPr="0022462D">
        <w:t>Stakeholder feedback</w:t>
      </w:r>
      <w:bookmarkEnd w:id="329"/>
      <w:bookmarkEnd w:id="330"/>
      <w:bookmarkEnd w:id="331"/>
      <w:bookmarkEnd w:id="332"/>
      <w:bookmarkEnd w:id="333"/>
      <w:bookmarkEnd w:id="334"/>
      <w:bookmarkEnd w:id="335"/>
      <w:bookmarkEnd w:id="336"/>
      <w:bookmarkEnd w:id="337"/>
    </w:p>
    <w:p w:rsidR="0066381C" w:rsidRDefault="0066381C" w:rsidP="0066381C">
      <w:r>
        <w:t xml:space="preserve">The stakeholder consultations described in Section </w:t>
      </w:r>
      <w:r>
        <w:fldChar w:fldCharType="begin"/>
      </w:r>
      <w:r>
        <w:instrText xml:space="preserve"> REF _Ref482984303 \r \h </w:instrText>
      </w:r>
      <w:r>
        <w:fldChar w:fldCharType="separate"/>
      </w:r>
      <w:r w:rsidR="00D565EF">
        <w:t>6</w:t>
      </w:r>
      <w:r>
        <w:fldChar w:fldCharType="end"/>
      </w:r>
      <w:r>
        <w:t xml:space="preserve"> </w:t>
      </w:r>
      <w:proofErr w:type="gramStart"/>
      <w:r>
        <w:t>were centred</w:t>
      </w:r>
      <w:proofErr w:type="gramEnd"/>
      <w:r>
        <w:t xml:space="preserve"> on export controls, and the ADGSM. Although gas exporters understood the Government’s rationale, they challenged the need for intervention. DIIS heard a number of arguments to this effect, including:</w:t>
      </w:r>
    </w:p>
    <w:p w:rsidR="0066381C" w:rsidRDefault="0066381C" w:rsidP="0066381C">
      <w:pPr>
        <w:pStyle w:val="ListParagraph"/>
        <w:numPr>
          <w:ilvl w:val="0"/>
          <w:numId w:val="8"/>
        </w:numPr>
        <w:spacing w:after="160" w:line="259" w:lineRule="auto"/>
      </w:pPr>
      <w:r>
        <w:t>The overarching cause of supply pressures is due to restrictive state and territory government policies.</w:t>
      </w:r>
    </w:p>
    <w:p w:rsidR="0066381C" w:rsidRDefault="0066381C" w:rsidP="0066381C">
      <w:pPr>
        <w:pStyle w:val="ListParagraph"/>
        <w:numPr>
          <w:ilvl w:val="0"/>
          <w:numId w:val="8"/>
        </w:numPr>
        <w:spacing w:after="160" w:line="259" w:lineRule="auto"/>
      </w:pPr>
      <w:r>
        <w:t xml:space="preserve">Exporters </w:t>
      </w:r>
      <w:proofErr w:type="gramStart"/>
      <w:r>
        <w:t>should not be held</w:t>
      </w:r>
      <w:proofErr w:type="gramEnd"/>
      <w:r>
        <w:t xml:space="preserve"> accountable for supply pressures if there are other market forces (e.g. declining field production) that are also placing pressure on supply.</w:t>
      </w:r>
    </w:p>
    <w:p w:rsidR="0066381C" w:rsidRDefault="0066381C" w:rsidP="0066381C">
      <w:pPr>
        <w:pStyle w:val="ListParagraph"/>
        <w:numPr>
          <w:ilvl w:val="0"/>
          <w:numId w:val="8"/>
        </w:numPr>
        <w:spacing w:after="160" w:line="259" w:lineRule="auto"/>
      </w:pPr>
      <w:r>
        <w:t>Wholesalers are having a larger impact on domestic prices than exporters.</w:t>
      </w:r>
    </w:p>
    <w:p w:rsidR="0066381C" w:rsidRDefault="0066381C" w:rsidP="0066381C">
      <w:r>
        <w:t xml:space="preserve">The Government has </w:t>
      </w:r>
      <w:proofErr w:type="gramStart"/>
      <w:r>
        <w:t>taken this feedback into account</w:t>
      </w:r>
      <w:proofErr w:type="gramEnd"/>
      <w:r>
        <w:t xml:space="preserve"> and is undertaking separate actions to address non-exporter related issues with Australia’s gas markets. However, none of these points justified Australian consumers bearing the risk and cost of export-driven shortfalls.</w:t>
      </w:r>
      <w:r w:rsidRPr="002458A9">
        <w:t xml:space="preserve"> </w:t>
      </w:r>
    </w:p>
    <w:p w:rsidR="0066381C" w:rsidRDefault="0066381C" w:rsidP="0066381C">
      <w:r>
        <w:t>After voicing their opinions on the need for any regulation in the first place, industry stakeholders constructively provided feedback on how export controls would best work in practice, and the design of the ADGSM. DIIS heard a number of exporters’ concerns, including the following.</w:t>
      </w:r>
    </w:p>
    <w:p w:rsidR="0066381C" w:rsidRDefault="0066381C" w:rsidP="0066381C">
      <w:pPr>
        <w:pStyle w:val="ListParagraph"/>
        <w:numPr>
          <w:ilvl w:val="0"/>
          <w:numId w:val="24"/>
        </w:numPr>
        <w:spacing w:after="160" w:line="259" w:lineRule="auto"/>
      </w:pPr>
      <w:r>
        <w:t xml:space="preserve">It is important for the mechanism to be temporary, because increasing supply is the preferred </w:t>
      </w:r>
      <w:proofErr w:type="gramStart"/>
      <w:r>
        <w:t>long term</w:t>
      </w:r>
      <w:proofErr w:type="gramEnd"/>
      <w:r>
        <w:t xml:space="preserve"> solution.</w:t>
      </w:r>
    </w:p>
    <w:p w:rsidR="0066381C" w:rsidRDefault="0066381C" w:rsidP="0066381C">
      <w:pPr>
        <w:pStyle w:val="ListParagraph"/>
        <w:numPr>
          <w:ilvl w:val="0"/>
          <w:numId w:val="24"/>
        </w:numPr>
        <w:spacing w:after="160" w:line="259" w:lineRule="auto"/>
      </w:pPr>
      <w:r w:rsidRPr="00862115">
        <w:t>The shipping schedules of many LNG exporters are finalised in the prior calendar year, following a period of contractual negotiations between LNG exporters and consumers. These schedules are difficult to change for logistical and contractual reasons.</w:t>
      </w:r>
    </w:p>
    <w:p w:rsidR="0066381C" w:rsidRDefault="0066381C" w:rsidP="0066381C">
      <w:pPr>
        <w:pStyle w:val="ListParagraph"/>
        <w:numPr>
          <w:ilvl w:val="0"/>
          <w:numId w:val="24"/>
        </w:numPr>
        <w:spacing w:after="160" w:line="259" w:lineRule="auto"/>
      </w:pPr>
      <w:r>
        <w:lastRenderedPageBreak/>
        <w:t xml:space="preserve">The complex commercial structures of different LNG exporters require the ADGSM to have robust definitions around the respective points of net-deficit assessment and licensing (see Section </w:t>
      </w:r>
      <w:r>
        <w:fldChar w:fldCharType="begin"/>
      </w:r>
      <w:r>
        <w:instrText xml:space="preserve"> REF _Ref482870532 \r \h </w:instrText>
      </w:r>
      <w:r>
        <w:fldChar w:fldCharType="separate"/>
      </w:r>
      <w:r w:rsidR="00D565EF">
        <w:t>4.4</w:t>
      </w:r>
      <w:r>
        <w:fldChar w:fldCharType="end"/>
      </w:r>
      <w:r>
        <w:t>).</w:t>
      </w:r>
    </w:p>
    <w:p w:rsidR="0066381C" w:rsidRDefault="0066381C" w:rsidP="0066381C">
      <w:pPr>
        <w:pStyle w:val="ListParagraph"/>
        <w:numPr>
          <w:ilvl w:val="0"/>
          <w:numId w:val="24"/>
        </w:numPr>
        <w:spacing w:after="160" w:line="259" w:lineRule="auto"/>
      </w:pPr>
      <w:r>
        <w:t>There should be careful thought given to the definitions and methodology used to determine whether an exporter is in net deficit to the domestic market.</w:t>
      </w:r>
    </w:p>
    <w:p w:rsidR="0066381C" w:rsidRDefault="0066381C" w:rsidP="0066381C">
      <w:pPr>
        <w:pStyle w:val="ListParagraph"/>
        <w:numPr>
          <w:ilvl w:val="0"/>
          <w:numId w:val="24"/>
        </w:numPr>
        <w:spacing w:after="160" w:line="259" w:lineRule="auto"/>
      </w:pPr>
      <w:r>
        <w:t>There may be an incentive for different LNG exporters to ‘game’ the mechanism by engaging in anti-competitive behaviour.</w:t>
      </w:r>
    </w:p>
    <w:p w:rsidR="0066381C" w:rsidRDefault="0066381C" w:rsidP="0066381C">
      <w:pPr>
        <w:pStyle w:val="ListParagraph"/>
        <w:numPr>
          <w:ilvl w:val="0"/>
          <w:numId w:val="24"/>
        </w:numPr>
        <w:spacing w:after="160" w:line="259" w:lineRule="auto"/>
      </w:pPr>
      <w:r>
        <w:t>There needs to be provisions to ensure that accurate data (from both producers and consumers) are available and forecasting follows best practice.</w:t>
      </w:r>
    </w:p>
    <w:p w:rsidR="0066381C" w:rsidRPr="00862115" w:rsidRDefault="0066381C" w:rsidP="0066381C">
      <w:pPr>
        <w:pStyle w:val="ListParagraph"/>
        <w:numPr>
          <w:ilvl w:val="0"/>
          <w:numId w:val="24"/>
        </w:numPr>
        <w:spacing w:after="160" w:line="259" w:lineRule="auto"/>
      </w:pPr>
      <w:r>
        <w:t>Cargo swaps are not an option for all exporters for contractual reasons.</w:t>
      </w:r>
    </w:p>
    <w:p w:rsidR="0066381C" w:rsidRDefault="0066381C" w:rsidP="0066381C">
      <w:r>
        <w:t>The Government is continuing to refine the ADGSM, in consultation with industry stakeholders, to take into account the above points.</w:t>
      </w:r>
    </w:p>
    <w:p w:rsidR="0066381C" w:rsidRPr="00B16DD3" w:rsidRDefault="0066381C" w:rsidP="0066381C">
      <w:pPr>
        <w:pStyle w:val="Heading2"/>
        <w:numPr>
          <w:ilvl w:val="0"/>
          <w:numId w:val="19"/>
        </w:numPr>
        <w:spacing w:line="259" w:lineRule="auto"/>
        <w:ind w:left="426" w:hanging="426"/>
      </w:pPr>
      <w:bookmarkStart w:id="338" w:name="_Toc484765488"/>
      <w:bookmarkStart w:id="339" w:name="_Toc484765996"/>
      <w:bookmarkStart w:id="340" w:name="_Toc484770771"/>
      <w:bookmarkStart w:id="341" w:name="_Toc484765489"/>
      <w:bookmarkStart w:id="342" w:name="_Toc484765997"/>
      <w:bookmarkStart w:id="343" w:name="_Toc484770772"/>
      <w:bookmarkStart w:id="344" w:name="_Toc484765490"/>
      <w:bookmarkStart w:id="345" w:name="_Toc484765998"/>
      <w:bookmarkStart w:id="346" w:name="_Toc484770773"/>
      <w:bookmarkEnd w:id="338"/>
      <w:bookmarkEnd w:id="339"/>
      <w:bookmarkEnd w:id="340"/>
      <w:bookmarkEnd w:id="341"/>
      <w:bookmarkEnd w:id="342"/>
      <w:bookmarkEnd w:id="343"/>
      <w:bookmarkEnd w:id="344"/>
      <w:bookmarkEnd w:id="345"/>
      <w:bookmarkEnd w:id="346"/>
      <w:r>
        <w:tab/>
      </w:r>
      <w:bookmarkStart w:id="347" w:name="_Toc483323171"/>
      <w:bookmarkStart w:id="348" w:name="_Toc484770774"/>
      <w:bookmarkStart w:id="349" w:name="_Toc484775035"/>
      <w:bookmarkStart w:id="350" w:name="_Toc484779078"/>
      <w:bookmarkStart w:id="351" w:name="_Toc484784277"/>
      <w:bookmarkStart w:id="352" w:name="_Toc484795095"/>
      <w:bookmarkStart w:id="353" w:name="_Toc485406167"/>
      <w:bookmarkStart w:id="354" w:name="_Toc482985577"/>
      <w:r w:rsidRPr="00B16DD3">
        <w:t>Caveats and qualifications</w:t>
      </w:r>
      <w:bookmarkEnd w:id="347"/>
      <w:bookmarkEnd w:id="348"/>
      <w:bookmarkEnd w:id="349"/>
      <w:bookmarkEnd w:id="350"/>
      <w:bookmarkEnd w:id="351"/>
      <w:bookmarkEnd w:id="352"/>
      <w:bookmarkEnd w:id="353"/>
      <w:r w:rsidRPr="00B16DD3">
        <w:t xml:space="preserve"> </w:t>
      </w:r>
      <w:bookmarkEnd w:id="354"/>
    </w:p>
    <w:p w:rsidR="0066381C" w:rsidRDefault="0066381C" w:rsidP="0066381C">
      <w:r>
        <w:t xml:space="preserve">Industry consultations regarding alternative policy options to the </w:t>
      </w:r>
      <w:proofErr w:type="gramStart"/>
      <w:r>
        <w:t>ADGSM,</w:t>
      </w:r>
      <w:proofErr w:type="gramEnd"/>
      <w:r>
        <w:t xml:space="preserve"> did not yield effective or acceptable solutions to ensure reliable </w:t>
      </w:r>
      <w:r w:rsidRPr="00F24BC8">
        <w:t xml:space="preserve">and </w:t>
      </w:r>
      <w:r>
        <w:t>affordable</w:t>
      </w:r>
      <w:r w:rsidRPr="00F24BC8">
        <w:t xml:space="preserve"> gas </w:t>
      </w:r>
      <w:r>
        <w:t xml:space="preserve">supply </w:t>
      </w:r>
      <w:r w:rsidRPr="00F24BC8">
        <w:t>for Australian consumers</w:t>
      </w:r>
      <w:r>
        <w:rPr>
          <w:rStyle w:val="FootnoteReference"/>
        </w:rPr>
        <w:footnoteReference w:id="27"/>
      </w:r>
      <w:r>
        <w:t>.</w:t>
      </w:r>
      <w:r>
        <w:rPr>
          <w:rStyle w:val="FootnoteReference"/>
        </w:rPr>
        <w:t xml:space="preserve"> </w:t>
      </w:r>
      <w:r>
        <w:t>F</w:t>
      </w:r>
      <w:r>
        <w:rPr>
          <w:rStyle w:val="FootnoteReference"/>
        </w:rPr>
        <w:t xml:space="preserve">urther detail on these </w:t>
      </w:r>
      <w:r>
        <w:t xml:space="preserve">alternative models is available in Section 8.2. In the absence of suitable alternatives, the ADGSM </w:t>
      </w:r>
      <w:proofErr w:type="gramStart"/>
      <w:r>
        <w:t>has been recommended</w:t>
      </w:r>
      <w:proofErr w:type="gramEnd"/>
      <w:r>
        <w:t xml:space="preserve"> as the best option for the Government to improve supply security for domestic gas consumers whilst also balancing exporters’ interests.  </w:t>
      </w:r>
    </w:p>
    <w:p w:rsidR="0066381C" w:rsidRPr="000827D0" w:rsidRDefault="0066381C" w:rsidP="0066381C">
      <w:r>
        <w:t xml:space="preserve">The ADGSM is a temporary and targeted measure that </w:t>
      </w:r>
      <w:proofErr w:type="gramStart"/>
      <w:r>
        <w:t>will only be implemented</w:t>
      </w:r>
      <w:proofErr w:type="gramEnd"/>
      <w:r>
        <w:t xml:space="preserve"> upon formal certification, from the </w:t>
      </w:r>
      <w:r w:rsidRPr="001742F4">
        <w:t>Minister for Resources</w:t>
      </w:r>
      <w:r>
        <w:t xml:space="preserve">, that there are reasonable grounds for doing so. Such a certification is subject to the Government receiving advice from the ACCC and market bodies such as AEMO, before determining the volume of gas required. </w:t>
      </w:r>
    </w:p>
    <w:p w:rsidR="0066381C" w:rsidRDefault="0066381C" w:rsidP="0066381C">
      <w:r>
        <w:t xml:space="preserve">The implementation of the ADGSM will, as much as possible, accommodate for LNG exporters to honour their ongoing contracts, recognising that they may be subject to logistical constraints such as, for example, shipping schedules. Definitions and methodology used to determine whether an exporter is in net deficit to the domestic market </w:t>
      </w:r>
      <w:proofErr w:type="gramStart"/>
      <w:r>
        <w:t>will be made</w:t>
      </w:r>
      <w:proofErr w:type="gramEnd"/>
      <w:r>
        <w:t xml:space="preserve"> to obtain accurate data from both producers and consumers.</w:t>
      </w:r>
    </w:p>
    <w:p w:rsidR="0066381C" w:rsidRDefault="0066381C" w:rsidP="0066381C">
      <w:r>
        <w:t xml:space="preserve">The </w:t>
      </w:r>
      <w:r w:rsidRPr="00590110">
        <w:t xml:space="preserve">ADGSM </w:t>
      </w:r>
      <w:proofErr w:type="gramStart"/>
      <w:r w:rsidRPr="00590110">
        <w:t>is expected</w:t>
      </w:r>
      <w:proofErr w:type="gramEnd"/>
      <w:r w:rsidRPr="00590110">
        <w:t xml:space="preserve"> to com</w:t>
      </w:r>
      <w:r>
        <w:t>mence</w:t>
      </w:r>
      <w:r w:rsidRPr="00590110">
        <w:t xml:space="preserve"> on 1 July 2017</w:t>
      </w:r>
      <w:r>
        <w:t>. However, there will be ongoing consultations with industry to find a suitable compromise that minimises the burden for both the Government and gas exporters, whilst achieving the policy objective of securing domestic gas supply. Further industry consultation may change how the ADGSM is implemented and how it may affect upstream production and joint ventures.</w:t>
      </w:r>
    </w:p>
    <w:p w:rsidR="0066381C" w:rsidRDefault="0066381C" w:rsidP="0066381C">
      <w:r w:rsidRPr="009D338E">
        <w:t xml:space="preserve">Risk mitigation and other implementation details are discussed in </w:t>
      </w:r>
      <w:proofErr w:type="gramStart"/>
      <w:r w:rsidRPr="009D338E">
        <w:t>greater detail</w:t>
      </w:r>
      <w:proofErr w:type="gramEnd"/>
      <w:r w:rsidRPr="009D338E">
        <w:t xml:space="preserve"> in Section </w:t>
      </w:r>
      <w:r w:rsidRPr="009D338E">
        <w:fldChar w:fldCharType="begin"/>
      </w:r>
      <w:r w:rsidRPr="009D338E">
        <w:instrText xml:space="preserve"> REF _Ref482724918 \r \h  \* MERGEFORMAT </w:instrText>
      </w:r>
      <w:r w:rsidRPr="009D338E">
        <w:fldChar w:fldCharType="separate"/>
      </w:r>
      <w:r w:rsidR="00D565EF">
        <w:t>8</w:t>
      </w:r>
      <w:r w:rsidRPr="009D338E">
        <w:fldChar w:fldCharType="end"/>
      </w:r>
      <w:r w:rsidRPr="009D338E">
        <w:t>.</w:t>
      </w:r>
      <w:r>
        <w:t xml:space="preserve"> </w:t>
      </w:r>
    </w:p>
    <w:p w:rsidR="0066381C" w:rsidRDefault="0066381C" w:rsidP="0066381C">
      <w:pPr>
        <w:pStyle w:val="Heading1"/>
        <w:numPr>
          <w:ilvl w:val="0"/>
          <w:numId w:val="10"/>
        </w:numPr>
        <w:tabs>
          <w:tab w:val="clear" w:pos="567"/>
        </w:tabs>
        <w:spacing w:after="0" w:line="259" w:lineRule="auto"/>
      </w:pPr>
      <w:bookmarkStart w:id="355" w:name="_Ref482724918"/>
      <w:bookmarkStart w:id="356" w:name="_Ref482906600"/>
      <w:bookmarkStart w:id="357" w:name="_Toc482985578"/>
      <w:bookmarkStart w:id="358" w:name="_Toc483323172"/>
      <w:bookmarkStart w:id="359" w:name="_Toc484770775"/>
      <w:bookmarkStart w:id="360" w:name="_Toc484775036"/>
      <w:bookmarkStart w:id="361" w:name="_Toc484779079"/>
      <w:bookmarkStart w:id="362" w:name="_Toc484784278"/>
      <w:bookmarkStart w:id="363" w:name="_Toc484795096"/>
      <w:bookmarkStart w:id="364" w:name="_Toc485406168"/>
      <w:r w:rsidRPr="00426F05">
        <w:t>Implementation</w:t>
      </w:r>
      <w:bookmarkEnd w:id="327"/>
      <w:bookmarkEnd w:id="328"/>
      <w:bookmarkEnd w:id="355"/>
      <w:bookmarkEnd w:id="356"/>
      <w:bookmarkEnd w:id="357"/>
      <w:bookmarkEnd w:id="358"/>
      <w:bookmarkEnd w:id="359"/>
      <w:bookmarkEnd w:id="360"/>
      <w:bookmarkEnd w:id="361"/>
      <w:bookmarkEnd w:id="362"/>
      <w:bookmarkEnd w:id="363"/>
      <w:bookmarkEnd w:id="364"/>
    </w:p>
    <w:p w:rsidR="0066381C" w:rsidRDefault="0066381C" w:rsidP="0066381C">
      <w:r>
        <w:t xml:space="preserve">All aspects of the implementation process included in this section </w:t>
      </w:r>
      <w:proofErr w:type="gramStart"/>
      <w:r>
        <w:t>have been informed</w:t>
      </w:r>
      <w:proofErr w:type="gramEnd"/>
      <w:r>
        <w:t xml:space="preserve"> by consultation</w:t>
      </w:r>
      <w:r w:rsidRPr="00B1496F">
        <w:t xml:space="preserve"> (see Section </w:t>
      </w:r>
      <w:r w:rsidRPr="00B1496F">
        <w:fldChar w:fldCharType="begin"/>
      </w:r>
      <w:r w:rsidRPr="00B1496F">
        <w:instrText xml:space="preserve"> REF _Ref482984303 \r \h </w:instrText>
      </w:r>
      <w:r>
        <w:instrText xml:space="preserve"> \* MERGEFORMAT </w:instrText>
      </w:r>
      <w:r w:rsidRPr="00B1496F">
        <w:fldChar w:fldCharType="separate"/>
      </w:r>
      <w:r w:rsidR="00D565EF">
        <w:t>6</w:t>
      </w:r>
      <w:r w:rsidRPr="00B1496F">
        <w:fldChar w:fldCharType="end"/>
      </w:r>
      <w:r w:rsidRPr="00B1496F">
        <w:t>)</w:t>
      </w:r>
      <w:r>
        <w:t xml:space="preserve"> and are subject to further development. DIIS is actively engaging with industry stakeholders to minimise implementation risks, and maximise the net benefit to Australia. </w:t>
      </w:r>
    </w:p>
    <w:p w:rsidR="0066381C" w:rsidRDefault="0066381C" w:rsidP="0066381C">
      <w:pPr>
        <w:pStyle w:val="Heading2"/>
        <w:numPr>
          <w:ilvl w:val="0"/>
          <w:numId w:val="18"/>
        </w:numPr>
        <w:spacing w:line="259" w:lineRule="auto"/>
        <w:ind w:left="426" w:hanging="426"/>
      </w:pPr>
      <w:r>
        <w:lastRenderedPageBreak/>
        <w:tab/>
      </w:r>
      <w:bookmarkStart w:id="365" w:name="_Toc482985579"/>
      <w:bookmarkStart w:id="366" w:name="_Toc483323173"/>
      <w:bookmarkStart w:id="367" w:name="_Toc484770776"/>
      <w:bookmarkStart w:id="368" w:name="_Toc484775037"/>
      <w:bookmarkStart w:id="369" w:name="_Toc484779080"/>
      <w:bookmarkStart w:id="370" w:name="_Toc484784279"/>
      <w:bookmarkStart w:id="371" w:name="_Toc484795097"/>
      <w:bookmarkStart w:id="372" w:name="_Toc485406169"/>
      <w:r w:rsidRPr="00B1496F">
        <w:t>Steps to implementing the ADGSM</w:t>
      </w:r>
      <w:bookmarkEnd w:id="365"/>
      <w:bookmarkEnd w:id="366"/>
      <w:bookmarkEnd w:id="367"/>
      <w:bookmarkEnd w:id="368"/>
      <w:bookmarkEnd w:id="369"/>
      <w:bookmarkEnd w:id="370"/>
      <w:bookmarkEnd w:id="371"/>
      <w:bookmarkEnd w:id="372"/>
    </w:p>
    <w:p w:rsidR="0066381C" w:rsidRDefault="0066381C" w:rsidP="0066381C">
      <w:r>
        <w:t xml:space="preserve">The Government has committed to introduce export control regulations by 1 July 2017. The export controls </w:t>
      </w:r>
      <w:proofErr w:type="gramStart"/>
      <w:r>
        <w:t>would be implemented</w:t>
      </w:r>
      <w:proofErr w:type="gramEnd"/>
      <w:r>
        <w:t xml:space="preserve"> by amending the </w:t>
      </w:r>
      <w:r w:rsidRPr="009B6897">
        <w:t>Customs (Prohibited Exports) Regulations 1958</w:t>
      </w:r>
      <w:r>
        <w:t xml:space="preserve">.  The Department of Immigration and Border Protection (DIBP) is the agency responsible for this legislation. However, as with export controls for uranium and diamonds, DIIS will have primary responsibility for policy and administration, but work closely with DIBP on these matters. </w:t>
      </w:r>
    </w:p>
    <w:p w:rsidR="0066381C" w:rsidRDefault="0066381C" w:rsidP="0066381C">
      <w:r>
        <w:t xml:space="preserve">The following remaining steps required to implement the ADGSM are: </w:t>
      </w:r>
    </w:p>
    <w:p w:rsidR="0066381C" w:rsidRDefault="0066381C" w:rsidP="0066381C">
      <w:pPr>
        <w:pStyle w:val="ListParagraph"/>
        <w:numPr>
          <w:ilvl w:val="0"/>
          <w:numId w:val="23"/>
        </w:numPr>
        <w:spacing w:after="160" w:line="259" w:lineRule="auto"/>
      </w:pPr>
      <w:r>
        <w:t>further consultation with industry (both gas producers and consumers) on the design of the mechanism</w:t>
      </w:r>
      <w:r>
        <w:rPr>
          <w:rStyle w:val="FootnoteReference"/>
        </w:rPr>
        <w:footnoteReference w:id="28"/>
      </w:r>
    </w:p>
    <w:p w:rsidR="0066381C" w:rsidRDefault="0066381C" w:rsidP="0066381C">
      <w:pPr>
        <w:pStyle w:val="ListParagraph"/>
        <w:numPr>
          <w:ilvl w:val="0"/>
          <w:numId w:val="23"/>
        </w:numPr>
        <w:spacing w:after="160" w:line="259" w:lineRule="auto"/>
      </w:pPr>
      <w:r>
        <w:t>industry consultation on the exposure draft and guidelines in early June 2017</w:t>
      </w:r>
    </w:p>
    <w:p w:rsidR="0066381C" w:rsidRPr="0025335D" w:rsidRDefault="0066381C" w:rsidP="0066381C">
      <w:pPr>
        <w:pStyle w:val="ListParagraph"/>
        <w:numPr>
          <w:ilvl w:val="0"/>
          <w:numId w:val="23"/>
        </w:numPr>
        <w:spacing w:after="160" w:line="259" w:lineRule="auto"/>
      </w:pPr>
      <w:r>
        <w:t xml:space="preserve">consultation in early June 2017 with Australia’s LNG trading partners </w:t>
      </w:r>
    </w:p>
    <w:p w:rsidR="0066381C" w:rsidRDefault="0066381C" w:rsidP="0066381C">
      <w:pPr>
        <w:pStyle w:val="ListParagraph"/>
        <w:numPr>
          <w:ilvl w:val="0"/>
          <w:numId w:val="23"/>
        </w:numPr>
        <w:spacing w:after="160" w:line="259" w:lineRule="auto"/>
      </w:pPr>
      <w:proofErr w:type="gramStart"/>
      <w:r>
        <w:t>tabling</w:t>
      </w:r>
      <w:proofErr w:type="gramEnd"/>
      <w:r>
        <w:t xml:space="preserve"> of the regulation in Parliament, and the subsequent disallowance period of 15 sitting </w:t>
      </w:r>
      <w:r w:rsidRPr="00C836D2">
        <w:t xml:space="preserve"> days</w:t>
      </w:r>
      <w:r>
        <w:t>.</w:t>
      </w:r>
    </w:p>
    <w:p w:rsidR="0066381C" w:rsidRDefault="0066381C" w:rsidP="0066381C">
      <w:r w:rsidRPr="00034A90">
        <w:t xml:space="preserve">After the regulation is made by the Governor General, and tabled in Parliament and is not subject to disallowance, the ADGSM could be activated by the Minister for Resources. The </w:t>
      </w:r>
      <w:r>
        <w:t xml:space="preserve">Australian </w:t>
      </w:r>
      <w:r w:rsidRPr="00034A90">
        <w:t xml:space="preserve">Government currently does not prohibit the export of LNG; </w:t>
      </w:r>
      <w:proofErr w:type="gramStart"/>
      <w:r w:rsidRPr="00034A90">
        <w:t>however</w:t>
      </w:r>
      <w:proofErr w:type="gramEnd"/>
      <w:r w:rsidRPr="00034A90">
        <w:t xml:space="preserve"> they are required to report their export</w:t>
      </w:r>
      <w:r>
        <w:t>s by way of Export Declarations</w:t>
      </w:r>
      <w:r w:rsidRPr="00034A90">
        <w:t xml:space="preserve">. The LNG industry would therefore transition from reporting at time of export (Export Declaration) to requiring </w:t>
      </w:r>
      <w:proofErr w:type="gramStart"/>
      <w:r w:rsidRPr="00034A90">
        <w:t>to obtain</w:t>
      </w:r>
      <w:proofErr w:type="gramEnd"/>
      <w:r w:rsidRPr="00034A90">
        <w:t xml:space="preserve"> a permit prior to time of export while continuing to report export details as required of a prohibited export, when </w:t>
      </w:r>
      <w:r w:rsidR="00DE4869">
        <w:t>the Resources Minister</w:t>
      </w:r>
      <w:r w:rsidRPr="00034A90">
        <w:t xml:space="preserve"> determines there to be a shortfall in the LNG domestic market. To assist the industry with the transition, guidelines outlining the steps, responsibilities and timeframes involved </w:t>
      </w:r>
      <w:proofErr w:type="gramStart"/>
      <w:r w:rsidRPr="00034A90">
        <w:t>will be developed</w:t>
      </w:r>
      <w:proofErr w:type="gramEnd"/>
      <w:r w:rsidRPr="00034A90">
        <w:t xml:space="preserve">. Each decision point </w:t>
      </w:r>
      <w:proofErr w:type="gramStart"/>
      <w:r w:rsidRPr="00034A90">
        <w:t>would be appropriately timed</w:t>
      </w:r>
      <w:proofErr w:type="gramEnd"/>
      <w:r w:rsidRPr="00034A90">
        <w:t xml:space="preserve"> to ensure companies, market bodies and the ACCC had sufficient time to consider and respond to requests. </w:t>
      </w:r>
      <w:r>
        <w:t xml:space="preserve">Through the Minister for Resources, DIIS would be responsible for all aspects of the administrative process required to implement the ADGSM (see Section </w:t>
      </w:r>
      <w:r>
        <w:fldChar w:fldCharType="begin"/>
      </w:r>
      <w:r>
        <w:instrText xml:space="preserve"> REF _Ref482870532 \r \h </w:instrText>
      </w:r>
      <w:r>
        <w:fldChar w:fldCharType="separate"/>
      </w:r>
      <w:r w:rsidR="00D565EF">
        <w:t>4.4</w:t>
      </w:r>
      <w:r>
        <w:fldChar w:fldCharType="end"/>
      </w:r>
      <w:r>
        <w:t xml:space="preserve"> for a flowchart describing the process). Responsibility for each step </w:t>
      </w:r>
      <w:proofErr w:type="gramStart"/>
      <w:r>
        <w:t>is articulated</w:t>
      </w:r>
      <w:proofErr w:type="gramEnd"/>
      <w:r>
        <w:t xml:space="preserve"> in the guidelines.   </w:t>
      </w:r>
    </w:p>
    <w:p w:rsidR="0066381C" w:rsidRDefault="0066381C" w:rsidP="0066381C">
      <w:pPr>
        <w:rPr>
          <w:b/>
        </w:rPr>
      </w:pPr>
      <w:r>
        <w:rPr>
          <w:b/>
        </w:rPr>
        <w:t>Minister’s Declaration</w:t>
      </w:r>
    </w:p>
    <w:p w:rsidR="0066381C" w:rsidRDefault="00DE4869" w:rsidP="0066381C">
      <w:r>
        <w:t>The Resources Minister</w:t>
      </w:r>
      <w:r w:rsidR="0066381C">
        <w:t xml:space="preserve"> would make a public declaration of his/her intent to make a determination of whether export controls </w:t>
      </w:r>
      <w:proofErr w:type="gramStart"/>
      <w:r w:rsidR="0066381C">
        <w:t>would be implemented</w:t>
      </w:r>
      <w:proofErr w:type="gramEnd"/>
      <w:r w:rsidR="0066381C">
        <w:t xml:space="preserve"> in the forthcoming year. The determination would occur no sooner than 30 days after the declaration. After making the declaration, </w:t>
      </w:r>
      <w:r>
        <w:t>the Resources Minister</w:t>
      </w:r>
      <w:r w:rsidR="0066381C">
        <w:t xml:space="preserve"> would write to: </w:t>
      </w:r>
    </w:p>
    <w:p w:rsidR="0066381C" w:rsidRPr="00596290" w:rsidRDefault="0066381C" w:rsidP="0066381C">
      <w:pPr>
        <w:pStyle w:val="ListParagraph"/>
        <w:numPr>
          <w:ilvl w:val="0"/>
          <w:numId w:val="27"/>
        </w:numPr>
        <w:spacing w:after="160" w:line="259" w:lineRule="auto"/>
        <w:rPr>
          <w:szCs w:val="20"/>
        </w:rPr>
      </w:pPr>
      <w:r>
        <w:rPr>
          <w:rFonts w:cs="Arial"/>
          <w:szCs w:val="20"/>
        </w:rPr>
        <w:t xml:space="preserve">relevant market bodies and agencies (e.g. AEMO, ACCC) </w:t>
      </w:r>
      <w:r w:rsidRPr="00596290">
        <w:rPr>
          <w:rFonts w:cs="Arial"/>
          <w:szCs w:val="20"/>
        </w:rPr>
        <w:t>requesting advice on</w:t>
      </w:r>
      <w:r>
        <w:rPr>
          <w:rFonts w:cs="Arial"/>
          <w:szCs w:val="20"/>
        </w:rPr>
        <w:t xml:space="preserve"> the</w:t>
      </w:r>
      <w:r w:rsidRPr="00596290">
        <w:rPr>
          <w:rFonts w:cs="Arial"/>
          <w:szCs w:val="20"/>
        </w:rPr>
        <w:t xml:space="preserve"> potential for </w:t>
      </w:r>
      <w:r>
        <w:rPr>
          <w:rFonts w:cs="Arial"/>
          <w:szCs w:val="20"/>
        </w:rPr>
        <w:t>a domestic gas shortfall, and associated analysis</w:t>
      </w:r>
    </w:p>
    <w:p w:rsidR="0066381C" w:rsidRPr="00596290" w:rsidRDefault="0066381C" w:rsidP="0066381C">
      <w:pPr>
        <w:pStyle w:val="ListParagraph"/>
        <w:numPr>
          <w:ilvl w:val="0"/>
          <w:numId w:val="27"/>
        </w:numPr>
        <w:spacing w:after="160" w:line="259" w:lineRule="auto"/>
        <w:rPr>
          <w:szCs w:val="20"/>
        </w:rPr>
      </w:pPr>
      <w:r w:rsidRPr="00596290">
        <w:rPr>
          <w:szCs w:val="20"/>
        </w:rPr>
        <w:t>LNG</w:t>
      </w:r>
      <w:r w:rsidRPr="00596290" w:rsidDel="00E418F1">
        <w:rPr>
          <w:szCs w:val="20"/>
        </w:rPr>
        <w:t xml:space="preserve"> </w:t>
      </w:r>
      <w:r>
        <w:rPr>
          <w:szCs w:val="20"/>
        </w:rPr>
        <w:t xml:space="preserve">project managers, requesting information such as gas production figures or planned export volumes, for example. </w:t>
      </w:r>
    </w:p>
    <w:p w:rsidR="0066381C" w:rsidRDefault="0066381C" w:rsidP="0066381C">
      <w:pPr>
        <w:pStyle w:val="ListParagraph"/>
        <w:numPr>
          <w:ilvl w:val="0"/>
          <w:numId w:val="27"/>
        </w:numPr>
        <w:spacing w:after="160" w:line="259" w:lineRule="auto"/>
        <w:rPr>
          <w:szCs w:val="20"/>
        </w:rPr>
      </w:pPr>
      <w:proofErr w:type="gramStart"/>
      <w:r>
        <w:rPr>
          <w:szCs w:val="20"/>
        </w:rPr>
        <w:t>relevant</w:t>
      </w:r>
      <w:proofErr w:type="gramEnd"/>
      <w:r>
        <w:rPr>
          <w:szCs w:val="20"/>
        </w:rPr>
        <w:t xml:space="preserve"> Australian Government Ministers, for consultation and to notify them of his/her declaration</w:t>
      </w:r>
      <w:r w:rsidRPr="00596290">
        <w:rPr>
          <w:szCs w:val="20"/>
        </w:rPr>
        <w:t>.</w:t>
      </w:r>
    </w:p>
    <w:p w:rsidR="0066381C" w:rsidRPr="00596290" w:rsidRDefault="0066381C" w:rsidP="0066381C">
      <w:pPr>
        <w:pStyle w:val="ListParagraph"/>
        <w:numPr>
          <w:ilvl w:val="0"/>
          <w:numId w:val="27"/>
        </w:numPr>
        <w:spacing w:after="160" w:line="259" w:lineRule="auto"/>
        <w:rPr>
          <w:szCs w:val="20"/>
        </w:rPr>
      </w:pPr>
      <w:proofErr w:type="gramStart"/>
      <w:r>
        <w:rPr>
          <w:szCs w:val="20"/>
        </w:rPr>
        <w:t>any</w:t>
      </w:r>
      <w:proofErr w:type="gramEnd"/>
      <w:r>
        <w:rPr>
          <w:szCs w:val="20"/>
        </w:rPr>
        <w:t xml:space="preserve"> other stakeholders that </w:t>
      </w:r>
      <w:r w:rsidR="00DE4869">
        <w:rPr>
          <w:szCs w:val="20"/>
        </w:rPr>
        <w:t>the Resources Minister</w:t>
      </w:r>
      <w:r>
        <w:rPr>
          <w:szCs w:val="20"/>
        </w:rPr>
        <w:t xml:space="preserve"> considers appropriate. </w:t>
      </w:r>
    </w:p>
    <w:p w:rsidR="0066381C" w:rsidRPr="009F4542" w:rsidRDefault="0066381C" w:rsidP="002734CA">
      <w:pPr>
        <w:keepNext/>
        <w:rPr>
          <w:b/>
        </w:rPr>
      </w:pPr>
      <w:r w:rsidRPr="009F4542">
        <w:rPr>
          <w:b/>
        </w:rPr>
        <w:lastRenderedPageBreak/>
        <w:t>Assessment and decision</w:t>
      </w:r>
    </w:p>
    <w:p w:rsidR="0066381C" w:rsidRDefault="0066381C" w:rsidP="0066381C">
      <w:r w:rsidRPr="002D6362">
        <w:t>After</w:t>
      </w:r>
      <w:r>
        <w:t xml:space="preserve"> receiving submissions, </w:t>
      </w:r>
      <w:r w:rsidR="00DE4869">
        <w:t>the Resources Minister</w:t>
      </w:r>
      <w:r>
        <w:t xml:space="preserve"> would consider all relevant and available information. </w:t>
      </w:r>
      <w:r w:rsidR="00DE4869">
        <w:t>The Resources Minister</w:t>
      </w:r>
      <w:r>
        <w:t xml:space="preserve"> would then make a determination as to whether export controls would apply in the following year.</w:t>
      </w:r>
    </w:p>
    <w:p w:rsidR="0066381C" w:rsidRDefault="0066381C" w:rsidP="0066381C">
      <w:pPr>
        <w:spacing w:after="120"/>
        <w:rPr>
          <w:rFonts w:cs="Arial"/>
          <w:color w:val="0D0D0D" w:themeColor="text1" w:themeTint="F2"/>
        </w:rPr>
      </w:pPr>
      <w:r>
        <w:t>If no shortfall exists, the</w:t>
      </w:r>
      <w:r w:rsidDel="004B20EC">
        <w:t xml:space="preserve"> </w:t>
      </w:r>
      <w:r>
        <w:t xml:space="preserve">process would end. If </w:t>
      </w:r>
      <w:r w:rsidR="00DE4869">
        <w:t>the Resources Minister</w:t>
      </w:r>
      <w:r>
        <w:t xml:space="preserve"> determined that export controls </w:t>
      </w:r>
      <w:proofErr w:type="gramStart"/>
      <w:r>
        <w:t>should be implemented</w:t>
      </w:r>
      <w:proofErr w:type="gramEnd"/>
      <w:r>
        <w:t xml:space="preserve"> in the forthcoming year, then </w:t>
      </w:r>
      <w:r w:rsidR="00DE4869">
        <w:t>the Resources Minister</w:t>
      </w:r>
      <w:r>
        <w:t xml:space="preserve"> would determine exporter obligations and permitted export volumes </w:t>
      </w:r>
      <w:r>
        <w:rPr>
          <w:rFonts w:cs="Arial"/>
          <w:color w:val="0D0D0D" w:themeColor="text1" w:themeTint="F2"/>
        </w:rPr>
        <w:t xml:space="preserve">as outlined in Section </w:t>
      </w:r>
      <w:r>
        <w:fldChar w:fldCharType="begin"/>
      </w:r>
      <w:r>
        <w:instrText xml:space="preserve"> REF _Ref482870532 \r \h </w:instrText>
      </w:r>
      <w:r>
        <w:fldChar w:fldCharType="separate"/>
      </w:r>
      <w:r w:rsidR="00D565EF">
        <w:t>4.4</w:t>
      </w:r>
      <w:r>
        <w:fldChar w:fldCharType="end"/>
      </w:r>
      <w:r>
        <w:t xml:space="preserve"> </w:t>
      </w:r>
      <w:r>
        <w:rPr>
          <w:rFonts w:cs="Arial"/>
          <w:color w:val="0D0D0D" w:themeColor="text1" w:themeTint="F2"/>
        </w:rPr>
        <w:t xml:space="preserve">. The method </w:t>
      </w:r>
      <w:r w:rsidDel="004B20EC">
        <w:rPr>
          <w:rFonts w:cs="Arial"/>
          <w:color w:val="0D0D0D" w:themeColor="text1" w:themeTint="F2"/>
        </w:rPr>
        <w:t xml:space="preserve">for </w:t>
      </w:r>
      <w:r>
        <w:rPr>
          <w:rFonts w:cs="Arial"/>
          <w:color w:val="0D0D0D" w:themeColor="text1" w:themeTint="F2"/>
        </w:rPr>
        <w:t xml:space="preserve">determining obligations </w:t>
      </w:r>
      <w:proofErr w:type="gramStart"/>
      <w:r>
        <w:rPr>
          <w:rFonts w:cs="Arial"/>
          <w:color w:val="0D0D0D" w:themeColor="text1" w:themeTint="F2"/>
        </w:rPr>
        <w:t>will be detailed</w:t>
      </w:r>
      <w:proofErr w:type="gramEnd"/>
      <w:r>
        <w:rPr>
          <w:rFonts w:cs="Arial"/>
          <w:color w:val="0D0D0D" w:themeColor="text1" w:themeTint="F2"/>
        </w:rPr>
        <w:t xml:space="preserve"> in the guidelines.</w:t>
      </w:r>
    </w:p>
    <w:p w:rsidR="0066381C" w:rsidRPr="009F4542" w:rsidRDefault="0066381C" w:rsidP="0066381C">
      <w:pPr>
        <w:rPr>
          <w:b/>
        </w:rPr>
      </w:pPr>
      <w:r w:rsidRPr="009F4542">
        <w:rPr>
          <w:b/>
        </w:rPr>
        <w:t>Minister’s Determination</w:t>
      </w:r>
    </w:p>
    <w:p w:rsidR="0066381C" w:rsidRDefault="00DE4869" w:rsidP="0066381C">
      <w:r>
        <w:t>The Resources Minister</w:t>
      </w:r>
      <w:r w:rsidR="0066381C">
        <w:t xml:space="preserve"> would i</w:t>
      </w:r>
      <w:r w:rsidR="0066381C" w:rsidRPr="007B64D1">
        <w:t>ssue</w:t>
      </w:r>
      <w:r w:rsidR="0066381C">
        <w:t xml:space="preserve"> a public decision </w:t>
      </w:r>
      <w:r w:rsidR="0066381C" w:rsidRPr="007B64D1">
        <w:t xml:space="preserve">with </w:t>
      </w:r>
      <w:r w:rsidR="0066381C">
        <w:t xml:space="preserve">a </w:t>
      </w:r>
      <w:r w:rsidR="0066381C" w:rsidRPr="007B64D1">
        <w:t>statement of rea</w:t>
      </w:r>
      <w:r w:rsidR="0066381C">
        <w:t>sons</w:t>
      </w:r>
      <w:r w:rsidR="0066381C" w:rsidRPr="007B64D1">
        <w:t>.</w:t>
      </w:r>
      <w:r w:rsidR="0066381C">
        <w:t xml:space="preserve"> </w:t>
      </w:r>
      <w:r>
        <w:t>The Resources Minister</w:t>
      </w:r>
      <w:r w:rsidR="0066381C">
        <w:t xml:space="preserve"> would also write to LNG exporters advising them of any provisional Export Permission decision (if triggered) and reasons for the decision. Where practical, exporters would have 30 days to consider and respond to their provisional Export Permission determination and any conditions attached to it.</w:t>
      </w:r>
    </w:p>
    <w:p w:rsidR="0066381C" w:rsidRDefault="00DE4869" w:rsidP="0066381C">
      <w:r>
        <w:t>The Resources Minister</w:t>
      </w:r>
      <w:r w:rsidR="0066381C">
        <w:t xml:space="preserve"> would then assess any relevant additional information before finalising Export Permissions. The granting of an Export Permission would</w:t>
      </w:r>
      <w:r w:rsidR="0066381C" w:rsidRPr="005C6B4C">
        <w:t xml:space="preserve"> </w:t>
      </w:r>
      <w:r w:rsidR="0066381C">
        <w:t>be conditional on</w:t>
      </w:r>
      <w:r w:rsidR="0066381C" w:rsidRPr="005C6B4C">
        <w:t xml:space="preserve"> gas supply and production through</w:t>
      </w:r>
      <w:r w:rsidR="0066381C">
        <w:t>out the</w:t>
      </w:r>
      <w:r w:rsidR="0066381C" w:rsidRPr="005C6B4C">
        <w:t xml:space="preserve"> </w:t>
      </w:r>
      <w:r w:rsidR="0066381C">
        <w:t>permission</w:t>
      </w:r>
      <w:r w:rsidR="0066381C" w:rsidRPr="005C6B4C">
        <w:t xml:space="preserve"> period match</w:t>
      </w:r>
      <w:r w:rsidR="0066381C">
        <w:t>ing</w:t>
      </w:r>
      <w:r w:rsidR="0066381C" w:rsidRPr="005C6B4C">
        <w:t xml:space="preserve"> information supplied to</w:t>
      </w:r>
      <w:r w:rsidR="0066381C">
        <w:t xml:space="preserve"> the G</w:t>
      </w:r>
      <w:r w:rsidR="0066381C" w:rsidRPr="005C6B4C">
        <w:t xml:space="preserve">overnment </w:t>
      </w:r>
      <w:r w:rsidR="0066381C">
        <w:t>as part of the process.</w:t>
      </w:r>
    </w:p>
    <w:p w:rsidR="0066381C" w:rsidRDefault="0066381C" w:rsidP="0066381C">
      <w:r>
        <w:t>An Export Permission period would apply from 1 January to 31 December of the following year.</w:t>
      </w:r>
    </w:p>
    <w:p w:rsidR="0066381C" w:rsidRPr="0086299B" w:rsidRDefault="0066381C" w:rsidP="0066381C">
      <w:pPr>
        <w:rPr>
          <w:rStyle w:val="Heading5Char"/>
        </w:rPr>
      </w:pPr>
      <w:bookmarkStart w:id="373" w:name="_Toc483323174"/>
      <w:r>
        <w:t xml:space="preserve">Export Permissions would be based on a quantity of gas (linked to its energy content), rather than the number of cargoes. DIIS would be responsible for monitoring compliance of the export volumes for LNG companies subject to Export Permissions. DIBP’s role would be to provide export information to DIIS for verification against permissions, and prevent any cargoes classified as a prohibited export departing Australia (e.g. if an exporter was breaching its Export Permission). </w:t>
      </w:r>
    </w:p>
    <w:p w:rsidR="0066381C" w:rsidRDefault="0066381C" w:rsidP="0066381C">
      <w:pPr>
        <w:pStyle w:val="Heading3"/>
      </w:pPr>
      <w:bookmarkStart w:id="374" w:name="_Toc484770777"/>
      <w:bookmarkStart w:id="375" w:name="_Toc484775038"/>
      <w:bookmarkStart w:id="376" w:name="_Toc484779081"/>
      <w:bookmarkStart w:id="377" w:name="_Toc484784280"/>
      <w:bookmarkStart w:id="378" w:name="_Toc484795098"/>
      <w:bookmarkStart w:id="379" w:name="_Toc485406170"/>
      <w:r w:rsidRPr="007D2821">
        <w:rPr>
          <w:rStyle w:val="Heading5Char"/>
        </w:rPr>
        <w:t>Implementation risks</w:t>
      </w:r>
      <w:bookmarkEnd w:id="373"/>
      <w:bookmarkEnd w:id="374"/>
      <w:bookmarkEnd w:id="375"/>
      <w:bookmarkEnd w:id="376"/>
      <w:bookmarkEnd w:id="377"/>
      <w:bookmarkEnd w:id="378"/>
      <w:bookmarkEnd w:id="379"/>
      <w:r>
        <w:t xml:space="preserve"> </w:t>
      </w:r>
    </w:p>
    <w:p w:rsidR="0066381C" w:rsidRDefault="0066381C" w:rsidP="0066381C">
      <w:r>
        <w:t xml:space="preserve">The Prime Minister has requested export controls be implemented by 1 July 2017 to respond to the risks to the economy resulting from a potential shortfall of supply to the domestic market.  </w:t>
      </w:r>
    </w:p>
    <w:p w:rsidR="0066381C" w:rsidRDefault="0066381C" w:rsidP="0066381C">
      <w:r>
        <w:t xml:space="preserve">Consultation on the framework with impacted LNG exporters, market bodies and the ACCC has occurred within a short </w:t>
      </w:r>
      <w:proofErr w:type="gramStart"/>
      <w:r>
        <w:t>timeframe</w:t>
      </w:r>
      <w:proofErr w:type="gramEnd"/>
      <w:r>
        <w:t xml:space="preserve"> as it is a priority to minimise any unintended consequences. Consultation with industry on the design of the mechanism occurred on the following dates: 4 May, 11 May, </w:t>
      </w:r>
      <w:r w:rsidRPr="00E31FB9">
        <w:t xml:space="preserve">15 May and </w:t>
      </w:r>
      <w:r w:rsidRPr="0099765A">
        <w:t>26 May</w:t>
      </w:r>
      <w:r>
        <w:t xml:space="preserve"> 2017</w:t>
      </w:r>
      <w:r w:rsidRPr="0099765A">
        <w:t>. In</w:t>
      </w:r>
      <w:r>
        <w:t xml:space="preserve"> addition to this, </w:t>
      </w:r>
      <w:r w:rsidRPr="00B95E2F">
        <w:rPr>
          <w:i/>
        </w:rPr>
        <w:t>ad hoc</w:t>
      </w:r>
      <w:r>
        <w:t xml:space="preserve"> consultations will serve to address further issues. </w:t>
      </w:r>
    </w:p>
    <w:p w:rsidR="0066381C" w:rsidRDefault="0066381C" w:rsidP="0066381C">
      <w:pPr>
        <w:pStyle w:val="Heading3"/>
      </w:pPr>
      <w:bookmarkStart w:id="380" w:name="_Toc484770779"/>
      <w:bookmarkStart w:id="381" w:name="_Toc484775040"/>
      <w:bookmarkStart w:id="382" w:name="_Toc484779083"/>
      <w:bookmarkStart w:id="383" w:name="_Toc484784282"/>
      <w:bookmarkStart w:id="384" w:name="_Toc484795099"/>
      <w:bookmarkStart w:id="385" w:name="_Toc485406171"/>
      <w:r>
        <w:t>Reviewing the mechanism</w:t>
      </w:r>
      <w:bookmarkEnd w:id="380"/>
      <w:bookmarkEnd w:id="381"/>
      <w:bookmarkEnd w:id="382"/>
      <w:bookmarkEnd w:id="383"/>
      <w:bookmarkEnd w:id="384"/>
      <w:bookmarkEnd w:id="385"/>
    </w:p>
    <w:p w:rsidR="0066381C" w:rsidRPr="00414980" w:rsidRDefault="0066381C" w:rsidP="0066381C">
      <w:pPr>
        <w:pStyle w:val="CommentText"/>
        <w:rPr>
          <w:sz w:val="22"/>
          <w:szCs w:val="22"/>
        </w:rPr>
      </w:pPr>
      <w:r w:rsidRPr="00414980">
        <w:rPr>
          <w:sz w:val="22"/>
          <w:szCs w:val="22"/>
        </w:rPr>
        <w:t xml:space="preserve">The ADGSM </w:t>
      </w:r>
      <w:proofErr w:type="gramStart"/>
      <w:r w:rsidRPr="00414980">
        <w:rPr>
          <w:sz w:val="22"/>
          <w:szCs w:val="22"/>
        </w:rPr>
        <w:t>is intended</w:t>
      </w:r>
      <w:proofErr w:type="gramEnd"/>
      <w:r w:rsidRPr="00414980">
        <w:rPr>
          <w:sz w:val="22"/>
          <w:szCs w:val="22"/>
        </w:rPr>
        <w:t xml:space="preserve"> to be a temporary intervention in the market. It</w:t>
      </w:r>
      <w:r>
        <w:rPr>
          <w:sz w:val="22"/>
          <w:szCs w:val="22"/>
        </w:rPr>
        <w:t xml:space="preserve"> </w:t>
      </w:r>
      <w:proofErr w:type="gramStart"/>
      <w:r>
        <w:rPr>
          <w:sz w:val="22"/>
          <w:szCs w:val="22"/>
        </w:rPr>
        <w:t>is intended</w:t>
      </w:r>
      <w:proofErr w:type="gramEnd"/>
      <w:r>
        <w:rPr>
          <w:sz w:val="22"/>
          <w:szCs w:val="22"/>
        </w:rPr>
        <w:t xml:space="preserve"> to only operate for five years </w:t>
      </w:r>
      <w:r w:rsidRPr="00AA359A">
        <w:rPr>
          <w:sz w:val="22"/>
          <w:szCs w:val="22"/>
        </w:rPr>
        <w:t>(to 1 January 2023)</w:t>
      </w:r>
      <w:r>
        <w:rPr>
          <w:sz w:val="22"/>
          <w:szCs w:val="22"/>
        </w:rPr>
        <w:t xml:space="preserve"> and will be subject to </w:t>
      </w:r>
      <w:r w:rsidRPr="00414980">
        <w:rPr>
          <w:sz w:val="22"/>
          <w:szCs w:val="22"/>
        </w:rPr>
        <w:t>a review</w:t>
      </w:r>
      <w:r>
        <w:rPr>
          <w:sz w:val="22"/>
          <w:szCs w:val="22"/>
        </w:rPr>
        <w:t xml:space="preserve"> after two full years of operation</w:t>
      </w:r>
      <w:r w:rsidRPr="00414980">
        <w:rPr>
          <w:sz w:val="22"/>
          <w:szCs w:val="22"/>
        </w:rPr>
        <w:t xml:space="preserve">. </w:t>
      </w:r>
    </w:p>
    <w:p w:rsidR="0066381C" w:rsidRDefault="0066381C" w:rsidP="0066381C">
      <w:r>
        <w:t xml:space="preserve">The review will evaluate the efficacy of the mechanism by analysing if export controls have made a material impact on reducing supply shortages to the domestic market. This will include reviewing the behaviour of exporters, to determine if restrictions (or threat of restrictions) on export volumes have improved domestic gas availability over time. </w:t>
      </w:r>
    </w:p>
    <w:p w:rsidR="0066381C" w:rsidRPr="00E55603" w:rsidRDefault="0066381C" w:rsidP="0066381C">
      <w:r>
        <w:lastRenderedPageBreak/>
        <w:t xml:space="preserve">The review will also consider whether gas users have had improved access to gas and whether demand destruction had occurred due to industry closures. Administrative aspects of the mechanism </w:t>
      </w:r>
      <w:proofErr w:type="gramStart"/>
      <w:r>
        <w:t>would also be reviewed</w:t>
      </w:r>
      <w:proofErr w:type="gramEnd"/>
      <w:r>
        <w:t xml:space="preserve"> to determine if steps and timeframes for information gathering from market bodies and exporters restricted </w:t>
      </w:r>
      <w:r w:rsidR="00DE4869">
        <w:t>the Resources Minister</w:t>
      </w:r>
      <w:r>
        <w:t xml:space="preserve">’s ability to make informed decisions.      </w:t>
      </w:r>
    </w:p>
    <w:p w:rsidR="0066381C" w:rsidRDefault="0066381C" w:rsidP="0066381C">
      <w:r>
        <w:t xml:space="preserve">Analysis of the performance of the policy against its objectives will take place throughout the operation of the ADGSM. </w:t>
      </w:r>
    </w:p>
    <w:p w:rsidR="0066381C" w:rsidRPr="00C73EEC" w:rsidRDefault="0066381C" w:rsidP="0066381C">
      <w:pPr>
        <w:pStyle w:val="Heading2"/>
        <w:numPr>
          <w:ilvl w:val="0"/>
          <w:numId w:val="18"/>
        </w:numPr>
        <w:spacing w:line="259" w:lineRule="auto"/>
        <w:ind w:left="426" w:hanging="426"/>
      </w:pPr>
      <w:r w:rsidRPr="00C73EEC">
        <w:tab/>
      </w:r>
      <w:bookmarkStart w:id="386" w:name="_Toc482985580"/>
      <w:bookmarkStart w:id="387" w:name="_Toc483323176"/>
      <w:bookmarkStart w:id="388" w:name="_Ref483386091"/>
      <w:bookmarkStart w:id="389" w:name="_Ref483388672"/>
      <w:bookmarkStart w:id="390" w:name="_Ref483394559"/>
      <w:bookmarkStart w:id="391" w:name="_Toc484770780"/>
      <w:bookmarkStart w:id="392" w:name="_Toc484775041"/>
      <w:bookmarkStart w:id="393" w:name="_Toc484779084"/>
      <w:bookmarkStart w:id="394" w:name="_Toc484784283"/>
      <w:bookmarkStart w:id="395" w:name="_Toc484795100"/>
      <w:bookmarkStart w:id="396" w:name="_Toc485406172"/>
      <w:r w:rsidRPr="00C73EEC">
        <w:t>Alternatives to the ADGSM for implementing export controls</w:t>
      </w:r>
      <w:bookmarkEnd w:id="386"/>
      <w:bookmarkEnd w:id="387"/>
      <w:bookmarkEnd w:id="388"/>
      <w:bookmarkEnd w:id="389"/>
      <w:bookmarkEnd w:id="390"/>
      <w:bookmarkEnd w:id="391"/>
      <w:bookmarkEnd w:id="392"/>
      <w:bookmarkEnd w:id="393"/>
      <w:bookmarkEnd w:id="394"/>
      <w:bookmarkEnd w:id="395"/>
      <w:bookmarkEnd w:id="396"/>
    </w:p>
    <w:p w:rsidR="0066381C" w:rsidRDefault="0066381C" w:rsidP="0066381C">
      <w:r w:rsidRPr="00C73EEC">
        <w:t xml:space="preserve">The impact analysis in Section </w:t>
      </w:r>
      <w:r w:rsidRPr="00C73EEC">
        <w:fldChar w:fldCharType="begin"/>
      </w:r>
      <w:r w:rsidRPr="00C73EEC">
        <w:instrText xml:space="preserve"> REF _Ref482797128 \r \h </w:instrText>
      </w:r>
      <w:r>
        <w:instrText xml:space="preserve"> \* MERGEFORMAT </w:instrText>
      </w:r>
      <w:r w:rsidRPr="00C73EEC">
        <w:fldChar w:fldCharType="separate"/>
      </w:r>
      <w:r w:rsidR="00D565EF">
        <w:t>5</w:t>
      </w:r>
      <w:r w:rsidRPr="00C73EEC">
        <w:fldChar w:fldCharType="end"/>
      </w:r>
      <w:r w:rsidRPr="00C73EEC">
        <w:t xml:space="preserve"> uses the proposed ADGSM design to estimate the regulatory costs, because it was deemed </w:t>
      </w:r>
      <w:proofErr w:type="gramStart"/>
      <w:r w:rsidRPr="00C73EEC">
        <w:t>to be the</w:t>
      </w:r>
      <w:proofErr w:type="gramEnd"/>
      <w:r w:rsidRPr="00C73EEC">
        <w:t xml:space="preserve"> most feasible and beneficial implementation method. This section outlines several alternative</w:t>
      </w:r>
      <w:r>
        <w:t xml:space="preserve"> methods to implement export controls, including anonymous suggestions from industry stakeholders. </w:t>
      </w:r>
    </w:p>
    <w:p w:rsidR="0066381C" w:rsidRDefault="0066381C" w:rsidP="0066381C">
      <w:pPr>
        <w:pStyle w:val="Heading3"/>
      </w:pPr>
      <w:bookmarkStart w:id="397" w:name="_Toc482985581"/>
      <w:bookmarkStart w:id="398" w:name="_Toc483323177"/>
      <w:bookmarkStart w:id="399" w:name="_Toc484770781"/>
      <w:bookmarkStart w:id="400" w:name="_Toc484775042"/>
      <w:bookmarkStart w:id="401" w:name="_Toc484779085"/>
      <w:bookmarkStart w:id="402" w:name="_Toc484784284"/>
      <w:bookmarkStart w:id="403" w:name="_Toc484795101"/>
      <w:bookmarkStart w:id="404" w:name="_Toc485406173"/>
      <w:r>
        <w:t>Gas-sourcing model</w:t>
      </w:r>
      <w:bookmarkEnd w:id="397"/>
      <w:bookmarkEnd w:id="398"/>
      <w:bookmarkEnd w:id="399"/>
      <w:bookmarkEnd w:id="400"/>
      <w:bookmarkEnd w:id="401"/>
      <w:bookmarkEnd w:id="402"/>
      <w:bookmarkEnd w:id="403"/>
      <w:bookmarkEnd w:id="404"/>
    </w:p>
    <w:p w:rsidR="0066381C" w:rsidRDefault="0066381C" w:rsidP="0066381C">
      <w:r>
        <w:t xml:space="preserve">Under this model, </w:t>
      </w:r>
      <w:r w:rsidRPr="00362E7D">
        <w:t>LNG exports would be permitted where the exporter can demonstrate that feedsto</w:t>
      </w:r>
      <w:r>
        <w:t>ck gas was wholly (or partially with a specified</w:t>
      </w:r>
      <w:r w:rsidRPr="00362E7D">
        <w:t xml:space="preserve"> minimum</w:t>
      </w:r>
      <w:r>
        <w:t xml:space="preserve"> amount</w:t>
      </w:r>
      <w:r w:rsidRPr="00362E7D">
        <w:t xml:space="preserve">) </w:t>
      </w:r>
      <w:r>
        <w:t xml:space="preserve">derived </w:t>
      </w:r>
      <w:r w:rsidRPr="00362E7D">
        <w:t>from designated ‘export-compatible fields’</w:t>
      </w:r>
      <w:r>
        <w:t xml:space="preserve">. While this model may be preferable to exporters as it offers them more flexibility if ‘export compatible fields’ can be unambiguously identified, it could potentially involve a high level of regulatory burden to ensure that exported gas is derived from said </w:t>
      </w:r>
      <w:r w:rsidRPr="00362E7D">
        <w:t>‘export-compatible fields</w:t>
      </w:r>
      <w:r>
        <w:t>.’ Moreover, this model may not actually increase the volume of gas available to the domestic market. Therefore, this model compares unfavourably to the ADGSM, which only requires action in the incidence of a shortage of supply to the domestic market and results in targeted, temporary changes to exports.</w:t>
      </w:r>
    </w:p>
    <w:p w:rsidR="0066381C" w:rsidRPr="000333C7" w:rsidRDefault="0066381C" w:rsidP="0066381C">
      <w:pPr>
        <w:pStyle w:val="Heading3"/>
      </w:pPr>
      <w:bookmarkStart w:id="405" w:name="_Toc483323178"/>
      <w:bookmarkStart w:id="406" w:name="_Toc484770782"/>
      <w:bookmarkStart w:id="407" w:name="_Toc484775043"/>
      <w:bookmarkStart w:id="408" w:name="_Toc484779086"/>
      <w:bookmarkStart w:id="409" w:name="_Toc484784285"/>
      <w:bookmarkStart w:id="410" w:name="_Toc484795102"/>
      <w:bookmarkStart w:id="411" w:name="_Toc485406174"/>
      <w:bookmarkStart w:id="412" w:name="_Toc482985583"/>
      <w:r w:rsidRPr="000333C7">
        <w:t>Equally distributed restrictions, or restrictions linked to gas volumes</w:t>
      </w:r>
      <w:bookmarkEnd w:id="405"/>
      <w:bookmarkEnd w:id="406"/>
      <w:bookmarkEnd w:id="407"/>
      <w:bookmarkEnd w:id="408"/>
      <w:bookmarkEnd w:id="409"/>
      <w:bookmarkEnd w:id="410"/>
      <w:bookmarkEnd w:id="411"/>
      <w:r w:rsidRPr="000333C7">
        <w:t xml:space="preserve"> </w:t>
      </w:r>
      <w:bookmarkEnd w:id="412"/>
    </w:p>
    <w:p w:rsidR="0066381C" w:rsidRPr="00426F05" w:rsidRDefault="0066381C" w:rsidP="0066381C">
      <w:r w:rsidRPr="000333C7">
        <w:t xml:space="preserve">Under this method of implementation, export restrictions would either be applied equally between LNG projects (i.e. all exporters get their exports restricted by a fixed percentage of the shortfall), or linked to the scale of operations (e.g. via nameplate capacity, or realised export volumes). These models are similar to a reservation policy in that they would impose an additional cost on exporters, regardless of whether their operations provided the domestic market with more gas. This would </w:t>
      </w:r>
      <w:r>
        <w:t>also</w:t>
      </w:r>
      <w:r w:rsidRPr="000333C7">
        <w:t xml:space="preserve"> disadvantage exporters that responsibly developed their own gas supplies, which contradicts the Government’s support of a productive, socially responsible LNG industry</w:t>
      </w:r>
      <w:r>
        <w:t xml:space="preserve"> and would reduce the incentive for exporters to develop new fields</w:t>
      </w:r>
      <w:r w:rsidRPr="000333C7">
        <w:t>. Compared to the targeted nature of the ADGSM, this model poses a higher level of intervention in exports without achieving a higher level of security for the domestic market.</w:t>
      </w:r>
      <w:r>
        <w:t xml:space="preserve"> </w:t>
      </w:r>
    </w:p>
    <w:p w:rsidR="0066381C" w:rsidRDefault="0066381C" w:rsidP="0066381C">
      <w:pPr>
        <w:pStyle w:val="Heading3"/>
      </w:pPr>
      <w:bookmarkStart w:id="413" w:name="_Toc482985584"/>
      <w:bookmarkStart w:id="414" w:name="_Toc483323179"/>
      <w:bookmarkStart w:id="415" w:name="_Toc484770783"/>
      <w:bookmarkStart w:id="416" w:name="_Toc484775044"/>
      <w:bookmarkStart w:id="417" w:name="_Toc484779087"/>
      <w:bookmarkStart w:id="418" w:name="_Toc484784286"/>
      <w:bookmarkStart w:id="419" w:name="_Toc484795103"/>
      <w:bookmarkStart w:id="420" w:name="_Toc485406175"/>
      <w:r>
        <w:t>Future contracts model</w:t>
      </w:r>
      <w:bookmarkEnd w:id="413"/>
      <w:bookmarkEnd w:id="414"/>
      <w:bookmarkEnd w:id="415"/>
      <w:bookmarkEnd w:id="416"/>
      <w:bookmarkEnd w:id="417"/>
      <w:bookmarkEnd w:id="418"/>
      <w:bookmarkEnd w:id="419"/>
      <w:bookmarkEnd w:id="420"/>
    </w:p>
    <w:p w:rsidR="0066381C" w:rsidRDefault="0066381C" w:rsidP="0066381C">
      <w:pPr>
        <w:rPr>
          <w:rFonts w:asciiTheme="majorHAnsi" w:eastAsiaTheme="majorEastAsia" w:hAnsiTheme="majorHAnsi" w:cstheme="majorBidi"/>
          <w:color w:val="2E74B5" w:themeColor="accent1" w:themeShade="BF"/>
          <w:sz w:val="32"/>
          <w:szCs w:val="32"/>
        </w:rPr>
      </w:pPr>
      <w:r>
        <w:t xml:space="preserve">This model would not impact on gas sold as part of existing long term export contracts; as licensing would apply only to spot cargoes and future long term contracts. Export restrictions based on this model would have relatively certain impacts on </w:t>
      </w:r>
      <w:proofErr w:type="gramStart"/>
      <w:r>
        <w:t>exporters,</w:t>
      </w:r>
      <w:proofErr w:type="gramEnd"/>
      <w:r>
        <w:t xml:space="preserve"> however this method will not solve the problem of a potential domestic gas shortage in the short to mid-term. Relative to the ADGSM, it would reduce incentives for exporters to develop new sources of gas.</w:t>
      </w:r>
      <w:bookmarkStart w:id="421" w:name="_Toc482985587"/>
      <w:r>
        <w:br w:type="page"/>
      </w:r>
    </w:p>
    <w:p w:rsidR="0066381C" w:rsidRDefault="0066381C" w:rsidP="0066381C">
      <w:pPr>
        <w:pStyle w:val="Heading1"/>
        <w:numPr>
          <w:ilvl w:val="0"/>
          <w:numId w:val="10"/>
        </w:numPr>
        <w:tabs>
          <w:tab w:val="clear" w:pos="567"/>
        </w:tabs>
        <w:spacing w:after="0" w:line="259" w:lineRule="auto"/>
      </w:pPr>
      <w:bookmarkStart w:id="422" w:name="_Toc483323180"/>
      <w:bookmarkStart w:id="423" w:name="_Toc484770784"/>
      <w:bookmarkStart w:id="424" w:name="_Toc484775045"/>
      <w:bookmarkStart w:id="425" w:name="_Toc484779088"/>
      <w:bookmarkStart w:id="426" w:name="_Toc484784287"/>
      <w:bookmarkStart w:id="427" w:name="_Toc484795104"/>
      <w:bookmarkStart w:id="428" w:name="_Toc485406176"/>
      <w:r>
        <w:lastRenderedPageBreak/>
        <w:t>Appendices</w:t>
      </w:r>
      <w:bookmarkEnd w:id="421"/>
      <w:bookmarkEnd w:id="422"/>
      <w:bookmarkEnd w:id="423"/>
      <w:bookmarkEnd w:id="424"/>
      <w:bookmarkEnd w:id="425"/>
      <w:bookmarkEnd w:id="426"/>
      <w:bookmarkEnd w:id="427"/>
      <w:bookmarkEnd w:id="428"/>
    </w:p>
    <w:p w:rsidR="0066381C" w:rsidRDefault="0066381C" w:rsidP="0066381C">
      <w:pPr>
        <w:pStyle w:val="Heading2"/>
        <w:numPr>
          <w:ilvl w:val="0"/>
          <w:numId w:val="17"/>
        </w:numPr>
        <w:spacing w:line="259" w:lineRule="auto"/>
        <w:ind w:left="426" w:hanging="426"/>
      </w:pPr>
      <w:r>
        <w:tab/>
      </w:r>
      <w:bookmarkStart w:id="429" w:name="_Toc482985588"/>
      <w:bookmarkStart w:id="430" w:name="_Toc483323181"/>
      <w:bookmarkStart w:id="431" w:name="_Toc484770785"/>
      <w:bookmarkStart w:id="432" w:name="_Toc484775046"/>
      <w:bookmarkStart w:id="433" w:name="_Toc484779089"/>
      <w:bookmarkStart w:id="434" w:name="_Toc484784288"/>
      <w:bookmarkStart w:id="435" w:name="_Toc484795105"/>
      <w:bookmarkStart w:id="436" w:name="_Toc485406177"/>
      <w:r>
        <w:t>Appendix A: Gas use statistics</w:t>
      </w:r>
      <w:bookmarkEnd w:id="429"/>
      <w:bookmarkEnd w:id="430"/>
      <w:bookmarkEnd w:id="431"/>
      <w:bookmarkEnd w:id="432"/>
      <w:bookmarkEnd w:id="433"/>
      <w:bookmarkEnd w:id="434"/>
      <w:bookmarkEnd w:id="435"/>
      <w:bookmarkEnd w:id="436"/>
    </w:p>
    <w:p w:rsidR="0066381C" w:rsidRDefault="0066381C" w:rsidP="0066381C">
      <w:pPr>
        <w:pStyle w:val="Heading3"/>
      </w:pPr>
      <w:bookmarkStart w:id="437" w:name="_Toc482985589"/>
      <w:bookmarkStart w:id="438" w:name="_Toc483323182"/>
      <w:bookmarkStart w:id="439" w:name="_Toc484770786"/>
      <w:bookmarkStart w:id="440" w:name="_Toc484775047"/>
      <w:bookmarkStart w:id="441" w:name="_Toc484779090"/>
      <w:bookmarkStart w:id="442" w:name="_Toc484784289"/>
      <w:bookmarkStart w:id="443" w:name="_Toc484795106"/>
      <w:bookmarkStart w:id="444" w:name="_Toc485406178"/>
      <w:r w:rsidRPr="00A1574A">
        <w:t>Manufacturing industries most exposed to energy price shocks.</w:t>
      </w:r>
      <w:bookmarkEnd w:id="437"/>
      <w:bookmarkEnd w:id="438"/>
      <w:bookmarkEnd w:id="439"/>
      <w:bookmarkEnd w:id="440"/>
      <w:bookmarkEnd w:id="441"/>
      <w:bookmarkEnd w:id="442"/>
      <w:bookmarkEnd w:id="443"/>
      <w:bookmarkEnd w:id="444"/>
      <w:r w:rsidRPr="00A1574A">
        <w:t xml:space="preserve">  </w:t>
      </w:r>
    </w:p>
    <w:p w:rsidR="0066381C" w:rsidRPr="00A1574A" w:rsidRDefault="0066381C" w:rsidP="0066381C">
      <w:pPr>
        <w:keepNext/>
        <w:keepLines/>
      </w:pPr>
      <w:r w:rsidRPr="009D7D46">
        <w:t xml:space="preserve">Analysis of the </w:t>
      </w:r>
      <w:r>
        <w:t>Australian Bureau of Statistics (</w:t>
      </w:r>
      <w:r w:rsidRPr="009D7D46">
        <w:t>ABS</w:t>
      </w:r>
      <w:r>
        <w:t>)</w:t>
      </w:r>
      <w:r w:rsidRPr="009D7D46">
        <w:t xml:space="preserve"> Australian System of National Accounts Input-Output tables indicate that the six manufacturing industry groups with the most significant exposure (share of total intermediate inputs) to gas price fluctuations are as summarised in </w:t>
      </w:r>
      <w:r w:rsidRPr="009D7D46">
        <w:fldChar w:fldCharType="begin"/>
      </w:r>
      <w:r w:rsidRPr="009D7D46">
        <w:instrText xml:space="preserve"> REF _Ref482269794 \h </w:instrText>
      </w:r>
      <w:r>
        <w:instrText xml:space="preserve"> \* MERGEFORMAT </w:instrText>
      </w:r>
      <w:r w:rsidRPr="009D7D46">
        <w:fldChar w:fldCharType="separate"/>
      </w:r>
      <w:r w:rsidR="00D565EF">
        <w:t>Table 1</w:t>
      </w:r>
      <w:r w:rsidRPr="009D7D46">
        <w:fldChar w:fldCharType="end"/>
      </w:r>
      <w:r w:rsidRPr="00A1574A">
        <w:t xml:space="preserve">, with </w:t>
      </w:r>
      <w:r w:rsidRPr="00A1574A">
        <w:rPr>
          <w:i/>
        </w:rPr>
        <w:t>Basic Chemical Manufacturing</w:t>
      </w:r>
      <w:r w:rsidRPr="00A1574A">
        <w:t xml:space="preserve"> being the most exposed.</w:t>
      </w:r>
      <w:r>
        <w:t xml:space="preserve"> </w:t>
      </w:r>
      <w:proofErr w:type="gramStart"/>
      <w:r w:rsidRPr="00BF338C">
        <w:t>Note,</w:t>
      </w:r>
      <w:proofErr w:type="gramEnd"/>
      <w:r w:rsidRPr="00BF338C">
        <w:t xml:space="preserve"> </w:t>
      </w:r>
      <w:r w:rsidRPr="00BF338C" w:rsidDel="00507A41">
        <w:t>th</w:t>
      </w:r>
      <w:r w:rsidDel="00507A41">
        <w:t>ese</w:t>
      </w:r>
      <w:r w:rsidRPr="00BF338C" w:rsidDel="00507A41">
        <w:t xml:space="preserve"> </w:t>
      </w:r>
      <w:r w:rsidRPr="00BF338C">
        <w:t xml:space="preserve">data </w:t>
      </w:r>
      <w:r w:rsidDel="00507A41">
        <w:t>are</w:t>
      </w:r>
      <w:r w:rsidRPr="00BF338C">
        <w:t xml:space="preserve"> </w:t>
      </w:r>
      <w:r>
        <w:t>on a</w:t>
      </w:r>
      <w:r w:rsidRPr="00BF338C">
        <w:t xml:space="preserve"> national </w:t>
      </w:r>
      <w:r>
        <w:t xml:space="preserve">basis </w:t>
      </w:r>
      <w:r w:rsidRPr="00BF338C">
        <w:t>and do</w:t>
      </w:r>
      <w:r>
        <w:t>es</w:t>
      </w:r>
      <w:r w:rsidRPr="00BF338C">
        <w:t xml:space="preserve"> not </w:t>
      </w:r>
      <w:r>
        <w:t xml:space="preserve">disaggregate </w:t>
      </w:r>
      <w:r w:rsidRPr="00BF338C">
        <w:t>to</w:t>
      </w:r>
      <w:r>
        <w:t xml:space="preserve"> the level of</w:t>
      </w:r>
      <w:r w:rsidRPr="00BF338C">
        <w:t xml:space="preserve"> specific regions </w:t>
      </w:r>
      <w:r>
        <w:t>susceptible to</w:t>
      </w:r>
      <w:r w:rsidRPr="00BF338C">
        <w:t xml:space="preserve"> a domestic gas shortfall, such as the east coast gas market.</w:t>
      </w:r>
    </w:p>
    <w:p w:rsidR="0066381C" w:rsidRDefault="0066381C" w:rsidP="0066381C">
      <w:pPr>
        <w:pStyle w:val="Caption"/>
        <w:keepNext/>
      </w:pPr>
      <w:bookmarkStart w:id="445" w:name="_Ref482269794"/>
      <w:r>
        <w:t xml:space="preserve">Table </w:t>
      </w:r>
      <w:fldSimple w:instr=" SEQ Table \* ARABIC ">
        <w:r w:rsidR="00D565EF">
          <w:rPr>
            <w:noProof/>
          </w:rPr>
          <w:t>1</w:t>
        </w:r>
      </w:fldSimple>
      <w:bookmarkEnd w:id="445"/>
      <w:r w:rsidRPr="005C2B5E">
        <w:t xml:space="preserve"> </w:t>
      </w:r>
      <w:r w:rsidRPr="00D051A1">
        <w:t>Australian Industries most exposed to gas and energy price shocks, including through direct inputs with high energy shares (2013-14)</w:t>
      </w:r>
    </w:p>
    <w:tbl>
      <w:tblPr>
        <w:tblStyle w:val="TableGrid"/>
        <w:tblW w:w="9493" w:type="dxa"/>
        <w:tblLook w:val="04A0" w:firstRow="1" w:lastRow="0" w:firstColumn="1" w:lastColumn="0" w:noHBand="0" w:noVBand="1"/>
      </w:tblPr>
      <w:tblGrid>
        <w:gridCol w:w="2830"/>
        <w:gridCol w:w="1307"/>
        <w:gridCol w:w="1954"/>
        <w:gridCol w:w="1842"/>
        <w:gridCol w:w="1560"/>
      </w:tblGrid>
      <w:tr w:rsidR="0066381C" w:rsidRPr="009D7D46" w:rsidTr="00B66568">
        <w:tc>
          <w:tcPr>
            <w:tcW w:w="2830" w:type="dxa"/>
            <w:vAlign w:val="center"/>
          </w:tcPr>
          <w:p w:rsidR="0066381C" w:rsidRPr="009D7D46" w:rsidRDefault="0066381C" w:rsidP="00B66568">
            <w:pPr>
              <w:pStyle w:val="Default"/>
              <w:keepNext/>
              <w:keepLines/>
              <w:rPr>
                <w:rFonts w:asciiTheme="minorHAnsi" w:hAnsiTheme="minorHAnsi"/>
                <w:b/>
                <w:color w:val="auto"/>
                <w:sz w:val="20"/>
                <w:szCs w:val="20"/>
              </w:rPr>
            </w:pPr>
            <w:r w:rsidRPr="009D7D46">
              <w:rPr>
                <w:rFonts w:asciiTheme="minorHAnsi" w:hAnsiTheme="minorHAnsi"/>
                <w:b/>
                <w:color w:val="auto"/>
                <w:sz w:val="20"/>
                <w:szCs w:val="20"/>
              </w:rPr>
              <w:t>Manufacturing and Other Product Group</w:t>
            </w:r>
          </w:p>
        </w:tc>
        <w:tc>
          <w:tcPr>
            <w:tcW w:w="1307" w:type="dxa"/>
            <w:vAlign w:val="center"/>
          </w:tcPr>
          <w:p w:rsidR="0066381C" w:rsidRPr="009D7D46" w:rsidRDefault="0066381C" w:rsidP="00B66568">
            <w:pPr>
              <w:pStyle w:val="Default"/>
              <w:keepNext/>
              <w:keepLines/>
              <w:jc w:val="center"/>
              <w:rPr>
                <w:rFonts w:asciiTheme="minorHAnsi" w:hAnsiTheme="minorHAnsi"/>
                <w:b/>
                <w:color w:val="auto"/>
                <w:sz w:val="20"/>
                <w:szCs w:val="20"/>
              </w:rPr>
            </w:pPr>
            <w:r w:rsidRPr="009D7D46">
              <w:rPr>
                <w:rFonts w:asciiTheme="minorHAnsi" w:hAnsiTheme="minorHAnsi"/>
                <w:b/>
                <w:color w:val="auto"/>
                <w:sz w:val="20"/>
                <w:szCs w:val="20"/>
              </w:rPr>
              <w:t>Gas Share of Intermediate Inputs</w:t>
            </w:r>
          </w:p>
        </w:tc>
        <w:tc>
          <w:tcPr>
            <w:tcW w:w="1954" w:type="dxa"/>
            <w:vAlign w:val="center"/>
          </w:tcPr>
          <w:p w:rsidR="0066381C" w:rsidRPr="009D7D46" w:rsidRDefault="0066381C" w:rsidP="00B66568">
            <w:pPr>
              <w:pStyle w:val="Default"/>
              <w:keepNext/>
              <w:keepLines/>
              <w:jc w:val="center"/>
              <w:rPr>
                <w:rFonts w:asciiTheme="minorHAnsi" w:hAnsiTheme="minorHAnsi"/>
                <w:b/>
                <w:color w:val="auto"/>
                <w:sz w:val="20"/>
                <w:szCs w:val="20"/>
              </w:rPr>
            </w:pPr>
            <w:r w:rsidRPr="009D7D46">
              <w:rPr>
                <w:rFonts w:asciiTheme="minorHAnsi" w:hAnsiTheme="minorHAnsi"/>
                <w:b/>
                <w:color w:val="auto"/>
                <w:sz w:val="20"/>
                <w:szCs w:val="20"/>
              </w:rPr>
              <w:t>Value Share of Intermediate Inputs Exposed to Energy* Price Shocks</w:t>
            </w:r>
          </w:p>
        </w:tc>
        <w:tc>
          <w:tcPr>
            <w:tcW w:w="1842" w:type="dxa"/>
            <w:vAlign w:val="center"/>
          </w:tcPr>
          <w:p w:rsidR="0066381C" w:rsidRPr="009D7D46" w:rsidRDefault="0066381C" w:rsidP="00B66568">
            <w:pPr>
              <w:pStyle w:val="Default"/>
              <w:keepNext/>
              <w:keepLines/>
              <w:jc w:val="center"/>
              <w:rPr>
                <w:rFonts w:asciiTheme="minorHAnsi" w:hAnsiTheme="minorHAnsi"/>
                <w:b/>
                <w:color w:val="auto"/>
                <w:sz w:val="20"/>
                <w:szCs w:val="20"/>
              </w:rPr>
            </w:pPr>
            <w:r w:rsidRPr="009D7D46">
              <w:rPr>
                <w:rFonts w:asciiTheme="minorHAnsi" w:hAnsiTheme="minorHAnsi"/>
                <w:b/>
                <w:color w:val="auto"/>
                <w:sz w:val="20"/>
                <w:szCs w:val="20"/>
              </w:rPr>
              <w:t>Value Share of Total Production Costs Exposed to Energy* Price Shocks</w:t>
            </w:r>
          </w:p>
        </w:tc>
        <w:tc>
          <w:tcPr>
            <w:tcW w:w="1560" w:type="dxa"/>
          </w:tcPr>
          <w:p w:rsidR="0066381C" w:rsidRPr="009D7D46" w:rsidRDefault="0066381C" w:rsidP="00B66568">
            <w:pPr>
              <w:pStyle w:val="Default"/>
              <w:keepNext/>
              <w:keepLines/>
              <w:jc w:val="center"/>
              <w:rPr>
                <w:rFonts w:asciiTheme="minorHAnsi" w:hAnsiTheme="minorHAnsi"/>
                <w:b/>
                <w:color w:val="auto"/>
                <w:sz w:val="20"/>
                <w:szCs w:val="20"/>
              </w:rPr>
            </w:pPr>
            <w:r w:rsidRPr="009D7D46">
              <w:rPr>
                <w:rFonts w:asciiTheme="minorHAnsi" w:hAnsiTheme="minorHAnsi"/>
                <w:b/>
                <w:color w:val="auto"/>
                <w:sz w:val="20"/>
                <w:szCs w:val="20"/>
              </w:rPr>
              <w:t>Average Employment – Year Ending March Quarter 2017</w:t>
            </w:r>
          </w:p>
        </w:tc>
      </w:tr>
      <w:tr w:rsidR="0066381C" w:rsidRPr="009D7D46" w:rsidTr="00B66568">
        <w:trPr>
          <w:trHeight w:val="200"/>
        </w:trPr>
        <w:tc>
          <w:tcPr>
            <w:tcW w:w="2830" w:type="dxa"/>
            <w:vAlign w:val="center"/>
          </w:tcPr>
          <w:p w:rsidR="0066381C" w:rsidRPr="009D7D46" w:rsidRDefault="0066381C" w:rsidP="00B66568">
            <w:pPr>
              <w:pStyle w:val="Default"/>
              <w:keepNext/>
              <w:keepLines/>
              <w:rPr>
                <w:rFonts w:asciiTheme="minorHAnsi" w:hAnsiTheme="minorHAnsi"/>
                <w:color w:val="auto"/>
                <w:sz w:val="20"/>
                <w:szCs w:val="20"/>
              </w:rPr>
            </w:pPr>
            <w:r w:rsidRPr="009D7D46">
              <w:rPr>
                <w:rFonts w:asciiTheme="minorHAnsi" w:hAnsiTheme="minorHAnsi"/>
                <w:color w:val="auto"/>
                <w:sz w:val="20"/>
                <w:szCs w:val="20"/>
              </w:rPr>
              <w:t>Basic Chemical Manufacturing</w:t>
            </w:r>
          </w:p>
        </w:tc>
        <w:tc>
          <w:tcPr>
            <w:tcW w:w="1307"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25%</w:t>
            </w:r>
          </w:p>
        </w:tc>
        <w:tc>
          <w:tcPr>
            <w:tcW w:w="1954"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27%</w:t>
            </w:r>
          </w:p>
        </w:tc>
        <w:tc>
          <w:tcPr>
            <w:tcW w:w="1842"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18%</w:t>
            </w:r>
          </w:p>
        </w:tc>
        <w:tc>
          <w:tcPr>
            <w:tcW w:w="1560" w:type="dxa"/>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5,275</w:t>
            </w:r>
          </w:p>
        </w:tc>
      </w:tr>
      <w:tr w:rsidR="0066381C" w:rsidRPr="009D7D46" w:rsidTr="00B66568">
        <w:trPr>
          <w:trHeight w:val="189"/>
        </w:trPr>
        <w:tc>
          <w:tcPr>
            <w:tcW w:w="2830" w:type="dxa"/>
            <w:vAlign w:val="center"/>
          </w:tcPr>
          <w:p w:rsidR="0066381C" w:rsidRPr="009D7D46" w:rsidRDefault="0066381C" w:rsidP="00B66568">
            <w:pPr>
              <w:pStyle w:val="Default"/>
              <w:keepNext/>
              <w:keepLines/>
              <w:rPr>
                <w:rFonts w:asciiTheme="minorHAnsi" w:hAnsiTheme="minorHAnsi"/>
                <w:color w:val="auto"/>
                <w:sz w:val="20"/>
                <w:szCs w:val="20"/>
              </w:rPr>
            </w:pPr>
            <w:r w:rsidRPr="009D7D46">
              <w:rPr>
                <w:rFonts w:asciiTheme="minorHAnsi" w:hAnsiTheme="minorHAnsi"/>
                <w:color w:val="auto"/>
                <w:sz w:val="20"/>
                <w:szCs w:val="20"/>
              </w:rPr>
              <w:t>Glass &amp; Glass Product Manufacturing</w:t>
            </w:r>
          </w:p>
        </w:tc>
        <w:tc>
          <w:tcPr>
            <w:tcW w:w="1307"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13%</w:t>
            </w:r>
          </w:p>
        </w:tc>
        <w:tc>
          <w:tcPr>
            <w:tcW w:w="1954"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22%</w:t>
            </w:r>
          </w:p>
        </w:tc>
        <w:tc>
          <w:tcPr>
            <w:tcW w:w="1842"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11%</w:t>
            </w:r>
          </w:p>
        </w:tc>
        <w:tc>
          <w:tcPr>
            <w:tcW w:w="1560" w:type="dxa"/>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5,700</w:t>
            </w:r>
          </w:p>
        </w:tc>
      </w:tr>
      <w:tr w:rsidR="0066381C" w:rsidRPr="009D7D46" w:rsidTr="00B66568">
        <w:trPr>
          <w:trHeight w:val="166"/>
        </w:trPr>
        <w:tc>
          <w:tcPr>
            <w:tcW w:w="2830" w:type="dxa"/>
            <w:vAlign w:val="center"/>
          </w:tcPr>
          <w:p w:rsidR="0066381C" w:rsidRPr="009D7D46" w:rsidRDefault="0066381C" w:rsidP="00B66568">
            <w:pPr>
              <w:pStyle w:val="Default"/>
              <w:keepNext/>
              <w:keepLines/>
              <w:rPr>
                <w:rFonts w:asciiTheme="minorHAnsi" w:hAnsiTheme="minorHAnsi"/>
                <w:color w:val="auto"/>
                <w:sz w:val="20"/>
                <w:szCs w:val="20"/>
              </w:rPr>
            </w:pPr>
            <w:r w:rsidRPr="009D7D46">
              <w:rPr>
                <w:rFonts w:asciiTheme="minorHAnsi" w:hAnsiTheme="minorHAnsi"/>
                <w:color w:val="auto"/>
                <w:sz w:val="20"/>
                <w:szCs w:val="20"/>
              </w:rPr>
              <w:t>Ceramic Product Manufacturing</w:t>
            </w:r>
          </w:p>
        </w:tc>
        <w:tc>
          <w:tcPr>
            <w:tcW w:w="1307"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11%</w:t>
            </w:r>
          </w:p>
        </w:tc>
        <w:tc>
          <w:tcPr>
            <w:tcW w:w="1954"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18%</w:t>
            </w:r>
          </w:p>
        </w:tc>
        <w:tc>
          <w:tcPr>
            <w:tcW w:w="1842"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10%</w:t>
            </w:r>
          </w:p>
        </w:tc>
        <w:tc>
          <w:tcPr>
            <w:tcW w:w="1560" w:type="dxa"/>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5,175</w:t>
            </w:r>
          </w:p>
        </w:tc>
      </w:tr>
      <w:tr w:rsidR="0066381C" w:rsidRPr="009D7D46" w:rsidTr="00B66568">
        <w:trPr>
          <w:trHeight w:val="169"/>
        </w:trPr>
        <w:tc>
          <w:tcPr>
            <w:tcW w:w="2830" w:type="dxa"/>
            <w:vAlign w:val="center"/>
          </w:tcPr>
          <w:p w:rsidR="0066381C" w:rsidRPr="009D7D46" w:rsidRDefault="0066381C" w:rsidP="00B66568">
            <w:pPr>
              <w:pStyle w:val="Default"/>
              <w:keepNext/>
              <w:keepLines/>
              <w:rPr>
                <w:rFonts w:asciiTheme="minorHAnsi" w:hAnsiTheme="minorHAnsi"/>
                <w:color w:val="auto"/>
                <w:sz w:val="20"/>
                <w:szCs w:val="20"/>
              </w:rPr>
            </w:pPr>
            <w:r w:rsidRPr="009D7D46">
              <w:rPr>
                <w:rFonts w:asciiTheme="minorHAnsi" w:hAnsiTheme="minorHAnsi"/>
                <w:color w:val="auto"/>
                <w:sz w:val="20"/>
                <w:szCs w:val="20"/>
              </w:rPr>
              <w:t>Polymer Product Manufacturing</w:t>
            </w:r>
          </w:p>
        </w:tc>
        <w:tc>
          <w:tcPr>
            <w:tcW w:w="1307"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10%</w:t>
            </w:r>
          </w:p>
        </w:tc>
        <w:tc>
          <w:tcPr>
            <w:tcW w:w="1954"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18%</w:t>
            </w:r>
          </w:p>
        </w:tc>
        <w:tc>
          <w:tcPr>
            <w:tcW w:w="1842"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9%</w:t>
            </w:r>
          </w:p>
        </w:tc>
        <w:tc>
          <w:tcPr>
            <w:tcW w:w="1560" w:type="dxa"/>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31,675</w:t>
            </w:r>
          </w:p>
        </w:tc>
      </w:tr>
      <w:tr w:rsidR="0066381C" w:rsidRPr="009D7D46" w:rsidTr="00B66568">
        <w:trPr>
          <w:trHeight w:val="160"/>
        </w:trPr>
        <w:tc>
          <w:tcPr>
            <w:tcW w:w="2830" w:type="dxa"/>
            <w:vAlign w:val="center"/>
          </w:tcPr>
          <w:p w:rsidR="0066381C" w:rsidRPr="009D7D46" w:rsidRDefault="0066381C" w:rsidP="00B66568">
            <w:pPr>
              <w:pStyle w:val="Default"/>
              <w:keepNext/>
              <w:keepLines/>
              <w:rPr>
                <w:rFonts w:asciiTheme="minorHAnsi" w:hAnsiTheme="minorHAnsi"/>
                <w:color w:val="auto"/>
                <w:sz w:val="20"/>
                <w:szCs w:val="20"/>
              </w:rPr>
            </w:pPr>
            <w:r w:rsidRPr="009D7D46">
              <w:rPr>
                <w:rFonts w:asciiTheme="minorHAnsi" w:hAnsiTheme="minorHAnsi"/>
                <w:color w:val="auto"/>
                <w:sz w:val="20"/>
                <w:szCs w:val="20"/>
              </w:rPr>
              <w:t>Petroleum &amp; Coal Product Manufacturing</w:t>
            </w:r>
          </w:p>
        </w:tc>
        <w:tc>
          <w:tcPr>
            <w:tcW w:w="1307"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10%</w:t>
            </w:r>
          </w:p>
        </w:tc>
        <w:tc>
          <w:tcPr>
            <w:tcW w:w="1954"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17%</w:t>
            </w:r>
          </w:p>
        </w:tc>
        <w:tc>
          <w:tcPr>
            <w:tcW w:w="1842"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10%</w:t>
            </w:r>
          </w:p>
        </w:tc>
        <w:tc>
          <w:tcPr>
            <w:tcW w:w="1560" w:type="dxa"/>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5,650</w:t>
            </w:r>
          </w:p>
        </w:tc>
      </w:tr>
      <w:tr w:rsidR="0066381C" w:rsidRPr="009D7D46" w:rsidTr="00B66568">
        <w:trPr>
          <w:trHeight w:val="177"/>
        </w:trPr>
        <w:tc>
          <w:tcPr>
            <w:tcW w:w="2830" w:type="dxa"/>
            <w:vAlign w:val="center"/>
          </w:tcPr>
          <w:p w:rsidR="0066381C" w:rsidRPr="009D7D46" w:rsidRDefault="0066381C" w:rsidP="00B66568">
            <w:pPr>
              <w:pStyle w:val="Default"/>
              <w:keepNext/>
              <w:keepLines/>
              <w:rPr>
                <w:rFonts w:asciiTheme="minorHAnsi" w:hAnsiTheme="minorHAnsi"/>
                <w:color w:val="auto"/>
                <w:sz w:val="20"/>
                <w:szCs w:val="20"/>
              </w:rPr>
            </w:pPr>
            <w:r w:rsidRPr="009D7D46">
              <w:rPr>
                <w:rFonts w:asciiTheme="minorHAnsi" w:hAnsiTheme="minorHAnsi"/>
                <w:color w:val="auto"/>
                <w:sz w:val="20"/>
                <w:szCs w:val="20"/>
              </w:rPr>
              <w:t>Plaster &amp; Concrete Product Manufacturing</w:t>
            </w:r>
          </w:p>
        </w:tc>
        <w:tc>
          <w:tcPr>
            <w:tcW w:w="1307"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9%</w:t>
            </w:r>
          </w:p>
        </w:tc>
        <w:tc>
          <w:tcPr>
            <w:tcW w:w="1954"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14%</w:t>
            </w:r>
          </w:p>
        </w:tc>
        <w:tc>
          <w:tcPr>
            <w:tcW w:w="1842"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9%</w:t>
            </w:r>
          </w:p>
        </w:tc>
        <w:tc>
          <w:tcPr>
            <w:tcW w:w="1560" w:type="dxa"/>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12,425</w:t>
            </w:r>
          </w:p>
        </w:tc>
      </w:tr>
      <w:tr w:rsidR="0066381C" w:rsidRPr="009D7D46" w:rsidTr="00B66568">
        <w:trPr>
          <w:trHeight w:val="168"/>
        </w:trPr>
        <w:tc>
          <w:tcPr>
            <w:tcW w:w="2830" w:type="dxa"/>
            <w:vAlign w:val="center"/>
          </w:tcPr>
          <w:p w:rsidR="0066381C" w:rsidRPr="009D7D46" w:rsidRDefault="0066381C" w:rsidP="00B66568">
            <w:pPr>
              <w:pStyle w:val="Default"/>
              <w:keepNext/>
              <w:keepLines/>
              <w:ind w:left="313"/>
              <w:rPr>
                <w:rFonts w:asciiTheme="minorHAnsi" w:hAnsiTheme="minorHAnsi"/>
                <w:b/>
                <w:color w:val="auto"/>
                <w:sz w:val="20"/>
                <w:szCs w:val="20"/>
              </w:rPr>
            </w:pPr>
            <w:r w:rsidRPr="009D7D46">
              <w:rPr>
                <w:rFonts w:asciiTheme="minorHAnsi" w:hAnsiTheme="minorHAnsi"/>
                <w:b/>
                <w:color w:val="auto"/>
                <w:sz w:val="20"/>
                <w:szCs w:val="20"/>
              </w:rPr>
              <w:t>Subtotal</w:t>
            </w:r>
          </w:p>
        </w:tc>
        <w:tc>
          <w:tcPr>
            <w:tcW w:w="1307" w:type="dxa"/>
            <w:vAlign w:val="center"/>
          </w:tcPr>
          <w:p w:rsidR="0066381C" w:rsidRPr="009D7D46" w:rsidRDefault="0066381C" w:rsidP="00B66568">
            <w:pPr>
              <w:pStyle w:val="Default"/>
              <w:keepNext/>
              <w:keepLines/>
              <w:jc w:val="center"/>
              <w:rPr>
                <w:rFonts w:asciiTheme="minorHAnsi" w:hAnsiTheme="minorHAnsi"/>
                <w:color w:val="auto"/>
                <w:sz w:val="20"/>
                <w:szCs w:val="20"/>
              </w:rPr>
            </w:pPr>
          </w:p>
        </w:tc>
        <w:tc>
          <w:tcPr>
            <w:tcW w:w="1954" w:type="dxa"/>
            <w:vAlign w:val="center"/>
          </w:tcPr>
          <w:p w:rsidR="0066381C" w:rsidRPr="009D7D46" w:rsidRDefault="0066381C" w:rsidP="00B66568">
            <w:pPr>
              <w:pStyle w:val="Default"/>
              <w:keepNext/>
              <w:keepLines/>
              <w:jc w:val="center"/>
              <w:rPr>
                <w:rFonts w:asciiTheme="minorHAnsi" w:hAnsiTheme="minorHAnsi"/>
                <w:color w:val="auto"/>
                <w:sz w:val="20"/>
                <w:szCs w:val="20"/>
              </w:rPr>
            </w:pPr>
          </w:p>
        </w:tc>
        <w:tc>
          <w:tcPr>
            <w:tcW w:w="1842" w:type="dxa"/>
            <w:vAlign w:val="center"/>
          </w:tcPr>
          <w:p w:rsidR="0066381C" w:rsidRPr="009D7D46" w:rsidRDefault="0066381C" w:rsidP="00B66568">
            <w:pPr>
              <w:pStyle w:val="Default"/>
              <w:keepNext/>
              <w:keepLines/>
              <w:jc w:val="center"/>
              <w:rPr>
                <w:rFonts w:asciiTheme="minorHAnsi" w:hAnsiTheme="minorHAnsi"/>
                <w:color w:val="auto"/>
                <w:sz w:val="20"/>
                <w:szCs w:val="20"/>
              </w:rPr>
            </w:pPr>
          </w:p>
        </w:tc>
        <w:tc>
          <w:tcPr>
            <w:tcW w:w="1560" w:type="dxa"/>
          </w:tcPr>
          <w:p w:rsidR="0066381C" w:rsidRPr="009D7D46" w:rsidRDefault="0066381C" w:rsidP="00B66568">
            <w:pPr>
              <w:pStyle w:val="Default"/>
              <w:keepNext/>
              <w:keepLines/>
              <w:jc w:val="center"/>
              <w:rPr>
                <w:rFonts w:asciiTheme="minorHAnsi" w:hAnsiTheme="minorHAnsi"/>
                <w:b/>
                <w:color w:val="auto"/>
                <w:sz w:val="20"/>
                <w:szCs w:val="20"/>
              </w:rPr>
            </w:pPr>
            <w:r w:rsidRPr="009D7D46">
              <w:rPr>
                <w:rFonts w:asciiTheme="minorHAnsi" w:hAnsiTheme="minorHAnsi"/>
                <w:b/>
                <w:color w:val="auto"/>
                <w:sz w:val="20"/>
                <w:szCs w:val="20"/>
              </w:rPr>
              <w:t>65,900</w:t>
            </w:r>
          </w:p>
        </w:tc>
      </w:tr>
      <w:tr w:rsidR="0066381C" w:rsidRPr="009D7D46" w:rsidTr="00B66568">
        <w:trPr>
          <w:trHeight w:val="168"/>
        </w:trPr>
        <w:tc>
          <w:tcPr>
            <w:tcW w:w="2830" w:type="dxa"/>
            <w:vAlign w:val="center"/>
          </w:tcPr>
          <w:p w:rsidR="0066381C" w:rsidRPr="009D7D46" w:rsidRDefault="0066381C" w:rsidP="00B66568">
            <w:pPr>
              <w:pStyle w:val="Default"/>
              <w:keepNext/>
              <w:keepLines/>
              <w:rPr>
                <w:rFonts w:asciiTheme="minorHAnsi" w:hAnsiTheme="minorHAnsi"/>
                <w:color w:val="auto"/>
                <w:sz w:val="20"/>
                <w:szCs w:val="20"/>
              </w:rPr>
            </w:pPr>
            <w:r w:rsidRPr="009D7D46">
              <w:rPr>
                <w:rFonts w:asciiTheme="minorHAnsi" w:hAnsiTheme="minorHAnsi"/>
                <w:color w:val="auto"/>
                <w:sz w:val="20"/>
                <w:szCs w:val="20"/>
              </w:rPr>
              <w:t>Electricity Generation</w:t>
            </w:r>
          </w:p>
        </w:tc>
        <w:tc>
          <w:tcPr>
            <w:tcW w:w="1307"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8%</w:t>
            </w:r>
          </w:p>
        </w:tc>
        <w:tc>
          <w:tcPr>
            <w:tcW w:w="1954"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39%</w:t>
            </w:r>
          </w:p>
        </w:tc>
        <w:tc>
          <w:tcPr>
            <w:tcW w:w="1842" w:type="dxa"/>
            <w:vAlign w:val="center"/>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22%</w:t>
            </w:r>
          </w:p>
        </w:tc>
        <w:tc>
          <w:tcPr>
            <w:tcW w:w="1560" w:type="dxa"/>
          </w:tcPr>
          <w:p w:rsidR="0066381C" w:rsidRPr="009D7D46" w:rsidRDefault="0066381C" w:rsidP="00B66568">
            <w:pPr>
              <w:pStyle w:val="Default"/>
              <w:keepNext/>
              <w:keepLines/>
              <w:jc w:val="center"/>
              <w:rPr>
                <w:rFonts w:asciiTheme="minorHAnsi" w:hAnsiTheme="minorHAnsi"/>
                <w:color w:val="auto"/>
                <w:sz w:val="20"/>
                <w:szCs w:val="20"/>
              </w:rPr>
            </w:pPr>
            <w:r w:rsidRPr="009D7D46">
              <w:rPr>
                <w:rFonts w:asciiTheme="minorHAnsi" w:hAnsiTheme="minorHAnsi"/>
                <w:color w:val="auto"/>
                <w:sz w:val="20"/>
                <w:szCs w:val="20"/>
              </w:rPr>
              <w:t>N/A</w:t>
            </w:r>
          </w:p>
        </w:tc>
      </w:tr>
    </w:tbl>
    <w:p w:rsidR="0066381C" w:rsidRPr="009D7D46" w:rsidRDefault="0066381C" w:rsidP="0066381C">
      <w:pPr>
        <w:pStyle w:val="Default"/>
        <w:keepNext/>
        <w:keepLines/>
        <w:spacing w:before="60" w:after="60"/>
        <w:rPr>
          <w:rFonts w:asciiTheme="minorHAnsi" w:hAnsiTheme="minorHAnsi"/>
          <w:color w:val="auto"/>
          <w:sz w:val="20"/>
          <w:szCs w:val="20"/>
        </w:rPr>
      </w:pPr>
      <w:r w:rsidRPr="009D7D46">
        <w:rPr>
          <w:rFonts w:asciiTheme="minorHAnsi" w:hAnsiTheme="minorHAnsi"/>
          <w:color w:val="auto"/>
          <w:sz w:val="20"/>
          <w:szCs w:val="20"/>
        </w:rPr>
        <w:t>* Energy = Gas + Electricity; Departmental calculations.</w:t>
      </w:r>
    </w:p>
    <w:p w:rsidR="0066381C" w:rsidRPr="0092784B" w:rsidRDefault="0066381C" w:rsidP="0066381C">
      <w:pPr>
        <w:pStyle w:val="Default"/>
        <w:spacing w:after="240"/>
        <w:rPr>
          <w:rFonts w:asciiTheme="minorHAnsi" w:hAnsiTheme="minorHAnsi"/>
          <w:color w:val="auto"/>
          <w:sz w:val="20"/>
          <w:szCs w:val="20"/>
          <w:lang w:val="en"/>
        </w:rPr>
      </w:pPr>
      <w:r w:rsidRPr="009D7D46">
        <w:rPr>
          <w:rFonts w:asciiTheme="minorHAnsi" w:hAnsiTheme="minorHAnsi"/>
          <w:b/>
          <w:color w:val="auto"/>
          <w:sz w:val="20"/>
          <w:szCs w:val="20"/>
        </w:rPr>
        <w:t>Source:</w:t>
      </w:r>
      <w:r w:rsidRPr="009D7D46">
        <w:rPr>
          <w:rFonts w:asciiTheme="minorHAnsi" w:hAnsiTheme="minorHAnsi"/>
          <w:color w:val="auto"/>
          <w:sz w:val="20"/>
          <w:szCs w:val="20"/>
        </w:rPr>
        <w:t xml:space="preserve"> ABS (2016) 5209.0.55.001 Australian National Accounts: Input-Output Tables - 2013-14, Table 5; ABS (2016) 5215.0.55.001 Australian National Accounts: Input-Output Tables (Product Details), 2013-14; ABS</w:t>
      </w:r>
      <w:r>
        <w:rPr>
          <w:rFonts w:asciiTheme="minorHAnsi" w:hAnsiTheme="minorHAnsi"/>
          <w:color w:val="auto"/>
          <w:sz w:val="20"/>
          <w:szCs w:val="20"/>
        </w:rPr>
        <w:t xml:space="preserve"> </w:t>
      </w:r>
      <w:r w:rsidRPr="009D7D46">
        <w:rPr>
          <w:rFonts w:asciiTheme="minorHAnsi" w:hAnsiTheme="minorHAnsi"/>
          <w:color w:val="auto"/>
          <w:sz w:val="20"/>
          <w:szCs w:val="20"/>
        </w:rPr>
        <w:t>(2017)</w:t>
      </w:r>
      <w:r w:rsidRPr="009D7D46">
        <w:rPr>
          <w:rFonts w:asciiTheme="minorHAnsi" w:hAnsiTheme="minorHAnsi" w:cstheme="minorBidi"/>
          <w:color w:val="auto"/>
          <w:sz w:val="20"/>
          <w:szCs w:val="20"/>
          <w:lang w:val="en"/>
        </w:rPr>
        <w:t xml:space="preserve"> </w:t>
      </w:r>
      <w:r w:rsidRPr="009D7D46">
        <w:rPr>
          <w:rFonts w:asciiTheme="minorHAnsi" w:hAnsiTheme="minorHAnsi"/>
          <w:color w:val="auto"/>
          <w:sz w:val="20"/>
          <w:szCs w:val="20"/>
          <w:lang w:val="en"/>
        </w:rPr>
        <w:t xml:space="preserve">6291.0.55.003 - </w:t>
      </w:r>
      <w:proofErr w:type="spellStart"/>
      <w:r w:rsidRPr="009D7D46">
        <w:rPr>
          <w:rFonts w:asciiTheme="minorHAnsi" w:hAnsiTheme="minorHAnsi"/>
          <w:color w:val="auto"/>
          <w:sz w:val="20"/>
          <w:szCs w:val="20"/>
          <w:lang w:val="en"/>
        </w:rPr>
        <w:t>Labour</w:t>
      </w:r>
      <w:proofErr w:type="spellEnd"/>
      <w:r w:rsidRPr="009D7D46">
        <w:rPr>
          <w:rFonts w:asciiTheme="minorHAnsi" w:hAnsiTheme="minorHAnsi"/>
          <w:color w:val="auto"/>
          <w:sz w:val="20"/>
          <w:szCs w:val="20"/>
          <w:lang w:val="en"/>
        </w:rPr>
        <w:t xml:space="preserve"> Force, Australia, Detailed, Quarterly, Feb 2017.</w:t>
      </w:r>
      <w:bookmarkStart w:id="446" w:name="_Toc482985595"/>
    </w:p>
    <w:p w:rsidR="0066381C" w:rsidRDefault="0066381C" w:rsidP="0066381C">
      <w:pPr>
        <w:pStyle w:val="Heading2"/>
        <w:numPr>
          <w:ilvl w:val="0"/>
          <w:numId w:val="17"/>
        </w:numPr>
        <w:spacing w:line="259" w:lineRule="auto"/>
        <w:ind w:left="426" w:hanging="426"/>
      </w:pPr>
      <w:bookmarkStart w:id="447" w:name="_Toc483323183"/>
      <w:bookmarkStart w:id="448" w:name="_Toc484770787"/>
      <w:bookmarkStart w:id="449" w:name="_Toc484775048"/>
      <w:bookmarkStart w:id="450" w:name="_Toc484779091"/>
      <w:bookmarkStart w:id="451" w:name="_Toc484784290"/>
      <w:bookmarkStart w:id="452" w:name="_Toc484795107"/>
      <w:bookmarkStart w:id="453" w:name="_Toc485406179"/>
      <w:r>
        <w:t>Appendix B: Cost analysis of the ADGSM</w:t>
      </w:r>
      <w:bookmarkEnd w:id="446"/>
      <w:bookmarkEnd w:id="447"/>
      <w:bookmarkEnd w:id="448"/>
      <w:bookmarkEnd w:id="449"/>
      <w:bookmarkEnd w:id="450"/>
      <w:bookmarkEnd w:id="451"/>
      <w:bookmarkEnd w:id="452"/>
      <w:bookmarkEnd w:id="453"/>
    </w:p>
    <w:p w:rsidR="0066381C" w:rsidRPr="00FD312E" w:rsidRDefault="0066381C" w:rsidP="0066381C">
      <w:r>
        <w:t xml:space="preserve">This section follows the chronological process of the ADGSM to identify the regulatory burden on industry. It then outlines key assumptions that were included in the costing model. </w:t>
      </w:r>
      <w:r w:rsidRPr="0093075F">
        <w:t xml:space="preserve">A regulatory offset </w:t>
      </w:r>
      <w:proofErr w:type="gramStart"/>
      <w:r w:rsidRPr="0093075F">
        <w:t>has not been identified</w:t>
      </w:r>
      <w:proofErr w:type="gramEnd"/>
      <w:r w:rsidRPr="0093075F">
        <w:t xml:space="preserve">. </w:t>
      </w:r>
      <w:proofErr w:type="gramStart"/>
      <w:r w:rsidRPr="0093075F">
        <w:t>However, DIIS is seeking to pursue net reductions in compliance costs and will work with affected stakeholders and across Government to identify regulatory burden reductions where appropriate.</w:t>
      </w:r>
      <w:proofErr w:type="gramEnd"/>
    </w:p>
    <w:p w:rsidR="0066381C" w:rsidRPr="00E012AD" w:rsidRDefault="0066381C" w:rsidP="0066381C">
      <w:pPr>
        <w:pStyle w:val="Heading3"/>
      </w:pPr>
      <w:bookmarkStart w:id="454" w:name="_Toc482985596"/>
      <w:bookmarkStart w:id="455" w:name="_Toc483323184"/>
      <w:bookmarkStart w:id="456" w:name="_Toc484770788"/>
      <w:bookmarkStart w:id="457" w:name="_Toc484775049"/>
      <w:bookmarkStart w:id="458" w:name="_Toc484779092"/>
      <w:bookmarkStart w:id="459" w:name="_Toc484784291"/>
      <w:bookmarkStart w:id="460" w:name="_Toc484795108"/>
      <w:bookmarkStart w:id="461" w:name="_Toc485406180"/>
      <w:r>
        <w:t>Cost summary</w:t>
      </w:r>
      <w:bookmarkEnd w:id="454"/>
      <w:bookmarkEnd w:id="455"/>
      <w:bookmarkEnd w:id="456"/>
      <w:bookmarkEnd w:id="457"/>
      <w:bookmarkEnd w:id="458"/>
      <w:bookmarkEnd w:id="459"/>
      <w:bookmarkEnd w:id="460"/>
      <w:bookmarkEnd w:id="461"/>
    </w:p>
    <w:p w:rsidR="0066381C" w:rsidRDefault="0066381C" w:rsidP="0066381C">
      <w:pPr>
        <w:rPr>
          <w:highlight w:val="yellow"/>
        </w:rPr>
      </w:pPr>
      <w:r w:rsidRPr="00960E00">
        <w:fldChar w:fldCharType="begin"/>
      </w:r>
      <w:r w:rsidRPr="00960E00">
        <w:instrText xml:space="preserve"> REF _Ref482894807 \h </w:instrText>
      </w:r>
      <w:r>
        <w:instrText xml:space="preserve"> \* MERGEFORMAT </w:instrText>
      </w:r>
      <w:r w:rsidRPr="00960E00">
        <w:fldChar w:fldCharType="separate"/>
      </w:r>
      <w:r w:rsidR="00D565EF">
        <w:t xml:space="preserve">Table </w:t>
      </w:r>
      <w:r w:rsidR="00D565EF">
        <w:rPr>
          <w:noProof/>
        </w:rPr>
        <w:t>2</w:t>
      </w:r>
      <w:r w:rsidRPr="00960E00">
        <w:fldChar w:fldCharType="end"/>
      </w:r>
      <w:r w:rsidRPr="00960E00">
        <w:t xml:space="preserve">, </w:t>
      </w:r>
      <w:r w:rsidRPr="00960E00">
        <w:fldChar w:fldCharType="begin"/>
      </w:r>
      <w:r w:rsidRPr="00960E00">
        <w:instrText xml:space="preserve"> REF _Ref482894859 \h </w:instrText>
      </w:r>
      <w:r>
        <w:instrText xml:space="preserve"> \* MERGEFORMAT </w:instrText>
      </w:r>
      <w:r w:rsidRPr="00960E00">
        <w:fldChar w:fldCharType="separate"/>
      </w:r>
      <w:r w:rsidR="00D565EF">
        <w:t xml:space="preserve">Table </w:t>
      </w:r>
      <w:r w:rsidR="00D565EF">
        <w:rPr>
          <w:noProof/>
        </w:rPr>
        <w:t>3</w:t>
      </w:r>
      <w:r w:rsidRPr="00960E00">
        <w:fldChar w:fldCharType="end"/>
      </w:r>
      <w:r>
        <w:t xml:space="preserve">, and </w:t>
      </w:r>
      <w:r>
        <w:fldChar w:fldCharType="begin"/>
      </w:r>
      <w:r>
        <w:instrText xml:space="preserve"> REF _Ref482895069 \h </w:instrText>
      </w:r>
      <w:r>
        <w:fldChar w:fldCharType="separate"/>
      </w:r>
      <w:r w:rsidR="00D565EF">
        <w:t xml:space="preserve">Table </w:t>
      </w:r>
      <w:r w:rsidR="00D565EF">
        <w:rPr>
          <w:noProof/>
        </w:rPr>
        <w:t>4</w:t>
      </w:r>
      <w:r>
        <w:fldChar w:fldCharType="end"/>
      </w:r>
      <w:r>
        <w:t xml:space="preserve"> detail the regulatory costs of the ADGSM for a single LNG project. The estimates in each table are inclusive of the activities of all joint venture partners involved in the project.</w:t>
      </w:r>
      <w:r w:rsidRPr="00240D4B">
        <w:t xml:space="preserve"> Estimates of hours taken for industry to complete regulatory tasks </w:t>
      </w:r>
      <w:proofErr w:type="gramStart"/>
      <w:r w:rsidRPr="00240D4B">
        <w:t>are based</w:t>
      </w:r>
      <w:proofErr w:type="gramEnd"/>
      <w:r w:rsidRPr="00240D4B">
        <w:t xml:space="preserve"> on the administrative effort required.</w:t>
      </w:r>
    </w:p>
    <w:p w:rsidR="0066381C" w:rsidRDefault="0066381C" w:rsidP="0066381C">
      <w:r>
        <w:rPr>
          <w:highlight w:val="yellow"/>
        </w:rPr>
        <w:fldChar w:fldCharType="begin"/>
      </w:r>
      <w:r>
        <w:instrText xml:space="preserve"> REF _Ref482894807 \h </w:instrText>
      </w:r>
      <w:r>
        <w:rPr>
          <w:highlight w:val="yellow"/>
        </w:rPr>
      </w:r>
      <w:r>
        <w:rPr>
          <w:highlight w:val="yellow"/>
        </w:rPr>
        <w:fldChar w:fldCharType="separate"/>
      </w:r>
      <w:r w:rsidR="00D565EF">
        <w:t xml:space="preserve">Table </w:t>
      </w:r>
      <w:r w:rsidR="00D565EF">
        <w:rPr>
          <w:noProof/>
        </w:rPr>
        <w:t>2</w:t>
      </w:r>
      <w:r>
        <w:rPr>
          <w:highlight w:val="yellow"/>
        </w:rPr>
        <w:fldChar w:fldCharType="end"/>
      </w:r>
      <w:r>
        <w:t xml:space="preserve"> breaks down the regulatory cost to a business when the Minister for Resources makes a declaration of intent to make a determination under the ADGSM.</w:t>
      </w:r>
    </w:p>
    <w:p w:rsidR="0066381C" w:rsidRDefault="0066381C" w:rsidP="0066381C">
      <w:pPr>
        <w:pStyle w:val="Caption"/>
        <w:keepNext/>
      </w:pPr>
      <w:bookmarkStart w:id="462" w:name="_Ref482894807"/>
      <w:bookmarkStart w:id="463" w:name="_Ref482907316"/>
      <w:r>
        <w:lastRenderedPageBreak/>
        <w:t xml:space="preserve">Table </w:t>
      </w:r>
      <w:fldSimple w:instr=" SEQ Table \* ARABIC ">
        <w:r w:rsidR="00D565EF">
          <w:rPr>
            <w:noProof/>
          </w:rPr>
          <w:t>2</w:t>
        </w:r>
      </w:fldSimple>
      <w:bookmarkEnd w:id="462"/>
      <w:r>
        <w:t>: Estimate of regulatory costs for one LNG project</w:t>
      </w:r>
      <w:r w:rsidDel="002B6B05">
        <w:t xml:space="preserve"> </w:t>
      </w:r>
      <w:bookmarkEnd w:id="463"/>
      <w:r>
        <w:t xml:space="preserve">to respond to </w:t>
      </w:r>
      <w:r w:rsidR="00DE4869">
        <w:t>the Resources Minister</w:t>
      </w:r>
      <w:r>
        <w:t xml:space="preserve">’s declaration </w:t>
      </w:r>
    </w:p>
    <w:tbl>
      <w:tblPr>
        <w:tblW w:w="9620" w:type="dxa"/>
        <w:tblLook w:val="04A0" w:firstRow="1" w:lastRow="0" w:firstColumn="1" w:lastColumn="0" w:noHBand="0" w:noVBand="1"/>
      </w:tblPr>
      <w:tblGrid>
        <w:gridCol w:w="3620"/>
        <w:gridCol w:w="1478"/>
        <w:gridCol w:w="1276"/>
        <w:gridCol w:w="1843"/>
        <w:gridCol w:w="1403"/>
      </w:tblGrid>
      <w:tr w:rsidR="0066381C" w:rsidRPr="00C6327F" w:rsidTr="00B66568">
        <w:trPr>
          <w:trHeight w:val="600"/>
        </w:trPr>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381C" w:rsidRPr="00C6327F" w:rsidRDefault="0066381C" w:rsidP="00B66568">
            <w:pPr>
              <w:spacing w:after="0" w:line="240" w:lineRule="auto"/>
              <w:rPr>
                <w:rFonts w:ascii="Calibri" w:eastAsia="Times New Roman" w:hAnsi="Calibri" w:cs="Times New Roman"/>
                <w:b/>
                <w:bCs/>
                <w:color w:val="000000"/>
                <w:lang w:eastAsia="en-AU"/>
              </w:rPr>
            </w:pPr>
            <w:r w:rsidRPr="00C6327F">
              <w:rPr>
                <w:rFonts w:ascii="Calibri" w:eastAsia="Times New Roman" w:hAnsi="Calibri" w:cs="Times New Roman"/>
                <w:b/>
                <w:bCs/>
                <w:color w:val="000000"/>
                <w:lang w:eastAsia="en-AU"/>
              </w:rPr>
              <w:t>Activity</w:t>
            </w:r>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rPr>
                <w:rFonts w:ascii="Calibri" w:eastAsia="Times New Roman" w:hAnsi="Calibri" w:cs="Times New Roman"/>
                <w:b/>
                <w:bCs/>
                <w:color w:val="000000"/>
                <w:lang w:eastAsia="en-AU"/>
              </w:rPr>
            </w:pPr>
            <w:r w:rsidRPr="00C6327F">
              <w:rPr>
                <w:rFonts w:ascii="Calibri" w:eastAsia="Times New Roman" w:hAnsi="Calibri" w:cs="Times New Roman"/>
                <w:b/>
                <w:bCs/>
                <w:color w:val="000000"/>
                <w:lang w:eastAsia="en-AU"/>
              </w:rPr>
              <w:t>Worker type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rPr>
                <w:rFonts w:ascii="Calibri" w:eastAsia="Times New Roman" w:hAnsi="Calibri" w:cs="Times New Roman"/>
                <w:b/>
                <w:bCs/>
                <w:color w:val="000000"/>
                <w:lang w:eastAsia="en-AU"/>
              </w:rPr>
            </w:pPr>
            <w:r w:rsidRPr="00C6327F">
              <w:rPr>
                <w:rFonts w:ascii="Calibri" w:eastAsia="Times New Roman" w:hAnsi="Calibri" w:cs="Times New Roman"/>
                <w:b/>
                <w:bCs/>
                <w:color w:val="000000"/>
                <w:lang w:eastAsia="en-AU"/>
              </w:rPr>
              <w:t>Total hours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rPr>
                <w:rFonts w:ascii="Calibri" w:eastAsia="Times New Roman" w:hAnsi="Calibri" w:cs="Times New Roman"/>
                <w:b/>
                <w:bCs/>
                <w:color w:val="000000"/>
                <w:lang w:eastAsia="en-AU"/>
              </w:rPr>
            </w:pPr>
            <w:r w:rsidRPr="00C6327F">
              <w:rPr>
                <w:rFonts w:ascii="Calibri" w:eastAsia="Times New Roman" w:hAnsi="Calibri" w:cs="Times New Roman"/>
                <w:b/>
                <w:bCs/>
                <w:color w:val="000000"/>
                <w:lang w:eastAsia="en-AU"/>
              </w:rPr>
              <w:t>Labour rate ($/hr)</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rPr>
                <w:rFonts w:ascii="Calibri" w:eastAsia="Times New Roman" w:hAnsi="Calibri" w:cs="Times New Roman"/>
                <w:b/>
                <w:bCs/>
                <w:color w:val="000000"/>
                <w:lang w:eastAsia="en-AU"/>
              </w:rPr>
            </w:pPr>
            <w:r w:rsidRPr="00C6327F">
              <w:rPr>
                <w:rFonts w:ascii="Calibri" w:eastAsia="Times New Roman" w:hAnsi="Calibri" w:cs="Times New Roman"/>
                <w:b/>
                <w:bCs/>
                <w:color w:val="000000"/>
                <w:lang w:eastAsia="en-AU"/>
              </w:rPr>
              <w:t>Cost ($)</w:t>
            </w:r>
          </w:p>
        </w:tc>
      </w:tr>
      <w:tr w:rsidR="0066381C" w:rsidRPr="00C6327F" w:rsidTr="00B66568">
        <w:trPr>
          <w:trHeight w:val="900"/>
        </w:trPr>
        <w:tc>
          <w:tcPr>
            <w:tcW w:w="3620" w:type="dxa"/>
            <w:tcBorders>
              <w:top w:val="nil"/>
              <w:left w:val="single" w:sz="4" w:space="0" w:color="auto"/>
              <w:bottom w:val="single" w:sz="4" w:space="0" w:color="auto"/>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Government writes to market bodies, ACCC, LNG exporters, and Ministers</w:t>
            </w:r>
          </w:p>
        </w:tc>
        <w:tc>
          <w:tcPr>
            <w:tcW w:w="6000" w:type="dxa"/>
            <w:gridSpan w:val="4"/>
            <w:tcBorders>
              <w:top w:val="single" w:sz="4" w:space="0" w:color="auto"/>
              <w:left w:val="nil"/>
              <w:bottom w:val="single" w:sz="4" w:space="0" w:color="auto"/>
              <w:right w:val="single" w:sz="4" w:space="0" w:color="auto"/>
            </w:tcBorders>
            <w:shd w:val="clear" w:color="auto" w:fill="auto"/>
            <w:vAlign w:val="center"/>
            <w:hideMark/>
          </w:tcPr>
          <w:p w:rsidR="0066381C" w:rsidRPr="00C6327F" w:rsidRDefault="0066381C" w:rsidP="00B66568">
            <w:pPr>
              <w:spacing w:after="0" w:line="240" w:lineRule="auto"/>
              <w:jc w:val="center"/>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No cost to industry</w:t>
            </w:r>
          </w:p>
        </w:tc>
      </w:tr>
      <w:tr w:rsidR="0066381C" w:rsidRPr="00C6327F" w:rsidTr="00B66568">
        <w:trPr>
          <w:trHeight w:val="540"/>
        </w:trPr>
        <w:tc>
          <w:tcPr>
            <w:tcW w:w="3620" w:type="dxa"/>
            <w:vMerge w:val="restart"/>
            <w:tcBorders>
              <w:top w:val="nil"/>
              <w:left w:val="single" w:sz="4" w:space="0" w:color="auto"/>
              <w:bottom w:val="single" w:sz="4" w:space="0" w:color="000000"/>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LNG project operator develops submission including views on market outlook, and information on forecast production and consumption</w:t>
            </w:r>
          </w:p>
        </w:tc>
        <w:tc>
          <w:tcPr>
            <w:tcW w:w="1478" w:type="dxa"/>
            <w:tcBorders>
              <w:top w:val="nil"/>
              <w:left w:val="nil"/>
              <w:bottom w:val="single" w:sz="4" w:space="0" w:color="auto"/>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Project planner</w:t>
            </w:r>
          </w:p>
        </w:tc>
        <w:tc>
          <w:tcPr>
            <w:tcW w:w="1276"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22.5</w:t>
            </w:r>
          </w:p>
        </w:tc>
        <w:tc>
          <w:tcPr>
            <w:tcW w:w="184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131.92</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2968.24</w:t>
            </w:r>
          </w:p>
        </w:tc>
      </w:tr>
      <w:tr w:rsidR="0066381C" w:rsidRPr="00C6327F" w:rsidTr="00B66568">
        <w:trPr>
          <w:trHeight w:val="720"/>
        </w:trPr>
        <w:tc>
          <w:tcPr>
            <w:tcW w:w="3620" w:type="dxa"/>
            <w:vMerge/>
            <w:tcBorders>
              <w:top w:val="nil"/>
              <w:left w:val="single" w:sz="4" w:space="0" w:color="auto"/>
              <w:bottom w:val="single" w:sz="4" w:space="0" w:color="000000"/>
              <w:right w:val="single" w:sz="4" w:space="0" w:color="auto"/>
            </w:tcBorders>
            <w:vAlign w:val="center"/>
            <w:hideMark/>
          </w:tcPr>
          <w:p w:rsidR="0066381C" w:rsidRPr="00C6327F" w:rsidRDefault="0066381C" w:rsidP="00B66568">
            <w:pPr>
              <w:spacing w:after="0" w:line="240" w:lineRule="auto"/>
              <w:rPr>
                <w:rFonts w:ascii="Calibri" w:eastAsia="Times New Roman" w:hAnsi="Calibri" w:cs="Times New Roman"/>
                <w:color w:val="000000"/>
                <w:lang w:eastAsia="en-AU"/>
              </w:rPr>
            </w:pPr>
          </w:p>
        </w:tc>
        <w:tc>
          <w:tcPr>
            <w:tcW w:w="1478" w:type="dxa"/>
            <w:tcBorders>
              <w:top w:val="nil"/>
              <w:left w:val="nil"/>
              <w:bottom w:val="single" w:sz="4" w:space="0" w:color="auto"/>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Planning manager</w:t>
            </w:r>
          </w:p>
        </w:tc>
        <w:tc>
          <w:tcPr>
            <w:tcW w:w="1276"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1</w:t>
            </w:r>
          </w:p>
        </w:tc>
        <w:tc>
          <w:tcPr>
            <w:tcW w:w="184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211.07</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211.07</w:t>
            </w:r>
          </w:p>
        </w:tc>
      </w:tr>
      <w:tr w:rsidR="0066381C" w:rsidRPr="00C6327F" w:rsidTr="00B66568">
        <w:trPr>
          <w:trHeight w:val="600"/>
        </w:trPr>
        <w:tc>
          <w:tcPr>
            <w:tcW w:w="3620" w:type="dxa"/>
            <w:tcBorders>
              <w:top w:val="nil"/>
              <w:left w:val="single" w:sz="4" w:space="0" w:color="auto"/>
              <w:bottom w:val="single" w:sz="4" w:space="0" w:color="auto"/>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LNG project operator circulates  submission to joint venture partners</w:t>
            </w:r>
          </w:p>
        </w:tc>
        <w:tc>
          <w:tcPr>
            <w:tcW w:w="1478" w:type="dxa"/>
            <w:tcBorders>
              <w:top w:val="nil"/>
              <w:left w:val="nil"/>
              <w:bottom w:val="single" w:sz="4" w:space="0" w:color="auto"/>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Project planner</w:t>
            </w:r>
          </w:p>
        </w:tc>
        <w:tc>
          <w:tcPr>
            <w:tcW w:w="1276"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1</w:t>
            </w:r>
          </w:p>
        </w:tc>
        <w:tc>
          <w:tcPr>
            <w:tcW w:w="184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131.92</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131.92</w:t>
            </w:r>
          </w:p>
        </w:tc>
      </w:tr>
      <w:tr w:rsidR="0066381C" w:rsidRPr="00C6327F" w:rsidTr="00B66568">
        <w:trPr>
          <w:trHeight w:val="600"/>
        </w:trPr>
        <w:tc>
          <w:tcPr>
            <w:tcW w:w="3620" w:type="dxa"/>
            <w:vMerge w:val="restart"/>
            <w:tcBorders>
              <w:top w:val="nil"/>
              <w:left w:val="single" w:sz="4" w:space="0" w:color="auto"/>
              <w:bottom w:val="single" w:sz="4" w:space="0" w:color="000000"/>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Joint venture partners assess the submission, and determine if changes are required.</w:t>
            </w:r>
          </w:p>
        </w:tc>
        <w:tc>
          <w:tcPr>
            <w:tcW w:w="1478" w:type="dxa"/>
            <w:tcBorders>
              <w:top w:val="nil"/>
              <w:left w:val="nil"/>
              <w:bottom w:val="single" w:sz="4" w:space="0" w:color="auto"/>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Planning manager</w:t>
            </w:r>
          </w:p>
        </w:tc>
        <w:tc>
          <w:tcPr>
            <w:tcW w:w="1276"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12</w:t>
            </w:r>
          </w:p>
        </w:tc>
        <w:tc>
          <w:tcPr>
            <w:tcW w:w="184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211.07</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2532.89</w:t>
            </w:r>
          </w:p>
        </w:tc>
      </w:tr>
      <w:tr w:rsidR="0066381C" w:rsidRPr="00C6327F" w:rsidTr="00B66568">
        <w:trPr>
          <w:trHeight w:val="300"/>
        </w:trPr>
        <w:tc>
          <w:tcPr>
            <w:tcW w:w="3620" w:type="dxa"/>
            <w:vMerge/>
            <w:tcBorders>
              <w:top w:val="nil"/>
              <w:left w:val="single" w:sz="4" w:space="0" w:color="auto"/>
              <w:bottom w:val="single" w:sz="4" w:space="0" w:color="000000"/>
              <w:right w:val="single" w:sz="4" w:space="0" w:color="auto"/>
            </w:tcBorders>
            <w:vAlign w:val="center"/>
            <w:hideMark/>
          </w:tcPr>
          <w:p w:rsidR="0066381C" w:rsidRPr="00C6327F" w:rsidRDefault="0066381C" w:rsidP="00B66568">
            <w:pPr>
              <w:spacing w:after="0" w:line="240" w:lineRule="auto"/>
              <w:rPr>
                <w:rFonts w:ascii="Calibri" w:eastAsia="Times New Roman" w:hAnsi="Calibri" w:cs="Times New Roman"/>
                <w:color w:val="000000"/>
                <w:lang w:eastAsia="en-AU"/>
              </w:rPr>
            </w:pPr>
          </w:p>
        </w:tc>
        <w:tc>
          <w:tcPr>
            <w:tcW w:w="1478" w:type="dxa"/>
            <w:tcBorders>
              <w:top w:val="nil"/>
              <w:left w:val="nil"/>
              <w:bottom w:val="single" w:sz="4" w:space="0" w:color="auto"/>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 xml:space="preserve">Executive </w:t>
            </w:r>
          </w:p>
        </w:tc>
        <w:tc>
          <w:tcPr>
            <w:tcW w:w="1276"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4</w:t>
            </w:r>
          </w:p>
        </w:tc>
        <w:tc>
          <w:tcPr>
            <w:tcW w:w="184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452.57</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1810.28</w:t>
            </w:r>
          </w:p>
        </w:tc>
      </w:tr>
      <w:tr w:rsidR="0066381C" w:rsidRPr="00C6327F" w:rsidTr="00B66568">
        <w:trPr>
          <w:trHeight w:val="600"/>
        </w:trPr>
        <w:tc>
          <w:tcPr>
            <w:tcW w:w="3620" w:type="dxa"/>
            <w:vMerge w:val="restart"/>
            <w:tcBorders>
              <w:top w:val="nil"/>
              <w:left w:val="single" w:sz="4" w:space="0" w:color="auto"/>
              <w:bottom w:val="single" w:sz="4" w:space="0" w:color="000000"/>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LNG project operator amends the application as per requests from individual joint venture partners</w:t>
            </w:r>
          </w:p>
        </w:tc>
        <w:tc>
          <w:tcPr>
            <w:tcW w:w="1478" w:type="dxa"/>
            <w:tcBorders>
              <w:top w:val="nil"/>
              <w:left w:val="nil"/>
              <w:bottom w:val="single" w:sz="4" w:space="0" w:color="auto"/>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Project planner</w:t>
            </w:r>
          </w:p>
        </w:tc>
        <w:tc>
          <w:tcPr>
            <w:tcW w:w="1276"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7.5</w:t>
            </w:r>
          </w:p>
        </w:tc>
        <w:tc>
          <w:tcPr>
            <w:tcW w:w="184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131.92</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989.41</w:t>
            </w:r>
          </w:p>
        </w:tc>
      </w:tr>
      <w:tr w:rsidR="0066381C" w:rsidRPr="00C6327F" w:rsidTr="00B66568">
        <w:trPr>
          <w:trHeight w:val="600"/>
        </w:trPr>
        <w:tc>
          <w:tcPr>
            <w:tcW w:w="3620" w:type="dxa"/>
            <w:vMerge/>
            <w:tcBorders>
              <w:top w:val="nil"/>
              <w:left w:val="single" w:sz="4" w:space="0" w:color="auto"/>
              <w:bottom w:val="single" w:sz="4" w:space="0" w:color="000000"/>
              <w:right w:val="single" w:sz="4" w:space="0" w:color="auto"/>
            </w:tcBorders>
            <w:vAlign w:val="center"/>
            <w:hideMark/>
          </w:tcPr>
          <w:p w:rsidR="0066381C" w:rsidRPr="00C6327F" w:rsidRDefault="0066381C" w:rsidP="00B66568">
            <w:pPr>
              <w:spacing w:after="0" w:line="240" w:lineRule="auto"/>
              <w:rPr>
                <w:rFonts w:ascii="Calibri" w:eastAsia="Times New Roman" w:hAnsi="Calibri" w:cs="Times New Roman"/>
                <w:color w:val="000000"/>
                <w:lang w:eastAsia="en-AU"/>
              </w:rPr>
            </w:pPr>
          </w:p>
        </w:tc>
        <w:tc>
          <w:tcPr>
            <w:tcW w:w="1478" w:type="dxa"/>
            <w:tcBorders>
              <w:top w:val="nil"/>
              <w:left w:val="nil"/>
              <w:bottom w:val="single" w:sz="4" w:space="0" w:color="auto"/>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Planning manager</w:t>
            </w:r>
          </w:p>
        </w:tc>
        <w:tc>
          <w:tcPr>
            <w:tcW w:w="1276"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1</w:t>
            </w:r>
          </w:p>
        </w:tc>
        <w:tc>
          <w:tcPr>
            <w:tcW w:w="1843" w:type="dxa"/>
            <w:tcBorders>
              <w:top w:val="nil"/>
              <w:left w:val="nil"/>
              <w:bottom w:val="nil"/>
              <w:right w:val="nil"/>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211.07</w:t>
            </w:r>
          </w:p>
        </w:tc>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211.07</w:t>
            </w:r>
          </w:p>
        </w:tc>
      </w:tr>
      <w:tr w:rsidR="0066381C" w:rsidRPr="00C6327F" w:rsidTr="00B66568">
        <w:trPr>
          <w:trHeight w:val="600"/>
        </w:trPr>
        <w:tc>
          <w:tcPr>
            <w:tcW w:w="3620" w:type="dxa"/>
            <w:vMerge w:val="restart"/>
            <w:tcBorders>
              <w:top w:val="nil"/>
              <w:left w:val="single" w:sz="4" w:space="0" w:color="auto"/>
              <w:bottom w:val="single" w:sz="4" w:space="0" w:color="000000"/>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Joint venture partners reassess the submission</w:t>
            </w:r>
          </w:p>
        </w:tc>
        <w:tc>
          <w:tcPr>
            <w:tcW w:w="1478" w:type="dxa"/>
            <w:tcBorders>
              <w:top w:val="nil"/>
              <w:left w:val="nil"/>
              <w:bottom w:val="single" w:sz="4" w:space="0" w:color="auto"/>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Planning manager</w:t>
            </w:r>
          </w:p>
        </w:tc>
        <w:tc>
          <w:tcPr>
            <w:tcW w:w="1276"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8</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211.07</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1688.60</w:t>
            </w:r>
          </w:p>
        </w:tc>
      </w:tr>
      <w:tr w:rsidR="0066381C" w:rsidRPr="00C6327F" w:rsidTr="00B66568">
        <w:trPr>
          <w:trHeight w:val="300"/>
        </w:trPr>
        <w:tc>
          <w:tcPr>
            <w:tcW w:w="3620" w:type="dxa"/>
            <w:vMerge/>
            <w:tcBorders>
              <w:top w:val="nil"/>
              <w:left w:val="single" w:sz="4" w:space="0" w:color="auto"/>
              <w:bottom w:val="single" w:sz="4" w:space="0" w:color="000000"/>
              <w:right w:val="single" w:sz="4" w:space="0" w:color="auto"/>
            </w:tcBorders>
            <w:vAlign w:val="center"/>
            <w:hideMark/>
          </w:tcPr>
          <w:p w:rsidR="0066381C" w:rsidRPr="00C6327F" w:rsidRDefault="0066381C" w:rsidP="00B66568">
            <w:pPr>
              <w:spacing w:after="0" w:line="240" w:lineRule="auto"/>
              <w:rPr>
                <w:rFonts w:ascii="Calibri" w:eastAsia="Times New Roman" w:hAnsi="Calibri" w:cs="Times New Roman"/>
                <w:color w:val="000000"/>
                <w:lang w:eastAsia="en-AU"/>
              </w:rPr>
            </w:pPr>
          </w:p>
        </w:tc>
        <w:tc>
          <w:tcPr>
            <w:tcW w:w="1478" w:type="dxa"/>
            <w:tcBorders>
              <w:top w:val="nil"/>
              <w:left w:val="nil"/>
              <w:bottom w:val="single" w:sz="4" w:space="0" w:color="auto"/>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 xml:space="preserve">Executive </w:t>
            </w:r>
          </w:p>
        </w:tc>
        <w:tc>
          <w:tcPr>
            <w:tcW w:w="1276"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2</w:t>
            </w:r>
          </w:p>
        </w:tc>
        <w:tc>
          <w:tcPr>
            <w:tcW w:w="184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452.57</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905.14</w:t>
            </w:r>
          </w:p>
        </w:tc>
      </w:tr>
      <w:tr w:rsidR="0066381C" w:rsidRPr="00C6327F" w:rsidTr="00B66568">
        <w:trPr>
          <w:trHeight w:val="600"/>
        </w:trPr>
        <w:tc>
          <w:tcPr>
            <w:tcW w:w="3620" w:type="dxa"/>
            <w:tcBorders>
              <w:top w:val="nil"/>
              <w:left w:val="single" w:sz="4" w:space="0" w:color="auto"/>
              <w:bottom w:val="single" w:sz="4" w:space="0" w:color="auto"/>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LNG project operator submits the</w:t>
            </w:r>
            <w:r>
              <w:rPr>
                <w:rFonts w:ascii="Calibri" w:eastAsia="Times New Roman" w:hAnsi="Calibri" w:cs="Times New Roman"/>
                <w:color w:val="000000"/>
                <w:lang w:eastAsia="en-AU"/>
              </w:rPr>
              <w:t xml:space="preserve"> </w:t>
            </w:r>
            <w:r w:rsidRPr="00C6327F">
              <w:rPr>
                <w:rFonts w:ascii="Calibri" w:eastAsia="Times New Roman" w:hAnsi="Calibri" w:cs="Times New Roman"/>
                <w:color w:val="000000"/>
                <w:lang w:eastAsia="en-AU"/>
              </w:rPr>
              <w:t>application</w:t>
            </w:r>
          </w:p>
        </w:tc>
        <w:tc>
          <w:tcPr>
            <w:tcW w:w="1478" w:type="dxa"/>
            <w:tcBorders>
              <w:top w:val="nil"/>
              <w:left w:val="nil"/>
              <w:bottom w:val="single" w:sz="4" w:space="0" w:color="auto"/>
              <w:right w:val="single" w:sz="4" w:space="0" w:color="auto"/>
            </w:tcBorders>
            <w:shd w:val="clear" w:color="auto" w:fill="auto"/>
            <w:hideMark/>
          </w:tcPr>
          <w:p w:rsidR="0066381C" w:rsidRPr="00C6327F" w:rsidRDefault="0066381C" w:rsidP="00B66568">
            <w:pPr>
              <w:spacing w:after="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Project planner</w:t>
            </w:r>
          </w:p>
        </w:tc>
        <w:tc>
          <w:tcPr>
            <w:tcW w:w="1276"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1</w:t>
            </w:r>
          </w:p>
        </w:tc>
        <w:tc>
          <w:tcPr>
            <w:tcW w:w="184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131.92</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131.92</w:t>
            </w:r>
          </w:p>
        </w:tc>
      </w:tr>
      <w:tr w:rsidR="0066381C" w:rsidRPr="00C6327F" w:rsidTr="00B66568">
        <w:trPr>
          <w:trHeight w:val="300"/>
        </w:trPr>
        <w:tc>
          <w:tcPr>
            <w:tcW w:w="8217"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66381C" w:rsidRPr="00C6327F" w:rsidRDefault="0066381C" w:rsidP="00B66568">
            <w:pPr>
              <w:spacing w:after="0" w:line="240" w:lineRule="auto"/>
              <w:jc w:val="center"/>
              <w:rPr>
                <w:rFonts w:ascii="Calibri" w:eastAsia="Times New Roman" w:hAnsi="Calibri" w:cs="Times New Roman"/>
                <w:b/>
                <w:bCs/>
                <w:color w:val="000000"/>
                <w:lang w:eastAsia="en-AU"/>
              </w:rPr>
            </w:pPr>
            <w:r w:rsidRPr="00C6327F">
              <w:rPr>
                <w:rFonts w:ascii="Calibri" w:eastAsia="Times New Roman" w:hAnsi="Calibri" w:cs="Times New Roman"/>
                <w:b/>
                <w:bCs/>
                <w:color w:val="000000"/>
                <w:lang w:eastAsia="en-AU"/>
              </w:rPr>
              <w:t>Total</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0" w:line="240" w:lineRule="auto"/>
              <w:rPr>
                <w:rFonts w:ascii="Calibri" w:eastAsia="Times New Roman" w:hAnsi="Calibri" w:cs="Times New Roman"/>
                <w:b/>
                <w:bCs/>
                <w:color w:val="000000"/>
                <w:lang w:eastAsia="en-AU"/>
              </w:rPr>
            </w:pPr>
            <w:r w:rsidRPr="00C6327F">
              <w:rPr>
                <w:rFonts w:ascii="Calibri" w:eastAsia="Times New Roman" w:hAnsi="Calibri" w:cs="Times New Roman"/>
                <w:b/>
                <w:bCs/>
                <w:color w:val="000000"/>
                <w:lang w:eastAsia="en-AU"/>
              </w:rPr>
              <w:t xml:space="preserve"> $  11,580.55 </w:t>
            </w:r>
          </w:p>
        </w:tc>
      </w:tr>
    </w:tbl>
    <w:p w:rsidR="0066381C" w:rsidRDefault="0066381C" w:rsidP="0066381C"/>
    <w:p w:rsidR="0066381C" w:rsidRDefault="0066381C" w:rsidP="0066381C">
      <w:r>
        <w:fldChar w:fldCharType="begin"/>
      </w:r>
      <w:r>
        <w:instrText xml:space="preserve"> REF _Ref482894859 \h </w:instrText>
      </w:r>
      <w:r>
        <w:fldChar w:fldCharType="separate"/>
      </w:r>
      <w:r w:rsidR="00D565EF">
        <w:t xml:space="preserve">Table </w:t>
      </w:r>
      <w:r w:rsidR="00D565EF">
        <w:rPr>
          <w:noProof/>
        </w:rPr>
        <w:t>3</w:t>
      </w:r>
      <w:r>
        <w:fldChar w:fldCharType="end"/>
      </w:r>
      <w:r>
        <w:t xml:space="preserve"> breaks down the regulatory cost to a business when the Minister makes an assessment about whether export controls will apply in the following year.  </w:t>
      </w:r>
    </w:p>
    <w:p w:rsidR="0066381C" w:rsidRDefault="0066381C" w:rsidP="0066381C">
      <w:pPr>
        <w:pStyle w:val="Caption"/>
        <w:keepNext/>
      </w:pPr>
      <w:bookmarkStart w:id="464" w:name="_Ref482894859"/>
      <w:r>
        <w:t xml:space="preserve">Table </w:t>
      </w:r>
      <w:fldSimple w:instr=" SEQ Table \* ARABIC ">
        <w:r w:rsidR="00D565EF">
          <w:rPr>
            <w:noProof/>
          </w:rPr>
          <w:t>3</w:t>
        </w:r>
      </w:fldSimple>
      <w:bookmarkEnd w:id="464"/>
      <w:r>
        <w:t xml:space="preserve">: </w:t>
      </w:r>
      <w:r w:rsidRPr="00EC503D">
        <w:t xml:space="preserve">Estimate of </w:t>
      </w:r>
      <w:r>
        <w:t>regulatory</w:t>
      </w:r>
      <w:r w:rsidRPr="00EC503D">
        <w:t xml:space="preserve"> costs for one LNG project </w:t>
      </w:r>
      <w:r>
        <w:t xml:space="preserve">when </w:t>
      </w:r>
      <w:r w:rsidR="00DE4869">
        <w:t>the Resources Minister</w:t>
      </w:r>
      <w:r>
        <w:t xml:space="preserve"> makes an assessment </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1600"/>
        <w:gridCol w:w="1296"/>
        <w:gridCol w:w="1884"/>
        <w:gridCol w:w="1220"/>
      </w:tblGrid>
      <w:tr w:rsidR="0066381C" w:rsidRPr="00960E00" w:rsidTr="00B66568">
        <w:trPr>
          <w:trHeight w:val="300"/>
        </w:trPr>
        <w:tc>
          <w:tcPr>
            <w:tcW w:w="3620" w:type="dxa"/>
            <w:shd w:val="clear" w:color="auto" w:fill="auto"/>
            <w:vAlign w:val="bottom"/>
            <w:hideMark/>
          </w:tcPr>
          <w:p w:rsidR="0066381C" w:rsidRPr="00960E00" w:rsidRDefault="0066381C" w:rsidP="00B66568">
            <w:pPr>
              <w:spacing w:after="0" w:line="240" w:lineRule="auto"/>
              <w:rPr>
                <w:rFonts w:ascii="Calibri" w:eastAsia="Times New Roman" w:hAnsi="Calibri" w:cs="Times New Roman"/>
                <w:b/>
                <w:bCs/>
                <w:color w:val="000000"/>
                <w:lang w:eastAsia="en-AU"/>
              </w:rPr>
            </w:pPr>
            <w:r w:rsidRPr="00960E00">
              <w:rPr>
                <w:rFonts w:ascii="Calibri" w:eastAsia="Times New Roman" w:hAnsi="Calibri" w:cs="Times New Roman"/>
                <w:b/>
                <w:bCs/>
                <w:color w:val="000000"/>
                <w:lang w:eastAsia="en-AU"/>
              </w:rPr>
              <w:t>Activity</w:t>
            </w:r>
          </w:p>
        </w:tc>
        <w:tc>
          <w:tcPr>
            <w:tcW w:w="1600" w:type="dxa"/>
            <w:shd w:val="clear" w:color="auto" w:fill="auto"/>
            <w:noWrap/>
            <w:vAlign w:val="bottom"/>
            <w:hideMark/>
          </w:tcPr>
          <w:p w:rsidR="0066381C" w:rsidRPr="00960E00" w:rsidRDefault="0066381C" w:rsidP="00B66568">
            <w:pPr>
              <w:spacing w:after="0" w:line="240" w:lineRule="auto"/>
              <w:rPr>
                <w:rFonts w:ascii="Calibri" w:eastAsia="Times New Roman" w:hAnsi="Calibri" w:cs="Times New Roman"/>
                <w:b/>
                <w:bCs/>
                <w:color w:val="000000"/>
                <w:lang w:eastAsia="en-AU"/>
              </w:rPr>
            </w:pPr>
            <w:r w:rsidRPr="00960E00">
              <w:rPr>
                <w:rFonts w:ascii="Calibri" w:eastAsia="Times New Roman" w:hAnsi="Calibri" w:cs="Times New Roman"/>
                <w:b/>
                <w:bCs/>
                <w:color w:val="000000"/>
                <w:lang w:eastAsia="en-AU"/>
              </w:rPr>
              <w:t>Worker type</w:t>
            </w:r>
          </w:p>
        </w:tc>
        <w:tc>
          <w:tcPr>
            <w:tcW w:w="1296" w:type="dxa"/>
            <w:shd w:val="clear" w:color="auto" w:fill="auto"/>
            <w:noWrap/>
            <w:vAlign w:val="bottom"/>
            <w:hideMark/>
          </w:tcPr>
          <w:p w:rsidR="0066381C" w:rsidRPr="00960E00" w:rsidRDefault="0066381C" w:rsidP="00B66568">
            <w:pPr>
              <w:spacing w:after="0" w:line="240" w:lineRule="auto"/>
              <w:rPr>
                <w:rFonts w:ascii="Calibri" w:eastAsia="Times New Roman" w:hAnsi="Calibri" w:cs="Times New Roman"/>
                <w:b/>
                <w:bCs/>
                <w:color w:val="000000"/>
                <w:lang w:eastAsia="en-AU"/>
              </w:rPr>
            </w:pPr>
            <w:r w:rsidRPr="00960E00">
              <w:rPr>
                <w:rFonts w:ascii="Calibri" w:eastAsia="Times New Roman" w:hAnsi="Calibri" w:cs="Times New Roman"/>
                <w:b/>
                <w:bCs/>
                <w:color w:val="000000"/>
                <w:lang w:eastAsia="en-AU"/>
              </w:rPr>
              <w:t>Total hours</w:t>
            </w:r>
          </w:p>
        </w:tc>
        <w:tc>
          <w:tcPr>
            <w:tcW w:w="1884" w:type="dxa"/>
            <w:shd w:val="clear" w:color="auto" w:fill="auto"/>
            <w:noWrap/>
            <w:vAlign w:val="bottom"/>
            <w:hideMark/>
          </w:tcPr>
          <w:p w:rsidR="0066381C" w:rsidRPr="00960E00" w:rsidRDefault="0066381C" w:rsidP="00B66568">
            <w:pPr>
              <w:spacing w:after="0" w:line="240" w:lineRule="auto"/>
              <w:rPr>
                <w:rFonts w:ascii="Calibri" w:eastAsia="Times New Roman" w:hAnsi="Calibri" w:cs="Times New Roman"/>
                <w:b/>
                <w:bCs/>
                <w:color w:val="000000"/>
                <w:lang w:eastAsia="en-AU"/>
              </w:rPr>
            </w:pPr>
            <w:r w:rsidRPr="00960E00">
              <w:rPr>
                <w:rFonts w:ascii="Calibri" w:eastAsia="Times New Roman" w:hAnsi="Calibri" w:cs="Times New Roman"/>
                <w:b/>
                <w:bCs/>
                <w:color w:val="000000"/>
                <w:lang w:eastAsia="en-AU"/>
              </w:rPr>
              <w:t>Labour rate ($/hr)</w:t>
            </w:r>
          </w:p>
        </w:tc>
        <w:tc>
          <w:tcPr>
            <w:tcW w:w="1220" w:type="dxa"/>
            <w:shd w:val="clear" w:color="auto" w:fill="auto"/>
            <w:noWrap/>
            <w:vAlign w:val="bottom"/>
            <w:hideMark/>
          </w:tcPr>
          <w:p w:rsidR="0066381C" w:rsidRPr="00960E00" w:rsidRDefault="0066381C" w:rsidP="00B66568">
            <w:pPr>
              <w:spacing w:after="0" w:line="240" w:lineRule="auto"/>
              <w:rPr>
                <w:rFonts w:ascii="Calibri" w:eastAsia="Times New Roman" w:hAnsi="Calibri" w:cs="Times New Roman"/>
                <w:b/>
                <w:bCs/>
                <w:color w:val="000000"/>
                <w:lang w:eastAsia="en-AU"/>
              </w:rPr>
            </w:pPr>
            <w:r w:rsidRPr="00960E00">
              <w:rPr>
                <w:rFonts w:ascii="Calibri" w:eastAsia="Times New Roman" w:hAnsi="Calibri" w:cs="Times New Roman"/>
                <w:b/>
                <w:bCs/>
                <w:color w:val="000000"/>
                <w:lang w:eastAsia="en-AU"/>
              </w:rPr>
              <w:t>Cost ($)</w:t>
            </w:r>
          </w:p>
        </w:tc>
      </w:tr>
      <w:tr w:rsidR="0066381C" w:rsidRPr="00960E00" w:rsidTr="00B66568">
        <w:trPr>
          <w:trHeight w:val="600"/>
        </w:trPr>
        <w:tc>
          <w:tcPr>
            <w:tcW w:w="3620" w:type="dxa"/>
            <w:shd w:val="clear" w:color="auto" w:fill="auto"/>
            <w:vAlign w:val="bottom"/>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Government analysis of data, and determination of shortfall</w:t>
            </w:r>
          </w:p>
        </w:tc>
        <w:tc>
          <w:tcPr>
            <w:tcW w:w="6000" w:type="dxa"/>
            <w:gridSpan w:val="4"/>
            <w:vMerge w:val="restart"/>
            <w:shd w:val="clear" w:color="auto" w:fill="auto"/>
            <w:noWrap/>
            <w:vAlign w:val="center"/>
            <w:hideMark/>
          </w:tcPr>
          <w:p w:rsidR="0066381C" w:rsidRPr="00960E00" w:rsidRDefault="0066381C" w:rsidP="00B66568">
            <w:pPr>
              <w:spacing w:after="0" w:line="240" w:lineRule="auto"/>
              <w:jc w:val="center"/>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No cost to industry</w:t>
            </w:r>
          </w:p>
        </w:tc>
      </w:tr>
      <w:tr w:rsidR="0066381C" w:rsidRPr="00960E00" w:rsidTr="00B66568">
        <w:trPr>
          <w:trHeight w:val="600"/>
        </w:trPr>
        <w:tc>
          <w:tcPr>
            <w:tcW w:w="3620" w:type="dxa"/>
            <w:shd w:val="clear" w:color="auto" w:fill="auto"/>
            <w:vAlign w:val="bottom"/>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Government calculation of  each exporter's net deficit</w:t>
            </w:r>
          </w:p>
        </w:tc>
        <w:tc>
          <w:tcPr>
            <w:tcW w:w="6000" w:type="dxa"/>
            <w:gridSpan w:val="4"/>
            <w:vMerge/>
            <w:vAlign w:val="center"/>
            <w:hideMark/>
          </w:tcPr>
          <w:p w:rsidR="0066381C" w:rsidRPr="00960E00" w:rsidRDefault="0066381C" w:rsidP="00B66568">
            <w:pPr>
              <w:spacing w:after="0" w:line="240" w:lineRule="auto"/>
              <w:rPr>
                <w:rFonts w:ascii="Calibri" w:eastAsia="Times New Roman" w:hAnsi="Calibri" w:cs="Times New Roman"/>
                <w:color w:val="000000"/>
                <w:lang w:eastAsia="en-AU"/>
              </w:rPr>
            </w:pPr>
          </w:p>
        </w:tc>
      </w:tr>
      <w:tr w:rsidR="0066381C" w:rsidRPr="00960E00" w:rsidTr="00B66568">
        <w:trPr>
          <w:trHeight w:val="600"/>
        </w:trPr>
        <w:tc>
          <w:tcPr>
            <w:tcW w:w="3620" w:type="dxa"/>
            <w:shd w:val="clear" w:color="auto" w:fill="auto"/>
            <w:vAlign w:val="bottom"/>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 xml:space="preserve">Government develops provisional </w:t>
            </w:r>
            <w:r>
              <w:rPr>
                <w:rFonts w:ascii="Calibri" w:eastAsia="Times New Roman" w:hAnsi="Calibri" w:cs="Times New Roman"/>
                <w:color w:val="000000"/>
                <w:lang w:eastAsia="en-AU"/>
              </w:rPr>
              <w:t>permission</w:t>
            </w:r>
            <w:r w:rsidRPr="00960E00">
              <w:rPr>
                <w:rFonts w:ascii="Calibri" w:eastAsia="Times New Roman" w:hAnsi="Calibri" w:cs="Times New Roman"/>
                <w:color w:val="000000"/>
                <w:lang w:eastAsia="en-AU"/>
              </w:rPr>
              <w:t>s</w:t>
            </w:r>
          </w:p>
        </w:tc>
        <w:tc>
          <w:tcPr>
            <w:tcW w:w="6000" w:type="dxa"/>
            <w:gridSpan w:val="4"/>
            <w:vMerge/>
            <w:vAlign w:val="center"/>
            <w:hideMark/>
          </w:tcPr>
          <w:p w:rsidR="0066381C" w:rsidRPr="00960E00" w:rsidRDefault="0066381C" w:rsidP="00B66568">
            <w:pPr>
              <w:spacing w:after="0" w:line="240" w:lineRule="auto"/>
              <w:rPr>
                <w:rFonts w:ascii="Calibri" w:eastAsia="Times New Roman" w:hAnsi="Calibri" w:cs="Times New Roman"/>
                <w:color w:val="000000"/>
                <w:lang w:eastAsia="en-AU"/>
              </w:rPr>
            </w:pPr>
          </w:p>
        </w:tc>
      </w:tr>
    </w:tbl>
    <w:p w:rsidR="0066381C" w:rsidRDefault="0066381C" w:rsidP="0066381C"/>
    <w:p w:rsidR="0066381C" w:rsidRDefault="0066381C" w:rsidP="0066381C">
      <w:r>
        <w:br w:type="page"/>
      </w:r>
    </w:p>
    <w:p w:rsidR="0066381C" w:rsidRDefault="0066381C" w:rsidP="0066381C">
      <w:r>
        <w:lastRenderedPageBreak/>
        <w:fldChar w:fldCharType="begin"/>
      </w:r>
      <w:r>
        <w:instrText xml:space="preserve"> REF _Ref482895069 \h </w:instrText>
      </w:r>
      <w:r>
        <w:fldChar w:fldCharType="separate"/>
      </w:r>
      <w:r w:rsidR="00D565EF">
        <w:t xml:space="preserve">Table </w:t>
      </w:r>
      <w:r w:rsidR="00D565EF">
        <w:rPr>
          <w:noProof/>
        </w:rPr>
        <w:t>4</w:t>
      </w:r>
      <w:r>
        <w:fldChar w:fldCharType="end"/>
      </w:r>
      <w:r>
        <w:t xml:space="preserve"> breaks down the regulatory cost to a business if </w:t>
      </w:r>
      <w:r w:rsidR="00DE4869">
        <w:t>the Resources Minister</w:t>
      </w:r>
      <w:r>
        <w:t xml:space="preserve"> makes a determination to invoke export controls (described in the flowchart in Section </w:t>
      </w:r>
      <w:r>
        <w:fldChar w:fldCharType="begin"/>
      </w:r>
      <w:r>
        <w:instrText xml:space="preserve"> REF _Ref482882435 \r \h </w:instrText>
      </w:r>
      <w:r>
        <w:fldChar w:fldCharType="separate"/>
      </w:r>
      <w:r w:rsidR="00D565EF">
        <w:t>4.4</w:t>
      </w:r>
      <w:r>
        <w:fldChar w:fldCharType="end"/>
      </w:r>
      <w:r>
        <w:t>).</w:t>
      </w:r>
    </w:p>
    <w:p w:rsidR="0066381C" w:rsidRDefault="0066381C" w:rsidP="0066381C">
      <w:pPr>
        <w:pStyle w:val="Caption"/>
        <w:keepNext/>
      </w:pPr>
      <w:bookmarkStart w:id="465" w:name="_Ref482895069"/>
      <w:r>
        <w:t xml:space="preserve">Table </w:t>
      </w:r>
      <w:fldSimple w:instr=" SEQ Table \* ARABIC ">
        <w:r w:rsidR="00D565EF">
          <w:rPr>
            <w:noProof/>
          </w:rPr>
          <w:t>4</w:t>
        </w:r>
      </w:fldSimple>
      <w:bookmarkEnd w:id="465"/>
      <w:r>
        <w:t xml:space="preserve">: </w:t>
      </w:r>
      <w:r w:rsidRPr="002E5725">
        <w:t xml:space="preserve">Estimate of </w:t>
      </w:r>
      <w:r>
        <w:t>regulatory</w:t>
      </w:r>
      <w:r w:rsidRPr="002E5725">
        <w:t xml:space="preserve"> costs for one LNG project </w:t>
      </w:r>
      <w:r>
        <w:t xml:space="preserve">when export controls </w:t>
      </w:r>
      <w:proofErr w:type="gramStart"/>
      <w:r>
        <w:t>are invoked</w:t>
      </w:r>
      <w:proofErr w:type="gramEnd"/>
    </w:p>
    <w:tbl>
      <w:tblPr>
        <w:tblW w:w="9620" w:type="dxa"/>
        <w:tblLook w:val="04A0" w:firstRow="1" w:lastRow="0" w:firstColumn="1" w:lastColumn="0" w:noHBand="0" w:noVBand="1"/>
      </w:tblPr>
      <w:tblGrid>
        <w:gridCol w:w="3620"/>
        <w:gridCol w:w="1600"/>
        <w:gridCol w:w="1296"/>
        <w:gridCol w:w="1701"/>
        <w:gridCol w:w="1403"/>
      </w:tblGrid>
      <w:tr w:rsidR="0066381C" w:rsidRPr="00960E00" w:rsidTr="00B66568">
        <w:trPr>
          <w:trHeight w:val="300"/>
        </w:trPr>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381C" w:rsidRPr="00960E00" w:rsidRDefault="0066381C" w:rsidP="00B66568">
            <w:pPr>
              <w:spacing w:after="0" w:line="240" w:lineRule="auto"/>
              <w:rPr>
                <w:rFonts w:ascii="Calibri" w:eastAsia="Times New Roman" w:hAnsi="Calibri" w:cs="Times New Roman"/>
                <w:b/>
                <w:bCs/>
                <w:color w:val="000000"/>
                <w:lang w:eastAsia="en-AU"/>
              </w:rPr>
            </w:pPr>
            <w:r w:rsidRPr="00960E00">
              <w:rPr>
                <w:rFonts w:ascii="Calibri" w:eastAsia="Times New Roman" w:hAnsi="Calibri" w:cs="Times New Roman"/>
                <w:b/>
                <w:bCs/>
                <w:color w:val="000000"/>
                <w:lang w:eastAsia="en-AU"/>
              </w:rPr>
              <w:t>Activity</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rPr>
                <w:rFonts w:ascii="Calibri" w:eastAsia="Times New Roman" w:hAnsi="Calibri" w:cs="Times New Roman"/>
                <w:b/>
                <w:bCs/>
                <w:color w:val="000000"/>
                <w:lang w:eastAsia="en-AU"/>
              </w:rPr>
            </w:pPr>
            <w:r w:rsidRPr="00960E00">
              <w:rPr>
                <w:rFonts w:ascii="Calibri" w:eastAsia="Times New Roman" w:hAnsi="Calibri" w:cs="Times New Roman"/>
                <w:b/>
                <w:bCs/>
                <w:color w:val="000000"/>
                <w:lang w:eastAsia="en-AU"/>
              </w:rPr>
              <w:t>Worker type</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rPr>
                <w:rFonts w:ascii="Calibri" w:eastAsia="Times New Roman" w:hAnsi="Calibri" w:cs="Times New Roman"/>
                <w:b/>
                <w:bCs/>
                <w:color w:val="000000"/>
                <w:lang w:eastAsia="en-AU"/>
              </w:rPr>
            </w:pPr>
            <w:r w:rsidRPr="00960E00">
              <w:rPr>
                <w:rFonts w:ascii="Calibri" w:eastAsia="Times New Roman" w:hAnsi="Calibri" w:cs="Times New Roman"/>
                <w:b/>
                <w:bCs/>
                <w:color w:val="000000"/>
                <w:lang w:eastAsia="en-AU"/>
              </w:rPr>
              <w:t>Total hours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rPr>
                <w:rFonts w:ascii="Calibri" w:eastAsia="Times New Roman" w:hAnsi="Calibri" w:cs="Times New Roman"/>
                <w:b/>
                <w:bCs/>
                <w:color w:val="000000"/>
                <w:lang w:eastAsia="en-AU"/>
              </w:rPr>
            </w:pPr>
            <w:r w:rsidRPr="00960E00">
              <w:rPr>
                <w:rFonts w:ascii="Calibri" w:eastAsia="Times New Roman" w:hAnsi="Calibri" w:cs="Times New Roman"/>
                <w:b/>
                <w:bCs/>
                <w:color w:val="000000"/>
                <w:lang w:eastAsia="en-AU"/>
              </w:rPr>
              <w:t>Labour rate ($/hr)</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rPr>
                <w:rFonts w:ascii="Calibri" w:eastAsia="Times New Roman" w:hAnsi="Calibri" w:cs="Times New Roman"/>
                <w:b/>
                <w:bCs/>
                <w:color w:val="000000"/>
                <w:lang w:eastAsia="en-AU"/>
              </w:rPr>
            </w:pPr>
            <w:r w:rsidRPr="00960E00">
              <w:rPr>
                <w:rFonts w:ascii="Calibri" w:eastAsia="Times New Roman" w:hAnsi="Calibri" w:cs="Times New Roman"/>
                <w:b/>
                <w:bCs/>
                <w:color w:val="000000"/>
                <w:lang w:eastAsia="en-AU"/>
              </w:rPr>
              <w:t>Cost ($)</w:t>
            </w:r>
          </w:p>
        </w:tc>
      </w:tr>
      <w:tr w:rsidR="0066381C" w:rsidRPr="00960E00" w:rsidTr="00B66568">
        <w:trPr>
          <w:trHeight w:val="1200"/>
        </w:trPr>
        <w:tc>
          <w:tcPr>
            <w:tcW w:w="3620" w:type="dxa"/>
            <w:tcBorders>
              <w:top w:val="nil"/>
              <w:left w:val="single" w:sz="4" w:space="0" w:color="auto"/>
              <w:bottom w:val="single" w:sz="4" w:space="0" w:color="auto"/>
              <w:right w:val="single" w:sz="4" w:space="0" w:color="auto"/>
            </w:tcBorders>
            <w:shd w:val="clear" w:color="auto" w:fill="auto"/>
            <w:vAlign w:val="bottom"/>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 xml:space="preserve">Government announces its decision on whether export controls will be enforced, and writes to LNG exporters to issue </w:t>
            </w:r>
            <w:r>
              <w:rPr>
                <w:rFonts w:ascii="Calibri" w:eastAsia="Times New Roman" w:hAnsi="Calibri" w:cs="Times New Roman"/>
                <w:color w:val="000000"/>
                <w:lang w:eastAsia="en-AU"/>
              </w:rPr>
              <w:t>permission</w:t>
            </w:r>
            <w:r w:rsidRPr="00960E00">
              <w:rPr>
                <w:rFonts w:ascii="Calibri" w:eastAsia="Times New Roman" w:hAnsi="Calibri" w:cs="Times New Roman"/>
                <w:color w:val="000000"/>
                <w:lang w:eastAsia="en-AU"/>
              </w:rPr>
              <w:t>s</w:t>
            </w:r>
          </w:p>
        </w:tc>
        <w:tc>
          <w:tcPr>
            <w:tcW w:w="6000" w:type="dxa"/>
            <w:gridSpan w:val="4"/>
            <w:tcBorders>
              <w:top w:val="single" w:sz="4" w:space="0" w:color="auto"/>
              <w:left w:val="nil"/>
              <w:bottom w:val="single" w:sz="4" w:space="0" w:color="auto"/>
              <w:right w:val="single" w:sz="4" w:space="0" w:color="auto"/>
            </w:tcBorders>
            <w:shd w:val="clear" w:color="auto" w:fill="auto"/>
            <w:noWrap/>
            <w:vAlign w:val="center"/>
            <w:hideMark/>
          </w:tcPr>
          <w:p w:rsidR="0066381C" w:rsidRPr="00960E00" w:rsidRDefault="0066381C" w:rsidP="00B66568">
            <w:pPr>
              <w:spacing w:after="0" w:line="240" w:lineRule="auto"/>
              <w:jc w:val="center"/>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No cost to industry</w:t>
            </w:r>
          </w:p>
        </w:tc>
      </w:tr>
      <w:tr w:rsidR="0066381C" w:rsidRPr="00960E00" w:rsidTr="00B66568">
        <w:trPr>
          <w:trHeight w:val="600"/>
        </w:trPr>
        <w:tc>
          <w:tcPr>
            <w:tcW w:w="3620" w:type="dxa"/>
            <w:tcBorders>
              <w:top w:val="nil"/>
              <w:left w:val="single" w:sz="4" w:space="0" w:color="auto"/>
              <w:bottom w:val="single" w:sz="4" w:space="0" w:color="auto"/>
              <w:right w:val="single" w:sz="4" w:space="0" w:color="auto"/>
            </w:tcBorders>
            <w:shd w:val="clear" w:color="auto" w:fill="auto"/>
            <w:vAlign w:val="bottom"/>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LNG operator circulates government feedback to joint venture members</w:t>
            </w:r>
          </w:p>
        </w:tc>
        <w:tc>
          <w:tcPr>
            <w:tcW w:w="1600" w:type="dxa"/>
            <w:tcBorders>
              <w:top w:val="nil"/>
              <w:left w:val="nil"/>
              <w:bottom w:val="single" w:sz="4" w:space="0" w:color="auto"/>
              <w:right w:val="single" w:sz="4" w:space="0" w:color="auto"/>
            </w:tcBorders>
            <w:shd w:val="clear" w:color="auto" w:fill="auto"/>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Planning manager</w:t>
            </w:r>
          </w:p>
        </w:tc>
        <w:tc>
          <w:tcPr>
            <w:tcW w:w="1296"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w:t>
            </w:r>
          </w:p>
        </w:tc>
        <w:tc>
          <w:tcPr>
            <w:tcW w:w="1701"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211.07</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211.075</w:t>
            </w:r>
          </w:p>
        </w:tc>
      </w:tr>
      <w:tr w:rsidR="0066381C" w:rsidRPr="00960E00" w:rsidTr="00B66568">
        <w:trPr>
          <w:trHeight w:val="900"/>
        </w:trPr>
        <w:tc>
          <w:tcPr>
            <w:tcW w:w="3620" w:type="dxa"/>
            <w:vMerge w:val="restart"/>
            <w:tcBorders>
              <w:top w:val="nil"/>
              <w:left w:val="single" w:sz="4" w:space="0" w:color="auto"/>
              <w:bottom w:val="single" w:sz="4" w:space="0" w:color="000000"/>
              <w:right w:val="single" w:sz="4" w:space="0" w:color="auto"/>
            </w:tcBorders>
            <w:shd w:val="clear" w:color="auto" w:fill="auto"/>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 xml:space="preserve">Joint venture partners formulate an opinion about the government feedback and licensing. </w:t>
            </w:r>
          </w:p>
        </w:tc>
        <w:tc>
          <w:tcPr>
            <w:tcW w:w="1600" w:type="dxa"/>
            <w:tcBorders>
              <w:top w:val="nil"/>
              <w:left w:val="nil"/>
              <w:bottom w:val="single" w:sz="4" w:space="0" w:color="auto"/>
              <w:right w:val="single" w:sz="4" w:space="0" w:color="auto"/>
            </w:tcBorders>
            <w:shd w:val="clear" w:color="auto" w:fill="auto"/>
            <w:vAlign w:val="bottom"/>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Project planner</w:t>
            </w:r>
          </w:p>
        </w:tc>
        <w:tc>
          <w:tcPr>
            <w:tcW w:w="1296"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12</w:t>
            </w:r>
          </w:p>
        </w:tc>
        <w:tc>
          <w:tcPr>
            <w:tcW w:w="1701"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131.92</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1583.059</w:t>
            </w:r>
          </w:p>
        </w:tc>
      </w:tr>
      <w:tr w:rsidR="0066381C" w:rsidRPr="00960E00" w:rsidTr="00B66568">
        <w:trPr>
          <w:trHeight w:val="600"/>
        </w:trPr>
        <w:tc>
          <w:tcPr>
            <w:tcW w:w="3620" w:type="dxa"/>
            <w:vMerge/>
            <w:tcBorders>
              <w:top w:val="nil"/>
              <w:left w:val="single" w:sz="4" w:space="0" w:color="auto"/>
              <w:bottom w:val="single" w:sz="4" w:space="0" w:color="000000"/>
              <w:right w:val="single" w:sz="4" w:space="0" w:color="auto"/>
            </w:tcBorders>
            <w:vAlign w:val="center"/>
            <w:hideMark/>
          </w:tcPr>
          <w:p w:rsidR="0066381C" w:rsidRPr="00960E00" w:rsidRDefault="0066381C" w:rsidP="00B66568">
            <w:pPr>
              <w:spacing w:after="0" w:line="240" w:lineRule="auto"/>
              <w:rPr>
                <w:rFonts w:ascii="Calibri" w:eastAsia="Times New Roman" w:hAnsi="Calibri" w:cs="Times New Roman"/>
                <w:color w:val="000000"/>
                <w:lang w:eastAsia="en-AU"/>
              </w:rPr>
            </w:pPr>
          </w:p>
        </w:tc>
        <w:tc>
          <w:tcPr>
            <w:tcW w:w="1600" w:type="dxa"/>
            <w:tcBorders>
              <w:top w:val="nil"/>
              <w:left w:val="nil"/>
              <w:bottom w:val="single" w:sz="4" w:space="0" w:color="auto"/>
              <w:right w:val="single" w:sz="4" w:space="0" w:color="auto"/>
            </w:tcBorders>
            <w:shd w:val="clear" w:color="auto" w:fill="auto"/>
            <w:vAlign w:val="bottom"/>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Planning manager</w:t>
            </w:r>
          </w:p>
        </w:tc>
        <w:tc>
          <w:tcPr>
            <w:tcW w:w="1296"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4</w:t>
            </w:r>
          </w:p>
        </w:tc>
        <w:tc>
          <w:tcPr>
            <w:tcW w:w="1701"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211.07</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844.298</w:t>
            </w:r>
          </w:p>
        </w:tc>
      </w:tr>
      <w:tr w:rsidR="0066381C" w:rsidRPr="00960E00" w:rsidTr="00B66568">
        <w:trPr>
          <w:trHeight w:val="300"/>
        </w:trPr>
        <w:tc>
          <w:tcPr>
            <w:tcW w:w="3620" w:type="dxa"/>
            <w:vMerge/>
            <w:tcBorders>
              <w:top w:val="nil"/>
              <w:left w:val="single" w:sz="4" w:space="0" w:color="auto"/>
              <w:bottom w:val="single" w:sz="4" w:space="0" w:color="000000"/>
              <w:right w:val="single" w:sz="4" w:space="0" w:color="auto"/>
            </w:tcBorders>
            <w:vAlign w:val="center"/>
            <w:hideMark/>
          </w:tcPr>
          <w:p w:rsidR="0066381C" w:rsidRPr="00960E00" w:rsidRDefault="0066381C" w:rsidP="00B66568">
            <w:pPr>
              <w:spacing w:after="0" w:line="240" w:lineRule="auto"/>
              <w:rPr>
                <w:rFonts w:ascii="Calibri" w:eastAsia="Times New Roman" w:hAnsi="Calibri" w:cs="Times New Roman"/>
                <w:color w:val="000000"/>
                <w:lang w:eastAsia="en-AU"/>
              </w:rPr>
            </w:pPr>
          </w:p>
        </w:tc>
        <w:tc>
          <w:tcPr>
            <w:tcW w:w="1600" w:type="dxa"/>
            <w:tcBorders>
              <w:top w:val="nil"/>
              <w:left w:val="nil"/>
              <w:bottom w:val="single" w:sz="4" w:space="0" w:color="auto"/>
              <w:right w:val="single" w:sz="4" w:space="0" w:color="auto"/>
            </w:tcBorders>
            <w:shd w:val="clear" w:color="auto" w:fill="auto"/>
            <w:vAlign w:val="bottom"/>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 xml:space="preserve">Executive </w:t>
            </w:r>
          </w:p>
        </w:tc>
        <w:tc>
          <w:tcPr>
            <w:tcW w:w="1296"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4</w:t>
            </w:r>
          </w:p>
        </w:tc>
        <w:tc>
          <w:tcPr>
            <w:tcW w:w="1701"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452.57</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1810.280</w:t>
            </w:r>
          </w:p>
        </w:tc>
      </w:tr>
      <w:tr w:rsidR="0066381C" w:rsidRPr="00960E00" w:rsidTr="00B66568">
        <w:trPr>
          <w:trHeight w:val="900"/>
        </w:trPr>
        <w:tc>
          <w:tcPr>
            <w:tcW w:w="3620" w:type="dxa"/>
            <w:tcBorders>
              <w:top w:val="nil"/>
              <w:left w:val="single" w:sz="4" w:space="0" w:color="auto"/>
              <w:bottom w:val="single" w:sz="4" w:space="0" w:color="auto"/>
              <w:right w:val="single" w:sz="4" w:space="0" w:color="auto"/>
            </w:tcBorders>
            <w:shd w:val="clear" w:color="auto" w:fill="auto"/>
            <w:vAlign w:val="bottom"/>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Joint venture partners provide feedback to the LNG project operator</w:t>
            </w:r>
          </w:p>
        </w:tc>
        <w:tc>
          <w:tcPr>
            <w:tcW w:w="1600" w:type="dxa"/>
            <w:tcBorders>
              <w:top w:val="nil"/>
              <w:left w:val="nil"/>
              <w:bottom w:val="single" w:sz="4" w:space="0" w:color="auto"/>
              <w:right w:val="single" w:sz="4" w:space="0" w:color="auto"/>
            </w:tcBorders>
            <w:shd w:val="clear" w:color="auto" w:fill="auto"/>
            <w:vAlign w:val="bottom"/>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Project planner</w:t>
            </w:r>
          </w:p>
        </w:tc>
        <w:tc>
          <w:tcPr>
            <w:tcW w:w="1296"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20</w:t>
            </w:r>
          </w:p>
        </w:tc>
        <w:tc>
          <w:tcPr>
            <w:tcW w:w="1701"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131.92</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2638.432</w:t>
            </w:r>
          </w:p>
        </w:tc>
      </w:tr>
      <w:tr w:rsidR="0066381C" w:rsidRPr="00960E00" w:rsidTr="00B66568">
        <w:trPr>
          <w:trHeight w:val="1200"/>
        </w:trPr>
        <w:tc>
          <w:tcPr>
            <w:tcW w:w="3620" w:type="dxa"/>
            <w:vMerge w:val="restart"/>
            <w:tcBorders>
              <w:top w:val="nil"/>
              <w:left w:val="single" w:sz="4" w:space="0" w:color="auto"/>
              <w:bottom w:val="single" w:sz="4" w:space="0" w:color="000000"/>
              <w:right w:val="single" w:sz="4" w:space="0" w:color="auto"/>
            </w:tcBorders>
            <w:shd w:val="clear" w:color="auto" w:fill="auto"/>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The operator formulates a response to the Government, explaining how the project will meet its obligations to the domestic market</w:t>
            </w:r>
          </w:p>
        </w:tc>
        <w:tc>
          <w:tcPr>
            <w:tcW w:w="1600" w:type="dxa"/>
            <w:tcBorders>
              <w:top w:val="nil"/>
              <w:left w:val="nil"/>
              <w:bottom w:val="single" w:sz="4" w:space="0" w:color="auto"/>
              <w:right w:val="single" w:sz="4" w:space="0" w:color="auto"/>
            </w:tcBorders>
            <w:shd w:val="clear" w:color="auto" w:fill="auto"/>
            <w:vAlign w:val="bottom"/>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Project planner</w:t>
            </w:r>
          </w:p>
        </w:tc>
        <w:tc>
          <w:tcPr>
            <w:tcW w:w="1296"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37.5</w:t>
            </w:r>
          </w:p>
        </w:tc>
        <w:tc>
          <w:tcPr>
            <w:tcW w:w="1701"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131.92</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4947.060</w:t>
            </w:r>
          </w:p>
        </w:tc>
      </w:tr>
      <w:tr w:rsidR="0066381C" w:rsidRPr="00960E00" w:rsidTr="00B66568">
        <w:trPr>
          <w:trHeight w:val="600"/>
        </w:trPr>
        <w:tc>
          <w:tcPr>
            <w:tcW w:w="3620" w:type="dxa"/>
            <w:vMerge/>
            <w:tcBorders>
              <w:top w:val="nil"/>
              <w:left w:val="single" w:sz="4" w:space="0" w:color="auto"/>
              <w:bottom w:val="single" w:sz="4" w:space="0" w:color="000000"/>
              <w:right w:val="single" w:sz="4" w:space="0" w:color="auto"/>
            </w:tcBorders>
            <w:vAlign w:val="center"/>
            <w:hideMark/>
          </w:tcPr>
          <w:p w:rsidR="0066381C" w:rsidRPr="00960E00" w:rsidRDefault="0066381C" w:rsidP="00B66568">
            <w:pPr>
              <w:spacing w:after="0" w:line="240" w:lineRule="auto"/>
              <w:rPr>
                <w:rFonts w:ascii="Calibri" w:eastAsia="Times New Roman" w:hAnsi="Calibri" w:cs="Times New Roman"/>
                <w:color w:val="000000"/>
                <w:lang w:eastAsia="en-AU"/>
              </w:rPr>
            </w:pPr>
          </w:p>
        </w:tc>
        <w:tc>
          <w:tcPr>
            <w:tcW w:w="1600" w:type="dxa"/>
            <w:tcBorders>
              <w:top w:val="nil"/>
              <w:left w:val="nil"/>
              <w:bottom w:val="single" w:sz="4" w:space="0" w:color="auto"/>
              <w:right w:val="single" w:sz="4" w:space="0" w:color="auto"/>
            </w:tcBorders>
            <w:shd w:val="clear" w:color="auto" w:fill="auto"/>
            <w:vAlign w:val="bottom"/>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Planning manager</w:t>
            </w:r>
          </w:p>
        </w:tc>
        <w:tc>
          <w:tcPr>
            <w:tcW w:w="1296"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4</w:t>
            </w:r>
          </w:p>
        </w:tc>
        <w:tc>
          <w:tcPr>
            <w:tcW w:w="1701"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211.07</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844.298</w:t>
            </w:r>
          </w:p>
        </w:tc>
      </w:tr>
      <w:tr w:rsidR="0066381C" w:rsidRPr="00960E00" w:rsidTr="00B66568">
        <w:trPr>
          <w:trHeight w:val="600"/>
        </w:trPr>
        <w:tc>
          <w:tcPr>
            <w:tcW w:w="3620" w:type="dxa"/>
            <w:tcBorders>
              <w:top w:val="nil"/>
              <w:left w:val="single" w:sz="4" w:space="0" w:color="auto"/>
              <w:bottom w:val="single" w:sz="4" w:space="0" w:color="auto"/>
              <w:right w:val="single" w:sz="4" w:space="0" w:color="auto"/>
            </w:tcBorders>
            <w:shd w:val="clear" w:color="auto" w:fill="auto"/>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The operator circulates submission to joint venture partners</w:t>
            </w:r>
          </w:p>
        </w:tc>
        <w:tc>
          <w:tcPr>
            <w:tcW w:w="1600" w:type="dxa"/>
            <w:tcBorders>
              <w:top w:val="nil"/>
              <w:left w:val="nil"/>
              <w:bottom w:val="single" w:sz="4" w:space="0" w:color="auto"/>
              <w:right w:val="single" w:sz="4" w:space="0" w:color="auto"/>
            </w:tcBorders>
            <w:shd w:val="clear" w:color="auto" w:fill="auto"/>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Project planner</w:t>
            </w:r>
          </w:p>
        </w:tc>
        <w:tc>
          <w:tcPr>
            <w:tcW w:w="1296"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w:t>
            </w:r>
          </w:p>
        </w:tc>
        <w:tc>
          <w:tcPr>
            <w:tcW w:w="1701"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131.92</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131.922</w:t>
            </w:r>
          </w:p>
        </w:tc>
      </w:tr>
      <w:tr w:rsidR="0066381C" w:rsidRPr="00960E00" w:rsidTr="00B66568">
        <w:trPr>
          <w:trHeight w:val="600"/>
        </w:trPr>
        <w:tc>
          <w:tcPr>
            <w:tcW w:w="3620" w:type="dxa"/>
            <w:vMerge w:val="restart"/>
            <w:tcBorders>
              <w:top w:val="nil"/>
              <w:left w:val="single" w:sz="4" w:space="0" w:color="auto"/>
              <w:bottom w:val="single" w:sz="4" w:space="0" w:color="auto"/>
              <w:right w:val="single" w:sz="4" w:space="0" w:color="auto"/>
            </w:tcBorders>
            <w:shd w:val="clear" w:color="auto" w:fill="auto"/>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Joint venture partners assess the response, and determine if changes are required</w:t>
            </w:r>
          </w:p>
        </w:tc>
        <w:tc>
          <w:tcPr>
            <w:tcW w:w="1600" w:type="dxa"/>
            <w:tcBorders>
              <w:top w:val="nil"/>
              <w:left w:val="nil"/>
              <w:bottom w:val="single" w:sz="4" w:space="0" w:color="auto"/>
              <w:right w:val="single" w:sz="4" w:space="0" w:color="auto"/>
            </w:tcBorders>
            <w:shd w:val="clear" w:color="auto" w:fill="auto"/>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Planning manager</w:t>
            </w:r>
          </w:p>
        </w:tc>
        <w:tc>
          <w:tcPr>
            <w:tcW w:w="1296"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12</w:t>
            </w:r>
          </w:p>
        </w:tc>
        <w:tc>
          <w:tcPr>
            <w:tcW w:w="1701"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211.07</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2532.895</w:t>
            </w:r>
          </w:p>
        </w:tc>
      </w:tr>
      <w:tr w:rsidR="0066381C" w:rsidRPr="00960E00" w:rsidTr="00B66568">
        <w:trPr>
          <w:trHeight w:val="300"/>
        </w:trPr>
        <w:tc>
          <w:tcPr>
            <w:tcW w:w="3620" w:type="dxa"/>
            <w:vMerge/>
            <w:tcBorders>
              <w:top w:val="nil"/>
              <w:left w:val="single" w:sz="4" w:space="0" w:color="auto"/>
              <w:bottom w:val="single" w:sz="4" w:space="0" w:color="auto"/>
              <w:right w:val="single" w:sz="4" w:space="0" w:color="auto"/>
            </w:tcBorders>
            <w:vAlign w:val="center"/>
            <w:hideMark/>
          </w:tcPr>
          <w:p w:rsidR="0066381C" w:rsidRPr="00960E00" w:rsidRDefault="0066381C" w:rsidP="00B66568">
            <w:pPr>
              <w:spacing w:after="0" w:line="240" w:lineRule="auto"/>
              <w:rPr>
                <w:rFonts w:ascii="Calibri" w:eastAsia="Times New Roman" w:hAnsi="Calibri" w:cs="Times New Roman"/>
                <w:color w:val="000000"/>
                <w:lang w:eastAsia="en-AU"/>
              </w:rPr>
            </w:pPr>
          </w:p>
        </w:tc>
        <w:tc>
          <w:tcPr>
            <w:tcW w:w="1600" w:type="dxa"/>
            <w:tcBorders>
              <w:top w:val="nil"/>
              <w:left w:val="nil"/>
              <w:bottom w:val="single" w:sz="4" w:space="0" w:color="auto"/>
              <w:right w:val="single" w:sz="4" w:space="0" w:color="auto"/>
            </w:tcBorders>
            <w:shd w:val="clear" w:color="auto" w:fill="auto"/>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 xml:space="preserve">Executive </w:t>
            </w:r>
          </w:p>
        </w:tc>
        <w:tc>
          <w:tcPr>
            <w:tcW w:w="1296"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4</w:t>
            </w:r>
          </w:p>
        </w:tc>
        <w:tc>
          <w:tcPr>
            <w:tcW w:w="1701"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452.57</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1810.280</w:t>
            </w:r>
          </w:p>
        </w:tc>
      </w:tr>
      <w:tr w:rsidR="0066381C" w:rsidRPr="00960E00" w:rsidTr="00B66568">
        <w:trPr>
          <w:trHeight w:val="300"/>
        </w:trPr>
        <w:tc>
          <w:tcPr>
            <w:tcW w:w="3620" w:type="dxa"/>
            <w:vMerge w:val="restart"/>
            <w:tcBorders>
              <w:top w:val="nil"/>
              <w:left w:val="single" w:sz="4" w:space="0" w:color="auto"/>
              <w:bottom w:val="single" w:sz="4" w:space="0" w:color="auto"/>
              <w:right w:val="single" w:sz="4" w:space="0" w:color="auto"/>
            </w:tcBorders>
            <w:shd w:val="clear" w:color="auto" w:fill="auto"/>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LNG project operator amends the response as per requests from individual joint venture partners</w:t>
            </w:r>
          </w:p>
        </w:tc>
        <w:tc>
          <w:tcPr>
            <w:tcW w:w="1600" w:type="dxa"/>
            <w:tcBorders>
              <w:top w:val="nil"/>
              <w:left w:val="nil"/>
              <w:bottom w:val="single" w:sz="4" w:space="0" w:color="auto"/>
              <w:right w:val="single" w:sz="4" w:space="0" w:color="auto"/>
            </w:tcBorders>
            <w:shd w:val="clear" w:color="auto" w:fill="auto"/>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Project planner</w:t>
            </w:r>
          </w:p>
        </w:tc>
        <w:tc>
          <w:tcPr>
            <w:tcW w:w="1296"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7.5</w:t>
            </w:r>
          </w:p>
        </w:tc>
        <w:tc>
          <w:tcPr>
            <w:tcW w:w="1701"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131.92</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989.412</w:t>
            </w:r>
          </w:p>
        </w:tc>
      </w:tr>
      <w:tr w:rsidR="0066381C" w:rsidRPr="00960E00" w:rsidTr="00B66568">
        <w:trPr>
          <w:trHeight w:val="600"/>
        </w:trPr>
        <w:tc>
          <w:tcPr>
            <w:tcW w:w="3620" w:type="dxa"/>
            <w:vMerge/>
            <w:tcBorders>
              <w:top w:val="nil"/>
              <w:left w:val="single" w:sz="4" w:space="0" w:color="auto"/>
              <w:bottom w:val="single" w:sz="4" w:space="0" w:color="auto"/>
              <w:right w:val="single" w:sz="4" w:space="0" w:color="auto"/>
            </w:tcBorders>
            <w:vAlign w:val="center"/>
            <w:hideMark/>
          </w:tcPr>
          <w:p w:rsidR="0066381C" w:rsidRPr="00960E00" w:rsidRDefault="0066381C" w:rsidP="00B66568">
            <w:pPr>
              <w:spacing w:after="0" w:line="240" w:lineRule="auto"/>
              <w:rPr>
                <w:rFonts w:ascii="Calibri" w:eastAsia="Times New Roman" w:hAnsi="Calibri" w:cs="Times New Roman"/>
                <w:color w:val="000000"/>
                <w:lang w:eastAsia="en-AU"/>
              </w:rPr>
            </w:pPr>
          </w:p>
        </w:tc>
        <w:tc>
          <w:tcPr>
            <w:tcW w:w="1600" w:type="dxa"/>
            <w:tcBorders>
              <w:top w:val="nil"/>
              <w:left w:val="nil"/>
              <w:bottom w:val="single" w:sz="4" w:space="0" w:color="auto"/>
              <w:right w:val="single" w:sz="4" w:space="0" w:color="auto"/>
            </w:tcBorders>
            <w:shd w:val="clear" w:color="auto" w:fill="auto"/>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Planning manager</w:t>
            </w:r>
          </w:p>
        </w:tc>
        <w:tc>
          <w:tcPr>
            <w:tcW w:w="1296"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w:t>
            </w:r>
          </w:p>
        </w:tc>
        <w:tc>
          <w:tcPr>
            <w:tcW w:w="1701"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211.07</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211.075</w:t>
            </w:r>
          </w:p>
        </w:tc>
      </w:tr>
      <w:tr w:rsidR="0066381C" w:rsidRPr="00960E00" w:rsidTr="00B66568">
        <w:trPr>
          <w:trHeight w:val="600"/>
        </w:trPr>
        <w:tc>
          <w:tcPr>
            <w:tcW w:w="3620" w:type="dxa"/>
            <w:vMerge w:val="restart"/>
            <w:tcBorders>
              <w:top w:val="nil"/>
              <w:left w:val="single" w:sz="4" w:space="0" w:color="auto"/>
              <w:bottom w:val="single" w:sz="4" w:space="0" w:color="auto"/>
              <w:right w:val="single" w:sz="4" w:space="0" w:color="auto"/>
            </w:tcBorders>
            <w:shd w:val="clear" w:color="auto" w:fill="auto"/>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Joint venture partners reassess and approves the response</w:t>
            </w:r>
          </w:p>
        </w:tc>
        <w:tc>
          <w:tcPr>
            <w:tcW w:w="1600" w:type="dxa"/>
            <w:tcBorders>
              <w:top w:val="nil"/>
              <w:left w:val="nil"/>
              <w:bottom w:val="single" w:sz="4" w:space="0" w:color="auto"/>
              <w:right w:val="single" w:sz="4" w:space="0" w:color="auto"/>
            </w:tcBorders>
            <w:shd w:val="clear" w:color="auto" w:fill="auto"/>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Planning manager</w:t>
            </w:r>
          </w:p>
        </w:tc>
        <w:tc>
          <w:tcPr>
            <w:tcW w:w="1296"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8</w:t>
            </w:r>
          </w:p>
        </w:tc>
        <w:tc>
          <w:tcPr>
            <w:tcW w:w="1701"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211.07</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1688.596</w:t>
            </w:r>
          </w:p>
        </w:tc>
      </w:tr>
      <w:tr w:rsidR="0066381C" w:rsidRPr="00960E00" w:rsidTr="00B66568">
        <w:trPr>
          <w:trHeight w:val="300"/>
        </w:trPr>
        <w:tc>
          <w:tcPr>
            <w:tcW w:w="3620" w:type="dxa"/>
            <w:vMerge/>
            <w:tcBorders>
              <w:top w:val="nil"/>
              <w:left w:val="single" w:sz="4" w:space="0" w:color="auto"/>
              <w:bottom w:val="single" w:sz="4" w:space="0" w:color="auto"/>
              <w:right w:val="single" w:sz="4" w:space="0" w:color="auto"/>
            </w:tcBorders>
            <w:vAlign w:val="center"/>
            <w:hideMark/>
          </w:tcPr>
          <w:p w:rsidR="0066381C" w:rsidRPr="00960E00" w:rsidRDefault="0066381C" w:rsidP="00B66568">
            <w:pPr>
              <w:spacing w:after="0" w:line="240" w:lineRule="auto"/>
              <w:rPr>
                <w:rFonts w:ascii="Calibri" w:eastAsia="Times New Roman" w:hAnsi="Calibri" w:cs="Times New Roman"/>
                <w:color w:val="000000"/>
                <w:lang w:eastAsia="en-AU"/>
              </w:rPr>
            </w:pPr>
          </w:p>
        </w:tc>
        <w:tc>
          <w:tcPr>
            <w:tcW w:w="1600" w:type="dxa"/>
            <w:tcBorders>
              <w:top w:val="nil"/>
              <w:left w:val="nil"/>
              <w:bottom w:val="single" w:sz="4" w:space="0" w:color="auto"/>
              <w:right w:val="single" w:sz="4" w:space="0" w:color="auto"/>
            </w:tcBorders>
            <w:shd w:val="clear" w:color="auto" w:fill="auto"/>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 xml:space="preserve">Executive </w:t>
            </w:r>
          </w:p>
        </w:tc>
        <w:tc>
          <w:tcPr>
            <w:tcW w:w="1296"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2</w:t>
            </w:r>
          </w:p>
        </w:tc>
        <w:tc>
          <w:tcPr>
            <w:tcW w:w="1701"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452.57</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905.140</w:t>
            </w:r>
          </w:p>
        </w:tc>
      </w:tr>
      <w:tr w:rsidR="0066381C" w:rsidRPr="00960E00" w:rsidTr="00B66568">
        <w:trPr>
          <w:trHeight w:val="600"/>
        </w:trPr>
        <w:tc>
          <w:tcPr>
            <w:tcW w:w="3620" w:type="dxa"/>
            <w:tcBorders>
              <w:top w:val="nil"/>
              <w:left w:val="single" w:sz="4" w:space="0" w:color="auto"/>
              <w:bottom w:val="single" w:sz="4" w:space="0" w:color="auto"/>
              <w:right w:val="single" w:sz="4" w:space="0" w:color="auto"/>
            </w:tcBorders>
            <w:shd w:val="clear" w:color="auto" w:fill="auto"/>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LNG project operator submits the response</w:t>
            </w:r>
          </w:p>
        </w:tc>
        <w:tc>
          <w:tcPr>
            <w:tcW w:w="1600" w:type="dxa"/>
            <w:tcBorders>
              <w:top w:val="nil"/>
              <w:left w:val="nil"/>
              <w:bottom w:val="single" w:sz="4" w:space="0" w:color="auto"/>
              <w:right w:val="single" w:sz="4" w:space="0" w:color="auto"/>
            </w:tcBorders>
            <w:shd w:val="clear" w:color="auto" w:fill="auto"/>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Project planner</w:t>
            </w:r>
          </w:p>
        </w:tc>
        <w:tc>
          <w:tcPr>
            <w:tcW w:w="1296"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w:t>
            </w:r>
          </w:p>
        </w:tc>
        <w:tc>
          <w:tcPr>
            <w:tcW w:w="1701"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131.92</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jc w:val="right"/>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131.922</w:t>
            </w:r>
          </w:p>
        </w:tc>
      </w:tr>
      <w:tr w:rsidR="0066381C" w:rsidRPr="00960E00" w:rsidTr="00B66568">
        <w:trPr>
          <w:trHeight w:val="600"/>
        </w:trPr>
        <w:tc>
          <w:tcPr>
            <w:tcW w:w="3620" w:type="dxa"/>
            <w:tcBorders>
              <w:top w:val="nil"/>
              <w:left w:val="single" w:sz="4" w:space="0" w:color="auto"/>
              <w:bottom w:val="single" w:sz="4" w:space="0" w:color="auto"/>
              <w:right w:val="single" w:sz="4" w:space="0" w:color="auto"/>
            </w:tcBorders>
            <w:shd w:val="clear" w:color="auto" w:fill="auto"/>
            <w:vAlign w:val="bottom"/>
            <w:hideMark/>
          </w:tcPr>
          <w:p w:rsidR="0066381C" w:rsidRPr="00960E00" w:rsidRDefault="0066381C" w:rsidP="00B66568">
            <w:pPr>
              <w:spacing w:after="0" w:line="240" w:lineRule="auto"/>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 xml:space="preserve">The Government assesses the response, and issues a final </w:t>
            </w:r>
            <w:r>
              <w:rPr>
                <w:rFonts w:ascii="Calibri" w:eastAsia="Times New Roman" w:hAnsi="Calibri" w:cs="Times New Roman"/>
                <w:color w:val="000000"/>
                <w:lang w:eastAsia="en-AU"/>
              </w:rPr>
              <w:t>permission</w:t>
            </w:r>
          </w:p>
        </w:tc>
        <w:tc>
          <w:tcPr>
            <w:tcW w:w="6000" w:type="dxa"/>
            <w:gridSpan w:val="4"/>
            <w:tcBorders>
              <w:top w:val="single" w:sz="4" w:space="0" w:color="auto"/>
              <w:left w:val="nil"/>
              <w:bottom w:val="single" w:sz="4" w:space="0" w:color="auto"/>
              <w:right w:val="single" w:sz="4" w:space="0" w:color="auto"/>
            </w:tcBorders>
            <w:shd w:val="clear" w:color="auto" w:fill="auto"/>
            <w:noWrap/>
            <w:vAlign w:val="center"/>
            <w:hideMark/>
          </w:tcPr>
          <w:p w:rsidR="0066381C" w:rsidRPr="00960E00" w:rsidRDefault="0066381C" w:rsidP="00B66568">
            <w:pPr>
              <w:spacing w:after="0" w:line="240" w:lineRule="auto"/>
              <w:jc w:val="center"/>
              <w:rPr>
                <w:rFonts w:ascii="Calibri" w:eastAsia="Times New Roman" w:hAnsi="Calibri" w:cs="Times New Roman"/>
                <w:color w:val="000000"/>
                <w:lang w:eastAsia="en-AU"/>
              </w:rPr>
            </w:pPr>
            <w:r w:rsidRPr="00960E00">
              <w:rPr>
                <w:rFonts w:ascii="Calibri" w:eastAsia="Times New Roman" w:hAnsi="Calibri" w:cs="Times New Roman"/>
                <w:color w:val="000000"/>
                <w:lang w:eastAsia="en-AU"/>
              </w:rPr>
              <w:t>No cost to industry</w:t>
            </w:r>
          </w:p>
        </w:tc>
      </w:tr>
      <w:tr w:rsidR="0066381C" w:rsidRPr="00960E00" w:rsidTr="00B66568">
        <w:trPr>
          <w:trHeight w:val="300"/>
        </w:trPr>
        <w:tc>
          <w:tcPr>
            <w:tcW w:w="82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6381C" w:rsidRPr="00960E00" w:rsidRDefault="0066381C" w:rsidP="00B66568">
            <w:pPr>
              <w:spacing w:after="0" w:line="240" w:lineRule="auto"/>
              <w:jc w:val="center"/>
              <w:rPr>
                <w:rFonts w:ascii="Calibri" w:eastAsia="Times New Roman" w:hAnsi="Calibri" w:cs="Times New Roman"/>
                <w:b/>
                <w:bCs/>
                <w:color w:val="000000"/>
                <w:lang w:eastAsia="en-AU"/>
              </w:rPr>
            </w:pPr>
            <w:r w:rsidRPr="00960E00">
              <w:rPr>
                <w:rFonts w:ascii="Calibri" w:eastAsia="Times New Roman" w:hAnsi="Calibri" w:cs="Times New Roman"/>
                <w:b/>
                <w:bCs/>
                <w:color w:val="000000"/>
                <w:lang w:eastAsia="en-AU"/>
              </w:rPr>
              <w:t>Total</w:t>
            </w:r>
          </w:p>
        </w:tc>
        <w:tc>
          <w:tcPr>
            <w:tcW w:w="1403" w:type="dxa"/>
            <w:tcBorders>
              <w:top w:val="nil"/>
              <w:left w:val="nil"/>
              <w:bottom w:val="single" w:sz="4" w:space="0" w:color="auto"/>
              <w:right w:val="single" w:sz="4" w:space="0" w:color="auto"/>
            </w:tcBorders>
            <w:shd w:val="clear" w:color="auto" w:fill="auto"/>
            <w:noWrap/>
            <w:vAlign w:val="bottom"/>
            <w:hideMark/>
          </w:tcPr>
          <w:p w:rsidR="0066381C" w:rsidRPr="00960E00" w:rsidRDefault="0066381C" w:rsidP="00B66568">
            <w:pPr>
              <w:spacing w:after="0" w:line="240" w:lineRule="auto"/>
              <w:rPr>
                <w:rFonts w:ascii="Calibri" w:eastAsia="Times New Roman" w:hAnsi="Calibri" w:cs="Times New Roman"/>
                <w:b/>
                <w:bCs/>
                <w:color w:val="000000"/>
                <w:lang w:eastAsia="en-AU"/>
              </w:rPr>
            </w:pPr>
            <w:r w:rsidRPr="00960E00">
              <w:rPr>
                <w:rFonts w:ascii="Calibri" w:eastAsia="Times New Roman" w:hAnsi="Calibri" w:cs="Times New Roman"/>
                <w:b/>
                <w:bCs/>
                <w:color w:val="000000"/>
                <w:lang w:eastAsia="en-AU"/>
              </w:rPr>
              <w:t xml:space="preserve"> $  21,279.74 </w:t>
            </w:r>
          </w:p>
        </w:tc>
      </w:tr>
    </w:tbl>
    <w:p w:rsidR="0066381C" w:rsidRDefault="0066381C" w:rsidP="0066381C"/>
    <w:p w:rsidR="0066381C" w:rsidRDefault="0066381C" w:rsidP="0066381C">
      <w:r>
        <w:lastRenderedPageBreak/>
        <w:t>Given the current state of the LNG export market in Australia, the model assumes that:</w:t>
      </w:r>
    </w:p>
    <w:p w:rsidR="0066381C" w:rsidRDefault="0066381C" w:rsidP="0066381C">
      <w:pPr>
        <w:pStyle w:val="ListParagraph"/>
        <w:numPr>
          <w:ilvl w:val="0"/>
          <w:numId w:val="22"/>
        </w:numPr>
        <w:spacing w:after="160" w:line="259" w:lineRule="auto"/>
      </w:pPr>
      <w:r>
        <w:t>A Minister’s declaration of intent to make a determination would affect 10 LNG export projects.</w:t>
      </w:r>
      <w:r>
        <w:rPr>
          <w:rStyle w:val="FootnoteReference"/>
        </w:rPr>
        <w:footnoteReference w:id="29"/>
      </w:r>
      <w:r>
        <w:t xml:space="preserve"> </w:t>
      </w:r>
    </w:p>
    <w:p w:rsidR="0066381C" w:rsidRDefault="00DE4869" w:rsidP="0066381C">
      <w:pPr>
        <w:pStyle w:val="ListParagraph"/>
        <w:numPr>
          <w:ilvl w:val="0"/>
          <w:numId w:val="20"/>
        </w:numPr>
        <w:spacing w:after="160" w:line="259" w:lineRule="auto"/>
      </w:pPr>
      <w:r>
        <w:t>The Resources Minister</w:t>
      </w:r>
      <w:r w:rsidR="0066381C">
        <w:t xml:space="preserve">’s determination to invoke export controls would affect at most three export projects (i.e. at most three projects would be in net deficit, and </w:t>
      </w:r>
      <w:proofErr w:type="gramStart"/>
      <w:r w:rsidR="0066381C">
        <w:t>would be granted</w:t>
      </w:r>
      <w:proofErr w:type="gramEnd"/>
      <w:r w:rsidR="0066381C">
        <w:t xml:space="preserve"> a provisional license for a quantity smaller than the exporter had planned on).</w:t>
      </w:r>
    </w:p>
    <w:p w:rsidR="0066381C" w:rsidRDefault="0066381C" w:rsidP="0066381C">
      <w:pPr>
        <w:pStyle w:val="ListParagraph"/>
        <w:numPr>
          <w:ilvl w:val="0"/>
          <w:numId w:val="20"/>
        </w:numPr>
        <w:spacing w:after="160" w:line="259" w:lineRule="auto"/>
      </w:pPr>
      <w:r>
        <w:t xml:space="preserve">The ADGSM decision making and licensing process would occur, at most, once a year. </w:t>
      </w:r>
    </w:p>
    <w:p w:rsidR="0066381C" w:rsidRDefault="0066381C" w:rsidP="0066381C">
      <w:proofErr w:type="gramStart"/>
      <w:r>
        <w:t>Taking these assumptions into account</w:t>
      </w:r>
      <w:proofErr w:type="gramEnd"/>
      <w:r>
        <w:t xml:space="preserve">, </w:t>
      </w:r>
      <w:r>
        <w:rPr>
          <w:highlight w:val="yellow"/>
        </w:rPr>
        <w:fldChar w:fldCharType="begin"/>
      </w:r>
      <w:r>
        <w:instrText xml:space="preserve"> REF _Ref482895174 \h </w:instrText>
      </w:r>
      <w:r>
        <w:rPr>
          <w:highlight w:val="yellow"/>
        </w:rPr>
      </w:r>
      <w:r>
        <w:rPr>
          <w:highlight w:val="yellow"/>
        </w:rPr>
        <w:fldChar w:fldCharType="separate"/>
      </w:r>
      <w:r w:rsidR="00D565EF">
        <w:t xml:space="preserve">Table </w:t>
      </w:r>
      <w:r w:rsidR="00D565EF">
        <w:rPr>
          <w:noProof/>
        </w:rPr>
        <w:t>5</w:t>
      </w:r>
      <w:r>
        <w:rPr>
          <w:highlight w:val="yellow"/>
        </w:rPr>
        <w:fldChar w:fldCharType="end"/>
      </w:r>
      <w:r>
        <w:t xml:space="preserve"> outlines the estimated total annual cost to industry.</w:t>
      </w:r>
    </w:p>
    <w:p w:rsidR="0066381C" w:rsidRDefault="0066381C" w:rsidP="0066381C">
      <w:pPr>
        <w:pStyle w:val="Caption"/>
        <w:keepNext/>
      </w:pPr>
      <w:bookmarkStart w:id="466" w:name="_Ref482895174"/>
      <w:r>
        <w:t xml:space="preserve">Table </w:t>
      </w:r>
      <w:fldSimple w:instr=" SEQ Table \* ARABIC ">
        <w:r w:rsidR="00D565EF">
          <w:rPr>
            <w:noProof/>
          </w:rPr>
          <w:t>5</w:t>
        </w:r>
      </w:fldSimple>
      <w:bookmarkEnd w:id="466"/>
      <w:r>
        <w:t>: Total annual regulatory cost to industry</w:t>
      </w:r>
      <w:r>
        <w:rPr>
          <w:rStyle w:val="FootnoteReference"/>
        </w:rPr>
        <w:footnoteReference w:id="30"/>
      </w:r>
    </w:p>
    <w:tbl>
      <w:tblPr>
        <w:tblW w:w="8926" w:type="dxa"/>
        <w:tblLook w:val="04A0" w:firstRow="1" w:lastRow="0" w:firstColumn="1" w:lastColumn="0" w:noHBand="0" w:noVBand="1"/>
      </w:tblPr>
      <w:tblGrid>
        <w:gridCol w:w="1750"/>
        <w:gridCol w:w="3348"/>
        <w:gridCol w:w="2127"/>
        <w:gridCol w:w="1701"/>
      </w:tblGrid>
      <w:tr w:rsidR="0066381C" w:rsidRPr="00C6327F" w:rsidTr="00B66568">
        <w:trPr>
          <w:trHeight w:val="486"/>
        </w:trPr>
        <w:tc>
          <w:tcPr>
            <w:tcW w:w="1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81C" w:rsidRPr="00C6327F" w:rsidRDefault="0066381C" w:rsidP="00B66568">
            <w:pPr>
              <w:spacing w:after="60" w:line="240" w:lineRule="auto"/>
              <w:rPr>
                <w:rFonts w:ascii="Calibri" w:eastAsia="Times New Roman" w:hAnsi="Calibri" w:cs="Times New Roman"/>
                <w:b/>
                <w:bCs/>
                <w:color w:val="000000"/>
                <w:lang w:eastAsia="en-AU"/>
              </w:rPr>
            </w:pPr>
            <w:r w:rsidRPr="00C6327F">
              <w:rPr>
                <w:rFonts w:ascii="Calibri" w:eastAsia="Times New Roman" w:hAnsi="Calibri" w:cs="Times New Roman"/>
                <w:b/>
                <w:bCs/>
                <w:color w:val="000000"/>
                <w:lang w:eastAsia="en-AU"/>
              </w:rPr>
              <w:t>ADGSM period</w:t>
            </w:r>
          </w:p>
        </w:tc>
        <w:tc>
          <w:tcPr>
            <w:tcW w:w="3348" w:type="dxa"/>
            <w:tcBorders>
              <w:top w:val="single" w:sz="4" w:space="0" w:color="auto"/>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60" w:line="240" w:lineRule="auto"/>
              <w:rPr>
                <w:rFonts w:ascii="Calibri" w:eastAsia="Times New Roman" w:hAnsi="Calibri" w:cs="Times New Roman"/>
                <w:b/>
                <w:bCs/>
                <w:color w:val="000000"/>
                <w:lang w:eastAsia="en-AU"/>
              </w:rPr>
            </w:pPr>
            <w:r w:rsidRPr="00C6327F">
              <w:rPr>
                <w:rFonts w:ascii="Calibri" w:eastAsia="Times New Roman" w:hAnsi="Calibri" w:cs="Times New Roman"/>
                <w:b/>
                <w:bCs/>
                <w:color w:val="000000"/>
                <w:lang w:eastAsia="en-AU"/>
              </w:rPr>
              <w:t>Number of impacted LNG projects</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60" w:line="240" w:lineRule="auto"/>
              <w:rPr>
                <w:rFonts w:ascii="Calibri" w:eastAsia="Times New Roman" w:hAnsi="Calibri" w:cs="Times New Roman"/>
                <w:b/>
                <w:bCs/>
                <w:color w:val="000000"/>
                <w:lang w:eastAsia="en-AU"/>
              </w:rPr>
            </w:pPr>
            <w:r w:rsidRPr="00C6327F">
              <w:rPr>
                <w:rFonts w:ascii="Calibri" w:eastAsia="Times New Roman" w:hAnsi="Calibri" w:cs="Times New Roman"/>
                <w:b/>
                <w:bCs/>
                <w:color w:val="000000"/>
                <w:lang w:eastAsia="en-AU"/>
              </w:rPr>
              <w:t>Cost per project</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60" w:line="240" w:lineRule="auto"/>
              <w:rPr>
                <w:rFonts w:ascii="Calibri" w:eastAsia="Times New Roman" w:hAnsi="Calibri" w:cs="Times New Roman"/>
                <w:b/>
                <w:bCs/>
                <w:color w:val="000000"/>
                <w:lang w:eastAsia="en-AU"/>
              </w:rPr>
            </w:pPr>
            <w:r w:rsidRPr="00C6327F">
              <w:rPr>
                <w:rFonts w:ascii="Calibri" w:eastAsia="Times New Roman" w:hAnsi="Calibri" w:cs="Times New Roman"/>
                <w:b/>
                <w:bCs/>
                <w:color w:val="000000"/>
                <w:lang w:eastAsia="en-AU"/>
              </w:rPr>
              <w:t>Total cost</w:t>
            </w:r>
          </w:p>
        </w:tc>
      </w:tr>
      <w:tr w:rsidR="0066381C" w:rsidRPr="00C6327F" w:rsidTr="00B66568">
        <w:trPr>
          <w:trHeight w:val="243"/>
        </w:trPr>
        <w:tc>
          <w:tcPr>
            <w:tcW w:w="1750" w:type="dxa"/>
            <w:tcBorders>
              <w:top w:val="nil"/>
              <w:left w:val="single" w:sz="4" w:space="0" w:color="auto"/>
              <w:bottom w:val="single" w:sz="4" w:space="0" w:color="auto"/>
              <w:right w:val="single" w:sz="4" w:space="0" w:color="auto"/>
            </w:tcBorders>
            <w:shd w:val="clear" w:color="auto" w:fill="auto"/>
            <w:vAlign w:val="bottom"/>
            <w:hideMark/>
          </w:tcPr>
          <w:p w:rsidR="0066381C" w:rsidRPr="00C6327F" w:rsidRDefault="0066381C" w:rsidP="00B66568">
            <w:pPr>
              <w:spacing w:after="6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Declaration</w:t>
            </w:r>
          </w:p>
        </w:tc>
        <w:tc>
          <w:tcPr>
            <w:tcW w:w="3348"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6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10</w:t>
            </w:r>
          </w:p>
        </w:tc>
        <w:tc>
          <w:tcPr>
            <w:tcW w:w="2127"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6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 xml:space="preserve"> $             11,580.55 </w:t>
            </w:r>
          </w:p>
        </w:tc>
        <w:tc>
          <w:tcPr>
            <w:tcW w:w="1701" w:type="dxa"/>
            <w:tcBorders>
              <w:top w:val="nil"/>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6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 xml:space="preserve"> $  115,805.51 </w:t>
            </w:r>
          </w:p>
        </w:tc>
      </w:tr>
      <w:tr w:rsidR="0066381C" w:rsidRPr="00C6327F" w:rsidTr="00B66568">
        <w:trPr>
          <w:trHeight w:val="243"/>
        </w:trPr>
        <w:tc>
          <w:tcPr>
            <w:tcW w:w="1750" w:type="dxa"/>
            <w:tcBorders>
              <w:top w:val="nil"/>
              <w:left w:val="single" w:sz="4" w:space="0" w:color="auto"/>
              <w:bottom w:val="single" w:sz="4" w:space="0" w:color="auto"/>
              <w:right w:val="single" w:sz="4" w:space="0" w:color="auto"/>
            </w:tcBorders>
            <w:shd w:val="clear" w:color="auto" w:fill="auto"/>
            <w:vAlign w:val="bottom"/>
            <w:hideMark/>
          </w:tcPr>
          <w:p w:rsidR="0066381C" w:rsidRPr="00C6327F" w:rsidRDefault="0066381C" w:rsidP="00B66568">
            <w:pPr>
              <w:spacing w:after="6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Assessment of shortfall</w:t>
            </w:r>
          </w:p>
        </w:tc>
        <w:tc>
          <w:tcPr>
            <w:tcW w:w="717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6381C" w:rsidRPr="00C6327F" w:rsidRDefault="0066381C" w:rsidP="00B66568">
            <w:pPr>
              <w:spacing w:after="60" w:line="240" w:lineRule="auto"/>
              <w:jc w:val="center"/>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N/A - During this period, the only work is conducted by Government</w:t>
            </w:r>
          </w:p>
        </w:tc>
      </w:tr>
      <w:tr w:rsidR="0066381C" w:rsidRPr="00C6327F" w:rsidTr="00B66568">
        <w:trPr>
          <w:trHeight w:val="243"/>
        </w:trPr>
        <w:tc>
          <w:tcPr>
            <w:tcW w:w="1750" w:type="dxa"/>
            <w:tcBorders>
              <w:top w:val="nil"/>
              <w:left w:val="single" w:sz="4" w:space="0" w:color="auto"/>
              <w:bottom w:val="nil"/>
              <w:right w:val="single" w:sz="4" w:space="0" w:color="auto"/>
            </w:tcBorders>
            <w:shd w:val="clear" w:color="auto" w:fill="auto"/>
            <w:vAlign w:val="bottom"/>
            <w:hideMark/>
          </w:tcPr>
          <w:p w:rsidR="0066381C" w:rsidRPr="00C6327F" w:rsidRDefault="0066381C" w:rsidP="00B66568">
            <w:pPr>
              <w:spacing w:after="6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Determination</w:t>
            </w:r>
          </w:p>
        </w:tc>
        <w:tc>
          <w:tcPr>
            <w:tcW w:w="3348" w:type="dxa"/>
            <w:tcBorders>
              <w:top w:val="nil"/>
              <w:left w:val="nil"/>
              <w:bottom w:val="nil"/>
              <w:right w:val="single" w:sz="4" w:space="0" w:color="auto"/>
            </w:tcBorders>
            <w:shd w:val="clear" w:color="auto" w:fill="auto"/>
            <w:noWrap/>
            <w:vAlign w:val="bottom"/>
            <w:hideMark/>
          </w:tcPr>
          <w:p w:rsidR="0066381C" w:rsidRPr="00C6327F" w:rsidRDefault="0066381C" w:rsidP="00B66568">
            <w:pPr>
              <w:spacing w:after="60" w:line="240" w:lineRule="auto"/>
              <w:jc w:val="right"/>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3</w:t>
            </w:r>
          </w:p>
        </w:tc>
        <w:tc>
          <w:tcPr>
            <w:tcW w:w="2127" w:type="dxa"/>
            <w:tcBorders>
              <w:top w:val="nil"/>
              <w:left w:val="nil"/>
              <w:bottom w:val="nil"/>
              <w:right w:val="single" w:sz="4" w:space="0" w:color="auto"/>
            </w:tcBorders>
            <w:shd w:val="clear" w:color="auto" w:fill="auto"/>
            <w:noWrap/>
            <w:vAlign w:val="bottom"/>
            <w:hideMark/>
          </w:tcPr>
          <w:p w:rsidR="0066381C" w:rsidRPr="00C6327F" w:rsidRDefault="0066381C" w:rsidP="00B66568">
            <w:pPr>
              <w:spacing w:after="6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 xml:space="preserve"> $             21,279.74 </w:t>
            </w:r>
          </w:p>
        </w:tc>
        <w:tc>
          <w:tcPr>
            <w:tcW w:w="1701" w:type="dxa"/>
            <w:tcBorders>
              <w:top w:val="nil"/>
              <w:left w:val="nil"/>
              <w:bottom w:val="nil"/>
              <w:right w:val="single" w:sz="4" w:space="0" w:color="auto"/>
            </w:tcBorders>
            <w:shd w:val="clear" w:color="auto" w:fill="auto"/>
            <w:noWrap/>
            <w:vAlign w:val="bottom"/>
            <w:hideMark/>
          </w:tcPr>
          <w:p w:rsidR="0066381C" w:rsidRPr="00C6327F" w:rsidRDefault="0066381C" w:rsidP="00B66568">
            <w:pPr>
              <w:spacing w:after="6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 xml:space="preserve"> $    63,839.23 </w:t>
            </w:r>
          </w:p>
        </w:tc>
      </w:tr>
      <w:tr w:rsidR="0066381C" w:rsidRPr="00C6327F" w:rsidTr="00B66568">
        <w:trPr>
          <w:trHeight w:val="243"/>
        </w:trPr>
        <w:tc>
          <w:tcPr>
            <w:tcW w:w="72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6381C" w:rsidRPr="00C6327F" w:rsidRDefault="0066381C" w:rsidP="00B66568">
            <w:pPr>
              <w:spacing w:after="60" w:line="240" w:lineRule="auto"/>
              <w:jc w:val="center"/>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Total</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66381C" w:rsidRPr="00C6327F" w:rsidRDefault="0066381C" w:rsidP="00B66568">
            <w:pPr>
              <w:spacing w:after="60" w:line="240" w:lineRule="auto"/>
              <w:rPr>
                <w:rFonts w:ascii="Calibri" w:eastAsia="Times New Roman" w:hAnsi="Calibri" w:cs="Times New Roman"/>
                <w:color w:val="000000"/>
                <w:lang w:eastAsia="en-AU"/>
              </w:rPr>
            </w:pPr>
            <w:r w:rsidRPr="00C6327F">
              <w:rPr>
                <w:rFonts w:ascii="Calibri" w:eastAsia="Times New Roman" w:hAnsi="Calibri" w:cs="Times New Roman"/>
                <w:color w:val="000000"/>
                <w:lang w:eastAsia="en-AU"/>
              </w:rPr>
              <w:t xml:space="preserve"> $  179,644.74 </w:t>
            </w:r>
          </w:p>
        </w:tc>
      </w:tr>
    </w:tbl>
    <w:p w:rsidR="0066381C" w:rsidRDefault="0066381C" w:rsidP="0066381C"/>
    <w:p w:rsidR="0066381C" w:rsidRDefault="0066381C" w:rsidP="0066381C">
      <w:pPr>
        <w:pStyle w:val="Heading3"/>
      </w:pPr>
      <w:bookmarkStart w:id="467" w:name="_Toc482985597"/>
      <w:bookmarkStart w:id="468" w:name="_Toc483323185"/>
      <w:bookmarkStart w:id="469" w:name="_Toc484770789"/>
      <w:bookmarkStart w:id="470" w:name="_Toc484775050"/>
      <w:bookmarkStart w:id="471" w:name="_Toc484779093"/>
      <w:bookmarkStart w:id="472" w:name="_Toc484784292"/>
      <w:bookmarkStart w:id="473" w:name="_Toc484795109"/>
      <w:bookmarkStart w:id="474" w:name="_Toc485406181"/>
      <w:r>
        <w:t>Additional assumptions and methodology</w:t>
      </w:r>
      <w:bookmarkEnd w:id="467"/>
      <w:bookmarkEnd w:id="468"/>
      <w:bookmarkEnd w:id="469"/>
      <w:bookmarkEnd w:id="470"/>
      <w:bookmarkEnd w:id="471"/>
      <w:bookmarkEnd w:id="472"/>
      <w:bookmarkEnd w:id="473"/>
      <w:bookmarkEnd w:id="474"/>
    </w:p>
    <w:p w:rsidR="0066381C" w:rsidRDefault="0066381C" w:rsidP="0066381C">
      <w:pPr>
        <w:pStyle w:val="Heading4"/>
      </w:pPr>
      <w:r>
        <w:t>Overarching assumptions and caveats</w:t>
      </w:r>
    </w:p>
    <w:p w:rsidR="0066381C" w:rsidRDefault="0066381C" w:rsidP="0066381C">
      <w:pPr>
        <w:pStyle w:val="ListParagraph"/>
        <w:numPr>
          <w:ilvl w:val="0"/>
          <w:numId w:val="20"/>
        </w:numPr>
        <w:spacing w:after="160" w:line="259" w:lineRule="auto"/>
      </w:pPr>
      <w:r>
        <w:t xml:space="preserve">The costing model incorporates conservative assumptions with the intent to avoid underestimating the ADGSM’s regulatory cost to business. </w:t>
      </w:r>
    </w:p>
    <w:p w:rsidR="0066381C" w:rsidRPr="00D27C96" w:rsidRDefault="0066381C" w:rsidP="0066381C">
      <w:pPr>
        <w:pStyle w:val="ListParagraph"/>
        <w:numPr>
          <w:ilvl w:val="0"/>
          <w:numId w:val="20"/>
        </w:numPr>
        <w:spacing w:after="160" w:line="259" w:lineRule="auto"/>
      </w:pPr>
      <w:r>
        <w:t>The cost could be higher or lower depending on the number of internal review poin</w:t>
      </w:r>
      <w:r w:rsidRPr="00FD312E">
        <w:t xml:space="preserve">ts </w:t>
      </w:r>
      <w:r w:rsidRPr="00B81419">
        <w:rPr>
          <w:iCs/>
        </w:rPr>
        <w:t xml:space="preserve">(e.g. a joint venture partner querying </w:t>
      </w:r>
      <w:r w:rsidRPr="00FD312E">
        <w:t>the</w:t>
      </w:r>
      <w:r>
        <w:t xml:space="preserve"> submission) in </w:t>
      </w:r>
      <w:r w:rsidR="00DE4869">
        <w:t>the Resources Minister</w:t>
      </w:r>
      <w:r>
        <w:t xml:space="preserve">’s determination (see </w:t>
      </w:r>
      <w:r>
        <w:fldChar w:fldCharType="begin"/>
      </w:r>
      <w:r>
        <w:instrText xml:space="preserve"> REF _Ref482894807 \h </w:instrText>
      </w:r>
      <w:r>
        <w:fldChar w:fldCharType="separate"/>
      </w:r>
      <w:r w:rsidR="00D565EF">
        <w:t xml:space="preserve">Table </w:t>
      </w:r>
      <w:r w:rsidR="00D565EF">
        <w:rPr>
          <w:noProof/>
        </w:rPr>
        <w:t>2</w:t>
      </w:r>
      <w:r>
        <w:fldChar w:fldCharType="end"/>
      </w:r>
      <w:r>
        <w:t xml:space="preserve">) and Minister’s declaration (see </w:t>
      </w:r>
      <w:r w:rsidRPr="00B81419">
        <w:rPr>
          <w:highlight w:val="yellow"/>
        </w:rPr>
        <w:fldChar w:fldCharType="begin"/>
      </w:r>
      <w:r>
        <w:instrText xml:space="preserve"> REF _Ref482895069 \h </w:instrText>
      </w:r>
      <w:r w:rsidRPr="00B81419">
        <w:rPr>
          <w:highlight w:val="yellow"/>
        </w:rPr>
      </w:r>
      <w:r w:rsidRPr="00B81419">
        <w:rPr>
          <w:highlight w:val="yellow"/>
        </w:rPr>
        <w:fldChar w:fldCharType="separate"/>
      </w:r>
      <w:r w:rsidR="00D565EF">
        <w:t xml:space="preserve">Table </w:t>
      </w:r>
      <w:r w:rsidR="00D565EF">
        <w:rPr>
          <w:noProof/>
        </w:rPr>
        <w:t>4</w:t>
      </w:r>
      <w:r w:rsidRPr="00B81419">
        <w:rPr>
          <w:highlight w:val="yellow"/>
        </w:rPr>
        <w:fldChar w:fldCharType="end"/>
      </w:r>
      <w:r>
        <w:t xml:space="preserve">) points of the ADGSM. </w:t>
      </w:r>
    </w:p>
    <w:p w:rsidR="0066381C" w:rsidRDefault="0066381C" w:rsidP="0066381C">
      <w:pPr>
        <w:pStyle w:val="ListParagraph"/>
        <w:numPr>
          <w:ilvl w:val="0"/>
          <w:numId w:val="20"/>
        </w:numPr>
        <w:spacing w:after="160" w:line="259" w:lineRule="auto"/>
      </w:pPr>
      <w:r>
        <w:t>The model assumes that all LNG projects would treat the ADGSM in a similar way. This allows the model to calculate the cost for each project, and then multiply it by the number of projects in order to reach a total cost.</w:t>
      </w:r>
    </w:p>
    <w:p w:rsidR="0066381C" w:rsidRPr="00814743" w:rsidRDefault="0066381C" w:rsidP="0066381C">
      <w:pPr>
        <w:pStyle w:val="Heading4"/>
      </w:pPr>
      <w:r>
        <w:t>Wage rates</w:t>
      </w:r>
    </w:p>
    <w:p w:rsidR="0066381C" w:rsidRDefault="0066381C" w:rsidP="0066381C">
      <w:r>
        <w:t>Wages in the gas and LNG industries are higher than Australia’s average wage rates. Therefore, this RIS does not use the average wage rates listed by the Office of Best Practice and Regulation (OBPR) in their Guidance Note</w:t>
      </w:r>
      <w:r>
        <w:rPr>
          <w:rStyle w:val="FootnoteReference"/>
        </w:rPr>
        <w:footnoteReference w:id="31"/>
      </w:r>
      <w:r>
        <w:t>. Instead, it uses the job descriptions and wages in the 2016 Hays Salary Guide</w:t>
      </w:r>
      <w:r>
        <w:rPr>
          <w:rStyle w:val="FootnoteReference"/>
        </w:rPr>
        <w:footnoteReference w:id="32"/>
      </w:r>
      <w:r>
        <w:t xml:space="preserve"> for the “Oil and Gas” industry. OBPR standard wage rate assumptions are obtained from ABS </w:t>
      </w:r>
      <w:proofErr w:type="gramStart"/>
      <w:r>
        <w:t>data,</w:t>
      </w:r>
      <w:proofErr w:type="gramEnd"/>
      <w:r>
        <w:t xml:space="preserve"> however these ABS sources are not sufficiently detailed for the purpose of this analysis.</w:t>
      </w:r>
    </w:p>
    <w:p w:rsidR="0066381C" w:rsidRDefault="0066381C" w:rsidP="0066381C">
      <w:r>
        <w:t xml:space="preserve">The Hays Salary Guide provided a range of yearly wages for a given position and state. For example, a Maintenance Supervisor could annually expect to earn between $135,000 and $180,000 in Western Australia, whereas the equivalent worker in Queensland would earn between $130,000 and </w:t>
      </w:r>
      <w:r>
        <w:lastRenderedPageBreak/>
        <w:t xml:space="preserve">$190,000. </w:t>
      </w:r>
      <w:proofErr w:type="gramStart"/>
      <w:r>
        <w:t xml:space="preserve">There were several steps in the process to calculate the hourly wage rates used in </w:t>
      </w:r>
      <w:r>
        <w:fldChar w:fldCharType="begin"/>
      </w:r>
      <w:r>
        <w:instrText xml:space="preserve"> REF _Ref482894807 \h </w:instrText>
      </w:r>
      <w:r>
        <w:fldChar w:fldCharType="separate"/>
      </w:r>
      <w:r w:rsidR="00D565EF">
        <w:t xml:space="preserve">Table </w:t>
      </w:r>
      <w:r w:rsidR="00D565EF">
        <w:rPr>
          <w:noProof/>
        </w:rPr>
        <w:t>2</w:t>
      </w:r>
      <w:r>
        <w:fldChar w:fldCharType="end"/>
      </w:r>
      <w:r>
        <w:t xml:space="preserve"> and </w:t>
      </w:r>
      <w:r>
        <w:fldChar w:fldCharType="begin"/>
      </w:r>
      <w:r>
        <w:instrText xml:space="preserve"> REF _Ref482895069 \h </w:instrText>
      </w:r>
      <w:r>
        <w:fldChar w:fldCharType="separate"/>
      </w:r>
      <w:r w:rsidR="00D565EF">
        <w:t xml:space="preserve">Table </w:t>
      </w:r>
      <w:r w:rsidR="00D565EF">
        <w:rPr>
          <w:noProof/>
        </w:rPr>
        <w:t>4</w:t>
      </w:r>
      <w:r>
        <w:fldChar w:fldCharType="end"/>
      </w:r>
      <w:r>
        <w:t>.</w:t>
      </w:r>
      <w:proofErr w:type="gramEnd"/>
    </w:p>
    <w:p w:rsidR="0066381C" w:rsidRDefault="0066381C" w:rsidP="0066381C">
      <w:r>
        <w:t xml:space="preserve">First, the average yearly wage rates </w:t>
      </w:r>
      <w:proofErr w:type="gramStart"/>
      <w:r>
        <w:t>were calculated</w:t>
      </w:r>
      <w:proofErr w:type="gramEnd"/>
      <w:r>
        <w:t xml:space="preserve"> by taking the average of the maximum wage for the equivalent job in Queensland and Western Australia. Using the Maintenance Supervisor example above, the average yearly wage </w:t>
      </w:r>
      <w:proofErr w:type="gramStart"/>
      <w:r>
        <w:t>was calculated</w:t>
      </w:r>
      <w:proofErr w:type="gramEnd"/>
      <w:r>
        <w:t xml:space="preserve"> to be: </w:t>
      </w:r>
    </w:p>
    <w:p w:rsidR="0066381C" w:rsidRDefault="00CA28A3" w:rsidP="0066381C">
      <m:oMathPara>
        <m:oMath>
          <m:f>
            <m:fPr>
              <m:ctrlPr>
                <w:rPr>
                  <w:rFonts w:ascii="Cambria Math" w:hAnsi="Cambria Math"/>
                  <w:i/>
                </w:rPr>
              </m:ctrlPr>
            </m:fPr>
            <m:num>
              <m:r>
                <w:rPr>
                  <w:rFonts w:ascii="Cambria Math" w:hAnsi="Cambria Math"/>
                </w:rPr>
                <m:t>180,000+190,000</m:t>
              </m:r>
            </m:num>
            <m:den>
              <m:r>
                <w:rPr>
                  <w:rFonts w:ascii="Cambria Math" w:hAnsi="Cambria Math"/>
                </w:rPr>
                <m:t>2</m:t>
              </m:r>
            </m:den>
          </m:f>
          <m:r>
            <w:rPr>
              <w:rFonts w:ascii="Cambria Math" w:hAnsi="Cambria Math"/>
            </w:rPr>
            <m:t>=185,000.</m:t>
          </m:r>
        </m:oMath>
      </m:oMathPara>
    </w:p>
    <w:p w:rsidR="0066381C" w:rsidRDefault="0066381C" w:rsidP="0066381C">
      <w:r>
        <w:t xml:space="preserve">The average of Queensland and Western Australia </w:t>
      </w:r>
      <w:proofErr w:type="gramStart"/>
      <w:r>
        <w:t>was used</w:t>
      </w:r>
      <w:proofErr w:type="gramEnd"/>
      <w:r>
        <w:t xml:space="preserve"> because most LNG export projects operate from those states. The maximum </w:t>
      </w:r>
      <w:proofErr w:type="gramStart"/>
      <w:r>
        <w:t>was chosen</w:t>
      </w:r>
      <w:proofErr w:type="gramEnd"/>
      <w:r>
        <w:t xml:space="preserve"> in order not to underestimate the labour costs.</w:t>
      </w:r>
    </w:p>
    <w:p w:rsidR="0066381C" w:rsidRDefault="0066381C" w:rsidP="0066381C">
      <w:r>
        <w:t xml:space="preserve">After the average </w:t>
      </w:r>
      <w:proofErr w:type="gramStart"/>
      <w:r>
        <w:t>was taken</w:t>
      </w:r>
      <w:proofErr w:type="gramEnd"/>
      <w:r>
        <w:t xml:space="preserve">, it was scaled up by the standard assumption of 75 per cent to account for on-costs (e.g. superannuation, payroll tax) and overheads (e.g. electricity, equipment). Finally, the model assumed an average working week of 38 hours, and that the employee would work 48 weeks in a year. The hourly wage for the Maintenance supervisor example used </w:t>
      </w:r>
      <w:proofErr w:type="gramStart"/>
      <w:r>
        <w:t>was therefore calculated</w:t>
      </w:r>
      <w:proofErr w:type="gramEnd"/>
      <w:r>
        <w:t xml:space="preserve"> to be: </w:t>
      </w:r>
    </w:p>
    <w:p w:rsidR="0066381C" w:rsidRDefault="00CA28A3" w:rsidP="0066381C">
      <m:oMathPara>
        <m:oMath>
          <m:f>
            <m:fPr>
              <m:ctrlPr>
                <w:rPr>
                  <w:rFonts w:ascii="Cambria Math" w:hAnsi="Cambria Math"/>
                  <w:i/>
                </w:rPr>
              </m:ctrlPr>
            </m:fPr>
            <m:num>
              <m:r>
                <w:rPr>
                  <w:rFonts w:ascii="Cambria Math" w:hAnsi="Cambria Math"/>
                </w:rPr>
                <m:t>185,000×1.7538×48</m:t>
              </m:r>
            </m:num>
            <m:den/>
          </m:f>
          <m:r>
            <w:rPr>
              <w:rFonts w:ascii="Cambria Math" w:hAnsi="Cambria Math"/>
            </w:rPr>
            <m:t>=$177.49.</m:t>
          </m:r>
        </m:oMath>
      </m:oMathPara>
    </w:p>
    <w:p w:rsidR="0066381C" w:rsidRDefault="0066381C" w:rsidP="0066381C">
      <w:r>
        <w:t xml:space="preserve">The model considered three types of employees. A ‘project planner’ covered the employees that would do most of the work, including data analysis, forecasting and communication. Project planners would report to ‘planning managers’, who would have an overview of the entire project’s operations. </w:t>
      </w:r>
    </w:p>
    <w:p w:rsidR="0066381C" w:rsidRDefault="0066381C" w:rsidP="0066381C">
      <w:r>
        <w:t xml:space="preserve">‘Executives’ covered senior members of the organisation and had the authority to sign off on the project’s various responses to the Government. Executives might be CEOs, presidents, vice presidents or similar. The Hays Salary Guide did not include information on executives’ salaries. To estimate the yearly salary of an executive in the gas industry, this RIS took the average value of the Executive Incentive Plan for Woodside executives that held their position for the entire 2015-16 financial year. To estimate the hourly wage, this RIS assumed that executives worked for 50 hours each week, for 48 weeks in a year. The model did not add an additional loading for on-costs for the executive wages, because their remuneration package was comprehensive. It </w:t>
      </w:r>
      <w:proofErr w:type="gramStart"/>
      <w:r>
        <w:t>should be noted</w:t>
      </w:r>
      <w:proofErr w:type="gramEnd"/>
      <w:r>
        <w:t xml:space="preserve"> that this is a rough approximation only, and detailed information on executive pay within an industry is difficult to source.</w:t>
      </w:r>
    </w:p>
    <w:p w:rsidR="0066381C" w:rsidRDefault="0066381C" w:rsidP="0066381C">
      <w:r>
        <w:fldChar w:fldCharType="begin"/>
      </w:r>
      <w:r>
        <w:instrText xml:space="preserve"> REF _Ref482886099 \h </w:instrText>
      </w:r>
      <w:r>
        <w:fldChar w:fldCharType="separate"/>
      </w:r>
      <w:r w:rsidR="00D565EF">
        <w:t xml:space="preserve">Table </w:t>
      </w:r>
      <w:r w:rsidR="00D565EF">
        <w:rPr>
          <w:noProof/>
        </w:rPr>
        <w:t>6</w:t>
      </w:r>
      <w:r>
        <w:fldChar w:fldCharType="end"/>
      </w:r>
      <w:r>
        <w:t xml:space="preserve"> summarises the hourly wages used in the costing model.</w:t>
      </w:r>
    </w:p>
    <w:p w:rsidR="0066381C" w:rsidRDefault="0066381C" w:rsidP="0066381C">
      <w:pPr>
        <w:pStyle w:val="Caption"/>
        <w:keepNext/>
      </w:pPr>
      <w:bookmarkStart w:id="475" w:name="_Ref482886099"/>
      <w:r>
        <w:t xml:space="preserve">Table </w:t>
      </w:r>
      <w:fldSimple w:instr=" SEQ Table \* ARABIC ">
        <w:r w:rsidR="00D565EF">
          <w:rPr>
            <w:noProof/>
          </w:rPr>
          <w:t>6</w:t>
        </w:r>
      </w:fldSimple>
      <w:bookmarkEnd w:id="475"/>
      <w:r>
        <w:t>: Wage rates used to calculate the regulatory costs</w:t>
      </w:r>
    </w:p>
    <w:tbl>
      <w:tblPr>
        <w:tblW w:w="9560" w:type="dxa"/>
        <w:tblLook w:val="04A0" w:firstRow="1" w:lastRow="0" w:firstColumn="1" w:lastColumn="0" w:noHBand="0" w:noVBand="1"/>
      </w:tblPr>
      <w:tblGrid>
        <w:gridCol w:w="2620"/>
        <w:gridCol w:w="1880"/>
        <w:gridCol w:w="1920"/>
        <w:gridCol w:w="1780"/>
        <w:gridCol w:w="1360"/>
      </w:tblGrid>
      <w:tr w:rsidR="0066381C" w:rsidRPr="005058F3" w:rsidTr="00B66568">
        <w:trPr>
          <w:trHeight w:val="300"/>
        </w:trPr>
        <w:tc>
          <w:tcPr>
            <w:tcW w:w="6420" w:type="dxa"/>
            <w:gridSpan w:val="3"/>
            <w:tcBorders>
              <w:top w:val="single" w:sz="12" w:space="0" w:color="auto"/>
              <w:left w:val="single" w:sz="12" w:space="0" w:color="auto"/>
              <w:bottom w:val="single" w:sz="4" w:space="0" w:color="auto"/>
              <w:right w:val="single" w:sz="12" w:space="0" w:color="auto"/>
            </w:tcBorders>
            <w:shd w:val="clear" w:color="auto" w:fill="auto"/>
            <w:noWrap/>
            <w:hideMark/>
          </w:tcPr>
          <w:p w:rsidR="0066381C" w:rsidRPr="005058F3" w:rsidRDefault="0066381C" w:rsidP="00B66568">
            <w:pPr>
              <w:spacing w:after="60" w:line="240" w:lineRule="auto"/>
              <w:jc w:val="center"/>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Hays Salary Guide description</w:t>
            </w:r>
          </w:p>
        </w:tc>
        <w:tc>
          <w:tcPr>
            <w:tcW w:w="3140" w:type="dxa"/>
            <w:gridSpan w:val="2"/>
            <w:tcBorders>
              <w:top w:val="single" w:sz="12" w:space="0" w:color="auto"/>
              <w:left w:val="single" w:sz="12" w:space="0" w:color="auto"/>
              <w:bottom w:val="single" w:sz="4" w:space="0" w:color="auto"/>
              <w:right w:val="single" w:sz="12" w:space="0" w:color="auto"/>
            </w:tcBorders>
            <w:shd w:val="clear" w:color="auto" w:fill="auto"/>
            <w:noWrap/>
            <w:hideMark/>
          </w:tcPr>
          <w:p w:rsidR="0066381C" w:rsidRPr="005058F3" w:rsidRDefault="0066381C" w:rsidP="00B66568">
            <w:pPr>
              <w:spacing w:after="60" w:line="240" w:lineRule="auto"/>
              <w:jc w:val="center"/>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RIS description</w:t>
            </w:r>
          </w:p>
        </w:tc>
      </w:tr>
      <w:tr w:rsidR="0066381C" w:rsidRPr="005058F3" w:rsidTr="00B66568">
        <w:trPr>
          <w:trHeight w:val="600"/>
        </w:trPr>
        <w:tc>
          <w:tcPr>
            <w:tcW w:w="2620" w:type="dxa"/>
            <w:tcBorders>
              <w:top w:val="nil"/>
              <w:left w:val="single" w:sz="12" w:space="0" w:color="auto"/>
              <w:bottom w:val="single" w:sz="4" w:space="0" w:color="auto"/>
              <w:right w:val="single" w:sz="4" w:space="0" w:color="auto"/>
            </w:tcBorders>
            <w:shd w:val="clear" w:color="auto" w:fill="auto"/>
            <w:vAlign w:val="bottom"/>
            <w:hideMark/>
          </w:tcPr>
          <w:p w:rsidR="0066381C" w:rsidRPr="005058F3" w:rsidRDefault="0066381C" w:rsidP="00B66568">
            <w:pPr>
              <w:spacing w:after="60" w:line="240" w:lineRule="auto"/>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Title</w:t>
            </w:r>
          </w:p>
        </w:tc>
        <w:tc>
          <w:tcPr>
            <w:tcW w:w="1880" w:type="dxa"/>
            <w:tcBorders>
              <w:top w:val="nil"/>
              <w:left w:val="nil"/>
              <w:bottom w:val="single" w:sz="4" w:space="0" w:color="auto"/>
              <w:right w:val="single" w:sz="4" w:space="0" w:color="auto"/>
            </w:tcBorders>
            <w:shd w:val="clear" w:color="auto" w:fill="auto"/>
            <w:vAlign w:val="bottom"/>
            <w:hideMark/>
          </w:tcPr>
          <w:p w:rsidR="0066381C" w:rsidRPr="005058F3" w:rsidRDefault="0066381C" w:rsidP="00B66568">
            <w:pPr>
              <w:spacing w:after="60" w:line="240" w:lineRule="auto"/>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WA yearly wage ($'000s)</w:t>
            </w:r>
          </w:p>
        </w:tc>
        <w:tc>
          <w:tcPr>
            <w:tcW w:w="1920" w:type="dxa"/>
            <w:tcBorders>
              <w:top w:val="nil"/>
              <w:left w:val="nil"/>
              <w:bottom w:val="single" w:sz="4" w:space="0" w:color="auto"/>
              <w:right w:val="single" w:sz="12" w:space="0" w:color="auto"/>
            </w:tcBorders>
            <w:shd w:val="clear" w:color="auto" w:fill="auto"/>
            <w:vAlign w:val="bottom"/>
            <w:hideMark/>
          </w:tcPr>
          <w:p w:rsidR="0066381C" w:rsidRPr="005058F3" w:rsidRDefault="0066381C" w:rsidP="00B66568">
            <w:pPr>
              <w:spacing w:after="60" w:line="240" w:lineRule="auto"/>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QLD yearly wage ($'000s)</w:t>
            </w:r>
          </w:p>
        </w:tc>
        <w:tc>
          <w:tcPr>
            <w:tcW w:w="1780" w:type="dxa"/>
            <w:tcBorders>
              <w:top w:val="nil"/>
              <w:left w:val="single" w:sz="12" w:space="0" w:color="auto"/>
              <w:bottom w:val="single" w:sz="4" w:space="0" w:color="auto"/>
              <w:right w:val="single" w:sz="4" w:space="0" w:color="auto"/>
            </w:tcBorders>
            <w:shd w:val="clear" w:color="auto" w:fill="auto"/>
            <w:vAlign w:val="bottom"/>
            <w:hideMark/>
          </w:tcPr>
          <w:p w:rsidR="0066381C" w:rsidRPr="005058F3" w:rsidRDefault="0066381C" w:rsidP="00B66568">
            <w:pPr>
              <w:spacing w:after="60" w:line="240" w:lineRule="auto"/>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Title</w:t>
            </w:r>
          </w:p>
        </w:tc>
        <w:tc>
          <w:tcPr>
            <w:tcW w:w="1360" w:type="dxa"/>
            <w:tcBorders>
              <w:top w:val="nil"/>
              <w:left w:val="nil"/>
              <w:bottom w:val="single" w:sz="4" w:space="0" w:color="auto"/>
              <w:right w:val="single" w:sz="12" w:space="0" w:color="auto"/>
            </w:tcBorders>
            <w:shd w:val="clear" w:color="auto" w:fill="auto"/>
            <w:vAlign w:val="bottom"/>
            <w:hideMark/>
          </w:tcPr>
          <w:p w:rsidR="0066381C" w:rsidRPr="005058F3" w:rsidRDefault="0066381C" w:rsidP="00B66568">
            <w:pPr>
              <w:spacing w:after="60" w:line="240" w:lineRule="auto"/>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Labour rate ($/hr)</w:t>
            </w:r>
          </w:p>
        </w:tc>
      </w:tr>
      <w:tr w:rsidR="0066381C" w:rsidRPr="005058F3" w:rsidTr="00B66568">
        <w:trPr>
          <w:trHeight w:val="300"/>
        </w:trPr>
        <w:tc>
          <w:tcPr>
            <w:tcW w:w="2620" w:type="dxa"/>
            <w:tcBorders>
              <w:top w:val="nil"/>
              <w:left w:val="single" w:sz="12" w:space="0" w:color="auto"/>
              <w:bottom w:val="single" w:sz="4" w:space="0" w:color="auto"/>
              <w:right w:val="single" w:sz="4" w:space="0" w:color="auto"/>
            </w:tcBorders>
            <w:shd w:val="clear" w:color="auto" w:fill="auto"/>
            <w:noWrap/>
            <w:vAlign w:val="bottom"/>
            <w:hideMark/>
          </w:tcPr>
          <w:p w:rsidR="0066381C" w:rsidRPr="005058F3" w:rsidRDefault="0066381C" w:rsidP="00B66568">
            <w:pPr>
              <w:spacing w:after="60" w:line="240" w:lineRule="auto"/>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Planner</w:t>
            </w:r>
          </w:p>
        </w:tc>
        <w:tc>
          <w:tcPr>
            <w:tcW w:w="1880" w:type="dxa"/>
            <w:tcBorders>
              <w:top w:val="nil"/>
              <w:left w:val="nil"/>
              <w:bottom w:val="single" w:sz="4" w:space="0" w:color="auto"/>
              <w:right w:val="single" w:sz="4" w:space="0" w:color="auto"/>
            </w:tcBorders>
            <w:shd w:val="clear" w:color="auto" w:fill="auto"/>
            <w:noWrap/>
            <w:vAlign w:val="bottom"/>
            <w:hideMark/>
          </w:tcPr>
          <w:p w:rsidR="0066381C" w:rsidRPr="005058F3" w:rsidRDefault="0066381C" w:rsidP="00B66568">
            <w:pPr>
              <w:spacing w:after="60" w:line="240" w:lineRule="auto"/>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120-160</w:t>
            </w:r>
          </w:p>
        </w:tc>
        <w:tc>
          <w:tcPr>
            <w:tcW w:w="1920" w:type="dxa"/>
            <w:tcBorders>
              <w:top w:val="nil"/>
              <w:left w:val="nil"/>
              <w:bottom w:val="single" w:sz="4" w:space="0" w:color="auto"/>
              <w:right w:val="single" w:sz="12" w:space="0" w:color="auto"/>
            </w:tcBorders>
            <w:shd w:val="clear" w:color="auto" w:fill="auto"/>
            <w:noWrap/>
            <w:vAlign w:val="bottom"/>
            <w:hideMark/>
          </w:tcPr>
          <w:p w:rsidR="0066381C" w:rsidRPr="005058F3" w:rsidRDefault="0066381C" w:rsidP="00B66568">
            <w:pPr>
              <w:spacing w:after="60" w:line="240" w:lineRule="auto"/>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90-115</w:t>
            </w:r>
          </w:p>
        </w:tc>
        <w:tc>
          <w:tcPr>
            <w:tcW w:w="1780" w:type="dxa"/>
            <w:tcBorders>
              <w:top w:val="nil"/>
              <w:left w:val="single" w:sz="12" w:space="0" w:color="auto"/>
              <w:bottom w:val="single" w:sz="4" w:space="0" w:color="auto"/>
              <w:right w:val="single" w:sz="4" w:space="0" w:color="auto"/>
            </w:tcBorders>
            <w:shd w:val="clear" w:color="auto" w:fill="auto"/>
            <w:noWrap/>
            <w:vAlign w:val="bottom"/>
            <w:hideMark/>
          </w:tcPr>
          <w:p w:rsidR="0066381C" w:rsidRPr="005058F3" w:rsidRDefault="0066381C" w:rsidP="00B66568">
            <w:pPr>
              <w:spacing w:after="60" w:line="240" w:lineRule="auto"/>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Project planner</w:t>
            </w:r>
          </w:p>
        </w:tc>
        <w:tc>
          <w:tcPr>
            <w:tcW w:w="1360" w:type="dxa"/>
            <w:tcBorders>
              <w:top w:val="nil"/>
              <w:left w:val="nil"/>
              <w:bottom w:val="single" w:sz="4" w:space="0" w:color="auto"/>
              <w:right w:val="single" w:sz="12" w:space="0" w:color="auto"/>
            </w:tcBorders>
            <w:shd w:val="clear" w:color="auto" w:fill="auto"/>
            <w:noWrap/>
            <w:vAlign w:val="bottom"/>
            <w:hideMark/>
          </w:tcPr>
          <w:p w:rsidR="0066381C" w:rsidRPr="005058F3" w:rsidRDefault="0066381C" w:rsidP="00B66568">
            <w:pPr>
              <w:spacing w:after="60" w:line="240" w:lineRule="auto"/>
              <w:jc w:val="right"/>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131.92</w:t>
            </w:r>
          </w:p>
        </w:tc>
      </w:tr>
      <w:tr w:rsidR="0066381C" w:rsidRPr="005058F3" w:rsidTr="00B66568">
        <w:trPr>
          <w:trHeight w:val="300"/>
        </w:trPr>
        <w:tc>
          <w:tcPr>
            <w:tcW w:w="2620" w:type="dxa"/>
            <w:tcBorders>
              <w:top w:val="nil"/>
              <w:left w:val="single" w:sz="12" w:space="0" w:color="auto"/>
              <w:bottom w:val="single" w:sz="12" w:space="0" w:color="auto"/>
              <w:right w:val="single" w:sz="4" w:space="0" w:color="auto"/>
            </w:tcBorders>
            <w:shd w:val="clear" w:color="auto" w:fill="auto"/>
            <w:noWrap/>
            <w:vAlign w:val="bottom"/>
            <w:hideMark/>
          </w:tcPr>
          <w:p w:rsidR="0066381C" w:rsidRPr="005058F3" w:rsidRDefault="0066381C" w:rsidP="00B66568">
            <w:pPr>
              <w:spacing w:after="60" w:line="240" w:lineRule="auto"/>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Planning manager</w:t>
            </w:r>
          </w:p>
        </w:tc>
        <w:tc>
          <w:tcPr>
            <w:tcW w:w="1880" w:type="dxa"/>
            <w:tcBorders>
              <w:top w:val="nil"/>
              <w:left w:val="nil"/>
              <w:bottom w:val="single" w:sz="12" w:space="0" w:color="auto"/>
              <w:right w:val="single" w:sz="4" w:space="0" w:color="auto"/>
            </w:tcBorders>
            <w:shd w:val="clear" w:color="auto" w:fill="auto"/>
            <w:noWrap/>
            <w:vAlign w:val="bottom"/>
            <w:hideMark/>
          </w:tcPr>
          <w:p w:rsidR="0066381C" w:rsidRPr="005058F3" w:rsidRDefault="0066381C" w:rsidP="00B66568">
            <w:pPr>
              <w:spacing w:after="60" w:line="240" w:lineRule="auto"/>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170-220</w:t>
            </w:r>
          </w:p>
        </w:tc>
        <w:tc>
          <w:tcPr>
            <w:tcW w:w="1920" w:type="dxa"/>
            <w:tcBorders>
              <w:top w:val="nil"/>
              <w:left w:val="nil"/>
              <w:bottom w:val="single" w:sz="12" w:space="0" w:color="auto"/>
              <w:right w:val="single" w:sz="12" w:space="0" w:color="auto"/>
            </w:tcBorders>
            <w:shd w:val="clear" w:color="auto" w:fill="auto"/>
            <w:noWrap/>
            <w:vAlign w:val="bottom"/>
            <w:hideMark/>
          </w:tcPr>
          <w:p w:rsidR="0066381C" w:rsidRPr="005058F3" w:rsidRDefault="0066381C" w:rsidP="00B66568">
            <w:pPr>
              <w:spacing w:after="60" w:line="240" w:lineRule="auto"/>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170-220</w:t>
            </w:r>
          </w:p>
        </w:tc>
        <w:tc>
          <w:tcPr>
            <w:tcW w:w="1780" w:type="dxa"/>
            <w:tcBorders>
              <w:top w:val="nil"/>
              <w:left w:val="single" w:sz="12" w:space="0" w:color="auto"/>
              <w:bottom w:val="single" w:sz="4" w:space="0" w:color="auto"/>
              <w:right w:val="single" w:sz="4" w:space="0" w:color="auto"/>
            </w:tcBorders>
            <w:shd w:val="clear" w:color="auto" w:fill="auto"/>
            <w:noWrap/>
            <w:vAlign w:val="bottom"/>
            <w:hideMark/>
          </w:tcPr>
          <w:p w:rsidR="0066381C" w:rsidRPr="005058F3" w:rsidRDefault="0066381C" w:rsidP="00B66568">
            <w:pPr>
              <w:spacing w:after="60" w:line="240" w:lineRule="auto"/>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Planning manager</w:t>
            </w:r>
          </w:p>
        </w:tc>
        <w:tc>
          <w:tcPr>
            <w:tcW w:w="1360" w:type="dxa"/>
            <w:tcBorders>
              <w:top w:val="nil"/>
              <w:left w:val="nil"/>
              <w:bottom w:val="single" w:sz="4" w:space="0" w:color="auto"/>
              <w:right w:val="single" w:sz="12" w:space="0" w:color="auto"/>
            </w:tcBorders>
            <w:shd w:val="clear" w:color="auto" w:fill="auto"/>
            <w:noWrap/>
            <w:vAlign w:val="bottom"/>
            <w:hideMark/>
          </w:tcPr>
          <w:p w:rsidR="0066381C" w:rsidRPr="005058F3" w:rsidRDefault="0066381C" w:rsidP="00B66568">
            <w:pPr>
              <w:spacing w:after="60" w:line="240" w:lineRule="auto"/>
              <w:jc w:val="right"/>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211.07</w:t>
            </w:r>
          </w:p>
        </w:tc>
      </w:tr>
      <w:tr w:rsidR="0066381C" w:rsidRPr="005058F3" w:rsidTr="00B66568">
        <w:trPr>
          <w:trHeight w:val="600"/>
        </w:trPr>
        <w:tc>
          <w:tcPr>
            <w:tcW w:w="2620" w:type="dxa"/>
            <w:tcBorders>
              <w:top w:val="single" w:sz="12" w:space="0" w:color="auto"/>
              <w:left w:val="single" w:sz="12" w:space="0" w:color="auto"/>
              <w:bottom w:val="single" w:sz="12" w:space="0" w:color="auto"/>
              <w:right w:val="single" w:sz="4" w:space="0" w:color="auto"/>
            </w:tcBorders>
            <w:shd w:val="clear" w:color="auto" w:fill="auto"/>
            <w:vAlign w:val="bottom"/>
            <w:hideMark/>
          </w:tcPr>
          <w:p w:rsidR="0066381C" w:rsidRPr="005058F3" w:rsidRDefault="0066381C" w:rsidP="00B66568">
            <w:pPr>
              <w:spacing w:after="60" w:line="240" w:lineRule="auto"/>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lastRenderedPageBreak/>
              <w:t>Woodside average "executive incentive plan"</w:t>
            </w:r>
          </w:p>
        </w:tc>
        <w:tc>
          <w:tcPr>
            <w:tcW w:w="3800" w:type="dxa"/>
            <w:gridSpan w:val="2"/>
            <w:tcBorders>
              <w:top w:val="single" w:sz="12" w:space="0" w:color="auto"/>
              <w:left w:val="nil"/>
              <w:bottom w:val="single" w:sz="12" w:space="0" w:color="auto"/>
              <w:right w:val="single" w:sz="12" w:space="0" w:color="auto"/>
            </w:tcBorders>
            <w:shd w:val="clear" w:color="auto" w:fill="auto"/>
            <w:noWrap/>
            <w:vAlign w:val="bottom"/>
            <w:hideMark/>
          </w:tcPr>
          <w:p w:rsidR="0066381C" w:rsidRPr="005058F3" w:rsidRDefault="0066381C" w:rsidP="00B66568">
            <w:pPr>
              <w:spacing w:after="60" w:line="240" w:lineRule="auto"/>
              <w:jc w:val="center"/>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1086</w:t>
            </w:r>
          </w:p>
        </w:tc>
        <w:tc>
          <w:tcPr>
            <w:tcW w:w="1780" w:type="dxa"/>
            <w:tcBorders>
              <w:top w:val="nil"/>
              <w:left w:val="single" w:sz="12" w:space="0" w:color="auto"/>
              <w:bottom w:val="single" w:sz="12" w:space="0" w:color="auto"/>
              <w:right w:val="single" w:sz="4" w:space="0" w:color="auto"/>
            </w:tcBorders>
            <w:shd w:val="clear" w:color="auto" w:fill="auto"/>
            <w:noWrap/>
            <w:vAlign w:val="bottom"/>
            <w:hideMark/>
          </w:tcPr>
          <w:p w:rsidR="0066381C" w:rsidRPr="005058F3" w:rsidRDefault="0066381C" w:rsidP="00B66568">
            <w:pPr>
              <w:spacing w:after="60" w:line="240" w:lineRule="auto"/>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Executive</w:t>
            </w:r>
          </w:p>
        </w:tc>
        <w:tc>
          <w:tcPr>
            <w:tcW w:w="1360" w:type="dxa"/>
            <w:tcBorders>
              <w:top w:val="nil"/>
              <w:left w:val="nil"/>
              <w:bottom w:val="single" w:sz="12" w:space="0" w:color="auto"/>
              <w:right w:val="single" w:sz="12" w:space="0" w:color="auto"/>
            </w:tcBorders>
            <w:shd w:val="clear" w:color="auto" w:fill="auto"/>
            <w:noWrap/>
            <w:vAlign w:val="bottom"/>
            <w:hideMark/>
          </w:tcPr>
          <w:p w:rsidR="0066381C" w:rsidRPr="005058F3" w:rsidRDefault="0066381C" w:rsidP="00B66568">
            <w:pPr>
              <w:spacing w:after="60" w:line="240" w:lineRule="auto"/>
              <w:jc w:val="right"/>
              <w:rPr>
                <w:rFonts w:ascii="Calibri" w:eastAsia="Times New Roman" w:hAnsi="Calibri" w:cs="Times New Roman"/>
                <w:color w:val="000000"/>
                <w:lang w:eastAsia="en-AU"/>
              </w:rPr>
            </w:pPr>
            <w:r w:rsidRPr="005058F3">
              <w:rPr>
                <w:rFonts w:ascii="Calibri" w:eastAsia="Times New Roman" w:hAnsi="Calibri" w:cs="Times New Roman"/>
                <w:color w:val="000000"/>
                <w:lang w:eastAsia="en-AU"/>
              </w:rPr>
              <w:t>452.57</w:t>
            </w:r>
          </w:p>
        </w:tc>
      </w:tr>
    </w:tbl>
    <w:p w:rsidR="0066381C" w:rsidRPr="00882A87" w:rsidRDefault="0066381C" w:rsidP="0066381C"/>
    <w:p w:rsidR="0066381C" w:rsidRDefault="0066381C" w:rsidP="0066381C">
      <w:pPr>
        <w:pStyle w:val="Heading4"/>
      </w:pPr>
      <w:r>
        <w:t>Exclusions</w:t>
      </w:r>
    </w:p>
    <w:p w:rsidR="0066381C" w:rsidRDefault="0066381C" w:rsidP="0066381C">
      <w:pPr>
        <w:pStyle w:val="Heading4"/>
        <w:rPr>
          <w:rFonts w:asciiTheme="minorHAnsi" w:eastAsiaTheme="minorHAnsi" w:hAnsiTheme="minorHAnsi" w:cstheme="minorBidi"/>
          <w:i w:val="0"/>
          <w:iCs w:val="0"/>
          <w:color w:val="auto"/>
        </w:rPr>
      </w:pPr>
      <w:r>
        <w:rPr>
          <w:rFonts w:asciiTheme="minorHAnsi" w:eastAsiaTheme="minorHAnsi" w:hAnsiTheme="minorHAnsi" w:cstheme="minorBidi"/>
          <w:i w:val="0"/>
          <w:iCs w:val="0"/>
          <w:color w:val="auto"/>
        </w:rPr>
        <w:t>T</w:t>
      </w:r>
      <w:r w:rsidRPr="00D27C96">
        <w:rPr>
          <w:rFonts w:asciiTheme="minorHAnsi" w:eastAsiaTheme="minorHAnsi" w:hAnsiTheme="minorHAnsi" w:cstheme="minorBidi"/>
          <w:i w:val="0"/>
          <w:iCs w:val="0"/>
          <w:color w:val="auto"/>
        </w:rPr>
        <w:t xml:space="preserve">he following costs </w:t>
      </w:r>
      <w:r>
        <w:rPr>
          <w:rFonts w:asciiTheme="minorHAnsi" w:eastAsiaTheme="minorHAnsi" w:hAnsiTheme="minorHAnsi" w:cstheme="minorBidi"/>
          <w:i w:val="0"/>
          <w:iCs w:val="0"/>
          <w:color w:val="auto"/>
        </w:rPr>
        <w:t>were</w:t>
      </w:r>
      <w:r w:rsidRPr="00D27C96">
        <w:rPr>
          <w:rFonts w:asciiTheme="minorHAnsi" w:eastAsiaTheme="minorHAnsi" w:hAnsiTheme="minorHAnsi" w:cstheme="minorBidi"/>
          <w:i w:val="0"/>
          <w:iCs w:val="0"/>
          <w:color w:val="auto"/>
        </w:rPr>
        <w:t xml:space="preserve"> not included in </w:t>
      </w:r>
      <w:r>
        <w:rPr>
          <w:rFonts w:asciiTheme="minorHAnsi" w:eastAsiaTheme="minorHAnsi" w:hAnsiTheme="minorHAnsi" w:cstheme="minorBidi"/>
          <w:i w:val="0"/>
          <w:iCs w:val="0"/>
          <w:color w:val="auto"/>
        </w:rPr>
        <w:t>the costing model</w:t>
      </w:r>
    </w:p>
    <w:p w:rsidR="0066381C" w:rsidRPr="004B191F" w:rsidRDefault="0066381C" w:rsidP="0066381C">
      <w:pPr>
        <w:pStyle w:val="Heading4"/>
        <w:numPr>
          <w:ilvl w:val="0"/>
          <w:numId w:val="21"/>
        </w:numPr>
        <w:rPr>
          <w:rFonts w:asciiTheme="minorHAnsi" w:eastAsiaTheme="minorHAnsi" w:hAnsiTheme="minorHAnsi" w:cstheme="minorBidi"/>
          <w:i w:val="0"/>
          <w:iCs w:val="0"/>
          <w:color w:val="auto"/>
        </w:rPr>
      </w:pPr>
      <w:r w:rsidRPr="00FD312E">
        <w:rPr>
          <w:rFonts w:asciiTheme="minorHAnsi" w:eastAsiaTheme="minorHAnsi" w:hAnsiTheme="minorHAnsi" w:cstheme="minorBidi"/>
          <w:i w:val="0"/>
          <w:iCs w:val="0"/>
          <w:color w:val="auto"/>
          <w:u w:val="single"/>
        </w:rPr>
        <w:t>Set-up and record-keeping costs</w:t>
      </w:r>
    </w:p>
    <w:p w:rsidR="0066381C" w:rsidRDefault="0066381C" w:rsidP="0066381C">
      <w:pPr>
        <w:pStyle w:val="Heading4"/>
        <w:ind w:left="720"/>
        <w:rPr>
          <w:rFonts w:asciiTheme="minorHAnsi" w:eastAsiaTheme="minorHAnsi" w:hAnsiTheme="minorHAnsi" w:cstheme="minorBidi"/>
          <w:i w:val="0"/>
          <w:iCs w:val="0"/>
          <w:color w:val="auto"/>
        </w:rPr>
      </w:pPr>
      <w:r>
        <w:rPr>
          <w:rFonts w:asciiTheme="minorHAnsi" w:eastAsiaTheme="minorHAnsi" w:hAnsiTheme="minorHAnsi" w:cstheme="minorBidi"/>
          <w:i w:val="0"/>
          <w:iCs w:val="0"/>
          <w:color w:val="auto"/>
        </w:rPr>
        <w:t>The model assumes</w:t>
      </w:r>
      <w:r w:rsidRPr="00D27C96">
        <w:rPr>
          <w:rFonts w:asciiTheme="minorHAnsi" w:eastAsiaTheme="minorHAnsi" w:hAnsiTheme="minorHAnsi" w:cstheme="minorBidi"/>
          <w:i w:val="0"/>
          <w:iCs w:val="0"/>
          <w:color w:val="auto"/>
        </w:rPr>
        <w:t xml:space="preserve"> that </w:t>
      </w:r>
      <w:r>
        <w:rPr>
          <w:rFonts w:asciiTheme="minorHAnsi" w:eastAsiaTheme="minorHAnsi" w:hAnsiTheme="minorHAnsi" w:cstheme="minorBidi"/>
          <w:i w:val="0"/>
          <w:iCs w:val="0"/>
          <w:color w:val="auto"/>
        </w:rPr>
        <w:t>exporters</w:t>
      </w:r>
      <w:r w:rsidRPr="00D27C96">
        <w:rPr>
          <w:rFonts w:asciiTheme="minorHAnsi" w:eastAsiaTheme="minorHAnsi" w:hAnsiTheme="minorHAnsi" w:cstheme="minorBidi"/>
          <w:i w:val="0"/>
          <w:iCs w:val="0"/>
          <w:color w:val="auto"/>
        </w:rPr>
        <w:t xml:space="preserve"> can prepare applications using existing data (e.g. production and export data, use of third party gas)</w:t>
      </w:r>
      <w:r>
        <w:rPr>
          <w:rFonts w:asciiTheme="minorHAnsi" w:eastAsiaTheme="minorHAnsi" w:hAnsiTheme="minorHAnsi" w:cstheme="minorBidi"/>
          <w:i w:val="0"/>
          <w:iCs w:val="0"/>
          <w:color w:val="auto"/>
        </w:rPr>
        <w:t>, and that these data would be readily available as part of regular business as usual</w:t>
      </w:r>
      <w:r w:rsidRPr="00D27C96">
        <w:rPr>
          <w:rFonts w:asciiTheme="minorHAnsi" w:eastAsiaTheme="minorHAnsi" w:hAnsiTheme="minorHAnsi" w:cstheme="minorBidi"/>
          <w:i w:val="0"/>
          <w:iCs w:val="0"/>
          <w:color w:val="auto"/>
        </w:rPr>
        <w:t xml:space="preserve">. </w:t>
      </w:r>
      <w:r>
        <w:rPr>
          <w:rFonts w:asciiTheme="minorHAnsi" w:eastAsiaTheme="minorHAnsi" w:hAnsiTheme="minorHAnsi" w:cstheme="minorBidi"/>
          <w:i w:val="0"/>
          <w:iCs w:val="0"/>
          <w:color w:val="auto"/>
        </w:rPr>
        <w:t>This is reasonable because exporters will need to provide the same sort of information to the ACCC, and market forecasters (e.g. AEMO) on a regular basis.</w:t>
      </w:r>
    </w:p>
    <w:p w:rsidR="0066381C" w:rsidRDefault="0066381C" w:rsidP="0066381C">
      <w:pPr>
        <w:pStyle w:val="Heading4"/>
        <w:numPr>
          <w:ilvl w:val="0"/>
          <w:numId w:val="21"/>
        </w:numPr>
        <w:rPr>
          <w:rFonts w:asciiTheme="minorHAnsi" w:eastAsiaTheme="minorHAnsi" w:hAnsiTheme="minorHAnsi" w:cstheme="minorBidi"/>
          <w:i w:val="0"/>
          <w:iCs w:val="0"/>
          <w:color w:val="auto"/>
        </w:rPr>
      </w:pPr>
      <w:r>
        <w:rPr>
          <w:rFonts w:asciiTheme="minorHAnsi" w:eastAsiaTheme="minorHAnsi" w:hAnsiTheme="minorHAnsi" w:cstheme="minorBidi"/>
          <w:i w:val="0"/>
          <w:iCs w:val="0"/>
          <w:color w:val="auto"/>
          <w:u w:val="single"/>
        </w:rPr>
        <w:t>Ongoing r</w:t>
      </w:r>
      <w:r w:rsidRPr="00FD312E">
        <w:rPr>
          <w:rFonts w:asciiTheme="minorHAnsi" w:eastAsiaTheme="minorHAnsi" w:hAnsiTheme="minorHAnsi" w:cstheme="minorBidi"/>
          <w:i w:val="0"/>
          <w:iCs w:val="0"/>
          <w:color w:val="auto"/>
          <w:u w:val="single"/>
        </w:rPr>
        <w:t>eporting or compliance costs</w:t>
      </w:r>
    </w:p>
    <w:p w:rsidR="0066381C" w:rsidRDefault="0066381C" w:rsidP="0066381C">
      <w:pPr>
        <w:pStyle w:val="Heading4"/>
        <w:ind w:left="720"/>
        <w:rPr>
          <w:rFonts w:asciiTheme="minorHAnsi" w:eastAsiaTheme="minorHAnsi" w:hAnsiTheme="minorHAnsi" w:cstheme="minorBidi"/>
          <w:i w:val="0"/>
          <w:iCs w:val="0"/>
          <w:color w:val="auto"/>
        </w:rPr>
      </w:pPr>
      <w:r>
        <w:rPr>
          <w:rFonts w:asciiTheme="minorHAnsi" w:eastAsiaTheme="minorHAnsi" w:hAnsiTheme="minorHAnsi" w:cstheme="minorBidi"/>
          <w:i w:val="0"/>
          <w:iCs w:val="0"/>
          <w:color w:val="auto"/>
        </w:rPr>
        <w:t>This RIS does not</w:t>
      </w:r>
      <w:r w:rsidRPr="00FD312E">
        <w:rPr>
          <w:rFonts w:asciiTheme="minorHAnsi" w:eastAsiaTheme="minorHAnsi" w:hAnsiTheme="minorHAnsi" w:cstheme="minorBidi"/>
          <w:i w:val="0"/>
          <w:iCs w:val="0"/>
          <w:color w:val="auto"/>
        </w:rPr>
        <w:t xml:space="preserve"> envisage any ongoing reporting obligations on LNG exporters. </w:t>
      </w:r>
      <w:r>
        <w:rPr>
          <w:rFonts w:asciiTheme="minorHAnsi" w:eastAsiaTheme="minorHAnsi" w:hAnsiTheme="minorHAnsi" w:cstheme="minorBidi"/>
          <w:i w:val="0"/>
          <w:iCs w:val="0"/>
          <w:color w:val="auto"/>
        </w:rPr>
        <w:t xml:space="preserve">Each LNG exporter </w:t>
      </w:r>
      <w:proofErr w:type="gramStart"/>
      <w:r>
        <w:rPr>
          <w:rFonts w:asciiTheme="minorHAnsi" w:eastAsiaTheme="minorHAnsi" w:hAnsiTheme="minorHAnsi" w:cstheme="minorBidi"/>
          <w:i w:val="0"/>
          <w:iCs w:val="0"/>
          <w:color w:val="auto"/>
        </w:rPr>
        <w:t>is expected</w:t>
      </w:r>
      <w:proofErr w:type="gramEnd"/>
      <w:r>
        <w:rPr>
          <w:rFonts w:asciiTheme="minorHAnsi" w:eastAsiaTheme="minorHAnsi" w:hAnsiTheme="minorHAnsi" w:cstheme="minorBidi"/>
          <w:i w:val="0"/>
          <w:iCs w:val="0"/>
          <w:color w:val="auto"/>
        </w:rPr>
        <w:t xml:space="preserve"> to provide rigorous submissions. The mechanism </w:t>
      </w:r>
      <w:proofErr w:type="gramStart"/>
      <w:r>
        <w:rPr>
          <w:rFonts w:asciiTheme="minorHAnsi" w:eastAsiaTheme="minorHAnsi" w:hAnsiTheme="minorHAnsi" w:cstheme="minorBidi"/>
          <w:i w:val="0"/>
          <w:iCs w:val="0"/>
          <w:color w:val="auto"/>
        </w:rPr>
        <w:t>is not designed</w:t>
      </w:r>
      <w:proofErr w:type="gramEnd"/>
      <w:r>
        <w:rPr>
          <w:rFonts w:asciiTheme="minorHAnsi" w:eastAsiaTheme="minorHAnsi" w:hAnsiTheme="minorHAnsi" w:cstheme="minorBidi"/>
          <w:i w:val="0"/>
          <w:iCs w:val="0"/>
          <w:color w:val="auto"/>
        </w:rPr>
        <w:t xml:space="preserve"> to have a continuous submissions process. </w:t>
      </w:r>
    </w:p>
    <w:p w:rsidR="0066381C" w:rsidRDefault="0066381C" w:rsidP="0066381C">
      <w:pPr>
        <w:pStyle w:val="Heading4"/>
        <w:numPr>
          <w:ilvl w:val="0"/>
          <w:numId w:val="21"/>
        </w:numPr>
        <w:rPr>
          <w:rFonts w:asciiTheme="minorHAnsi" w:eastAsiaTheme="minorHAnsi" w:hAnsiTheme="minorHAnsi" w:cstheme="minorBidi"/>
          <w:i w:val="0"/>
          <w:iCs w:val="0"/>
          <w:color w:val="auto"/>
        </w:rPr>
      </w:pPr>
      <w:r w:rsidRPr="00FD312E">
        <w:rPr>
          <w:rFonts w:asciiTheme="minorHAnsi" w:eastAsiaTheme="minorHAnsi" w:hAnsiTheme="minorHAnsi" w:cstheme="minorBidi"/>
          <w:i w:val="0"/>
          <w:iCs w:val="0"/>
          <w:color w:val="auto"/>
          <w:u w:val="single"/>
        </w:rPr>
        <w:t>Costs of delay</w:t>
      </w:r>
    </w:p>
    <w:p w:rsidR="0066381C" w:rsidRDefault="0066381C" w:rsidP="0066381C">
      <w:pPr>
        <w:pStyle w:val="Heading4"/>
        <w:ind w:left="720"/>
        <w:rPr>
          <w:rFonts w:asciiTheme="minorHAnsi" w:eastAsiaTheme="minorHAnsi" w:hAnsiTheme="minorHAnsi" w:cstheme="minorBidi"/>
          <w:i w:val="0"/>
          <w:iCs w:val="0"/>
          <w:color w:val="auto"/>
        </w:rPr>
      </w:pPr>
      <w:r>
        <w:rPr>
          <w:rFonts w:asciiTheme="minorHAnsi" w:eastAsiaTheme="minorHAnsi" w:hAnsiTheme="minorHAnsi" w:cstheme="minorBidi"/>
          <w:i w:val="0"/>
          <w:iCs w:val="0"/>
          <w:color w:val="auto"/>
        </w:rPr>
        <w:t xml:space="preserve">The costing model assumes that enough time </w:t>
      </w:r>
      <w:proofErr w:type="gramStart"/>
      <w:r>
        <w:rPr>
          <w:rFonts w:asciiTheme="minorHAnsi" w:eastAsiaTheme="minorHAnsi" w:hAnsiTheme="minorHAnsi" w:cstheme="minorBidi"/>
          <w:i w:val="0"/>
          <w:iCs w:val="0"/>
          <w:color w:val="auto"/>
        </w:rPr>
        <w:t>is built</w:t>
      </w:r>
      <w:proofErr w:type="gramEnd"/>
      <w:r>
        <w:rPr>
          <w:rFonts w:asciiTheme="minorHAnsi" w:eastAsiaTheme="minorHAnsi" w:hAnsiTheme="minorHAnsi" w:cstheme="minorBidi"/>
          <w:i w:val="0"/>
          <w:iCs w:val="0"/>
          <w:color w:val="auto"/>
        </w:rPr>
        <w:t xml:space="preserve"> into the ADGSM process to avoid interfering with “business as usual” activities, like negotiating shipping schedules.</w:t>
      </w:r>
    </w:p>
    <w:p w:rsidR="0066381C" w:rsidRPr="004B191F" w:rsidRDefault="0066381C" w:rsidP="0066381C">
      <w:pPr>
        <w:pStyle w:val="Heading4"/>
        <w:numPr>
          <w:ilvl w:val="0"/>
          <w:numId w:val="21"/>
        </w:numPr>
        <w:rPr>
          <w:rFonts w:asciiTheme="minorHAnsi" w:eastAsiaTheme="minorHAnsi" w:hAnsiTheme="minorHAnsi" w:cstheme="minorBidi"/>
          <w:i w:val="0"/>
          <w:iCs w:val="0"/>
          <w:color w:val="auto"/>
        </w:rPr>
      </w:pPr>
      <w:r w:rsidRPr="00FD312E">
        <w:rPr>
          <w:rFonts w:asciiTheme="minorHAnsi" w:eastAsiaTheme="minorHAnsi" w:hAnsiTheme="minorHAnsi" w:cstheme="minorBidi"/>
          <w:i w:val="0"/>
          <w:color w:val="auto"/>
          <w:u w:val="single"/>
        </w:rPr>
        <w:t>Costs to government</w:t>
      </w:r>
    </w:p>
    <w:p w:rsidR="0066381C" w:rsidRPr="0091549F" w:rsidRDefault="0066381C" w:rsidP="0066381C">
      <w:pPr>
        <w:pStyle w:val="Heading4"/>
        <w:ind w:left="720"/>
      </w:pPr>
      <w:r w:rsidRPr="00407AF1">
        <w:rPr>
          <w:rFonts w:asciiTheme="minorHAnsi" w:eastAsiaTheme="minorHAnsi" w:hAnsiTheme="minorHAnsi" w:cstheme="minorBidi"/>
          <w:i w:val="0"/>
          <w:color w:val="auto"/>
        </w:rPr>
        <w:t>The costs of establishing a new licenc</w:t>
      </w:r>
      <w:r w:rsidRPr="0009110F">
        <w:rPr>
          <w:rFonts w:asciiTheme="minorHAnsi" w:eastAsiaTheme="minorHAnsi" w:hAnsiTheme="minorHAnsi" w:cstheme="minorBidi"/>
          <w:i w:val="0"/>
          <w:color w:val="auto"/>
        </w:rPr>
        <w:t xml:space="preserve">ing </w:t>
      </w:r>
      <w:proofErr w:type="gramStart"/>
      <w:r w:rsidRPr="0009110F">
        <w:rPr>
          <w:rFonts w:asciiTheme="minorHAnsi" w:eastAsiaTheme="minorHAnsi" w:hAnsiTheme="minorHAnsi" w:cstheme="minorBidi"/>
          <w:i w:val="0"/>
          <w:color w:val="auto"/>
        </w:rPr>
        <w:t>framework,</w:t>
      </w:r>
      <w:proofErr w:type="gramEnd"/>
      <w:r w:rsidRPr="0009110F">
        <w:rPr>
          <w:rFonts w:asciiTheme="minorHAnsi" w:eastAsiaTheme="minorHAnsi" w:hAnsiTheme="minorHAnsi" w:cstheme="minorBidi"/>
          <w:i w:val="0"/>
          <w:color w:val="auto"/>
        </w:rPr>
        <w:t xml:space="preserve"> and of the government’s internal assessment of an export application are outside the scope of the Regulatory Burden Measurement Framework, and have not been quantified.</w:t>
      </w:r>
    </w:p>
    <w:p w:rsidR="0066381C" w:rsidRDefault="0066381C" w:rsidP="0066381C">
      <w:pPr>
        <w:pStyle w:val="Heading4"/>
        <w:ind w:left="720"/>
      </w:pPr>
    </w:p>
    <w:p w:rsidR="0071601C" w:rsidRDefault="0071601C">
      <w:pPr>
        <w:spacing w:after="160" w:line="259" w:lineRule="auto"/>
        <w:rPr>
          <w:rFonts w:ascii="Times New Roman" w:hAnsi="Times New Roman" w:cs="Times New Roman"/>
          <w:b/>
          <w:sz w:val="24"/>
          <w:szCs w:val="24"/>
          <w:u w:val="single"/>
        </w:rPr>
      </w:pPr>
    </w:p>
    <w:p w:rsidR="00BE2948" w:rsidRDefault="00BE2948" w:rsidP="00BE2948">
      <w:pPr>
        <w:spacing w:before="240" w:after="240"/>
        <w:rPr>
          <w:rFonts w:ascii="Times New Roman" w:hAnsi="Times New Roman" w:cs="Times New Roman"/>
          <w:b/>
          <w:sz w:val="24"/>
          <w:szCs w:val="24"/>
          <w:u w:val="single"/>
        </w:rPr>
        <w:sectPr w:rsidR="00BE2948">
          <w:footerReference w:type="default" r:id="rId17"/>
          <w:pgSz w:w="11906" w:h="16838"/>
          <w:pgMar w:top="1440" w:right="1440" w:bottom="1440" w:left="1440" w:header="708" w:footer="708" w:gutter="0"/>
          <w:cols w:space="708"/>
          <w:docGrid w:linePitch="360"/>
        </w:sectPr>
      </w:pPr>
    </w:p>
    <w:p w:rsidR="00BE2948" w:rsidRPr="00297F0C" w:rsidRDefault="00BE2948" w:rsidP="00BE2948">
      <w:pPr>
        <w:spacing w:before="240" w:after="240"/>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Details of the </w:t>
      </w:r>
      <w:r w:rsidRPr="00297F0C">
        <w:rPr>
          <w:rFonts w:ascii="Times New Roman" w:hAnsi="Times New Roman" w:cs="Times New Roman"/>
          <w:b/>
          <w:i/>
          <w:sz w:val="24"/>
          <w:szCs w:val="24"/>
          <w:u w:val="single"/>
        </w:rPr>
        <w:t>Customs (Prohibited Exports) Amendment (Liquefied Natural Gas) Regulation</w:t>
      </w:r>
      <w:r>
        <w:rPr>
          <w:rFonts w:ascii="Times New Roman" w:hAnsi="Times New Roman" w:cs="Times New Roman"/>
          <w:b/>
          <w:i/>
          <w:sz w:val="24"/>
          <w:szCs w:val="24"/>
          <w:u w:val="single"/>
        </w:rPr>
        <w:t>s</w:t>
      </w:r>
      <w:r w:rsidRPr="00297F0C">
        <w:rPr>
          <w:rFonts w:ascii="Times New Roman" w:hAnsi="Times New Roman" w:cs="Times New Roman"/>
          <w:b/>
          <w:i/>
          <w:sz w:val="24"/>
          <w:szCs w:val="24"/>
          <w:u w:val="single"/>
        </w:rPr>
        <w:t xml:space="preserve"> 2017</w:t>
      </w:r>
    </w:p>
    <w:p w:rsidR="00BE2948" w:rsidRPr="006745C3" w:rsidRDefault="00BE2948" w:rsidP="00BE2948">
      <w:pPr>
        <w:spacing w:before="360"/>
        <w:rPr>
          <w:rFonts w:ascii="Times New Roman" w:hAnsi="Times New Roman" w:cs="Times New Roman"/>
          <w:b/>
          <w:sz w:val="24"/>
          <w:szCs w:val="24"/>
        </w:rPr>
      </w:pPr>
      <w:r>
        <w:rPr>
          <w:rFonts w:ascii="Times New Roman" w:hAnsi="Times New Roman" w:cs="Times New Roman"/>
          <w:b/>
          <w:sz w:val="24"/>
          <w:szCs w:val="24"/>
        </w:rPr>
        <w:t>Section</w:t>
      </w:r>
      <w:r w:rsidRPr="006745C3">
        <w:rPr>
          <w:rFonts w:ascii="Times New Roman" w:hAnsi="Times New Roman" w:cs="Times New Roman"/>
          <w:b/>
          <w:sz w:val="24"/>
          <w:szCs w:val="24"/>
        </w:rPr>
        <w:t xml:space="preserve"> 1 – Name </w:t>
      </w:r>
    </w:p>
    <w:p w:rsidR="00BE2948" w:rsidRPr="00297F0C" w:rsidRDefault="00BE2948" w:rsidP="00BE2948">
      <w:pPr>
        <w:spacing w:before="240"/>
        <w:rPr>
          <w:rFonts w:ascii="Times New Roman" w:hAnsi="Times New Roman" w:cs="Times New Roman"/>
          <w:sz w:val="24"/>
          <w:szCs w:val="24"/>
        </w:rPr>
      </w:pPr>
      <w:r w:rsidRPr="00297F0C">
        <w:rPr>
          <w:rFonts w:ascii="Times New Roman" w:hAnsi="Times New Roman" w:cs="Times New Roman"/>
          <w:sz w:val="24"/>
          <w:szCs w:val="24"/>
        </w:rPr>
        <w:t xml:space="preserve">This </w:t>
      </w:r>
      <w:r>
        <w:rPr>
          <w:rFonts w:ascii="Times New Roman" w:hAnsi="Times New Roman" w:cs="Times New Roman"/>
          <w:sz w:val="24"/>
          <w:szCs w:val="24"/>
        </w:rPr>
        <w:t xml:space="preserve">section </w:t>
      </w:r>
      <w:r w:rsidRPr="00297F0C">
        <w:rPr>
          <w:rFonts w:ascii="Times New Roman" w:hAnsi="Times New Roman" w:cs="Times New Roman"/>
          <w:sz w:val="24"/>
          <w:szCs w:val="24"/>
        </w:rPr>
        <w:t xml:space="preserve">specifies the name of the </w:t>
      </w:r>
      <w:r>
        <w:rPr>
          <w:rFonts w:ascii="Times New Roman" w:hAnsi="Times New Roman" w:cs="Times New Roman"/>
          <w:sz w:val="24"/>
          <w:szCs w:val="24"/>
        </w:rPr>
        <w:t>Regulations</w:t>
      </w:r>
      <w:r w:rsidRPr="00297F0C">
        <w:rPr>
          <w:rFonts w:ascii="Times New Roman" w:hAnsi="Times New Roman" w:cs="Times New Roman"/>
          <w:sz w:val="24"/>
          <w:szCs w:val="24"/>
        </w:rPr>
        <w:t xml:space="preserve"> as the </w:t>
      </w:r>
      <w:r w:rsidRPr="00297F0C">
        <w:rPr>
          <w:rFonts w:ascii="Times New Roman" w:hAnsi="Times New Roman" w:cs="Times New Roman"/>
          <w:i/>
          <w:sz w:val="24"/>
          <w:szCs w:val="24"/>
        </w:rPr>
        <w:t>Customs (Prohibited Exports) Amendment (Liquefied Natural Gas) Regulation</w:t>
      </w:r>
      <w:r>
        <w:rPr>
          <w:rFonts w:ascii="Times New Roman" w:hAnsi="Times New Roman" w:cs="Times New Roman"/>
          <w:i/>
          <w:sz w:val="24"/>
          <w:szCs w:val="24"/>
        </w:rPr>
        <w:t>s</w:t>
      </w:r>
      <w:r w:rsidRPr="00297F0C">
        <w:rPr>
          <w:rFonts w:ascii="Times New Roman" w:hAnsi="Times New Roman" w:cs="Times New Roman"/>
          <w:i/>
          <w:sz w:val="24"/>
          <w:szCs w:val="24"/>
        </w:rPr>
        <w:t xml:space="preserve"> 2017.</w:t>
      </w:r>
    </w:p>
    <w:p w:rsidR="00BE2948" w:rsidRPr="006745C3" w:rsidRDefault="00BE2948" w:rsidP="00BE2948">
      <w:pPr>
        <w:tabs>
          <w:tab w:val="left" w:pos="5220"/>
        </w:tabs>
        <w:spacing w:before="240"/>
        <w:rPr>
          <w:rFonts w:ascii="Times New Roman" w:hAnsi="Times New Roman" w:cs="Times New Roman"/>
          <w:b/>
          <w:sz w:val="24"/>
          <w:szCs w:val="24"/>
        </w:rPr>
      </w:pPr>
      <w:r>
        <w:rPr>
          <w:rFonts w:ascii="Times New Roman" w:hAnsi="Times New Roman" w:cs="Times New Roman"/>
          <w:b/>
          <w:sz w:val="24"/>
          <w:szCs w:val="24"/>
        </w:rPr>
        <w:t>Section</w:t>
      </w:r>
      <w:r w:rsidRPr="006745C3">
        <w:rPr>
          <w:rFonts w:ascii="Times New Roman" w:hAnsi="Times New Roman" w:cs="Times New Roman"/>
          <w:b/>
          <w:sz w:val="24"/>
          <w:szCs w:val="24"/>
        </w:rPr>
        <w:t xml:space="preserve"> </w:t>
      </w:r>
      <w:r>
        <w:rPr>
          <w:rFonts w:ascii="Times New Roman" w:hAnsi="Times New Roman" w:cs="Times New Roman"/>
          <w:b/>
          <w:sz w:val="24"/>
          <w:szCs w:val="24"/>
        </w:rPr>
        <w:t>2</w:t>
      </w:r>
      <w:r w:rsidRPr="006745C3">
        <w:rPr>
          <w:rFonts w:ascii="Times New Roman" w:hAnsi="Times New Roman" w:cs="Times New Roman"/>
          <w:b/>
          <w:sz w:val="24"/>
          <w:szCs w:val="24"/>
        </w:rPr>
        <w:t xml:space="preserve"> – Commencement</w:t>
      </w:r>
    </w:p>
    <w:p w:rsidR="00BE2948" w:rsidRPr="006745C3" w:rsidRDefault="00BE2948" w:rsidP="00BE2948">
      <w:pPr>
        <w:spacing w:before="240" w:after="100" w:afterAutospacing="1"/>
        <w:rPr>
          <w:rFonts w:ascii="Times New Roman" w:hAnsi="Times New Roman" w:cs="Times New Roman"/>
          <w:sz w:val="24"/>
          <w:szCs w:val="24"/>
        </w:rPr>
      </w:pPr>
      <w:r w:rsidRPr="006745C3">
        <w:rPr>
          <w:rFonts w:ascii="Times New Roman" w:hAnsi="Times New Roman" w:cs="Times New Roman"/>
          <w:sz w:val="24"/>
          <w:szCs w:val="24"/>
        </w:rPr>
        <w:t xml:space="preserve">This </w:t>
      </w:r>
      <w:r>
        <w:rPr>
          <w:rFonts w:ascii="Times New Roman" w:hAnsi="Times New Roman" w:cs="Times New Roman"/>
          <w:sz w:val="24"/>
          <w:szCs w:val="24"/>
        </w:rPr>
        <w:t xml:space="preserve">section </w:t>
      </w:r>
      <w:r w:rsidRPr="006745C3">
        <w:rPr>
          <w:rFonts w:ascii="Times New Roman" w:hAnsi="Times New Roman" w:cs="Times New Roman"/>
          <w:sz w:val="24"/>
          <w:szCs w:val="24"/>
        </w:rPr>
        <w:t xml:space="preserve">provides that the </w:t>
      </w:r>
      <w:r>
        <w:rPr>
          <w:rFonts w:ascii="Times New Roman" w:hAnsi="Times New Roman" w:cs="Times New Roman"/>
          <w:sz w:val="24"/>
          <w:szCs w:val="24"/>
        </w:rPr>
        <w:t>Amendment Regulations commence</w:t>
      </w:r>
      <w:r w:rsidRPr="006745C3">
        <w:rPr>
          <w:rFonts w:ascii="Times New Roman" w:hAnsi="Times New Roman" w:cs="Times New Roman"/>
          <w:sz w:val="24"/>
          <w:szCs w:val="24"/>
        </w:rPr>
        <w:t xml:space="preserve"> </w:t>
      </w:r>
      <w:r>
        <w:rPr>
          <w:rFonts w:ascii="Times New Roman" w:hAnsi="Times New Roman" w:cs="Times New Roman"/>
          <w:sz w:val="24"/>
          <w:szCs w:val="24"/>
        </w:rPr>
        <w:t xml:space="preserve">the day after they </w:t>
      </w:r>
      <w:proofErr w:type="gramStart"/>
      <w:r>
        <w:rPr>
          <w:rFonts w:ascii="Times New Roman" w:hAnsi="Times New Roman" w:cs="Times New Roman"/>
          <w:sz w:val="24"/>
          <w:szCs w:val="24"/>
        </w:rPr>
        <w:t>are registered</w:t>
      </w:r>
      <w:proofErr w:type="gramEnd"/>
      <w:r>
        <w:rPr>
          <w:rFonts w:ascii="Times New Roman" w:hAnsi="Times New Roman" w:cs="Times New Roman"/>
          <w:sz w:val="24"/>
          <w:szCs w:val="24"/>
        </w:rPr>
        <w:t xml:space="preserve"> on the Federal Register of Legislation</w:t>
      </w:r>
      <w:r w:rsidRPr="006745C3">
        <w:rPr>
          <w:rFonts w:ascii="Times New Roman" w:hAnsi="Times New Roman" w:cs="Times New Roman"/>
          <w:sz w:val="24"/>
          <w:szCs w:val="24"/>
        </w:rPr>
        <w:t>.</w:t>
      </w:r>
    </w:p>
    <w:p w:rsidR="00BE2948" w:rsidRPr="006745C3" w:rsidRDefault="00BE2948" w:rsidP="00BE2948">
      <w:pPr>
        <w:tabs>
          <w:tab w:val="left" w:pos="2610"/>
        </w:tabs>
        <w:spacing w:before="240"/>
        <w:rPr>
          <w:rFonts w:ascii="Times New Roman" w:hAnsi="Times New Roman" w:cs="Times New Roman"/>
          <w:b/>
          <w:sz w:val="24"/>
          <w:szCs w:val="24"/>
        </w:rPr>
      </w:pPr>
      <w:r>
        <w:rPr>
          <w:rFonts w:ascii="Times New Roman" w:hAnsi="Times New Roman" w:cs="Times New Roman"/>
          <w:b/>
          <w:sz w:val="24"/>
          <w:szCs w:val="24"/>
        </w:rPr>
        <w:t>Section 3</w:t>
      </w:r>
      <w:r w:rsidRPr="006745C3">
        <w:rPr>
          <w:rFonts w:ascii="Times New Roman" w:hAnsi="Times New Roman" w:cs="Times New Roman"/>
          <w:b/>
          <w:sz w:val="24"/>
          <w:szCs w:val="24"/>
        </w:rPr>
        <w:t xml:space="preserve"> – Authority</w:t>
      </w:r>
    </w:p>
    <w:p w:rsidR="00BE2948" w:rsidRDefault="00BE2948" w:rsidP="00BE2948">
      <w:pPr>
        <w:spacing w:before="240"/>
        <w:rPr>
          <w:rFonts w:ascii="Times New Roman" w:hAnsi="Times New Roman" w:cs="Times New Roman"/>
          <w:sz w:val="24"/>
          <w:szCs w:val="24"/>
        </w:rPr>
      </w:pPr>
      <w:r w:rsidRPr="006745C3">
        <w:rPr>
          <w:rFonts w:ascii="Times New Roman" w:hAnsi="Times New Roman" w:cs="Times New Roman"/>
          <w:sz w:val="24"/>
          <w:szCs w:val="24"/>
        </w:rPr>
        <w:t>This s</w:t>
      </w:r>
      <w:r>
        <w:rPr>
          <w:rFonts w:ascii="Times New Roman" w:hAnsi="Times New Roman" w:cs="Times New Roman"/>
          <w:sz w:val="24"/>
          <w:szCs w:val="24"/>
        </w:rPr>
        <w:t>ection s</w:t>
      </w:r>
      <w:r w:rsidRPr="006745C3">
        <w:rPr>
          <w:rFonts w:ascii="Times New Roman" w:hAnsi="Times New Roman" w:cs="Times New Roman"/>
          <w:sz w:val="24"/>
          <w:szCs w:val="24"/>
        </w:rPr>
        <w:t>ets out th</w:t>
      </w:r>
      <w:r>
        <w:rPr>
          <w:rFonts w:ascii="Times New Roman" w:hAnsi="Times New Roman" w:cs="Times New Roman"/>
          <w:sz w:val="24"/>
          <w:szCs w:val="24"/>
        </w:rPr>
        <w:t xml:space="preserve">at the Amendment Regulations </w:t>
      </w:r>
      <w:proofErr w:type="gramStart"/>
      <w:r>
        <w:rPr>
          <w:rFonts w:ascii="Times New Roman" w:hAnsi="Times New Roman" w:cs="Times New Roman"/>
          <w:sz w:val="24"/>
          <w:szCs w:val="24"/>
        </w:rPr>
        <w:t>are made</w:t>
      </w:r>
      <w:proofErr w:type="gramEnd"/>
      <w:r>
        <w:rPr>
          <w:rFonts w:ascii="Times New Roman" w:hAnsi="Times New Roman" w:cs="Times New Roman"/>
          <w:sz w:val="24"/>
          <w:szCs w:val="24"/>
        </w:rPr>
        <w:t xml:space="preserve"> under the </w:t>
      </w:r>
      <w:r>
        <w:rPr>
          <w:rFonts w:ascii="Times New Roman" w:hAnsi="Times New Roman" w:cs="Times New Roman"/>
          <w:i/>
          <w:sz w:val="24"/>
          <w:szCs w:val="24"/>
        </w:rPr>
        <w:t>Customs Act 1901</w:t>
      </w:r>
      <w:r w:rsidRPr="006745C3">
        <w:rPr>
          <w:rFonts w:ascii="Times New Roman" w:hAnsi="Times New Roman" w:cs="Times New Roman"/>
          <w:sz w:val="24"/>
          <w:szCs w:val="24"/>
        </w:rPr>
        <w:t>.</w:t>
      </w:r>
    </w:p>
    <w:p w:rsidR="00BE2948" w:rsidRDefault="00BE2948" w:rsidP="00BE2948">
      <w:pPr>
        <w:spacing w:before="240"/>
        <w:rPr>
          <w:rFonts w:ascii="Times New Roman" w:hAnsi="Times New Roman" w:cs="Times New Roman"/>
          <w:b/>
          <w:sz w:val="24"/>
          <w:szCs w:val="24"/>
        </w:rPr>
      </w:pPr>
      <w:r>
        <w:rPr>
          <w:rFonts w:ascii="Times New Roman" w:hAnsi="Times New Roman" w:cs="Times New Roman"/>
          <w:b/>
          <w:sz w:val="24"/>
          <w:szCs w:val="24"/>
        </w:rPr>
        <w:t>Section 4 – Schedules</w:t>
      </w:r>
    </w:p>
    <w:p w:rsidR="00BE2948" w:rsidRDefault="00BE2948" w:rsidP="00BE2948">
      <w:pPr>
        <w:spacing w:before="240"/>
        <w:rPr>
          <w:rFonts w:ascii="Times New Roman" w:hAnsi="Times New Roman" w:cs="Times New Roman"/>
          <w:sz w:val="24"/>
          <w:szCs w:val="24"/>
        </w:rPr>
      </w:pPr>
      <w:r w:rsidRPr="006745C3">
        <w:rPr>
          <w:rFonts w:ascii="Times New Roman" w:hAnsi="Times New Roman" w:cs="Times New Roman"/>
          <w:sz w:val="24"/>
          <w:szCs w:val="24"/>
        </w:rPr>
        <w:t xml:space="preserve">This </w:t>
      </w:r>
      <w:r>
        <w:rPr>
          <w:rFonts w:ascii="Times New Roman" w:hAnsi="Times New Roman" w:cs="Times New Roman"/>
          <w:sz w:val="24"/>
          <w:szCs w:val="24"/>
        </w:rPr>
        <w:t xml:space="preserve">section </w:t>
      </w:r>
      <w:r w:rsidR="00003729">
        <w:rPr>
          <w:rFonts w:ascii="Times New Roman" w:hAnsi="Times New Roman" w:cs="Times New Roman"/>
          <w:sz w:val="24"/>
          <w:szCs w:val="24"/>
        </w:rPr>
        <w:t xml:space="preserve">is a machinery clause that enables </w:t>
      </w:r>
      <w:r>
        <w:rPr>
          <w:rFonts w:ascii="Times New Roman" w:hAnsi="Times New Roman" w:cs="Times New Roman"/>
          <w:sz w:val="24"/>
          <w:szCs w:val="24"/>
        </w:rPr>
        <w:t xml:space="preserve">the Schedule to </w:t>
      </w:r>
      <w:r w:rsidR="00003729">
        <w:rPr>
          <w:rFonts w:ascii="Times New Roman" w:hAnsi="Times New Roman" w:cs="Times New Roman"/>
          <w:sz w:val="24"/>
          <w:szCs w:val="24"/>
        </w:rPr>
        <w:t xml:space="preserve">amend </w:t>
      </w:r>
      <w:r>
        <w:rPr>
          <w:rFonts w:ascii="Times New Roman" w:hAnsi="Times New Roman" w:cs="Times New Roman"/>
          <w:sz w:val="24"/>
          <w:szCs w:val="24"/>
        </w:rPr>
        <w:t xml:space="preserve">the Regulations. </w:t>
      </w:r>
      <w:r w:rsidR="00003729">
        <w:rPr>
          <w:rFonts w:ascii="Times New Roman" w:hAnsi="Times New Roman" w:cs="Times New Roman"/>
          <w:sz w:val="24"/>
          <w:szCs w:val="24"/>
        </w:rPr>
        <w:t>The Amendment Regulations contain one schedule.</w:t>
      </w:r>
    </w:p>
    <w:p w:rsidR="00BE2948" w:rsidRDefault="00BE2948" w:rsidP="00BE2948">
      <w:pPr>
        <w:spacing w:before="240" w:after="240"/>
        <w:rPr>
          <w:rFonts w:ascii="Times New Roman" w:hAnsi="Times New Roman" w:cs="Times New Roman"/>
          <w:b/>
          <w:sz w:val="24"/>
          <w:szCs w:val="24"/>
        </w:rPr>
      </w:pPr>
      <w:r>
        <w:rPr>
          <w:rFonts w:ascii="Times New Roman" w:hAnsi="Times New Roman" w:cs="Times New Roman"/>
          <w:b/>
          <w:sz w:val="24"/>
          <w:szCs w:val="24"/>
          <w:u w:val="single"/>
        </w:rPr>
        <w:t xml:space="preserve">Schedule 1 </w:t>
      </w:r>
      <w:r w:rsidRPr="000A7995">
        <w:rPr>
          <w:rFonts w:ascii="Times New Roman" w:hAnsi="Times New Roman" w:cs="Times New Roman"/>
          <w:b/>
          <w:sz w:val="24"/>
          <w:szCs w:val="24"/>
          <w:u w:val="single"/>
        </w:rPr>
        <w:t>– Amendments</w:t>
      </w:r>
      <w:r w:rsidRPr="008E11FC">
        <w:rPr>
          <w:rFonts w:ascii="Times New Roman" w:hAnsi="Times New Roman" w:cs="Times New Roman"/>
          <w:b/>
          <w:sz w:val="24"/>
          <w:szCs w:val="24"/>
        </w:rPr>
        <w:t xml:space="preserve"> </w:t>
      </w:r>
    </w:p>
    <w:p w:rsidR="00BE2948" w:rsidRDefault="00BE2948" w:rsidP="00BE2948">
      <w:pPr>
        <w:spacing w:before="240" w:after="240"/>
        <w:rPr>
          <w:rFonts w:ascii="Times New Roman" w:hAnsi="Times New Roman" w:cs="Times New Roman"/>
          <w:b/>
          <w:sz w:val="24"/>
          <w:szCs w:val="24"/>
        </w:rPr>
      </w:pPr>
      <w:r>
        <w:rPr>
          <w:rFonts w:ascii="Times New Roman" w:hAnsi="Times New Roman" w:cs="Times New Roman"/>
          <w:b/>
          <w:i/>
          <w:sz w:val="24"/>
          <w:szCs w:val="24"/>
        </w:rPr>
        <w:t>Customs (Prohibited Exports) Regulations 1958</w:t>
      </w:r>
    </w:p>
    <w:p w:rsidR="00BE2948" w:rsidRDefault="00BE2948" w:rsidP="00BE2948">
      <w:pPr>
        <w:spacing w:before="240" w:after="240"/>
        <w:rPr>
          <w:rFonts w:ascii="Times New Roman" w:hAnsi="Times New Roman" w:cs="Times New Roman"/>
          <w:sz w:val="24"/>
          <w:szCs w:val="24"/>
          <w:u w:val="single"/>
        </w:rPr>
      </w:pPr>
      <w:r>
        <w:rPr>
          <w:rFonts w:ascii="Times New Roman" w:hAnsi="Times New Roman" w:cs="Times New Roman"/>
          <w:sz w:val="24"/>
          <w:szCs w:val="24"/>
          <w:u w:val="single"/>
        </w:rPr>
        <w:t xml:space="preserve">Item </w:t>
      </w:r>
      <w:proofErr w:type="gramStart"/>
      <w:r>
        <w:rPr>
          <w:rFonts w:ascii="Times New Roman" w:hAnsi="Times New Roman" w:cs="Times New Roman"/>
          <w:sz w:val="24"/>
          <w:szCs w:val="24"/>
          <w:u w:val="single"/>
        </w:rPr>
        <w:t>1</w:t>
      </w:r>
      <w:proofErr w:type="gramEnd"/>
      <w:r>
        <w:rPr>
          <w:rFonts w:ascii="Times New Roman" w:hAnsi="Times New Roman" w:cs="Times New Roman"/>
          <w:sz w:val="24"/>
          <w:szCs w:val="24"/>
          <w:u w:val="single"/>
        </w:rPr>
        <w:t xml:space="preserve"> – At the end of Part 3</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This item inserts a new Division 6 into the </w:t>
      </w:r>
      <w:r>
        <w:rPr>
          <w:rFonts w:ascii="Times New Roman" w:hAnsi="Times New Roman" w:cs="Times New Roman"/>
          <w:i/>
          <w:sz w:val="24"/>
          <w:szCs w:val="24"/>
        </w:rPr>
        <w:t>Customs (Prohibited Exports) Regulations 1958</w:t>
      </w:r>
      <w:r>
        <w:rPr>
          <w:rFonts w:ascii="Times New Roman" w:hAnsi="Times New Roman" w:cs="Times New Roman"/>
          <w:sz w:val="24"/>
          <w:szCs w:val="24"/>
        </w:rPr>
        <w:t xml:space="preserve">. Division 6 creates a framework for the prohibition of exports of LNG in circumstances where </w:t>
      </w:r>
      <w:r w:rsidR="00DE4869">
        <w:rPr>
          <w:rFonts w:ascii="Times New Roman" w:hAnsi="Times New Roman" w:cs="Times New Roman"/>
          <w:sz w:val="24"/>
          <w:szCs w:val="24"/>
        </w:rPr>
        <w:t>the Resources Minister</w:t>
      </w:r>
      <w:r w:rsidR="00714619">
        <w:rPr>
          <w:rFonts w:ascii="Times New Roman" w:hAnsi="Times New Roman" w:cs="Times New Roman"/>
          <w:sz w:val="24"/>
          <w:szCs w:val="24"/>
        </w:rPr>
        <w:t xml:space="preserve"> reasonably believes there will not be a sufficient supply of gas in the Australian domestic gas market, or a part of the Australian domestic market, unless exports of LNG are controlled.</w:t>
      </w:r>
      <w:r>
        <w:rPr>
          <w:rFonts w:ascii="Times New Roman" w:hAnsi="Times New Roman" w:cs="Times New Roman"/>
          <w:sz w:val="24"/>
          <w:szCs w:val="24"/>
        </w:rPr>
        <w:t xml:space="preserve"> Division 6 includes the following provisions. </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i/>
          <w:sz w:val="24"/>
          <w:szCs w:val="24"/>
          <w:u w:val="single"/>
        </w:rPr>
        <w:t>Regulation 13GB Definitions</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This regulation sets out definitions of </w:t>
      </w:r>
      <w:proofErr w:type="gramStart"/>
      <w:r>
        <w:rPr>
          <w:rFonts w:ascii="Times New Roman" w:hAnsi="Times New Roman" w:cs="Times New Roman"/>
          <w:sz w:val="24"/>
          <w:szCs w:val="24"/>
        </w:rPr>
        <w:t>terms which</w:t>
      </w:r>
      <w:proofErr w:type="gramEnd"/>
      <w:r>
        <w:rPr>
          <w:rFonts w:ascii="Times New Roman" w:hAnsi="Times New Roman" w:cs="Times New Roman"/>
          <w:sz w:val="24"/>
          <w:szCs w:val="24"/>
        </w:rPr>
        <w:t xml:space="preserve"> are used in the new Division 6. </w:t>
      </w:r>
    </w:p>
    <w:p w:rsidR="00BE2948" w:rsidRPr="002A28B2" w:rsidRDefault="00BE2948" w:rsidP="00BB17AC">
      <w:pPr>
        <w:keepNext/>
        <w:spacing w:before="240" w:after="240"/>
        <w:rPr>
          <w:rFonts w:ascii="Times New Roman" w:hAnsi="Times New Roman" w:cs="Times New Roman"/>
          <w:i/>
          <w:sz w:val="24"/>
          <w:szCs w:val="24"/>
          <w:u w:val="single"/>
        </w:rPr>
      </w:pPr>
      <w:r>
        <w:rPr>
          <w:rFonts w:ascii="Times New Roman" w:hAnsi="Times New Roman" w:cs="Times New Roman"/>
          <w:i/>
          <w:sz w:val="24"/>
          <w:szCs w:val="24"/>
          <w:u w:val="single"/>
        </w:rPr>
        <w:t>Regulation 13GC Export prohibited during domestic shortfall years</w:t>
      </w:r>
    </w:p>
    <w:p w:rsidR="00BE2948" w:rsidRDefault="00BE2948" w:rsidP="00BE2948">
      <w:pPr>
        <w:spacing w:before="240" w:after="240"/>
        <w:rPr>
          <w:rFonts w:ascii="Times New Roman" w:hAnsi="Times New Roman" w:cs="Times New Roman"/>
          <w:i/>
          <w:sz w:val="24"/>
          <w:szCs w:val="24"/>
        </w:rPr>
      </w:pPr>
      <w:r>
        <w:rPr>
          <w:rFonts w:ascii="Times New Roman" w:hAnsi="Times New Roman" w:cs="Times New Roman"/>
          <w:sz w:val="24"/>
          <w:szCs w:val="24"/>
        </w:rPr>
        <w:t xml:space="preserve">This regulation provides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the prohibition of exportation of LNG in a domestic shortfall year without a permission; the ability for the Resources Minister or an authorised officer to grant permissions to export LNG; the ability for conditions to be imposed on a permission; and the imposition of obligations on the holder of a permission to comply with conditions imposed. This </w:t>
      </w:r>
      <w:r w:rsidR="00854858">
        <w:rPr>
          <w:rFonts w:ascii="Times New Roman" w:hAnsi="Times New Roman" w:cs="Times New Roman"/>
          <w:sz w:val="24"/>
          <w:szCs w:val="24"/>
        </w:rPr>
        <w:t>regulation</w:t>
      </w:r>
      <w:r>
        <w:rPr>
          <w:rFonts w:ascii="Times New Roman" w:hAnsi="Times New Roman" w:cs="Times New Roman"/>
          <w:sz w:val="24"/>
          <w:szCs w:val="24"/>
        </w:rPr>
        <w:t xml:space="preserve"> contains the following </w:t>
      </w:r>
      <w:proofErr w:type="spellStart"/>
      <w:r>
        <w:rPr>
          <w:rFonts w:ascii="Times New Roman" w:hAnsi="Times New Roman" w:cs="Times New Roman"/>
          <w:sz w:val="24"/>
          <w:szCs w:val="24"/>
        </w:rPr>
        <w:t>subregulations</w:t>
      </w:r>
      <w:proofErr w:type="spellEnd"/>
      <w:r>
        <w:rPr>
          <w:rFonts w:ascii="Times New Roman" w:hAnsi="Times New Roman" w:cs="Times New Roman"/>
          <w:sz w:val="24"/>
          <w:szCs w:val="24"/>
        </w:rPr>
        <w:t xml:space="preserve">. </w:t>
      </w:r>
    </w:p>
    <w:p w:rsidR="00BE2948" w:rsidRPr="002A28B2" w:rsidRDefault="00BE2948" w:rsidP="00BB17AC">
      <w:pPr>
        <w:keepNext/>
        <w:spacing w:before="240" w:after="240"/>
        <w:rPr>
          <w:rFonts w:ascii="Times New Roman" w:hAnsi="Times New Roman" w:cs="Times New Roman"/>
          <w:i/>
          <w:sz w:val="24"/>
          <w:szCs w:val="24"/>
        </w:rPr>
      </w:pPr>
      <w:proofErr w:type="spellStart"/>
      <w:r>
        <w:rPr>
          <w:rFonts w:ascii="Times New Roman" w:hAnsi="Times New Roman" w:cs="Times New Roman"/>
          <w:i/>
          <w:sz w:val="24"/>
          <w:szCs w:val="24"/>
        </w:rPr>
        <w:lastRenderedPageBreak/>
        <w:t>Subregulation</w:t>
      </w:r>
      <w:proofErr w:type="spellEnd"/>
      <w:r>
        <w:rPr>
          <w:rFonts w:ascii="Times New Roman" w:hAnsi="Times New Roman" w:cs="Times New Roman"/>
          <w:i/>
          <w:sz w:val="24"/>
          <w:szCs w:val="24"/>
        </w:rPr>
        <w:t xml:space="preserve"> </w:t>
      </w:r>
      <w:proofErr w:type="gramStart"/>
      <w:r>
        <w:rPr>
          <w:rFonts w:ascii="Times New Roman" w:hAnsi="Times New Roman" w:cs="Times New Roman"/>
          <w:i/>
          <w:sz w:val="24"/>
          <w:szCs w:val="24"/>
        </w:rPr>
        <w:t>13GC(</w:t>
      </w:r>
      <w:proofErr w:type="gramEnd"/>
      <w:r>
        <w:rPr>
          <w:rFonts w:ascii="Times New Roman" w:hAnsi="Times New Roman" w:cs="Times New Roman"/>
          <w:i/>
          <w:sz w:val="24"/>
          <w:szCs w:val="24"/>
        </w:rPr>
        <w:t>1)</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This </w:t>
      </w:r>
      <w:proofErr w:type="spellStart"/>
      <w:r>
        <w:rPr>
          <w:rFonts w:ascii="Times New Roman" w:hAnsi="Times New Roman" w:cs="Times New Roman"/>
          <w:sz w:val="24"/>
          <w:szCs w:val="24"/>
        </w:rPr>
        <w:t>subregulation</w:t>
      </w:r>
      <w:proofErr w:type="spellEnd"/>
      <w:r>
        <w:rPr>
          <w:rFonts w:ascii="Times New Roman" w:hAnsi="Times New Roman" w:cs="Times New Roman"/>
          <w:sz w:val="24"/>
          <w:szCs w:val="24"/>
        </w:rPr>
        <w:t xml:space="preserve"> sets out that the exportation of LNG </w:t>
      </w:r>
      <w:proofErr w:type="gramStart"/>
      <w:r>
        <w:rPr>
          <w:rFonts w:ascii="Times New Roman" w:hAnsi="Times New Roman" w:cs="Times New Roman"/>
          <w:sz w:val="24"/>
          <w:szCs w:val="24"/>
        </w:rPr>
        <w:t>is prohibited</w:t>
      </w:r>
      <w:proofErr w:type="gramEnd"/>
      <w:r>
        <w:rPr>
          <w:rFonts w:ascii="Times New Roman" w:hAnsi="Times New Roman" w:cs="Times New Roman"/>
          <w:sz w:val="24"/>
          <w:szCs w:val="24"/>
        </w:rPr>
        <w:t xml:space="preserve"> during a domestic shortfall year unless a permission in writing to export the LNG has been granted by the Resources Minister or an authorised officer, and the permission is produced to the Collector. The purpose of this </w:t>
      </w:r>
      <w:proofErr w:type="spellStart"/>
      <w:r>
        <w:rPr>
          <w:rFonts w:ascii="Times New Roman" w:hAnsi="Times New Roman" w:cs="Times New Roman"/>
          <w:sz w:val="24"/>
          <w:szCs w:val="24"/>
        </w:rPr>
        <w:t>subregulation</w:t>
      </w:r>
      <w:proofErr w:type="spellEnd"/>
      <w:r>
        <w:rPr>
          <w:rFonts w:ascii="Times New Roman" w:hAnsi="Times New Roman" w:cs="Times New Roman"/>
          <w:sz w:val="24"/>
          <w:szCs w:val="24"/>
        </w:rPr>
        <w:t xml:space="preserve"> is to apply export controls, and to require exporters of LNG to hold written permissions prior to exporting LNG, during a domestic shortfall year. The meaning of ‘domestic shortfall year’ is set out in </w:t>
      </w:r>
      <w:proofErr w:type="spellStart"/>
      <w:r>
        <w:rPr>
          <w:rFonts w:ascii="Times New Roman" w:hAnsi="Times New Roman" w:cs="Times New Roman"/>
          <w:sz w:val="24"/>
          <w:szCs w:val="24"/>
        </w:rPr>
        <w:t>subregulation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13G</w:t>
      </w:r>
      <w:r w:rsidR="000E7024">
        <w:rPr>
          <w:rFonts w:ascii="Times New Roman" w:hAnsi="Times New Roman" w:cs="Times New Roman"/>
          <w:sz w:val="24"/>
          <w:szCs w:val="24"/>
        </w:rPr>
        <w:t>E</w:t>
      </w:r>
      <w:r>
        <w:rPr>
          <w:rFonts w:ascii="Times New Roman" w:hAnsi="Times New Roman" w:cs="Times New Roman"/>
          <w:sz w:val="24"/>
          <w:szCs w:val="24"/>
        </w:rPr>
        <w:t>(</w:t>
      </w:r>
      <w:proofErr w:type="gramEnd"/>
      <w:r>
        <w:rPr>
          <w:rFonts w:ascii="Times New Roman" w:hAnsi="Times New Roman" w:cs="Times New Roman"/>
          <w:sz w:val="24"/>
          <w:szCs w:val="24"/>
        </w:rPr>
        <w:t xml:space="preserve">1), as discussed below. If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does not determine a year as a domestic shortfall year, exports of LNG </w:t>
      </w:r>
      <w:proofErr w:type="gramStart"/>
      <w:r>
        <w:rPr>
          <w:rFonts w:ascii="Times New Roman" w:hAnsi="Times New Roman" w:cs="Times New Roman"/>
          <w:sz w:val="24"/>
          <w:szCs w:val="24"/>
        </w:rPr>
        <w:t>will not be controlled</w:t>
      </w:r>
      <w:proofErr w:type="gramEnd"/>
      <w:r>
        <w:rPr>
          <w:rFonts w:ascii="Times New Roman" w:hAnsi="Times New Roman" w:cs="Times New Roman"/>
          <w:sz w:val="24"/>
          <w:szCs w:val="24"/>
        </w:rPr>
        <w:t xml:space="preserve"> in that year. </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Where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determines a year as a domestic shortfall year, exports of LNG </w:t>
      </w:r>
      <w:proofErr w:type="gramStart"/>
      <w:r>
        <w:rPr>
          <w:rFonts w:ascii="Times New Roman" w:hAnsi="Times New Roman" w:cs="Times New Roman"/>
          <w:sz w:val="24"/>
          <w:szCs w:val="24"/>
        </w:rPr>
        <w:t>will be prohibited</w:t>
      </w:r>
      <w:proofErr w:type="gramEnd"/>
      <w:r w:rsidR="009206E2">
        <w:rPr>
          <w:rFonts w:ascii="Times New Roman" w:hAnsi="Times New Roman" w:cs="Times New Roman"/>
          <w:sz w:val="24"/>
          <w:szCs w:val="24"/>
        </w:rPr>
        <w:t>, and permissions required for exports,</w:t>
      </w:r>
      <w:r>
        <w:rPr>
          <w:rFonts w:ascii="Times New Roman" w:hAnsi="Times New Roman" w:cs="Times New Roman"/>
          <w:sz w:val="24"/>
          <w:szCs w:val="24"/>
        </w:rPr>
        <w:t xml:space="preserve"> Australia wide. This is despite that only a part of the Australian domestic gas market </w:t>
      </w:r>
      <w:r w:rsidR="00ED3265">
        <w:rPr>
          <w:rFonts w:ascii="Times New Roman" w:hAnsi="Times New Roman" w:cs="Times New Roman"/>
          <w:sz w:val="24"/>
          <w:szCs w:val="24"/>
        </w:rPr>
        <w:t>may be</w:t>
      </w:r>
      <w:r>
        <w:rPr>
          <w:rFonts w:ascii="Times New Roman" w:hAnsi="Times New Roman" w:cs="Times New Roman"/>
          <w:sz w:val="24"/>
          <w:szCs w:val="24"/>
        </w:rPr>
        <w:t xml:space="preserve"> in shortfall. This ensures exporters </w:t>
      </w:r>
      <w:proofErr w:type="gramStart"/>
      <w:r>
        <w:rPr>
          <w:rFonts w:ascii="Times New Roman" w:hAnsi="Times New Roman" w:cs="Times New Roman"/>
          <w:sz w:val="24"/>
          <w:szCs w:val="24"/>
        </w:rPr>
        <w:t>are treated</w:t>
      </w:r>
      <w:proofErr w:type="gramEnd"/>
      <w:r>
        <w:rPr>
          <w:rFonts w:ascii="Times New Roman" w:hAnsi="Times New Roman" w:cs="Times New Roman"/>
          <w:sz w:val="24"/>
          <w:szCs w:val="24"/>
        </w:rPr>
        <w:t xml:space="preserve"> equally regardless of their location within Australia. </w:t>
      </w:r>
    </w:p>
    <w:p w:rsidR="00BE2948" w:rsidRDefault="00DE4869" w:rsidP="00BE2948">
      <w:pPr>
        <w:spacing w:before="240" w:after="240"/>
        <w:rPr>
          <w:rFonts w:ascii="Times New Roman" w:hAnsi="Times New Roman" w:cs="Times New Roman"/>
          <w:sz w:val="24"/>
          <w:szCs w:val="24"/>
        </w:rPr>
      </w:pPr>
      <w:r>
        <w:rPr>
          <w:rFonts w:ascii="Times New Roman" w:hAnsi="Times New Roman" w:cs="Times New Roman"/>
          <w:sz w:val="24"/>
          <w:szCs w:val="24"/>
        </w:rPr>
        <w:t>The Resources Minister</w:t>
      </w:r>
      <w:r w:rsidR="00BE2948">
        <w:rPr>
          <w:rFonts w:ascii="Times New Roman" w:hAnsi="Times New Roman" w:cs="Times New Roman"/>
          <w:sz w:val="24"/>
          <w:szCs w:val="24"/>
        </w:rPr>
        <w:t xml:space="preserve"> may grant permissions to LNG exporters to allow them to export LNG during a domestic shortfall year. </w:t>
      </w:r>
      <w:r>
        <w:rPr>
          <w:rFonts w:ascii="Times New Roman" w:hAnsi="Times New Roman" w:cs="Times New Roman"/>
          <w:sz w:val="24"/>
          <w:szCs w:val="24"/>
        </w:rPr>
        <w:t>The Resources Minister</w:t>
      </w:r>
      <w:r w:rsidR="00BE2948">
        <w:rPr>
          <w:rFonts w:ascii="Times New Roman" w:hAnsi="Times New Roman" w:cs="Times New Roman"/>
          <w:sz w:val="24"/>
          <w:szCs w:val="24"/>
        </w:rPr>
        <w:t xml:space="preserve"> may also authorise an </w:t>
      </w:r>
      <w:r w:rsidR="00B16FB1">
        <w:rPr>
          <w:rFonts w:ascii="Times New Roman" w:hAnsi="Times New Roman" w:cs="Times New Roman"/>
          <w:sz w:val="24"/>
          <w:szCs w:val="24"/>
        </w:rPr>
        <w:t xml:space="preserve">SES </w:t>
      </w:r>
      <w:r w:rsidR="00BE2948">
        <w:rPr>
          <w:rFonts w:ascii="Times New Roman" w:hAnsi="Times New Roman" w:cs="Times New Roman"/>
          <w:sz w:val="24"/>
          <w:szCs w:val="24"/>
        </w:rPr>
        <w:t xml:space="preserve">officer of the Resources Department to grant a permission in accordance with this </w:t>
      </w:r>
      <w:proofErr w:type="spellStart"/>
      <w:r w:rsidR="00BE2948">
        <w:rPr>
          <w:rFonts w:ascii="Times New Roman" w:hAnsi="Times New Roman" w:cs="Times New Roman"/>
          <w:sz w:val="24"/>
          <w:szCs w:val="24"/>
        </w:rPr>
        <w:t>subregulation</w:t>
      </w:r>
      <w:proofErr w:type="spellEnd"/>
      <w:r w:rsidR="00BE2948">
        <w:rPr>
          <w:rFonts w:ascii="Times New Roman" w:hAnsi="Times New Roman" w:cs="Times New Roman"/>
          <w:sz w:val="24"/>
          <w:szCs w:val="24"/>
        </w:rPr>
        <w:t xml:space="preserve">. This </w:t>
      </w:r>
      <w:proofErr w:type="gramStart"/>
      <w:r w:rsidR="00BE2948">
        <w:rPr>
          <w:rFonts w:ascii="Times New Roman" w:hAnsi="Times New Roman" w:cs="Times New Roman"/>
          <w:sz w:val="24"/>
          <w:szCs w:val="24"/>
        </w:rPr>
        <w:t>is intended</w:t>
      </w:r>
      <w:proofErr w:type="gramEnd"/>
      <w:r w:rsidR="00BE2948">
        <w:rPr>
          <w:rFonts w:ascii="Times New Roman" w:hAnsi="Times New Roman" w:cs="Times New Roman"/>
          <w:sz w:val="24"/>
          <w:szCs w:val="24"/>
        </w:rPr>
        <w:t xml:space="preserve"> to provide flexibility for </w:t>
      </w:r>
      <w:r>
        <w:rPr>
          <w:rFonts w:ascii="Times New Roman" w:hAnsi="Times New Roman" w:cs="Times New Roman"/>
          <w:sz w:val="24"/>
          <w:szCs w:val="24"/>
        </w:rPr>
        <w:t>the Resources Minister</w:t>
      </w:r>
      <w:r w:rsidR="00BE2948">
        <w:rPr>
          <w:rFonts w:ascii="Times New Roman" w:hAnsi="Times New Roman" w:cs="Times New Roman"/>
          <w:sz w:val="24"/>
          <w:szCs w:val="24"/>
        </w:rPr>
        <w:t xml:space="preserve"> in the administration of permissions for the export of LNG. </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A permission </w:t>
      </w:r>
      <w:proofErr w:type="gramStart"/>
      <w:r>
        <w:rPr>
          <w:rFonts w:ascii="Times New Roman" w:hAnsi="Times New Roman" w:cs="Times New Roman"/>
          <w:sz w:val="24"/>
          <w:szCs w:val="24"/>
        </w:rPr>
        <w:t>may be granted</w:t>
      </w:r>
      <w:proofErr w:type="gramEnd"/>
      <w:r>
        <w:rPr>
          <w:rFonts w:ascii="Times New Roman" w:hAnsi="Times New Roman" w:cs="Times New Roman"/>
          <w:sz w:val="24"/>
          <w:szCs w:val="24"/>
        </w:rPr>
        <w:t xml:space="preserve"> for a period that is longer than a domestic shortfall year. It is intended that there should be flexibility to grant </w:t>
      </w:r>
      <w:proofErr w:type="gramStart"/>
      <w:r>
        <w:rPr>
          <w:rFonts w:ascii="Times New Roman" w:hAnsi="Times New Roman" w:cs="Times New Roman"/>
          <w:sz w:val="24"/>
          <w:szCs w:val="24"/>
        </w:rPr>
        <w:t>permissions which</w:t>
      </w:r>
      <w:proofErr w:type="gramEnd"/>
      <w:r>
        <w:rPr>
          <w:rFonts w:ascii="Times New Roman" w:hAnsi="Times New Roman" w:cs="Times New Roman"/>
          <w:sz w:val="24"/>
          <w:szCs w:val="24"/>
        </w:rPr>
        <w:t xml:space="preserve"> provide exporters of LNG with as much certainty as possible over their ability to export, and the volumes of gas they may export. </w:t>
      </w:r>
    </w:p>
    <w:p w:rsidR="00BE2948" w:rsidRDefault="00BE2948" w:rsidP="00BE2948">
      <w:pPr>
        <w:spacing w:before="240" w:after="240"/>
        <w:rPr>
          <w:rFonts w:ascii="Times New Roman" w:hAnsi="Times New Roman" w:cs="Times New Roman"/>
          <w:i/>
          <w:sz w:val="24"/>
          <w:szCs w:val="24"/>
        </w:rPr>
      </w:pPr>
      <w:proofErr w:type="spellStart"/>
      <w:r>
        <w:rPr>
          <w:rFonts w:ascii="Times New Roman" w:hAnsi="Times New Roman" w:cs="Times New Roman"/>
          <w:i/>
          <w:sz w:val="24"/>
          <w:szCs w:val="24"/>
        </w:rPr>
        <w:t>Subregulation</w:t>
      </w:r>
      <w:proofErr w:type="spellEnd"/>
      <w:r>
        <w:rPr>
          <w:rFonts w:ascii="Times New Roman" w:hAnsi="Times New Roman" w:cs="Times New Roman"/>
          <w:i/>
          <w:sz w:val="24"/>
          <w:szCs w:val="24"/>
        </w:rPr>
        <w:t xml:space="preserve"> </w:t>
      </w:r>
      <w:proofErr w:type="gramStart"/>
      <w:r>
        <w:rPr>
          <w:rFonts w:ascii="Times New Roman" w:hAnsi="Times New Roman" w:cs="Times New Roman"/>
          <w:i/>
          <w:sz w:val="24"/>
          <w:szCs w:val="24"/>
        </w:rPr>
        <w:t>13GC(</w:t>
      </w:r>
      <w:proofErr w:type="gramEnd"/>
      <w:r>
        <w:rPr>
          <w:rFonts w:ascii="Times New Roman" w:hAnsi="Times New Roman" w:cs="Times New Roman"/>
          <w:i/>
          <w:sz w:val="24"/>
          <w:szCs w:val="24"/>
        </w:rPr>
        <w:t>2)</w:t>
      </w:r>
    </w:p>
    <w:p w:rsidR="00BE2948" w:rsidRPr="00A165D1"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This </w:t>
      </w:r>
      <w:proofErr w:type="spellStart"/>
      <w:r>
        <w:rPr>
          <w:rFonts w:ascii="Times New Roman" w:hAnsi="Times New Roman" w:cs="Times New Roman"/>
          <w:sz w:val="24"/>
          <w:szCs w:val="24"/>
        </w:rPr>
        <w:t>subregulation</w:t>
      </w:r>
      <w:proofErr w:type="spellEnd"/>
      <w:r>
        <w:rPr>
          <w:rFonts w:ascii="Times New Roman" w:hAnsi="Times New Roman" w:cs="Times New Roman"/>
          <w:sz w:val="24"/>
          <w:szCs w:val="24"/>
        </w:rPr>
        <w:t xml:space="preserve"> sets out that a permission may specify conditions to </w:t>
      </w:r>
      <w:proofErr w:type="gramStart"/>
      <w:r>
        <w:rPr>
          <w:rFonts w:ascii="Times New Roman" w:hAnsi="Times New Roman" w:cs="Times New Roman"/>
          <w:sz w:val="24"/>
          <w:szCs w:val="24"/>
        </w:rPr>
        <w:t>be complied</w:t>
      </w:r>
      <w:proofErr w:type="gramEnd"/>
      <w:r>
        <w:rPr>
          <w:rFonts w:ascii="Times New Roman" w:hAnsi="Times New Roman" w:cs="Times New Roman"/>
          <w:sz w:val="24"/>
          <w:szCs w:val="24"/>
        </w:rPr>
        <w:t xml:space="preserve"> with by the permission</w:t>
      </w:r>
      <w:r w:rsidR="001C549A">
        <w:rPr>
          <w:rFonts w:ascii="Times New Roman" w:hAnsi="Times New Roman" w:cs="Times New Roman"/>
          <w:sz w:val="24"/>
          <w:szCs w:val="24"/>
        </w:rPr>
        <w:t xml:space="preserve"> holder</w:t>
      </w:r>
      <w:r>
        <w:rPr>
          <w:rFonts w:ascii="Times New Roman" w:hAnsi="Times New Roman" w:cs="Times New Roman"/>
          <w:sz w:val="24"/>
          <w:szCs w:val="24"/>
        </w:rPr>
        <w:t xml:space="preserve">, and when the holder must comply with a condition. It is anticipated that, for exporters associated with LNG projects that are able to contribute gas to parts of the Australian domestic gas market that are experiencing a gas shortfall,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may impose limits to the volume of LNG allowed to be exported.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may also impose conditions to require exporters to provide regular reports about the volumes of LNG they export during the term of their permission, as well as any other conditions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considers appropriate. </w:t>
      </w:r>
    </w:p>
    <w:p w:rsidR="00BE2948" w:rsidRDefault="00BE2948" w:rsidP="00BE2948">
      <w:pPr>
        <w:spacing w:before="240" w:after="240"/>
        <w:rPr>
          <w:rFonts w:ascii="Times New Roman" w:hAnsi="Times New Roman" w:cs="Times New Roman"/>
          <w:i/>
          <w:sz w:val="24"/>
          <w:szCs w:val="24"/>
        </w:rPr>
      </w:pPr>
      <w:proofErr w:type="spellStart"/>
      <w:r>
        <w:rPr>
          <w:rFonts w:ascii="Times New Roman" w:hAnsi="Times New Roman" w:cs="Times New Roman"/>
          <w:i/>
          <w:sz w:val="24"/>
          <w:szCs w:val="24"/>
        </w:rPr>
        <w:t>Subregulation</w:t>
      </w:r>
      <w:proofErr w:type="spellEnd"/>
      <w:r>
        <w:rPr>
          <w:rFonts w:ascii="Times New Roman" w:hAnsi="Times New Roman" w:cs="Times New Roman"/>
          <w:i/>
          <w:sz w:val="24"/>
          <w:szCs w:val="24"/>
        </w:rPr>
        <w:t xml:space="preserve"> </w:t>
      </w:r>
      <w:proofErr w:type="gramStart"/>
      <w:r>
        <w:rPr>
          <w:rFonts w:ascii="Times New Roman" w:hAnsi="Times New Roman" w:cs="Times New Roman"/>
          <w:i/>
          <w:sz w:val="24"/>
          <w:szCs w:val="24"/>
        </w:rPr>
        <w:t>13GC(</w:t>
      </w:r>
      <w:proofErr w:type="gramEnd"/>
      <w:r>
        <w:rPr>
          <w:rFonts w:ascii="Times New Roman" w:hAnsi="Times New Roman" w:cs="Times New Roman"/>
          <w:i/>
          <w:sz w:val="24"/>
          <w:szCs w:val="24"/>
        </w:rPr>
        <w:t>3)</w:t>
      </w:r>
    </w:p>
    <w:p w:rsidR="00BE2948" w:rsidRPr="00EE3A70"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This </w:t>
      </w:r>
      <w:proofErr w:type="spellStart"/>
      <w:r>
        <w:rPr>
          <w:rFonts w:ascii="Times New Roman" w:hAnsi="Times New Roman" w:cs="Times New Roman"/>
          <w:sz w:val="24"/>
          <w:szCs w:val="24"/>
        </w:rPr>
        <w:t>subregulation</w:t>
      </w:r>
      <w:proofErr w:type="spellEnd"/>
      <w:r>
        <w:rPr>
          <w:rFonts w:ascii="Times New Roman" w:hAnsi="Times New Roman" w:cs="Times New Roman"/>
          <w:sz w:val="24"/>
          <w:szCs w:val="24"/>
        </w:rPr>
        <w:t xml:space="preserve"> sets out that the Resources Minister or an authorised officer may vary a condition of a permission with the consent of the </w:t>
      </w:r>
      <w:r w:rsidR="00334D9A">
        <w:rPr>
          <w:rFonts w:ascii="Times New Roman" w:hAnsi="Times New Roman" w:cs="Times New Roman"/>
          <w:sz w:val="24"/>
          <w:szCs w:val="24"/>
        </w:rPr>
        <w:t xml:space="preserve">permission </w:t>
      </w:r>
      <w:r>
        <w:rPr>
          <w:rFonts w:ascii="Times New Roman" w:hAnsi="Times New Roman" w:cs="Times New Roman"/>
          <w:sz w:val="24"/>
          <w:szCs w:val="24"/>
        </w:rPr>
        <w:t xml:space="preserve">holder, or accept the surrender of a permission, including in exchange for granting another permission. The purpose of this </w:t>
      </w:r>
      <w:proofErr w:type="spellStart"/>
      <w:r>
        <w:rPr>
          <w:rFonts w:ascii="Times New Roman" w:hAnsi="Times New Roman" w:cs="Times New Roman"/>
          <w:sz w:val="24"/>
          <w:szCs w:val="24"/>
        </w:rPr>
        <w:t>subregulation</w:t>
      </w:r>
      <w:proofErr w:type="spellEnd"/>
      <w:r>
        <w:rPr>
          <w:rFonts w:ascii="Times New Roman" w:hAnsi="Times New Roman" w:cs="Times New Roman"/>
          <w:sz w:val="24"/>
          <w:szCs w:val="24"/>
        </w:rPr>
        <w:t xml:space="preserve"> is to allow permissions to </w:t>
      </w:r>
      <w:proofErr w:type="gramStart"/>
      <w:r>
        <w:rPr>
          <w:rFonts w:ascii="Times New Roman" w:hAnsi="Times New Roman" w:cs="Times New Roman"/>
          <w:sz w:val="24"/>
          <w:szCs w:val="24"/>
        </w:rPr>
        <w:t>be varied</w:t>
      </w:r>
      <w:proofErr w:type="gramEnd"/>
      <w:r>
        <w:rPr>
          <w:rFonts w:ascii="Times New Roman" w:hAnsi="Times New Roman" w:cs="Times New Roman"/>
          <w:sz w:val="24"/>
          <w:szCs w:val="24"/>
        </w:rPr>
        <w:t xml:space="preserve">, or (where a permission is surrendered) replaced, by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or an authorised officer with the consent of the permission holder.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or an authorised officer may not unilaterally vary a condition of a permission </w:t>
      </w:r>
      <w:r>
        <w:rPr>
          <w:rFonts w:ascii="Times New Roman" w:hAnsi="Times New Roman" w:cs="Times New Roman"/>
          <w:sz w:val="24"/>
          <w:szCs w:val="24"/>
        </w:rPr>
        <w:lastRenderedPageBreak/>
        <w:t>without the consent of the holder of the permission</w:t>
      </w:r>
      <w:r w:rsidR="00364D22">
        <w:rPr>
          <w:rFonts w:ascii="Times New Roman" w:hAnsi="Times New Roman" w:cs="Times New Roman"/>
          <w:sz w:val="24"/>
          <w:szCs w:val="24"/>
        </w:rPr>
        <w:t>, unless the permission holder breaches a condition, as discussed below</w:t>
      </w:r>
      <w:r>
        <w:rPr>
          <w:rFonts w:ascii="Times New Roman" w:hAnsi="Times New Roman" w:cs="Times New Roman"/>
          <w:sz w:val="24"/>
          <w:szCs w:val="24"/>
        </w:rPr>
        <w:t xml:space="preserve">. </w:t>
      </w:r>
    </w:p>
    <w:p w:rsidR="00BE2948" w:rsidRDefault="00BE2948" w:rsidP="00BE2948">
      <w:pPr>
        <w:spacing w:before="240" w:after="240"/>
        <w:rPr>
          <w:rFonts w:ascii="Times New Roman" w:hAnsi="Times New Roman" w:cs="Times New Roman"/>
          <w:i/>
          <w:sz w:val="24"/>
          <w:szCs w:val="24"/>
        </w:rPr>
      </w:pPr>
      <w:proofErr w:type="spellStart"/>
      <w:r>
        <w:rPr>
          <w:rFonts w:ascii="Times New Roman" w:hAnsi="Times New Roman" w:cs="Times New Roman"/>
          <w:i/>
          <w:sz w:val="24"/>
          <w:szCs w:val="24"/>
        </w:rPr>
        <w:t>Subregulation</w:t>
      </w:r>
      <w:proofErr w:type="spellEnd"/>
      <w:r>
        <w:rPr>
          <w:rFonts w:ascii="Times New Roman" w:hAnsi="Times New Roman" w:cs="Times New Roman"/>
          <w:i/>
          <w:sz w:val="24"/>
          <w:szCs w:val="24"/>
        </w:rPr>
        <w:t xml:space="preserve"> </w:t>
      </w:r>
      <w:proofErr w:type="gramStart"/>
      <w:r>
        <w:rPr>
          <w:rFonts w:ascii="Times New Roman" w:hAnsi="Times New Roman" w:cs="Times New Roman"/>
          <w:i/>
          <w:sz w:val="24"/>
          <w:szCs w:val="24"/>
        </w:rPr>
        <w:t>13GC(</w:t>
      </w:r>
      <w:proofErr w:type="gramEnd"/>
      <w:r>
        <w:rPr>
          <w:rFonts w:ascii="Times New Roman" w:hAnsi="Times New Roman" w:cs="Times New Roman"/>
          <w:i/>
          <w:sz w:val="24"/>
          <w:szCs w:val="24"/>
        </w:rPr>
        <w:t>4)</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This </w:t>
      </w:r>
      <w:proofErr w:type="spellStart"/>
      <w:r>
        <w:rPr>
          <w:rFonts w:ascii="Times New Roman" w:hAnsi="Times New Roman" w:cs="Times New Roman"/>
          <w:sz w:val="24"/>
          <w:szCs w:val="24"/>
        </w:rPr>
        <w:t>subregulation</w:t>
      </w:r>
      <w:proofErr w:type="spellEnd"/>
      <w:r>
        <w:rPr>
          <w:rFonts w:ascii="Times New Roman" w:hAnsi="Times New Roman" w:cs="Times New Roman"/>
          <w:sz w:val="24"/>
          <w:szCs w:val="24"/>
        </w:rPr>
        <w:t xml:space="preserve"> sets out that if the </w:t>
      </w:r>
      <w:r w:rsidR="00E1792D">
        <w:rPr>
          <w:rFonts w:ascii="Times New Roman" w:hAnsi="Times New Roman" w:cs="Times New Roman"/>
          <w:sz w:val="24"/>
          <w:szCs w:val="24"/>
        </w:rPr>
        <w:t xml:space="preserve">permission </w:t>
      </w:r>
      <w:r>
        <w:rPr>
          <w:rFonts w:ascii="Times New Roman" w:hAnsi="Times New Roman" w:cs="Times New Roman"/>
          <w:sz w:val="24"/>
          <w:szCs w:val="24"/>
        </w:rPr>
        <w:t xml:space="preserve">holder </w:t>
      </w:r>
      <w:r w:rsidR="00E1792D">
        <w:rPr>
          <w:rFonts w:ascii="Times New Roman" w:hAnsi="Times New Roman" w:cs="Times New Roman"/>
          <w:sz w:val="24"/>
          <w:szCs w:val="24"/>
        </w:rPr>
        <w:t xml:space="preserve">does </w:t>
      </w:r>
      <w:r>
        <w:rPr>
          <w:rFonts w:ascii="Times New Roman" w:hAnsi="Times New Roman" w:cs="Times New Roman"/>
          <w:sz w:val="24"/>
          <w:szCs w:val="24"/>
        </w:rPr>
        <w:t>not comply with a condition of their permission, the Resources Minister may, by writing, revoke the permission</w:t>
      </w:r>
      <w:r w:rsidR="007A7EA6">
        <w:rPr>
          <w:rFonts w:ascii="Times New Roman" w:hAnsi="Times New Roman" w:cs="Times New Roman"/>
          <w:sz w:val="24"/>
          <w:szCs w:val="24"/>
        </w:rPr>
        <w:t xml:space="preserve"> or vary one or more conditions of the permission</w:t>
      </w:r>
      <w:r>
        <w:rPr>
          <w:rFonts w:ascii="Times New Roman" w:hAnsi="Times New Roman" w:cs="Times New Roman"/>
          <w:sz w:val="24"/>
          <w:szCs w:val="24"/>
        </w:rPr>
        <w:t xml:space="preserve">. </w:t>
      </w:r>
      <w:r w:rsidR="007A7EA6">
        <w:rPr>
          <w:rFonts w:ascii="Times New Roman" w:hAnsi="Times New Roman" w:cs="Times New Roman"/>
          <w:sz w:val="24"/>
          <w:szCs w:val="24"/>
        </w:rPr>
        <w:t xml:space="preserve">‘Vary’, in relation to conditions, is defined to include </w:t>
      </w:r>
      <w:proofErr w:type="gramStart"/>
      <w:r w:rsidR="007A7EA6">
        <w:rPr>
          <w:rFonts w:ascii="Times New Roman" w:hAnsi="Times New Roman" w:cs="Times New Roman"/>
          <w:sz w:val="24"/>
          <w:szCs w:val="24"/>
        </w:rPr>
        <w:t>to omit or substitute</w:t>
      </w:r>
      <w:proofErr w:type="gramEnd"/>
      <w:r w:rsidR="007A7EA6">
        <w:rPr>
          <w:rFonts w:ascii="Times New Roman" w:hAnsi="Times New Roman" w:cs="Times New Roman"/>
          <w:sz w:val="24"/>
          <w:szCs w:val="24"/>
        </w:rPr>
        <w:t xml:space="preserve"> conditions. </w:t>
      </w:r>
      <w:r>
        <w:rPr>
          <w:rFonts w:ascii="Times New Roman" w:hAnsi="Times New Roman" w:cs="Times New Roman"/>
          <w:sz w:val="24"/>
          <w:szCs w:val="24"/>
        </w:rPr>
        <w:t xml:space="preserve">The purpose of this </w:t>
      </w:r>
      <w:proofErr w:type="spellStart"/>
      <w:r>
        <w:rPr>
          <w:rFonts w:ascii="Times New Roman" w:hAnsi="Times New Roman" w:cs="Times New Roman"/>
          <w:sz w:val="24"/>
          <w:szCs w:val="24"/>
        </w:rPr>
        <w:t>subregulation</w:t>
      </w:r>
      <w:proofErr w:type="spellEnd"/>
      <w:r>
        <w:rPr>
          <w:rFonts w:ascii="Times New Roman" w:hAnsi="Times New Roman" w:cs="Times New Roman"/>
          <w:sz w:val="24"/>
          <w:szCs w:val="24"/>
        </w:rPr>
        <w:t xml:space="preserve"> is to allow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to revoke </w:t>
      </w:r>
      <w:r w:rsidR="004A3862">
        <w:rPr>
          <w:rFonts w:ascii="Times New Roman" w:hAnsi="Times New Roman" w:cs="Times New Roman"/>
          <w:sz w:val="24"/>
          <w:szCs w:val="24"/>
        </w:rPr>
        <w:t xml:space="preserve">or vary </w:t>
      </w:r>
      <w:r>
        <w:rPr>
          <w:rFonts w:ascii="Times New Roman" w:hAnsi="Times New Roman" w:cs="Times New Roman"/>
          <w:sz w:val="24"/>
          <w:szCs w:val="24"/>
        </w:rPr>
        <w:t xml:space="preserve">a permission where the permission holder does not comply with a condition of a permission. </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Where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revokes a permission,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may grant the permission holder a new permission. A replacement permission could include conditions that differ from the revoked permission in light of the condition breached (for example, a lower volume of gas allowed to be </w:t>
      </w:r>
      <w:proofErr w:type="gramStart"/>
      <w:r>
        <w:rPr>
          <w:rFonts w:ascii="Times New Roman" w:hAnsi="Times New Roman" w:cs="Times New Roman"/>
          <w:sz w:val="24"/>
          <w:szCs w:val="24"/>
        </w:rPr>
        <w:t>exported,</w:t>
      </w:r>
      <w:proofErr w:type="gramEnd"/>
      <w:r>
        <w:rPr>
          <w:rFonts w:ascii="Times New Roman" w:hAnsi="Times New Roman" w:cs="Times New Roman"/>
          <w:sz w:val="24"/>
          <w:szCs w:val="24"/>
        </w:rPr>
        <w:t xml:space="preserve"> or stricter information reporting requirements). </w:t>
      </w:r>
    </w:p>
    <w:p w:rsidR="00477483" w:rsidRPr="00BB17AC" w:rsidRDefault="00477483" w:rsidP="00BE2948">
      <w:pPr>
        <w:spacing w:before="240" w:after="240"/>
        <w:rPr>
          <w:rFonts w:ascii="Times New Roman" w:hAnsi="Times New Roman" w:cs="Times New Roman"/>
          <w:i/>
          <w:sz w:val="24"/>
          <w:szCs w:val="24"/>
          <w:u w:val="single"/>
        </w:rPr>
      </w:pPr>
      <w:r>
        <w:rPr>
          <w:rFonts w:ascii="Times New Roman" w:hAnsi="Times New Roman" w:cs="Times New Roman"/>
          <w:i/>
          <w:sz w:val="24"/>
          <w:szCs w:val="24"/>
          <w:u w:val="single"/>
        </w:rPr>
        <w:t>Regulation 13GD Assignment of permissions</w:t>
      </w:r>
    </w:p>
    <w:p w:rsidR="00477483" w:rsidRPr="008D7D69" w:rsidRDefault="00477483"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This </w:t>
      </w:r>
      <w:proofErr w:type="spellStart"/>
      <w:r>
        <w:rPr>
          <w:rFonts w:ascii="Times New Roman" w:hAnsi="Times New Roman" w:cs="Times New Roman"/>
          <w:sz w:val="24"/>
          <w:szCs w:val="24"/>
        </w:rPr>
        <w:t>subregulation</w:t>
      </w:r>
      <w:proofErr w:type="spellEnd"/>
      <w:r>
        <w:rPr>
          <w:rFonts w:ascii="Times New Roman" w:hAnsi="Times New Roman" w:cs="Times New Roman"/>
          <w:sz w:val="24"/>
          <w:szCs w:val="24"/>
        </w:rPr>
        <w:t xml:space="preserve"> sets out that permissions may specify that they </w:t>
      </w:r>
      <w:proofErr w:type="gramStart"/>
      <w:r>
        <w:rPr>
          <w:rFonts w:ascii="Times New Roman" w:hAnsi="Times New Roman" w:cs="Times New Roman"/>
          <w:sz w:val="24"/>
          <w:szCs w:val="24"/>
        </w:rPr>
        <w:t>may be assigned</w:t>
      </w:r>
      <w:proofErr w:type="gramEnd"/>
      <w:r>
        <w:rPr>
          <w:rFonts w:ascii="Times New Roman" w:hAnsi="Times New Roman" w:cs="Times New Roman"/>
          <w:sz w:val="24"/>
          <w:szCs w:val="24"/>
        </w:rPr>
        <w:t xml:space="preserve"> to a third party, where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or an authorised person consents. </w:t>
      </w:r>
      <w:r w:rsidR="009F4E9D">
        <w:rPr>
          <w:rFonts w:ascii="Times New Roman" w:hAnsi="Times New Roman" w:cs="Times New Roman"/>
          <w:sz w:val="24"/>
          <w:szCs w:val="24"/>
        </w:rPr>
        <w:t xml:space="preserve">If a permission </w:t>
      </w:r>
      <w:proofErr w:type="gramStart"/>
      <w:r w:rsidR="009F4E9D">
        <w:rPr>
          <w:rFonts w:ascii="Times New Roman" w:hAnsi="Times New Roman" w:cs="Times New Roman"/>
          <w:sz w:val="24"/>
          <w:szCs w:val="24"/>
        </w:rPr>
        <w:t>is assigned</w:t>
      </w:r>
      <w:proofErr w:type="gramEnd"/>
      <w:r w:rsidR="009F4E9D">
        <w:rPr>
          <w:rFonts w:ascii="Times New Roman" w:hAnsi="Times New Roman" w:cs="Times New Roman"/>
          <w:sz w:val="24"/>
          <w:szCs w:val="24"/>
        </w:rPr>
        <w:t xml:space="preserve">, </w:t>
      </w:r>
      <w:r w:rsidR="00DE4869">
        <w:rPr>
          <w:rFonts w:ascii="Times New Roman" w:hAnsi="Times New Roman" w:cs="Times New Roman"/>
          <w:sz w:val="24"/>
          <w:szCs w:val="24"/>
        </w:rPr>
        <w:t>the Resources Minister</w:t>
      </w:r>
      <w:r w:rsidR="009F4E9D">
        <w:rPr>
          <w:rFonts w:ascii="Times New Roman" w:hAnsi="Times New Roman" w:cs="Times New Roman"/>
          <w:sz w:val="24"/>
          <w:szCs w:val="24"/>
        </w:rPr>
        <w:t xml:space="preserve"> or an authorised person may vary the conditions of the permission as appropriate. This </w:t>
      </w:r>
      <w:proofErr w:type="spellStart"/>
      <w:r w:rsidR="009F4E9D">
        <w:rPr>
          <w:rFonts w:ascii="Times New Roman" w:hAnsi="Times New Roman" w:cs="Times New Roman"/>
          <w:sz w:val="24"/>
          <w:szCs w:val="24"/>
        </w:rPr>
        <w:t>subregulation</w:t>
      </w:r>
      <w:proofErr w:type="spellEnd"/>
      <w:r w:rsidR="009F4E9D">
        <w:rPr>
          <w:rFonts w:ascii="Times New Roman" w:hAnsi="Times New Roman" w:cs="Times New Roman"/>
          <w:sz w:val="24"/>
          <w:szCs w:val="24"/>
        </w:rPr>
        <w:t xml:space="preserve"> also includes a requirement that the consent to assign, as well as any variations to conditions, </w:t>
      </w:r>
      <w:proofErr w:type="gramStart"/>
      <w:r w:rsidR="009F4E9D">
        <w:rPr>
          <w:rFonts w:ascii="Times New Roman" w:hAnsi="Times New Roman" w:cs="Times New Roman"/>
          <w:sz w:val="24"/>
          <w:szCs w:val="24"/>
        </w:rPr>
        <w:t>must be endorsed on or annexed to the permission</w:t>
      </w:r>
      <w:proofErr w:type="gramEnd"/>
      <w:r w:rsidR="009F4E9D">
        <w:rPr>
          <w:rFonts w:ascii="Times New Roman" w:hAnsi="Times New Roman" w:cs="Times New Roman"/>
          <w:sz w:val="24"/>
          <w:szCs w:val="24"/>
        </w:rPr>
        <w:t xml:space="preserve">. </w:t>
      </w:r>
    </w:p>
    <w:p w:rsidR="00BE2948" w:rsidRPr="002A28B2" w:rsidRDefault="00BE2948" w:rsidP="00BE2948">
      <w:pPr>
        <w:spacing w:before="240" w:after="240"/>
        <w:rPr>
          <w:rFonts w:ascii="Times New Roman" w:hAnsi="Times New Roman" w:cs="Times New Roman"/>
          <w:i/>
          <w:sz w:val="24"/>
          <w:szCs w:val="24"/>
        </w:rPr>
      </w:pPr>
      <w:r>
        <w:rPr>
          <w:rFonts w:ascii="Times New Roman" w:hAnsi="Times New Roman" w:cs="Times New Roman"/>
          <w:i/>
          <w:sz w:val="24"/>
          <w:szCs w:val="24"/>
          <w:u w:val="single"/>
        </w:rPr>
        <w:t>Regulation 13G</w:t>
      </w:r>
      <w:r w:rsidR="00B15CBE">
        <w:rPr>
          <w:rFonts w:ascii="Times New Roman" w:hAnsi="Times New Roman" w:cs="Times New Roman"/>
          <w:i/>
          <w:sz w:val="24"/>
          <w:szCs w:val="24"/>
          <w:u w:val="single"/>
        </w:rPr>
        <w:t>E</w:t>
      </w:r>
      <w:r>
        <w:rPr>
          <w:rFonts w:ascii="Times New Roman" w:hAnsi="Times New Roman" w:cs="Times New Roman"/>
          <w:i/>
          <w:sz w:val="24"/>
          <w:szCs w:val="24"/>
          <w:u w:val="single"/>
        </w:rPr>
        <w:t xml:space="preserve"> Determining a domestic shortfall year</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This </w:t>
      </w:r>
      <w:proofErr w:type="spellStart"/>
      <w:r>
        <w:rPr>
          <w:rFonts w:ascii="Times New Roman" w:hAnsi="Times New Roman" w:cs="Times New Roman"/>
          <w:sz w:val="24"/>
          <w:szCs w:val="24"/>
        </w:rPr>
        <w:t>subregulation</w:t>
      </w:r>
      <w:proofErr w:type="spellEnd"/>
      <w:r>
        <w:rPr>
          <w:rFonts w:ascii="Times New Roman" w:hAnsi="Times New Roman" w:cs="Times New Roman"/>
          <w:sz w:val="24"/>
          <w:szCs w:val="24"/>
        </w:rPr>
        <w:t xml:space="preserve"> provides for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to determine a forthcoming calendar year as a domestic shortfall year. In a domestic shortfall year, exports of LNG </w:t>
      </w:r>
      <w:proofErr w:type="gramStart"/>
      <w:r>
        <w:rPr>
          <w:rFonts w:ascii="Times New Roman" w:hAnsi="Times New Roman" w:cs="Times New Roman"/>
          <w:sz w:val="24"/>
          <w:szCs w:val="24"/>
        </w:rPr>
        <w:t>are prohibited</w:t>
      </w:r>
      <w:proofErr w:type="gramEnd"/>
      <w:r>
        <w:rPr>
          <w:rFonts w:ascii="Times New Roman" w:hAnsi="Times New Roman" w:cs="Times New Roman"/>
          <w:sz w:val="24"/>
          <w:szCs w:val="24"/>
        </w:rPr>
        <w:t xml:space="preserve"> unless the exporter has received a written permission from </w:t>
      </w:r>
      <w:r w:rsidR="00DE4869">
        <w:rPr>
          <w:rFonts w:ascii="Times New Roman" w:hAnsi="Times New Roman" w:cs="Times New Roman"/>
          <w:sz w:val="24"/>
          <w:szCs w:val="24"/>
        </w:rPr>
        <w:t>the Resources Minister</w:t>
      </w:r>
      <w:r w:rsidR="00B15CBE">
        <w:rPr>
          <w:rFonts w:ascii="Times New Roman" w:hAnsi="Times New Roman" w:cs="Times New Roman"/>
          <w:sz w:val="24"/>
          <w:szCs w:val="24"/>
        </w:rPr>
        <w:t>, and produced it to the Collector</w:t>
      </w:r>
      <w:r>
        <w:rPr>
          <w:rFonts w:ascii="Times New Roman" w:hAnsi="Times New Roman" w:cs="Times New Roman"/>
          <w:sz w:val="24"/>
          <w:szCs w:val="24"/>
        </w:rPr>
        <w:t xml:space="preserve">.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’s determination of a domestic shortfall year is a notifiable instrument, which </w:t>
      </w:r>
      <w:proofErr w:type="gramStart"/>
      <w:r>
        <w:rPr>
          <w:rFonts w:ascii="Times New Roman" w:hAnsi="Times New Roman" w:cs="Times New Roman"/>
          <w:sz w:val="24"/>
          <w:szCs w:val="24"/>
        </w:rPr>
        <w:t>must be registered</w:t>
      </w:r>
      <w:proofErr w:type="gramEnd"/>
      <w:r>
        <w:rPr>
          <w:rFonts w:ascii="Times New Roman" w:hAnsi="Times New Roman" w:cs="Times New Roman"/>
          <w:sz w:val="24"/>
          <w:szCs w:val="24"/>
        </w:rPr>
        <w:t xml:space="preserve"> on the Federal Register of Legislation.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’s determination of a forthcoming calendar year </w:t>
      </w:r>
      <w:proofErr w:type="gramStart"/>
      <w:r>
        <w:rPr>
          <w:rFonts w:ascii="Times New Roman" w:hAnsi="Times New Roman" w:cs="Times New Roman"/>
          <w:sz w:val="24"/>
          <w:szCs w:val="24"/>
        </w:rPr>
        <w:t>must be made</w:t>
      </w:r>
      <w:proofErr w:type="gramEnd"/>
      <w:r>
        <w:rPr>
          <w:rFonts w:ascii="Times New Roman" w:hAnsi="Times New Roman" w:cs="Times New Roman"/>
          <w:sz w:val="24"/>
          <w:szCs w:val="24"/>
        </w:rPr>
        <w:t xml:space="preserve"> on or before 1 </w:t>
      </w:r>
      <w:r w:rsidR="00CC62EB">
        <w:rPr>
          <w:rFonts w:ascii="Times New Roman" w:hAnsi="Times New Roman" w:cs="Times New Roman"/>
          <w:sz w:val="24"/>
          <w:szCs w:val="24"/>
        </w:rPr>
        <w:t xml:space="preserve">November </w:t>
      </w:r>
      <w:r>
        <w:rPr>
          <w:rFonts w:ascii="Times New Roman" w:hAnsi="Times New Roman" w:cs="Times New Roman"/>
          <w:sz w:val="24"/>
          <w:szCs w:val="24"/>
        </w:rPr>
        <w:t xml:space="preserve">in the preceding year. </w:t>
      </w:r>
    </w:p>
    <w:p w:rsidR="00BE2948" w:rsidRDefault="00DE4869" w:rsidP="00BE2948">
      <w:pPr>
        <w:spacing w:before="240" w:after="240"/>
        <w:rPr>
          <w:rFonts w:ascii="Times New Roman" w:hAnsi="Times New Roman" w:cs="Times New Roman"/>
          <w:sz w:val="24"/>
          <w:szCs w:val="24"/>
        </w:rPr>
      </w:pPr>
      <w:r>
        <w:rPr>
          <w:rFonts w:ascii="Times New Roman" w:hAnsi="Times New Roman" w:cs="Times New Roman"/>
          <w:sz w:val="24"/>
          <w:szCs w:val="24"/>
        </w:rPr>
        <w:t>The Resources Minister</w:t>
      </w:r>
      <w:r w:rsidR="00BE2948">
        <w:rPr>
          <w:rFonts w:ascii="Times New Roman" w:hAnsi="Times New Roman" w:cs="Times New Roman"/>
          <w:sz w:val="24"/>
          <w:szCs w:val="24"/>
        </w:rPr>
        <w:t xml:space="preserve"> may only determine a domestic shortfall year if the conditions in </w:t>
      </w:r>
      <w:proofErr w:type="spellStart"/>
      <w:r w:rsidR="00BE2948">
        <w:rPr>
          <w:rFonts w:ascii="Times New Roman" w:hAnsi="Times New Roman" w:cs="Times New Roman"/>
          <w:sz w:val="24"/>
          <w:szCs w:val="24"/>
        </w:rPr>
        <w:t>subregulation</w:t>
      </w:r>
      <w:proofErr w:type="spellEnd"/>
      <w:r w:rsidR="00BE2948">
        <w:rPr>
          <w:rFonts w:ascii="Times New Roman" w:hAnsi="Times New Roman" w:cs="Times New Roman"/>
          <w:sz w:val="24"/>
          <w:szCs w:val="24"/>
        </w:rPr>
        <w:t xml:space="preserve"> </w:t>
      </w:r>
      <w:proofErr w:type="gramStart"/>
      <w:r w:rsidR="00BE2948">
        <w:rPr>
          <w:rFonts w:ascii="Times New Roman" w:hAnsi="Times New Roman" w:cs="Times New Roman"/>
          <w:sz w:val="24"/>
          <w:szCs w:val="24"/>
        </w:rPr>
        <w:t>13G</w:t>
      </w:r>
      <w:r w:rsidR="00CC62EB">
        <w:rPr>
          <w:rFonts w:ascii="Times New Roman" w:hAnsi="Times New Roman" w:cs="Times New Roman"/>
          <w:sz w:val="24"/>
          <w:szCs w:val="24"/>
        </w:rPr>
        <w:t>E</w:t>
      </w:r>
      <w:r w:rsidR="00BE2948">
        <w:rPr>
          <w:rFonts w:ascii="Times New Roman" w:hAnsi="Times New Roman" w:cs="Times New Roman"/>
          <w:sz w:val="24"/>
          <w:szCs w:val="24"/>
        </w:rPr>
        <w:t>(</w:t>
      </w:r>
      <w:proofErr w:type="gramEnd"/>
      <w:r w:rsidR="00BE2948">
        <w:rPr>
          <w:rFonts w:ascii="Times New Roman" w:hAnsi="Times New Roman" w:cs="Times New Roman"/>
          <w:sz w:val="24"/>
          <w:szCs w:val="24"/>
        </w:rPr>
        <w:t xml:space="preserve">2) are met. </w:t>
      </w:r>
    </w:p>
    <w:p w:rsidR="00BE2948" w:rsidRPr="003B7161" w:rsidRDefault="00BE2948" w:rsidP="00BE2948">
      <w:pPr>
        <w:spacing w:before="240" w:after="240"/>
        <w:rPr>
          <w:rFonts w:ascii="Times New Roman" w:hAnsi="Times New Roman" w:cs="Times New Roman"/>
          <w:i/>
          <w:sz w:val="24"/>
          <w:szCs w:val="24"/>
        </w:rPr>
      </w:pPr>
      <w:proofErr w:type="spellStart"/>
      <w:r>
        <w:rPr>
          <w:rFonts w:ascii="Times New Roman" w:hAnsi="Times New Roman" w:cs="Times New Roman"/>
          <w:i/>
          <w:sz w:val="24"/>
          <w:szCs w:val="24"/>
        </w:rPr>
        <w:t>Subregulation</w:t>
      </w:r>
      <w:proofErr w:type="spellEnd"/>
      <w:r>
        <w:rPr>
          <w:rFonts w:ascii="Times New Roman" w:hAnsi="Times New Roman" w:cs="Times New Roman"/>
          <w:i/>
          <w:sz w:val="24"/>
          <w:szCs w:val="24"/>
        </w:rPr>
        <w:t xml:space="preserve"> </w:t>
      </w:r>
      <w:proofErr w:type="gramStart"/>
      <w:r>
        <w:rPr>
          <w:rFonts w:ascii="Times New Roman" w:hAnsi="Times New Roman" w:cs="Times New Roman"/>
          <w:i/>
          <w:sz w:val="24"/>
          <w:szCs w:val="24"/>
        </w:rPr>
        <w:t>13G</w:t>
      </w:r>
      <w:r w:rsidR="00CC62EB">
        <w:rPr>
          <w:rFonts w:ascii="Times New Roman" w:hAnsi="Times New Roman" w:cs="Times New Roman"/>
          <w:i/>
          <w:sz w:val="24"/>
          <w:szCs w:val="24"/>
        </w:rPr>
        <w:t>E</w:t>
      </w:r>
      <w:r>
        <w:rPr>
          <w:rFonts w:ascii="Times New Roman" w:hAnsi="Times New Roman" w:cs="Times New Roman"/>
          <w:i/>
          <w:sz w:val="24"/>
          <w:szCs w:val="24"/>
        </w:rPr>
        <w:t>(</w:t>
      </w:r>
      <w:proofErr w:type="gramEnd"/>
      <w:r>
        <w:rPr>
          <w:rFonts w:ascii="Times New Roman" w:hAnsi="Times New Roman" w:cs="Times New Roman"/>
          <w:i/>
          <w:sz w:val="24"/>
          <w:szCs w:val="24"/>
        </w:rPr>
        <w:t>2)</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This </w:t>
      </w:r>
      <w:proofErr w:type="spellStart"/>
      <w:r>
        <w:rPr>
          <w:rFonts w:ascii="Times New Roman" w:hAnsi="Times New Roman" w:cs="Times New Roman"/>
          <w:sz w:val="24"/>
          <w:szCs w:val="24"/>
        </w:rPr>
        <w:t>subregulation</w:t>
      </w:r>
      <w:proofErr w:type="spellEnd"/>
      <w:r>
        <w:rPr>
          <w:rFonts w:ascii="Times New Roman" w:hAnsi="Times New Roman" w:cs="Times New Roman"/>
          <w:sz w:val="24"/>
          <w:szCs w:val="24"/>
        </w:rPr>
        <w:t xml:space="preserve"> sets out that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must not determine a domestic shortfall unless t</w:t>
      </w:r>
      <w:r w:rsidR="001A0B39">
        <w:rPr>
          <w:rFonts w:ascii="Times New Roman" w:hAnsi="Times New Roman" w:cs="Times New Roman"/>
          <w:sz w:val="24"/>
          <w:szCs w:val="24"/>
        </w:rPr>
        <w:t>hree</w:t>
      </w:r>
      <w:r>
        <w:rPr>
          <w:rFonts w:ascii="Times New Roman" w:hAnsi="Times New Roman" w:cs="Times New Roman"/>
          <w:sz w:val="24"/>
          <w:szCs w:val="24"/>
        </w:rPr>
        <w:t xml:space="preserve"> conditions </w:t>
      </w:r>
      <w:proofErr w:type="gramStart"/>
      <w:r>
        <w:rPr>
          <w:rFonts w:ascii="Times New Roman" w:hAnsi="Times New Roman" w:cs="Times New Roman"/>
          <w:sz w:val="24"/>
          <w:szCs w:val="24"/>
        </w:rPr>
        <w:t>are met</w:t>
      </w:r>
      <w:proofErr w:type="gramEnd"/>
      <w:r>
        <w:rPr>
          <w:rFonts w:ascii="Times New Roman" w:hAnsi="Times New Roman" w:cs="Times New Roman"/>
          <w:sz w:val="24"/>
          <w:szCs w:val="24"/>
        </w:rPr>
        <w:t>.</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The first condition is that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must have reasonable grounds to believe that there will not be a sufficient supply of natural gas for </w:t>
      </w:r>
      <w:r w:rsidR="001A0B39">
        <w:rPr>
          <w:rFonts w:ascii="Times New Roman" w:hAnsi="Times New Roman" w:cs="Times New Roman"/>
          <w:sz w:val="24"/>
          <w:szCs w:val="24"/>
        </w:rPr>
        <w:t>Australian consumers</w:t>
      </w:r>
      <w:r>
        <w:rPr>
          <w:rFonts w:ascii="Times New Roman" w:hAnsi="Times New Roman" w:cs="Times New Roman"/>
          <w:sz w:val="24"/>
          <w:szCs w:val="24"/>
        </w:rPr>
        <w:t xml:space="preserve"> during the year unless exports are controlled</w:t>
      </w:r>
      <w:r w:rsidR="001A0B39">
        <w:rPr>
          <w:rFonts w:ascii="Times New Roman" w:hAnsi="Times New Roman" w:cs="Times New Roman"/>
          <w:sz w:val="24"/>
          <w:szCs w:val="24"/>
        </w:rPr>
        <w:t xml:space="preserve">, and that exports of </w:t>
      </w:r>
      <w:r w:rsidR="00924376">
        <w:rPr>
          <w:rFonts w:ascii="Times New Roman" w:hAnsi="Times New Roman" w:cs="Times New Roman"/>
          <w:sz w:val="24"/>
          <w:szCs w:val="24"/>
        </w:rPr>
        <w:t>LNG</w:t>
      </w:r>
      <w:r w:rsidR="001A0B39">
        <w:rPr>
          <w:rFonts w:ascii="Times New Roman" w:hAnsi="Times New Roman" w:cs="Times New Roman"/>
          <w:sz w:val="24"/>
          <w:szCs w:val="24"/>
        </w:rPr>
        <w:t xml:space="preserve"> would contribute to that lack of supply</w:t>
      </w:r>
      <w:r>
        <w:rPr>
          <w:rFonts w:ascii="Times New Roman" w:hAnsi="Times New Roman" w:cs="Times New Roman"/>
          <w:sz w:val="24"/>
          <w:szCs w:val="24"/>
        </w:rPr>
        <w:t xml:space="preserve">. </w:t>
      </w:r>
    </w:p>
    <w:p w:rsidR="001A0B39" w:rsidRDefault="002D10BA" w:rsidP="00BE2948">
      <w:pPr>
        <w:spacing w:before="240" w:after="240"/>
        <w:rPr>
          <w:rFonts w:ascii="Times New Roman" w:hAnsi="Times New Roman" w:cs="Times New Roman"/>
          <w:sz w:val="24"/>
          <w:szCs w:val="24"/>
        </w:rPr>
      </w:pPr>
      <w:r>
        <w:rPr>
          <w:rFonts w:ascii="Times New Roman" w:hAnsi="Times New Roman" w:cs="Times New Roman"/>
          <w:sz w:val="24"/>
          <w:szCs w:val="24"/>
        </w:rPr>
        <w:lastRenderedPageBreak/>
        <w:t xml:space="preserve">In </w:t>
      </w:r>
      <w:r w:rsidR="009706E8">
        <w:rPr>
          <w:rFonts w:ascii="Times New Roman" w:hAnsi="Times New Roman" w:cs="Times New Roman"/>
          <w:sz w:val="24"/>
          <w:szCs w:val="24"/>
        </w:rPr>
        <w:t>relation to the first condition</w:t>
      </w:r>
      <w:r>
        <w:rPr>
          <w:rFonts w:ascii="Times New Roman" w:hAnsi="Times New Roman" w:cs="Times New Roman"/>
          <w:sz w:val="24"/>
          <w:szCs w:val="24"/>
        </w:rPr>
        <w:t xml:space="preserve">, it </w:t>
      </w:r>
      <w:proofErr w:type="gramStart"/>
      <w:r>
        <w:rPr>
          <w:rFonts w:ascii="Times New Roman" w:hAnsi="Times New Roman" w:cs="Times New Roman"/>
          <w:sz w:val="24"/>
          <w:szCs w:val="24"/>
        </w:rPr>
        <w:t>is intended</w:t>
      </w:r>
      <w:proofErr w:type="gramEnd"/>
      <w:r>
        <w:rPr>
          <w:rFonts w:ascii="Times New Roman" w:hAnsi="Times New Roman" w:cs="Times New Roman"/>
          <w:sz w:val="24"/>
          <w:szCs w:val="24"/>
        </w:rPr>
        <w:t xml:space="preserve"> that the Resources Minister will consider Australian consumers in each part of the Australian domestic gas market, including each of the major gas markets that together comprise the Australian domestic gas market (that is, the Western, Northern, and Eastern gas markets). </w:t>
      </w:r>
      <w:proofErr w:type="gramStart"/>
      <w:r w:rsidR="00625C12">
        <w:rPr>
          <w:rFonts w:ascii="Times New Roman" w:hAnsi="Times New Roman" w:cs="Times New Roman"/>
          <w:sz w:val="24"/>
          <w:szCs w:val="24"/>
        </w:rPr>
        <w:t xml:space="preserve">For the purpose of making a determination under </w:t>
      </w:r>
      <w:proofErr w:type="spellStart"/>
      <w:r w:rsidR="00625C12">
        <w:rPr>
          <w:rFonts w:ascii="Times New Roman" w:hAnsi="Times New Roman" w:cs="Times New Roman"/>
          <w:sz w:val="24"/>
          <w:szCs w:val="24"/>
        </w:rPr>
        <w:t>subregulation</w:t>
      </w:r>
      <w:proofErr w:type="spellEnd"/>
      <w:r w:rsidR="00625C12">
        <w:rPr>
          <w:rFonts w:ascii="Times New Roman" w:hAnsi="Times New Roman" w:cs="Times New Roman"/>
          <w:sz w:val="24"/>
          <w:szCs w:val="24"/>
        </w:rPr>
        <w:t xml:space="preserve"> 13GE(1), i</w:t>
      </w:r>
      <w:r>
        <w:rPr>
          <w:rFonts w:ascii="Times New Roman" w:hAnsi="Times New Roman" w:cs="Times New Roman"/>
          <w:sz w:val="24"/>
          <w:szCs w:val="24"/>
        </w:rPr>
        <w:t xml:space="preserve">t is intended that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may determine that Australian consumers in part of the Australian domestic gas market </w:t>
      </w:r>
      <w:r w:rsidR="00871826">
        <w:rPr>
          <w:rFonts w:ascii="Times New Roman" w:hAnsi="Times New Roman" w:cs="Times New Roman"/>
          <w:sz w:val="24"/>
          <w:szCs w:val="24"/>
        </w:rPr>
        <w:t xml:space="preserve">(for example, the Eastern gas market) </w:t>
      </w:r>
      <w:r>
        <w:rPr>
          <w:rFonts w:ascii="Times New Roman" w:hAnsi="Times New Roman" w:cs="Times New Roman"/>
          <w:sz w:val="24"/>
          <w:szCs w:val="24"/>
        </w:rPr>
        <w:t>will be affected by an insufficient supply of gas, notwithstanding that consumers in other parts of the Australian domestic gas market will not be affected by an insufficient supply.</w:t>
      </w:r>
      <w:proofErr w:type="gramEnd"/>
      <w:r>
        <w:rPr>
          <w:rFonts w:ascii="Times New Roman" w:hAnsi="Times New Roman" w:cs="Times New Roman"/>
          <w:sz w:val="24"/>
          <w:szCs w:val="24"/>
        </w:rPr>
        <w:t xml:space="preserve"> </w:t>
      </w:r>
    </w:p>
    <w:p w:rsidR="00955E66" w:rsidRDefault="00C8023E" w:rsidP="00BE2948">
      <w:pPr>
        <w:spacing w:before="240" w:after="240"/>
        <w:rPr>
          <w:rFonts w:ascii="Times New Roman" w:hAnsi="Times New Roman" w:cs="Times New Roman"/>
          <w:sz w:val="24"/>
          <w:szCs w:val="24"/>
        </w:rPr>
      </w:pPr>
      <w:r w:rsidRPr="00C8023E">
        <w:rPr>
          <w:rFonts w:ascii="Times New Roman" w:hAnsi="Times New Roman" w:cs="Times New Roman"/>
          <w:sz w:val="24"/>
          <w:szCs w:val="24"/>
        </w:rPr>
        <w:t xml:space="preserve">The calculation involved in 13GE(2)(a) will require </w:t>
      </w:r>
      <w:r w:rsidR="00DE4869">
        <w:rPr>
          <w:rFonts w:ascii="Times New Roman" w:hAnsi="Times New Roman" w:cs="Times New Roman"/>
          <w:sz w:val="24"/>
          <w:szCs w:val="24"/>
        </w:rPr>
        <w:t>the Resources Minister</w:t>
      </w:r>
      <w:r w:rsidRPr="00C8023E">
        <w:rPr>
          <w:rFonts w:ascii="Times New Roman" w:hAnsi="Times New Roman" w:cs="Times New Roman"/>
          <w:sz w:val="24"/>
          <w:szCs w:val="24"/>
        </w:rPr>
        <w:t xml:space="preserve"> to assess a forecast supply of natural gas against an assessment by </w:t>
      </w:r>
      <w:r w:rsidR="00DE4869">
        <w:rPr>
          <w:rFonts w:ascii="Times New Roman" w:hAnsi="Times New Roman" w:cs="Times New Roman"/>
          <w:sz w:val="24"/>
          <w:szCs w:val="24"/>
        </w:rPr>
        <w:t>the Resources Minister</w:t>
      </w:r>
      <w:r w:rsidRPr="00C8023E">
        <w:rPr>
          <w:rFonts w:ascii="Times New Roman" w:hAnsi="Times New Roman" w:cs="Times New Roman"/>
          <w:sz w:val="24"/>
          <w:szCs w:val="24"/>
        </w:rPr>
        <w:t xml:space="preserve"> of the amount of gas Australian consumers need </w:t>
      </w:r>
      <w:r>
        <w:rPr>
          <w:rFonts w:ascii="Times New Roman" w:hAnsi="Times New Roman" w:cs="Times New Roman"/>
          <w:sz w:val="24"/>
          <w:szCs w:val="24"/>
        </w:rPr>
        <w:t xml:space="preserve">– </w:t>
      </w:r>
      <w:r w:rsidRPr="00C8023E">
        <w:rPr>
          <w:rFonts w:ascii="Times New Roman" w:hAnsi="Times New Roman" w:cs="Times New Roman"/>
          <w:sz w:val="24"/>
          <w:szCs w:val="24"/>
        </w:rPr>
        <w:t>in</w:t>
      </w:r>
      <w:r>
        <w:rPr>
          <w:rFonts w:ascii="Times New Roman" w:hAnsi="Times New Roman" w:cs="Times New Roman"/>
          <w:sz w:val="24"/>
          <w:szCs w:val="24"/>
        </w:rPr>
        <w:t xml:space="preserve"> </w:t>
      </w:r>
      <w:r w:rsidRPr="00C8023E">
        <w:rPr>
          <w:rFonts w:ascii="Times New Roman" w:hAnsi="Times New Roman" w:cs="Times New Roman"/>
          <w:sz w:val="24"/>
          <w:szCs w:val="24"/>
        </w:rPr>
        <w:t xml:space="preserve">other words, an appropriate level of demand for gas for the market for the relevant calendar year. In considering this forecast supply of gas, it is intended that </w:t>
      </w:r>
      <w:r w:rsidR="00DE4869">
        <w:rPr>
          <w:rFonts w:ascii="Times New Roman" w:hAnsi="Times New Roman" w:cs="Times New Roman"/>
          <w:sz w:val="24"/>
          <w:szCs w:val="24"/>
        </w:rPr>
        <w:t>the Resources Minister</w:t>
      </w:r>
      <w:r w:rsidRPr="00C8023E">
        <w:rPr>
          <w:rFonts w:ascii="Times New Roman" w:hAnsi="Times New Roman" w:cs="Times New Roman"/>
          <w:sz w:val="24"/>
          <w:szCs w:val="24"/>
        </w:rPr>
        <w:t xml:space="preserve"> may use price as an aspect in deriving the appropriate level of demand for gas. Estimates of the likelihood and extent of a potential shortfall </w:t>
      </w:r>
      <w:r w:rsidR="00A402DF">
        <w:rPr>
          <w:rFonts w:ascii="Times New Roman" w:hAnsi="Times New Roman" w:cs="Times New Roman"/>
          <w:sz w:val="24"/>
          <w:szCs w:val="24"/>
        </w:rPr>
        <w:t>would</w:t>
      </w:r>
      <w:r w:rsidRPr="00C8023E">
        <w:rPr>
          <w:rFonts w:ascii="Times New Roman" w:hAnsi="Times New Roman" w:cs="Times New Roman"/>
          <w:sz w:val="24"/>
          <w:szCs w:val="24"/>
        </w:rPr>
        <w:t xml:space="preserve"> be developed using a reasonable price which reflects that Australian gas consumers (at a wholesale level) should, on average, pay no more for their gas than the value of that same gas if sold for export (for example, the applicable LNG netback price).</w:t>
      </w:r>
      <w:r>
        <w:rPr>
          <w:rFonts w:ascii="Times New Roman" w:hAnsi="Times New Roman" w:cs="Times New Roman"/>
          <w:sz w:val="24"/>
          <w:szCs w:val="24"/>
        </w:rPr>
        <w:t xml:space="preserve"> </w:t>
      </w:r>
    </w:p>
    <w:p w:rsidR="00674949" w:rsidRDefault="00674949"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Exports of </w:t>
      </w:r>
      <w:r w:rsidR="00A35831">
        <w:rPr>
          <w:rFonts w:ascii="Times New Roman" w:hAnsi="Times New Roman" w:cs="Times New Roman"/>
          <w:sz w:val="24"/>
          <w:szCs w:val="24"/>
        </w:rPr>
        <w:t>LNG</w:t>
      </w:r>
      <w:r>
        <w:rPr>
          <w:rFonts w:ascii="Times New Roman" w:hAnsi="Times New Roman" w:cs="Times New Roman"/>
          <w:sz w:val="24"/>
          <w:szCs w:val="24"/>
        </w:rPr>
        <w:t xml:space="preserve"> </w:t>
      </w:r>
      <w:proofErr w:type="gramStart"/>
      <w:r>
        <w:rPr>
          <w:rFonts w:ascii="Times New Roman" w:hAnsi="Times New Roman" w:cs="Times New Roman"/>
          <w:sz w:val="24"/>
          <w:szCs w:val="24"/>
        </w:rPr>
        <w:t>would be considered</w:t>
      </w:r>
      <w:proofErr w:type="gramEnd"/>
      <w:r>
        <w:rPr>
          <w:rFonts w:ascii="Times New Roman" w:hAnsi="Times New Roman" w:cs="Times New Roman"/>
          <w:sz w:val="24"/>
          <w:szCs w:val="24"/>
        </w:rPr>
        <w:t xml:space="preserve"> to contribute to a lack of supply where one or more exporters of </w:t>
      </w:r>
      <w:r w:rsidR="00A35831">
        <w:rPr>
          <w:rFonts w:ascii="Times New Roman" w:hAnsi="Times New Roman" w:cs="Times New Roman"/>
          <w:sz w:val="24"/>
          <w:szCs w:val="24"/>
        </w:rPr>
        <w:t>LNG</w:t>
      </w:r>
      <w:r>
        <w:rPr>
          <w:rFonts w:ascii="Times New Roman" w:hAnsi="Times New Roman" w:cs="Times New Roman"/>
          <w:sz w:val="24"/>
          <w:szCs w:val="24"/>
        </w:rPr>
        <w:t xml:space="preserve"> are drawing down from the Australian domestic gas market in net terms. </w:t>
      </w:r>
    </w:p>
    <w:p w:rsidR="00BB0E6D" w:rsidRDefault="00BB0E6D"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The second condition is that, prior to making a </w:t>
      </w:r>
      <w:proofErr w:type="gramStart"/>
      <w:r>
        <w:rPr>
          <w:rFonts w:ascii="Times New Roman" w:hAnsi="Times New Roman" w:cs="Times New Roman"/>
          <w:sz w:val="24"/>
          <w:szCs w:val="24"/>
        </w:rPr>
        <w:t>determination,</w:t>
      </w:r>
      <w:proofErr w:type="gramEnd"/>
      <w:r>
        <w:rPr>
          <w:rFonts w:ascii="Times New Roman" w:hAnsi="Times New Roman" w:cs="Times New Roman"/>
          <w:sz w:val="24"/>
          <w:szCs w:val="24"/>
        </w:rPr>
        <w:t xml:space="preserve">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must have consulted with the Prime Minister, the Energy Minister, the Industry Minister, and the Trade Minister. </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The </w:t>
      </w:r>
      <w:r w:rsidR="00FE6F12">
        <w:rPr>
          <w:rFonts w:ascii="Times New Roman" w:hAnsi="Times New Roman" w:cs="Times New Roman"/>
          <w:sz w:val="24"/>
          <w:szCs w:val="24"/>
        </w:rPr>
        <w:t xml:space="preserve">third </w:t>
      </w:r>
      <w:r>
        <w:rPr>
          <w:rFonts w:ascii="Times New Roman" w:hAnsi="Times New Roman" w:cs="Times New Roman"/>
          <w:sz w:val="24"/>
          <w:szCs w:val="24"/>
        </w:rPr>
        <w:t xml:space="preserve">condition is that, at least 30 days before the determination </w:t>
      </w:r>
      <w:proofErr w:type="gramStart"/>
      <w:r>
        <w:rPr>
          <w:rFonts w:ascii="Times New Roman" w:hAnsi="Times New Roman" w:cs="Times New Roman"/>
          <w:sz w:val="24"/>
          <w:szCs w:val="24"/>
        </w:rPr>
        <w:t>is made</w:t>
      </w:r>
      <w:proofErr w:type="gramEnd"/>
      <w:r>
        <w:rPr>
          <w:rFonts w:ascii="Times New Roman" w:hAnsi="Times New Roman" w:cs="Times New Roman"/>
          <w:sz w:val="24"/>
          <w:szCs w:val="24"/>
        </w:rPr>
        <w:t xml:space="preserve">,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must have </w:t>
      </w:r>
      <w:r w:rsidR="001A0B39">
        <w:rPr>
          <w:rFonts w:ascii="Times New Roman" w:hAnsi="Times New Roman" w:cs="Times New Roman"/>
          <w:sz w:val="24"/>
          <w:szCs w:val="24"/>
        </w:rPr>
        <w:t>notified</w:t>
      </w:r>
      <w:r>
        <w:rPr>
          <w:rFonts w:ascii="Times New Roman" w:hAnsi="Times New Roman" w:cs="Times New Roman"/>
          <w:sz w:val="24"/>
          <w:szCs w:val="24"/>
        </w:rPr>
        <w:t xml:space="preserve"> his or her intention to consider whether to determine the year as a domestic shortfall year. </w:t>
      </w:r>
      <w:r w:rsidR="00DE4869">
        <w:rPr>
          <w:rFonts w:ascii="Times New Roman" w:hAnsi="Times New Roman" w:cs="Times New Roman"/>
          <w:sz w:val="24"/>
          <w:szCs w:val="24"/>
        </w:rPr>
        <w:t>The Resources Minister</w:t>
      </w:r>
      <w:r w:rsidR="00527070">
        <w:rPr>
          <w:rFonts w:ascii="Times New Roman" w:hAnsi="Times New Roman" w:cs="Times New Roman"/>
          <w:sz w:val="24"/>
          <w:szCs w:val="24"/>
        </w:rPr>
        <w:t xml:space="preserve">’s </w:t>
      </w:r>
      <w:r w:rsidR="001A0B39">
        <w:rPr>
          <w:rFonts w:ascii="Times New Roman" w:hAnsi="Times New Roman" w:cs="Times New Roman"/>
          <w:sz w:val="24"/>
          <w:szCs w:val="24"/>
        </w:rPr>
        <w:t>notification</w:t>
      </w:r>
      <w:r w:rsidR="00527070">
        <w:rPr>
          <w:rFonts w:ascii="Times New Roman" w:hAnsi="Times New Roman" w:cs="Times New Roman"/>
          <w:sz w:val="24"/>
          <w:szCs w:val="24"/>
        </w:rPr>
        <w:t xml:space="preserve"> is a notifiable instrument, which </w:t>
      </w:r>
      <w:proofErr w:type="gramStart"/>
      <w:r w:rsidR="00527070">
        <w:rPr>
          <w:rFonts w:ascii="Times New Roman" w:hAnsi="Times New Roman" w:cs="Times New Roman"/>
          <w:sz w:val="24"/>
          <w:szCs w:val="24"/>
        </w:rPr>
        <w:t>must be registered</w:t>
      </w:r>
      <w:proofErr w:type="gramEnd"/>
      <w:r w:rsidR="00527070">
        <w:rPr>
          <w:rFonts w:ascii="Times New Roman" w:hAnsi="Times New Roman" w:cs="Times New Roman"/>
          <w:sz w:val="24"/>
          <w:szCs w:val="24"/>
        </w:rPr>
        <w:t xml:space="preserve"> on the Federal Register of Legislation. </w:t>
      </w:r>
      <w:r>
        <w:rPr>
          <w:rFonts w:ascii="Times New Roman" w:hAnsi="Times New Roman" w:cs="Times New Roman"/>
          <w:sz w:val="24"/>
          <w:szCs w:val="24"/>
        </w:rPr>
        <w:t>Practically, th</w:t>
      </w:r>
      <w:r w:rsidR="00032845">
        <w:rPr>
          <w:rFonts w:ascii="Times New Roman" w:hAnsi="Times New Roman" w:cs="Times New Roman"/>
          <w:sz w:val="24"/>
          <w:szCs w:val="24"/>
        </w:rPr>
        <w:t>is</w:t>
      </w:r>
      <w:r>
        <w:rPr>
          <w:rFonts w:ascii="Times New Roman" w:hAnsi="Times New Roman" w:cs="Times New Roman"/>
          <w:sz w:val="24"/>
          <w:szCs w:val="24"/>
        </w:rPr>
        <w:t xml:space="preserve"> requires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to provide at least 30 days’ notice to the public before he or she makes a decision about whether or not to determine the forthcoming calendar year as a domestic shortfall year.</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Because a determination made by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in accordance with s 13G</w:t>
      </w:r>
      <w:r w:rsidR="008A5A6E">
        <w:rPr>
          <w:rFonts w:ascii="Times New Roman" w:hAnsi="Times New Roman" w:cs="Times New Roman"/>
          <w:sz w:val="24"/>
          <w:szCs w:val="24"/>
        </w:rPr>
        <w:t>E</w:t>
      </w:r>
      <w:r>
        <w:rPr>
          <w:rFonts w:ascii="Times New Roman" w:hAnsi="Times New Roman" w:cs="Times New Roman"/>
          <w:sz w:val="24"/>
          <w:szCs w:val="24"/>
        </w:rPr>
        <w:t xml:space="preserve">(1) must be made on or before 1 </w:t>
      </w:r>
      <w:r w:rsidR="00E47CAA">
        <w:rPr>
          <w:rFonts w:ascii="Times New Roman" w:hAnsi="Times New Roman" w:cs="Times New Roman"/>
          <w:sz w:val="24"/>
          <w:szCs w:val="24"/>
        </w:rPr>
        <w:t>November</w:t>
      </w:r>
      <w:r>
        <w:rPr>
          <w:rFonts w:ascii="Times New Roman" w:hAnsi="Times New Roman" w:cs="Times New Roman"/>
          <w:sz w:val="24"/>
          <w:szCs w:val="24"/>
        </w:rPr>
        <w:t xml:space="preserve"> in the year preceding the domestic shortfall year, this means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’s </w:t>
      </w:r>
      <w:r w:rsidR="008A5A6E">
        <w:rPr>
          <w:rFonts w:ascii="Times New Roman" w:hAnsi="Times New Roman" w:cs="Times New Roman"/>
          <w:sz w:val="24"/>
          <w:szCs w:val="24"/>
        </w:rPr>
        <w:t xml:space="preserve">notification </w:t>
      </w:r>
      <w:r>
        <w:rPr>
          <w:rFonts w:ascii="Times New Roman" w:hAnsi="Times New Roman" w:cs="Times New Roman"/>
          <w:sz w:val="24"/>
          <w:szCs w:val="24"/>
        </w:rPr>
        <w:t>under paragraph 13G</w:t>
      </w:r>
      <w:r w:rsidR="008A5A6E">
        <w:rPr>
          <w:rFonts w:ascii="Times New Roman" w:hAnsi="Times New Roman" w:cs="Times New Roman"/>
          <w:sz w:val="24"/>
          <w:szCs w:val="24"/>
        </w:rPr>
        <w:t>E</w:t>
      </w:r>
      <w:r>
        <w:rPr>
          <w:rFonts w:ascii="Times New Roman" w:hAnsi="Times New Roman" w:cs="Times New Roman"/>
          <w:sz w:val="24"/>
          <w:szCs w:val="24"/>
        </w:rPr>
        <w:t>(2)(</w:t>
      </w:r>
      <w:r w:rsidR="008A5A6E">
        <w:rPr>
          <w:rFonts w:ascii="Times New Roman" w:hAnsi="Times New Roman" w:cs="Times New Roman"/>
          <w:sz w:val="24"/>
          <w:szCs w:val="24"/>
        </w:rPr>
        <w:t>c</w:t>
      </w:r>
      <w:r>
        <w:rPr>
          <w:rFonts w:ascii="Times New Roman" w:hAnsi="Times New Roman" w:cs="Times New Roman"/>
          <w:sz w:val="24"/>
          <w:szCs w:val="24"/>
        </w:rPr>
        <w:t xml:space="preserve">) must be made on or before 1 </w:t>
      </w:r>
      <w:r w:rsidR="00AE020F">
        <w:rPr>
          <w:rFonts w:ascii="Times New Roman" w:hAnsi="Times New Roman" w:cs="Times New Roman"/>
          <w:sz w:val="24"/>
          <w:szCs w:val="24"/>
        </w:rPr>
        <w:t xml:space="preserve">October </w:t>
      </w:r>
      <w:r>
        <w:rPr>
          <w:rFonts w:ascii="Times New Roman" w:hAnsi="Times New Roman" w:cs="Times New Roman"/>
          <w:sz w:val="24"/>
          <w:szCs w:val="24"/>
        </w:rPr>
        <w:t xml:space="preserve">in the year preceding the domestic shortfall year. </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Although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may commence this process at any time up until 1 </w:t>
      </w:r>
      <w:r w:rsidR="00A6026A">
        <w:rPr>
          <w:rFonts w:ascii="Times New Roman" w:hAnsi="Times New Roman" w:cs="Times New Roman"/>
          <w:sz w:val="24"/>
          <w:szCs w:val="24"/>
        </w:rPr>
        <w:t xml:space="preserve">October </w:t>
      </w:r>
      <w:r>
        <w:rPr>
          <w:rFonts w:ascii="Times New Roman" w:hAnsi="Times New Roman" w:cs="Times New Roman"/>
          <w:sz w:val="24"/>
          <w:szCs w:val="24"/>
        </w:rPr>
        <w:t xml:space="preserve">in the year preceding a calendar year, it is expected that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would ordinarily make a </w:t>
      </w:r>
      <w:r w:rsidR="00A6026A">
        <w:rPr>
          <w:rFonts w:ascii="Times New Roman" w:hAnsi="Times New Roman" w:cs="Times New Roman"/>
          <w:sz w:val="24"/>
          <w:szCs w:val="24"/>
        </w:rPr>
        <w:t>notification</w:t>
      </w:r>
      <w:r>
        <w:rPr>
          <w:rFonts w:ascii="Times New Roman" w:hAnsi="Times New Roman" w:cs="Times New Roman"/>
          <w:sz w:val="24"/>
          <w:szCs w:val="24"/>
        </w:rPr>
        <w:t xml:space="preserve"> earlier in the year (for example, in July) in order to provide as much notice as possible to affected stakeholders, especially LNG exporters.   </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lastRenderedPageBreak/>
        <w:t xml:space="preserve">Where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makes a </w:t>
      </w:r>
      <w:r w:rsidR="00392159">
        <w:rPr>
          <w:rFonts w:ascii="Times New Roman" w:hAnsi="Times New Roman" w:cs="Times New Roman"/>
          <w:sz w:val="24"/>
          <w:szCs w:val="24"/>
        </w:rPr>
        <w:t xml:space="preserve">notification </w:t>
      </w:r>
      <w:r>
        <w:rPr>
          <w:rFonts w:ascii="Times New Roman" w:hAnsi="Times New Roman" w:cs="Times New Roman"/>
          <w:sz w:val="24"/>
          <w:szCs w:val="24"/>
        </w:rPr>
        <w:t xml:space="preserve">in accordance with paragraph </w:t>
      </w:r>
      <w:proofErr w:type="gramStart"/>
      <w:r>
        <w:rPr>
          <w:rFonts w:ascii="Times New Roman" w:hAnsi="Times New Roman" w:cs="Times New Roman"/>
          <w:sz w:val="24"/>
          <w:szCs w:val="24"/>
        </w:rPr>
        <w:t>13G</w:t>
      </w:r>
      <w:r w:rsidR="00E622C7">
        <w:rPr>
          <w:rFonts w:ascii="Times New Roman" w:hAnsi="Times New Roman" w:cs="Times New Roman"/>
          <w:sz w:val="24"/>
          <w:szCs w:val="24"/>
        </w:rPr>
        <w:t>E</w:t>
      </w:r>
      <w:r>
        <w:rPr>
          <w:rFonts w:ascii="Times New Roman" w:hAnsi="Times New Roman" w:cs="Times New Roman"/>
          <w:sz w:val="24"/>
          <w:szCs w:val="24"/>
        </w:rPr>
        <w:t>(</w:t>
      </w:r>
      <w:proofErr w:type="gramEnd"/>
      <w:r>
        <w:rPr>
          <w:rFonts w:ascii="Times New Roman" w:hAnsi="Times New Roman" w:cs="Times New Roman"/>
          <w:sz w:val="24"/>
          <w:szCs w:val="24"/>
        </w:rPr>
        <w:t>2)(</w:t>
      </w:r>
      <w:r w:rsidR="00E622C7">
        <w:rPr>
          <w:rFonts w:ascii="Times New Roman" w:hAnsi="Times New Roman" w:cs="Times New Roman"/>
          <w:sz w:val="24"/>
          <w:szCs w:val="24"/>
        </w:rPr>
        <w:t>c</w:t>
      </w:r>
      <w:r>
        <w:rPr>
          <w:rFonts w:ascii="Times New Roman" w:hAnsi="Times New Roman" w:cs="Times New Roman"/>
          <w:sz w:val="24"/>
          <w:szCs w:val="24"/>
        </w:rPr>
        <w:t xml:space="preserve">),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will consult with stakeholders to seek information about the Australian domestic gas market. This will include consultation with relevant market bodies and agencies (for example, the Australian Energy Market Operator and the Australian Competition and Consumer Commission), all LNG projects, relevant Commonwealth ministers, as well as any other stakeholders with whom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wishes to consult. </w:t>
      </w:r>
    </w:p>
    <w:p w:rsidR="00BE2948" w:rsidRDefault="00DE4869" w:rsidP="00BE2948">
      <w:pPr>
        <w:spacing w:before="240" w:after="240"/>
        <w:rPr>
          <w:rFonts w:ascii="Times New Roman" w:hAnsi="Times New Roman" w:cs="Times New Roman"/>
          <w:sz w:val="24"/>
          <w:szCs w:val="24"/>
        </w:rPr>
      </w:pPr>
      <w:r>
        <w:rPr>
          <w:rFonts w:ascii="Times New Roman" w:hAnsi="Times New Roman" w:cs="Times New Roman"/>
          <w:sz w:val="24"/>
          <w:szCs w:val="24"/>
        </w:rPr>
        <w:t>The Resources Minister</w:t>
      </w:r>
      <w:r w:rsidR="00BE2948">
        <w:rPr>
          <w:rFonts w:ascii="Times New Roman" w:hAnsi="Times New Roman" w:cs="Times New Roman"/>
          <w:sz w:val="24"/>
          <w:szCs w:val="24"/>
        </w:rPr>
        <w:t xml:space="preserve"> will then consider the submissions and make a final decision about whether the forthcoming calendar year should be determined as a domestic shortfall year. </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The requirement to give the public at least 30 days’ notice, and the opportunity for stakeholders to provide information to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is intended to ensure </w:t>
      </w:r>
      <w:r w:rsidR="00DE4869">
        <w:rPr>
          <w:rFonts w:ascii="Times New Roman" w:hAnsi="Times New Roman" w:cs="Times New Roman"/>
          <w:sz w:val="24"/>
          <w:szCs w:val="24"/>
        </w:rPr>
        <w:t>the Resources Minister</w:t>
      </w:r>
      <w:r>
        <w:rPr>
          <w:rFonts w:ascii="Times New Roman" w:hAnsi="Times New Roman" w:cs="Times New Roman"/>
          <w:sz w:val="24"/>
          <w:szCs w:val="24"/>
        </w:rPr>
        <w:t>’s assessment of the state of the Australian domestic gas market will be based on the best available information</w:t>
      </w:r>
      <w:r w:rsidR="00AF2BA0">
        <w:rPr>
          <w:rFonts w:ascii="Times New Roman" w:hAnsi="Times New Roman" w:cs="Times New Roman"/>
          <w:sz w:val="24"/>
          <w:szCs w:val="24"/>
        </w:rPr>
        <w:t xml:space="preserve"> and advice</w:t>
      </w:r>
      <w:r>
        <w:rPr>
          <w:rFonts w:ascii="Times New Roman" w:hAnsi="Times New Roman" w:cs="Times New Roman"/>
          <w:sz w:val="24"/>
          <w:szCs w:val="24"/>
        </w:rPr>
        <w:t xml:space="preserve">.  </w:t>
      </w:r>
    </w:p>
    <w:p w:rsidR="00BE2948" w:rsidRDefault="00BE2948" w:rsidP="00BE2948">
      <w:pPr>
        <w:spacing w:before="240" w:after="240"/>
        <w:rPr>
          <w:rFonts w:ascii="Times New Roman" w:hAnsi="Times New Roman" w:cs="Times New Roman"/>
          <w:sz w:val="24"/>
          <w:szCs w:val="24"/>
        </w:rPr>
      </w:pPr>
      <w:proofErr w:type="spellStart"/>
      <w:r>
        <w:rPr>
          <w:rFonts w:ascii="Times New Roman" w:hAnsi="Times New Roman" w:cs="Times New Roman"/>
          <w:i/>
          <w:sz w:val="24"/>
          <w:szCs w:val="24"/>
        </w:rPr>
        <w:t>Subregulation</w:t>
      </w:r>
      <w:proofErr w:type="spellEnd"/>
      <w:r>
        <w:rPr>
          <w:rFonts w:ascii="Times New Roman" w:hAnsi="Times New Roman" w:cs="Times New Roman"/>
          <w:i/>
          <w:sz w:val="24"/>
          <w:szCs w:val="24"/>
        </w:rPr>
        <w:t xml:space="preserve"> </w:t>
      </w:r>
      <w:proofErr w:type="gramStart"/>
      <w:r>
        <w:rPr>
          <w:rFonts w:ascii="Times New Roman" w:hAnsi="Times New Roman" w:cs="Times New Roman"/>
          <w:i/>
          <w:sz w:val="24"/>
          <w:szCs w:val="24"/>
        </w:rPr>
        <w:t>13G</w:t>
      </w:r>
      <w:r w:rsidR="00E1415D">
        <w:rPr>
          <w:rFonts w:ascii="Times New Roman" w:hAnsi="Times New Roman" w:cs="Times New Roman"/>
          <w:i/>
          <w:sz w:val="24"/>
          <w:szCs w:val="24"/>
        </w:rPr>
        <w:t>E</w:t>
      </w:r>
      <w:r>
        <w:rPr>
          <w:rFonts w:ascii="Times New Roman" w:hAnsi="Times New Roman" w:cs="Times New Roman"/>
          <w:i/>
          <w:sz w:val="24"/>
          <w:szCs w:val="24"/>
        </w:rPr>
        <w:t>(</w:t>
      </w:r>
      <w:proofErr w:type="gramEnd"/>
      <w:r>
        <w:rPr>
          <w:rFonts w:ascii="Times New Roman" w:hAnsi="Times New Roman" w:cs="Times New Roman"/>
          <w:i/>
          <w:sz w:val="24"/>
          <w:szCs w:val="24"/>
        </w:rPr>
        <w:t>3)</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This </w:t>
      </w:r>
      <w:proofErr w:type="spellStart"/>
      <w:r>
        <w:rPr>
          <w:rFonts w:ascii="Times New Roman" w:hAnsi="Times New Roman" w:cs="Times New Roman"/>
          <w:sz w:val="24"/>
          <w:szCs w:val="24"/>
        </w:rPr>
        <w:t>subregulation</w:t>
      </w:r>
      <w:proofErr w:type="spellEnd"/>
      <w:r>
        <w:rPr>
          <w:rFonts w:ascii="Times New Roman" w:hAnsi="Times New Roman" w:cs="Times New Roman"/>
          <w:sz w:val="24"/>
          <w:szCs w:val="24"/>
        </w:rPr>
        <w:t xml:space="preserve"> sets out that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may revoke a determination of a domestic shortfall year at any time.</w:t>
      </w:r>
      <w:r w:rsidR="003F4ED4">
        <w:rPr>
          <w:rFonts w:ascii="Times New Roman" w:hAnsi="Times New Roman" w:cs="Times New Roman"/>
          <w:sz w:val="24"/>
          <w:szCs w:val="24"/>
        </w:rPr>
        <w:t xml:space="preserve"> </w:t>
      </w:r>
      <w:r>
        <w:rPr>
          <w:rFonts w:ascii="Times New Roman" w:hAnsi="Times New Roman" w:cs="Times New Roman"/>
          <w:sz w:val="24"/>
          <w:szCs w:val="24"/>
        </w:rPr>
        <w:t xml:space="preserve">The purpose of this provision is to allow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to revoke a determination of a d</w:t>
      </w:r>
      <w:r w:rsidR="00832704">
        <w:rPr>
          <w:rFonts w:ascii="Times New Roman" w:hAnsi="Times New Roman" w:cs="Times New Roman"/>
          <w:sz w:val="24"/>
          <w:szCs w:val="24"/>
        </w:rPr>
        <w:t>omestic shortfall year where</w:t>
      </w:r>
      <w:r>
        <w:rPr>
          <w:rFonts w:ascii="Times New Roman" w:hAnsi="Times New Roman" w:cs="Times New Roman"/>
          <w:sz w:val="24"/>
          <w:szCs w:val="24"/>
        </w:rPr>
        <w:t xml:space="preserve"> circumstances have changed. For example, this could include where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considers a forecast gas shortfall has not eventuated. </w:t>
      </w:r>
    </w:p>
    <w:p w:rsidR="0023188A" w:rsidRDefault="00BE2948" w:rsidP="00BE2948">
      <w:pPr>
        <w:spacing w:before="240" w:after="240"/>
        <w:rPr>
          <w:rFonts w:ascii="Times New Roman" w:hAnsi="Times New Roman" w:cs="Times New Roman"/>
          <w:i/>
          <w:sz w:val="24"/>
          <w:szCs w:val="24"/>
          <w:u w:val="single"/>
        </w:rPr>
      </w:pPr>
      <w:r>
        <w:rPr>
          <w:rFonts w:ascii="Times New Roman" w:hAnsi="Times New Roman" w:cs="Times New Roman"/>
          <w:i/>
          <w:sz w:val="24"/>
          <w:szCs w:val="24"/>
          <w:u w:val="single"/>
        </w:rPr>
        <w:t xml:space="preserve">Regulation </w:t>
      </w:r>
      <w:r w:rsidR="0023188A">
        <w:rPr>
          <w:rFonts w:ascii="Times New Roman" w:hAnsi="Times New Roman" w:cs="Times New Roman"/>
          <w:i/>
          <w:sz w:val="24"/>
          <w:szCs w:val="24"/>
          <w:u w:val="single"/>
        </w:rPr>
        <w:t>13GF Resources Minister may publish guidelines</w:t>
      </w:r>
    </w:p>
    <w:p w:rsidR="0023188A" w:rsidRDefault="0023188A"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This regulation sets out that </w:t>
      </w:r>
      <w:r w:rsidR="00DE4869">
        <w:rPr>
          <w:rFonts w:ascii="Times New Roman" w:hAnsi="Times New Roman" w:cs="Times New Roman"/>
          <w:sz w:val="24"/>
          <w:szCs w:val="24"/>
        </w:rPr>
        <w:t>the Resources Minister</w:t>
      </w:r>
      <w:r>
        <w:rPr>
          <w:rFonts w:ascii="Times New Roman" w:hAnsi="Times New Roman" w:cs="Times New Roman"/>
          <w:sz w:val="24"/>
          <w:szCs w:val="24"/>
        </w:rPr>
        <w:t xml:space="preserve"> may publish guidelines by notifiable </w:t>
      </w:r>
      <w:proofErr w:type="gramStart"/>
      <w:r>
        <w:rPr>
          <w:rFonts w:ascii="Times New Roman" w:hAnsi="Times New Roman" w:cs="Times New Roman"/>
          <w:sz w:val="24"/>
          <w:szCs w:val="24"/>
        </w:rPr>
        <w:t>instrument which</w:t>
      </w:r>
      <w:proofErr w:type="gramEnd"/>
      <w:r>
        <w:rPr>
          <w:rFonts w:ascii="Times New Roman" w:hAnsi="Times New Roman" w:cs="Times New Roman"/>
          <w:sz w:val="24"/>
          <w:szCs w:val="24"/>
        </w:rPr>
        <w:t xml:space="preserve"> are relevant to the exercise of powers under Division</w:t>
      </w:r>
      <w:r w:rsidR="005A0BA1">
        <w:rPr>
          <w:rFonts w:ascii="Times New Roman" w:hAnsi="Times New Roman" w:cs="Times New Roman"/>
          <w:sz w:val="24"/>
          <w:szCs w:val="24"/>
        </w:rPr>
        <w:t xml:space="preserve"> 6</w:t>
      </w:r>
      <w:r>
        <w:rPr>
          <w:rFonts w:ascii="Times New Roman" w:hAnsi="Times New Roman" w:cs="Times New Roman"/>
          <w:sz w:val="24"/>
          <w:szCs w:val="24"/>
        </w:rPr>
        <w:t>. The guidelines are likely to set out relevant requirements, indicative timing, processes, and considerations associated with the operation of Division</w:t>
      </w:r>
      <w:r w:rsidR="000E5C59">
        <w:rPr>
          <w:rFonts w:ascii="Times New Roman" w:hAnsi="Times New Roman" w:cs="Times New Roman"/>
          <w:sz w:val="24"/>
          <w:szCs w:val="24"/>
        </w:rPr>
        <w:t xml:space="preserve"> </w:t>
      </w:r>
      <w:r w:rsidR="005A0BA1">
        <w:rPr>
          <w:rFonts w:ascii="Times New Roman" w:hAnsi="Times New Roman" w:cs="Times New Roman"/>
          <w:sz w:val="24"/>
          <w:szCs w:val="24"/>
        </w:rPr>
        <w:t xml:space="preserve">6 </w:t>
      </w:r>
      <w:r w:rsidR="000E5C59">
        <w:rPr>
          <w:rFonts w:ascii="Times New Roman" w:hAnsi="Times New Roman" w:cs="Times New Roman"/>
          <w:sz w:val="24"/>
          <w:szCs w:val="24"/>
        </w:rPr>
        <w:t xml:space="preserve">and </w:t>
      </w:r>
      <w:r w:rsidR="00DE4869">
        <w:rPr>
          <w:rFonts w:ascii="Times New Roman" w:hAnsi="Times New Roman" w:cs="Times New Roman"/>
          <w:sz w:val="24"/>
          <w:szCs w:val="24"/>
        </w:rPr>
        <w:t>the Resources Minister</w:t>
      </w:r>
      <w:r w:rsidR="000E5C59">
        <w:rPr>
          <w:rFonts w:ascii="Times New Roman" w:hAnsi="Times New Roman" w:cs="Times New Roman"/>
          <w:sz w:val="24"/>
          <w:szCs w:val="24"/>
        </w:rPr>
        <w:t>’s decisions therein</w:t>
      </w:r>
      <w:r>
        <w:rPr>
          <w:rFonts w:ascii="Times New Roman" w:hAnsi="Times New Roman" w:cs="Times New Roman"/>
          <w:sz w:val="24"/>
          <w:szCs w:val="24"/>
        </w:rPr>
        <w:t xml:space="preserve">.  </w:t>
      </w:r>
    </w:p>
    <w:p w:rsidR="002F6239" w:rsidRDefault="002F6239" w:rsidP="002F6239">
      <w:pPr>
        <w:spacing w:before="240" w:after="240"/>
        <w:rPr>
          <w:rFonts w:ascii="Times New Roman" w:hAnsi="Times New Roman" w:cs="Times New Roman"/>
          <w:i/>
          <w:sz w:val="24"/>
          <w:szCs w:val="24"/>
          <w:u w:val="single"/>
        </w:rPr>
      </w:pPr>
      <w:r>
        <w:rPr>
          <w:rFonts w:ascii="Times New Roman" w:hAnsi="Times New Roman" w:cs="Times New Roman"/>
          <w:i/>
          <w:sz w:val="24"/>
          <w:szCs w:val="24"/>
          <w:u w:val="single"/>
        </w:rPr>
        <w:t>Regulation 13GG Review of Division</w:t>
      </w:r>
    </w:p>
    <w:p w:rsidR="002F6239" w:rsidRDefault="005A0BA1"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This regulation sets out that the Resources Minister must cause a review of the operation of Division 6 </w:t>
      </w:r>
      <w:r w:rsidR="00FE0FC5">
        <w:rPr>
          <w:rFonts w:ascii="Times New Roman" w:hAnsi="Times New Roman" w:cs="Times New Roman"/>
          <w:sz w:val="24"/>
          <w:szCs w:val="24"/>
        </w:rPr>
        <w:t xml:space="preserve">to </w:t>
      </w:r>
      <w:proofErr w:type="gramStart"/>
      <w:r w:rsidR="00FE0FC5">
        <w:rPr>
          <w:rFonts w:ascii="Times New Roman" w:hAnsi="Times New Roman" w:cs="Times New Roman"/>
          <w:sz w:val="24"/>
          <w:szCs w:val="24"/>
        </w:rPr>
        <w:t>be undertaken</w:t>
      </w:r>
      <w:proofErr w:type="gramEnd"/>
      <w:r w:rsidR="00FE0FC5">
        <w:rPr>
          <w:rFonts w:ascii="Times New Roman" w:hAnsi="Times New Roman" w:cs="Times New Roman"/>
          <w:sz w:val="24"/>
          <w:szCs w:val="24"/>
        </w:rPr>
        <w:t xml:space="preserve"> during 2020. It also sets out the </w:t>
      </w:r>
      <w:proofErr w:type="gramStart"/>
      <w:r w:rsidR="00FE0FC5">
        <w:rPr>
          <w:rFonts w:ascii="Times New Roman" w:hAnsi="Times New Roman" w:cs="Times New Roman"/>
          <w:sz w:val="24"/>
          <w:szCs w:val="24"/>
        </w:rPr>
        <w:t>matters which</w:t>
      </w:r>
      <w:proofErr w:type="gramEnd"/>
      <w:r w:rsidR="00FE0FC5">
        <w:rPr>
          <w:rFonts w:ascii="Times New Roman" w:hAnsi="Times New Roman" w:cs="Times New Roman"/>
          <w:sz w:val="24"/>
          <w:szCs w:val="24"/>
        </w:rPr>
        <w:t xml:space="preserve"> the review must address (as a minimum, noting the provisions do not limit the matters that may be addressed by the review). This regulation also provides that in conducting the review, the legitimate interests of all relevant stakeholders </w:t>
      </w:r>
      <w:proofErr w:type="gramStart"/>
      <w:r w:rsidR="00FE0FC5">
        <w:rPr>
          <w:rFonts w:ascii="Times New Roman" w:hAnsi="Times New Roman" w:cs="Times New Roman"/>
          <w:sz w:val="24"/>
          <w:szCs w:val="24"/>
        </w:rPr>
        <w:t>must be taken</w:t>
      </w:r>
      <w:proofErr w:type="gramEnd"/>
      <w:r w:rsidR="00FE0FC5">
        <w:rPr>
          <w:rFonts w:ascii="Times New Roman" w:hAnsi="Times New Roman" w:cs="Times New Roman"/>
          <w:sz w:val="24"/>
          <w:szCs w:val="24"/>
        </w:rPr>
        <w:t xml:space="preserve"> into account. </w:t>
      </w:r>
    </w:p>
    <w:p w:rsidR="00BE2948" w:rsidRDefault="00BE2948" w:rsidP="00BE2948">
      <w:pPr>
        <w:spacing w:before="240" w:after="240"/>
        <w:rPr>
          <w:rFonts w:ascii="Times New Roman" w:hAnsi="Times New Roman" w:cs="Times New Roman"/>
          <w:sz w:val="24"/>
          <w:szCs w:val="24"/>
        </w:rPr>
      </w:pPr>
      <w:r>
        <w:rPr>
          <w:rFonts w:ascii="Times New Roman" w:hAnsi="Times New Roman" w:cs="Times New Roman"/>
          <w:i/>
          <w:sz w:val="24"/>
          <w:szCs w:val="24"/>
          <w:u w:val="single"/>
        </w:rPr>
        <w:t>Regulation 13G</w:t>
      </w:r>
      <w:r w:rsidR="0023188A">
        <w:rPr>
          <w:rFonts w:ascii="Times New Roman" w:hAnsi="Times New Roman" w:cs="Times New Roman"/>
          <w:i/>
          <w:sz w:val="24"/>
          <w:szCs w:val="24"/>
          <w:u w:val="single"/>
        </w:rPr>
        <w:t>H</w:t>
      </w:r>
      <w:r>
        <w:rPr>
          <w:rFonts w:ascii="Times New Roman" w:hAnsi="Times New Roman" w:cs="Times New Roman"/>
          <w:i/>
          <w:sz w:val="24"/>
          <w:szCs w:val="24"/>
          <w:u w:val="single"/>
        </w:rPr>
        <w:t xml:space="preserve"> Repeal of Division</w:t>
      </w:r>
    </w:p>
    <w:p w:rsidR="00BE2948" w:rsidRPr="00366EF0" w:rsidRDefault="00BE2948" w:rsidP="00BE2948">
      <w:pPr>
        <w:spacing w:before="240" w:after="240"/>
        <w:rPr>
          <w:rFonts w:ascii="Times New Roman" w:hAnsi="Times New Roman" w:cs="Times New Roman"/>
          <w:sz w:val="24"/>
          <w:szCs w:val="24"/>
        </w:rPr>
      </w:pPr>
      <w:r>
        <w:rPr>
          <w:rFonts w:ascii="Times New Roman" w:hAnsi="Times New Roman" w:cs="Times New Roman"/>
          <w:sz w:val="24"/>
          <w:szCs w:val="24"/>
        </w:rPr>
        <w:t xml:space="preserve">This regulation sets out that Division 6 of the Regulations </w:t>
      </w:r>
      <w:proofErr w:type="gramStart"/>
      <w:r>
        <w:rPr>
          <w:rFonts w:ascii="Times New Roman" w:hAnsi="Times New Roman" w:cs="Times New Roman"/>
          <w:sz w:val="24"/>
          <w:szCs w:val="24"/>
        </w:rPr>
        <w:t>will be repealed</w:t>
      </w:r>
      <w:proofErr w:type="gramEnd"/>
      <w:r>
        <w:rPr>
          <w:rFonts w:ascii="Times New Roman" w:hAnsi="Times New Roman" w:cs="Times New Roman"/>
          <w:sz w:val="24"/>
          <w:szCs w:val="24"/>
        </w:rPr>
        <w:t xml:space="preserve"> on 1</w:t>
      </w:r>
      <w:r w:rsidR="008E0CB4">
        <w:rPr>
          <w:rFonts w:ascii="Times New Roman" w:hAnsi="Times New Roman" w:cs="Times New Roman"/>
          <w:sz w:val="24"/>
          <w:szCs w:val="24"/>
        </w:rPr>
        <w:t> January </w:t>
      </w:r>
      <w:r>
        <w:rPr>
          <w:rFonts w:ascii="Times New Roman" w:hAnsi="Times New Roman" w:cs="Times New Roman"/>
          <w:sz w:val="24"/>
          <w:szCs w:val="24"/>
        </w:rPr>
        <w:t xml:space="preserve">2023. This reflects that Division 6, and the ADGSM, </w:t>
      </w:r>
      <w:proofErr w:type="gramStart"/>
      <w:r>
        <w:rPr>
          <w:rFonts w:ascii="Times New Roman" w:hAnsi="Times New Roman" w:cs="Times New Roman"/>
          <w:sz w:val="24"/>
          <w:szCs w:val="24"/>
        </w:rPr>
        <w:t>are intended</w:t>
      </w:r>
      <w:proofErr w:type="gramEnd"/>
      <w:r>
        <w:rPr>
          <w:rFonts w:ascii="Times New Roman" w:hAnsi="Times New Roman" w:cs="Times New Roman"/>
          <w:sz w:val="24"/>
          <w:szCs w:val="24"/>
        </w:rPr>
        <w:t xml:space="preserve"> to be a short to medium term solution to the problem of gas shortfall in the Australian domestic gas market. The ADGSM </w:t>
      </w:r>
      <w:proofErr w:type="gramStart"/>
      <w:r>
        <w:rPr>
          <w:rFonts w:ascii="Times New Roman" w:hAnsi="Times New Roman" w:cs="Times New Roman"/>
          <w:sz w:val="24"/>
          <w:szCs w:val="24"/>
        </w:rPr>
        <w:t>will be reviewed</w:t>
      </w:r>
      <w:proofErr w:type="gramEnd"/>
      <w:r>
        <w:rPr>
          <w:rFonts w:ascii="Times New Roman" w:hAnsi="Times New Roman" w:cs="Times New Roman"/>
          <w:sz w:val="24"/>
          <w:szCs w:val="24"/>
        </w:rPr>
        <w:t xml:space="preserve"> prior to 2023 and consideration will be given to whether it should continue or be allowed to end, and whether any alternative solution is required. </w:t>
      </w:r>
    </w:p>
    <w:p w:rsidR="00BE2948" w:rsidRDefault="00BE2948" w:rsidP="00BE2948">
      <w:pPr>
        <w:spacing w:before="240" w:after="240"/>
        <w:rPr>
          <w:rFonts w:ascii="Times New Roman" w:hAnsi="Times New Roman" w:cs="Times New Roman"/>
          <w:b/>
          <w:sz w:val="24"/>
          <w:szCs w:val="24"/>
        </w:rPr>
        <w:sectPr w:rsidR="00BE2948">
          <w:pgSz w:w="11906" w:h="16838"/>
          <w:pgMar w:top="1440" w:right="1440" w:bottom="1440" w:left="1440" w:header="708" w:footer="708" w:gutter="0"/>
          <w:cols w:space="708"/>
          <w:docGrid w:linePitch="360"/>
        </w:sectPr>
      </w:pPr>
    </w:p>
    <w:p w:rsidR="00BE2948" w:rsidRPr="00547F8D" w:rsidRDefault="00BE2948" w:rsidP="00BE2948">
      <w:pPr>
        <w:spacing w:before="360" w:after="120"/>
        <w:jc w:val="center"/>
        <w:rPr>
          <w:rFonts w:ascii="Times New Roman" w:hAnsi="Times New Roman" w:cs="Times New Roman"/>
          <w:b/>
          <w:sz w:val="28"/>
          <w:szCs w:val="28"/>
        </w:rPr>
      </w:pPr>
      <w:r w:rsidRPr="00547F8D">
        <w:rPr>
          <w:rFonts w:ascii="Times New Roman" w:hAnsi="Times New Roman" w:cs="Times New Roman"/>
          <w:b/>
          <w:sz w:val="28"/>
          <w:szCs w:val="28"/>
        </w:rPr>
        <w:lastRenderedPageBreak/>
        <w:t>Statement of Compatibility with Human Rights</w:t>
      </w:r>
    </w:p>
    <w:p w:rsidR="00BE2948" w:rsidRPr="00547F8D" w:rsidRDefault="00BE2948" w:rsidP="00BE2948">
      <w:pPr>
        <w:spacing w:before="240" w:after="240"/>
        <w:jc w:val="center"/>
        <w:rPr>
          <w:rFonts w:ascii="Times New Roman" w:hAnsi="Times New Roman" w:cs="Times New Roman"/>
          <w:sz w:val="24"/>
          <w:szCs w:val="24"/>
        </w:rPr>
      </w:pPr>
      <w:r w:rsidRPr="00547F8D">
        <w:rPr>
          <w:rFonts w:ascii="Times New Roman" w:hAnsi="Times New Roman" w:cs="Times New Roman"/>
          <w:i/>
          <w:sz w:val="24"/>
          <w:szCs w:val="24"/>
        </w:rPr>
        <w:t>Prepared in accordance with Part 3 of the Human Rights (Parliamentary Scrutiny) Act 2011</w:t>
      </w:r>
    </w:p>
    <w:p w:rsidR="00BE2948" w:rsidRPr="0013438C" w:rsidRDefault="00BE2948" w:rsidP="00BE2948">
      <w:pPr>
        <w:pStyle w:val="Heading2"/>
        <w:jc w:val="center"/>
        <w:rPr>
          <w:rFonts w:ascii="Times New Roman" w:hAnsi="Times New Roman" w:cs="Times New Roman"/>
          <w:b/>
          <w:color w:val="auto"/>
          <w:sz w:val="24"/>
        </w:rPr>
      </w:pPr>
      <w:r w:rsidRPr="0013438C">
        <w:rPr>
          <w:rFonts w:ascii="Times New Roman" w:hAnsi="Times New Roman" w:cs="Times New Roman"/>
          <w:b/>
          <w:color w:val="auto"/>
          <w:sz w:val="24"/>
        </w:rPr>
        <w:t>Customs (Prohibited Exports) Amendment (Liquefied Natural Gas) Regulation</w:t>
      </w:r>
      <w:r w:rsidR="000E06B0">
        <w:rPr>
          <w:rFonts w:ascii="Times New Roman" w:hAnsi="Times New Roman" w:cs="Times New Roman"/>
          <w:b/>
          <w:color w:val="auto"/>
          <w:sz w:val="24"/>
        </w:rPr>
        <w:t>s</w:t>
      </w:r>
      <w:r w:rsidRPr="0013438C">
        <w:rPr>
          <w:rFonts w:ascii="Times New Roman" w:hAnsi="Times New Roman" w:cs="Times New Roman"/>
          <w:b/>
          <w:color w:val="auto"/>
          <w:sz w:val="24"/>
        </w:rPr>
        <w:t xml:space="preserve"> 2017</w:t>
      </w:r>
    </w:p>
    <w:p w:rsidR="00BE2948" w:rsidRPr="00547F8D" w:rsidRDefault="007F5507" w:rsidP="00BD137C">
      <w:pPr>
        <w:spacing w:before="240" w:after="240"/>
        <w:rPr>
          <w:rFonts w:ascii="Times New Roman" w:hAnsi="Times New Roman" w:cs="Times New Roman"/>
          <w:sz w:val="24"/>
          <w:szCs w:val="24"/>
        </w:rPr>
      </w:pPr>
      <w:r>
        <w:rPr>
          <w:rFonts w:ascii="Times New Roman" w:hAnsi="Times New Roman" w:cs="Times New Roman"/>
          <w:sz w:val="24"/>
          <w:szCs w:val="24"/>
        </w:rPr>
        <w:t>The</w:t>
      </w:r>
      <w:r w:rsidR="00BE2948" w:rsidRPr="00547F8D">
        <w:rPr>
          <w:rFonts w:ascii="Times New Roman" w:hAnsi="Times New Roman" w:cs="Times New Roman"/>
          <w:sz w:val="24"/>
          <w:szCs w:val="24"/>
        </w:rPr>
        <w:t>s</w:t>
      </w:r>
      <w:r>
        <w:rPr>
          <w:rFonts w:ascii="Times New Roman" w:hAnsi="Times New Roman" w:cs="Times New Roman"/>
          <w:sz w:val="24"/>
          <w:szCs w:val="24"/>
        </w:rPr>
        <w:t>e</w:t>
      </w:r>
      <w:r w:rsidR="00BE2948" w:rsidRPr="00547F8D">
        <w:rPr>
          <w:rFonts w:ascii="Times New Roman" w:hAnsi="Times New Roman" w:cs="Times New Roman"/>
          <w:sz w:val="24"/>
          <w:szCs w:val="24"/>
        </w:rPr>
        <w:t xml:space="preserve"> </w:t>
      </w:r>
      <w:r w:rsidR="00BD137C">
        <w:rPr>
          <w:rFonts w:ascii="Times New Roman" w:hAnsi="Times New Roman" w:cs="Times New Roman"/>
          <w:sz w:val="24"/>
          <w:szCs w:val="24"/>
        </w:rPr>
        <w:t>R</w:t>
      </w:r>
      <w:r w:rsidR="00BE2948">
        <w:rPr>
          <w:rFonts w:ascii="Times New Roman" w:hAnsi="Times New Roman" w:cs="Times New Roman"/>
          <w:sz w:val="24"/>
          <w:szCs w:val="24"/>
        </w:rPr>
        <w:t>egulation</w:t>
      </w:r>
      <w:r w:rsidR="00BD137C">
        <w:rPr>
          <w:rFonts w:ascii="Times New Roman" w:hAnsi="Times New Roman" w:cs="Times New Roman"/>
          <w:sz w:val="24"/>
          <w:szCs w:val="24"/>
        </w:rPr>
        <w:t>s</w:t>
      </w:r>
      <w:r w:rsidR="00BE2948">
        <w:rPr>
          <w:rFonts w:ascii="Times New Roman" w:hAnsi="Times New Roman" w:cs="Times New Roman"/>
          <w:sz w:val="24"/>
          <w:szCs w:val="24"/>
        </w:rPr>
        <w:t xml:space="preserve"> </w:t>
      </w:r>
      <w:r w:rsidR="00BD137C">
        <w:rPr>
          <w:rFonts w:ascii="Times New Roman" w:hAnsi="Times New Roman" w:cs="Times New Roman"/>
          <w:sz w:val="24"/>
          <w:szCs w:val="24"/>
        </w:rPr>
        <w:t>are</w:t>
      </w:r>
      <w:r w:rsidR="00BE2948" w:rsidRPr="00547F8D">
        <w:rPr>
          <w:rFonts w:ascii="Times New Roman" w:hAnsi="Times New Roman" w:cs="Times New Roman"/>
          <w:sz w:val="24"/>
          <w:szCs w:val="24"/>
        </w:rPr>
        <w:t xml:space="preserve"> compatible with the human rights and freedoms recognised or declared in the international instruments listed in section 3 of the </w:t>
      </w:r>
      <w:r w:rsidR="00BE2948" w:rsidRPr="00547F8D">
        <w:rPr>
          <w:rFonts w:ascii="Times New Roman" w:hAnsi="Times New Roman" w:cs="Times New Roman"/>
          <w:i/>
          <w:sz w:val="24"/>
          <w:szCs w:val="24"/>
        </w:rPr>
        <w:t>Human Rights (Parliamentary Scrutiny) Act 2011</w:t>
      </w:r>
      <w:r w:rsidR="00BE2948" w:rsidRPr="00547F8D">
        <w:rPr>
          <w:rFonts w:ascii="Times New Roman" w:hAnsi="Times New Roman" w:cs="Times New Roman"/>
          <w:sz w:val="24"/>
          <w:szCs w:val="24"/>
        </w:rPr>
        <w:t>.</w:t>
      </w:r>
    </w:p>
    <w:p w:rsidR="00BE2948" w:rsidRPr="00547F8D" w:rsidRDefault="00BE2948" w:rsidP="00BE2948">
      <w:pPr>
        <w:spacing w:before="240" w:after="240"/>
        <w:jc w:val="both"/>
        <w:rPr>
          <w:rFonts w:ascii="Times New Roman" w:hAnsi="Times New Roman" w:cs="Times New Roman"/>
          <w:b/>
          <w:sz w:val="24"/>
          <w:szCs w:val="24"/>
        </w:rPr>
      </w:pPr>
      <w:r w:rsidRPr="00547F8D">
        <w:rPr>
          <w:rFonts w:ascii="Times New Roman" w:hAnsi="Times New Roman" w:cs="Times New Roman"/>
          <w:b/>
          <w:sz w:val="24"/>
          <w:szCs w:val="24"/>
        </w:rPr>
        <w:t>Overview of the Legislative Instrument</w:t>
      </w:r>
    </w:p>
    <w:p w:rsidR="000353C4" w:rsidRDefault="00BE2948" w:rsidP="000353C4">
      <w:pPr>
        <w:spacing w:after="0"/>
        <w:rPr>
          <w:rFonts w:ascii="Times New Roman" w:hAnsi="Times New Roman" w:cs="Times New Roman"/>
          <w:sz w:val="24"/>
        </w:rPr>
      </w:pPr>
      <w:r w:rsidRPr="00C07BFB">
        <w:rPr>
          <w:rFonts w:ascii="Times New Roman" w:hAnsi="Times New Roman" w:cs="Times New Roman"/>
          <w:sz w:val="24"/>
        </w:rPr>
        <w:t xml:space="preserve">The </w:t>
      </w:r>
      <w:r w:rsidR="00BD137C">
        <w:rPr>
          <w:rFonts w:ascii="Times New Roman" w:hAnsi="Times New Roman" w:cs="Times New Roman"/>
          <w:sz w:val="24"/>
        </w:rPr>
        <w:t>R</w:t>
      </w:r>
      <w:r w:rsidR="007F5507">
        <w:rPr>
          <w:rFonts w:ascii="Times New Roman" w:hAnsi="Times New Roman" w:cs="Times New Roman"/>
          <w:sz w:val="24"/>
        </w:rPr>
        <w:t>egulations amend</w:t>
      </w:r>
      <w:r w:rsidRPr="00C07BFB">
        <w:rPr>
          <w:rFonts w:ascii="Times New Roman" w:hAnsi="Times New Roman" w:cs="Times New Roman"/>
          <w:sz w:val="24"/>
        </w:rPr>
        <w:t xml:space="preserve"> the </w:t>
      </w:r>
      <w:r w:rsidRPr="00C07BFB">
        <w:rPr>
          <w:rFonts w:ascii="Times New Roman" w:hAnsi="Times New Roman" w:cs="Times New Roman"/>
          <w:i/>
          <w:sz w:val="24"/>
        </w:rPr>
        <w:t>Customs Act 1901 (Prohibited Exports)</w:t>
      </w:r>
      <w:r w:rsidR="007F5507">
        <w:rPr>
          <w:rFonts w:ascii="Times New Roman" w:hAnsi="Times New Roman" w:cs="Times New Roman"/>
          <w:i/>
          <w:sz w:val="24"/>
        </w:rPr>
        <w:t xml:space="preserve"> Regulations</w:t>
      </w:r>
      <w:r w:rsidR="00BD137C">
        <w:rPr>
          <w:rFonts w:ascii="Times New Roman" w:hAnsi="Times New Roman" w:cs="Times New Roman"/>
          <w:i/>
          <w:sz w:val="24"/>
        </w:rPr>
        <w:t xml:space="preserve"> 1958</w:t>
      </w:r>
      <w:r w:rsidRPr="00C07BFB">
        <w:rPr>
          <w:rFonts w:ascii="Times New Roman" w:hAnsi="Times New Roman" w:cs="Times New Roman"/>
          <w:sz w:val="24"/>
        </w:rPr>
        <w:t xml:space="preserve"> to</w:t>
      </w:r>
      <w:r w:rsidR="007F5507">
        <w:rPr>
          <w:rFonts w:ascii="Times New Roman" w:hAnsi="Times New Roman" w:cs="Times New Roman"/>
          <w:sz w:val="24"/>
        </w:rPr>
        <w:t xml:space="preserve"> provide a framework for the Resources Minister </w:t>
      </w:r>
      <w:proofErr w:type="gramStart"/>
      <w:r w:rsidR="007F5507">
        <w:rPr>
          <w:rFonts w:ascii="Times New Roman" w:hAnsi="Times New Roman" w:cs="Times New Roman"/>
          <w:sz w:val="24"/>
        </w:rPr>
        <w:t>to</w:t>
      </w:r>
      <w:proofErr w:type="gramEnd"/>
      <w:r w:rsidR="000353C4">
        <w:rPr>
          <w:rFonts w:ascii="Times New Roman" w:hAnsi="Times New Roman" w:cs="Times New Roman"/>
          <w:sz w:val="24"/>
        </w:rPr>
        <w:t>:</w:t>
      </w:r>
    </w:p>
    <w:p w:rsidR="000353C4" w:rsidRDefault="007F5507" w:rsidP="0066381C">
      <w:pPr>
        <w:pStyle w:val="ListParagraph"/>
        <w:numPr>
          <w:ilvl w:val="0"/>
          <w:numId w:val="7"/>
        </w:numPr>
        <w:rPr>
          <w:rFonts w:ascii="Times New Roman" w:hAnsi="Times New Roman" w:cs="Times New Roman"/>
          <w:sz w:val="24"/>
        </w:rPr>
      </w:pPr>
      <w:r>
        <w:rPr>
          <w:rFonts w:ascii="Times New Roman" w:hAnsi="Times New Roman" w:cs="Times New Roman"/>
          <w:sz w:val="24"/>
        </w:rPr>
        <w:t>prohibit the</w:t>
      </w:r>
      <w:r w:rsidR="00BE2948" w:rsidRPr="00C07BFB">
        <w:rPr>
          <w:rFonts w:ascii="Times New Roman" w:hAnsi="Times New Roman" w:cs="Times New Roman"/>
          <w:sz w:val="24"/>
        </w:rPr>
        <w:t xml:space="preserve"> export of liquefied natural gas (LNG) </w:t>
      </w:r>
      <w:r>
        <w:rPr>
          <w:rFonts w:ascii="Times New Roman" w:hAnsi="Times New Roman" w:cs="Times New Roman"/>
          <w:sz w:val="24"/>
        </w:rPr>
        <w:t xml:space="preserve">in periods where there is a reasonable prospect of a </w:t>
      </w:r>
      <w:r w:rsidR="008E7F31">
        <w:rPr>
          <w:rFonts w:ascii="Times New Roman" w:hAnsi="Times New Roman" w:cs="Times New Roman"/>
          <w:sz w:val="24"/>
        </w:rPr>
        <w:t xml:space="preserve">gas </w:t>
      </w:r>
      <w:r w:rsidR="00E77F6C">
        <w:rPr>
          <w:rFonts w:ascii="Times New Roman" w:hAnsi="Times New Roman" w:cs="Times New Roman"/>
          <w:sz w:val="24"/>
        </w:rPr>
        <w:t xml:space="preserve">supply </w:t>
      </w:r>
      <w:r>
        <w:rPr>
          <w:rFonts w:ascii="Times New Roman" w:hAnsi="Times New Roman" w:cs="Times New Roman"/>
          <w:sz w:val="24"/>
        </w:rPr>
        <w:t>shortfall</w:t>
      </w:r>
      <w:r w:rsidR="00E77F6C" w:rsidRPr="00E77F6C">
        <w:rPr>
          <w:rFonts w:ascii="Times New Roman" w:hAnsi="Times New Roman" w:cs="Times New Roman"/>
          <w:sz w:val="24"/>
          <w:szCs w:val="24"/>
        </w:rPr>
        <w:t xml:space="preserve"> </w:t>
      </w:r>
      <w:r w:rsidR="00E77F6C">
        <w:rPr>
          <w:rFonts w:ascii="Times New Roman" w:hAnsi="Times New Roman" w:cs="Times New Roman"/>
          <w:sz w:val="24"/>
          <w:szCs w:val="24"/>
        </w:rPr>
        <w:t>in the domestic market</w:t>
      </w:r>
      <w:r>
        <w:rPr>
          <w:rFonts w:ascii="Times New Roman" w:hAnsi="Times New Roman" w:cs="Times New Roman"/>
          <w:sz w:val="24"/>
        </w:rPr>
        <w:t xml:space="preserve">, </w:t>
      </w:r>
      <w:r w:rsidR="00BE2948" w:rsidRPr="00C07BFB">
        <w:rPr>
          <w:rFonts w:ascii="Times New Roman" w:hAnsi="Times New Roman" w:cs="Times New Roman"/>
          <w:sz w:val="24"/>
        </w:rPr>
        <w:t xml:space="preserve">and </w:t>
      </w:r>
    </w:p>
    <w:p w:rsidR="00BE2948" w:rsidRPr="00C07BFB" w:rsidRDefault="007F5507" w:rsidP="0066381C">
      <w:pPr>
        <w:pStyle w:val="ListParagraph"/>
        <w:numPr>
          <w:ilvl w:val="0"/>
          <w:numId w:val="7"/>
        </w:numPr>
        <w:rPr>
          <w:rFonts w:ascii="Times New Roman" w:hAnsi="Times New Roman" w:cs="Times New Roman"/>
          <w:sz w:val="24"/>
        </w:rPr>
      </w:pPr>
      <w:proofErr w:type="gramStart"/>
      <w:r>
        <w:rPr>
          <w:rFonts w:ascii="Times New Roman" w:hAnsi="Times New Roman" w:cs="Times New Roman"/>
          <w:sz w:val="24"/>
        </w:rPr>
        <w:t>grant</w:t>
      </w:r>
      <w:proofErr w:type="gramEnd"/>
      <w:r>
        <w:rPr>
          <w:rFonts w:ascii="Times New Roman" w:hAnsi="Times New Roman" w:cs="Times New Roman"/>
          <w:sz w:val="24"/>
        </w:rPr>
        <w:t xml:space="preserve"> </w:t>
      </w:r>
      <w:r w:rsidR="00BE2948" w:rsidRPr="00C07BFB">
        <w:rPr>
          <w:rFonts w:ascii="Times New Roman" w:hAnsi="Times New Roman" w:cs="Times New Roman"/>
          <w:sz w:val="24"/>
        </w:rPr>
        <w:t xml:space="preserve">permissions to </w:t>
      </w:r>
      <w:r>
        <w:rPr>
          <w:rFonts w:ascii="Times New Roman" w:hAnsi="Times New Roman" w:cs="Times New Roman"/>
          <w:sz w:val="24"/>
        </w:rPr>
        <w:t xml:space="preserve">LNG exporters </w:t>
      </w:r>
      <w:r w:rsidR="00BE2948" w:rsidRPr="00C07BFB">
        <w:rPr>
          <w:rFonts w:ascii="Times New Roman" w:hAnsi="Times New Roman" w:cs="Times New Roman"/>
          <w:sz w:val="24"/>
        </w:rPr>
        <w:t xml:space="preserve">to export </w:t>
      </w:r>
      <w:r>
        <w:rPr>
          <w:rFonts w:ascii="Times New Roman" w:hAnsi="Times New Roman" w:cs="Times New Roman"/>
          <w:sz w:val="24"/>
        </w:rPr>
        <w:t>LNG over such periods</w:t>
      </w:r>
      <w:r w:rsidR="00BE2948" w:rsidRPr="00C07BFB">
        <w:rPr>
          <w:rFonts w:ascii="Times New Roman" w:hAnsi="Times New Roman" w:cs="Times New Roman"/>
          <w:sz w:val="24"/>
        </w:rPr>
        <w:t xml:space="preserve">. </w:t>
      </w:r>
    </w:p>
    <w:p w:rsidR="00BE2948" w:rsidRPr="00547F8D" w:rsidRDefault="00BE2948" w:rsidP="00BE2948">
      <w:pPr>
        <w:spacing w:before="240" w:after="240"/>
        <w:rPr>
          <w:rFonts w:ascii="Times New Roman" w:hAnsi="Times New Roman" w:cs="Times New Roman"/>
          <w:b/>
          <w:sz w:val="24"/>
          <w:szCs w:val="24"/>
        </w:rPr>
      </w:pPr>
      <w:r w:rsidRPr="00547F8D">
        <w:rPr>
          <w:rFonts w:ascii="Times New Roman" w:hAnsi="Times New Roman" w:cs="Times New Roman"/>
          <w:b/>
          <w:sz w:val="24"/>
          <w:szCs w:val="24"/>
        </w:rPr>
        <w:t>Human rights implications</w:t>
      </w:r>
    </w:p>
    <w:p w:rsidR="00BE2948" w:rsidRPr="00C07BFB" w:rsidRDefault="00BD137C" w:rsidP="00BE2948">
      <w:pPr>
        <w:rPr>
          <w:rFonts w:ascii="Times New Roman" w:hAnsi="Times New Roman" w:cs="Times New Roman"/>
          <w:sz w:val="24"/>
          <w:szCs w:val="24"/>
        </w:rPr>
      </w:pPr>
      <w:r>
        <w:rPr>
          <w:rFonts w:ascii="Times New Roman" w:hAnsi="Times New Roman" w:cs="Times New Roman"/>
          <w:sz w:val="24"/>
          <w:szCs w:val="24"/>
        </w:rPr>
        <w:t xml:space="preserve">The Regulations do not engage any </w:t>
      </w:r>
      <w:r w:rsidR="00153E2F">
        <w:rPr>
          <w:rFonts w:ascii="Times New Roman" w:hAnsi="Times New Roman" w:cs="Times New Roman"/>
          <w:sz w:val="24"/>
          <w:szCs w:val="24"/>
        </w:rPr>
        <w:t xml:space="preserve">of the </w:t>
      </w:r>
      <w:r>
        <w:rPr>
          <w:rFonts w:ascii="Times New Roman" w:hAnsi="Times New Roman" w:cs="Times New Roman"/>
          <w:sz w:val="24"/>
          <w:szCs w:val="24"/>
        </w:rPr>
        <w:t xml:space="preserve">applicable </w:t>
      </w:r>
      <w:r w:rsidR="00153E2F">
        <w:rPr>
          <w:rFonts w:ascii="Times New Roman" w:hAnsi="Times New Roman" w:cs="Times New Roman"/>
          <w:sz w:val="24"/>
          <w:szCs w:val="24"/>
        </w:rPr>
        <w:t xml:space="preserve">rights or freedoms. </w:t>
      </w:r>
    </w:p>
    <w:p w:rsidR="00BE2948" w:rsidRPr="00547F8D" w:rsidRDefault="00BE2948" w:rsidP="00BE2948">
      <w:pPr>
        <w:spacing w:before="240" w:after="240"/>
        <w:rPr>
          <w:rFonts w:ascii="Times New Roman" w:hAnsi="Times New Roman" w:cs="Times New Roman"/>
          <w:b/>
          <w:sz w:val="24"/>
          <w:szCs w:val="24"/>
        </w:rPr>
      </w:pPr>
      <w:r w:rsidRPr="00547F8D">
        <w:rPr>
          <w:rFonts w:ascii="Times New Roman" w:hAnsi="Times New Roman" w:cs="Times New Roman"/>
          <w:b/>
          <w:sz w:val="24"/>
          <w:szCs w:val="24"/>
        </w:rPr>
        <w:t>Conclusion</w:t>
      </w:r>
    </w:p>
    <w:p w:rsidR="00BE2948" w:rsidRPr="00C07BFB" w:rsidRDefault="00BE2948" w:rsidP="00BE2948">
      <w:pPr>
        <w:rPr>
          <w:rFonts w:ascii="Times New Roman" w:hAnsi="Times New Roman" w:cs="Times New Roman"/>
          <w:sz w:val="24"/>
        </w:rPr>
      </w:pPr>
      <w:r w:rsidRPr="00C07BFB">
        <w:rPr>
          <w:rFonts w:ascii="Times New Roman" w:hAnsi="Times New Roman" w:cs="Times New Roman"/>
          <w:sz w:val="24"/>
        </w:rPr>
        <w:t xml:space="preserve">The </w:t>
      </w:r>
      <w:r w:rsidR="0033792C">
        <w:rPr>
          <w:rFonts w:ascii="Times New Roman" w:hAnsi="Times New Roman" w:cs="Times New Roman"/>
          <w:sz w:val="24"/>
        </w:rPr>
        <w:t>R</w:t>
      </w:r>
      <w:r w:rsidRPr="00C07BFB">
        <w:rPr>
          <w:rFonts w:ascii="Times New Roman" w:hAnsi="Times New Roman" w:cs="Times New Roman"/>
          <w:sz w:val="24"/>
        </w:rPr>
        <w:t>egulation</w:t>
      </w:r>
      <w:r w:rsidR="0033792C">
        <w:rPr>
          <w:rFonts w:ascii="Times New Roman" w:hAnsi="Times New Roman" w:cs="Times New Roman"/>
          <w:sz w:val="24"/>
        </w:rPr>
        <w:t>s</w:t>
      </w:r>
      <w:r w:rsidRPr="00C07BFB">
        <w:rPr>
          <w:rFonts w:ascii="Times New Roman" w:hAnsi="Times New Roman" w:cs="Times New Roman"/>
          <w:sz w:val="24"/>
        </w:rPr>
        <w:t xml:space="preserve"> </w:t>
      </w:r>
      <w:r w:rsidR="0033792C">
        <w:rPr>
          <w:rFonts w:ascii="Times New Roman" w:hAnsi="Times New Roman" w:cs="Times New Roman"/>
          <w:sz w:val="24"/>
        </w:rPr>
        <w:t>are</w:t>
      </w:r>
      <w:r w:rsidRPr="00C07BFB">
        <w:rPr>
          <w:rFonts w:ascii="Times New Roman" w:hAnsi="Times New Roman" w:cs="Times New Roman"/>
          <w:sz w:val="24"/>
        </w:rPr>
        <w:t xml:space="preserve"> compatible with human </w:t>
      </w:r>
      <w:proofErr w:type="gramStart"/>
      <w:r w:rsidRPr="00C07BFB">
        <w:rPr>
          <w:rFonts w:ascii="Times New Roman" w:hAnsi="Times New Roman" w:cs="Times New Roman"/>
          <w:sz w:val="24"/>
        </w:rPr>
        <w:t>rights</w:t>
      </w:r>
      <w:proofErr w:type="gramEnd"/>
      <w:r w:rsidRPr="00C07BFB">
        <w:rPr>
          <w:rFonts w:ascii="Times New Roman" w:hAnsi="Times New Roman" w:cs="Times New Roman"/>
          <w:sz w:val="24"/>
        </w:rPr>
        <w:t xml:space="preserve"> as </w:t>
      </w:r>
      <w:r w:rsidR="001613D1">
        <w:rPr>
          <w:rFonts w:ascii="Times New Roman" w:hAnsi="Times New Roman" w:cs="Times New Roman"/>
          <w:sz w:val="24"/>
        </w:rPr>
        <w:t>they do</w:t>
      </w:r>
      <w:r w:rsidRPr="00C07BFB">
        <w:rPr>
          <w:rFonts w:ascii="Times New Roman" w:hAnsi="Times New Roman" w:cs="Times New Roman"/>
          <w:sz w:val="24"/>
        </w:rPr>
        <w:t xml:space="preserve"> not raise any human rights issues.</w:t>
      </w:r>
    </w:p>
    <w:p w:rsidR="00BE2948" w:rsidRPr="00547F8D" w:rsidRDefault="00BE2948" w:rsidP="00BE2948">
      <w:pPr>
        <w:spacing w:before="120" w:after="120"/>
        <w:jc w:val="center"/>
        <w:rPr>
          <w:rFonts w:ascii="Times New Roman" w:hAnsi="Times New Roman" w:cs="Times New Roman"/>
          <w:sz w:val="24"/>
          <w:szCs w:val="24"/>
        </w:rPr>
      </w:pPr>
    </w:p>
    <w:p w:rsidR="00BE2948" w:rsidRDefault="00BE2948" w:rsidP="00BE2948">
      <w:pPr>
        <w:spacing w:before="120" w:after="120"/>
        <w:jc w:val="center"/>
        <w:rPr>
          <w:rFonts w:ascii="Times New Roman" w:hAnsi="Times New Roman" w:cs="Times New Roman"/>
          <w:b/>
          <w:sz w:val="24"/>
          <w:szCs w:val="24"/>
        </w:rPr>
      </w:pPr>
      <w:r>
        <w:rPr>
          <w:rFonts w:ascii="Times New Roman" w:hAnsi="Times New Roman" w:cs="Times New Roman"/>
          <w:b/>
          <w:sz w:val="24"/>
          <w:szCs w:val="24"/>
        </w:rPr>
        <w:t>Hon Peter Dutton MP</w:t>
      </w:r>
    </w:p>
    <w:p w:rsidR="00BE2948" w:rsidRPr="00AB250A" w:rsidRDefault="00BE2948" w:rsidP="00BE2948">
      <w:pPr>
        <w:jc w:val="center"/>
      </w:pPr>
      <w:r w:rsidRPr="00261428">
        <w:rPr>
          <w:rFonts w:ascii="Times New Roman" w:hAnsi="Times New Roman" w:cs="Times New Roman"/>
          <w:b/>
          <w:sz w:val="24"/>
          <w:szCs w:val="24"/>
        </w:rPr>
        <w:t>Minister for Immigration and Border Protection</w:t>
      </w:r>
    </w:p>
    <w:p w:rsidR="00F050F1" w:rsidRPr="00BE2948" w:rsidRDefault="00F050F1" w:rsidP="00BE2948"/>
    <w:sectPr w:rsidR="00F050F1" w:rsidRPr="00BE29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8A3" w:rsidRDefault="00CA28A3" w:rsidP="00783C54">
      <w:pPr>
        <w:spacing w:after="0" w:line="240" w:lineRule="auto"/>
      </w:pPr>
      <w:r>
        <w:separator/>
      </w:r>
    </w:p>
  </w:endnote>
  <w:endnote w:type="continuationSeparator" w:id="0">
    <w:p w:rsidR="00CA28A3" w:rsidRDefault="00CA28A3" w:rsidP="00783C54">
      <w:pPr>
        <w:spacing w:after="0" w:line="240" w:lineRule="auto"/>
      </w:pPr>
      <w:r>
        <w:continuationSeparator/>
      </w:r>
    </w:p>
  </w:endnote>
  <w:endnote w:type="continuationNotice" w:id="1">
    <w:p w:rsidR="00CA28A3" w:rsidRDefault="00CA28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Light">
    <w:altName w:val="Gotham Ligh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256271"/>
      <w:docPartObj>
        <w:docPartGallery w:val="Page Numbers (Bottom of Page)"/>
        <w:docPartUnique/>
      </w:docPartObj>
    </w:sdtPr>
    <w:sdtEndPr>
      <w:rPr>
        <w:noProof/>
      </w:rPr>
    </w:sdtEndPr>
    <w:sdtContent>
      <w:p w:rsidR="00CA28A3" w:rsidRDefault="00CA28A3">
        <w:pPr>
          <w:pStyle w:val="Footer"/>
          <w:jc w:val="center"/>
        </w:pPr>
        <w:r>
          <w:fldChar w:fldCharType="begin"/>
        </w:r>
        <w:r>
          <w:instrText xml:space="preserve"> PAGE   \* MERGEFORMAT </w:instrText>
        </w:r>
        <w:r>
          <w:fldChar w:fldCharType="separate"/>
        </w:r>
        <w:r w:rsidR="00DE4869">
          <w:rPr>
            <w:noProof/>
          </w:rPr>
          <w:t>5</w:t>
        </w:r>
        <w:r>
          <w:rPr>
            <w:noProof/>
          </w:rPr>
          <w:fldChar w:fldCharType="end"/>
        </w:r>
      </w:p>
    </w:sdtContent>
  </w:sdt>
  <w:p w:rsidR="00CA28A3" w:rsidRDefault="00CA28A3">
    <w:pPr>
      <w:pStyle w:val="Footer"/>
    </w:pPr>
  </w:p>
  <w:p w:rsidR="00CA28A3" w:rsidRDefault="00CA28A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5043480"/>
      <w:docPartObj>
        <w:docPartGallery w:val="Page Numbers (Bottom of Page)"/>
        <w:docPartUnique/>
      </w:docPartObj>
    </w:sdtPr>
    <w:sdtEndPr>
      <w:rPr>
        <w:noProof/>
      </w:rPr>
    </w:sdtEndPr>
    <w:sdtContent>
      <w:p w:rsidR="00CA28A3" w:rsidRDefault="00CA28A3">
        <w:pPr>
          <w:pStyle w:val="Footer"/>
          <w:jc w:val="center"/>
        </w:pPr>
        <w:r>
          <w:fldChar w:fldCharType="begin"/>
        </w:r>
        <w:r>
          <w:instrText xml:space="preserve"> PAGE   \* MERGEFORMAT </w:instrText>
        </w:r>
        <w:r>
          <w:fldChar w:fldCharType="separate"/>
        </w:r>
        <w:r w:rsidR="00DE4869">
          <w:rPr>
            <w:noProof/>
          </w:rPr>
          <w:t>21</w:t>
        </w:r>
        <w:r>
          <w:rPr>
            <w:noProof/>
          </w:rPr>
          <w:fldChar w:fldCharType="end"/>
        </w:r>
      </w:p>
    </w:sdtContent>
  </w:sdt>
  <w:p w:rsidR="00CA28A3" w:rsidRDefault="00CA28A3" w:rsidP="00C45AB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8A3" w:rsidRDefault="00CA28A3" w:rsidP="00783C54">
      <w:pPr>
        <w:spacing w:after="0" w:line="240" w:lineRule="auto"/>
      </w:pPr>
      <w:r>
        <w:separator/>
      </w:r>
    </w:p>
  </w:footnote>
  <w:footnote w:type="continuationSeparator" w:id="0">
    <w:p w:rsidR="00CA28A3" w:rsidRDefault="00CA28A3" w:rsidP="00783C54">
      <w:pPr>
        <w:spacing w:after="0" w:line="240" w:lineRule="auto"/>
      </w:pPr>
      <w:r>
        <w:continuationSeparator/>
      </w:r>
    </w:p>
  </w:footnote>
  <w:footnote w:type="continuationNotice" w:id="1">
    <w:p w:rsidR="00CA28A3" w:rsidRDefault="00CA28A3">
      <w:pPr>
        <w:spacing w:after="0" w:line="240" w:lineRule="auto"/>
      </w:pPr>
    </w:p>
  </w:footnote>
  <w:footnote w:id="2">
    <w:p w:rsidR="00CA28A3" w:rsidRPr="00821FEA" w:rsidRDefault="00CA28A3" w:rsidP="0066381C">
      <w:pPr>
        <w:pStyle w:val="FootnoteText"/>
        <w:rPr>
          <w:i/>
        </w:rPr>
      </w:pPr>
      <w:r>
        <w:rPr>
          <w:rStyle w:val="FootnoteReference"/>
        </w:rPr>
        <w:footnoteRef/>
      </w:r>
      <w:r>
        <w:t xml:space="preserve"> </w:t>
      </w:r>
      <w:hyperlink r:id="rId1" w:history="1">
        <w:r w:rsidRPr="00366376">
          <w:rPr>
            <w:rStyle w:val="Hyperlink"/>
          </w:rPr>
          <w:t>Australian Energy Market Operator</w:t>
        </w:r>
      </w:hyperlink>
      <w:r>
        <w:t xml:space="preserve">, March 2017, </w:t>
      </w:r>
      <w:r w:rsidRPr="00821FEA">
        <w:rPr>
          <w:i/>
        </w:rPr>
        <w:t>Gas Statement of Opportunities</w:t>
      </w:r>
      <w:r>
        <w:rPr>
          <w:i/>
        </w:rPr>
        <w:t xml:space="preserve"> for Eastern and South Eastern Australia</w:t>
      </w:r>
    </w:p>
  </w:footnote>
  <w:footnote w:id="3">
    <w:p w:rsidR="00CA28A3" w:rsidRDefault="00CA28A3" w:rsidP="0066381C">
      <w:pPr>
        <w:pStyle w:val="FootnoteText"/>
      </w:pPr>
      <w:r w:rsidRPr="00821FEA">
        <w:rPr>
          <w:rStyle w:val="FootnoteReference"/>
          <w:i/>
        </w:rPr>
        <w:footnoteRef/>
      </w:r>
      <w:r>
        <w:t xml:space="preserve"> </w:t>
      </w:r>
      <w:hyperlink r:id="rId2" w:history="1">
        <w:r w:rsidRPr="00152914">
          <w:rPr>
            <w:rStyle w:val="Hyperlink"/>
          </w:rPr>
          <w:t>Australian Energy Regulator</w:t>
        </w:r>
      </w:hyperlink>
      <w:r>
        <w:t xml:space="preserve">, May 2017, State of the Energy Market </w:t>
      </w:r>
    </w:p>
  </w:footnote>
  <w:footnote w:id="4">
    <w:p w:rsidR="00CA28A3" w:rsidRDefault="00CA28A3" w:rsidP="0066381C">
      <w:pPr>
        <w:pStyle w:val="FootnoteText"/>
      </w:pPr>
      <w:r>
        <w:rPr>
          <w:rStyle w:val="FootnoteReference"/>
        </w:rPr>
        <w:footnoteRef/>
      </w:r>
      <w:r>
        <w:t xml:space="preserve"> </w:t>
      </w:r>
      <w:hyperlink r:id="rId3" w:history="1">
        <w:r w:rsidRPr="00D23DAB">
          <w:rPr>
            <w:rStyle w:val="Hyperlink"/>
          </w:rPr>
          <w:t>AEMO</w:t>
        </w:r>
      </w:hyperlink>
      <w:r>
        <w:t xml:space="preserve">. Gas Supply Statement of Opportunities. March 2017. </w:t>
      </w:r>
    </w:p>
  </w:footnote>
  <w:footnote w:id="5">
    <w:p w:rsidR="00CA28A3" w:rsidRDefault="00CA28A3" w:rsidP="0066381C">
      <w:pPr>
        <w:pStyle w:val="FootnoteText"/>
      </w:pPr>
      <w:r>
        <w:rPr>
          <w:rStyle w:val="FootnoteReference"/>
        </w:rPr>
        <w:footnoteRef/>
      </w:r>
      <w:r>
        <w:t xml:space="preserve"> Gas, being a utility, has several public good characteristics. For many uses including significant components of the manufacturing sector, gas is not excludable and not substitutable for other inputs, meaning it is indispensable. Further, when gas is substitutable, there are often high transactional costs in the form of duplicated infrastructure and any time delays in constructing this. </w:t>
      </w:r>
      <w:proofErr w:type="gramStart"/>
      <w:r>
        <w:t>However</w:t>
      </w:r>
      <w:proofErr w:type="gramEnd"/>
      <w:r>
        <w:t xml:space="preserve"> unlike fully public goods, gas is a natural resource which does not have indefinite supply. These characteristics are at the heart of the importance of securing a reliable supply, especially considering that Australia is one of the world’s highest producers.</w:t>
      </w:r>
    </w:p>
  </w:footnote>
  <w:footnote w:id="6">
    <w:p w:rsidR="00CA28A3" w:rsidRDefault="00CA28A3" w:rsidP="0066381C">
      <w:pPr>
        <w:pStyle w:val="FootnoteText"/>
      </w:pPr>
      <w:r>
        <w:rPr>
          <w:rStyle w:val="FootnoteReference"/>
        </w:rPr>
        <w:footnoteRef/>
      </w:r>
      <w:r>
        <w:t xml:space="preserve"> </w:t>
      </w:r>
      <w:hyperlink r:id="rId4" w:history="1">
        <w:r w:rsidRPr="00B66167">
          <w:rPr>
            <w:rStyle w:val="Hyperlink"/>
          </w:rPr>
          <w:t>BIS Shrapnel</w:t>
        </w:r>
      </w:hyperlink>
      <w:r>
        <w:t xml:space="preserve">, September 2014, </w:t>
      </w:r>
      <w:r w:rsidRPr="00B66167">
        <w:rPr>
          <w:i/>
        </w:rPr>
        <w:t>The Economic Impact of LNG Exports on Manufacturing and The Economy</w:t>
      </w:r>
    </w:p>
  </w:footnote>
  <w:footnote w:id="7">
    <w:p w:rsidR="00CA28A3" w:rsidRDefault="00CA28A3" w:rsidP="0066381C">
      <w:pPr>
        <w:pStyle w:val="FootnoteText"/>
      </w:pPr>
      <w:r>
        <w:rPr>
          <w:rStyle w:val="FootnoteReference"/>
        </w:rPr>
        <w:footnoteRef/>
      </w:r>
      <w:r>
        <w:t xml:space="preserve"> </w:t>
      </w:r>
      <w:hyperlink r:id="rId5" w:history="1">
        <w:r w:rsidRPr="00B66167">
          <w:rPr>
            <w:rStyle w:val="Hyperlink"/>
          </w:rPr>
          <w:t>The Prime Minister, the Hon Malcolm Turnbull</w:t>
        </w:r>
      </w:hyperlink>
      <w:r>
        <w:t xml:space="preserve">, 27 April 2017, media release. </w:t>
      </w:r>
    </w:p>
  </w:footnote>
  <w:footnote w:id="8">
    <w:p w:rsidR="00CA28A3" w:rsidRDefault="00CA28A3" w:rsidP="0066381C">
      <w:pPr>
        <w:pStyle w:val="FootnoteText"/>
      </w:pPr>
      <w:r>
        <w:rPr>
          <w:rStyle w:val="FootnoteReference"/>
        </w:rPr>
        <w:footnoteRef/>
      </w:r>
      <w:r>
        <w:t xml:space="preserve"> </w:t>
      </w:r>
      <w:hyperlink r:id="rId6" w:history="1">
        <w:r w:rsidRPr="00182075">
          <w:rPr>
            <w:rStyle w:val="Hyperlink"/>
          </w:rPr>
          <w:t>Ai Group</w:t>
        </w:r>
      </w:hyperlink>
      <w:r>
        <w:t xml:space="preserve">, 15 March 2017, media release </w:t>
      </w:r>
    </w:p>
  </w:footnote>
  <w:footnote w:id="9">
    <w:p w:rsidR="00CA28A3" w:rsidRDefault="00CA28A3" w:rsidP="0066381C">
      <w:pPr>
        <w:pStyle w:val="FootnoteText"/>
      </w:pPr>
      <w:r>
        <w:rPr>
          <w:rStyle w:val="FootnoteReference"/>
        </w:rPr>
        <w:footnoteRef/>
      </w:r>
      <w:r>
        <w:t xml:space="preserve"> </w:t>
      </w:r>
      <w:hyperlink r:id="rId7" w:history="1">
        <w:r w:rsidRPr="00B66167">
          <w:rPr>
            <w:rStyle w:val="Hyperlink"/>
          </w:rPr>
          <w:t>BIS Shrapnel</w:t>
        </w:r>
      </w:hyperlink>
      <w:r>
        <w:t xml:space="preserve">, September 2014, </w:t>
      </w:r>
      <w:r w:rsidRPr="00B66167">
        <w:rPr>
          <w:i/>
        </w:rPr>
        <w:t>The Economic Impact of LNG Exports on Manufacturing and The Economy</w:t>
      </w:r>
    </w:p>
  </w:footnote>
  <w:footnote w:id="10">
    <w:p w:rsidR="00CA28A3" w:rsidRDefault="00CA28A3" w:rsidP="0066381C">
      <w:pPr>
        <w:pStyle w:val="FootnoteText"/>
      </w:pPr>
      <w:r>
        <w:rPr>
          <w:rStyle w:val="FootnoteReference"/>
        </w:rPr>
        <w:footnoteRef/>
      </w:r>
      <w:r>
        <w:t xml:space="preserve"> </w:t>
      </w:r>
      <w:hyperlink r:id="rId8" w:history="1">
        <w:r w:rsidRPr="00182075">
          <w:rPr>
            <w:rStyle w:val="Hyperlink"/>
          </w:rPr>
          <w:t>The Prime Minister, the Hon Malcolm Turnbull</w:t>
        </w:r>
      </w:hyperlink>
      <w:r>
        <w:t xml:space="preserve">, 15 March 2017, media release. </w:t>
      </w:r>
    </w:p>
  </w:footnote>
  <w:footnote w:id="11">
    <w:p w:rsidR="00CA28A3" w:rsidRDefault="00CA28A3" w:rsidP="0066381C">
      <w:pPr>
        <w:pStyle w:val="FootnoteText"/>
      </w:pPr>
      <w:r>
        <w:rPr>
          <w:rStyle w:val="FootnoteReference"/>
        </w:rPr>
        <w:footnoteRef/>
      </w:r>
      <w:r>
        <w:t xml:space="preserve"> </w:t>
      </w:r>
      <w:hyperlink r:id="rId9" w:history="1">
        <w:r w:rsidRPr="00182075">
          <w:rPr>
            <w:rStyle w:val="Hyperlink"/>
          </w:rPr>
          <w:t>Minister for the Environment and Energy, Minister for Industry, Innovation and Science, Minister for Resources and Northern Australia,</w:t>
        </w:r>
      </w:hyperlink>
      <w:r>
        <w:t xml:space="preserve"> 29 March 2017, media release. </w:t>
      </w:r>
    </w:p>
  </w:footnote>
  <w:footnote w:id="12">
    <w:p w:rsidR="00CA28A3" w:rsidRDefault="00CA28A3" w:rsidP="0066381C">
      <w:pPr>
        <w:pStyle w:val="FootnoteText"/>
      </w:pPr>
      <w:r w:rsidRPr="00F674DB">
        <w:rPr>
          <w:rStyle w:val="FootnoteReference"/>
        </w:rPr>
        <w:footnoteRef/>
      </w:r>
      <w:r w:rsidRPr="00F674DB">
        <w:t xml:space="preserve"> Australian Bureau of Statistics</w:t>
      </w:r>
    </w:p>
  </w:footnote>
  <w:footnote w:id="13">
    <w:p w:rsidR="00CA28A3" w:rsidRDefault="00CA28A3" w:rsidP="0066381C">
      <w:pPr>
        <w:pStyle w:val="FootnoteText"/>
      </w:pPr>
      <w:r>
        <w:rPr>
          <w:rStyle w:val="FootnoteReference"/>
        </w:rPr>
        <w:footnoteRef/>
      </w:r>
      <w:r>
        <w:t xml:space="preserve"> This number provides an idea of the scale of the gas’ value. It is not the cost to exporters because they would still be receiving an income from selling the gas to domestic gas consumers. Additionally, it should be noted that not all east coast exporters are currently producing at their respective nameplate capacities; and a fixed five per cent reservation policy is relatively conservative.</w:t>
      </w:r>
    </w:p>
  </w:footnote>
  <w:footnote w:id="14">
    <w:p w:rsidR="00CA28A3" w:rsidRPr="00575B1F" w:rsidRDefault="00CA28A3" w:rsidP="0066381C">
      <w:pPr>
        <w:pStyle w:val="FootnoteText"/>
        <w:rPr>
          <w:i/>
        </w:rPr>
      </w:pPr>
      <w:r>
        <w:rPr>
          <w:rStyle w:val="FootnoteReference"/>
        </w:rPr>
        <w:footnoteRef/>
      </w:r>
      <w:r>
        <w:t xml:space="preserve"> </w:t>
      </w:r>
      <w:hyperlink r:id="rId10" w:history="1">
        <w:proofErr w:type="spellStart"/>
        <w:r w:rsidRPr="00575B1F">
          <w:rPr>
            <w:rStyle w:val="Hyperlink"/>
          </w:rPr>
          <w:t>gasTrading</w:t>
        </w:r>
        <w:proofErr w:type="spellEnd"/>
        <w:r w:rsidRPr="00575B1F">
          <w:rPr>
            <w:rStyle w:val="Hyperlink"/>
          </w:rPr>
          <w:t xml:space="preserve"> Australia</w:t>
        </w:r>
      </w:hyperlink>
      <w:r>
        <w:t xml:space="preserve">, May 2017, </w:t>
      </w:r>
      <w:r>
        <w:rPr>
          <w:i/>
        </w:rPr>
        <w:t>Historical prices and volume</w:t>
      </w:r>
    </w:p>
  </w:footnote>
  <w:footnote w:id="15">
    <w:p w:rsidR="00CA28A3" w:rsidRDefault="00CA28A3" w:rsidP="0066381C">
      <w:pPr>
        <w:pStyle w:val="FootnoteText"/>
      </w:pPr>
      <w:r>
        <w:rPr>
          <w:rStyle w:val="FootnoteReference"/>
        </w:rPr>
        <w:footnoteRef/>
      </w:r>
      <w:r>
        <w:t xml:space="preserve"> Consequences of breaking the terms of these contracts are commercial in confidence.</w:t>
      </w:r>
    </w:p>
  </w:footnote>
  <w:footnote w:id="16">
    <w:p w:rsidR="00CA28A3" w:rsidRDefault="00CA28A3" w:rsidP="0066381C">
      <w:pPr>
        <w:pStyle w:val="FootnoteText"/>
      </w:pPr>
      <w:r>
        <w:rPr>
          <w:rStyle w:val="FootnoteReference"/>
        </w:rPr>
        <w:footnoteRef/>
      </w:r>
      <w:r>
        <w:t> </w:t>
      </w:r>
      <w:hyperlink r:id="rId11" w:history="1">
        <w:r w:rsidRPr="00182075">
          <w:rPr>
            <w:rStyle w:val="Hyperlink"/>
          </w:rPr>
          <w:t>Deloitte Access Economics</w:t>
        </w:r>
      </w:hyperlink>
      <w:r>
        <w:t xml:space="preserve">, October 2013, </w:t>
      </w:r>
      <w:r>
        <w:rPr>
          <w:i/>
        </w:rPr>
        <w:t xml:space="preserve">The economic impacts of a domestic gas reservation </w:t>
      </w:r>
    </w:p>
  </w:footnote>
  <w:footnote w:id="17">
    <w:p w:rsidR="00CA28A3" w:rsidRPr="00757C58" w:rsidRDefault="00CA28A3" w:rsidP="0066381C">
      <w:pPr>
        <w:pStyle w:val="FootnoteText"/>
      </w:pPr>
      <w:r w:rsidRPr="00757C58">
        <w:rPr>
          <w:rStyle w:val="FootnoteReference"/>
        </w:rPr>
        <w:footnoteRef/>
      </w:r>
      <w:r w:rsidRPr="00757C58">
        <w:t xml:space="preserve"> </w:t>
      </w:r>
      <w:hyperlink r:id="rId12" w:anchor="_Gas" w:history="1">
        <w:r w:rsidRPr="00757C58">
          <w:rPr>
            <w:rStyle w:val="Hyperlink"/>
          </w:rPr>
          <w:t>Department of Industry, Innovation and Science,</w:t>
        </w:r>
      </w:hyperlink>
      <w:r w:rsidRPr="00757C58">
        <w:t xml:space="preserve"> April 2015, </w:t>
      </w:r>
      <w:r w:rsidRPr="00757C58">
        <w:rPr>
          <w:i/>
        </w:rPr>
        <w:t xml:space="preserve">2015 Energy </w:t>
      </w:r>
      <w:r w:rsidRPr="00757C58">
        <w:t xml:space="preserve">White Paper </w:t>
      </w:r>
    </w:p>
  </w:footnote>
  <w:footnote w:id="18">
    <w:p w:rsidR="00CA28A3" w:rsidRPr="00757C58" w:rsidRDefault="00CA28A3" w:rsidP="0066381C">
      <w:pPr>
        <w:pStyle w:val="FootnoteText"/>
      </w:pPr>
      <w:r w:rsidRPr="00757C58">
        <w:rPr>
          <w:rStyle w:val="FootnoteReference"/>
        </w:rPr>
        <w:footnoteRef/>
      </w:r>
      <w:r w:rsidRPr="00757C58">
        <w:t> </w:t>
      </w:r>
      <w:hyperlink r:id="rId13" w:history="1">
        <w:r w:rsidRPr="00757C58">
          <w:rPr>
            <w:rStyle w:val="Hyperlink"/>
          </w:rPr>
          <w:t>BIS Shrapnel</w:t>
        </w:r>
      </w:hyperlink>
      <w:r w:rsidRPr="00757C58">
        <w:t xml:space="preserve">, September 2014, </w:t>
      </w:r>
      <w:r w:rsidRPr="00757C58">
        <w:rPr>
          <w:i/>
        </w:rPr>
        <w:t>The Economic Impact of LNG Exports on Manufacturing and The Economy</w:t>
      </w:r>
    </w:p>
  </w:footnote>
  <w:footnote w:id="19">
    <w:p w:rsidR="00CA28A3" w:rsidRDefault="00CA28A3" w:rsidP="0066381C">
      <w:pPr>
        <w:pStyle w:val="FootnoteText"/>
      </w:pPr>
      <w:r w:rsidRPr="00757C58">
        <w:rPr>
          <w:rStyle w:val="FootnoteReference"/>
        </w:rPr>
        <w:footnoteRef/>
      </w:r>
      <w:r w:rsidRPr="00757C58">
        <w:t xml:space="preserve"> </w:t>
      </w:r>
      <w:hyperlink r:id="rId14" w:history="1">
        <w:r w:rsidRPr="00757C58">
          <w:rPr>
            <w:rStyle w:val="Hyperlink"/>
          </w:rPr>
          <w:t>Deloitte</w:t>
        </w:r>
      </w:hyperlink>
      <w:r w:rsidRPr="00757C58">
        <w:t xml:space="preserve">, July 2014, </w:t>
      </w:r>
      <w:r w:rsidRPr="00757C58">
        <w:rPr>
          <w:i/>
        </w:rPr>
        <w:t>Gas market transformations – Economic consequences</w:t>
      </w:r>
      <w:r>
        <w:rPr>
          <w:i/>
        </w:rPr>
        <w:t xml:space="preserve"> for the manufacturing sector</w:t>
      </w:r>
    </w:p>
  </w:footnote>
  <w:footnote w:id="20">
    <w:p w:rsidR="00CA28A3" w:rsidRDefault="00CA28A3" w:rsidP="0066381C">
      <w:pPr>
        <w:pStyle w:val="FootnoteText"/>
      </w:pPr>
      <w:r>
        <w:rPr>
          <w:rStyle w:val="FootnoteReference"/>
        </w:rPr>
        <w:footnoteRef/>
      </w:r>
      <w:r>
        <w:t xml:space="preserve"> </w:t>
      </w:r>
      <w:hyperlink r:id="rId15" w:history="1">
        <w:r w:rsidRPr="00BE1F80">
          <w:rPr>
            <w:rStyle w:val="Hyperlink"/>
          </w:rPr>
          <w:t>Department of Industry, Innovation and Science</w:t>
        </w:r>
      </w:hyperlink>
      <w:r>
        <w:t xml:space="preserve">, March 2017, </w:t>
      </w:r>
      <w:r w:rsidRPr="00BE1F80">
        <w:rPr>
          <w:i/>
        </w:rPr>
        <w:t>Resources and Energy Quarterly</w:t>
      </w:r>
    </w:p>
  </w:footnote>
  <w:footnote w:id="21">
    <w:p w:rsidR="00CA28A3" w:rsidRDefault="00CA28A3" w:rsidP="0066381C">
      <w:pPr>
        <w:pStyle w:val="FootnoteText"/>
      </w:pPr>
      <w:r w:rsidRPr="00207D07">
        <w:rPr>
          <w:rStyle w:val="FootnoteReference"/>
        </w:rPr>
        <w:footnoteRef/>
      </w:r>
      <w:r w:rsidRPr="00207D07">
        <w:t xml:space="preserve"> </w:t>
      </w:r>
      <w:hyperlink r:id="rId16" w:history="1">
        <w:r w:rsidRPr="00FC00DC">
          <w:rPr>
            <w:rStyle w:val="Hyperlink"/>
          </w:rPr>
          <w:t>Australian Energy Market Operator</w:t>
        </w:r>
      </w:hyperlink>
      <w:r w:rsidRPr="00207D07">
        <w:t>,</w:t>
      </w:r>
      <w:r>
        <w:t xml:space="preserve"> May 2017, </w:t>
      </w:r>
      <w:r>
        <w:rPr>
          <w:i/>
        </w:rPr>
        <w:t>Data</w:t>
      </w:r>
      <w:r>
        <w:t xml:space="preserve">. </w:t>
      </w:r>
    </w:p>
    <w:p w:rsidR="00CA28A3" w:rsidRDefault="00CA28A3" w:rsidP="0066381C">
      <w:pPr>
        <w:pStyle w:val="FootnoteText"/>
      </w:pPr>
      <w:r>
        <w:t xml:space="preserve">    Note that all prices are ‘ex ante’ prices, except for the Victoria Wholesale price, which is ex post.</w:t>
      </w:r>
    </w:p>
  </w:footnote>
  <w:footnote w:id="22">
    <w:p w:rsidR="00CA28A3" w:rsidRDefault="00CA28A3" w:rsidP="0066381C">
      <w:pPr>
        <w:pStyle w:val="FootnoteText"/>
      </w:pPr>
      <w:r>
        <w:rPr>
          <w:rStyle w:val="FootnoteReference"/>
        </w:rPr>
        <w:footnoteRef/>
      </w:r>
      <w:r>
        <w:t xml:space="preserve"> </w:t>
      </w:r>
      <w:hyperlink r:id="rId17" w:history="1">
        <w:proofErr w:type="spellStart"/>
        <w:r w:rsidRPr="00575B1F">
          <w:rPr>
            <w:rStyle w:val="Hyperlink"/>
          </w:rPr>
          <w:t>gasTrading</w:t>
        </w:r>
        <w:proofErr w:type="spellEnd"/>
        <w:r w:rsidRPr="00575B1F">
          <w:rPr>
            <w:rStyle w:val="Hyperlink"/>
          </w:rPr>
          <w:t xml:space="preserve"> Australia</w:t>
        </w:r>
      </w:hyperlink>
      <w:r>
        <w:t xml:space="preserve">, May 2017, </w:t>
      </w:r>
      <w:r>
        <w:rPr>
          <w:i/>
        </w:rPr>
        <w:t>Historical prices and volume</w:t>
      </w:r>
    </w:p>
  </w:footnote>
  <w:footnote w:id="23">
    <w:p w:rsidR="00CA28A3" w:rsidRDefault="00CA28A3" w:rsidP="0066381C">
      <w:pPr>
        <w:pStyle w:val="FootnoteText"/>
      </w:pPr>
      <w:r w:rsidRPr="00757C58">
        <w:rPr>
          <w:rStyle w:val="FootnoteReference"/>
        </w:rPr>
        <w:footnoteRef/>
      </w:r>
      <w:r w:rsidRPr="00757C58">
        <w:t> </w:t>
      </w:r>
      <w:hyperlink r:id="rId18" w:history="1">
        <w:r w:rsidRPr="00757C58">
          <w:rPr>
            <w:rStyle w:val="Hyperlink"/>
          </w:rPr>
          <w:t>BIS Shrapnel</w:t>
        </w:r>
      </w:hyperlink>
      <w:r w:rsidRPr="00757C58">
        <w:t xml:space="preserve">, September 2014, </w:t>
      </w:r>
      <w:r w:rsidRPr="00757C58">
        <w:rPr>
          <w:i/>
        </w:rPr>
        <w:t>The Economic Impact of LNG Exports on Manufacturing and The Economy</w:t>
      </w:r>
    </w:p>
  </w:footnote>
  <w:footnote w:id="24">
    <w:p w:rsidR="00CA28A3" w:rsidRPr="00680EDD" w:rsidRDefault="00CA28A3" w:rsidP="0066381C">
      <w:pPr>
        <w:autoSpaceDE w:val="0"/>
        <w:autoSpaceDN w:val="0"/>
        <w:adjustRightInd w:val="0"/>
        <w:spacing w:after="0" w:line="240" w:lineRule="auto"/>
        <w:rPr>
          <w:rFonts w:cs="Arial-ItalicMT"/>
          <w:i/>
          <w:iCs/>
          <w:sz w:val="20"/>
          <w:szCs w:val="20"/>
        </w:rPr>
      </w:pPr>
      <w:r>
        <w:rPr>
          <w:rStyle w:val="FootnoteReference"/>
        </w:rPr>
        <w:footnoteRef/>
      </w:r>
      <w:r>
        <w:t xml:space="preserve"> </w:t>
      </w:r>
      <w:r w:rsidRPr="00680EDD">
        <w:rPr>
          <w:rFonts w:cs="ArialMT"/>
          <w:sz w:val="20"/>
          <w:szCs w:val="20"/>
        </w:rPr>
        <w:t xml:space="preserve">WA Department of Industry and Resources, </w:t>
      </w:r>
      <w:r w:rsidRPr="00680EDD">
        <w:rPr>
          <w:rFonts w:cs="Arial-ItalicMT"/>
          <w:i/>
          <w:iCs/>
          <w:sz w:val="20"/>
          <w:szCs w:val="20"/>
        </w:rPr>
        <w:t>WA Government Policy on Securing Domestic</w:t>
      </w:r>
    </w:p>
    <w:p w:rsidR="00CA28A3" w:rsidRDefault="00CA28A3" w:rsidP="0066381C">
      <w:pPr>
        <w:pStyle w:val="FootnoteText"/>
      </w:pPr>
      <w:r w:rsidRPr="00680EDD">
        <w:rPr>
          <w:rFonts w:cs="Arial-ItalicMT"/>
          <w:i/>
          <w:iCs/>
        </w:rPr>
        <w:t>Gas Supplies: Consultation Paper</w:t>
      </w:r>
      <w:r w:rsidRPr="00680EDD">
        <w:rPr>
          <w:rFonts w:cs="ArialMT"/>
        </w:rPr>
        <w:t>, February 2006, p.2.</w:t>
      </w:r>
    </w:p>
  </w:footnote>
  <w:footnote w:id="25">
    <w:p w:rsidR="00CA28A3" w:rsidRDefault="00CA28A3" w:rsidP="0066381C">
      <w:pPr>
        <w:pStyle w:val="FootnoteText"/>
      </w:pPr>
      <w:r>
        <w:rPr>
          <w:rStyle w:val="FootnoteReference"/>
        </w:rPr>
        <w:footnoteRef/>
      </w:r>
      <w:r>
        <w:t xml:space="preserve"> As discussed in Section </w:t>
      </w:r>
      <w:r>
        <w:fldChar w:fldCharType="begin"/>
      </w:r>
      <w:r>
        <w:instrText xml:space="preserve"> REF _Ref483393269 \r \h </w:instrText>
      </w:r>
      <w:r>
        <w:fldChar w:fldCharType="separate"/>
      </w:r>
      <w:r w:rsidR="00D565EF">
        <w:t>4.3</w:t>
      </w:r>
      <w:r>
        <w:fldChar w:fldCharType="end"/>
      </w:r>
      <w:r>
        <w:t xml:space="preserve">, it </w:t>
      </w:r>
      <w:proofErr w:type="gramStart"/>
      <w:r>
        <w:t>should be noted</w:t>
      </w:r>
      <w:proofErr w:type="gramEnd"/>
      <w:r>
        <w:t xml:space="preserve"> that a multi-step process could also be added to a reservation policy; i.e. it could be implemented so it only came into effect in the event that a shortfall was likely. However, a blanket reservation policy would spread the costs equally among all exporters, rather than targeting the costs at projects that contributed to the shortfall.</w:t>
      </w:r>
    </w:p>
  </w:footnote>
  <w:footnote w:id="26">
    <w:p w:rsidR="00CA28A3" w:rsidRDefault="00CA28A3" w:rsidP="0066381C">
      <w:pPr>
        <w:pStyle w:val="FootnoteText"/>
      </w:pPr>
      <w:r>
        <w:rPr>
          <w:rStyle w:val="FootnoteReference"/>
        </w:rPr>
        <w:footnoteRef/>
      </w:r>
      <w:r>
        <w:t xml:space="preserve"> Victorian </w:t>
      </w:r>
      <w:hyperlink r:id="rId19" w:anchor=".WTn_C_6weAg" w:history="1">
        <w:r w:rsidRPr="00A3703B">
          <w:rPr>
            <w:rStyle w:val="Hyperlink"/>
          </w:rPr>
          <w:t>Government</w:t>
        </w:r>
      </w:hyperlink>
      <w:r>
        <w:t xml:space="preserve">, </w:t>
      </w:r>
      <w:r w:rsidRPr="00A3703B">
        <w:rPr>
          <w:i/>
        </w:rPr>
        <w:t>Cost of living in Victoria</w:t>
      </w:r>
      <w:r>
        <w:rPr>
          <w:i/>
        </w:rPr>
        <w:t>- Cost of Domestic Supplies, Home Services and Utilities</w:t>
      </w:r>
      <w:r>
        <w:t xml:space="preserve"> </w:t>
      </w:r>
    </w:p>
  </w:footnote>
  <w:footnote w:id="27">
    <w:p w:rsidR="00CA28A3" w:rsidRDefault="00CA28A3" w:rsidP="0066381C">
      <w:pPr>
        <w:pStyle w:val="FootnoteText"/>
      </w:pPr>
      <w:r>
        <w:rPr>
          <w:rStyle w:val="FootnoteReference"/>
        </w:rPr>
        <w:footnoteRef/>
      </w:r>
      <w:r>
        <w:t xml:space="preserve"> </w:t>
      </w:r>
      <w:hyperlink r:id="rId20" w:history="1">
        <w:r w:rsidRPr="00B66167">
          <w:rPr>
            <w:rStyle w:val="Hyperlink"/>
          </w:rPr>
          <w:t>The Prime Minister, the Hon Malcolm Turnbull</w:t>
        </w:r>
      </w:hyperlink>
      <w:r>
        <w:t xml:space="preserve">, 27 April 2017, media release. </w:t>
      </w:r>
    </w:p>
  </w:footnote>
  <w:footnote w:id="28">
    <w:p w:rsidR="00CA28A3" w:rsidRDefault="00CA28A3" w:rsidP="0066381C">
      <w:pPr>
        <w:pStyle w:val="FootnoteText"/>
      </w:pPr>
      <w:r>
        <w:rPr>
          <w:rStyle w:val="FootnoteReference"/>
        </w:rPr>
        <w:footnoteRef/>
      </w:r>
      <w:r>
        <w:t xml:space="preserve"> </w:t>
      </w:r>
      <w:r w:rsidRPr="005349E5">
        <w:t>As part of the consultations, DIIS will seek feedback on the regulatory impact of the mechanism.</w:t>
      </w:r>
    </w:p>
  </w:footnote>
  <w:footnote w:id="29">
    <w:p w:rsidR="00CA28A3" w:rsidRDefault="00CA28A3" w:rsidP="0066381C">
      <w:pPr>
        <w:pStyle w:val="FootnoteText"/>
      </w:pPr>
      <w:r>
        <w:rPr>
          <w:rStyle w:val="FootnoteReference"/>
        </w:rPr>
        <w:footnoteRef/>
      </w:r>
      <w:r>
        <w:t xml:space="preserve"> According to </w:t>
      </w:r>
      <w:hyperlink r:id="rId21" w:history="1">
        <w:r w:rsidRPr="00C7573A">
          <w:rPr>
            <w:rStyle w:val="Hyperlink"/>
          </w:rPr>
          <w:t>APPEA</w:t>
        </w:r>
      </w:hyperlink>
      <w:r>
        <w:t xml:space="preserve">, Australia currently has seven operating projects, and three more planned. </w:t>
      </w:r>
    </w:p>
  </w:footnote>
  <w:footnote w:id="30">
    <w:p w:rsidR="00CA28A3" w:rsidRDefault="00CA28A3" w:rsidP="0066381C">
      <w:pPr>
        <w:pStyle w:val="FootnoteText"/>
      </w:pPr>
      <w:r>
        <w:rPr>
          <w:rStyle w:val="FootnoteReference"/>
        </w:rPr>
        <w:footnoteRef/>
      </w:r>
      <w:r>
        <w:t xml:space="preserve"> Note: For the ADGSM period “Day 61 to 105”, the only LNG exporters that would be affected are those with a net </w:t>
      </w:r>
      <w:proofErr w:type="gramStart"/>
      <w:r>
        <w:t>draw-down</w:t>
      </w:r>
      <w:proofErr w:type="gramEnd"/>
      <w:r>
        <w:t xml:space="preserve"> on domestic supply.</w:t>
      </w:r>
    </w:p>
  </w:footnote>
  <w:footnote w:id="31">
    <w:p w:rsidR="00CA28A3" w:rsidRDefault="00CA28A3" w:rsidP="0066381C">
      <w:pPr>
        <w:pStyle w:val="FootnoteText"/>
      </w:pPr>
      <w:r>
        <w:rPr>
          <w:rStyle w:val="FootnoteReference"/>
        </w:rPr>
        <w:footnoteRef/>
      </w:r>
      <w:r>
        <w:t xml:space="preserve"> </w:t>
      </w:r>
      <w:hyperlink r:id="rId22" w:history="1">
        <w:r w:rsidRPr="00FD1869">
          <w:rPr>
            <w:rStyle w:val="Hyperlink"/>
          </w:rPr>
          <w:t>Department of the Prime Minister and Cabinet</w:t>
        </w:r>
      </w:hyperlink>
      <w:r>
        <w:t xml:space="preserve">, February 2017, </w:t>
      </w:r>
      <w:r w:rsidRPr="00FD1869">
        <w:rPr>
          <w:i/>
        </w:rPr>
        <w:t>Regulatory burden measurement framework guidance note</w:t>
      </w:r>
      <w:r>
        <w:t xml:space="preserve"> </w:t>
      </w:r>
    </w:p>
  </w:footnote>
  <w:footnote w:id="32">
    <w:p w:rsidR="00CA28A3" w:rsidRDefault="00CA28A3" w:rsidP="0066381C">
      <w:pPr>
        <w:pStyle w:val="FootnoteText"/>
      </w:pPr>
      <w:r>
        <w:rPr>
          <w:rStyle w:val="FootnoteReference"/>
        </w:rPr>
        <w:footnoteRef/>
      </w:r>
      <w:r>
        <w:t xml:space="preserve"> </w:t>
      </w:r>
      <w:hyperlink r:id="rId23" w:history="1">
        <w:r w:rsidRPr="00FD1869">
          <w:rPr>
            <w:rStyle w:val="Hyperlink"/>
          </w:rPr>
          <w:t>Hays</w:t>
        </w:r>
      </w:hyperlink>
      <w:r>
        <w:t>, June 2016,</w:t>
      </w:r>
      <w:r>
        <w:rPr>
          <w:i/>
        </w:rPr>
        <w:t>The 2016 Hays Salary Guide</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5641"/>
    <w:multiLevelType w:val="hybridMultilevel"/>
    <w:tmpl w:val="623C28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0E36C0"/>
    <w:multiLevelType w:val="hybridMultilevel"/>
    <w:tmpl w:val="57F6E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B5092"/>
    <w:multiLevelType w:val="hybridMultilevel"/>
    <w:tmpl w:val="5ABC3C1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663102"/>
    <w:multiLevelType w:val="hybridMultilevel"/>
    <w:tmpl w:val="8C669EE2"/>
    <w:lvl w:ilvl="0" w:tplc="29F02B9A">
      <w:start w:val="1"/>
      <w:numFmt w:val="decimal"/>
      <w:lvlText w:val="4.%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1B3CEF"/>
    <w:multiLevelType w:val="hybridMultilevel"/>
    <w:tmpl w:val="DBACE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327664"/>
    <w:multiLevelType w:val="multilevel"/>
    <w:tmpl w:val="F4B21BA6"/>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hint="default"/>
        <w:sz w:val="20"/>
      </w:rPr>
    </w:lvl>
    <w:lvl w:ilvl="2">
      <w:start w:val="1"/>
      <w:numFmt w:val="decimal"/>
      <w:pStyle w:val="NumberLevel3"/>
      <w:lvlText w:val="%1.%2.%3."/>
      <w:lvlJc w:val="left"/>
      <w:pPr>
        <w:tabs>
          <w:tab w:val="num" w:pos="709"/>
        </w:tabs>
        <w:ind w:left="0" w:hanging="709"/>
      </w:pPr>
      <w:rPr>
        <w:rFonts w:hint="default"/>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6" w15:restartNumberingAfterBreak="0">
    <w:nsid w:val="1F4E2506"/>
    <w:multiLevelType w:val="hybridMultilevel"/>
    <w:tmpl w:val="F0325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B37BE7"/>
    <w:multiLevelType w:val="hybridMultilevel"/>
    <w:tmpl w:val="CA20CD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E72E22"/>
    <w:multiLevelType w:val="multilevel"/>
    <w:tmpl w:val="CA92C514"/>
    <w:lvl w:ilvl="0">
      <w:start w:val="1"/>
      <w:numFmt w:val="decimal"/>
      <w:pStyle w:val="Heading1"/>
      <w:lvlText w:val="%1"/>
      <w:lvlJc w:val="left"/>
      <w:pPr>
        <w:ind w:left="360" w:hanging="360"/>
      </w:pPr>
      <w:rPr>
        <w:rFonts w:hint="default"/>
        <w:sz w:val="28"/>
      </w:rPr>
    </w:lvl>
    <w:lvl w:ilvl="1">
      <w:start w:val="1"/>
      <w:numFmt w:val="decimal"/>
      <w:pStyle w:val="CAB-NumberedParagraph"/>
      <w:lvlText w:val="4.%2"/>
      <w:lvlJc w:val="left"/>
      <w:pPr>
        <w:tabs>
          <w:tab w:val="num" w:pos="340"/>
        </w:tabs>
        <w:ind w:left="34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F0C183F"/>
    <w:multiLevelType w:val="hybridMultilevel"/>
    <w:tmpl w:val="B1D25300"/>
    <w:lvl w:ilvl="0" w:tplc="5D20242E">
      <w:start w:val="1"/>
      <w:numFmt w:val="decimal"/>
      <w:lvlText w:val="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BD0B45"/>
    <w:multiLevelType w:val="hybridMultilevel"/>
    <w:tmpl w:val="0FAED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0307AB"/>
    <w:multiLevelType w:val="hybridMultilevel"/>
    <w:tmpl w:val="D576A3B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33D93E9A"/>
    <w:multiLevelType w:val="multilevel"/>
    <w:tmpl w:val="4C7451B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D94823"/>
    <w:multiLevelType w:val="hybridMultilevel"/>
    <w:tmpl w:val="5ADC0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6F275F"/>
    <w:multiLevelType w:val="hybridMultilevel"/>
    <w:tmpl w:val="00C4B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19669F"/>
    <w:multiLevelType w:val="hybridMultilevel"/>
    <w:tmpl w:val="3D1CD81C"/>
    <w:lvl w:ilvl="0" w:tplc="F5C8A354">
      <w:start w:val="1"/>
      <w:numFmt w:val="decimal"/>
      <w:lvlText w:val="8.%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794D1A"/>
    <w:multiLevelType w:val="hybridMultilevel"/>
    <w:tmpl w:val="5680D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8909E0"/>
    <w:multiLevelType w:val="hybridMultilevel"/>
    <w:tmpl w:val="EE0E37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CD660C"/>
    <w:multiLevelType w:val="hybridMultilevel"/>
    <w:tmpl w:val="6E703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FF6083"/>
    <w:multiLevelType w:val="hybridMultilevel"/>
    <w:tmpl w:val="A5DEC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886D87"/>
    <w:multiLevelType w:val="hybridMultilevel"/>
    <w:tmpl w:val="6700CF4C"/>
    <w:lvl w:ilvl="0" w:tplc="343EB524">
      <w:start w:val="1"/>
      <w:numFmt w:val="decimal"/>
      <w:lvlText w:val="9.%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89643E"/>
    <w:multiLevelType w:val="hybridMultilevel"/>
    <w:tmpl w:val="C49E9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9D217C"/>
    <w:multiLevelType w:val="hybridMultilevel"/>
    <w:tmpl w:val="A3F6A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F8141E"/>
    <w:multiLevelType w:val="hybridMultilevel"/>
    <w:tmpl w:val="10AE2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4C4391"/>
    <w:multiLevelType w:val="hybridMultilevel"/>
    <w:tmpl w:val="8F38F00C"/>
    <w:lvl w:ilvl="0" w:tplc="7EA84FF4">
      <w:start w:val="1"/>
      <w:numFmt w:val="decimal"/>
      <w:lvlText w:val="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266DA4"/>
    <w:multiLevelType w:val="hybridMultilevel"/>
    <w:tmpl w:val="DAC8C8A2"/>
    <w:lvl w:ilvl="0" w:tplc="932800E6">
      <w:start w:val="1"/>
      <w:numFmt w:val="decimal"/>
      <w:lvlText w:val="5.%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0AA7E86"/>
    <w:multiLevelType w:val="multilevel"/>
    <w:tmpl w:val="D1BCC71C"/>
    <w:lvl w:ilvl="0">
      <w:start w:val="1"/>
      <w:numFmt w:val="bullet"/>
      <w:pStyle w:val="DashEm1"/>
      <w:lvlText w:val="—"/>
      <w:lvlJc w:val="left"/>
      <w:pPr>
        <w:tabs>
          <w:tab w:val="num" w:pos="425"/>
        </w:tabs>
        <w:ind w:left="425" w:hanging="425"/>
      </w:pPr>
      <w:rPr>
        <w:rFonts w:hint="default"/>
        <w:b/>
        <w:i w:val="0"/>
        <w:color w:val="auto"/>
      </w:rPr>
    </w:lvl>
    <w:lvl w:ilvl="1">
      <w:start w:val="1"/>
      <w:numFmt w:val="bullet"/>
      <w:pStyle w:val="DashEm"/>
      <w:lvlText w:val="—"/>
      <w:lvlJc w:val="left"/>
      <w:pPr>
        <w:tabs>
          <w:tab w:val="num" w:pos="425"/>
        </w:tabs>
        <w:ind w:left="425" w:hanging="425"/>
      </w:pPr>
      <w:rPr>
        <w:rFonts w:hint="default"/>
        <w:b/>
        <w:i w:val="0"/>
        <w:color w:val="auto"/>
      </w:rPr>
    </w:lvl>
    <w:lvl w:ilvl="2">
      <w:start w:val="1"/>
      <w:numFmt w:val="bullet"/>
      <w:pStyle w:val="DashEn1"/>
      <w:lvlText w:val="–"/>
      <w:lvlJc w:val="left"/>
      <w:pPr>
        <w:tabs>
          <w:tab w:val="num" w:pos="850"/>
        </w:tabs>
        <w:ind w:left="850" w:hanging="425"/>
      </w:pPr>
      <w:rPr>
        <w:rFonts w:hint="default"/>
        <w:b w:val="0"/>
        <w:i w:val="0"/>
      </w:rPr>
    </w:lvl>
    <w:lvl w:ilvl="3">
      <w:start w:val="1"/>
      <w:numFmt w:val="bullet"/>
      <w:pStyle w:val="DashEn2"/>
      <w:lvlText w:val="–"/>
      <w:lvlJc w:val="left"/>
      <w:pPr>
        <w:tabs>
          <w:tab w:val="num" w:pos="1276"/>
        </w:tabs>
        <w:ind w:left="1276" w:hanging="426"/>
      </w:pPr>
      <w:rPr>
        <w:rFonts w:hint="default"/>
        <w:b w:val="0"/>
        <w:i w:val="0"/>
      </w:rPr>
    </w:lvl>
    <w:lvl w:ilvl="4">
      <w:start w:val="1"/>
      <w:numFmt w:val="bullet"/>
      <w:pStyle w:val="DashEn3"/>
      <w:lvlText w:val="–"/>
      <w:lvlJc w:val="left"/>
      <w:pPr>
        <w:tabs>
          <w:tab w:val="num" w:pos="1701"/>
        </w:tabs>
        <w:ind w:left="1701" w:hanging="425"/>
      </w:pPr>
      <w:rPr>
        <w:rFonts w:hint="default"/>
        <w:b w:val="0"/>
        <w:i w:val="0"/>
      </w:rPr>
    </w:lvl>
    <w:lvl w:ilvl="5">
      <w:start w:val="1"/>
      <w:numFmt w:val="bullet"/>
      <w:pStyle w:val="DashEn4"/>
      <w:lvlText w:val="–"/>
      <w:lvlJc w:val="left"/>
      <w:pPr>
        <w:tabs>
          <w:tab w:val="num" w:pos="2126"/>
        </w:tabs>
        <w:ind w:left="2126" w:hanging="425"/>
      </w:pPr>
      <w:rPr>
        <w:rFonts w:hint="default"/>
        <w:b w:val="0"/>
        <w:i w:val="0"/>
      </w:rPr>
    </w:lvl>
    <w:lvl w:ilvl="6">
      <w:start w:val="1"/>
      <w:numFmt w:val="bullet"/>
      <w:pStyle w:val="DashEn5"/>
      <w:lvlText w:val="–"/>
      <w:lvlJc w:val="left"/>
      <w:pPr>
        <w:tabs>
          <w:tab w:val="num" w:pos="2551"/>
        </w:tabs>
        <w:ind w:left="2551" w:hanging="425"/>
      </w:pPr>
      <w:rPr>
        <w:rFonts w:hint="default"/>
        <w:b w:val="0"/>
        <w:i w:val="0"/>
      </w:rPr>
    </w:lvl>
    <w:lvl w:ilvl="7">
      <w:start w:val="1"/>
      <w:numFmt w:val="bullet"/>
      <w:pStyle w:val="DashEn6"/>
      <w:lvlText w:val="–"/>
      <w:lvlJc w:val="left"/>
      <w:pPr>
        <w:tabs>
          <w:tab w:val="num" w:pos="2976"/>
        </w:tabs>
        <w:ind w:left="2976" w:hanging="425"/>
      </w:pPr>
      <w:rPr>
        <w:rFonts w:hint="default"/>
        <w:b w:val="0"/>
        <w:i w:val="0"/>
      </w:rPr>
    </w:lvl>
    <w:lvl w:ilvl="8">
      <w:start w:val="1"/>
      <w:numFmt w:val="bullet"/>
      <w:pStyle w:val="DashEn7"/>
      <w:lvlText w:val="–"/>
      <w:lvlJc w:val="left"/>
      <w:pPr>
        <w:tabs>
          <w:tab w:val="num" w:pos="3402"/>
        </w:tabs>
        <w:ind w:left="3402" w:hanging="426"/>
      </w:pPr>
      <w:rPr>
        <w:rFonts w:hint="default"/>
        <w:b w:val="0"/>
        <w:i w:val="0"/>
      </w:rPr>
    </w:lvl>
  </w:abstractNum>
  <w:abstractNum w:abstractNumId="27" w15:restartNumberingAfterBreak="0">
    <w:nsid w:val="71300EFB"/>
    <w:multiLevelType w:val="hybridMultilevel"/>
    <w:tmpl w:val="B6DC97F0"/>
    <w:lvl w:ilvl="0" w:tplc="0C090001">
      <w:start w:val="1"/>
      <w:numFmt w:val="bullet"/>
      <w:lvlText w:val=""/>
      <w:lvlJc w:val="left"/>
      <w:pPr>
        <w:ind w:left="764" w:hanging="360"/>
      </w:pPr>
      <w:rPr>
        <w:rFonts w:ascii="Symbol" w:hAnsi="Symbol" w:hint="default"/>
      </w:rPr>
    </w:lvl>
    <w:lvl w:ilvl="1" w:tplc="0C090003">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num w:numId="1">
    <w:abstractNumId w:val="8"/>
  </w:num>
  <w:num w:numId="2">
    <w:abstractNumId w:val="5"/>
  </w:num>
  <w:num w:numId="3">
    <w:abstractNumId w:val="26"/>
  </w:num>
  <w:num w:numId="4">
    <w:abstractNumId w:val="18"/>
  </w:num>
  <w:num w:numId="5">
    <w:abstractNumId w:val="0"/>
  </w:num>
  <w:num w:numId="6">
    <w:abstractNumId w:val="19"/>
  </w:num>
  <w:num w:numId="7">
    <w:abstractNumId w:val="11"/>
  </w:num>
  <w:num w:numId="8">
    <w:abstractNumId w:val="7"/>
  </w:num>
  <w:num w:numId="9">
    <w:abstractNumId w:val="14"/>
  </w:num>
  <w:num w:numId="10">
    <w:abstractNumId w:val="12"/>
  </w:num>
  <w:num w:numId="11">
    <w:abstractNumId w:val="16"/>
  </w:num>
  <w:num w:numId="12">
    <w:abstractNumId w:val="3"/>
  </w:num>
  <w:num w:numId="13">
    <w:abstractNumId w:val="25"/>
  </w:num>
  <w:num w:numId="14">
    <w:abstractNumId w:val="9"/>
  </w:num>
  <w:num w:numId="15">
    <w:abstractNumId w:val="27"/>
  </w:num>
  <w:num w:numId="16">
    <w:abstractNumId w:val="4"/>
  </w:num>
  <w:num w:numId="17">
    <w:abstractNumId w:val="20"/>
  </w:num>
  <w:num w:numId="18">
    <w:abstractNumId w:val="15"/>
  </w:num>
  <w:num w:numId="19">
    <w:abstractNumId w:val="24"/>
  </w:num>
  <w:num w:numId="20">
    <w:abstractNumId w:val="6"/>
  </w:num>
  <w:num w:numId="21">
    <w:abstractNumId w:val="13"/>
  </w:num>
  <w:num w:numId="22">
    <w:abstractNumId w:val="1"/>
  </w:num>
  <w:num w:numId="23">
    <w:abstractNumId w:val="17"/>
  </w:num>
  <w:num w:numId="24">
    <w:abstractNumId w:val="10"/>
  </w:num>
  <w:num w:numId="25">
    <w:abstractNumId w:val="22"/>
  </w:num>
  <w:num w:numId="26">
    <w:abstractNumId w:val="21"/>
  </w:num>
  <w:num w:numId="27">
    <w:abstractNumId w:val="2"/>
  </w:num>
  <w:num w:numId="2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0CF"/>
    <w:rsid w:val="00003729"/>
    <w:rsid w:val="000046CB"/>
    <w:rsid w:val="00004D38"/>
    <w:rsid w:val="000129BA"/>
    <w:rsid w:val="00024350"/>
    <w:rsid w:val="000273DC"/>
    <w:rsid w:val="00032845"/>
    <w:rsid w:val="00033172"/>
    <w:rsid w:val="00034B5A"/>
    <w:rsid w:val="000353C4"/>
    <w:rsid w:val="0003738E"/>
    <w:rsid w:val="0004048A"/>
    <w:rsid w:val="00041296"/>
    <w:rsid w:val="00047D40"/>
    <w:rsid w:val="0005355B"/>
    <w:rsid w:val="00053AE5"/>
    <w:rsid w:val="00053FE8"/>
    <w:rsid w:val="000565BE"/>
    <w:rsid w:val="00060014"/>
    <w:rsid w:val="00065194"/>
    <w:rsid w:val="00066740"/>
    <w:rsid w:val="0007045A"/>
    <w:rsid w:val="00077E49"/>
    <w:rsid w:val="0008411F"/>
    <w:rsid w:val="000921D9"/>
    <w:rsid w:val="00093B24"/>
    <w:rsid w:val="00096C23"/>
    <w:rsid w:val="00097A3E"/>
    <w:rsid w:val="000A1AD7"/>
    <w:rsid w:val="000A4789"/>
    <w:rsid w:val="000A4BCE"/>
    <w:rsid w:val="000A5912"/>
    <w:rsid w:val="000A7995"/>
    <w:rsid w:val="000B117D"/>
    <w:rsid w:val="000E06B0"/>
    <w:rsid w:val="000E33FA"/>
    <w:rsid w:val="000E5260"/>
    <w:rsid w:val="000E57CC"/>
    <w:rsid w:val="000E5C59"/>
    <w:rsid w:val="000E7024"/>
    <w:rsid w:val="000F0979"/>
    <w:rsid w:val="000F444F"/>
    <w:rsid w:val="000F5210"/>
    <w:rsid w:val="000F6198"/>
    <w:rsid w:val="000F6CB8"/>
    <w:rsid w:val="0010779D"/>
    <w:rsid w:val="001144AC"/>
    <w:rsid w:val="00123BD6"/>
    <w:rsid w:val="0013438C"/>
    <w:rsid w:val="0013718E"/>
    <w:rsid w:val="0014082F"/>
    <w:rsid w:val="001458F2"/>
    <w:rsid w:val="0015122C"/>
    <w:rsid w:val="0015264E"/>
    <w:rsid w:val="00153E2F"/>
    <w:rsid w:val="001613D1"/>
    <w:rsid w:val="00167074"/>
    <w:rsid w:val="00182937"/>
    <w:rsid w:val="00183C64"/>
    <w:rsid w:val="0018767A"/>
    <w:rsid w:val="001923EB"/>
    <w:rsid w:val="0019350C"/>
    <w:rsid w:val="00194A06"/>
    <w:rsid w:val="00197D84"/>
    <w:rsid w:val="001A006C"/>
    <w:rsid w:val="001A0B39"/>
    <w:rsid w:val="001A36C8"/>
    <w:rsid w:val="001A5A08"/>
    <w:rsid w:val="001A7E17"/>
    <w:rsid w:val="001B2A90"/>
    <w:rsid w:val="001C0D2D"/>
    <w:rsid w:val="001C549A"/>
    <w:rsid w:val="001D225D"/>
    <w:rsid w:val="001E371C"/>
    <w:rsid w:val="001E46EB"/>
    <w:rsid w:val="001F266D"/>
    <w:rsid w:val="001F2EE7"/>
    <w:rsid w:val="001F71FD"/>
    <w:rsid w:val="002013B2"/>
    <w:rsid w:val="00214C40"/>
    <w:rsid w:val="00217963"/>
    <w:rsid w:val="002240BA"/>
    <w:rsid w:val="002267C7"/>
    <w:rsid w:val="00230C72"/>
    <w:rsid w:val="0023188A"/>
    <w:rsid w:val="00233CC6"/>
    <w:rsid w:val="0023419E"/>
    <w:rsid w:val="0023487D"/>
    <w:rsid w:val="00245F40"/>
    <w:rsid w:val="0025448B"/>
    <w:rsid w:val="00256D21"/>
    <w:rsid w:val="00264041"/>
    <w:rsid w:val="002642A1"/>
    <w:rsid w:val="00266A05"/>
    <w:rsid w:val="00267441"/>
    <w:rsid w:val="002734CA"/>
    <w:rsid w:val="00274B7B"/>
    <w:rsid w:val="00283296"/>
    <w:rsid w:val="00290A55"/>
    <w:rsid w:val="00292F56"/>
    <w:rsid w:val="00297F0C"/>
    <w:rsid w:val="002A28B2"/>
    <w:rsid w:val="002B473C"/>
    <w:rsid w:val="002B6EB5"/>
    <w:rsid w:val="002C164F"/>
    <w:rsid w:val="002D10BA"/>
    <w:rsid w:val="002D5272"/>
    <w:rsid w:val="002D6006"/>
    <w:rsid w:val="002E07B1"/>
    <w:rsid w:val="002E119C"/>
    <w:rsid w:val="002E454F"/>
    <w:rsid w:val="002F0BB5"/>
    <w:rsid w:val="002F3A02"/>
    <w:rsid w:val="002F4CD3"/>
    <w:rsid w:val="002F6239"/>
    <w:rsid w:val="003065C1"/>
    <w:rsid w:val="00323950"/>
    <w:rsid w:val="00325EAB"/>
    <w:rsid w:val="0033023B"/>
    <w:rsid w:val="0033114F"/>
    <w:rsid w:val="00334D9A"/>
    <w:rsid w:val="003352DA"/>
    <w:rsid w:val="00337640"/>
    <w:rsid w:val="0033792C"/>
    <w:rsid w:val="00337CA7"/>
    <w:rsid w:val="00340B5A"/>
    <w:rsid w:val="00342FC0"/>
    <w:rsid w:val="00346EF9"/>
    <w:rsid w:val="0035610A"/>
    <w:rsid w:val="00363253"/>
    <w:rsid w:val="00364D22"/>
    <w:rsid w:val="0037059E"/>
    <w:rsid w:val="003734FB"/>
    <w:rsid w:val="003756AE"/>
    <w:rsid w:val="00375942"/>
    <w:rsid w:val="00384B38"/>
    <w:rsid w:val="00385BB4"/>
    <w:rsid w:val="00387174"/>
    <w:rsid w:val="003904BC"/>
    <w:rsid w:val="0039142F"/>
    <w:rsid w:val="00392018"/>
    <w:rsid w:val="00392159"/>
    <w:rsid w:val="003978CA"/>
    <w:rsid w:val="003A2042"/>
    <w:rsid w:val="003A40BC"/>
    <w:rsid w:val="003A4190"/>
    <w:rsid w:val="003B0C03"/>
    <w:rsid w:val="003B2A19"/>
    <w:rsid w:val="003B47DE"/>
    <w:rsid w:val="003B7161"/>
    <w:rsid w:val="003C19C3"/>
    <w:rsid w:val="003C34B6"/>
    <w:rsid w:val="003C5D6B"/>
    <w:rsid w:val="003E56C4"/>
    <w:rsid w:val="003E6FC1"/>
    <w:rsid w:val="003F4ED4"/>
    <w:rsid w:val="00410DCA"/>
    <w:rsid w:val="00412F05"/>
    <w:rsid w:val="004150D2"/>
    <w:rsid w:val="004169B7"/>
    <w:rsid w:val="004229C1"/>
    <w:rsid w:val="0042699C"/>
    <w:rsid w:val="004306B0"/>
    <w:rsid w:val="00441189"/>
    <w:rsid w:val="00446495"/>
    <w:rsid w:val="0045384C"/>
    <w:rsid w:val="0045394E"/>
    <w:rsid w:val="00456356"/>
    <w:rsid w:val="004600FE"/>
    <w:rsid w:val="004608D6"/>
    <w:rsid w:val="0046140F"/>
    <w:rsid w:val="004649A2"/>
    <w:rsid w:val="00465CC2"/>
    <w:rsid w:val="004660EB"/>
    <w:rsid w:val="00466CEF"/>
    <w:rsid w:val="004756CA"/>
    <w:rsid w:val="00477483"/>
    <w:rsid w:val="0048558F"/>
    <w:rsid w:val="00487E8A"/>
    <w:rsid w:val="0049011D"/>
    <w:rsid w:val="004933B4"/>
    <w:rsid w:val="004937C3"/>
    <w:rsid w:val="0049610B"/>
    <w:rsid w:val="004A2356"/>
    <w:rsid w:val="004A2DFC"/>
    <w:rsid w:val="004A3862"/>
    <w:rsid w:val="004A63B7"/>
    <w:rsid w:val="004B0E3E"/>
    <w:rsid w:val="004C5912"/>
    <w:rsid w:val="004D48F0"/>
    <w:rsid w:val="004D56BB"/>
    <w:rsid w:val="004D62D3"/>
    <w:rsid w:val="004E7D02"/>
    <w:rsid w:val="004F21C4"/>
    <w:rsid w:val="004F23C3"/>
    <w:rsid w:val="004F7B32"/>
    <w:rsid w:val="00500A44"/>
    <w:rsid w:val="00507246"/>
    <w:rsid w:val="00512C6C"/>
    <w:rsid w:val="005133CB"/>
    <w:rsid w:val="005145DF"/>
    <w:rsid w:val="0051671E"/>
    <w:rsid w:val="00516EC0"/>
    <w:rsid w:val="00521FBA"/>
    <w:rsid w:val="00525893"/>
    <w:rsid w:val="00526431"/>
    <w:rsid w:val="00527041"/>
    <w:rsid w:val="00527070"/>
    <w:rsid w:val="005316B7"/>
    <w:rsid w:val="00532DDA"/>
    <w:rsid w:val="00533597"/>
    <w:rsid w:val="00540DB2"/>
    <w:rsid w:val="005604D8"/>
    <w:rsid w:val="005767E4"/>
    <w:rsid w:val="005810A5"/>
    <w:rsid w:val="00581411"/>
    <w:rsid w:val="00582CF7"/>
    <w:rsid w:val="00585751"/>
    <w:rsid w:val="00593989"/>
    <w:rsid w:val="0059499A"/>
    <w:rsid w:val="005960BB"/>
    <w:rsid w:val="005A0BA1"/>
    <w:rsid w:val="005B015D"/>
    <w:rsid w:val="005B4D6D"/>
    <w:rsid w:val="005C053A"/>
    <w:rsid w:val="005C0FE9"/>
    <w:rsid w:val="005C37B9"/>
    <w:rsid w:val="005C786B"/>
    <w:rsid w:val="005D106C"/>
    <w:rsid w:val="005D214C"/>
    <w:rsid w:val="005E2616"/>
    <w:rsid w:val="005E276A"/>
    <w:rsid w:val="005F1DB5"/>
    <w:rsid w:val="005F7A2D"/>
    <w:rsid w:val="00601A48"/>
    <w:rsid w:val="00604DE0"/>
    <w:rsid w:val="0060679C"/>
    <w:rsid w:val="00612515"/>
    <w:rsid w:val="00613913"/>
    <w:rsid w:val="006141FF"/>
    <w:rsid w:val="0062168F"/>
    <w:rsid w:val="00622458"/>
    <w:rsid w:val="0062496B"/>
    <w:rsid w:val="00625907"/>
    <w:rsid w:val="00625C12"/>
    <w:rsid w:val="00636742"/>
    <w:rsid w:val="006444B6"/>
    <w:rsid w:val="00652BEC"/>
    <w:rsid w:val="0065717A"/>
    <w:rsid w:val="0066286F"/>
    <w:rsid w:val="0066381C"/>
    <w:rsid w:val="00670D13"/>
    <w:rsid w:val="00674949"/>
    <w:rsid w:val="0068561C"/>
    <w:rsid w:val="006873C1"/>
    <w:rsid w:val="00694524"/>
    <w:rsid w:val="0069646E"/>
    <w:rsid w:val="006A22D8"/>
    <w:rsid w:val="006A289F"/>
    <w:rsid w:val="006A39AE"/>
    <w:rsid w:val="006A7119"/>
    <w:rsid w:val="006B1F77"/>
    <w:rsid w:val="006B212B"/>
    <w:rsid w:val="006B27AD"/>
    <w:rsid w:val="006B70AC"/>
    <w:rsid w:val="006C7AC8"/>
    <w:rsid w:val="006D2A18"/>
    <w:rsid w:val="006D3BF8"/>
    <w:rsid w:val="006D4004"/>
    <w:rsid w:val="006D4793"/>
    <w:rsid w:val="006D5E8C"/>
    <w:rsid w:val="006E0137"/>
    <w:rsid w:val="006E34CD"/>
    <w:rsid w:val="006F3F79"/>
    <w:rsid w:val="006F575B"/>
    <w:rsid w:val="007035CD"/>
    <w:rsid w:val="007052DC"/>
    <w:rsid w:val="00707ED8"/>
    <w:rsid w:val="00710A1B"/>
    <w:rsid w:val="007130D8"/>
    <w:rsid w:val="00714619"/>
    <w:rsid w:val="0071601C"/>
    <w:rsid w:val="0071677E"/>
    <w:rsid w:val="0072550A"/>
    <w:rsid w:val="007327CC"/>
    <w:rsid w:val="00736F78"/>
    <w:rsid w:val="00740FD2"/>
    <w:rsid w:val="00741714"/>
    <w:rsid w:val="00751A1C"/>
    <w:rsid w:val="00757C34"/>
    <w:rsid w:val="00757EDF"/>
    <w:rsid w:val="00762950"/>
    <w:rsid w:val="007735BE"/>
    <w:rsid w:val="00775ABA"/>
    <w:rsid w:val="00776846"/>
    <w:rsid w:val="00783C54"/>
    <w:rsid w:val="007920E8"/>
    <w:rsid w:val="007A7EA6"/>
    <w:rsid w:val="007B1D9C"/>
    <w:rsid w:val="007B30CF"/>
    <w:rsid w:val="007B7A36"/>
    <w:rsid w:val="007C070F"/>
    <w:rsid w:val="007C12C0"/>
    <w:rsid w:val="007C15B1"/>
    <w:rsid w:val="007C3B66"/>
    <w:rsid w:val="007D43F6"/>
    <w:rsid w:val="007D4A22"/>
    <w:rsid w:val="007E64F8"/>
    <w:rsid w:val="007E6D99"/>
    <w:rsid w:val="007F09F3"/>
    <w:rsid w:val="007F5507"/>
    <w:rsid w:val="00801879"/>
    <w:rsid w:val="00804174"/>
    <w:rsid w:val="0081105F"/>
    <w:rsid w:val="00815F35"/>
    <w:rsid w:val="008272F0"/>
    <w:rsid w:val="00832704"/>
    <w:rsid w:val="00833420"/>
    <w:rsid w:val="008341C0"/>
    <w:rsid w:val="0083698A"/>
    <w:rsid w:val="008473E5"/>
    <w:rsid w:val="00847927"/>
    <w:rsid w:val="00850A59"/>
    <w:rsid w:val="00854858"/>
    <w:rsid w:val="00861D55"/>
    <w:rsid w:val="00867BCB"/>
    <w:rsid w:val="00871826"/>
    <w:rsid w:val="00873F8A"/>
    <w:rsid w:val="00874D75"/>
    <w:rsid w:val="00875A69"/>
    <w:rsid w:val="008A3368"/>
    <w:rsid w:val="008A5A6E"/>
    <w:rsid w:val="008B0145"/>
    <w:rsid w:val="008B08A1"/>
    <w:rsid w:val="008B0D57"/>
    <w:rsid w:val="008B4EAF"/>
    <w:rsid w:val="008C41D6"/>
    <w:rsid w:val="008C50F1"/>
    <w:rsid w:val="008C5B92"/>
    <w:rsid w:val="008C767D"/>
    <w:rsid w:val="008D7D69"/>
    <w:rsid w:val="008E0CB4"/>
    <w:rsid w:val="008E2EFF"/>
    <w:rsid w:val="008E6029"/>
    <w:rsid w:val="008E7F31"/>
    <w:rsid w:val="00903E13"/>
    <w:rsid w:val="0091003D"/>
    <w:rsid w:val="00915DE9"/>
    <w:rsid w:val="009206E2"/>
    <w:rsid w:val="00924376"/>
    <w:rsid w:val="00927D57"/>
    <w:rsid w:val="00943304"/>
    <w:rsid w:val="009508FC"/>
    <w:rsid w:val="00955542"/>
    <w:rsid w:val="00955E66"/>
    <w:rsid w:val="00955FBA"/>
    <w:rsid w:val="009574F3"/>
    <w:rsid w:val="00961325"/>
    <w:rsid w:val="0097060A"/>
    <w:rsid w:val="009706E8"/>
    <w:rsid w:val="00971164"/>
    <w:rsid w:val="00985506"/>
    <w:rsid w:val="00994A34"/>
    <w:rsid w:val="00995DA2"/>
    <w:rsid w:val="009D4317"/>
    <w:rsid w:val="009E41F3"/>
    <w:rsid w:val="009F34AC"/>
    <w:rsid w:val="009F43FE"/>
    <w:rsid w:val="009F4E9D"/>
    <w:rsid w:val="009F7852"/>
    <w:rsid w:val="00A00F40"/>
    <w:rsid w:val="00A135B8"/>
    <w:rsid w:val="00A165D1"/>
    <w:rsid w:val="00A35831"/>
    <w:rsid w:val="00A35C32"/>
    <w:rsid w:val="00A37148"/>
    <w:rsid w:val="00A402DF"/>
    <w:rsid w:val="00A4309D"/>
    <w:rsid w:val="00A528BB"/>
    <w:rsid w:val="00A53567"/>
    <w:rsid w:val="00A578A4"/>
    <w:rsid w:val="00A6002B"/>
    <w:rsid w:val="00A6026A"/>
    <w:rsid w:val="00A65B31"/>
    <w:rsid w:val="00A70042"/>
    <w:rsid w:val="00A72225"/>
    <w:rsid w:val="00A72A22"/>
    <w:rsid w:val="00A8696C"/>
    <w:rsid w:val="00A94CCA"/>
    <w:rsid w:val="00AA1C85"/>
    <w:rsid w:val="00AB250A"/>
    <w:rsid w:val="00AC0984"/>
    <w:rsid w:val="00AD4813"/>
    <w:rsid w:val="00AE020F"/>
    <w:rsid w:val="00AE47E8"/>
    <w:rsid w:val="00AE5FE2"/>
    <w:rsid w:val="00AF2BA0"/>
    <w:rsid w:val="00AF6DE0"/>
    <w:rsid w:val="00B00BA9"/>
    <w:rsid w:val="00B035BA"/>
    <w:rsid w:val="00B0495E"/>
    <w:rsid w:val="00B13D79"/>
    <w:rsid w:val="00B15CBE"/>
    <w:rsid w:val="00B16FB1"/>
    <w:rsid w:val="00B202AD"/>
    <w:rsid w:val="00B234E8"/>
    <w:rsid w:val="00B26D20"/>
    <w:rsid w:val="00B315FC"/>
    <w:rsid w:val="00B40250"/>
    <w:rsid w:val="00B40827"/>
    <w:rsid w:val="00B4332C"/>
    <w:rsid w:val="00B4585D"/>
    <w:rsid w:val="00B517A9"/>
    <w:rsid w:val="00B51F31"/>
    <w:rsid w:val="00B63DB7"/>
    <w:rsid w:val="00B66568"/>
    <w:rsid w:val="00B73EDF"/>
    <w:rsid w:val="00B75318"/>
    <w:rsid w:val="00B813B0"/>
    <w:rsid w:val="00B82466"/>
    <w:rsid w:val="00B925EE"/>
    <w:rsid w:val="00B92A42"/>
    <w:rsid w:val="00B950A9"/>
    <w:rsid w:val="00BA1D57"/>
    <w:rsid w:val="00BA3D84"/>
    <w:rsid w:val="00BA7CC4"/>
    <w:rsid w:val="00BB00FD"/>
    <w:rsid w:val="00BB095E"/>
    <w:rsid w:val="00BB0E6D"/>
    <w:rsid w:val="00BB17AC"/>
    <w:rsid w:val="00BB4127"/>
    <w:rsid w:val="00BB528D"/>
    <w:rsid w:val="00BB6399"/>
    <w:rsid w:val="00BB7ED6"/>
    <w:rsid w:val="00BC1AD9"/>
    <w:rsid w:val="00BC44DF"/>
    <w:rsid w:val="00BD137C"/>
    <w:rsid w:val="00BD7941"/>
    <w:rsid w:val="00BE00D6"/>
    <w:rsid w:val="00BE2677"/>
    <w:rsid w:val="00BE2948"/>
    <w:rsid w:val="00BE4EA9"/>
    <w:rsid w:val="00BE57E6"/>
    <w:rsid w:val="00C03D33"/>
    <w:rsid w:val="00C04902"/>
    <w:rsid w:val="00C05B69"/>
    <w:rsid w:val="00C17D0D"/>
    <w:rsid w:val="00C2012B"/>
    <w:rsid w:val="00C22C7E"/>
    <w:rsid w:val="00C23127"/>
    <w:rsid w:val="00C24E45"/>
    <w:rsid w:val="00C3100A"/>
    <w:rsid w:val="00C32E0C"/>
    <w:rsid w:val="00C35916"/>
    <w:rsid w:val="00C45AB6"/>
    <w:rsid w:val="00C51AA3"/>
    <w:rsid w:val="00C53261"/>
    <w:rsid w:val="00C62599"/>
    <w:rsid w:val="00C63885"/>
    <w:rsid w:val="00C654C7"/>
    <w:rsid w:val="00C8023E"/>
    <w:rsid w:val="00C87FD7"/>
    <w:rsid w:val="00C95816"/>
    <w:rsid w:val="00CA1B67"/>
    <w:rsid w:val="00CA28A3"/>
    <w:rsid w:val="00CA5770"/>
    <w:rsid w:val="00CB031F"/>
    <w:rsid w:val="00CB4C6B"/>
    <w:rsid w:val="00CC62EB"/>
    <w:rsid w:val="00CD3BE5"/>
    <w:rsid w:val="00CD3BF3"/>
    <w:rsid w:val="00CD552D"/>
    <w:rsid w:val="00CD6BDC"/>
    <w:rsid w:val="00CE7257"/>
    <w:rsid w:val="00CF7423"/>
    <w:rsid w:val="00D1463E"/>
    <w:rsid w:val="00D16341"/>
    <w:rsid w:val="00D16385"/>
    <w:rsid w:val="00D519A8"/>
    <w:rsid w:val="00D54004"/>
    <w:rsid w:val="00D55E10"/>
    <w:rsid w:val="00D565EF"/>
    <w:rsid w:val="00D56EEF"/>
    <w:rsid w:val="00D67ED4"/>
    <w:rsid w:val="00D82537"/>
    <w:rsid w:val="00D91825"/>
    <w:rsid w:val="00D946CB"/>
    <w:rsid w:val="00DA113A"/>
    <w:rsid w:val="00DA1173"/>
    <w:rsid w:val="00DB29CD"/>
    <w:rsid w:val="00DC105A"/>
    <w:rsid w:val="00DC7F29"/>
    <w:rsid w:val="00DE4869"/>
    <w:rsid w:val="00DF06C4"/>
    <w:rsid w:val="00DF3A41"/>
    <w:rsid w:val="00DF61B4"/>
    <w:rsid w:val="00E00A0B"/>
    <w:rsid w:val="00E01AC9"/>
    <w:rsid w:val="00E058E2"/>
    <w:rsid w:val="00E06D1C"/>
    <w:rsid w:val="00E10523"/>
    <w:rsid w:val="00E1415D"/>
    <w:rsid w:val="00E1792D"/>
    <w:rsid w:val="00E2238F"/>
    <w:rsid w:val="00E236E0"/>
    <w:rsid w:val="00E240E4"/>
    <w:rsid w:val="00E259A8"/>
    <w:rsid w:val="00E31A02"/>
    <w:rsid w:val="00E31E11"/>
    <w:rsid w:val="00E35E4E"/>
    <w:rsid w:val="00E40143"/>
    <w:rsid w:val="00E459BF"/>
    <w:rsid w:val="00E47CAA"/>
    <w:rsid w:val="00E55EA2"/>
    <w:rsid w:val="00E57031"/>
    <w:rsid w:val="00E57121"/>
    <w:rsid w:val="00E61948"/>
    <w:rsid w:val="00E622C7"/>
    <w:rsid w:val="00E63C42"/>
    <w:rsid w:val="00E67568"/>
    <w:rsid w:val="00E71ED4"/>
    <w:rsid w:val="00E72390"/>
    <w:rsid w:val="00E72F31"/>
    <w:rsid w:val="00E76425"/>
    <w:rsid w:val="00E766AE"/>
    <w:rsid w:val="00E7682A"/>
    <w:rsid w:val="00E76B5F"/>
    <w:rsid w:val="00E77D26"/>
    <w:rsid w:val="00E77F6C"/>
    <w:rsid w:val="00E8345F"/>
    <w:rsid w:val="00E87B17"/>
    <w:rsid w:val="00E933C5"/>
    <w:rsid w:val="00E93436"/>
    <w:rsid w:val="00E96382"/>
    <w:rsid w:val="00E96899"/>
    <w:rsid w:val="00EA0824"/>
    <w:rsid w:val="00EA41A4"/>
    <w:rsid w:val="00EA63FC"/>
    <w:rsid w:val="00EB0082"/>
    <w:rsid w:val="00EB10ED"/>
    <w:rsid w:val="00EB6EA3"/>
    <w:rsid w:val="00EB7595"/>
    <w:rsid w:val="00EC6371"/>
    <w:rsid w:val="00EC6728"/>
    <w:rsid w:val="00ED0FA2"/>
    <w:rsid w:val="00ED1DDD"/>
    <w:rsid w:val="00ED3265"/>
    <w:rsid w:val="00ED4595"/>
    <w:rsid w:val="00ED4CF4"/>
    <w:rsid w:val="00ED75CE"/>
    <w:rsid w:val="00ED7F9F"/>
    <w:rsid w:val="00EE0D95"/>
    <w:rsid w:val="00EE3A70"/>
    <w:rsid w:val="00EE466B"/>
    <w:rsid w:val="00EF0324"/>
    <w:rsid w:val="00EF4543"/>
    <w:rsid w:val="00EF5FAB"/>
    <w:rsid w:val="00F00EF5"/>
    <w:rsid w:val="00F04D7C"/>
    <w:rsid w:val="00F050F1"/>
    <w:rsid w:val="00F14B3E"/>
    <w:rsid w:val="00F15E8F"/>
    <w:rsid w:val="00F24BC4"/>
    <w:rsid w:val="00F26466"/>
    <w:rsid w:val="00F26C06"/>
    <w:rsid w:val="00F31F15"/>
    <w:rsid w:val="00F3202B"/>
    <w:rsid w:val="00F4299E"/>
    <w:rsid w:val="00F4656E"/>
    <w:rsid w:val="00F561EB"/>
    <w:rsid w:val="00F57D13"/>
    <w:rsid w:val="00F62760"/>
    <w:rsid w:val="00F73810"/>
    <w:rsid w:val="00F75344"/>
    <w:rsid w:val="00F7585B"/>
    <w:rsid w:val="00F778AB"/>
    <w:rsid w:val="00F81528"/>
    <w:rsid w:val="00F84F7A"/>
    <w:rsid w:val="00F95488"/>
    <w:rsid w:val="00F954A1"/>
    <w:rsid w:val="00FA6524"/>
    <w:rsid w:val="00FA7C79"/>
    <w:rsid w:val="00FB1AB0"/>
    <w:rsid w:val="00FB3A51"/>
    <w:rsid w:val="00FC3592"/>
    <w:rsid w:val="00FC7EB2"/>
    <w:rsid w:val="00FD1E32"/>
    <w:rsid w:val="00FD58A6"/>
    <w:rsid w:val="00FE0FC5"/>
    <w:rsid w:val="00FE59F7"/>
    <w:rsid w:val="00FE5F05"/>
    <w:rsid w:val="00FE64F7"/>
    <w:rsid w:val="00FE6F12"/>
    <w:rsid w:val="00FE7A64"/>
    <w:rsid w:val="00FF42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BAE57"/>
  <w15:chartTrackingRefBased/>
  <w15:docId w15:val="{A5183ADE-9E63-4D71-AFD6-674E5E2AD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50A"/>
    <w:pPr>
      <w:spacing w:after="200" w:line="276" w:lineRule="auto"/>
    </w:pPr>
  </w:style>
  <w:style w:type="paragraph" w:styleId="Heading1">
    <w:name w:val="heading 1"/>
    <w:aliases w:val="Heading 1 Cab"/>
    <w:next w:val="BodyText"/>
    <w:link w:val="Heading1Char"/>
    <w:uiPriority w:val="9"/>
    <w:qFormat/>
    <w:rsid w:val="00D946CB"/>
    <w:pPr>
      <w:keepNext/>
      <w:keepLines/>
      <w:numPr>
        <w:numId w:val="1"/>
      </w:numPr>
      <w:tabs>
        <w:tab w:val="left" w:pos="567"/>
      </w:tabs>
      <w:spacing w:before="240" w:after="200" w:line="240" w:lineRule="auto"/>
      <w:outlineLvl w:val="0"/>
    </w:pPr>
    <w:rPr>
      <w:rFonts w:ascii="Arial" w:eastAsiaTheme="majorEastAsia" w:hAnsi="Arial" w:cstheme="majorBidi"/>
      <w:b/>
      <w:bCs/>
      <w:color w:val="003865"/>
      <w:sz w:val="32"/>
      <w:szCs w:val="28"/>
    </w:rPr>
  </w:style>
  <w:style w:type="paragraph" w:styleId="Heading2">
    <w:name w:val="heading 2"/>
    <w:basedOn w:val="Normal"/>
    <w:next w:val="Normal"/>
    <w:link w:val="Heading2Char"/>
    <w:uiPriority w:val="9"/>
    <w:unhideWhenUsed/>
    <w:qFormat/>
    <w:rsid w:val="00F84F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6381C"/>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6381C"/>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6381C"/>
    <w:pPr>
      <w:keepNext/>
      <w:keepLines/>
      <w:spacing w:before="40" w:after="0" w:line="259" w:lineRule="auto"/>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AB - List Bullet,1 heading,Bullet List,Bullet point,Dot point 1.5 line spacing,FooterText,L,List Paragraph - bullets,List Paragraph1,List Paragraph11,List Paragraph2,NFP GP Bulleted List,Paragraphe de liste1,Recommendation,numbered,列出段落"/>
    <w:basedOn w:val="Normal"/>
    <w:link w:val="ListParagraphChar"/>
    <w:uiPriority w:val="34"/>
    <w:qFormat/>
    <w:rsid w:val="00740FD2"/>
    <w:pPr>
      <w:ind w:left="720"/>
      <w:contextualSpacing/>
    </w:pPr>
  </w:style>
  <w:style w:type="character" w:customStyle="1" w:styleId="Heading2Char">
    <w:name w:val="Heading 2 Char"/>
    <w:basedOn w:val="DefaultParagraphFont"/>
    <w:link w:val="Heading2"/>
    <w:uiPriority w:val="9"/>
    <w:rsid w:val="00F84F7A"/>
    <w:rPr>
      <w:rFonts w:asciiTheme="majorHAnsi" w:eastAsiaTheme="majorEastAsia" w:hAnsiTheme="majorHAnsi" w:cstheme="majorBidi"/>
      <w:color w:val="2E74B5" w:themeColor="accent1" w:themeShade="BF"/>
      <w:sz w:val="26"/>
      <w:szCs w:val="26"/>
    </w:rPr>
  </w:style>
  <w:style w:type="character" w:customStyle="1" w:styleId="Heading1Char">
    <w:name w:val="Heading 1 Char"/>
    <w:aliases w:val="Heading 1 Cab Char"/>
    <w:basedOn w:val="DefaultParagraphFont"/>
    <w:link w:val="Heading1"/>
    <w:uiPriority w:val="9"/>
    <w:rsid w:val="00D946CB"/>
    <w:rPr>
      <w:rFonts w:ascii="Arial" w:eastAsiaTheme="majorEastAsia" w:hAnsi="Arial" w:cstheme="majorBidi"/>
      <w:b/>
      <w:bCs/>
      <w:color w:val="003865"/>
      <w:sz w:val="32"/>
      <w:szCs w:val="28"/>
    </w:rPr>
  </w:style>
  <w:style w:type="paragraph" w:customStyle="1" w:styleId="CAB-NumberedParagraph">
    <w:name w:val="CAB - Numbered Paragraph"/>
    <w:basedOn w:val="Normal"/>
    <w:uiPriority w:val="98"/>
    <w:rsid w:val="00D946CB"/>
    <w:pPr>
      <w:numPr>
        <w:ilvl w:val="1"/>
        <w:numId w:val="1"/>
      </w:numPr>
      <w:spacing w:before="120" w:after="120" w:line="240" w:lineRule="auto"/>
    </w:pPr>
    <w:rPr>
      <w:rFonts w:ascii="Arial" w:hAnsi="Arial"/>
    </w:rPr>
  </w:style>
  <w:style w:type="paragraph" w:styleId="BodyText">
    <w:name w:val="Body Text"/>
    <w:basedOn w:val="Normal"/>
    <w:link w:val="BodyTextChar"/>
    <w:uiPriority w:val="99"/>
    <w:unhideWhenUsed/>
    <w:rsid w:val="00D946CB"/>
    <w:pPr>
      <w:spacing w:after="120"/>
    </w:pPr>
  </w:style>
  <w:style w:type="character" w:customStyle="1" w:styleId="BodyTextChar">
    <w:name w:val="Body Text Char"/>
    <w:basedOn w:val="DefaultParagraphFont"/>
    <w:link w:val="BodyText"/>
    <w:uiPriority w:val="99"/>
    <w:rsid w:val="00D946CB"/>
  </w:style>
  <w:style w:type="paragraph" w:customStyle="1" w:styleId="PlainParagraph">
    <w:name w:val="Plain Paragraph"/>
    <w:aliases w:val="PP"/>
    <w:basedOn w:val="Normal"/>
    <w:link w:val="PlainParagraphChar"/>
    <w:qFormat/>
    <w:rsid w:val="000A5912"/>
    <w:pPr>
      <w:spacing w:before="140" w:after="140" w:line="280" w:lineRule="atLeast"/>
    </w:pPr>
    <w:rPr>
      <w:rFonts w:ascii="Arial" w:eastAsia="Times New Roman" w:hAnsi="Arial" w:cs="Arial"/>
      <w:lang w:eastAsia="en-AU"/>
    </w:rPr>
  </w:style>
  <w:style w:type="character" w:customStyle="1" w:styleId="PlainParagraphChar">
    <w:name w:val="Plain Paragraph Char"/>
    <w:aliases w:val="PP Char"/>
    <w:basedOn w:val="DefaultParagraphFont"/>
    <w:link w:val="PlainParagraph"/>
    <w:rsid w:val="000A5912"/>
    <w:rPr>
      <w:rFonts w:ascii="Arial" w:eastAsia="Times New Roman" w:hAnsi="Arial" w:cs="Arial"/>
      <w:lang w:eastAsia="en-AU"/>
    </w:rPr>
  </w:style>
  <w:style w:type="paragraph" w:customStyle="1" w:styleId="NumberLevel1">
    <w:name w:val="Number Level 1"/>
    <w:aliases w:val="N1"/>
    <w:basedOn w:val="PlainParagraph"/>
    <w:uiPriority w:val="99"/>
    <w:qFormat/>
    <w:rsid w:val="00E058E2"/>
    <w:pPr>
      <w:numPr>
        <w:numId w:val="2"/>
      </w:numPr>
    </w:pPr>
  </w:style>
  <w:style w:type="paragraph" w:customStyle="1" w:styleId="NumberLevel2">
    <w:name w:val="Number Level 2"/>
    <w:aliases w:val="N2"/>
    <w:basedOn w:val="PlainParagraph"/>
    <w:uiPriority w:val="1"/>
    <w:qFormat/>
    <w:rsid w:val="00E058E2"/>
    <w:pPr>
      <w:numPr>
        <w:ilvl w:val="1"/>
        <w:numId w:val="2"/>
      </w:numPr>
    </w:pPr>
  </w:style>
  <w:style w:type="paragraph" w:customStyle="1" w:styleId="NumberLevel3">
    <w:name w:val="Number Level 3"/>
    <w:aliases w:val="N3"/>
    <w:basedOn w:val="PlainParagraph"/>
    <w:uiPriority w:val="1"/>
    <w:qFormat/>
    <w:rsid w:val="00E058E2"/>
    <w:pPr>
      <w:numPr>
        <w:ilvl w:val="2"/>
        <w:numId w:val="2"/>
      </w:numPr>
    </w:pPr>
  </w:style>
  <w:style w:type="paragraph" w:customStyle="1" w:styleId="NumberLevel4">
    <w:name w:val="Number Level 4"/>
    <w:aliases w:val="N4"/>
    <w:basedOn w:val="PlainParagraph"/>
    <w:uiPriority w:val="1"/>
    <w:qFormat/>
    <w:rsid w:val="00E058E2"/>
    <w:pPr>
      <w:numPr>
        <w:ilvl w:val="3"/>
        <w:numId w:val="2"/>
      </w:numPr>
      <w:spacing w:before="0"/>
    </w:pPr>
  </w:style>
  <w:style w:type="paragraph" w:customStyle="1" w:styleId="NumberLevel5">
    <w:name w:val="Number Level 5"/>
    <w:aliases w:val="N5"/>
    <w:basedOn w:val="PlainParagraph"/>
    <w:uiPriority w:val="1"/>
    <w:rsid w:val="00E058E2"/>
    <w:pPr>
      <w:numPr>
        <w:ilvl w:val="4"/>
        <w:numId w:val="2"/>
      </w:numPr>
      <w:spacing w:before="0"/>
    </w:pPr>
  </w:style>
  <w:style w:type="paragraph" w:customStyle="1" w:styleId="NumberLevel6">
    <w:name w:val="Number Level 6"/>
    <w:basedOn w:val="NumberLevel5"/>
    <w:uiPriority w:val="1"/>
    <w:rsid w:val="00E058E2"/>
    <w:pPr>
      <w:numPr>
        <w:ilvl w:val="5"/>
      </w:numPr>
    </w:pPr>
  </w:style>
  <w:style w:type="paragraph" w:customStyle="1" w:styleId="NumberLevel7">
    <w:name w:val="Number Level 7"/>
    <w:basedOn w:val="NumberLevel6"/>
    <w:uiPriority w:val="1"/>
    <w:rsid w:val="00E058E2"/>
    <w:pPr>
      <w:numPr>
        <w:ilvl w:val="6"/>
      </w:numPr>
    </w:pPr>
  </w:style>
  <w:style w:type="paragraph" w:customStyle="1" w:styleId="NumberLevel8">
    <w:name w:val="Number Level 8"/>
    <w:basedOn w:val="NumberLevel7"/>
    <w:uiPriority w:val="1"/>
    <w:rsid w:val="00E058E2"/>
    <w:pPr>
      <w:numPr>
        <w:ilvl w:val="7"/>
      </w:numPr>
    </w:pPr>
  </w:style>
  <w:style w:type="paragraph" w:customStyle="1" w:styleId="NumberLevel9">
    <w:name w:val="Number Level 9"/>
    <w:basedOn w:val="NumberLevel8"/>
    <w:uiPriority w:val="1"/>
    <w:rsid w:val="00E058E2"/>
    <w:pPr>
      <w:numPr>
        <w:ilvl w:val="8"/>
      </w:numPr>
    </w:pPr>
  </w:style>
  <w:style w:type="paragraph" w:customStyle="1" w:styleId="DashEm">
    <w:name w:val="Dash: Em"/>
    <w:basedOn w:val="PlainParagraph"/>
    <w:uiPriority w:val="3"/>
    <w:rsid w:val="00E058E2"/>
    <w:pPr>
      <w:numPr>
        <w:ilvl w:val="1"/>
        <w:numId w:val="3"/>
      </w:numPr>
      <w:spacing w:before="0"/>
    </w:pPr>
  </w:style>
  <w:style w:type="paragraph" w:customStyle="1" w:styleId="DashEm1">
    <w:name w:val="Dash: Em 1"/>
    <w:aliases w:val="-EM"/>
    <w:basedOn w:val="PlainParagraph"/>
    <w:uiPriority w:val="3"/>
    <w:rsid w:val="00E058E2"/>
    <w:pPr>
      <w:numPr>
        <w:numId w:val="3"/>
      </w:numPr>
      <w:spacing w:before="0"/>
    </w:pPr>
  </w:style>
  <w:style w:type="paragraph" w:customStyle="1" w:styleId="DashEn1">
    <w:name w:val="Dash: En 1"/>
    <w:aliases w:val="-EN"/>
    <w:basedOn w:val="DashEm"/>
    <w:link w:val="DashEn1Char"/>
    <w:uiPriority w:val="3"/>
    <w:qFormat/>
    <w:rsid w:val="00E058E2"/>
    <w:pPr>
      <w:numPr>
        <w:ilvl w:val="2"/>
      </w:numPr>
    </w:pPr>
  </w:style>
  <w:style w:type="paragraph" w:customStyle="1" w:styleId="DashEn2">
    <w:name w:val="Dash: En 2"/>
    <w:basedOn w:val="DashEn1"/>
    <w:uiPriority w:val="3"/>
    <w:rsid w:val="00E058E2"/>
    <w:pPr>
      <w:numPr>
        <w:ilvl w:val="3"/>
      </w:numPr>
      <w:tabs>
        <w:tab w:val="clear" w:pos="1276"/>
        <w:tab w:val="num" w:pos="360"/>
      </w:tabs>
    </w:pPr>
  </w:style>
  <w:style w:type="paragraph" w:customStyle="1" w:styleId="DashEn3">
    <w:name w:val="Dash: En 3"/>
    <w:basedOn w:val="DashEn2"/>
    <w:uiPriority w:val="3"/>
    <w:rsid w:val="00E058E2"/>
    <w:pPr>
      <w:numPr>
        <w:ilvl w:val="4"/>
      </w:numPr>
      <w:tabs>
        <w:tab w:val="clear" w:pos="1701"/>
        <w:tab w:val="num" w:pos="360"/>
      </w:tabs>
    </w:pPr>
  </w:style>
  <w:style w:type="paragraph" w:customStyle="1" w:styleId="DashEn4">
    <w:name w:val="Dash: En 4"/>
    <w:basedOn w:val="DashEn3"/>
    <w:uiPriority w:val="3"/>
    <w:rsid w:val="00E058E2"/>
    <w:pPr>
      <w:numPr>
        <w:ilvl w:val="5"/>
      </w:numPr>
      <w:tabs>
        <w:tab w:val="clear" w:pos="2126"/>
        <w:tab w:val="num" w:pos="360"/>
      </w:tabs>
    </w:pPr>
  </w:style>
  <w:style w:type="paragraph" w:customStyle="1" w:styleId="DashEn5">
    <w:name w:val="Dash: En 5"/>
    <w:basedOn w:val="DashEn4"/>
    <w:uiPriority w:val="3"/>
    <w:rsid w:val="00E058E2"/>
    <w:pPr>
      <w:numPr>
        <w:ilvl w:val="6"/>
      </w:numPr>
      <w:tabs>
        <w:tab w:val="clear" w:pos="2551"/>
        <w:tab w:val="num" w:pos="360"/>
      </w:tabs>
    </w:pPr>
  </w:style>
  <w:style w:type="paragraph" w:customStyle="1" w:styleId="DashEn6">
    <w:name w:val="Dash: En 6"/>
    <w:basedOn w:val="DashEn5"/>
    <w:uiPriority w:val="3"/>
    <w:rsid w:val="00E058E2"/>
    <w:pPr>
      <w:numPr>
        <w:ilvl w:val="7"/>
      </w:numPr>
      <w:tabs>
        <w:tab w:val="clear" w:pos="2976"/>
        <w:tab w:val="num" w:pos="360"/>
      </w:tabs>
    </w:pPr>
  </w:style>
  <w:style w:type="paragraph" w:customStyle="1" w:styleId="DashEn7">
    <w:name w:val="Dash: En 7"/>
    <w:basedOn w:val="DashEn6"/>
    <w:uiPriority w:val="3"/>
    <w:rsid w:val="00E058E2"/>
    <w:pPr>
      <w:numPr>
        <w:ilvl w:val="8"/>
      </w:numPr>
      <w:tabs>
        <w:tab w:val="clear" w:pos="3402"/>
        <w:tab w:val="num" w:pos="360"/>
      </w:tabs>
    </w:pPr>
  </w:style>
  <w:style w:type="character" w:customStyle="1" w:styleId="DashEn1Char">
    <w:name w:val="Dash: En 1 Char"/>
    <w:aliases w:val="-EN Char"/>
    <w:basedOn w:val="DefaultParagraphFont"/>
    <w:link w:val="DashEn1"/>
    <w:uiPriority w:val="3"/>
    <w:rsid w:val="00E058E2"/>
    <w:rPr>
      <w:rFonts w:ascii="Arial" w:eastAsia="Times New Roman" w:hAnsi="Arial" w:cs="Arial"/>
      <w:lang w:eastAsia="en-AU"/>
    </w:rPr>
  </w:style>
  <w:style w:type="character" w:styleId="CommentReference">
    <w:name w:val="annotation reference"/>
    <w:basedOn w:val="DefaultParagraphFont"/>
    <w:uiPriority w:val="99"/>
    <w:semiHidden/>
    <w:unhideWhenUsed/>
    <w:rsid w:val="00233CC6"/>
    <w:rPr>
      <w:sz w:val="16"/>
      <w:szCs w:val="16"/>
    </w:rPr>
  </w:style>
  <w:style w:type="paragraph" w:styleId="CommentText">
    <w:name w:val="annotation text"/>
    <w:basedOn w:val="Normal"/>
    <w:link w:val="CommentTextChar"/>
    <w:uiPriority w:val="99"/>
    <w:unhideWhenUsed/>
    <w:rsid w:val="00233CC6"/>
    <w:pPr>
      <w:spacing w:line="240" w:lineRule="auto"/>
    </w:pPr>
    <w:rPr>
      <w:sz w:val="20"/>
      <w:szCs w:val="20"/>
    </w:rPr>
  </w:style>
  <w:style w:type="character" w:customStyle="1" w:styleId="CommentTextChar">
    <w:name w:val="Comment Text Char"/>
    <w:basedOn w:val="DefaultParagraphFont"/>
    <w:link w:val="CommentText"/>
    <w:uiPriority w:val="99"/>
    <w:rsid w:val="00233CC6"/>
    <w:rPr>
      <w:sz w:val="20"/>
      <w:szCs w:val="20"/>
    </w:rPr>
  </w:style>
  <w:style w:type="paragraph" w:styleId="CommentSubject">
    <w:name w:val="annotation subject"/>
    <w:basedOn w:val="CommentText"/>
    <w:next w:val="CommentText"/>
    <w:link w:val="CommentSubjectChar"/>
    <w:uiPriority w:val="99"/>
    <w:semiHidden/>
    <w:unhideWhenUsed/>
    <w:rsid w:val="00233CC6"/>
    <w:rPr>
      <w:b/>
      <w:bCs/>
    </w:rPr>
  </w:style>
  <w:style w:type="character" w:customStyle="1" w:styleId="CommentSubjectChar">
    <w:name w:val="Comment Subject Char"/>
    <w:basedOn w:val="CommentTextChar"/>
    <w:link w:val="CommentSubject"/>
    <w:uiPriority w:val="99"/>
    <w:semiHidden/>
    <w:rsid w:val="00233CC6"/>
    <w:rPr>
      <w:b/>
      <w:bCs/>
      <w:sz w:val="20"/>
      <w:szCs w:val="20"/>
    </w:rPr>
  </w:style>
  <w:style w:type="paragraph" w:styleId="BalloonText">
    <w:name w:val="Balloon Text"/>
    <w:basedOn w:val="Normal"/>
    <w:link w:val="BalloonTextChar"/>
    <w:uiPriority w:val="99"/>
    <w:semiHidden/>
    <w:unhideWhenUsed/>
    <w:rsid w:val="00233C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CC6"/>
    <w:rPr>
      <w:rFonts w:ascii="Segoe UI" w:hAnsi="Segoe UI" w:cs="Segoe UI"/>
      <w:sz w:val="18"/>
      <w:szCs w:val="18"/>
    </w:rPr>
  </w:style>
  <w:style w:type="paragraph" w:styleId="NormalWeb">
    <w:name w:val="Normal (Web)"/>
    <w:basedOn w:val="Normal"/>
    <w:uiPriority w:val="99"/>
    <w:semiHidden/>
    <w:unhideWhenUsed/>
    <w:rsid w:val="00BD794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BNETParagraph">
    <w:name w:val="CABNET Paragraph."/>
    <w:basedOn w:val="Normal"/>
    <w:link w:val="CABNETParagraphChar"/>
    <w:uiPriority w:val="98"/>
    <w:qFormat/>
    <w:rsid w:val="006141FF"/>
    <w:pPr>
      <w:spacing w:before="120" w:after="120" w:line="240" w:lineRule="auto"/>
    </w:pPr>
    <w:rPr>
      <w:rFonts w:ascii="Arial" w:hAnsi="Arial" w:cstheme="minorHAnsi"/>
    </w:rPr>
  </w:style>
  <w:style w:type="character" w:customStyle="1" w:styleId="CABNETParagraphChar">
    <w:name w:val="CABNET Paragraph. Char"/>
    <w:basedOn w:val="DefaultParagraphFont"/>
    <w:link w:val="CABNETParagraph"/>
    <w:uiPriority w:val="98"/>
    <w:rsid w:val="006141FF"/>
    <w:rPr>
      <w:rFonts w:ascii="Arial" w:hAnsi="Arial" w:cstheme="minorHAnsi"/>
    </w:rPr>
  </w:style>
  <w:style w:type="paragraph" w:styleId="Revision">
    <w:name w:val="Revision"/>
    <w:hidden/>
    <w:uiPriority w:val="99"/>
    <w:semiHidden/>
    <w:rsid w:val="00C63885"/>
    <w:pPr>
      <w:spacing w:after="0" w:line="240" w:lineRule="auto"/>
    </w:pPr>
  </w:style>
  <w:style w:type="character" w:styleId="Hyperlink">
    <w:name w:val="Hyperlink"/>
    <w:basedOn w:val="DefaultParagraphFont"/>
    <w:uiPriority w:val="99"/>
    <w:unhideWhenUsed/>
    <w:rsid w:val="00C95816"/>
    <w:rPr>
      <w:color w:val="0000FF"/>
      <w:u w:val="single"/>
    </w:rPr>
  </w:style>
  <w:style w:type="paragraph" w:customStyle="1" w:styleId="txtparagraphchar">
    <w:name w:val="txtparagraphchar"/>
    <w:basedOn w:val="Normal"/>
    <w:rsid w:val="002013B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783C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3C54"/>
    <w:rPr>
      <w:sz w:val="20"/>
      <w:szCs w:val="20"/>
    </w:rPr>
  </w:style>
  <w:style w:type="character" w:styleId="FootnoteReference">
    <w:name w:val="footnote reference"/>
    <w:basedOn w:val="DefaultParagraphFont"/>
    <w:uiPriority w:val="99"/>
    <w:semiHidden/>
    <w:unhideWhenUsed/>
    <w:rsid w:val="00783C54"/>
    <w:rPr>
      <w:vertAlign w:val="superscript"/>
    </w:rPr>
  </w:style>
  <w:style w:type="paragraph" w:styleId="Header">
    <w:name w:val="header"/>
    <w:basedOn w:val="Normal"/>
    <w:link w:val="HeaderChar"/>
    <w:uiPriority w:val="99"/>
    <w:unhideWhenUsed/>
    <w:rsid w:val="00E63C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C42"/>
  </w:style>
  <w:style w:type="paragraph" w:styleId="Footer">
    <w:name w:val="footer"/>
    <w:basedOn w:val="Normal"/>
    <w:link w:val="FooterChar"/>
    <w:uiPriority w:val="99"/>
    <w:unhideWhenUsed/>
    <w:rsid w:val="00E63C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C42"/>
  </w:style>
  <w:style w:type="character" w:customStyle="1" w:styleId="ListParagraphChar">
    <w:name w:val="List Paragraph Char"/>
    <w:aliases w:val="CAB - List Bullet Char,1 heading Char,Bullet List Char,Bullet point Char,Dot point 1.5 line spacing Char,FooterText Char,L Char,List Paragraph - bullets Char,List Paragraph1 Char,List Paragraph11 Char,List Paragraph2 Char,列出段落 Char"/>
    <w:basedOn w:val="DefaultParagraphFont"/>
    <w:link w:val="ListParagraph"/>
    <w:uiPriority w:val="2"/>
    <w:qFormat/>
    <w:locked/>
    <w:rsid w:val="00C17D0D"/>
  </w:style>
  <w:style w:type="character" w:customStyle="1" w:styleId="Heading3Char">
    <w:name w:val="Heading 3 Char"/>
    <w:basedOn w:val="DefaultParagraphFont"/>
    <w:link w:val="Heading3"/>
    <w:uiPriority w:val="9"/>
    <w:rsid w:val="0066381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6381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66381C"/>
    <w:rPr>
      <w:rFonts w:asciiTheme="majorHAnsi" w:eastAsiaTheme="majorEastAsia" w:hAnsiTheme="majorHAnsi" w:cstheme="majorBidi"/>
      <w:color w:val="2E74B5" w:themeColor="accent1" w:themeShade="BF"/>
    </w:rPr>
  </w:style>
  <w:style w:type="paragraph" w:styleId="Title">
    <w:name w:val="Title"/>
    <w:basedOn w:val="Normal"/>
    <w:next w:val="Normal"/>
    <w:link w:val="TitleChar"/>
    <w:uiPriority w:val="10"/>
    <w:qFormat/>
    <w:rsid w:val="006638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381C"/>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66381C"/>
    <w:pPr>
      <w:numPr>
        <w:numId w:val="0"/>
      </w:numPr>
      <w:tabs>
        <w:tab w:val="clear" w:pos="567"/>
      </w:tabs>
      <w:spacing w:after="0" w:line="259" w:lineRule="auto"/>
      <w:outlineLvl w:val="9"/>
    </w:pPr>
    <w:rPr>
      <w:rFonts w:asciiTheme="majorHAnsi" w:hAnsiTheme="majorHAnsi"/>
      <w:b w:val="0"/>
      <w:bCs w:val="0"/>
      <w:color w:val="2E74B5" w:themeColor="accent1" w:themeShade="BF"/>
      <w:szCs w:val="32"/>
      <w:lang w:val="en-US"/>
    </w:rPr>
  </w:style>
  <w:style w:type="paragraph" w:styleId="TOC1">
    <w:name w:val="toc 1"/>
    <w:basedOn w:val="Normal"/>
    <w:next w:val="Normal"/>
    <w:autoRedefine/>
    <w:uiPriority w:val="39"/>
    <w:unhideWhenUsed/>
    <w:rsid w:val="0066381C"/>
    <w:pPr>
      <w:spacing w:after="100" w:line="259" w:lineRule="auto"/>
    </w:pPr>
  </w:style>
  <w:style w:type="paragraph" w:customStyle="1" w:styleId="Default">
    <w:name w:val="Default"/>
    <w:rsid w:val="0066381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663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6381C"/>
    <w:pPr>
      <w:spacing w:line="240" w:lineRule="auto"/>
    </w:pPr>
    <w:rPr>
      <w:i/>
      <w:iCs/>
      <w:color w:val="44546A" w:themeColor="text2"/>
      <w:sz w:val="18"/>
      <w:szCs w:val="18"/>
    </w:rPr>
  </w:style>
  <w:style w:type="paragraph" w:styleId="TOC2">
    <w:name w:val="toc 2"/>
    <w:basedOn w:val="Normal"/>
    <w:next w:val="Normal"/>
    <w:autoRedefine/>
    <w:uiPriority w:val="39"/>
    <w:unhideWhenUsed/>
    <w:rsid w:val="0066381C"/>
    <w:pPr>
      <w:spacing w:after="100" w:line="259" w:lineRule="auto"/>
      <w:ind w:left="220"/>
    </w:pPr>
  </w:style>
  <w:style w:type="paragraph" w:styleId="TOC3">
    <w:name w:val="toc 3"/>
    <w:basedOn w:val="Normal"/>
    <w:next w:val="Normal"/>
    <w:autoRedefine/>
    <w:uiPriority w:val="39"/>
    <w:unhideWhenUsed/>
    <w:rsid w:val="0066381C"/>
    <w:pPr>
      <w:tabs>
        <w:tab w:val="right" w:leader="dot" w:pos="9016"/>
      </w:tabs>
      <w:spacing w:after="100" w:line="259" w:lineRule="auto"/>
      <w:ind w:left="440"/>
    </w:pPr>
  </w:style>
  <w:style w:type="character" w:styleId="FollowedHyperlink">
    <w:name w:val="FollowedHyperlink"/>
    <w:basedOn w:val="DefaultParagraphFont"/>
    <w:uiPriority w:val="99"/>
    <w:semiHidden/>
    <w:unhideWhenUsed/>
    <w:rsid w:val="0066381C"/>
    <w:rPr>
      <w:color w:val="954F72" w:themeColor="followedHyperlink"/>
      <w:u w:val="single"/>
    </w:rPr>
  </w:style>
  <w:style w:type="character" w:styleId="PlaceholderText">
    <w:name w:val="Placeholder Text"/>
    <w:basedOn w:val="DefaultParagraphFont"/>
    <w:uiPriority w:val="99"/>
    <w:semiHidden/>
    <w:rsid w:val="0066381C"/>
    <w:rPr>
      <w:color w:val="808080"/>
    </w:rPr>
  </w:style>
  <w:style w:type="paragraph" w:styleId="NoSpacing">
    <w:name w:val="No Spacing"/>
    <w:uiPriority w:val="1"/>
    <w:qFormat/>
    <w:rsid w:val="006638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64322">
      <w:bodyDiv w:val="1"/>
      <w:marLeft w:val="0"/>
      <w:marRight w:val="0"/>
      <w:marTop w:val="0"/>
      <w:marBottom w:val="0"/>
      <w:divBdr>
        <w:top w:val="none" w:sz="0" w:space="0" w:color="auto"/>
        <w:left w:val="none" w:sz="0" w:space="0" w:color="auto"/>
        <w:bottom w:val="none" w:sz="0" w:space="0" w:color="auto"/>
        <w:right w:val="none" w:sz="0" w:space="0" w:color="auto"/>
      </w:divBdr>
    </w:div>
    <w:div w:id="263420198">
      <w:bodyDiv w:val="1"/>
      <w:marLeft w:val="0"/>
      <w:marRight w:val="0"/>
      <w:marTop w:val="0"/>
      <w:marBottom w:val="0"/>
      <w:divBdr>
        <w:top w:val="none" w:sz="0" w:space="0" w:color="auto"/>
        <w:left w:val="none" w:sz="0" w:space="0" w:color="auto"/>
        <w:bottom w:val="none" w:sz="0" w:space="0" w:color="auto"/>
        <w:right w:val="none" w:sz="0" w:space="0" w:color="auto"/>
      </w:divBdr>
      <w:divsChild>
        <w:div w:id="927737902">
          <w:marLeft w:val="0"/>
          <w:marRight w:val="0"/>
          <w:marTop w:val="0"/>
          <w:marBottom w:val="0"/>
          <w:divBdr>
            <w:top w:val="none" w:sz="0" w:space="0" w:color="auto"/>
            <w:left w:val="none" w:sz="0" w:space="0" w:color="auto"/>
            <w:bottom w:val="none" w:sz="0" w:space="0" w:color="auto"/>
            <w:right w:val="none" w:sz="0" w:space="0" w:color="auto"/>
          </w:divBdr>
          <w:divsChild>
            <w:div w:id="257714338">
              <w:marLeft w:val="0"/>
              <w:marRight w:val="0"/>
              <w:marTop w:val="0"/>
              <w:marBottom w:val="0"/>
              <w:divBdr>
                <w:top w:val="none" w:sz="0" w:space="0" w:color="auto"/>
                <w:left w:val="none" w:sz="0" w:space="0" w:color="auto"/>
                <w:bottom w:val="none" w:sz="0" w:space="0" w:color="auto"/>
                <w:right w:val="none" w:sz="0" w:space="0" w:color="auto"/>
              </w:divBdr>
              <w:divsChild>
                <w:div w:id="1052578974">
                  <w:marLeft w:val="0"/>
                  <w:marRight w:val="0"/>
                  <w:marTop w:val="0"/>
                  <w:marBottom w:val="0"/>
                  <w:divBdr>
                    <w:top w:val="none" w:sz="0" w:space="0" w:color="auto"/>
                    <w:left w:val="none" w:sz="0" w:space="0" w:color="auto"/>
                    <w:bottom w:val="none" w:sz="0" w:space="0" w:color="auto"/>
                    <w:right w:val="none" w:sz="0" w:space="0" w:color="auto"/>
                  </w:divBdr>
                  <w:divsChild>
                    <w:div w:id="289477842">
                      <w:marLeft w:val="0"/>
                      <w:marRight w:val="0"/>
                      <w:marTop w:val="0"/>
                      <w:marBottom w:val="0"/>
                      <w:divBdr>
                        <w:top w:val="none" w:sz="0" w:space="0" w:color="auto"/>
                        <w:left w:val="none" w:sz="0" w:space="0" w:color="auto"/>
                        <w:bottom w:val="none" w:sz="0" w:space="0" w:color="auto"/>
                        <w:right w:val="none" w:sz="0" w:space="0" w:color="auto"/>
                      </w:divBdr>
                      <w:divsChild>
                        <w:div w:id="1150512983">
                          <w:marLeft w:val="0"/>
                          <w:marRight w:val="0"/>
                          <w:marTop w:val="0"/>
                          <w:marBottom w:val="0"/>
                          <w:divBdr>
                            <w:top w:val="none" w:sz="0" w:space="0" w:color="auto"/>
                            <w:left w:val="none" w:sz="0" w:space="0" w:color="auto"/>
                            <w:bottom w:val="none" w:sz="0" w:space="0" w:color="auto"/>
                            <w:right w:val="none" w:sz="0" w:space="0" w:color="auto"/>
                          </w:divBdr>
                          <w:divsChild>
                            <w:div w:id="1052923855">
                              <w:marLeft w:val="0"/>
                              <w:marRight w:val="0"/>
                              <w:marTop w:val="0"/>
                              <w:marBottom w:val="0"/>
                              <w:divBdr>
                                <w:top w:val="none" w:sz="0" w:space="0" w:color="auto"/>
                                <w:left w:val="none" w:sz="0" w:space="0" w:color="auto"/>
                                <w:bottom w:val="none" w:sz="0" w:space="0" w:color="auto"/>
                                <w:right w:val="none" w:sz="0" w:space="0" w:color="auto"/>
                              </w:divBdr>
                              <w:divsChild>
                                <w:div w:id="1698657960">
                                  <w:marLeft w:val="0"/>
                                  <w:marRight w:val="0"/>
                                  <w:marTop w:val="0"/>
                                  <w:marBottom w:val="0"/>
                                  <w:divBdr>
                                    <w:top w:val="none" w:sz="0" w:space="0" w:color="auto"/>
                                    <w:left w:val="none" w:sz="0" w:space="0" w:color="auto"/>
                                    <w:bottom w:val="none" w:sz="0" w:space="0" w:color="auto"/>
                                    <w:right w:val="none" w:sz="0" w:space="0" w:color="auto"/>
                                  </w:divBdr>
                                  <w:divsChild>
                                    <w:div w:id="2096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8321877">
      <w:bodyDiv w:val="1"/>
      <w:marLeft w:val="0"/>
      <w:marRight w:val="0"/>
      <w:marTop w:val="0"/>
      <w:marBottom w:val="0"/>
      <w:divBdr>
        <w:top w:val="none" w:sz="0" w:space="0" w:color="auto"/>
        <w:left w:val="none" w:sz="0" w:space="0" w:color="auto"/>
        <w:bottom w:val="none" w:sz="0" w:space="0" w:color="auto"/>
        <w:right w:val="none" w:sz="0" w:space="0" w:color="auto"/>
      </w:divBdr>
      <w:divsChild>
        <w:div w:id="1482842231">
          <w:marLeft w:val="0"/>
          <w:marRight w:val="0"/>
          <w:marTop w:val="0"/>
          <w:marBottom w:val="0"/>
          <w:divBdr>
            <w:top w:val="none" w:sz="0" w:space="0" w:color="auto"/>
            <w:left w:val="none" w:sz="0" w:space="0" w:color="auto"/>
            <w:bottom w:val="none" w:sz="0" w:space="0" w:color="auto"/>
            <w:right w:val="none" w:sz="0" w:space="0" w:color="auto"/>
          </w:divBdr>
          <w:divsChild>
            <w:div w:id="465321764">
              <w:marLeft w:val="0"/>
              <w:marRight w:val="0"/>
              <w:marTop w:val="0"/>
              <w:marBottom w:val="0"/>
              <w:divBdr>
                <w:top w:val="none" w:sz="0" w:space="0" w:color="auto"/>
                <w:left w:val="none" w:sz="0" w:space="0" w:color="auto"/>
                <w:bottom w:val="none" w:sz="0" w:space="0" w:color="auto"/>
                <w:right w:val="none" w:sz="0" w:space="0" w:color="auto"/>
              </w:divBdr>
              <w:divsChild>
                <w:div w:id="556167623">
                  <w:marLeft w:val="0"/>
                  <w:marRight w:val="0"/>
                  <w:marTop w:val="0"/>
                  <w:marBottom w:val="0"/>
                  <w:divBdr>
                    <w:top w:val="none" w:sz="0" w:space="0" w:color="auto"/>
                    <w:left w:val="none" w:sz="0" w:space="0" w:color="auto"/>
                    <w:bottom w:val="none" w:sz="0" w:space="0" w:color="auto"/>
                    <w:right w:val="none" w:sz="0" w:space="0" w:color="auto"/>
                  </w:divBdr>
                  <w:divsChild>
                    <w:div w:id="1391417351">
                      <w:marLeft w:val="0"/>
                      <w:marRight w:val="0"/>
                      <w:marTop w:val="0"/>
                      <w:marBottom w:val="0"/>
                      <w:divBdr>
                        <w:top w:val="none" w:sz="0" w:space="0" w:color="auto"/>
                        <w:left w:val="none" w:sz="0" w:space="0" w:color="auto"/>
                        <w:bottom w:val="none" w:sz="0" w:space="0" w:color="auto"/>
                        <w:right w:val="none" w:sz="0" w:space="0" w:color="auto"/>
                      </w:divBdr>
                      <w:divsChild>
                        <w:div w:id="161623128">
                          <w:marLeft w:val="0"/>
                          <w:marRight w:val="0"/>
                          <w:marTop w:val="0"/>
                          <w:marBottom w:val="0"/>
                          <w:divBdr>
                            <w:top w:val="none" w:sz="0" w:space="0" w:color="auto"/>
                            <w:left w:val="none" w:sz="0" w:space="0" w:color="auto"/>
                            <w:bottom w:val="none" w:sz="0" w:space="0" w:color="auto"/>
                            <w:right w:val="none" w:sz="0" w:space="0" w:color="auto"/>
                          </w:divBdr>
                          <w:divsChild>
                            <w:div w:id="733042534">
                              <w:marLeft w:val="0"/>
                              <w:marRight w:val="0"/>
                              <w:marTop w:val="0"/>
                              <w:marBottom w:val="0"/>
                              <w:divBdr>
                                <w:top w:val="none" w:sz="0" w:space="0" w:color="auto"/>
                                <w:left w:val="none" w:sz="0" w:space="0" w:color="auto"/>
                                <w:bottom w:val="none" w:sz="0" w:space="0" w:color="auto"/>
                                <w:right w:val="none" w:sz="0" w:space="0" w:color="auto"/>
                              </w:divBdr>
                              <w:divsChild>
                                <w:div w:id="89740318">
                                  <w:marLeft w:val="0"/>
                                  <w:marRight w:val="0"/>
                                  <w:marTop w:val="0"/>
                                  <w:marBottom w:val="0"/>
                                  <w:divBdr>
                                    <w:top w:val="none" w:sz="0" w:space="0" w:color="auto"/>
                                    <w:left w:val="none" w:sz="0" w:space="0" w:color="auto"/>
                                    <w:bottom w:val="none" w:sz="0" w:space="0" w:color="auto"/>
                                    <w:right w:val="none" w:sz="0" w:space="0" w:color="auto"/>
                                  </w:divBdr>
                                  <w:divsChild>
                                    <w:div w:id="2112894493">
                                      <w:marLeft w:val="0"/>
                                      <w:marRight w:val="0"/>
                                      <w:marTop w:val="0"/>
                                      <w:marBottom w:val="0"/>
                                      <w:divBdr>
                                        <w:top w:val="none" w:sz="0" w:space="0" w:color="auto"/>
                                        <w:left w:val="none" w:sz="0" w:space="0" w:color="auto"/>
                                        <w:bottom w:val="none" w:sz="0" w:space="0" w:color="auto"/>
                                        <w:right w:val="none" w:sz="0" w:space="0" w:color="auto"/>
                                      </w:divBdr>
                                      <w:divsChild>
                                        <w:div w:id="720713248">
                                          <w:marLeft w:val="0"/>
                                          <w:marRight w:val="0"/>
                                          <w:marTop w:val="0"/>
                                          <w:marBottom w:val="0"/>
                                          <w:divBdr>
                                            <w:top w:val="none" w:sz="0" w:space="0" w:color="auto"/>
                                            <w:left w:val="none" w:sz="0" w:space="0" w:color="auto"/>
                                            <w:bottom w:val="none" w:sz="0" w:space="0" w:color="auto"/>
                                            <w:right w:val="none" w:sz="0" w:space="0" w:color="auto"/>
                                          </w:divBdr>
                                          <w:divsChild>
                                            <w:div w:id="1743478618">
                                              <w:marLeft w:val="0"/>
                                              <w:marRight w:val="0"/>
                                              <w:marTop w:val="0"/>
                                              <w:marBottom w:val="0"/>
                                              <w:divBdr>
                                                <w:top w:val="none" w:sz="0" w:space="0" w:color="auto"/>
                                                <w:left w:val="none" w:sz="0" w:space="0" w:color="auto"/>
                                                <w:bottom w:val="none" w:sz="0" w:space="0" w:color="auto"/>
                                                <w:right w:val="none" w:sz="0" w:space="0" w:color="auto"/>
                                              </w:divBdr>
                                              <w:divsChild>
                                                <w:div w:id="1408073362">
                                                  <w:marLeft w:val="0"/>
                                                  <w:marRight w:val="0"/>
                                                  <w:marTop w:val="0"/>
                                                  <w:marBottom w:val="0"/>
                                                  <w:divBdr>
                                                    <w:top w:val="none" w:sz="0" w:space="0" w:color="auto"/>
                                                    <w:left w:val="none" w:sz="0" w:space="0" w:color="auto"/>
                                                    <w:bottom w:val="none" w:sz="0" w:space="0" w:color="auto"/>
                                                    <w:right w:val="none" w:sz="0" w:space="0" w:color="auto"/>
                                                  </w:divBdr>
                                                  <w:divsChild>
                                                    <w:div w:id="1965651018">
                                                      <w:marLeft w:val="0"/>
                                                      <w:marRight w:val="0"/>
                                                      <w:marTop w:val="0"/>
                                                      <w:marBottom w:val="0"/>
                                                      <w:divBdr>
                                                        <w:top w:val="none" w:sz="0" w:space="0" w:color="auto"/>
                                                        <w:left w:val="none" w:sz="0" w:space="0" w:color="auto"/>
                                                        <w:bottom w:val="none" w:sz="0" w:space="0" w:color="auto"/>
                                                        <w:right w:val="none" w:sz="0" w:space="0" w:color="auto"/>
                                                      </w:divBdr>
                                                      <w:divsChild>
                                                        <w:div w:id="3482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729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hart" Target="charts/chart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pm.gov.au/media/2017-03-15/measures-agreed-cheaper-more-reliable-gas" TargetMode="External"/><Relationship Id="rId13" Type="http://schemas.openxmlformats.org/officeDocument/2006/relationships/hyperlink" Target="https://d3n8a8pro7vhmx.cloudfront.net/nationalawu/pages/135/attachments/original/1411953009/The_Economic_Impact_of_LNG_Exports_on_Manufacturing_and_the_Economy_Final_260914.pdf?1411953009" TargetMode="External"/><Relationship Id="rId18" Type="http://schemas.openxmlformats.org/officeDocument/2006/relationships/hyperlink" Target="https://d3n8a8pro7vhmx.cloudfront.net/nationalawu/pages/135/attachments/original/1411953009/The_Economic_Impact_of_LNG_Exports_on_Manufacturing_and_the_Economy_Final_260914.pdf?1411953009" TargetMode="External"/><Relationship Id="rId3" Type="http://schemas.openxmlformats.org/officeDocument/2006/relationships/hyperlink" Target="https://www.aemo.com.au/-/media/Files/Gas/National_Planning_and_Forecasting/GSOO/2017/2017-Gas-Statement-of-Opportunities.pdf" TargetMode="External"/><Relationship Id="rId21" Type="http://schemas.openxmlformats.org/officeDocument/2006/relationships/hyperlink" Target="https://www.appea.com.au/oil-gas-explained/operation/australian-lng-projects/" TargetMode="External"/><Relationship Id="rId7" Type="http://schemas.openxmlformats.org/officeDocument/2006/relationships/hyperlink" Target="https://d3n8a8pro7vhmx.cloudfront.net/nationalawu/pages/135/attachments/original/1411953009/The_Economic_Impact_of_LNG_Exports_on_Manufacturing_and_the_Economy_Final_260914.pdf?1411953009" TargetMode="External"/><Relationship Id="rId12" Type="http://schemas.openxmlformats.org/officeDocument/2006/relationships/hyperlink" Target="https://industry.gov.au/EnergyWhitePaperApril2015/index.html" TargetMode="External"/><Relationship Id="rId17" Type="http://schemas.openxmlformats.org/officeDocument/2006/relationships/hyperlink" Target="http://www.gastrading.com.au/spot-market/historical-prices-and-volume.html" TargetMode="External"/><Relationship Id="rId2" Type="http://schemas.openxmlformats.org/officeDocument/2006/relationships/hyperlink" Target="https://www.aer.gov.au/system/files/AER%20State%20of%20the%20energy%20market%202017%20-%20A4.pdf" TargetMode="External"/><Relationship Id="rId16" Type="http://schemas.openxmlformats.org/officeDocument/2006/relationships/hyperlink" Target="http://www.aemo.com.au/Gas/Short-Term-Trading-Market-STTM/Data" TargetMode="External"/><Relationship Id="rId20" Type="http://schemas.openxmlformats.org/officeDocument/2006/relationships/hyperlink" Target="https://www.pm.gov.au/media/2017-04-27/delivering-affordable-gas-all-australians" TargetMode="External"/><Relationship Id="rId1" Type="http://schemas.openxmlformats.org/officeDocument/2006/relationships/hyperlink" Target="https://www.aemo.com.au/-/media/Files/Gas/National_Planning_and_Forecasting/GSOO/2017/2017-Gas-Statement-of-Opportunities.pdf" TargetMode="External"/><Relationship Id="rId6" Type="http://schemas.openxmlformats.org/officeDocument/2006/relationships/hyperlink" Target="https://www.aigroup.com.au/policy-and-research/mediacentre/releases/PM-Gas-Intervention-15March/" TargetMode="External"/><Relationship Id="rId11" Type="http://schemas.openxmlformats.org/officeDocument/2006/relationships/hyperlink" Target="https://www.industry.gov.au/Energy/EnergyMarkets/Documents/GasMarketStudySubmissions/AustralianPetroleumProductionExplorationAssociationAttachment2.pdf" TargetMode="External"/><Relationship Id="rId5" Type="http://schemas.openxmlformats.org/officeDocument/2006/relationships/hyperlink" Target="https://www.pm.gov.au/media/2017-04-27/delivering-affordable-gas-all-australians" TargetMode="External"/><Relationship Id="rId15" Type="http://schemas.openxmlformats.org/officeDocument/2006/relationships/hyperlink" Target="https://industry.gov.au/Office-of-the-Chief-Economist/Publications/Documents/req/Resource-and-Energy-Resources-Quarterly-March-2017.pdf" TargetMode="External"/><Relationship Id="rId23" Type="http://schemas.openxmlformats.org/officeDocument/2006/relationships/hyperlink" Target="https://www.hays.com.au/salary-guide/index.htm" TargetMode="External"/><Relationship Id="rId10" Type="http://schemas.openxmlformats.org/officeDocument/2006/relationships/hyperlink" Target="http://www.gastrading.com.au/spot-market/historical-prices-and-volume.html" TargetMode="External"/><Relationship Id="rId19" Type="http://schemas.openxmlformats.org/officeDocument/2006/relationships/hyperlink" Target="http://www.liveinvictoria.vic.gov.au/living-in-victoria/cost-of-living/cost-of-domestic-supplies-home-services-utilities" TargetMode="External"/><Relationship Id="rId4" Type="http://schemas.openxmlformats.org/officeDocument/2006/relationships/hyperlink" Target="https://d3n8a8pro7vhmx.cloudfront.net/nationalawu/pages/135/attachments/original/1411953009/The_Economic_Impact_of_LNG_Exports_on_Manufacturing_and_the_Economy_Final_260914.pdf?1411953009" TargetMode="External"/><Relationship Id="rId9" Type="http://schemas.openxmlformats.org/officeDocument/2006/relationships/hyperlink" Target="http://minister.industry.gov.au/ministers/sinodinos-canavan/media-releases/gas-pipeline-companies-work-turnbull-government-ensure" TargetMode="External"/><Relationship Id="rId14" Type="http://schemas.openxmlformats.org/officeDocument/2006/relationships/hyperlink" Target="http://pdf.aigroup.asn.au/Deloitte%20Gas%20Market%20Transformations%20-%20Manufacturing%20Impacts%20Report%20-%20web%20final%20-%20July%2014%202014.pdf" TargetMode="External"/><Relationship Id="rId22" Type="http://schemas.openxmlformats.org/officeDocument/2006/relationships/hyperlink" Target="https://www.dpmc.gov.au/node/623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Ladewig\AppData\Local\Microsoft\Windows\Temporary%20Internet%20Files\Content.Outlook\6CD6J2H1\Gas%20prices%2023%20May%20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598905916862141E-2"/>
          <c:y val="2.0092120632062137E-2"/>
          <c:w val="0.87902699288669128"/>
          <c:h val="0.72099684780403728"/>
        </c:manualLayout>
      </c:layout>
      <c:lineChart>
        <c:grouping val="standard"/>
        <c:varyColors val="0"/>
        <c:ser>
          <c:idx val="0"/>
          <c:order val="0"/>
          <c:tx>
            <c:strRef>
              <c:f>'Price charts'!$W$5</c:f>
              <c:strCache>
                <c:ptCount val="1"/>
                <c:pt idx="0">
                  <c:v>Adelaide STTM</c:v>
                </c:pt>
              </c:strCache>
            </c:strRef>
          </c:tx>
          <c:spPr>
            <a:ln w="25400" cap="rnd">
              <a:solidFill>
                <a:srgbClr val="292B67"/>
              </a:solidFill>
              <a:prstDash val="solid"/>
              <a:round/>
            </a:ln>
            <a:effectLst/>
          </c:spPr>
          <c:marker>
            <c:symbol val="none"/>
          </c:marker>
          <c:cat>
            <c:numRef>
              <c:f>'Price charts'!$V$6:$V$86</c:f>
              <c:numCache>
                <c:formatCode>mmm\-yy</c:formatCode>
                <c:ptCount val="81"/>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pt idx="33">
                  <c:v>41426</c:v>
                </c:pt>
                <c:pt idx="34">
                  <c:v>41456</c:v>
                </c:pt>
                <c:pt idx="35">
                  <c:v>41487</c:v>
                </c:pt>
                <c:pt idx="36">
                  <c:v>41518</c:v>
                </c:pt>
                <c:pt idx="37">
                  <c:v>41548</c:v>
                </c:pt>
                <c:pt idx="38">
                  <c:v>41579</c:v>
                </c:pt>
                <c:pt idx="39">
                  <c:v>41609</c:v>
                </c:pt>
                <c:pt idx="40">
                  <c:v>41640</c:v>
                </c:pt>
                <c:pt idx="41">
                  <c:v>41671</c:v>
                </c:pt>
                <c:pt idx="42">
                  <c:v>41699</c:v>
                </c:pt>
                <c:pt idx="43">
                  <c:v>41730</c:v>
                </c:pt>
                <c:pt idx="44">
                  <c:v>41760</c:v>
                </c:pt>
                <c:pt idx="45">
                  <c:v>41791</c:v>
                </c:pt>
                <c:pt idx="46">
                  <c:v>41821</c:v>
                </c:pt>
                <c:pt idx="47">
                  <c:v>41852</c:v>
                </c:pt>
                <c:pt idx="48">
                  <c:v>41883</c:v>
                </c:pt>
                <c:pt idx="49">
                  <c:v>41913</c:v>
                </c:pt>
                <c:pt idx="50">
                  <c:v>41944</c:v>
                </c:pt>
                <c:pt idx="51">
                  <c:v>41974</c:v>
                </c:pt>
                <c:pt idx="52">
                  <c:v>42005</c:v>
                </c:pt>
                <c:pt idx="53">
                  <c:v>42036</c:v>
                </c:pt>
                <c:pt idx="54">
                  <c:v>42064</c:v>
                </c:pt>
                <c:pt idx="55">
                  <c:v>42095</c:v>
                </c:pt>
                <c:pt idx="56">
                  <c:v>42125</c:v>
                </c:pt>
                <c:pt idx="57">
                  <c:v>42156</c:v>
                </c:pt>
                <c:pt idx="58">
                  <c:v>42186</c:v>
                </c:pt>
                <c:pt idx="59">
                  <c:v>42217</c:v>
                </c:pt>
                <c:pt idx="60">
                  <c:v>42248</c:v>
                </c:pt>
                <c:pt idx="61">
                  <c:v>42278</c:v>
                </c:pt>
                <c:pt idx="62">
                  <c:v>42309</c:v>
                </c:pt>
                <c:pt idx="63">
                  <c:v>42339</c:v>
                </c:pt>
                <c:pt idx="64">
                  <c:v>42370</c:v>
                </c:pt>
                <c:pt idx="65">
                  <c:v>42401</c:v>
                </c:pt>
                <c:pt idx="66">
                  <c:v>42430</c:v>
                </c:pt>
                <c:pt idx="67">
                  <c:v>42461</c:v>
                </c:pt>
                <c:pt idx="68">
                  <c:v>42491</c:v>
                </c:pt>
                <c:pt idx="69">
                  <c:v>42522</c:v>
                </c:pt>
                <c:pt idx="70">
                  <c:v>42552</c:v>
                </c:pt>
                <c:pt idx="71">
                  <c:v>42583</c:v>
                </c:pt>
                <c:pt idx="72">
                  <c:v>42614</c:v>
                </c:pt>
                <c:pt idx="73">
                  <c:v>42644</c:v>
                </c:pt>
                <c:pt idx="74">
                  <c:v>42675</c:v>
                </c:pt>
                <c:pt idx="75">
                  <c:v>42705</c:v>
                </c:pt>
                <c:pt idx="76">
                  <c:v>42736</c:v>
                </c:pt>
                <c:pt idx="77">
                  <c:v>42767</c:v>
                </c:pt>
                <c:pt idx="78">
                  <c:v>42795</c:v>
                </c:pt>
                <c:pt idx="79">
                  <c:v>42826</c:v>
                </c:pt>
                <c:pt idx="80">
                  <c:v>42856</c:v>
                </c:pt>
              </c:numCache>
            </c:numRef>
          </c:cat>
          <c:val>
            <c:numRef>
              <c:f>'Price charts'!$W$6:$W$86</c:f>
              <c:numCache>
                <c:formatCode>0.0</c:formatCode>
                <c:ptCount val="81"/>
                <c:pt idx="0">
                  <c:v>3.4576666666666664</c:v>
                </c:pt>
                <c:pt idx="1">
                  <c:v>2.8035741935483878</c:v>
                </c:pt>
                <c:pt idx="2">
                  <c:v>2.1426966666666667</c:v>
                </c:pt>
                <c:pt idx="3">
                  <c:v>2.2652645161290326</c:v>
                </c:pt>
                <c:pt idx="4">
                  <c:v>2.7401000000000009</c:v>
                </c:pt>
                <c:pt idx="5">
                  <c:v>3.3871249999999997</c:v>
                </c:pt>
                <c:pt idx="6">
                  <c:v>3.6033129032258056</c:v>
                </c:pt>
                <c:pt idx="7">
                  <c:v>3.7394866666666675</c:v>
                </c:pt>
                <c:pt idx="8">
                  <c:v>3.680519354838709</c:v>
                </c:pt>
                <c:pt idx="9">
                  <c:v>3.9223866666666662</c:v>
                </c:pt>
                <c:pt idx="10">
                  <c:v>3.9440064516129043</c:v>
                </c:pt>
                <c:pt idx="11">
                  <c:v>3.829345161290322</c:v>
                </c:pt>
                <c:pt idx="12">
                  <c:v>3.7437033333333338</c:v>
                </c:pt>
                <c:pt idx="13">
                  <c:v>3.5768935483870963</c:v>
                </c:pt>
                <c:pt idx="14">
                  <c:v>3.7749699999999993</c:v>
                </c:pt>
                <c:pt idx="15">
                  <c:v>3.2271806451612899</c:v>
                </c:pt>
                <c:pt idx="16">
                  <c:v>3.6670387096774189</c:v>
                </c:pt>
                <c:pt idx="17">
                  <c:v>3.5526103448275861</c:v>
                </c:pt>
                <c:pt idx="18">
                  <c:v>3.5019419354838703</c:v>
                </c:pt>
                <c:pt idx="19">
                  <c:v>3.7741466666666645</c:v>
                </c:pt>
                <c:pt idx="20">
                  <c:v>3.9173032258064526</c:v>
                </c:pt>
                <c:pt idx="21">
                  <c:v>5.0309133333333342</c:v>
                </c:pt>
                <c:pt idx="22">
                  <c:v>6.6665064516129018</c:v>
                </c:pt>
                <c:pt idx="23">
                  <c:v>6.1215935483870956</c:v>
                </c:pt>
                <c:pt idx="24">
                  <c:v>4.9401366666666666</c:v>
                </c:pt>
                <c:pt idx="25">
                  <c:v>4.5279161290322598</c:v>
                </c:pt>
                <c:pt idx="26">
                  <c:v>4.2897599999999985</c:v>
                </c:pt>
                <c:pt idx="27">
                  <c:v>4.745977419354837</c:v>
                </c:pt>
                <c:pt idx="28">
                  <c:v>4.8909064516129019</c:v>
                </c:pt>
                <c:pt idx="29">
                  <c:v>4.8148857142857135</c:v>
                </c:pt>
                <c:pt idx="30">
                  <c:v>4.7892451612903217</c:v>
                </c:pt>
                <c:pt idx="31">
                  <c:v>4.8188133333333338</c:v>
                </c:pt>
                <c:pt idx="32">
                  <c:v>5.0086483870967742</c:v>
                </c:pt>
                <c:pt idx="33">
                  <c:v>5.3743733333333337</c:v>
                </c:pt>
                <c:pt idx="34">
                  <c:v>5.4618322580645193</c:v>
                </c:pt>
                <c:pt idx="35">
                  <c:v>5.1127064516129037</c:v>
                </c:pt>
                <c:pt idx="36">
                  <c:v>4.4407833333333322</c:v>
                </c:pt>
                <c:pt idx="37">
                  <c:v>4.1383838709677416</c:v>
                </c:pt>
                <c:pt idx="38">
                  <c:v>3.9588799999999997</c:v>
                </c:pt>
                <c:pt idx="39">
                  <c:v>3.9697193548387095</c:v>
                </c:pt>
                <c:pt idx="40">
                  <c:v>4.6552935483870987</c:v>
                </c:pt>
                <c:pt idx="41">
                  <c:v>4.4345714285714291</c:v>
                </c:pt>
                <c:pt idx="42">
                  <c:v>3.8844935483870975</c:v>
                </c:pt>
                <c:pt idx="43">
                  <c:v>3.8585733333333341</c:v>
                </c:pt>
                <c:pt idx="44">
                  <c:v>3.879225806451613</c:v>
                </c:pt>
                <c:pt idx="45">
                  <c:v>3.9418799999999998</c:v>
                </c:pt>
                <c:pt idx="46">
                  <c:v>4.010712903225806</c:v>
                </c:pt>
                <c:pt idx="47">
                  <c:v>3.862212903225807</c:v>
                </c:pt>
                <c:pt idx="48">
                  <c:v>3.6507699999999996</c:v>
                </c:pt>
                <c:pt idx="49">
                  <c:v>2.9946161290322566</c:v>
                </c:pt>
                <c:pt idx="50">
                  <c:v>2.9021566666666661</c:v>
                </c:pt>
                <c:pt idx="51">
                  <c:v>3.8354193548387099</c:v>
                </c:pt>
                <c:pt idx="52">
                  <c:v>3.774374193548387</c:v>
                </c:pt>
                <c:pt idx="53">
                  <c:v>3.9336678571428574</c:v>
                </c:pt>
                <c:pt idx="54">
                  <c:v>3.7735903225806453</c:v>
                </c:pt>
                <c:pt idx="55">
                  <c:v>3.7533966666666663</c:v>
                </c:pt>
                <c:pt idx="56">
                  <c:v>4.0212322580645159</c:v>
                </c:pt>
                <c:pt idx="57">
                  <c:v>4.7161600000000004</c:v>
                </c:pt>
                <c:pt idx="58">
                  <c:v>6.1736064516129048</c:v>
                </c:pt>
                <c:pt idx="59">
                  <c:v>5.7178096774193543</c:v>
                </c:pt>
                <c:pt idx="60">
                  <c:v>5.105059999999999</c:v>
                </c:pt>
                <c:pt idx="61">
                  <c:v>4.0133806451612903</c:v>
                </c:pt>
                <c:pt idx="62">
                  <c:v>4.0957466666666669</c:v>
                </c:pt>
                <c:pt idx="63">
                  <c:v>5.33975806451613</c:v>
                </c:pt>
                <c:pt idx="64">
                  <c:v>5.8174096774193549</c:v>
                </c:pt>
                <c:pt idx="65">
                  <c:v>4.6816586206896567</c:v>
                </c:pt>
                <c:pt idx="66">
                  <c:v>5.3049193548387095</c:v>
                </c:pt>
                <c:pt idx="67">
                  <c:v>6.5106800000000016</c:v>
                </c:pt>
                <c:pt idx="68">
                  <c:v>6.8484225806451597</c:v>
                </c:pt>
                <c:pt idx="69">
                  <c:v>9.3149833333333341</c:v>
                </c:pt>
                <c:pt idx="70">
                  <c:v>14.753196774193549</c:v>
                </c:pt>
                <c:pt idx="71">
                  <c:v>7.6516000000000011</c:v>
                </c:pt>
                <c:pt idx="72">
                  <c:v>6.2067000000000014</c:v>
                </c:pt>
                <c:pt idx="73">
                  <c:v>6.2346387096774194</c:v>
                </c:pt>
                <c:pt idx="74">
                  <c:v>6.714830000000001</c:v>
                </c:pt>
                <c:pt idx="75">
                  <c:v>8.5337580645161299</c:v>
                </c:pt>
                <c:pt idx="76">
                  <c:v>8.31286129032258</c:v>
                </c:pt>
                <c:pt idx="77">
                  <c:v>10.636664285714287</c:v>
                </c:pt>
                <c:pt idx="78">
                  <c:v>9.6155967741935484</c:v>
                </c:pt>
                <c:pt idx="79">
                  <c:v>8.9224433333333319</c:v>
                </c:pt>
                <c:pt idx="80">
                  <c:v>#N/A</c:v>
                </c:pt>
              </c:numCache>
            </c:numRef>
          </c:val>
          <c:smooth val="0"/>
          <c:extLst>
            <c:ext xmlns:c16="http://schemas.microsoft.com/office/drawing/2014/chart" uri="{C3380CC4-5D6E-409C-BE32-E72D297353CC}">
              <c16:uniqueId val="{00000000-FD76-479C-AFA3-E0DB7063A9F6}"/>
            </c:ext>
          </c:extLst>
        </c:ser>
        <c:ser>
          <c:idx val="1"/>
          <c:order val="1"/>
          <c:tx>
            <c:strRef>
              <c:f>'Price charts'!$X$5</c:f>
              <c:strCache>
                <c:ptCount val="1"/>
                <c:pt idx="0">
                  <c:v>Brisbane STTM</c:v>
                </c:pt>
              </c:strCache>
            </c:strRef>
          </c:tx>
          <c:spPr>
            <a:ln w="25400" cap="rnd">
              <a:solidFill>
                <a:srgbClr val="9ED9DF"/>
              </a:solidFill>
              <a:prstDash val="solid"/>
              <a:round/>
            </a:ln>
            <a:effectLst/>
          </c:spPr>
          <c:marker>
            <c:symbol val="none"/>
          </c:marker>
          <c:cat>
            <c:numRef>
              <c:f>'Price charts'!$V$6:$V$86</c:f>
              <c:numCache>
                <c:formatCode>mmm\-yy</c:formatCode>
                <c:ptCount val="81"/>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pt idx="33">
                  <c:v>41426</c:v>
                </c:pt>
                <c:pt idx="34">
                  <c:v>41456</c:v>
                </c:pt>
                <c:pt idx="35">
                  <c:v>41487</c:v>
                </c:pt>
                <c:pt idx="36">
                  <c:v>41518</c:v>
                </c:pt>
                <c:pt idx="37">
                  <c:v>41548</c:v>
                </c:pt>
                <c:pt idx="38">
                  <c:v>41579</c:v>
                </c:pt>
                <c:pt idx="39">
                  <c:v>41609</c:v>
                </c:pt>
                <c:pt idx="40">
                  <c:v>41640</c:v>
                </c:pt>
                <c:pt idx="41">
                  <c:v>41671</c:v>
                </c:pt>
                <c:pt idx="42">
                  <c:v>41699</c:v>
                </c:pt>
                <c:pt idx="43">
                  <c:v>41730</c:v>
                </c:pt>
                <c:pt idx="44">
                  <c:v>41760</c:v>
                </c:pt>
                <c:pt idx="45">
                  <c:v>41791</c:v>
                </c:pt>
                <c:pt idx="46">
                  <c:v>41821</c:v>
                </c:pt>
                <c:pt idx="47">
                  <c:v>41852</c:v>
                </c:pt>
                <c:pt idx="48">
                  <c:v>41883</c:v>
                </c:pt>
                <c:pt idx="49">
                  <c:v>41913</c:v>
                </c:pt>
                <c:pt idx="50">
                  <c:v>41944</c:v>
                </c:pt>
                <c:pt idx="51">
                  <c:v>41974</c:v>
                </c:pt>
                <c:pt idx="52">
                  <c:v>42005</c:v>
                </c:pt>
                <c:pt idx="53">
                  <c:v>42036</c:v>
                </c:pt>
                <c:pt idx="54">
                  <c:v>42064</c:v>
                </c:pt>
                <c:pt idx="55">
                  <c:v>42095</c:v>
                </c:pt>
                <c:pt idx="56">
                  <c:v>42125</c:v>
                </c:pt>
                <c:pt idx="57">
                  <c:v>42156</c:v>
                </c:pt>
                <c:pt idx="58">
                  <c:v>42186</c:v>
                </c:pt>
                <c:pt idx="59">
                  <c:v>42217</c:v>
                </c:pt>
                <c:pt idx="60">
                  <c:v>42248</c:v>
                </c:pt>
                <c:pt idx="61">
                  <c:v>42278</c:v>
                </c:pt>
                <c:pt idx="62">
                  <c:v>42309</c:v>
                </c:pt>
                <c:pt idx="63">
                  <c:v>42339</c:v>
                </c:pt>
                <c:pt idx="64">
                  <c:v>42370</c:v>
                </c:pt>
                <c:pt idx="65">
                  <c:v>42401</c:v>
                </c:pt>
                <c:pt idx="66">
                  <c:v>42430</c:v>
                </c:pt>
                <c:pt idx="67">
                  <c:v>42461</c:v>
                </c:pt>
                <c:pt idx="68">
                  <c:v>42491</c:v>
                </c:pt>
                <c:pt idx="69">
                  <c:v>42522</c:v>
                </c:pt>
                <c:pt idx="70">
                  <c:v>42552</c:v>
                </c:pt>
                <c:pt idx="71">
                  <c:v>42583</c:v>
                </c:pt>
                <c:pt idx="72">
                  <c:v>42614</c:v>
                </c:pt>
                <c:pt idx="73">
                  <c:v>42644</c:v>
                </c:pt>
                <c:pt idx="74">
                  <c:v>42675</c:v>
                </c:pt>
                <c:pt idx="75">
                  <c:v>42705</c:v>
                </c:pt>
                <c:pt idx="76">
                  <c:v>42736</c:v>
                </c:pt>
                <c:pt idx="77">
                  <c:v>42767</c:v>
                </c:pt>
                <c:pt idx="78">
                  <c:v>42795</c:v>
                </c:pt>
                <c:pt idx="79">
                  <c:v>42826</c:v>
                </c:pt>
                <c:pt idx="80">
                  <c:v>42856</c:v>
                </c:pt>
              </c:numCache>
            </c:numRef>
          </c:cat>
          <c:val>
            <c:numRef>
              <c:f>'Price charts'!$X$6:$X$86</c:f>
              <c:numCache>
                <c:formatCode>0.0</c:formatCode>
                <c:ptCount val="8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2.933493548387097</c:v>
                </c:pt>
                <c:pt idx="16">
                  <c:v>3.163835483870967</c:v>
                </c:pt>
                <c:pt idx="17">
                  <c:v>3.3101000000000003</c:v>
                </c:pt>
                <c:pt idx="18">
                  <c:v>3.1337451612903231</c:v>
                </c:pt>
                <c:pt idx="19">
                  <c:v>3.3768033333333336</c:v>
                </c:pt>
                <c:pt idx="20">
                  <c:v>4.0593677419354828</c:v>
                </c:pt>
                <c:pt idx="21">
                  <c:v>4.5885699999999989</c:v>
                </c:pt>
                <c:pt idx="22">
                  <c:v>5.769922580645158</c:v>
                </c:pt>
                <c:pt idx="23">
                  <c:v>5.4217741935483881</c:v>
                </c:pt>
                <c:pt idx="24">
                  <c:v>4.9673366666666663</c:v>
                </c:pt>
                <c:pt idx="25">
                  <c:v>5.1910806451612901</c:v>
                </c:pt>
                <c:pt idx="26">
                  <c:v>5.0109533333333331</c:v>
                </c:pt>
                <c:pt idx="27">
                  <c:v>5.0408548387096808</c:v>
                </c:pt>
                <c:pt idx="28">
                  <c:v>7.9948645161290335</c:v>
                </c:pt>
                <c:pt idx="29">
                  <c:v>5.9349428571428566</c:v>
                </c:pt>
                <c:pt idx="30">
                  <c:v>7.2233806451612903</c:v>
                </c:pt>
                <c:pt idx="31">
                  <c:v>5.3814666666666664</c:v>
                </c:pt>
                <c:pt idx="32">
                  <c:v>6.4028580645161286</c:v>
                </c:pt>
                <c:pt idx="33">
                  <c:v>6.5982933333333307</c:v>
                </c:pt>
                <c:pt idx="34">
                  <c:v>5.9520516129032268</c:v>
                </c:pt>
                <c:pt idx="35">
                  <c:v>5.8032774193548384</c:v>
                </c:pt>
                <c:pt idx="36">
                  <c:v>5.5786833333333332</c:v>
                </c:pt>
                <c:pt idx="37">
                  <c:v>5.3756354838709672</c:v>
                </c:pt>
                <c:pt idx="38">
                  <c:v>4.8008166666666652</c:v>
                </c:pt>
                <c:pt idx="39">
                  <c:v>4.8650838709677426</c:v>
                </c:pt>
                <c:pt idx="40">
                  <c:v>4.846774193548387</c:v>
                </c:pt>
                <c:pt idx="41">
                  <c:v>4.3981964285714286</c:v>
                </c:pt>
                <c:pt idx="42">
                  <c:v>3.8854354838709675</c:v>
                </c:pt>
                <c:pt idx="43">
                  <c:v>3.1072200000000003</c:v>
                </c:pt>
                <c:pt idx="44">
                  <c:v>3.173367741935484</c:v>
                </c:pt>
                <c:pt idx="45">
                  <c:v>2.7039866666666668</c:v>
                </c:pt>
                <c:pt idx="46">
                  <c:v>2.2805967741935489</c:v>
                </c:pt>
                <c:pt idx="47">
                  <c:v>2.4039451612903218</c:v>
                </c:pt>
                <c:pt idx="48">
                  <c:v>2.3226433333333332</c:v>
                </c:pt>
                <c:pt idx="49">
                  <c:v>1.6881612903225802</c:v>
                </c:pt>
                <c:pt idx="50">
                  <c:v>0.32238000000000006</c:v>
                </c:pt>
                <c:pt idx="51">
                  <c:v>1.85938064516129</c:v>
                </c:pt>
                <c:pt idx="52">
                  <c:v>4.8481645161290317</c:v>
                </c:pt>
                <c:pt idx="53">
                  <c:v>2.7588392857142856</c:v>
                </c:pt>
                <c:pt idx="54">
                  <c:v>3.1720935483870973</c:v>
                </c:pt>
                <c:pt idx="55">
                  <c:v>2.0473166666666671</c:v>
                </c:pt>
                <c:pt idx="56">
                  <c:v>1.6335967741935484</c:v>
                </c:pt>
                <c:pt idx="57">
                  <c:v>1.9876166666666668</c:v>
                </c:pt>
                <c:pt idx="58">
                  <c:v>5.1585935483870964</c:v>
                </c:pt>
                <c:pt idx="59">
                  <c:v>3.504316129032258</c:v>
                </c:pt>
                <c:pt idx="60">
                  <c:v>4.0224966666666662</c:v>
                </c:pt>
                <c:pt idx="61">
                  <c:v>3.0301451612903225</c:v>
                </c:pt>
                <c:pt idx="62">
                  <c:v>2.9506333333333341</c:v>
                </c:pt>
                <c:pt idx="63">
                  <c:v>3.4060064516129027</c:v>
                </c:pt>
                <c:pt idx="64">
                  <c:v>4.9198032258064508</c:v>
                </c:pt>
                <c:pt idx="65">
                  <c:v>4.8810275862068968</c:v>
                </c:pt>
                <c:pt idx="66">
                  <c:v>5.3717774193548387</c:v>
                </c:pt>
                <c:pt idx="67">
                  <c:v>5.0938466666666669</c:v>
                </c:pt>
                <c:pt idx="68">
                  <c:v>5.5265354838709664</c:v>
                </c:pt>
                <c:pt idx="69">
                  <c:v>8.0865299999999998</c:v>
                </c:pt>
                <c:pt idx="70">
                  <c:v>10.325225806451614</c:v>
                </c:pt>
                <c:pt idx="71">
                  <c:v>6.2690290322580635</c:v>
                </c:pt>
                <c:pt idx="72">
                  <c:v>5.0030700000000001</c:v>
                </c:pt>
                <c:pt idx="73">
                  <c:v>6.0638161290322579</c:v>
                </c:pt>
                <c:pt idx="74">
                  <c:v>7.1635266666666677</c:v>
                </c:pt>
                <c:pt idx="75">
                  <c:v>8.8758838709677423</c:v>
                </c:pt>
                <c:pt idx="76">
                  <c:v>10.192458064516128</c:v>
                </c:pt>
                <c:pt idx="77">
                  <c:v>12.147996428571428</c:v>
                </c:pt>
                <c:pt idx="78">
                  <c:v>8.158848387096775</c:v>
                </c:pt>
                <c:pt idx="79">
                  <c:v>8.9556566666666679</c:v>
                </c:pt>
                <c:pt idx="80">
                  <c:v>#N/A</c:v>
                </c:pt>
              </c:numCache>
            </c:numRef>
          </c:val>
          <c:smooth val="0"/>
          <c:extLst>
            <c:ext xmlns:c16="http://schemas.microsoft.com/office/drawing/2014/chart" uri="{C3380CC4-5D6E-409C-BE32-E72D297353CC}">
              <c16:uniqueId val="{00000001-FD76-479C-AFA3-E0DB7063A9F6}"/>
            </c:ext>
          </c:extLst>
        </c:ser>
        <c:ser>
          <c:idx val="2"/>
          <c:order val="2"/>
          <c:tx>
            <c:strRef>
              <c:f>'Price charts'!$Y$5</c:f>
              <c:strCache>
                <c:ptCount val="1"/>
                <c:pt idx="0">
                  <c:v>Sydney STTM</c:v>
                </c:pt>
              </c:strCache>
            </c:strRef>
          </c:tx>
          <c:spPr>
            <a:ln w="25400" cap="rnd">
              <a:solidFill>
                <a:srgbClr val="22789A"/>
              </a:solidFill>
              <a:prstDash val="solid"/>
              <a:round/>
            </a:ln>
            <a:effectLst/>
          </c:spPr>
          <c:marker>
            <c:symbol val="none"/>
          </c:marker>
          <c:cat>
            <c:numRef>
              <c:f>'Price charts'!$V$6:$V$86</c:f>
              <c:numCache>
                <c:formatCode>mmm\-yy</c:formatCode>
                <c:ptCount val="81"/>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pt idx="33">
                  <c:v>41426</c:v>
                </c:pt>
                <c:pt idx="34">
                  <c:v>41456</c:v>
                </c:pt>
                <c:pt idx="35">
                  <c:v>41487</c:v>
                </c:pt>
                <c:pt idx="36">
                  <c:v>41518</c:v>
                </c:pt>
                <c:pt idx="37">
                  <c:v>41548</c:v>
                </c:pt>
                <c:pt idx="38">
                  <c:v>41579</c:v>
                </c:pt>
                <c:pt idx="39">
                  <c:v>41609</c:v>
                </c:pt>
                <c:pt idx="40">
                  <c:v>41640</c:v>
                </c:pt>
                <c:pt idx="41">
                  <c:v>41671</c:v>
                </c:pt>
                <c:pt idx="42">
                  <c:v>41699</c:v>
                </c:pt>
                <c:pt idx="43">
                  <c:v>41730</c:v>
                </c:pt>
                <c:pt idx="44">
                  <c:v>41760</c:v>
                </c:pt>
                <c:pt idx="45">
                  <c:v>41791</c:v>
                </c:pt>
                <c:pt idx="46">
                  <c:v>41821</c:v>
                </c:pt>
                <c:pt idx="47">
                  <c:v>41852</c:v>
                </c:pt>
                <c:pt idx="48">
                  <c:v>41883</c:v>
                </c:pt>
                <c:pt idx="49">
                  <c:v>41913</c:v>
                </c:pt>
                <c:pt idx="50">
                  <c:v>41944</c:v>
                </c:pt>
                <c:pt idx="51">
                  <c:v>41974</c:v>
                </c:pt>
                <c:pt idx="52">
                  <c:v>42005</c:v>
                </c:pt>
                <c:pt idx="53">
                  <c:v>42036</c:v>
                </c:pt>
                <c:pt idx="54">
                  <c:v>42064</c:v>
                </c:pt>
                <c:pt idx="55">
                  <c:v>42095</c:v>
                </c:pt>
                <c:pt idx="56">
                  <c:v>42125</c:v>
                </c:pt>
                <c:pt idx="57">
                  <c:v>42156</c:v>
                </c:pt>
                <c:pt idx="58">
                  <c:v>42186</c:v>
                </c:pt>
                <c:pt idx="59">
                  <c:v>42217</c:v>
                </c:pt>
                <c:pt idx="60">
                  <c:v>42248</c:v>
                </c:pt>
                <c:pt idx="61">
                  <c:v>42278</c:v>
                </c:pt>
                <c:pt idx="62">
                  <c:v>42309</c:v>
                </c:pt>
                <c:pt idx="63">
                  <c:v>42339</c:v>
                </c:pt>
                <c:pt idx="64">
                  <c:v>42370</c:v>
                </c:pt>
                <c:pt idx="65">
                  <c:v>42401</c:v>
                </c:pt>
                <c:pt idx="66">
                  <c:v>42430</c:v>
                </c:pt>
                <c:pt idx="67">
                  <c:v>42461</c:v>
                </c:pt>
                <c:pt idx="68">
                  <c:v>42491</c:v>
                </c:pt>
                <c:pt idx="69">
                  <c:v>42522</c:v>
                </c:pt>
                <c:pt idx="70">
                  <c:v>42552</c:v>
                </c:pt>
                <c:pt idx="71">
                  <c:v>42583</c:v>
                </c:pt>
                <c:pt idx="72">
                  <c:v>42614</c:v>
                </c:pt>
                <c:pt idx="73">
                  <c:v>42644</c:v>
                </c:pt>
                <c:pt idx="74">
                  <c:v>42675</c:v>
                </c:pt>
                <c:pt idx="75">
                  <c:v>42705</c:v>
                </c:pt>
                <c:pt idx="76">
                  <c:v>42736</c:v>
                </c:pt>
                <c:pt idx="77">
                  <c:v>42767</c:v>
                </c:pt>
                <c:pt idx="78">
                  <c:v>42795</c:v>
                </c:pt>
                <c:pt idx="79">
                  <c:v>42826</c:v>
                </c:pt>
                <c:pt idx="80">
                  <c:v>42856</c:v>
                </c:pt>
              </c:numCache>
            </c:numRef>
          </c:cat>
          <c:val>
            <c:numRef>
              <c:f>'Price charts'!$Y$6:$Y$86</c:f>
              <c:numCache>
                <c:formatCode>0.0</c:formatCode>
                <c:ptCount val="81"/>
                <c:pt idx="0">
                  <c:v>3.113973333333333</c:v>
                </c:pt>
                <c:pt idx="1">
                  <c:v>1.4438483870967744</c:v>
                </c:pt>
                <c:pt idx="2">
                  <c:v>5.5908566666666708</c:v>
                </c:pt>
                <c:pt idx="3">
                  <c:v>0.75783548387096766</c:v>
                </c:pt>
                <c:pt idx="4">
                  <c:v>1.677816129032258</c:v>
                </c:pt>
                <c:pt idx="5">
                  <c:v>2.8376750000000004</c:v>
                </c:pt>
                <c:pt idx="6">
                  <c:v>2.8520838709677432</c:v>
                </c:pt>
                <c:pt idx="7">
                  <c:v>3.3303699999999998</c:v>
                </c:pt>
                <c:pt idx="8">
                  <c:v>3.441003225806452</c:v>
                </c:pt>
                <c:pt idx="9">
                  <c:v>3.7646533333333334</c:v>
                </c:pt>
                <c:pt idx="10">
                  <c:v>3.6557290322580633</c:v>
                </c:pt>
                <c:pt idx="11">
                  <c:v>3.4285612903225808</c:v>
                </c:pt>
                <c:pt idx="12">
                  <c:v>3.2380066666666663</c:v>
                </c:pt>
                <c:pt idx="13">
                  <c:v>3.0213935483870977</c:v>
                </c:pt>
                <c:pt idx="14">
                  <c:v>2.5397666666666674</c:v>
                </c:pt>
                <c:pt idx="15">
                  <c:v>2.3978387096774192</c:v>
                </c:pt>
                <c:pt idx="16">
                  <c:v>2.7772483870967744</c:v>
                </c:pt>
                <c:pt idx="17">
                  <c:v>3.1945241379310327</c:v>
                </c:pt>
                <c:pt idx="18">
                  <c:v>3.428580645161289</c:v>
                </c:pt>
                <c:pt idx="19">
                  <c:v>3.4229233333333338</c:v>
                </c:pt>
                <c:pt idx="20">
                  <c:v>3.9602129032258069</c:v>
                </c:pt>
                <c:pt idx="21">
                  <c:v>6.3437300000000025</c:v>
                </c:pt>
                <c:pt idx="22">
                  <c:v>6.7485612903225816</c:v>
                </c:pt>
                <c:pt idx="23">
                  <c:v>6.7855225806451598</c:v>
                </c:pt>
                <c:pt idx="24">
                  <c:v>5.1857466666666685</c:v>
                </c:pt>
                <c:pt idx="25">
                  <c:v>5.2055193548387093</c:v>
                </c:pt>
                <c:pt idx="26">
                  <c:v>4.2459033333333345</c:v>
                </c:pt>
                <c:pt idx="27">
                  <c:v>4.2607709677419363</c:v>
                </c:pt>
                <c:pt idx="28">
                  <c:v>4.4890032258064521</c:v>
                </c:pt>
                <c:pt idx="29">
                  <c:v>4.8287714285714287</c:v>
                </c:pt>
                <c:pt idx="30">
                  <c:v>4.7943677419354822</c:v>
                </c:pt>
                <c:pt idx="31">
                  <c:v>4.801216666666666</c:v>
                </c:pt>
                <c:pt idx="32">
                  <c:v>5.1280741935483869</c:v>
                </c:pt>
                <c:pt idx="33">
                  <c:v>5.8686433333333339</c:v>
                </c:pt>
                <c:pt idx="34">
                  <c:v>5.1649741935483897</c:v>
                </c:pt>
                <c:pt idx="35">
                  <c:v>4.4925838709677413</c:v>
                </c:pt>
                <c:pt idx="36">
                  <c:v>3.5868566666666655</c:v>
                </c:pt>
                <c:pt idx="37">
                  <c:v>4.0331161290322584</c:v>
                </c:pt>
                <c:pt idx="38">
                  <c:v>3.9295800000000005</c:v>
                </c:pt>
                <c:pt idx="39">
                  <c:v>3.8844935483870975</c:v>
                </c:pt>
                <c:pt idx="40">
                  <c:v>4.1075516129032259</c:v>
                </c:pt>
                <c:pt idx="41">
                  <c:v>3.9910071428571432</c:v>
                </c:pt>
                <c:pt idx="42">
                  <c:v>3.8163967741935489</c:v>
                </c:pt>
                <c:pt idx="43">
                  <c:v>3.7049399999999997</c:v>
                </c:pt>
                <c:pt idx="44">
                  <c:v>3.779487096774194</c:v>
                </c:pt>
                <c:pt idx="45">
                  <c:v>3.7970200000000012</c:v>
                </c:pt>
                <c:pt idx="46">
                  <c:v>3.9368516129032254</c:v>
                </c:pt>
                <c:pt idx="47">
                  <c:v>3.854587096774194</c:v>
                </c:pt>
                <c:pt idx="48">
                  <c:v>3.7473566666666671</c:v>
                </c:pt>
                <c:pt idx="49">
                  <c:v>2.230032258064516</c:v>
                </c:pt>
                <c:pt idx="50">
                  <c:v>2.1678966666666666</c:v>
                </c:pt>
                <c:pt idx="51">
                  <c:v>2.4852419354838711</c:v>
                </c:pt>
                <c:pt idx="52">
                  <c:v>4.201638709677419</c:v>
                </c:pt>
                <c:pt idx="53">
                  <c:v>3.6988500000000002</c:v>
                </c:pt>
                <c:pt idx="54">
                  <c:v>3.5699387096774187</c:v>
                </c:pt>
                <c:pt idx="55">
                  <c:v>3.4876999999999998</c:v>
                </c:pt>
                <c:pt idx="56">
                  <c:v>3.329777419354838</c:v>
                </c:pt>
                <c:pt idx="57">
                  <c:v>4.6227600000000004</c:v>
                </c:pt>
                <c:pt idx="58">
                  <c:v>5.5557741935483866</c:v>
                </c:pt>
                <c:pt idx="59">
                  <c:v>4.5176161290322581</c:v>
                </c:pt>
                <c:pt idx="60">
                  <c:v>5.147756666666667</c:v>
                </c:pt>
                <c:pt idx="61">
                  <c:v>3.9490580645161293</c:v>
                </c:pt>
                <c:pt idx="62">
                  <c:v>4.0819699999999992</c:v>
                </c:pt>
                <c:pt idx="63">
                  <c:v>4.7307580645161282</c:v>
                </c:pt>
                <c:pt idx="64">
                  <c:v>4.2938548387096782</c:v>
                </c:pt>
                <c:pt idx="65">
                  <c:v>4.2977655172413787</c:v>
                </c:pt>
                <c:pt idx="66">
                  <c:v>4.5813483870967735</c:v>
                </c:pt>
                <c:pt idx="67">
                  <c:v>4.9470299999999989</c:v>
                </c:pt>
                <c:pt idx="68">
                  <c:v>5.5709741935483867</c:v>
                </c:pt>
                <c:pt idx="69">
                  <c:v>9.0088533333333309</c:v>
                </c:pt>
                <c:pt idx="70">
                  <c:v>10.163480645161291</c:v>
                </c:pt>
                <c:pt idx="71">
                  <c:v>7.2938258064516139</c:v>
                </c:pt>
                <c:pt idx="72">
                  <c:v>6.0427466666666678</c:v>
                </c:pt>
                <c:pt idx="73">
                  <c:v>6.2433838709677421</c:v>
                </c:pt>
                <c:pt idx="74">
                  <c:v>6.7817033333333319</c:v>
                </c:pt>
                <c:pt idx="75">
                  <c:v>7.2926032258064497</c:v>
                </c:pt>
                <c:pt idx="76">
                  <c:v>8.959922580645161</c:v>
                </c:pt>
                <c:pt idx="77">
                  <c:v>11.531842857142857</c:v>
                </c:pt>
                <c:pt idx="78">
                  <c:v>10.796532258064513</c:v>
                </c:pt>
                <c:pt idx="79">
                  <c:v>9.4758966666666673</c:v>
                </c:pt>
                <c:pt idx="80">
                  <c:v>#N/A</c:v>
                </c:pt>
              </c:numCache>
            </c:numRef>
          </c:val>
          <c:smooth val="0"/>
          <c:extLst>
            <c:ext xmlns:c16="http://schemas.microsoft.com/office/drawing/2014/chart" uri="{C3380CC4-5D6E-409C-BE32-E72D297353CC}">
              <c16:uniqueId val="{00000002-FD76-479C-AFA3-E0DB7063A9F6}"/>
            </c:ext>
          </c:extLst>
        </c:ser>
        <c:ser>
          <c:idx val="3"/>
          <c:order val="3"/>
          <c:tx>
            <c:strRef>
              <c:f>'Price charts'!$Z$5</c:f>
              <c:strCache>
                <c:ptCount val="1"/>
                <c:pt idx="0">
                  <c:v>Wallumbilla</c:v>
                </c:pt>
              </c:strCache>
            </c:strRef>
          </c:tx>
          <c:spPr>
            <a:ln w="25400" cap="rnd">
              <a:solidFill>
                <a:srgbClr val="BCBFC1"/>
              </a:solidFill>
              <a:prstDash val="solid"/>
              <a:round/>
            </a:ln>
            <a:effectLst/>
          </c:spPr>
          <c:marker>
            <c:symbol val="none"/>
          </c:marker>
          <c:cat>
            <c:numRef>
              <c:f>'Price charts'!$V$6:$V$86</c:f>
              <c:numCache>
                <c:formatCode>mmm\-yy</c:formatCode>
                <c:ptCount val="81"/>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pt idx="33">
                  <c:v>41426</c:v>
                </c:pt>
                <c:pt idx="34">
                  <c:v>41456</c:v>
                </c:pt>
                <c:pt idx="35">
                  <c:v>41487</c:v>
                </c:pt>
                <c:pt idx="36">
                  <c:v>41518</c:v>
                </c:pt>
                <c:pt idx="37">
                  <c:v>41548</c:v>
                </c:pt>
                <c:pt idx="38">
                  <c:v>41579</c:v>
                </c:pt>
                <c:pt idx="39">
                  <c:v>41609</c:v>
                </c:pt>
                <c:pt idx="40">
                  <c:v>41640</c:v>
                </c:pt>
                <c:pt idx="41">
                  <c:v>41671</c:v>
                </c:pt>
                <c:pt idx="42">
                  <c:v>41699</c:v>
                </c:pt>
                <c:pt idx="43">
                  <c:v>41730</c:v>
                </c:pt>
                <c:pt idx="44">
                  <c:v>41760</c:v>
                </c:pt>
                <c:pt idx="45">
                  <c:v>41791</c:v>
                </c:pt>
                <c:pt idx="46">
                  <c:v>41821</c:v>
                </c:pt>
                <c:pt idx="47">
                  <c:v>41852</c:v>
                </c:pt>
                <c:pt idx="48">
                  <c:v>41883</c:v>
                </c:pt>
                <c:pt idx="49">
                  <c:v>41913</c:v>
                </c:pt>
                <c:pt idx="50">
                  <c:v>41944</c:v>
                </c:pt>
                <c:pt idx="51">
                  <c:v>41974</c:v>
                </c:pt>
                <c:pt idx="52">
                  <c:v>42005</c:v>
                </c:pt>
                <c:pt idx="53">
                  <c:v>42036</c:v>
                </c:pt>
                <c:pt idx="54">
                  <c:v>42064</c:v>
                </c:pt>
                <c:pt idx="55">
                  <c:v>42095</c:v>
                </c:pt>
                <c:pt idx="56">
                  <c:v>42125</c:v>
                </c:pt>
                <c:pt idx="57">
                  <c:v>42156</c:v>
                </c:pt>
                <c:pt idx="58">
                  <c:v>42186</c:v>
                </c:pt>
                <c:pt idx="59">
                  <c:v>42217</c:v>
                </c:pt>
                <c:pt idx="60">
                  <c:v>42248</c:v>
                </c:pt>
                <c:pt idx="61">
                  <c:v>42278</c:v>
                </c:pt>
                <c:pt idx="62">
                  <c:v>42309</c:v>
                </c:pt>
                <c:pt idx="63">
                  <c:v>42339</c:v>
                </c:pt>
                <c:pt idx="64">
                  <c:v>42370</c:v>
                </c:pt>
                <c:pt idx="65">
                  <c:v>42401</c:v>
                </c:pt>
                <c:pt idx="66">
                  <c:v>42430</c:v>
                </c:pt>
                <c:pt idx="67">
                  <c:v>42461</c:v>
                </c:pt>
                <c:pt idx="68">
                  <c:v>42491</c:v>
                </c:pt>
                <c:pt idx="69">
                  <c:v>42522</c:v>
                </c:pt>
                <c:pt idx="70">
                  <c:v>42552</c:v>
                </c:pt>
                <c:pt idx="71">
                  <c:v>42583</c:v>
                </c:pt>
                <c:pt idx="72">
                  <c:v>42614</c:v>
                </c:pt>
                <c:pt idx="73">
                  <c:v>42644</c:v>
                </c:pt>
                <c:pt idx="74">
                  <c:v>42675</c:v>
                </c:pt>
                <c:pt idx="75">
                  <c:v>42705</c:v>
                </c:pt>
                <c:pt idx="76">
                  <c:v>42736</c:v>
                </c:pt>
                <c:pt idx="77">
                  <c:v>42767</c:v>
                </c:pt>
                <c:pt idx="78">
                  <c:v>42795</c:v>
                </c:pt>
                <c:pt idx="79">
                  <c:v>42826</c:v>
                </c:pt>
                <c:pt idx="80">
                  <c:v>42856</c:v>
                </c:pt>
              </c:numCache>
            </c:numRef>
          </c:cat>
          <c:val>
            <c:numRef>
              <c:f>'Price charts'!$Z$6:$Z$86</c:f>
              <c:numCache>
                <c:formatCode>0.0</c:formatCode>
                <c:ptCount val="8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4.1907692307692308</c:v>
                </c:pt>
                <c:pt idx="43">
                  <c:v>3.0923333333333338</c:v>
                </c:pt>
                <c:pt idx="44">
                  <c:v>2.6470967741935478</c:v>
                </c:pt>
                <c:pt idx="45">
                  <c:v>2.3303333333333343</c:v>
                </c:pt>
                <c:pt idx="46">
                  <c:v>1.940967741935484</c:v>
                </c:pt>
                <c:pt idx="47">
                  <c:v>1.8019354838709682</c:v>
                </c:pt>
                <c:pt idx="48">
                  <c:v>2.2070000000000003</c:v>
                </c:pt>
                <c:pt idx="49">
                  <c:v>1.1064516129032256</c:v>
                </c:pt>
                <c:pt idx="50">
                  <c:v>0.51366666666666683</c:v>
                </c:pt>
                <c:pt idx="51">
                  <c:v>2.0570967741935489</c:v>
                </c:pt>
                <c:pt idx="52">
                  <c:v>5.1741935483870964</c:v>
                </c:pt>
                <c:pt idx="53">
                  <c:v>2.8389285714285726</c:v>
                </c:pt>
                <c:pt idx="54">
                  <c:v>3.402580645161291</c:v>
                </c:pt>
                <c:pt idx="55">
                  <c:v>2.699666666666666</c:v>
                </c:pt>
                <c:pt idx="56">
                  <c:v>2.1864516129032259</c:v>
                </c:pt>
                <c:pt idx="57">
                  <c:v>2.395999999999999</c:v>
                </c:pt>
                <c:pt idx="58">
                  <c:v>4.3245161290322578</c:v>
                </c:pt>
                <c:pt idx="59">
                  <c:v>3.0087096774193545</c:v>
                </c:pt>
                <c:pt idx="60">
                  <c:v>3.6873333333333322</c:v>
                </c:pt>
                <c:pt idx="61">
                  <c:v>3.4700000000000015</c:v>
                </c:pt>
                <c:pt idx="62">
                  <c:v>2.9183333333333334</c:v>
                </c:pt>
                <c:pt idx="63">
                  <c:v>3.0999999999999996</c:v>
                </c:pt>
                <c:pt idx="64">
                  <c:v>4.5190322580645157</c:v>
                </c:pt>
                <c:pt idx="65">
                  <c:v>4.706896551724137</c:v>
                </c:pt>
                <c:pt idx="66">
                  <c:v>5.6238709677419383</c:v>
                </c:pt>
                <c:pt idx="67">
                  <c:v>4.6633333333333322</c:v>
                </c:pt>
                <c:pt idx="68">
                  <c:v>5.0987096774193565</c:v>
                </c:pt>
                <c:pt idx="69">
                  <c:v>8.2406666666666677</c:v>
                </c:pt>
                <c:pt idx="70">
                  <c:v>9.241935483870968</c:v>
                </c:pt>
                <c:pt idx="71">
                  <c:v>6.1532258064516139</c:v>
                </c:pt>
                <c:pt idx="72">
                  <c:v>4.4710000000000019</c:v>
                </c:pt>
                <c:pt idx="73">
                  <c:v>5.4954838709677425</c:v>
                </c:pt>
                <c:pt idx="74">
                  <c:v>6.75</c:v>
                </c:pt>
                <c:pt idx="75">
                  <c:v>8.0848387096774204</c:v>
                </c:pt>
                <c:pt idx="76">
                  <c:v>10.734516129032258</c:v>
                </c:pt>
                <c:pt idx="77">
                  <c:v>12.997857142857146</c:v>
                </c:pt>
                <c:pt idx="78">
                  <c:v>8.4774193548387125</c:v>
                </c:pt>
                <c:pt idx="79">
                  <c:v>8.6300000000000026</c:v>
                </c:pt>
                <c:pt idx="80">
                  <c:v>8.65</c:v>
                </c:pt>
              </c:numCache>
            </c:numRef>
          </c:val>
          <c:smooth val="0"/>
          <c:extLst>
            <c:ext xmlns:c16="http://schemas.microsoft.com/office/drawing/2014/chart" uri="{C3380CC4-5D6E-409C-BE32-E72D297353CC}">
              <c16:uniqueId val="{00000003-FD76-479C-AFA3-E0DB7063A9F6}"/>
            </c:ext>
          </c:extLst>
        </c:ser>
        <c:ser>
          <c:idx val="4"/>
          <c:order val="4"/>
          <c:tx>
            <c:strRef>
              <c:f>'Price charts'!$AA$5</c:f>
              <c:strCache>
                <c:ptCount val="1"/>
                <c:pt idx="0">
                  <c:v>Victoria Wholesale</c:v>
                </c:pt>
              </c:strCache>
            </c:strRef>
          </c:tx>
          <c:spPr>
            <a:ln w="25400" cap="rnd">
              <a:solidFill>
                <a:srgbClr val="595A5B"/>
              </a:solidFill>
              <a:prstDash val="solid"/>
              <a:round/>
            </a:ln>
            <a:effectLst/>
          </c:spPr>
          <c:marker>
            <c:symbol val="none"/>
          </c:marker>
          <c:cat>
            <c:numRef>
              <c:f>'Price charts'!$V$6:$V$86</c:f>
              <c:numCache>
                <c:formatCode>mmm\-yy</c:formatCode>
                <c:ptCount val="81"/>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pt idx="33">
                  <c:v>41426</c:v>
                </c:pt>
                <c:pt idx="34">
                  <c:v>41456</c:v>
                </c:pt>
                <c:pt idx="35">
                  <c:v>41487</c:v>
                </c:pt>
                <c:pt idx="36">
                  <c:v>41518</c:v>
                </c:pt>
                <c:pt idx="37">
                  <c:v>41548</c:v>
                </c:pt>
                <c:pt idx="38">
                  <c:v>41579</c:v>
                </c:pt>
                <c:pt idx="39">
                  <c:v>41609</c:v>
                </c:pt>
                <c:pt idx="40">
                  <c:v>41640</c:v>
                </c:pt>
                <c:pt idx="41">
                  <c:v>41671</c:v>
                </c:pt>
                <c:pt idx="42">
                  <c:v>41699</c:v>
                </c:pt>
                <c:pt idx="43">
                  <c:v>41730</c:v>
                </c:pt>
                <c:pt idx="44">
                  <c:v>41760</c:v>
                </c:pt>
                <c:pt idx="45">
                  <c:v>41791</c:v>
                </c:pt>
                <c:pt idx="46">
                  <c:v>41821</c:v>
                </c:pt>
                <c:pt idx="47">
                  <c:v>41852</c:v>
                </c:pt>
                <c:pt idx="48">
                  <c:v>41883</c:v>
                </c:pt>
                <c:pt idx="49">
                  <c:v>41913</c:v>
                </c:pt>
                <c:pt idx="50">
                  <c:v>41944</c:v>
                </c:pt>
                <c:pt idx="51">
                  <c:v>41974</c:v>
                </c:pt>
                <c:pt idx="52">
                  <c:v>42005</c:v>
                </c:pt>
                <c:pt idx="53">
                  <c:v>42036</c:v>
                </c:pt>
                <c:pt idx="54">
                  <c:v>42064</c:v>
                </c:pt>
                <c:pt idx="55">
                  <c:v>42095</c:v>
                </c:pt>
                <c:pt idx="56">
                  <c:v>42125</c:v>
                </c:pt>
                <c:pt idx="57">
                  <c:v>42156</c:v>
                </c:pt>
                <c:pt idx="58">
                  <c:v>42186</c:v>
                </c:pt>
                <c:pt idx="59">
                  <c:v>42217</c:v>
                </c:pt>
                <c:pt idx="60">
                  <c:v>42248</c:v>
                </c:pt>
                <c:pt idx="61">
                  <c:v>42278</c:v>
                </c:pt>
                <c:pt idx="62">
                  <c:v>42309</c:v>
                </c:pt>
                <c:pt idx="63">
                  <c:v>42339</c:v>
                </c:pt>
                <c:pt idx="64">
                  <c:v>42370</c:v>
                </c:pt>
                <c:pt idx="65">
                  <c:v>42401</c:v>
                </c:pt>
                <c:pt idx="66">
                  <c:v>42430</c:v>
                </c:pt>
                <c:pt idx="67">
                  <c:v>42461</c:v>
                </c:pt>
                <c:pt idx="68">
                  <c:v>42491</c:v>
                </c:pt>
                <c:pt idx="69">
                  <c:v>42522</c:v>
                </c:pt>
                <c:pt idx="70">
                  <c:v>42552</c:v>
                </c:pt>
                <c:pt idx="71">
                  <c:v>42583</c:v>
                </c:pt>
                <c:pt idx="72">
                  <c:v>42614</c:v>
                </c:pt>
                <c:pt idx="73">
                  <c:v>42644</c:v>
                </c:pt>
                <c:pt idx="74">
                  <c:v>42675</c:v>
                </c:pt>
                <c:pt idx="75">
                  <c:v>42705</c:v>
                </c:pt>
                <c:pt idx="76">
                  <c:v>42736</c:v>
                </c:pt>
                <c:pt idx="77">
                  <c:v>42767</c:v>
                </c:pt>
                <c:pt idx="78">
                  <c:v>42795</c:v>
                </c:pt>
                <c:pt idx="79">
                  <c:v>42826</c:v>
                </c:pt>
                <c:pt idx="80">
                  <c:v>42856</c:v>
                </c:pt>
              </c:numCache>
            </c:numRef>
          </c:cat>
          <c:val>
            <c:numRef>
              <c:f>'Price charts'!$AA$6:$AA$86</c:f>
              <c:numCache>
                <c:formatCode>0.0</c:formatCode>
                <c:ptCount val="81"/>
                <c:pt idx="0">
                  <c:v>1.3718233333333332</c:v>
                </c:pt>
                <c:pt idx="1">
                  <c:v>1.1427064516129035</c:v>
                </c:pt>
                <c:pt idx="2">
                  <c:v>1.25013</c:v>
                </c:pt>
                <c:pt idx="3">
                  <c:v>1.4467161290322581</c:v>
                </c:pt>
                <c:pt idx="4">
                  <c:v>2.5874096774193549</c:v>
                </c:pt>
                <c:pt idx="5">
                  <c:v>2.484253571428571</c:v>
                </c:pt>
                <c:pt idx="6">
                  <c:v>2.9596580645161294</c:v>
                </c:pt>
                <c:pt idx="7">
                  <c:v>3.0740600000000002</c:v>
                </c:pt>
                <c:pt idx="8">
                  <c:v>3.5189225806451616</c:v>
                </c:pt>
                <c:pt idx="9">
                  <c:v>3.8516733333333324</c:v>
                </c:pt>
                <c:pt idx="10">
                  <c:v>3.6308903225806444</c:v>
                </c:pt>
                <c:pt idx="11">
                  <c:v>3.4150548387096782</c:v>
                </c:pt>
                <c:pt idx="12">
                  <c:v>2.9280933333333334</c:v>
                </c:pt>
                <c:pt idx="13">
                  <c:v>2.3289741935483872</c:v>
                </c:pt>
                <c:pt idx="14">
                  <c:v>2.0303166666666668</c:v>
                </c:pt>
                <c:pt idx="15">
                  <c:v>2.9375967741935489</c:v>
                </c:pt>
                <c:pt idx="16">
                  <c:v>3.2301451612903231</c:v>
                </c:pt>
                <c:pt idx="17">
                  <c:v>3.3012793103448277</c:v>
                </c:pt>
                <c:pt idx="18">
                  <c:v>3.2711741935483869</c:v>
                </c:pt>
                <c:pt idx="19">
                  <c:v>3.4518566666666666</c:v>
                </c:pt>
                <c:pt idx="20">
                  <c:v>3.785087096774193</c:v>
                </c:pt>
                <c:pt idx="21">
                  <c:v>5.1342466666666668</c:v>
                </c:pt>
                <c:pt idx="22">
                  <c:v>5.8998387096774199</c:v>
                </c:pt>
                <c:pt idx="23">
                  <c:v>4.8154903225806454</c:v>
                </c:pt>
                <c:pt idx="24">
                  <c:v>4.4069200000000004</c:v>
                </c:pt>
                <c:pt idx="25">
                  <c:v>4.2425129032258058</c:v>
                </c:pt>
                <c:pt idx="26">
                  <c:v>4.0694566666666674</c:v>
                </c:pt>
                <c:pt idx="27">
                  <c:v>3.8348483870967742</c:v>
                </c:pt>
                <c:pt idx="28">
                  <c:v>4.250932258064517</c:v>
                </c:pt>
                <c:pt idx="29">
                  <c:v>4.6522678571428573</c:v>
                </c:pt>
                <c:pt idx="30">
                  <c:v>4.1951903225806451</c:v>
                </c:pt>
                <c:pt idx="31">
                  <c:v>4.4393866666666657</c:v>
                </c:pt>
                <c:pt idx="32">
                  <c:v>4.6720612903225796</c:v>
                </c:pt>
                <c:pt idx="33">
                  <c:v>4.4825466666666669</c:v>
                </c:pt>
                <c:pt idx="34">
                  <c:v>4.5189935483870967</c:v>
                </c:pt>
                <c:pt idx="35">
                  <c:v>4.1467935483870972</c:v>
                </c:pt>
                <c:pt idx="36">
                  <c:v>3.6226299999999996</c:v>
                </c:pt>
                <c:pt idx="37">
                  <c:v>3.8290419354838714</c:v>
                </c:pt>
                <c:pt idx="38">
                  <c:v>3.90137</c:v>
                </c:pt>
                <c:pt idx="39">
                  <c:v>3.8921161290322588</c:v>
                </c:pt>
                <c:pt idx="40">
                  <c:v>3.9162999999999992</c:v>
                </c:pt>
                <c:pt idx="41">
                  <c:v>4.0221392857142853</c:v>
                </c:pt>
                <c:pt idx="42">
                  <c:v>3.8055709677419354</c:v>
                </c:pt>
                <c:pt idx="43">
                  <c:v>3.7758533333333326</c:v>
                </c:pt>
                <c:pt idx="44">
                  <c:v>3.6396709677419352</c:v>
                </c:pt>
                <c:pt idx="45">
                  <c:v>3.551693333333334</c:v>
                </c:pt>
                <c:pt idx="46">
                  <c:v>3.8141258064516133</c:v>
                </c:pt>
                <c:pt idx="47">
                  <c:v>3.5502419354838715</c:v>
                </c:pt>
                <c:pt idx="48">
                  <c:v>3.6029566666666661</c:v>
                </c:pt>
                <c:pt idx="49">
                  <c:v>3.2076322580645176</c:v>
                </c:pt>
                <c:pt idx="50">
                  <c:v>3.1464799999999995</c:v>
                </c:pt>
                <c:pt idx="51">
                  <c:v>3.659564516129032</c:v>
                </c:pt>
                <c:pt idx="52">
                  <c:v>3.5143903225806463</c:v>
                </c:pt>
                <c:pt idx="53">
                  <c:v>3.4129000000000005</c:v>
                </c:pt>
                <c:pt idx="54">
                  <c:v>3.5400161290322587</c:v>
                </c:pt>
                <c:pt idx="55">
                  <c:v>3.8101866666666653</c:v>
                </c:pt>
                <c:pt idx="56">
                  <c:v>4.0064483870967749</c:v>
                </c:pt>
                <c:pt idx="57">
                  <c:v>4.4344399999999995</c:v>
                </c:pt>
                <c:pt idx="58">
                  <c:v>5.0850193548387104</c:v>
                </c:pt>
                <c:pt idx="59">
                  <c:v>4.5444129032258065</c:v>
                </c:pt>
                <c:pt idx="60">
                  <c:v>4.4514966666666664</c:v>
                </c:pt>
                <c:pt idx="61">
                  <c:v>3.9041548387096774</c:v>
                </c:pt>
                <c:pt idx="62">
                  <c:v>4.2690166666666665</c:v>
                </c:pt>
                <c:pt idx="63">
                  <c:v>4.7647645161290315</c:v>
                </c:pt>
                <c:pt idx="64">
                  <c:v>4.0831870967741937</c:v>
                </c:pt>
                <c:pt idx="65">
                  <c:v>4.2978137931034484</c:v>
                </c:pt>
                <c:pt idx="66">
                  <c:v>4.7383774193548387</c:v>
                </c:pt>
                <c:pt idx="67">
                  <c:v>5.018536666666666</c:v>
                </c:pt>
                <c:pt idx="68">
                  <c:v>5.4390677419354843</c:v>
                </c:pt>
                <c:pt idx="69">
                  <c:v>9.8656533333333343</c:v>
                </c:pt>
                <c:pt idx="70">
                  <c:v>12.637680645161288</c:v>
                </c:pt>
                <c:pt idx="71">
                  <c:v>7.5367838709677422</c:v>
                </c:pt>
                <c:pt idx="72">
                  <c:v>6.2822300000000002</c:v>
                </c:pt>
                <c:pt idx="73">
                  <c:v>6.1766483870967761</c:v>
                </c:pt>
                <c:pt idx="74">
                  <c:v>6.5545133333333334</c:v>
                </c:pt>
                <c:pt idx="75">
                  <c:v>7.5324580645161285</c:v>
                </c:pt>
                <c:pt idx="76">
                  <c:v>7.6921548387096754</c:v>
                </c:pt>
                <c:pt idx="77">
                  <c:v>10.628457142857142</c:v>
                </c:pt>
                <c:pt idx="78">
                  <c:v>8.925261290322581</c:v>
                </c:pt>
                <c:pt idx="79">
                  <c:v>8.5569533333333325</c:v>
                </c:pt>
                <c:pt idx="80">
                  <c:v>10.427095652173913</c:v>
                </c:pt>
              </c:numCache>
            </c:numRef>
          </c:val>
          <c:smooth val="0"/>
          <c:extLst>
            <c:ext xmlns:c16="http://schemas.microsoft.com/office/drawing/2014/chart" uri="{C3380CC4-5D6E-409C-BE32-E72D297353CC}">
              <c16:uniqueId val="{00000004-FD76-479C-AFA3-E0DB7063A9F6}"/>
            </c:ext>
          </c:extLst>
        </c:ser>
        <c:dLbls>
          <c:showLegendKey val="0"/>
          <c:showVal val="0"/>
          <c:showCatName val="0"/>
          <c:showSerName val="0"/>
          <c:showPercent val="0"/>
          <c:showBubbleSize val="0"/>
        </c:dLbls>
        <c:smooth val="0"/>
        <c:axId val="586765976"/>
        <c:axId val="581670216"/>
      </c:lineChart>
      <c:dateAx>
        <c:axId val="586765976"/>
        <c:scaling>
          <c:orientation val="minMax"/>
        </c:scaling>
        <c:delete val="0"/>
        <c:axPos val="b"/>
        <c:numFmt formatCode="mmm\-yy"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581670216"/>
        <c:crosses val="autoZero"/>
        <c:auto val="1"/>
        <c:lblOffset val="100"/>
        <c:baseTimeUnit val="months"/>
      </c:dateAx>
      <c:valAx>
        <c:axId val="581670216"/>
        <c:scaling>
          <c:orientation val="minMax"/>
        </c:scaling>
        <c:delete val="0"/>
        <c:axPos val="l"/>
        <c:title>
          <c:tx>
            <c:rich>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r>
                  <a:rPr lang="en-US" sz="900" b="0" i="0" u="none" strike="noStrike" kern="1200" baseline="0">
                    <a:solidFill>
                      <a:srgbClr val="595A5B"/>
                    </a:solidFill>
                    <a:latin typeface="Arial" panose="020B0604020202020204" pitchFamily="34" charset="0"/>
                    <a:cs typeface="Arial" panose="020B0604020202020204" pitchFamily="34" charset="0"/>
                  </a:rPr>
                  <a:t>A$ a gigajoule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595A5B"/>
                  </a:solidFill>
                  <a:latin typeface="Arial" panose="020B0604020202020204" pitchFamily="34" charset="0"/>
                  <a:ea typeface="Arial"/>
                  <a:cs typeface="Arial" panose="020B0604020202020204" pitchFamily="34" charset="0"/>
                </a:defRPr>
              </a:pPr>
              <a:endParaRPr lang="en-US"/>
            </a:p>
          </c:txPr>
        </c:title>
        <c:numFmt formatCode="0" sourceLinked="0"/>
        <c:majorTickMark val="out"/>
        <c:minorTickMark val="none"/>
        <c:tickLblPos val="nextTo"/>
        <c:spPr>
          <a:noFill/>
          <a:ln w="317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crossAx val="586765976"/>
        <c:crosses val="autoZero"/>
        <c:crossBetween val="between"/>
      </c:valAx>
      <c:spPr>
        <a:noFill/>
        <a:ln w="25400">
          <a:noFill/>
        </a:ln>
        <a:effectLst/>
      </c:spPr>
    </c:plotArea>
    <c:legend>
      <c:legendPos val="b"/>
      <c:layout>
        <c:manualLayout>
          <c:xMode val="edge"/>
          <c:yMode val="edge"/>
          <c:x val="2.8483016785140411E-2"/>
          <c:y val="0.88594640883803955"/>
          <c:w val="0.93417057634026635"/>
          <c:h val="0.1110873565434322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895E4B092C0C4D96D1B67E070D1144" ma:contentTypeVersion="12" ma:contentTypeDescription="Create a new document." ma:contentTypeScope="" ma:versionID="3b5e3bcc294ca3651809b35bfddeeb36">
  <xsd:schema xmlns:xsd="http://www.w3.org/2001/XMLSchema" xmlns:xs="http://www.w3.org/2001/XMLSchema" xmlns:p="http://schemas.microsoft.com/office/2006/metadata/properties" xmlns:ns1="http://schemas.microsoft.com/sharepoint/v3" xmlns:ns2="76c08405-89e9-4c57-a585-b31d7bded94b" targetNamespace="http://schemas.microsoft.com/office/2006/metadata/properties" ma:root="true" ma:fieldsID="a50f1525ab97f46eaa97dba8b6031480" ns1:_="" ns2:_="">
    <xsd:import namespace="http://schemas.microsoft.com/sharepoint/v3"/>
    <xsd:import namespace="76c08405-89e9-4c57-a585-b31d7bded94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c08405-89e9-4c57-a585-b31d7bded94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6247be60-eff2-4727-b089-eeeb92cab0a1}" ma:internalName="TaxCatchAll" ma:showField="CatchAllData" ma:web="76c08405-89e9-4c57-a585-b31d7bded94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default="" ma:fieldId="{9e2555c8-1638-466f-9eb6-14edb9ecde52}" ma:sspId="fb0313f7-9433-48c0-866e-9e0bbee59a50" ma:termSetId="0e4c18c5-28eb-4f9e-8056-b3cddd4b5d9b" ma:anchorId="00000000-0000-0000-0000-000000000000" ma:open="tru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default="" ma:fieldId="{07bcb40b-a232-49a7-8edc-a7d43a67c1c9}" ma:sspId="fb0313f7-9433-48c0-866e-9e0bbee59a50" ma:termSetId="6713ebbd-194a-499f-ab84-a4d70e145fb7" ma:anchorId="00000000-0000-0000-0000-000000000000" ma:open="tru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c5ba17a-3f2a-4545-afd8-a313ff44f94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a25a1a23adf4c92a153145de6afe324 xmlns="76c08405-89e9-4c57-a585-b31d7bded94b">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11f6fb0b-52ce-4109-8f7f-521b2a62f692</TermId>
        </TermInfo>
      </Terms>
    </aa25a1a23adf4c92a153145de6afe324>
    <adb9bed2e36e4a93af574aeb444da63e xmlns="76c08405-89e9-4c57-a585-b31d7bded94b">
      <Terms xmlns="http://schemas.microsoft.com/office/infopath/2007/PartnerControls"/>
    </adb9bed2e36e4a93af574aeb444da63e>
    <pe2555c81638466f9eb614edb9ecde52 xmlns="76c08405-89e9-4c57-a585-b31d7bded94b">
      <Terms xmlns="http://schemas.microsoft.com/office/infopath/2007/PartnerControls">
        <TermInfo xmlns="http://schemas.microsoft.com/office/infopath/2007/PartnerControls">
          <TermName xmlns="http://schemas.microsoft.com/office/infopath/2007/PartnerControls">Legislative Instrument</TermName>
          <TermId xmlns="http://schemas.microsoft.com/office/infopath/2007/PartnerControls">edbe159b-95f5-40e7-bf23-9dfb62f2e7f0</TermId>
        </TermInfo>
      </Terms>
    </pe2555c81638466f9eb614edb9ecde52>
    <n99e4c9942c6404eb103464a00e6097b xmlns="76c08405-89e9-4c57-a585-b31d7bded94b">
      <Terms xmlns="http://schemas.microsoft.com/office/infopath/2007/PartnerControls"/>
    </n99e4c9942c6404eb103464a00e6097b>
    <TaxCatchAll xmlns="76c08405-89e9-4c57-a585-b31d7bded94b">
      <Value>46</Value>
      <Value>1807</Value>
    </TaxCatchAll>
    <g7bcb40ba23249a78edca7d43a67c1c9 xmlns="76c08405-89e9-4c57-a585-b31d7bded94b">
      <Terms xmlns="http://schemas.microsoft.com/office/infopath/2007/PartnerControls"/>
    </g7bcb40ba23249a78edca7d43a67c1c9>
    <Comments xmlns="http://schemas.microsoft.com/sharepoint/v3">Explanatory Statement </Comments>
    <_dlc_DocId xmlns="76c08405-89e9-4c57-a585-b31d7bded94b">P77SRJCMCQEC-757202701-89</_dlc_DocId>
    <_dlc_DocIdUrl xmlns="76c08405-89e9-4c57-a585-b31d7bded94b">
      <Url>http://dochub/div/resources/businessfunctions/offshoreresources/unconventionalgas/DGSM/_layouts/15/DocIdRedir.aspx?ID=P77SRJCMCQEC-757202701-89</Url>
      <Description>P77SRJCMCQEC-757202701-89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4B740-8C34-4354-81A4-D9F1199F8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c08405-89e9-4c57-a585-b31d7bded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18B05F-CDBD-44D6-A30B-E46046FA3749}">
  <ds:schemaRefs>
    <ds:schemaRef ds:uri="http://schemas.microsoft.com/sharepoint/v3"/>
    <ds:schemaRef ds:uri="http://purl.org/dc/elements/1.1/"/>
    <ds:schemaRef ds:uri="http://schemas.openxmlformats.org/package/2006/metadata/core-properties"/>
    <ds:schemaRef ds:uri="76c08405-89e9-4c57-a585-b31d7bded94b"/>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44E21A6-20FD-4C0C-8894-76FD785BBEEF}">
  <ds:schemaRefs>
    <ds:schemaRef ds:uri="http://schemas.microsoft.com/sharepoint/v3/contenttype/forms"/>
  </ds:schemaRefs>
</ds:datastoreItem>
</file>

<file path=customXml/itemProps4.xml><?xml version="1.0" encoding="utf-8"?>
<ds:datastoreItem xmlns:ds="http://schemas.openxmlformats.org/officeDocument/2006/customXml" ds:itemID="{6804FE69-8835-45D1-BB6C-FE4D4225F733}">
  <ds:schemaRefs>
    <ds:schemaRef ds:uri="http://schemas.microsoft.com/sharepoint/events"/>
  </ds:schemaRefs>
</ds:datastoreItem>
</file>

<file path=customXml/itemProps5.xml><?xml version="1.0" encoding="utf-8"?>
<ds:datastoreItem xmlns:ds="http://schemas.openxmlformats.org/officeDocument/2006/customXml" ds:itemID="{FE12A349-183D-4C8A-93AA-E1CC50315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18045</Words>
  <Characters>102857</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120661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 von Ahlefeldt</dc:creator>
  <cp:keywords/>
  <dc:description/>
  <cp:lastModifiedBy>CARTER Frances</cp:lastModifiedBy>
  <cp:revision>3</cp:revision>
  <cp:lastPrinted>2017-06-18T23:49:00Z</cp:lastPrinted>
  <dcterms:created xsi:type="dcterms:W3CDTF">2017-06-19T00:03:00Z</dcterms:created>
  <dcterms:modified xsi:type="dcterms:W3CDTF">2017-06-19T00:08:00Z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0x010100BF895E4B092C0C4D96D1B67E070D1144</vt:lpwstr>
  </property>
  <property fmtid="{D5CDD505-2E9C-101B-9397-08002B2CF9AE}" pid="3" name="_dlc_DocIdItemGuid">
    <vt:lpwstr>6661a3fb-e1ba-4e70-859f-e0dc0248ae81</vt:lpwstr>
  </property>
  <property fmtid="{D5CDD505-2E9C-101B-9397-08002B2CF9AE}" pid="4" name="DocHub_Year">
    <vt:lpwstr/>
  </property>
  <property fmtid="{D5CDD505-2E9C-101B-9397-08002B2CF9AE}" pid="5" name="DocHub_DocumentType">
    <vt:lpwstr>1807;#Legislative Instrument|edbe159b-95f5-40e7-bf23-9dfb62f2e7f0</vt:lpwstr>
  </property>
  <property fmtid="{D5CDD505-2E9C-101B-9397-08002B2CF9AE}" pid="6" name="DocHub_SecurityClassification">
    <vt:lpwstr>46;#For Official Use Only|11f6fb0b-52ce-4109-8f7f-521b2a62f692</vt:lpwstr>
  </property>
  <property fmtid="{D5CDD505-2E9C-101B-9397-08002B2CF9AE}" pid="7" name="DocHub_Keywords">
    <vt:lpwstr/>
  </property>
  <property fmtid="{D5CDD505-2E9C-101B-9397-08002B2CF9AE}" pid="8" name="DocHub_WorkActivity">
    <vt:lpwstr/>
  </property>
</Properties>
</file>