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14305" w14:textId="77777777" w:rsidR="00A55C0B" w:rsidRPr="00A96DAE" w:rsidRDefault="004D2843" w:rsidP="004D2843">
      <w:pPr>
        <w:jc w:val="center"/>
        <w:rPr>
          <w:rFonts w:ascii="Times New Roman" w:hAnsi="Times New Roman" w:cs="Times New Roman"/>
          <w:b/>
          <w:sz w:val="28"/>
          <w:szCs w:val="28"/>
        </w:rPr>
      </w:pPr>
      <w:r w:rsidRPr="00A96DAE">
        <w:rPr>
          <w:rFonts w:ascii="Times New Roman" w:hAnsi="Times New Roman" w:cs="Times New Roman"/>
          <w:b/>
          <w:sz w:val="28"/>
          <w:szCs w:val="28"/>
        </w:rPr>
        <w:t>EXPLANATORY STATEMENT</w:t>
      </w:r>
    </w:p>
    <w:p w14:paraId="6E54F659" w14:textId="77777777" w:rsidR="004D2843" w:rsidRPr="00A96DAE" w:rsidRDefault="00C57E29" w:rsidP="004D2843">
      <w:pPr>
        <w:jc w:val="center"/>
        <w:rPr>
          <w:rFonts w:ascii="Times New Roman" w:hAnsi="Times New Roman" w:cs="Times New Roman"/>
        </w:rPr>
      </w:pPr>
      <w:r w:rsidRPr="00A96DAE">
        <w:rPr>
          <w:rFonts w:ascii="Times New Roman" w:hAnsi="Times New Roman" w:cs="Times New Roman"/>
        </w:rPr>
        <w:t>Approved</w:t>
      </w:r>
      <w:r w:rsidR="004D2843" w:rsidRPr="00A96DAE">
        <w:rPr>
          <w:rFonts w:ascii="Times New Roman" w:hAnsi="Times New Roman" w:cs="Times New Roman"/>
        </w:rPr>
        <w:t xml:space="preserve"> by the Australian Communications and Media Authority</w:t>
      </w:r>
    </w:p>
    <w:p w14:paraId="4D03AE86" w14:textId="1E7C54DC" w:rsidR="00DF3C0A" w:rsidRPr="00C77040" w:rsidRDefault="00862DFF" w:rsidP="008A3DD3">
      <w:pPr>
        <w:jc w:val="center"/>
        <w:rPr>
          <w:rFonts w:ascii="Times New Roman" w:hAnsi="Times New Roman" w:cs="Times New Roman"/>
          <w:i/>
        </w:rPr>
      </w:pPr>
      <w:r w:rsidRPr="00C77040">
        <w:rPr>
          <w:rFonts w:ascii="Times New Roman" w:hAnsi="Times New Roman" w:cs="Times New Roman"/>
          <w:i/>
        </w:rPr>
        <w:t>Do Not Call Register Act 2006</w:t>
      </w:r>
    </w:p>
    <w:p w14:paraId="4572E1FC" w14:textId="2B66B514" w:rsidR="00DF3C0A" w:rsidRPr="00C77040" w:rsidRDefault="00DF3C0A" w:rsidP="008A3DD3">
      <w:pPr>
        <w:jc w:val="center"/>
        <w:rPr>
          <w:rFonts w:ascii="Times New Roman" w:hAnsi="Times New Roman" w:cs="Times New Roman"/>
          <w:b/>
          <w:i/>
        </w:rPr>
      </w:pPr>
      <w:r w:rsidRPr="00C77040">
        <w:rPr>
          <w:rFonts w:ascii="Times New Roman" w:hAnsi="Times New Roman" w:cs="Times New Roman"/>
          <w:b/>
          <w:i/>
        </w:rPr>
        <w:t xml:space="preserve">Do Not Call Register (Access </w:t>
      </w:r>
      <w:r w:rsidR="00652780" w:rsidRPr="00C77040">
        <w:rPr>
          <w:rFonts w:ascii="Times New Roman" w:hAnsi="Times New Roman" w:cs="Times New Roman"/>
          <w:b/>
          <w:i/>
        </w:rPr>
        <w:t>to Register</w:t>
      </w:r>
      <w:r w:rsidRPr="00C77040">
        <w:rPr>
          <w:rFonts w:ascii="Times New Roman" w:hAnsi="Times New Roman" w:cs="Times New Roman"/>
          <w:b/>
          <w:i/>
        </w:rPr>
        <w:t>) Determination 2017</w:t>
      </w:r>
    </w:p>
    <w:p w14:paraId="0EFEBE09" w14:textId="63544FAB" w:rsidR="004D2843" w:rsidRPr="00A96DAE" w:rsidRDefault="004D2843" w:rsidP="00C77040">
      <w:pPr>
        <w:spacing w:after="120"/>
        <w:rPr>
          <w:rFonts w:ascii="Times New Roman" w:hAnsi="Times New Roman" w:cs="Times New Roman"/>
          <w:b/>
        </w:rPr>
      </w:pPr>
      <w:r w:rsidRPr="00A96DAE">
        <w:rPr>
          <w:rFonts w:ascii="Times New Roman" w:hAnsi="Times New Roman" w:cs="Times New Roman"/>
          <w:b/>
        </w:rPr>
        <w:t>Authority</w:t>
      </w:r>
    </w:p>
    <w:p w14:paraId="01B1E1C7" w14:textId="397A055C" w:rsidR="00970E3B" w:rsidRDefault="00B727F3" w:rsidP="00476B79">
      <w:pPr>
        <w:spacing w:after="120"/>
        <w:rPr>
          <w:rFonts w:ascii="Times New Roman" w:hAnsi="Times New Roman" w:cs="Times New Roman"/>
        </w:rPr>
      </w:pPr>
      <w:r w:rsidRPr="00A96DAE">
        <w:rPr>
          <w:rFonts w:ascii="Times New Roman" w:hAnsi="Times New Roman" w:cs="Times New Roman"/>
        </w:rPr>
        <w:t>T</w:t>
      </w:r>
      <w:r w:rsidR="000B4B6C" w:rsidRPr="00A96DAE">
        <w:rPr>
          <w:rFonts w:ascii="Times New Roman" w:hAnsi="Times New Roman" w:cs="Times New Roman"/>
        </w:rPr>
        <w:t>he</w:t>
      </w:r>
      <w:r w:rsidR="0091080B" w:rsidRPr="00A96DAE">
        <w:rPr>
          <w:rFonts w:ascii="Times New Roman" w:hAnsi="Times New Roman" w:cs="Times New Roman"/>
        </w:rPr>
        <w:t xml:space="preserve"> Australian Communications and Media Authority (</w:t>
      </w:r>
      <w:r w:rsidR="0091080B" w:rsidRPr="00A96DAE">
        <w:rPr>
          <w:rFonts w:ascii="Times New Roman" w:hAnsi="Times New Roman" w:cs="Times New Roman"/>
          <w:b/>
        </w:rPr>
        <w:t>the ACMA</w:t>
      </w:r>
      <w:r w:rsidR="0091080B" w:rsidRPr="00A96DAE">
        <w:rPr>
          <w:rFonts w:ascii="Times New Roman" w:hAnsi="Times New Roman" w:cs="Times New Roman"/>
        </w:rPr>
        <w:t xml:space="preserve">) </w:t>
      </w:r>
      <w:r w:rsidR="005A62C2" w:rsidRPr="00A96DAE">
        <w:rPr>
          <w:rFonts w:ascii="Times New Roman" w:hAnsi="Times New Roman" w:cs="Times New Roman"/>
        </w:rPr>
        <w:t xml:space="preserve">has made </w:t>
      </w:r>
      <w:r w:rsidR="0091080B" w:rsidRPr="00A96DAE">
        <w:rPr>
          <w:rFonts w:ascii="Times New Roman" w:hAnsi="Times New Roman" w:cs="Times New Roman"/>
        </w:rPr>
        <w:t xml:space="preserve">the </w:t>
      </w:r>
      <w:r w:rsidR="00DF3C0A" w:rsidRPr="00A96DAE">
        <w:rPr>
          <w:rFonts w:ascii="Times New Roman" w:hAnsi="Times New Roman" w:cs="Times New Roman"/>
          <w:i/>
        </w:rPr>
        <w:t xml:space="preserve">Do Not Call Register (Access </w:t>
      </w:r>
      <w:r w:rsidR="00652780" w:rsidRPr="00A96DAE">
        <w:rPr>
          <w:rFonts w:ascii="Times New Roman" w:hAnsi="Times New Roman" w:cs="Times New Roman"/>
          <w:i/>
        </w:rPr>
        <w:t>to Register</w:t>
      </w:r>
      <w:r w:rsidR="00DF3C0A" w:rsidRPr="00A96DAE">
        <w:rPr>
          <w:rFonts w:ascii="Times New Roman" w:hAnsi="Times New Roman" w:cs="Times New Roman"/>
          <w:i/>
        </w:rPr>
        <w:t>) Determination 2017</w:t>
      </w:r>
      <w:r w:rsidR="00DF3C0A" w:rsidRPr="00A96DAE">
        <w:rPr>
          <w:rFonts w:ascii="Times New Roman" w:hAnsi="Times New Roman" w:cs="Times New Roman"/>
        </w:rPr>
        <w:t xml:space="preserve"> </w:t>
      </w:r>
      <w:r w:rsidR="0091080B" w:rsidRPr="00A96DAE">
        <w:rPr>
          <w:rFonts w:ascii="Times New Roman" w:hAnsi="Times New Roman" w:cs="Times New Roman"/>
        </w:rPr>
        <w:t>(</w:t>
      </w:r>
      <w:r w:rsidR="0091080B" w:rsidRPr="00A96DAE">
        <w:rPr>
          <w:rFonts w:ascii="Times New Roman" w:hAnsi="Times New Roman" w:cs="Times New Roman"/>
          <w:b/>
        </w:rPr>
        <w:t xml:space="preserve">the </w:t>
      </w:r>
      <w:r w:rsidR="005A62C2" w:rsidRPr="00A96DAE">
        <w:rPr>
          <w:rFonts w:ascii="Times New Roman" w:hAnsi="Times New Roman" w:cs="Times New Roman"/>
          <w:b/>
        </w:rPr>
        <w:t>Determination</w:t>
      </w:r>
      <w:r w:rsidR="0091080B" w:rsidRPr="00A96DAE">
        <w:rPr>
          <w:rFonts w:ascii="Times New Roman" w:hAnsi="Times New Roman" w:cs="Times New Roman"/>
        </w:rPr>
        <w:t xml:space="preserve">) </w:t>
      </w:r>
      <w:r w:rsidR="00652780" w:rsidRPr="00A96DAE">
        <w:rPr>
          <w:rFonts w:ascii="Times New Roman" w:hAnsi="Times New Roman" w:cs="Times New Roman"/>
        </w:rPr>
        <w:t>under subsection 20</w:t>
      </w:r>
      <w:r w:rsidR="00F85D90" w:rsidRPr="00A96DAE">
        <w:rPr>
          <w:rFonts w:ascii="Times New Roman" w:hAnsi="Times New Roman" w:cs="Times New Roman"/>
        </w:rPr>
        <w:t xml:space="preserve">(1) of the </w:t>
      </w:r>
      <w:r w:rsidR="00F85D90" w:rsidRPr="00A96DAE">
        <w:rPr>
          <w:rFonts w:ascii="Times New Roman" w:hAnsi="Times New Roman" w:cs="Times New Roman"/>
          <w:i/>
        </w:rPr>
        <w:t>Do Not Call Register Act 2006</w:t>
      </w:r>
      <w:r w:rsidR="00ED4B4C" w:rsidRPr="00A96DAE">
        <w:rPr>
          <w:rFonts w:ascii="Times New Roman" w:hAnsi="Times New Roman" w:cs="Times New Roman"/>
          <w:i/>
        </w:rPr>
        <w:t xml:space="preserve"> </w:t>
      </w:r>
      <w:r w:rsidR="00ED4B4C" w:rsidRPr="00A96DAE">
        <w:rPr>
          <w:rFonts w:ascii="Times New Roman" w:hAnsi="Times New Roman" w:cs="Times New Roman"/>
        </w:rPr>
        <w:t>(</w:t>
      </w:r>
      <w:r w:rsidR="00ED4B4C" w:rsidRPr="00A96DAE">
        <w:rPr>
          <w:rFonts w:ascii="Times New Roman" w:hAnsi="Times New Roman" w:cs="Times New Roman"/>
          <w:b/>
        </w:rPr>
        <w:t>the Act</w:t>
      </w:r>
      <w:r w:rsidR="00ED4B4C" w:rsidRPr="00A96DAE">
        <w:rPr>
          <w:rFonts w:ascii="Times New Roman" w:hAnsi="Times New Roman" w:cs="Times New Roman"/>
        </w:rPr>
        <w:t>)</w:t>
      </w:r>
      <w:r w:rsidR="008E332E">
        <w:rPr>
          <w:rFonts w:ascii="Times New Roman" w:hAnsi="Times New Roman" w:cs="Times New Roman"/>
        </w:rPr>
        <w:t xml:space="preserve"> and subsection 33(3) of the </w:t>
      </w:r>
      <w:r w:rsidR="008E332E" w:rsidRPr="00A16F41">
        <w:rPr>
          <w:rFonts w:ascii="Times New Roman" w:hAnsi="Times New Roman" w:cs="Times New Roman"/>
          <w:i/>
        </w:rPr>
        <w:t>Acts Interpretation Act 1901</w:t>
      </w:r>
      <w:r w:rsidR="008E332E">
        <w:rPr>
          <w:rFonts w:ascii="Times New Roman" w:hAnsi="Times New Roman" w:cs="Times New Roman"/>
        </w:rPr>
        <w:t xml:space="preserve"> (AIA)</w:t>
      </w:r>
      <w:r w:rsidR="0091080B" w:rsidRPr="00A96DAE">
        <w:rPr>
          <w:rFonts w:ascii="Times New Roman" w:hAnsi="Times New Roman" w:cs="Times New Roman"/>
        </w:rPr>
        <w:t>.</w:t>
      </w:r>
    </w:p>
    <w:p w14:paraId="16216AAE" w14:textId="1B065E45" w:rsidR="008E332E" w:rsidRPr="00A96DAE" w:rsidRDefault="008E332E" w:rsidP="00476B79">
      <w:pPr>
        <w:spacing w:after="120"/>
        <w:rPr>
          <w:rFonts w:ascii="Times New Roman" w:hAnsi="Times New Roman" w:cs="Times New Roman"/>
        </w:rPr>
      </w:pPr>
      <w:r w:rsidRPr="00B00FC3">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r>
        <w:rPr>
          <w:rFonts w:ascii="Times New Roman" w:hAnsi="Times New Roman" w:cs="Times New Roman"/>
        </w:rPr>
        <w:t>.</w:t>
      </w:r>
    </w:p>
    <w:p w14:paraId="7B218E5D" w14:textId="691534A7" w:rsidR="005A62C2" w:rsidRPr="00A96DAE" w:rsidRDefault="005A62C2" w:rsidP="005A62C2">
      <w:pPr>
        <w:autoSpaceDE w:val="0"/>
        <w:autoSpaceDN w:val="0"/>
        <w:adjustRightInd w:val="0"/>
        <w:spacing w:after="120" w:line="240" w:lineRule="auto"/>
        <w:rPr>
          <w:rFonts w:ascii="Times New Roman" w:hAnsi="Times New Roman" w:cs="Times New Roman"/>
        </w:rPr>
      </w:pPr>
      <w:r w:rsidRPr="00A96DAE">
        <w:rPr>
          <w:rFonts w:ascii="Times New Roman" w:hAnsi="Times New Roman" w:cs="Times New Roman"/>
        </w:rPr>
        <w:t>Under subsection 20(1) of the Act, the ACMA may make a determination about the way in which access-seekers may submit a list of telephone</w:t>
      </w:r>
      <w:r w:rsidR="00D94D9D">
        <w:rPr>
          <w:rFonts w:ascii="Times New Roman" w:hAnsi="Times New Roman" w:cs="Times New Roman"/>
        </w:rPr>
        <w:t xml:space="preserve"> and fax</w:t>
      </w:r>
      <w:r w:rsidRPr="00A96DAE">
        <w:rPr>
          <w:rFonts w:ascii="Times New Roman" w:hAnsi="Times New Roman" w:cs="Times New Roman"/>
        </w:rPr>
        <w:t xml:space="preserve"> numbers for checking (or ‘washing’</w:t>
      </w:r>
      <w:r w:rsidR="00A10B61">
        <w:rPr>
          <w:rStyle w:val="FootnoteReference"/>
          <w:rFonts w:ascii="Times New Roman" w:hAnsi="Times New Roman" w:cs="Times New Roman"/>
        </w:rPr>
        <w:footnoteReference w:id="1"/>
      </w:r>
      <w:r w:rsidRPr="00A96DAE">
        <w:rPr>
          <w:rFonts w:ascii="Times New Roman" w:hAnsi="Times New Roman" w:cs="Times New Roman"/>
        </w:rPr>
        <w:t xml:space="preserve">) against the Do Not Call Register and the manner in which </w:t>
      </w:r>
      <w:r w:rsidR="00F907B1">
        <w:rPr>
          <w:rFonts w:ascii="Times New Roman" w:hAnsi="Times New Roman" w:cs="Times New Roman"/>
        </w:rPr>
        <w:t xml:space="preserve">the </w:t>
      </w:r>
      <w:r w:rsidRPr="00A96DAE">
        <w:rPr>
          <w:rFonts w:ascii="Times New Roman" w:hAnsi="Times New Roman" w:cs="Times New Roman"/>
        </w:rPr>
        <w:t>ACMA or the contracted service provider is to provide the information to the access-seeker. The determination may also provide for any other matter</w:t>
      </w:r>
      <w:r w:rsidR="00381876">
        <w:rPr>
          <w:rFonts w:ascii="Times New Roman" w:hAnsi="Times New Roman" w:cs="Times New Roman"/>
        </w:rPr>
        <w:t>s</w:t>
      </w:r>
      <w:r w:rsidRPr="00A96DAE">
        <w:rPr>
          <w:rFonts w:ascii="Times New Roman" w:hAnsi="Times New Roman" w:cs="Times New Roman"/>
        </w:rPr>
        <w:t xml:space="preserve"> relating to access to the Do Not Call Register.</w:t>
      </w:r>
    </w:p>
    <w:p w14:paraId="329F9F28" w14:textId="6BDEECCB" w:rsidR="00C57E29" w:rsidRPr="00A96DAE" w:rsidRDefault="00C57E29" w:rsidP="00476B79">
      <w:pPr>
        <w:spacing w:before="240" w:after="120"/>
        <w:rPr>
          <w:rFonts w:ascii="Times New Roman" w:hAnsi="Times New Roman" w:cs="Times New Roman"/>
          <w:b/>
        </w:rPr>
      </w:pPr>
      <w:r w:rsidRPr="00A96DAE">
        <w:rPr>
          <w:rFonts w:ascii="Times New Roman" w:hAnsi="Times New Roman" w:cs="Times New Roman"/>
          <w:b/>
        </w:rPr>
        <w:t xml:space="preserve">Purpose </w:t>
      </w:r>
      <w:r w:rsidR="00185BDC" w:rsidRPr="00A96DAE">
        <w:rPr>
          <w:rFonts w:ascii="Times New Roman" w:hAnsi="Times New Roman" w:cs="Times New Roman"/>
          <w:b/>
        </w:rPr>
        <w:t xml:space="preserve">and operation </w:t>
      </w:r>
      <w:r w:rsidRPr="00A96DAE">
        <w:rPr>
          <w:rFonts w:ascii="Times New Roman" w:hAnsi="Times New Roman" w:cs="Times New Roman"/>
          <w:b/>
        </w:rPr>
        <w:t>of the instrument</w:t>
      </w:r>
    </w:p>
    <w:p w14:paraId="5377C4EE" w14:textId="2F914A53" w:rsidR="00A91B21" w:rsidRPr="00A96DAE" w:rsidRDefault="00A91B21" w:rsidP="00476B79">
      <w:pPr>
        <w:autoSpaceDE w:val="0"/>
        <w:autoSpaceDN w:val="0"/>
        <w:adjustRightInd w:val="0"/>
        <w:spacing w:after="120" w:line="240" w:lineRule="auto"/>
        <w:rPr>
          <w:rFonts w:ascii="Times New Roman" w:hAnsi="Times New Roman" w:cs="Times New Roman"/>
        </w:rPr>
      </w:pPr>
      <w:r w:rsidRPr="00A96DAE">
        <w:rPr>
          <w:rFonts w:ascii="Times New Roman" w:hAnsi="Times New Roman" w:cs="Times New Roman"/>
        </w:rPr>
        <w:t>Under subsection 13(1) of the Act</w:t>
      </w:r>
      <w:r w:rsidRPr="00A96DAE">
        <w:rPr>
          <w:rFonts w:ascii="Times New Roman" w:hAnsi="Times New Roman" w:cs="Times New Roman"/>
          <w:i/>
          <w:iCs/>
        </w:rPr>
        <w:t xml:space="preserve">, </w:t>
      </w:r>
      <w:r w:rsidRPr="00A96DAE">
        <w:rPr>
          <w:rFonts w:ascii="Times New Roman" w:hAnsi="Times New Roman" w:cs="Times New Roman"/>
        </w:rPr>
        <w:t>the ACMA must keep or arrange for another person</w:t>
      </w:r>
      <w:r w:rsidR="009821CD" w:rsidRPr="00A96DAE">
        <w:rPr>
          <w:rFonts w:ascii="Times New Roman" w:hAnsi="Times New Roman" w:cs="Times New Roman"/>
        </w:rPr>
        <w:t xml:space="preserve"> </w:t>
      </w:r>
      <w:r w:rsidRPr="00A96DAE">
        <w:rPr>
          <w:rFonts w:ascii="Times New Roman" w:hAnsi="Times New Roman" w:cs="Times New Roman"/>
        </w:rPr>
        <w:t>(the contracted service provider) to keep</w:t>
      </w:r>
      <w:r w:rsidR="009821CD" w:rsidRPr="00A96DAE">
        <w:rPr>
          <w:rFonts w:ascii="Times New Roman" w:hAnsi="Times New Roman" w:cs="Times New Roman"/>
        </w:rPr>
        <w:t>,</w:t>
      </w:r>
      <w:r w:rsidRPr="00A96DAE">
        <w:rPr>
          <w:rFonts w:ascii="Times New Roman" w:hAnsi="Times New Roman" w:cs="Times New Roman"/>
        </w:rPr>
        <w:t xml:space="preserve"> on behalf of </w:t>
      </w:r>
      <w:r w:rsidR="005A62C2" w:rsidRPr="00A96DAE">
        <w:rPr>
          <w:rFonts w:ascii="Times New Roman" w:hAnsi="Times New Roman" w:cs="Times New Roman"/>
        </w:rPr>
        <w:t xml:space="preserve">the </w:t>
      </w:r>
      <w:r w:rsidRPr="00A96DAE">
        <w:rPr>
          <w:rFonts w:ascii="Times New Roman" w:hAnsi="Times New Roman" w:cs="Times New Roman"/>
        </w:rPr>
        <w:t>ACMA</w:t>
      </w:r>
      <w:r w:rsidR="009821CD" w:rsidRPr="00A96DAE">
        <w:rPr>
          <w:rFonts w:ascii="Times New Roman" w:hAnsi="Times New Roman" w:cs="Times New Roman"/>
        </w:rPr>
        <w:t>,</w:t>
      </w:r>
      <w:r w:rsidRPr="00A96DAE">
        <w:rPr>
          <w:rFonts w:ascii="Times New Roman" w:hAnsi="Times New Roman" w:cs="Times New Roman"/>
        </w:rPr>
        <w:t xml:space="preserve"> a register of </w:t>
      </w:r>
      <w:r w:rsidR="00381876">
        <w:rPr>
          <w:rFonts w:ascii="Times New Roman" w:hAnsi="Times New Roman" w:cs="Times New Roman"/>
        </w:rPr>
        <w:t>Australian</w:t>
      </w:r>
      <w:r w:rsidRPr="00A96DAE">
        <w:rPr>
          <w:rFonts w:ascii="Times New Roman" w:hAnsi="Times New Roman" w:cs="Times New Roman"/>
        </w:rPr>
        <w:t xml:space="preserve"> numbers for the purposes of the Act. The register is known as the Do Not Call Register.</w:t>
      </w:r>
    </w:p>
    <w:p w14:paraId="282D6710" w14:textId="7B5C7A53" w:rsidR="00A91B21" w:rsidRPr="00A96DAE" w:rsidRDefault="00A91B21" w:rsidP="00476B79">
      <w:pPr>
        <w:autoSpaceDE w:val="0"/>
        <w:autoSpaceDN w:val="0"/>
        <w:adjustRightInd w:val="0"/>
        <w:spacing w:after="120" w:line="240" w:lineRule="auto"/>
        <w:rPr>
          <w:rFonts w:ascii="Times New Roman" w:hAnsi="Times New Roman" w:cs="Times New Roman"/>
        </w:rPr>
      </w:pPr>
      <w:r w:rsidRPr="00A96DAE">
        <w:rPr>
          <w:rFonts w:ascii="Times New Roman" w:hAnsi="Times New Roman" w:cs="Times New Roman"/>
        </w:rPr>
        <w:t>The Do Not Call Register allow</w:t>
      </w:r>
      <w:r w:rsidR="005A62C2" w:rsidRPr="00A96DAE">
        <w:rPr>
          <w:rFonts w:ascii="Times New Roman" w:hAnsi="Times New Roman" w:cs="Times New Roman"/>
        </w:rPr>
        <w:t>s</w:t>
      </w:r>
      <w:r w:rsidRPr="00A96DAE">
        <w:rPr>
          <w:rFonts w:ascii="Times New Roman" w:hAnsi="Times New Roman" w:cs="Times New Roman"/>
        </w:rPr>
        <w:t xml:space="preserve"> individuals to ‘opt out’ of receiving certain unsolicited telemarketing calls </w:t>
      </w:r>
      <w:r w:rsidR="00381876">
        <w:rPr>
          <w:rFonts w:ascii="Times New Roman" w:hAnsi="Times New Roman" w:cs="Times New Roman"/>
        </w:rPr>
        <w:t xml:space="preserve">or faxes </w:t>
      </w:r>
      <w:r w:rsidRPr="00A96DAE">
        <w:rPr>
          <w:rFonts w:ascii="Times New Roman" w:hAnsi="Times New Roman" w:cs="Times New Roman"/>
        </w:rPr>
        <w:t>by registering their home or mobile telephone numbers that are primarily used for private or domestic purposes.</w:t>
      </w:r>
      <w:r w:rsidR="0080737B">
        <w:rPr>
          <w:rFonts w:ascii="Times New Roman" w:hAnsi="Times New Roman" w:cs="Times New Roman"/>
        </w:rPr>
        <w:t xml:space="preserve"> </w:t>
      </w:r>
      <w:r w:rsidR="00D94D9D">
        <w:rPr>
          <w:rFonts w:ascii="Times New Roman" w:hAnsi="Times New Roman" w:cs="Times New Roman"/>
        </w:rPr>
        <w:t xml:space="preserve">Emergency service numbers and numbers used exclusively by government bodies </w:t>
      </w:r>
      <w:r w:rsidR="00F907B1">
        <w:rPr>
          <w:rFonts w:ascii="Times New Roman" w:hAnsi="Times New Roman" w:cs="Times New Roman"/>
        </w:rPr>
        <w:t xml:space="preserve">or to transmit faxes </w:t>
      </w:r>
      <w:r w:rsidR="00D94D9D">
        <w:rPr>
          <w:rFonts w:ascii="Times New Roman" w:hAnsi="Times New Roman" w:cs="Times New Roman"/>
        </w:rPr>
        <w:t>are also eligible for inclusion on the Do Not Call Register</w:t>
      </w:r>
    </w:p>
    <w:p w14:paraId="7D35C315" w14:textId="5FB7850C" w:rsidR="00A91B21" w:rsidRPr="00A96DAE" w:rsidRDefault="00A91B21" w:rsidP="00476B79">
      <w:pPr>
        <w:autoSpaceDE w:val="0"/>
        <w:autoSpaceDN w:val="0"/>
        <w:adjustRightInd w:val="0"/>
        <w:spacing w:after="120" w:line="240" w:lineRule="auto"/>
        <w:rPr>
          <w:rFonts w:ascii="Times New Roman" w:hAnsi="Times New Roman" w:cs="Times New Roman"/>
        </w:rPr>
      </w:pPr>
      <w:r w:rsidRPr="00A96DAE">
        <w:rPr>
          <w:rFonts w:ascii="Times New Roman" w:hAnsi="Times New Roman" w:cs="Times New Roman"/>
        </w:rPr>
        <w:t xml:space="preserve">It may be an offence under section 11 of the Act to make, or to cause to be made, telemarketing calls to telephone numbers registered on the Do Not Call Register. </w:t>
      </w:r>
      <w:r w:rsidR="00D94D9D">
        <w:rPr>
          <w:rFonts w:ascii="Times New Roman" w:hAnsi="Times New Roman" w:cs="Times New Roman"/>
        </w:rPr>
        <w:t xml:space="preserve">Further, it may be an offence under section 12B of the Act to send a marketing fax to a number that is included on the Do Not Call </w:t>
      </w:r>
      <w:r w:rsidR="0065531D">
        <w:rPr>
          <w:rFonts w:ascii="Times New Roman" w:hAnsi="Times New Roman" w:cs="Times New Roman"/>
        </w:rPr>
        <w:t>R</w:t>
      </w:r>
      <w:r w:rsidR="0080737B">
        <w:rPr>
          <w:rFonts w:ascii="Times New Roman" w:hAnsi="Times New Roman" w:cs="Times New Roman"/>
        </w:rPr>
        <w:t xml:space="preserve">egister. </w:t>
      </w:r>
      <w:r w:rsidRPr="00A96DAE">
        <w:rPr>
          <w:rFonts w:ascii="Times New Roman" w:hAnsi="Times New Roman" w:cs="Times New Roman"/>
        </w:rPr>
        <w:t>However, the Act allows access-seeker</w:t>
      </w:r>
      <w:r w:rsidR="00F907B1">
        <w:rPr>
          <w:rFonts w:ascii="Times New Roman" w:hAnsi="Times New Roman" w:cs="Times New Roman"/>
        </w:rPr>
        <w:t>’</w:t>
      </w:r>
      <w:r w:rsidRPr="00A96DAE">
        <w:rPr>
          <w:rFonts w:ascii="Times New Roman" w:hAnsi="Times New Roman" w:cs="Times New Roman"/>
        </w:rPr>
        <w:t xml:space="preserve">s to submit lists of telephone numbers to </w:t>
      </w:r>
      <w:r w:rsidR="005A62C2" w:rsidRPr="00A96DAE">
        <w:rPr>
          <w:rFonts w:ascii="Times New Roman" w:hAnsi="Times New Roman" w:cs="Times New Roman"/>
        </w:rPr>
        <w:t xml:space="preserve">the </w:t>
      </w:r>
      <w:r w:rsidRPr="00A96DAE">
        <w:rPr>
          <w:rFonts w:ascii="Times New Roman" w:hAnsi="Times New Roman" w:cs="Times New Roman"/>
        </w:rPr>
        <w:t xml:space="preserve">ACMA or the contracted service provider for checking against the Do Not Call Register (section 19 of the Act). </w:t>
      </w:r>
      <w:r w:rsidR="005A62C2" w:rsidRPr="00A96DAE">
        <w:rPr>
          <w:rFonts w:ascii="Times New Roman" w:hAnsi="Times New Roman" w:cs="Times New Roman"/>
        </w:rPr>
        <w:t xml:space="preserve">The </w:t>
      </w:r>
      <w:r w:rsidRPr="00A96DAE">
        <w:rPr>
          <w:rFonts w:ascii="Times New Roman" w:hAnsi="Times New Roman" w:cs="Times New Roman"/>
        </w:rPr>
        <w:t>ACMA or the contracted service provider must then inform the access-seeker which numbers (if any) on the access-seekers’ list are (or are not) registered on the Do Not Call Register. This process of ‘washing’ access-seekers’ lists help</w:t>
      </w:r>
      <w:r w:rsidR="00D94D9D">
        <w:rPr>
          <w:rFonts w:ascii="Times New Roman" w:hAnsi="Times New Roman" w:cs="Times New Roman"/>
        </w:rPr>
        <w:t>s</w:t>
      </w:r>
      <w:r w:rsidRPr="00A96DAE">
        <w:rPr>
          <w:rFonts w:ascii="Times New Roman" w:hAnsi="Times New Roman" w:cs="Times New Roman"/>
        </w:rPr>
        <w:t xml:space="preserve"> access-seekers to avoid breaching the Act (see subsection</w:t>
      </w:r>
      <w:r w:rsidR="00D94D9D">
        <w:rPr>
          <w:rFonts w:ascii="Times New Roman" w:hAnsi="Times New Roman" w:cs="Times New Roman"/>
        </w:rPr>
        <w:t>s</w:t>
      </w:r>
      <w:r w:rsidRPr="00A96DAE">
        <w:rPr>
          <w:rFonts w:ascii="Times New Roman" w:hAnsi="Times New Roman" w:cs="Times New Roman"/>
        </w:rPr>
        <w:t xml:space="preserve"> 11(3) </w:t>
      </w:r>
      <w:r w:rsidR="00D94D9D">
        <w:rPr>
          <w:rFonts w:ascii="Times New Roman" w:hAnsi="Times New Roman" w:cs="Times New Roman"/>
        </w:rPr>
        <w:t xml:space="preserve">and </w:t>
      </w:r>
      <w:proofErr w:type="gramStart"/>
      <w:r w:rsidR="00D94D9D">
        <w:rPr>
          <w:rFonts w:ascii="Times New Roman" w:hAnsi="Times New Roman" w:cs="Times New Roman"/>
        </w:rPr>
        <w:t>12B(</w:t>
      </w:r>
      <w:proofErr w:type="gramEnd"/>
      <w:r w:rsidR="00D94D9D">
        <w:rPr>
          <w:rFonts w:ascii="Times New Roman" w:hAnsi="Times New Roman" w:cs="Times New Roman"/>
        </w:rPr>
        <w:t xml:space="preserve">3) </w:t>
      </w:r>
      <w:r w:rsidRPr="00A96DAE">
        <w:rPr>
          <w:rFonts w:ascii="Times New Roman" w:hAnsi="Times New Roman" w:cs="Times New Roman"/>
        </w:rPr>
        <w:t>of the Act).</w:t>
      </w:r>
    </w:p>
    <w:p w14:paraId="01173E68" w14:textId="6C3B06BB" w:rsidR="00805358" w:rsidRPr="00A96DAE" w:rsidRDefault="00025ACE" w:rsidP="00476B79">
      <w:pPr>
        <w:spacing w:after="120"/>
        <w:rPr>
          <w:rFonts w:ascii="Times New Roman" w:hAnsi="Times New Roman" w:cs="Times New Roman"/>
        </w:rPr>
      </w:pPr>
      <w:r w:rsidRPr="00A96DAE">
        <w:rPr>
          <w:rFonts w:ascii="Times New Roman" w:hAnsi="Times New Roman" w:cs="Times New Roman"/>
        </w:rPr>
        <w:t xml:space="preserve">A </w:t>
      </w:r>
      <w:r w:rsidR="00805358" w:rsidRPr="00A96DAE">
        <w:rPr>
          <w:rFonts w:ascii="Times New Roman" w:hAnsi="Times New Roman" w:cs="Times New Roman"/>
        </w:rPr>
        <w:t>description</w:t>
      </w:r>
      <w:r w:rsidRPr="00A96DAE">
        <w:rPr>
          <w:rFonts w:ascii="Times New Roman" w:hAnsi="Times New Roman" w:cs="Times New Roman"/>
        </w:rPr>
        <w:t xml:space="preserve"> of </w:t>
      </w:r>
      <w:r w:rsidR="005A62C2" w:rsidRPr="00A96DAE">
        <w:rPr>
          <w:rFonts w:ascii="Times New Roman" w:hAnsi="Times New Roman" w:cs="Times New Roman"/>
        </w:rPr>
        <w:t xml:space="preserve">each provision of </w:t>
      </w:r>
      <w:r w:rsidRPr="00A96DAE">
        <w:rPr>
          <w:rFonts w:ascii="Times New Roman" w:hAnsi="Times New Roman" w:cs="Times New Roman"/>
        </w:rPr>
        <w:t xml:space="preserve">the </w:t>
      </w:r>
      <w:r w:rsidR="005A62C2" w:rsidRPr="00A96DAE">
        <w:rPr>
          <w:rFonts w:ascii="Times New Roman" w:hAnsi="Times New Roman" w:cs="Times New Roman"/>
        </w:rPr>
        <w:t xml:space="preserve">Determination </w:t>
      </w:r>
      <w:r w:rsidRPr="00A96DAE">
        <w:rPr>
          <w:rFonts w:ascii="Times New Roman" w:hAnsi="Times New Roman" w:cs="Times New Roman"/>
        </w:rPr>
        <w:t xml:space="preserve">is </w:t>
      </w:r>
      <w:r w:rsidR="00AD3414" w:rsidRPr="00A96DAE">
        <w:rPr>
          <w:rFonts w:ascii="Times New Roman" w:hAnsi="Times New Roman" w:cs="Times New Roman"/>
        </w:rPr>
        <w:t>set out</w:t>
      </w:r>
      <w:r w:rsidR="001C4BF8" w:rsidRPr="00A96DAE">
        <w:rPr>
          <w:rFonts w:ascii="Times New Roman" w:hAnsi="Times New Roman" w:cs="Times New Roman"/>
        </w:rPr>
        <w:t xml:space="preserve"> in the n</w:t>
      </w:r>
      <w:r w:rsidRPr="00A96DAE">
        <w:rPr>
          <w:rFonts w:ascii="Times New Roman" w:hAnsi="Times New Roman" w:cs="Times New Roman"/>
        </w:rPr>
        <w:t>otes</w:t>
      </w:r>
      <w:r w:rsidR="001C4BF8" w:rsidRPr="00A96DAE">
        <w:rPr>
          <w:rFonts w:ascii="Times New Roman" w:hAnsi="Times New Roman" w:cs="Times New Roman"/>
        </w:rPr>
        <w:t xml:space="preserve"> </w:t>
      </w:r>
      <w:r w:rsidRPr="00A96DAE">
        <w:rPr>
          <w:rFonts w:ascii="Times New Roman" w:hAnsi="Times New Roman" w:cs="Times New Roman"/>
        </w:rPr>
        <w:t xml:space="preserve">at </w:t>
      </w:r>
      <w:r w:rsidRPr="00A96DAE">
        <w:rPr>
          <w:rFonts w:ascii="Times New Roman" w:hAnsi="Times New Roman" w:cs="Times New Roman"/>
          <w:b/>
        </w:rPr>
        <w:t>Attachment A</w:t>
      </w:r>
      <w:r w:rsidRPr="00A96DAE">
        <w:rPr>
          <w:rFonts w:ascii="Times New Roman" w:hAnsi="Times New Roman" w:cs="Times New Roman"/>
        </w:rPr>
        <w:t>.</w:t>
      </w:r>
    </w:p>
    <w:p w14:paraId="6D026E2B" w14:textId="2C451321" w:rsidR="00025ACE" w:rsidRPr="00A96DAE" w:rsidRDefault="00805358" w:rsidP="00476B79">
      <w:pPr>
        <w:spacing w:after="120"/>
        <w:rPr>
          <w:rFonts w:ascii="Times New Roman" w:hAnsi="Times New Roman" w:cs="Times New Roman"/>
        </w:rPr>
      </w:pPr>
      <w:r w:rsidRPr="00A96DAE">
        <w:rPr>
          <w:rFonts w:ascii="Times New Roman" w:hAnsi="Times New Roman" w:cs="Times New Roman"/>
        </w:rPr>
        <w:t xml:space="preserve">The </w:t>
      </w:r>
      <w:r w:rsidR="005A62C2" w:rsidRPr="00A96DAE">
        <w:rPr>
          <w:rFonts w:ascii="Times New Roman" w:hAnsi="Times New Roman" w:cs="Times New Roman"/>
        </w:rPr>
        <w:t xml:space="preserve">Determination </w:t>
      </w:r>
      <w:r w:rsidRPr="00A96DAE">
        <w:rPr>
          <w:rFonts w:ascii="Times New Roman" w:hAnsi="Times New Roman" w:cs="Times New Roman"/>
        </w:rPr>
        <w:t xml:space="preserve">is a legislative instrument for the purposes of the </w:t>
      </w:r>
      <w:r w:rsidRPr="00A96DAE">
        <w:rPr>
          <w:rFonts w:ascii="Times New Roman" w:hAnsi="Times New Roman" w:cs="Times New Roman"/>
          <w:i/>
        </w:rPr>
        <w:t>Legislation Act 2003</w:t>
      </w:r>
      <w:r w:rsidRPr="00A96DAE">
        <w:rPr>
          <w:rFonts w:ascii="Times New Roman" w:hAnsi="Times New Roman" w:cs="Times New Roman"/>
        </w:rPr>
        <w:t xml:space="preserve">. </w:t>
      </w:r>
    </w:p>
    <w:p w14:paraId="50FE13E3" w14:textId="77777777" w:rsidR="00D74928" w:rsidRPr="00A96DAE" w:rsidRDefault="00D74928" w:rsidP="00E02B69">
      <w:pPr>
        <w:spacing w:before="240" w:after="120"/>
        <w:rPr>
          <w:rFonts w:ascii="Times New Roman" w:hAnsi="Times New Roman" w:cs="Times New Roman"/>
          <w:b/>
        </w:rPr>
      </w:pPr>
      <w:r w:rsidRPr="00A96DAE">
        <w:rPr>
          <w:rFonts w:ascii="Times New Roman" w:hAnsi="Times New Roman" w:cs="Times New Roman"/>
          <w:b/>
        </w:rPr>
        <w:t>Documents incorporated by reference</w:t>
      </w:r>
    </w:p>
    <w:p w14:paraId="52190CFA" w14:textId="0E599AB7" w:rsidR="00F02BC0" w:rsidRDefault="00410860" w:rsidP="00E02B69">
      <w:pPr>
        <w:spacing w:after="120"/>
        <w:rPr>
          <w:rFonts w:ascii="Times New Roman" w:hAnsi="Times New Roman" w:cs="Times New Roman"/>
        </w:rPr>
      </w:pPr>
      <w:r>
        <w:rPr>
          <w:rFonts w:ascii="Times New Roman" w:hAnsi="Times New Roman" w:cs="Times New Roman"/>
        </w:rPr>
        <w:t xml:space="preserve">Section 589 of the </w:t>
      </w:r>
      <w:r w:rsidRPr="000E1815">
        <w:rPr>
          <w:rFonts w:ascii="Times New Roman" w:hAnsi="Times New Roman" w:cs="Times New Roman"/>
          <w:i/>
        </w:rPr>
        <w:t>Telecommunications Act 1997</w:t>
      </w:r>
      <w:r>
        <w:rPr>
          <w:rFonts w:ascii="Times New Roman" w:hAnsi="Times New Roman" w:cs="Times New Roman"/>
        </w:rPr>
        <w:t xml:space="preserve"> relevantly allows for instruments made under the Act to make provision in relation to a matter by applying, adopting or incorporating matter contained in writing, as existing from time to time, regardless of whether the writing exists at the time the </w:t>
      </w:r>
      <w:r w:rsidR="0080737B">
        <w:rPr>
          <w:rFonts w:ascii="Times New Roman" w:hAnsi="Times New Roman" w:cs="Times New Roman"/>
        </w:rPr>
        <w:lastRenderedPageBreak/>
        <w:t xml:space="preserve">instrument is made. </w:t>
      </w:r>
      <w:r w:rsidR="00D74928" w:rsidRPr="00A96DAE">
        <w:rPr>
          <w:rFonts w:ascii="Times New Roman" w:hAnsi="Times New Roman" w:cs="Times New Roman"/>
        </w:rPr>
        <w:t>The</w:t>
      </w:r>
      <w:r w:rsidR="00F02BC0">
        <w:rPr>
          <w:rFonts w:ascii="Times New Roman" w:hAnsi="Times New Roman" w:cs="Times New Roman"/>
        </w:rPr>
        <w:t>re are a number of provisions in the</w:t>
      </w:r>
      <w:r w:rsidR="00D74928" w:rsidRPr="00A96DAE">
        <w:rPr>
          <w:rFonts w:ascii="Times New Roman" w:hAnsi="Times New Roman" w:cs="Times New Roman"/>
        </w:rPr>
        <w:t xml:space="preserve"> </w:t>
      </w:r>
      <w:r w:rsidR="005A62C2" w:rsidRPr="00A96DAE">
        <w:rPr>
          <w:rFonts w:ascii="Times New Roman" w:hAnsi="Times New Roman" w:cs="Times New Roman"/>
        </w:rPr>
        <w:t>Determination</w:t>
      </w:r>
      <w:r w:rsidR="00D74928" w:rsidRPr="00A96DAE">
        <w:rPr>
          <w:rFonts w:ascii="Times New Roman" w:hAnsi="Times New Roman" w:cs="Times New Roman"/>
        </w:rPr>
        <w:t xml:space="preserve"> </w:t>
      </w:r>
      <w:r w:rsidR="00F02BC0">
        <w:rPr>
          <w:rFonts w:ascii="Times New Roman" w:hAnsi="Times New Roman" w:cs="Times New Roman"/>
        </w:rPr>
        <w:t xml:space="preserve">that </w:t>
      </w:r>
      <w:r w:rsidR="00D74928" w:rsidRPr="00A96DAE">
        <w:rPr>
          <w:rFonts w:ascii="Times New Roman" w:hAnsi="Times New Roman" w:cs="Times New Roman"/>
        </w:rPr>
        <w:t>incorporate</w:t>
      </w:r>
      <w:r w:rsidR="00F02BC0">
        <w:rPr>
          <w:rFonts w:ascii="Times New Roman" w:hAnsi="Times New Roman" w:cs="Times New Roman"/>
        </w:rPr>
        <w:t>, or have the potential to incorporate, other documents</w:t>
      </w:r>
      <w:r>
        <w:rPr>
          <w:rFonts w:ascii="Times New Roman" w:hAnsi="Times New Roman" w:cs="Times New Roman"/>
        </w:rPr>
        <w:t xml:space="preserve"> as existing from time to time</w:t>
      </w:r>
      <w:r w:rsidR="0080737B">
        <w:rPr>
          <w:rFonts w:ascii="Times New Roman" w:hAnsi="Times New Roman" w:cs="Times New Roman"/>
        </w:rPr>
        <w:t xml:space="preserve">. </w:t>
      </w:r>
      <w:r w:rsidR="00F02BC0">
        <w:rPr>
          <w:rFonts w:ascii="Times New Roman" w:hAnsi="Times New Roman" w:cs="Times New Roman"/>
        </w:rPr>
        <w:t>Specifically:</w:t>
      </w:r>
    </w:p>
    <w:p w14:paraId="2D710724" w14:textId="21489404" w:rsidR="00F02BC0" w:rsidRPr="00F02BC0" w:rsidRDefault="00F02BC0" w:rsidP="00F02BC0">
      <w:pPr>
        <w:pStyle w:val="CommentText"/>
        <w:numPr>
          <w:ilvl w:val="0"/>
          <w:numId w:val="18"/>
        </w:numPr>
        <w:rPr>
          <w:rFonts w:ascii="Times New Roman" w:hAnsi="Times New Roman" w:cs="Times New Roman"/>
          <w:sz w:val="22"/>
          <w:szCs w:val="22"/>
        </w:rPr>
      </w:pPr>
      <w:r>
        <w:rPr>
          <w:rFonts w:ascii="Times New Roman" w:hAnsi="Times New Roman" w:cs="Times New Roman"/>
          <w:sz w:val="22"/>
          <w:szCs w:val="22"/>
        </w:rPr>
        <w:t xml:space="preserve">Subsection </w:t>
      </w:r>
      <w:r w:rsidRPr="00F02BC0">
        <w:rPr>
          <w:rFonts w:ascii="Times New Roman" w:hAnsi="Times New Roman" w:cs="Times New Roman"/>
          <w:sz w:val="22"/>
          <w:szCs w:val="22"/>
        </w:rPr>
        <w:t>7(3)</w:t>
      </w:r>
      <w:r>
        <w:rPr>
          <w:rFonts w:ascii="Times New Roman" w:hAnsi="Times New Roman" w:cs="Times New Roman"/>
          <w:sz w:val="22"/>
          <w:szCs w:val="22"/>
        </w:rPr>
        <w:t xml:space="preserve"> provides that access-seekers must register with the ACMA by completing the registration procedure specified on the website of the ACMA or contracted service provider before being able to ‘wash’ numbers against the Do Not Call Register</w:t>
      </w:r>
      <w:r w:rsidRPr="00F02BC0">
        <w:rPr>
          <w:rFonts w:ascii="Times New Roman" w:hAnsi="Times New Roman" w:cs="Times New Roman"/>
          <w:sz w:val="22"/>
          <w:szCs w:val="22"/>
        </w:rPr>
        <w:t>;</w:t>
      </w:r>
    </w:p>
    <w:p w14:paraId="642BAF9E" w14:textId="545A53BF" w:rsidR="00F02BC0" w:rsidRPr="00F02BC0" w:rsidRDefault="00F02BC0" w:rsidP="00F02BC0">
      <w:pPr>
        <w:pStyle w:val="CommentText"/>
        <w:numPr>
          <w:ilvl w:val="0"/>
          <w:numId w:val="18"/>
        </w:numPr>
        <w:rPr>
          <w:rFonts w:ascii="Times New Roman" w:hAnsi="Times New Roman" w:cs="Times New Roman"/>
          <w:sz w:val="22"/>
          <w:szCs w:val="22"/>
        </w:rPr>
      </w:pPr>
      <w:r>
        <w:rPr>
          <w:rFonts w:ascii="Times New Roman" w:hAnsi="Times New Roman" w:cs="Times New Roman"/>
          <w:sz w:val="22"/>
          <w:szCs w:val="22"/>
        </w:rPr>
        <w:t>Subsection 7(4) provides that access-seekers must comply with t</w:t>
      </w:r>
      <w:r w:rsidRPr="00F02BC0">
        <w:rPr>
          <w:rFonts w:ascii="Times New Roman" w:hAnsi="Times New Roman" w:cs="Times New Roman"/>
          <w:sz w:val="22"/>
          <w:szCs w:val="22"/>
        </w:rPr>
        <w:t>erms and condit</w:t>
      </w:r>
      <w:r>
        <w:rPr>
          <w:rFonts w:ascii="Times New Roman" w:hAnsi="Times New Roman" w:cs="Times New Roman"/>
          <w:sz w:val="22"/>
          <w:szCs w:val="22"/>
        </w:rPr>
        <w:t xml:space="preserve">ions approved by </w:t>
      </w:r>
      <w:r w:rsidR="00F907B1">
        <w:rPr>
          <w:rFonts w:ascii="Times New Roman" w:hAnsi="Times New Roman" w:cs="Times New Roman"/>
          <w:sz w:val="22"/>
          <w:szCs w:val="22"/>
        </w:rPr>
        <w:t xml:space="preserve">the </w:t>
      </w:r>
      <w:r>
        <w:rPr>
          <w:rFonts w:ascii="Times New Roman" w:hAnsi="Times New Roman" w:cs="Times New Roman"/>
          <w:sz w:val="22"/>
          <w:szCs w:val="22"/>
        </w:rPr>
        <w:t>ACMA and published on the website of the ACMA or the contracted service provider</w:t>
      </w:r>
      <w:r w:rsidR="00F907B1">
        <w:rPr>
          <w:rFonts w:ascii="Times New Roman" w:hAnsi="Times New Roman" w:cs="Times New Roman"/>
          <w:sz w:val="22"/>
          <w:szCs w:val="22"/>
        </w:rPr>
        <w:t>;</w:t>
      </w:r>
    </w:p>
    <w:p w14:paraId="23035532" w14:textId="439EB3C3" w:rsidR="00F02BC0" w:rsidRDefault="00F02BC0" w:rsidP="00F02BC0">
      <w:pPr>
        <w:pStyle w:val="CommentText"/>
        <w:numPr>
          <w:ilvl w:val="0"/>
          <w:numId w:val="18"/>
        </w:numPr>
        <w:rPr>
          <w:rFonts w:ascii="Times New Roman" w:hAnsi="Times New Roman" w:cs="Times New Roman"/>
          <w:sz w:val="22"/>
          <w:szCs w:val="22"/>
        </w:rPr>
      </w:pPr>
      <w:r>
        <w:rPr>
          <w:rFonts w:ascii="Times New Roman" w:hAnsi="Times New Roman" w:cs="Times New Roman"/>
          <w:sz w:val="22"/>
          <w:szCs w:val="22"/>
        </w:rPr>
        <w:t>Subsection 7(</w:t>
      </w:r>
      <w:r w:rsidR="00F907B1">
        <w:rPr>
          <w:rFonts w:ascii="Times New Roman" w:hAnsi="Times New Roman" w:cs="Times New Roman"/>
          <w:sz w:val="22"/>
          <w:szCs w:val="22"/>
        </w:rPr>
        <w:t>5</w:t>
      </w:r>
      <w:r>
        <w:rPr>
          <w:rFonts w:ascii="Times New Roman" w:hAnsi="Times New Roman" w:cs="Times New Roman"/>
          <w:sz w:val="22"/>
          <w:szCs w:val="22"/>
        </w:rPr>
        <w:t xml:space="preserve">) provides that an access-seeker’s registration may be </w:t>
      </w:r>
      <w:r w:rsidR="00F907B1">
        <w:rPr>
          <w:rFonts w:ascii="Times New Roman" w:hAnsi="Times New Roman" w:cs="Times New Roman"/>
          <w:sz w:val="22"/>
          <w:szCs w:val="22"/>
        </w:rPr>
        <w:t xml:space="preserve">suspended or </w:t>
      </w:r>
      <w:r>
        <w:rPr>
          <w:rFonts w:ascii="Times New Roman" w:hAnsi="Times New Roman" w:cs="Times New Roman"/>
          <w:sz w:val="22"/>
          <w:szCs w:val="22"/>
        </w:rPr>
        <w:t>cancelled if the account becomes inactive as defined in the terms and conditions referred to in subsection 7(4);</w:t>
      </w:r>
    </w:p>
    <w:p w14:paraId="36D95420" w14:textId="3A312E0D" w:rsidR="00F02BC0" w:rsidRDefault="00F02BC0" w:rsidP="00F02BC0">
      <w:pPr>
        <w:pStyle w:val="CommentText"/>
        <w:numPr>
          <w:ilvl w:val="0"/>
          <w:numId w:val="18"/>
        </w:numPr>
        <w:rPr>
          <w:rFonts w:ascii="Times New Roman" w:hAnsi="Times New Roman" w:cs="Times New Roman"/>
          <w:sz w:val="22"/>
          <w:szCs w:val="22"/>
        </w:rPr>
      </w:pPr>
      <w:r>
        <w:rPr>
          <w:rFonts w:ascii="Times New Roman" w:hAnsi="Times New Roman" w:cs="Times New Roman"/>
          <w:sz w:val="22"/>
          <w:szCs w:val="22"/>
        </w:rPr>
        <w:t xml:space="preserve">Subsection </w:t>
      </w:r>
      <w:r w:rsidRPr="00F02BC0">
        <w:rPr>
          <w:rFonts w:ascii="Times New Roman" w:hAnsi="Times New Roman" w:cs="Times New Roman"/>
          <w:sz w:val="22"/>
          <w:szCs w:val="22"/>
        </w:rPr>
        <w:t xml:space="preserve">7(7) </w:t>
      </w:r>
      <w:r>
        <w:rPr>
          <w:rFonts w:ascii="Times New Roman" w:hAnsi="Times New Roman" w:cs="Times New Roman"/>
          <w:sz w:val="22"/>
          <w:szCs w:val="22"/>
        </w:rPr>
        <w:t>provides that the ACMA may approve arrangements for accessing the Do Not Call Register under that particular subsection;</w:t>
      </w:r>
    </w:p>
    <w:p w14:paraId="7AFD1B6F" w14:textId="5C4576F7" w:rsidR="00F02BC0" w:rsidRPr="00F02BC0" w:rsidRDefault="00F02BC0" w:rsidP="00F02BC0">
      <w:pPr>
        <w:pStyle w:val="CommentText"/>
        <w:numPr>
          <w:ilvl w:val="0"/>
          <w:numId w:val="18"/>
        </w:numPr>
        <w:rPr>
          <w:rFonts w:ascii="Times New Roman" w:hAnsi="Times New Roman" w:cs="Times New Roman"/>
          <w:sz w:val="22"/>
          <w:szCs w:val="22"/>
        </w:rPr>
      </w:pPr>
      <w:r>
        <w:rPr>
          <w:rFonts w:ascii="Times New Roman" w:hAnsi="Times New Roman" w:cs="Times New Roman"/>
          <w:sz w:val="22"/>
          <w:szCs w:val="22"/>
        </w:rPr>
        <w:t>Subsection 7</w:t>
      </w:r>
      <w:r w:rsidRPr="00F02BC0">
        <w:rPr>
          <w:rFonts w:ascii="Times New Roman" w:hAnsi="Times New Roman" w:cs="Times New Roman"/>
          <w:sz w:val="22"/>
          <w:szCs w:val="22"/>
        </w:rPr>
        <w:t>(8)</w:t>
      </w:r>
      <w:r>
        <w:rPr>
          <w:rFonts w:ascii="Times New Roman" w:hAnsi="Times New Roman" w:cs="Times New Roman"/>
          <w:sz w:val="22"/>
          <w:szCs w:val="22"/>
        </w:rPr>
        <w:t xml:space="preserve"> allows the ACMA to specify a new method for access-seekers to submit lists for washing against the Do Not Call Register, to be published on the website of the ACMA or the contracted service provider;</w:t>
      </w:r>
    </w:p>
    <w:p w14:paraId="2559E283" w14:textId="3A6329A4" w:rsidR="00F02BC0" w:rsidRPr="00F02BC0" w:rsidRDefault="00A23A81" w:rsidP="00F02BC0">
      <w:pPr>
        <w:pStyle w:val="ListParagraph"/>
        <w:numPr>
          <w:ilvl w:val="0"/>
          <w:numId w:val="18"/>
        </w:numPr>
        <w:spacing w:after="120"/>
        <w:rPr>
          <w:rFonts w:ascii="Times New Roman" w:hAnsi="Times New Roman" w:cs="Times New Roman"/>
        </w:rPr>
      </w:pPr>
      <w:r>
        <w:rPr>
          <w:rFonts w:ascii="Times New Roman" w:hAnsi="Times New Roman" w:cs="Times New Roman"/>
        </w:rPr>
        <w:t>Paragraphs 8(6)(b) and</w:t>
      </w:r>
      <w:r w:rsidR="00F02BC0" w:rsidRPr="00F02BC0">
        <w:rPr>
          <w:rFonts w:ascii="Times New Roman" w:hAnsi="Times New Roman" w:cs="Times New Roman"/>
        </w:rPr>
        <w:t xml:space="preserve"> 8(7)(b)</w:t>
      </w:r>
      <w:r>
        <w:rPr>
          <w:rFonts w:ascii="Times New Roman" w:hAnsi="Times New Roman" w:cs="Times New Roman"/>
        </w:rPr>
        <w:t xml:space="preserve"> allow the ACMA to specify methods for returning lists of ‘washed’ numbers to access-seekers in particular circumstances, where the method is published on the </w:t>
      </w:r>
      <w:r w:rsidR="00F907B1">
        <w:rPr>
          <w:rFonts w:ascii="Times New Roman" w:hAnsi="Times New Roman" w:cs="Times New Roman"/>
        </w:rPr>
        <w:t xml:space="preserve">website of the </w:t>
      </w:r>
      <w:r>
        <w:rPr>
          <w:rFonts w:ascii="Times New Roman" w:hAnsi="Times New Roman" w:cs="Times New Roman"/>
        </w:rPr>
        <w:t>ACMA or the contracted service provider.</w:t>
      </w:r>
    </w:p>
    <w:p w14:paraId="10576DAA" w14:textId="3FD7C540" w:rsidR="00F907B1" w:rsidRDefault="00F907B1" w:rsidP="00E02B69">
      <w:pPr>
        <w:spacing w:after="120"/>
        <w:rPr>
          <w:rFonts w:ascii="Times New Roman" w:hAnsi="Times New Roman" w:cs="Times New Roman"/>
        </w:rPr>
      </w:pPr>
      <w:r>
        <w:rPr>
          <w:rFonts w:ascii="Times New Roman" w:hAnsi="Times New Roman" w:cs="Times New Roman"/>
        </w:rPr>
        <w:t>Access to the abovementioned documents is available on the website of the ACMA or the contracted ser</w:t>
      </w:r>
      <w:r w:rsidR="0080737B">
        <w:rPr>
          <w:rFonts w:ascii="Times New Roman" w:hAnsi="Times New Roman" w:cs="Times New Roman"/>
        </w:rPr>
        <w:t xml:space="preserve">vice provider, free of charge. </w:t>
      </w:r>
      <w:r>
        <w:rPr>
          <w:rFonts w:ascii="Times New Roman" w:hAnsi="Times New Roman" w:cs="Times New Roman"/>
        </w:rPr>
        <w:t xml:space="preserve">The ACMA’s website is </w:t>
      </w:r>
      <w:hyperlink r:id="rId8" w:history="1">
        <w:r w:rsidRPr="00F02603">
          <w:rPr>
            <w:rStyle w:val="Hyperlink"/>
            <w:rFonts w:ascii="Times New Roman" w:hAnsi="Times New Roman" w:cs="Times New Roman"/>
          </w:rPr>
          <w:t>www.acma.gov.au</w:t>
        </w:r>
      </w:hyperlink>
      <w:r>
        <w:rPr>
          <w:rFonts w:ascii="Times New Roman" w:hAnsi="Times New Roman" w:cs="Times New Roman"/>
        </w:rPr>
        <w:t xml:space="preserve">, and the contracted service provider’s website is </w:t>
      </w:r>
      <w:hyperlink r:id="rId9" w:history="1">
        <w:r w:rsidRPr="00F02603">
          <w:rPr>
            <w:rStyle w:val="Hyperlink"/>
            <w:rFonts w:ascii="Times New Roman" w:hAnsi="Times New Roman" w:cs="Times New Roman"/>
          </w:rPr>
          <w:t>www.donotcall.gov.au</w:t>
        </w:r>
      </w:hyperlink>
      <w:r>
        <w:rPr>
          <w:rFonts w:ascii="Times New Roman" w:hAnsi="Times New Roman" w:cs="Times New Roman"/>
        </w:rPr>
        <w:t xml:space="preserve">. </w:t>
      </w:r>
    </w:p>
    <w:p w14:paraId="3E4DCF58" w14:textId="5E4C049D" w:rsidR="00D74928" w:rsidRPr="00A96DAE" w:rsidRDefault="00F02BC0" w:rsidP="00E02B69">
      <w:pPr>
        <w:spacing w:after="120"/>
        <w:rPr>
          <w:rFonts w:ascii="Times New Roman" w:hAnsi="Times New Roman" w:cs="Times New Roman"/>
        </w:rPr>
      </w:pPr>
      <w:r>
        <w:rPr>
          <w:rFonts w:ascii="Times New Roman" w:hAnsi="Times New Roman" w:cs="Times New Roman"/>
        </w:rPr>
        <w:t>The Determination does not otherwise incorporate</w:t>
      </w:r>
      <w:r w:rsidR="00D74928" w:rsidRPr="00A96DAE">
        <w:rPr>
          <w:rFonts w:ascii="Times New Roman" w:hAnsi="Times New Roman" w:cs="Times New Roman"/>
        </w:rPr>
        <w:t xml:space="preserve"> any document by reference.</w:t>
      </w:r>
    </w:p>
    <w:p w14:paraId="28832377" w14:textId="77777777" w:rsidR="00BB076E" w:rsidRPr="00A96DAE" w:rsidRDefault="00BB076E" w:rsidP="00E02B69">
      <w:pPr>
        <w:spacing w:before="240" w:after="120"/>
        <w:rPr>
          <w:rFonts w:ascii="Times New Roman" w:hAnsi="Times New Roman" w:cs="Times New Roman"/>
          <w:b/>
        </w:rPr>
      </w:pPr>
      <w:r w:rsidRPr="00A96DAE">
        <w:rPr>
          <w:rFonts w:ascii="Times New Roman" w:hAnsi="Times New Roman" w:cs="Times New Roman"/>
          <w:b/>
        </w:rPr>
        <w:t>Consultation</w:t>
      </w:r>
    </w:p>
    <w:p w14:paraId="1EB4A0D6" w14:textId="57801DDB" w:rsidR="00681986" w:rsidRPr="00A96DAE" w:rsidRDefault="005A62C2" w:rsidP="00E02B69">
      <w:pPr>
        <w:spacing w:after="120"/>
        <w:rPr>
          <w:rFonts w:ascii="Times New Roman" w:hAnsi="Times New Roman" w:cs="Times New Roman"/>
        </w:rPr>
      </w:pPr>
      <w:r w:rsidRPr="00A96DAE">
        <w:rPr>
          <w:rFonts w:ascii="Times New Roman" w:hAnsi="Times New Roman" w:cs="Times New Roman"/>
        </w:rPr>
        <w:t>T</w:t>
      </w:r>
      <w:r w:rsidR="00681986" w:rsidRPr="00A96DAE">
        <w:rPr>
          <w:rFonts w:ascii="Times New Roman" w:hAnsi="Times New Roman" w:cs="Times New Roman"/>
        </w:rPr>
        <w:t xml:space="preserve">he ACMA </w:t>
      </w:r>
      <w:r w:rsidR="00381876">
        <w:rPr>
          <w:rFonts w:ascii="Times New Roman" w:hAnsi="Times New Roman" w:cs="Times New Roman"/>
        </w:rPr>
        <w:t>undertook</w:t>
      </w:r>
      <w:r w:rsidR="00681986" w:rsidRPr="00A96DAE">
        <w:rPr>
          <w:rFonts w:ascii="Times New Roman" w:hAnsi="Times New Roman" w:cs="Times New Roman"/>
        </w:rPr>
        <w:t xml:space="preserve"> consultation</w:t>
      </w:r>
      <w:r w:rsidRPr="00A96DAE">
        <w:rPr>
          <w:rFonts w:ascii="Times New Roman" w:hAnsi="Times New Roman" w:cs="Times New Roman"/>
        </w:rPr>
        <w:t xml:space="preserve"> before the Determination was made</w:t>
      </w:r>
      <w:r w:rsidR="00681986" w:rsidRPr="00A96DAE">
        <w:rPr>
          <w:rFonts w:ascii="Times New Roman" w:hAnsi="Times New Roman" w:cs="Times New Roman"/>
        </w:rPr>
        <w:t xml:space="preserve"> in accordance with section 17 of the</w:t>
      </w:r>
      <w:r w:rsidR="00696659" w:rsidRPr="00A96DAE">
        <w:rPr>
          <w:rFonts w:ascii="Times New Roman" w:hAnsi="Times New Roman" w:cs="Times New Roman"/>
        </w:rPr>
        <w:t xml:space="preserve"> </w:t>
      </w:r>
      <w:r w:rsidRPr="00A96DAE">
        <w:rPr>
          <w:rFonts w:ascii="Times New Roman" w:hAnsi="Times New Roman" w:cs="Times New Roman"/>
          <w:i/>
        </w:rPr>
        <w:t>Legislation Act 2003</w:t>
      </w:r>
      <w:r w:rsidR="00681986" w:rsidRPr="00A96DAE">
        <w:rPr>
          <w:rFonts w:ascii="Times New Roman" w:hAnsi="Times New Roman" w:cs="Times New Roman"/>
        </w:rPr>
        <w:t>.</w:t>
      </w:r>
    </w:p>
    <w:p w14:paraId="24156608" w14:textId="09413E57" w:rsidR="00AD500F" w:rsidRPr="00A96DAE" w:rsidRDefault="007166C0" w:rsidP="00E02B69">
      <w:pPr>
        <w:autoSpaceDE w:val="0"/>
        <w:autoSpaceDN w:val="0"/>
        <w:adjustRightInd w:val="0"/>
        <w:spacing w:after="120" w:line="240" w:lineRule="auto"/>
        <w:rPr>
          <w:rFonts w:ascii="Times New Roman" w:hAnsi="Times New Roman" w:cs="Times New Roman"/>
        </w:rPr>
      </w:pPr>
      <w:r w:rsidRPr="00CA176B">
        <w:rPr>
          <w:rFonts w:ascii="Times New Roman" w:hAnsi="Times New Roman" w:cs="Times New Roman"/>
        </w:rPr>
        <w:t xml:space="preserve">On </w:t>
      </w:r>
      <w:r>
        <w:rPr>
          <w:rFonts w:ascii="Times New Roman" w:hAnsi="Times New Roman" w:cs="Times New Roman"/>
        </w:rPr>
        <w:t>19</w:t>
      </w:r>
      <w:r w:rsidRPr="00CA176B">
        <w:rPr>
          <w:rFonts w:ascii="Times New Roman" w:hAnsi="Times New Roman" w:cs="Times New Roman"/>
        </w:rPr>
        <w:t xml:space="preserve"> March 2017, the ACMA </w:t>
      </w:r>
      <w:r>
        <w:rPr>
          <w:rFonts w:ascii="Times New Roman" w:hAnsi="Times New Roman" w:cs="Times New Roman"/>
        </w:rPr>
        <w:t>commenced a consultation process on cost recovery arrangements for</w:t>
      </w:r>
      <w:r w:rsidRPr="00CA176B">
        <w:rPr>
          <w:rFonts w:ascii="Times New Roman" w:hAnsi="Times New Roman" w:cs="Times New Roman"/>
        </w:rPr>
        <w:t xml:space="preserve"> the Do Not Call Register</w:t>
      </w:r>
      <w:r>
        <w:rPr>
          <w:rFonts w:ascii="Times New Roman" w:hAnsi="Times New Roman" w:cs="Times New Roman"/>
        </w:rPr>
        <w:t xml:space="preserve"> and the related </w:t>
      </w:r>
      <w:proofErr w:type="spellStart"/>
      <w:r>
        <w:rPr>
          <w:rFonts w:ascii="Times New Roman" w:hAnsi="Times New Roman" w:cs="Times New Roman"/>
        </w:rPr>
        <w:t>sunsetting</w:t>
      </w:r>
      <w:proofErr w:type="spellEnd"/>
      <w:r>
        <w:rPr>
          <w:rFonts w:ascii="Times New Roman" w:hAnsi="Times New Roman" w:cs="Times New Roman"/>
        </w:rPr>
        <w:t xml:space="preserve"> of three determinations which support the operation of the Do Not Call Register</w:t>
      </w:r>
      <w:r w:rsidRPr="00CA176B">
        <w:rPr>
          <w:rFonts w:ascii="Times New Roman" w:hAnsi="Times New Roman" w:cs="Times New Roman"/>
        </w:rPr>
        <w:t>. The consultation paper</w:t>
      </w:r>
      <w:r>
        <w:rPr>
          <w:rFonts w:ascii="Times New Roman" w:hAnsi="Times New Roman" w:cs="Times New Roman"/>
        </w:rPr>
        <w:t xml:space="preserve">, the draft Cost Recovery Implementation Statement and draft instruments were </w:t>
      </w:r>
      <w:r w:rsidRPr="00CA176B">
        <w:rPr>
          <w:rFonts w:ascii="Times New Roman" w:hAnsi="Times New Roman" w:cs="Times New Roman"/>
        </w:rPr>
        <w:t xml:space="preserve">published on </w:t>
      </w:r>
      <w:r>
        <w:rPr>
          <w:rFonts w:ascii="Times New Roman" w:hAnsi="Times New Roman" w:cs="Times New Roman"/>
        </w:rPr>
        <w:t xml:space="preserve">the </w:t>
      </w:r>
      <w:r w:rsidRPr="00CA176B">
        <w:rPr>
          <w:rFonts w:ascii="Times New Roman" w:hAnsi="Times New Roman" w:cs="Times New Roman"/>
        </w:rPr>
        <w:t>ACMA’s website and provided directly to key industry stakeholders</w:t>
      </w:r>
      <w:r>
        <w:rPr>
          <w:rFonts w:ascii="Times New Roman" w:hAnsi="Times New Roman" w:cs="Times New Roman"/>
        </w:rPr>
        <w:t xml:space="preserve">, </w:t>
      </w:r>
      <w:r w:rsidRPr="00CA176B">
        <w:rPr>
          <w:rFonts w:ascii="Times New Roman" w:hAnsi="Times New Roman" w:cs="Times New Roman"/>
        </w:rPr>
        <w:t>includ</w:t>
      </w:r>
      <w:r>
        <w:rPr>
          <w:rFonts w:ascii="Times New Roman" w:hAnsi="Times New Roman" w:cs="Times New Roman"/>
        </w:rPr>
        <w:t>ing</w:t>
      </w:r>
      <w:r w:rsidRPr="00CA176B">
        <w:rPr>
          <w:rFonts w:ascii="Times New Roman" w:hAnsi="Times New Roman" w:cs="Times New Roman"/>
        </w:rPr>
        <w:t xml:space="preserve"> associations representing </w:t>
      </w:r>
      <w:r>
        <w:rPr>
          <w:rFonts w:ascii="Times New Roman" w:hAnsi="Times New Roman" w:cs="Times New Roman"/>
        </w:rPr>
        <w:t>organisations</w:t>
      </w:r>
      <w:r w:rsidRPr="00CA176B">
        <w:rPr>
          <w:rFonts w:ascii="Times New Roman" w:hAnsi="Times New Roman" w:cs="Times New Roman"/>
        </w:rPr>
        <w:t xml:space="preserve"> engaged in telemarketing</w:t>
      </w:r>
      <w:r>
        <w:rPr>
          <w:rFonts w:ascii="Times New Roman" w:hAnsi="Times New Roman" w:cs="Times New Roman"/>
        </w:rPr>
        <w:t xml:space="preserve">. </w:t>
      </w:r>
      <w:r w:rsidR="005A62C2" w:rsidRPr="00A96DAE">
        <w:rPr>
          <w:rFonts w:ascii="Times New Roman" w:hAnsi="Times New Roman" w:cs="Times New Roman"/>
        </w:rPr>
        <w:t xml:space="preserve">The </w:t>
      </w:r>
      <w:r w:rsidR="00EA2692" w:rsidRPr="00A96DAE">
        <w:rPr>
          <w:rFonts w:ascii="Times New Roman" w:hAnsi="Times New Roman" w:cs="Times New Roman"/>
        </w:rPr>
        <w:t xml:space="preserve">ACMA received </w:t>
      </w:r>
      <w:r w:rsidR="0021408B" w:rsidRPr="00A96DAE">
        <w:rPr>
          <w:rFonts w:ascii="Times New Roman" w:hAnsi="Times New Roman" w:cs="Times New Roman"/>
        </w:rPr>
        <w:t>five</w:t>
      </w:r>
      <w:r w:rsidR="00EA2692" w:rsidRPr="00A96DAE">
        <w:rPr>
          <w:rFonts w:ascii="Times New Roman" w:hAnsi="Times New Roman" w:cs="Times New Roman"/>
        </w:rPr>
        <w:t xml:space="preserve"> submissions </w:t>
      </w:r>
      <w:r w:rsidR="00DF3C0A" w:rsidRPr="00A96DAE">
        <w:rPr>
          <w:rFonts w:ascii="Times New Roman" w:hAnsi="Times New Roman" w:cs="Times New Roman"/>
        </w:rPr>
        <w:t xml:space="preserve">to the consultation, </w:t>
      </w:r>
      <w:r w:rsidR="00A03C49">
        <w:rPr>
          <w:rFonts w:ascii="Times New Roman" w:hAnsi="Times New Roman" w:cs="Times New Roman"/>
        </w:rPr>
        <w:t>although</w:t>
      </w:r>
      <w:r w:rsidR="00DF3C0A" w:rsidRPr="00A96DAE">
        <w:rPr>
          <w:rFonts w:ascii="Times New Roman" w:hAnsi="Times New Roman" w:cs="Times New Roman"/>
        </w:rPr>
        <w:t xml:space="preserve"> none of these submissions addressed the </w:t>
      </w:r>
      <w:r w:rsidR="00EA2692" w:rsidRPr="00A96DAE">
        <w:rPr>
          <w:rFonts w:ascii="Times New Roman" w:hAnsi="Times New Roman" w:cs="Times New Roman"/>
        </w:rPr>
        <w:t xml:space="preserve">proposed </w:t>
      </w:r>
      <w:r w:rsidR="00106F7D">
        <w:rPr>
          <w:rFonts w:ascii="Times New Roman" w:hAnsi="Times New Roman" w:cs="Times New Roman"/>
        </w:rPr>
        <w:t>terms of</w:t>
      </w:r>
      <w:r w:rsidR="00D74928" w:rsidRPr="00A96DAE">
        <w:rPr>
          <w:rFonts w:ascii="Times New Roman" w:hAnsi="Times New Roman" w:cs="Times New Roman"/>
        </w:rPr>
        <w:t xml:space="preserve"> </w:t>
      </w:r>
      <w:r w:rsidR="005A62C2" w:rsidRPr="00A96DAE">
        <w:rPr>
          <w:rFonts w:ascii="Times New Roman" w:hAnsi="Times New Roman" w:cs="Times New Roman"/>
        </w:rPr>
        <w:t>the Determination</w:t>
      </w:r>
      <w:r w:rsidR="00EA2692" w:rsidRPr="00A96DAE">
        <w:rPr>
          <w:rFonts w:ascii="Times New Roman" w:hAnsi="Times New Roman" w:cs="Times New Roman"/>
        </w:rPr>
        <w:t xml:space="preserve">. </w:t>
      </w:r>
    </w:p>
    <w:p w14:paraId="3DBDAC14" w14:textId="2D5984CE" w:rsidR="0091080B" w:rsidRPr="00A96DAE" w:rsidRDefault="00FB4437" w:rsidP="00476B79">
      <w:pPr>
        <w:spacing w:before="240" w:after="120"/>
        <w:rPr>
          <w:rFonts w:ascii="Times New Roman" w:hAnsi="Times New Roman" w:cs="Times New Roman"/>
          <w:b/>
        </w:rPr>
      </w:pPr>
      <w:r w:rsidRPr="00A96DAE">
        <w:rPr>
          <w:rFonts w:ascii="Times New Roman" w:hAnsi="Times New Roman" w:cs="Times New Roman"/>
          <w:b/>
        </w:rPr>
        <w:t>Regulatory impact assessment</w:t>
      </w:r>
    </w:p>
    <w:p w14:paraId="2B06E4AF" w14:textId="0EF75CA3" w:rsidR="00DF3C0A" w:rsidRPr="00A96DAE" w:rsidRDefault="00DF3C0A" w:rsidP="005A62C2">
      <w:pPr>
        <w:spacing w:after="120" w:line="240" w:lineRule="auto"/>
        <w:rPr>
          <w:rFonts w:ascii="Times New Roman" w:hAnsi="Times New Roman" w:cs="Times New Roman"/>
        </w:rPr>
      </w:pPr>
      <w:r w:rsidRPr="00A96DAE">
        <w:rPr>
          <w:rFonts w:ascii="Times New Roman" w:hAnsi="Times New Roman" w:cs="Times New Roman"/>
        </w:rPr>
        <w:t xml:space="preserve">The Office of Best Practice Regulation has determined that the regulatory change effected by the Determination is minor or machinery in nature and has therefore verified that a Regulatory Impact Statement is not required (Exemption reference ID: </w:t>
      </w:r>
      <w:r w:rsidR="0021408B" w:rsidRPr="00A96DAE">
        <w:rPr>
          <w:rFonts w:ascii="Times New Roman" w:hAnsi="Times New Roman" w:cs="Times New Roman"/>
        </w:rPr>
        <w:t>21869</w:t>
      </w:r>
      <w:r w:rsidRPr="00A96DAE">
        <w:rPr>
          <w:rFonts w:ascii="Times New Roman" w:hAnsi="Times New Roman" w:cs="Times New Roman"/>
        </w:rPr>
        <w:t>).</w:t>
      </w:r>
    </w:p>
    <w:p w14:paraId="307F40E0" w14:textId="26261325" w:rsidR="004D2843" w:rsidRPr="00A96DAE" w:rsidRDefault="00FB4437" w:rsidP="00476B79">
      <w:pPr>
        <w:spacing w:before="240" w:after="120"/>
        <w:rPr>
          <w:rFonts w:ascii="Times New Roman" w:hAnsi="Times New Roman" w:cs="Times New Roman"/>
          <w:b/>
        </w:rPr>
      </w:pPr>
      <w:r w:rsidRPr="00A96DAE">
        <w:rPr>
          <w:rFonts w:ascii="Times New Roman" w:hAnsi="Times New Roman" w:cs="Times New Roman"/>
          <w:b/>
        </w:rPr>
        <w:t>Statement of compatibility with human r</w:t>
      </w:r>
      <w:r w:rsidR="004D2843" w:rsidRPr="00A96DAE">
        <w:rPr>
          <w:rFonts w:ascii="Times New Roman" w:hAnsi="Times New Roman" w:cs="Times New Roman"/>
          <w:b/>
        </w:rPr>
        <w:t>ights</w:t>
      </w:r>
    </w:p>
    <w:p w14:paraId="226AEDCA" w14:textId="4F38DA2A" w:rsidR="00134705" w:rsidRPr="00A96DAE" w:rsidRDefault="00FB4437" w:rsidP="00476B79">
      <w:pPr>
        <w:spacing w:after="120"/>
        <w:rPr>
          <w:rFonts w:ascii="Times New Roman" w:hAnsi="Times New Roman" w:cs="Times New Roman"/>
        </w:rPr>
      </w:pPr>
      <w:r w:rsidRPr="00A96DAE">
        <w:rPr>
          <w:rFonts w:ascii="Times New Roman" w:hAnsi="Times New Roman" w:cs="Times New Roman"/>
        </w:rPr>
        <w:t xml:space="preserve">Subsection 9(1) of the </w:t>
      </w:r>
      <w:r w:rsidRPr="00A96DAE">
        <w:rPr>
          <w:rFonts w:ascii="Times New Roman" w:hAnsi="Times New Roman" w:cs="Times New Roman"/>
          <w:i/>
        </w:rPr>
        <w:t>Human Rights (Parliamentary Scrutiny) Act 2011</w:t>
      </w:r>
      <w:r w:rsidRPr="00A96DAE">
        <w:rPr>
          <w:rFonts w:ascii="Times New Roman" w:hAnsi="Times New Roman" w:cs="Times New Roman"/>
        </w:rPr>
        <w:t xml:space="preserve"> requires the rule-maker in relation to a legislative instrument to which section 42 (disallowance) of the</w:t>
      </w:r>
      <w:r w:rsidR="00696659" w:rsidRPr="00A96DAE">
        <w:rPr>
          <w:rFonts w:ascii="Times New Roman" w:hAnsi="Times New Roman" w:cs="Times New Roman"/>
        </w:rPr>
        <w:t xml:space="preserve"> </w:t>
      </w:r>
      <w:r w:rsidR="005A62C2" w:rsidRPr="00A96DAE">
        <w:rPr>
          <w:rFonts w:ascii="Times New Roman" w:hAnsi="Times New Roman" w:cs="Times New Roman"/>
          <w:i/>
        </w:rPr>
        <w:t>Legislation Act 2003</w:t>
      </w:r>
      <w:r w:rsidR="0065531D">
        <w:rPr>
          <w:rFonts w:ascii="Times New Roman" w:hAnsi="Times New Roman" w:cs="Times New Roman"/>
          <w:i/>
        </w:rPr>
        <w:t xml:space="preserve"> </w:t>
      </w:r>
      <w:r w:rsidRPr="00A96DAE">
        <w:rPr>
          <w:rFonts w:ascii="Times New Roman" w:hAnsi="Times New Roman" w:cs="Times New Roman"/>
        </w:rPr>
        <w:t>applies to cause a statement of compatibility to be prepared in respect of that legislative instrument.</w:t>
      </w:r>
    </w:p>
    <w:p w14:paraId="245A3CAD" w14:textId="7B312B7B" w:rsidR="00134705" w:rsidRPr="00A96DAE" w:rsidRDefault="00134705" w:rsidP="00476B79">
      <w:pPr>
        <w:spacing w:after="120"/>
        <w:rPr>
          <w:rFonts w:ascii="Times New Roman" w:hAnsi="Times New Roman" w:cs="Times New Roman"/>
        </w:rPr>
      </w:pPr>
      <w:r w:rsidRPr="00A96DAE">
        <w:rPr>
          <w:rFonts w:ascii="Times New Roman" w:hAnsi="Times New Roman" w:cs="Times New Roman"/>
        </w:rPr>
        <w:t>The statement of compatibility set out below has been prepared to meet that requirement.</w:t>
      </w:r>
    </w:p>
    <w:p w14:paraId="29DF75CB" w14:textId="77777777" w:rsidR="00134705" w:rsidRPr="00A96DAE" w:rsidRDefault="00134705" w:rsidP="00476B79">
      <w:pPr>
        <w:spacing w:after="120"/>
        <w:rPr>
          <w:rFonts w:ascii="Times New Roman" w:hAnsi="Times New Roman" w:cs="Times New Roman"/>
          <w:b/>
          <w:i/>
        </w:rPr>
      </w:pPr>
      <w:r w:rsidRPr="00A96DAE">
        <w:rPr>
          <w:rFonts w:ascii="Times New Roman" w:hAnsi="Times New Roman" w:cs="Times New Roman"/>
          <w:b/>
          <w:i/>
        </w:rPr>
        <w:lastRenderedPageBreak/>
        <w:t>Overview of the instrument</w:t>
      </w:r>
    </w:p>
    <w:p w14:paraId="160D0775" w14:textId="2DA4E3C6" w:rsidR="00DF3C0A" w:rsidRPr="00A96DAE" w:rsidRDefault="00DF3C0A" w:rsidP="00476B79">
      <w:pPr>
        <w:spacing w:after="120"/>
        <w:rPr>
          <w:rFonts w:ascii="Times New Roman" w:hAnsi="Times New Roman" w:cs="Times New Roman"/>
        </w:rPr>
      </w:pPr>
      <w:r w:rsidRPr="00A96DAE">
        <w:rPr>
          <w:rFonts w:ascii="Times New Roman" w:hAnsi="Times New Roman" w:cs="Times New Roman"/>
        </w:rPr>
        <w:t xml:space="preserve">The </w:t>
      </w:r>
      <w:r w:rsidR="00652780" w:rsidRPr="00476B79">
        <w:rPr>
          <w:rFonts w:ascii="Times New Roman" w:hAnsi="Times New Roman" w:cs="Times New Roman"/>
          <w:iCs/>
        </w:rPr>
        <w:t>Determination</w:t>
      </w:r>
      <w:r w:rsidR="00652780" w:rsidRPr="00A96DAE">
        <w:rPr>
          <w:rFonts w:ascii="Times New Roman" w:hAnsi="Times New Roman" w:cs="Times New Roman"/>
          <w:i/>
          <w:iCs/>
        </w:rPr>
        <w:t xml:space="preserve"> </w:t>
      </w:r>
      <w:r w:rsidRPr="00A96DAE">
        <w:rPr>
          <w:rFonts w:ascii="Times New Roman" w:hAnsi="Times New Roman" w:cs="Times New Roman"/>
        </w:rPr>
        <w:t xml:space="preserve">has been made by the ACMA to </w:t>
      </w:r>
      <w:r w:rsidR="00C77040">
        <w:rPr>
          <w:rFonts w:ascii="Times New Roman" w:hAnsi="Times New Roman" w:cs="Times New Roman"/>
        </w:rPr>
        <w:t>specify</w:t>
      </w:r>
      <w:r w:rsidR="00C77040" w:rsidRPr="00A96DAE">
        <w:rPr>
          <w:rFonts w:ascii="Times New Roman" w:hAnsi="Times New Roman" w:cs="Times New Roman"/>
        </w:rPr>
        <w:t xml:space="preserve"> </w:t>
      </w:r>
      <w:r w:rsidRPr="00A96DAE">
        <w:rPr>
          <w:rFonts w:ascii="Times New Roman" w:hAnsi="Times New Roman" w:cs="Times New Roman"/>
        </w:rPr>
        <w:t>the</w:t>
      </w:r>
      <w:r w:rsidR="00652780" w:rsidRPr="00A96DAE">
        <w:rPr>
          <w:rFonts w:ascii="Times New Roman" w:hAnsi="Times New Roman" w:cs="Times New Roman"/>
        </w:rPr>
        <w:t xml:space="preserve"> way in which access-seekers may submit a list of numbers for </w:t>
      </w:r>
      <w:r w:rsidR="00262DCF">
        <w:rPr>
          <w:rFonts w:ascii="Times New Roman" w:hAnsi="Times New Roman" w:cs="Times New Roman"/>
        </w:rPr>
        <w:t>‘</w:t>
      </w:r>
      <w:r w:rsidR="00652780" w:rsidRPr="00A96DAE">
        <w:rPr>
          <w:rFonts w:ascii="Times New Roman" w:hAnsi="Times New Roman" w:cs="Times New Roman"/>
        </w:rPr>
        <w:t>washing</w:t>
      </w:r>
      <w:r w:rsidR="00262DCF">
        <w:rPr>
          <w:rFonts w:ascii="Times New Roman" w:hAnsi="Times New Roman" w:cs="Times New Roman"/>
        </w:rPr>
        <w:t>’ against the Do Not Call Register,</w:t>
      </w:r>
      <w:r w:rsidR="00652780" w:rsidRPr="00A96DAE">
        <w:rPr>
          <w:rFonts w:ascii="Times New Roman" w:hAnsi="Times New Roman" w:cs="Times New Roman"/>
        </w:rPr>
        <w:t xml:space="preserve"> and the manner in which </w:t>
      </w:r>
      <w:r w:rsidR="00574AF9" w:rsidRPr="00A96DAE">
        <w:rPr>
          <w:rFonts w:ascii="Times New Roman" w:hAnsi="Times New Roman" w:cs="Times New Roman"/>
        </w:rPr>
        <w:t xml:space="preserve">the </w:t>
      </w:r>
      <w:r w:rsidR="00652780" w:rsidRPr="00A96DAE">
        <w:rPr>
          <w:rFonts w:ascii="Times New Roman" w:hAnsi="Times New Roman" w:cs="Times New Roman"/>
        </w:rPr>
        <w:t xml:space="preserve">ACMA or the contracted service provider is to provide the information to the access-seeker </w:t>
      </w:r>
      <w:r w:rsidR="00F85D90" w:rsidRPr="00A96DAE">
        <w:rPr>
          <w:rFonts w:ascii="Times New Roman" w:hAnsi="Times New Roman" w:cs="Times New Roman"/>
        </w:rPr>
        <w:t xml:space="preserve">under the </w:t>
      </w:r>
      <w:r w:rsidR="00F85D90" w:rsidRPr="00A96DAE">
        <w:rPr>
          <w:rFonts w:ascii="Times New Roman" w:hAnsi="Times New Roman" w:cs="Times New Roman"/>
          <w:i/>
        </w:rPr>
        <w:t>Do Not Call Register Act 2006</w:t>
      </w:r>
      <w:r w:rsidR="00F85D90" w:rsidRPr="00A96DAE">
        <w:rPr>
          <w:rFonts w:ascii="Times New Roman" w:hAnsi="Times New Roman" w:cs="Times New Roman"/>
        </w:rPr>
        <w:t>.</w:t>
      </w:r>
    </w:p>
    <w:p w14:paraId="06CB69C3" w14:textId="77777777" w:rsidR="00134705" w:rsidRPr="00A96DAE" w:rsidRDefault="00134705" w:rsidP="00476B79">
      <w:pPr>
        <w:spacing w:after="120"/>
        <w:rPr>
          <w:rFonts w:ascii="Times New Roman" w:hAnsi="Times New Roman" w:cs="Times New Roman"/>
          <w:b/>
          <w:i/>
        </w:rPr>
      </w:pPr>
      <w:r w:rsidRPr="00A96DAE">
        <w:rPr>
          <w:rFonts w:ascii="Times New Roman" w:hAnsi="Times New Roman" w:cs="Times New Roman"/>
          <w:b/>
          <w:i/>
        </w:rPr>
        <w:t>Human rights implications</w:t>
      </w:r>
    </w:p>
    <w:p w14:paraId="44A4FF08" w14:textId="7F22E519" w:rsidR="00134705" w:rsidRPr="00A96DAE" w:rsidRDefault="00134705" w:rsidP="00476B79">
      <w:pPr>
        <w:spacing w:after="120"/>
        <w:rPr>
          <w:rFonts w:ascii="Times New Roman" w:hAnsi="Times New Roman" w:cs="Times New Roman"/>
        </w:rPr>
      </w:pPr>
      <w:r w:rsidRPr="00A96DAE">
        <w:rPr>
          <w:rFonts w:ascii="Times New Roman" w:hAnsi="Times New Roman" w:cs="Times New Roman"/>
        </w:rPr>
        <w:t xml:space="preserve">The ACMA has assessed whether the </w:t>
      </w:r>
      <w:r w:rsidR="00574AF9" w:rsidRPr="00A96DAE">
        <w:rPr>
          <w:rFonts w:ascii="Times New Roman" w:hAnsi="Times New Roman" w:cs="Times New Roman"/>
        </w:rPr>
        <w:t xml:space="preserve">Determination </w:t>
      </w:r>
      <w:r w:rsidRPr="00A96DAE">
        <w:rPr>
          <w:rFonts w:ascii="Times New Roman" w:hAnsi="Times New Roman" w:cs="Times New Roman"/>
        </w:rPr>
        <w:t>is compatible with human rights, being the rights and freedoms recognised or declared by the international instruments listed in subsection 3(1) of th</w:t>
      </w:r>
      <w:r w:rsidR="000124F9" w:rsidRPr="00A96DAE">
        <w:rPr>
          <w:rFonts w:ascii="Times New Roman" w:hAnsi="Times New Roman" w:cs="Times New Roman"/>
        </w:rPr>
        <w:t>e</w:t>
      </w:r>
      <w:r w:rsidR="000124F9" w:rsidRPr="00A96DAE">
        <w:rPr>
          <w:rFonts w:ascii="Times New Roman" w:hAnsi="Times New Roman" w:cs="Times New Roman"/>
          <w:i/>
        </w:rPr>
        <w:t xml:space="preserve"> Human Rights (Parliamentary Scrutiny) Act 2011 </w:t>
      </w:r>
      <w:r w:rsidRPr="00A96DAE">
        <w:rPr>
          <w:rFonts w:ascii="Times New Roman" w:hAnsi="Times New Roman" w:cs="Times New Roman"/>
        </w:rPr>
        <w:t xml:space="preserve">as they apply to Australia. </w:t>
      </w:r>
    </w:p>
    <w:p w14:paraId="08D8C1A8" w14:textId="78BBDE13" w:rsidR="00134705" w:rsidRPr="00A96DAE" w:rsidRDefault="00134705" w:rsidP="00476B79">
      <w:pPr>
        <w:spacing w:after="120"/>
        <w:rPr>
          <w:rFonts w:ascii="Times New Roman" w:hAnsi="Times New Roman" w:cs="Times New Roman"/>
        </w:rPr>
      </w:pPr>
      <w:r w:rsidRPr="00A96DAE">
        <w:rPr>
          <w:rFonts w:ascii="Times New Roman" w:hAnsi="Times New Roman" w:cs="Times New Roman"/>
        </w:rPr>
        <w:t>Having considered the likely impact of the instrument and the nature of the applicable rights and freedoms, the ACMA has formed the view that the instrument does not engage any of those rights or freedoms.</w:t>
      </w:r>
    </w:p>
    <w:p w14:paraId="7E8A0525" w14:textId="77777777" w:rsidR="00134705" w:rsidRPr="00A96DAE" w:rsidRDefault="00134705" w:rsidP="00476B79">
      <w:pPr>
        <w:spacing w:after="120"/>
        <w:rPr>
          <w:rFonts w:ascii="Times New Roman" w:hAnsi="Times New Roman" w:cs="Times New Roman"/>
          <w:b/>
          <w:i/>
        </w:rPr>
      </w:pPr>
      <w:r w:rsidRPr="00A96DAE">
        <w:rPr>
          <w:rFonts w:ascii="Times New Roman" w:hAnsi="Times New Roman" w:cs="Times New Roman"/>
          <w:b/>
          <w:i/>
        </w:rPr>
        <w:t>Conclusion</w:t>
      </w:r>
    </w:p>
    <w:p w14:paraId="7DBF78BA" w14:textId="5A43719E" w:rsidR="00641906" w:rsidRPr="00A96DAE" w:rsidRDefault="00134705" w:rsidP="00476B79">
      <w:pPr>
        <w:spacing w:after="120"/>
        <w:rPr>
          <w:rFonts w:ascii="Times New Roman" w:hAnsi="Times New Roman" w:cs="Times New Roman"/>
        </w:rPr>
      </w:pPr>
      <w:r w:rsidRPr="00A96DAE">
        <w:rPr>
          <w:rFonts w:ascii="Times New Roman" w:hAnsi="Times New Roman" w:cs="Times New Roman"/>
        </w:rPr>
        <w:t xml:space="preserve">The </w:t>
      </w:r>
      <w:r w:rsidR="00574AF9" w:rsidRPr="00A96DAE">
        <w:rPr>
          <w:rFonts w:ascii="Times New Roman" w:hAnsi="Times New Roman" w:cs="Times New Roman"/>
        </w:rPr>
        <w:t xml:space="preserve">Determination </w:t>
      </w:r>
      <w:r w:rsidRPr="00A96DAE">
        <w:rPr>
          <w:rFonts w:ascii="Times New Roman" w:hAnsi="Times New Roman" w:cs="Times New Roman"/>
        </w:rPr>
        <w:t>is compatible with human rights as it does not raise any human rights issues.</w:t>
      </w:r>
    </w:p>
    <w:p w14:paraId="60C6668F" w14:textId="77777777" w:rsidR="00FB767A" w:rsidRPr="00A96DAE" w:rsidRDefault="00FB767A" w:rsidP="00476B79">
      <w:pPr>
        <w:spacing w:after="120"/>
        <w:rPr>
          <w:rFonts w:ascii="Times New Roman" w:hAnsi="Times New Roman" w:cs="Times New Roman"/>
          <w:b/>
          <w:sz w:val="28"/>
          <w:szCs w:val="28"/>
        </w:rPr>
      </w:pPr>
      <w:r w:rsidRPr="00A96DAE">
        <w:rPr>
          <w:rFonts w:ascii="Times New Roman" w:hAnsi="Times New Roman" w:cs="Times New Roman"/>
          <w:b/>
          <w:sz w:val="28"/>
          <w:szCs w:val="28"/>
        </w:rPr>
        <w:br w:type="page"/>
      </w:r>
    </w:p>
    <w:p w14:paraId="0A465983" w14:textId="6B3EBC30" w:rsidR="00025ACE" w:rsidRPr="00A96DAE" w:rsidRDefault="00AD3414" w:rsidP="00476B79">
      <w:pPr>
        <w:spacing w:after="120"/>
        <w:jc w:val="right"/>
        <w:rPr>
          <w:rFonts w:ascii="Times New Roman" w:hAnsi="Times New Roman" w:cs="Times New Roman"/>
          <w:b/>
          <w:sz w:val="28"/>
          <w:szCs w:val="28"/>
        </w:rPr>
      </w:pPr>
      <w:r w:rsidRPr="00A96DAE">
        <w:rPr>
          <w:rFonts w:ascii="Times New Roman" w:hAnsi="Times New Roman" w:cs="Times New Roman"/>
          <w:b/>
          <w:sz w:val="28"/>
          <w:szCs w:val="28"/>
        </w:rPr>
        <w:lastRenderedPageBreak/>
        <w:t>Attachment A</w:t>
      </w:r>
    </w:p>
    <w:p w14:paraId="77137405" w14:textId="0C0D0382" w:rsidR="00641906" w:rsidRPr="00A96DAE" w:rsidRDefault="00AD3414" w:rsidP="00C77040">
      <w:pPr>
        <w:spacing w:after="120"/>
        <w:jc w:val="center"/>
        <w:rPr>
          <w:rFonts w:ascii="Times New Roman" w:hAnsi="Times New Roman" w:cs="Times New Roman"/>
          <w:b/>
          <w:sz w:val="28"/>
          <w:szCs w:val="28"/>
        </w:rPr>
      </w:pPr>
      <w:r w:rsidRPr="00A96DAE">
        <w:rPr>
          <w:rFonts w:ascii="Times New Roman" w:hAnsi="Times New Roman" w:cs="Times New Roman"/>
          <w:b/>
          <w:sz w:val="28"/>
          <w:szCs w:val="28"/>
        </w:rPr>
        <w:t>Notes to</w:t>
      </w:r>
      <w:r w:rsidR="00B727F3" w:rsidRPr="00A96DAE">
        <w:rPr>
          <w:rFonts w:ascii="Times New Roman" w:hAnsi="Times New Roman" w:cs="Times New Roman"/>
          <w:b/>
          <w:sz w:val="28"/>
          <w:szCs w:val="28"/>
        </w:rPr>
        <w:t xml:space="preserve"> the</w:t>
      </w:r>
      <w:r w:rsidRPr="00A96DAE">
        <w:rPr>
          <w:rFonts w:ascii="Times New Roman" w:hAnsi="Times New Roman" w:cs="Times New Roman"/>
          <w:b/>
          <w:sz w:val="28"/>
          <w:szCs w:val="28"/>
        </w:rPr>
        <w:t xml:space="preserve"> </w:t>
      </w:r>
      <w:r w:rsidR="00DF3C0A" w:rsidRPr="00A96DAE">
        <w:rPr>
          <w:rFonts w:ascii="Times New Roman" w:hAnsi="Times New Roman" w:cs="Times New Roman"/>
          <w:b/>
          <w:i/>
          <w:sz w:val="28"/>
          <w:szCs w:val="28"/>
        </w:rPr>
        <w:t xml:space="preserve">Do Not Call Register (Access </w:t>
      </w:r>
      <w:r w:rsidR="00652780" w:rsidRPr="00A96DAE">
        <w:rPr>
          <w:rFonts w:ascii="Times New Roman" w:hAnsi="Times New Roman" w:cs="Times New Roman"/>
          <w:b/>
          <w:i/>
          <w:sz w:val="28"/>
          <w:szCs w:val="28"/>
        </w:rPr>
        <w:t>to Register</w:t>
      </w:r>
      <w:r w:rsidR="00DF3C0A" w:rsidRPr="00A96DAE">
        <w:rPr>
          <w:rFonts w:ascii="Times New Roman" w:hAnsi="Times New Roman" w:cs="Times New Roman"/>
          <w:b/>
          <w:i/>
          <w:sz w:val="28"/>
          <w:szCs w:val="28"/>
        </w:rPr>
        <w:t>) Determination 2017</w:t>
      </w:r>
    </w:p>
    <w:p w14:paraId="6538AA96" w14:textId="544CEF03" w:rsidR="006940DB" w:rsidRPr="00A96DAE" w:rsidRDefault="006940DB" w:rsidP="00E02B69">
      <w:pPr>
        <w:spacing w:before="240" w:after="120"/>
        <w:rPr>
          <w:rFonts w:ascii="Times New Roman" w:hAnsi="Times New Roman" w:cs="Times New Roman"/>
          <w:b/>
        </w:rPr>
      </w:pPr>
      <w:r w:rsidRPr="00A96DAE">
        <w:rPr>
          <w:rFonts w:ascii="Times New Roman" w:hAnsi="Times New Roman" w:cs="Times New Roman"/>
          <w:b/>
        </w:rPr>
        <w:t>Part 1–Preliminary</w:t>
      </w:r>
    </w:p>
    <w:p w14:paraId="4DD57917" w14:textId="6DC498E6" w:rsidR="006940DB" w:rsidRPr="00A96DAE" w:rsidRDefault="006940DB" w:rsidP="00E02B69">
      <w:pPr>
        <w:spacing w:before="240" w:after="120"/>
        <w:rPr>
          <w:rFonts w:ascii="Times New Roman" w:hAnsi="Times New Roman" w:cs="Times New Roman"/>
          <w:b/>
        </w:rPr>
      </w:pPr>
      <w:r w:rsidRPr="00A96DAE">
        <w:rPr>
          <w:rFonts w:ascii="Times New Roman" w:hAnsi="Times New Roman" w:cs="Times New Roman"/>
          <w:b/>
        </w:rPr>
        <w:t>Section 1</w:t>
      </w:r>
      <w:r w:rsidRPr="00A96DAE">
        <w:rPr>
          <w:rFonts w:ascii="Times New Roman" w:hAnsi="Times New Roman" w:cs="Times New Roman"/>
          <w:b/>
        </w:rPr>
        <w:tab/>
        <w:t>Name</w:t>
      </w:r>
      <w:r w:rsidR="00574AF9" w:rsidRPr="00A96DAE">
        <w:rPr>
          <w:rFonts w:ascii="Times New Roman" w:hAnsi="Times New Roman" w:cs="Times New Roman"/>
          <w:b/>
        </w:rPr>
        <w:t xml:space="preserve"> of Determination</w:t>
      </w:r>
    </w:p>
    <w:p w14:paraId="2BDE4E85" w14:textId="2C12EB4F" w:rsidR="00025ACE" w:rsidRPr="00A96DAE" w:rsidRDefault="006940DB" w:rsidP="00E02B69">
      <w:pPr>
        <w:spacing w:after="120"/>
        <w:rPr>
          <w:rFonts w:ascii="Times New Roman" w:hAnsi="Times New Roman" w:cs="Times New Roman"/>
        </w:rPr>
      </w:pPr>
      <w:r w:rsidRPr="00A96DAE">
        <w:rPr>
          <w:rFonts w:ascii="Times New Roman" w:hAnsi="Times New Roman" w:cs="Times New Roman"/>
        </w:rPr>
        <w:t>This section provides for the instrument to be cited as</w:t>
      </w:r>
      <w:r w:rsidR="00D32E4E" w:rsidRPr="00A96DAE">
        <w:rPr>
          <w:rFonts w:ascii="Times New Roman" w:hAnsi="Times New Roman" w:cs="Times New Roman"/>
        </w:rPr>
        <w:t xml:space="preserve"> the</w:t>
      </w:r>
      <w:r w:rsidRPr="00A96DAE">
        <w:rPr>
          <w:rFonts w:ascii="Times New Roman" w:hAnsi="Times New Roman" w:cs="Times New Roman"/>
        </w:rPr>
        <w:t xml:space="preserve"> </w:t>
      </w:r>
      <w:r w:rsidR="00652780" w:rsidRPr="00A96DAE">
        <w:rPr>
          <w:rFonts w:ascii="Times New Roman" w:hAnsi="Times New Roman" w:cs="Times New Roman"/>
          <w:i/>
          <w:iCs/>
        </w:rPr>
        <w:t>Do Not Call Register (Access to Register) Determination 2017</w:t>
      </w:r>
      <w:r w:rsidRPr="00A96DAE">
        <w:rPr>
          <w:rFonts w:ascii="Times New Roman" w:hAnsi="Times New Roman" w:cs="Times New Roman"/>
        </w:rPr>
        <w:t>.</w:t>
      </w:r>
    </w:p>
    <w:p w14:paraId="39A5B6EA" w14:textId="64C1B526" w:rsidR="006940DB" w:rsidRPr="00A96DAE" w:rsidRDefault="006940DB" w:rsidP="00E02B69">
      <w:pPr>
        <w:spacing w:before="240" w:after="120"/>
        <w:rPr>
          <w:rFonts w:ascii="Times New Roman" w:hAnsi="Times New Roman" w:cs="Times New Roman"/>
          <w:b/>
        </w:rPr>
      </w:pPr>
      <w:r w:rsidRPr="00A96DAE">
        <w:rPr>
          <w:rFonts w:ascii="Times New Roman" w:hAnsi="Times New Roman" w:cs="Times New Roman"/>
          <w:b/>
        </w:rPr>
        <w:t>Section 2</w:t>
      </w:r>
      <w:r w:rsidRPr="00A96DAE">
        <w:rPr>
          <w:rFonts w:ascii="Times New Roman" w:hAnsi="Times New Roman" w:cs="Times New Roman"/>
          <w:b/>
        </w:rPr>
        <w:tab/>
        <w:t>Commencement</w:t>
      </w:r>
    </w:p>
    <w:p w14:paraId="5BC90146" w14:textId="7974FC62" w:rsidR="006940DB" w:rsidRPr="00A96DAE" w:rsidRDefault="006940DB" w:rsidP="00E02B69">
      <w:pPr>
        <w:spacing w:after="120"/>
        <w:rPr>
          <w:rFonts w:ascii="Times New Roman" w:hAnsi="Times New Roman" w:cs="Times New Roman"/>
        </w:rPr>
      </w:pPr>
      <w:r w:rsidRPr="00A96DAE">
        <w:rPr>
          <w:rFonts w:ascii="Times New Roman" w:hAnsi="Times New Roman" w:cs="Times New Roman"/>
        </w:rPr>
        <w:t>This section provides for the instrument to commence at the start of the day after it is registered</w:t>
      </w:r>
      <w:r w:rsidR="00603B3F" w:rsidRPr="00A96DAE">
        <w:rPr>
          <w:rFonts w:ascii="Times New Roman" w:hAnsi="Times New Roman" w:cs="Times New Roman"/>
        </w:rPr>
        <w:t xml:space="preserve"> on the Federal Register of Legislation</w:t>
      </w:r>
      <w:r w:rsidRPr="00A96DAE">
        <w:rPr>
          <w:rFonts w:ascii="Times New Roman" w:hAnsi="Times New Roman" w:cs="Times New Roman"/>
        </w:rPr>
        <w:t xml:space="preserve">.  </w:t>
      </w:r>
    </w:p>
    <w:p w14:paraId="7D143460" w14:textId="7214439F" w:rsidR="006940DB" w:rsidRPr="00A96DAE" w:rsidRDefault="00603B3F" w:rsidP="00E02B69">
      <w:pPr>
        <w:spacing w:after="120"/>
        <w:rPr>
          <w:rFonts w:ascii="Times New Roman" w:hAnsi="Times New Roman" w:cs="Times New Roman"/>
        </w:rPr>
      </w:pPr>
      <w:r w:rsidRPr="00A96DAE">
        <w:rPr>
          <w:rFonts w:ascii="Times New Roman" w:hAnsi="Times New Roman" w:cs="Times New Roman"/>
        </w:rPr>
        <w:t>T</w:t>
      </w:r>
      <w:r w:rsidR="006940DB" w:rsidRPr="00A96DAE">
        <w:rPr>
          <w:rFonts w:ascii="Times New Roman" w:hAnsi="Times New Roman" w:cs="Times New Roman"/>
        </w:rPr>
        <w:t xml:space="preserve">he Federal Register of Legislation may be accessed at </w:t>
      </w:r>
      <w:hyperlink r:id="rId10" w:history="1">
        <w:r w:rsidR="006940DB" w:rsidRPr="00A96DAE">
          <w:rPr>
            <w:rStyle w:val="Hyperlink"/>
            <w:rFonts w:ascii="Times New Roman" w:hAnsi="Times New Roman" w:cs="Times New Roman"/>
          </w:rPr>
          <w:t>www.legislation.gov.au</w:t>
        </w:r>
      </w:hyperlink>
      <w:r w:rsidR="006940DB" w:rsidRPr="00A96DAE">
        <w:rPr>
          <w:rFonts w:ascii="Times New Roman" w:hAnsi="Times New Roman" w:cs="Times New Roman"/>
        </w:rPr>
        <w:t>.</w:t>
      </w:r>
    </w:p>
    <w:p w14:paraId="536A04AA" w14:textId="120DC3B7" w:rsidR="006940DB" w:rsidRPr="00A96DAE" w:rsidRDefault="006940DB" w:rsidP="00E02B69">
      <w:pPr>
        <w:spacing w:before="240" w:after="120"/>
        <w:rPr>
          <w:rFonts w:ascii="Times New Roman" w:hAnsi="Times New Roman" w:cs="Times New Roman"/>
          <w:b/>
        </w:rPr>
      </w:pPr>
      <w:r w:rsidRPr="00A96DAE">
        <w:rPr>
          <w:rFonts w:ascii="Times New Roman" w:hAnsi="Times New Roman" w:cs="Times New Roman"/>
          <w:b/>
        </w:rPr>
        <w:t>Section 3</w:t>
      </w:r>
      <w:r w:rsidRPr="00A96DAE">
        <w:rPr>
          <w:rFonts w:ascii="Times New Roman" w:hAnsi="Times New Roman" w:cs="Times New Roman"/>
          <w:b/>
        </w:rPr>
        <w:tab/>
        <w:t>Authority</w:t>
      </w:r>
    </w:p>
    <w:p w14:paraId="0A770E93" w14:textId="686A97D5" w:rsidR="00025ACE" w:rsidRPr="00A96DAE" w:rsidRDefault="006940DB" w:rsidP="00E02B69">
      <w:pPr>
        <w:spacing w:after="120"/>
        <w:rPr>
          <w:rFonts w:ascii="Times New Roman" w:hAnsi="Times New Roman" w:cs="Times New Roman"/>
        </w:rPr>
      </w:pPr>
      <w:r w:rsidRPr="00A96DAE">
        <w:rPr>
          <w:rFonts w:ascii="Times New Roman" w:hAnsi="Times New Roman" w:cs="Times New Roman"/>
        </w:rPr>
        <w:t>This section identifies the</w:t>
      </w:r>
      <w:r w:rsidR="00574AF9" w:rsidRPr="00A96DAE">
        <w:rPr>
          <w:rFonts w:ascii="Times New Roman" w:hAnsi="Times New Roman" w:cs="Times New Roman"/>
        </w:rPr>
        <w:t xml:space="preserve"> provision of the</w:t>
      </w:r>
      <w:r w:rsidRPr="00A96DAE">
        <w:rPr>
          <w:rFonts w:ascii="Times New Roman" w:hAnsi="Times New Roman" w:cs="Times New Roman"/>
        </w:rPr>
        <w:t xml:space="preserve"> Act that authorises the making of the </w:t>
      </w:r>
      <w:r w:rsidR="00574AF9" w:rsidRPr="00A96DAE">
        <w:rPr>
          <w:rFonts w:ascii="Times New Roman" w:hAnsi="Times New Roman" w:cs="Times New Roman"/>
        </w:rPr>
        <w:t>Determination</w:t>
      </w:r>
      <w:r w:rsidRPr="00A96DAE">
        <w:rPr>
          <w:rFonts w:ascii="Times New Roman" w:hAnsi="Times New Roman" w:cs="Times New Roman"/>
        </w:rPr>
        <w:t xml:space="preserve">, namely </w:t>
      </w:r>
      <w:r w:rsidR="00574AF9" w:rsidRPr="00A96DAE">
        <w:rPr>
          <w:rFonts w:ascii="Times New Roman" w:hAnsi="Times New Roman" w:cs="Times New Roman"/>
        </w:rPr>
        <w:t xml:space="preserve">subsection 20(1) of </w:t>
      </w:r>
      <w:r w:rsidRPr="00A96DAE">
        <w:rPr>
          <w:rFonts w:ascii="Times New Roman" w:hAnsi="Times New Roman" w:cs="Times New Roman"/>
        </w:rPr>
        <w:t xml:space="preserve">the </w:t>
      </w:r>
      <w:r w:rsidR="00DF3C0A" w:rsidRPr="00A96DAE">
        <w:rPr>
          <w:rFonts w:ascii="Times New Roman" w:hAnsi="Times New Roman" w:cs="Times New Roman"/>
          <w:i/>
        </w:rPr>
        <w:t xml:space="preserve">Do Not Call Register Act 2006 </w:t>
      </w:r>
      <w:r w:rsidRPr="00A96DAE">
        <w:rPr>
          <w:rFonts w:ascii="Times New Roman" w:hAnsi="Times New Roman" w:cs="Times New Roman"/>
        </w:rPr>
        <w:t>(</w:t>
      </w:r>
      <w:r w:rsidRPr="00A96DAE">
        <w:rPr>
          <w:rFonts w:ascii="Times New Roman" w:hAnsi="Times New Roman" w:cs="Times New Roman"/>
          <w:b/>
        </w:rPr>
        <w:t>the Act</w:t>
      </w:r>
      <w:r w:rsidRPr="00A96DAE">
        <w:rPr>
          <w:rFonts w:ascii="Times New Roman" w:hAnsi="Times New Roman" w:cs="Times New Roman"/>
        </w:rPr>
        <w:t>).</w:t>
      </w:r>
    </w:p>
    <w:p w14:paraId="7B50D725" w14:textId="0F6087A5" w:rsidR="005958D6" w:rsidRPr="00A96DAE" w:rsidRDefault="0084470A" w:rsidP="00E02B69">
      <w:pPr>
        <w:spacing w:before="240" w:after="120"/>
        <w:rPr>
          <w:rFonts w:ascii="Times New Roman" w:hAnsi="Times New Roman" w:cs="Times New Roman"/>
          <w:b/>
        </w:rPr>
      </w:pPr>
      <w:r w:rsidRPr="00A96DAE">
        <w:rPr>
          <w:rFonts w:ascii="Times New Roman" w:hAnsi="Times New Roman" w:cs="Times New Roman"/>
          <w:b/>
        </w:rPr>
        <w:t>Section 4</w:t>
      </w:r>
      <w:r w:rsidRPr="00A96DAE">
        <w:rPr>
          <w:rFonts w:ascii="Times New Roman" w:hAnsi="Times New Roman" w:cs="Times New Roman"/>
          <w:b/>
        </w:rPr>
        <w:tab/>
        <w:t xml:space="preserve">Repeal of the </w:t>
      </w:r>
      <w:r w:rsidR="00DF3C0A" w:rsidRPr="00A96DAE">
        <w:rPr>
          <w:rFonts w:ascii="Times New Roman" w:hAnsi="Times New Roman" w:cs="Times New Roman"/>
          <w:b/>
          <w:i/>
        </w:rPr>
        <w:t xml:space="preserve">Do Not Call Register (Access </w:t>
      </w:r>
      <w:r w:rsidR="00652780" w:rsidRPr="00A96DAE">
        <w:rPr>
          <w:rFonts w:ascii="Times New Roman" w:hAnsi="Times New Roman" w:cs="Times New Roman"/>
          <w:b/>
          <w:i/>
        </w:rPr>
        <w:t>to Register</w:t>
      </w:r>
      <w:r w:rsidR="00DF3C0A" w:rsidRPr="00A96DAE">
        <w:rPr>
          <w:rFonts w:ascii="Times New Roman" w:hAnsi="Times New Roman" w:cs="Times New Roman"/>
          <w:b/>
          <w:i/>
        </w:rPr>
        <w:t>) Determination 2007</w:t>
      </w:r>
    </w:p>
    <w:p w14:paraId="675A93FC" w14:textId="71A853F0" w:rsidR="005958D6" w:rsidRPr="00A96DAE" w:rsidRDefault="0084470A" w:rsidP="00E02B69">
      <w:pPr>
        <w:spacing w:after="120"/>
        <w:rPr>
          <w:rFonts w:ascii="Times New Roman" w:hAnsi="Times New Roman" w:cs="Times New Roman"/>
        </w:rPr>
      </w:pPr>
      <w:r w:rsidRPr="00A96DAE">
        <w:rPr>
          <w:rFonts w:ascii="Times New Roman" w:hAnsi="Times New Roman" w:cs="Times New Roman"/>
        </w:rPr>
        <w:t xml:space="preserve">This section provides that </w:t>
      </w:r>
      <w:r w:rsidR="005958D6" w:rsidRPr="00A96DAE">
        <w:rPr>
          <w:rFonts w:ascii="Times New Roman" w:hAnsi="Times New Roman" w:cs="Times New Roman"/>
        </w:rPr>
        <w:t xml:space="preserve">the </w:t>
      </w:r>
      <w:r w:rsidR="00DF3C0A" w:rsidRPr="00A96DAE">
        <w:rPr>
          <w:rFonts w:ascii="Times New Roman" w:hAnsi="Times New Roman" w:cs="Times New Roman"/>
          <w:i/>
        </w:rPr>
        <w:t xml:space="preserve">Do Not Call Register (Access </w:t>
      </w:r>
      <w:r w:rsidR="00652780" w:rsidRPr="00A96DAE">
        <w:rPr>
          <w:rFonts w:ascii="Times New Roman" w:hAnsi="Times New Roman" w:cs="Times New Roman"/>
          <w:i/>
        </w:rPr>
        <w:t>to Register</w:t>
      </w:r>
      <w:r w:rsidR="00DF3C0A" w:rsidRPr="00A96DAE">
        <w:rPr>
          <w:rFonts w:ascii="Times New Roman" w:hAnsi="Times New Roman" w:cs="Times New Roman"/>
          <w:i/>
        </w:rPr>
        <w:t>) Determination 2007</w:t>
      </w:r>
      <w:r w:rsidR="00DF3C0A" w:rsidRPr="00A96DAE">
        <w:rPr>
          <w:rFonts w:ascii="Times New Roman" w:hAnsi="Times New Roman" w:cs="Times New Roman"/>
        </w:rPr>
        <w:t xml:space="preserve"> (</w:t>
      </w:r>
      <w:r w:rsidR="00652780" w:rsidRPr="00A96DAE">
        <w:rPr>
          <w:rFonts w:ascii="Times New Roman" w:hAnsi="Times New Roman" w:cs="Times New Roman"/>
        </w:rPr>
        <w:t>F2007L01218</w:t>
      </w:r>
      <w:r w:rsidR="00DF3C0A" w:rsidRPr="00A96DAE">
        <w:rPr>
          <w:rFonts w:ascii="Times New Roman" w:hAnsi="Times New Roman" w:cs="Times New Roman"/>
        </w:rPr>
        <w:t>)</w:t>
      </w:r>
      <w:r w:rsidRPr="00A96DAE">
        <w:rPr>
          <w:rFonts w:ascii="Times New Roman" w:hAnsi="Times New Roman" w:cs="Times New Roman"/>
        </w:rPr>
        <w:t xml:space="preserve"> </w:t>
      </w:r>
      <w:r w:rsidR="005958D6" w:rsidRPr="00A96DAE">
        <w:rPr>
          <w:rFonts w:ascii="Times New Roman" w:hAnsi="Times New Roman" w:cs="Times New Roman"/>
        </w:rPr>
        <w:t>is repealed.</w:t>
      </w:r>
    </w:p>
    <w:p w14:paraId="040A5317" w14:textId="4E07C44D" w:rsidR="006940DB" w:rsidRPr="00A96DAE" w:rsidRDefault="006940DB" w:rsidP="00E02B69">
      <w:pPr>
        <w:spacing w:before="240" w:after="120"/>
        <w:rPr>
          <w:rFonts w:ascii="Times New Roman" w:hAnsi="Times New Roman" w:cs="Times New Roman"/>
          <w:b/>
        </w:rPr>
      </w:pPr>
      <w:r w:rsidRPr="00A96DAE">
        <w:rPr>
          <w:rFonts w:ascii="Times New Roman" w:hAnsi="Times New Roman" w:cs="Times New Roman"/>
          <w:b/>
        </w:rPr>
        <w:t xml:space="preserve">Section </w:t>
      </w:r>
      <w:r w:rsidR="00454B2F" w:rsidRPr="00A96DAE">
        <w:rPr>
          <w:rFonts w:ascii="Times New Roman" w:hAnsi="Times New Roman" w:cs="Times New Roman"/>
          <w:b/>
        </w:rPr>
        <w:t>5</w:t>
      </w:r>
      <w:r w:rsidRPr="00A96DAE">
        <w:rPr>
          <w:rFonts w:ascii="Times New Roman" w:hAnsi="Times New Roman" w:cs="Times New Roman"/>
          <w:b/>
        </w:rPr>
        <w:tab/>
        <w:t>Definitions</w:t>
      </w:r>
    </w:p>
    <w:p w14:paraId="1B22414B" w14:textId="30D4C723" w:rsidR="006940DB" w:rsidRPr="00A16F41" w:rsidRDefault="006940DB" w:rsidP="00CC14B3">
      <w:pPr>
        <w:spacing w:after="120"/>
      </w:pPr>
      <w:r w:rsidRPr="00A96DAE">
        <w:rPr>
          <w:rFonts w:ascii="Times New Roman" w:hAnsi="Times New Roman" w:cs="Times New Roman"/>
        </w:rPr>
        <w:t>This section defines a number of key terms</w:t>
      </w:r>
      <w:r w:rsidR="0084470A" w:rsidRPr="00A96DAE">
        <w:rPr>
          <w:rFonts w:ascii="Times New Roman" w:hAnsi="Times New Roman" w:cs="Times New Roman"/>
        </w:rPr>
        <w:t xml:space="preserve"> used throughout the </w:t>
      </w:r>
      <w:r w:rsidR="00574AF9" w:rsidRPr="00A96DAE">
        <w:rPr>
          <w:rFonts w:ascii="Times New Roman" w:hAnsi="Times New Roman" w:cs="Times New Roman"/>
        </w:rPr>
        <w:t>Determination</w:t>
      </w:r>
      <w:r w:rsidR="0080737B">
        <w:rPr>
          <w:rFonts w:ascii="Times New Roman" w:hAnsi="Times New Roman" w:cs="Times New Roman"/>
        </w:rPr>
        <w:t>.</w:t>
      </w:r>
      <w:r w:rsidR="0084470A" w:rsidRPr="00A96DAE">
        <w:rPr>
          <w:rFonts w:ascii="Times New Roman" w:hAnsi="Times New Roman" w:cs="Times New Roman"/>
        </w:rPr>
        <w:t xml:space="preserve"> </w:t>
      </w:r>
      <w:r w:rsidR="0084470A" w:rsidRPr="00CC14B3">
        <w:rPr>
          <w:rFonts w:ascii="Times New Roman" w:hAnsi="Times New Roman" w:cs="Times New Roman"/>
        </w:rPr>
        <w:t xml:space="preserve">A </w:t>
      </w:r>
      <w:r w:rsidR="00D32E4E" w:rsidRPr="00CC14B3">
        <w:rPr>
          <w:rFonts w:ascii="Times New Roman" w:hAnsi="Times New Roman" w:cs="Times New Roman"/>
        </w:rPr>
        <w:t>number of other expressions used</w:t>
      </w:r>
      <w:r w:rsidR="0084470A" w:rsidRPr="00CC14B3">
        <w:rPr>
          <w:rFonts w:ascii="Times New Roman" w:hAnsi="Times New Roman" w:cs="Times New Roman"/>
        </w:rPr>
        <w:t xml:space="preserve"> in the </w:t>
      </w:r>
      <w:r w:rsidR="00574AF9" w:rsidRPr="00CC14B3">
        <w:rPr>
          <w:rFonts w:ascii="Times New Roman" w:hAnsi="Times New Roman" w:cs="Times New Roman"/>
        </w:rPr>
        <w:t xml:space="preserve">Determination </w:t>
      </w:r>
      <w:r w:rsidR="0084470A" w:rsidRPr="00CC14B3">
        <w:rPr>
          <w:rFonts w:ascii="Times New Roman" w:hAnsi="Times New Roman" w:cs="Times New Roman"/>
        </w:rPr>
        <w:t>are</w:t>
      </w:r>
      <w:r w:rsidRPr="00CC14B3">
        <w:rPr>
          <w:rFonts w:ascii="Times New Roman" w:hAnsi="Times New Roman" w:cs="Times New Roman"/>
        </w:rPr>
        <w:t xml:space="preserve"> defined in the Act.</w:t>
      </w:r>
    </w:p>
    <w:p w14:paraId="2AE7A164" w14:textId="67D51920" w:rsidR="005958D6" w:rsidRPr="00A96DAE" w:rsidRDefault="00FB4437" w:rsidP="00E02B69">
      <w:pPr>
        <w:spacing w:before="240" w:after="120"/>
        <w:rPr>
          <w:rFonts w:ascii="Times New Roman" w:hAnsi="Times New Roman" w:cs="Times New Roman"/>
          <w:b/>
        </w:rPr>
      </w:pPr>
      <w:r w:rsidRPr="00A96DAE">
        <w:rPr>
          <w:rFonts w:ascii="Times New Roman" w:hAnsi="Times New Roman" w:cs="Times New Roman"/>
          <w:b/>
        </w:rPr>
        <w:t>S</w:t>
      </w:r>
      <w:r w:rsidR="00E865E8" w:rsidRPr="00A96DAE">
        <w:rPr>
          <w:rFonts w:ascii="Times New Roman" w:hAnsi="Times New Roman" w:cs="Times New Roman"/>
          <w:b/>
        </w:rPr>
        <w:t>ection 6</w:t>
      </w:r>
      <w:r w:rsidR="00670716" w:rsidRPr="00A96DAE">
        <w:rPr>
          <w:rFonts w:ascii="Times New Roman" w:hAnsi="Times New Roman" w:cs="Times New Roman"/>
          <w:b/>
        </w:rPr>
        <w:tab/>
        <w:t>References to other</w:t>
      </w:r>
      <w:r w:rsidR="005958D6" w:rsidRPr="00A96DAE">
        <w:rPr>
          <w:rFonts w:ascii="Times New Roman" w:hAnsi="Times New Roman" w:cs="Times New Roman"/>
          <w:b/>
        </w:rPr>
        <w:t xml:space="preserve"> instruments</w:t>
      </w:r>
      <w:r w:rsidR="00574AF9" w:rsidRPr="00A96DAE">
        <w:rPr>
          <w:rFonts w:ascii="Times New Roman" w:hAnsi="Times New Roman" w:cs="Times New Roman"/>
          <w:b/>
        </w:rPr>
        <w:t xml:space="preserve"> or writing</w:t>
      </w:r>
    </w:p>
    <w:p w14:paraId="44E7317A" w14:textId="1F555213" w:rsidR="00574AF9" w:rsidRPr="00A96DAE" w:rsidRDefault="00574AF9" w:rsidP="00E02B69">
      <w:pPr>
        <w:spacing w:after="120"/>
        <w:rPr>
          <w:rFonts w:ascii="Times New Roman" w:hAnsi="Times New Roman" w:cs="Times New Roman"/>
        </w:rPr>
      </w:pPr>
      <w:r w:rsidRPr="00A96DAE">
        <w:rPr>
          <w:rFonts w:ascii="Times New Roman" w:hAnsi="Times New Roman" w:cs="Times New Roman"/>
        </w:rPr>
        <w:t>This section provides that in the Determination, unless the contrary intention appears, a reference to another instrument or writing is a reference to that other instrument or writing as in force from time to time.</w:t>
      </w:r>
    </w:p>
    <w:p w14:paraId="4931A8AA" w14:textId="0B24795A" w:rsidR="005958D6" w:rsidRPr="00A96DAE" w:rsidRDefault="005958D6" w:rsidP="00E02B69">
      <w:pPr>
        <w:spacing w:before="240" w:after="120"/>
        <w:rPr>
          <w:rFonts w:ascii="Times New Roman" w:hAnsi="Times New Roman" w:cs="Times New Roman"/>
          <w:b/>
        </w:rPr>
      </w:pPr>
      <w:r w:rsidRPr="00A96DAE">
        <w:rPr>
          <w:rFonts w:ascii="Times New Roman" w:hAnsi="Times New Roman" w:cs="Times New Roman"/>
          <w:b/>
        </w:rPr>
        <w:t>Part 2–</w:t>
      </w:r>
      <w:r w:rsidR="00652780" w:rsidRPr="00A96DAE">
        <w:rPr>
          <w:rFonts w:ascii="Times New Roman" w:hAnsi="Times New Roman" w:cs="Times New Roman"/>
          <w:b/>
        </w:rPr>
        <w:t>Access to the Do Not Call Register</w:t>
      </w:r>
    </w:p>
    <w:p w14:paraId="429FFF58" w14:textId="25E6261F" w:rsidR="005958D6" w:rsidRPr="00A96DAE" w:rsidRDefault="005958D6" w:rsidP="00E02B69">
      <w:pPr>
        <w:spacing w:before="240" w:after="120"/>
        <w:rPr>
          <w:rFonts w:ascii="Times New Roman" w:hAnsi="Times New Roman" w:cs="Times New Roman"/>
          <w:b/>
        </w:rPr>
      </w:pPr>
      <w:r w:rsidRPr="00A96DAE">
        <w:rPr>
          <w:rFonts w:ascii="Times New Roman" w:hAnsi="Times New Roman" w:cs="Times New Roman"/>
          <w:b/>
        </w:rPr>
        <w:t xml:space="preserve">Section </w:t>
      </w:r>
      <w:r w:rsidR="00E865E8" w:rsidRPr="00A96DAE">
        <w:rPr>
          <w:rFonts w:ascii="Times New Roman" w:hAnsi="Times New Roman" w:cs="Times New Roman"/>
          <w:b/>
        </w:rPr>
        <w:t>7</w:t>
      </w:r>
      <w:r w:rsidRPr="00A96DAE">
        <w:rPr>
          <w:rFonts w:ascii="Times New Roman" w:hAnsi="Times New Roman" w:cs="Times New Roman"/>
          <w:b/>
        </w:rPr>
        <w:tab/>
      </w:r>
      <w:r w:rsidR="00652780" w:rsidRPr="00A96DAE">
        <w:rPr>
          <w:rFonts w:ascii="Times New Roman" w:hAnsi="Times New Roman" w:cs="Times New Roman"/>
          <w:b/>
        </w:rPr>
        <w:t>Manner in which submission under section 19 of the Act is to be made</w:t>
      </w:r>
    </w:p>
    <w:p w14:paraId="1A770883" w14:textId="5985A60E" w:rsidR="0070796A" w:rsidRPr="00A96DAE" w:rsidRDefault="000C07AB" w:rsidP="00E02B69">
      <w:pPr>
        <w:spacing w:after="120"/>
        <w:rPr>
          <w:rFonts w:ascii="Times New Roman" w:hAnsi="Times New Roman" w:cs="Times New Roman"/>
        </w:rPr>
      </w:pPr>
      <w:r w:rsidRPr="00E02B69">
        <w:rPr>
          <w:rFonts w:ascii="Times New Roman" w:hAnsi="Times New Roman" w:cs="Times New Roman"/>
        </w:rPr>
        <w:t xml:space="preserve">Section 7 explains how a list of Australian numbers is to be submitted </w:t>
      </w:r>
      <w:r w:rsidR="0070796A" w:rsidRPr="00E02B69">
        <w:rPr>
          <w:rFonts w:ascii="Times New Roman" w:hAnsi="Times New Roman" w:cs="Times New Roman"/>
        </w:rPr>
        <w:t xml:space="preserve">to the ACMA or the </w:t>
      </w:r>
      <w:r w:rsidR="0070796A" w:rsidRPr="00A96DAE">
        <w:rPr>
          <w:rFonts w:ascii="Times New Roman" w:hAnsi="Times New Roman" w:cs="Times New Roman"/>
        </w:rPr>
        <w:t>contract</w:t>
      </w:r>
      <w:r w:rsidR="00262DCF">
        <w:rPr>
          <w:rFonts w:ascii="Times New Roman" w:hAnsi="Times New Roman" w:cs="Times New Roman"/>
        </w:rPr>
        <w:t>ed</w:t>
      </w:r>
      <w:r w:rsidR="0070796A" w:rsidRPr="00A96DAE">
        <w:rPr>
          <w:rFonts w:ascii="Times New Roman" w:hAnsi="Times New Roman" w:cs="Times New Roman"/>
        </w:rPr>
        <w:t xml:space="preserve"> service</w:t>
      </w:r>
      <w:r w:rsidR="0070796A" w:rsidRPr="00E02B69">
        <w:rPr>
          <w:rFonts w:ascii="Times New Roman" w:hAnsi="Times New Roman" w:cs="Times New Roman"/>
        </w:rPr>
        <w:t xml:space="preserve"> provider under subsection 19(1) of the Act.</w:t>
      </w:r>
    </w:p>
    <w:p w14:paraId="114352F6" w14:textId="74C09633" w:rsidR="0070796A" w:rsidRPr="00A96DAE" w:rsidRDefault="0070796A" w:rsidP="00E02B69">
      <w:pPr>
        <w:spacing w:after="120"/>
        <w:rPr>
          <w:rFonts w:ascii="Times New Roman" w:hAnsi="Times New Roman" w:cs="Times New Roman"/>
        </w:rPr>
      </w:pPr>
      <w:r w:rsidRPr="00A96DAE">
        <w:rPr>
          <w:rFonts w:ascii="Times New Roman" w:hAnsi="Times New Roman" w:cs="Times New Roman"/>
        </w:rPr>
        <w:t xml:space="preserve">Subsection 7(2) specifies the length </w:t>
      </w:r>
      <w:r w:rsidR="0065531D">
        <w:rPr>
          <w:rFonts w:ascii="Times New Roman" w:hAnsi="Times New Roman" w:cs="Times New Roman"/>
        </w:rPr>
        <w:t xml:space="preserve">and nature </w:t>
      </w:r>
      <w:r w:rsidRPr="00A96DAE">
        <w:rPr>
          <w:rFonts w:ascii="Times New Roman" w:hAnsi="Times New Roman" w:cs="Times New Roman"/>
        </w:rPr>
        <w:t>of the numbers to be included on the list to be submitted.</w:t>
      </w:r>
    </w:p>
    <w:p w14:paraId="5793E5BF" w14:textId="11502E2A" w:rsidR="0070796A" w:rsidRPr="00A96DAE" w:rsidRDefault="0070796A" w:rsidP="00E02B69">
      <w:pPr>
        <w:spacing w:after="120"/>
        <w:rPr>
          <w:rFonts w:ascii="Times New Roman" w:hAnsi="Times New Roman" w:cs="Times New Roman"/>
        </w:rPr>
      </w:pPr>
      <w:r w:rsidRPr="00A96DAE">
        <w:rPr>
          <w:rFonts w:ascii="Times New Roman" w:hAnsi="Times New Roman" w:cs="Times New Roman"/>
        </w:rPr>
        <w:t xml:space="preserve">Subsection 7(3) requires that, to be eligible to submit a list, </w:t>
      </w:r>
      <w:r w:rsidR="00117B10" w:rsidRPr="00A96DAE">
        <w:rPr>
          <w:rFonts w:ascii="Times New Roman" w:hAnsi="Times New Roman" w:cs="Times New Roman"/>
        </w:rPr>
        <w:t xml:space="preserve">an </w:t>
      </w:r>
      <w:r w:rsidRPr="00A96DAE">
        <w:rPr>
          <w:rFonts w:ascii="Times New Roman" w:hAnsi="Times New Roman" w:cs="Times New Roman"/>
        </w:rPr>
        <w:t>access-seeker must first register with the ACMA by completing the registration procedure approved by the ACMA and published on either the ACMA’s website or that of the contracted service provider.</w:t>
      </w:r>
    </w:p>
    <w:p w14:paraId="52C9E311" w14:textId="4C07CB23" w:rsidR="0070796A" w:rsidRPr="00A96DAE" w:rsidRDefault="0070796A" w:rsidP="00E02B69">
      <w:pPr>
        <w:spacing w:after="120"/>
        <w:rPr>
          <w:rFonts w:ascii="Times New Roman" w:hAnsi="Times New Roman" w:cs="Times New Roman"/>
        </w:rPr>
      </w:pPr>
      <w:r w:rsidRPr="00A96DAE">
        <w:rPr>
          <w:rFonts w:ascii="Times New Roman" w:hAnsi="Times New Roman" w:cs="Times New Roman"/>
        </w:rPr>
        <w:t xml:space="preserve">Subsection 7(4) requires a registered access-seeker </w:t>
      </w:r>
      <w:r w:rsidR="00A51653" w:rsidRPr="00A96DAE">
        <w:rPr>
          <w:rFonts w:ascii="Times New Roman" w:hAnsi="Times New Roman" w:cs="Times New Roman"/>
        </w:rPr>
        <w:t xml:space="preserve">to </w:t>
      </w:r>
      <w:r w:rsidRPr="00A96DAE">
        <w:rPr>
          <w:rFonts w:ascii="Times New Roman" w:hAnsi="Times New Roman" w:cs="Times New Roman"/>
        </w:rPr>
        <w:t>comply with terms and conditions approved by the ACMA. Such terms and conditions must be specified on the ACMA’s website or on the contracted service provider’s website.</w:t>
      </w:r>
    </w:p>
    <w:p w14:paraId="13873DA3" w14:textId="77406004" w:rsidR="00661C1D" w:rsidRPr="00A96DAE" w:rsidRDefault="0070796A" w:rsidP="00E02B69">
      <w:pPr>
        <w:spacing w:after="120"/>
        <w:rPr>
          <w:rFonts w:ascii="Times New Roman" w:hAnsi="Times New Roman" w:cs="Times New Roman"/>
        </w:rPr>
      </w:pPr>
      <w:r w:rsidRPr="00A96DAE">
        <w:rPr>
          <w:rFonts w:ascii="Times New Roman" w:hAnsi="Times New Roman" w:cs="Times New Roman"/>
        </w:rPr>
        <w:lastRenderedPageBreak/>
        <w:t>Subsection 7(5) specifies that if an access-seeker’s account becomes inactive as defined by the terms and conditions</w:t>
      </w:r>
      <w:r w:rsidR="00262DCF">
        <w:rPr>
          <w:rFonts w:ascii="Times New Roman" w:hAnsi="Times New Roman" w:cs="Times New Roman"/>
        </w:rPr>
        <w:t xml:space="preserve"> referred to in subsection 7(4)</w:t>
      </w:r>
      <w:r w:rsidRPr="00A96DAE">
        <w:rPr>
          <w:rFonts w:ascii="Times New Roman" w:hAnsi="Times New Roman" w:cs="Times New Roman"/>
        </w:rPr>
        <w:t xml:space="preserve">, the ACMA may deregister or suspend an access-seeker. Deregistration or suspension </w:t>
      </w:r>
      <w:r w:rsidR="00661C1D" w:rsidRPr="00A96DAE">
        <w:rPr>
          <w:rFonts w:ascii="Times New Roman" w:hAnsi="Times New Roman" w:cs="Times New Roman"/>
        </w:rPr>
        <w:t>must occur in accordance with the procedures set out in the terms and conditions.</w:t>
      </w:r>
    </w:p>
    <w:p w14:paraId="0608519F" w14:textId="5F2F1135" w:rsidR="00661C1D" w:rsidRPr="00A96DAE" w:rsidRDefault="00661C1D" w:rsidP="00E02B69">
      <w:pPr>
        <w:spacing w:after="120"/>
        <w:rPr>
          <w:rFonts w:ascii="Times New Roman" w:hAnsi="Times New Roman" w:cs="Times New Roman"/>
        </w:rPr>
      </w:pPr>
      <w:r w:rsidRPr="00A96DAE">
        <w:rPr>
          <w:rFonts w:ascii="Times New Roman" w:hAnsi="Times New Roman" w:cs="Times New Roman"/>
        </w:rPr>
        <w:t xml:space="preserve">Subsection 7(6) provides that a registered access-seeker may submit a list </w:t>
      </w:r>
      <w:r w:rsidR="00262DCF">
        <w:rPr>
          <w:rFonts w:ascii="Times New Roman" w:hAnsi="Times New Roman" w:cs="Times New Roman"/>
        </w:rPr>
        <w:t xml:space="preserve">for ‘washing’ against the Do Not Call Register </w:t>
      </w:r>
      <w:r w:rsidRPr="00A96DAE">
        <w:rPr>
          <w:rFonts w:ascii="Times New Roman" w:hAnsi="Times New Roman" w:cs="Times New Roman"/>
        </w:rPr>
        <w:t xml:space="preserve">by uploading such a list via a secure path in Comma Separated Variable (CSV) format. The subsection specifies that </w:t>
      </w:r>
      <w:r w:rsidR="00117B10" w:rsidRPr="00A96DAE">
        <w:rPr>
          <w:rFonts w:ascii="Times New Roman" w:hAnsi="Times New Roman" w:cs="Times New Roman"/>
        </w:rPr>
        <w:t>the secure path</w:t>
      </w:r>
      <w:r w:rsidRPr="00A96DAE">
        <w:rPr>
          <w:rFonts w:ascii="Times New Roman" w:hAnsi="Times New Roman" w:cs="Times New Roman"/>
        </w:rPr>
        <w:t xml:space="preserve"> be available on the ACMA’s website or on the website of the contracted service provider.</w:t>
      </w:r>
    </w:p>
    <w:p w14:paraId="0A4CF6D0" w14:textId="1FB20B84" w:rsidR="00D32E9C" w:rsidRPr="00A96DAE" w:rsidRDefault="00661C1D" w:rsidP="00E02B69">
      <w:pPr>
        <w:spacing w:after="120"/>
        <w:rPr>
          <w:rFonts w:ascii="Times New Roman" w:hAnsi="Times New Roman" w:cs="Times New Roman"/>
        </w:rPr>
      </w:pPr>
      <w:r w:rsidRPr="00A96DAE">
        <w:rPr>
          <w:rFonts w:ascii="Times New Roman" w:hAnsi="Times New Roman" w:cs="Times New Roman"/>
        </w:rPr>
        <w:t xml:space="preserve">Subsection 7(7) provides for a facility by which </w:t>
      </w:r>
      <w:r w:rsidR="00117B10" w:rsidRPr="00A96DAE">
        <w:rPr>
          <w:rFonts w:ascii="Times New Roman" w:hAnsi="Times New Roman" w:cs="Times New Roman"/>
        </w:rPr>
        <w:t xml:space="preserve">a </w:t>
      </w:r>
      <w:r w:rsidRPr="00A96DAE">
        <w:rPr>
          <w:rFonts w:ascii="Times New Roman" w:hAnsi="Times New Roman" w:cs="Times New Roman"/>
        </w:rPr>
        <w:t xml:space="preserve">registered access-seeker may submit a list </w:t>
      </w:r>
      <w:r w:rsidR="00262DCF">
        <w:rPr>
          <w:rFonts w:ascii="Times New Roman" w:hAnsi="Times New Roman" w:cs="Times New Roman"/>
        </w:rPr>
        <w:t xml:space="preserve">for ‘washing’ against the Do Not Call </w:t>
      </w:r>
      <w:r w:rsidR="0065531D">
        <w:rPr>
          <w:rFonts w:ascii="Times New Roman" w:hAnsi="Times New Roman" w:cs="Times New Roman"/>
        </w:rPr>
        <w:t>R</w:t>
      </w:r>
      <w:r w:rsidR="00262DCF">
        <w:rPr>
          <w:rFonts w:ascii="Times New Roman" w:hAnsi="Times New Roman" w:cs="Times New Roman"/>
        </w:rPr>
        <w:t xml:space="preserve">egister </w:t>
      </w:r>
      <w:r w:rsidRPr="00A96DAE">
        <w:rPr>
          <w:rFonts w:ascii="Times New Roman" w:hAnsi="Times New Roman" w:cs="Times New Roman"/>
        </w:rPr>
        <w:t>by entering up to 10 numbers at a time</w:t>
      </w:r>
      <w:r w:rsidR="00262DCF">
        <w:rPr>
          <w:rFonts w:ascii="Times New Roman" w:hAnsi="Times New Roman" w:cs="Times New Roman"/>
        </w:rPr>
        <w:t>, in accordance with arrangements approved by the ACMA</w:t>
      </w:r>
      <w:r w:rsidR="00D32E9C" w:rsidRPr="00A96DAE">
        <w:rPr>
          <w:rFonts w:ascii="Times New Roman" w:hAnsi="Times New Roman" w:cs="Times New Roman"/>
        </w:rPr>
        <w:t>. The subsection specifies that such</w:t>
      </w:r>
      <w:r w:rsidRPr="00A96DAE">
        <w:rPr>
          <w:rFonts w:ascii="Times New Roman" w:hAnsi="Times New Roman" w:cs="Times New Roman"/>
        </w:rPr>
        <w:t xml:space="preserve"> a facility</w:t>
      </w:r>
      <w:r w:rsidR="00D32E9C" w:rsidRPr="00A96DAE">
        <w:rPr>
          <w:rFonts w:ascii="Times New Roman" w:hAnsi="Times New Roman" w:cs="Times New Roman"/>
        </w:rPr>
        <w:t xml:space="preserve"> be located on the ACMA’s website or on the website of the contracted service provider.</w:t>
      </w:r>
      <w:r w:rsidR="001404E3" w:rsidRPr="00A96DAE">
        <w:rPr>
          <w:rFonts w:ascii="Times New Roman" w:hAnsi="Times New Roman" w:cs="Times New Roman"/>
        </w:rPr>
        <w:t xml:space="preserve"> </w:t>
      </w:r>
      <w:r w:rsidR="00D32E9C" w:rsidRPr="00A96DAE">
        <w:rPr>
          <w:rFonts w:ascii="Times New Roman" w:hAnsi="Times New Roman" w:cs="Times New Roman"/>
        </w:rPr>
        <w:t xml:space="preserve">Access-seekers are not limited as to the number </w:t>
      </w:r>
      <w:r w:rsidR="00117B10" w:rsidRPr="00A96DAE">
        <w:rPr>
          <w:rFonts w:ascii="Times New Roman" w:hAnsi="Times New Roman" w:cs="Times New Roman"/>
        </w:rPr>
        <w:t>of</w:t>
      </w:r>
      <w:r w:rsidR="00D32E9C" w:rsidRPr="00A96DAE">
        <w:rPr>
          <w:rFonts w:ascii="Times New Roman" w:hAnsi="Times New Roman" w:cs="Times New Roman"/>
        </w:rPr>
        <w:t xml:space="preserve"> times that this process can be repeated. The arrangements approved by the ACMA will explain the way in which the series of entries will be treated as one list.</w:t>
      </w:r>
    </w:p>
    <w:p w14:paraId="05853067" w14:textId="3BF223BA" w:rsidR="00D32E9C" w:rsidRPr="00A96DAE" w:rsidRDefault="00D32E9C" w:rsidP="00E02B69">
      <w:pPr>
        <w:spacing w:after="120"/>
        <w:rPr>
          <w:rFonts w:ascii="Times New Roman" w:hAnsi="Times New Roman" w:cs="Times New Roman"/>
        </w:rPr>
      </w:pPr>
      <w:r w:rsidRPr="00A96DAE">
        <w:rPr>
          <w:rFonts w:ascii="Times New Roman" w:hAnsi="Times New Roman" w:cs="Times New Roman"/>
        </w:rPr>
        <w:t>Subsection 7(8) allows</w:t>
      </w:r>
      <w:r w:rsidR="00117B10" w:rsidRPr="00A96DAE">
        <w:rPr>
          <w:rFonts w:ascii="Times New Roman" w:hAnsi="Times New Roman" w:cs="Times New Roman"/>
        </w:rPr>
        <w:t xml:space="preserve"> an</w:t>
      </w:r>
      <w:r w:rsidRPr="00A96DAE">
        <w:rPr>
          <w:rFonts w:ascii="Times New Roman" w:hAnsi="Times New Roman" w:cs="Times New Roman"/>
        </w:rPr>
        <w:t xml:space="preserve"> access-seeker to submit a list </w:t>
      </w:r>
      <w:r w:rsidR="00262DCF">
        <w:rPr>
          <w:rFonts w:ascii="Times New Roman" w:hAnsi="Times New Roman" w:cs="Times New Roman"/>
        </w:rPr>
        <w:t xml:space="preserve">for ‘washing’ against the Do Not Call Register </w:t>
      </w:r>
      <w:r w:rsidRPr="00A96DAE">
        <w:rPr>
          <w:rFonts w:ascii="Times New Roman" w:hAnsi="Times New Roman" w:cs="Times New Roman"/>
        </w:rPr>
        <w:t>in another manner approved by the ACMA. This alternative manner will be specified on the ACMA’s website or on the website of the contracted service provider.</w:t>
      </w:r>
    </w:p>
    <w:p w14:paraId="0FFF5C08" w14:textId="5508B73A" w:rsidR="00D32E9C" w:rsidRPr="00A96DAE" w:rsidRDefault="00D32E9C" w:rsidP="00E02B69">
      <w:pPr>
        <w:spacing w:after="120"/>
        <w:rPr>
          <w:rFonts w:ascii="Times New Roman" w:hAnsi="Times New Roman" w:cs="Times New Roman"/>
        </w:rPr>
      </w:pPr>
      <w:r w:rsidRPr="00A96DAE">
        <w:rPr>
          <w:rFonts w:ascii="Times New Roman" w:hAnsi="Times New Roman" w:cs="Times New Roman"/>
        </w:rPr>
        <w:t>Subsection 7(9) provides that an access</w:t>
      </w:r>
      <w:r w:rsidR="00117B10" w:rsidRPr="00A96DAE">
        <w:rPr>
          <w:rFonts w:ascii="Times New Roman" w:hAnsi="Times New Roman" w:cs="Times New Roman"/>
        </w:rPr>
        <w:t>-</w:t>
      </w:r>
      <w:r w:rsidRPr="00A96DAE">
        <w:rPr>
          <w:rFonts w:ascii="Times New Roman" w:hAnsi="Times New Roman" w:cs="Times New Roman"/>
        </w:rPr>
        <w:t xml:space="preserve">seeker must not submit a list in any other way. </w:t>
      </w:r>
    </w:p>
    <w:p w14:paraId="3DBB16DD" w14:textId="353B9155" w:rsidR="005958D6" w:rsidRPr="00A96DAE" w:rsidRDefault="005958D6" w:rsidP="00E02B69">
      <w:pPr>
        <w:spacing w:before="240" w:after="120"/>
        <w:ind w:left="1134" w:hanging="1134"/>
        <w:rPr>
          <w:rFonts w:ascii="Times New Roman" w:hAnsi="Times New Roman" w:cs="Times New Roman"/>
          <w:b/>
        </w:rPr>
      </w:pPr>
      <w:r w:rsidRPr="00A96DAE">
        <w:rPr>
          <w:rFonts w:ascii="Times New Roman" w:hAnsi="Times New Roman" w:cs="Times New Roman"/>
          <w:b/>
        </w:rPr>
        <w:t>Section</w:t>
      </w:r>
      <w:r w:rsidR="00E865E8" w:rsidRPr="00A96DAE">
        <w:rPr>
          <w:rFonts w:ascii="Times New Roman" w:hAnsi="Times New Roman" w:cs="Times New Roman"/>
          <w:b/>
        </w:rPr>
        <w:t xml:space="preserve"> 8</w:t>
      </w:r>
      <w:r w:rsidRPr="00A96DAE">
        <w:rPr>
          <w:rFonts w:ascii="Times New Roman" w:hAnsi="Times New Roman" w:cs="Times New Roman"/>
          <w:b/>
        </w:rPr>
        <w:tab/>
      </w:r>
      <w:r w:rsidR="00A91B21" w:rsidRPr="00A96DAE">
        <w:rPr>
          <w:rFonts w:ascii="Times New Roman" w:hAnsi="Times New Roman" w:cs="Times New Roman"/>
          <w:b/>
        </w:rPr>
        <w:t xml:space="preserve">Informing access-seekers about numbers registered or not registered on the Do Not Call Register </w:t>
      </w:r>
    </w:p>
    <w:p w14:paraId="1736541C" w14:textId="1FF77C11" w:rsidR="00E57DC8" w:rsidRPr="007C3F3C" w:rsidRDefault="00D32E9C" w:rsidP="007C3F3C">
      <w:pPr>
        <w:spacing w:after="120"/>
        <w:rPr>
          <w:rFonts w:ascii="Times New Roman" w:hAnsi="Times New Roman" w:cs="Times New Roman"/>
        </w:rPr>
      </w:pPr>
      <w:r w:rsidRPr="007C3F3C">
        <w:rPr>
          <w:rFonts w:ascii="Times New Roman" w:hAnsi="Times New Roman" w:cs="Times New Roman"/>
        </w:rPr>
        <w:t xml:space="preserve">Section 8 </w:t>
      </w:r>
      <w:r w:rsidR="00A91B21" w:rsidRPr="007C3F3C">
        <w:rPr>
          <w:rFonts w:ascii="Times New Roman" w:hAnsi="Times New Roman" w:cs="Times New Roman"/>
        </w:rPr>
        <w:t xml:space="preserve">explains how the ACMA or the contracted service provider may provide </w:t>
      </w:r>
      <w:r w:rsidRPr="007C3F3C">
        <w:rPr>
          <w:rFonts w:ascii="Times New Roman" w:hAnsi="Times New Roman" w:cs="Times New Roman"/>
        </w:rPr>
        <w:t xml:space="preserve">relevant information </w:t>
      </w:r>
      <w:r w:rsidR="00A91B21" w:rsidRPr="007C3F3C">
        <w:rPr>
          <w:rFonts w:ascii="Times New Roman" w:hAnsi="Times New Roman" w:cs="Times New Roman"/>
        </w:rPr>
        <w:t>to an access</w:t>
      </w:r>
      <w:r w:rsidR="00A91B21" w:rsidRPr="007C3F3C">
        <w:rPr>
          <w:rFonts w:ascii="Times New Roman" w:hAnsi="Times New Roman" w:cs="Times New Roman"/>
        </w:rPr>
        <w:noBreakHyphen/>
        <w:t>seeker</w:t>
      </w:r>
      <w:r w:rsidR="00E57DC8" w:rsidRPr="007C3F3C">
        <w:rPr>
          <w:rFonts w:ascii="Times New Roman" w:hAnsi="Times New Roman" w:cs="Times New Roman"/>
        </w:rPr>
        <w:t xml:space="preserve"> in accordance with </w:t>
      </w:r>
      <w:r w:rsidR="00A91B21" w:rsidRPr="007C3F3C">
        <w:rPr>
          <w:rFonts w:ascii="Times New Roman" w:hAnsi="Times New Roman" w:cs="Times New Roman"/>
        </w:rPr>
        <w:t>paragraphs 19(2)(d), 19(2)(e) and 19(2)(f) of the Act.</w:t>
      </w:r>
    </w:p>
    <w:p w14:paraId="42927B8D" w14:textId="29440F86" w:rsidR="004F7252" w:rsidRPr="00A96DAE" w:rsidRDefault="00FC4CC5" w:rsidP="004F7252">
      <w:pPr>
        <w:spacing w:after="120"/>
        <w:rPr>
          <w:rFonts w:ascii="Times New Roman" w:hAnsi="Times New Roman" w:cs="Times New Roman"/>
        </w:rPr>
      </w:pPr>
      <w:r w:rsidRPr="007C3F3C">
        <w:rPr>
          <w:rFonts w:ascii="Times New Roman" w:hAnsi="Times New Roman" w:cs="Times New Roman"/>
        </w:rPr>
        <w:t>Section 8</w:t>
      </w:r>
      <w:r w:rsidRPr="00A96DAE">
        <w:rPr>
          <w:rFonts w:ascii="Times New Roman" w:hAnsi="Times New Roman" w:cs="Times New Roman"/>
        </w:rPr>
        <w:t xml:space="preserve"> requires the ACMA or the contracted service provider to return the information to the access-seeker </w:t>
      </w:r>
      <w:r w:rsidR="00F73486" w:rsidRPr="00A96DAE">
        <w:rPr>
          <w:rFonts w:ascii="Times New Roman" w:hAnsi="Times New Roman" w:cs="Times New Roman"/>
        </w:rPr>
        <w:t>in</w:t>
      </w:r>
      <w:r w:rsidRPr="00A96DAE">
        <w:rPr>
          <w:rFonts w:ascii="Times New Roman" w:hAnsi="Times New Roman" w:cs="Times New Roman"/>
        </w:rPr>
        <w:t xml:space="preserve"> the same </w:t>
      </w:r>
      <w:r w:rsidR="00F73486" w:rsidRPr="00A96DAE">
        <w:rPr>
          <w:rFonts w:ascii="Times New Roman" w:hAnsi="Times New Roman" w:cs="Times New Roman"/>
        </w:rPr>
        <w:t>manner</w:t>
      </w:r>
      <w:r w:rsidRPr="00A96DAE">
        <w:rPr>
          <w:rFonts w:ascii="Times New Roman" w:hAnsi="Times New Roman" w:cs="Times New Roman"/>
        </w:rPr>
        <w:t xml:space="preserve"> used by the access-seeker to submit the list.</w:t>
      </w:r>
      <w:r w:rsidR="004F7252" w:rsidRPr="00A96DAE">
        <w:rPr>
          <w:rFonts w:ascii="Times New Roman" w:hAnsi="Times New Roman" w:cs="Times New Roman"/>
        </w:rPr>
        <w:t xml:space="preserve"> An exception to this is specified in subsections 8(6) and 8(7). Under those subsections, if an access-seeker submitted a list </w:t>
      </w:r>
      <w:r w:rsidR="00F73486" w:rsidRPr="00A96DAE">
        <w:rPr>
          <w:rFonts w:ascii="Times New Roman" w:hAnsi="Times New Roman" w:cs="Times New Roman"/>
        </w:rPr>
        <w:t>in</w:t>
      </w:r>
      <w:r w:rsidR="004F7252" w:rsidRPr="00A96DAE">
        <w:rPr>
          <w:rFonts w:ascii="Times New Roman" w:hAnsi="Times New Roman" w:cs="Times New Roman"/>
        </w:rPr>
        <w:t xml:space="preserve"> another </w:t>
      </w:r>
      <w:r w:rsidR="00F73486" w:rsidRPr="00A96DAE">
        <w:rPr>
          <w:rFonts w:ascii="Times New Roman" w:hAnsi="Times New Roman" w:cs="Times New Roman"/>
        </w:rPr>
        <w:t>manner</w:t>
      </w:r>
      <w:r w:rsidR="004F7252" w:rsidRPr="00A96DAE">
        <w:rPr>
          <w:rFonts w:ascii="Times New Roman" w:hAnsi="Times New Roman" w:cs="Times New Roman"/>
        </w:rPr>
        <w:t xml:space="preserve"> approved by the ACMA, the ACMA </w:t>
      </w:r>
      <w:r w:rsidR="00F73486" w:rsidRPr="00A96DAE">
        <w:rPr>
          <w:rFonts w:ascii="Times New Roman" w:hAnsi="Times New Roman" w:cs="Times New Roman"/>
        </w:rPr>
        <w:t xml:space="preserve">or contacted service provider must </w:t>
      </w:r>
      <w:r w:rsidR="00C64CA4" w:rsidRPr="00A96DAE">
        <w:rPr>
          <w:rFonts w:ascii="Times New Roman" w:hAnsi="Times New Roman" w:cs="Times New Roman"/>
        </w:rPr>
        <w:t xml:space="preserve">make the information available for secure download </w:t>
      </w:r>
      <w:r w:rsidR="00F73486" w:rsidRPr="00A96DAE">
        <w:rPr>
          <w:rFonts w:ascii="Times New Roman" w:hAnsi="Times New Roman" w:cs="Times New Roman"/>
        </w:rPr>
        <w:t xml:space="preserve">in </w:t>
      </w:r>
      <w:r w:rsidR="0080737B">
        <w:rPr>
          <w:rFonts w:ascii="Times New Roman" w:hAnsi="Times New Roman" w:cs="Times New Roman"/>
        </w:rPr>
        <w:t>Comma Separated Variable (</w:t>
      </w:r>
      <w:r w:rsidR="0080737B" w:rsidRPr="0080737B">
        <w:rPr>
          <w:rFonts w:ascii="Times New Roman" w:hAnsi="Times New Roman" w:cs="Times New Roman"/>
          <w:b/>
          <w:i/>
        </w:rPr>
        <w:t>CSV</w:t>
      </w:r>
      <w:r w:rsidR="0080737B">
        <w:rPr>
          <w:rFonts w:ascii="Times New Roman" w:hAnsi="Times New Roman" w:cs="Times New Roman"/>
        </w:rPr>
        <w:t>)</w:t>
      </w:r>
      <w:r w:rsidR="00F73486" w:rsidRPr="00A96DAE">
        <w:rPr>
          <w:rFonts w:ascii="Times New Roman" w:hAnsi="Times New Roman" w:cs="Times New Roman"/>
        </w:rPr>
        <w:t xml:space="preserve"> format or </w:t>
      </w:r>
      <w:r w:rsidR="00C64CA4" w:rsidRPr="00A96DAE">
        <w:rPr>
          <w:rFonts w:ascii="Times New Roman" w:hAnsi="Times New Roman" w:cs="Times New Roman"/>
        </w:rPr>
        <w:t xml:space="preserve">in </w:t>
      </w:r>
      <w:r w:rsidR="00F73486" w:rsidRPr="00A96DAE">
        <w:rPr>
          <w:rFonts w:ascii="Times New Roman" w:hAnsi="Times New Roman" w:cs="Times New Roman"/>
        </w:rPr>
        <w:t xml:space="preserve">another manner approved by the ACMA. The other manner must be specified on the </w:t>
      </w:r>
      <w:r w:rsidR="0065531D">
        <w:rPr>
          <w:rFonts w:ascii="Times New Roman" w:hAnsi="Times New Roman" w:cs="Times New Roman"/>
        </w:rPr>
        <w:t xml:space="preserve">website of the </w:t>
      </w:r>
      <w:r w:rsidR="00F73486" w:rsidRPr="00A96DAE">
        <w:rPr>
          <w:rFonts w:ascii="Times New Roman" w:hAnsi="Times New Roman" w:cs="Times New Roman"/>
        </w:rPr>
        <w:t xml:space="preserve">ACMA or </w:t>
      </w:r>
      <w:r w:rsidR="0065531D">
        <w:rPr>
          <w:rFonts w:ascii="Times New Roman" w:hAnsi="Times New Roman" w:cs="Times New Roman"/>
        </w:rPr>
        <w:t xml:space="preserve">the </w:t>
      </w:r>
      <w:r w:rsidR="00F73486" w:rsidRPr="00A96DAE">
        <w:rPr>
          <w:rFonts w:ascii="Times New Roman" w:hAnsi="Times New Roman" w:cs="Times New Roman"/>
        </w:rPr>
        <w:t>contracted service provider’s website.</w:t>
      </w:r>
    </w:p>
    <w:p w14:paraId="25D19E82" w14:textId="60B1CFFD" w:rsidR="00FC4CC5" w:rsidRPr="007C3F3C" w:rsidRDefault="006768C1" w:rsidP="007C3F3C">
      <w:pPr>
        <w:spacing w:after="120"/>
        <w:rPr>
          <w:rFonts w:ascii="Times New Roman" w:hAnsi="Times New Roman" w:cs="Times New Roman"/>
        </w:rPr>
      </w:pPr>
      <w:r w:rsidRPr="007C3F3C">
        <w:rPr>
          <w:rFonts w:ascii="Times New Roman" w:hAnsi="Times New Roman" w:cs="Times New Roman"/>
        </w:rPr>
        <w:t>Under subsections 8(4) and 8(5), i</w:t>
      </w:r>
      <w:r w:rsidR="00FC4CC5" w:rsidRPr="007C3F3C">
        <w:rPr>
          <w:rFonts w:ascii="Times New Roman" w:hAnsi="Times New Roman" w:cs="Times New Roman"/>
        </w:rPr>
        <w:t xml:space="preserve">f an access-seeker submitted a list by entering numbers on </w:t>
      </w:r>
      <w:r w:rsidRPr="007C3F3C">
        <w:rPr>
          <w:rFonts w:ascii="Times New Roman" w:hAnsi="Times New Roman" w:cs="Times New Roman"/>
        </w:rPr>
        <w:t xml:space="preserve">a facility on </w:t>
      </w:r>
      <w:r w:rsidR="00FC4CC5" w:rsidRPr="007C3F3C">
        <w:rPr>
          <w:rFonts w:ascii="Times New Roman" w:hAnsi="Times New Roman" w:cs="Times New Roman"/>
        </w:rPr>
        <w:t xml:space="preserve">the ACMA or contracted service provider’s website, then the </w:t>
      </w:r>
      <w:r w:rsidRPr="007C3F3C">
        <w:rPr>
          <w:rFonts w:ascii="Times New Roman" w:hAnsi="Times New Roman" w:cs="Times New Roman"/>
        </w:rPr>
        <w:t>ACMA</w:t>
      </w:r>
      <w:r w:rsidR="00C74524">
        <w:rPr>
          <w:rFonts w:ascii="Times New Roman" w:hAnsi="Times New Roman" w:cs="Times New Roman"/>
        </w:rPr>
        <w:t xml:space="preserve"> or contracted service provider</w:t>
      </w:r>
      <w:r w:rsidRPr="007C3F3C">
        <w:rPr>
          <w:rFonts w:ascii="Times New Roman" w:hAnsi="Times New Roman" w:cs="Times New Roman"/>
        </w:rPr>
        <w:t xml:space="preserve"> must display the information on the website as soon as practicable</w:t>
      </w:r>
      <w:r w:rsidR="0065531D">
        <w:rPr>
          <w:rFonts w:ascii="Times New Roman" w:hAnsi="Times New Roman" w:cs="Times New Roman"/>
        </w:rPr>
        <w:t xml:space="preserve"> after the numbers are entered</w:t>
      </w:r>
      <w:r w:rsidRPr="007C3F3C">
        <w:rPr>
          <w:rFonts w:ascii="Times New Roman" w:hAnsi="Times New Roman" w:cs="Times New Roman"/>
        </w:rPr>
        <w:t>.</w:t>
      </w:r>
    </w:p>
    <w:p w14:paraId="179FF816" w14:textId="0C707C3B" w:rsidR="00A91B21" w:rsidRPr="00A96DAE" w:rsidRDefault="005958D6" w:rsidP="00E02B69">
      <w:pPr>
        <w:spacing w:before="240" w:after="120"/>
        <w:rPr>
          <w:rFonts w:ascii="Times New Roman" w:hAnsi="Times New Roman" w:cs="Times New Roman"/>
          <w:b/>
        </w:rPr>
      </w:pPr>
      <w:r w:rsidRPr="00A96DAE">
        <w:rPr>
          <w:rFonts w:ascii="Times New Roman" w:hAnsi="Times New Roman" w:cs="Times New Roman"/>
          <w:b/>
        </w:rPr>
        <w:t xml:space="preserve">Section </w:t>
      </w:r>
      <w:r w:rsidR="00E865E8" w:rsidRPr="00A96DAE">
        <w:rPr>
          <w:rFonts w:ascii="Times New Roman" w:hAnsi="Times New Roman" w:cs="Times New Roman"/>
          <w:b/>
        </w:rPr>
        <w:t>9</w:t>
      </w:r>
      <w:r w:rsidRPr="00A96DAE">
        <w:rPr>
          <w:rFonts w:ascii="Times New Roman" w:hAnsi="Times New Roman" w:cs="Times New Roman"/>
          <w:b/>
        </w:rPr>
        <w:tab/>
      </w:r>
      <w:r w:rsidR="00A91B21" w:rsidRPr="00A96DAE">
        <w:rPr>
          <w:rFonts w:ascii="Times New Roman" w:hAnsi="Times New Roman" w:cs="Times New Roman"/>
          <w:b/>
        </w:rPr>
        <w:t xml:space="preserve">Return of </w:t>
      </w:r>
      <w:r w:rsidR="0065531D">
        <w:rPr>
          <w:rFonts w:ascii="Times New Roman" w:hAnsi="Times New Roman" w:cs="Times New Roman"/>
          <w:b/>
        </w:rPr>
        <w:t>l</w:t>
      </w:r>
      <w:r w:rsidR="00A91B21" w:rsidRPr="00A96DAE">
        <w:rPr>
          <w:rFonts w:ascii="Times New Roman" w:hAnsi="Times New Roman" w:cs="Times New Roman"/>
          <w:b/>
        </w:rPr>
        <w:t>ist</w:t>
      </w:r>
    </w:p>
    <w:p w14:paraId="04CF0F58" w14:textId="2BA4234E" w:rsidR="00A91B21" w:rsidRPr="00E02B69" w:rsidRDefault="00ED7519" w:rsidP="00E02B69">
      <w:pPr>
        <w:spacing w:after="120"/>
        <w:rPr>
          <w:rFonts w:ascii="Times New Roman" w:hAnsi="Times New Roman" w:cs="Times New Roman"/>
        </w:rPr>
      </w:pPr>
      <w:r w:rsidRPr="00E02B69">
        <w:rPr>
          <w:rFonts w:ascii="Times New Roman" w:hAnsi="Times New Roman" w:cs="Times New Roman"/>
        </w:rPr>
        <w:t>Subsection 9</w:t>
      </w:r>
      <w:r w:rsidR="00A91B21" w:rsidRPr="00E02B69">
        <w:rPr>
          <w:rFonts w:ascii="Times New Roman" w:hAnsi="Times New Roman" w:cs="Times New Roman"/>
        </w:rPr>
        <w:t>(1)</w:t>
      </w:r>
      <w:r w:rsidR="00A91B21" w:rsidRPr="00E02B69">
        <w:rPr>
          <w:rFonts w:ascii="Times New Roman" w:hAnsi="Times New Roman" w:cs="Times New Roman"/>
        </w:rPr>
        <w:tab/>
      </w:r>
      <w:r w:rsidRPr="00E02B69">
        <w:rPr>
          <w:rFonts w:ascii="Times New Roman" w:hAnsi="Times New Roman" w:cs="Times New Roman"/>
        </w:rPr>
        <w:t>states that i</w:t>
      </w:r>
      <w:r w:rsidR="00A91B21" w:rsidRPr="00E02B69">
        <w:rPr>
          <w:rFonts w:ascii="Times New Roman" w:hAnsi="Times New Roman" w:cs="Times New Roman"/>
        </w:rPr>
        <w:t>f an access</w:t>
      </w:r>
      <w:r w:rsidR="00A91B21" w:rsidRPr="00E02B69">
        <w:rPr>
          <w:rFonts w:ascii="Times New Roman" w:hAnsi="Times New Roman" w:cs="Times New Roman"/>
        </w:rPr>
        <w:noBreakHyphen/>
        <w:t xml:space="preserve">seeker submits </w:t>
      </w:r>
      <w:r w:rsidR="00C64CA4" w:rsidRPr="00E02B69">
        <w:rPr>
          <w:rFonts w:ascii="Times New Roman" w:hAnsi="Times New Roman" w:cs="Times New Roman"/>
        </w:rPr>
        <w:t>a</w:t>
      </w:r>
      <w:r w:rsidR="00A91B21" w:rsidRPr="00E02B69">
        <w:rPr>
          <w:rFonts w:ascii="Times New Roman" w:hAnsi="Times New Roman" w:cs="Times New Roman"/>
        </w:rPr>
        <w:t xml:space="preserve"> list in accordance with section 7, the party to whom the list was submitted </w:t>
      </w:r>
      <w:r w:rsidR="00A96DAE" w:rsidRPr="00E02B69">
        <w:rPr>
          <w:rFonts w:ascii="Times New Roman" w:hAnsi="Times New Roman" w:cs="Times New Roman"/>
        </w:rPr>
        <w:t xml:space="preserve">(i.e. the ACMA or the contracted service provider) </w:t>
      </w:r>
      <w:r w:rsidR="00A91B21" w:rsidRPr="00E02B69">
        <w:rPr>
          <w:rFonts w:ascii="Times New Roman" w:hAnsi="Times New Roman" w:cs="Times New Roman"/>
        </w:rPr>
        <w:t>must return the list in a way that shows</w:t>
      </w:r>
      <w:r w:rsidR="00A96DAE" w:rsidRPr="00E02B69">
        <w:rPr>
          <w:rFonts w:ascii="Times New Roman" w:hAnsi="Times New Roman" w:cs="Times New Roman"/>
        </w:rPr>
        <w:t xml:space="preserve"> which numbers are and are not listed</w:t>
      </w:r>
      <w:r w:rsidR="0065531D">
        <w:rPr>
          <w:rFonts w:ascii="Times New Roman" w:hAnsi="Times New Roman" w:cs="Times New Roman"/>
        </w:rPr>
        <w:t xml:space="preserve"> on the Do Not Call Register</w:t>
      </w:r>
      <w:r w:rsidR="00A96DAE" w:rsidRPr="00E02B69">
        <w:rPr>
          <w:rFonts w:ascii="Times New Roman" w:hAnsi="Times New Roman" w:cs="Times New Roman"/>
        </w:rPr>
        <w:t xml:space="preserve">, and </w:t>
      </w:r>
      <w:r w:rsidR="00A91B21" w:rsidRPr="00E02B69">
        <w:rPr>
          <w:rFonts w:ascii="Times New Roman" w:hAnsi="Times New Roman" w:cs="Times New Roman"/>
        </w:rPr>
        <w:t>which purported numbers (if any) have not been treated as Australian numbers.</w:t>
      </w:r>
    </w:p>
    <w:p w14:paraId="36D95B1E" w14:textId="7933D09D" w:rsidR="00635420" w:rsidRPr="00E02B69" w:rsidRDefault="00635420" w:rsidP="00E02B69">
      <w:pPr>
        <w:spacing w:after="120"/>
        <w:rPr>
          <w:rFonts w:ascii="Times New Roman" w:hAnsi="Times New Roman" w:cs="Times New Roman"/>
        </w:rPr>
      </w:pPr>
      <w:r w:rsidRPr="00E02B69">
        <w:rPr>
          <w:rFonts w:ascii="Times New Roman" w:hAnsi="Times New Roman" w:cs="Times New Roman"/>
        </w:rPr>
        <w:t>The subsection includes a n</w:t>
      </w:r>
      <w:r w:rsidR="00A91B21" w:rsidRPr="00E02B69">
        <w:rPr>
          <w:rFonts w:ascii="Times New Roman" w:hAnsi="Times New Roman" w:cs="Times New Roman"/>
        </w:rPr>
        <w:t>ote</w:t>
      </w:r>
      <w:r w:rsidRPr="00E02B69">
        <w:rPr>
          <w:rFonts w:ascii="Times New Roman" w:hAnsi="Times New Roman" w:cs="Times New Roman"/>
        </w:rPr>
        <w:t xml:space="preserve"> that a p</w:t>
      </w:r>
      <w:r w:rsidR="00A91B21" w:rsidRPr="00E02B69">
        <w:rPr>
          <w:rFonts w:ascii="Times New Roman" w:hAnsi="Times New Roman" w:cs="Times New Roman"/>
        </w:rPr>
        <w:t xml:space="preserve">urported number may not be treated as an Australian number </w:t>
      </w:r>
      <w:r w:rsidRPr="00E02B69">
        <w:rPr>
          <w:rFonts w:ascii="Times New Roman" w:hAnsi="Times New Roman" w:cs="Times New Roman"/>
        </w:rPr>
        <w:t>in the following circumstances:</w:t>
      </w:r>
    </w:p>
    <w:p w14:paraId="1E05E5CF" w14:textId="2E8AD958" w:rsidR="00A91B21" w:rsidRPr="00E02B69" w:rsidRDefault="00B202B6" w:rsidP="00E02B69">
      <w:pPr>
        <w:pStyle w:val="ListParagraph"/>
        <w:numPr>
          <w:ilvl w:val="0"/>
          <w:numId w:val="16"/>
        </w:numPr>
        <w:spacing w:after="120"/>
        <w:rPr>
          <w:rFonts w:ascii="Times New Roman" w:hAnsi="Times New Roman" w:cs="Times New Roman"/>
        </w:rPr>
      </w:pPr>
      <w:r w:rsidRPr="00E02B69">
        <w:rPr>
          <w:rFonts w:ascii="Times New Roman" w:hAnsi="Times New Roman" w:cs="Times New Roman"/>
        </w:rPr>
        <w:t xml:space="preserve">where </w:t>
      </w:r>
      <w:r w:rsidR="00A91B21" w:rsidRPr="00E02B69">
        <w:rPr>
          <w:rFonts w:ascii="Times New Roman" w:hAnsi="Times New Roman" w:cs="Times New Roman"/>
        </w:rPr>
        <w:t>it does not meet the specifications in subsection 7(2); or</w:t>
      </w:r>
      <w:bookmarkStart w:id="0" w:name="_GoBack"/>
      <w:bookmarkEnd w:id="0"/>
    </w:p>
    <w:p w14:paraId="634DF00B" w14:textId="79F3FEEE" w:rsidR="00A91B21" w:rsidRPr="00E02B69" w:rsidRDefault="00CD33B1" w:rsidP="00E02B69">
      <w:pPr>
        <w:pStyle w:val="ListParagraph"/>
        <w:numPr>
          <w:ilvl w:val="0"/>
          <w:numId w:val="16"/>
        </w:numPr>
        <w:spacing w:after="120"/>
        <w:rPr>
          <w:rFonts w:ascii="Times New Roman" w:hAnsi="Times New Roman" w:cs="Times New Roman"/>
        </w:rPr>
      </w:pPr>
      <w:r>
        <w:rPr>
          <w:rFonts w:ascii="Times New Roman" w:hAnsi="Times New Roman" w:cs="Times New Roman"/>
        </w:rPr>
        <w:lastRenderedPageBreak/>
        <w:t>where</w:t>
      </w:r>
      <w:r w:rsidR="00A91B21" w:rsidRPr="00E02B69">
        <w:rPr>
          <w:rFonts w:ascii="Times New Roman" w:hAnsi="Times New Roman" w:cs="Times New Roman"/>
        </w:rPr>
        <w:t xml:space="preserve"> the information that relates to the purported number shows that it is not an Australian number; or</w:t>
      </w:r>
    </w:p>
    <w:p w14:paraId="3FFEB887" w14:textId="2087F7C9" w:rsidR="00A91B21" w:rsidRPr="00E02B69" w:rsidRDefault="00A91B21" w:rsidP="00E02B69">
      <w:pPr>
        <w:pStyle w:val="ListParagraph"/>
        <w:numPr>
          <w:ilvl w:val="0"/>
          <w:numId w:val="16"/>
        </w:numPr>
        <w:spacing w:after="120"/>
        <w:rPr>
          <w:rFonts w:ascii="Times New Roman" w:hAnsi="Times New Roman" w:cs="Times New Roman"/>
        </w:rPr>
      </w:pPr>
      <w:proofErr w:type="gramStart"/>
      <w:r w:rsidRPr="00E02B69">
        <w:rPr>
          <w:rFonts w:ascii="Times New Roman" w:hAnsi="Times New Roman" w:cs="Times New Roman"/>
        </w:rPr>
        <w:t>for</w:t>
      </w:r>
      <w:proofErr w:type="gramEnd"/>
      <w:r w:rsidRPr="00E02B69">
        <w:rPr>
          <w:rFonts w:ascii="Times New Roman" w:hAnsi="Times New Roman" w:cs="Times New Roman"/>
        </w:rPr>
        <w:t xml:space="preserve"> another reason.</w:t>
      </w:r>
    </w:p>
    <w:p w14:paraId="27120A90" w14:textId="569AA8EF" w:rsidR="00A91B21" w:rsidRDefault="00635420" w:rsidP="00E02B69">
      <w:pPr>
        <w:rPr>
          <w:rFonts w:ascii="Times New Roman" w:hAnsi="Times New Roman" w:cs="Times New Roman"/>
        </w:rPr>
      </w:pPr>
      <w:r w:rsidRPr="00E02B69">
        <w:rPr>
          <w:rFonts w:ascii="Times New Roman" w:hAnsi="Times New Roman" w:cs="Times New Roman"/>
        </w:rPr>
        <w:t>Subsection 9(2) specifies the information that a</w:t>
      </w:r>
      <w:r w:rsidR="00A91B21" w:rsidRPr="00E02B69">
        <w:rPr>
          <w:rFonts w:ascii="Times New Roman" w:hAnsi="Times New Roman" w:cs="Times New Roman"/>
        </w:rPr>
        <w:t xml:space="preserve"> person who is obliged to return a list under section 8 must give the access</w:t>
      </w:r>
      <w:r w:rsidR="00A91B21" w:rsidRPr="00E02B69">
        <w:rPr>
          <w:rFonts w:ascii="Times New Roman" w:hAnsi="Times New Roman" w:cs="Times New Roman"/>
        </w:rPr>
        <w:noBreakHyphen/>
        <w:t>seeker at the same time as returning the list</w:t>
      </w:r>
      <w:r w:rsidRPr="00E02B69">
        <w:rPr>
          <w:rFonts w:ascii="Times New Roman" w:hAnsi="Times New Roman" w:cs="Times New Roman"/>
        </w:rPr>
        <w:t>.</w:t>
      </w:r>
    </w:p>
    <w:p w14:paraId="5CCDD790" w14:textId="1ABDA6C9" w:rsidR="0065531D" w:rsidRPr="00A96DAE" w:rsidRDefault="0065531D" w:rsidP="0065531D">
      <w:pPr>
        <w:spacing w:before="240" w:after="120"/>
        <w:rPr>
          <w:rFonts w:ascii="Times New Roman" w:hAnsi="Times New Roman" w:cs="Times New Roman"/>
          <w:b/>
        </w:rPr>
      </w:pPr>
      <w:r>
        <w:rPr>
          <w:rFonts w:ascii="Times New Roman" w:hAnsi="Times New Roman" w:cs="Times New Roman"/>
          <w:b/>
        </w:rPr>
        <w:t>Part 3</w:t>
      </w:r>
      <w:r w:rsidRPr="00A96DAE">
        <w:rPr>
          <w:rFonts w:ascii="Times New Roman" w:hAnsi="Times New Roman" w:cs="Times New Roman"/>
          <w:b/>
        </w:rPr>
        <w:t>–</w:t>
      </w:r>
      <w:r>
        <w:rPr>
          <w:rFonts w:ascii="Times New Roman" w:hAnsi="Times New Roman" w:cs="Times New Roman"/>
          <w:b/>
        </w:rPr>
        <w:t>Savings and Transitional Arrangements</w:t>
      </w:r>
    </w:p>
    <w:p w14:paraId="5FD38E2C" w14:textId="4D549FD3" w:rsidR="0065531D" w:rsidRPr="00A96DAE" w:rsidRDefault="0065531D" w:rsidP="0065531D">
      <w:pPr>
        <w:spacing w:before="240" w:after="120"/>
        <w:rPr>
          <w:rFonts w:ascii="Times New Roman" w:hAnsi="Times New Roman" w:cs="Times New Roman"/>
          <w:b/>
        </w:rPr>
      </w:pPr>
      <w:r w:rsidRPr="00A96DAE">
        <w:rPr>
          <w:rFonts w:ascii="Times New Roman" w:hAnsi="Times New Roman" w:cs="Times New Roman"/>
          <w:b/>
        </w:rPr>
        <w:t xml:space="preserve">Section </w:t>
      </w:r>
      <w:r>
        <w:rPr>
          <w:rFonts w:ascii="Times New Roman" w:hAnsi="Times New Roman" w:cs="Times New Roman"/>
          <w:b/>
        </w:rPr>
        <w:t>1</w:t>
      </w:r>
      <w:r w:rsidR="00A16F41">
        <w:rPr>
          <w:rFonts w:ascii="Times New Roman" w:hAnsi="Times New Roman" w:cs="Times New Roman"/>
          <w:b/>
        </w:rPr>
        <w:t>0</w:t>
      </w:r>
      <w:r w:rsidRPr="00A96DAE">
        <w:rPr>
          <w:rFonts w:ascii="Times New Roman" w:hAnsi="Times New Roman" w:cs="Times New Roman"/>
          <w:b/>
        </w:rPr>
        <w:tab/>
      </w:r>
      <w:r>
        <w:rPr>
          <w:rFonts w:ascii="Times New Roman" w:hAnsi="Times New Roman" w:cs="Times New Roman"/>
          <w:b/>
        </w:rPr>
        <w:t>Transitional – registration</w:t>
      </w:r>
    </w:p>
    <w:p w14:paraId="302A2B5A" w14:textId="14AAEA9C" w:rsidR="0065531D" w:rsidRPr="004226C6" w:rsidRDefault="0065531D" w:rsidP="004226C6">
      <w:pPr>
        <w:spacing w:after="120"/>
        <w:rPr>
          <w:rFonts w:ascii="Times New Roman" w:hAnsi="Times New Roman" w:cs="Times New Roman"/>
        </w:rPr>
      </w:pPr>
      <w:r w:rsidRPr="00E02B69">
        <w:rPr>
          <w:rFonts w:ascii="Times New Roman" w:hAnsi="Times New Roman" w:cs="Times New Roman"/>
        </w:rPr>
        <w:t xml:space="preserve">Section </w:t>
      </w:r>
      <w:r w:rsidR="00A16F41">
        <w:rPr>
          <w:rFonts w:ascii="Times New Roman" w:hAnsi="Times New Roman" w:cs="Times New Roman"/>
        </w:rPr>
        <w:t>10</w:t>
      </w:r>
      <w:r>
        <w:rPr>
          <w:rFonts w:ascii="Times New Roman" w:hAnsi="Times New Roman" w:cs="Times New Roman"/>
        </w:rPr>
        <w:t xml:space="preserve"> </w:t>
      </w:r>
      <w:r w:rsidR="00465CF2">
        <w:rPr>
          <w:rFonts w:ascii="Times New Roman" w:hAnsi="Times New Roman" w:cs="Times New Roman"/>
        </w:rPr>
        <w:t>provides</w:t>
      </w:r>
      <w:r w:rsidR="003E6A08">
        <w:rPr>
          <w:rFonts w:ascii="Times New Roman" w:hAnsi="Times New Roman" w:cs="Times New Roman"/>
        </w:rPr>
        <w:t xml:space="preserve"> that registrations in force under subsection 7(3) of the </w:t>
      </w:r>
      <w:r w:rsidR="003E6A08" w:rsidRPr="004226C6">
        <w:rPr>
          <w:rFonts w:ascii="Times New Roman" w:hAnsi="Times New Roman" w:cs="Times New Roman"/>
          <w:i/>
        </w:rPr>
        <w:t>Do Not Call Register (Access to Register) Determination</w:t>
      </w:r>
      <w:r w:rsidR="003E6A08">
        <w:rPr>
          <w:rFonts w:ascii="Times New Roman" w:hAnsi="Times New Roman" w:cs="Times New Roman"/>
        </w:rPr>
        <w:t xml:space="preserve"> (</w:t>
      </w:r>
      <w:r w:rsidR="003E6A08" w:rsidRPr="004226C6">
        <w:rPr>
          <w:rFonts w:ascii="Times New Roman" w:hAnsi="Times New Roman" w:cs="Times New Roman"/>
          <w:b/>
        </w:rPr>
        <w:t>the old Determination</w:t>
      </w:r>
      <w:r w:rsidR="003E6A08">
        <w:rPr>
          <w:rFonts w:ascii="Times New Roman" w:hAnsi="Times New Roman" w:cs="Times New Roman"/>
        </w:rPr>
        <w:t>) continue in force under subsection 7(3) of the Determination</w:t>
      </w:r>
      <w:r w:rsidR="0004689C">
        <w:rPr>
          <w:rFonts w:ascii="Times New Roman" w:hAnsi="Times New Roman" w:cs="Times New Roman"/>
        </w:rPr>
        <w:t xml:space="preserve"> (</w:t>
      </w:r>
      <w:r w:rsidR="0004689C" w:rsidRPr="0004689C">
        <w:rPr>
          <w:rFonts w:ascii="Times New Roman" w:hAnsi="Times New Roman" w:cs="Times New Roman"/>
          <w:b/>
        </w:rPr>
        <w:t>the new Determination</w:t>
      </w:r>
      <w:r w:rsidR="0004689C">
        <w:rPr>
          <w:rFonts w:ascii="Times New Roman" w:hAnsi="Times New Roman" w:cs="Times New Roman"/>
        </w:rPr>
        <w:t>)</w:t>
      </w:r>
      <w:r w:rsidRPr="00E02B69">
        <w:rPr>
          <w:rFonts w:ascii="Times New Roman" w:hAnsi="Times New Roman" w:cs="Times New Roman"/>
        </w:rPr>
        <w:t>.</w:t>
      </w:r>
      <w:r w:rsidR="0080737B">
        <w:rPr>
          <w:rFonts w:ascii="Times New Roman" w:hAnsi="Times New Roman" w:cs="Times New Roman"/>
        </w:rPr>
        <w:t xml:space="preserve"> </w:t>
      </w:r>
      <w:r w:rsidR="003E6A08">
        <w:rPr>
          <w:rFonts w:ascii="Times New Roman" w:hAnsi="Times New Roman" w:cs="Times New Roman"/>
        </w:rPr>
        <w:t xml:space="preserve">This is to avoid the need for </w:t>
      </w:r>
      <w:r w:rsidR="0080737B">
        <w:rPr>
          <w:rFonts w:ascii="Times New Roman" w:hAnsi="Times New Roman" w:cs="Times New Roman"/>
        </w:rPr>
        <w:t xml:space="preserve">access-seekers to re-register. </w:t>
      </w:r>
      <w:r w:rsidR="003E6A08">
        <w:rPr>
          <w:rFonts w:ascii="Times New Roman" w:hAnsi="Times New Roman" w:cs="Times New Roman"/>
        </w:rPr>
        <w:t xml:space="preserve">The conditions applicable to all registrations are those that apply under the </w:t>
      </w:r>
      <w:r w:rsidR="0004689C">
        <w:rPr>
          <w:rFonts w:ascii="Times New Roman" w:hAnsi="Times New Roman" w:cs="Times New Roman"/>
        </w:rPr>
        <w:t xml:space="preserve">new </w:t>
      </w:r>
      <w:r w:rsidR="003E6A08">
        <w:rPr>
          <w:rFonts w:ascii="Times New Roman" w:hAnsi="Times New Roman" w:cs="Times New Roman"/>
        </w:rPr>
        <w:t xml:space="preserve">Determination. </w:t>
      </w:r>
    </w:p>
    <w:p w14:paraId="3265B54F" w14:textId="24D889B1" w:rsidR="0065531D" w:rsidRPr="00A96DAE" w:rsidRDefault="0065531D" w:rsidP="0065531D">
      <w:pPr>
        <w:spacing w:before="240" w:after="120"/>
        <w:rPr>
          <w:rFonts w:ascii="Times New Roman" w:hAnsi="Times New Roman" w:cs="Times New Roman"/>
          <w:b/>
        </w:rPr>
      </w:pPr>
      <w:r w:rsidRPr="00A96DAE">
        <w:rPr>
          <w:rFonts w:ascii="Times New Roman" w:hAnsi="Times New Roman" w:cs="Times New Roman"/>
          <w:b/>
        </w:rPr>
        <w:t xml:space="preserve">Section </w:t>
      </w:r>
      <w:r w:rsidR="00A16F41">
        <w:rPr>
          <w:rFonts w:ascii="Times New Roman" w:hAnsi="Times New Roman" w:cs="Times New Roman"/>
          <w:b/>
        </w:rPr>
        <w:t>11</w:t>
      </w:r>
      <w:r w:rsidRPr="00A96DAE">
        <w:rPr>
          <w:rFonts w:ascii="Times New Roman" w:hAnsi="Times New Roman" w:cs="Times New Roman"/>
          <w:b/>
        </w:rPr>
        <w:tab/>
      </w:r>
      <w:r>
        <w:rPr>
          <w:rFonts w:ascii="Times New Roman" w:hAnsi="Times New Roman" w:cs="Times New Roman"/>
          <w:b/>
        </w:rPr>
        <w:t>Lists submitted under the old Determination, but not returned</w:t>
      </w:r>
    </w:p>
    <w:p w14:paraId="274A6118" w14:textId="125964B4" w:rsidR="0065531D" w:rsidRDefault="0065531D" w:rsidP="004226C6">
      <w:pPr>
        <w:spacing w:after="120"/>
        <w:rPr>
          <w:rFonts w:ascii="Times New Roman" w:hAnsi="Times New Roman" w:cs="Times New Roman"/>
        </w:rPr>
      </w:pPr>
      <w:r w:rsidRPr="00E02B69">
        <w:rPr>
          <w:rFonts w:ascii="Times New Roman" w:hAnsi="Times New Roman" w:cs="Times New Roman"/>
        </w:rPr>
        <w:t xml:space="preserve">Section </w:t>
      </w:r>
      <w:r w:rsidR="00A16F41">
        <w:rPr>
          <w:rFonts w:ascii="Times New Roman" w:hAnsi="Times New Roman" w:cs="Times New Roman"/>
        </w:rPr>
        <w:t>11</w:t>
      </w:r>
      <w:r w:rsidR="003E6A08">
        <w:rPr>
          <w:rFonts w:ascii="Times New Roman" w:hAnsi="Times New Roman" w:cs="Times New Roman"/>
        </w:rPr>
        <w:t xml:space="preserve"> ensures that lists submitted for ‘washing’ under the old Determination, and which have not yet been returned to the access seeker, are ‘washed’ under the </w:t>
      </w:r>
      <w:r w:rsidR="0004689C">
        <w:rPr>
          <w:rFonts w:ascii="Times New Roman" w:hAnsi="Times New Roman" w:cs="Times New Roman"/>
        </w:rPr>
        <w:t xml:space="preserve">new </w:t>
      </w:r>
      <w:r w:rsidR="003E6A08">
        <w:rPr>
          <w:rFonts w:ascii="Times New Roman" w:hAnsi="Times New Roman" w:cs="Times New Roman"/>
        </w:rPr>
        <w:t>Determination</w:t>
      </w:r>
      <w:r w:rsidRPr="00E02B69">
        <w:rPr>
          <w:rFonts w:ascii="Times New Roman" w:hAnsi="Times New Roman" w:cs="Times New Roman"/>
        </w:rPr>
        <w:t>.</w:t>
      </w:r>
      <w:r w:rsidR="0080737B">
        <w:rPr>
          <w:rFonts w:ascii="Times New Roman" w:hAnsi="Times New Roman" w:cs="Times New Roman"/>
        </w:rPr>
        <w:t xml:space="preserve"> </w:t>
      </w:r>
      <w:r w:rsidR="003E6A08">
        <w:rPr>
          <w:rFonts w:ascii="Times New Roman" w:hAnsi="Times New Roman" w:cs="Times New Roman"/>
        </w:rPr>
        <w:t>The section has been drafted noting that as a practical matter all affected lists will have been submitted to the contracted</w:t>
      </w:r>
      <w:r w:rsidR="0080737B">
        <w:rPr>
          <w:rFonts w:ascii="Times New Roman" w:hAnsi="Times New Roman" w:cs="Times New Roman"/>
        </w:rPr>
        <w:t xml:space="preserve"> service provider for washing. </w:t>
      </w:r>
      <w:r w:rsidR="0004689C">
        <w:rPr>
          <w:rFonts w:ascii="Times New Roman" w:hAnsi="Times New Roman" w:cs="Times New Roman"/>
        </w:rPr>
        <w:t xml:space="preserve">The ACMA does not </w:t>
      </w:r>
      <w:proofErr w:type="spellStart"/>
      <w:r w:rsidR="0004689C">
        <w:rPr>
          <w:rFonts w:ascii="Times New Roman" w:hAnsi="Times New Roman" w:cs="Times New Roman"/>
        </w:rPr>
        <w:t>wash</w:t>
      </w:r>
      <w:proofErr w:type="spellEnd"/>
      <w:r w:rsidR="0004689C">
        <w:rPr>
          <w:rFonts w:ascii="Times New Roman" w:hAnsi="Times New Roman" w:cs="Times New Roman"/>
        </w:rPr>
        <w:t xml:space="preserve"> lists and has not done so at any time since the commencement of the Act.</w:t>
      </w:r>
    </w:p>
    <w:p w14:paraId="39024C68" w14:textId="48BA6243" w:rsidR="004226C6" w:rsidRDefault="009072F3" w:rsidP="004226C6">
      <w:pPr>
        <w:spacing w:after="120"/>
        <w:rPr>
          <w:rFonts w:ascii="Times New Roman" w:hAnsi="Times New Roman" w:cs="Times New Roman"/>
        </w:rPr>
      </w:pPr>
      <w:r>
        <w:rPr>
          <w:rFonts w:ascii="Times New Roman" w:hAnsi="Times New Roman" w:cs="Times New Roman"/>
        </w:rPr>
        <w:t>Subsection 1</w:t>
      </w:r>
      <w:r w:rsidR="00A16F41">
        <w:rPr>
          <w:rFonts w:ascii="Times New Roman" w:hAnsi="Times New Roman" w:cs="Times New Roman"/>
        </w:rPr>
        <w:t>1</w:t>
      </w:r>
      <w:r>
        <w:rPr>
          <w:rFonts w:ascii="Times New Roman" w:hAnsi="Times New Roman" w:cs="Times New Roman"/>
        </w:rPr>
        <w:t xml:space="preserve">(1) </w:t>
      </w:r>
      <w:r w:rsidR="00465CF2">
        <w:rPr>
          <w:rFonts w:ascii="Times New Roman" w:hAnsi="Times New Roman" w:cs="Times New Roman"/>
        </w:rPr>
        <w:t>ensures</w:t>
      </w:r>
      <w:r>
        <w:rPr>
          <w:rFonts w:ascii="Times New Roman" w:hAnsi="Times New Roman" w:cs="Times New Roman"/>
        </w:rPr>
        <w:t xml:space="preserve"> that a list submitted under subsection 4(4) of the old Determination, by uploading the list </w:t>
      </w:r>
      <w:r w:rsidR="004226C6">
        <w:rPr>
          <w:rFonts w:ascii="Times New Roman" w:hAnsi="Times New Roman" w:cs="Times New Roman"/>
        </w:rPr>
        <w:t xml:space="preserve">in CSV format </w:t>
      </w:r>
      <w:r>
        <w:rPr>
          <w:rFonts w:ascii="Times New Roman" w:hAnsi="Times New Roman" w:cs="Times New Roman"/>
        </w:rPr>
        <w:t>via a secure path</w:t>
      </w:r>
      <w:r w:rsidR="004226C6">
        <w:rPr>
          <w:rFonts w:ascii="Times New Roman" w:hAnsi="Times New Roman" w:cs="Times New Roman"/>
        </w:rPr>
        <w:t xml:space="preserve"> available on the contracted service provider’s website</w:t>
      </w:r>
      <w:r>
        <w:rPr>
          <w:rFonts w:ascii="Times New Roman" w:hAnsi="Times New Roman" w:cs="Times New Roman"/>
        </w:rPr>
        <w:t xml:space="preserve">, </w:t>
      </w:r>
      <w:r w:rsidR="004226C6">
        <w:rPr>
          <w:rFonts w:ascii="Times New Roman" w:hAnsi="Times New Roman" w:cs="Times New Roman"/>
        </w:rPr>
        <w:t xml:space="preserve">and which has not been returned </w:t>
      </w:r>
      <w:r w:rsidR="00A414A2">
        <w:rPr>
          <w:rFonts w:ascii="Times New Roman" w:hAnsi="Times New Roman" w:cs="Times New Roman"/>
        </w:rPr>
        <w:t>at the time of</w:t>
      </w:r>
      <w:r w:rsidR="0004689C">
        <w:rPr>
          <w:rFonts w:ascii="Times New Roman" w:hAnsi="Times New Roman" w:cs="Times New Roman"/>
        </w:rPr>
        <w:t xml:space="preserve"> the commencement of the new Determination</w:t>
      </w:r>
      <w:r w:rsidR="004226C6">
        <w:rPr>
          <w:rFonts w:ascii="Times New Roman" w:hAnsi="Times New Roman" w:cs="Times New Roman"/>
        </w:rPr>
        <w:t xml:space="preserve">, must </w:t>
      </w:r>
      <w:r>
        <w:rPr>
          <w:rFonts w:ascii="Times New Roman" w:hAnsi="Times New Roman" w:cs="Times New Roman"/>
        </w:rPr>
        <w:t>be</w:t>
      </w:r>
      <w:r w:rsidR="004226C6">
        <w:rPr>
          <w:rFonts w:ascii="Times New Roman" w:hAnsi="Times New Roman" w:cs="Times New Roman"/>
        </w:rPr>
        <w:t xml:space="preserve"> treated as having been submitted under paragraph 7(6</w:t>
      </w:r>
      <w:proofErr w:type="gramStart"/>
      <w:r w:rsidR="004226C6">
        <w:rPr>
          <w:rFonts w:ascii="Times New Roman" w:hAnsi="Times New Roman" w:cs="Times New Roman"/>
        </w:rPr>
        <w:t>)(</w:t>
      </w:r>
      <w:proofErr w:type="gramEnd"/>
      <w:r w:rsidR="004226C6">
        <w:rPr>
          <w:rFonts w:ascii="Times New Roman" w:hAnsi="Times New Roman" w:cs="Times New Roman"/>
        </w:rPr>
        <w:t xml:space="preserve">b) of the </w:t>
      </w:r>
      <w:r w:rsidR="0004689C">
        <w:rPr>
          <w:rFonts w:ascii="Times New Roman" w:hAnsi="Times New Roman" w:cs="Times New Roman"/>
        </w:rPr>
        <w:t xml:space="preserve">new </w:t>
      </w:r>
      <w:r w:rsidR="0080737B">
        <w:rPr>
          <w:rFonts w:ascii="Times New Roman" w:hAnsi="Times New Roman" w:cs="Times New Roman"/>
        </w:rPr>
        <w:t xml:space="preserve">Determination. </w:t>
      </w:r>
      <w:r w:rsidR="004226C6">
        <w:rPr>
          <w:rFonts w:ascii="Times New Roman" w:hAnsi="Times New Roman" w:cs="Times New Roman"/>
        </w:rPr>
        <w:t xml:space="preserve">This will then enliven the requirements subsection 8(3) and section 9 of the </w:t>
      </w:r>
      <w:r w:rsidR="0004689C">
        <w:rPr>
          <w:rFonts w:ascii="Times New Roman" w:hAnsi="Times New Roman" w:cs="Times New Roman"/>
        </w:rPr>
        <w:t xml:space="preserve">new </w:t>
      </w:r>
      <w:r w:rsidR="004226C6">
        <w:rPr>
          <w:rFonts w:ascii="Times New Roman" w:hAnsi="Times New Roman" w:cs="Times New Roman"/>
        </w:rPr>
        <w:t>Determination, ensuring that the contracted service provider is required to provide the washed list to the access-seeker in CSV format via a secure path from the contracted service provider’s website.</w:t>
      </w:r>
    </w:p>
    <w:p w14:paraId="28BB7FA7" w14:textId="254AB7E5" w:rsidR="009072F3" w:rsidRPr="00AE4A3E" w:rsidRDefault="00A16F41" w:rsidP="004226C6">
      <w:pPr>
        <w:spacing w:after="120"/>
      </w:pPr>
      <w:r>
        <w:rPr>
          <w:rFonts w:ascii="Times New Roman" w:hAnsi="Times New Roman" w:cs="Times New Roman"/>
        </w:rPr>
        <w:t>Subsection 11</w:t>
      </w:r>
      <w:r w:rsidR="004226C6">
        <w:rPr>
          <w:rFonts w:ascii="Times New Roman" w:hAnsi="Times New Roman" w:cs="Times New Roman"/>
        </w:rPr>
        <w:t xml:space="preserve">(2) covers off on the possibility that a list will be validly submitted to the contracted service provider under subsection 4(5) of the </w:t>
      </w:r>
      <w:r w:rsidR="0004689C">
        <w:rPr>
          <w:rFonts w:ascii="Times New Roman" w:hAnsi="Times New Roman" w:cs="Times New Roman"/>
        </w:rPr>
        <w:t xml:space="preserve">old </w:t>
      </w:r>
      <w:r w:rsidR="004226C6">
        <w:rPr>
          <w:rFonts w:ascii="Times New Roman" w:hAnsi="Times New Roman" w:cs="Times New Roman"/>
        </w:rPr>
        <w:t>Dete</w:t>
      </w:r>
      <w:r w:rsidR="0080737B">
        <w:rPr>
          <w:rFonts w:ascii="Times New Roman" w:hAnsi="Times New Roman" w:cs="Times New Roman"/>
        </w:rPr>
        <w:t xml:space="preserve">rmination, using a CD-ROM. </w:t>
      </w:r>
      <w:r w:rsidR="0004689C">
        <w:rPr>
          <w:rFonts w:ascii="Times New Roman" w:hAnsi="Times New Roman" w:cs="Times New Roman"/>
        </w:rPr>
        <w:t xml:space="preserve">The option to submit lists in this way is not included in the new Determination, as it has been found that it </w:t>
      </w:r>
      <w:r w:rsidR="0080737B">
        <w:rPr>
          <w:rFonts w:ascii="Times New Roman" w:hAnsi="Times New Roman" w:cs="Times New Roman"/>
        </w:rPr>
        <w:t xml:space="preserve">is not used by access-seekers. </w:t>
      </w:r>
      <w:r w:rsidR="0004689C">
        <w:rPr>
          <w:rFonts w:ascii="Times New Roman" w:hAnsi="Times New Roman" w:cs="Times New Roman"/>
        </w:rPr>
        <w:t xml:space="preserve">However, it is </w:t>
      </w:r>
      <w:r w:rsidR="007F7401">
        <w:rPr>
          <w:rFonts w:ascii="Times New Roman" w:hAnsi="Times New Roman" w:cs="Times New Roman"/>
        </w:rPr>
        <w:t>necessary to ensure that any such</w:t>
      </w:r>
      <w:r w:rsidR="0004689C">
        <w:rPr>
          <w:rFonts w:ascii="Times New Roman" w:hAnsi="Times New Roman" w:cs="Times New Roman"/>
        </w:rPr>
        <w:t xml:space="preserve"> valid submission under the old Determination be dealt with</w:t>
      </w:r>
      <w:r w:rsidR="004226C6">
        <w:rPr>
          <w:rFonts w:ascii="Times New Roman" w:hAnsi="Times New Roman" w:cs="Times New Roman"/>
        </w:rPr>
        <w:t>.</w:t>
      </w:r>
      <w:r w:rsidR="0080737B">
        <w:rPr>
          <w:rFonts w:ascii="Times New Roman" w:hAnsi="Times New Roman" w:cs="Times New Roman"/>
        </w:rPr>
        <w:t xml:space="preserve"> </w:t>
      </w:r>
      <w:r w:rsidR="0004689C">
        <w:rPr>
          <w:rFonts w:ascii="Times New Roman" w:hAnsi="Times New Roman" w:cs="Times New Roman"/>
        </w:rPr>
        <w:t>Accordingly, subsection 14(2) provides that any list submitted under subsection 4(5) of the old Determination, but which has not been returned as required by subsection 8(4) and section 9 of the old Determination,</w:t>
      </w:r>
      <w:r w:rsidR="004226C6">
        <w:rPr>
          <w:rFonts w:ascii="Times New Roman" w:hAnsi="Times New Roman" w:cs="Times New Roman"/>
        </w:rPr>
        <w:t xml:space="preserve"> </w:t>
      </w:r>
      <w:r w:rsidR="0004689C">
        <w:rPr>
          <w:rFonts w:ascii="Times New Roman" w:hAnsi="Times New Roman" w:cs="Times New Roman"/>
        </w:rPr>
        <w:t>be returned in the form and manner that would be required under the old Determination.</w:t>
      </w:r>
    </w:p>
    <w:p w14:paraId="736F5494" w14:textId="73ADE5B7" w:rsidR="0004689C" w:rsidRDefault="00A16F41" w:rsidP="0004689C">
      <w:pPr>
        <w:spacing w:after="120"/>
        <w:rPr>
          <w:rFonts w:ascii="Times New Roman" w:hAnsi="Times New Roman" w:cs="Times New Roman"/>
        </w:rPr>
      </w:pPr>
      <w:r>
        <w:rPr>
          <w:rFonts w:ascii="Times New Roman" w:hAnsi="Times New Roman" w:cs="Times New Roman"/>
        </w:rPr>
        <w:t>Subsection 11</w:t>
      </w:r>
      <w:r w:rsidR="0004689C">
        <w:rPr>
          <w:rFonts w:ascii="Times New Roman" w:hAnsi="Times New Roman" w:cs="Times New Roman"/>
        </w:rPr>
        <w:t>(</w:t>
      </w:r>
      <w:r w:rsidR="00465CF2">
        <w:rPr>
          <w:rFonts w:ascii="Times New Roman" w:hAnsi="Times New Roman" w:cs="Times New Roman"/>
        </w:rPr>
        <w:t>3</w:t>
      </w:r>
      <w:r w:rsidR="0004689C">
        <w:rPr>
          <w:rFonts w:ascii="Times New Roman" w:hAnsi="Times New Roman" w:cs="Times New Roman"/>
        </w:rPr>
        <w:t xml:space="preserve">) </w:t>
      </w:r>
      <w:r w:rsidR="00465CF2">
        <w:rPr>
          <w:rFonts w:ascii="Times New Roman" w:hAnsi="Times New Roman" w:cs="Times New Roman"/>
        </w:rPr>
        <w:t>ensures</w:t>
      </w:r>
      <w:r w:rsidR="0004689C">
        <w:rPr>
          <w:rFonts w:ascii="Times New Roman" w:hAnsi="Times New Roman" w:cs="Times New Roman"/>
        </w:rPr>
        <w:t xml:space="preserve"> that a list submitted under subsection 4(6) of the old Determination, by entering up to 10 numbers at a time on a facility available on the contracted service provider’s website, which has not been returned </w:t>
      </w:r>
      <w:r w:rsidR="00A414A2">
        <w:rPr>
          <w:rFonts w:ascii="Times New Roman" w:hAnsi="Times New Roman" w:cs="Times New Roman"/>
        </w:rPr>
        <w:t>at the time of</w:t>
      </w:r>
      <w:r w:rsidR="0004689C">
        <w:rPr>
          <w:rFonts w:ascii="Times New Roman" w:hAnsi="Times New Roman" w:cs="Times New Roman"/>
        </w:rPr>
        <w:t xml:space="preserve"> the commencement of the new Determination, must be treated as having be</w:t>
      </w:r>
      <w:r w:rsidR="00465CF2">
        <w:rPr>
          <w:rFonts w:ascii="Times New Roman" w:hAnsi="Times New Roman" w:cs="Times New Roman"/>
        </w:rPr>
        <w:t>en submitted under paragraph 7(7</w:t>
      </w:r>
      <w:proofErr w:type="gramStart"/>
      <w:r w:rsidR="0080737B">
        <w:rPr>
          <w:rFonts w:ascii="Times New Roman" w:hAnsi="Times New Roman" w:cs="Times New Roman"/>
        </w:rPr>
        <w:t>)(</w:t>
      </w:r>
      <w:proofErr w:type="gramEnd"/>
      <w:r w:rsidR="0080737B">
        <w:rPr>
          <w:rFonts w:ascii="Times New Roman" w:hAnsi="Times New Roman" w:cs="Times New Roman"/>
        </w:rPr>
        <w:t xml:space="preserve">b) of the new Determination. </w:t>
      </w:r>
      <w:r w:rsidR="0004689C">
        <w:rPr>
          <w:rFonts w:ascii="Times New Roman" w:hAnsi="Times New Roman" w:cs="Times New Roman"/>
        </w:rPr>
        <w:t xml:space="preserve">This will then enliven the requirements </w:t>
      </w:r>
      <w:r w:rsidR="00465CF2">
        <w:rPr>
          <w:rFonts w:ascii="Times New Roman" w:hAnsi="Times New Roman" w:cs="Times New Roman"/>
        </w:rPr>
        <w:t>subsection 8(5</w:t>
      </w:r>
      <w:r w:rsidR="0004689C">
        <w:rPr>
          <w:rFonts w:ascii="Times New Roman" w:hAnsi="Times New Roman" w:cs="Times New Roman"/>
        </w:rPr>
        <w:t xml:space="preserve">) and section 9 of the new Determination, ensuring that the contracted service provider is required to provide the washed list to the access-seeker </w:t>
      </w:r>
      <w:r w:rsidR="00465CF2">
        <w:rPr>
          <w:rFonts w:ascii="Times New Roman" w:hAnsi="Times New Roman" w:cs="Times New Roman"/>
        </w:rPr>
        <w:t>by displaying the information on</w:t>
      </w:r>
      <w:r w:rsidR="0004689C">
        <w:rPr>
          <w:rFonts w:ascii="Times New Roman" w:hAnsi="Times New Roman" w:cs="Times New Roman"/>
        </w:rPr>
        <w:t xml:space="preserve"> </w:t>
      </w:r>
      <w:r w:rsidR="00465CF2">
        <w:rPr>
          <w:rFonts w:ascii="Times New Roman" w:hAnsi="Times New Roman" w:cs="Times New Roman"/>
        </w:rPr>
        <w:t>its website as soon as practicable after the numbers are entered</w:t>
      </w:r>
      <w:r w:rsidR="0004689C">
        <w:rPr>
          <w:rFonts w:ascii="Times New Roman" w:hAnsi="Times New Roman" w:cs="Times New Roman"/>
        </w:rPr>
        <w:t>.</w:t>
      </w:r>
    </w:p>
    <w:p w14:paraId="5CDB3736" w14:textId="3751C6FA" w:rsidR="00465CF2" w:rsidRDefault="00A16F41" w:rsidP="00465CF2">
      <w:pPr>
        <w:spacing w:after="120"/>
        <w:rPr>
          <w:rFonts w:ascii="Times New Roman" w:hAnsi="Times New Roman" w:cs="Times New Roman"/>
        </w:rPr>
      </w:pPr>
      <w:r>
        <w:rPr>
          <w:rFonts w:ascii="Times New Roman" w:hAnsi="Times New Roman" w:cs="Times New Roman"/>
        </w:rPr>
        <w:t>Subsection 11</w:t>
      </w:r>
      <w:r w:rsidR="00465CF2">
        <w:rPr>
          <w:rFonts w:ascii="Times New Roman" w:hAnsi="Times New Roman" w:cs="Times New Roman"/>
        </w:rPr>
        <w:t xml:space="preserve">(4) </w:t>
      </w:r>
      <w:r w:rsidR="005F3DE5">
        <w:rPr>
          <w:rFonts w:ascii="Times New Roman" w:hAnsi="Times New Roman" w:cs="Times New Roman"/>
        </w:rPr>
        <w:t>ensures</w:t>
      </w:r>
      <w:r w:rsidR="00465CF2">
        <w:rPr>
          <w:rFonts w:ascii="Times New Roman" w:hAnsi="Times New Roman" w:cs="Times New Roman"/>
        </w:rPr>
        <w:t xml:space="preserve"> that a list submitted </w:t>
      </w:r>
      <w:r w:rsidR="005F3DE5">
        <w:rPr>
          <w:rFonts w:ascii="Times New Roman" w:hAnsi="Times New Roman" w:cs="Times New Roman"/>
        </w:rPr>
        <w:t xml:space="preserve">to the contracted service provider </w:t>
      </w:r>
      <w:r w:rsidR="00465CF2">
        <w:rPr>
          <w:rFonts w:ascii="Times New Roman" w:hAnsi="Times New Roman" w:cs="Times New Roman"/>
        </w:rPr>
        <w:t>under subsection 4(</w:t>
      </w:r>
      <w:r w:rsidR="007F7401">
        <w:rPr>
          <w:rFonts w:ascii="Times New Roman" w:hAnsi="Times New Roman" w:cs="Times New Roman"/>
        </w:rPr>
        <w:t>7</w:t>
      </w:r>
      <w:r w:rsidR="00465CF2">
        <w:rPr>
          <w:rFonts w:ascii="Times New Roman" w:hAnsi="Times New Roman" w:cs="Times New Roman"/>
        </w:rPr>
        <w:t xml:space="preserve">) of the old Determination, using a method approved by the ACMA and </w:t>
      </w:r>
      <w:r w:rsidR="005F3DE5">
        <w:rPr>
          <w:rFonts w:ascii="Times New Roman" w:hAnsi="Times New Roman" w:cs="Times New Roman"/>
        </w:rPr>
        <w:t xml:space="preserve">specified on the ACMA’s website, </w:t>
      </w:r>
      <w:r w:rsidR="00465CF2">
        <w:rPr>
          <w:rFonts w:ascii="Times New Roman" w:hAnsi="Times New Roman" w:cs="Times New Roman"/>
        </w:rPr>
        <w:t xml:space="preserve">and which has not been returned </w:t>
      </w:r>
      <w:r w:rsidR="00A414A2">
        <w:rPr>
          <w:rFonts w:ascii="Times New Roman" w:hAnsi="Times New Roman" w:cs="Times New Roman"/>
        </w:rPr>
        <w:t>at the time of</w:t>
      </w:r>
      <w:r w:rsidR="00465CF2">
        <w:rPr>
          <w:rFonts w:ascii="Times New Roman" w:hAnsi="Times New Roman" w:cs="Times New Roman"/>
        </w:rPr>
        <w:t xml:space="preserve"> the commencement of the new Determination, must be treated as having be</w:t>
      </w:r>
      <w:r w:rsidR="005F3DE5">
        <w:rPr>
          <w:rFonts w:ascii="Times New Roman" w:hAnsi="Times New Roman" w:cs="Times New Roman"/>
        </w:rPr>
        <w:t>en submitted under paragraph 7(8</w:t>
      </w:r>
      <w:proofErr w:type="gramStart"/>
      <w:r w:rsidR="00465CF2">
        <w:rPr>
          <w:rFonts w:ascii="Times New Roman" w:hAnsi="Times New Roman" w:cs="Times New Roman"/>
        </w:rPr>
        <w:t>)</w:t>
      </w:r>
      <w:r w:rsidR="005F3DE5">
        <w:rPr>
          <w:rFonts w:ascii="Times New Roman" w:hAnsi="Times New Roman" w:cs="Times New Roman"/>
        </w:rPr>
        <w:t>(</w:t>
      </w:r>
      <w:proofErr w:type="gramEnd"/>
      <w:r w:rsidR="005F3DE5">
        <w:rPr>
          <w:rFonts w:ascii="Times New Roman" w:hAnsi="Times New Roman" w:cs="Times New Roman"/>
        </w:rPr>
        <w:t>b)</w:t>
      </w:r>
      <w:r w:rsidR="0080737B">
        <w:rPr>
          <w:rFonts w:ascii="Times New Roman" w:hAnsi="Times New Roman" w:cs="Times New Roman"/>
        </w:rPr>
        <w:t xml:space="preserve"> of the new Determination. </w:t>
      </w:r>
      <w:r w:rsidR="00465CF2">
        <w:rPr>
          <w:rFonts w:ascii="Times New Roman" w:hAnsi="Times New Roman" w:cs="Times New Roman"/>
        </w:rPr>
        <w:t xml:space="preserve">This will </w:t>
      </w:r>
      <w:r w:rsidR="00465CF2">
        <w:rPr>
          <w:rFonts w:ascii="Times New Roman" w:hAnsi="Times New Roman" w:cs="Times New Roman"/>
        </w:rPr>
        <w:lastRenderedPageBreak/>
        <w:t xml:space="preserve">then enliven the requirements </w:t>
      </w:r>
      <w:r w:rsidR="005F3DE5">
        <w:rPr>
          <w:rFonts w:ascii="Times New Roman" w:hAnsi="Times New Roman" w:cs="Times New Roman"/>
        </w:rPr>
        <w:t>subsection 8(7</w:t>
      </w:r>
      <w:r w:rsidR="00465CF2">
        <w:rPr>
          <w:rFonts w:ascii="Times New Roman" w:hAnsi="Times New Roman" w:cs="Times New Roman"/>
        </w:rPr>
        <w:t>) and section 9 of the new Determination, ensuring that the contracted service provider is required to provide the washed list to the access-seeker in CSV format via a secure path from the contracted service provider’s website</w:t>
      </w:r>
      <w:r w:rsidR="005F3DE5">
        <w:rPr>
          <w:rFonts w:ascii="Times New Roman" w:hAnsi="Times New Roman" w:cs="Times New Roman"/>
        </w:rPr>
        <w:t>, or in another manner that is approved by the ACMA and specified on the contracted service provider’s website</w:t>
      </w:r>
      <w:r w:rsidR="00465CF2">
        <w:rPr>
          <w:rFonts w:ascii="Times New Roman" w:hAnsi="Times New Roman" w:cs="Times New Roman"/>
        </w:rPr>
        <w:t>.</w:t>
      </w:r>
    </w:p>
    <w:p w14:paraId="25F747BB" w14:textId="77777777" w:rsidR="00465CF2" w:rsidRDefault="00465CF2" w:rsidP="0004689C">
      <w:pPr>
        <w:spacing w:after="120"/>
        <w:rPr>
          <w:rFonts w:ascii="Times New Roman" w:hAnsi="Times New Roman" w:cs="Times New Roman"/>
        </w:rPr>
      </w:pPr>
    </w:p>
    <w:p w14:paraId="1A878A8E" w14:textId="77777777" w:rsidR="00465CF2" w:rsidRDefault="00465CF2" w:rsidP="0004689C">
      <w:pPr>
        <w:spacing w:after="120"/>
        <w:rPr>
          <w:rFonts w:ascii="Times New Roman" w:hAnsi="Times New Roman" w:cs="Times New Roman"/>
        </w:rPr>
      </w:pPr>
    </w:p>
    <w:p w14:paraId="458AF617" w14:textId="77777777" w:rsidR="00025ACE" w:rsidRPr="00BB076E" w:rsidRDefault="00025ACE" w:rsidP="004D2843">
      <w:pPr>
        <w:rPr>
          <w:rFonts w:ascii="Times New Roman" w:hAnsi="Times New Roman" w:cs="Times New Roman"/>
          <w:b/>
        </w:rPr>
      </w:pPr>
    </w:p>
    <w:sectPr w:rsidR="00025ACE" w:rsidRPr="00BB076E" w:rsidSect="00082354">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4B582" w14:textId="77777777" w:rsidR="007162A6" w:rsidRDefault="007162A6" w:rsidP="00025ACE">
      <w:pPr>
        <w:spacing w:after="0" w:line="240" w:lineRule="auto"/>
      </w:pPr>
      <w:r>
        <w:separator/>
      </w:r>
    </w:p>
  </w:endnote>
  <w:endnote w:type="continuationSeparator" w:id="0">
    <w:p w14:paraId="0A092E89" w14:textId="77777777" w:rsidR="007162A6" w:rsidRDefault="007162A6"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556B0C98" w14:textId="34294A5B" w:rsidR="00AD3414" w:rsidRPr="00D434C0" w:rsidRDefault="00AD3414" w:rsidP="00F907B1">
        <w:pPr>
          <w:pStyle w:val="Footer"/>
          <w:jc w:val="center"/>
          <w:rPr>
            <w:sz w:val="20"/>
            <w:szCs w:val="20"/>
          </w:rPr>
        </w:pPr>
        <w:r w:rsidRPr="00D434C0">
          <w:rPr>
            <w:rFonts w:ascii="Times New Roman" w:hAnsi="Times New Roman" w:cs="Times New Roman"/>
            <w:i/>
            <w:sz w:val="20"/>
            <w:szCs w:val="20"/>
          </w:rPr>
          <w:t>Explanatory Statement to the</w:t>
        </w:r>
        <w:r w:rsidRPr="00D434C0">
          <w:rPr>
            <w:rFonts w:ascii="Times New Roman" w:hAnsi="Times New Roman" w:cs="Times New Roman"/>
            <w:sz w:val="20"/>
            <w:szCs w:val="20"/>
          </w:rPr>
          <w:t xml:space="preserve"> </w:t>
        </w:r>
        <w:r w:rsidR="00D434C0" w:rsidRPr="00D434C0">
          <w:rPr>
            <w:rFonts w:ascii="Times New Roman" w:hAnsi="Times New Roman" w:cs="Times New Roman"/>
            <w:i/>
            <w:sz w:val="20"/>
            <w:szCs w:val="20"/>
          </w:rPr>
          <w:t xml:space="preserve">Do Not Call Register (Access </w:t>
        </w:r>
        <w:r w:rsidR="0019411B">
          <w:rPr>
            <w:rFonts w:ascii="Times New Roman" w:hAnsi="Times New Roman" w:cs="Times New Roman"/>
            <w:i/>
            <w:sz w:val="20"/>
            <w:szCs w:val="20"/>
          </w:rPr>
          <w:t>to Register</w:t>
        </w:r>
        <w:r w:rsidR="00D434C0" w:rsidRPr="00D434C0">
          <w:rPr>
            <w:rFonts w:ascii="Times New Roman" w:hAnsi="Times New Roman" w:cs="Times New Roman"/>
            <w:i/>
            <w:sz w:val="20"/>
            <w:szCs w:val="20"/>
          </w:rPr>
          <w:t>) Determination 2017</w:t>
        </w: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80737B">
          <w:rPr>
            <w:rFonts w:ascii="Times New Roman" w:hAnsi="Times New Roman" w:cs="Times New Roman"/>
            <w:i/>
            <w:noProof/>
          </w:rPr>
          <w:t>7</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540F2" w14:textId="77777777" w:rsidR="007162A6" w:rsidRDefault="007162A6" w:rsidP="00025ACE">
      <w:pPr>
        <w:spacing w:after="0" w:line="240" w:lineRule="auto"/>
      </w:pPr>
      <w:r>
        <w:separator/>
      </w:r>
    </w:p>
  </w:footnote>
  <w:footnote w:type="continuationSeparator" w:id="0">
    <w:p w14:paraId="1D7332D1" w14:textId="77777777" w:rsidR="007162A6" w:rsidRDefault="007162A6" w:rsidP="00025ACE">
      <w:pPr>
        <w:spacing w:after="0" w:line="240" w:lineRule="auto"/>
      </w:pPr>
      <w:r>
        <w:continuationSeparator/>
      </w:r>
    </w:p>
  </w:footnote>
  <w:footnote w:id="1">
    <w:p w14:paraId="6D91E95F" w14:textId="2C6A2F06" w:rsidR="00A10B61" w:rsidRDefault="00A10B61">
      <w:pPr>
        <w:pStyle w:val="FootnoteText"/>
      </w:pPr>
      <w:r>
        <w:rPr>
          <w:rStyle w:val="FootnoteReference"/>
        </w:rPr>
        <w:footnoteRef/>
      </w:r>
      <w:r w:rsidRPr="00615550">
        <w:rPr>
          <w:sz w:val="18"/>
          <w:szCs w:val="18"/>
        </w:rPr>
        <w:t xml:space="preserve"> Washing is a term used to describe the process by which industry access seekers access the register to check whether particular numbers are registered (and therefore should be excluded from telemarketing activity)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1711"/>
    <w:multiLevelType w:val="hybridMultilevel"/>
    <w:tmpl w:val="83666382"/>
    <w:lvl w:ilvl="0" w:tplc="D1041F50">
      <w:start w:val="1"/>
      <w:numFmt w:val="lowerLetter"/>
      <w:lvlText w:val="(%1)"/>
      <w:lvlJc w:val="left"/>
      <w:pPr>
        <w:ind w:left="1704" w:hanging="360"/>
      </w:pPr>
      <w:rPr>
        <w:rFonts w:hint="default"/>
      </w:rPr>
    </w:lvl>
    <w:lvl w:ilvl="1" w:tplc="0C090019" w:tentative="1">
      <w:start w:val="1"/>
      <w:numFmt w:val="lowerLetter"/>
      <w:lvlText w:val="%2."/>
      <w:lvlJc w:val="left"/>
      <w:pPr>
        <w:ind w:left="2424" w:hanging="360"/>
      </w:pPr>
    </w:lvl>
    <w:lvl w:ilvl="2" w:tplc="0C09001B" w:tentative="1">
      <w:start w:val="1"/>
      <w:numFmt w:val="lowerRoman"/>
      <w:lvlText w:val="%3."/>
      <w:lvlJc w:val="right"/>
      <w:pPr>
        <w:ind w:left="3144" w:hanging="180"/>
      </w:pPr>
    </w:lvl>
    <w:lvl w:ilvl="3" w:tplc="0C09000F" w:tentative="1">
      <w:start w:val="1"/>
      <w:numFmt w:val="decimal"/>
      <w:lvlText w:val="%4."/>
      <w:lvlJc w:val="left"/>
      <w:pPr>
        <w:ind w:left="3864" w:hanging="360"/>
      </w:pPr>
    </w:lvl>
    <w:lvl w:ilvl="4" w:tplc="0C090019" w:tentative="1">
      <w:start w:val="1"/>
      <w:numFmt w:val="lowerLetter"/>
      <w:lvlText w:val="%5."/>
      <w:lvlJc w:val="left"/>
      <w:pPr>
        <w:ind w:left="4584" w:hanging="360"/>
      </w:pPr>
    </w:lvl>
    <w:lvl w:ilvl="5" w:tplc="0C09001B" w:tentative="1">
      <w:start w:val="1"/>
      <w:numFmt w:val="lowerRoman"/>
      <w:lvlText w:val="%6."/>
      <w:lvlJc w:val="right"/>
      <w:pPr>
        <w:ind w:left="5304" w:hanging="180"/>
      </w:pPr>
    </w:lvl>
    <w:lvl w:ilvl="6" w:tplc="0C09000F" w:tentative="1">
      <w:start w:val="1"/>
      <w:numFmt w:val="decimal"/>
      <w:lvlText w:val="%7."/>
      <w:lvlJc w:val="left"/>
      <w:pPr>
        <w:ind w:left="6024" w:hanging="360"/>
      </w:pPr>
    </w:lvl>
    <w:lvl w:ilvl="7" w:tplc="0C090019" w:tentative="1">
      <w:start w:val="1"/>
      <w:numFmt w:val="lowerLetter"/>
      <w:lvlText w:val="%8."/>
      <w:lvlJc w:val="left"/>
      <w:pPr>
        <w:ind w:left="6744" w:hanging="360"/>
      </w:pPr>
    </w:lvl>
    <w:lvl w:ilvl="8" w:tplc="0C09001B" w:tentative="1">
      <w:start w:val="1"/>
      <w:numFmt w:val="lowerRoman"/>
      <w:lvlText w:val="%9."/>
      <w:lvlJc w:val="right"/>
      <w:pPr>
        <w:ind w:left="7464" w:hanging="180"/>
      </w:pPr>
    </w:lvl>
  </w:abstractNum>
  <w:abstractNum w:abstractNumId="1">
    <w:nsid w:val="083468CA"/>
    <w:multiLevelType w:val="hybridMultilevel"/>
    <w:tmpl w:val="C6AE7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1E05AA"/>
    <w:multiLevelType w:val="hybridMultilevel"/>
    <w:tmpl w:val="E59AC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BC7E6F"/>
    <w:multiLevelType w:val="hybridMultilevel"/>
    <w:tmpl w:val="53CE6560"/>
    <w:lvl w:ilvl="0" w:tplc="350A0DA8">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
    <w:nsid w:val="1EFF57AF"/>
    <w:multiLevelType w:val="hybridMultilevel"/>
    <w:tmpl w:val="2F66C67C"/>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7">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8B41D6"/>
    <w:multiLevelType w:val="hybridMultilevel"/>
    <w:tmpl w:val="D75C6414"/>
    <w:lvl w:ilvl="0" w:tplc="D442761E">
      <w:start w:val="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5F4731"/>
    <w:multiLevelType w:val="hybridMultilevel"/>
    <w:tmpl w:val="83666382"/>
    <w:lvl w:ilvl="0" w:tplc="D1041F50">
      <w:start w:val="1"/>
      <w:numFmt w:val="lowerLetter"/>
      <w:lvlText w:val="(%1)"/>
      <w:lvlJc w:val="left"/>
      <w:pPr>
        <w:ind w:left="1704" w:hanging="360"/>
      </w:pPr>
      <w:rPr>
        <w:rFonts w:hint="default"/>
      </w:rPr>
    </w:lvl>
    <w:lvl w:ilvl="1" w:tplc="0C090019" w:tentative="1">
      <w:start w:val="1"/>
      <w:numFmt w:val="lowerLetter"/>
      <w:lvlText w:val="%2."/>
      <w:lvlJc w:val="left"/>
      <w:pPr>
        <w:ind w:left="2424" w:hanging="360"/>
      </w:pPr>
    </w:lvl>
    <w:lvl w:ilvl="2" w:tplc="0C09001B" w:tentative="1">
      <w:start w:val="1"/>
      <w:numFmt w:val="lowerRoman"/>
      <w:lvlText w:val="%3."/>
      <w:lvlJc w:val="right"/>
      <w:pPr>
        <w:ind w:left="3144" w:hanging="180"/>
      </w:pPr>
    </w:lvl>
    <w:lvl w:ilvl="3" w:tplc="0C09000F" w:tentative="1">
      <w:start w:val="1"/>
      <w:numFmt w:val="decimal"/>
      <w:lvlText w:val="%4."/>
      <w:lvlJc w:val="left"/>
      <w:pPr>
        <w:ind w:left="3864" w:hanging="360"/>
      </w:pPr>
    </w:lvl>
    <w:lvl w:ilvl="4" w:tplc="0C090019" w:tentative="1">
      <w:start w:val="1"/>
      <w:numFmt w:val="lowerLetter"/>
      <w:lvlText w:val="%5."/>
      <w:lvlJc w:val="left"/>
      <w:pPr>
        <w:ind w:left="4584" w:hanging="360"/>
      </w:pPr>
    </w:lvl>
    <w:lvl w:ilvl="5" w:tplc="0C09001B" w:tentative="1">
      <w:start w:val="1"/>
      <w:numFmt w:val="lowerRoman"/>
      <w:lvlText w:val="%6."/>
      <w:lvlJc w:val="right"/>
      <w:pPr>
        <w:ind w:left="5304" w:hanging="180"/>
      </w:pPr>
    </w:lvl>
    <w:lvl w:ilvl="6" w:tplc="0C09000F" w:tentative="1">
      <w:start w:val="1"/>
      <w:numFmt w:val="decimal"/>
      <w:lvlText w:val="%7."/>
      <w:lvlJc w:val="left"/>
      <w:pPr>
        <w:ind w:left="6024" w:hanging="360"/>
      </w:pPr>
    </w:lvl>
    <w:lvl w:ilvl="7" w:tplc="0C090019" w:tentative="1">
      <w:start w:val="1"/>
      <w:numFmt w:val="lowerLetter"/>
      <w:lvlText w:val="%8."/>
      <w:lvlJc w:val="left"/>
      <w:pPr>
        <w:ind w:left="6744" w:hanging="360"/>
      </w:pPr>
    </w:lvl>
    <w:lvl w:ilvl="8" w:tplc="0C09001B" w:tentative="1">
      <w:start w:val="1"/>
      <w:numFmt w:val="lowerRoman"/>
      <w:lvlText w:val="%9."/>
      <w:lvlJc w:val="right"/>
      <w:pPr>
        <w:ind w:left="7464" w:hanging="180"/>
      </w:pPr>
    </w:lvl>
  </w:abstractNum>
  <w:abstractNum w:abstractNumId="13">
    <w:nsid w:val="5531017D"/>
    <w:multiLevelType w:val="hybridMultilevel"/>
    <w:tmpl w:val="2604AB24"/>
    <w:lvl w:ilvl="0" w:tplc="2B6C2A04">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A4F644A"/>
    <w:multiLevelType w:val="hybridMultilevel"/>
    <w:tmpl w:val="221499D4"/>
    <w:lvl w:ilvl="0" w:tplc="D9761D7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nsid w:val="5CCE17D3"/>
    <w:multiLevelType w:val="hybridMultilevel"/>
    <w:tmpl w:val="83666382"/>
    <w:lvl w:ilvl="0" w:tplc="D1041F5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3A846D8"/>
    <w:multiLevelType w:val="hybridMultilevel"/>
    <w:tmpl w:val="38E4E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4"/>
  </w:num>
  <w:num w:numId="4">
    <w:abstractNumId w:val="9"/>
  </w:num>
  <w:num w:numId="5">
    <w:abstractNumId w:val="8"/>
  </w:num>
  <w:num w:numId="6">
    <w:abstractNumId w:val="3"/>
  </w:num>
  <w:num w:numId="7">
    <w:abstractNumId w:val="7"/>
  </w:num>
  <w:num w:numId="8">
    <w:abstractNumId w:val="15"/>
  </w:num>
  <w:num w:numId="9">
    <w:abstractNumId w:val="0"/>
  </w:num>
  <w:num w:numId="10">
    <w:abstractNumId w:val="13"/>
  </w:num>
  <w:num w:numId="11">
    <w:abstractNumId w:val="12"/>
  </w:num>
  <w:num w:numId="12">
    <w:abstractNumId w:val="5"/>
  </w:num>
  <w:num w:numId="13">
    <w:abstractNumId w:val="17"/>
  </w:num>
  <w:num w:numId="14">
    <w:abstractNumId w:val="6"/>
  </w:num>
  <w:num w:numId="15">
    <w:abstractNumId w:val="14"/>
  </w:num>
  <w:num w:numId="16">
    <w:abstractNumId w:val="1"/>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124F9"/>
    <w:rsid w:val="00013079"/>
    <w:rsid w:val="00025ACE"/>
    <w:rsid w:val="00034B63"/>
    <w:rsid w:val="00037F0E"/>
    <w:rsid w:val="0004689C"/>
    <w:rsid w:val="00070D91"/>
    <w:rsid w:val="000718C1"/>
    <w:rsid w:val="000726C7"/>
    <w:rsid w:val="00074A8D"/>
    <w:rsid w:val="00082354"/>
    <w:rsid w:val="00095AB3"/>
    <w:rsid w:val="000A3A94"/>
    <w:rsid w:val="000B0BA7"/>
    <w:rsid w:val="000B33B6"/>
    <w:rsid w:val="000B4B6C"/>
    <w:rsid w:val="000C07AB"/>
    <w:rsid w:val="000C6436"/>
    <w:rsid w:val="000D4ECE"/>
    <w:rsid w:val="000E38C9"/>
    <w:rsid w:val="000F6255"/>
    <w:rsid w:val="00104130"/>
    <w:rsid w:val="00106503"/>
    <w:rsid w:val="00106F7D"/>
    <w:rsid w:val="00112987"/>
    <w:rsid w:val="00117351"/>
    <w:rsid w:val="00117B10"/>
    <w:rsid w:val="00121B9E"/>
    <w:rsid w:val="00122072"/>
    <w:rsid w:val="00134705"/>
    <w:rsid w:val="001404E3"/>
    <w:rsid w:val="00146A0C"/>
    <w:rsid w:val="00161C73"/>
    <w:rsid w:val="00185BDC"/>
    <w:rsid w:val="00192CDC"/>
    <w:rsid w:val="0019411B"/>
    <w:rsid w:val="001C4BF8"/>
    <w:rsid w:val="001C5421"/>
    <w:rsid w:val="001C5DE7"/>
    <w:rsid w:val="001D5C25"/>
    <w:rsid w:val="00212847"/>
    <w:rsid w:val="0021408B"/>
    <w:rsid w:val="00250340"/>
    <w:rsid w:val="002508F7"/>
    <w:rsid w:val="00261B33"/>
    <w:rsid w:val="00262DCF"/>
    <w:rsid w:val="00290AA0"/>
    <w:rsid w:val="002A72CB"/>
    <w:rsid w:val="002B6699"/>
    <w:rsid w:val="002C2256"/>
    <w:rsid w:val="002E3B2A"/>
    <w:rsid w:val="002F36E0"/>
    <w:rsid w:val="003434D4"/>
    <w:rsid w:val="003618B7"/>
    <w:rsid w:val="0036752E"/>
    <w:rsid w:val="00370620"/>
    <w:rsid w:val="00375FA7"/>
    <w:rsid w:val="00381876"/>
    <w:rsid w:val="00385EF1"/>
    <w:rsid w:val="003A3635"/>
    <w:rsid w:val="003A7407"/>
    <w:rsid w:val="003B3D92"/>
    <w:rsid w:val="003C2F82"/>
    <w:rsid w:val="003C44B4"/>
    <w:rsid w:val="003D2FDC"/>
    <w:rsid w:val="003D74BE"/>
    <w:rsid w:val="003E6A08"/>
    <w:rsid w:val="0041003E"/>
    <w:rsid w:val="00410860"/>
    <w:rsid w:val="004226C6"/>
    <w:rsid w:val="004362E3"/>
    <w:rsid w:val="00445F83"/>
    <w:rsid w:val="00450F48"/>
    <w:rsid w:val="0045489F"/>
    <w:rsid w:val="00454B2F"/>
    <w:rsid w:val="00462F8B"/>
    <w:rsid w:val="00465CF2"/>
    <w:rsid w:val="00474889"/>
    <w:rsid w:val="00476B79"/>
    <w:rsid w:val="004826DD"/>
    <w:rsid w:val="0049449F"/>
    <w:rsid w:val="004971D6"/>
    <w:rsid w:val="004A1064"/>
    <w:rsid w:val="004D2843"/>
    <w:rsid w:val="004E790E"/>
    <w:rsid w:val="004F7252"/>
    <w:rsid w:val="0050389F"/>
    <w:rsid w:val="0052687A"/>
    <w:rsid w:val="00570974"/>
    <w:rsid w:val="00574AF9"/>
    <w:rsid w:val="005958D6"/>
    <w:rsid w:val="005964CF"/>
    <w:rsid w:val="005A62C2"/>
    <w:rsid w:val="005C65EB"/>
    <w:rsid w:val="005F3DE5"/>
    <w:rsid w:val="005F5BE6"/>
    <w:rsid w:val="00603B3F"/>
    <w:rsid w:val="00635420"/>
    <w:rsid w:val="00641906"/>
    <w:rsid w:val="00652780"/>
    <w:rsid w:val="0065531D"/>
    <w:rsid w:val="00660284"/>
    <w:rsid w:val="00661C1D"/>
    <w:rsid w:val="00663AF2"/>
    <w:rsid w:val="00670716"/>
    <w:rsid w:val="00671216"/>
    <w:rsid w:val="006768C1"/>
    <w:rsid w:val="00681986"/>
    <w:rsid w:val="00686F06"/>
    <w:rsid w:val="00687290"/>
    <w:rsid w:val="006940DB"/>
    <w:rsid w:val="00696659"/>
    <w:rsid w:val="006A0BDF"/>
    <w:rsid w:val="006A53BB"/>
    <w:rsid w:val="006C59D5"/>
    <w:rsid w:val="006F32BF"/>
    <w:rsid w:val="00706F43"/>
    <w:rsid w:val="0070796A"/>
    <w:rsid w:val="007162A6"/>
    <w:rsid w:val="007166C0"/>
    <w:rsid w:val="0074661C"/>
    <w:rsid w:val="00750397"/>
    <w:rsid w:val="0075088F"/>
    <w:rsid w:val="00766475"/>
    <w:rsid w:val="0077364D"/>
    <w:rsid w:val="00794C5F"/>
    <w:rsid w:val="007A0103"/>
    <w:rsid w:val="007A2277"/>
    <w:rsid w:val="007C3F3C"/>
    <w:rsid w:val="007F7401"/>
    <w:rsid w:val="00805358"/>
    <w:rsid w:val="008070A8"/>
    <w:rsid w:val="0080737B"/>
    <w:rsid w:val="00810499"/>
    <w:rsid w:val="0081166D"/>
    <w:rsid w:val="0081203C"/>
    <w:rsid w:val="00821F3F"/>
    <w:rsid w:val="008441CF"/>
    <w:rsid w:val="0084470A"/>
    <w:rsid w:val="00862DFF"/>
    <w:rsid w:val="0087707C"/>
    <w:rsid w:val="00877485"/>
    <w:rsid w:val="008A3DD3"/>
    <w:rsid w:val="008C584E"/>
    <w:rsid w:val="008E332E"/>
    <w:rsid w:val="008E3483"/>
    <w:rsid w:val="008F4C58"/>
    <w:rsid w:val="0090572C"/>
    <w:rsid w:val="009072F3"/>
    <w:rsid w:val="0091080B"/>
    <w:rsid w:val="00926833"/>
    <w:rsid w:val="009670B7"/>
    <w:rsid w:val="00970E3B"/>
    <w:rsid w:val="009723D1"/>
    <w:rsid w:val="009732C1"/>
    <w:rsid w:val="00977705"/>
    <w:rsid w:val="009821CD"/>
    <w:rsid w:val="009D5783"/>
    <w:rsid w:val="009D67A8"/>
    <w:rsid w:val="009F7219"/>
    <w:rsid w:val="00A03C49"/>
    <w:rsid w:val="00A07A2F"/>
    <w:rsid w:val="00A10B61"/>
    <w:rsid w:val="00A16F41"/>
    <w:rsid w:val="00A213A8"/>
    <w:rsid w:val="00A21F3E"/>
    <w:rsid w:val="00A23A81"/>
    <w:rsid w:val="00A414A2"/>
    <w:rsid w:val="00A51653"/>
    <w:rsid w:val="00A64EC4"/>
    <w:rsid w:val="00A7023B"/>
    <w:rsid w:val="00A7033C"/>
    <w:rsid w:val="00A91B21"/>
    <w:rsid w:val="00A96DAE"/>
    <w:rsid w:val="00AA6088"/>
    <w:rsid w:val="00AB65E7"/>
    <w:rsid w:val="00AD3414"/>
    <w:rsid w:val="00AD500F"/>
    <w:rsid w:val="00AE2CB4"/>
    <w:rsid w:val="00AE4A3E"/>
    <w:rsid w:val="00AE6898"/>
    <w:rsid w:val="00AF080D"/>
    <w:rsid w:val="00AF5A78"/>
    <w:rsid w:val="00AF6545"/>
    <w:rsid w:val="00B00FC3"/>
    <w:rsid w:val="00B202B6"/>
    <w:rsid w:val="00B52584"/>
    <w:rsid w:val="00B665E6"/>
    <w:rsid w:val="00B727F3"/>
    <w:rsid w:val="00B90F17"/>
    <w:rsid w:val="00B94B30"/>
    <w:rsid w:val="00BA7D17"/>
    <w:rsid w:val="00BB03D9"/>
    <w:rsid w:val="00BB076E"/>
    <w:rsid w:val="00BB1CF2"/>
    <w:rsid w:val="00BB7A25"/>
    <w:rsid w:val="00BC0A3C"/>
    <w:rsid w:val="00BC5916"/>
    <w:rsid w:val="00BC621F"/>
    <w:rsid w:val="00C032F0"/>
    <w:rsid w:val="00C03503"/>
    <w:rsid w:val="00C10E3A"/>
    <w:rsid w:val="00C20621"/>
    <w:rsid w:val="00C21933"/>
    <w:rsid w:val="00C52681"/>
    <w:rsid w:val="00C57E29"/>
    <w:rsid w:val="00C63E8C"/>
    <w:rsid w:val="00C64CA4"/>
    <w:rsid w:val="00C659A7"/>
    <w:rsid w:val="00C74524"/>
    <w:rsid w:val="00C76FFC"/>
    <w:rsid w:val="00C77040"/>
    <w:rsid w:val="00C9259F"/>
    <w:rsid w:val="00CA176B"/>
    <w:rsid w:val="00CA3398"/>
    <w:rsid w:val="00CA40FA"/>
    <w:rsid w:val="00CA6926"/>
    <w:rsid w:val="00CA735C"/>
    <w:rsid w:val="00CB3AD5"/>
    <w:rsid w:val="00CC14B3"/>
    <w:rsid w:val="00CD33B1"/>
    <w:rsid w:val="00CD71EB"/>
    <w:rsid w:val="00D13D39"/>
    <w:rsid w:val="00D2518B"/>
    <w:rsid w:val="00D32E4E"/>
    <w:rsid w:val="00D32E9C"/>
    <w:rsid w:val="00D35790"/>
    <w:rsid w:val="00D434C0"/>
    <w:rsid w:val="00D5385A"/>
    <w:rsid w:val="00D53BB2"/>
    <w:rsid w:val="00D57387"/>
    <w:rsid w:val="00D74928"/>
    <w:rsid w:val="00D94D9D"/>
    <w:rsid w:val="00DA0D39"/>
    <w:rsid w:val="00DB4A50"/>
    <w:rsid w:val="00DC1A98"/>
    <w:rsid w:val="00DF2758"/>
    <w:rsid w:val="00DF3C0A"/>
    <w:rsid w:val="00E02B69"/>
    <w:rsid w:val="00E57DC8"/>
    <w:rsid w:val="00E833DA"/>
    <w:rsid w:val="00E8605A"/>
    <w:rsid w:val="00E865E8"/>
    <w:rsid w:val="00EA2692"/>
    <w:rsid w:val="00EB0C79"/>
    <w:rsid w:val="00EC54C3"/>
    <w:rsid w:val="00EC76A0"/>
    <w:rsid w:val="00ED4B4C"/>
    <w:rsid w:val="00ED7519"/>
    <w:rsid w:val="00EE5E7F"/>
    <w:rsid w:val="00EE7835"/>
    <w:rsid w:val="00F02BC0"/>
    <w:rsid w:val="00F33BD8"/>
    <w:rsid w:val="00F406BB"/>
    <w:rsid w:val="00F4414D"/>
    <w:rsid w:val="00F60541"/>
    <w:rsid w:val="00F675AA"/>
    <w:rsid w:val="00F73486"/>
    <w:rsid w:val="00F76815"/>
    <w:rsid w:val="00F85D90"/>
    <w:rsid w:val="00F907B1"/>
    <w:rsid w:val="00FB4437"/>
    <w:rsid w:val="00FB767A"/>
    <w:rsid w:val="00FC0BF3"/>
    <w:rsid w:val="00FC28D1"/>
    <w:rsid w:val="00FC4CC5"/>
    <w:rsid w:val="00FC67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192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EA2692"/>
    <w:pPr>
      <w:spacing w:after="0" w:line="240" w:lineRule="auto"/>
    </w:pPr>
  </w:style>
  <w:style w:type="paragraph" w:customStyle="1" w:styleId="subsection">
    <w:name w:val="subsection"/>
    <w:aliases w:val="ss"/>
    <w:basedOn w:val="Normal"/>
    <w:link w:val="subsectionChar"/>
    <w:rsid w:val="0065278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52780"/>
    <w:rPr>
      <w:rFonts w:ascii="Times New Roman" w:eastAsia="Times New Roman" w:hAnsi="Times New Roman" w:cs="Times New Roman"/>
      <w:szCs w:val="20"/>
      <w:lang w:eastAsia="en-AU"/>
    </w:rPr>
  </w:style>
  <w:style w:type="paragraph" w:customStyle="1" w:styleId="Definition">
    <w:name w:val="Definition"/>
    <w:aliases w:val="dd"/>
    <w:basedOn w:val="Normal"/>
    <w:rsid w:val="00652780"/>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652780"/>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652780"/>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652780"/>
    <w:rPr>
      <w:rFonts w:ascii="Times New Roman" w:eastAsia="Times New Roman" w:hAnsi="Times New Roman" w:cs="Times New Roman"/>
      <w:sz w:val="18"/>
      <w:szCs w:val="20"/>
      <w:lang w:eastAsia="en-AU"/>
    </w:rPr>
  </w:style>
  <w:style w:type="paragraph" w:customStyle="1" w:styleId="Note">
    <w:name w:val="Note"/>
    <w:rsid w:val="00A91B21"/>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rsid w:val="00A91B21"/>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P2">
    <w:name w:val="P2"/>
    <w:aliases w:val="(i)"/>
    <w:basedOn w:val="Normal"/>
    <w:rsid w:val="00A91B21"/>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paragraph" w:customStyle="1" w:styleId="R1">
    <w:name w:val="R1"/>
    <w:aliases w:val="1. or 1.(1)"/>
    <w:basedOn w:val="Normal"/>
    <w:next w:val="Normal"/>
    <w:rsid w:val="00A91B21"/>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R2">
    <w:name w:val="R2"/>
    <w:aliases w:val="(2)"/>
    <w:basedOn w:val="Normal"/>
    <w:rsid w:val="00A91B21"/>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ZR2">
    <w:name w:val="ZR2"/>
    <w:basedOn w:val="Normal"/>
    <w:rsid w:val="00A91B21"/>
    <w:pPr>
      <w:keepNext/>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Notepara0">
    <w:name w:val="Note para"/>
    <w:basedOn w:val="Normal"/>
    <w:rsid w:val="00A91B21"/>
    <w:pPr>
      <w:spacing w:before="60" w:after="0" w:line="220" w:lineRule="exact"/>
      <w:ind w:left="1304" w:hanging="340"/>
      <w:jc w:val="both"/>
    </w:pPr>
    <w:rPr>
      <w:rFonts w:ascii="Times New Roman" w:eastAsia="Times New Roman" w:hAnsi="Times New Roman" w:cs="Times New Roman"/>
      <w:sz w:val="20"/>
      <w:szCs w:val="24"/>
    </w:rPr>
  </w:style>
  <w:style w:type="paragraph" w:customStyle="1" w:styleId="ZNote">
    <w:name w:val="ZNote"/>
    <w:basedOn w:val="Normal"/>
    <w:rsid w:val="00A91B21"/>
    <w:pPr>
      <w:keepNext/>
      <w:spacing w:before="120" w:after="0" w:line="220" w:lineRule="exact"/>
      <w:ind w:left="964"/>
      <w:jc w:val="both"/>
    </w:pPr>
    <w:rPr>
      <w:rFonts w:ascii="Times New Roman" w:eastAsia="Times New Roman" w:hAnsi="Times New Roman" w:cs="Times New Roman"/>
      <w:sz w:val="20"/>
      <w:szCs w:val="24"/>
    </w:rPr>
  </w:style>
  <w:style w:type="paragraph" w:styleId="FootnoteText">
    <w:name w:val="footnote text"/>
    <w:basedOn w:val="Normal"/>
    <w:link w:val="FootnoteTextChar"/>
    <w:uiPriority w:val="99"/>
    <w:semiHidden/>
    <w:unhideWhenUsed/>
    <w:rsid w:val="00A10B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B61"/>
    <w:rPr>
      <w:sz w:val="20"/>
      <w:szCs w:val="20"/>
    </w:rPr>
  </w:style>
  <w:style w:type="character" w:styleId="FootnoteReference">
    <w:name w:val="footnote reference"/>
    <w:basedOn w:val="DefaultParagraphFont"/>
    <w:uiPriority w:val="99"/>
    <w:semiHidden/>
    <w:unhideWhenUsed/>
    <w:rsid w:val="00A10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2107261229">
      <w:bodyDiv w:val="1"/>
      <w:marLeft w:val="0"/>
      <w:marRight w:val="0"/>
      <w:marTop w:val="0"/>
      <w:marBottom w:val="0"/>
      <w:divBdr>
        <w:top w:val="none" w:sz="0" w:space="0" w:color="auto"/>
        <w:left w:val="none" w:sz="0" w:space="0" w:color="auto"/>
        <w:bottom w:val="none" w:sz="0" w:space="0" w:color="auto"/>
        <w:right w:val="none" w:sz="0" w:space="0" w:color="auto"/>
      </w:divBdr>
      <w:divsChild>
        <w:div w:id="1405027788">
          <w:marLeft w:val="0"/>
          <w:marRight w:val="0"/>
          <w:marTop w:val="0"/>
          <w:marBottom w:val="0"/>
          <w:divBdr>
            <w:top w:val="none" w:sz="0" w:space="0" w:color="auto"/>
            <w:left w:val="none" w:sz="0" w:space="0" w:color="auto"/>
            <w:bottom w:val="none" w:sz="0" w:space="0" w:color="auto"/>
            <w:right w:val="none" w:sz="0" w:space="0" w:color="auto"/>
          </w:divBdr>
          <w:divsChild>
            <w:div w:id="184447350">
              <w:marLeft w:val="0"/>
              <w:marRight w:val="0"/>
              <w:marTop w:val="0"/>
              <w:marBottom w:val="0"/>
              <w:divBdr>
                <w:top w:val="none" w:sz="0" w:space="0" w:color="auto"/>
                <w:left w:val="none" w:sz="0" w:space="0" w:color="auto"/>
                <w:bottom w:val="none" w:sz="0" w:space="0" w:color="auto"/>
                <w:right w:val="none" w:sz="0" w:space="0" w:color="auto"/>
              </w:divBdr>
              <w:divsChild>
                <w:div w:id="1564558848">
                  <w:marLeft w:val="0"/>
                  <w:marRight w:val="0"/>
                  <w:marTop w:val="0"/>
                  <w:marBottom w:val="0"/>
                  <w:divBdr>
                    <w:top w:val="none" w:sz="0" w:space="0" w:color="auto"/>
                    <w:left w:val="none" w:sz="0" w:space="0" w:color="auto"/>
                    <w:bottom w:val="none" w:sz="0" w:space="0" w:color="auto"/>
                    <w:right w:val="none" w:sz="0" w:space="0" w:color="auto"/>
                  </w:divBdr>
                  <w:divsChild>
                    <w:div w:id="1849372417">
                      <w:marLeft w:val="0"/>
                      <w:marRight w:val="0"/>
                      <w:marTop w:val="0"/>
                      <w:marBottom w:val="0"/>
                      <w:divBdr>
                        <w:top w:val="none" w:sz="0" w:space="0" w:color="auto"/>
                        <w:left w:val="none" w:sz="0" w:space="0" w:color="auto"/>
                        <w:bottom w:val="none" w:sz="0" w:space="0" w:color="auto"/>
                        <w:right w:val="none" w:sz="0" w:space="0" w:color="auto"/>
                      </w:divBdr>
                      <w:divsChild>
                        <w:div w:id="589965775">
                          <w:marLeft w:val="0"/>
                          <w:marRight w:val="0"/>
                          <w:marTop w:val="0"/>
                          <w:marBottom w:val="0"/>
                          <w:divBdr>
                            <w:top w:val="none" w:sz="0" w:space="0" w:color="auto"/>
                            <w:left w:val="none" w:sz="0" w:space="0" w:color="auto"/>
                            <w:bottom w:val="none" w:sz="0" w:space="0" w:color="auto"/>
                            <w:right w:val="none" w:sz="0" w:space="0" w:color="auto"/>
                          </w:divBdr>
                          <w:divsChild>
                            <w:div w:id="77215772">
                              <w:marLeft w:val="0"/>
                              <w:marRight w:val="0"/>
                              <w:marTop w:val="0"/>
                              <w:marBottom w:val="0"/>
                              <w:divBdr>
                                <w:top w:val="none" w:sz="0" w:space="0" w:color="auto"/>
                                <w:left w:val="none" w:sz="0" w:space="0" w:color="auto"/>
                                <w:bottom w:val="none" w:sz="0" w:space="0" w:color="auto"/>
                                <w:right w:val="none" w:sz="0" w:space="0" w:color="auto"/>
                              </w:divBdr>
                              <w:divsChild>
                                <w:div w:id="1739206135">
                                  <w:marLeft w:val="0"/>
                                  <w:marRight w:val="0"/>
                                  <w:marTop w:val="0"/>
                                  <w:marBottom w:val="0"/>
                                  <w:divBdr>
                                    <w:top w:val="none" w:sz="0" w:space="0" w:color="auto"/>
                                    <w:left w:val="none" w:sz="0" w:space="0" w:color="auto"/>
                                    <w:bottom w:val="none" w:sz="0" w:space="0" w:color="auto"/>
                                    <w:right w:val="none" w:sz="0" w:space="0" w:color="auto"/>
                                  </w:divBdr>
                                  <w:divsChild>
                                    <w:div w:id="1501966345">
                                      <w:marLeft w:val="0"/>
                                      <w:marRight w:val="0"/>
                                      <w:marTop w:val="0"/>
                                      <w:marBottom w:val="0"/>
                                      <w:divBdr>
                                        <w:top w:val="none" w:sz="0" w:space="0" w:color="auto"/>
                                        <w:left w:val="none" w:sz="0" w:space="0" w:color="auto"/>
                                        <w:bottom w:val="none" w:sz="0" w:space="0" w:color="auto"/>
                                        <w:right w:val="none" w:sz="0" w:space="0" w:color="auto"/>
                                      </w:divBdr>
                                      <w:divsChild>
                                        <w:div w:id="1349798262">
                                          <w:marLeft w:val="0"/>
                                          <w:marRight w:val="0"/>
                                          <w:marTop w:val="0"/>
                                          <w:marBottom w:val="0"/>
                                          <w:divBdr>
                                            <w:top w:val="none" w:sz="0" w:space="0" w:color="auto"/>
                                            <w:left w:val="none" w:sz="0" w:space="0" w:color="auto"/>
                                            <w:bottom w:val="none" w:sz="0" w:space="0" w:color="auto"/>
                                            <w:right w:val="none" w:sz="0" w:space="0" w:color="auto"/>
                                          </w:divBdr>
                                          <w:divsChild>
                                            <w:div w:id="1584605629">
                                              <w:marLeft w:val="0"/>
                                              <w:marRight w:val="0"/>
                                              <w:marTop w:val="0"/>
                                              <w:marBottom w:val="0"/>
                                              <w:divBdr>
                                                <w:top w:val="none" w:sz="0" w:space="0" w:color="auto"/>
                                                <w:left w:val="none" w:sz="0" w:space="0" w:color="auto"/>
                                                <w:bottom w:val="none" w:sz="0" w:space="0" w:color="auto"/>
                                                <w:right w:val="none" w:sz="0" w:space="0" w:color="auto"/>
                                              </w:divBdr>
                                              <w:divsChild>
                                                <w:div w:id="1907447049">
                                                  <w:marLeft w:val="0"/>
                                                  <w:marRight w:val="0"/>
                                                  <w:marTop w:val="0"/>
                                                  <w:marBottom w:val="0"/>
                                                  <w:divBdr>
                                                    <w:top w:val="none" w:sz="0" w:space="0" w:color="auto"/>
                                                    <w:left w:val="none" w:sz="0" w:space="0" w:color="auto"/>
                                                    <w:bottom w:val="none" w:sz="0" w:space="0" w:color="auto"/>
                                                    <w:right w:val="none" w:sz="0" w:space="0" w:color="auto"/>
                                                  </w:divBdr>
                                                  <w:divsChild>
                                                    <w:div w:id="1577980966">
                                                      <w:marLeft w:val="0"/>
                                                      <w:marRight w:val="0"/>
                                                      <w:marTop w:val="0"/>
                                                      <w:marBottom w:val="0"/>
                                                      <w:divBdr>
                                                        <w:top w:val="none" w:sz="0" w:space="0" w:color="auto"/>
                                                        <w:left w:val="none" w:sz="0" w:space="0" w:color="auto"/>
                                                        <w:bottom w:val="none" w:sz="0" w:space="0" w:color="auto"/>
                                                        <w:right w:val="none" w:sz="0" w:space="0" w:color="auto"/>
                                                      </w:divBdr>
                                                      <w:divsChild>
                                                        <w:div w:id="787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islation.gov.au" TargetMode="External"/><Relationship Id="rId4" Type="http://schemas.openxmlformats.org/officeDocument/2006/relationships/settings" Target="settings.xml"/><Relationship Id="rId9" Type="http://schemas.openxmlformats.org/officeDocument/2006/relationships/hyperlink" Target="http://www.donotcall.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65723-9A39-4593-BE8A-1E427F24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Suzanne Atkins</cp:lastModifiedBy>
  <cp:revision>4</cp:revision>
  <cp:lastPrinted>2016-07-25T00:08:00Z</cp:lastPrinted>
  <dcterms:created xsi:type="dcterms:W3CDTF">2017-06-01T06:40:00Z</dcterms:created>
  <dcterms:modified xsi:type="dcterms:W3CDTF">2017-06-29T01:17:00Z</dcterms:modified>
</cp:coreProperties>
</file>