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47C12" w14:textId="77777777" w:rsidR="00CF7F32" w:rsidRDefault="00CF7F32" w:rsidP="00CF7F32">
      <w:pPr>
        <w:pStyle w:val="Heading1"/>
        <w:spacing w:line="360" w:lineRule="auto"/>
      </w:pPr>
      <w:r>
        <w:t>EXPLANATORY STATEMENT</w:t>
      </w:r>
    </w:p>
    <w:p w14:paraId="20488CB1" w14:textId="77777777" w:rsidR="00CF7F32" w:rsidRDefault="00CF7F32" w:rsidP="00CF7F32">
      <w:pPr>
        <w:pStyle w:val="Heading2"/>
        <w:spacing w:before="120" w:after="360" w:line="360" w:lineRule="auto"/>
        <w:ind w:left="0" w:firstLine="0"/>
      </w:pPr>
      <w:r w:rsidRPr="006C508E">
        <w:rPr>
          <w:i/>
        </w:rPr>
        <w:t xml:space="preserve">Migration Regulations 1994 </w:t>
      </w:r>
    </w:p>
    <w:p w14:paraId="1A4A2716" w14:textId="77777777" w:rsidR="00CF7F32" w:rsidRDefault="00CF7F32" w:rsidP="00CF7F32">
      <w:pPr>
        <w:pStyle w:val="subsection"/>
        <w:jc w:val="center"/>
        <w:rPr>
          <w:b/>
          <w:sz w:val="24"/>
          <w:szCs w:val="24"/>
        </w:rPr>
      </w:pPr>
      <w:r w:rsidRPr="00CF7F32">
        <w:rPr>
          <w:b/>
          <w:sz w:val="24"/>
          <w:szCs w:val="24"/>
        </w:rPr>
        <w:t>Migration (IMMI 17/081: Specification of Occupations, a Person or Body, a Country or Countries) Repeal Instrument 2017</w:t>
      </w:r>
      <w:r w:rsidRPr="00CF7F32" w:rsidDel="00CF7F32">
        <w:rPr>
          <w:b/>
          <w:sz w:val="24"/>
          <w:szCs w:val="24"/>
        </w:rPr>
        <w:t xml:space="preserve"> </w:t>
      </w:r>
    </w:p>
    <w:p w14:paraId="50161DDD" w14:textId="4715564D" w:rsidR="00CF7F32" w:rsidRPr="00440ACF" w:rsidRDefault="00CF7F32" w:rsidP="00440ACF">
      <w:pPr>
        <w:pStyle w:val="subsection"/>
        <w:spacing w:line="360" w:lineRule="auto"/>
        <w:jc w:val="center"/>
        <w:rPr>
          <w:i/>
          <w:szCs w:val="22"/>
        </w:rPr>
      </w:pPr>
      <w:r w:rsidRPr="004C0445">
        <w:rPr>
          <w:i/>
          <w:sz w:val="24"/>
        </w:rPr>
        <w:t>(</w:t>
      </w:r>
      <w:r w:rsidRPr="00CF7F32">
        <w:rPr>
          <w:i/>
          <w:szCs w:val="22"/>
        </w:rPr>
        <w:tab/>
      </w:r>
      <w:r>
        <w:rPr>
          <w:i/>
          <w:szCs w:val="22"/>
        </w:rPr>
        <w:t xml:space="preserve">regulation 1.03; </w:t>
      </w:r>
      <w:proofErr w:type="spellStart"/>
      <w:r w:rsidRPr="00CF7F32">
        <w:rPr>
          <w:i/>
          <w:szCs w:val="22"/>
        </w:rPr>
        <w:t>subregulation</w:t>
      </w:r>
      <w:r w:rsidR="000B6F59">
        <w:rPr>
          <w:i/>
          <w:szCs w:val="22"/>
        </w:rPr>
        <w:t>s</w:t>
      </w:r>
      <w:proofErr w:type="spellEnd"/>
      <w:r w:rsidR="000B6F59">
        <w:rPr>
          <w:i/>
          <w:szCs w:val="22"/>
        </w:rPr>
        <w:t xml:space="preserve"> 1.15I(1) and </w:t>
      </w:r>
      <w:r w:rsidRPr="00CF7F32">
        <w:rPr>
          <w:i/>
          <w:szCs w:val="22"/>
        </w:rPr>
        <w:t>2.26B(1);</w:t>
      </w:r>
      <w:r>
        <w:rPr>
          <w:i/>
          <w:szCs w:val="22"/>
        </w:rPr>
        <w:t xml:space="preserve"> </w:t>
      </w:r>
      <w:r w:rsidRPr="00CF7F32">
        <w:rPr>
          <w:i/>
          <w:szCs w:val="22"/>
        </w:rPr>
        <w:t>paragraph</w:t>
      </w:r>
      <w:r w:rsidR="000B6F59">
        <w:rPr>
          <w:i/>
          <w:szCs w:val="22"/>
        </w:rPr>
        <w:t>s 2.72(10)(aa) and</w:t>
      </w:r>
      <w:r w:rsidRPr="00CF7F32">
        <w:rPr>
          <w:i/>
          <w:szCs w:val="22"/>
        </w:rPr>
        <w:t xml:space="preserve"> 2.72B(3)(b);</w:t>
      </w:r>
      <w:r>
        <w:rPr>
          <w:i/>
          <w:szCs w:val="22"/>
        </w:rPr>
        <w:t xml:space="preserve"> </w:t>
      </w:r>
      <w:r w:rsidRPr="00CF7F32">
        <w:rPr>
          <w:i/>
          <w:szCs w:val="22"/>
        </w:rPr>
        <w:t>sub</w:t>
      </w:r>
      <w:r w:rsidR="005A3C0D">
        <w:rPr>
          <w:i/>
          <w:szCs w:val="22"/>
        </w:rPr>
        <w:t>-</w:t>
      </w:r>
      <w:r w:rsidRPr="00CF7F32">
        <w:rPr>
          <w:i/>
          <w:szCs w:val="22"/>
        </w:rPr>
        <w:t>subparagraph 5.19(4)(h)(</w:t>
      </w:r>
      <w:proofErr w:type="spellStart"/>
      <w:r w:rsidRPr="00CF7F32">
        <w:rPr>
          <w:i/>
          <w:szCs w:val="22"/>
        </w:rPr>
        <w:t>i</w:t>
      </w:r>
      <w:proofErr w:type="spellEnd"/>
      <w:r w:rsidRPr="00CF7F32">
        <w:rPr>
          <w:i/>
          <w:szCs w:val="22"/>
        </w:rPr>
        <w:t>)(A);</w:t>
      </w:r>
      <w:r>
        <w:rPr>
          <w:i/>
          <w:szCs w:val="22"/>
        </w:rPr>
        <w:t xml:space="preserve"> </w:t>
      </w:r>
      <w:proofErr w:type="spellStart"/>
      <w:r w:rsidRPr="00CF7F32">
        <w:rPr>
          <w:i/>
          <w:szCs w:val="22"/>
        </w:rPr>
        <w:t>subitem</w:t>
      </w:r>
      <w:proofErr w:type="spellEnd"/>
      <w:r w:rsidRPr="00CF7F32">
        <w:rPr>
          <w:i/>
          <w:szCs w:val="22"/>
        </w:rPr>
        <w:t xml:space="preserve"> 1137(4C) of Schedule 1;</w:t>
      </w:r>
      <w:r>
        <w:rPr>
          <w:i/>
          <w:szCs w:val="22"/>
        </w:rPr>
        <w:t xml:space="preserve"> </w:t>
      </w:r>
      <w:r w:rsidRPr="00CF7F32">
        <w:rPr>
          <w:i/>
          <w:szCs w:val="22"/>
        </w:rPr>
        <w:t xml:space="preserve">item 4 of the table in </w:t>
      </w:r>
      <w:proofErr w:type="spellStart"/>
      <w:r w:rsidRPr="00CF7F32">
        <w:rPr>
          <w:i/>
          <w:szCs w:val="22"/>
        </w:rPr>
        <w:t>subitem</w:t>
      </w:r>
      <w:proofErr w:type="spellEnd"/>
      <w:r w:rsidRPr="00CF7F32">
        <w:rPr>
          <w:i/>
          <w:szCs w:val="22"/>
        </w:rPr>
        <w:t xml:space="preserve"> 1138(4) of Schedule 1;</w:t>
      </w:r>
      <w:r>
        <w:rPr>
          <w:i/>
          <w:szCs w:val="22"/>
        </w:rPr>
        <w:t xml:space="preserve"> </w:t>
      </w:r>
      <w:r w:rsidRPr="00CF7F32">
        <w:rPr>
          <w:i/>
          <w:szCs w:val="22"/>
        </w:rPr>
        <w:t>paragraph 1229(3)(k) of Schedule 1;</w:t>
      </w:r>
      <w:r>
        <w:rPr>
          <w:i/>
          <w:szCs w:val="22"/>
        </w:rPr>
        <w:t xml:space="preserve"> </w:t>
      </w:r>
      <w:r w:rsidRPr="00CF7F32">
        <w:rPr>
          <w:i/>
          <w:szCs w:val="22"/>
        </w:rPr>
        <w:t xml:space="preserve">item 4 of the table in </w:t>
      </w:r>
      <w:proofErr w:type="spellStart"/>
      <w:r w:rsidRPr="00CF7F32">
        <w:rPr>
          <w:i/>
          <w:szCs w:val="22"/>
        </w:rPr>
        <w:t>subitem</w:t>
      </w:r>
      <w:proofErr w:type="spellEnd"/>
      <w:r w:rsidRPr="00CF7F32">
        <w:rPr>
          <w:i/>
          <w:szCs w:val="22"/>
        </w:rPr>
        <w:t xml:space="preserve"> 1230(4) of Schedule 1;</w:t>
      </w:r>
      <w:r>
        <w:rPr>
          <w:i/>
          <w:szCs w:val="22"/>
        </w:rPr>
        <w:t xml:space="preserve"> and </w:t>
      </w:r>
      <w:r w:rsidRPr="00CF7F32">
        <w:rPr>
          <w:i/>
          <w:szCs w:val="22"/>
        </w:rPr>
        <w:t>paragraph 186.234(2)(a) of Schedule .</w:t>
      </w:r>
      <w:r>
        <w:rPr>
          <w:i/>
          <w:sz w:val="24"/>
        </w:rPr>
        <w:t>)</w:t>
      </w:r>
    </w:p>
    <w:p w14:paraId="7B847F53" w14:textId="77777777" w:rsidR="00CF7F32" w:rsidRPr="00B95124" w:rsidRDefault="00CF7F32" w:rsidP="00CF7F32">
      <w:pPr>
        <w:pStyle w:val="subsection"/>
        <w:rPr>
          <w:i/>
          <w:sz w:val="24"/>
          <w:highlight w:val="yellow"/>
        </w:rPr>
      </w:pPr>
    </w:p>
    <w:p w14:paraId="25157D67" w14:textId="13916ED2" w:rsidR="00CF7F32" w:rsidRPr="004C0445" w:rsidRDefault="00CF7F32" w:rsidP="00CF7F32">
      <w:pPr>
        <w:pStyle w:val="subsection"/>
        <w:numPr>
          <w:ilvl w:val="0"/>
          <w:numId w:val="1"/>
        </w:numPr>
        <w:spacing w:after="240" w:line="360" w:lineRule="auto"/>
        <w:jc w:val="both"/>
        <w:rPr>
          <w:sz w:val="24"/>
          <w:szCs w:val="24"/>
        </w:rPr>
      </w:pPr>
      <w:r w:rsidRPr="004C0445">
        <w:rPr>
          <w:sz w:val="24"/>
          <w:szCs w:val="24"/>
        </w:rPr>
        <w:t>Instrument IMMI 17/</w:t>
      </w:r>
      <w:r>
        <w:rPr>
          <w:sz w:val="24"/>
          <w:szCs w:val="24"/>
        </w:rPr>
        <w:t>081</w:t>
      </w:r>
      <w:r w:rsidRPr="004C0445">
        <w:rPr>
          <w:sz w:val="24"/>
          <w:szCs w:val="24"/>
        </w:rPr>
        <w:t xml:space="preserve"> is made under </w:t>
      </w:r>
      <w:r w:rsidRPr="00CF7F32">
        <w:rPr>
          <w:sz w:val="24"/>
          <w:szCs w:val="24"/>
        </w:rPr>
        <w:t xml:space="preserve">regulation 1.03; </w:t>
      </w:r>
      <w:proofErr w:type="spellStart"/>
      <w:r w:rsidRPr="00CF7F32">
        <w:rPr>
          <w:sz w:val="24"/>
          <w:szCs w:val="24"/>
        </w:rPr>
        <w:t>subregulation</w:t>
      </w:r>
      <w:r w:rsidR="000B6F59">
        <w:rPr>
          <w:sz w:val="24"/>
          <w:szCs w:val="24"/>
        </w:rPr>
        <w:t>s</w:t>
      </w:r>
      <w:proofErr w:type="spellEnd"/>
      <w:r w:rsidR="000B6F59">
        <w:rPr>
          <w:sz w:val="24"/>
          <w:szCs w:val="24"/>
        </w:rPr>
        <w:t xml:space="preserve"> 1.15I(1)</w:t>
      </w:r>
      <w:r w:rsidRPr="00CF7F32">
        <w:rPr>
          <w:sz w:val="24"/>
          <w:szCs w:val="24"/>
        </w:rPr>
        <w:t xml:space="preserve"> </w:t>
      </w:r>
      <w:r w:rsidR="000B6F59">
        <w:rPr>
          <w:sz w:val="24"/>
          <w:szCs w:val="24"/>
        </w:rPr>
        <w:t>and</w:t>
      </w:r>
      <w:r w:rsidRPr="00CF7F32">
        <w:rPr>
          <w:sz w:val="24"/>
          <w:szCs w:val="24"/>
        </w:rPr>
        <w:t xml:space="preserve"> 2.26B(1); paragraph</w:t>
      </w:r>
      <w:r w:rsidR="000B6F59">
        <w:rPr>
          <w:sz w:val="24"/>
          <w:szCs w:val="24"/>
        </w:rPr>
        <w:t>s</w:t>
      </w:r>
      <w:r w:rsidRPr="00CF7F32">
        <w:rPr>
          <w:sz w:val="24"/>
          <w:szCs w:val="24"/>
        </w:rPr>
        <w:t xml:space="preserve"> 2.72(10)(aa) 2.72B(3)(b); sub subparagraph 5.19(4)(h)(</w:t>
      </w:r>
      <w:proofErr w:type="spellStart"/>
      <w:r w:rsidRPr="00CF7F32">
        <w:rPr>
          <w:sz w:val="24"/>
          <w:szCs w:val="24"/>
        </w:rPr>
        <w:t>i</w:t>
      </w:r>
      <w:proofErr w:type="spellEnd"/>
      <w:r w:rsidRPr="00CF7F32">
        <w:rPr>
          <w:sz w:val="24"/>
          <w:szCs w:val="24"/>
        </w:rPr>
        <w:t xml:space="preserve">)(A); </w:t>
      </w:r>
      <w:proofErr w:type="spellStart"/>
      <w:r w:rsidRPr="00CF7F32">
        <w:rPr>
          <w:sz w:val="24"/>
          <w:szCs w:val="24"/>
        </w:rPr>
        <w:t>subitem</w:t>
      </w:r>
      <w:proofErr w:type="spellEnd"/>
      <w:r w:rsidRPr="00CF7F32">
        <w:rPr>
          <w:sz w:val="24"/>
          <w:szCs w:val="24"/>
        </w:rPr>
        <w:t xml:space="preserve"> 1137(4C) of Schedule 1; item 4 of the table in </w:t>
      </w:r>
      <w:proofErr w:type="spellStart"/>
      <w:r w:rsidRPr="00CF7F32">
        <w:rPr>
          <w:sz w:val="24"/>
          <w:szCs w:val="24"/>
        </w:rPr>
        <w:t>subitem</w:t>
      </w:r>
      <w:proofErr w:type="spellEnd"/>
      <w:r w:rsidRPr="00CF7F32">
        <w:rPr>
          <w:sz w:val="24"/>
          <w:szCs w:val="24"/>
        </w:rPr>
        <w:t xml:space="preserve"> 1138(4) of Schedule 1; paragraph 1229(3)(k) of Schedule 1; item 4 of the table in </w:t>
      </w:r>
      <w:proofErr w:type="spellStart"/>
      <w:r w:rsidRPr="00CF7F32">
        <w:rPr>
          <w:sz w:val="24"/>
          <w:szCs w:val="24"/>
        </w:rPr>
        <w:t>subitem</w:t>
      </w:r>
      <w:proofErr w:type="spellEnd"/>
      <w:r w:rsidRPr="00CF7F32">
        <w:rPr>
          <w:sz w:val="24"/>
          <w:szCs w:val="24"/>
        </w:rPr>
        <w:t xml:space="preserve"> 1230(4) of Schedule 1; and paragraph 186.234(2)(a) of Schedule 2</w:t>
      </w:r>
      <w:r>
        <w:rPr>
          <w:sz w:val="24"/>
          <w:szCs w:val="24"/>
        </w:rPr>
        <w:t xml:space="preserve"> of the </w:t>
      </w:r>
      <w:r w:rsidRPr="004C0445">
        <w:rPr>
          <w:i/>
          <w:sz w:val="24"/>
          <w:szCs w:val="24"/>
        </w:rPr>
        <w:t xml:space="preserve">Migration Regulations 1994 </w:t>
      </w:r>
      <w:r w:rsidRPr="004C0445">
        <w:rPr>
          <w:sz w:val="24"/>
          <w:szCs w:val="24"/>
        </w:rPr>
        <w:t xml:space="preserve">(the Regulations).  </w:t>
      </w:r>
    </w:p>
    <w:p w14:paraId="4478A1C6" w14:textId="1BF9BAF5" w:rsidR="00CF7F32" w:rsidRPr="008A09B0" w:rsidRDefault="00CF7F32" w:rsidP="0039148D">
      <w:pPr>
        <w:pStyle w:val="subsection"/>
        <w:numPr>
          <w:ilvl w:val="0"/>
          <w:numId w:val="1"/>
        </w:numPr>
        <w:spacing w:line="360" w:lineRule="auto"/>
        <w:jc w:val="both"/>
        <w:rPr>
          <w:sz w:val="24"/>
          <w:szCs w:val="24"/>
        </w:rPr>
      </w:pPr>
      <w:r w:rsidRPr="004C0445">
        <w:rPr>
          <w:sz w:val="24"/>
          <w:szCs w:val="24"/>
        </w:rPr>
        <w:t xml:space="preserve">The instrument </w:t>
      </w:r>
      <w:r w:rsidR="0057154E">
        <w:rPr>
          <w:sz w:val="24"/>
          <w:szCs w:val="24"/>
        </w:rPr>
        <w:t xml:space="preserve">IMMI 17/081 </w:t>
      </w:r>
      <w:r w:rsidRPr="004C0445">
        <w:rPr>
          <w:sz w:val="24"/>
          <w:szCs w:val="24"/>
        </w:rPr>
        <w:t xml:space="preserve">repeals </w:t>
      </w:r>
      <w:r w:rsidR="00D80BE5">
        <w:rPr>
          <w:sz w:val="24"/>
          <w:szCs w:val="24"/>
        </w:rPr>
        <w:t xml:space="preserve">instrument </w:t>
      </w:r>
      <w:r w:rsidR="0039148D" w:rsidRPr="008A09B0">
        <w:rPr>
          <w:sz w:val="24"/>
          <w:szCs w:val="24"/>
        </w:rPr>
        <w:t xml:space="preserve">Specification of Occupations, a Person or Body, a Country or Countries 2016/059 </w:t>
      </w:r>
      <w:r w:rsidR="0057154E">
        <w:rPr>
          <w:sz w:val="24"/>
          <w:szCs w:val="24"/>
        </w:rPr>
        <w:t xml:space="preserve">(IMMI 16/059) </w:t>
      </w:r>
      <w:r w:rsidR="0039148D" w:rsidRPr="008A09B0">
        <w:rPr>
          <w:sz w:val="24"/>
          <w:szCs w:val="24"/>
        </w:rPr>
        <w:t>(F2016C01004)</w:t>
      </w:r>
      <w:r w:rsidR="0039148D">
        <w:rPr>
          <w:sz w:val="24"/>
          <w:szCs w:val="24"/>
        </w:rPr>
        <w:t xml:space="preserve"> </w:t>
      </w:r>
      <w:r w:rsidRPr="008A09B0">
        <w:rPr>
          <w:sz w:val="24"/>
          <w:szCs w:val="24"/>
        </w:rPr>
        <w:t>in accordance with</w:t>
      </w:r>
      <w:r w:rsidRPr="004C0445">
        <w:rPr>
          <w:sz w:val="24"/>
          <w:szCs w:val="24"/>
        </w:rPr>
        <w:t xml:space="preserve"> subsection 33(3) of the </w:t>
      </w:r>
      <w:r w:rsidRPr="008A09B0">
        <w:rPr>
          <w:i/>
          <w:sz w:val="24"/>
          <w:szCs w:val="24"/>
        </w:rPr>
        <w:t>Acts Interpretation Act 1901</w:t>
      </w:r>
      <w:r w:rsidRPr="00440ACF">
        <w:rPr>
          <w:i/>
          <w:sz w:val="24"/>
          <w:szCs w:val="24"/>
        </w:rPr>
        <w:t xml:space="preserve"> </w:t>
      </w:r>
      <w:r w:rsidRPr="008A09B0">
        <w:rPr>
          <w:sz w:val="24"/>
          <w:szCs w:val="24"/>
        </w:rPr>
        <w:t>(the AIA)</w:t>
      </w:r>
      <w:r w:rsidRPr="004C0445">
        <w:rPr>
          <w:sz w:val="24"/>
          <w:szCs w:val="24"/>
        </w:rPr>
        <w:t>. Subsection 33(3) of the AIA 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38EE3CC0" w14:textId="10A25FE4" w:rsidR="00FE166B" w:rsidRPr="008A09B0" w:rsidRDefault="00CF7F32" w:rsidP="00FE166B">
      <w:pPr>
        <w:numPr>
          <w:ilvl w:val="0"/>
          <w:numId w:val="1"/>
        </w:numPr>
        <w:spacing w:before="360" w:line="360" w:lineRule="auto"/>
        <w:jc w:val="both"/>
        <w:rPr>
          <w:sz w:val="24"/>
        </w:rPr>
      </w:pPr>
      <w:r w:rsidRPr="008A09B0">
        <w:rPr>
          <w:sz w:val="24"/>
          <w:szCs w:val="24"/>
        </w:rPr>
        <w:t xml:space="preserve">The matters previously addressed in </w:t>
      </w:r>
      <w:r w:rsidR="00D80BE5">
        <w:rPr>
          <w:sz w:val="24"/>
          <w:szCs w:val="24"/>
        </w:rPr>
        <w:t xml:space="preserve">instrument </w:t>
      </w:r>
      <w:r w:rsidRPr="008A09B0">
        <w:rPr>
          <w:sz w:val="24"/>
          <w:szCs w:val="24"/>
        </w:rPr>
        <w:t>IMMI</w:t>
      </w:r>
      <w:r w:rsidR="00FE166B" w:rsidRPr="008A09B0">
        <w:rPr>
          <w:sz w:val="24"/>
          <w:szCs w:val="24"/>
        </w:rPr>
        <w:t xml:space="preserve"> 16/059 </w:t>
      </w:r>
      <w:r w:rsidRPr="008A09B0">
        <w:rPr>
          <w:sz w:val="24"/>
          <w:szCs w:val="24"/>
        </w:rPr>
        <w:t>will now be addressed in</w:t>
      </w:r>
      <w:r w:rsidR="008A09B0" w:rsidRPr="008A09B0">
        <w:rPr>
          <w:sz w:val="24"/>
          <w:szCs w:val="24"/>
        </w:rPr>
        <w:t xml:space="preserve"> instruments</w:t>
      </w:r>
      <w:r w:rsidR="00FE166B" w:rsidRPr="008A09B0">
        <w:rPr>
          <w:sz w:val="24"/>
          <w:szCs w:val="24"/>
        </w:rPr>
        <w:t>: Migration (IMMI 17/060: Specification of Occupations—Subclass 457 Visa) Instrument 2017</w:t>
      </w:r>
      <w:r w:rsidR="00FE166B" w:rsidRPr="00440ACF">
        <w:rPr>
          <w:sz w:val="24"/>
          <w:szCs w:val="24"/>
        </w:rPr>
        <w:t>; Migration (IMMI 17/071: Specification of Occupations—</w:t>
      </w:r>
      <w:r w:rsidR="00FE166B" w:rsidRPr="00440ACF">
        <w:rPr>
          <w:sz w:val="24"/>
        </w:rPr>
        <w:t>Subclass 407 Visa) Instrument 2017;</w:t>
      </w:r>
      <w:r w:rsidR="00FE166B" w:rsidRPr="008A09B0">
        <w:t xml:space="preserve"> </w:t>
      </w:r>
      <w:r w:rsidR="00FE166B" w:rsidRPr="00440ACF">
        <w:rPr>
          <w:sz w:val="24"/>
        </w:rPr>
        <w:t xml:space="preserve">Migration (IMMI 17/072: Specification of Occupations and Assessing Authorities) Instrument 2017 </w:t>
      </w:r>
      <w:r w:rsidR="00FE166B" w:rsidRPr="008A09B0">
        <w:rPr>
          <w:sz w:val="24"/>
        </w:rPr>
        <w:t>and</w:t>
      </w:r>
      <w:r w:rsidR="00FE166B" w:rsidRPr="00440ACF">
        <w:rPr>
          <w:sz w:val="24"/>
        </w:rPr>
        <w:t xml:space="preserve"> Migration (IMMI 17/080: Specification of Occupations and Assessing Authorities—Subclass 186 Visa) Instrument 2017</w:t>
      </w:r>
      <w:r w:rsidRPr="008A09B0">
        <w:rPr>
          <w:sz w:val="24"/>
          <w:szCs w:val="24"/>
        </w:rPr>
        <w:t>.</w:t>
      </w:r>
    </w:p>
    <w:p w14:paraId="269D5A48" w14:textId="40456BF2" w:rsidR="00770B35" w:rsidRPr="00DD48EF" w:rsidRDefault="00770B35" w:rsidP="00770B35">
      <w:pPr>
        <w:numPr>
          <w:ilvl w:val="0"/>
          <w:numId w:val="1"/>
        </w:numPr>
        <w:spacing w:before="360" w:line="360" w:lineRule="auto"/>
        <w:jc w:val="both"/>
        <w:rPr>
          <w:sz w:val="24"/>
        </w:rPr>
      </w:pPr>
      <w:r w:rsidRPr="00DD48EF">
        <w:rPr>
          <w:sz w:val="24"/>
        </w:rPr>
        <w:lastRenderedPageBreak/>
        <w:t>These instruments will specify occupations in regard to the occupations on the Medium and Long-term Strategic Skills List (MLTSSL) and the Short-term Skilled Occupation List (STSOL), in particular:</w:t>
      </w:r>
    </w:p>
    <w:p w14:paraId="7D9D4F66" w14:textId="2665C3A1" w:rsidR="00FE166B" w:rsidRPr="00440ACF" w:rsidRDefault="00D80BE5" w:rsidP="00440ACF">
      <w:pPr>
        <w:numPr>
          <w:ilvl w:val="1"/>
          <w:numId w:val="1"/>
        </w:numPr>
        <w:spacing w:before="360" w:line="360" w:lineRule="auto"/>
        <w:jc w:val="both"/>
        <w:rPr>
          <w:sz w:val="24"/>
        </w:rPr>
      </w:pPr>
      <w:r>
        <w:rPr>
          <w:sz w:val="24"/>
        </w:rPr>
        <w:t>i</w:t>
      </w:r>
      <w:r w:rsidR="00CF7F32" w:rsidRPr="00DD48EF">
        <w:rPr>
          <w:sz w:val="24"/>
        </w:rPr>
        <w:t xml:space="preserve">nstrument </w:t>
      </w:r>
      <w:r w:rsidR="00FE166B" w:rsidRPr="00440ACF">
        <w:rPr>
          <w:sz w:val="24"/>
        </w:rPr>
        <w:t xml:space="preserve">IMMI 17/060 </w:t>
      </w:r>
      <w:r w:rsidR="00CF7F32" w:rsidRPr="00440ACF">
        <w:rPr>
          <w:sz w:val="24"/>
        </w:rPr>
        <w:t>will</w:t>
      </w:r>
      <w:r w:rsidR="00FE166B" w:rsidRPr="00440ACF">
        <w:rPr>
          <w:sz w:val="24"/>
        </w:rPr>
        <w:t xml:space="preserve"> specify occupations for the purposes of</w:t>
      </w:r>
      <w:r w:rsidR="00770B35" w:rsidRPr="00440ACF">
        <w:rPr>
          <w:sz w:val="24"/>
        </w:rPr>
        <w:t xml:space="preserve"> Subclass 457 – Temporary Work (Skilled) visa</w:t>
      </w:r>
      <w:r w:rsidR="00DE742A" w:rsidRPr="00440ACF">
        <w:rPr>
          <w:sz w:val="24"/>
        </w:rPr>
        <w:t>s</w:t>
      </w:r>
      <w:r w:rsidR="00770B35" w:rsidRPr="00440ACF">
        <w:rPr>
          <w:sz w:val="24"/>
        </w:rPr>
        <w:t>;</w:t>
      </w:r>
      <w:r w:rsidR="00FE166B" w:rsidRPr="00440ACF">
        <w:rPr>
          <w:sz w:val="24"/>
        </w:rPr>
        <w:t xml:space="preserve">  </w:t>
      </w:r>
    </w:p>
    <w:p w14:paraId="16FBF4B1" w14:textId="34C9DFFF" w:rsidR="00770B35" w:rsidRPr="00440ACF" w:rsidRDefault="00D80BE5" w:rsidP="00440ACF">
      <w:pPr>
        <w:numPr>
          <w:ilvl w:val="1"/>
          <w:numId w:val="1"/>
        </w:numPr>
        <w:spacing w:before="360" w:line="360" w:lineRule="auto"/>
        <w:jc w:val="both"/>
        <w:rPr>
          <w:sz w:val="24"/>
        </w:rPr>
      </w:pPr>
      <w:r>
        <w:rPr>
          <w:sz w:val="24"/>
        </w:rPr>
        <w:t>i</w:t>
      </w:r>
      <w:r w:rsidR="00FE166B" w:rsidRPr="00440ACF">
        <w:rPr>
          <w:sz w:val="24"/>
        </w:rPr>
        <w:t xml:space="preserve">nstrument IMMI 17/071 will </w:t>
      </w:r>
      <w:r w:rsidR="00770B35" w:rsidRPr="00440ACF">
        <w:rPr>
          <w:sz w:val="24"/>
        </w:rPr>
        <w:t>specify occupations for the purposes of Subclass 407 (Training) visas;</w:t>
      </w:r>
    </w:p>
    <w:p w14:paraId="4DE854FA" w14:textId="53DD28D4" w:rsidR="00D80BE5" w:rsidRPr="000563F9" w:rsidRDefault="00D80BE5" w:rsidP="000563F9">
      <w:pPr>
        <w:numPr>
          <w:ilvl w:val="1"/>
          <w:numId w:val="1"/>
        </w:numPr>
        <w:spacing w:before="360" w:line="360" w:lineRule="auto"/>
        <w:jc w:val="both"/>
        <w:rPr>
          <w:sz w:val="24"/>
        </w:rPr>
      </w:pPr>
      <w:proofErr w:type="gramStart"/>
      <w:r>
        <w:rPr>
          <w:sz w:val="24"/>
        </w:rPr>
        <w:t>i</w:t>
      </w:r>
      <w:r w:rsidR="00FE166B" w:rsidRPr="00440ACF">
        <w:rPr>
          <w:sz w:val="24"/>
        </w:rPr>
        <w:t>nstrument</w:t>
      </w:r>
      <w:proofErr w:type="gramEnd"/>
      <w:r w:rsidR="00FE166B" w:rsidRPr="00440ACF">
        <w:rPr>
          <w:sz w:val="24"/>
        </w:rPr>
        <w:t xml:space="preserve"> IMMI 17/072 will</w:t>
      </w:r>
      <w:r w:rsidR="00770B35" w:rsidRPr="00440ACF">
        <w:rPr>
          <w:sz w:val="24"/>
        </w:rPr>
        <w:t>:</w:t>
      </w:r>
      <w:r w:rsidR="00FE166B" w:rsidRPr="00440ACF">
        <w:rPr>
          <w:sz w:val="24"/>
        </w:rPr>
        <w:t xml:space="preserve"> </w:t>
      </w:r>
      <w:r w:rsidR="00770B35" w:rsidRPr="00440ACF">
        <w:rPr>
          <w:sz w:val="24"/>
        </w:rPr>
        <w:t xml:space="preserve">specify occupations for the purposes of </w:t>
      </w:r>
      <w:r w:rsidR="000563F9">
        <w:rPr>
          <w:sz w:val="24"/>
        </w:rPr>
        <w:t xml:space="preserve">Subclass 189 (Skilled-Independent) visa, Subclass 489 (Skilled-Regional (Provisional)) visa, Subclass 485 (Temporary Graduate) visa, Subclass 190 (Skilled-Nominated) visa and Subclass 489 (Skilled-Regional (Provisional)) visa. </w:t>
      </w:r>
      <w:r w:rsidR="00770B35" w:rsidRPr="000563F9">
        <w:rPr>
          <w:sz w:val="24"/>
        </w:rPr>
        <w:t>This instrument will also specify the meaning of ANZSCO</w:t>
      </w:r>
      <w:r w:rsidR="000B6F59" w:rsidRPr="000563F9">
        <w:rPr>
          <w:sz w:val="24"/>
        </w:rPr>
        <w:t xml:space="preserve"> </w:t>
      </w:r>
      <w:r w:rsidRPr="000563F9">
        <w:rPr>
          <w:sz w:val="24"/>
        </w:rPr>
        <w:t xml:space="preserve">for the purposes of regulation 1.03, </w:t>
      </w:r>
      <w:r w:rsidR="00770B35" w:rsidRPr="000563F9">
        <w:rPr>
          <w:sz w:val="24"/>
        </w:rPr>
        <w:t xml:space="preserve">specify persons and bodies as relevant assessing authorities for the purposes of </w:t>
      </w:r>
      <w:proofErr w:type="spellStart"/>
      <w:r w:rsidR="00770B35" w:rsidRPr="000563F9">
        <w:rPr>
          <w:sz w:val="24"/>
        </w:rPr>
        <w:t>subregulation</w:t>
      </w:r>
      <w:proofErr w:type="spellEnd"/>
      <w:r w:rsidR="00770B35" w:rsidRPr="000563F9">
        <w:rPr>
          <w:sz w:val="24"/>
        </w:rPr>
        <w:t xml:space="preserve"> 2.26B(1)</w:t>
      </w:r>
      <w:r w:rsidRPr="000563F9">
        <w:rPr>
          <w:sz w:val="24"/>
        </w:rPr>
        <w:t>,</w:t>
      </w:r>
      <w:r w:rsidR="00770B35" w:rsidRPr="000563F9">
        <w:rPr>
          <w:sz w:val="24"/>
        </w:rPr>
        <w:t xml:space="preserve"> </w:t>
      </w:r>
      <w:r w:rsidR="00DD48EF" w:rsidRPr="000563F9">
        <w:rPr>
          <w:sz w:val="24"/>
        </w:rPr>
        <w:t xml:space="preserve">and </w:t>
      </w:r>
      <w:r w:rsidR="00770B35" w:rsidRPr="000563F9">
        <w:rPr>
          <w:sz w:val="24"/>
        </w:rPr>
        <w:t xml:space="preserve">specify skilled occupations applicable </w:t>
      </w:r>
      <w:r w:rsidRPr="000563F9">
        <w:rPr>
          <w:sz w:val="24"/>
        </w:rPr>
        <w:t xml:space="preserve">for </w:t>
      </w:r>
      <w:r w:rsidR="00770B35" w:rsidRPr="000563F9">
        <w:rPr>
          <w:sz w:val="24"/>
        </w:rPr>
        <w:t xml:space="preserve">the class for the purposes of  </w:t>
      </w:r>
      <w:proofErr w:type="spellStart"/>
      <w:r w:rsidR="00770B35" w:rsidRPr="000563F9">
        <w:rPr>
          <w:sz w:val="24"/>
        </w:rPr>
        <w:t>subregulation</w:t>
      </w:r>
      <w:proofErr w:type="spellEnd"/>
      <w:r w:rsidR="00770B35" w:rsidRPr="000563F9">
        <w:rPr>
          <w:sz w:val="24"/>
        </w:rPr>
        <w:t xml:space="preserve"> 1.15I(1); and </w:t>
      </w:r>
    </w:p>
    <w:p w14:paraId="68664F7A" w14:textId="5A72FBD0" w:rsidR="003C12E9" w:rsidRPr="00D80BE5" w:rsidRDefault="00D80BE5" w:rsidP="00D80BE5">
      <w:pPr>
        <w:numPr>
          <w:ilvl w:val="1"/>
          <w:numId w:val="1"/>
        </w:numPr>
        <w:spacing w:before="360" w:line="360" w:lineRule="auto"/>
        <w:jc w:val="both"/>
        <w:rPr>
          <w:sz w:val="24"/>
        </w:rPr>
      </w:pPr>
      <w:proofErr w:type="gramStart"/>
      <w:r>
        <w:rPr>
          <w:sz w:val="24"/>
          <w:szCs w:val="24"/>
        </w:rPr>
        <w:t>i</w:t>
      </w:r>
      <w:r w:rsidR="00770B35" w:rsidRPr="00D80BE5">
        <w:rPr>
          <w:sz w:val="24"/>
          <w:szCs w:val="24"/>
        </w:rPr>
        <w:t>nstrument</w:t>
      </w:r>
      <w:proofErr w:type="gramEnd"/>
      <w:r w:rsidR="00770B35" w:rsidRPr="00D80BE5">
        <w:rPr>
          <w:sz w:val="24"/>
          <w:szCs w:val="24"/>
        </w:rPr>
        <w:t xml:space="preserve"> IMMI 17/080 will specify occupations </w:t>
      </w:r>
      <w:r w:rsidR="00D45E57">
        <w:rPr>
          <w:sz w:val="24"/>
          <w:szCs w:val="24"/>
        </w:rPr>
        <w:t xml:space="preserve">and assessing authorities </w:t>
      </w:r>
      <w:r w:rsidR="00770B35" w:rsidRPr="00D80BE5">
        <w:rPr>
          <w:sz w:val="24"/>
          <w:szCs w:val="24"/>
        </w:rPr>
        <w:t xml:space="preserve">for the purposes of Subclass 186 </w:t>
      </w:r>
      <w:r w:rsidR="000563F9">
        <w:rPr>
          <w:sz w:val="24"/>
          <w:szCs w:val="24"/>
        </w:rPr>
        <w:t>(Employer Nomination Scheme) visa.</w:t>
      </w:r>
    </w:p>
    <w:p w14:paraId="3803E831" w14:textId="77777777" w:rsidR="003C12E9" w:rsidRDefault="003C12E9" w:rsidP="003C12E9">
      <w:pPr>
        <w:numPr>
          <w:ilvl w:val="0"/>
          <w:numId w:val="1"/>
        </w:numPr>
        <w:spacing w:before="360" w:line="360" w:lineRule="auto"/>
        <w:jc w:val="both"/>
        <w:rPr>
          <w:sz w:val="24"/>
        </w:rPr>
      </w:pPr>
      <w:r w:rsidRPr="003C12E9">
        <w:rPr>
          <w:sz w:val="24"/>
        </w:rPr>
        <w:t xml:space="preserve">Consultation was undertaken with the Department of Education and Training, the Department of Employment, the Department of Foreign Affairs and Trade, the Department of Industry, Innovation and Science, the Department of Health, the Department of Communications and the Arts, the Department of Infrastructure and Regional Development, the Department of Agriculture and Water Resources, the Australian Research Council and Austrade. </w:t>
      </w:r>
    </w:p>
    <w:p w14:paraId="08EF76B9" w14:textId="77777777" w:rsidR="003C12E9" w:rsidRPr="00D45E57" w:rsidRDefault="003C12E9" w:rsidP="003C12E9">
      <w:pPr>
        <w:numPr>
          <w:ilvl w:val="0"/>
          <w:numId w:val="1"/>
        </w:numPr>
        <w:spacing w:before="360" w:line="360" w:lineRule="auto"/>
        <w:jc w:val="both"/>
        <w:rPr>
          <w:sz w:val="24"/>
        </w:rPr>
      </w:pPr>
      <w:r>
        <w:rPr>
          <w:sz w:val="24"/>
          <w:szCs w:val="24"/>
        </w:rPr>
        <w:t xml:space="preserve">The </w:t>
      </w:r>
      <w:r w:rsidRPr="00770B35">
        <w:rPr>
          <w:sz w:val="24"/>
          <w:szCs w:val="24"/>
        </w:rPr>
        <w:t>Office of Best Practice Regulation (OBPR) has advised that a Regulatory Impact Statement is not required (</w:t>
      </w:r>
      <w:r w:rsidRPr="00D45E57">
        <w:rPr>
          <w:sz w:val="24"/>
          <w:szCs w:val="24"/>
        </w:rPr>
        <w:t>OBPR Reference 22495).</w:t>
      </w:r>
    </w:p>
    <w:p w14:paraId="0B6E83E6" w14:textId="30E80406" w:rsidR="00DD48EF" w:rsidRPr="00DD48EF" w:rsidRDefault="00CF7F32" w:rsidP="00DD48EF">
      <w:pPr>
        <w:numPr>
          <w:ilvl w:val="0"/>
          <w:numId w:val="1"/>
        </w:numPr>
        <w:spacing w:before="360" w:line="360" w:lineRule="auto"/>
        <w:jc w:val="both"/>
        <w:rPr>
          <w:iCs/>
          <w:sz w:val="24"/>
          <w:szCs w:val="24"/>
        </w:rPr>
      </w:pPr>
      <w:r w:rsidRPr="00440ACF">
        <w:rPr>
          <w:sz w:val="24"/>
          <w:szCs w:val="24"/>
        </w:rPr>
        <w:t xml:space="preserve">Under section 10 of the </w:t>
      </w:r>
      <w:r w:rsidRPr="00440ACF">
        <w:rPr>
          <w:i/>
          <w:iCs/>
          <w:sz w:val="24"/>
          <w:szCs w:val="24"/>
        </w:rPr>
        <w:t>Legislation (Exemptions and other Matters) Regulation 2015</w:t>
      </w:r>
      <w:r w:rsidRPr="00440ACF">
        <w:rPr>
          <w:iCs/>
          <w:sz w:val="24"/>
          <w:szCs w:val="24"/>
        </w:rPr>
        <w:t xml:space="preserve">, the instrument making powers in </w:t>
      </w:r>
      <w:r w:rsidR="00DD48EF" w:rsidRPr="00DD48EF">
        <w:rPr>
          <w:iCs/>
          <w:sz w:val="24"/>
          <w:szCs w:val="24"/>
        </w:rPr>
        <w:t xml:space="preserve">regulation 1.03; </w:t>
      </w:r>
      <w:proofErr w:type="spellStart"/>
      <w:r w:rsidR="00DD48EF" w:rsidRPr="00DD48EF">
        <w:rPr>
          <w:iCs/>
          <w:sz w:val="24"/>
          <w:szCs w:val="24"/>
        </w:rPr>
        <w:t>subregulations</w:t>
      </w:r>
      <w:proofErr w:type="spellEnd"/>
      <w:r w:rsidR="00DD48EF" w:rsidRPr="00DD48EF">
        <w:rPr>
          <w:iCs/>
          <w:sz w:val="24"/>
          <w:szCs w:val="24"/>
        </w:rPr>
        <w:t xml:space="preserve"> 1.15I(1) and 2.26B(1);</w:t>
      </w:r>
      <w:r w:rsidR="00DD48EF">
        <w:rPr>
          <w:iCs/>
          <w:sz w:val="24"/>
          <w:szCs w:val="24"/>
        </w:rPr>
        <w:t xml:space="preserve"> </w:t>
      </w:r>
      <w:r w:rsidR="00DD48EF" w:rsidRPr="00DD48EF">
        <w:rPr>
          <w:iCs/>
          <w:sz w:val="24"/>
          <w:szCs w:val="24"/>
        </w:rPr>
        <w:t>sub subparagraph 5.19(4)(h)(</w:t>
      </w:r>
      <w:proofErr w:type="spellStart"/>
      <w:r w:rsidR="00DD48EF" w:rsidRPr="00DD48EF">
        <w:rPr>
          <w:iCs/>
          <w:sz w:val="24"/>
          <w:szCs w:val="24"/>
        </w:rPr>
        <w:t>i</w:t>
      </w:r>
      <w:proofErr w:type="spellEnd"/>
      <w:r w:rsidR="00DD48EF" w:rsidRPr="00DD48EF">
        <w:rPr>
          <w:iCs/>
          <w:sz w:val="24"/>
          <w:szCs w:val="24"/>
        </w:rPr>
        <w:t xml:space="preserve">)(A); </w:t>
      </w:r>
      <w:proofErr w:type="spellStart"/>
      <w:r w:rsidR="00DD48EF" w:rsidRPr="00DD48EF">
        <w:rPr>
          <w:iCs/>
          <w:sz w:val="24"/>
          <w:szCs w:val="24"/>
        </w:rPr>
        <w:t>subitem</w:t>
      </w:r>
      <w:proofErr w:type="spellEnd"/>
      <w:r w:rsidR="00DD48EF" w:rsidRPr="00DD48EF">
        <w:rPr>
          <w:iCs/>
          <w:sz w:val="24"/>
          <w:szCs w:val="24"/>
        </w:rPr>
        <w:t xml:space="preserve"> 1137(4C) of Schedule 1; item 4 </w:t>
      </w:r>
      <w:r w:rsidR="00DD48EF" w:rsidRPr="00DD48EF">
        <w:rPr>
          <w:iCs/>
          <w:sz w:val="24"/>
          <w:szCs w:val="24"/>
        </w:rPr>
        <w:lastRenderedPageBreak/>
        <w:t xml:space="preserve">of the table in </w:t>
      </w:r>
      <w:proofErr w:type="spellStart"/>
      <w:r w:rsidR="00DD48EF" w:rsidRPr="00DD48EF">
        <w:rPr>
          <w:iCs/>
          <w:sz w:val="24"/>
          <w:szCs w:val="24"/>
        </w:rPr>
        <w:t>subitem</w:t>
      </w:r>
      <w:proofErr w:type="spellEnd"/>
      <w:r w:rsidR="00DD48EF" w:rsidRPr="00DD48EF">
        <w:rPr>
          <w:iCs/>
          <w:sz w:val="24"/>
          <w:szCs w:val="24"/>
        </w:rPr>
        <w:t xml:space="preserve"> 1138(4) of Schedule 1; paragraph 1229(3)(k) of Schedule 1; item 4 of the table in </w:t>
      </w:r>
      <w:proofErr w:type="spellStart"/>
      <w:r w:rsidR="00DD48EF" w:rsidRPr="00DD48EF">
        <w:rPr>
          <w:iCs/>
          <w:sz w:val="24"/>
          <w:szCs w:val="24"/>
        </w:rPr>
        <w:t>subitem</w:t>
      </w:r>
      <w:proofErr w:type="spellEnd"/>
      <w:r w:rsidR="00DD48EF" w:rsidRPr="00DD48EF">
        <w:rPr>
          <w:iCs/>
          <w:sz w:val="24"/>
          <w:szCs w:val="24"/>
        </w:rPr>
        <w:t xml:space="preserve"> 1230(4) of Schedule 1; and paragraph 186.234(2)(a) of Schedule 2 </w:t>
      </w:r>
      <w:r w:rsidR="00DD48EF">
        <w:rPr>
          <w:iCs/>
          <w:sz w:val="24"/>
          <w:szCs w:val="24"/>
        </w:rPr>
        <w:t>to</w:t>
      </w:r>
      <w:r w:rsidR="00DD48EF" w:rsidRPr="00DD48EF">
        <w:rPr>
          <w:iCs/>
          <w:sz w:val="24"/>
          <w:szCs w:val="24"/>
        </w:rPr>
        <w:t xml:space="preserve"> the </w:t>
      </w:r>
      <w:r w:rsidR="00DD48EF" w:rsidRPr="00DD48EF">
        <w:rPr>
          <w:sz w:val="24"/>
          <w:szCs w:val="24"/>
          <w:lang w:val="en-US"/>
        </w:rPr>
        <w:t>Regulations</w:t>
      </w:r>
      <w:r w:rsidRPr="00440ACF">
        <w:rPr>
          <w:sz w:val="24"/>
          <w:szCs w:val="24"/>
        </w:rPr>
        <w:t xml:space="preserve"> are exempt from disallowance. </w:t>
      </w:r>
      <w:r w:rsidR="00DD48EF" w:rsidRPr="00DD48EF">
        <w:rPr>
          <w:sz w:val="24"/>
          <w:szCs w:val="24"/>
        </w:rPr>
        <w:t>The powers under paragraphs 2.72(10)(aa) and 2.72B(3)(b)</w:t>
      </w:r>
      <w:r w:rsidRPr="00440ACF">
        <w:rPr>
          <w:sz w:val="24"/>
          <w:szCs w:val="24"/>
        </w:rPr>
        <w:t xml:space="preserve"> </w:t>
      </w:r>
      <w:r w:rsidR="00DD48EF" w:rsidRPr="00DD48EF">
        <w:rPr>
          <w:sz w:val="24"/>
          <w:szCs w:val="24"/>
        </w:rPr>
        <w:t>are</w:t>
      </w:r>
      <w:r w:rsidRPr="00440ACF">
        <w:rPr>
          <w:sz w:val="24"/>
          <w:szCs w:val="24"/>
        </w:rPr>
        <w:t xml:space="preserve"> subject to disallowance under section 42 of the </w:t>
      </w:r>
      <w:r w:rsidRPr="00440ACF">
        <w:rPr>
          <w:i/>
          <w:iCs/>
          <w:sz w:val="24"/>
          <w:szCs w:val="24"/>
        </w:rPr>
        <w:t xml:space="preserve">Legislation Act 2003 </w:t>
      </w:r>
      <w:r w:rsidRPr="00440ACF">
        <w:rPr>
          <w:sz w:val="24"/>
          <w:szCs w:val="24"/>
        </w:rPr>
        <w:t>and a Statement of Compatibility with Human Rights has been provided</w:t>
      </w:r>
      <w:r w:rsidR="00D45E57">
        <w:rPr>
          <w:sz w:val="24"/>
          <w:szCs w:val="24"/>
        </w:rPr>
        <w:t xml:space="preserve"> at Attachment A.</w:t>
      </w:r>
    </w:p>
    <w:p w14:paraId="29C6CA33" w14:textId="77777777" w:rsidR="00CF7F32" w:rsidRPr="00D45E57" w:rsidRDefault="00CF7F32" w:rsidP="00DD48EF">
      <w:pPr>
        <w:numPr>
          <w:ilvl w:val="0"/>
          <w:numId w:val="1"/>
        </w:numPr>
        <w:spacing w:before="360" w:line="360" w:lineRule="auto"/>
        <w:jc w:val="both"/>
        <w:rPr>
          <w:iCs/>
          <w:sz w:val="24"/>
          <w:szCs w:val="24"/>
        </w:rPr>
      </w:pPr>
      <w:r w:rsidRPr="00DD48EF">
        <w:rPr>
          <w:sz w:val="24"/>
        </w:rPr>
        <w:t xml:space="preserve">The instrument commences on 1 July 2017.  </w:t>
      </w:r>
    </w:p>
    <w:p w14:paraId="6A6D50C1" w14:textId="77777777" w:rsidR="00D45E57" w:rsidRPr="00DD48EF" w:rsidRDefault="00D45E57" w:rsidP="00D45E57">
      <w:pPr>
        <w:spacing w:before="360" w:line="360" w:lineRule="auto"/>
        <w:ind w:left="284"/>
        <w:jc w:val="both"/>
        <w:rPr>
          <w:iCs/>
          <w:sz w:val="24"/>
          <w:szCs w:val="24"/>
        </w:rPr>
      </w:pPr>
    </w:p>
    <w:p w14:paraId="0B25A274" w14:textId="543AFFFF" w:rsidR="00D45E57" w:rsidRDefault="00D45E57">
      <w:pPr>
        <w:spacing w:after="200" w:line="276" w:lineRule="auto"/>
        <w:rPr>
          <w:sz w:val="24"/>
          <w:szCs w:val="24"/>
        </w:rPr>
      </w:pPr>
      <w:r>
        <w:rPr>
          <w:sz w:val="24"/>
          <w:szCs w:val="24"/>
        </w:rPr>
        <w:br w:type="page"/>
      </w:r>
    </w:p>
    <w:p w14:paraId="03FCF159" w14:textId="77777777" w:rsidR="00D45E57" w:rsidRDefault="00D45E57" w:rsidP="00D45E57">
      <w:pPr>
        <w:spacing w:after="120"/>
        <w:rPr>
          <w:b/>
          <w:sz w:val="24"/>
        </w:rPr>
      </w:pPr>
      <w:r>
        <w:rPr>
          <w:b/>
          <w:sz w:val="24"/>
        </w:rPr>
        <w:lastRenderedPageBreak/>
        <w:t xml:space="preserve">Attachment </w:t>
      </w:r>
      <w:proofErr w:type="gramStart"/>
      <w:r>
        <w:rPr>
          <w:b/>
          <w:sz w:val="24"/>
        </w:rPr>
        <w:t>A</w:t>
      </w:r>
      <w:proofErr w:type="gramEnd"/>
      <w:r w:rsidRPr="00816741">
        <w:rPr>
          <w:b/>
          <w:sz w:val="24"/>
        </w:rPr>
        <w:t xml:space="preserve"> – Statement of Compatibility with Human Rights</w:t>
      </w:r>
    </w:p>
    <w:p w14:paraId="2D5ACFD5" w14:textId="77777777" w:rsidR="00194015" w:rsidRPr="00D664E6" w:rsidRDefault="00194015" w:rsidP="00194015">
      <w:pPr>
        <w:spacing w:before="360" w:after="120"/>
        <w:jc w:val="center"/>
        <w:rPr>
          <w:b/>
          <w:sz w:val="28"/>
          <w:szCs w:val="28"/>
        </w:rPr>
      </w:pPr>
      <w:r w:rsidRPr="00D664E6">
        <w:rPr>
          <w:b/>
          <w:sz w:val="28"/>
          <w:szCs w:val="28"/>
        </w:rPr>
        <w:t>Statement of Compatibility with Human Rights</w:t>
      </w:r>
    </w:p>
    <w:p w14:paraId="0FE3DE72" w14:textId="77777777" w:rsidR="00194015" w:rsidRPr="00D664E6" w:rsidRDefault="00194015" w:rsidP="00194015">
      <w:pPr>
        <w:spacing w:before="120" w:after="120"/>
        <w:jc w:val="center"/>
        <w:rPr>
          <w:sz w:val="24"/>
          <w:szCs w:val="24"/>
        </w:rPr>
      </w:pPr>
      <w:r w:rsidRPr="00D664E6">
        <w:rPr>
          <w:i/>
          <w:sz w:val="24"/>
          <w:szCs w:val="24"/>
        </w:rPr>
        <w:t>Prepared in accordance with Part 3 of the Human Rights (Parliamentary Scrutiny) Act 2011</w:t>
      </w:r>
    </w:p>
    <w:p w14:paraId="33D97A81" w14:textId="77777777" w:rsidR="00194015" w:rsidRPr="00D664E6" w:rsidRDefault="00194015" w:rsidP="00194015">
      <w:pPr>
        <w:spacing w:before="120" w:after="120"/>
        <w:jc w:val="center"/>
        <w:rPr>
          <w:sz w:val="24"/>
          <w:szCs w:val="24"/>
        </w:rPr>
      </w:pPr>
    </w:p>
    <w:p w14:paraId="393D7E75" w14:textId="326DE58A" w:rsidR="00194015" w:rsidRPr="00CE2242" w:rsidRDefault="00194015" w:rsidP="00194015">
      <w:pPr>
        <w:spacing w:before="120" w:after="120"/>
        <w:jc w:val="center"/>
        <w:rPr>
          <w:b/>
          <w:i/>
          <w:sz w:val="24"/>
          <w:szCs w:val="24"/>
        </w:rPr>
      </w:pPr>
      <w:r>
        <w:rPr>
          <w:b/>
          <w:bCs/>
          <w:sz w:val="24"/>
          <w:szCs w:val="24"/>
        </w:rPr>
        <w:t xml:space="preserve">Migration (IMMI 17/081: </w:t>
      </w:r>
      <w:r w:rsidRPr="00CE2242">
        <w:rPr>
          <w:b/>
          <w:bCs/>
          <w:sz w:val="24"/>
          <w:szCs w:val="24"/>
        </w:rPr>
        <w:t>Specification of Occupations, a Person or Body, a Country or Countries</w:t>
      </w:r>
      <w:r>
        <w:rPr>
          <w:b/>
          <w:bCs/>
          <w:sz w:val="24"/>
          <w:szCs w:val="24"/>
        </w:rPr>
        <w:t>)</w:t>
      </w:r>
      <w:r w:rsidRPr="00CE2242">
        <w:rPr>
          <w:b/>
          <w:bCs/>
          <w:sz w:val="24"/>
          <w:szCs w:val="24"/>
        </w:rPr>
        <w:t xml:space="preserve"> </w:t>
      </w:r>
      <w:r>
        <w:rPr>
          <w:b/>
          <w:bCs/>
          <w:sz w:val="24"/>
          <w:szCs w:val="24"/>
        </w:rPr>
        <w:t>Repeal</w:t>
      </w:r>
      <w:r w:rsidRPr="00CE2242">
        <w:rPr>
          <w:b/>
          <w:bCs/>
          <w:sz w:val="24"/>
          <w:szCs w:val="24"/>
        </w:rPr>
        <w:t xml:space="preserve"> Instrument </w:t>
      </w:r>
      <w:r>
        <w:rPr>
          <w:b/>
          <w:bCs/>
          <w:sz w:val="24"/>
          <w:szCs w:val="24"/>
        </w:rPr>
        <w:t>2017</w:t>
      </w:r>
    </w:p>
    <w:p w14:paraId="07290EF2" w14:textId="77777777" w:rsidR="00194015" w:rsidRDefault="00194015" w:rsidP="00194015">
      <w:pPr>
        <w:spacing w:before="120" w:after="120"/>
        <w:jc w:val="center"/>
        <w:rPr>
          <w:sz w:val="24"/>
          <w:szCs w:val="24"/>
        </w:rPr>
      </w:pPr>
    </w:p>
    <w:p w14:paraId="4D2F157B" w14:textId="77777777" w:rsidR="00194015" w:rsidRPr="00D664E6" w:rsidRDefault="00194015" w:rsidP="00194015">
      <w:pPr>
        <w:spacing w:before="120" w:after="120"/>
        <w:jc w:val="center"/>
        <w:rPr>
          <w:sz w:val="24"/>
          <w:szCs w:val="24"/>
        </w:rPr>
      </w:pPr>
      <w:r w:rsidRPr="00D664E6">
        <w:rPr>
          <w:sz w:val="24"/>
          <w:szCs w:val="24"/>
        </w:rPr>
        <w:t xml:space="preserve">This Legislative Instrument is compatible with the human rights and freedoms recognised or declared in the international instruments listed in section 3 of the </w:t>
      </w:r>
      <w:r>
        <w:rPr>
          <w:i/>
          <w:sz w:val="24"/>
          <w:szCs w:val="24"/>
        </w:rPr>
        <w:t>Human Rights </w:t>
      </w:r>
      <w:r w:rsidRPr="00D664E6">
        <w:rPr>
          <w:i/>
          <w:sz w:val="24"/>
          <w:szCs w:val="24"/>
        </w:rPr>
        <w:t>(Parliamentary Scrutiny) Act 2011</w:t>
      </w:r>
      <w:r w:rsidRPr="00D664E6">
        <w:rPr>
          <w:sz w:val="24"/>
          <w:szCs w:val="24"/>
        </w:rPr>
        <w:t>.</w:t>
      </w:r>
    </w:p>
    <w:p w14:paraId="2257F909" w14:textId="77777777" w:rsidR="00194015" w:rsidRPr="00D664E6" w:rsidRDefault="00194015" w:rsidP="00194015">
      <w:pPr>
        <w:spacing w:before="120" w:after="120"/>
        <w:jc w:val="center"/>
        <w:rPr>
          <w:sz w:val="24"/>
          <w:szCs w:val="24"/>
        </w:rPr>
      </w:pPr>
    </w:p>
    <w:p w14:paraId="23F99095" w14:textId="77777777" w:rsidR="00194015" w:rsidRPr="00CE2242" w:rsidRDefault="00194015" w:rsidP="00194015">
      <w:pPr>
        <w:spacing w:before="120" w:after="120"/>
        <w:jc w:val="both"/>
        <w:rPr>
          <w:b/>
          <w:sz w:val="24"/>
          <w:szCs w:val="24"/>
        </w:rPr>
      </w:pPr>
      <w:r w:rsidRPr="00CE2242">
        <w:rPr>
          <w:b/>
          <w:bCs/>
          <w:sz w:val="24"/>
          <w:szCs w:val="24"/>
        </w:rPr>
        <w:t xml:space="preserve">Overview of the Specification of Occupations, a Person or Body, a Country or Countries </w:t>
      </w:r>
      <w:r>
        <w:rPr>
          <w:b/>
          <w:bCs/>
          <w:sz w:val="24"/>
          <w:szCs w:val="24"/>
        </w:rPr>
        <w:t>Repeal</w:t>
      </w:r>
      <w:r w:rsidRPr="00CE2242">
        <w:rPr>
          <w:b/>
          <w:bCs/>
          <w:sz w:val="24"/>
          <w:szCs w:val="24"/>
        </w:rPr>
        <w:t xml:space="preserve"> Instrument</w:t>
      </w:r>
    </w:p>
    <w:p w14:paraId="382C7474" w14:textId="77777777" w:rsidR="00194015" w:rsidRPr="002A2B50" w:rsidRDefault="00194015" w:rsidP="00194015">
      <w:pPr>
        <w:pStyle w:val="subsection"/>
        <w:ind w:left="0" w:firstLine="0"/>
        <w:jc w:val="both"/>
        <w:rPr>
          <w:rFonts w:eastAsiaTheme="minorHAnsi"/>
          <w:color w:val="000000"/>
          <w:sz w:val="24"/>
          <w:szCs w:val="24"/>
          <w:lang w:eastAsia="en-US"/>
        </w:rPr>
      </w:pPr>
      <w:r w:rsidRPr="002A2B50">
        <w:rPr>
          <w:rFonts w:eastAsiaTheme="minorHAnsi"/>
          <w:color w:val="000000"/>
          <w:sz w:val="24"/>
          <w:szCs w:val="24"/>
          <w:lang w:eastAsia="en-US"/>
        </w:rPr>
        <w:t xml:space="preserve">This Instrument (IMMI 17/081) repeals the Instrument ‘Specification of Occupations, a Person or Body, a Country or Countries 2016/059’ (IMMI 16/059) (F2016C01004) in accordance with subsection 33(3) of the </w:t>
      </w:r>
      <w:r w:rsidRPr="002A2B50">
        <w:rPr>
          <w:rFonts w:eastAsiaTheme="minorHAnsi"/>
          <w:i/>
          <w:color w:val="000000"/>
          <w:sz w:val="24"/>
          <w:szCs w:val="24"/>
          <w:lang w:eastAsia="en-US"/>
        </w:rPr>
        <w:t>Acts Interpretation Act 1901</w:t>
      </w:r>
      <w:r w:rsidRPr="002A2B50">
        <w:rPr>
          <w:rFonts w:eastAsiaTheme="minorHAnsi"/>
          <w:color w:val="000000"/>
          <w:sz w:val="24"/>
          <w:szCs w:val="24"/>
          <w:lang w:eastAsia="en-US"/>
        </w:rPr>
        <w:t>.</w:t>
      </w:r>
    </w:p>
    <w:p w14:paraId="1C7C5531" w14:textId="77777777" w:rsidR="00194015" w:rsidRPr="002A2B50" w:rsidRDefault="00194015" w:rsidP="00194015">
      <w:pPr>
        <w:pStyle w:val="Default"/>
      </w:pPr>
    </w:p>
    <w:p w14:paraId="68DD047A" w14:textId="77777777" w:rsidR="00194015" w:rsidRPr="002A2B50" w:rsidRDefault="00194015" w:rsidP="00194015">
      <w:pPr>
        <w:pStyle w:val="Default"/>
      </w:pPr>
      <w:r w:rsidRPr="002A2B50">
        <w:t xml:space="preserve">Instrument IMMI 16/059 specifies skilled occupations in regard to the occupations on the Medium and Long-term Strategic Skills List (MLTSSL) and the Short-term Skilled Occupations List (STSOL) for: </w:t>
      </w:r>
    </w:p>
    <w:p w14:paraId="0201A7B2" w14:textId="77777777" w:rsidR="00194015" w:rsidRPr="002A2B50" w:rsidRDefault="00194015" w:rsidP="00194015">
      <w:pPr>
        <w:pStyle w:val="ListParagraph"/>
        <w:numPr>
          <w:ilvl w:val="0"/>
          <w:numId w:val="5"/>
        </w:numPr>
        <w:spacing w:before="120" w:after="120" w:line="276" w:lineRule="auto"/>
        <w:jc w:val="both"/>
        <w:rPr>
          <w:color w:val="000000"/>
          <w:sz w:val="24"/>
          <w:szCs w:val="24"/>
        </w:rPr>
      </w:pPr>
      <w:r w:rsidRPr="002A2B50">
        <w:rPr>
          <w:color w:val="000000"/>
          <w:sz w:val="24"/>
          <w:szCs w:val="24"/>
        </w:rPr>
        <w:t xml:space="preserve">the Skilled Independent (subclass 189) visa; </w:t>
      </w:r>
    </w:p>
    <w:p w14:paraId="148B164F" w14:textId="77777777" w:rsidR="00194015" w:rsidRPr="002A2B50" w:rsidRDefault="00194015" w:rsidP="00194015">
      <w:pPr>
        <w:pStyle w:val="ListParagraph"/>
        <w:widowControl w:val="0"/>
        <w:numPr>
          <w:ilvl w:val="0"/>
          <w:numId w:val="5"/>
        </w:numPr>
        <w:adjustRightInd w:val="0"/>
        <w:spacing w:before="120" w:after="120" w:line="360" w:lineRule="atLeast"/>
        <w:contextualSpacing w:val="0"/>
        <w:jc w:val="both"/>
        <w:rPr>
          <w:color w:val="000000"/>
          <w:sz w:val="24"/>
          <w:szCs w:val="24"/>
        </w:rPr>
      </w:pPr>
      <w:r w:rsidRPr="002A2B50">
        <w:rPr>
          <w:color w:val="000000"/>
          <w:sz w:val="24"/>
          <w:szCs w:val="24"/>
        </w:rPr>
        <w:t>the Skilled Regional (Provisional) (subclass 489) visa</w:t>
      </w:r>
    </w:p>
    <w:p w14:paraId="36E3827C" w14:textId="77777777" w:rsidR="00194015" w:rsidRPr="002A2B50" w:rsidRDefault="00194015" w:rsidP="00194015">
      <w:pPr>
        <w:pStyle w:val="ListParagraph"/>
        <w:widowControl w:val="0"/>
        <w:numPr>
          <w:ilvl w:val="0"/>
          <w:numId w:val="5"/>
        </w:numPr>
        <w:adjustRightInd w:val="0"/>
        <w:spacing w:before="120" w:after="120" w:line="360" w:lineRule="atLeast"/>
        <w:contextualSpacing w:val="0"/>
        <w:jc w:val="both"/>
        <w:rPr>
          <w:color w:val="000000"/>
          <w:sz w:val="24"/>
          <w:szCs w:val="24"/>
        </w:rPr>
      </w:pPr>
      <w:r w:rsidRPr="002A2B50">
        <w:rPr>
          <w:color w:val="000000"/>
          <w:sz w:val="24"/>
          <w:szCs w:val="24"/>
        </w:rPr>
        <w:t>the Temporary Graduate (subclass 485) visa</w:t>
      </w:r>
    </w:p>
    <w:p w14:paraId="511198DA" w14:textId="77777777" w:rsidR="00194015" w:rsidRPr="002A2B50" w:rsidRDefault="00194015" w:rsidP="00194015">
      <w:pPr>
        <w:pStyle w:val="ListParagraph"/>
        <w:widowControl w:val="0"/>
        <w:numPr>
          <w:ilvl w:val="0"/>
          <w:numId w:val="5"/>
        </w:numPr>
        <w:adjustRightInd w:val="0"/>
        <w:spacing w:before="120" w:after="120" w:line="360" w:lineRule="atLeast"/>
        <w:contextualSpacing w:val="0"/>
        <w:jc w:val="both"/>
        <w:rPr>
          <w:color w:val="000000"/>
          <w:sz w:val="24"/>
          <w:szCs w:val="24"/>
        </w:rPr>
      </w:pPr>
      <w:r w:rsidRPr="002A2B50">
        <w:rPr>
          <w:color w:val="000000"/>
          <w:sz w:val="24"/>
          <w:szCs w:val="24"/>
        </w:rPr>
        <w:t>the Employer Nominated Scheme (subclass 186) visa</w:t>
      </w:r>
    </w:p>
    <w:p w14:paraId="2B21B9D0" w14:textId="77777777" w:rsidR="00194015" w:rsidRPr="002A2B50" w:rsidRDefault="00194015" w:rsidP="00194015">
      <w:pPr>
        <w:pStyle w:val="ListParagraph"/>
        <w:widowControl w:val="0"/>
        <w:numPr>
          <w:ilvl w:val="0"/>
          <w:numId w:val="5"/>
        </w:numPr>
        <w:adjustRightInd w:val="0"/>
        <w:spacing w:before="120" w:after="120" w:line="360" w:lineRule="atLeast"/>
        <w:contextualSpacing w:val="0"/>
        <w:jc w:val="both"/>
        <w:rPr>
          <w:color w:val="000000"/>
          <w:sz w:val="24"/>
          <w:szCs w:val="24"/>
        </w:rPr>
      </w:pPr>
      <w:r w:rsidRPr="002A2B50">
        <w:rPr>
          <w:color w:val="000000"/>
          <w:sz w:val="24"/>
          <w:szCs w:val="24"/>
        </w:rPr>
        <w:t>the Skilled Nominated (subclass 190) visa</w:t>
      </w:r>
    </w:p>
    <w:p w14:paraId="47E23981" w14:textId="77777777" w:rsidR="00194015" w:rsidRPr="002A2B50" w:rsidRDefault="00194015" w:rsidP="00194015">
      <w:pPr>
        <w:pStyle w:val="ListParagraph"/>
        <w:widowControl w:val="0"/>
        <w:numPr>
          <w:ilvl w:val="0"/>
          <w:numId w:val="5"/>
        </w:numPr>
        <w:adjustRightInd w:val="0"/>
        <w:spacing w:before="120" w:after="120" w:line="360" w:lineRule="atLeast"/>
        <w:contextualSpacing w:val="0"/>
        <w:jc w:val="both"/>
        <w:rPr>
          <w:color w:val="000000"/>
          <w:sz w:val="24"/>
          <w:szCs w:val="24"/>
        </w:rPr>
      </w:pPr>
      <w:r w:rsidRPr="002A2B50">
        <w:rPr>
          <w:color w:val="000000"/>
          <w:sz w:val="24"/>
          <w:szCs w:val="24"/>
        </w:rPr>
        <w:t xml:space="preserve">the Temporary Work (Skilled) (subclass 457) visa; and </w:t>
      </w:r>
    </w:p>
    <w:p w14:paraId="4CC4D4A4" w14:textId="77777777" w:rsidR="00194015" w:rsidRPr="002A2B50" w:rsidRDefault="00194015" w:rsidP="00194015">
      <w:pPr>
        <w:pStyle w:val="ListParagraph"/>
        <w:widowControl w:val="0"/>
        <w:numPr>
          <w:ilvl w:val="0"/>
          <w:numId w:val="5"/>
        </w:numPr>
        <w:adjustRightInd w:val="0"/>
        <w:spacing w:before="120" w:after="120" w:line="360" w:lineRule="atLeast"/>
        <w:contextualSpacing w:val="0"/>
        <w:jc w:val="both"/>
        <w:rPr>
          <w:color w:val="000000"/>
          <w:sz w:val="24"/>
          <w:szCs w:val="24"/>
        </w:rPr>
      </w:pPr>
      <w:proofErr w:type="gramStart"/>
      <w:r w:rsidRPr="002A2B50">
        <w:rPr>
          <w:color w:val="000000"/>
          <w:sz w:val="24"/>
          <w:szCs w:val="24"/>
        </w:rPr>
        <w:t>the</w:t>
      </w:r>
      <w:proofErr w:type="gramEnd"/>
      <w:r w:rsidRPr="002A2B50">
        <w:rPr>
          <w:color w:val="000000"/>
          <w:sz w:val="24"/>
          <w:szCs w:val="24"/>
        </w:rPr>
        <w:t xml:space="preserve"> Training (subclass 407) visa.</w:t>
      </w:r>
    </w:p>
    <w:p w14:paraId="361E7C0F" w14:textId="77777777" w:rsidR="00194015" w:rsidRPr="002A2B50" w:rsidRDefault="00194015" w:rsidP="00194015">
      <w:pPr>
        <w:pStyle w:val="Default"/>
      </w:pPr>
      <w:r w:rsidRPr="002A2B50">
        <w:t xml:space="preserve">It also specifies Australian and New Zealand Standard Classification of Occupations (ANZSCO) codes relevant to assessment of nominations for skilled entry under the </w:t>
      </w:r>
      <w:r w:rsidRPr="002A2B50">
        <w:rPr>
          <w:iCs/>
        </w:rPr>
        <w:t>Migration Regulations</w:t>
      </w:r>
      <w:r w:rsidRPr="002A2B50">
        <w:t xml:space="preserve">. </w:t>
      </w:r>
    </w:p>
    <w:p w14:paraId="4A8A152E" w14:textId="77777777" w:rsidR="00194015" w:rsidRPr="002A2B50" w:rsidRDefault="00194015" w:rsidP="00194015">
      <w:pPr>
        <w:pStyle w:val="subsection"/>
        <w:ind w:left="0" w:firstLine="0"/>
        <w:jc w:val="both"/>
        <w:rPr>
          <w:sz w:val="24"/>
          <w:szCs w:val="24"/>
        </w:rPr>
      </w:pPr>
      <w:r w:rsidRPr="002A2B50">
        <w:rPr>
          <w:sz w:val="24"/>
          <w:szCs w:val="24"/>
        </w:rPr>
        <w:t>These matters previously addressed in instrument IMMI 16/059 will now be addressed in instruments: Migration (IMMI 17/060: Specification of Occupations—Subclass 457 Visa) Instrument 2017; Migration (IMMI 17/071: Specification of Occupations—Subclass 407 Visa) Instrument 2017; Migration (IMMI 17/072: Specification of Occupations and Assessing Authorities) Instrument 2017 and Migration (IMMI 17/080: Specification of Occupations and Assessing Authorities—Subclass 186 Visa) Instrument 2017.</w:t>
      </w:r>
    </w:p>
    <w:p w14:paraId="2E5B555C" w14:textId="77777777" w:rsidR="00194015" w:rsidRPr="002A2B50" w:rsidRDefault="00194015" w:rsidP="00194015">
      <w:pPr>
        <w:pStyle w:val="Default"/>
      </w:pPr>
      <w:r w:rsidRPr="002A2B50">
        <w:t xml:space="preserve"> </w:t>
      </w:r>
    </w:p>
    <w:p w14:paraId="00E6877D" w14:textId="77777777" w:rsidR="00194015" w:rsidRPr="002A2B50" w:rsidRDefault="00194015" w:rsidP="00194015">
      <w:pPr>
        <w:pStyle w:val="Default"/>
        <w:rPr>
          <w:b/>
        </w:rPr>
      </w:pPr>
      <w:r w:rsidRPr="002A2B50">
        <w:rPr>
          <w:b/>
        </w:rPr>
        <w:t>Human rights implications</w:t>
      </w:r>
    </w:p>
    <w:p w14:paraId="26E86A74" w14:textId="77777777" w:rsidR="00194015" w:rsidRPr="002A2B50" w:rsidRDefault="00194015" w:rsidP="00194015">
      <w:pPr>
        <w:spacing w:before="120" w:after="120"/>
        <w:rPr>
          <w:sz w:val="24"/>
          <w:szCs w:val="24"/>
        </w:rPr>
      </w:pPr>
      <w:r w:rsidRPr="002A2B50">
        <w:rPr>
          <w:sz w:val="24"/>
          <w:szCs w:val="24"/>
        </w:rPr>
        <w:t xml:space="preserve">The Instrument has been assessed against the seven core international human rights treaties. </w:t>
      </w:r>
    </w:p>
    <w:p w14:paraId="3D48A5C8" w14:textId="77777777" w:rsidR="00194015" w:rsidRPr="002A2B50" w:rsidRDefault="00194015" w:rsidP="00194015">
      <w:pPr>
        <w:spacing w:before="120" w:after="120"/>
        <w:jc w:val="both"/>
        <w:rPr>
          <w:sz w:val="24"/>
          <w:szCs w:val="24"/>
        </w:rPr>
      </w:pPr>
      <w:r w:rsidRPr="002A2B50">
        <w:rPr>
          <w:sz w:val="24"/>
          <w:szCs w:val="24"/>
        </w:rPr>
        <w:lastRenderedPageBreak/>
        <w:t xml:space="preserve">Neither the </w:t>
      </w:r>
      <w:r w:rsidRPr="002A2B50">
        <w:rPr>
          <w:i/>
          <w:iCs/>
          <w:sz w:val="24"/>
          <w:szCs w:val="24"/>
        </w:rPr>
        <w:t>International Covenant on Civil and Political Rights</w:t>
      </w:r>
      <w:r w:rsidRPr="002A2B50">
        <w:rPr>
          <w:sz w:val="24"/>
          <w:szCs w:val="24"/>
        </w:rPr>
        <w:t xml:space="preserve"> (ICCPR) nor the </w:t>
      </w:r>
      <w:r w:rsidRPr="002A2B50">
        <w:rPr>
          <w:i/>
          <w:sz w:val="24"/>
          <w:szCs w:val="24"/>
        </w:rPr>
        <w:t>International Covenant on Economic, Social and Cultural Rights</w:t>
      </w:r>
      <w:r w:rsidRPr="002A2B50">
        <w:rPr>
          <w:sz w:val="24"/>
          <w:szCs w:val="24"/>
        </w:rPr>
        <w:t xml:space="preserve"> (ICESCR) give a right for non-citizens to enter Australia for the purposes of seeking residence or employment.  The UN Human Rights Committee, in its General Comment 15 on the position of aliens under the ICCPR, stated that:</w:t>
      </w:r>
    </w:p>
    <w:p w14:paraId="270CAD22" w14:textId="77777777" w:rsidR="00194015" w:rsidRPr="002A2B50" w:rsidRDefault="00194015" w:rsidP="00194015">
      <w:pPr>
        <w:spacing w:before="120" w:after="120"/>
        <w:ind w:left="720"/>
        <w:jc w:val="both"/>
        <w:rPr>
          <w:i/>
          <w:sz w:val="24"/>
          <w:szCs w:val="24"/>
        </w:rPr>
      </w:pPr>
      <w:r w:rsidRPr="002A2B50">
        <w:rPr>
          <w:i/>
          <w:sz w:val="24"/>
          <w:szCs w:val="24"/>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2C5AA774" w14:textId="77777777" w:rsidR="00194015" w:rsidRPr="002A2B50" w:rsidRDefault="00194015" w:rsidP="00194015">
      <w:pPr>
        <w:spacing w:before="120" w:after="120"/>
        <w:ind w:left="720"/>
        <w:jc w:val="both"/>
        <w:rPr>
          <w:i/>
          <w:sz w:val="24"/>
          <w:szCs w:val="24"/>
        </w:rPr>
      </w:pPr>
      <w:r w:rsidRPr="002A2B50">
        <w:rPr>
          <w:i/>
          <w:sz w:val="24"/>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2CD6C62A" w14:textId="77777777" w:rsidR="00194015" w:rsidRPr="002A2B50" w:rsidRDefault="00194015" w:rsidP="00194015">
      <w:pPr>
        <w:shd w:val="clear" w:color="auto" w:fill="FFFFFF"/>
        <w:spacing w:before="100" w:beforeAutospacing="1" w:after="100" w:afterAutospacing="1"/>
        <w:rPr>
          <w:sz w:val="24"/>
          <w:szCs w:val="24"/>
        </w:rPr>
      </w:pPr>
      <w:r w:rsidRPr="002A2B50">
        <w:rPr>
          <w:sz w:val="24"/>
          <w:szCs w:val="24"/>
        </w:rPr>
        <w:t>As such, Australia is able to set requirements for the entry of non-citizens into Australia and conditions for their stay, and does on the basis of reasonable and objective criteria.</w:t>
      </w:r>
    </w:p>
    <w:p w14:paraId="467CF580" w14:textId="77777777" w:rsidR="00194015" w:rsidRPr="002A2B50" w:rsidRDefault="00194015" w:rsidP="00194015">
      <w:pPr>
        <w:spacing w:before="120" w:after="120"/>
        <w:rPr>
          <w:sz w:val="24"/>
          <w:szCs w:val="24"/>
        </w:rPr>
      </w:pPr>
      <w:r w:rsidRPr="002A2B50">
        <w:rPr>
          <w:sz w:val="24"/>
          <w:szCs w:val="24"/>
        </w:rPr>
        <w:t>Although the effect of repealing Instrument IMMI 16/059 in conjunction with replacing it with Instruments IMMI 17/060, IMMI 17/071, IMMI 17/072 and IMMI 17080 is that there is a net increase in the number of skilled occupations available to prospective visa applicants, 12 occupations have been removed. For those persons who are in Australia holding a visa and working in one of those occupations, or who wish to apply for a subsequent visa while in Australia, the right to work may be engaged.  Article 6(1) of the ICESCR states:</w:t>
      </w:r>
    </w:p>
    <w:p w14:paraId="42E30AD6" w14:textId="77777777" w:rsidR="00194015" w:rsidRPr="002A2B50" w:rsidRDefault="00194015" w:rsidP="00194015">
      <w:pPr>
        <w:spacing w:before="120" w:after="120"/>
        <w:ind w:left="720"/>
        <w:rPr>
          <w:i/>
          <w:sz w:val="24"/>
          <w:szCs w:val="24"/>
        </w:rPr>
      </w:pPr>
      <w:r w:rsidRPr="002A2B50">
        <w:rPr>
          <w:i/>
          <w:sz w:val="24"/>
          <w:szCs w:val="24"/>
        </w:rPr>
        <w:t>The States Parties to the present Covenant recognize the right to work, which includes the right of everyone to the opportunity to gain his living by work which he freely chooses or accepts, and will take appropriate steps to safeguard this right.</w:t>
      </w:r>
    </w:p>
    <w:p w14:paraId="1B239DB2" w14:textId="77777777" w:rsidR="00194015" w:rsidRPr="002A2B50" w:rsidRDefault="00194015" w:rsidP="00194015">
      <w:pPr>
        <w:rPr>
          <w:sz w:val="24"/>
          <w:szCs w:val="24"/>
        </w:rPr>
      </w:pPr>
      <w:r w:rsidRPr="002A2B50">
        <w:rPr>
          <w:sz w:val="24"/>
          <w:szCs w:val="24"/>
        </w:rPr>
        <w:t>The removal of 12 occupations does not prevent any current holder of the impacted visas from accessing work or impede their right to work for the duration of that visa because they will retain the current permission to work provided by the existing vis</w:t>
      </w:r>
      <w:bookmarkStart w:id="0" w:name="_GoBack"/>
      <w:bookmarkEnd w:id="0"/>
      <w:r w:rsidRPr="002A2B50">
        <w:rPr>
          <w:sz w:val="24"/>
          <w:szCs w:val="24"/>
        </w:rPr>
        <w:t xml:space="preserve">a. A visa holder who wishes to continue working in Australia in one of the 12 occupations upon the expiry of their visa may instead apply for any other visa with work rights for which they meet the requirements under the Migration Regulations. </w:t>
      </w:r>
    </w:p>
    <w:p w14:paraId="406562FF" w14:textId="77777777" w:rsidR="00194015" w:rsidRPr="002A2B50" w:rsidRDefault="00194015" w:rsidP="00194015">
      <w:pPr>
        <w:spacing w:before="120" w:after="120"/>
        <w:rPr>
          <w:sz w:val="24"/>
          <w:szCs w:val="24"/>
        </w:rPr>
      </w:pPr>
      <w:r w:rsidRPr="002A2B50">
        <w:rPr>
          <w:sz w:val="24"/>
          <w:szCs w:val="24"/>
        </w:rPr>
        <w:t>It is reasonable and necessary that the Minister may amend the list of skilled occupations for the purposes of nominations and visa applications because it allows the Minister the flexibility and precision required to carefully tailor it to reflect Australia’s labour market needs. The ability to tailor the occupations lists to Australia’s labour market needs helps to meet the legitimate objective of strengthening Australia’s economy through ensuring the integrity of Australia’s migration programme.</w:t>
      </w:r>
    </w:p>
    <w:p w14:paraId="0C93A65C" w14:textId="77777777" w:rsidR="00194015" w:rsidRPr="002A2B50" w:rsidRDefault="00194015" w:rsidP="00194015">
      <w:pPr>
        <w:spacing w:before="120" w:after="120"/>
        <w:rPr>
          <w:b/>
          <w:sz w:val="24"/>
          <w:szCs w:val="24"/>
        </w:rPr>
      </w:pPr>
    </w:p>
    <w:p w14:paraId="1761C31C" w14:textId="77777777" w:rsidR="00194015" w:rsidRPr="002A2B50" w:rsidRDefault="00194015" w:rsidP="00194015">
      <w:pPr>
        <w:spacing w:before="120" w:after="120"/>
        <w:rPr>
          <w:b/>
          <w:sz w:val="24"/>
          <w:szCs w:val="24"/>
        </w:rPr>
      </w:pPr>
      <w:r w:rsidRPr="002A2B50">
        <w:rPr>
          <w:b/>
          <w:sz w:val="24"/>
          <w:szCs w:val="24"/>
        </w:rPr>
        <w:t xml:space="preserve">Conclusion </w:t>
      </w:r>
    </w:p>
    <w:p w14:paraId="1C86B8AE" w14:textId="77777777" w:rsidR="00194015" w:rsidRPr="002A2B50" w:rsidRDefault="00194015" w:rsidP="00194015">
      <w:pPr>
        <w:spacing w:before="120" w:after="120"/>
        <w:rPr>
          <w:sz w:val="24"/>
          <w:szCs w:val="24"/>
        </w:rPr>
      </w:pPr>
      <w:r w:rsidRPr="002A2B50">
        <w:rPr>
          <w:sz w:val="24"/>
          <w:szCs w:val="24"/>
        </w:rPr>
        <w:t xml:space="preserve">The Legislative Instrument is compatible with human rights because </w:t>
      </w:r>
      <w:r w:rsidRPr="002A2B50">
        <w:rPr>
          <w:sz w:val="24"/>
          <w:szCs w:val="24"/>
          <w:lang w:val="en-GB"/>
        </w:rPr>
        <w:t xml:space="preserve">to the extent that it may limit human rights, those limitations are reasonable, necessary and </w:t>
      </w:r>
      <w:r w:rsidRPr="002A2B50">
        <w:rPr>
          <w:sz w:val="24"/>
          <w:szCs w:val="24"/>
        </w:rPr>
        <w:t>proportionate.</w:t>
      </w:r>
    </w:p>
    <w:p w14:paraId="7767A4D4" w14:textId="77777777" w:rsidR="00194015" w:rsidRPr="002A2B50" w:rsidRDefault="00194015" w:rsidP="00194015">
      <w:pPr>
        <w:spacing w:before="120" w:after="120"/>
        <w:jc w:val="center"/>
        <w:rPr>
          <w:sz w:val="24"/>
          <w:szCs w:val="24"/>
        </w:rPr>
      </w:pPr>
    </w:p>
    <w:p w14:paraId="767BBC8A" w14:textId="3E360019" w:rsidR="000F2FB6" w:rsidRPr="002A2B50" w:rsidRDefault="00194015" w:rsidP="00194015">
      <w:pPr>
        <w:tabs>
          <w:tab w:val="left" w:pos="601"/>
        </w:tabs>
        <w:spacing w:after="240"/>
        <w:jc w:val="center"/>
        <w:rPr>
          <w:sz w:val="24"/>
          <w:szCs w:val="24"/>
        </w:rPr>
      </w:pPr>
      <w:r w:rsidRPr="002A2B50">
        <w:rPr>
          <w:b/>
          <w:sz w:val="24"/>
          <w:szCs w:val="24"/>
        </w:rPr>
        <w:t>The Hon Peter Dutton MP, Minister for Immigration and Border Protection</w:t>
      </w:r>
    </w:p>
    <w:sectPr w:rsidR="000F2FB6" w:rsidRPr="002A2B50" w:rsidSect="00C85D16">
      <w:headerReference w:type="default" r:id="rId9"/>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A999D" w14:textId="77777777" w:rsidR="00CF7F32" w:rsidRDefault="00CF7F32" w:rsidP="00CF7F32">
      <w:r>
        <w:separator/>
      </w:r>
    </w:p>
  </w:endnote>
  <w:endnote w:type="continuationSeparator" w:id="0">
    <w:p w14:paraId="279AAE99" w14:textId="77777777" w:rsidR="00CF7F32" w:rsidRDefault="00CF7F32" w:rsidP="00C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D71F4" w14:textId="77777777" w:rsidR="00CF7F32" w:rsidRDefault="00CF7F32" w:rsidP="00CF7F32">
      <w:r>
        <w:separator/>
      </w:r>
    </w:p>
  </w:footnote>
  <w:footnote w:type="continuationSeparator" w:id="0">
    <w:p w14:paraId="37321AF8" w14:textId="77777777" w:rsidR="00CF7F32" w:rsidRDefault="00CF7F32" w:rsidP="00CF7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4F643" w14:textId="711B2D6F" w:rsidR="00546F77" w:rsidRPr="006C22B0" w:rsidRDefault="00CF7F32" w:rsidP="00C85D16">
    <w:pPr>
      <w:pStyle w:val="Header"/>
      <w:jc w:val="right"/>
      <w:rPr>
        <w:rFonts w:ascii="Times New Roman" w:hAnsi="Times New Roman"/>
        <w:sz w:val="22"/>
        <w:szCs w:val="22"/>
      </w:rPr>
    </w:pPr>
    <w:r>
      <w:rPr>
        <w:rFonts w:ascii="Times New Roman" w:hAnsi="Times New Roman"/>
        <w:sz w:val="22"/>
        <w:szCs w:val="22"/>
      </w:rPr>
      <w:t>IMMI 17/081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24DA"/>
    <w:multiLevelType w:val="hybridMultilevel"/>
    <w:tmpl w:val="160404D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75B3044"/>
    <w:multiLevelType w:val="hybridMultilevel"/>
    <w:tmpl w:val="A67A06B2"/>
    <w:lvl w:ilvl="0" w:tplc="EEB68044">
      <w:start w:val="1"/>
      <w:numFmt w:val="decimal"/>
      <w:lvlText w:val="%1."/>
      <w:lvlJc w:val="left"/>
      <w:pPr>
        <w:ind w:left="644" w:hanging="360"/>
      </w:pPr>
      <w:rPr>
        <w:i w:val="0"/>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nsid w:val="17B775BD"/>
    <w:multiLevelType w:val="hybridMultilevel"/>
    <w:tmpl w:val="3440F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150381B"/>
    <w:multiLevelType w:val="hybridMultilevel"/>
    <w:tmpl w:val="4F060A0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607D63A2"/>
    <w:multiLevelType w:val="hybridMultilevel"/>
    <w:tmpl w:val="299CD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ire LONG">
    <w15:presenceInfo w15:providerId="AD" w15:userId="S-1-5-21-823819621-2289327709-1525221890-20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32"/>
    <w:rsid w:val="000563F9"/>
    <w:rsid w:val="000B6F59"/>
    <w:rsid w:val="000F2FB6"/>
    <w:rsid w:val="00194015"/>
    <w:rsid w:val="00254E4F"/>
    <w:rsid w:val="00292CC0"/>
    <w:rsid w:val="002A2B50"/>
    <w:rsid w:val="0039148D"/>
    <w:rsid w:val="003C12E9"/>
    <w:rsid w:val="00402D94"/>
    <w:rsid w:val="00440ACF"/>
    <w:rsid w:val="004B1A3F"/>
    <w:rsid w:val="0057154E"/>
    <w:rsid w:val="005A3C0D"/>
    <w:rsid w:val="00712800"/>
    <w:rsid w:val="00770B35"/>
    <w:rsid w:val="008A09B0"/>
    <w:rsid w:val="00A35F58"/>
    <w:rsid w:val="00AD587A"/>
    <w:rsid w:val="00BA1CA9"/>
    <w:rsid w:val="00CF7F32"/>
    <w:rsid w:val="00D45E57"/>
    <w:rsid w:val="00D80BE5"/>
    <w:rsid w:val="00DD48EF"/>
    <w:rsid w:val="00DE742A"/>
    <w:rsid w:val="00FE1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6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32"/>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CF7F32"/>
    <w:pPr>
      <w:keepNext/>
      <w:jc w:val="center"/>
      <w:outlineLvl w:val="0"/>
    </w:pPr>
    <w:rPr>
      <w:b/>
      <w:sz w:val="24"/>
      <w:u w:val="single"/>
    </w:rPr>
  </w:style>
  <w:style w:type="paragraph" w:styleId="Heading2">
    <w:name w:val="heading 2"/>
    <w:basedOn w:val="Normal"/>
    <w:next w:val="Normal"/>
    <w:link w:val="Heading2Char"/>
    <w:qFormat/>
    <w:rsid w:val="00CF7F32"/>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F32"/>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rsid w:val="00CF7F32"/>
    <w:rPr>
      <w:rFonts w:ascii="Times New Roman" w:eastAsia="Times New Roman" w:hAnsi="Times New Roman" w:cs="Times New Roman"/>
      <w:sz w:val="24"/>
      <w:szCs w:val="20"/>
      <w:lang w:eastAsia="en-AU"/>
    </w:rPr>
  </w:style>
  <w:style w:type="paragraph" w:styleId="Header">
    <w:name w:val="header"/>
    <w:basedOn w:val="Normal"/>
    <w:link w:val="HeaderChar"/>
    <w:rsid w:val="00CF7F32"/>
    <w:pPr>
      <w:tabs>
        <w:tab w:val="center" w:pos="4320"/>
        <w:tab w:val="right" w:pos="8640"/>
      </w:tabs>
    </w:pPr>
    <w:rPr>
      <w:rFonts w:ascii="Arial" w:hAnsi="Arial"/>
      <w:sz w:val="24"/>
    </w:rPr>
  </w:style>
  <w:style w:type="character" w:customStyle="1" w:styleId="HeaderChar">
    <w:name w:val="Header Char"/>
    <w:basedOn w:val="DefaultParagraphFont"/>
    <w:link w:val="Header"/>
    <w:rsid w:val="00CF7F32"/>
    <w:rPr>
      <w:rFonts w:ascii="Arial" w:eastAsia="Times New Roman" w:hAnsi="Arial" w:cs="Times New Roman"/>
      <w:sz w:val="24"/>
      <w:szCs w:val="20"/>
      <w:lang w:eastAsia="en-AU"/>
    </w:rPr>
  </w:style>
  <w:style w:type="paragraph" w:styleId="ListParagraph">
    <w:name w:val="List Paragraph"/>
    <w:basedOn w:val="Normal"/>
    <w:uiPriority w:val="34"/>
    <w:qFormat/>
    <w:rsid w:val="00CF7F32"/>
    <w:pPr>
      <w:ind w:left="720"/>
      <w:contextualSpacing/>
    </w:pPr>
  </w:style>
  <w:style w:type="paragraph" w:customStyle="1" w:styleId="subsection">
    <w:name w:val="subsection"/>
    <w:aliases w:val="ss"/>
    <w:basedOn w:val="Normal"/>
    <w:link w:val="subsectionChar"/>
    <w:rsid w:val="00CF7F32"/>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CF7F32"/>
    <w:rPr>
      <w:rFonts w:ascii="Times New Roman" w:eastAsia="Times New Roman" w:hAnsi="Times New Roman" w:cs="Times New Roman"/>
      <w:szCs w:val="20"/>
      <w:lang w:eastAsia="en-AU"/>
    </w:rPr>
  </w:style>
  <w:style w:type="paragraph" w:styleId="Footer">
    <w:name w:val="footer"/>
    <w:basedOn w:val="Normal"/>
    <w:link w:val="FooterChar"/>
    <w:uiPriority w:val="99"/>
    <w:unhideWhenUsed/>
    <w:rsid w:val="00CF7F32"/>
    <w:pPr>
      <w:tabs>
        <w:tab w:val="center" w:pos="4513"/>
        <w:tab w:val="right" w:pos="9026"/>
      </w:tabs>
    </w:pPr>
  </w:style>
  <w:style w:type="character" w:customStyle="1" w:styleId="FooterChar">
    <w:name w:val="Footer Char"/>
    <w:basedOn w:val="DefaultParagraphFont"/>
    <w:link w:val="Footer"/>
    <w:uiPriority w:val="99"/>
    <w:rsid w:val="00CF7F32"/>
    <w:rPr>
      <w:rFonts w:ascii="Times New Roman" w:eastAsia="Times New Roman" w:hAnsi="Times New Roman" w:cs="Times New Roman"/>
      <w:sz w:val="20"/>
      <w:szCs w:val="20"/>
      <w:lang w:eastAsia="en-AU"/>
    </w:rPr>
  </w:style>
  <w:style w:type="paragraph" w:customStyle="1" w:styleId="notedraft">
    <w:name w:val="note(draft)"/>
    <w:aliases w:val="nd"/>
    <w:basedOn w:val="Normal"/>
    <w:rsid w:val="00FE166B"/>
    <w:pPr>
      <w:spacing w:before="240"/>
      <w:ind w:left="284" w:hanging="284"/>
    </w:pPr>
    <w:rPr>
      <w:i/>
      <w:sz w:val="24"/>
    </w:rPr>
  </w:style>
  <w:style w:type="paragraph" w:customStyle="1" w:styleId="CharChar">
    <w:name w:val="Char Char"/>
    <w:basedOn w:val="Normal"/>
    <w:rsid w:val="00770B35"/>
    <w:pPr>
      <w:spacing w:before="120" w:after="120"/>
    </w:pPr>
    <w:rPr>
      <w:rFonts w:ascii="Arial" w:hAnsi="Arial"/>
      <w:sz w:val="22"/>
      <w:lang w:eastAsia="en-US"/>
    </w:rPr>
  </w:style>
  <w:style w:type="character" w:styleId="CommentReference">
    <w:name w:val="annotation reference"/>
    <w:basedOn w:val="DefaultParagraphFont"/>
    <w:uiPriority w:val="99"/>
    <w:semiHidden/>
    <w:unhideWhenUsed/>
    <w:rsid w:val="00770B35"/>
    <w:rPr>
      <w:sz w:val="16"/>
      <w:szCs w:val="16"/>
    </w:rPr>
  </w:style>
  <w:style w:type="paragraph" w:styleId="CommentText">
    <w:name w:val="annotation text"/>
    <w:basedOn w:val="Normal"/>
    <w:link w:val="CommentTextChar"/>
    <w:uiPriority w:val="99"/>
    <w:semiHidden/>
    <w:unhideWhenUsed/>
    <w:rsid w:val="00770B35"/>
  </w:style>
  <w:style w:type="character" w:customStyle="1" w:styleId="CommentTextChar">
    <w:name w:val="Comment Text Char"/>
    <w:basedOn w:val="DefaultParagraphFont"/>
    <w:link w:val="CommentText"/>
    <w:uiPriority w:val="99"/>
    <w:semiHidden/>
    <w:rsid w:val="00770B3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70B35"/>
    <w:rPr>
      <w:b/>
      <w:bCs/>
    </w:rPr>
  </w:style>
  <w:style w:type="character" w:customStyle="1" w:styleId="CommentSubjectChar">
    <w:name w:val="Comment Subject Char"/>
    <w:basedOn w:val="CommentTextChar"/>
    <w:link w:val="CommentSubject"/>
    <w:uiPriority w:val="99"/>
    <w:semiHidden/>
    <w:rsid w:val="00770B35"/>
    <w:rPr>
      <w:rFonts w:ascii="Times New Roman" w:eastAsia="Times New Roman" w:hAnsi="Times New Roman" w:cs="Times New Roman"/>
      <w:b/>
      <w:bCs/>
      <w:sz w:val="20"/>
      <w:szCs w:val="20"/>
      <w:lang w:eastAsia="en-AU"/>
    </w:rPr>
  </w:style>
  <w:style w:type="paragraph" w:styleId="Revision">
    <w:name w:val="Revision"/>
    <w:hidden/>
    <w:uiPriority w:val="99"/>
    <w:semiHidden/>
    <w:rsid w:val="00770B35"/>
    <w:pPr>
      <w:spacing w:after="0" w:line="240" w:lineRule="auto"/>
    </w:pPr>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770B35"/>
    <w:rPr>
      <w:rFonts w:ascii="Tahoma" w:hAnsi="Tahoma" w:cs="Tahoma"/>
      <w:sz w:val="16"/>
      <w:szCs w:val="16"/>
    </w:rPr>
  </w:style>
  <w:style w:type="character" w:customStyle="1" w:styleId="BalloonTextChar">
    <w:name w:val="Balloon Text Char"/>
    <w:basedOn w:val="DefaultParagraphFont"/>
    <w:link w:val="BalloonText"/>
    <w:uiPriority w:val="99"/>
    <w:semiHidden/>
    <w:rsid w:val="00770B35"/>
    <w:rPr>
      <w:rFonts w:ascii="Tahoma" w:eastAsia="Times New Roman" w:hAnsi="Tahoma" w:cs="Tahoma"/>
      <w:sz w:val="16"/>
      <w:szCs w:val="16"/>
      <w:lang w:eastAsia="en-AU"/>
    </w:rPr>
  </w:style>
  <w:style w:type="paragraph" w:customStyle="1" w:styleId="Default">
    <w:name w:val="Default"/>
    <w:rsid w:val="0019401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32"/>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CF7F32"/>
    <w:pPr>
      <w:keepNext/>
      <w:jc w:val="center"/>
      <w:outlineLvl w:val="0"/>
    </w:pPr>
    <w:rPr>
      <w:b/>
      <w:sz w:val="24"/>
      <w:u w:val="single"/>
    </w:rPr>
  </w:style>
  <w:style w:type="paragraph" w:styleId="Heading2">
    <w:name w:val="heading 2"/>
    <w:basedOn w:val="Normal"/>
    <w:next w:val="Normal"/>
    <w:link w:val="Heading2Char"/>
    <w:qFormat/>
    <w:rsid w:val="00CF7F32"/>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F32"/>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rsid w:val="00CF7F32"/>
    <w:rPr>
      <w:rFonts w:ascii="Times New Roman" w:eastAsia="Times New Roman" w:hAnsi="Times New Roman" w:cs="Times New Roman"/>
      <w:sz w:val="24"/>
      <w:szCs w:val="20"/>
      <w:lang w:eastAsia="en-AU"/>
    </w:rPr>
  </w:style>
  <w:style w:type="paragraph" w:styleId="Header">
    <w:name w:val="header"/>
    <w:basedOn w:val="Normal"/>
    <w:link w:val="HeaderChar"/>
    <w:rsid w:val="00CF7F32"/>
    <w:pPr>
      <w:tabs>
        <w:tab w:val="center" w:pos="4320"/>
        <w:tab w:val="right" w:pos="8640"/>
      </w:tabs>
    </w:pPr>
    <w:rPr>
      <w:rFonts w:ascii="Arial" w:hAnsi="Arial"/>
      <w:sz w:val="24"/>
    </w:rPr>
  </w:style>
  <w:style w:type="character" w:customStyle="1" w:styleId="HeaderChar">
    <w:name w:val="Header Char"/>
    <w:basedOn w:val="DefaultParagraphFont"/>
    <w:link w:val="Header"/>
    <w:rsid w:val="00CF7F32"/>
    <w:rPr>
      <w:rFonts w:ascii="Arial" w:eastAsia="Times New Roman" w:hAnsi="Arial" w:cs="Times New Roman"/>
      <w:sz w:val="24"/>
      <w:szCs w:val="20"/>
      <w:lang w:eastAsia="en-AU"/>
    </w:rPr>
  </w:style>
  <w:style w:type="paragraph" w:styleId="ListParagraph">
    <w:name w:val="List Paragraph"/>
    <w:basedOn w:val="Normal"/>
    <w:uiPriority w:val="34"/>
    <w:qFormat/>
    <w:rsid w:val="00CF7F32"/>
    <w:pPr>
      <w:ind w:left="720"/>
      <w:contextualSpacing/>
    </w:pPr>
  </w:style>
  <w:style w:type="paragraph" w:customStyle="1" w:styleId="subsection">
    <w:name w:val="subsection"/>
    <w:aliases w:val="ss"/>
    <w:basedOn w:val="Normal"/>
    <w:link w:val="subsectionChar"/>
    <w:rsid w:val="00CF7F32"/>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CF7F32"/>
    <w:rPr>
      <w:rFonts w:ascii="Times New Roman" w:eastAsia="Times New Roman" w:hAnsi="Times New Roman" w:cs="Times New Roman"/>
      <w:szCs w:val="20"/>
      <w:lang w:eastAsia="en-AU"/>
    </w:rPr>
  </w:style>
  <w:style w:type="paragraph" w:styleId="Footer">
    <w:name w:val="footer"/>
    <w:basedOn w:val="Normal"/>
    <w:link w:val="FooterChar"/>
    <w:uiPriority w:val="99"/>
    <w:unhideWhenUsed/>
    <w:rsid w:val="00CF7F32"/>
    <w:pPr>
      <w:tabs>
        <w:tab w:val="center" w:pos="4513"/>
        <w:tab w:val="right" w:pos="9026"/>
      </w:tabs>
    </w:pPr>
  </w:style>
  <w:style w:type="character" w:customStyle="1" w:styleId="FooterChar">
    <w:name w:val="Footer Char"/>
    <w:basedOn w:val="DefaultParagraphFont"/>
    <w:link w:val="Footer"/>
    <w:uiPriority w:val="99"/>
    <w:rsid w:val="00CF7F32"/>
    <w:rPr>
      <w:rFonts w:ascii="Times New Roman" w:eastAsia="Times New Roman" w:hAnsi="Times New Roman" w:cs="Times New Roman"/>
      <w:sz w:val="20"/>
      <w:szCs w:val="20"/>
      <w:lang w:eastAsia="en-AU"/>
    </w:rPr>
  </w:style>
  <w:style w:type="paragraph" w:customStyle="1" w:styleId="notedraft">
    <w:name w:val="note(draft)"/>
    <w:aliases w:val="nd"/>
    <w:basedOn w:val="Normal"/>
    <w:rsid w:val="00FE166B"/>
    <w:pPr>
      <w:spacing w:before="240"/>
      <w:ind w:left="284" w:hanging="284"/>
    </w:pPr>
    <w:rPr>
      <w:i/>
      <w:sz w:val="24"/>
    </w:rPr>
  </w:style>
  <w:style w:type="paragraph" w:customStyle="1" w:styleId="CharChar">
    <w:name w:val="Char Char"/>
    <w:basedOn w:val="Normal"/>
    <w:rsid w:val="00770B35"/>
    <w:pPr>
      <w:spacing w:before="120" w:after="120"/>
    </w:pPr>
    <w:rPr>
      <w:rFonts w:ascii="Arial" w:hAnsi="Arial"/>
      <w:sz w:val="22"/>
      <w:lang w:eastAsia="en-US"/>
    </w:rPr>
  </w:style>
  <w:style w:type="character" w:styleId="CommentReference">
    <w:name w:val="annotation reference"/>
    <w:basedOn w:val="DefaultParagraphFont"/>
    <w:uiPriority w:val="99"/>
    <w:semiHidden/>
    <w:unhideWhenUsed/>
    <w:rsid w:val="00770B35"/>
    <w:rPr>
      <w:sz w:val="16"/>
      <w:szCs w:val="16"/>
    </w:rPr>
  </w:style>
  <w:style w:type="paragraph" w:styleId="CommentText">
    <w:name w:val="annotation text"/>
    <w:basedOn w:val="Normal"/>
    <w:link w:val="CommentTextChar"/>
    <w:uiPriority w:val="99"/>
    <w:semiHidden/>
    <w:unhideWhenUsed/>
    <w:rsid w:val="00770B35"/>
  </w:style>
  <w:style w:type="character" w:customStyle="1" w:styleId="CommentTextChar">
    <w:name w:val="Comment Text Char"/>
    <w:basedOn w:val="DefaultParagraphFont"/>
    <w:link w:val="CommentText"/>
    <w:uiPriority w:val="99"/>
    <w:semiHidden/>
    <w:rsid w:val="00770B3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70B35"/>
    <w:rPr>
      <w:b/>
      <w:bCs/>
    </w:rPr>
  </w:style>
  <w:style w:type="character" w:customStyle="1" w:styleId="CommentSubjectChar">
    <w:name w:val="Comment Subject Char"/>
    <w:basedOn w:val="CommentTextChar"/>
    <w:link w:val="CommentSubject"/>
    <w:uiPriority w:val="99"/>
    <w:semiHidden/>
    <w:rsid w:val="00770B35"/>
    <w:rPr>
      <w:rFonts w:ascii="Times New Roman" w:eastAsia="Times New Roman" w:hAnsi="Times New Roman" w:cs="Times New Roman"/>
      <w:b/>
      <w:bCs/>
      <w:sz w:val="20"/>
      <w:szCs w:val="20"/>
      <w:lang w:eastAsia="en-AU"/>
    </w:rPr>
  </w:style>
  <w:style w:type="paragraph" w:styleId="Revision">
    <w:name w:val="Revision"/>
    <w:hidden/>
    <w:uiPriority w:val="99"/>
    <w:semiHidden/>
    <w:rsid w:val="00770B35"/>
    <w:pPr>
      <w:spacing w:after="0" w:line="240" w:lineRule="auto"/>
    </w:pPr>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770B35"/>
    <w:rPr>
      <w:rFonts w:ascii="Tahoma" w:hAnsi="Tahoma" w:cs="Tahoma"/>
      <w:sz w:val="16"/>
      <w:szCs w:val="16"/>
    </w:rPr>
  </w:style>
  <w:style w:type="character" w:customStyle="1" w:styleId="BalloonTextChar">
    <w:name w:val="Balloon Text Char"/>
    <w:basedOn w:val="DefaultParagraphFont"/>
    <w:link w:val="BalloonText"/>
    <w:uiPriority w:val="99"/>
    <w:semiHidden/>
    <w:rsid w:val="00770B35"/>
    <w:rPr>
      <w:rFonts w:ascii="Tahoma" w:eastAsia="Times New Roman" w:hAnsi="Tahoma" w:cs="Tahoma"/>
      <w:sz w:val="16"/>
      <w:szCs w:val="16"/>
      <w:lang w:eastAsia="en-AU"/>
    </w:rPr>
  </w:style>
  <w:style w:type="paragraph" w:customStyle="1" w:styleId="Default">
    <w:name w:val="Default"/>
    <w:rsid w:val="001940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29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1C3D5-D893-4E8F-9D43-52974A5B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1456</Words>
  <Characters>8579</Characters>
  <Application>Microsoft Office Word</Application>
  <DocSecurity>0</DocSecurity>
  <Lines>150</Lines>
  <Paragraphs>55</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LONG</dc:creator>
  <cp:lastModifiedBy>Joel KENNETT</cp:lastModifiedBy>
  <cp:revision>11</cp:revision>
  <cp:lastPrinted>2017-06-23T02:28:00Z</cp:lastPrinted>
  <dcterms:created xsi:type="dcterms:W3CDTF">2017-06-23T07:27:00Z</dcterms:created>
  <dcterms:modified xsi:type="dcterms:W3CDTF">2017-06-26T07:46:00Z</dcterms:modified>
</cp:coreProperties>
</file>