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A90E8" w14:textId="77777777" w:rsidR="00DA28B7" w:rsidRDefault="00DA28B7" w:rsidP="006159E6">
      <w:pPr>
        <w:pStyle w:val="Title"/>
        <w:spacing w:before="480"/>
      </w:pPr>
      <w:bookmarkStart w:id="0" w:name="Citation"/>
      <w:r>
        <w:rPr>
          <w:noProof/>
          <w:lang w:eastAsia="ko-KR"/>
        </w:rPr>
        <w:drawing>
          <wp:inline distT="0" distB="0" distL="0" distR="0" wp14:anchorId="5B2B424F" wp14:editId="259BAF86">
            <wp:extent cx="1420495" cy="110363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0495" cy="1103630"/>
                    </a:xfrm>
                    <a:prstGeom prst="rect">
                      <a:avLst/>
                    </a:prstGeom>
                    <a:noFill/>
                  </pic:spPr>
                </pic:pic>
              </a:graphicData>
            </a:graphic>
          </wp:inline>
        </w:drawing>
      </w:r>
    </w:p>
    <w:p w14:paraId="208609C5" w14:textId="77777777" w:rsidR="006159E6" w:rsidRDefault="00CB1379" w:rsidP="006159E6">
      <w:pPr>
        <w:pStyle w:val="Title"/>
        <w:spacing w:before="480"/>
        <w:rPr>
          <w:rFonts w:ascii="Times New Roman" w:hAnsi="Times New Roman"/>
        </w:rPr>
      </w:pPr>
      <w:r w:rsidRPr="00516D99">
        <w:rPr>
          <w:rFonts w:ascii="Times New Roman" w:hAnsi="Times New Roman"/>
        </w:rPr>
        <w:t xml:space="preserve">Do Not Call Register (Access Fees) Determination </w:t>
      </w:r>
      <w:r w:rsidR="006159E6" w:rsidRPr="00516D99">
        <w:rPr>
          <w:rFonts w:ascii="Times New Roman" w:hAnsi="Times New Roman"/>
        </w:rPr>
        <w:t>20</w:t>
      </w:r>
      <w:bookmarkEnd w:id="0"/>
      <w:r w:rsidRPr="00516D99">
        <w:rPr>
          <w:rFonts w:ascii="Times New Roman" w:hAnsi="Times New Roman"/>
        </w:rPr>
        <w:t>17</w:t>
      </w:r>
      <w:r w:rsidR="006159E6" w:rsidRPr="00516D99">
        <w:rPr>
          <w:rFonts w:ascii="Times New Roman" w:hAnsi="Times New Roman"/>
        </w:rPr>
        <w:t xml:space="preserve"> </w:t>
      </w:r>
    </w:p>
    <w:p w14:paraId="52624B52" w14:textId="62CB3A41" w:rsidR="009E10BA" w:rsidRPr="009E10BA" w:rsidRDefault="009E10BA" w:rsidP="009E10BA"/>
    <w:p w14:paraId="135FB508" w14:textId="762E2373" w:rsidR="006159E6" w:rsidRPr="00DA5E0E" w:rsidRDefault="00406E6B" w:rsidP="006159E6">
      <w:pPr>
        <w:spacing w:before="360"/>
        <w:jc w:val="both"/>
      </w:pPr>
      <w:r>
        <w:t>The Australian Communications and Media Authority mak</w:t>
      </w:r>
      <w:r w:rsidR="006159E6">
        <w:t>e</w:t>
      </w:r>
      <w:r w:rsidR="00516D99">
        <w:t>s this D</w:t>
      </w:r>
      <w:r>
        <w:t>etermination</w:t>
      </w:r>
      <w:r w:rsidR="006159E6">
        <w:t xml:space="preserve"> under </w:t>
      </w:r>
      <w:r w:rsidR="00CB1379">
        <w:t>subsection 21(1)</w:t>
      </w:r>
      <w:r w:rsidR="006159E6" w:rsidRPr="006F4055">
        <w:t xml:space="preserve"> of the </w:t>
      </w:r>
      <w:r w:rsidR="00DA5E0E">
        <w:rPr>
          <w:i/>
        </w:rPr>
        <w:t>Do Not Call Register Act 2006</w:t>
      </w:r>
      <w:r w:rsidR="00DA5E0E">
        <w:t>.</w:t>
      </w:r>
    </w:p>
    <w:p w14:paraId="67B37C0D" w14:textId="77777777" w:rsidR="006159E6" w:rsidRDefault="006159E6" w:rsidP="006159E6">
      <w:pPr>
        <w:tabs>
          <w:tab w:val="left" w:pos="3119"/>
        </w:tabs>
        <w:spacing w:after="240" w:line="300" w:lineRule="atLeast"/>
      </w:pPr>
    </w:p>
    <w:p w14:paraId="6BAADC28" w14:textId="156A13A6" w:rsidR="004A2BA8" w:rsidRPr="00D10BCD" w:rsidRDefault="004A2BA8" w:rsidP="004A2BA8">
      <w:pPr>
        <w:keepNext/>
        <w:spacing w:before="300" w:line="240" w:lineRule="atLeast"/>
        <w:ind w:right="397"/>
        <w:jc w:val="both"/>
        <w:rPr>
          <w:szCs w:val="22"/>
        </w:rPr>
      </w:pPr>
      <w:r w:rsidRPr="004A5227">
        <w:rPr>
          <w:szCs w:val="22"/>
        </w:rPr>
        <w:t>Dated</w:t>
      </w:r>
      <w:r w:rsidR="00DA5E0E">
        <w:rPr>
          <w:szCs w:val="22"/>
        </w:rPr>
        <w:t>:</w:t>
      </w:r>
      <w:r w:rsidRPr="004A5227">
        <w:rPr>
          <w:szCs w:val="22"/>
        </w:rPr>
        <w:tab/>
      </w:r>
      <w:bookmarkStart w:id="1" w:name="BKCheck15B_1"/>
      <w:bookmarkEnd w:id="1"/>
      <w:r w:rsidR="00D10BCD">
        <w:rPr>
          <w:szCs w:val="22"/>
        </w:rPr>
        <w:t>29 June 2017</w:t>
      </w:r>
    </w:p>
    <w:p w14:paraId="14CCD7C8" w14:textId="77777777" w:rsidR="004A2BA8" w:rsidRDefault="004A2BA8" w:rsidP="004A2BA8"/>
    <w:p w14:paraId="117EC0D7" w14:textId="77777777" w:rsidR="004A2BA8" w:rsidRDefault="004A2BA8" w:rsidP="004A2BA8"/>
    <w:p w14:paraId="46B8BFE3" w14:textId="77777777" w:rsidR="004A2BA8" w:rsidRDefault="004A2BA8" w:rsidP="00D10BCD">
      <w:pPr>
        <w:jc w:val="right"/>
      </w:pPr>
    </w:p>
    <w:p w14:paraId="38A641C1" w14:textId="77777777" w:rsidR="00063FFF" w:rsidRDefault="00063FFF" w:rsidP="00D10BCD">
      <w:pPr>
        <w:jc w:val="right"/>
      </w:pPr>
    </w:p>
    <w:p w14:paraId="5D355E3B" w14:textId="2180924F" w:rsidR="00063FFF" w:rsidRDefault="00D10BCD" w:rsidP="00D10BCD">
      <w:pPr>
        <w:jc w:val="right"/>
      </w:pPr>
      <w:r>
        <w:t>James Cameron</w:t>
      </w:r>
    </w:p>
    <w:p w14:paraId="63855357" w14:textId="5C79B3B8" w:rsidR="004A2BA8" w:rsidRDefault="00D10BCD" w:rsidP="009E10BA">
      <w:pPr>
        <w:jc w:val="right"/>
      </w:pPr>
      <w:r>
        <w:t>[</w:t>
      </w:r>
      <w:proofErr w:type="gramStart"/>
      <w:r>
        <w:t>signed</w:t>
      </w:r>
      <w:proofErr w:type="gramEnd"/>
      <w:r>
        <w:t>]</w:t>
      </w:r>
      <w:r w:rsidR="00F74C02">
        <w:br/>
      </w:r>
      <w:r w:rsidR="004A2BA8" w:rsidRPr="004A5227">
        <w:t>Member</w:t>
      </w:r>
    </w:p>
    <w:p w14:paraId="114ACC60" w14:textId="77777777" w:rsidR="009E10BA" w:rsidRDefault="009E10BA" w:rsidP="009E10BA">
      <w:pPr>
        <w:jc w:val="right"/>
      </w:pPr>
    </w:p>
    <w:p w14:paraId="7D8F424F" w14:textId="77777777" w:rsidR="009E10BA" w:rsidRPr="009E10BA" w:rsidRDefault="009E10BA" w:rsidP="009E10BA">
      <w:pPr>
        <w:jc w:val="right"/>
      </w:pPr>
    </w:p>
    <w:p w14:paraId="0CDB0D98" w14:textId="49E72DD8" w:rsidR="00707918" w:rsidRDefault="00D10BCD" w:rsidP="00120E6D">
      <w:pPr>
        <w:pStyle w:val="SignCoverPageEnd"/>
        <w:pBdr>
          <w:bottom w:val="none" w:sz="0" w:space="0" w:color="auto"/>
        </w:pBdr>
        <w:ind w:right="0"/>
        <w:jc w:val="right"/>
        <w:rPr>
          <w:sz w:val="24"/>
          <w:szCs w:val="24"/>
        </w:rPr>
      </w:pPr>
      <w:r>
        <w:rPr>
          <w:sz w:val="24"/>
          <w:szCs w:val="24"/>
        </w:rPr>
        <w:t xml:space="preserve">Jennifer </w:t>
      </w:r>
      <w:proofErr w:type="gramStart"/>
      <w:r>
        <w:rPr>
          <w:sz w:val="24"/>
          <w:szCs w:val="24"/>
        </w:rPr>
        <w:t>McNeill</w:t>
      </w:r>
      <w:proofErr w:type="gramEnd"/>
      <w:r w:rsidR="00F74C02">
        <w:rPr>
          <w:sz w:val="24"/>
          <w:szCs w:val="24"/>
        </w:rPr>
        <w:br/>
      </w:r>
      <w:r>
        <w:rPr>
          <w:sz w:val="24"/>
          <w:szCs w:val="24"/>
        </w:rPr>
        <w:t>[signed]</w:t>
      </w:r>
      <w:r w:rsidR="00F74C02">
        <w:rPr>
          <w:sz w:val="24"/>
          <w:szCs w:val="24"/>
        </w:rPr>
        <w:br/>
      </w:r>
      <w:r w:rsidR="004A2BA8" w:rsidRPr="00D10BCD">
        <w:rPr>
          <w:strike/>
          <w:sz w:val="24"/>
          <w:szCs w:val="24"/>
        </w:rPr>
        <w:t>Member</w:t>
      </w:r>
      <w:r w:rsidR="004A2BA8" w:rsidRPr="00A358E1">
        <w:rPr>
          <w:sz w:val="24"/>
          <w:szCs w:val="24"/>
        </w:rPr>
        <w:t>/</w:t>
      </w:r>
      <w:r w:rsidR="004A2BA8" w:rsidRPr="004A2BA8">
        <w:rPr>
          <w:sz w:val="24"/>
          <w:szCs w:val="24"/>
        </w:rPr>
        <w:t>General Manager</w:t>
      </w:r>
      <w:bookmarkStart w:id="2" w:name="_GoBack"/>
      <w:bookmarkEnd w:id="2"/>
    </w:p>
    <w:p w14:paraId="4AA543A7" w14:textId="77777777" w:rsidR="00A358E1" w:rsidRDefault="00A358E1" w:rsidP="00120E6D"/>
    <w:p w14:paraId="412149CA" w14:textId="77777777" w:rsidR="00A358E1" w:rsidRPr="00A358E1" w:rsidRDefault="00A358E1" w:rsidP="00120E6D">
      <w:pPr>
        <w:pBdr>
          <w:bottom w:val="single" w:sz="4" w:space="1" w:color="auto"/>
        </w:pBdr>
        <w:spacing w:after="240" w:line="480" w:lineRule="auto"/>
        <w:sectPr w:rsidR="00A358E1" w:rsidRPr="00A358E1" w:rsidSect="00C46528">
          <w:headerReference w:type="even" r:id="rId13"/>
          <w:headerReference w:type="default" r:id="rId14"/>
          <w:footerReference w:type="even" r:id="rId15"/>
          <w:footerReference w:type="default" r:id="rId16"/>
          <w:footerReference w:type="first" r:id="rId17"/>
          <w:pgSz w:w="11906" w:h="16838" w:code="9"/>
          <w:pgMar w:top="1440" w:right="1797" w:bottom="1440" w:left="1797" w:header="720" w:footer="720" w:gutter="0"/>
          <w:cols w:space="720"/>
          <w:titlePg/>
          <w:docGrid w:linePitch="326"/>
        </w:sectPr>
      </w:pPr>
      <w:r>
        <w:t>Australian Communications and Media Authority</w:t>
      </w:r>
    </w:p>
    <w:p w14:paraId="3518A858" w14:textId="77777777" w:rsidR="00C20E12" w:rsidRDefault="00C20E12" w:rsidP="00CB1379">
      <w:pPr>
        <w:pStyle w:val="HP"/>
        <w:ind w:left="0" w:firstLine="0"/>
        <w:rPr>
          <w:rStyle w:val="CharPartNo"/>
        </w:rPr>
        <w:sectPr w:rsidR="00C20E12" w:rsidSect="00FC5709">
          <w:headerReference w:type="first" r:id="rId18"/>
          <w:type w:val="continuous"/>
          <w:pgSz w:w="11906" w:h="16838" w:code="9"/>
          <w:pgMar w:top="1440" w:right="1797" w:bottom="1440" w:left="1797" w:header="720" w:footer="720" w:gutter="0"/>
          <w:cols w:space="720"/>
          <w:formProt w:val="0"/>
          <w:titlePg/>
        </w:sectPr>
      </w:pPr>
    </w:p>
    <w:p w14:paraId="5236A2B7" w14:textId="77777777" w:rsidR="005C1E1D" w:rsidRPr="00516D99" w:rsidRDefault="005C1E1D" w:rsidP="005C1E1D">
      <w:pPr>
        <w:keepNext/>
        <w:keepLines/>
        <w:outlineLvl w:val="4"/>
        <w:rPr>
          <w:b/>
          <w:kern w:val="28"/>
          <w:sz w:val="32"/>
          <w:szCs w:val="32"/>
        </w:rPr>
      </w:pPr>
      <w:r w:rsidRPr="00516D99">
        <w:rPr>
          <w:b/>
          <w:kern w:val="28"/>
          <w:sz w:val="32"/>
          <w:szCs w:val="32"/>
        </w:rPr>
        <w:lastRenderedPageBreak/>
        <w:t>Part 1—Preliminary</w:t>
      </w:r>
    </w:p>
    <w:p w14:paraId="150D1E4D" w14:textId="77777777" w:rsidR="006159E6" w:rsidRPr="00516D99" w:rsidRDefault="00406E6B" w:rsidP="00406E6B">
      <w:pPr>
        <w:pStyle w:val="HR"/>
        <w:tabs>
          <w:tab w:val="left" w:pos="1276"/>
        </w:tabs>
        <w:ind w:left="993" w:hanging="993"/>
        <w:rPr>
          <w:rFonts w:ascii="Times New Roman" w:hAnsi="Times New Roman"/>
          <w:sz w:val="28"/>
          <w:szCs w:val="28"/>
        </w:rPr>
      </w:pPr>
      <w:r w:rsidRPr="00516D99">
        <w:rPr>
          <w:rStyle w:val="CharSectno"/>
          <w:rFonts w:ascii="Times New Roman" w:hAnsi="Times New Roman"/>
          <w:sz w:val="28"/>
          <w:szCs w:val="28"/>
        </w:rPr>
        <w:t>1</w:t>
      </w:r>
      <w:r w:rsidRPr="00516D99">
        <w:rPr>
          <w:rFonts w:ascii="Times New Roman" w:hAnsi="Times New Roman"/>
          <w:sz w:val="28"/>
          <w:szCs w:val="28"/>
        </w:rPr>
        <w:tab/>
      </w:r>
      <w:r w:rsidR="00CB1379" w:rsidRPr="00516D99">
        <w:rPr>
          <w:rFonts w:ascii="Times New Roman" w:hAnsi="Times New Roman"/>
          <w:sz w:val="28"/>
          <w:szCs w:val="28"/>
        </w:rPr>
        <w:t>Name of Determination</w:t>
      </w:r>
    </w:p>
    <w:p w14:paraId="33501EF4" w14:textId="1D2C260D" w:rsidR="006159E6" w:rsidRPr="000C2C4D" w:rsidRDefault="000C2C4D" w:rsidP="00516D99">
      <w:pPr>
        <w:pStyle w:val="R1"/>
        <w:spacing w:line="240" w:lineRule="auto"/>
        <w:jc w:val="left"/>
      </w:pPr>
      <w:r>
        <w:tab/>
      </w:r>
      <w:r>
        <w:tab/>
      </w:r>
      <w:r w:rsidR="00CB1379">
        <w:t xml:space="preserve">This </w:t>
      </w:r>
      <w:r w:rsidR="00D5468B" w:rsidRPr="003B54AE">
        <w:t xml:space="preserve">is the </w:t>
      </w:r>
      <w:r w:rsidR="00CB1379">
        <w:rPr>
          <w:i/>
        </w:rPr>
        <w:t>Do Not Call Register (Access Fees) Determination 2017</w:t>
      </w:r>
      <w:r w:rsidR="006A6B19">
        <w:rPr>
          <w:i/>
        </w:rPr>
        <w:t>.</w:t>
      </w:r>
    </w:p>
    <w:p w14:paraId="23C04C36" w14:textId="77777777" w:rsidR="00FC0104" w:rsidRPr="00516D99" w:rsidRDefault="006159E6" w:rsidP="00516D99">
      <w:pPr>
        <w:pStyle w:val="HR"/>
        <w:rPr>
          <w:rFonts w:ascii="Times New Roman" w:hAnsi="Times New Roman"/>
          <w:sz w:val="28"/>
          <w:szCs w:val="28"/>
        </w:rPr>
      </w:pPr>
      <w:r w:rsidRPr="00516D99">
        <w:rPr>
          <w:rStyle w:val="CharSectno"/>
          <w:rFonts w:ascii="Times New Roman" w:hAnsi="Times New Roman"/>
          <w:sz w:val="28"/>
          <w:szCs w:val="28"/>
        </w:rPr>
        <w:t>2</w:t>
      </w:r>
      <w:r w:rsidRPr="00516D99">
        <w:rPr>
          <w:rFonts w:ascii="Times New Roman" w:hAnsi="Times New Roman"/>
          <w:sz w:val="28"/>
          <w:szCs w:val="28"/>
        </w:rPr>
        <w:tab/>
        <w:t>Commencement</w:t>
      </w:r>
    </w:p>
    <w:p w14:paraId="39795CBB" w14:textId="643FFA1B" w:rsidR="00AF3759" w:rsidRDefault="00FC0104" w:rsidP="00516D99">
      <w:pPr>
        <w:pStyle w:val="R1"/>
        <w:jc w:val="left"/>
      </w:pPr>
      <w:r>
        <w:tab/>
      </w:r>
      <w:r>
        <w:tab/>
      </w:r>
      <w:r w:rsidRPr="006F4055">
        <w:t xml:space="preserve">This </w:t>
      </w:r>
      <w:r w:rsidR="00516D99">
        <w:t xml:space="preserve">Determination </w:t>
      </w:r>
      <w:r w:rsidRPr="006F4055">
        <w:t>commences</w:t>
      </w:r>
      <w:r w:rsidR="00AF3759">
        <w:t>:</w:t>
      </w:r>
    </w:p>
    <w:p w14:paraId="598D8305" w14:textId="056AC0CB" w:rsidR="00AF3759" w:rsidRDefault="00036EFB" w:rsidP="002600C9">
      <w:pPr>
        <w:pStyle w:val="R1"/>
        <w:numPr>
          <w:ilvl w:val="0"/>
          <w:numId w:val="24"/>
        </w:numPr>
        <w:jc w:val="left"/>
      </w:pPr>
      <w:r w:rsidRPr="006F4055">
        <w:t>on</w:t>
      </w:r>
      <w:r>
        <w:t xml:space="preserve"> the day after </w:t>
      </w:r>
      <w:r w:rsidR="00FC0104">
        <w:t>it is registered</w:t>
      </w:r>
      <w:r w:rsidR="00AF3759">
        <w:t>; or</w:t>
      </w:r>
    </w:p>
    <w:p w14:paraId="55EF781D" w14:textId="08EE6E7C" w:rsidR="00AF3759" w:rsidRDefault="00036EFB" w:rsidP="002600C9">
      <w:pPr>
        <w:pStyle w:val="R1"/>
        <w:numPr>
          <w:ilvl w:val="0"/>
          <w:numId w:val="24"/>
        </w:numPr>
        <w:jc w:val="left"/>
      </w:pPr>
      <w:r>
        <w:t xml:space="preserve">at the same time as </w:t>
      </w:r>
      <w:proofErr w:type="spellStart"/>
      <w:r>
        <w:t>the</w:t>
      </w:r>
      <w:proofErr w:type="spellEnd"/>
      <w:r>
        <w:t xml:space="preserve"> </w:t>
      </w:r>
      <w:r w:rsidR="00AF3759" w:rsidRPr="002600C9">
        <w:rPr>
          <w:i/>
        </w:rPr>
        <w:t>Do Not Call Register (Access to Register) Determination 2017</w:t>
      </w:r>
      <w:r w:rsidR="00AF3759">
        <w:t xml:space="preserve"> </w:t>
      </w:r>
      <w:r>
        <w:t>commences</w:t>
      </w:r>
      <w:r w:rsidR="00AF3759">
        <w:t>;</w:t>
      </w:r>
    </w:p>
    <w:p w14:paraId="233877BB" w14:textId="29674844" w:rsidR="00FC0104" w:rsidRDefault="00AF3759" w:rsidP="002600C9">
      <w:pPr>
        <w:pStyle w:val="R1"/>
        <w:ind w:left="960" w:firstLine="0"/>
        <w:jc w:val="left"/>
      </w:pPr>
      <w:proofErr w:type="gramStart"/>
      <w:r>
        <w:t>whichever</w:t>
      </w:r>
      <w:proofErr w:type="gramEnd"/>
      <w:r>
        <w:t xml:space="preserve"> is the latter</w:t>
      </w:r>
      <w:r w:rsidR="00FC0104" w:rsidRPr="006F4055">
        <w:t>.</w:t>
      </w:r>
    </w:p>
    <w:p w14:paraId="4855F8AE" w14:textId="7B19D353" w:rsidR="0050064B" w:rsidRDefault="00FC0104" w:rsidP="00516D99">
      <w:pPr>
        <w:pStyle w:val="note0"/>
        <w:ind w:left="1701" w:hanging="708"/>
        <w:rPr>
          <w:sz w:val="18"/>
          <w:szCs w:val="18"/>
        </w:rPr>
      </w:pPr>
      <w:r w:rsidRPr="00120E6D">
        <w:rPr>
          <w:iCs/>
          <w:sz w:val="18"/>
          <w:szCs w:val="18"/>
        </w:rPr>
        <w:t>Note</w:t>
      </w:r>
      <w:r w:rsidR="000D168B">
        <w:rPr>
          <w:iCs/>
          <w:sz w:val="18"/>
          <w:szCs w:val="18"/>
        </w:rPr>
        <w:t xml:space="preserve"> 1</w:t>
      </w:r>
      <w:r w:rsidR="00120E6D">
        <w:rPr>
          <w:iCs/>
          <w:sz w:val="18"/>
          <w:szCs w:val="18"/>
        </w:rPr>
        <w:t>:</w:t>
      </w:r>
      <w:r w:rsidRPr="00876E2D">
        <w:rPr>
          <w:i/>
          <w:iCs/>
          <w:sz w:val="18"/>
          <w:szCs w:val="18"/>
        </w:rPr>
        <w:t xml:space="preserve">  </w:t>
      </w:r>
      <w:r w:rsidR="00120E6D">
        <w:rPr>
          <w:i/>
          <w:iCs/>
          <w:sz w:val="18"/>
          <w:szCs w:val="18"/>
        </w:rPr>
        <w:tab/>
      </w:r>
      <w:r w:rsidR="00A358E1">
        <w:rPr>
          <w:sz w:val="18"/>
          <w:szCs w:val="18"/>
        </w:rPr>
        <w:t>T</w:t>
      </w:r>
      <w:r w:rsidRPr="00876E2D">
        <w:rPr>
          <w:sz w:val="18"/>
          <w:szCs w:val="18"/>
        </w:rPr>
        <w:t>he Federal Register of Legislati</w:t>
      </w:r>
      <w:r w:rsidR="00A358E1">
        <w:rPr>
          <w:sz w:val="18"/>
          <w:szCs w:val="18"/>
        </w:rPr>
        <w:t xml:space="preserve">on may be </w:t>
      </w:r>
      <w:r w:rsidR="005A31D9">
        <w:rPr>
          <w:sz w:val="18"/>
          <w:szCs w:val="18"/>
        </w:rPr>
        <w:t>a</w:t>
      </w:r>
      <w:r w:rsidR="00A358E1">
        <w:rPr>
          <w:sz w:val="18"/>
          <w:szCs w:val="18"/>
        </w:rPr>
        <w:t>ccessed at</w:t>
      </w:r>
      <w:r w:rsidRPr="00876E2D">
        <w:rPr>
          <w:sz w:val="18"/>
          <w:szCs w:val="18"/>
        </w:rPr>
        <w:t xml:space="preserve"> </w:t>
      </w:r>
      <w:hyperlink r:id="rId19" w:history="1">
        <w:r w:rsidR="001416AD" w:rsidRPr="00876E2D">
          <w:rPr>
            <w:rStyle w:val="Hyperlink"/>
            <w:sz w:val="18"/>
            <w:szCs w:val="18"/>
          </w:rPr>
          <w:t>http://www.legislation.gov.au</w:t>
        </w:r>
      </w:hyperlink>
      <w:r w:rsidRPr="00876E2D">
        <w:rPr>
          <w:sz w:val="18"/>
          <w:szCs w:val="18"/>
        </w:rPr>
        <w:t xml:space="preserve">. </w:t>
      </w:r>
    </w:p>
    <w:p w14:paraId="0B95563B" w14:textId="4AC06B08" w:rsidR="000D168B" w:rsidRPr="00876E2D" w:rsidRDefault="000D168B" w:rsidP="00516D99">
      <w:pPr>
        <w:pStyle w:val="note0"/>
        <w:ind w:left="1701" w:hanging="708"/>
        <w:rPr>
          <w:sz w:val="18"/>
          <w:szCs w:val="18"/>
        </w:rPr>
      </w:pPr>
      <w:r>
        <w:rPr>
          <w:sz w:val="18"/>
          <w:szCs w:val="18"/>
        </w:rPr>
        <w:t>Note 2:</w:t>
      </w:r>
      <w:r>
        <w:rPr>
          <w:sz w:val="18"/>
          <w:szCs w:val="18"/>
        </w:rPr>
        <w:tab/>
      </w:r>
      <w:r w:rsidR="0062338A">
        <w:rPr>
          <w:sz w:val="18"/>
          <w:szCs w:val="18"/>
        </w:rPr>
        <w:t>Both the events referred to in paragraphs 2(a) and (b) must occur before this Determination commences.</w:t>
      </w:r>
    </w:p>
    <w:p w14:paraId="25320A72" w14:textId="77777777" w:rsidR="00C46528" w:rsidRPr="00516D99" w:rsidRDefault="006159E6" w:rsidP="00516D99">
      <w:pPr>
        <w:pStyle w:val="HR"/>
        <w:rPr>
          <w:rFonts w:ascii="Times New Roman" w:hAnsi="Times New Roman"/>
          <w:sz w:val="28"/>
          <w:szCs w:val="28"/>
        </w:rPr>
      </w:pPr>
      <w:r w:rsidRPr="00516D99">
        <w:rPr>
          <w:rStyle w:val="CharSectno"/>
          <w:rFonts w:ascii="Times New Roman" w:hAnsi="Times New Roman"/>
          <w:sz w:val="28"/>
          <w:szCs w:val="28"/>
        </w:rPr>
        <w:t>3</w:t>
      </w:r>
      <w:r w:rsidRPr="00516D99">
        <w:rPr>
          <w:rFonts w:ascii="Times New Roman" w:hAnsi="Times New Roman"/>
          <w:sz w:val="28"/>
          <w:szCs w:val="28"/>
        </w:rPr>
        <w:tab/>
      </w:r>
      <w:r w:rsidR="00C46528" w:rsidRPr="00516D99">
        <w:rPr>
          <w:rFonts w:ascii="Times New Roman" w:hAnsi="Times New Roman"/>
          <w:sz w:val="28"/>
          <w:szCs w:val="28"/>
        </w:rPr>
        <w:t>Authority</w:t>
      </w:r>
    </w:p>
    <w:p w14:paraId="0BC78C16" w14:textId="6EE63B23" w:rsidR="00C46528" w:rsidRDefault="00516D99" w:rsidP="00516D99">
      <w:pPr>
        <w:pStyle w:val="R1"/>
        <w:jc w:val="left"/>
      </w:pPr>
      <w:r>
        <w:tab/>
      </w:r>
      <w:r>
        <w:tab/>
        <w:t>This Determination</w:t>
      </w:r>
      <w:r w:rsidR="00C46528">
        <w:t xml:space="preserve"> is made under subsection 21(1) of the </w:t>
      </w:r>
      <w:r w:rsidR="00C46528" w:rsidRPr="008102AC">
        <w:rPr>
          <w:i/>
        </w:rPr>
        <w:t>Do Not Call Register Act 2006</w:t>
      </w:r>
      <w:r w:rsidR="00C46528">
        <w:t>.</w:t>
      </w:r>
    </w:p>
    <w:p w14:paraId="0155E536" w14:textId="77777777" w:rsidR="006159E6" w:rsidRPr="00516D99" w:rsidRDefault="00C46528" w:rsidP="006159E6">
      <w:pPr>
        <w:pStyle w:val="HR"/>
        <w:rPr>
          <w:rFonts w:ascii="Times New Roman" w:hAnsi="Times New Roman"/>
          <w:i/>
          <w:sz w:val="28"/>
          <w:szCs w:val="28"/>
        </w:rPr>
      </w:pPr>
      <w:r w:rsidRPr="00516D99">
        <w:rPr>
          <w:rStyle w:val="CharSectno"/>
          <w:rFonts w:ascii="Times New Roman" w:hAnsi="Times New Roman"/>
          <w:sz w:val="28"/>
          <w:szCs w:val="28"/>
        </w:rPr>
        <w:t>4</w:t>
      </w:r>
      <w:r w:rsidRPr="00516D99">
        <w:rPr>
          <w:rFonts w:ascii="Times New Roman" w:hAnsi="Times New Roman"/>
          <w:sz w:val="28"/>
          <w:szCs w:val="28"/>
        </w:rPr>
        <w:tab/>
      </w:r>
      <w:r w:rsidR="00406E6B" w:rsidRPr="00516D99">
        <w:rPr>
          <w:rFonts w:ascii="Times New Roman" w:hAnsi="Times New Roman"/>
          <w:sz w:val="28"/>
          <w:szCs w:val="28"/>
        </w:rPr>
        <w:t xml:space="preserve">Repeal of the </w:t>
      </w:r>
      <w:r w:rsidR="00406E6B" w:rsidRPr="00516D99">
        <w:rPr>
          <w:rFonts w:ascii="Times New Roman" w:hAnsi="Times New Roman"/>
          <w:i/>
          <w:sz w:val="28"/>
          <w:szCs w:val="28"/>
        </w:rPr>
        <w:t>Do Not Call Register (Access Fees) Determination 2007</w:t>
      </w:r>
    </w:p>
    <w:p w14:paraId="4D71CDF8" w14:textId="77777777" w:rsidR="00120E6D" w:rsidRPr="00120E6D" w:rsidRDefault="00CB1379" w:rsidP="00120E6D">
      <w:pPr>
        <w:pStyle w:val="HR"/>
        <w:spacing w:before="120"/>
        <w:ind w:firstLine="29"/>
        <w:rPr>
          <w:rFonts w:ascii="Times New Roman" w:hAnsi="Times New Roman"/>
          <w:b w:val="0"/>
        </w:rPr>
      </w:pPr>
      <w:proofErr w:type="gramStart"/>
      <w:r w:rsidRPr="00120E6D">
        <w:rPr>
          <w:rFonts w:ascii="Times New Roman" w:hAnsi="Times New Roman"/>
          <w:b w:val="0"/>
        </w:rPr>
        <w:t xml:space="preserve">The  </w:t>
      </w:r>
      <w:r w:rsidRPr="00120E6D">
        <w:rPr>
          <w:rFonts w:ascii="Times New Roman" w:hAnsi="Times New Roman"/>
          <w:b w:val="0"/>
          <w:i/>
        </w:rPr>
        <w:t>Do</w:t>
      </w:r>
      <w:proofErr w:type="gramEnd"/>
      <w:r w:rsidRPr="00120E6D">
        <w:rPr>
          <w:rFonts w:ascii="Times New Roman" w:hAnsi="Times New Roman"/>
          <w:b w:val="0"/>
          <w:i/>
        </w:rPr>
        <w:t xml:space="preserve"> Not Call Register (Access Fees) Determination 2007</w:t>
      </w:r>
      <w:r w:rsidR="00406E6B" w:rsidRPr="00120E6D">
        <w:rPr>
          <w:rFonts w:ascii="Times New Roman" w:hAnsi="Times New Roman"/>
          <w:b w:val="0"/>
        </w:rPr>
        <w:t xml:space="preserve"> (F2007L01240) is  repeal</w:t>
      </w:r>
      <w:r w:rsidRPr="00120E6D">
        <w:rPr>
          <w:rFonts w:ascii="Times New Roman" w:hAnsi="Times New Roman"/>
          <w:b w:val="0"/>
        </w:rPr>
        <w:t>ed.</w:t>
      </w:r>
    </w:p>
    <w:p w14:paraId="2E047A12" w14:textId="21F78E18" w:rsidR="006159E6" w:rsidRPr="00516D99" w:rsidRDefault="00A358E1" w:rsidP="00516D99">
      <w:pPr>
        <w:pStyle w:val="HR"/>
        <w:rPr>
          <w:rFonts w:ascii="Times New Roman" w:hAnsi="Times New Roman"/>
          <w:sz w:val="28"/>
          <w:szCs w:val="28"/>
        </w:rPr>
      </w:pPr>
      <w:r w:rsidRPr="00516D99">
        <w:rPr>
          <w:rStyle w:val="CharSectno"/>
          <w:rFonts w:ascii="Times New Roman" w:hAnsi="Times New Roman"/>
          <w:sz w:val="28"/>
          <w:szCs w:val="28"/>
        </w:rPr>
        <w:t>5</w:t>
      </w:r>
      <w:r w:rsidR="00406E6B" w:rsidRPr="00516D99">
        <w:rPr>
          <w:rFonts w:ascii="Times New Roman" w:hAnsi="Times New Roman"/>
          <w:sz w:val="28"/>
          <w:szCs w:val="28"/>
        </w:rPr>
        <w:tab/>
      </w:r>
      <w:r w:rsidR="006159E6" w:rsidRPr="00516D99">
        <w:rPr>
          <w:rFonts w:ascii="Times New Roman" w:hAnsi="Times New Roman"/>
          <w:sz w:val="28"/>
          <w:szCs w:val="28"/>
        </w:rPr>
        <w:t>Definitions</w:t>
      </w:r>
    </w:p>
    <w:p w14:paraId="7CCBBDB5" w14:textId="77777777" w:rsidR="006159E6" w:rsidRDefault="00DD597F" w:rsidP="00516D99">
      <w:pPr>
        <w:pStyle w:val="R1"/>
        <w:jc w:val="left"/>
      </w:pPr>
      <w:r>
        <w:tab/>
      </w:r>
      <w:r>
        <w:tab/>
        <w:t>In this Determination</w:t>
      </w:r>
      <w:r w:rsidR="006159E6" w:rsidRPr="006F4055">
        <w:t>:</w:t>
      </w:r>
    </w:p>
    <w:p w14:paraId="2F39B94C" w14:textId="77777777" w:rsidR="00DD597F" w:rsidRPr="00DD597F" w:rsidRDefault="00DD597F" w:rsidP="00DD597F">
      <w:pPr>
        <w:pStyle w:val="Definition0"/>
        <w:rPr>
          <w:sz w:val="24"/>
          <w:szCs w:val="24"/>
        </w:rPr>
      </w:pPr>
      <w:proofErr w:type="gramStart"/>
      <w:r w:rsidRPr="00DD597F">
        <w:rPr>
          <w:b/>
          <w:i/>
          <w:sz w:val="24"/>
          <w:szCs w:val="24"/>
        </w:rPr>
        <w:t>access</w:t>
      </w:r>
      <w:r w:rsidRPr="00DD597F">
        <w:rPr>
          <w:b/>
          <w:i/>
          <w:sz w:val="24"/>
          <w:szCs w:val="24"/>
        </w:rPr>
        <w:noBreakHyphen/>
        <w:t>seeker</w:t>
      </w:r>
      <w:proofErr w:type="gramEnd"/>
      <w:r w:rsidRPr="00DD597F">
        <w:rPr>
          <w:sz w:val="24"/>
          <w:szCs w:val="24"/>
        </w:rPr>
        <w:t xml:space="preserve"> has the same meaning as in subsection 19(1) of the Act.</w:t>
      </w:r>
    </w:p>
    <w:p w14:paraId="54866BDB" w14:textId="55DF2AF1" w:rsidR="00DD597F" w:rsidRPr="00516D99" w:rsidRDefault="00DD597F" w:rsidP="00DD597F">
      <w:pPr>
        <w:pStyle w:val="Definition0"/>
        <w:rPr>
          <w:sz w:val="24"/>
          <w:szCs w:val="24"/>
        </w:rPr>
      </w:pPr>
      <w:r w:rsidRPr="00DD597F">
        <w:rPr>
          <w:b/>
          <w:i/>
          <w:sz w:val="24"/>
          <w:szCs w:val="24"/>
        </w:rPr>
        <w:t>access</w:t>
      </w:r>
      <w:r w:rsidRPr="00DD597F">
        <w:rPr>
          <w:b/>
          <w:i/>
          <w:sz w:val="24"/>
          <w:szCs w:val="24"/>
        </w:rPr>
        <w:noBreakHyphen/>
        <w:t xml:space="preserve">seeker’s registration </w:t>
      </w:r>
      <w:r w:rsidRPr="00DD597F">
        <w:rPr>
          <w:sz w:val="24"/>
          <w:szCs w:val="24"/>
        </w:rPr>
        <w:t>means the access</w:t>
      </w:r>
      <w:r w:rsidRPr="00DD597F">
        <w:rPr>
          <w:sz w:val="24"/>
          <w:szCs w:val="24"/>
        </w:rPr>
        <w:noBreakHyphen/>
        <w:t xml:space="preserve">seeker’s registration </w:t>
      </w:r>
      <w:r w:rsidR="00DC46A8">
        <w:rPr>
          <w:sz w:val="24"/>
          <w:szCs w:val="24"/>
        </w:rPr>
        <w:t xml:space="preserve">referred to in subsection </w:t>
      </w:r>
      <w:r w:rsidR="00EB356B" w:rsidRPr="00516D99">
        <w:rPr>
          <w:sz w:val="24"/>
          <w:szCs w:val="24"/>
        </w:rPr>
        <w:t>7(3)</w:t>
      </w:r>
      <w:r w:rsidR="00DC46A8">
        <w:rPr>
          <w:sz w:val="24"/>
          <w:szCs w:val="24"/>
        </w:rPr>
        <w:t xml:space="preserve"> </w:t>
      </w:r>
      <w:r w:rsidRPr="00DD597F">
        <w:rPr>
          <w:sz w:val="24"/>
          <w:szCs w:val="24"/>
        </w:rPr>
        <w:t xml:space="preserve">of the </w:t>
      </w:r>
      <w:r w:rsidRPr="00516D99">
        <w:rPr>
          <w:i/>
          <w:sz w:val="24"/>
          <w:szCs w:val="24"/>
        </w:rPr>
        <w:t>Do Not Call Register (Acces</w:t>
      </w:r>
      <w:r w:rsidR="00DC46A8" w:rsidRPr="00516D99">
        <w:rPr>
          <w:i/>
          <w:sz w:val="24"/>
          <w:szCs w:val="24"/>
        </w:rPr>
        <w:t>s to Register) Determination 201</w:t>
      </w:r>
      <w:r w:rsidRPr="00516D99">
        <w:rPr>
          <w:i/>
          <w:sz w:val="24"/>
          <w:szCs w:val="24"/>
        </w:rPr>
        <w:t>7</w:t>
      </w:r>
      <w:r w:rsidRPr="00516D99">
        <w:rPr>
          <w:sz w:val="24"/>
          <w:szCs w:val="24"/>
        </w:rPr>
        <w:t>.</w:t>
      </w:r>
    </w:p>
    <w:p w14:paraId="43E482D4" w14:textId="77777777" w:rsidR="00DD597F" w:rsidRPr="00DD597F" w:rsidRDefault="00DD597F" w:rsidP="00DD597F">
      <w:pPr>
        <w:pStyle w:val="Definition0"/>
        <w:rPr>
          <w:sz w:val="24"/>
          <w:szCs w:val="24"/>
        </w:rPr>
      </w:pPr>
      <w:r w:rsidRPr="00DD597F">
        <w:rPr>
          <w:b/>
          <w:i/>
          <w:sz w:val="24"/>
          <w:szCs w:val="24"/>
        </w:rPr>
        <w:t xml:space="preserve">ACMA </w:t>
      </w:r>
      <w:r w:rsidRPr="00DD597F">
        <w:rPr>
          <w:sz w:val="24"/>
          <w:szCs w:val="24"/>
        </w:rPr>
        <w:t>means the Australian Communications and Media Authority.</w:t>
      </w:r>
    </w:p>
    <w:p w14:paraId="307BE9CA" w14:textId="77777777" w:rsidR="00DD597F" w:rsidRPr="00DD597F" w:rsidRDefault="00DD597F" w:rsidP="00DD597F">
      <w:pPr>
        <w:pStyle w:val="Definition0"/>
        <w:rPr>
          <w:sz w:val="24"/>
          <w:szCs w:val="24"/>
        </w:rPr>
      </w:pPr>
      <w:r w:rsidRPr="00DD597F">
        <w:rPr>
          <w:b/>
          <w:i/>
          <w:sz w:val="24"/>
          <w:szCs w:val="24"/>
        </w:rPr>
        <w:t>Act</w:t>
      </w:r>
      <w:r w:rsidRPr="00DD597F">
        <w:rPr>
          <w:sz w:val="24"/>
          <w:szCs w:val="24"/>
        </w:rPr>
        <w:t xml:space="preserve"> means </w:t>
      </w:r>
      <w:proofErr w:type="spellStart"/>
      <w:r w:rsidRPr="00DD597F">
        <w:rPr>
          <w:sz w:val="24"/>
          <w:szCs w:val="24"/>
        </w:rPr>
        <w:t>the</w:t>
      </w:r>
      <w:proofErr w:type="spellEnd"/>
      <w:r w:rsidRPr="00DD597F">
        <w:rPr>
          <w:sz w:val="24"/>
          <w:szCs w:val="24"/>
        </w:rPr>
        <w:t xml:space="preserve"> </w:t>
      </w:r>
      <w:r w:rsidRPr="00DD597F">
        <w:rPr>
          <w:i/>
          <w:sz w:val="24"/>
          <w:szCs w:val="24"/>
        </w:rPr>
        <w:t>Do Not Call Register Act 2006</w:t>
      </w:r>
      <w:r w:rsidRPr="00DD597F">
        <w:rPr>
          <w:sz w:val="24"/>
          <w:szCs w:val="24"/>
        </w:rPr>
        <w:t>.</w:t>
      </w:r>
    </w:p>
    <w:p w14:paraId="1CC4BE01" w14:textId="77777777" w:rsidR="00DD597F" w:rsidRPr="00DD597F" w:rsidRDefault="00DD597F" w:rsidP="00DD597F">
      <w:pPr>
        <w:pStyle w:val="Definition0"/>
        <w:rPr>
          <w:sz w:val="24"/>
          <w:szCs w:val="24"/>
        </w:rPr>
      </w:pPr>
      <w:proofErr w:type="gramStart"/>
      <w:r w:rsidRPr="00DD597F">
        <w:rPr>
          <w:b/>
          <w:i/>
          <w:sz w:val="24"/>
          <w:szCs w:val="24"/>
        </w:rPr>
        <w:t>current</w:t>
      </w:r>
      <w:proofErr w:type="gramEnd"/>
      <w:r w:rsidRPr="00DD597F">
        <w:rPr>
          <w:b/>
          <w:i/>
          <w:sz w:val="24"/>
          <w:szCs w:val="24"/>
        </w:rPr>
        <w:t xml:space="preserve"> subscription </w:t>
      </w:r>
      <w:r w:rsidRPr="00DD597F">
        <w:rPr>
          <w:sz w:val="24"/>
          <w:szCs w:val="24"/>
        </w:rPr>
        <w:t>means a subscription whi</w:t>
      </w:r>
      <w:r w:rsidR="007F15D8">
        <w:rPr>
          <w:sz w:val="24"/>
          <w:szCs w:val="24"/>
        </w:rPr>
        <w:t>ch has commenced under section </w:t>
      </w:r>
      <w:r w:rsidR="007F15D8" w:rsidRPr="00516D99">
        <w:rPr>
          <w:sz w:val="24"/>
          <w:szCs w:val="24"/>
        </w:rPr>
        <w:t>9</w:t>
      </w:r>
      <w:r w:rsidRPr="00DD597F">
        <w:rPr>
          <w:sz w:val="24"/>
          <w:szCs w:val="24"/>
        </w:rPr>
        <w:t xml:space="preserve"> and has not expired or been cancelled or suspended.</w:t>
      </w:r>
    </w:p>
    <w:p w14:paraId="42B9FB1D" w14:textId="77777777" w:rsidR="00DD597F" w:rsidRDefault="00DD597F" w:rsidP="00DD597F">
      <w:pPr>
        <w:pStyle w:val="Definition0"/>
        <w:rPr>
          <w:sz w:val="24"/>
          <w:szCs w:val="24"/>
        </w:rPr>
      </w:pPr>
      <w:proofErr w:type="gramStart"/>
      <w:r w:rsidRPr="00DD597F">
        <w:rPr>
          <w:b/>
          <w:i/>
          <w:sz w:val="24"/>
          <w:szCs w:val="24"/>
        </w:rPr>
        <w:t>subscription</w:t>
      </w:r>
      <w:proofErr w:type="gramEnd"/>
      <w:r w:rsidRPr="00DD597F">
        <w:rPr>
          <w:b/>
          <w:i/>
          <w:sz w:val="24"/>
          <w:szCs w:val="24"/>
        </w:rPr>
        <w:t xml:space="preserve"> fee </w:t>
      </w:r>
      <w:r w:rsidRPr="00DD597F">
        <w:rPr>
          <w:sz w:val="24"/>
          <w:szCs w:val="24"/>
        </w:rPr>
        <w:t xml:space="preserve">means the component of a fee payable for services provided under subsection 19(2) of the Act that is described as a subscription fee in column 3 of the table </w:t>
      </w:r>
      <w:r w:rsidR="00A65ABE">
        <w:rPr>
          <w:sz w:val="24"/>
          <w:szCs w:val="24"/>
        </w:rPr>
        <w:t xml:space="preserve">in subsection </w:t>
      </w:r>
      <w:r w:rsidR="00A65ABE" w:rsidRPr="00516D99">
        <w:rPr>
          <w:sz w:val="24"/>
          <w:szCs w:val="24"/>
        </w:rPr>
        <w:t>7</w:t>
      </w:r>
      <w:r w:rsidRPr="00516D99">
        <w:rPr>
          <w:sz w:val="24"/>
          <w:szCs w:val="24"/>
        </w:rPr>
        <w:t>(1).</w:t>
      </w:r>
    </w:p>
    <w:p w14:paraId="53A4A819" w14:textId="0FB516DC" w:rsidR="00AF3759" w:rsidRDefault="00AF3759" w:rsidP="00DD597F">
      <w:pPr>
        <w:pStyle w:val="Definition0"/>
        <w:rPr>
          <w:b/>
          <w:sz w:val="24"/>
          <w:szCs w:val="24"/>
        </w:rPr>
      </w:pPr>
      <w:proofErr w:type="gramStart"/>
      <w:r>
        <w:rPr>
          <w:b/>
          <w:i/>
          <w:sz w:val="24"/>
          <w:szCs w:val="24"/>
        </w:rPr>
        <w:t>subscription</w:t>
      </w:r>
      <w:proofErr w:type="gramEnd"/>
      <w:r>
        <w:rPr>
          <w:b/>
          <w:i/>
          <w:sz w:val="24"/>
          <w:szCs w:val="24"/>
        </w:rPr>
        <w:t xml:space="preserve"> period </w:t>
      </w:r>
      <w:r>
        <w:rPr>
          <w:sz w:val="24"/>
          <w:szCs w:val="24"/>
        </w:rPr>
        <w:t>has the meaning given by section 9.</w:t>
      </w:r>
      <w:r>
        <w:rPr>
          <w:b/>
          <w:i/>
          <w:sz w:val="24"/>
          <w:szCs w:val="24"/>
        </w:rPr>
        <w:t xml:space="preserve"> </w:t>
      </w:r>
    </w:p>
    <w:p w14:paraId="6C9103A7" w14:textId="0705B92B" w:rsidR="00AF3759" w:rsidRDefault="00AF3759" w:rsidP="00DD597F">
      <w:pPr>
        <w:pStyle w:val="Definition0"/>
        <w:rPr>
          <w:sz w:val="24"/>
          <w:szCs w:val="24"/>
        </w:rPr>
      </w:pPr>
      <w:proofErr w:type="gramStart"/>
      <w:r>
        <w:rPr>
          <w:b/>
          <w:i/>
          <w:sz w:val="24"/>
          <w:szCs w:val="24"/>
        </w:rPr>
        <w:lastRenderedPageBreak/>
        <w:t>subscription</w:t>
      </w:r>
      <w:proofErr w:type="gramEnd"/>
      <w:r>
        <w:rPr>
          <w:b/>
          <w:i/>
          <w:sz w:val="24"/>
          <w:szCs w:val="24"/>
        </w:rPr>
        <w:t xml:space="preserve"> type </w:t>
      </w:r>
      <w:r>
        <w:rPr>
          <w:sz w:val="24"/>
          <w:szCs w:val="24"/>
        </w:rPr>
        <w:t>has the meaning given by subsection 7(1).</w:t>
      </w:r>
    </w:p>
    <w:p w14:paraId="019D536F" w14:textId="5510375F" w:rsidR="00AF3759" w:rsidRPr="00AF3759" w:rsidRDefault="00AF3759" w:rsidP="00DD597F">
      <w:pPr>
        <w:pStyle w:val="Definition0"/>
        <w:rPr>
          <w:sz w:val="24"/>
          <w:szCs w:val="24"/>
        </w:rPr>
      </w:pPr>
      <w:proofErr w:type="gramStart"/>
      <w:r>
        <w:rPr>
          <w:b/>
          <w:i/>
          <w:sz w:val="24"/>
          <w:szCs w:val="24"/>
        </w:rPr>
        <w:t>unused</w:t>
      </w:r>
      <w:proofErr w:type="gramEnd"/>
      <w:r>
        <w:rPr>
          <w:b/>
          <w:i/>
          <w:sz w:val="24"/>
          <w:szCs w:val="24"/>
        </w:rPr>
        <w:t xml:space="preserve"> numbers </w:t>
      </w:r>
      <w:r>
        <w:rPr>
          <w:sz w:val="24"/>
          <w:szCs w:val="24"/>
        </w:rPr>
        <w:t>means the number of Australian numbers able to be submitted for checking against the Register under a particular subscription during the relevant subscription period, less the number of Australian numbers that have already been submitted for checking against the Register under that subscription during the subscription period.</w:t>
      </w:r>
    </w:p>
    <w:p w14:paraId="73E35DB3" w14:textId="0335A422" w:rsidR="00DD597F" w:rsidRPr="00DD597F" w:rsidRDefault="00DD597F" w:rsidP="00E72886">
      <w:pPr>
        <w:pStyle w:val="notemargin"/>
        <w:ind w:left="1843"/>
      </w:pPr>
      <w:r w:rsidRPr="00FE0719">
        <w:t>Note:</w:t>
      </w:r>
      <w:r w:rsidRPr="00FE0719">
        <w:tab/>
        <w:t xml:space="preserve">Other words </w:t>
      </w:r>
      <w:r w:rsidR="00516D99">
        <w:t>and phrases used in this D</w:t>
      </w:r>
      <w:r w:rsidRPr="00FE0719">
        <w:t xml:space="preserve">etermination are defined in section 4 of the Act, including </w:t>
      </w:r>
      <w:r w:rsidRPr="00516D99">
        <w:rPr>
          <w:i/>
        </w:rPr>
        <w:t>contracted service provider</w:t>
      </w:r>
      <w:r w:rsidRPr="00FE0719">
        <w:t xml:space="preserve"> and </w:t>
      </w:r>
      <w:r w:rsidRPr="00516D99">
        <w:rPr>
          <w:i/>
        </w:rPr>
        <w:t>Australian number</w:t>
      </w:r>
      <w:r w:rsidRPr="00FE0719">
        <w:t>.</w:t>
      </w:r>
    </w:p>
    <w:p w14:paraId="748E97E2" w14:textId="6B72DD32" w:rsidR="00A358E1" w:rsidRPr="00516D99" w:rsidRDefault="00A358E1" w:rsidP="00A358E1">
      <w:pPr>
        <w:pStyle w:val="HR"/>
        <w:rPr>
          <w:rFonts w:ascii="Times New Roman" w:hAnsi="Times New Roman"/>
          <w:sz w:val="28"/>
          <w:szCs w:val="28"/>
        </w:rPr>
      </w:pPr>
      <w:r w:rsidRPr="00516D99">
        <w:rPr>
          <w:rStyle w:val="CharSectno"/>
          <w:rFonts w:ascii="Times New Roman" w:hAnsi="Times New Roman"/>
          <w:sz w:val="28"/>
          <w:szCs w:val="28"/>
        </w:rPr>
        <w:t>6</w:t>
      </w:r>
      <w:r w:rsidRPr="00516D99">
        <w:rPr>
          <w:rFonts w:ascii="Times New Roman" w:hAnsi="Times New Roman"/>
          <w:sz w:val="28"/>
          <w:szCs w:val="28"/>
        </w:rPr>
        <w:tab/>
        <w:t xml:space="preserve">References to legislative </w:t>
      </w:r>
      <w:r w:rsidR="00AF3759">
        <w:rPr>
          <w:rFonts w:ascii="Times New Roman" w:hAnsi="Times New Roman"/>
          <w:sz w:val="28"/>
          <w:szCs w:val="28"/>
        </w:rPr>
        <w:t xml:space="preserve">and other </w:t>
      </w:r>
      <w:r w:rsidRPr="00516D99">
        <w:rPr>
          <w:rFonts w:ascii="Times New Roman" w:hAnsi="Times New Roman"/>
          <w:sz w:val="28"/>
          <w:szCs w:val="28"/>
        </w:rPr>
        <w:t>instruments</w:t>
      </w:r>
    </w:p>
    <w:p w14:paraId="1D659CAF" w14:textId="11B78585" w:rsidR="00A358E1" w:rsidRDefault="00516D99" w:rsidP="00516D99">
      <w:pPr>
        <w:pStyle w:val="R1"/>
        <w:jc w:val="left"/>
      </w:pPr>
      <w:r>
        <w:tab/>
      </w:r>
      <w:r>
        <w:tab/>
        <w:t>In this Determination</w:t>
      </w:r>
      <w:r w:rsidR="00A358E1">
        <w:t>, unless the contrary intention appears:</w:t>
      </w:r>
    </w:p>
    <w:p w14:paraId="5E38A87C" w14:textId="0CC6763D" w:rsidR="00A358E1" w:rsidRDefault="00A358E1" w:rsidP="00516D99">
      <w:pPr>
        <w:pStyle w:val="R1"/>
        <w:numPr>
          <w:ilvl w:val="0"/>
          <w:numId w:val="23"/>
        </w:numPr>
        <w:jc w:val="left"/>
      </w:pPr>
      <w:r>
        <w:t>a reference to another legislative instrument is a reference to that other legislative instrument as in force from time to time; and</w:t>
      </w:r>
    </w:p>
    <w:p w14:paraId="3EA47EC1" w14:textId="3C6FE1E4" w:rsidR="00A358E1" w:rsidRDefault="00516D99" w:rsidP="00516D99">
      <w:pPr>
        <w:pStyle w:val="R1"/>
        <w:numPr>
          <w:ilvl w:val="0"/>
          <w:numId w:val="23"/>
        </w:numPr>
        <w:jc w:val="left"/>
      </w:pPr>
      <w:proofErr w:type="gramStart"/>
      <w:r>
        <w:t>a</w:t>
      </w:r>
      <w:proofErr w:type="gramEnd"/>
      <w:r w:rsidR="00A358E1">
        <w:t xml:space="preserve"> reference to any other kind of instrument</w:t>
      </w:r>
      <w:r w:rsidR="00EE79D6">
        <w:t xml:space="preserve"> or writing </w:t>
      </w:r>
      <w:r w:rsidR="00A358E1">
        <w:t xml:space="preserve"> is a</w:t>
      </w:r>
      <w:r>
        <w:t xml:space="preserve"> reference to that other</w:t>
      </w:r>
      <w:r w:rsidR="00A358E1">
        <w:t xml:space="preserve"> instrument </w:t>
      </w:r>
      <w:r w:rsidR="00EE79D6">
        <w:t xml:space="preserve">or writing </w:t>
      </w:r>
      <w:r w:rsidR="00A358E1">
        <w:t>as in force from time to time.</w:t>
      </w:r>
    </w:p>
    <w:p w14:paraId="479F868F" w14:textId="77777777" w:rsidR="00A358E1" w:rsidRDefault="00A358E1" w:rsidP="00516D99">
      <w:pPr>
        <w:pStyle w:val="R2"/>
        <w:tabs>
          <w:tab w:val="clear" w:pos="964"/>
          <w:tab w:val="left" w:pos="1843"/>
        </w:tabs>
        <w:ind w:left="1843" w:hanging="850"/>
        <w:jc w:val="left"/>
        <w:rPr>
          <w:sz w:val="18"/>
          <w:szCs w:val="18"/>
        </w:rPr>
      </w:pPr>
      <w:r w:rsidRPr="00406E6B">
        <w:rPr>
          <w:sz w:val="18"/>
          <w:szCs w:val="18"/>
        </w:rPr>
        <w:t>Note 1:</w:t>
      </w:r>
      <w:r w:rsidRPr="00406E6B">
        <w:rPr>
          <w:sz w:val="18"/>
          <w:szCs w:val="18"/>
        </w:rPr>
        <w:tab/>
        <w:t xml:space="preserve">For references to Commonwealth Acts, see section 10 of the </w:t>
      </w:r>
      <w:r w:rsidRPr="00406E6B">
        <w:rPr>
          <w:i/>
          <w:sz w:val="18"/>
          <w:szCs w:val="18"/>
        </w:rPr>
        <w:t>Acts Interpretation Act 1901</w:t>
      </w:r>
      <w:r w:rsidRPr="00406E6B">
        <w:rPr>
          <w:sz w:val="18"/>
          <w:szCs w:val="18"/>
        </w:rPr>
        <w:t xml:space="preserve">; and see also subsection 13(1) of the </w:t>
      </w:r>
      <w:r w:rsidRPr="00406E6B">
        <w:rPr>
          <w:i/>
          <w:sz w:val="18"/>
          <w:szCs w:val="18"/>
        </w:rPr>
        <w:t>Legislation Act 2003</w:t>
      </w:r>
      <w:r w:rsidRPr="00406E6B">
        <w:rPr>
          <w:sz w:val="18"/>
          <w:szCs w:val="18"/>
        </w:rPr>
        <w:t xml:space="preserve"> for the application of the </w:t>
      </w:r>
      <w:r w:rsidRPr="00406E6B">
        <w:rPr>
          <w:i/>
          <w:sz w:val="18"/>
          <w:szCs w:val="18"/>
        </w:rPr>
        <w:t>Acts Interpretation Act 1901</w:t>
      </w:r>
      <w:r w:rsidRPr="00406E6B">
        <w:rPr>
          <w:sz w:val="18"/>
          <w:szCs w:val="18"/>
        </w:rPr>
        <w:t xml:space="preserve"> to legislative instruments.</w:t>
      </w:r>
    </w:p>
    <w:p w14:paraId="4DF9EAA0" w14:textId="77777777" w:rsidR="00A358E1" w:rsidRPr="00406E6B" w:rsidRDefault="00A358E1" w:rsidP="00516D99">
      <w:pPr>
        <w:pStyle w:val="R2"/>
        <w:tabs>
          <w:tab w:val="clear" w:pos="964"/>
          <w:tab w:val="left" w:pos="1843"/>
        </w:tabs>
        <w:ind w:left="1843" w:hanging="850"/>
        <w:jc w:val="left"/>
        <w:rPr>
          <w:sz w:val="18"/>
          <w:szCs w:val="18"/>
        </w:rPr>
      </w:pPr>
      <w:r w:rsidRPr="00406E6B">
        <w:rPr>
          <w:sz w:val="18"/>
          <w:szCs w:val="18"/>
        </w:rPr>
        <w:t>Note 2:</w:t>
      </w:r>
      <w:r w:rsidRPr="00406E6B">
        <w:rPr>
          <w:sz w:val="18"/>
          <w:szCs w:val="18"/>
        </w:rPr>
        <w:tab/>
        <w:t>All Commonwealth Acts and legislative instruments are registered on the Federal Register of Legislation.</w:t>
      </w:r>
    </w:p>
    <w:p w14:paraId="07AACB54" w14:textId="77777777" w:rsidR="00C0420A" w:rsidRDefault="00C0420A">
      <w:pPr>
        <w:spacing w:after="160" w:line="259" w:lineRule="auto"/>
        <w:rPr>
          <w:b/>
        </w:rPr>
      </w:pPr>
      <w:r>
        <w:br w:type="page"/>
      </w:r>
    </w:p>
    <w:p w14:paraId="3E4708C4" w14:textId="77777777" w:rsidR="005C1E1D" w:rsidRDefault="005C1E1D" w:rsidP="005C1E1D">
      <w:pPr>
        <w:pStyle w:val="HR"/>
        <w:ind w:left="0" w:firstLine="0"/>
      </w:pPr>
    </w:p>
    <w:p w14:paraId="46282A55" w14:textId="77777777" w:rsidR="005C1E1D" w:rsidRPr="00516D99" w:rsidRDefault="005C1E1D" w:rsidP="005C1E1D">
      <w:pPr>
        <w:keepNext/>
        <w:keepLines/>
        <w:outlineLvl w:val="4"/>
        <w:rPr>
          <w:b/>
          <w:kern w:val="28"/>
          <w:sz w:val="32"/>
          <w:szCs w:val="32"/>
        </w:rPr>
      </w:pPr>
      <w:r w:rsidRPr="00516D99">
        <w:rPr>
          <w:b/>
          <w:kern w:val="28"/>
          <w:sz w:val="32"/>
          <w:szCs w:val="32"/>
        </w:rPr>
        <w:t>Part 2—</w:t>
      </w:r>
      <w:r w:rsidR="005A31D9" w:rsidRPr="00516D99">
        <w:rPr>
          <w:b/>
          <w:kern w:val="28"/>
          <w:sz w:val="32"/>
          <w:szCs w:val="32"/>
        </w:rPr>
        <w:t xml:space="preserve"> Fees for </w:t>
      </w:r>
      <w:r w:rsidRPr="00516D99">
        <w:rPr>
          <w:b/>
          <w:kern w:val="28"/>
          <w:sz w:val="32"/>
          <w:szCs w:val="32"/>
        </w:rPr>
        <w:t>Access to Register</w:t>
      </w:r>
    </w:p>
    <w:p w14:paraId="0DECE4A3" w14:textId="77777777" w:rsidR="006159E6" w:rsidRPr="00516D99" w:rsidRDefault="00C46528" w:rsidP="006159E6">
      <w:pPr>
        <w:pStyle w:val="HR"/>
        <w:rPr>
          <w:rFonts w:ascii="Times New Roman" w:hAnsi="Times New Roman"/>
          <w:sz w:val="28"/>
          <w:szCs w:val="28"/>
        </w:rPr>
      </w:pPr>
      <w:r w:rsidRPr="00516D99">
        <w:rPr>
          <w:rStyle w:val="CharSectno"/>
          <w:rFonts w:ascii="Times New Roman" w:hAnsi="Times New Roman"/>
          <w:sz w:val="28"/>
          <w:szCs w:val="28"/>
        </w:rPr>
        <w:t>7</w:t>
      </w:r>
      <w:r w:rsidR="00DD597F" w:rsidRPr="00516D99">
        <w:rPr>
          <w:rFonts w:ascii="Times New Roman" w:hAnsi="Times New Roman"/>
          <w:sz w:val="28"/>
          <w:szCs w:val="28"/>
        </w:rPr>
        <w:tab/>
        <w:t>Fees</w:t>
      </w:r>
    </w:p>
    <w:p w14:paraId="540BE7F4" w14:textId="77777777" w:rsidR="00DD597F" w:rsidRPr="00DD597F" w:rsidRDefault="006159E6" w:rsidP="00120E6D">
      <w:pPr>
        <w:pStyle w:val="subsection"/>
        <w:spacing w:after="240"/>
        <w:rPr>
          <w:sz w:val="24"/>
          <w:szCs w:val="24"/>
        </w:rPr>
      </w:pPr>
      <w:r w:rsidRPr="006F4055">
        <w:tab/>
        <w:t>(1)</w:t>
      </w:r>
      <w:r w:rsidRPr="006F4055">
        <w:tab/>
      </w:r>
      <w:r w:rsidRPr="00DD597F">
        <w:rPr>
          <w:sz w:val="24"/>
          <w:szCs w:val="24"/>
        </w:rPr>
        <w:t xml:space="preserve">For </w:t>
      </w:r>
      <w:r w:rsidR="00DD597F" w:rsidRPr="00DD597F">
        <w:rPr>
          <w:sz w:val="24"/>
          <w:szCs w:val="24"/>
        </w:rPr>
        <w:t>paragraph 21(1)(a) of the Act, the fee for services provided under subsection 19(2) of the Act is comprised of the amount mentioned in the following table for not more than the number of Australian numbers, mentioned for a subscription type, that the access-seeker may submit for checking in a subscription period.</w:t>
      </w:r>
    </w:p>
    <w:tbl>
      <w:tblPr>
        <w:tblW w:w="8508" w:type="dxa"/>
        <w:tblLayout w:type="fixed"/>
        <w:tblLook w:val="0000" w:firstRow="0" w:lastRow="0" w:firstColumn="0" w:lastColumn="0" w:noHBand="0" w:noVBand="0"/>
      </w:tblPr>
      <w:tblGrid>
        <w:gridCol w:w="1701"/>
        <w:gridCol w:w="4734"/>
        <w:gridCol w:w="2073"/>
      </w:tblGrid>
      <w:tr w:rsidR="00DD597F" w:rsidRPr="00DD597F" w14:paraId="036FA419" w14:textId="77777777" w:rsidTr="00120E6D">
        <w:trPr>
          <w:tblHeader/>
        </w:trPr>
        <w:tc>
          <w:tcPr>
            <w:tcW w:w="1701" w:type="dxa"/>
            <w:tcBorders>
              <w:top w:val="single" w:sz="12" w:space="0" w:color="auto"/>
              <w:bottom w:val="single" w:sz="12" w:space="0" w:color="auto"/>
            </w:tcBorders>
            <w:shd w:val="clear" w:color="auto" w:fill="auto"/>
          </w:tcPr>
          <w:p w14:paraId="1AC90897" w14:textId="77777777" w:rsidR="00DD597F" w:rsidRPr="00DD597F" w:rsidRDefault="00DD597F" w:rsidP="00847225">
            <w:pPr>
              <w:pStyle w:val="TableHeading"/>
              <w:rPr>
                <w:sz w:val="24"/>
                <w:szCs w:val="24"/>
              </w:rPr>
            </w:pPr>
            <w:r w:rsidRPr="00DD597F">
              <w:rPr>
                <w:sz w:val="24"/>
                <w:szCs w:val="24"/>
              </w:rPr>
              <w:t>Column 1</w:t>
            </w:r>
          </w:p>
          <w:p w14:paraId="2D5B45A0" w14:textId="77777777" w:rsidR="00DD597F" w:rsidRPr="00DD597F" w:rsidRDefault="00DD597F" w:rsidP="00847225">
            <w:pPr>
              <w:pStyle w:val="TableHeading"/>
              <w:rPr>
                <w:sz w:val="24"/>
                <w:szCs w:val="24"/>
              </w:rPr>
            </w:pPr>
            <w:r w:rsidRPr="00DD597F">
              <w:rPr>
                <w:sz w:val="24"/>
                <w:szCs w:val="24"/>
              </w:rPr>
              <w:t>Subscription type</w:t>
            </w:r>
          </w:p>
        </w:tc>
        <w:tc>
          <w:tcPr>
            <w:tcW w:w="4734" w:type="dxa"/>
            <w:tcBorders>
              <w:top w:val="single" w:sz="12" w:space="0" w:color="auto"/>
              <w:bottom w:val="single" w:sz="12" w:space="0" w:color="auto"/>
            </w:tcBorders>
            <w:shd w:val="clear" w:color="auto" w:fill="auto"/>
          </w:tcPr>
          <w:p w14:paraId="218ACA84" w14:textId="77777777" w:rsidR="00DD597F" w:rsidRPr="00DD597F" w:rsidRDefault="00DD597F" w:rsidP="00847225">
            <w:pPr>
              <w:pStyle w:val="TableHeading"/>
              <w:rPr>
                <w:sz w:val="24"/>
                <w:szCs w:val="24"/>
              </w:rPr>
            </w:pPr>
            <w:r w:rsidRPr="00DD597F">
              <w:rPr>
                <w:sz w:val="24"/>
                <w:szCs w:val="24"/>
              </w:rPr>
              <w:t>Column 2</w:t>
            </w:r>
          </w:p>
          <w:p w14:paraId="6487F70D" w14:textId="77777777" w:rsidR="00DD597F" w:rsidRPr="00DD597F" w:rsidRDefault="00DD597F" w:rsidP="00847225">
            <w:pPr>
              <w:pStyle w:val="TableHeading"/>
              <w:rPr>
                <w:sz w:val="24"/>
                <w:szCs w:val="24"/>
              </w:rPr>
            </w:pPr>
            <w:r w:rsidRPr="00DD597F">
              <w:rPr>
                <w:sz w:val="24"/>
                <w:szCs w:val="24"/>
              </w:rPr>
              <w:t>Maximum number of Australian numbers able to be submitted for checking during a subscription period</w:t>
            </w:r>
          </w:p>
        </w:tc>
        <w:tc>
          <w:tcPr>
            <w:tcW w:w="2073" w:type="dxa"/>
            <w:tcBorders>
              <w:top w:val="single" w:sz="12" w:space="0" w:color="auto"/>
              <w:bottom w:val="single" w:sz="12" w:space="0" w:color="auto"/>
            </w:tcBorders>
            <w:shd w:val="clear" w:color="auto" w:fill="auto"/>
          </w:tcPr>
          <w:p w14:paraId="4F1DAA67" w14:textId="77777777" w:rsidR="00DD597F" w:rsidRPr="00DD597F" w:rsidRDefault="00DD597F" w:rsidP="00847225">
            <w:pPr>
              <w:pStyle w:val="TableHeading"/>
              <w:rPr>
                <w:sz w:val="24"/>
                <w:szCs w:val="24"/>
              </w:rPr>
            </w:pPr>
            <w:r w:rsidRPr="00DD597F">
              <w:rPr>
                <w:sz w:val="24"/>
                <w:szCs w:val="24"/>
              </w:rPr>
              <w:t>Column 3</w:t>
            </w:r>
          </w:p>
          <w:p w14:paraId="401F14D9" w14:textId="77777777" w:rsidR="00DD597F" w:rsidRPr="00DD597F" w:rsidRDefault="00DD597F" w:rsidP="00847225">
            <w:pPr>
              <w:pStyle w:val="TableHeading"/>
              <w:rPr>
                <w:sz w:val="24"/>
                <w:szCs w:val="24"/>
              </w:rPr>
            </w:pPr>
            <w:r w:rsidRPr="00DD597F">
              <w:rPr>
                <w:sz w:val="24"/>
                <w:szCs w:val="24"/>
              </w:rPr>
              <w:t>Subscription fee ($)</w:t>
            </w:r>
          </w:p>
        </w:tc>
      </w:tr>
      <w:tr w:rsidR="00DD597F" w:rsidRPr="00DD597F" w14:paraId="225B4D22" w14:textId="77777777" w:rsidTr="00120E6D">
        <w:tc>
          <w:tcPr>
            <w:tcW w:w="1701" w:type="dxa"/>
            <w:tcBorders>
              <w:top w:val="single" w:sz="12" w:space="0" w:color="auto"/>
            </w:tcBorders>
            <w:shd w:val="clear" w:color="auto" w:fill="auto"/>
          </w:tcPr>
          <w:p w14:paraId="6CF70FB2" w14:textId="77777777" w:rsidR="00DD597F" w:rsidRPr="00DD597F" w:rsidRDefault="00DD597F" w:rsidP="00847225">
            <w:pPr>
              <w:pStyle w:val="Tabletext"/>
              <w:rPr>
                <w:sz w:val="24"/>
                <w:szCs w:val="24"/>
              </w:rPr>
            </w:pPr>
            <w:r w:rsidRPr="00DD597F">
              <w:rPr>
                <w:sz w:val="24"/>
                <w:szCs w:val="24"/>
              </w:rPr>
              <w:tab/>
              <w:t>A</w:t>
            </w:r>
          </w:p>
        </w:tc>
        <w:tc>
          <w:tcPr>
            <w:tcW w:w="4734" w:type="dxa"/>
            <w:tcBorders>
              <w:top w:val="single" w:sz="12" w:space="0" w:color="auto"/>
            </w:tcBorders>
            <w:shd w:val="clear" w:color="auto" w:fill="auto"/>
          </w:tcPr>
          <w:p w14:paraId="5D221DD8" w14:textId="77777777" w:rsidR="00DD597F" w:rsidRPr="00DD597F" w:rsidRDefault="00DD597F" w:rsidP="00847225">
            <w:pPr>
              <w:pStyle w:val="Tabletext"/>
              <w:rPr>
                <w:sz w:val="24"/>
                <w:szCs w:val="24"/>
              </w:rPr>
            </w:pPr>
            <w:r w:rsidRPr="00DD597F">
              <w:rPr>
                <w:sz w:val="24"/>
                <w:szCs w:val="24"/>
              </w:rPr>
              <w:tab/>
              <w:t>500</w:t>
            </w:r>
          </w:p>
        </w:tc>
        <w:tc>
          <w:tcPr>
            <w:tcW w:w="2073" w:type="dxa"/>
            <w:tcBorders>
              <w:top w:val="single" w:sz="12" w:space="0" w:color="auto"/>
            </w:tcBorders>
            <w:shd w:val="clear" w:color="auto" w:fill="auto"/>
          </w:tcPr>
          <w:p w14:paraId="00DFBCD1" w14:textId="7A5C5962" w:rsidR="00DD597F" w:rsidRPr="00516D99" w:rsidRDefault="00316D58" w:rsidP="00847225">
            <w:pPr>
              <w:pStyle w:val="Tabletext"/>
              <w:rPr>
                <w:sz w:val="24"/>
                <w:szCs w:val="24"/>
              </w:rPr>
            </w:pPr>
            <w:r>
              <w:rPr>
                <w:sz w:val="24"/>
                <w:szCs w:val="24"/>
              </w:rPr>
              <w:t>0</w:t>
            </w:r>
            <w:r w:rsidR="00B479D3" w:rsidRPr="00516D99">
              <w:rPr>
                <w:sz w:val="24"/>
                <w:szCs w:val="24"/>
              </w:rPr>
              <w:tab/>
            </w:r>
          </w:p>
        </w:tc>
      </w:tr>
      <w:tr w:rsidR="00DD597F" w:rsidRPr="00DD597F" w14:paraId="186ABF16" w14:textId="77777777" w:rsidTr="00120E6D">
        <w:tc>
          <w:tcPr>
            <w:tcW w:w="1701" w:type="dxa"/>
            <w:shd w:val="clear" w:color="auto" w:fill="auto"/>
          </w:tcPr>
          <w:p w14:paraId="23AAD577" w14:textId="77777777" w:rsidR="00DD597F" w:rsidRPr="00DD597F" w:rsidRDefault="00DD597F" w:rsidP="00847225">
            <w:pPr>
              <w:pStyle w:val="Tabletext"/>
              <w:rPr>
                <w:sz w:val="24"/>
                <w:szCs w:val="24"/>
              </w:rPr>
            </w:pPr>
            <w:r w:rsidRPr="00DD597F">
              <w:rPr>
                <w:sz w:val="24"/>
                <w:szCs w:val="24"/>
              </w:rPr>
              <w:tab/>
              <w:t>B</w:t>
            </w:r>
          </w:p>
        </w:tc>
        <w:tc>
          <w:tcPr>
            <w:tcW w:w="4734" w:type="dxa"/>
            <w:shd w:val="clear" w:color="auto" w:fill="auto"/>
          </w:tcPr>
          <w:p w14:paraId="6BCBF97A" w14:textId="77777777" w:rsidR="00DD597F" w:rsidRPr="00DD597F" w:rsidRDefault="00DD597F" w:rsidP="00847225">
            <w:pPr>
              <w:pStyle w:val="Tabletext"/>
              <w:rPr>
                <w:sz w:val="24"/>
                <w:szCs w:val="24"/>
              </w:rPr>
            </w:pPr>
            <w:r w:rsidRPr="00DD597F">
              <w:rPr>
                <w:sz w:val="24"/>
                <w:szCs w:val="24"/>
              </w:rPr>
              <w:tab/>
              <w:t>20 000</w:t>
            </w:r>
          </w:p>
        </w:tc>
        <w:tc>
          <w:tcPr>
            <w:tcW w:w="2073" w:type="dxa"/>
            <w:shd w:val="clear" w:color="auto" w:fill="auto"/>
          </w:tcPr>
          <w:p w14:paraId="0B2EAB35" w14:textId="35012050" w:rsidR="00DD597F" w:rsidRPr="00516D99" w:rsidRDefault="00316D58" w:rsidP="00847225">
            <w:pPr>
              <w:pStyle w:val="Tabletext"/>
              <w:rPr>
                <w:sz w:val="24"/>
                <w:szCs w:val="24"/>
              </w:rPr>
            </w:pPr>
            <w:r>
              <w:rPr>
                <w:sz w:val="24"/>
                <w:szCs w:val="24"/>
              </w:rPr>
              <w:t>113</w:t>
            </w:r>
            <w:r w:rsidR="00B479D3" w:rsidRPr="00516D99">
              <w:rPr>
                <w:sz w:val="24"/>
                <w:szCs w:val="24"/>
              </w:rPr>
              <w:tab/>
            </w:r>
          </w:p>
        </w:tc>
      </w:tr>
      <w:tr w:rsidR="00DD597F" w:rsidRPr="00DD597F" w14:paraId="462A2E7D" w14:textId="77777777" w:rsidTr="00120E6D">
        <w:tc>
          <w:tcPr>
            <w:tcW w:w="1701" w:type="dxa"/>
            <w:shd w:val="clear" w:color="auto" w:fill="auto"/>
          </w:tcPr>
          <w:p w14:paraId="5231769F" w14:textId="77777777" w:rsidR="00DD597F" w:rsidRPr="00DD597F" w:rsidRDefault="00DD597F" w:rsidP="00847225">
            <w:pPr>
              <w:pStyle w:val="Tabletext"/>
              <w:rPr>
                <w:sz w:val="24"/>
                <w:szCs w:val="24"/>
              </w:rPr>
            </w:pPr>
            <w:r w:rsidRPr="00DD597F">
              <w:rPr>
                <w:sz w:val="24"/>
                <w:szCs w:val="24"/>
              </w:rPr>
              <w:tab/>
              <w:t>C</w:t>
            </w:r>
          </w:p>
        </w:tc>
        <w:tc>
          <w:tcPr>
            <w:tcW w:w="4734" w:type="dxa"/>
            <w:shd w:val="clear" w:color="auto" w:fill="auto"/>
          </w:tcPr>
          <w:p w14:paraId="4EA0A47A" w14:textId="77777777" w:rsidR="00DD597F" w:rsidRPr="00DD597F" w:rsidRDefault="00DD597F" w:rsidP="00847225">
            <w:pPr>
              <w:pStyle w:val="Tabletext"/>
              <w:rPr>
                <w:sz w:val="24"/>
                <w:szCs w:val="24"/>
              </w:rPr>
            </w:pPr>
            <w:r w:rsidRPr="00DD597F">
              <w:rPr>
                <w:sz w:val="24"/>
                <w:szCs w:val="24"/>
              </w:rPr>
              <w:tab/>
              <w:t>100 000</w:t>
            </w:r>
          </w:p>
        </w:tc>
        <w:tc>
          <w:tcPr>
            <w:tcW w:w="2073" w:type="dxa"/>
            <w:shd w:val="clear" w:color="auto" w:fill="auto"/>
          </w:tcPr>
          <w:p w14:paraId="03D2B9AF" w14:textId="75F6E807" w:rsidR="00DD597F" w:rsidRPr="00516D99" w:rsidRDefault="00316D58" w:rsidP="00847225">
            <w:pPr>
              <w:pStyle w:val="Tabletext"/>
              <w:rPr>
                <w:sz w:val="24"/>
                <w:szCs w:val="24"/>
              </w:rPr>
            </w:pPr>
            <w:r>
              <w:rPr>
                <w:sz w:val="24"/>
                <w:szCs w:val="24"/>
              </w:rPr>
              <w:t>525</w:t>
            </w:r>
            <w:r w:rsidR="00B479D3" w:rsidRPr="00516D99">
              <w:rPr>
                <w:sz w:val="24"/>
                <w:szCs w:val="24"/>
              </w:rPr>
              <w:tab/>
            </w:r>
          </w:p>
        </w:tc>
      </w:tr>
      <w:tr w:rsidR="00DD597F" w:rsidRPr="00DD597F" w14:paraId="28D8FD91" w14:textId="77777777" w:rsidTr="00120E6D">
        <w:tc>
          <w:tcPr>
            <w:tcW w:w="1701" w:type="dxa"/>
            <w:shd w:val="clear" w:color="auto" w:fill="auto"/>
          </w:tcPr>
          <w:p w14:paraId="5B4648ED" w14:textId="77777777" w:rsidR="00DD597F" w:rsidRPr="00DD597F" w:rsidRDefault="00DD597F" w:rsidP="00847225">
            <w:pPr>
              <w:pStyle w:val="Tabletext"/>
              <w:rPr>
                <w:sz w:val="24"/>
                <w:szCs w:val="24"/>
              </w:rPr>
            </w:pPr>
            <w:r w:rsidRPr="00DD597F">
              <w:rPr>
                <w:sz w:val="24"/>
                <w:szCs w:val="24"/>
              </w:rPr>
              <w:tab/>
              <w:t>D</w:t>
            </w:r>
          </w:p>
        </w:tc>
        <w:tc>
          <w:tcPr>
            <w:tcW w:w="4734" w:type="dxa"/>
            <w:shd w:val="clear" w:color="auto" w:fill="auto"/>
          </w:tcPr>
          <w:p w14:paraId="32688BEF" w14:textId="77777777" w:rsidR="00DD597F" w:rsidRPr="00DD597F" w:rsidRDefault="00DD597F" w:rsidP="00847225">
            <w:pPr>
              <w:pStyle w:val="Tabletext"/>
              <w:rPr>
                <w:sz w:val="24"/>
                <w:szCs w:val="24"/>
              </w:rPr>
            </w:pPr>
            <w:r w:rsidRPr="00DD597F">
              <w:rPr>
                <w:sz w:val="24"/>
                <w:szCs w:val="24"/>
              </w:rPr>
              <w:tab/>
              <w:t>1 000 000</w:t>
            </w:r>
          </w:p>
        </w:tc>
        <w:tc>
          <w:tcPr>
            <w:tcW w:w="2073" w:type="dxa"/>
            <w:shd w:val="clear" w:color="auto" w:fill="auto"/>
          </w:tcPr>
          <w:p w14:paraId="6FCD0F83" w14:textId="018F7ED6" w:rsidR="00DD597F" w:rsidRPr="00516D99" w:rsidRDefault="00316D58" w:rsidP="00847225">
            <w:pPr>
              <w:pStyle w:val="Tabletext"/>
              <w:rPr>
                <w:sz w:val="24"/>
                <w:szCs w:val="24"/>
              </w:rPr>
            </w:pPr>
            <w:r>
              <w:rPr>
                <w:sz w:val="24"/>
                <w:szCs w:val="24"/>
              </w:rPr>
              <w:t>4,540</w:t>
            </w:r>
            <w:r w:rsidR="00DD597F" w:rsidRPr="00516D99">
              <w:rPr>
                <w:sz w:val="24"/>
                <w:szCs w:val="24"/>
              </w:rPr>
              <w:tab/>
            </w:r>
          </w:p>
        </w:tc>
      </w:tr>
      <w:tr w:rsidR="00DD597F" w:rsidRPr="00DD597F" w14:paraId="5453793E" w14:textId="77777777" w:rsidTr="00120E6D">
        <w:tc>
          <w:tcPr>
            <w:tcW w:w="1701" w:type="dxa"/>
            <w:shd w:val="clear" w:color="auto" w:fill="auto"/>
          </w:tcPr>
          <w:p w14:paraId="27846996" w14:textId="77777777" w:rsidR="00DD597F" w:rsidRPr="00DD597F" w:rsidRDefault="00DD597F" w:rsidP="00847225">
            <w:pPr>
              <w:pStyle w:val="Tabletext"/>
              <w:rPr>
                <w:sz w:val="24"/>
                <w:szCs w:val="24"/>
              </w:rPr>
            </w:pPr>
            <w:r w:rsidRPr="00DD597F">
              <w:rPr>
                <w:sz w:val="24"/>
                <w:szCs w:val="24"/>
              </w:rPr>
              <w:tab/>
              <w:t>E</w:t>
            </w:r>
          </w:p>
        </w:tc>
        <w:tc>
          <w:tcPr>
            <w:tcW w:w="4734" w:type="dxa"/>
            <w:shd w:val="clear" w:color="auto" w:fill="auto"/>
          </w:tcPr>
          <w:p w14:paraId="1DD36507" w14:textId="77777777" w:rsidR="00DD597F" w:rsidRPr="00DD597F" w:rsidRDefault="00DD597F" w:rsidP="00847225">
            <w:pPr>
              <w:pStyle w:val="Tabletext"/>
              <w:rPr>
                <w:sz w:val="24"/>
                <w:szCs w:val="24"/>
              </w:rPr>
            </w:pPr>
            <w:r w:rsidRPr="00DD597F">
              <w:rPr>
                <w:sz w:val="24"/>
                <w:szCs w:val="24"/>
              </w:rPr>
              <w:tab/>
              <w:t>10 000 000</w:t>
            </w:r>
          </w:p>
        </w:tc>
        <w:tc>
          <w:tcPr>
            <w:tcW w:w="2073" w:type="dxa"/>
            <w:shd w:val="clear" w:color="auto" w:fill="auto"/>
          </w:tcPr>
          <w:p w14:paraId="51D78699" w14:textId="4977E9D7" w:rsidR="00DD597F" w:rsidRPr="00516D99" w:rsidRDefault="00316D58" w:rsidP="00847225">
            <w:pPr>
              <w:pStyle w:val="Tabletext"/>
              <w:rPr>
                <w:sz w:val="24"/>
                <w:szCs w:val="24"/>
              </w:rPr>
            </w:pPr>
            <w:r>
              <w:rPr>
                <w:sz w:val="24"/>
                <w:szCs w:val="24"/>
              </w:rPr>
              <w:t>38,310</w:t>
            </w:r>
            <w:r w:rsidR="00B479D3" w:rsidRPr="00516D99">
              <w:rPr>
                <w:sz w:val="24"/>
                <w:szCs w:val="24"/>
              </w:rPr>
              <w:tab/>
            </w:r>
          </w:p>
        </w:tc>
      </w:tr>
      <w:tr w:rsidR="00DD597F" w:rsidRPr="00DD597F" w14:paraId="624087B0" w14:textId="77777777" w:rsidTr="00120E6D">
        <w:tc>
          <w:tcPr>
            <w:tcW w:w="1701" w:type="dxa"/>
            <w:shd w:val="clear" w:color="auto" w:fill="auto"/>
          </w:tcPr>
          <w:p w14:paraId="215F1B50" w14:textId="77777777" w:rsidR="00DD597F" w:rsidRPr="00DD597F" w:rsidRDefault="00DD597F" w:rsidP="00847225">
            <w:pPr>
              <w:pStyle w:val="Tabletext"/>
              <w:rPr>
                <w:sz w:val="24"/>
                <w:szCs w:val="24"/>
              </w:rPr>
            </w:pPr>
            <w:r w:rsidRPr="00DD597F">
              <w:rPr>
                <w:sz w:val="24"/>
                <w:szCs w:val="24"/>
              </w:rPr>
              <w:tab/>
              <w:t>F</w:t>
            </w:r>
          </w:p>
        </w:tc>
        <w:tc>
          <w:tcPr>
            <w:tcW w:w="4734" w:type="dxa"/>
            <w:shd w:val="clear" w:color="auto" w:fill="auto"/>
          </w:tcPr>
          <w:p w14:paraId="58A79318" w14:textId="77777777" w:rsidR="00DD597F" w:rsidRPr="00DD597F" w:rsidRDefault="00DD597F" w:rsidP="00847225">
            <w:pPr>
              <w:pStyle w:val="Tabletext"/>
              <w:rPr>
                <w:sz w:val="24"/>
                <w:szCs w:val="24"/>
              </w:rPr>
            </w:pPr>
            <w:r w:rsidRPr="00DD597F">
              <w:rPr>
                <w:sz w:val="24"/>
                <w:szCs w:val="24"/>
              </w:rPr>
              <w:tab/>
              <w:t>20 000 000</w:t>
            </w:r>
          </w:p>
        </w:tc>
        <w:tc>
          <w:tcPr>
            <w:tcW w:w="2073" w:type="dxa"/>
            <w:shd w:val="clear" w:color="auto" w:fill="auto"/>
          </w:tcPr>
          <w:p w14:paraId="2FC2E10D" w14:textId="35DFCF01" w:rsidR="00DD597F" w:rsidRPr="00516D99" w:rsidRDefault="00316D58" w:rsidP="00847225">
            <w:pPr>
              <w:pStyle w:val="Tabletext"/>
              <w:rPr>
                <w:sz w:val="24"/>
                <w:szCs w:val="24"/>
              </w:rPr>
            </w:pPr>
            <w:r>
              <w:rPr>
                <w:sz w:val="24"/>
                <w:szCs w:val="24"/>
              </w:rPr>
              <w:t>63,850</w:t>
            </w:r>
            <w:r w:rsidR="00B479D3" w:rsidRPr="00516D99">
              <w:rPr>
                <w:sz w:val="24"/>
                <w:szCs w:val="24"/>
              </w:rPr>
              <w:tab/>
            </w:r>
          </w:p>
        </w:tc>
      </w:tr>
      <w:tr w:rsidR="00DD597F" w:rsidRPr="00DD597F" w14:paraId="22A8850A" w14:textId="77777777" w:rsidTr="00120E6D">
        <w:tc>
          <w:tcPr>
            <w:tcW w:w="1701" w:type="dxa"/>
            <w:shd w:val="clear" w:color="auto" w:fill="auto"/>
          </w:tcPr>
          <w:p w14:paraId="60A24E37" w14:textId="77777777" w:rsidR="00DD597F" w:rsidRPr="00DD597F" w:rsidRDefault="00DD597F" w:rsidP="00847225">
            <w:pPr>
              <w:pStyle w:val="Tabletext"/>
              <w:rPr>
                <w:sz w:val="24"/>
                <w:szCs w:val="24"/>
              </w:rPr>
            </w:pPr>
            <w:r w:rsidRPr="00DD597F">
              <w:rPr>
                <w:sz w:val="24"/>
                <w:szCs w:val="24"/>
              </w:rPr>
              <w:tab/>
              <w:t>G</w:t>
            </w:r>
          </w:p>
        </w:tc>
        <w:tc>
          <w:tcPr>
            <w:tcW w:w="4734" w:type="dxa"/>
            <w:shd w:val="clear" w:color="auto" w:fill="auto"/>
          </w:tcPr>
          <w:p w14:paraId="4D9F87AB" w14:textId="77777777" w:rsidR="00DD597F" w:rsidRPr="00DD597F" w:rsidRDefault="00DD597F" w:rsidP="00847225">
            <w:pPr>
              <w:pStyle w:val="Tabletext"/>
              <w:rPr>
                <w:sz w:val="24"/>
                <w:szCs w:val="24"/>
              </w:rPr>
            </w:pPr>
            <w:r w:rsidRPr="00DD597F">
              <w:rPr>
                <w:sz w:val="24"/>
                <w:szCs w:val="24"/>
              </w:rPr>
              <w:tab/>
              <w:t>50 000 000</w:t>
            </w:r>
          </w:p>
        </w:tc>
        <w:tc>
          <w:tcPr>
            <w:tcW w:w="2073" w:type="dxa"/>
            <w:shd w:val="clear" w:color="auto" w:fill="auto"/>
          </w:tcPr>
          <w:p w14:paraId="7C249657" w14:textId="54FB7357" w:rsidR="00DD597F" w:rsidRPr="00516D99" w:rsidRDefault="00316D58" w:rsidP="00847225">
            <w:pPr>
              <w:pStyle w:val="Tabletext"/>
              <w:rPr>
                <w:sz w:val="24"/>
                <w:szCs w:val="24"/>
              </w:rPr>
            </w:pPr>
            <w:r>
              <w:rPr>
                <w:sz w:val="24"/>
                <w:szCs w:val="24"/>
              </w:rPr>
              <w:t>95,775</w:t>
            </w:r>
            <w:r w:rsidR="00B479D3" w:rsidRPr="00516D99">
              <w:rPr>
                <w:sz w:val="24"/>
                <w:szCs w:val="24"/>
              </w:rPr>
              <w:tab/>
            </w:r>
          </w:p>
        </w:tc>
      </w:tr>
      <w:tr w:rsidR="00DD597F" w:rsidRPr="00DD597F" w14:paraId="1548F773" w14:textId="77777777" w:rsidTr="00120E6D">
        <w:tc>
          <w:tcPr>
            <w:tcW w:w="1701" w:type="dxa"/>
            <w:tcBorders>
              <w:bottom w:val="single" w:sz="12" w:space="0" w:color="auto"/>
            </w:tcBorders>
            <w:shd w:val="clear" w:color="auto" w:fill="auto"/>
          </w:tcPr>
          <w:p w14:paraId="360486CF" w14:textId="77777777" w:rsidR="00DD597F" w:rsidRPr="00DD597F" w:rsidRDefault="00DD597F" w:rsidP="00847225">
            <w:pPr>
              <w:pStyle w:val="Tabletext"/>
              <w:rPr>
                <w:sz w:val="24"/>
                <w:szCs w:val="24"/>
              </w:rPr>
            </w:pPr>
            <w:r w:rsidRPr="00DD597F">
              <w:rPr>
                <w:sz w:val="24"/>
                <w:szCs w:val="24"/>
              </w:rPr>
              <w:tab/>
              <w:t>H</w:t>
            </w:r>
          </w:p>
        </w:tc>
        <w:tc>
          <w:tcPr>
            <w:tcW w:w="4734" w:type="dxa"/>
            <w:tcBorders>
              <w:bottom w:val="single" w:sz="12" w:space="0" w:color="auto"/>
            </w:tcBorders>
            <w:shd w:val="clear" w:color="auto" w:fill="auto"/>
          </w:tcPr>
          <w:p w14:paraId="66B47330" w14:textId="77777777" w:rsidR="00DD597F" w:rsidRPr="00DD597F" w:rsidRDefault="00DD597F" w:rsidP="00847225">
            <w:pPr>
              <w:pStyle w:val="Tabletext"/>
              <w:rPr>
                <w:sz w:val="24"/>
                <w:szCs w:val="24"/>
              </w:rPr>
            </w:pPr>
            <w:r w:rsidRPr="00DD597F">
              <w:rPr>
                <w:sz w:val="24"/>
                <w:szCs w:val="24"/>
              </w:rPr>
              <w:tab/>
              <w:t>100 000 000</w:t>
            </w:r>
          </w:p>
        </w:tc>
        <w:tc>
          <w:tcPr>
            <w:tcW w:w="2073" w:type="dxa"/>
            <w:tcBorders>
              <w:bottom w:val="single" w:sz="12" w:space="0" w:color="auto"/>
            </w:tcBorders>
            <w:shd w:val="clear" w:color="auto" w:fill="auto"/>
          </w:tcPr>
          <w:p w14:paraId="33B3D6EC" w14:textId="7615A2E0" w:rsidR="00DD597F" w:rsidRPr="00516D99" w:rsidRDefault="00316D58" w:rsidP="00847225">
            <w:pPr>
              <w:pStyle w:val="Tabletext"/>
              <w:rPr>
                <w:sz w:val="24"/>
                <w:szCs w:val="24"/>
              </w:rPr>
            </w:pPr>
            <w:r>
              <w:rPr>
                <w:sz w:val="24"/>
                <w:szCs w:val="24"/>
              </w:rPr>
              <w:t>127,700</w:t>
            </w:r>
            <w:r w:rsidR="00B479D3" w:rsidRPr="00516D99">
              <w:rPr>
                <w:sz w:val="24"/>
                <w:szCs w:val="24"/>
              </w:rPr>
              <w:tab/>
            </w:r>
          </w:p>
        </w:tc>
      </w:tr>
    </w:tbl>
    <w:p w14:paraId="2B49B6D8" w14:textId="77777777" w:rsidR="00DD597F" w:rsidRPr="00DD597F" w:rsidRDefault="00DD597F" w:rsidP="00DD597F">
      <w:pPr>
        <w:pStyle w:val="subsection"/>
        <w:rPr>
          <w:sz w:val="24"/>
          <w:szCs w:val="24"/>
        </w:rPr>
      </w:pPr>
      <w:r w:rsidRPr="00DD597F">
        <w:rPr>
          <w:sz w:val="24"/>
          <w:szCs w:val="24"/>
        </w:rPr>
        <w:tab/>
        <w:t>(2)</w:t>
      </w:r>
      <w:r w:rsidRPr="00DD597F">
        <w:rPr>
          <w:sz w:val="24"/>
          <w:szCs w:val="24"/>
        </w:rPr>
        <w:tab/>
        <w:t>For subsection (1):</w:t>
      </w:r>
    </w:p>
    <w:p w14:paraId="45F83B8F" w14:textId="77777777" w:rsidR="00DD597F" w:rsidRDefault="00DD597F" w:rsidP="00047576">
      <w:pPr>
        <w:pStyle w:val="paragraph"/>
        <w:numPr>
          <w:ilvl w:val="0"/>
          <w:numId w:val="10"/>
        </w:numPr>
        <w:tabs>
          <w:tab w:val="clear" w:pos="1531"/>
          <w:tab w:val="right" w:pos="1701"/>
        </w:tabs>
        <w:ind w:left="1560" w:hanging="426"/>
        <w:rPr>
          <w:sz w:val="24"/>
          <w:szCs w:val="24"/>
        </w:rPr>
      </w:pPr>
      <w:r w:rsidRPr="00DD597F">
        <w:rPr>
          <w:sz w:val="24"/>
          <w:szCs w:val="24"/>
        </w:rPr>
        <w:t>a number that is submitted for checking is taken to be an Australian number even if it is not in fact an Australian number; and</w:t>
      </w:r>
    </w:p>
    <w:p w14:paraId="5F11B48A" w14:textId="77777777" w:rsidR="00DD597F" w:rsidRPr="00A231E6" w:rsidRDefault="00DD597F" w:rsidP="00047576">
      <w:pPr>
        <w:pStyle w:val="paragraph"/>
        <w:numPr>
          <w:ilvl w:val="0"/>
          <w:numId w:val="10"/>
        </w:numPr>
        <w:ind w:left="1560" w:hanging="426"/>
        <w:rPr>
          <w:sz w:val="24"/>
          <w:szCs w:val="24"/>
        </w:rPr>
      </w:pPr>
      <w:proofErr w:type="gramStart"/>
      <w:r w:rsidRPr="00A231E6">
        <w:rPr>
          <w:sz w:val="24"/>
          <w:szCs w:val="24"/>
        </w:rPr>
        <w:t>a</w:t>
      </w:r>
      <w:proofErr w:type="gramEnd"/>
      <w:r w:rsidRPr="00A231E6">
        <w:rPr>
          <w:sz w:val="24"/>
          <w:szCs w:val="24"/>
        </w:rPr>
        <w:t xml:space="preserve"> number that is submitted for checking more than once is to be counted separately for each time that it is submitted.</w:t>
      </w:r>
    </w:p>
    <w:p w14:paraId="4547F8EF" w14:textId="77777777" w:rsidR="00DD597F" w:rsidRPr="00DD597F" w:rsidRDefault="00DD597F" w:rsidP="00DD597F">
      <w:pPr>
        <w:pStyle w:val="subsection"/>
        <w:rPr>
          <w:sz w:val="24"/>
          <w:szCs w:val="24"/>
        </w:rPr>
      </w:pPr>
      <w:r w:rsidRPr="00DD597F">
        <w:rPr>
          <w:sz w:val="24"/>
          <w:szCs w:val="24"/>
        </w:rPr>
        <w:tab/>
        <w:t>(3)</w:t>
      </w:r>
      <w:r w:rsidRPr="00DD597F">
        <w:rPr>
          <w:sz w:val="24"/>
          <w:szCs w:val="24"/>
        </w:rPr>
        <w:tab/>
        <w:t>A subscription fee is payable for each subscription for which the access</w:t>
      </w:r>
      <w:r w:rsidRPr="00DD597F">
        <w:rPr>
          <w:sz w:val="24"/>
          <w:szCs w:val="24"/>
        </w:rPr>
        <w:noBreakHyphen/>
        <w:t xml:space="preserve">seeker applies (other than for a type </w:t>
      </w:r>
      <w:proofErr w:type="gramStart"/>
      <w:r w:rsidRPr="00DD597F">
        <w:rPr>
          <w:sz w:val="24"/>
          <w:szCs w:val="24"/>
        </w:rPr>
        <w:t>A</w:t>
      </w:r>
      <w:proofErr w:type="gramEnd"/>
      <w:r w:rsidRPr="00DD597F">
        <w:rPr>
          <w:sz w:val="24"/>
          <w:szCs w:val="24"/>
        </w:rPr>
        <w:t xml:space="preserve"> subscription). </w:t>
      </w:r>
    </w:p>
    <w:p w14:paraId="7525CAC1" w14:textId="77777777" w:rsidR="00DD597F" w:rsidRPr="00FE0719" w:rsidRDefault="00DD597F" w:rsidP="00DD597F">
      <w:pPr>
        <w:pStyle w:val="notetext"/>
        <w:ind w:left="2160" w:hanging="1026"/>
      </w:pPr>
      <w:r w:rsidRPr="00FE0719">
        <w:t>Example 1</w:t>
      </w:r>
      <w:r>
        <w:t>:</w:t>
      </w:r>
      <w:r>
        <w:tab/>
      </w:r>
      <w:r w:rsidRPr="00FE0719">
        <w:t>An access</w:t>
      </w:r>
      <w:r w:rsidRPr="00FE0719">
        <w:noBreakHyphen/>
        <w:t>seeker that selects subscription types C and D would be required to pay the ACMA or the contracted service provider:</w:t>
      </w:r>
    </w:p>
    <w:p w14:paraId="45E03776" w14:textId="3AFC9A70" w:rsidR="00DD597F" w:rsidRPr="00FE0719" w:rsidRDefault="00B479D3" w:rsidP="00DD597F">
      <w:pPr>
        <w:pStyle w:val="paragraph"/>
        <w:tabs>
          <w:tab w:val="left" w:pos="2835"/>
        </w:tabs>
        <w:ind w:left="3804"/>
        <w:rPr>
          <w:sz w:val="18"/>
          <w:szCs w:val="18"/>
        </w:rPr>
      </w:pPr>
      <w:r>
        <w:rPr>
          <w:sz w:val="18"/>
          <w:szCs w:val="18"/>
        </w:rPr>
        <w:t>(a)</w:t>
      </w:r>
      <w:r>
        <w:rPr>
          <w:sz w:val="18"/>
          <w:szCs w:val="18"/>
        </w:rPr>
        <w:tab/>
        <w:t>$</w:t>
      </w:r>
      <w:r w:rsidR="00316D58">
        <w:rPr>
          <w:sz w:val="18"/>
          <w:szCs w:val="18"/>
        </w:rPr>
        <w:t>525</w:t>
      </w:r>
      <w:r w:rsidR="00DD597F" w:rsidRPr="00FE0719">
        <w:rPr>
          <w:sz w:val="18"/>
          <w:szCs w:val="18"/>
        </w:rPr>
        <w:t xml:space="preserve"> for subscription type C; and </w:t>
      </w:r>
    </w:p>
    <w:p w14:paraId="45BC92B1" w14:textId="07BD7F53" w:rsidR="00DD597F" w:rsidRPr="00FE0719" w:rsidRDefault="00B479D3" w:rsidP="00DD597F">
      <w:pPr>
        <w:pStyle w:val="paragraph"/>
        <w:tabs>
          <w:tab w:val="left" w:pos="2835"/>
        </w:tabs>
        <w:ind w:left="3804"/>
        <w:rPr>
          <w:sz w:val="18"/>
          <w:szCs w:val="18"/>
        </w:rPr>
      </w:pPr>
      <w:r>
        <w:rPr>
          <w:sz w:val="18"/>
          <w:szCs w:val="18"/>
        </w:rPr>
        <w:t>(b)</w:t>
      </w:r>
      <w:r>
        <w:rPr>
          <w:sz w:val="18"/>
          <w:szCs w:val="18"/>
        </w:rPr>
        <w:tab/>
        <w:t>$</w:t>
      </w:r>
      <w:r w:rsidR="00316D58">
        <w:rPr>
          <w:sz w:val="18"/>
          <w:szCs w:val="18"/>
        </w:rPr>
        <w:t xml:space="preserve">4,540 </w:t>
      </w:r>
      <w:r w:rsidR="00DD597F" w:rsidRPr="00FE0719">
        <w:rPr>
          <w:sz w:val="18"/>
          <w:szCs w:val="18"/>
        </w:rPr>
        <w:t>for subscription type D.</w:t>
      </w:r>
    </w:p>
    <w:p w14:paraId="6E546E8F" w14:textId="6C37C6CF" w:rsidR="00DD597F" w:rsidRPr="00FE0719" w:rsidRDefault="00DD597F" w:rsidP="00DD597F">
      <w:pPr>
        <w:pStyle w:val="notetext"/>
        <w:ind w:left="2160" w:hanging="1026"/>
      </w:pPr>
      <w:r w:rsidRPr="00FE0719">
        <w:t>Example 2</w:t>
      </w:r>
      <w:r>
        <w:t>:</w:t>
      </w:r>
      <w:r>
        <w:tab/>
      </w:r>
      <w:r w:rsidRPr="00FE0719">
        <w:t>An access</w:t>
      </w:r>
      <w:r w:rsidRPr="00FE0719">
        <w:noBreakHyphen/>
        <w:t xml:space="preserve">seeker that selects 2 type C subscriptions would be required to pay the ACMA or the </w:t>
      </w:r>
      <w:r w:rsidR="00B479D3">
        <w:t>contracted service provider $</w:t>
      </w:r>
      <w:r w:rsidR="00316D58">
        <w:t>525</w:t>
      </w:r>
      <w:r w:rsidRPr="00FE0719">
        <w:t xml:space="preserve"> for each subscription.</w:t>
      </w:r>
    </w:p>
    <w:p w14:paraId="3822511F" w14:textId="77777777" w:rsidR="00DD597F" w:rsidRPr="001F4275" w:rsidRDefault="00DD597F" w:rsidP="00DD597F">
      <w:pPr>
        <w:pStyle w:val="notetext"/>
      </w:pPr>
      <w:r w:rsidRPr="001F4275">
        <w:t>Note 1:</w:t>
      </w:r>
      <w:r w:rsidRPr="001F4275">
        <w:tab/>
        <w:t>The subscription fee is exempt from GST under subsection 81</w:t>
      </w:r>
      <w:r w:rsidRPr="001F4275">
        <w:noBreakHyphen/>
      </w:r>
      <w:proofErr w:type="gramStart"/>
      <w:r w:rsidR="00D72A15">
        <w:t>5(</w:t>
      </w:r>
      <w:proofErr w:type="gramEnd"/>
      <w:r w:rsidR="00D72A15">
        <w:t>1</w:t>
      </w:r>
      <w:r w:rsidRPr="001F4275">
        <w:t xml:space="preserve">) of the </w:t>
      </w:r>
      <w:r w:rsidRPr="001F4275">
        <w:rPr>
          <w:i/>
        </w:rPr>
        <w:t>A New Tax System (Goods and Services Tax) Act 1999</w:t>
      </w:r>
      <w:r w:rsidRPr="001F4275">
        <w:t>.</w:t>
      </w:r>
    </w:p>
    <w:p w14:paraId="178EDEC4" w14:textId="77777777" w:rsidR="00DD597F" w:rsidRPr="00FE0719" w:rsidRDefault="00DD597F" w:rsidP="00DD597F">
      <w:pPr>
        <w:pStyle w:val="notetext"/>
      </w:pPr>
      <w:r w:rsidRPr="001F4275">
        <w:t>Note 2:</w:t>
      </w:r>
      <w:r w:rsidRPr="001F4275">
        <w:tab/>
        <w:t>Subsection 21(6) of the Act provides that a fee is payable to the ACMA on behalf of</w:t>
      </w:r>
      <w:r w:rsidRPr="00FE0719">
        <w:t xml:space="preserve"> the Commonwealth.</w:t>
      </w:r>
    </w:p>
    <w:p w14:paraId="2EEEFBBE" w14:textId="7520D76F" w:rsidR="00050921" w:rsidRPr="00120E6D" w:rsidRDefault="00050921" w:rsidP="00120E6D">
      <w:pPr>
        <w:pStyle w:val="subsection"/>
        <w:tabs>
          <w:tab w:val="clear" w:pos="1021"/>
          <w:tab w:val="right" w:pos="1985"/>
        </w:tabs>
        <w:ind w:left="1985" w:hanging="851"/>
        <w:rPr>
          <w:sz w:val="18"/>
          <w:szCs w:val="18"/>
        </w:rPr>
      </w:pPr>
      <w:r w:rsidRPr="00516D99">
        <w:rPr>
          <w:sz w:val="18"/>
          <w:szCs w:val="18"/>
        </w:rPr>
        <w:t>Note 3:</w:t>
      </w:r>
      <w:r w:rsidRPr="00516D99">
        <w:rPr>
          <w:sz w:val="18"/>
          <w:szCs w:val="18"/>
        </w:rPr>
        <w:tab/>
        <w:t xml:space="preserve">       A list of Australian numbers submitted by an access seeker under subsection 19(1) must be equal to, or </w:t>
      </w:r>
      <w:r w:rsidR="00F268F3" w:rsidRPr="00516D99">
        <w:rPr>
          <w:sz w:val="18"/>
          <w:szCs w:val="18"/>
        </w:rPr>
        <w:t>less</w:t>
      </w:r>
      <w:r w:rsidRPr="00516D99">
        <w:rPr>
          <w:sz w:val="18"/>
          <w:szCs w:val="18"/>
        </w:rPr>
        <w:t xml:space="preserve"> than, the number of unused numbers attributable to the access-seeker’s current subscription.</w:t>
      </w:r>
      <w:r>
        <w:rPr>
          <w:sz w:val="18"/>
          <w:szCs w:val="18"/>
        </w:rPr>
        <w:t xml:space="preserve"> </w:t>
      </w:r>
    </w:p>
    <w:p w14:paraId="55CB7EC0" w14:textId="77777777" w:rsidR="006159E6" w:rsidRPr="00516D99" w:rsidRDefault="00C46528" w:rsidP="006159E6">
      <w:pPr>
        <w:pStyle w:val="HR"/>
        <w:rPr>
          <w:rFonts w:ascii="Times New Roman" w:hAnsi="Times New Roman"/>
          <w:sz w:val="28"/>
          <w:szCs w:val="28"/>
        </w:rPr>
      </w:pPr>
      <w:r w:rsidRPr="00516D99">
        <w:rPr>
          <w:rStyle w:val="CharSectno"/>
          <w:rFonts w:ascii="Times New Roman" w:hAnsi="Times New Roman"/>
          <w:sz w:val="28"/>
          <w:szCs w:val="28"/>
        </w:rPr>
        <w:lastRenderedPageBreak/>
        <w:t>8</w:t>
      </w:r>
      <w:r w:rsidR="00E57CF6" w:rsidRPr="00516D99">
        <w:rPr>
          <w:rFonts w:ascii="Times New Roman" w:hAnsi="Times New Roman"/>
          <w:sz w:val="28"/>
          <w:szCs w:val="28"/>
        </w:rPr>
        <w:tab/>
        <w:t>Subscription t</w:t>
      </w:r>
      <w:r w:rsidR="00DD597F" w:rsidRPr="00516D99">
        <w:rPr>
          <w:rFonts w:ascii="Times New Roman" w:hAnsi="Times New Roman"/>
          <w:sz w:val="28"/>
          <w:szCs w:val="28"/>
        </w:rPr>
        <w:t>ypes</w:t>
      </w:r>
    </w:p>
    <w:p w14:paraId="7ACA6403" w14:textId="77777777" w:rsidR="00DD597F" w:rsidRPr="00DD597F" w:rsidRDefault="006159E6" w:rsidP="00DD597F">
      <w:pPr>
        <w:pStyle w:val="subsection"/>
        <w:rPr>
          <w:sz w:val="24"/>
          <w:szCs w:val="24"/>
        </w:rPr>
      </w:pPr>
      <w:r w:rsidRPr="006F4055">
        <w:tab/>
        <w:t>(1)</w:t>
      </w:r>
      <w:r w:rsidRPr="006F4055">
        <w:tab/>
      </w:r>
      <w:r w:rsidRPr="00DD597F">
        <w:rPr>
          <w:sz w:val="24"/>
          <w:szCs w:val="24"/>
        </w:rPr>
        <w:t xml:space="preserve"> </w:t>
      </w:r>
      <w:r w:rsidR="00DC46A8">
        <w:rPr>
          <w:sz w:val="24"/>
          <w:szCs w:val="24"/>
        </w:rPr>
        <w:t>An access</w:t>
      </w:r>
      <w:r w:rsidR="00DC46A8">
        <w:rPr>
          <w:sz w:val="24"/>
          <w:szCs w:val="24"/>
        </w:rPr>
        <w:noBreakHyphen/>
        <w:t>seeker may hold one</w:t>
      </w:r>
      <w:r w:rsidR="00DD597F" w:rsidRPr="00DD597F">
        <w:rPr>
          <w:sz w:val="24"/>
          <w:szCs w:val="24"/>
        </w:rPr>
        <w:t xml:space="preserve"> or more subscription types subject to:</w:t>
      </w:r>
    </w:p>
    <w:p w14:paraId="416BC63E" w14:textId="77777777" w:rsidR="00DD597F" w:rsidRPr="00DD597F" w:rsidRDefault="00DD597F" w:rsidP="00047576">
      <w:pPr>
        <w:pStyle w:val="paragraph"/>
        <w:numPr>
          <w:ilvl w:val="0"/>
          <w:numId w:val="12"/>
        </w:numPr>
        <w:tabs>
          <w:tab w:val="clear" w:pos="1531"/>
          <w:tab w:val="right" w:pos="1843"/>
        </w:tabs>
        <w:ind w:left="1503" w:hanging="426"/>
        <w:rPr>
          <w:sz w:val="24"/>
          <w:szCs w:val="24"/>
        </w:rPr>
      </w:pPr>
      <w:r w:rsidRPr="00DD597F">
        <w:rPr>
          <w:sz w:val="24"/>
          <w:szCs w:val="24"/>
        </w:rPr>
        <w:t>payment of the subscription fee for each subscription held; and</w:t>
      </w:r>
    </w:p>
    <w:p w14:paraId="5EA11BCD" w14:textId="07F5B4D7" w:rsidR="00DD597F" w:rsidRPr="00516D99" w:rsidRDefault="00DD597F" w:rsidP="00047576">
      <w:pPr>
        <w:pStyle w:val="paragraph"/>
        <w:numPr>
          <w:ilvl w:val="0"/>
          <w:numId w:val="12"/>
        </w:numPr>
        <w:ind w:left="1503" w:hanging="426"/>
        <w:rPr>
          <w:sz w:val="24"/>
          <w:szCs w:val="24"/>
        </w:rPr>
      </w:pPr>
      <w:proofErr w:type="gramStart"/>
      <w:r w:rsidRPr="00DD597F">
        <w:rPr>
          <w:sz w:val="24"/>
          <w:szCs w:val="24"/>
        </w:rPr>
        <w:t>the</w:t>
      </w:r>
      <w:proofErr w:type="gramEnd"/>
      <w:r w:rsidRPr="00DD597F">
        <w:rPr>
          <w:sz w:val="24"/>
          <w:szCs w:val="24"/>
        </w:rPr>
        <w:t xml:space="preserve"> access</w:t>
      </w:r>
      <w:r w:rsidRPr="00DD597F">
        <w:rPr>
          <w:sz w:val="24"/>
          <w:szCs w:val="24"/>
        </w:rPr>
        <w:noBreakHyphen/>
        <w:t>seeker being registered under subsection </w:t>
      </w:r>
      <w:r w:rsidR="00C0420A" w:rsidRPr="00516D99">
        <w:rPr>
          <w:sz w:val="24"/>
          <w:szCs w:val="24"/>
        </w:rPr>
        <w:t>7(3)</w:t>
      </w:r>
      <w:r w:rsidR="00DC46A8">
        <w:rPr>
          <w:sz w:val="24"/>
          <w:szCs w:val="24"/>
        </w:rPr>
        <w:t xml:space="preserve"> </w:t>
      </w:r>
      <w:r w:rsidRPr="00DD597F">
        <w:rPr>
          <w:sz w:val="24"/>
          <w:szCs w:val="24"/>
        </w:rPr>
        <w:t xml:space="preserve">of the </w:t>
      </w:r>
      <w:r w:rsidRPr="00516D99">
        <w:rPr>
          <w:i/>
          <w:sz w:val="24"/>
          <w:szCs w:val="24"/>
        </w:rPr>
        <w:t>Do Not Call Register (Acces</w:t>
      </w:r>
      <w:r w:rsidR="00DC46A8" w:rsidRPr="00516D99">
        <w:rPr>
          <w:i/>
          <w:sz w:val="24"/>
          <w:szCs w:val="24"/>
        </w:rPr>
        <w:t>s to Register) Determination 201</w:t>
      </w:r>
      <w:r w:rsidRPr="00516D99">
        <w:rPr>
          <w:i/>
          <w:sz w:val="24"/>
          <w:szCs w:val="24"/>
        </w:rPr>
        <w:t>7</w:t>
      </w:r>
      <w:r w:rsidRPr="00516D99">
        <w:rPr>
          <w:sz w:val="24"/>
          <w:szCs w:val="24"/>
        </w:rPr>
        <w:t>.</w:t>
      </w:r>
    </w:p>
    <w:p w14:paraId="65B47B29" w14:textId="252D2C5D" w:rsidR="00DD597F" w:rsidRDefault="00DD597F" w:rsidP="00DD597F">
      <w:pPr>
        <w:pStyle w:val="notetext"/>
      </w:pPr>
      <w:r w:rsidRPr="00516D99">
        <w:t>Note</w:t>
      </w:r>
      <w:r w:rsidR="00B66E90">
        <w:t xml:space="preserve"> 1</w:t>
      </w:r>
      <w:r w:rsidRPr="00516D99">
        <w:t>:</w:t>
      </w:r>
      <w:r w:rsidRPr="00516D99">
        <w:tab/>
        <w:t>Access</w:t>
      </w:r>
      <w:r w:rsidRPr="00516D99">
        <w:noBreakHyphen/>
        <w:t>seekers may apply for a subscription when r</w:t>
      </w:r>
      <w:r w:rsidR="00DC46A8" w:rsidRPr="00516D99">
        <w:t>egistering under subsection </w:t>
      </w:r>
      <w:r w:rsidR="00C0420A" w:rsidRPr="00516D99">
        <w:t>7(3)</w:t>
      </w:r>
      <w:r w:rsidRPr="00516D99">
        <w:t xml:space="preserve"> of the </w:t>
      </w:r>
      <w:r w:rsidRPr="00516D99">
        <w:rPr>
          <w:i/>
        </w:rPr>
        <w:t>Do Not Call Register (Acces</w:t>
      </w:r>
      <w:r w:rsidR="00DC46A8" w:rsidRPr="00516D99">
        <w:rPr>
          <w:i/>
        </w:rPr>
        <w:t>s to Register) Determination 201</w:t>
      </w:r>
      <w:r w:rsidRPr="00516D99">
        <w:rPr>
          <w:i/>
        </w:rPr>
        <w:t>7</w:t>
      </w:r>
      <w:r w:rsidRPr="00516D99">
        <w:t>.</w:t>
      </w:r>
    </w:p>
    <w:p w14:paraId="510BB8F6" w14:textId="37095273" w:rsidR="00B66E90" w:rsidRPr="00CC7420" w:rsidRDefault="00B66E90" w:rsidP="00DD597F">
      <w:pPr>
        <w:pStyle w:val="notetext"/>
      </w:pPr>
      <w:r>
        <w:t>Note 2:</w:t>
      </w:r>
      <w:r>
        <w:tab/>
        <w:t xml:space="preserve">Section </w:t>
      </w:r>
      <w:r w:rsidR="00CC7420" w:rsidRPr="002600C9">
        <w:t>1</w:t>
      </w:r>
      <w:r w:rsidR="007132F7" w:rsidRPr="002600C9">
        <w:t>0</w:t>
      </w:r>
      <w:r>
        <w:t xml:space="preserve"> of the </w:t>
      </w:r>
      <w:r w:rsidRPr="00B66E90">
        <w:rPr>
          <w:i/>
        </w:rPr>
        <w:t>Do Not Call Register (Access to Register) Determination 2017</w:t>
      </w:r>
      <w:r>
        <w:t xml:space="preserve"> sets out that registrations under subsection 7(3) of the </w:t>
      </w:r>
      <w:r w:rsidRPr="002600C9">
        <w:rPr>
          <w:i/>
        </w:rPr>
        <w:t>Do Not Call Register (Access to Register) Determination 2007</w:t>
      </w:r>
      <w:r w:rsidR="00CC7420">
        <w:rPr>
          <w:i/>
        </w:rPr>
        <w:t xml:space="preserve"> </w:t>
      </w:r>
      <w:r w:rsidR="00CC7420">
        <w:t>current at the commencement of the</w:t>
      </w:r>
      <w:r>
        <w:t xml:space="preserve"> </w:t>
      </w:r>
      <w:r w:rsidR="00CC7420" w:rsidRPr="00B66E90">
        <w:rPr>
          <w:i/>
        </w:rPr>
        <w:t>Do Not Call Register (Access to Register) Determination 2017</w:t>
      </w:r>
      <w:r w:rsidR="00CC7420">
        <w:t xml:space="preserve"> continue to have effect under subsection 7(3) of the </w:t>
      </w:r>
      <w:r w:rsidR="00CC7420" w:rsidRPr="00B66E90">
        <w:rPr>
          <w:i/>
        </w:rPr>
        <w:t>Do Not Call Register (Access to Register) Determination 2017</w:t>
      </w:r>
      <w:r w:rsidR="00CC7420">
        <w:t>.</w:t>
      </w:r>
    </w:p>
    <w:p w14:paraId="57E5BF1E" w14:textId="77777777" w:rsidR="00DD597F" w:rsidRPr="00DD597F" w:rsidRDefault="00DD597F" w:rsidP="00DD597F">
      <w:pPr>
        <w:pStyle w:val="subsection"/>
        <w:rPr>
          <w:sz w:val="24"/>
          <w:szCs w:val="24"/>
        </w:rPr>
      </w:pPr>
      <w:r w:rsidRPr="000B5254">
        <w:tab/>
      </w:r>
      <w:r w:rsidRPr="00DD597F">
        <w:rPr>
          <w:sz w:val="24"/>
          <w:szCs w:val="24"/>
        </w:rPr>
        <w:t>(2)</w:t>
      </w:r>
      <w:r w:rsidRPr="00DD597F">
        <w:rPr>
          <w:sz w:val="24"/>
          <w:szCs w:val="24"/>
        </w:rPr>
        <w:tab/>
        <w:t>However:</w:t>
      </w:r>
    </w:p>
    <w:p w14:paraId="23E1B8F8" w14:textId="77777777" w:rsidR="00DD597F" w:rsidRPr="00DD597F" w:rsidRDefault="00DC46A8" w:rsidP="00047576">
      <w:pPr>
        <w:pStyle w:val="paragraph"/>
        <w:numPr>
          <w:ilvl w:val="0"/>
          <w:numId w:val="14"/>
        </w:numPr>
        <w:ind w:left="1644" w:hanging="567"/>
        <w:rPr>
          <w:sz w:val="24"/>
          <w:szCs w:val="24"/>
        </w:rPr>
      </w:pPr>
      <w:r>
        <w:rPr>
          <w:sz w:val="24"/>
          <w:szCs w:val="24"/>
        </w:rPr>
        <w:t>an access</w:t>
      </w:r>
      <w:r>
        <w:rPr>
          <w:sz w:val="24"/>
          <w:szCs w:val="24"/>
        </w:rPr>
        <w:noBreakHyphen/>
        <w:t>seeker may only hold one</w:t>
      </w:r>
      <w:r w:rsidR="00DD597F" w:rsidRPr="00DD597F">
        <w:rPr>
          <w:sz w:val="24"/>
          <w:szCs w:val="24"/>
        </w:rPr>
        <w:t xml:space="preserve"> subscription type A at a time; and</w:t>
      </w:r>
    </w:p>
    <w:p w14:paraId="2581B81E" w14:textId="77777777" w:rsidR="00DD597F" w:rsidRPr="00DD597F" w:rsidRDefault="00DD597F" w:rsidP="00516D99">
      <w:pPr>
        <w:pStyle w:val="paragraph"/>
        <w:numPr>
          <w:ilvl w:val="0"/>
          <w:numId w:val="14"/>
        </w:numPr>
        <w:ind w:left="1560" w:hanging="483"/>
        <w:rPr>
          <w:sz w:val="24"/>
          <w:szCs w:val="24"/>
        </w:rPr>
      </w:pPr>
      <w:proofErr w:type="gramStart"/>
      <w:r w:rsidRPr="00DD597F">
        <w:rPr>
          <w:sz w:val="24"/>
          <w:szCs w:val="24"/>
        </w:rPr>
        <w:t>an</w:t>
      </w:r>
      <w:proofErr w:type="gramEnd"/>
      <w:r w:rsidRPr="00DD597F">
        <w:rPr>
          <w:sz w:val="24"/>
          <w:szCs w:val="24"/>
        </w:rPr>
        <w:t xml:space="preserve"> access</w:t>
      </w:r>
      <w:r w:rsidRPr="00DD597F">
        <w:rPr>
          <w:sz w:val="24"/>
          <w:szCs w:val="24"/>
        </w:rPr>
        <w:noBreakHyphen/>
        <w:t>seeker who holds a subscription type A may not hold any other subscription type while that subscription type A is in force.</w:t>
      </w:r>
    </w:p>
    <w:p w14:paraId="7C812F4F" w14:textId="77777777" w:rsidR="00DD597F" w:rsidRPr="00DD597F" w:rsidRDefault="00DC46A8" w:rsidP="00DD597F">
      <w:pPr>
        <w:pStyle w:val="subsection"/>
        <w:rPr>
          <w:sz w:val="24"/>
          <w:szCs w:val="24"/>
        </w:rPr>
      </w:pPr>
      <w:r>
        <w:rPr>
          <w:sz w:val="24"/>
          <w:szCs w:val="24"/>
        </w:rPr>
        <w:tab/>
        <w:t>(3)</w:t>
      </w:r>
      <w:r>
        <w:rPr>
          <w:sz w:val="24"/>
          <w:szCs w:val="24"/>
        </w:rPr>
        <w:tab/>
        <w:t>If an access</w:t>
      </w:r>
      <w:r>
        <w:rPr>
          <w:sz w:val="24"/>
          <w:szCs w:val="24"/>
        </w:rPr>
        <w:noBreakHyphen/>
        <w:t>seeker holds two</w:t>
      </w:r>
      <w:r w:rsidR="00DD597F" w:rsidRPr="00DD597F">
        <w:rPr>
          <w:sz w:val="24"/>
          <w:szCs w:val="24"/>
        </w:rPr>
        <w:t xml:space="preserve"> or more subscriptions, for which the subscription periods began on different days:</w:t>
      </w:r>
    </w:p>
    <w:p w14:paraId="0300F6CB" w14:textId="77777777" w:rsidR="00DD597F" w:rsidRPr="00DD597F" w:rsidRDefault="00DD597F" w:rsidP="00047576">
      <w:pPr>
        <w:pStyle w:val="paragraph"/>
        <w:numPr>
          <w:ilvl w:val="0"/>
          <w:numId w:val="16"/>
        </w:numPr>
        <w:ind w:left="1503" w:hanging="426"/>
        <w:rPr>
          <w:sz w:val="24"/>
          <w:szCs w:val="24"/>
        </w:rPr>
      </w:pPr>
      <w:r w:rsidRPr="00DD597F">
        <w:rPr>
          <w:sz w:val="24"/>
          <w:szCs w:val="24"/>
        </w:rPr>
        <w:t>any numbers submitted for checking are taken to have been submitted for the subscription which commenced first in time, up to the maximum number of Australian numbers able to be submitted for that subscription; and</w:t>
      </w:r>
    </w:p>
    <w:p w14:paraId="57087E6B" w14:textId="77777777" w:rsidR="00DD597F" w:rsidRPr="00DD597F" w:rsidRDefault="00DD597F" w:rsidP="00A231E6">
      <w:pPr>
        <w:pStyle w:val="paragraph"/>
        <w:numPr>
          <w:ilvl w:val="0"/>
          <w:numId w:val="16"/>
        </w:numPr>
        <w:ind w:left="1503" w:hanging="426"/>
        <w:rPr>
          <w:sz w:val="24"/>
          <w:szCs w:val="24"/>
        </w:rPr>
      </w:pPr>
      <w:proofErr w:type="gramStart"/>
      <w:r w:rsidRPr="00DD597F">
        <w:rPr>
          <w:sz w:val="24"/>
          <w:szCs w:val="24"/>
        </w:rPr>
        <w:t>any</w:t>
      </w:r>
      <w:proofErr w:type="gramEnd"/>
      <w:r w:rsidRPr="00DD597F">
        <w:rPr>
          <w:sz w:val="24"/>
          <w:szCs w:val="24"/>
        </w:rPr>
        <w:t xml:space="preserve"> remaining numbers submitted for checking are taken to have been submitted for the other subscription or subscriptions, in order of commencement, up to the maximum number of Australian numbers able to be submitted for that subscription, or each of those subscriptions.</w:t>
      </w:r>
    </w:p>
    <w:p w14:paraId="7BE6C34F" w14:textId="77777777" w:rsidR="00DD597F" w:rsidRPr="00DD597F" w:rsidRDefault="00DD597F" w:rsidP="00DD597F">
      <w:pPr>
        <w:pStyle w:val="subsection"/>
        <w:rPr>
          <w:sz w:val="24"/>
          <w:szCs w:val="24"/>
        </w:rPr>
      </w:pPr>
      <w:r w:rsidRPr="00DD597F">
        <w:rPr>
          <w:sz w:val="24"/>
          <w:szCs w:val="24"/>
        </w:rPr>
        <w:tab/>
        <w:t>(4)</w:t>
      </w:r>
      <w:r w:rsidRPr="00DD597F">
        <w:rPr>
          <w:sz w:val="24"/>
          <w:szCs w:val="24"/>
        </w:rPr>
        <w:tab/>
        <w:t xml:space="preserve">If </w:t>
      </w:r>
      <w:proofErr w:type="gramStart"/>
      <w:r w:rsidRPr="00DD597F">
        <w:rPr>
          <w:sz w:val="24"/>
          <w:szCs w:val="24"/>
        </w:rPr>
        <w:t>an</w:t>
      </w:r>
      <w:proofErr w:type="gramEnd"/>
      <w:r w:rsidRPr="00DD597F">
        <w:rPr>
          <w:sz w:val="24"/>
          <w:szCs w:val="24"/>
        </w:rPr>
        <w:t xml:space="preserve"> access</w:t>
      </w:r>
      <w:r w:rsidRPr="00DD597F">
        <w:rPr>
          <w:sz w:val="24"/>
          <w:szCs w:val="24"/>
        </w:rPr>
        <w:noBreakHyphen/>
        <w:t>seeker:</w:t>
      </w:r>
    </w:p>
    <w:p w14:paraId="5EDFA8E1" w14:textId="77777777" w:rsidR="00DD597F" w:rsidRPr="00DD597F" w:rsidRDefault="00DD597F" w:rsidP="00047576">
      <w:pPr>
        <w:pStyle w:val="paragraph"/>
        <w:numPr>
          <w:ilvl w:val="0"/>
          <w:numId w:val="18"/>
        </w:numPr>
        <w:tabs>
          <w:tab w:val="clear" w:pos="1531"/>
        </w:tabs>
        <w:ind w:left="1502" w:hanging="425"/>
        <w:rPr>
          <w:sz w:val="24"/>
          <w:szCs w:val="24"/>
        </w:rPr>
      </w:pPr>
      <w:r w:rsidRPr="00DD597F">
        <w:rPr>
          <w:sz w:val="24"/>
          <w:szCs w:val="24"/>
        </w:rPr>
        <w:t>holds a current subscription type A; and</w:t>
      </w:r>
    </w:p>
    <w:p w14:paraId="455EB141" w14:textId="77777777" w:rsidR="00DD597F" w:rsidRPr="00DD597F" w:rsidRDefault="00DD597F" w:rsidP="00047576">
      <w:pPr>
        <w:pStyle w:val="paragraph"/>
        <w:numPr>
          <w:ilvl w:val="0"/>
          <w:numId w:val="18"/>
        </w:numPr>
        <w:tabs>
          <w:tab w:val="clear" w:pos="1531"/>
        </w:tabs>
        <w:ind w:left="1502" w:hanging="425"/>
        <w:rPr>
          <w:sz w:val="24"/>
          <w:szCs w:val="24"/>
        </w:rPr>
      </w:pPr>
      <w:r w:rsidRPr="00DD597F">
        <w:rPr>
          <w:sz w:val="24"/>
          <w:szCs w:val="24"/>
        </w:rPr>
        <w:t>purchases an additional subscription type B, or a higher subscription, before the current subscription type A expires;</w:t>
      </w:r>
    </w:p>
    <w:p w14:paraId="5CC2EB92" w14:textId="77777777" w:rsidR="00DD597F" w:rsidRPr="00DD597F" w:rsidRDefault="00DD597F" w:rsidP="00DD597F">
      <w:pPr>
        <w:pStyle w:val="subsection2"/>
        <w:rPr>
          <w:sz w:val="24"/>
          <w:szCs w:val="24"/>
        </w:rPr>
      </w:pPr>
      <w:proofErr w:type="gramStart"/>
      <w:r w:rsidRPr="00DD597F">
        <w:rPr>
          <w:sz w:val="24"/>
          <w:szCs w:val="24"/>
        </w:rPr>
        <w:t>the</w:t>
      </w:r>
      <w:proofErr w:type="gramEnd"/>
      <w:r w:rsidRPr="00DD597F">
        <w:rPr>
          <w:sz w:val="24"/>
          <w:szCs w:val="24"/>
        </w:rPr>
        <w:t xml:space="preserve"> current subscription type A is cancelled from the time of the purchase of the additional subscription, and any unused numbers from the current subscription type A will not be included in the purchased subscription.</w:t>
      </w:r>
    </w:p>
    <w:p w14:paraId="3CD41B87" w14:textId="77777777" w:rsidR="00DD597F" w:rsidRPr="00DD597F" w:rsidRDefault="00DD597F" w:rsidP="00DD597F">
      <w:pPr>
        <w:pStyle w:val="subsection"/>
        <w:rPr>
          <w:sz w:val="24"/>
          <w:szCs w:val="24"/>
        </w:rPr>
      </w:pPr>
      <w:r w:rsidRPr="00DD597F">
        <w:rPr>
          <w:sz w:val="24"/>
          <w:szCs w:val="24"/>
        </w:rPr>
        <w:tab/>
        <w:t>(5)</w:t>
      </w:r>
      <w:r w:rsidRPr="00DD597F">
        <w:rPr>
          <w:sz w:val="24"/>
          <w:szCs w:val="24"/>
        </w:rPr>
        <w:tab/>
        <w:t xml:space="preserve">If </w:t>
      </w:r>
      <w:proofErr w:type="gramStart"/>
      <w:r w:rsidRPr="00DD597F">
        <w:rPr>
          <w:sz w:val="24"/>
          <w:szCs w:val="24"/>
        </w:rPr>
        <w:t>an</w:t>
      </w:r>
      <w:proofErr w:type="gramEnd"/>
      <w:r w:rsidRPr="00DD597F">
        <w:rPr>
          <w:sz w:val="24"/>
          <w:szCs w:val="24"/>
        </w:rPr>
        <w:t xml:space="preserve"> access</w:t>
      </w:r>
      <w:r w:rsidRPr="00DD597F">
        <w:rPr>
          <w:sz w:val="24"/>
          <w:szCs w:val="24"/>
        </w:rPr>
        <w:noBreakHyphen/>
        <w:t>seeker:</w:t>
      </w:r>
    </w:p>
    <w:p w14:paraId="3030DB91" w14:textId="77777777" w:rsidR="00DD597F" w:rsidRPr="00DD597F" w:rsidRDefault="00DD597F" w:rsidP="00047576">
      <w:pPr>
        <w:pStyle w:val="paragraph"/>
        <w:numPr>
          <w:ilvl w:val="0"/>
          <w:numId w:val="20"/>
        </w:numPr>
        <w:tabs>
          <w:tab w:val="clear" w:pos="1531"/>
        </w:tabs>
        <w:ind w:left="1560" w:hanging="483"/>
        <w:rPr>
          <w:sz w:val="24"/>
          <w:szCs w:val="24"/>
        </w:rPr>
      </w:pPr>
      <w:r w:rsidRPr="00DD597F">
        <w:rPr>
          <w:sz w:val="24"/>
          <w:szCs w:val="24"/>
        </w:rPr>
        <w:t>holds a current subscription type B or a higher subscription; and</w:t>
      </w:r>
    </w:p>
    <w:p w14:paraId="5D641521" w14:textId="77777777" w:rsidR="00DD597F" w:rsidRPr="00DD597F" w:rsidRDefault="00DD597F" w:rsidP="00047576">
      <w:pPr>
        <w:pStyle w:val="paragraph"/>
        <w:numPr>
          <w:ilvl w:val="0"/>
          <w:numId w:val="20"/>
        </w:numPr>
        <w:tabs>
          <w:tab w:val="clear" w:pos="1531"/>
          <w:tab w:val="right" w:pos="1560"/>
        </w:tabs>
        <w:ind w:left="1503" w:hanging="426"/>
        <w:rPr>
          <w:sz w:val="24"/>
          <w:szCs w:val="24"/>
        </w:rPr>
      </w:pPr>
      <w:r w:rsidRPr="00DD597F">
        <w:rPr>
          <w:sz w:val="24"/>
          <w:szCs w:val="24"/>
        </w:rPr>
        <w:t>purchases an additional subscription type B, or a higher subscription, before the current subscription expires;</w:t>
      </w:r>
    </w:p>
    <w:p w14:paraId="638B6974" w14:textId="77777777" w:rsidR="00DD597F" w:rsidRPr="00DD597F" w:rsidRDefault="00DD597F" w:rsidP="00DD597F">
      <w:pPr>
        <w:pStyle w:val="subsection2"/>
        <w:rPr>
          <w:sz w:val="24"/>
          <w:szCs w:val="24"/>
        </w:rPr>
      </w:pPr>
      <w:proofErr w:type="gramStart"/>
      <w:r w:rsidRPr="00DD597F">
        <w:rPr>
          <w:sz w:val="24"/>
          <w:szCs w:val="24"/>
        </w:rPr>
        <w:t>any</w:t>
      </w:r>
      <w:proofErr w:type="gramEnd"/>
      <w:r w:rsidRPr="00DD597F">
        <w:rPr>
          <w:sz w:val="24"/>
          <w:szCs w:val="24"/>
        </w:rPr>
        <w:t xml:space="preserve"> unused numbers from the current subscription will be included in the purchased subscription.</w:t>
      </w:r>
    </w:p>
    <w:p w14:paraId="76597881" w14:textId="77777777" w:rsidR="00DD597F" w:rsidRPr="00DD597F" w:rsidRDefault="00DD597F" w:rsidP="00DD597F">
      <w:pPr>
        <w:pStyle w:val="subsection"/>
        <w:rPr>
          <w:sz w:val="24"/>
          <w:szCs w:val="24"/>
        </w:rPr>
      </w:pPr>
      <w:r w:rsidRPr="00DD597F">
        <w:rPr>
          <w:sz w:val="24"/>
          <w:szCs w:val="24"/>
        </w:rPr>
        <w:tab/>
        <w:t>(6)</w:t>
      </w:r>
      <w:r w:rsidRPr="00DD597F">
        <w:rPr>
          <w:sz w:val="24"/>
          <w:szCs w:val="24"/>
        </w:rPr>
        <w:tab/>
        <w:t xml:space="preserve">If </w:t>
      </w:r>
      <w:proofErr w:type="gramStart"/>
      <w:r w:rsidRPr="00DD597F">
        <w:rPr>
          <w:sz w:val="24"/>
          <w:szCs w:val="24"/>
        </w:rPr>
        <w:t>an</w:t>
      </w:r>
      <w:proofErr w:type="gramEnd"/>
      <w:r w:rsidRPr="00DD597F">
        <w:rPr>
          <w:sz w:val="24"/>
          <w:szCs w:val="24"/>
        </w:rPr>
        <w:t xml:space="preserve"> access</w:t>
      </w:r>
      <w:r w:rsidRPr="00DD597F">
        <w:rPr>
          <w:sz w:val="24"/>
          <w:szCs w:val="24"/>
        </w:rPr>
        <w:noBreakHyphen/>
        <w:t>seeker:</w:t>
      </w:r>
    </w:p>
    <w:p w14:paraId="6170E63F" w14:textId="77777777" w:rsidR="00DD597F" w:rsidRPr="00DD597F" w:rsidRDefault="00DD597F" w:rsidP="000103FA">
      <w:pPr>
        <w:pStyle w:val="paragraph"/>
        <w:numPr>
          <w:ilvl w:val="0"/>
          <w:numId w:val="22"/>
        </w:numPr>
        <w:ind w:left="2721" w:hanging="1587"/>
        <w:rPr>
          <w:sz w:val="24"/>
          <w:szCs w:val="24"/>
        </w:rPr>
      </w:pPr>
      <w:r w:rsidRPr="00DD597F">
        <w:rPr>
          <w:sz w:val="24"/>
          <w:szCs w:val="24"/>
        </w:rPr>
        <w:t>holds a current subscription type A, or a higher subscription; and</w:t>
      </w:r>
    </w:p>
    <w:p w14:paraId="433DE29E" w14:textId="77777777" w:rsidR="00DD597F" w:rsidRPr="00DD597F" w:rsidRDefault="00DD597F" w:rsidP="000103FA">
      <w:pPr>
        <w:pStyle w:val="paragraph"/>
        <w:numPr>
          <w:ilvl w:val="0"/>
          <w:numId w:val="22"/>
        </w:numPr>
        <w:ind w:left="2721" w:hanging="1587"/>
        <w:rPr>
          <w:sz w:val="24"/>
          <w:szCs w:val="24"/>
        </w:rPr>
      </w:pPr>
      <w:r w:rsidRPr="00DD597F">
        <w:rPr>
          <w:sz w:val="24"/>
          <w:szCs w:val="24"/>
        </w:rPr>
        <w:t>that subscription expires; and</w:t>
      </w:r>
    </w:p>
    <w:p w14:paraId="382B982C" w14:textId="309CC2DF" w:rsidR="00DD597F" w:rsidRPr="00DD597F" w:rsidRDefault="00DD597F" w:rsidP="00222AE1">
      <w:pPr>
        <w:pStyle w:val="paragraph"/>
        <w:numPr>
          <w:ilvl w:val="0"/>
          <w:numId w:val="22"/>
        </w:numPr>
        <w:ind w:left="1560" w:hanging="426"/>
        <w:rPr>
          <w:sz w:val="24"/>
          <w:szCs w:val="24"/>
        </w:rPr>
      </w:pPr>
      <w:r w:rsidRPr="00DD597F">
        <w:rPr>
          <w:sz w:val="24"/>
          <w:szCs w:val="24"/>
        </w:rPr>
        <w:t xml:space="preserve">then </w:t>
      </w:r>
      <w:r w:rsidR="000103FA">
        <w:rPr>
          <w:sz w:val="24"/>
          <w:szCs w:val="24"/>
        </w:rPr>
        <w:t>obtains</w:t>
      </w:r>
      <w:r w:rsidR="000103FA" w:rsidRPr="00DD597F">
        <w:rPr>
          <w:sz w:val="24"/>
          <w:szCs w:val="24"/>
        </w:rPr>
        <w:t xml:space="preserve"> </w:t>
      </w:r>
      <w:r w:rsidRPr="00DD597F">
        <w:rPr>
          <w:sz w:val="24"/>
          <w:szCs w:val="24"/>
        </w:rPr>
        <w:t xml:space="preserve">a subscription type A, or </w:t>
      </w:r>
      <w:r w:rsidR="000103FA">
        <w:rPr>
          <w:sz w:val="24"/>
          <w:szCs w:val="24"/>
        </w:rPr>
        <w:t xml:space="preserve">purchases </w:t>
      </w:r>
      <w:r w:rsidRPr="00DD597F">
        <w:rPr>
          <w:sz w:val="24"/>
          <w:szCs w:val="24"/>
        </w:rPr>
        <w:t>a higher subscription;</w:t>
      </w:r>
    </w:p>
    <w:p w14:paraId="7B79A27A" w14:textId="77777777" w:rsidR="006159E6" w:rsidRPr="00DD597F" w:rsidRDefault="00DD597F" w:rsidP="00DD597F">
      <w:pPr>
        <w:pStyle w:val="subsection2"/>
        <w:rPr>
          <w:sz w:val="24"/>
          <w:szCs w:val="24"/>
        </w:rPr>
      </w:pPr>
      <w:proofErr w:type="gramStart"/>
      <w:r w:rsidRPr="00DD597F">
        <w:rPr>
          <w:sz w:val="24"/>
          <w:szCs w:val="24"/>
        </w:rPr>
        <w:lastRenderedPageBreak/>
        <w:t>any</w:t>
      </w:r>
      <w:proofErr w:type="gramEnd"/>
      <w:r w:rsidRPr="00DD597F">
        <w:rPr>
          <w:sz w:val="24"/>
          <w:szCs w:val="24"/>
        </w:rPr>
        <w:t xml:space="preserve"> unused numbers from the expired subscription will not be included in any purchased subscription.</w:t>
      </w:r>
    </w:p>
    <w:p w14:paraId="045B2201" w14:textId="77777777" w:rsidR="006159E6" w:rsidRPr="00201D56" w:rsidRDefault="00C46528" w:rsidP="006159E6">
      <w:pPr>
        <w:pStyle w:val="HR"/>
        <w:rPr>
          <w:rFonts w:ascii="Times New Roman" w:hAnsi="Times New Roman"/>
          <w:sz w:val="28"/>
          <w:szCs w:val="28"/>
        </w:rPr>
      </w:pPr>
      <w:r w:rsidRPr="00201D56">
        <w:rPr>
          <w:rStyle w:val="CharSectno"/>
          <w:rFonts w:ascii="Times New Roman" w:hAnsi="Times New Roman"/>
          <w:sz w:val="28"/>
          <w:szCs w:val="28"/>
        </w:rPr>
        <w:t>9</w:t>
      </w:r>
      <w:r w:rsidR="006159E6" w:rsidRPr="00201D56">
        <w:rPr>
          <w:rFonts w:ascii="Times New Roman" w:hAnsi="Times New Roman"/>
          <w:sz w:val="28"/>
          <w:szCs w:val="28"/>
        </w:rPr>
        <w:tab/>
      </w:r>
      <w:r w:rsidR="00DD597F" w:rsidRPr="00201D56">
        <w:rPr>
          <w:rFonts w:ascii="Times New Roman" w:hAnsi="Times New Roman"/>
          <w:sz w:val="28"/>
          <w:szCs w:val="28"/>
        </w:rPr>
        <w:t xml:space="preserve">Subscription </w:t>
      </w:r>
      <w:r w:rsidR="006159E6" w:rsidRPr="00201D56">
        <w:rPr>
          <w:rFonts w:ascii="Times New Roman" w:hAnsi="Times New Roman"/>
          <w:sz w:val="28"/>
          <w:szCs w:val="28"/>
        </w:rPr>
        <w:t>period</w:t>
      </w:r>
    </w:p>
    <w:p w14:paraId="37342142" w14:textId="77777777" w:rsidR="00DD597F" w:rsidRPr="00DD597F" w:rsidRDefault="006159E6" w:rsidP="00DD597F">
      <w:pPr>
        <w:pStyle w:val="subsection"/>
        <w:rPr>
          <w:sz w:val="24"/>
          <w:szCs w:val="24"/>
        </w:rPr>
      </w:pPr>
      <w:r w:rsidRPr="006F4055">
        <w:tab/>
        <w:t>(1)</w:t>
      </w:r>
      <w:r w:rsidRPr="006F4055">
        <w:tab/>
      </w:r>
      <w:r w:rsidR="00DD597F" w:rsidRPr="00DD597F">
        <w:rPr>
          <w:sz w:val="24"/>
          <w:szCs w:val="24"/>
        </w:rPr>
        <w:t xml:space="preserve">The subscription period for an access-seeker who has ordered a type </w:t>
      </w:r>
      <w:proofErr w:type="gramStart"/>
      <w:r w:rsidR="00DD597F" w:rsidRPr="00DD597F">
        <w:rPr>
          <w:sz w:val="24"/>
          <w:szCs w:val="24"/>
        </w:rPr>
        <w:t>A</w:t>
      </w:r>
      <w:proofErr w:type="gramEnd"/>
      <w:r w:rsidR="00DD597F" w:rsidRPr="00DD597F">
        <w:rPr>
          <w:sz w:val="24"/>
          <w:szCs w:val="24"/>
        </w:rPr>
        <w:t xml:space="preserve"> subscription commences on the day the ACMA, or the contracted service provider on behalf of the ACMA, receives the access-seeker’s order for services.</w:t>
      </w:r>
    </w:p>
    <w:p w14:paraId="65ECB0D9" w14:textId="77777777" w:rsidR="00DD597F" w:rsidRPr="00DD597F" w:rsidRDefault="00DD597F" w:rsidP="00DD597F">
      <w:pPr>
        <w:pStyle w:val="subsection"/>
        <w:rPr>
          <w:sz w:val="24"/>
          <w:szCs w:val="24"/>
        </w:rPr>
      </w:pPr>
      <w:r w:rsidRPr="00DD597F">
        <w:rPr>
          <w:sz w:val="24"/>
          <w:szCs w:val="24"/>
        </w:rPr>
        <w:tab/>
        <w:t>(2)</w:t>
      </w:r>
      <w:r w:rsidRPr="00DD597F">
        <w:rPr>
          <w:sz w:val="24"/>
          <w:szCs w:val="24"/>
        </w:rPr>
        <w:tab/>
        <w:t xml:space="preserve">The subscription period for an access-seeker who has ordered a subscription other than a type </w:t>
      </w:r>
      <w:proofErr w:type="gramStart"/>
      <w:r w:rsidRPr="00DD597F">
        <w:rPr>
          <w:sz w:val="24"/>
          <w:szCs w:val="24"/>
        </w:rPr>
        <w:t>A</w:t>
      </w:r>
      <w:proofErr w:type="gramEnd"/>
      <w:r w:rsidRPr="00DD597F">
        <w:rPr>
          <w:sz w:val="24"/>
          <w:szCs w:val="24"/>
        </w:rPr>
        <w:t xml:space="preserve"> subscription commences on the day the ACMA, or the contracted service provider on behalf of the ACMA, receives the access-seeker’s subscription fee, on behalf of the Commonwealth. </w:t>
      </w:r>
    </w:p>
    <w:p w14:paraId="444966CC" w14:textId="77777777" w:rsidR="00DD597F" w:rsidRPr="00DD597F" w:rsidRDefault="00DD597F" w:rsidP="00DD597F">
      <w:pPr>
        <w:pStyle w:val="subsection"/>
        <w:rPr>
          <w:sz w:val="24"/>
          <w:szCs w:val="24"/>
        </w:rPr>
      </w:pPr>
      <w:r w:rsidRPr="00DD597F">
        <w:rPr>
          <w:sz w:val="24"/>
          <w:szCs w:val="24"/>
        </w:rPr>
        <w:tab/>
        <w:t>(3)</w:t>
      </w:r>
      <w:r w:rsidRPr="00DD597F">
        <w:rPr>
          <w:sz w:val="24"/>
          <w:szCs w:val="24"/>
        </w:rPr>
        <w:tab/>
        <w:t>A subscription period for an access-seeker ends 12 months after the day it commences, unless cancelle</w:t>
      </w:r>
      <w:r w:rsidR="00595831">
        <w:rPr>
          <w:sz w:val="24"/>
          <w:szCs w:val="24"/>
        </w:rPr>
        <w:t xml:space="preserve">d by the ACMA under </w:t>
      </w:r>
      <w:r w:rsidR="00595831" w:rsidRPr="00EE79D6">
        <w:rPr>
          <w:sz w:val="24"/>
          <w:szCs w:val="24"/>
        </w:rPr>
        <w:t>subsection 8</w:t>
      </w:r>
      <w:r w:rsidRPr="00EE79D6">
        <w:rPr>
          <w:sz w:val="24"/>
          <w:szCs w:val="24"/>
        </w:rPr>
        <w:t>(4).</w:t>
      </w:r>
    </w:p>
    <w:p w14:paraId="4EF98483" w14:textId="77777777" w:rsidR="006159E6" w:rsidRPr="009B5DD1" w:rsidRDefault="00DD597F" w:rsidP="009B5DD1">
      <w:pPr>
        <w:pStyle w:val="subsection"/>
        <w:rPr>
          <w:sz w:val="24"/>
          <w:szCs w:val="24"/>
        </w:rPr>
      </w:pPr>
      <w:r w:rsidRPr="00DD597F">
        <w:rPr>
          <w:sz w:val="24"/>
          <w:szCs w:val="24"/>
        </w:rPr>
        <w:tab/>
        <w:t>(4)</w:t>
      </w:r>
      <w:r w:rsidRPr="00DD597F">
        <w:rPr>
          <w:sz w:val="24"/>
          <w:szCs w:val="24"/>
        </w:rPr>
        <w:tab/>
        <w:t>The ACMA may agree that the subscription period for an access-seeker commences on the day the access-seeker agrees to pay the subscription fee, where it is not possible or practical for the subscription period to commence</w:t>
      </w:r>
      <w:r w:rsidR="002C5059">
        <w:rPr>
          <w:sz w:val="24"/>
          <w:szCs w:val="24"/>
        </w:rPr>
        <w:t xml:space="preserve"> in accordance with subsection </w:t>
      </w:r>
      <w:r w:rsidRPr="00DD597F">
        <w:rPr>
          <w:sz w:val="24"/>
          <w:szCs w:val="24"/>
        </w:rPr>
        <w:t>(2).</w:t>
      </w:r>
    </w:p>
    <w:p w14:paraId="555D7EB7" w14:textId="77777777" w:rsidR="006159E6" w:rsidRPr="00201D56" w:rsidRDefault="00C46528" w:rsidP="006159E6">
      <w:pPr>
        <w:pStyle w:val="HR"/>
        <w:rPr>
          <w:rFonts w:ascii="Times New Roman" w:hAnsi="Times New Roman"/>
          <w:sz w:val="28"/>
          <w:szCs w:val="28"/>
        </w:rPr>
      </w:pPr>
      <w:r w:rsidRPr="00201D56">
        <w:rPr>
          <w:rStyle w:val="CharSectno"/>
          <w:rFonts w:ascii="Times New Roman" w:hAnsi="Times New Roman"/>
          <w:sz w:val="28"/>
          <w:szCs w:val="28"/>
        </w:rPr>
        <w:t>10</w:t>
      </w:r>
      <w:r w:rsidR="00DD597F" w:rsidRPr="00201D56">
        <w:rPr>
          <w:rFonts w:ascii="Times New Roman" w:hAnsi="Times New Roman"/>
          <w:sz w:val="28"/>
          <w:szCs w:val="28"/>
        </w:rPr>
        <w:tab/>
        <w:t>Orders for services</w:t>
      </w:r>
    </w:p>
    <w:p w14:paraId="7ED3063F" w14:textId="77777777" w:rsidR="00DD597F" w:rsidRPr="00DD597F" w:rsidRDefault="006159E6" w:rsidP="00DD597F">
      <w:pPr>
        <w:pStyle w:val="subsection"/>
        <w:rPr>
          <w:sz w:val="24"/>
          <w:szCs w:val="24"/>
        </w:rPr>
      </w:pPr>
      <w:r w:rsidRPr="006F4055">
        <w:tab/>
      </w:r>
      <w:r w:rsidRPr="00DD597F">
        <w:rPr>
          <w:sz w:val="24"/>
          <w:szCs w:val="24"/>
        </w:rPr>
        <w:t>(1)</w:t>
      </w:r>
      <w:r w:rsidRPr="00DD597F">
        <w:rPr>
          <w:sz w:val="24"/>
          <w:szCs w:val="24"/>
        </w:rPr>
        <w:tab/>
        <w:t xml:space="preserve"> </w:t>
      </w:r>
      <w:r w:rsidR="00DD597F" w:rsidRPr="00DD597F">
        <w:rPr>
          <w:sz w:val="24"/>
          <w:szCs w:val="24"/>
        </w:rPr>
        <w:t>An access-seeker may order a subscription by submitting an order to the ACMA using a method specified by the ACMA.</w:t>
      </w:r>
    </w:p>
    <w:p w14:paraId="00A3A1F1" w14:textId="77777777" w:rsidR="00DD597F" w:rsidRPr="00DD597F" w:rsidRDefault="00DD597F" w:rsidP="00DD597F">
      <w:pPr>
        <w:pStyle w:val="subsection"/>
        <w:rPr>
          <w:sz w:val="24"/>
          <w:szCs w:val="24"/>
        </w:rPr>
      </w:pPr>
      <w:r w:rsidRPr="00DD597F">
        <w:rPr>
          <w:sz w:val="24"/>
          <w:szCs w:val="24"/>
        </w:rPr>
        <w:tab/>
        <w:t>(2)</w:t>
      </w:r>
      <w:r w:rsidRPr="00DD597F">
        <w:rPr>
          <w:sz w:val="24"/>
          <w:szCs w:val="24"/>
        </w:rPr>
        <w:tab/>
        <w:t>The ACMA may cancel an order for a subscription that is not paid for in full within 14 days of the order being submitted.</w:t>
      </w:r>
    </w:p>
    <w:p w14:paraId="20884231" w14:textId="3485C6F1" w:rsidR="006159E6" w:rsidRPr="00DD597F" w:rsidRDefault="00DD597F" w:rsidP="00DD597F">
      <w:pPr>
        <w:pStyle w:val="subsection"/>
        <w:rPr>
          <w:sz w:val="24"/>
          <w:szCs w:val="24"/>
        </w:rPr>
      </w:pPr>
      <w:r w:rsidRPr="00DD597F">
        <w:rPr>
          <w:sz w:val="24"/>
          <w:szCs w:val="24"/>
        </w:rPr>
        <w:tab/>
        <w:t>(3)</w:t>
      </w:r>
      <w:r w:rsidRPr="00DD597F">
        <w:rPr>
          <w:sz w:val="24"/>
          <w:szCs w:val="24"/>
        </w:rPr>
        <w:tab/>
        <w:t xml:space="preserve">The ACMA may specify </w:t>
      </w:r>
      <w:r w:rsidR="00B64DDD">
        <w:rPr>
          <w:sz w:val="24"/>
          <w:szCs w:val="24"/>
        </w:rPr>
        <w:t xml:space="preserve">in writing </w:t>
      </w:r>
      <w:r w:rsidRPr="00DD597F">
        <w:rPr>
          <w:sz w:val="24"/>
          <w:szCs w:val="24"/>
        </w:rPr>
        <w:t>a method or methods of payment by which a subscription must be paid.</w:t>
      </w:r>
    </w:p>
    <w:p w14:paraId="266008A7" w14:textId="77777777" w:rsidR="006159E6" w:rsidRPr="00201D56" w:rsidRDefault="00C46528" w:rsidP="006159E6">
      <w:pPr>
        <w:pStyle w:val="HR"/>
        <w:rPr>
          <w:rFonts w:ascii="Times New Roman" w:hAnsi="Times New Roman"/>
          <w:sz w:val="28"/>
          <w:szCs w:val="28"/>
        </w:rPr>
      </w:pPr>
      <w:r w:rsidRPr="00201D56">
        <w:rPr>
          <w:rStyle w:val="CharSectno"/>
          <w:rFonts w:ascii="Times New Roman" w:hAnsi="Times New Roman"/>
          <w:sz w:val="28"/>
          <w:szCs w:val="28"/>
        </w:rPr>
        <w:t>11</w:t>
      </w:r>
      <w:r w:rsidR="00DD597F" w:rsidRPr="00201D56">
        <w:rPr>
          <w:rFonts w:ascii="Times New Roman" w:hAnsi="Times New Roman"/>
          <w:sz w:val="28"/>
          <w:szCs w:val="28"/>
        </w:rPr>
        <w:tab/>
        <w:t>Suspensions of registration</w:t>
      </w:r>
    </w:p>
    <w:p w14:paraId="4D38AC25" w14:textId="77777777" w:rsidR="00DD597F" w:rsidRPr="00DD597F" w:rsidRDefault="006159E6" w:rsidP="00DD597F">
      <w:pPr>
        <w:pStyle w:val="subsection"/>
        <w:rPr>
          <w:sz w:val="24"/>
          <w:szCs w:val="24"/>
        </w:rPr>
      </w:pPr>
      <w:r w:rsidRPr="006F4055">
        <w:tab/>
      </w:r>
      <w:r w:rsidRPr="00DD597F">
        <w:rPr>
          <w:sz w:val="24"/>
          <w:szCs w:val="24"/>
        </w:rPr>
        <w:t>(1)</w:t>
      </w:r>
      <w:r w:rsidRPr="00DD597F">
        <w:rPr>
          <w:sz w:val="24"/>
          <w:szCs w:val="24"/>
        </w:rPr>
        <w:tab/>
      </w:r>
      <w:r w:rsidR="00DD597F" w:rsidRPr="00DD597F">
        <w:rPr>
          <w:sz w:val="24"/>
          <w:szCs w:val="24"/>
        </w:rPr>
        <w:t>If an access-seeker pays a subscription fee and the payment is subsequently dishonoured the ACMA may suspend the access</w:t>
      </w:r>
      <w:r w:rsidR="00DD597F" w:rsidRPr="00DD597F">
        <w:rPr>
          <w:sz w:val="24"/>
          <w:szCs w:val="24"/>
        </w:rPr>
        <w:noBreakHyphen/>
        <w:t>seeker’s registration.</w:t>
      </w:r>
    </w:p>
    <w:p w14:paraId="1230F5DA" w14:textId="77777777" w:rsidR="00DD597F" w:rsidRPr="00DD597F" w:rsidRDefault="00DD597F" w:rsidP="00DD597F">
      <w:pPr>
        <w:pStyle w:val="subsection"/>
        <w:rPr>
          <w:sz w:val="24"/>
          <w:szCs w:val="24"/>
        </w:rPr>
      </w:pPr>
      <w:r w:rsidRPr="00DD597F">
        <w:rPr>
          <w:sz w:val="24"/>
          <w:szCs w:val="24"/>
        </w:rPr>
        <w:tab/>
        <w:t>(2)</w:t>
      </w:r>
      <w:r w:rsidRPr="00DD597F">
        <w:rPr>
          <w:sz w:val="24"/>
          <w:szCs w:val="24"/>
        </w:rPr>
        <w:tab/>
        <w:t>If the ACMA suspends an access-seeker’s registration under subsection (1) the ACMA may reactivate the access-seeker’s registration when the access-seeker pays the subscription fee.</w:t>
      </w:r>
    </w:p>
    <w:p w14:paraId="7B54654A" w14:textId="77777777" w:rsidR="00DD597F" w:rsidRPr="00DD597F" w:rsidRDefault="00DD597F" w:rsidP="00DD597F">
      <w:pPr>
        <w:pStyle w:val="subsection"/>
        <w:rPr>
          <w:sz w:val="24"/>
          <w:szCs w:val="24"/>
        </w:rPr>
      </w:pPr>
      <w:r w:rsidRPr="00DD597F">
        <w:rPr>
          <w:sz w:val="24"/>
          <w:szCs w:val="24"/>
        </w:rPr>
        <w:tab/>
        <w:t>(3)</w:t>
      </w:r>
      <w:r w:rsidRPr="00DD597F">
        <w:rPr>
          <w:sz w:val="24"/>
          <w:szCs w:val="24"/>
        </w:rPr>
        <w:tab/>
        <w:t>If an access-seeker’s registration is reactivated under subsection (2), the subscription period for any subscriptions held by the access-seeker subject to a suspension will not be affected by the suspension.</w:t>
      </w:r>
    </w:p>
    <w:p w14:paraId="6FBEB174" w14:textId="77777777" w:rsidR="00DD597F" w:rsidRPr="00DD597F" w:rsidRDefault="00DD597F" w:rsidP="00DD597F">
      <w:pPr>
        <w:pStyle w:val="subsection"/>
        <w:rPr>
          <w:sz w:val="24"/>
          <w:szCs w:val="24"/>
        </w:rPr>
      </w:pPr>
      <w:r w:rsidRPr="00DD597F">
        <w:rPr>
          <w:sz w:val="24"/>
          <w:szCs w:val="24"/>
        </w:rPr>
        <w:tab/>
        <w:t>(4)</w:t>
      </w:r>
      <w:r w:rsidRPr="00DD597F">
        <w:rPr>
          <w:sz w:val="24"/>
          <w:szCs w:val="24"/>
        </w:rPr>
        <w:tab/>
        <w:t>The ACMA may suspend an access</w:t>
      </w:r>
      <w:r w:rsidRPr="00DD597F">
        <w:rPr>
          <w:sz w:val="24"/>
          <w:szCs w:val="24"/>
        </w:rPr>
        <w:noBreakHyphen/>
        <w:t>seeker’s registration without notice to the access-seeker in exceptional circumstances, including where there is a suspected misuse of an account, potential fraud, or issues with the access-</w:t>
      </w:r>
      <w:r w:rsidRPr="00DD597F">
        <w:rPr>
          <w:sz w:val="24"/>
          <w:szCs w:val="24"/>
        </w:rPr>
        <w:lastRenderedPageBreak/>
        <w:t>seeker’s account which may affect the operation or security of the Register.</w:t>
      </w:r>
    </w:p>
    <w:p w14:paraId="01AAACCD" w14:textId="786F20EB" w:rsidR="006159E6" w:rsidRPr="00E72886" w:rsidRDefault="00DD597F" w:rsidP="00E72886">
      <w:pPr>
        <w:pStyle w:val="notemargin"/>
        <w:ind w:left="1429"/>
      </w:pPr>
      <w:r w:rsidRPr="00FE0719">
        <w:t>Not</w:t>
      </w:r>
      <w:r>
        <w:t>e:</w:t>
      </w:r>
      <w:r>
        <w:tab/>
      </w:r>
      <w:r w:rsidRPr="00201D56">
        <w:t xml:space="preserve">Under subsection </w:t>
      </w:r>
      <w:r w:rsidR="00C0420A" w:rsidRPr="00201D56">
        <w:t xml:space="preserve">7(3) </w:t>
      </w:r>
      <w:r w:rsidRPr="00201D56">
        <w:t>of the</w:t>
      </w:r>
      <w:r w:rsidRPr="00201D56">
        <w:rPr>
          <w:i/>
        </w:rPr>
        <w:t xml:space="preserve"> Do Not Call Register (Acces</w:t>
      </w:r>
      <w:r w:rsidR="00DC46A8" w:rsidRPr="00201D56">
        <w:rPr>
          <w:i/>
        </w:rPr>
        <w:t>s to Register) Determination 201</w:t>
      </w:r>
      <w:r w:rsidRPr="00201D56">
        <w:rPr>
          <w:i/>
        </w:rPr>
        <w:t>7</w:t>
      </w:r>
      <w:r w:rsidRPr="00201D56">
        <w:t>, an</w:t>
      </w:r>
      <w:r w:rsidRPr="00FE0719">
        <w:t xml:space="preserve"> access-seeker must be registered with </w:t>
      </w:r>
      <w:r w:rsidR="00D03E0F">
        <w:t xml:space="preserve">the </w:t>
      </w:r>
      <w:r w:rsidRPr="00FE0719">
        <w:t>ACMA to be eligible to</w:t>
      </w:r>
      <w:r>
        <w:t xml:space="preserve"> </w:t>
      </w:r>
      <w:r w:rsidRPr="00FE0719">
        <w:t>submit a list of Australian numbers for checking against the register. Suspending the</w:t>
      </w:r>
      <w:r>
        <w:t xml:space="preserve"> </w:t>
      </w:r>
      <w:r w:rsidRPr="00FE0719">
        <w:t>access-seeker’s registration will prevent the access-seeker from submitting a list of</w:t>
      </w:r>
      <w:r>
        <w:t xml:space="preserve"> </w:t>
      </w:r>
      <w:r w:rsidRPr="00FE0719">
        <w:t>Australian numbers for checking against the register.</w:t>
      </w:r>
      <w:r w:rsidRPr="00FE0719" w:rsidDel="00D46DAA">
        <w:t xml:space="preserve"> </w:t>
      </w:r>
    </w:p>
    <w:p w14:paraId="0BB3D91E" w14:textId="77777777" w:rsidR="006159E6" w:rsidRPr="00201D56" w:rsidRDefault="00C46528" w:rsidP="006159E6">
      <w:pPr>
        <w:pStyle w:val="HR"/>
        <w:rPr>
          <w:rFonts w:ascii="Times New Roman" w:hAnsi="Times New Roman"/>
          <w:sz w:val="28"/>
          <w:szCs w:val="28"/>
        </w:rPr>
      </w:pPr>
      <w:r w:rsidRPr="00201D56">
        <w:rPr>
          <w:rStyle w:val="CharSectno"/>
          <w:rFonts w:ascii="Times New Roman" w:hAnsi="Times New Roman"/>
          <w:sz w:val="28"/>
          <w:szCs w:val="28"/>
        </w:rPr>
        <w:t>12</w:t>
      </w:r>
      <w:r w:rsidR="009B5DD1" w:rsidRPr="00201D56">
        <w:rPr>
          <w:rFonts w:ascii="Times New Roman" w:hAnsi="Times New Roman"/>
          <w:sz w:val="28"/>
          <w:szCs w:val="28"/>
        </w:rPr>
        <w:tab/>
        <w:t>Refunds</w:t>
      </w:r>
    </w:p>
    <w:p w14:paraId="0D9D0090" w14:textId="77777777" w:rsidR="00707918" w:rsidRDefault="009B5DD1" w:rsidP="006055D1">
      <w:pPr>
        <w:pStyle w:val="subsection"/>
        <w:tabs>
          <w:tab w:val="clear" w:pos="1021"/>
          <w:tab w:val="right" w:pos="851"/>
        </w:tabs>
        <w:ind w:left="993" w:hanging="1135"/>
      </w:pPr>
      <w:r>
        <w:tab/>
      </w:r>
      <w:r w:rsidR="006159E6" w:rsidRPr="006F4055">
        <w:tab/>
      </w:r>
      <w:r>
        <w:t xml:space="preserve">The </w:t>
      </w:r>
      <w:r w:rsidRPr="000B5254">
        <w:t>ACMA may, on application made by the access</w:t>
      </w:r>
      <w:r w:rsidRPr="000B5254">
        <w:noBreakHyphen/>
        <w:t>seeker, refund any part of the fee for a service provided under subsection 19(2) of the Act.</w:t>
      </w:r>
    </w:p>
    <w:p w14:paraId="10E8232C" w14:textId="349A0CA7" w:rsidR="00AF3759" w:rsidRDefault="00AF3759">
      <w:pPr>
        <w:spacing w:after="160" w:line="259" w:lineRule="auto"/>
        <w:rPr>
          <w:sz w:val="22"/>
        </w:rPr>
      </w:pPr>
      <w:r>
        <w:br w:type="page"/>
      </w:r>
    </w:p>
    <w:p w14:paraId="14E428F4" w14:textId="4BEF6463" w:rsidR="00AF3759" w:rsidRDefault="00AF3759" w:rsidP="006055D1">
      <w:pPr>
        <w:pStyle w:val="subsection"/>
        <w:tabs>
          <w:tab w:val="clear" w:pos="1021"/>
          <w:tab w:val="right" w:pos="851"/>
        </w:tabs>
        <w:ind w:left="993" w:hanging="1135"/>
        <w:rPr>
          <w:b/>
          <w:kern w:val="28"/>
          <w:sz w:val="32"/>
          <w:szCs w:val="32"/>
        </w:rPr>
      </w:pPr>
      <w:r>
        <w:rPr>
          <w:b/>
          <w:kern w:val="28"/>
          <w:sz w:val="32"/>
          <w:szCs w:val="32"/>
        </w:rPr>
        <w:lastRenderedPageBreak/>
        <w:t>Part 3</w:t>
      </w:r>
      <w:r w:rsidRPr="00516D99">
        <w:rPr>
          <w:b/>
          <w:kern w:val="28"/>
          <w:sz w:val="32"/>
          <w:szCs w:val="32"/>
        </w:rPr>
        <w:t xml:space="preserve">— </w:t>
      </w:r>
      <w:r>
        <w:rPr>
          <w:b/>
          <w:kern w:val="28"/>
          <w:sz w:val="32"/>
          <w:szCs w:val="32"/>
        </w:rPr>
        <w:t>Savings and Transitional Arrangements</w:t>
      </w:r>
    </w:p>
    <w:p w14:paraId="3C97A1FD" w14:textId="3B4716FA" w:rsidR="00AF3759" w:rsidRPr="00201D56" w:rsidRDefault="007F278A" w:rsidP="00AF3759">
      <w:pPr>
        <w:pStyle w:val="HR"/>
        <w:rPr>
          <w:rFonts w:ascii="Times New Roman" w:hAnsi="Times New Roman"/>
          <w:sz w:val="28"/>
          <w:szCs w:val="28"/>
        </w:rPr>
      </w:pPr>
      <w:r>
        <w:rPr>
          <w:rStyle w:val="CharSectno"/>
          <w:rFonts w:ascii="Times New Roman" w:hAnsi="Times New Roman"/>
          <w:sz w:val="28"/>
          <w:szCs w:val="28"/>
        </w:rPr>
        <w:t>13</w:t>
      </w:r>
      <w:r w:rsidR="00AF3759" w:rsidRPr="00201D56">
        <w:rPr>
          <w:rFonts w:ascii="Times New Roman" w:hAnsi="Times New Roman"/>
          <w:sz w:val="28"/>
          <w:szCs w:val="28"/>
        </w:rPr>
        <w:tab/>
      </w:r>
      <w:r w:rsidR="00B64DDD">
        <w:rPr>
          <w:rFonts w:ascii="Times New Roman" w:hAnsi="Times New Roman"/>
          <w:sz w:val="28"/>
          <w:szCs w:val="28"/>
        </w:rPr>
        <w:t>Application of Part 3</w:t>
      </w:r>
    </w:p>
    <w:p w14:paraId="202E31D7" w14:textId="27DC2E2A" w:rsidR="00AF3759" w:rsidRPr="00DD597F" w:rsidRDefault="00AF3759" w:rsidP="00A850AF">
      <w:pPr>
        <w:pStyle w:val="subsection"/>
        <w:tabs>
          <w:tab w:val="clear" w:pos="1021"/>
        </w:tabs>
        <w:ind w:hanging="850"/>
        <w:rPr>
          <w:sz w:val="24"/>
          <w:szCs w:val="24"/>
        </w:rPr>
      </w:pPr>
      <w:r w:rsidRPr="006F4055">
        <w:tab/>
      </w:r>
      <w:r w:rsidR="007F278A">
        <w:rPr>
          <w:sz w:val="24"/>
          <w:szCs w:val="24"/>
        </w:rPr>
        <w:t xml:space="preserve">This </w:t>
      </w:r>
      <w:r w:rsidR="00A850AF">
        <w:rPr>
          <w:sz w:val="24"/>
          <w:szCs w:val="24"/>
        </w:rPr>
        <w:t xml:space="preserve">Part applies to a subscription </w:t>
      </w:r>
      <w:r w:rsidR="00B64DDD">
        <w:rPr>
          <w:sz w:val="24"/>
          <w:szCs w:val="24"/>
        </w:rPr>
        <w:t>held by</w:t>
      </w:r>
      <w:r w:rsidR="00A850AF">
        <w:rPr>
          <w:sz w:val="24"/>
          <w:szCs w:val="24"/>
        </w:rPr>
        <w:t xml:space="preserve"> a</w:t>
      </w:r>
      <w:r w:rsidR="00222AE1">
        <w:rPr>
          <w:sz w:val="24"/>
          <w:szCs w:val="24"/>
        </w:rPr>
        <w:t>n</w:t>
      </w:r>
      <w:r w:rsidR="00A850AF" w:rsidRPr="00F86F8C">
        <w:rPr>
          <w:sz w:val="24"/>
          <w:szCs w:val="24"/>
        </w:rPr>
        <w:t xml:space="preserve"> access-seeker</w:t>
      </w:r>
      <w:r w:rsidR="00A850AF">
        <w:rPr>
          <w:sz w:val="24"/>
          <w:szCs w:val="24"/>
        </w:rPr>
        <w:t xml:space="preserve"> under the </w:t>
      </w:r>
      <w:r w:rsidR="00A850AF" w:rsidRPr="00A850AF">
        <w:rPr>
          <w:i/>
          <w:sz w:val="24"/>
          <w:szCs w:val="24"/>
        </w:rPr>
        <w:t xml:space="preserve">Do Not Call Register </w:t>
      </w:r>
      <w:r w:rsidR="00CF46C9">
        <w:rPr>
          <w:i/>
          <w:sz w:val="24"/>
          <w:szCs w:val="24"/>
        </w:rPr>
        <w:t>(</w:t>
      </w:r>
      <w:r w:rsidR="00A850AF" w:rsidRPr="00A850AF">
        <w:rPr>
          <w:i/>
          <w:sz w:val="24"/>
          <w:szCs w:val="24"/>
        </w:rPr>
        <w:t>Access to Register) Determination 2007</w:t>
      </w:r>
      <w:r w:rsidR="00A850AF">
        <w:rPr>
          <w:sz w:val="24"/>
          <w:szCs w:val="24"/>
        </w:rPr>
        <w:t xml:space="preserve"> (</w:t>
      </w:r>
      <w:r w:rsidR="00A850AF" w:rsidRPr="00F86F8C">
        <w:rPr>
          <w:b/>
          <w:i/>
          <w:sz w:val="24"/>
          <w:szCs w:val="24"/>
        </w:rPr>
        <w:t>the old Determination</w:t>
      </w:r>
      <w:r w:rsidR="00A850AF">
        <w:rPr>
          <w:sz w:val="24"/>
          <w:szCs w:val="24"/>
        </w:rPr>
        <w:t>)</w:t>
      </w:r>
      <w:r w:rsidR="00B64DDD">
        <w:rPr>
          <w:sz w:val="24"/>
          <w:szCs w:val="24"/>
        </w:rPr>
        <w:t>.</w:t>
      </w:r>
      <w:r w:rsidR="00A850AF">
        <w:rPr>
          <w:sz w:val="24"/>
          <w:szCs w:val="24"/>
        </w:rPr>
        <w:t xml:space="preserve"> </w:t>
      </w:r>
    </w:p>
    <w:p w14:paraId="51D89238" w14:textId="5C837AAF" w:rsidR="00A850AF" w:rsidRPr="00201D56" w:rsidRDefault="00A850AF" w:rsidP="00A850AF">
      <w:pPr>
        <w:pStyle w:val="HR"/>
        <w:rPr>
          <w:rFonts w:ascii="Times New Roman" w:hAnsi="Times New Roman"/>
          <w:sz w:val="28"/>
          <w:szCs w:val="28"/>
        </w:rPr>
      </w:pPr>
      <w:r>
        <w:rPr>
          <w:rStyle w:val="CharSectno"/>
          <w:rFonts w:ascii="Times New Roman" w:hAnsi="Times New Roman"/>
          <w:sz w:val="28"/>
          <w:szCs w:val="28"/>
        </w:rPr>
        <w:t>14</w:t>
      </w:r>
      <w:r w:rsidRPr="00201D56">
        <w:rPr>
          <w:rFonts w:ascii="Times New Roman" w:hAnsi="Times New Roman"/>
          <w:sz w:val="28"/>
          <w:szCs w:val="28"/>
        </w:rPr>
        <w:tab/>
      </w:r>
      <w:r w:rsidR="00B64DDD">
        <w:rPr>
          <w:rFonts w:ascii="Times New Roman" w:hAnsi="Times New Roman"/>
          <w:sz w:val="28"/>
          <w:szCs w:val="28"/>
        </w:rPr>
        <w:t>Continued effect of subscription under the old Determination</w:t>
      </w:r>
    </w:p>
    <w:p w14:paraId="7C6E57EA" w14:textId="783CC7E4" w:rsidR="00A850AF" w:rsidRPr="00DD597F" w:rsidRDefault="00A850AF" w:rsidP="00B64DDD">
      <w:pPr>
        <w:pStyle w:val="subsection"/>
        <w:rPr>
          <w:sz w:val="24"/>
          <w:szCs w:val="24"/>
        </w:rPr>
      </w:pPr>
      <w:r w:rsidRPr="006F4055">
        <w:tab/>
      </w:r>
      <w:r w:rsidRPr="00DD597F">
        <w:rPr>
          <w:sz w:val="24"/>
          <w:szCs w:val="24"/>
        </w:rPr>
        <w:t>(1)</w:t>
      </w:r>
      <w:r w:rsidRPr="00DD597F">
        <w:rPr>
          <w:sz w:val="24"/>
          <w:szCs w:val="24"/>
        </w:rPr>
        <w:tab/>
        <w:t xml:space="preserve"> </w:t>
      </w:r>
      <w:r w:rsidR="00125E5E">
        <w:rPr>
          <w:sz w:val="24"/>
          <w:szCs w:val="24"/>
        </w:rPr>
        <w:t>Subject to subsection (3), a</w:t>
      </w:r>
      <w:r w:rsidR="00B64DDD">
        <w:rPr>
          <w:sz w:val="24"/>
          <w:szCs w:val="24"/>
        </w:rPr>
        <w:t xml:space="preserve"> subscription held under the old Determination that is current immediately before the commencement of this Determination continues to be current under this Determination</w:t>
      </w:r>
      <w:r w:rsidRPr="00DD597F">
        <w:rPr>
          <w:sz w:val="24"/>
          <w:szCs w:val="24"/>
        </w:rPr>
        <w:t>.</w:t>
      </w:r>
    </w:p>
    <w:p w14:paraId="302FA997" w14:textId="2576436F" w:rsidR="00A850AF" w:rsidRDefault="00A850AF" w:rsidP="00A850AF">
      <w:pPr>
        <w:pStyle w:val="subsection"/>
        <w:rPr>
          <w:sz w:val="24"/>
          <w:szCs w:val="24"/>
        </w:rPr>
      </w:pPr>
      <w:r w:rsidRPr="00DD597F">
        <w:rPr>
          <w:sz w:val="24"/>
          <w:szCs w:val="24"/>
        </w:rPr>
        <w:tab/>
        <w:t>(2)</w:t>
      </w:r>
      <w:r w:rsidRPr="00DD597F">
        <w:rPr>
          <w:sz w:val="24"/>
          <w:szCs w:val="24"/>
        </w:rPr>
        <w:tab/>
      </w:r>
      <w:r w:rsidR="003325C5">
        <w:rPr>
          <w:sz w:val="24"/>
          <w:szCs w:val="24"/>
        </w:rPr>
        <w:t>The subscription type applicable to a subscription referred to in subsection (1) is the corresponding subscription type as was held under the old Determination</w:t>
      </w:r>
      <w:r w:rsidRPr="00DD597F">
        <w:rPr>
          <w:sz w:val="24"/>
          <w:szCs w:val="24"/>
        </w:rPr>
        <w:t>.</w:t>
      </w:r>
    </w:p>
    <w:p w14:paraId="1F8788CD" w14:textId="7E9D6F12" w:rsidR="00261F56" w:rsidRPr="00E72886" w:rsidRDefault="00261F56" w:rsidP="00261F56">
      <w:pPr>
        <w:pStyle w:val="notemargin"/>
        <w:ind w:left="1429"/>
      </w:pPr>
      <w:r w:rsidRPr="00FE0719">
        <w:t>Not</w:t>
      </w:r>
      <w:r>
        <w:t>e 1:</w:t>
      </w:r>
      <w:r>
        <w:tab/>
      </w:r>
      <w:r>
        <w:rPr>
          <w:szCs w:val="18"/>
        </w:rPr>
        <w:t>Subscription types are identified in the old Determination in column 1 of the table in subsection 4(1)</w:t>
      </w:r>
      <w:r w:rsidR="00222AE1">
        <w:rPr>
          <w:szCs w:val="18"/>
        </w:rPr>
        <w:t xml:space="preserve"> of the old Determination</w:t>
      </w:r>
      <w:r w:rsidRPr="00FE0719">
        <w:t>.</w:t>
      </w:r>
      <w:r w:rsidRPr="00FE0719" w:rsidDel="00D46DAA">
        <w:t xml:space="preserve"> </w:t>
      </w:r>
    </w:p>
    <w:p w14:paraId="2F89C9D1" w14:textId="28ABB080" w:rsidR="00A850AF" w:rsidRDefault="00A850AF" w:rsidP="002600C9">
      <w:pPr>
        <w:pStyle w:val="subsection"/>
        <w:rPr>
          <w:sz w:val="24"/>
          <w:szCs w:val="24"/>
        </w:rPr>
      </w:pPr>
      <w:r w:rsidRPr="00DD597F">
        <w:rPr>
          <w:sz w:val="24"/>
          <w:szCs w:val="24"/>
        </w:rPr>
        <w:tab/>
        <w:t>(3)</w:t>
      </w:r>
      <w:r w:rsidRPr="00DD597F">
        <w:rPr>
          <w:sz w:val="24"/>
          <w:szCs w:val="24"/>
        </w:rPr>
        <w:tab/>
      </w:r>
      <w:r w:rsidR="00125E5E">
        <w:rPr>
          <w:sz w:val="24"/>
          <w:szCs w:val="24"/>
        </w:rPr>
        <w:t xml:space="preserve">For the purposes of </w:t>
      </w:r>
      <w:r w:rsidR="002600C9">
        <w:rPr>
          <w:sz w:val="24"/>
          <w:szCs w:val="24"/>
        </w:rPr>
        <w:t>subsection 7(1), paragraph 8(3</w:t>
      </w:r>
      <w:proofErr w:type="gramStart"/>
      <w:r w:rsidR="002600C9">
        <w:rPr>
          <w:sz w:val="24"/>
          <w:szCs w:val="24"/>
        </w:rPr>
        <w:t>)(</w:t>
      </w:r>
      <w:proofErr w:type="gramEnd"/>
      <w:r w:rsidR="002600C9">
        <w:rPr>
          <w:sz w:val="24"/>
          <w:szCs w:val="24"/>
        </w:rPr>
        <w:t xml:space="preserve">a) and section </w:t>
      </w:r>
      <w:r w:rsidR="00125E5E">
        <w:rPr>
          <w:sz w:val="24"/>
          <w:szCs w:val="24"/>
        </w:rPr>
        <w:t>9, t</w:t>
      </w:r>
      <w:r w:rsidR="003325C5">
        <w:rPr>
          <w:sz w:val="24"/>
          <w:szCs w:val="24"/>
        </w:rPr>
        <w:t xml:space="preserve">he </w:t>
      </w:r>
      <w:r w:rsidR="00125E5E">
        <w:rPr>
          <w:sz w:val="24"/>
          <w:szCs w:val="24"/>
        </w:rPr>
        <w:t xml:space="preserve">commencement date for </w:t>
      </w:r>
      <w:r w:rsidR="003325C5">
        <w:rPr>
          <w:sz w:val="24"/>
          <w:szCs w:val="24"/>
        </w:rPr>
        <w:t>a subscription referred to in subsection (1)</w:t>
      </w:r>
      <w:r w:rsidR="00125E5E">
        <w:rPr>
          <w:sz w:val="24"/>
          <w:szCs w:val="24"/>
        </w:rPr>
        <w:t xml:space="preserve"> is the day that the subscription commenced under the old Determination</w:t>
      </w:r>
      <w:r w:rsidRPr="00DD597F">
        <w:rPr>
          <w:sz w:val="24"/>
          <w:szCs w:val="24"/>
        </w:rPr>
        <w:t>.</w:t>
      </w:r>
    </w:p>
    <w:p w14:paraId="1EA28300" w14:textId="336B38A7" w:rsidR="006F198D" w:rsidRDefault="00125E5E" w:rsidP="00A850AF">
      <w:pPr>
        <w:pStyle w:val="subsection"/>
        <w:rPr>
          <w:sz w:val="24"/>
          <w:szCs w:val="24"/>
        </w:rPr>
      </w:pPr>
      <w:r>
        <w:rPr>
          <w:sz w:val="24"/>
          <w:szCs w:val="24"/>
        </w:rPr>
        <w:tab/>
      </w:r>
      <w:r w:rsidR="002600C9">
        <w:rPr>
          <w:sz w:val="24"/>
          <w:szCs w:val="24"/>
        </w:rPr>
        <w:t>(4</w:t>
      </w:r>
      <w:r>
        <w:rPr>
          <w:sz w:val="24"/>
          <w:szCs w:val="24"/>
        </w:rPr>
        <w:t>)</w:t>
      </w:r>
      <w:r>
        <w:rPr>
          <w:sz w:val="24"/>
          <w:szCs w:val="24"/>
        </w:rPr>
        <w:tab/>
      </w:r>
      <w:r w:rsidR="006F198D">
        <w:rPr>
          <w:sz w:val="24"/>
          <w:szCs w:val="24"/>
        </w:rPr>
        <w:t>Current o</w:t>
      </w:r>
      <w:r w:rsidR="00261F56">
        <w:rPr>
          <w:sz w:val="24"/>
          <w:szCs w:val="24"/>
        </w:rPr>
        <w:t xml:space="preserve">rders for service </w:t>
      </w:r>
      <w:r w:rsidR="006F198D">
        <w:rPr>
          <w:sz w:val="24"/>
          <w:szCs w:val="24"/>
        </w:rPr>
        <w:t>under</w:t>
      </w:r>
      <w:r w:rsidR="00261F56">
        <w:rPr>
          <w:sz w:val="24"/>
          <w:szCs w:val="24"/>
        </w:rPr>
        <w:t xml:space="preserve"> section 7 of the old Determination</w:t>
      </w:r>
      <w:r w:rsidR="006F198D">
        <w:rPr>
          <w:sz w:val="24"/>
          <w:szCs w:val="24"/>
        </w:rPr>
        <w:t xml:space="preserve"> that have not </w:t>
      </w:r>
      <w:r w:rsidR="00261F56">
        <w:rPr>
          <w:sz w:val="24"/>
          <w:szCs w:val="24"/>
        </w:rPr>
        <w:t xml:space="preserve">been fulfilled </w:t>
      </w:r>
      <w:r w:rsidR="006F198D">
        <w:rPr>
          <w:sz w:val="24"/>
          <w:szCs w:val="24"/>
        </w:rPr>
        <w:t xml:space="preserve">immediately </w:t>
      </w:r>
      <w:r w:rsidR="00261F56">
        <w:rPr>
          <w:sz w:val="24"/>
          <w:szCs w:val="24"/>
        </w:rPr>
        <w:t xml:space="preserve">prior to the commencement of </w:t>
      </w:r>
      <w:r w:rsidR="006F198D">
        <w:rPr>
          <w:sz w:val="24"/>
          <w:szCs w:val="24"/>
        </w:rPr>
        <w:t>this Determination are:</w:t>
      </w:r>
    </w:p>
    <w:p w14:paraId="32429C7C" w14:textId="1A8E6BA8" w:rsidR="006F198D" w:rsidRDefault="006F198D" w:rsidP="006F198D">
      <w:pPr>
        <w:pStyle w:val="subsection"/>
        <w:tabs>
          <w:tab w:val="clear" w:pos="1021"/>
          <w:tab w:val="right" w:pos="1418"/>
        </w:tabs>
        <w:ind w:left="1418" w:hanging="425"/>
        <w:rPr>
          <w:sz w:val="24"/>
          <w:szCs w:val="24"/>
        </w:rPr>
      </w:pPr>
      <w:r>
        <w:rPr>
          <w:sz w:val="24"/>
          <w:szCs w:val="24"/>
        </w:rPr>
        <w:t>(a)</w:t>
      </w:r>
      <w:r>
        <w:rPr>
          <w:sz w:val="24"/>
          <w:szCs w:val="24"/>
        </w:rPr>
        <w:tab/>
        <w:t xml:space="preserve">   </w:t>
      </w:r>
      <w:proofErr w:type="gramStart"/>
      <w:r>
        <w:rPr>
          <w:sz w:val="24"/>
          <w:szCs w:val="24"/>
        </w:rPr>
        <w:t>to</w:t>
      </w:r>
      <w:proofErr w:type="gramEnd"/>
      <w:r>
        <w:rPr>
          <w:sz w:val="24"/>
          <w:szCs w:val="24"/>
        </w:rPr>
        <w:t xml:space="preserve"> be treated as orders for service under subsection 10(1) of this Determination; and</w:t>
      </w:r>
    </w:p>
    <w:p w14:paraId="151E346A" w14:textId="3C59B56D" w:rsidR="00125E5E" w:rsidRDefault="006F198D" w:rsidP="006F198D">
      <w:pPr>
        <w:pStyle w:val="subsection"/>
        <w:tabs>
          <w:tab w:val="clear" w:pos="1021"/>
          <w:tab w:val="right" w:pos="1418"/>
          <w:tab w:val="right" w:pos="1701"/>
        </w:tabs>
        <w:ind w:left="1418" w:hanging="425"/>
        <w:rPr>
          <w:sz w:val="24"/>
          <w:szCs w:val="24"/>
        </w:rPr>
      </w:pPr>
      <w:r>
        <w:rPr>
          <w:sz w:val="24"/>
          <w:szCs w:val="24"/>
        </w:rPr>
        <w:tab/>
        <w:t xml:space="preserve">(b)  </w:t>
      </w:r>
      <w:proofErr w:type="gramStart"/>
      <w:r>
        <w:rPr>
          <w:sz w:val="24"/>
          <w:szCs w:val="24"/>
        </w:rPr>
        <w:t>for</w:t>
      </w:r>
      <w:proofErr w:type="gramEnd"/>
      <w:r>
        <w:rPr>
          <w:sz w:val="24"/>
          <w:szCs w:val="24"/>
        </w:rPr>
        <w:t xml:space="preserve"> the purposes of subsection 10(2), considered to have been submitted on the day the order was submitted under the old Determination</w:t>
      </w:r>
      <w:r w:rsidR="00261F56">
        <w:rPr>
          <w:sz w:val="24"/>
          <w:szCs w:val="24"/>
        </w:rPr>
        <w:t>.</w:t>
      </w:r>
    </w:p>
    <w:p w14:paraId="78D7057C" w14:textId="44E3BA94" w:rsidR="00261F56" w:rsidRPr="00DD597F" w:rsidRDefault="006F198D" w:rsidP="00A850AF">
      <w:pPr>
        <w:pStyle w:val="subsection"/>
        <w:rPr>
          <w:sz w:val="24"/>
          <w:szCs w:val="24"/>
        </w:rPr>
      </w:pPr>
      <w:r>
        <w:rPr>
          <w:sz w:val="24"/>
          <w:szCs w:val="24"/>
        </w:rPr>
        <w:tab/>
      </w:r>
      <w:r w:rsidRPr="00DD597F">
        <w:rPr>
          <w:sz w:val="24"/>
          <w:szCs w:val="24"/>
        </w:rPr>
        <w:t>(</w:t>
      </w:r>
      <w:r w:rsidR="002600C9">
        <w:rPr>
          <w:sz w:val="24"/>
          <w:szCs w:val="24"/>
        </w:rPr>
        <w:t>5</w:t>
      </w:r>
      <w:r w:rsidRPr="00DD597F">
        <w:rPr>
          <w:sz w:val="24"/>
          <w:szCs w:val="24"/>
        </w:rPr>
        <w:t>)</w:t>
      </w:r>
      <w:r w:rsidRPr="00DD597F">
        <w:rPr>
          <w:sz w:val="24"/>
          <w:szCs w:val="24"/>
        </w:rPr>
        <w:tab/>
      </w:r>
      <w:r>
        <w:rPr>
          <w:sz w:val="24"/>
          <w:szCs w:val="24"/>
        </w:rPr>
        <w:t xml:space="preserve">If a subscription referred to in subsection (1) was subject to a suspension under subsection 8(1) of the old Determination immediately prior to the commencement of this </w:t>
      </w:r>
      <w:proofErr w:type="gramStart"/>
      <w:r>
        <w:rPr>
          <w:sz w:val="24"/>
          <w:szCs w:val="24"/>
        </w:rPr>
        <w:t>Determination, that</w:t>
      </w:r>
      <w:proofErr w:type="gramEnd"/>
      <w:r>
        <w:rPr>
          <w:sz w:val="24"/>
          <w:szCs w:val="24"/>
        </w:rPr>
        <w:t xml:space="preserve"> suspension continues to</w:t>
      </w:r>
      <w:r w:rsidR="00FB32B6">
        <w:rPr>
          <w:sz w:val="24"/>
          <w:szCs w:val="24"/>
        </w:rPr>
        <w:t xml:space="preserve"> </w:t>
      </w:r>
      <w:r>
        <w:rPr>
          <w:sz w:val="24"/>
          <w:szCs w:val="24"/>
        </w:rPr>
        <w:t xml:space="preserve">have effect as </w:t>
      </w:r>
      <w:r w:rsidR="00222AE1">
        <w:rPr>
          <w:sz w:val="24"/>
          <w:szCs w:val="24"/>
        </w:rPr>
        <w:t>if</w:t>
      </w:r>
      <w:r>
        <w:rPr>
          <w:sz w:val="24"/>
          <w:szCs w:val="24"/>
        </w:rPr>
        <w:t xml:space="preserve"> it were imposed under subsection 11(1) of this Determination.</w:t>
      </w:r>
    </w:p>
    <w:p w14:paraId="69309044" w14:textId="6F7997E1" w:rsidR="00FB32B6" w:rsidRPr="00DD597F" w:rsidRDefault="00FB32B6" w:rsidP="00FB32B6">
      <w:pPr>
        <w:pStyle w:val="subsection"/>
        <w:tabs>
          <w:tab w:val="clear" w:pos="1021"/>
          <w:tab w:val="right" w:pos="1701"/>
        </w:tabs>
        <w:ind w:hanging="425"/>
        <w:rPr>
          <w:sz w:val="24"/>
          <w:szCs w:val="24"/>
        </w:rPr>
      </w:pPr>
      <w:r w:rsidRPr="00DD597F">
        <w:rPr>
          <w:sz w:val="24"/>
          <w:szCs w:val="24"/>
        </w:rPr>
        <w:t>(</w:t>
      </w:r>
      <w:r w:rsidR="002600C9">
        <w:rPr>
          <w:sz w:val="24"/>
          <w:szCs w:val="24"/>
        </w:rPr>
        <w:t>6</w:t>
      </w:r>
      <w:r w:rsidRPr="00DD597F">
        <w:rPr>
          <w:sz w:val="24"/>
          <w:szCs w:val="24"/>
        </w:rPr>
        <w:t>)</w:t>
      </w:r>
      <w:r w:rsidRPr="00DD597F">
        <w:rPr>
          <w:sz w:val="24"/>
          <w:szCs w:val="24"/>
        </w:rPr>
        <w:tab/>
      </w:r>
      <w:r>
        <w:rPr>
          <w:sz w:val="24"/>
          <w:szCs w:val="24"/>
        </w:rPr>
        <w:t xml:space="preserve">If a subscription referred to in subsection (1) was subject to a suspension under subsection 8(4) of the old Determination immediately prior to the commencement of this </w:t>
      </w:r>
      <w:proofErr w:type="gramStart"/>
      <w:r>
        <w:rPr>
          <w:sz w:val="24"/>
          <w:szCs w:val="24"/>
        </w:rPr>
        <w:t>Determination, that</w:t>
      </w:r>
      <w:proofErr w:type="gramEnd"/>
      <w:r>
        <w:rPr>
          <w:sz w:val="24"/>
          <w:szCs w:val="24"/>
        </w:rPr>
        <w:t xml:space="preserve"> suspension continues to</w:t>
      </w:r>
      <w:r w:rsidR="002600C9">
        <w:rPr>
          <w:sz w:val="24"/>
          <w:szCs w:val="24"/>
        </w:rPr>
        <w:t xml:space="preserve"> </w:t>
      </w:r>
      <w:r>
        <w:rPr>
          <w:sz w:val="24"/>
          <w:szCs w:val="24"/>
        </w:rPr>
        <w:t xml:space="preserve">have effect as </w:t>
      </w:r>
      <w:r w:rsidR="00222AE1">
        <w:rPr>
          <w:sz w:val="24"/>
          <w:szCs w:val="24"/>
        </w:rPr>
        <w:t>if</w:t>
      </w:r>
      <w:r>
        <w:rPr>
          <w:sz w:val="24"/>
          <w:szCs w:val="24"/>
        </w:rPr>
        <w:t xml:space="preserve"> it were imposed under subsection 11(4) of this Determination.</w:t>
      </w:r>
    </w:p>
    <w:p w14:paraId="273AD129" w14:textId="2C5F457C" w:rsidR="00AF3759" w:rsidRPr="00DD597F" w:rsidRDefault="00AF3759" w:rsidP="00AF3759">
      <w:pPr>
        <w:pStyle w:val="subsection"/>
        <w:rPr>
          <w:sz w:val="24"/>
          <w:szCs w:val="24"/>
        </w:rPr>
      </w:pPr>
    </w:p>
    <w:p w14:paraId="39EB1869" w14:textId="77777777" w:rsidR="00AF3759" w:rsidRDefault="00AF3759" w:rsidP="006055D1">
      <w:pPr>
        <w:pStyle w:val="subsection"/>
        <w:tabs>
          <w:tab w:val="clear" w:pos="1021"/>
          <w:tab w:val="right" w:pos="851"/>
        </w:tabs>
        <w:ind w:left="993" w:hanging="1135"/>
      </w:pPr>
    </w:p>
    <w:sectPr w:rsidR="00AF3759" w:rsidSect="00120E6D">
      <w:headerReference w:type="first" r:id="rId20"/>
      <w:pgSz w:w="11906" w:h="16838" w:code="9"/>
      <w:pgMar w:top="1440" w:right="1797" w:bottom="1440" w:left="1797" w:header="709" w:footer="709" w:gutter="0"/>
      <w:pgNumType w:start="2"/>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67820" w14:textId="77777777" w:rsidR="00953948" w:rsidRDefault="00953948" w:rsidP="006159E6">
      <w:r>
        <w:separator/>
      </w:r>
    </w:p>
  </w:endnote>
  <w:endnote w:type="continuationSeparator" w:id="0">
    <w:p w14:paraId="35AFCDD6" w14:textId="77777777" w:rsidR="00953948" w:rsidRDefault="00953948" w:rsidP="0061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AA060" w14:textId="77777777" w:rsidR="006159E6" w:rsidRDefault="006159E6">
    <w:pPr>
      <w:spacing w:line="200" w:lineRule="exact"/>
    </w:pPr>
  </w:p>
  <w:tbl>
    <w:tblPr>
      <w:tblW w:w="0" w:type="auto"/>
      <w:jc w:val="center"/>
      <w:tblBorders>
        <w:top w:val="single" w:sz="4" w:space="0" w:color="auto"/>
      </w:tblBorders>
      <w:tblLayout w:type="fixed"/>
      <w:tblCellMar>
        <w:left w:w="42" w:type="dxa"/>
        <w:right w:w="42" w:type="dxa"/>
      </w:tblCellMar>
      <w:tblLook w:val="0000" w:firstRow="0" w:lastRow="0" w:firstColumn="0" w:lastColumn="0" w:noHBand="0" w:noVBand="0"/>
    </w:tblPr>
    <w:tblGrid>
      <w:gridCol w:w="1758"/>
      <w:gridCol w:w="4876"/>
      <w:gridCol w:w="1758"/>
    </w:tblGrid>
    <w:tr w:rsidR="006159E6" w14:paraId="70B0485A" w14:textId="77777777">
      <w:trPr>
        <w:trHeight w:val="70"/>
        <w:jc w:val="center"/>
      </w:trPr>
      <w:tc>
        <w:tcPr>
          <w:tcW w:w="1758" w:type="dxa"/>
        </w:tcPr>
        <w:p w14:paraId="4F676927" w14:textId="77777777" w:rsidR="006159E6" w:rsidRDefault="006159E6">
          <w:pPr>
            <w:spacing w:line="240" w:lineRule="exact"/>
            <w:ind w:left="-2"/>
            <w:rPr>
              <w:rFonts w:ascii="Arial" w:hAnsi="Arial"/>
              <w:sz w:val="22"/>
            </w:rPr>
          </w:pPr>
          <w:r>
            <w:rPr>
              <w:rStyle w:val="PageNumber"/>
              <w:rFonts w:ascii="Arial" w:hAnsi="Arial"/>
              <w:sz w:val="22"/>
            </w:rPr>
            <w:fldChar w:fldCharType="begin"/>
          </w:r>
          <w:r>
            <w:rPr>
              <w:rStyle w:val="PageNumber"/>
              <w:rFonts w:ascii="Arial" w:hAnsi="Arial"/>
              <w:sz w:val="22"/>
            </w:rPr>
            <w:instrText xml:space="preserve">PAGE  </w:instrText>
          </w:r>
          <w:r>
            <w:rPr>
              <w:rStyle w:val="PageNumber"/>
              <w:rFonts w:ascii="Arial" w:hAnsi="Arial"/>
              <w:sz w:val="22"/>
            </w:rPr>
            <w:fldChar w:fldCharType="separate"/>
          </w:r>
          <w:r w:rsidR="00C20E12">
            <w:rPr>
              <w:rStyle w:val="PageNumber"/>
              <w:rFonts w:ascii="Arial" w:hAnsi="Arial"/>
              <w:noProof/>
              <w:sz w:val="22"/>
            </w:rPr>
            <w:t>6</w:t>
          </w:r>
          <w:r>
            <w:rPr>
              <w:rStyle w:val="PageNumber"/>
              <w:rFonts w:ascii="Arial" w:hAnsi="Arial"/>
              <w:sz w:val="22"/>
            </w:rPr>
            <w:fldChar w:fldCharType="end"/>
          </w:r>
        </w:p>
      </w:tc>
      <w:tc>
        <w:tcPr>
          <w:tcW w:w="4876" w:type="dxa"/>
        </w:tcPr>
        <w:p w14:paraId="01E55D76" w14:textId="77777777" w:rsidR="002600C9" w:rsidRDefault="002B0BDA" w:rsidP="006159E6">
          <w:pPr>
            <w:pStyle w:val="Title"/>
            <w:spacing w:before="480"/>
          </w:pPr>
          <w:r>
            <w:fldChar w:fldCharType="begin"/>
          </w:r>
          <w:r>
            <w:instrText xml:space="preserve"> REF citation  \* charformat </w:instrText>
          </w:r>
          <w:r>
            <w:fldChar w:fldCharType="separate"/>
          </w:r>
          <w:r w:rsidR="002600C9">
            <w:rPr>
              <w:noProof/>
              <w:lang w:eastAsia="ko-KR"/>
            </w:rPr>
            <w:drawing>
              <wp:inline distT="0" distB="0" distL="0" distR="0" wp14:anchorId="5B2B424F" wp14:editId="259BAF86">
                <wp:extent cx="1420495" cy="1103630"/>
                <wp:effectExtent l="0" t="0" r="825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1103630"/>
                        </a:xfrm>
                        <a:prstGeom prst="rect">
                          <a:avLst/>
                        </a:prstGeom>
                        <a:noFill/>
                      </pic:spPr>
                    </pic:pic>
                  </a:graphicData>
                </a:graphic>
              </wp:inline>
            </w:drawing>
          </w:r>
        </w:p>
        <w:p w14:paraId="3EA11D68" w14:textId="074A7202" w:rsidR="006159E6" w:rsidRDefault="002600C9">
          <w:pPr>
            <w:pStyle w:val="Footer"/>
          </w:pPr>
          <w:r w:rsidRPr="002600C9">
            <w:t>Do Not Call Register (Access Fees) Determination 20</w:t>
          </w:r>
          <w:r w:rsidR="002B0BDA">
            <w:fldChar w:fldCharType="end"/>
          </w:r>
        </w:p>
      </w:tc>
      <w:tc>
        <w:tcPr>
          <w:tcW w:w="1758" w:type="dxa"/>
        </w:tcPr>
        <w:p w14:paraId="45F204D5" w14:textId="77777777" w:rsidR="006159E6" w:rsidRDefault="006159E6">
          <w:pPr>
            <w:spacing w:line="240" w:lineRule="exact"/>
            <w:jc w:val="right"/>
          </w:pPr>
        </w:p>
      </w:tc>
    </w:tr>
  </w:tbl>
  <w:p w14:paraId="35D490E5" w14:textId="77777777" w:rsidR="006159E6" w:rsidRDefault="006159E6" w:rsidP="006159E6">
    <w:pPr>
      <w:pStyle w:val="FooterDra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162A8" w14:textId="77777777" w:rsidR="006A6B19" w:rsidRDefault="006A6B19" w:rsidP="006A6B19">
    <w:pPr>
      <w:pStyle w:val="Footer"/>
      <w:rPr>
        <w:sz w:val="20"/>
      </w:rPr>
    </w:pPr>
  </w:p>
  <w:p w14:paraId="45227DF4" w14:textId="77777777" w:rsidR="00707918" w:rsidRDefault="006055D1" w:rsidP="006A6B19">
    <w:pPr>
      <w:pStyle w:val="Footer"/>
      <w:pBdr>
        <w:top w:val="single" w:sz="4" w:space="1" w:color="auto"/>
      </w:pBdr>
      <w:rPr>
        <w:sz w:val="20"/>
      </w:rPr>
    </w:pPr>
    <w:r>
      <w:rPr>
        <w:sz w:val="20"/>
      </w:rPr>
      <w:t>Do Not Call Register (Access Fees) Determination</w:t>
    </w:r>
    <w:r w:rsidR="006A6B19">
      <w:rPr>
        <w:sz w:val="20"/>
      </w:rPr>
      <w:t xml:space="preserve"> 201</w:t>
    </w:r>
    <w:r>
      <w:rPr>
        <w:sz w:val="20"/>
      </w:rPr>
      <w:t>7</w:t>
    </w:r>
  </w:p>
  <w:p w14:paraId="5746D8F3" w14:textId="77777777" w:rsidR="00707918" w:rsidRPr="00707918" w:rsidRDefault="00707918" w:rsidP="006A6B19">
    <w:pPr>
      <w:pStyle w:val="Footer"/>
      <w:jc w:val="right"/>
      <w:rPr>
        <w:i w:val="0"/>
        <w:sz w:val="20"/>
      </w:rPr>
    </w:pPr>
    <w:r w:rsidRPr="00707918">
      <w:rPr>
        <w:i w:val="0"/>
        <w:sz w:val="20"/>
      </w:rPr>
      <w:fldChar w:fldCharType="begin"/>
    </w:r>
    <w:r w:rsidRPr="00707918">
      <w:rPr>
        <w:i w:val="0"/>
        <w:sz w:val="20"/>
      </w:rPr>
      <w:instrText xml:space="preserve"> PAGE   \* MERGEFORMAT </w:instrText>
    </w:r>
    <w:r w:rsidRPr="00707918">
      <w:rPr>
        <w:i w:val="0"/>
        <w:sz w:val="20"/>
      </w:rPr>
      <w:fldChar w:fldCharType="separate"/>
    </w:r>
    <w:r w:rsidR="00D10BCD">
      <w:rPr>
        <w:i w:val="0"/>
        <w:noProof/>
        <w:sz w:val="20"/>
      </w:rPr>
      <w:t>8</w:t>
    </w:r>
    <w:r w:rsidRPr="00707918">
      <w:rPr>
        <w:i w:val="0"/>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ADD0D" w14:textId="77777777" w:rsidR="00E72886" w:rsidRPr="006055D1" w:rsidRDefault="00E72886" w:rsidP="00E72886">
    <w:pPr>
      <w:pStyle w:val="Footer"/>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2383C" w14:textId="77777777" w:rsidR="00953948" w:rsidRDefault="00953948" w:rsidP="006159E6">
      <w:r>
        <w:separator/>
      </w:r>
    </w:p>
  </w:footnote>
  <w:footnote w:type="continuationSeparator" w:id="0">
    <w:p w14:paraId="0F46AF3B" w14:textId="77777777" w:rsidR="00953948" w:rsidRDefault="00953948" w:rsidP="00615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AEB6D" w14:textId="77777777" w:rsidR="006159E6" w:rsidRPr="00976FA1" w:rsidRDefault="006159E6">
    <w:pPr>
      <w:pStyle w:val="Header"/>
      <w:rPr>
        <w:rFonts w:ascii="Arial" w:hAnsi="Arial" w:cs="Arial"/>
        <w:b/>
        <w:sz w:val="18"/>
        <w:szCs w:val="18"/>
      </w:rPr>
    </w:pPr>
    <w:r w:rsidRPr="00976FA1">
      <w:rPr>
        <w:rFonts w:ascii="Arial" w:hAnsi="Arial" w:cs="Arial"/>
        <w:b/>
        <w:sz w:val="18"/>
        <w:szCs w:val="18"/>
      </w:rPr>
      <w:t>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D98C2" w14:textId="4EAEC6DD" w:rsidR="00C20E12" w:rsidRDefault="00E36436" w:rsidP="00120E6D">
    <w:pPr>
      <w:pStyle w:val="Header"/>
      <w:pBdr>
        <w:bottom w:val="single" w:sz="4" w:space="1" w:color="auto"/>
      </w:pBdr>
      <w:rPr>
        <w:rFonts w:ascii="Arial" w:hAnsi="Arial" w:cs="Arial"/>
        <w:b/>
        <w:sz w:val="20"/>
      </w:rPr>
    </w:pPr>
    <w:r w:rsidRPr="00320B83">
      <w:rPr>
        <w:rFonts w:ascii="Arial" w:hAnsi="Arial" w:cs="Arial"/>
        <w:b/>
        <w:sz w:val="20"/>
      </w:rPr>
      <w:t xml:space="preserve">Section </w:t>
    </w:r>
    <w:r w:rsidRPr="00320B83">
      <w:rPr>
        <w:rFonts w:ascii="Arial" w:hAnsi="Arial" w:cs="Arial"/>
        <w:b/>
        <w:sz w:val="20"/>
      </w:rPr>
      <w:fldChar w:fldCharType="begin"/>
    </w:r>
    <w:r w:rsidRPr="00320B83">
      <w:rPr>
        <w:rFonts w:ascii="Arial" w:hAnsi="Arial" w:cs="Arial"/>
        <w:b/>
        <w:sz w:val="20"/>
      </w:rPr>
      <w:instrText xml:space="preserve"> STYLEREF  CharSectno  \* MERGEFORMAT </w:instrText>
    </w:r>
    <w:r w:rsidRPr="00320B83">
      <w:rPr>
        <w:rFonts w:ascii="Arial" w:hAnsi="Arial" w:cs="Arial"/>
        <w:b/>
        <w:sz w:val="20"/>
      </w:rPr>
      <w:fldChar w:fldCharType="separate"/>
    </w:r>
    <w:r w:rsidR="00D10BCD" w:rsidRPr="00D10BCD">
      <w:rPr>
        <w:rFonts w:ascii="Arial" w:hAnsi="Arial" w:cs="Arial"/>
        <w:b/>
        <w:bCs/>
        <w:noProof/>
        <w:sz w:val="20"/>
        <w:lang w:val="en-US"/>
      </w:rPr>
      <w:t>13</w:t>
    </w:r>
    <w:r w:rsidRPr="00320B83">
      <w:rPr>
        <w:rFonts w:ascii="Arial" w:hAnsi="Arial" w:cs="Arial"/>
        <w:b/>
        <w:sz w:val="20"/>
      </w:rPr>
      <w:fldChar w:fldCharType="end"/>
    </w:r>
  </w:p>
  <w:p w14:paraId="3C7BBE8C" w14:textId="77777777" w:rsidR="00E36436" w:rsidRPr="00120E6D" w:rsidRDefault="00E36436" w:rsidP="00120E6D">
    <w:pPr>
      <w:pStyle w:val="Header"/>
      <w:pBdr>
        <w:bottom w:val="single" w:sz="4" w:space="1" w:color="auto"/>
      </w:pBdr>
      <w:rPr>
        <w:rFonts w:ascii="Arial" w:hAnsi="Arial" w:cs="Arial"/>
        <w:b/>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22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2410"/>
    </w:tblGrid>
    <w:tr w:rsidR="00707918" w:rsidRPr="00EE5CAA" w14:paraId="5F8C7DE9" w14:textId="77777777" w:rsidTr="00F4737F">
      <w:tc>
        <w:tcPr>
          <w:tcW w:w="5812" w:type="dxa"/>
        </w:tcPr>
        <w:p w14:paraId="39636A9C" w14:textId="77777777" w:rsidR="00707918" w:rsidRPr="00EE5CAA" w:rsidRDefault="00707918" w:rsidP="00707918">
          <w:pPr>
            <w:pStyle w:val="Header"/>
            <w:spacing w:after="120"/>
            <w:jc w:val="right"/>
            <w:rPr>
              <w:rFonts w:ascii="Arial" w:hAnsi="Arial" w:cs="Arial"/>
              <w:b/>
              <w:sz w:val="20"/>
            </w:rPr>
          </w:pPr>
        </w:p>
      </w:tc>
      <w:tc>
        <w:tcPr>
          <w:tcW w:w="2410" w:type="dxa"/>
        </w:tcPr>
        <w:p w14:paraId="35FDAAC1" w14:textId="77777777" w:rsidR="00707918" w:rsidRPr="00EE5CAA" w:rsidRDefault="00707918" w:rsidP="00707918">
          <w:pPr>
            <w:pStyle w:val="Header"/>
            <w:spacing w:after="120"/>
            <w:jc w:val="right"/>
            <w:rPr>
              <w:rFonts w:ascii="Arial" w:hAnsi="Arial" w:cs="Arial"/>
              <w:b/>
              <w:sz w:val="20"/>
            </w:rPr>
          </w:pPr>
        </w:p>
      </w:tc>
    </w:tr>
    <w:tr w:rsidR="00707918" w:rsidRPr="00EE5CAA" w14:paraId="424C8832" w14:textId="77777777" w:rsidTr="00F4737F">
      <w:tc>
        <w:tcPr>
          <w:tcW w:w="5812" w:type="dxa"/>
        </w:tcPr>
        <w:p w14:paraId="2BC73EA5" w14:textId="77777777" w:rsidR="00707918" w:rsidRPr="00EE5CAA" w:rsidRDefault="00707918" w:rsidP="00707918">
          <w:pPr>
            <w:pStyle w:val="Header"/>
            <w:spacing w:after="120"/>
            <w:jc w:val="right"/>
            <w:rPr>
              <w:rFonts w:ascii="Arial" w:hAnsi="Arial" w:cs="Arial"/>
              <w:b/>
              <w:sz w:val="20"/>
            </w:rPr>
          </w:pPr>
        </w:p>
      </w:tc>
      <w:tc>
        <w:tcPr>
          <w:tcW w:w="2410" w:type="dxa"/>
        </w:tcPr>
        <w:p w14:paraId="15BB021B" w14:textId="77777777" w:rsidR="00707918" w:rsidRPr="00EE5CAA" w:rsidRDefault="00707918" w:rsidP="00707918">
          <w:pPr>
            <w:pStyle w:val="Header"/>
            <w:spacing w:after="120"/>
            <w:jc w:val="right"/>
            <w:rPr>
              <w:rFonts w:ascii="Arial" w:hAnsi="Arial" w:cs="Arial"/>
              <w:b/>
              <w:sz w:val="20"/>
            </w:rPr>
          </w:pPr>
          <w:r w:rsidRPr="00EE5CAA">
            <w:rPr>
              <w:rFonts w:ascii="Arial" w:hAnsi="Arial" w:cs="Arial"/>
              <w:b/>
              <w:sz w:val="20"/>
            </w:rPr>
            <w:t xml:space="preserve">Section </w:t>
          </w:r>
          <w:r w:rsidRPr="00EE5CAA">
            <w:rPr>
              <w:rFonts w:ascii="Arial" w:hAnsi="Arial" w:cs="Arial"/>
              <w:b/>
              <w:sz w:val="20"/>
            </w:rPr>
            <w:fldChar w:fldCharType="begin"/>
          </w:r>
          <w:r w:rsidRPr="00EE5CAA">
            <w:rPr>
              <w:rFonts w:ascii="Arial" w:hAnsi="Arial" w:cs="Arial"/>
              <w:b/>
              <w:sz w:val="20"/>
            </w:rPr>
            <w:instrText xml:space="preserve"> STYLEREF  CharSectno  \* MERGEFORMAT </w:instrText>
          </w:r>
          <w:r w:rsidRPr="00EE5CAA">
            <w:rPr>
              <w:rFonts w:ascii="Arial" w:hAnsi="Arial" w:cs="Arial"/>
              <w:b/>
              <w:sz w:val="20"/>
            </w:rPr>
            <w:fldChar w:fldCharType="separate"/>
          </w:r>
          <w:r w:rsidR="002600C9">
            <w:rPr>
              <w:rFonts w:ascii="Arial" w:hAnsi="Arial" w:cs="Arial"/>
              <w:b/>
              <w:noProof/>
              <w:sz w:val="20"/>
            </w:rPr>
            <w:t>1</w:t>
          </w:r>
          <w:r w:rsidRPr="00EE5CAA">
            <w:rPr>
              <w:rFonts w:ascii="Arial" w:hAnsi="Arial" w:cs="Arial"/>
              <w:b/>
              <w:sz w:val="20"/>
            </w:rPr>
            <w:fldChar w:fldCharType="end"/>
          </w:r>
        </w:p>
      </w:tc>
    </w:tr>
  </w:tbl>
  <w:p w14:paraId="0D11BD75" w14:textId="77777777" w:rsidR="00707918" w:rsidRDefault="007079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9FA60" w14:textId="752F036C" w:rsidR="00C20E12" w:rsidRDefault="00E36436" w:rsidP="00120E6D">
    <w:pPr>
      <w:pStyle w:val="Header"/>
      <w:pBdr>
        <w:bottom w:val="single" w:sz="4" w:space="1" w:color="auto"/>
      </w:pBdr>
      <w:rPr>
        <w:rFonts w:ascii="Arial" w:hAnsi="Arial" w:cs="Arial"/>
        <w:b/>
        <w:sz w:val="20"/>
      </w:rPr>
    </w:pPr>
    <w:r w:rsidRPr="00120E6D">
      <w:rPr>
        <w:rFonts w:ascii="Arial" w:hAnsi="Arial" w:cs="Arial"/>
        <w:b/>
        <w:sz w:val="20"/>
      </w:rPr>
      <w:t xml:space="preserve">Section </w:t>
    </w:r>
    <w:r w:rsidRPr="00120E6D">
      <w:rPr>
        <w:rFonts w:ascii="Arial" w:hAnsi="Arial" w:cs="Arial"/>
        <w:b/>
        <w:sz w:val="20"/>
      </w:rPr>
      <w:fldChar w:fldCharType="begin"/>
    </w:r>
    <w:r w:rsidRPr="00120E6D">
      <w:rPr>
        <w:rFonts w:ascii="Arial" w:hAnsi="Arial" w:cs="Arial"/>
        <w:b/>
        <w:sz w:val="20"/>
      </w:rPr>
      <w:instrText xml:space="preserve"> STYLEREF  CharSectno  \* MERGEFORMAT </w:instrText>
    </w:r>
    <w:r w:rsidRPr="00120E6D">
      <w:rPr>
        <w:rFonts w:ascii="Arial" w:hAnsi="Arial" w:cs="Arial"/>
        <w:b/>
        <w:sz w:val="20"/>
      </w:rPr>
      <w:fldChar w:fldCharType="separate"/>
    </w:r>
    <w:r w:rsidR="00D10BCD" w:rsidRPr="00D10BCD">
      <w:rPr>
        <w:rFonts w:ascii="Arial" w:hAnsi="Arial" w:cs="Arial"/>
        <w:b/>
        <w:bCs/>
        <w:noProof/>
        <w:sz w:val="20"/>
        <w:lang w:val="en-US"/>
      </w:rPr>
      <w:t>1</w:t>
    </w:r>
    <w:r w:rsidRPr="00120E6D">
      <w:rPr>
        <w:rFonts w:ascii="Arial" w:hAnsi="Arial" w:cs="Arial"/>
        <w:b/>
        <w:sz w:val="20"/>
      </w:rPr>
      <w:fldChar w:fldCharType="end"/>
    </w:r>
  </w:p>
  <w:p w14:paraId="0FFFA779" w14:textId="77777777" w:rsidR="00087E43" w:rsidRPr="00120E6D" w:rsidRDefault="00087E43" w:rsidP="00120E6D">
    <w:pPr>
      <w:pStyle w:val="Header"/>
      <w:pBdr>
        <w:bottom w:val="single" w:sz="4" w:space="1" w:color="auto"/>
      </w:pBdr>
      <w:rPr>
        <w:rFonts w:ascii="Arial" w:hAnsi="Arial"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075F"/>
    <w:multiLevelType w:val="hybridMultilevel"/>
    <w:tmpl w:val="E2E035B8"/>
    <w:lvl w:ilvl="0" w:tplc="A634A424">
      <w:start w:val="1"/>
      <w:numFmt w:val="lowerLetter"/>
      <w:lvlText w:val="(%1)"/>
      <w:lvlJc w:val="left"/>
      <w:pPr>
        <w:ind w:left="2004" w:hanging="164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712F14"/>
    <w:multiLevelType w:val="hybridMultilevel"/>
    <w:tmpl w:val="B922002C"/>
    <w:lvl w:ilvl="0" w:tplc="A634A424">
      <w:start w:val="1"/>
      <w:numFmt w:val="lowerLetter"/>
      <w:lvlText w:val="(%1)"/>
      <w:lvlJc w:val="left"/>
      <w:pPr>
        <w:ind w:left="2004" w:hanging="164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A076CBB"/>
    <w:multiLevelType w:val="hybridMultilevel"/>
    <w:tmpl w:val="4152632C"/>
    <w:lvl w:ilvl="0" w:tplc="A634A424">
      <w:start w:val="1"/>
      <w:numFmt w:val="lowerLetter"/>
      <w:lvlText w:val="(%1)"/>
      <w:lvlJc w:val="left"/>
      <w:pPr>
        <w:ind w:left="3204" w:hanging="1644"/>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3">
    <w:nsid w:val="0D0C3F94"/>
    <w:multiLevelType w:val="singleLevel"/>
    <w:tmpl w:val="255E0224"/>
    <w:lvl w:ilvl="0">
      <w:start w:val="1"/>
      <w:numFmt w:val="bullet"/>
      <w:pStyle w:val="ExampleList"/>
      <w:lvlText w:val=""/>
      <w:lvlJc w:val="left"/>
      <w:pPr>
        <w:tabs>
          <w:tab w:val="num" w:pos="1352"/>
        </w:tabs>
        <w:ind w:left="340" w:firstLine="652"/>
      </w:pPr>
      <w:rPr>
        <w:rFonts w:ascii="Symbol" w:hAnsi="Symbol" w:hint="default"/>
      </w:rPr>
    </w:lvl>
  </w:abstractNum>
  <w:abstractNum w:abstractNumId="4">
    <w:nsid w:val="10CA3603"/>
    <w:multiLevelType w:val="hybridMultilevel"/>
    <w:tmpl w:val="0DE8FCF6"/>
    <w:lvl w:ilvl="0" w:tplc="4D38D222">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5">
    <w:nsid w:val="11AE7629"/>
    <w:multiLevelType w:val="hybridMultilevel"/>
    <w:tmpl w:val="8A183210"/>
    <w:lvl w:ilvl="0" w:tplc="A634A424">
      <w:start w:val="1"/>
      <w:numFmt w:val="lowerLetter"/>
      <w:lvlText w:val="(%1)"/>
      <w:lvlJc w:val="left"/>
      <w:pPr>
        <w:ind w:left="2004" w:hanging="164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3097B9F"/>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C051AED"/>
    <w:multiLevelType w:val="hybridMultilevel"/>
    <w:tmpl w:val="BA6654BA"/>
    <w:lvl w:ilvl="0" w:tplc="F13E6FF0">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8">
    <w:nsid w:val="230D5DEA"/>
    <w:multiLevelType w:val="hybridMultilevel"/>
    <w:tmpl w:val="53320070"/>
    <w:lvl w:ilvl="0" w:tplc="3F56401E">
      <w:start w:val="1"/>
      <w:numFmt w:val="lowerLetter"/>
      <w:lvlText w:val="(%1)"/>
      <w:lvlJc w:val="left"/>
      <w:pPr>
        <w:ind w:left="1440" w:hanging="48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9">
    <w:nsid w:val="23900894"/>
    <w:multiLevelType w:val="hybridMultilevel"/>
    <w:tmpl w:val="29D2E032"/>
    <w:lvl w:ilvl="0" w:tplc="A634A424">
      <w:start w:val="1"/>
      <w:numFmt w:val="lowerLetter"/>
      <w:lvlText w:val="(%1)"/>
      <w:lvlJc w:val="left"/>
      <w:pPr>
        <w:ind w:left="2004" w:hanging="164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E471D35"/>
    <w:multiLevelType w:val="hybridMultilevel"/>
    <w:tmpl w:val="63E0F73E"/>
    <w:lvl w:ilvl="0" w:tplc="0C09000F">
      <w:start w:val="1"/>
      <w:numFmt w:val="decimal"/>
      <w:lvlText w:val="%1."/>
      <w:lvlJc w:val="lef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12">
    <w:nsid w:val="318A27A2"/>
    <w:multiLevelType w:val="hybridMultilevel"/>
    <w:tmpl w:val="658AFFB6"/>
    <w:lvl w:ilvl="0" w:tplc="A634A424">
      <w:start w:val="1"/>
      <w:numFmt w:val="lowerLetter"/>
      <w:lvlText w:val="(%1)"/>
      <w:lvlJc w:val="left"/>
      <w:pPr>
        <w:ind w:left="2004" w:hanging="164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2941607"/>
    <w:multiLevelType w:val="hybridMultilevel"/>
    <w:tmpl w:val="95289EAA"/>
    <w:lvl w:ilvl="0" w:tplc="0C090001">
      <w:start w:val="1"/>
      <w:numFmt w:val="bullet"/>
      <w:lvlText w:val=""/>
      <w:lvlJc w:val="left"/>
      <w:pPr>
        <w:ind w:left="1324" w:hanging="360"/>
      </w:pPr>
      <w:rPr>
        <w:rFonts w:ascii="Symbol" w:hAnsi="Symbol" w:hint="default"/>
      </w:rPr>
    </w:lvl>
    <w:lvl w:ilvl="1" w:tplc="0C090003" w:tentative="1">
      <w:start w:val="1"/>
      <w:numFmt w:val="bullet"/>
      <w:lvlText w:val="o"/>
      <w:lvlJc w:val="left"/>
      <w:pPr>
        <w:ind w:left="2044" w:hanging="360"/>
      </w:pPr>
      <w:rPr>
        <w:rFonts w:ascii="Courier New" w:hAnsi="Courier New" w:cs="Courier New" w:hint="default"/>
      </w:rPr>
    </w:lvl>
    <w:lvl w:ilvl="2" w:tplc="0C090005" w:tentative="1">
      <w:start w:val="1"/>
      <w:numFmt w:val="bullet"/>
      <w:lvlText w:val=""/>
      <w:lvlJc w:val="left"/>
      <w:pPr>
        <w:ind w:left="2764" w:hanging="360"/>
      </w:pPr>
      <w:rPr>
        <w:rFonts w:ascii="Wingdings" w:hAnsi="Wingdings" w:hint="default"/>
      </w:rPr>
    </w:lvl>
    <w:lvl w:ilvl="3" w:tplc="0C090001" w:tentative="1">
      <w:start w:val="1"/>
      <w:numFmt w:val="bullet"/>
      <w:lvlText w:val=""/>
      <w:lvlJc w:val="left"/>
      <w:pPr>
        <w:ind w:left="3484" w:hanging="360"/>
      </w:pPr>
      <w:rPr>
        <w:rFonts w:ascii="Symbol" w:hAnsi="Symbol" w:hint="default"/>
      </w:rPr>
    </w:lvl>
    <w:lvl w:ilvl="4" w:tplc="0C090003" w:tentative="1">
      <w:start w:val="1"/>
      <w:numFmt w:val="bullet"/>
      <w:lvlText w:val="o"/>
      <w:lvlJc w:val="left"/>
      <w:pPr>
        <w:ind w:left="4204" w:hanging="360"/>
      </w:pPr>
      <w:rPr>
        <w:rFonts w:ascii="Courier New" w:hAnsi="Courier New" w:cs="Courier New" w:hint="default"/>
      </w:rPr>
    </w:lvl>
    <w:lvl w:ilvl="5" w:tplc="0C090005" w:tentative="1">
      <w:start w:val="1"/>
      <w:numFmt w:val="bullet"/>
      <w:lvlText w:val=""/>
      <w:lvlJc w:val="left"/>
      <w:pPr>
        <w:ind w:left="4924" w:hanging="360"/>
      </w:pPr>
      <w:rPr>
        <w:rFonts w:ascii="Wingdings" w:hAnsi="Wingdings" w:hint="default"/>
      </w:rPr>
    </w:lvl>
    <w:lvl w:ilvl="6" w:tplc="0C090001" w:tentative="1">
      <w:start w:val="1"/>
      <w:numFmt w:val="bullet"/>
      <w:lvlText w:val=""/>
      <w:lvlJc w:val="left"/>
      <w:pPr>
        <w:ind w:left="5644" w:hanging="360"/>
      </w:pPr>
      <w:rPr>
        <w:rFonts w:ascii="Symbol" w:hAnsi="Symbol" w:hint="default"/>
      </w:rPr>
    </w:lvl>
    <w:lvl w:ilvl="7" w:tplc="0C090003" w:tentative="1">
      <w:start w:val="1"/>
      <w:numFmt w:val="bullet"/>
      <w:lvlText w:val="o"/>
      <w:lvlJc w:val="left"/>
      <w:pPr>
        <w:ind w:left="6364" w:hanging="360"/>
      </w:pPr>
      <w:rPr>
        <w:rFonts w:ascii="Courier New" w:hAnsi="Courier New" w:cs="Courier New" w:hint="default"/>
      </w:rPr>
    </w:lvl>
    <w:lvl w:ilvl="8" w:tplc="0C090005" w:tentative="1">
      <w:start w:val="1"/>
      <w:numFmt w:val="bullet"/>
      <w:lvlText w:val=""/>
      <w:lvlJc w:val="left"/>
      <w:pPr>
        <w:ind w:left="7084" w:hanging="360"/>
      </w:pPr>
      <w:rPr>
        <w:rFonts w:ascii="Wingdings" w:hAnsi="Wingdings" w:hint="default"/>
      </w:rPr>
    </w:lvl>
  </w:abstractNum>
  <w:abstractNum w:abstractNumId="14">
    <w:nsid w:val="34B07F05"/>
    <w:multiLevelType w:val="hybridMultilevel"/>
    <w:tmpl w:val="C9D4497C"/>
    <w:lvl w:ilvl="0" w:tplc="F41A2FA2">
      <w:start w:val="1"/>
      <w:numFmt w:val="lowerLetter"/>
      <w:lvlText w:val="(%1)"/>
      <w:lvlJc w:val="left"/>
      <w:pPr>
        <w:ind w:left="1704" w:hanging="744"/>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5">
    <w:nsid w:val="45B60999"/>
    <w:multiLevelType w:val="hybridMultilevel"/>
    <w:tmpl w:val="A8B22004"/>
    <w:lvl w:ilvl="0" w:tplc="A634A424">
      <w:start w:val="1"/>
      <w:numFmt w:val="lowerLetter"/>
      <w:lvlText w:val="(%1)"/>
      <w:lvlJc w:val="left"/>
      <w:pPr>
        <w:ind w:left="2921" w:hanging="1644"/>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6">
    <w:nsid w:val="4AD57FC1"/>
    <w:multiLevelType w:val="hybridMultilevel"/>
    <w:tmpl w:val="94FC2634"/>
    <w:lvl w:ilvl="0" w:tplc="A634A424">
      <w:start w:val="1"/>
      <w:numFmt w:val="lowerLetter"/>
      <w:lvlText w:val="(%1)"/>
      <w:lvlJc w:val="left"/>
      <w:pPr>
        <w:ind w:left="2004" w:hanging="164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3F36548"/>
    <w:multiLevelType w:val="hybridMultilevel"/>
    <w:tmpl w:val="91AE3574"/>
    <w:lvl w:ilvl="0" w:tplc="A634A424">
      <w:start w:val="1"/>
      <w:numFmt w:val="lowerLetter"/>
      <w:lvlText w:val="(%1)"/>
      <w:lvlJc w:val="left"/>
      <w:pPr>
        <w:ind w:left="2004" w:hanging="164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9280DC1"/>
    <w:multiLevelType w:val="hybridMultilevel"/>
    <w:tmpl w:val="A454CFA4"/>
    <w:lvl w:ilvl="0" w:tplc="63ECED24">
      <w:start w:val="1"/>
      <w:numFmt w:val="decimal"/>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9">
    <w:nsid w:val="6C6779E0"/>
    <w:multiLevelType w:val="hybridMultilevel"/>
    <w:tmpl w:val="07EC3F02"/>
    <w:lvl w:ilvl="0" w:tplc="63ECED24">
      <w:start w:val="1"/>
      <w:numFmt w:val="decimal"/>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nsid w:val="6F852369"/>
    <w:multiLevelType w:val="hybridMultilevel"/>
    <w:tmpl w:val="70108998"/>
    <w:lvl w:ilvl="0" w:tplc="A634A424">
      <w:start w:val="1"/>
      <w:numFmt w:val="lowerLetter"/>
      <w:lvlText w:val="(%1)"/>
      <w:lvlJc w:val="left"/>
      <w:pPr>
        <w:ind w:left="2004" w:hanging="164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2190B72"/>
    <w:multiLevelType w:val="hybridMultilevel"/>
    <w:tmpl w:val="67D4D0EE"/>
    <w:lvl w:ilvl="0" w:tplc="A634A424">
      <w:start w:val="1"/>
      <w:numFmt w:val="lowerLetter"/>
      <w:lvlText w:val="(%1)"/>
      <w:lvlJc w:val="left"/>
      <w:pPr>
        <w:ind w:left="2004" w:hanging="164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3C92788"/>
    <w:multiLevelType w:val="hybridMultilevel"/>
    <w:tmpl w:val="6750BF3E"/>
    <w:lvl w:ilvl="0" w:tplc="A634A424">
      <w:start w:val="1"/>
      <w:numFmt w:val="lowerLetter"/>
      <w:lvlText w:val="(%1)"/>
      <w:lvlJc w:val="left"/>
      <w:pPr>
        <w:ind w:left="2004" w:hanging="164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BDD1D88"/>
    <w:multiLevelType w:val="hybridMultilevel"/>
    <w:tmpl w:val="5B6EFCDA"/>
    <w:lvl w:ilvl="0" w:tplc="A634A424">
      <w:start w:val="1"/>
      <w:numFmt w:val="lowerLetter"/>
      <w:lvlText w:val="(%1)"/>
      <w:lvlJc w:val="left"/>
      <w:pPr>
        <w:ind w:left="2779" w:hanging="1644"/>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num w:numId="1">
    <w:abstractNumId w:val="3"/>
  </w:num>
  <w:num w:numId="2">
    <w:abstractNumId w:val="14"/>
  </w:num>
  <w:num w:numId="3">
    <w:abstractNumId w:val="8"/>
  </w:num>
  <w:num w:numId="4">
    <w:abstractNumId w:val="13"/>
  </w:num>
  <w:num w:numId="5">
    <w:abstractNumId w:val="10"/>
  </w:num>
  <w:num w:numId="6">
    <w:abstractNumId w:val="6"/>
  </w:num>
  <w:num w:numId="7">
    <w:abstractNumId w:val="18"/>
  </w:num>
  <w:num w:numId="8">
    <w:abstractNumId w:val="19"/>
  </w:num>
  <w:num w:numId="9">
    <w:abstractNumId w:val="11"/>
  </w:num>
  <w:num w:numId="10">
    <w:abstractNumId w:val="15"/>
  </w:num>
  <w:num w:numId="11">
    <w:abstractNumId w:val="17"/>
  </w:num>
  <w:num w:numId="12">
    <w:abstractNumId w:val="5"/>
  </w:num>
  <w:num w:numId="13">
    <w:abstractNumId w:val="1"/>
  </w:num>
  <w:num w:numId="14">
    <w:abstractNumId w:val="23"/>
  </w:num>
  <w:num w:numId="15">
    <w:abstractNumId w:val="0"/>
  </w:num>
  <w:num w:numId="16">
    <w:abstractNumId w:val="9"/>
  </w:num>
  <w:num w:numId="17">
    <w:abstractNumId w:val="12"/>
  </w:num>
  <w:num w:numId="18">
    <w:abstractNumId w:val="16"/>
  </w:num>
  <w:num w:numId="19">
    <w:abstractNumId w:val="20"/>
  </w:num>
  <w:num w:numId="20">
    <w:abstractNumId w:val="2"/>
  </w:num>
  <w:num w:numId="21">
    <w:abstractNumId w:val="21"/>
  </w:num>
  <w:num w:numId="22">
    <w:abstractNumId w:val="22"/>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9E6"/>
    <w:rsid w:val="000103FA"/>
    <w:rsid w:val="00020B49"/>
    <w:rsid w:val="00036EFB"/>
    <w:rsid w:val="00044B2F"/>
    <w:rsid w:val="00047576"/>
    <w:rsid w:val="00050921"/>
    <w:rsid w:val="000532BF"/>
    <w:rsid w:val="00063FFF"/>
    <w:rsid w:val="00071BF0"/>
    <w:rsid w:val="0007627F"/>
    <w:rsid w:val="00087E43"/>
    <w:rsid w:val="000C2C4D"/>
    <w:rsid w:val="000D168B"/>
    <w:rsid w:val="000F62DD"/>
    <w:rsid w:val="00102160"/>
    <w:rsid w:val="00120E6D"/>
    <w:rsid w:val="001227DA"/>
    <w:rsid w:val="00125E5E"/>
    <w:rsid w:val="00140CA4"/>
    <w:rsid w:val="001416AD"/>
    <w:rsid w:val="0015082B"/>
    <w:rsid w:val="00186371"/>
    <w:rsid w:val="00201D56"/>
    <w:rsid w:val="00216120"/>
    <w:rsid w:val="00222AE1"/>
    <w:rsid w:val="002600C9"/>
    <w:rsid w:val="00261F56"/>
    <w:rsid w:val="002B0BDA"/>
    <w:rsid w:val="002C5059"/>
    <w:rsid w:val="0031437A"/>
    <w:rsid w:val="00316D58"/>
    <w:rsid w:val="003325C5"/>
    <w:rsid w:val="00342870"/>
    <w:rsid w:val="00343483"/>
    <w:rsid w:val="003B1743"/>
    <w:rsid w:val="003E5C40"/>
    <w:rsid w:val="003F359B"/>
    <w:rsid w:val="00406E6B"/>
    <w:rsid w:val="00417AEB"/>
    <w:rsid w:val="004451AE"/>
    <w:rsid w:val="00457326"/>
    <w:rsid w:val="00477050"/>
    <w:rsid w:val="004A01B8"/>
    <w:rsid w:val="004A2BA8"/>
    <w:rsid w:val="004E12D7"/>
    <w:rsid w:val="0050064B"/>
    <w:rsid w:val="00501435"/>
    <w:rsid w:val="00516D99"/>
    <w:rsid w:val="0052698B"/>
    <w:rsid w:val="00532EF6"/>
    <w:rsid w:val="0056357E"/>
    <w:rsid w:val="00595831"/>
    <w:rsid w:val="005A1B71"/>
    <w:rsid w:val="005A31D9"/>
    <w:rsid w:val="005C1E1D"/>
    <w:rsid w:val="006055D1"/>
    <w:rsid w:val="006159E6"/>
    <w:rsid w:val="0062338A"/>
    <w:rsid w:val="00645847"/>
    <w:rsid w:val="006A6B19"/>
    <w:rsid w:val="006C4804"/>
    <w:rsid w:val="006F198D"/>
    <w:rsid w:val="006F5E33"/>
    <w:rsid w:val="006F6439"/>
    <w:rsid w:val="00707918"/>
    <w:rsid w:val="007132F7"/>
    <w:rsid w:val="00714AB4"/>
    <w:rsid w:val="00783275"/>
    <w:rsid w:val="00784362"/>
    <w:rsid w:val="007C0707"/>
    <w:rsid w:val="007F15D8"/>
    <w:rsid w:val="007F278A"/>
    <w:rsid w:val="007F56DB"/>
    <w:rsid w:val="008102AC"/>
    <w:rsid w:val="0086312B"/>
    <w:rsid w:val="00873B2A"/>
    <w:rsid w:val="00876E2D"/>
    <w:rsid w:val="00885FE2"/>
    <w:rsid w:val="00891089"/>
    <w:rsid w:val="008F0386"/>
    <w:rsid w:val="00911769"/>
    <w:rsid w:val="00920974"/>
    <w:rsid w:val="009531F0"/>
    <w:rsid w:val="00953948"/>
    <w:rsid w:val="00973BB9"/>
    <w:rsid w:val="009B5DD1"/>
    <w:rsid w:val="009E10BA"/>
    <w:rsid w:val="009F0B2B"/>
    <w:rsid w:val="009F2A77"/>
    <w:rsid w:val="00A21C51"/>
    <w:rsid w:val="00A22051"/>
    <w:rsid w:val="00A231E6"/>
    <w:rsid w:val="00A358E1"/>
    <w:rsid w:val="00A65ABE"/>
    <w:rsid w:val="00A850AF"/>
    <w:rsid w:val="00A961BE"/>
    <w:rsid w:val="00AA22F5"/>
    <w:rsid w:val="00AC2083"/>
    <w:rsid w:val="00AD15BC"/>
    <w:rsid w:val="00AE15B4"/>
    <w:rsid w:val="00AF3759"/>
    <w:rsid w:val="00B16C94"/>
    <w:rsid w:val="00B4165C"/>
    <w:rsid w:val="00B479D3"/>
    <w:rsid w:val="00B6221F"/>
    <w:rsid w:val="00B64DDD"/>
    <w:rsid w:val="00B66E90"/>
    <w:rsid w:val="00B7215B"/>
    <w:rsid w:val="00BB53F3"/>
    <w:rsid w:val="00BE09C1"/>
    <w:rsid w:val="00C0420A"/>
    <w:rsid w:val="00C20E12"/>
    <w:rsid w:val="00C22170"/>
    <w:rsid w:val="00C46528"/>
    <w:rsid w:val="00C52395"/>
    <w:rsid w:val="00CB1379"/>
    <w:rsid w:val="00CC7420"/>
    <w:rsid w:val="00CF3FCE"/>
    <w:rsid w:val="00CF46C9"/>
    <w:rsid w:val="00D03E0F"/>
    <w:rsid w:val="00D065F3"/>
    <w:rsid w:val="00D10BCD"/>
    <w:rsid w:val="00D170C7"/>
    <w:rsid w:val="00D5468B"/>
    <w:rsid w:val="00D72A15"/>
    <w:rsid w:val="00D81C99"/>
    <w:rsid w:val="00DA28B7"/>
    <w:rsid w:val="00DA5E0E"/>
    <w:rsid w:val="00DB7CE3"/>
    <w:rsid w:val="00DC1E7F"/>
    <w:rsid w:val="00DC46A8"/>
    <w:rsid w:val="00DD597F"/>
    <w:rsid w:val="00DE72C9"/>
    <w:rsid w:val="00E06271"/>
    <w:rsid w:val="00E30317"/>
    <w:rsid w:val="00E36436"/>
    <w:rsid w:val="00E517F4"/>
    <w:rsid w:val="00E5195A"/>
    <w:rsid w:val="00E579C1"/>
    <w:rsid w:val="00E57CF6"/>
    <w:rsid w:val="00E72886"/>
    <w:rsid w:val="00E74EF5"/>
    <w:rsid w:val="00E854C1"/>
    <w:rsid w:val="00E855D7"/>
    <w:rsid w:val="00EB356B"/>
    <w:rsid w:val="00EE5CAA"/>
    <w:rsid w:val="00EE79D6"/>
    <w:rsid w:val="00F0190A"/>
    <w:rsid w:val="00F268F3"/>
    <w:rsid w:val="00F34429"/>
    <w:rsid w:val="00F672D5"/>
    <w:rsid w:val="00F74C02"/>
    <w:rsid w:val="00F86F8C"/>
    <w:rsid w:val="00FB32B6"/>
    <w:rsid w:val="00FC0104"/>
    <w:rsid w:val="00FC5709"/>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6EE5F"/>
  <w15:chartTrackingRefBased/>
  <w15:docId w15:val="{FD2D40BD-5DE3-48F6-8BD3-F8D80A48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9E6"/>
    <w:pPr>
      <w:spacing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semiHidden/>
    <w:unhideWhenUsed/>
    <w:qFormat/>
    <w:rsid w:val="006159E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Draft">
    <w:name w:val="FooterDraft"/>
    <w:basedOn w:val="Normal"/>
    <w:rsid w:val="006159E6"/>
    <w:pPr>
      <w:jc w:val="center"/>
    </w:pPr>
    <w:rPr>
      <w:rFonts w:ascii="Arial" w:hAnsi="Arial"/>
      <w:b/>
      <w:sz w:val="40"/>
    </w:rPr>
  </w:style>
  <w:style w:type="paragraph" w:styleId="Title">
    <w:name w:val="Title"/>
    <w:basedOn w:val="Normal"/>
    <w:next w:val="Normal"/>
    <w:link w:val="TitleChar"/>
    <w:qFormat/>
    <w:rsid w:val="006159E6"/>
    <w:pPr>
      <w:spacing w:before="240"/>
    </w:pPr>
    <w:rPr>
      <w:rFonts w:ascii="Arial" w:hAnsi="Arial"/>
      <w:b/>
      <w:sz w:val="40"/>
    </w:rPr>
  </w:style>
  <w:style w:type="character" w:customStyle="1" w:styleId="TitleChar">
    <w:name w:val="Title Char"/>
    <w:basedOn w:val="DefaultParagraphFont"/>
    <w:link w:val="Title"/>
    <w:rsid w:val="006159E6"/>
    <w:rPr>
      <w:rFonts w:ascii="Arial" w:eastAsia="Times New Roman" w:hAnsi="Arial" w:cs="Times New Roman"/>
      <w:b/>
      <w:sz w:val="40"/>
      <w:szCs w:val="20"/>
      <w:lang w:eastAsia="en-AU"/>
    </w:rPr>
  </w:style>
  <w:style w:type="paragraph" w:styleId="Footer">
    <w:name w:val="footer"/>
    <w:basedOn w:val="Normal"/>
    <w:link w:val="FooterChar"/>
    <w:uiPriority w:val="99"/>
    <w:rsid w:val="006159E6"/>
    <w:pPr>
      <w:spacing w:before="20" w:line="240" w:lineRule="exact"/>
      <w:jc w:val="center"/>
    </w:pPr>
    <w:rPr>
      <w:rFonts w:ascii="Arial" w:hAnsi="Arial"/>
      <w:i/>
      <w:sz w:val="18"/>
    </w:rPr>
  </w:style>
  <w:style w:type="character" w:customStyle="1" w:styleId="FooterChar">
    <w:name w:val="Footer Char"/>
    <w:basedOn w:val="DefaultParagraphFont"/>
    <w:link w:val="Footer"/>
    <w:uiPriority w:val="99"/>
    <w:rsid w:val="006159E6"/>
    <w:rPr>
      <w:rFonts w:ascii="Arial" w:eastAsia="Times New Roman" w:hAnsi="Arial" w:cs="Times New Roman"/>
      <w:i/>
      <w:sz w:val="18"/>
      <w:szCs w:val="20"/>
      <w:lang w:eastAsia="en-AU"/>
    </w:rPr>
  </w:style>
  <w:style w:type="paragraph" w:customStyle="1" w:styleId="HeaderLiteEven">
    <w:name w:val="HeaderLiteEven"/>
    <w:basedOn w:val="Header"/>
    <w:rsid w:val="006159E6"/>
    <w:pPr>
      <w:spacing w:before="60"/>
      <w:jc w:val="left"/>
    </w:pPr>
    <w:rPr>
      <w:rFonts w:ascii="Arial" w:hAnsi="Arial"/>
      <w:sz w:val="18"/>
    </w:rPr>
  </w:style>
  <w:style w:type="paragraph" w:customStyle="1" w:styleId="ContentsHead">
    <w:name w:val="ContentsHead"/>
    <w:basedOn w:val="Normal"/>
    <w:next w:val="Normal"/>
    <w:rsid w:val="006159E6"/>
    <w:pPr>
      <w:spacing w:before="240"/>
    </w:pPr>
    <w:rPr>
      <w:rFonts w:ascii="Arial" w:hAnsi="Arial"/>
      <w:b/>
      <w:sz w:val="28"/>
    </w:rPr>
  </w:style>
  <w:style w:type="paragraph" w:customStyle="1" w:styleId="TOC">
    <w:name w:val="TOC"/>
    <w:basedOn w:val="Normal"/>
    <w:next w:val="Normal"/>
    <w:rsid w:val="006159E6"/>
    <w:pPr>
      <w:tabs>
        <w:tab w:val="right" w:pos="8335"/>
      </w:tabs>
      <w:spacing w:after="120"/>
    </w:pPr>
    <w:rPr>
      <w:rFonts w:ascii="Arial" w:hAnsi="Arial"/>
      <w:sz w:val="20"/>
    </w:rPr>
  </w:style>
  <w:style w:type="paragraph" w:customStyle="1" w:styleId="ContentsSectionBreak">
    <w:name w:val="ContentsSectionBreak"/>
    <w:basedOn w:val="Normal"/>
    <w:next w:val="Normal"/>
    <w:rsid w:val="006159E6"/>
  </w:style>
  <w:style w:type="paragraph" w:styleId="Header">
    <w:name w:val="header"/>
    <w:basedOn w:val="Normal"/>
    <w:link w:val="HeaderChar"/>
    <w:uiPriority w:val="99"/>
    <w:rsid w:val="006159E6"/>
    <w:pPr>
      <w:tabs>
        <w:tab w:val="center" w:pos="3969"/>
        <w:tab w:val="right" w:pos="8505"/>
      </w:tabs>
      <w:jc w:val="both"/>
    </w:pPr>
    <w:rPr>
      <w:sz w:val="26"/>
    </w:rPr>
  </w:style>
  <w:style w:type="character" w:customStyle="1" w:styleId="HeaderChar">
    <w:name w:val="Header Char"/>
    <w:basedOn w:val="DefaultParagraphFont"/>
    <w:link w:val="Header"/>
    <w:uiPriority w:val="99"/>
    <w:rsid w:val="006159E6"/>
    <w:rPr>
      <w:rFonts w:ascii="Times New Roman" w:eastAsia="Times New Roman" w:hAnsi="Times New Roman" w:cs="Times New Roman"/>
      <w:sz w:val="26"/>
      <w:szCs w:val="20"/>
      <w:lang w:eastAsia="en-AU"/>
    </w:rPr>
  </w:style>
  <w:style w:type="paragraph" w:customStyle="1" w:styleId="HeaderLiteOdd">
    <w:name w:val="HeaderLiteOdd"/>
    <w:basedOn w:val="HeaderLiteEven"/>
    <w:rsid w:val="006159E6"/>
    <w:pPr>
      <w:jc w:val="right"/>
    </w:pPr>
  </w:style>
  <w:style w:type="paragraph" w:customStyle="1" w:styleId="TextWOutChapSectionBreak">
    <w:name w:val="TextW/OutChapSectionBreak"/>
    <w:basedOn w:val="Normal"/>
    <w:next w:val="Normal"/>
    <w:rsid w:val="006159E6"/>
    <w:pPr>
      <w:jc w:val="center"/>
    </w:pPr>
  </w:style>
  <w:style w:type="paragraph" w:customStyle="1" w:styleId="SchedSectionBreak">
    <w:name w:val="SchedSectionBreak"/>
    <w:basedOn w:val="Normal"/>
    <w:next w:val="Normal"/>
    <w:rsid w:val="006159E6"/>
  </w:style>
  <w:style w:type="character" w:customStyle="1" w:styleId="CharAmSchNo">
    <w:name w:val="CharAmSchNo"/>
    <w:basedOn w:val="DefaultParagraphFont"/>
    <w:rsid w:val="006159E6"/>
    <w:rPr>
      <w:rFonts w:ascii="Arial" w:hAnsi="Arial"/>
    </w:rPr>
  </w:style>
  <w:style w:type="character" w:customStyle="1" w:styleId="CharAmSchText">
    <w:name w:val="CharAmSchText"/>
    <w:basedOn w:val="DefaultParagraphFont"/>
    <w:rsid w:val="006159E6"/>
    <w:rPr>
      <w:rFonts w:ascii="Arial" w:hAnsi="Arial"/>
    </w:rPr>
  </w:style>
  <w:style w:type="character" w:customStyle="1" w:styleId="CharDivNo">
    <w:name w:val="CharDivNo"/>
    <w:basedOn w:val="DefaultParagraphFont"/>
    <w:rsid w:val="006159E6"/>
    <w:rPr>
      <w:rFonts w:ascii="Arial" w:hAnsi="Arial"/>
    </w:rPr>
  </w:style>
  <w:style w:type="character" w:customStyle="1" w:styleId="CharDivText">
    <w:name w:val="CharDivText"/>
    <w:basedOn w:val="DefaultParagraphFont"/>
    <w:rsid w:val="006159E6"/>
    <w:rPr>
      <w:rFonts w:ascii="Arial" w:hAnsi="Arial"/>
    </w:rPr>
  </w:style>
  <w:style w:type="paragraph" w:customStyle="1" w:styleId="definition">
    <w:name w:val="definition"/>
    <w:basedOn w:val="Normal"/>
    <w:rsid w:val="006159E6"/>
    <w:pPr>
      <w:spacing w:before="80" w:line="260" w:lineRule="exact"/>
      <w:ind w:left="964"/>
      <w:jc w:val="both"/>
    </w:pPr>
  </w:style>
  <w:style w:type="character" w:customStyle="1" w:styleId="CharPartNo">
    <w:name w:val="CharPartNo"/>
    <w:basedOn w:val="DefaultParagraphFont"/>
    <w:rsid w:val="006159E6"/>
    <w:rPr>
      <w:rFonts w:ascii="Arial" w:hAnsi="Arial"/>
    </w:rPr>
  </w:style>
  <w:style w:type="character" w:customStyle="1" w:styleId="CharPartText">
    <w:name w:val="CharPartText"/>
    <w:basedOn w:val="DefaultParagraphFont"/>
    <w:rsid w:val="006159E6"/>
    <w:rPr>
      <w:rFonts w:ascii="Arial" w:hAnsi="Arial"/>
    </w:rPr>
  </w:style>
  <w:style w:type="character" w:customStyle="1" w:styleId="CharSchPTNo">
    <w:name w:val="CharSchPTNo"/>
    <w:basedOn w:val="DefaultParagraphFont"/>
    <w:rsid w:val="006159E6"/>
    <w:rPr>
      <w:rFonts w:ascii="Arial" w:hAnsi="Arial"/>
    </w:rPr>
  </w:style>
  <w:style w:type="paragraph" w:customStyle="1" w:styleId="R1">
    <w:name w:val="R1"/>
    <w:aliases w:val="1. or 1.(1)"/>
    <w:basedOn w:val="Normal"/>
    <w:next w:val="R2"/>
    <w:rsid w:val="006159E6"/>
    <w:pPr>
      <w:tabs>
        <w:tab w:val="right" w:pos="794"/>
        <w:tab w:val="left" w:pos="964"/>
      </w:tabs>
      <w:spacing w:before="120" w:line="260" w:lineRule="exact"/>
      <w:ind w:left="964" w:hanging="964"/>
      <w:jc w:val="both"/>
    </w:pPr>
  </w:style>
  <w:style w:type="paragraph" w:customStyle="1" w:styleId="R2">
    <w:name w:val="R2"/>
    <w:aliases w:val="(2)"/>
    <w:basedOn w:val="Normal"/>
    <w:rsid w:val="006159E6"/>
    <w:pPr>
      <w:tabs>
        <w:tab w:val="right" w:pos="794"/>
        <w:tab w:val="left" w:pos="964"/>
      </w:tabs>
      <w:spacing w:before="180" w:line="260" w:lineRule="exact"/>
      <w:ind w:left="964" w:hanging="964"/>
      <w:jc w:val="both"/>
    </w:pPr>
  </w:style>
  <w:style w:type="paragraph" w:customStyle="1" w:styleId="P1">
    <w:name w:val="P1"/>
    <w:aliases w:val="(a)"/>
    <w:basedOn w:val="Normal"/>
    <w:rsid w:val="006159E6"/>
    <w:pPr>
      <w:tabs>
        <w:tab w:val="right" w:pos="1191"/>
        <w:tab w:val="left" w:pos="1644"/>
      </w:tabs>
      <w:spacing w:before="60" w:line="260" w:lineRule="exact"/>
      <w:ind w:left="1418" w:hanging="1418"/>
      <w:jc w:val="both"/>
    </w:pPr>
  </w:style>
  <w:style w:type="character" w:customStyle="1" w:styleId="CharSchPTText">
    <w:name w:val="CharSchPTText"/>
    <w:basedOn w:val="DefaultParagraphFont"/>
    <w:rsid w:val="006159E6"/>
    <w:rPr>
      <w:rFonts w:ascii="Arial" w:hAnsi="Arial"/>
    </w:rPr>
  </w:style>
  <w:style w:type="character" w:customStyle="1" w:styleId="CharSectno">
    <w:name w:val="CharSectno"/>
    <w:basedOn w:val="DefaultParagraphFont"/>
    <w:rsid w:val="006159E6"/>
    <w:rPr>
      <w:rFonts w:ascii="Arial" w:hAnsi="Arial"/>
    </w:rPr>
  </w:style>
  <w:style w:type="paragraph" w:customStyle="1" w:styleId="HP">
    <w:name w:val="HP"/>
    <w:aliases w:val="Part Heading"/>
    <w:basedOn w:val="Normal"/>
    <w:next w:val="Normal"/>
    <w:rsid w:val="006159E6"/>
    <w:pPr>
      <w:keepNext/>
      <w:spacing w:before="360"/>
      <w:ind w:left="2410" w:hanging="2410"/>
    </w:pPr>
    <w:rPr>
      <w:rFonts w:ascii="Arial" w:hAnsi="Arial"/>
      <w:b/>
      <w:sz w:val="32"/>
    </w:rPr>
  </w:style>
  <w:style w:type="paragraph" w:customStyle="1" w:styleId="HR">
    <w:name w:val="HR"/>
    <w:aliases w:val="Regulation Heading"/>
    <w:basedOn w:val="Normal"/>
    <w:next w:val="R1"/>
    <w:rsid w:val="006159E6"/>
    <w:pPr>
      <w:keepNext/>
      <w:spacing w:before="360"/>
      <w:ind w:left="964" w:hanging="964"/>
    </w:pPr>
    <w:rPr>
      <w:rFonts w:ascii="Arial" w:hAnsi="Arial"/>
      <w:b/>
    </w:rPr>
  </w:style>
  <w:style w:type="character" w:styleId="PageNumber">
    <w:name w:val="page number"/>
    <w:basedOn w:val="DefaultParagraphFont"/>
    <w:rsid w:val="006159E6"/>
  </w:style>
  <w:style w:type="paragraph" w:customStyle="1" w:styleId="HeaderBoldEven">
    <w:name w:val="HeaderBoldEven"/>
    <w:basedOn w:val="Normal"/>
    <w:rsid w:val="006159E6"/>
    <w:pPr>
      <w:widowControl w:val="0"/>
      <w:spacing w:before="120" w:after="60"/>
    </w:pPr>
    <w:rPr>
      <w:rFonts w:ascii="Arial" w:hAnsi="Arial"/>
      <w:b/>
      <w:sz w:val="20"/>
    </w:rPr>
  </w:style>
  <w:style w:type="paragraph" w:customStyle="1" w:styleId="HeaderBoldOdd">
    <w:name w:val="HeaderBoldOdd"/>
    <w:basedOn w:val="Normal"/>
    <w:rsid w:val="006159E6"/>
    <w:pPr>
      <w:widowControl w:val="0"/>
      <w:spacing w:before="120" w:after="60"/>
      <w:jc w:val="right"/>
    </w:pPr>
    <w:rPr>
      <w:rFonts w:ascii="Arial" w:hAnsi="Arial"/>
      <w:b/>
      <w:sz w:val="20"/>
    </w:rPr>
  </w:style>
  <w:style w:type="paragraph" w:customStyle="1" w:styleId="Note">
    <w:name w:val="Note"/>
    <w:basedOn w:val="Normal"/>
    <w:rsid w:val="006159E6"/>
    <w:pPr>
      <w:tabs>
        <w:tab w:val="left" w:pos="1559"/>
      </w:tabs>
      <w:spacing w:before="120" w:line="220" w:lineRule="exact"/>
      <w:ind w:left="964"/>
      <w:jc w:val="both"/>
    </w:pPr>
    <w:rPr>
      <w:sz w:val="20"/>
    </w:rPr>
  </w:style>
  <w:style w:type="paragraph" w:customStyle="1" w:styleId="P2">
    <w:name w:val="P2"/>
    <w:aliases w:val="(i)"/>
    <w:basedOn w:val="Normal"/>
    <w:rsid w:val="006159E6"/>
    <w:pPr>
      <w:tabs>
        <w:tab w:val="right" w:pos="1758"/>
        <w:tab w:val="left" w:pos="2155"/>
      </w:tabs>
      <w:spacing w:before="60" w:line="260" w:lineRule="exact"/>
      <w:ind w:left="1985" w:hanging="1985"/>
      <w:jc w:val="both"/>
    </w:pPr>
  </w:style>
  <w:style w:type="paragraph" w:customStyle="1" w:styleId="ExampleBody">
    <w:name w:val="Example Body"/>
    <w:basedOn w:val="Normal"/>
    <w:rsid w:val="006159E6"/>
    <w:pPr>
      <w:spacing w:before="60" w:line="220" w:lineRule="exact"/>
      <w:ind w:left="964"/>
      <w:jc w:val="both"/>
    </w:pPr>
    <w:rPr>
      <w:sz w:val="20"/>
    </w:rPr>
  </w:style>
  <w:style w:type="paragraph" w:customStyle="1" w:styleId="ExampleList">
    <w:name w:val="Example List"/>
    <w:basedOn w:val="Normal"/>
    <w:rsid w:val="006159E6"/>
    <w:pPr>
      <w:numPr>
        <w:numId w:val="1"/>
      </w:numPr>
      <w:tabs>
        <w:tab w:val="left" w:pos="1247"/>
      </w:tabs>
      <w:spacing w:before="60" w:line="220" w:lineRule="exact"/>
      <w:jc w:val="both"/>
    </w:pPr>
    <w:rPr>
      <w:sz w:val="20"/>
    </w:rPr>
  </w:style>
  <w:style w:type="paragraph" w:customStyle="1" w:styleId="HE">
    <w:name w:val="HE"/>
    <w:aliases w:val="Example heading"/>
    <w:basedOn w:val="Normal"/>
    <w:next w:val="ExampleBody"/>
    <w:rsid w:val="006159E6"/>
    <w:pPr>
      <w:keepNext/>
      <w:tabs>
        <w:tab w:val="left" w:pos="1559"/>
      </w:tabs>
      <w:spacing w:before="120" w:line="220" w:lineRule="exact"/>
      <w:ind w:left="964"/>
    </w:pPr>
    <w:rPr>
      <w:i/>
      <w:sz w:val="20"/>
    </w:rPr>
  </w:style>
  <w:style w:type="paragraph" w:customStyle="1" w:styleId="Rc">
    <w:name w:val="Rc"/>
    <w:aliases w:val="Rn continued"/>
    <w:basedOn w:val="Normal"/>
    <w:next w:val="R1"/>
    <w:rsid w:val="006159E6"/>
    <w:pPr>
      <w:spacing w:before="60" w:line="260" w:lineRule="exact"/>
      <w:ind w:left="964"/>
      <w:jc w:val="both"/>
    </w:pPr>
  </w:style>
  <w:style w:type="paragraph" w:customStyle="1" w:styleId="Scheduleheading">
    <w:name w:val="Schedule heading"/>
    <w:basedOn w:val="Normal"/>
    <w:next w:val="R1"/>
    <w:rsid w:val="006159E6"/>
    <w:pPr>
      <w:keepNext/>
      <w:tabs>
        <w:tab w:val="left" w:pos="1985"/>
      </w:tabs>
      <w:spacing w:before="360"/>
      <w:ind w:left="964" w:hanging="964"/>
    </w:pPr>
    <w:rPr>
      <w:rFonts w:ascii="Arial" w:hAnsi="Arial"/>
      <w:b/>
    </w:rPr>
  </w:style>
  <w:style w:type="paragraph" w:customStyle="1" w:styleId="Schedulereference">
    <w:name w:val="Schedule reference"/>
    <w:basedOn w:val="Normal"/>
    <w:next w:val="Normal"/>
    <w:rsid w:val="006159E6"/>
    <w:pPr>
      <w:keepNext/>
      <w:spacing w:before="60" w:line="200" w:lineRule="exact"/>
      <w:ind w:left="2410"/>
    </w:pPr>
    <w:rPr>
      <w:rFonts w:ascii="Arial" w:hAnsi="Arial"/>
      <w:sz w:val="18"/>
    </w:rPr>
  </w:style>
  <w:style w:type="paragraph" w:customStyle="1" w:styleId="Scheduletitle">
    <w:name w:val="Schedule title"/>
    <w:basedOn w:val="Normal"/>
    <w:next w:val="Schedulereference"/>
    <w:rsid w:val="006159E6"/>
    <w:pPr>
      <w:keepNext/>
      <w:spacing w:before="480"/>
      <w:ind w:left="2410" w:hanging="2410"/>
    </w:pPr>
    <w:rPr>
      <w:rFonts w:ascii="Arial" w:hAnsi="Arial"/>
      <w:b/>
      <w:sz w:val="32"/>
    </w:rPr>
  </w:style>
  <w:style w:type="paragraph" w:styleId="TOC2">
    <w:name w:val="toc 2"/>
    <w:basedOn w:val="Normal"/>
    <w:next w:val="Normal"/>
    <w:autoRedefine/>
    <w:semiHidden/>
    <w:rsid w:val="006159E6"/>
    <w:pPr>
      <w:keepNext/>
      <w:tabs>
        <w:tab w:val="right" w:pos="8335"/>
      </w:tabs>
      <w:spacing w:before="240" w:after="120"/>
      <w:ind w:left="1701" w:right="714" w:hanging="1701"/>
    </w:pPr>
    <w:rPr>
      <w:rFonts w:ascii="Arial" w:hAnsi="Arial"/>
      <w:b/>
    </w:rPr>
  </w:style>
  <w:style w:type="paragraph" w:styleId="TOC5">
    <w:name w:val="toc 5"/>
    <w:basedOn w:val="Normal"/>
    <w:next w:val="Normal"/>
    <w:autoRedefine/>
    <w:semiHidden/>
    <w:rsid w:val="006159E6"/>
    <w:pPr>
      <w:tabs>
        <w:tab w:val="right" w:pos="1559"/>
        <w:tab w:val="left" w:pos="1701"/>
        <w:tab w:val="right" w:pos="8335"/>
      </w:tabs>
      <w:spacing w:before="40"/>
      <w:ind w:left="1701" w:right="714" w:hanging="1701"/>
    </w:pPr>
    <w:rPr>
      <w:rFonts w:ascii="Arial" w:hAnsi="Arial"/>
      <w:sz w:val="20"/>
    </w:rPr>
  </w:style>
  <w:style w:type="paragraph" w:styleId="TOC6">
    <w:name w:val="toc 6"/>
    <w:basedOn w:val="Normal"/>
    <w:next w:val="Normal"/>
    <w:autoRedefine/>
    <w:semiHidden/>
    <w:rsid w:val="00FC5709"/>
    <w:pPr>
      <w:keepNext/>
      <w:tabs>
        <w:tab w:val="left" w:pos="2082"/>
        <w:tab w:val="right" w:pos="8335"/>
      </w:tabs>
      <w:spacing w:before="120"/>
      <w:ind w:left="1701" w:right="515" w:hanging="1701"/>
    </w:pPr>
    <w:rPr>
      <w:rFonts w:ascii="Arial" w:hAnsi="Arial"/>
      <w:b/>
      <w:sz w:val="20"/>
    </w:rPr>
  </w:style>
  <w:style w:type="paragraph" w:customStyle="1" w:styleId="HeaderContentsPage">
    <w:name w:val="HeaderContents&quot;Page&quot;"/>
    <w:basedOn w:val="Normal"/>
    <w:rsid w:val="006159E6"/>
    <w:pPr>
      <w:spacing w:before="120" w:after="120"/>
      <w:jc w:val="right"/>
    </w:pPr>
    <w:rPr>
      <w:rFonts w:ascii="Arial" w:hAnsi="Arial"/>
      <w:sz w:val="20"/>
    </w:rPr>
  </w:style>
  <w:style w:type="paragraph" w:customStyle="1" w:styleId="ZP1">
    <w:name w:val="ZP1"/>
    <w:basedOn w:val="P1"/>
    <w:rsid w:val="006159E6"/>
    <w:pPr>
      <w:keepNext/>
    </w:pPr>
  </w:style>
  <w:style w:type="paragraph" w:customStyle="1" w:styleId="ZR1">
    <w:name w:val="ZR1"/>
    <w:basedOn w:val="R1"/>
    <w:rsid w:val="006159E6"/>
    <w:pPr>
      <w:keepNext/>
    </w:pPr>
  </w:style>
  <w:style w:type="paragraph" w:customStyle="1" w:styleId="PageBreak">
    <w:name w:val="PageBreak"/>
    <w:aliases w:val="pb"/>
    <w:basedOn w:val="Normal"/>
    <w:next w:val="Heading2"/>
    <w:rsid w:val="006159E6"/>
    <w:rPr>
      <w:sz w:val="2"/>
    </w:rPr>
  </w:style>
  <w:style w:type="character" w:styleId="CommentReference">
    <w:name w:val="annotation reference"/>
    <w:basedOn w:val="DefaultParagraphFont"/>
    <w:uiPriority w:val="99"/>
    <w:semiHidden/>
    <w:unhideWhenUsed/>
    <w:rsid w:val="006159E6"/>
    <w:rPr>
      <w:sz w:val="16"/>
      <w:szCs w:val="16"/>
    </w:rPr>
  </w:style>
  <w:style w:type="paragraph" w:styleId="CommentText">
    <w:name w:val="annotation text"/>
    <w:basedOn w:val="Normal"/>
    <w:link w:val="CommentTextChar"/>
    <w:uiPriority w:val="99"/>
    <w:semiHidden/>
    <w:unhideWhenUsed/>
    <w:rsid w:val="006159E6"/>
    <w:rPr>
      <w:sz w:val="20"/>
    </w:rPr>
  </w:style>
  <w:style w:type="character" w:customStyle="1" w:styleId="CommentTextChar">
    <w:name w:val="Comment Text Char"/>
    <w:basedOn w:val="DefaultParagraphFont"/>
    <w:link w:val="CommentText"/>
    <w:uiPriority w:val="99"/>
    <w:semiHidden/>
    <w:rsid w:val="006159E6"/>
    <w:rPr>
      <w:rFonts w:ascii="Times New Roman" w:eastAsia="Times New Roman" w:hAnsi="Times New Roman" w:cs="Times New Roman"/>
      <w:sz w:val="20"/>
      <w:szCs w:val="20"/>
      <w:lang w:eastAsia="en-AU"/>
    </w:rPr>
  </w:style>
  <w:style w:type="character" w:customStyle="1" w:styleId="Heading2Char">
    <w:name w:val="Heading 2 Char"/>
    <w:basedOn w:val="DefaultParagraphFont"/>
    <w:link w:val="Heading2"/>
    <w:uiPriority w:val="9"/>
    <w:semiHidden/>
    <w:rsid w:val="006159E6"/>
    <w:rPr>
      <w:rFonts w:asciiTheme="majorHAnsi" w:eastAsiaTheme="majorEastAsia" w:hAnsiTheme="majorHAnsi" w:cstheme="majorBidi"/>
      <w:color w:val="2E74B5" w:themeColor="accent1" w:themeShade="BF"/>
      <w:sz w:val="26"/>
      <w:szCs w:val="26"/>
      <w:lang w:eastAsia="en-AU"/>
    </w:rPr>
  </w:style>
  <w:style w:type="paragraph" w:styleId="BalloonText">
    <w:name w:val="Balloon Text"/>
    <w:basedOn w:val="Normal"/>
    <w:link w:val="BalloonTextChar"/>
    <w:uiPriority w:val="99"/>
    <w:semiHidden/>
    <w:unhideWhenUsed/>
    <w:rsid w:val="006159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9E6"/>
    <w:rPr>
      <w:rFonts w:ascii="Segoe UI" w:eastAsia="Times New Roman" w:hAnsi="Segoe UI" w:cs="Segoe UI"/>
      <w:sz w:val="18"/>
      <w:szCs w:val="18"/>
      <w:lang w:eastAsia="en-AU"/>
    </w:rPr>
  </w:style>
  <w:style w:type="paragraph" w:customStyle="1" w:styleId="SignCoverPageEnd">
    <w:name w:val="SignCoverPageEnd"/>
    <w:basedOn w:val="Normal"/>
    <w:next w:val="Normal"/>
    <w:rsid w:val="004A2BA8"/>
    <w:pPr>
      <w:keepNext/>
      <w:pBdr>
        <w:bottom w:val="single" w:sz="4" w:space="12" w:color="auto"/>
      </w:pBdr>
      <w:tabs>
        <w:tab w:val="left" w:pos="3402"/>
      </w:tabs>
      <w:spacing w:line="300" w:lineRule="atLeast"/>
      <w:ind w:right="397"/>
    </w:pPr>
    <w:rPr>
      <w:sz w:val="22"/>
    </w:rPr>
  </w:style>
  <w:style w:type="paragraph" w:customStyle="1" w:styleId="note0">
    <w:name w:val="note"/>
    <w:basedOn w:val="Normal"/>
    <w:rsid w:val="0050064B"/>
    <w:pPr>
      <w:spacing w:before="100" w:beforeAutospacing="1" w:after="100" w:afterAutospacing="1"/>
    </w:pPr>
    <w:rPr>
      <w:szCs w:val="24"/>
    </w:rPr>
  </w:style>
  <w:style w:type="paragraph" w:styleId="CommentSubject">
    <w:name w:val="annotation subject"/>
    <w:basedOn w:val="CommentText"/>
    <w:next w:val="CommentText"/>
    <w:link w:val="CommentSubjectChar"/>
    <w:uiPriority w:val="99"/>
    <w:semiHidden/>
    <w:unhideWhenUsed/>
    <w:rsid w:val="0050064B"/>
    <w:rPr>
      <w:b/>
      <w:bCs/>
    </w:rPr>
  </w:style>
  <w:style w:type="character" w:customStyle="1" w:styleId="CommentSubjectChar">
    <w:name w:val="Comment Subject Char"/>
    <w:basedOn w:val="CommentTextChar"/>
    <w:link w:val="CommentSubject"/>
    <w:uiPriority w:val="99"/>
    <w:semiHidden/>
    <w:rsid w:val="0050064B"/>
    <w:rPr>
      <w:rFonts w:ascii="Times New Roman" w:eastAsia="Times New Roman" w:hAnsi="Times New Roman" w:cs="Times New Roman"/>
      <w:b/>
      <w:bCs/>
      <w:sz w:val="20"/>
      <w:szCs w:val="20"/>
      <w:lang w:eastAsia="en-AU"/>
    </w:rPr>
  </w:style>
  <w:style w:type="table" w:styleId="TableGrid">
    <w:name w:val="Table Grid"/>
    <w:basedOn w:val="TableNormal"/>
    <w:uiPriority w:val="39"/>
    <w:rsid w:val="00EE5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7AEB"/>
    <w:pPr>
      <w:spacing w:after="0" w:line="240" w:lineRule="auto"/>
    </w:pPr>
    <w:rPr>
      <w:rFonts w:ascii="Times New Roman" w:eastAsia="Times New Roman" w:hAnsi="Times New Roman" w:cs="Times New Roman"/>
      <w:sz w:val="24"/>
      <w:szCs w:val="20"/>
      <w:lang w:eastAsia="en-AU"/>
    </w:rPr>
  </w:style>
  <w:style w:type="character" w:styleId="Hyperlink">
    <w:name w:val="Hyperlink"/>
    <w:basedOn w:val="DefaultParagraphFont"/>
    <w:uiPriority w:val="99"/>
    <w:unhideWhenUsed/>
    <w:rsid w:val="001416AD"/>
    <w:rPr>
      <w:color w:val="0563C1" w:themeColor="hyperlink"/>
      <w:u w:val="single"/>
    </w:rPr>
  </w:style>
  <w:style w:type="paragraph" w:customStyle="1" w:styleId="Definition0">
    <w:name w:val="Definition"/>
    <w:aliases w:val="dd"/>
    <w:basedOn w:val="Normal"/>
    <w:rsid w:val="00DD597F"/>
    <w:pPr>
      <w:spacing w:before="180"/>
      <w:ind w:left="1134"/>
    </w:pPr>
    <w:rPr>
      <w:sz w:val="22"/>
    </w:rPr>
  </w:style>
  <w:style w:type="paragraph" w:customStyle="1" w:styleId="notemargin">
    <w:name w:val="note(margin)"/>
    <w:aliases w:val="nm"/>
    <w:basedOn w:val="Normal"/>
    <w:rsid w:val="00DD597F"/>
    <w:pPr>
      <w:tabs>
        <w:tab w:val="left" w:pos="709"/>
      </w:tabs>
      <w:spacing w:before="122" w:line="198" w:lineRule="exact"/>
      <w:ind w:left="709" w:hanging="709"/>
    </w:pPr>
    <w:rPr>
      <w:sz w:val="18"/>
    </w:rPr>
  </w:style>
  <w:style w:type="paragraph" w:customStyle="1" w:styleId="notetext">
    <w:name w:val="note(text)"/>
    <w:aliases w:val="n"/>
    <w:basedOn w:val="Normal"/>
    <w:rsid w:val="00DD597F"/>
    <w:pPr>
      <w:spacing w:before="122" w:line="198" w:lineRule="exact"/>
      <w:ind w:left="1985" w:hanging="851"/>
    </w:pPr>
    <w:rPr>
      <w:sz w:val="18"/>
    </w:rPr>
  </w:style>
  <w:style w:type="paragraph" w:customStyle="1" w:styleId="subsection">
    <w:name w:val="subsection"/>
    <w:aliases w:val="ss"/>
    <w:basedOn w:val="Normal"/>
    <w:rsid w:val="00DD597F"/>
    <w:pPr>
      <w:tabs>
        <w:tab w:val="right" w:pos="1021"/>
      </w:tabs>
      <w:spacing w:before="180"/>
      <w:ind w:left="1134" w:hanging="1134"/>
    </w:pPr>
    <w:rPr>
      <w:sz w:val="22"/>
    </w:rPr>
  </w:style>
  <w:style w:type="paragraph" w:customStyle="1" w:styleId="paragraph">
    <w:name w:val="paragraph"/>
    <w:aliases w:val="a"/>
    <w:basedOn w:val="Normal"/>
    <w:rsid w:val="00DD597F"/>
    <w:pPr>
      <w:tabs>
        <w:tab w:val="right" w:pos="1531"/>
      </w:tabs>
      <w:spacing w:before="40"/>
      <w:ind w:left="1644" w:hanging="1644"/>
    </w:pPr>
    <w:rPr>
      <w:sz w:val="22"/>
    </w:rPr>
  </w:style>
  <w:style w:type="paragraph" w:customStyle="1" w:styleId="Tabletext">
    <w:name w:val="Tabletext"/>
    <w:aliases w:val="tt"/>
    <w:basedOn w:val="Normal"/>
    <w:rsid w:val="00DD597F"/>
    <w:pPr>
      <w:spacing w:before="60" w:line="240" w:lineRule="atLeast"/>
    </w:pPr>
    <w:rPr>
      <w:sz w:val="20"/>
    </w:rPr>
  </w:style>
  <w:style w:type="paragraph" w:customStyle="1" w:styleId="TableHeading">
    <w:name w:val="TableHeading"/>
    <w:aliases w:val="th"/>
    <w:basedOn w:val="Normal"/>
    <w:next w:val="Tabletext"/>
    <w:rsid w:val="00DD597F"/>
    <w:pPr>
      <w:keepNext/>
      <w:spacing w:before="60" w:line="240" w:lineRule="atLeast"/>
    </w:pPr>
    <w:rPr>
      <w:b/>
      <w:sz w:val="20"/>
    </w:rPr>
  </w:style>
  <w:style w:type="paragraph" w:customStyle="1" w:styleId="subsection2">
    <w:name w:val="subsection2"/>
    <w:aliases w:val="ss2"/>
    <w:basedOn w:val="Normal"/>
    <w:next w:val="subsection"/>
    <w:rsid w:val="00DD597F"/>
    <w:pPr>
      <w:spacing w:before="40"/>
      <w:ind w:left="1134"/>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377">
      <w:bodyDiv w:val="1"/>
      <w:marLeft w:val="0"/>
      <w:marRight w:val="0"/>
      <w:marTop w:val="0"/>
      <w:marBottom w:val="0"/>
      <w:divBdr>
        <w:top w:val="none" w:sz="0" w:space="0" w:color="auto"/>
        <w:left w:val="none" w:sz="0" w:space="0" w:color="auto"/>
        <w:bottom w:val="none" w:sz="0" w:space="0" w:color="auto"/>
        <w:right w:val="none" w:sz="0" w:space="0" w:color="auto"/>
      </w:divBdr>
      <w:divsChild>
        <w:div w:id="150371530">
          <w:marLeft w:val="0"/>
          <w:marRight w:val="0"/>
          <w:marTop w:val="0"/>
          <w:marBottom w:val="0"/>
          <w:divBdr>
            <w:top w:val="none" w:sz="0" w:space="0" w:color="auto"/>
            <w:left w:val="none" w:sz="0" w:space="0" w:color="auto"/>
            <w:bottom w:val="none" w:sz="0" w:space="0" w:color="auto"/>
            <w:right w:val="none" w:sz="0" w:space="0" w:color="auto"/>
          </w:divBdr>
          <w:divsChild>
            <w:div w:id="1009916863">
              <w:marLeft w:val="0"/>
              <w:marRight w:val="0"/>
              <w:marTop w:val="0"/>
              <w:marBottom w:val="0"/>
              <w:divBdr>
                <w:top w:val="none" w:sz="0" w:space="0" w:color="auto"/>
                <w:left w:val="none" w:sz="0" w:space="0" w:color="auto"/>
                <w:bottom w:val="none" w:sz="0" w:space="0" w:color="auto"/>
                <w:right w:val="none" w:sz="0" w:space="0" w:color="auto"/>
              </w:divBdr>
              <w:divsChild>
                <w:div w:id="1640381012">
                  <w:marLeft w:val="0"/>
                  <w:marRight w:val="0"/>
                  <w:marTop w:val="0"/>
                  <w:marBottom w:val="0"/>
                  <w:divBdr>
                    <w:top w:val="none" w:sz="0" w:space="0" w:color="auto"/>
                    <w:left w:val="none" w:sz="0" w:space="0" w:color="auto"/>
                    <w:bottom w:val="none" w:sz="0" w:space="0" w:color="auto"/>
                    <w:right w:val="none" w:sz="0" w:space="0" w:color="auto"/>
                  </w:divBdr>
                  <w:divsChild>
                    <w:div w:id="1208684067">
                      <w:marLeft w:val="0"/>
                      <w:marRight w:val="0"/>
                      <w:marTop w:val="0"/>
                      <w:marBottom w:val="0"/>
                      <w:divBdr>
                        <w:top w:val="none" w:sz="0" w:space="0" w:color="auto"/>
                        <w:left w:val="none" w:sz="0" w:space="0" w:color="auto"/>
                        <w:bottom w:val="none" w:sz="0" w:space="0" w:color="auto"/>
                        <w:right w:val="none" w:sz="0" w:space="0" w:color="auto"/>
                      </w:divBdr>
                      <w:divsChild>
                        <w:div w:id="1353611364">
                          <w:marLeft w:val="0"/>
                          <w:marRight w:val="0"/>
                          <w:marTop w:val="0"/>
                          <w:marBottom w:val="0"/>
                          <w:divBdr>
                            <w:top w:val="none" w:sz="0" w:space="0" w:color="auto"/>
                            <w:left w:val="none" w:sz="0" w:space="0" w:color="auto"/>
                            <w:bottom w:val="none" w:sz="0" w:space="0" w:color="auto"/>
                            <w:right w:val="none" w:sz="0" w:space="0" w:color="auto"/>
                          </w:divBdr>
                          <w:divsChild>
                            <w:div w:id="714307304">
                              <w:marLeft w:val="0"/>
                              <w:marRight w:val="0"/>
                              <w:marTop w:val="0"/>
                              <w:marBottom w:val="0"/>
                              <w:divBdr>
                                <w:top w:val="single" w:sz="6" w:space="0" w:color="828282"/>
                                <w:left w:val="single" w:sz="6" w:space="0" w:color="828282"/>
                                <w:bottom w:val="single" w:sz="6" w:space="0" w:color="828282"/>
                                <w:right w:val="single" w:sz="6" w:space="0" w:color="828282"/>
                              </w:divBdr>
                              <w:divsChild>
                                <w:div w:id="1980576399">
                                  <w:marLeft w:val="0"/>
                                  <w:marRight w:val="0"/>
                                  <w:marTop w:val="0"/>
                                  <w:marBottom w:val="0"/>
                                  <w:divBdr>
                                    <w:top w:val="none" w:sz="0" w:space="0" w:color="auto"/>
                                    <w:left w:val="none" w:sz="0" w:space="0" w:color="auto"/>
                                    <w:bottom w:val="none" w:sz="0" w:space="0" w:color="auto"/>
                                    <w:right w:val="none" w:sz="0" w:space="0" w:color="auto"/>
                                  </w:divBdr>
                                  <w:divsChild>
                                    <w:div w:id="1866364085">
                                      <w:marLeft w:val="0"/>
                                      <w:marRight w:val="0"/>
                                      <w:marTop w:val="0"/>
                                      <w:marBottom w:val="0"/>
                                      <w:divBdr>
                                        <w:top w:val="none" w:sz="0" w:space="0" w:color="auto"/>
                                        <w:left w:val="none" w:sz="0" w:space="0" w:color="auto"/>
                                        <w:bottom w:val="none" w:sz="0" w:space="0" w:color="auto"/>
                                        <w:right w:val="none" w:sz="0" w:space="0" w:color="auto"/>
                                      </w:divBdr>
                                      <w:divsChild>
                                        <w:div w:id="1614285689">
                                          <w:marLeft w:val="0"/>
                                          <w:marRight w:val="0"/>
                                          <w:marTop w:val="0"/>
                                          <w:marBottom w:val="0"/>
                                          <w:divBdr>
                                            <w:top w:val="none" w:sz="0" w:space="0" w:color="auto"/>
                                            <w:left w:val="none" w:sz="0" w:space="0" w:color="auto"/>
                                            <w:bottom w:val="none" w:sz="0" w:space="0" w:color="auto"/>
                                            <w:right w:val="none" w:sz="0" w:space="0" w:color="auto"/>
                                          </w:divBdr>
                                          <w:divsChild>
                                            <w:div w:id="1405184427">
                                              <w:marLeft w:val="0"/>
                                              <w:marRight w:val="0"/>
                                              <w:marTop w:val="0"/>
                                              <w:marBottom w:val="0"/>
                                              <w:divBdr>
                                                <w:top w:val="none" w:sz="0" w:space="0" w:color="auto"/>
                                                <w:left w:val="none" w:sz="0" w:space="0" w:color="auto"/>
                                                <w:bottom w:val="none" w:sz="0" w:space="0" w:color="auto"/>
                                                <w:right w:val="none" w:sz="0" w:space="0" w:color="auto"/>
                                              </w:divBdr>
                                              <w:divsChild>
                                                <w:div w:id="1810324549">
                                                  <w:marLeft w:val="0"/>
                                                  <w:marRight w:val="0"/>
                                                  <w:marTop w:val="0"/>
                                                  <w:marBottom w:val="0"/>
                                                  <w:divBdr>
                                                    <w:top w:val="none" w:sz="0" w:space="0" w:color="auto"/>
                                                    <w:left w:val="none" w:sz="0" w:space="0" w:color="auto"/>
                                                    <w:bottom w:val="none" w:sz="0" w:space="0" w:color="auto"/>
                                                    <w:right w:val="none" w:sz="0" w:space="0" w:color="auto"/>
                                                  </w:divBdr>
                                                  <w:divsChild>
                                                    <w:div w:id="4892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legislation.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KNAH4PPFC442-1881-1263</_dlc_DocId>
    <_dlc_DocIdUrl xmlns="6db8f3c6-01a1-4322-b043-a3b2a190f7a8">
      <Url>http://collaboration/organisation/CCCD/CCB/MOD/_layouts/DocIdRedir.aspx?ID=KNAH4PPFC442-1881-1263</Url>
      <Description>KNAH4PPFC442-1881-1263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5D261705403CE42B54D9A6301E169C3" ma:contentTypeVersion="0" ma:contentTypeDescription="Create a new document." ma:contentTypeScope="" ma:versionID="a2ae4a4f8afcf4b4aab8a4647ee45d8b">
  <xsd:schema xmlns:xsd="http://www.w3.org/2001/XMLSchema" xmlns:xs="http://www.w3.org/2001/XMLSchema" xmlns:p="http://schemas.microsoft.com/office/2006/metadata/properties" xmlns:ns2="6db8f3c6-01a1-4322-b043-a3b2a190f7a8" targetNamespace="http://schemas.microsoft.com/office/2006/metadata/properties" ma:root="true" ma:fieldsID="12cab96ea73bb68e354f842f3ae4407b"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8E1F9-21EF-4795-8357-971E46E3364E}">
  <ds:schemaRefs>
    <ds:schemaRef ds:uri="http://schemas.microsoft.com/office/2006/metadata/properties"/>
    <ds:schemaRef ds:uri="http://schemas.microsoft.com/office/infopath/2007/PartnerControls"/>
    <ds:schemaRef ds:uri="6db8f3c6-01a1-4322-b043-a3b2a190f7a8"/>
  </ds:schemaRefs>
</ds:datastoreItem>
</file>

<file path=customXml/itemProps2.xml><?xml version="1.0" encoding="utf-8"?>
<ds:datastoreItem xmlns:ds="http://schemas.openxmlformats.org/officeDocument/2006/customXml" ds:itemID="{6564E926-895F-4F98-B665-2410F9AC9D77}">
  <ds:schemaRefs>
    <ds:schemaRef ds:uri="http://schemas.microsoft.com/sharepoint/v3/contenttype/forms"/>
  </ds:schemaRefs>
</ds:datastoreItem>
</file>

<file path=customXml/itemProps3.xml><?xml version="1.0" encoding="utf-8"?>
<ds:datastoreItem xmlns:ds="http://schemas.openxmlformats.org/officeDocument/2006/customXml" ds:itemID="{8EED6101-ADC3-40CC-BE1F-A636CEF2D245}">
  <ds:schemaRefs>
    <ds:schemaRef ds:uri="http://schemas.microsoft.com/sharepoint/events"/>
  </ds:schemaRefs>
</ds:datastoreItem>
</file>

<file path=customXml/itemProps4.xml><?xml version="1.0" encoding="utf-8"?>
<ds:datastoreItem xmlns:ds="http://schemas.openxmlformats.org/officeDocument/2006/customXml" ds:itemID="{6B54D148-0CB5-4549-8ABC-30F5B800B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674090-6D1B-4EC0-B993-FF648DD8B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1885</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McDonald</dc:creator>
  <cp:keywords/>
  <dc:description/>
  <cp:lastModifiedBy>Morgan Vaudrey</cp:lastModifiedBy>
  <cp:revision>4</cp:revision>
  <cp:lastPrinted>2017-05-31T01:10:00Z</cp:lastPrinted>
  <dcterms:created xsi:type="dcterms:W3CDTF">2017-06-01T06:39:00Z</dcterms:created>
  <dcterms:modified xsi:type="dcterms:W3CDTF">2017-06-29T04:25:00Z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0x01010015D261705403CE42B54D9A6301E169C3</vt:lpwstr>
  </property>
  <property fmtid="{D5CDD505-2E9C-101B-9397-08002B2CF9AE}" pid="3" name="_dlc_DocIdItemGuid">
    <vt:lpwstr>4d862bd5-5845-40bf-8e55-f7de7ae59b4c</vt:lpwstr>
  </property>
</Properties>
</file>