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FE38" w14:textId="77777777" w:rsidR="00F55F81" w:rsidRDefault="00F55F81" w:rsidP="00F55F81">
      <w:pPr>
        <w:pStyle w:val="Heading1"/>
        <w:spacing w:line="360" w:lineRule="auto"/>
        <w:ind w:firstLine="142"/>
      </w:pPr>
      <w:r>
        <w:t>EXPLANATORY STATEMENT</w:t>
      </w:r>
    </w:p>
    <w:p w14:paraId="66515AF8" w14:textId="77777777" w:rsidR="00F55F81" w:rsidRDefault="00F55F81" w:rsidP="00F55F81">
      <w:pPr>
        <w:pStyle w:val="Heading2"/>
        <w:spacing w:before="120" w:after="360" w:line="360" w:lineRule="auto"/>
        <w:ind w:left="0" w:firstLine="142"/>
      </w:pPr>
      <w:r w:rsidRPr="0094373A">
        <w:rPr>
          <w:i/>
        </w:rPr>
        <w:t xml:space="preserve">Migration Regulations 1994 </w:t>
      </w:r>
    </w:p>
    <w:p w14:paraId="5A1BD7E0" w14:textId="4E86FE8E" w:rsidR="00F55F81" w:rsidRDefault="00F55F81" w:rsidP="00F55F81">
      <w:pPr>
        <w:spacing w:after="480" w:line="360" w:lineRule="auto"/>
        <w:ind w:left="142"/>
        <w:jc w:val="center"/>
        <w:rPr>
          <w:b/>
          <w:sz w:val="24"/>
        </w:rPr>
      </w:pPr>
      <w:r w:rsidRPr="00F55F81">
        <w:rPr>
          <w:b/>
          <w:sz w:val="24"/>
        </w:rPr>
        <w:t xml:space="preserve">MIGRATION (IMMI 17/080: SPECIFICATION OF OCCUPATIONS AND ASSESSING AUTHORITIES—SUBCLASS 186 VISA) INSTRUMENT 2017 </w:t>
      </w:r>
    </w:p>
    <w:p w14:paraId="793588E9" w14:textId="5C1A64B0" w:rsidR="00F55F81" w:rsidRPr="00F55F81" w:rsidRDefault="00F55F81" w:rsidP="00F55F81">
      <w:pPr>
        <w:spacing w:after="480" w:line="360" w:lineRule="auto"/>
        <w:ind w:left="142"/>
        <w:jc w:val="center"/>
        <w:rPr>
          <w:i/>
          <w:sz w:val="22"/>
          <w:szCs w:val="22"/>
        </w:rPr>
      </w:pPr>
      <w:r w:rsidRPr="000A2C52">
        <w:rPr>
          <w:i/>
          <w:sz w:val="22"/>
          <w:szCs w:val="22"/>
        </w:rPr>
        <w:t>(</w:t>
      </w:r>
      <w:proofErr w:type="gramStart"/>
      <w:r w:rsidRPr="00F55F81">
        <w:rPr>
          <w:i/>
          <w:sz w:val="22"/>
          <w:szCs w:val="22"/>
        </w:rPr>
        <w:t>sub</w:t>
      </w:r>
      <w:r>
        <w:rPr>
          <w:i/>
          <w:sz w:val="22"/>
          <w:szCs w:val="22"/>
        </w:rPr>
        <w:t>-subparagraph</w:t>
      </w:r>
      <w:proofErr w:type="gramEnd"/>
      <w:r>
        <w:rPr>
          <w:i/>
          <w:sz w:val="22"/>
          <w:szCs w:val="22"/>
        </w:rPr>
        <w:t xml:space="preserve"> 5.19(4)(h)(</w:t>
      </w:r>
      <w:proofErr w:type="spellStart"/>
      <w:r>
        <w:rPr>
          <w:i/>
          <w:sz w:val="22"/>
          <w:szCs w:val="22"/>
        </w:rPr>
        <w:t>i</w:t>
      </w:r>
      <w:proofErr w:type="spellEnd"/>
      <w:r>
        <w:rPr>
          <w:i/>
          <w:sz w:val="22"/>
          <w:szCs w:val="22"/>
        </w:rPr>
        <w:t xml:space="preserve">)(A) and </w:t>
      </w:r>
      <w:r w:rsidRPr="00F55F81">
        <w:rPr>
          <w:i/>
          <w:sz w:val="22"/>
          <w:szCs w:val="22"/>
        </w:rPr>
        <w:t>paragraph 186.234(2)(a) of Schedule 2</w:t>
      </w:r>
      <w:r w:rsidRPr="000A2C52">
        <w:rPr>
          <w:i/>
          <w:sz w:val="22"/>
          <w:szCs w:val="22"/>
        </w:rPr>
        <w:t>)</w:t>
      </w:r>
    </w:p>
    <w:p w14:paraId="15D23900" w14:textId="731A11F5" w:rsidR="00F55F81" w:rsidRDefault="00F55F81" w:rsidP="00F55F81">
      <w:pPr>
        <w:numPr>
          <w:ilvl w:val="0"/>
          <w:numId w:val="1"/>
        </w:numPr>
        <w:spacing w:line="360" w:lineRule="auto"/>
        <w:jc w:val="both"/>
        <w:rPr>
          <w:sz w:val="24"/>
        </w:rPr>
      </w:pPr>
      <w:r>
        <w:rPr>
          <w:sz w:val="24"/>
        </w:rPr>
        <w:t xml:space="preserve">Instrument IMMI 17/080 is made </w:t>
      </w:r>
      <w:r w:rsidRPr="000A2C52">
        <w:rPr>
          <w:sz w:val="24"/>
        </w:rPr>
        <w:t xml:space="preserve">under </w:t>
      </w:r>
      <w:r w:rsidRPr="00F55F81">
        <w:rPr>
          <w:sz w:val="24"/>
        </w:rPr>
        <w:t>sub-subparagraph 5.19(4</w:t>
      </w:r>
      <w:proofErr w:type="gramStart"/>
      <w:r w:rsidRPr="00F55F81">
        <w:rPr>
          <w:sz w:val="24"/>
        </w:rPr>
        <w:t>)(</w:t>
      </w:r>
      <w:proofErr w:type="gramEnd"/>
      <w:r w:rsidRPr="00F55F81">
        <w:rPr>
          <w:sz w:val="24"/>
        </w:rPr>
        <w:t>h)(</w:t>
      </w:r>
      <w:proofErr w:type="spellStart"/>
      <w:r w:rsidRPr="00F55F81">
        <w:rPr>
          <w:sz w:val="24"/>
        </w:rPr>
        <w:t>i</w:t>
      </w:r>
      <w:proofErr w:type="spellEnd"/>
      <w:r w:rsidRPr="00F55F81">
        <w:rPr>
          <w:sz w:val="24"/>
        </w:rPr>
        <w:t xml:space="preserve">)(A) and paragraph 186.234(2)(a) of Schedule 2 to </w:t>
      </w:r>
      <w:r w:rsidRPr="000A2C52">
        <w:rPr>
          <w:sz w:val="24"/>
        </w:rPr>
        <w:t xml:space="preserve">the </w:t>
      </w:r>
      <w:r w:rsidRPr="002F66AA">
        <w:rPr>
          <w:i/>
          <w:sz w:val="24"/>
        </w:rPr>
        <w:t>Migration Regulations 1994</w:t>
      </w:r>
      <w:r w:rsidRPr="000A2C52">
        <w:rPr>
          <w:sz w:val="24"/>
        </w:rPr>
        <w:t xml:space="preserve"> (the Regulations).</w:t>
      </w:r>
    </w:p>
    <w:p w14:paraId="58DDEA39" w14:textId="2B7D898D" w:rsidR="00170692" w:rsidRDefault="00F55F81" w:rsidP="008E13A2">
      <w:pPr>
        <w:numPr>
          <w:ilvl w:val="0"/>
          <w:numId w:val="1"/>
        </w:numPr>
        <w:spacing w:before="360" w:line="360" w:lineRule="auto"/>
        <w:jc w:val="both"/>
        <w:rPr>
          <w:sz w:val="24"/>
        </w:rPr>
      </w:pPr>
      <w:r w:rsidRPr="00B7616D">
        <w:rPr>
          <w:sz w:val="24"/>
        </w:rPr>
        <w:t xml:space="preserve">The </w:t>
      </w:r>
      <w:r w:rsidR="00C85A64">
        <w:rPr>
          <w:sz w:val="24"/>
        </w:rPr>
        <w:t>i</w:t>
      </w:r>
      <w:r w:rsidRPr="00B7616D">
        <w:rPr>
          <w:sz w:val="24"/>
        </w:rPr>
        <w:t xml:space="preserve">nstrument </w:t>
      </w:r>
      <w:r w:rsidR="00C85A64">
        <w:rPr>
          <w:sz w:val="24"/>
        </w:rPr>
        <w:t xml:space="preserve">IMMI 17/080 </w:t>
      </w:r>
      <w:r w:rsidRPr="00B7616D">
        <w:rPr>
          <w:sz w:val="24"/>
        </w:rPr>
        <w:t>operates to</w:t>
      </w:r>
      <w:r w:rsidR="008E13A2">
        <w:rPr>
          <w:sz w:val="24"/>
        </w:rPr>
        <w:t xml:space="preserve"> </w:t>
      </w:r>
      <w:r w:rsidRPr="008E13A2">
        <w:rPr>
          <w:sz w:val="24"/>
        </w:rPr>
        <w:t xml:space="preserve">specify occupations for the purposes of </w:t>
      </w:r>
      <w:r w:rsidR="000C569D" w:rsidRPr="008E13A2">
        <w:rPr>
          <w:sz w:val="24"/>
        </w:rPr>
        <w:t>sub-subparagraph 5.19(4)(h)(</w:t>
      </w:r>
      <w:proofErr w:type="spellStart"/>
      <w:r w:rsidR="000C569D" w:rsidRPr="008E13A2">
        <w:rPr>
          <w:sz w:val="24"/>
        </w:rPr>
        <w:t>i</w:t>
      </w:r>
      <w:proofErr w:type="spellEnd"/>
      <w:r w:rsidR="000C569D" w:rsidRPr="008E13A2">
        <w:rPr>
          <w:sz w:val="24"/>
        </w:rPr>
        <w:t>)(A)</w:t>
      </w:r>
      <w:r w:rsidR="008E13A2">
        <w:rPr>
          <w:sz w:val="24"/>
        </w:rPr>
        <w:t>,</w:t>
      </w:r>
      <w:r w:rsidR="000C569D" w:rsidRPr="008E13A2">
        <w:rPr>
          <w:sz w:val="24"/>
        </w:rPr>
        <w:t xml:space="preserve"> </w:t>
      </w:r>
      <w:r w:rsidR="008E13A2" w:rsidRPr="008E13A2">
        <w:rPr>
          <w:sz w:val="24"/>
        </w:rPr>
        <w:t>and specify assessing authorities for the purposes of 186.234(2)(a) of Schedule 2 to the Regulations</w:t>
      </w:r>
      <w:r w:rsidR="008E13A2">
        <w:rPr>
          <w:sz w:val="24"/>
        </w:rPr>
        <w:t>,</w:t>
      </w:r>
      <w:r w:rsidR="008E13A2" w:rsidRPr="008E13A2">
        <w:rPr>
          <w:sz w:val="24"/>
        </w:rPr>
        <w:t xml:space="preserve"> </w:t>
      </w:r>
      <w:r w:rsidRPr="008E13A2">
        <w:rPr>
          <w:sz w:val="24"/>
        </w:rPr>
        <w:t xml:space="preserve">in regard to the specification of occupations on the Medium and Long-term Strategic Skills List (MLTSSL) and the Short-term Skilled Occupation List (STSOL). </w:t>
      </w:r>
      <w:r w:rsidR="00C85A64">
        <w:rPr>
          <w:sz w:val="24"/>
        </w:rPr>
        <w:t>Those occupations were previously specified in instrument IMMI 16/059.</w:t>
      </w:r>
    </w:p>
    <w:p w14:paraId="26D4D9F3" w14:textId="70F009A7" w:rsidR="00170692" w:rsidRPr="008D523F" w:rsidRDefault="00C85A64" w:rsidP="00170692">
      <w:pPr>
        <w:numPr>
          <w:ilvl w:val="0"/>
          <w:numId w:val="1"/>
        </w:numPr>
        <w:spacing w:before="360" w:line="360" w:lineRule="auto"/>
        <w:jc w:val="both"/>
        <w:rPr>
          <w:sz w:val="24"/>
          <w:szCs w:val="24"/>
        </w:rPr>
      </w:pPr>
      <w:r w:rsidRPr="008D523F">
        <w:rPr>
          <w:sz w:val="24"/>
        </w:rPr>
        <w:t>The occupations that have been added and removed from</w:t>
      </w:r>
      <w:r w:rsidR="00170692" w:rsidRPr="008D523F">
        <w:rPr>
          <w:sz w:val="24"/>
        </w:rPr>
        <w:t xml:space="preserve"> the MLTSSL and STSOL from the previous instrument IMMI 16/059</w:t>
      </w:r>
      <w:r w:rsidR="00B7458B" w:rsidRPr="008D523F">
        <w:rPr>
          <w:sz w:val="24"/>
        </w:rPr>
        <w:t xml:space="preserve"> </w:t>
      </w:r>
      <w:r w:rsidRPr="008D523F">
        <w:rPr>
          <w:sz w:val="24"/>
        </w:rPr>
        <w:t xml:space="preserve">are </w:t>
      </w:r>
      <w:r w:rsidR="00B7458B" w:rsidRPr="008D523F">
        <w:rPr>
          <w:sz w:val="24"/>
        </w:rPr>
        <w:t>based on the first regular review of occupations eligible for skilled visas. The changes made are a result of advice from Government departments and extensive consultation with industry. The amended occupation lists ensure that the entry of skilled foreign workers to Australia remains carefully calibrated to Australia’s needs.</w:t>
      </w:r>
    </w:p>
    <w:p w14:paraId="146F9A60" w14:textId="3DFF84A0" w:rsidR="00170692" w:rsidRDefault="00170692" w:rsidP="00170692">
      <w:pPr>
        <w:numPr>
          <w:ilvl w:val="0"/>
          <w:numId w:val="1"/>
        </w:numPr>
        <w:spacing w:before="360" w:line="360" w:lineRule="auto"/>
        <w:jc w:val="both"/>
        <w:rPr>
          <w:sz w:val="24"/>
          <w:szCs w:val="24"/>
        </w:rPr>
      </w:pPr>
      <w:r>
        <w:rPr>
          <w:sz w:val="24"/>
        </w:rPr>
        <w:t xml:space="preserve">In </w:t>
      </w:r>
      <w:r w:rsidRPr="001B4096">
        <w:rPr>
          <w:sz w:val="24"/>
        </w:rPr>
        <w:t>addition, instrument</w:t>
      </w:r>
      <w:r w:rsidR="00C85A64">
        <w:rPr>
          <w:sz w:val="24"/>
        </w:rPr>
        <w:t xml:space="preserve"> IMMI 17/080</w:t>
      </w:r>
      <w:r w:rsidRPr="001B4096">
        <w:rPr>
          <w:sz w:val="24"/>
        </w:rPr>
        <w:t xml:space="preserve"> provides for caveats, referred to as</w:t>
      </w:r>
      <w:r>
        <w:rPr>
          <w:sz w:val="24"/>
        </w:rPr>
        <w:t xml:space="preserve"> </w:t>
      </w:r>
      <w:r w:rsidRPr="001B4096">
        <w:rPr>
          <w:sz w:val="24"/>
        </w:rPr>
        <w:t xml:space="preserve">inapplicability </w:t>
      </w:r>
      <w:r w:rsidR="00C85A64">
        <w:rPr>
          <w:sz w:val="24"/>
        </w:rPr>
        <w:t>conditions</w:t>
      </w:r>
      <w:r w:rsidRPr="001B4096">
        <w:rPr>
          <w:sz w:val="24"/>
        </w:rPr>
        <w:t xml:space="preserve">, in relation to specifications of those occupations limiting the breadth of the occupation specified for the purposes of satisfying the criteria for the relevant visa or nomination.  The use of </w:t>
      </w:r>
      <w:r w:rsidR="00B7458B">
        <w:rPr>
          <w:sz w:val="24"/>
        </w:rPr>
        <w:t>caveats</w:t>
      </w:r>
      <w:r w:rsidRPr="001B4096">
        <w:rPr>
          <w:sz w:val="24"/>
        </w:rPr>
        <w:t xml:space="preserve"> has been expressly provided for in the </w:t>
      </w:r>
      <w:r w:rsidRPr="008D523F">
        <w:rPr>
          <w:i/>
          <w:sz w:val="24"/>
          <w:szCs w:val="24"/>
        </w:rPr>
        <w:t>Migration Amendment (Specification of Occupations) Regulations 2017</w:t>
      </w:r>
      <w:r w:rsidR="00C85A64">
        <w:rPr>
          <w:sz w:val="24"/>
          <w:szCs w:val="24"/>
        </w:rPr>
        <w:t xml:space="preserve"> which will amend the Regulations</w:t>
      </w:r>
      <w:r>
        <w:rPr>
          <w:sz w:val="24"/>
          <w:szCs w:val="24"/>
        </w:rPr>
        <w:t>.</w:t>
      </w:r>
    </w:p>
    <w:p w14:paraId="36891B91" w14:textId="4290FBD3" w:rsidR="00170692" w:rsidRDefault="00170692" w:rsidP="00170692">
      <w:pPr>
        <w:numPr>
          <w:ilvl w:val="0"/>
          <w:numId w:val="1"/>
        </w:numPr>
        <w:spacing w:before="360" w:line="360" w:lineRule="auto"/>
        <w:jc w:val="both"/>
        <w:rPr>
          <w:sz w:val="24"/>
          <w:szCs w:val="24"/>
        </w:rPr>
      </w:pPr>
      <w:r>
        <w:rPr>
          <w:sz w:val="24"/>
          <w:szCs w:val="24"/>
        </w:rPr>
        <w:lastRenderedPageBreak/>
        <w:t xml:space="preserve">The </w:t>
      </w:r>
      <w:r w:rsidRPr="00140B66">
        <w:rPr>
          <w:sz w:val="24"/>
          <w:szCs w:val="24"/>
        </w:rPr>
        <w:t xml:space="preserve">effect of the application provision in section </w:t>
      </w:r>
      <w:r>
        <w:rPr>
          <w:sz w:val="24"/>
          <w:szCs w:val="24"/>
        </w:rPr>
        <w:t xml:space="preserve">10 </w:t>
      </w:r>
      <w:r w:rsidR="00C85A64">
        <w:rPr>
          <w:sz w:val="24"/>
          <w:szCs w:val="24"/>
        </w:rPr>
        <w:t xml:space="preserve">of Part 3 to the </w:t>
      </w:r>
      <w:r w:rsidRPr="00140B66">
        <w:rPr>
          <w:sz w:val="24"/>
          <w:szCs w:val="24"/>
        </w:rPr>
        <w:t xml:space="preserve">instrument </w:t>
      </w:r>
      <w:r w:rsidR="00C85A64">
        <w:rPr>
          <w:sz w:val="24"/>
          <w:szCs w:val="24"/>
        </w:rPr>
        <w:t xml:space="preserve">IMMI 17/080 is that it </w:t>
      </w:r>
      <w:r w:rsidRPr="00140B66">
        <w:rPr>
          <w:sz w:val="24"/>
          <w:szCs w:val="24"/>
        </w:rPr>
        <w:t xml:space="preserve">will apply in relation to </w:t>
      </w:r>
      <w:r w:rsidR="00C85A64">
        <w:rPr>
          <w:sz w:val="24"/>
          <w:szCs w:val="24"/>
        </w:rPr>
        <w:t xml:space="preserve">applications for approval of a </w:t>
      </w:r>
      <w:r w:rsidRPr="00140B66">
        <w:rPr>
          <w:sz w:val="24"/>
          <w:szCs w:val="24"/>
        </w:rPr>
        <w:t xml:space="preserve">nomination </w:t>
      </w:r>
      <w:r w:rsidR="00C85A64">
        <w:rPr>
          <w:sz w:val="24"/>
          <w:szCs w:val="24"/>
        </w:rPr>
        <w:t>or</w:t>
      </w:r>
      <w:r w:rsidRPr="00140B66">
        <w:rPr>
          <w:sz w:val="24"/>
          <w:szCs w:val="24"/>
        </w:rPr>
        <w:t xml:space="preserve"> </w:t>
      </w:r>
      <w:bookmarkStart w:id="0" w:name="_GoBack"/>
      <w:bookmarkEnd w:id="0"/>
      <w:r w:rsidRPr="00140B66">
        <w:rPr>
          <w:sz w:val="24"/>
          <w:szCs w:val="24"/>
        </w:rPr>
        <w:t>applications for a Subclass 186 (Employer Nomination Scheme) visa</w:t>
      </w:r>
      <w:r w:rsidR="00C85A64">
        <w:rPr>
          <w:sz w:val="24"/>
          <w:szCs w:val="24"/>
        </w:rPr>
        <w:t xml:space="preserve"> </w:t>
      </w:r>
      <w:r w:rsidR="00C85A64" w:rsidRPr="00140B66">
        <w:rPr>
          <w:sz w:val="24"/>
          <w:szCs w:val="24"/>
        </w:rPr>
        <w:t>made on or after 1 July 2017</w:t>
      </w:r>
      <w:r>
        <w:rPr>
          <w:sz w:val="24"/>
          <w:szCs w:val="24"/>
        </w:rPr>
        <w:t>.</w:t>
      </w:r>
    </w:p>
    <w:p w14:paraId="247204C7" w14:textId="7FACF1FF" w:rsidR="00C85A64" w:rsidRPr="00C85A64" w:rsidRDefault="00C85A64" w:rsidP="008D523F">
      <w:pPr>
        <w:numPr>
          <w:ilvl w:val="0"/>
          <w:numId w:val="1"/>
        </w:numPr>
        <w:tabs>
          <w:tab w:val="left" w:pos="567"/>
        </w:tabs>
        <w:spacing w:before="360" w:line="360" w:lineRule="auto"/>
        <w:jc w:val="both"/>
        <w:rPr>
          <w:sz w:val="24"/>
          <w:szCs w:val="24"/>
        </w:rPr>
      </w:pPr>
      <w:r w:rsidRPr="00170692">
        <w:rPr>
          <w:sz w:val="24"/>
        </w:rPr>
        <w:t>The instrument IMMI 16/059 (F2016C01004)</w:t>
      </w:r>
      <w:r w:rsidRPr="00170692">
        <w:rPr>
          <w:sz w:val="24"/>
          <w:szCs w:val="24"/>
        </w:rPr>
        <w:t xml:space="preserve"> is repealed by instrument IMMI 17/081.</w:t>
      </w:r>
    </w:p>
    <w:p w14:paraId="4EEEB7BF" w14:textId="36D13045" w:rsidR="00170692" w:rsidRDefault="00170692" w:rsidP="00170692">
      <w:pPr>
        <w:numPr>
          <w:ilvl w:val="0"/>
          <w:numId w:val="1"/>
        </w:numPr>
        <w:spacing w:before="360" w:line="360" w:lineRule="auto"/>
        <w:jc w:val="both"/>
        <w:rPr>
          <w:sz w:val="24"/>
          <w:szCs w:val="24"/>
        </w:rPr>
      </w:pPr>
      <w:r>
        <w:rPr>
          <w:sz w:val="24"/>
          <w:szCs w:val="24"/>
        </w:rPr>
        <w:t xml:space="preserve">Consultation </w:t>
      </w:r>
      <w:r w:rsidRPr="007478FA">
        <w:rPr>
          <w:sz w:val="24"/>
          <w:szCs w:val="24"/>
        </w:rPr>
        <w:t>was undertaken with the Department of Education and Training, the Department of Employment, the Department of Foreign Affairs and Trade, the Department of Industry, Innovation and Science, the Department of Health, the Department of Communications and the Arts, the Department of Infrastructure and Regional Development, the Department of Agriculture and Water Resources, the Australian Research Council and Austrade</w:t>
      </w:r>
      <w:r>
        <w:rPr>
          <w:sz w:val="24"/>
          <w:szCs w:val="24"/>
        </w:rPr>
        <w:t>.</w:t>
      </w:r>
    </w:p>
    <w:p w14:paraId="1235A554" w14:textId="6B71412A" w:rsidR="00170692" w:rsidRPr="008D523F" w:rsidRDefault="00170692" w:rsidP="00170692">
      <w:pPr>
        <w:numPr>
          <w:ilvl w:val="0"/>
          <w:numId w:val="1"/>
        </w:numPr>
        <w:spacing w:before="360" w:line="360" w:lineRule="auto"/>
        <w:jc w:val="both"/>
        <w:rPr>
          <w:sz w:val="24"/>
          <w:szCs w:val="24"/>
        </w:rPr>
      </w:pPr>
      <w:r>
        <w:rPr>
          <w:sz w:val="24"/>
          <w:szCs w:val="24"/>
        </w:rPr>
        <w:t xml:space="preserve">The </w:t>
      </w:r>
      <w:r w:rsidRPr="007478FA">
        <w:rPr>
          <w:sz w:val="24"/>
          <w:szCs w:val="24"/>
        </w:rPr>
        <w:t xml:space="preserve">Office of Best </w:t>
      </w:r>
      <w:r w:rsidRPr="008D523F">
        <w:rPr>
          <w:sz w:val="24"/>
          <w:szCs w:val="24"/>
        </w:rPr>
        <w:t>Practice Regulation (OBPR) has advised that a Regulatory Impact Statement is not required (OBPR Reference: 22495).</w:t>
      </w:r>
    </w:p>
    <w:p w14:paraId="72DDDB32" w14:textId="2D11630C" w:rsidR="00170692" w:rsidRDefault="00170692" w:rsidP="00170692">
      <w:pPr>
        <w:numPr>
          <w:ilvl w:val="0"/>
          <w:numId w:val="1"/>
        </w:numPr>
        <w:spacing w:before="360" w:line="360" w:lineRule="auto"/>
        <w:jc w:val="both"/>
        <w:rPr>
          <w:sz w:val="24"/>
          <w:szCs w:val="24"/>
        </w:rPr>
      </w:pPr>
      <w:r>
        <w:rPr>
          <w:sz w:val="24"/>
          <w:szCs w:val="24"/>
        </w:rPr>
        <w:t xml:space="preserve">Under </w:t>
      </w:r>
      <w:r w:rsidRPr="004D3463">
        <w:rPr>
          <w:sz w:val="24"/>
          <w:szCs w:val="24"/>
        </w:rPr>
        <w:t>section 10 of the Legislation (Exemptions and Other Matters) Regulation 2015, the instrument is exempt from disallowance and therefore a Statement of Compatibility with Human Rights is not required</w:t>
      </w:r>
      <w:r>
        <w:rPr>
          <w:sz w:val="24"/>
          <w:szCs w:val="24"/>
        </w:rPr>
        <w:t>.</w:t>
      </w:r>
    </w:p>
    <w:p w14:paraId="0F118048" w14:textId="6AA6A9C2" w:rsidR="00170692" w:rsidRPr="00E246E2" w:rsidRDefault="00170692" w:rsidP="00170692">
      <w:pPr>
        <w:numPr>
          <w:ilvl w:val="0"/>
          <w:numId w:val="1"/>
        </w:numPr>
        <w:spacing w:before="360" w:line="360" w:lineRule="auto"/>
        <w:jc w:val="both"/>
        <w:rPr>
          <w:sz w:val="24"/>
          <w:szCs w:val="24"/>
        </w:rPr>
      </w:pPr>
      <w:r>
        <w:rPr>
          <w:sz w:val="24"/>
          <w:szCs w:val="24"/>
        </w:rPr>
        <w:t xml:space="preserve">The </w:t>
      </w:r>
      <w:r w:rsidR="00C85A64">
        <w:rPr>
          <w:sz w:val="24"/>
        </w:rPr>
        <w:t>i</w:t>
      </w:r>
      <w:r w:rsidRPr="00F51243">
        <w:rPr>
          <w:sz w:val="24"/>
        </w:rPr>
        <w:t>nstrument commences on 1 July 2017</w:t>
      </w:r>
      <w:r>
        <w:rPr>
          <w:sz w:val="24"/>
        </w:rPr>
        <w:t>.</w:t>
      </w:r>
    </w:p>
    <w:p w14:paraId="37E7E6C0" w14:textId="20867B83" w:rsidR="00D35E5D" w:rsidRDefault="00F55F81" w:rsidP="008E13A2">
      <w:r w:rsidRPr="00963E14">
        <w:rPr>
          <w:b/>
          <w:sz w:val="24"/>
        </w:rPr>
        <w:t xml:space="preserve"> </w:t>
      </w:r>
    </w:p>
    <w:sectPr w:rsidR="00D35E5D" w:rsidSect="00C85D16">
      <w:headerReference w:type="even" r:id="rId9"/>
      <w:headerReference w:type="default" r:id="rId10"/>
      <w:footerReference w:type="even" r:id="rId11"/>
      <w:footerReference w:type="default" r:id="rId12"/>
      <w:headerReference w:type="first" r:id="rId13"/>
      <w:footerReference w:type="first" r:id="rId14"/>
      <w:pgSz w:w="11906" w:h="16838"/>
      <w:pgMar w:top="1560" w:right="1416" w:bottom="1134" w:left="1418" w:header="426" w:footer="86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D8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BB62B" w14:textId="77777777" w:rsidR="00F55F81" w:rsidRDefault="00F55F81" w:rsidP="00F55F81">
      <w:r>
        <w:separator/>
      </w:r>
    </w:p>
  </w:endnote>
  <w:endnote w:type="continuationSeparator" w:id="0">
    <w:p w14:paraId="63930B5C" w14:textId="77777777" w:rsidR="00F55F81" w:rsidRDefault="00F55F81" w:rsidP="00F5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9BE6C" w14:textId="77777777" w:rsidR="008D0A7B" w:rsidRDefault="008D0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A29FE" w14:textId="77777777" w:rsidR="008D0A7B" w:rsidRDefault="008D0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BD4F3" w14:textId="77777777" w:rsidR="008D0A7B" w:rsidRDefault="008D0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E4D3" w14:textId="77777777" w:rsidR="00F55F81" w:rsidRDefault="00F55F81" w:rsidP="00F55F81">
      <w:r>
        <w:separator/>
      </w:r>
    </w:p>
  </w:footnote>
  <w:footnote w:type="continuationSeparator" w:id="0">
    <w:p w14:paraId="411A8656" w14:textId="77777777" w:rsidR="00F55F81" w:rsidRDefault="00F55F81" w:rsidP="00F5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156C" w14:textId="77777777" w:rsidR="008D0A7B" w:rsidRDefault="008D0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E7A01" w14:textId="09DC64C1" w:rsidR="005455C0" w:rsidRPr="000A2C52" w:rsidRDefault="008E4388" w:rsidP="00C85D16">
    <w:pPr>
      <w:pStyle w:val="Header"/>
      <w:jc w:val="right"/>
      <w:rPr>
        <w:rFonts w:ascii="Times New Roman" w:hAnsi="Times New Roman"/>
        <w:i/>
        <w:sz w:val="22"/>
        <w:szCs w:val="22"/>
      </w:rPr>
    </w:pPr>
    <w:r>
      <w:rPr>
        <w:rFonts w:ascii="Times New Roman" w:hAnsi="Times New Roman"/>
        <w:i/>
        <w:sz w:val="22"/>
        <w:szCs w:val="22"/>
      </w:rPr>
      <w:t>IMMI 17/0</w:t>
    </w:r>
    <w:r w:rsidR="00F55F81">
      <w:rPr>
        <w:rFonts w:ascii="Times New Roman" w:hAnsi="Times New Roman"/>
        <w:i/>
        <w:sz w:val="22"/>
        <w:szCs w:val="22"/>
      </w:rPr>
      <w:t>8</w:t>
    </w:r>
    <w:r>
      <w:rPr>
        <w:rFonts w:ascii="Times New Roman" w:hAnsi="Times New Roman"/>
        <w:i/>
        <w:sz w:val="22"/>
        <w:szCs w:val="22"/>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64B82" w14:textId="77777777" w:rsidR="008D0A7B" w:rsidRDefault="008D0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044"/>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nsid w:val="2DB12385"/>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NG">
    <w15:presenceInfo w15:providerId="AD" w15:userId="S-1-5-21-823819621-2289327709-1525221890-20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81"/>
    <w:rsid w:val="000C569D"/>
    <w:rsid w:val="00102CC4"/>
    <w:rsid w:val="00170692"/>
    <w:rsid w:val="003435CA"/>
    <w:rsid w:val="004E28D1"/>
    <w:rsid w:val="00754765"/>
    <w:rsid w:val="008D0A7B"/>
    <w:rsid w:val="008D523F"/>
    <w:rsid w:val="008E0487"/>
    <w:rsid w:val="008E13A2"/>
    <w:rsid w:val="008E4388"/>
    <w:rsid w:val="00A34334"/>
    <w:rsid w:val="00A43F33"/>
    <w:rsid w:val="00AF44EB"/>
    <w:rsid w:val="00B7458B"/>
    <w:rsid w:val="00C85A64"/>
    <w:rsid w:val="00D35E5D"/>
    <w:rsid w:val="00EE0AF2"/>
    <w:rsid w:val="00F0021B"/>
    <w:rsid w:val="00F55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44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81"/>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F55F81"/>
    <w:pPr>
      <w:keepNext/>
      <w:jc w:val="center"/>
      <w:outlineLvl w:val="0"/>
    </w:pPr>
    <w:rPr>
      <w:b/>
      <w:sz w:val="24"/>
      <w:u w:val="single"/>
    </w:rPr>
  </w:style>
  <w:style w:type="paragraph" w:styleId="Heading2">
    <w:name w:val="heading 2"/>
    <w:basedOn w:val="Normal"/>
    <w:next w:val="Normal"/>
    <w:link w:val="Heading2Char"/>
    <w:uiPriority w:val="9"/>
    <w:qFormat/>
    <w:rsid w:val="00F55F81"/>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F81"/>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F55F81"/>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F55F81"/>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F55F81"/>
    <w:rPr>
      <w:rFonts w:ascii="Arial" w:eastAsia="Times New Roman" w:hAnsi="Arial" w:cs="Times New Roman"/>
      <w:sz w:val="24"/>
      <w:szCs w:val="20"/>
      <w:lang w:eastAsia="en-AU"/>
    </w:rPr>
  </w:style>
  <w:style w:type="paragraph" w:customStyle="1" w:styleId="CharChar">
    <w:name w:val="Char Char"/>
    <w:basedOn w:val="Normal"/>
    <w:rsid w:val="00F55F81"/>
    <w:pPr>
      <w:spacing w:before="120" w:after="120"/>
    </w:pPr>
    <w:rPr>
      <w:rFonts w:ascii="Arial" w:hAnsi="Arial"/>
      <w:sz w:val="22"/>
      <w:lang w:eastAsia="en-US"/>
    </w:rPr>
  </w:style>
  <w:style w:type="character" w:styleId="CommentReference">
    <w:name w:val="annotation reference"/>
    <w:uiPriority w:val="99"/>
    <w:semiHidden/>
    <w:unhideWhenUsed/>
    <w:rsid w:val="00F55F81"/>
    <w:rPr>
      <w:sz w:val="16"/>
      <w:szCs w:val="16"/>
    </w:rPr>
  </w:style>
  <w:style w:type="paragraph" w:styleId="CommentText">
    <w:name w:val="annotation text"/>
    <w:basedOn w:val="Normal"/>
    <w:link w:val="CommentTextChar"/>
    <w:uiPriority w:val="99"/>
    <w:semiHidden/>
    <w:unhideWhenUsed/>
    <w:rsid w:val="00F55F81"/>
  </w:style>
  <w:style w:type="character" w:customStyle="1" w:styleId="CommentTextChar">
    <w:name w:val="Comment Text Char"/>
    <w:basedOn w:val="DefaultParagraphFont"/>
    <w:link w:val="CommentText"/>
    <w:uiPriority w:val="99"/>
    <w:semiHidden/>
    <w:rsid w:val="00F55F8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55F81"/>
    <w:rPr>
      <w:rFonts w:ascii="Tahoma" w:hAnsi="Tahoma" w:cs="Tahoma"/>
      <w:sz w:val="16"/>
      <w:szCs w:val="16"/>
    </w:rPr>
  </w:style>
  <w:style w:type="character" w:customStyle="1" w:styleId="BalloonTextChar">
    <w:name w:val="Balloon Text Char"/>
    <w:basedOn w:val="DefaultParagraphFont"/>
    <w:link w:val="BalloonText"/>
    <w:uiPriority w:val="99"/>
    <w:semiHidden/>
    <w:rsid w:val="00F55F81"/>
    <w:rPr>
      <w:rFonts w:ascii="Tahoma" w:eastAsia="Times New Roman" w:hAnsi="Tahoma" w:cs="Tahoma"/>
      <w:sz w:val="16"/>
      <w:szCs w:val="16"/>
      <w:lang w:eastAsia="en-AU"/>
    </w:rPr>
  </w:style>
  <w:style w:type="paragraph" w:styleId="Footer">
    <w:name w:val="footer"/>
    <w:basedOn w:val="Normal"/>
    <w:link w:val="FooterChar"/>
    <w:uiPriority w:val="99"/>
    <w:unhideWhenUsed/>
    <w:rsid w:val="00F55F81"/>
    <w:pPr>
      <w:tabs>
        <w:tab w:val="center" w:pos="4513"/>
        <w:tab w:val="right" w:pos="9026"/>
      </w:tabs>
    </w:pPr>
  </w:style>
  <w:style w:type="character" w:customStyle="1" w:styleId="FooterChar">
    <w:name w:val="Footer Char"/>
    <w:basedOn w:val="DefaultParagraphFont"/>
    <w:link w:val="Footer"/>
    <w:uiPriority w:val="99"/>
    <w:rsid w:val="00F55F8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0487"/>
    <w:rPr>
      <w:b/>
      <w:bCs/>
    </w:rPr>
  </w:style>
  <w:style w:type="character" w:customStyle="1" w:styleId="CommentSubjectChar">
    <w:name w:val="Comment Subject Char"/>
    <w:basedOn w:val="CommentTextChar"/>
    <w:link w:val="CommentSubject"/>
    <w:uiPriority w:val="99"/>
    <w:semiHidden/>
    <w:rsid w:val="008E0487"/>
    <w:rPr>
      <w:rFonts w:ascii="Times New Roman" w:eastAsia="Times New Roman" w:hAnsi="Times New Roman" w:cs="Times New Roman"/>
      <w:b/>
      <w:bCs/>
      <w:sz w:val="20"/>
      <w:szCs w:val="20"/>
      <w:lang w:eastAsia="en-AU"/>
    </w:rPr>
  </w:style>
  <w:style w:type="paragraph" w:styleId="Revision">
    <w:name w:val="Revision"/>
    <w:hidden/>
    <w:uiPriority w:val="99"/>
    <w:semiHidden/>
    <w:rsid w:val="008E0487"/>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0C5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81"/>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F55F81"/>
    <w:pPr>
      <w:keepNext/>
      <w:jc w:val="center"/>
      <w:outlineLvl w:val="0"/>
    </w:pPr>
    <w:rPr>
      <w:b/>
      <w:sz w:val="24"/>
      <w:u w:val="single"/>
    </w:rPr>
  </w:style>
  <w:style w:type="paragraph" w:styleId="Heading2">
    <w:name w:val="heading 2"/>
    <w:basedOn w:val="Normal"/>
    <w:next w:val="Normal"/>
    <w:link w:val="Heading2Char"/>
    <w:uiPriority w:val="9"/>
    <w:qFormat/>
    <w:rsid w:val="00F55F81"/>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F81"/>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F55F81"/>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F55F81"/>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F55F81"/>
    <w:rPr>
      <w:rFonts w:ascii="Arial" w:eastAsia="Times New Roman" w:hAnsi="Arial" w:cs="Times New Roman"/>
      <w:sz w:val="24"/>
      <w:szCs w:val="20"/>
      <w:lang w:eastAsia="en-AU"/>
    </w:rPr>
  </w:style>
  <w:style w:type="paragraph" w:customStyle="1" w:styleId="CharChar">
    <w:name w:val="Char Char"/>
    <w:basedOn w:val="Normal"/>
    <w:rsid w:val="00F55F81"/>
    <w:pPr>
      <w:spacing w:before="120" w:after="120"/>
    </w:pPr>
    <w:rPr>
      <w:rFonts w:ascii="Arial" w:hAnsi="Arial"/>
      <w:sz w:val="22"/>
      <w:lang w:eastAsia="en-US"/>
    </w:rPr>
  </w:style>
  <w:style w:type="character" w:styleId="CommentReference">
    <w:name w:val="annotation reference"/>
    <w:uiPriority w:val="99"/>
    <w:semiHidden/>
    <w:unhideWhenUsed/>
    <w:rsid w:val="00F55F81"/>
    <w:rPr>
      <w:sz w:val="16"/>
      <w:szCs w:val="16"/>
    </w:rPr>
  </w:style>
  <w:style w:type="paragraph" w:styleId="CommentText">
    <w:name w:val="annotation text"/>
    <w:basedOn w:val="Normal"/>
    <w:link w:val="CommentTextChar"/>
    <w:uiPriority w:val="99"/>
    <w:semiHidden/>
    <w:unhideWhenUsed/>
    <w:rsid w:val="00F55F81"/>
  </w:style>
  <w:style w:type="character" w:customStyle="1" w:styleId="CommentTextChar">
    <w:name w:val="Comment Text Char"/>
    <w:basedOn w:val="DefaultParagraphFont"/>
    <w:link w:val="CommentText"/>
    <w:uiPriority w:val="99"/>
    <w:semiHidden/>
    <w:rsid w:val="00F55F81"/>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55F81"/>
    <w:rPr>
      <w:rFonts w:ascii="Tahoma" w:hAnsi="Tahoma" w:cs="Tahoma"/>
      <w:sz w:val="16"/>
      <w:szCs w:val="16"/>
    </w:rPr>
  </w:style>
  <w:style w:type="character" w:customStyle="1" w:styleId="BalloonTextChar">
    <w:name w:val="Balloon Text Char"/>
    <w:basedOn w:val="DefaultParagraphFont"/>
    <w:link w:val="BalloonText"/>
    <w:uiPriority w:val="99"/>
    <w:semiHidden/>
    <w:rsid w:val="00F55F81"/>
    <w:rPr>
      <w:rFonts w:ascii="Tahoma" w:eastAsia="Times New Roman" w:hAnsi="Tahoma" w:cs="Tahoma"/>
      <w:sz w:val="16"/>
      <w:szCs w:val="16"/>
      <w:lang w:eastAsia="en-AU"/>
    </w:rPr>
  </w:style>
  <w:style w:type="paragraph" w:styleId="Footer">
    <w:name w:val="footer"/>
    <w:basedOn w:val="Normal"/>
    <w:link w:val="FooterChar"/>
    <w:uiPriority w:val="99"/>
    <w:unhideWhenUsed/>
    <w:rsid w:val="00F55F81"/>
    <w:pPr>
      <w:tabs>
        <w:tab w:val="center" w:pos="4513"/>
        <w:tab w:val="right" w:pos="9026"/>
      </w:tabs>
    </w:pPr>
  </w:style>
  <w:style w:type="character" w:customStyle="1" w:styleId="FooterChar">
    <w:name w:val="Footer Char"/>
    <w:basedOn w:val="DefaultParagraphFont"/>
    <w:link w:val="Footer"/>
    <w:uiPriority w:val="99"/>
    <w:rsid w:val="00F55F8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0487"/>
    <w:rPr>
      <w:b/>
      <w:bCs/>
    </w:rPr>
  </w:style>
  <w:style w:type="character" w:customStyle="1" w:styleId="CommentSubjectChar">
    <w:name w:val="Comment Subject Char"/>
    <w:basedOn w:val="CommentTextChar"/>
    <w:link w:val="CommentSubject"/>
    <w:uiPriority w:val="99"/>
    <w:semiHidden/>
    <w:rsid w:val="008E0487"/>
    <w:rPr>
      <w:rFonts w:ascii="Times New Roman" w:eastAsia="Times New Roman" w:hAnsi="Times New Roman" w:cs="Times New Roman"/>
      <w:b/>
      <w:bCs/>
      <w:sz w:val="20"/>
      <w:szCs w:val="20"/>
      <w:lang w:eastAsia="en-AU"/>
    </w:rPr>
  </w:style>
  <w:style w:type="paragraph" w:styleId="Revision">
    <w:name w:val="Revision"/>
    <w:hidden/>
    <w:uiPriority w:val="99"/>
    <w:semiHidden/>
    <w:rsid w:val="008E0487"/>
    <w:pPr>
      <w:spacing w:after="0" w:line="240" w:lineRule="auto"/>
    </w:pPr>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0C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D939-F485-4702-A7CC-7F227F2A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431</Words>
  <Characters>2479</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LONG</dc:creator>
  <cp:lastModifiedBy>Joel KENNETT</cp:lastModifiedBy>
  <cp:revision>10</cp:revision>
  <cp:lastPrinted>2017-06-23T02:27:00Z</cp:lastPrinted>
  <dcterms:created xsi:type="dcterms:W3CDTF">2017-06-23T07:10:00Z</dcterms:created>
  <dcterms:modified xsi:type="dcterms:W3CDTF">2017-06-26T07:50:00Z</dcterms:modified>
</cp:coreProperties>
</file>