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6B" w:rsidRPr="00BB14A7" w:rsidRDefault="00A8566B" w:rsidP="00A8566B">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BB14A7">
        <w:rPr>
          <w:rFonts w:ascii="Times New Roman" w:eastAsia="Times New Roman" w:hAnsi="Times New Roman" w:cs="Times New Roman"/>
          <w:b/>
          <w:bCs/>
          <w:sz w:val="24"/>
          <w:szCs w:val="24"/>
          <w:u w:val="single"/>
          <w:lang w:eastAsia="en-AU"/>
        </w:rPr>
        <w:t> EXPLANATORY STATEMENT</w:t>
      </w:r>
    </w:p>
    <w:p w:rsidR="00A8566B" w:rsidRDefault="00A8566B" w:rsidP="00A8566B">
      <w:pPr>
        <w:ind w:left="1134" w:hanging="1134"/>
        <w:jc w:val="center"/>
        <w:rPr>
          <w:b/>
          <w:i/>
          <w:sz w:val="24"/>
          <w:szCs w:val="24"/>
          <w:u w:val="single"/>
        </w:rPr>
      </w:pPr>
      <w:r w:rsidRPr="00BB14A7">
        <w:rPr>
          <w:b/>
          <w:i/>
          <w:sz w:val="24"/>
          <w:szCs w:val="24"/>
          <w:u w:val="single"/>
        </w:rPr>
        <w:t>Therapeutic Goods Act 1989</w:t>
      </w:r>
    </w:p>
    <w:p w:rsidR="00A8566B" w:rsidRPr="00F04F41" w:rsidRDefault="00A8566B" w:rsidP="00A8566B">
      <w:pPr>
        <w:ind w:left="1134" w:hanging="1134"/>
        <w:jc w:val="center"/>
        <w:rPr>
          <w:b/>
          <w:sz w:val="24"/>
          <w:szCs w:val="24"/>
        </w:rPr>
      </w:pPr>
      <w:r>
        <w:rPr>
          <w:b/>
          <w:sz w:val="24"/>
          <w:szCs w:val="24"/>
        </w:rPr>
        <w:t>Therapeutic Goods Order No.69 – General requirements for labels for medicines 2017</w:t>
      </w:r>
    </w:p>
    <w:p w:rsidR="00A8566B" w:rsidRPr="00B95376" w:rsidRDefault="00A8566B" w:rsidP="00A8566B">
      <w:pPr>
        <w:pStyle w:val="Heading3"/>
        <w:rPr>
          <w:sz w:val="24"/>
          <w:szCs w:val="24"/>
        </w:rPr>
      </w:pPr>
    </w:p>
    <w:p w:rsidR="00A8566B" w:rsidRPr="00B95376" w:rsidRDefault="00A8566B" w:rsidP="00A8566B">
      <w:pPr>
        <w:pStyle w:val="Heading3"/>
        <w:spacing w:before="0"/>
        <w:rPr>
          <w:sz w:val="24"/>
          <w:szCs w:val="24"/>
        </w:rPr>
      </w:pPr>
      <w:r w:rsidRPr="00B95376">
        <w:rPr>
          <w:sz w:val="24"/>
          <w:szCs w:val="24"/>
        </w:rPr>
        <w:t>OUTLINE</w:t>
      </w:r>
    </w:p>
    <w:p w:rsidR="00A8566B" w:rsidRPr="00470227"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470227">
        <w:rPr>
          <w:rFonts w:ascii="Times New Roman" w:eastAsia="Times New Roman" w:hAnsi="Times New Roman" w:cs="Times New Roman"/>
          <w:sz w:val="24"/>
          <w:szCs w:val="24"/>
          <w:lang w:eastAsia="en-AU"/>
        </w:rPr>
        <w:t xml:space="preserve">The </w:t>
      </w:r>
      <w:r w:rsidRPr="00470227">
        <w:rPr>
          <w:rFonts w:ascii="Times New Roman" w:eastAsia="Times New Roman" w:hAnsi="Times New Roman" w:cs="Times New Roman"/>
          <w:i/>
          <w:iCs/>
          <w:sz w:val="24"/>
          <w:szCs w:val="24"/>
          <w:lang w:eastAsia="en-AU"/>
        </w:rPr>
        <w:t>Therapeutic Goods Act 1989</w:t>
      </w:r>
      <w:r w:rsidRPr="00470227">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A8566B" w:rsidRDefault="00A8566B" w:rsidP="00A8566B">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8F58E7">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 xml:space="preserve">powers of </w:t>
      </w:r>
      <w:r w:rsidRPr="008F58E7">
        <w:rPr>
          <w:rFonts w:ascii="Times New Roman" w:eastAsia="Times New Roman" w:hAnsi="Times New Roman" w:cs="Times New Roman"/>
          <w:sz w:val="24"/>
          <w:szCs w:val="24"/>
          <w:lang w:eastAsia="en-AU"/>
        </w:rPr>
        <w:t>the Act, the TGA is responsible for establishing and enforcing requirements for the way medicines are labelled for commercial supply in Australia.</w:t>
      </w:r>
      <w:r w:rsidR="00CB6D6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Under section 10 of the Act, the Minister may, by way of a legislative instrument,</w:t>
      </w:r>
      <w:r w:rsidRPr="00875D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make </w:t>
      </w:r>
      <w:r w:rsidRPr="00875D95">
        <w:rPr>
          <w:rFonts w:ascii="Times New Roman" w:eastAsia="Times New Roman" w:hAnsi="Times New Roman" w:cs="Times New Roman"/>
          <w:sz w:val="24"/>
          <w:szCs w:val="24"/>
          <w:lang w:eastAsia="en-AU"/>
        </w:rPr>
        <w:t xml:space="preserve">an order </w:t>
      </w:r>
      <w:r>
        <w:rPr>
          <w:rFonts w:ascii="Times New Roman" w:eastAsia="Times New Roman" w:hAnsi="Times New Roman" w:cs="Times New Roman"/>
          <w:sz w:val="24"/>
          <w:szCs w:val="24"/>
          <w:lang w:eastAsia="en-AU"/>
        </w:rPr>
        <w:t>determining that matters specified in the order constitute a standard for</w:t>
      </w:r>
      <w:r w:rsidRPr="00875D95">
        <w:rPr>
          <w:rFonts w:ascii="Times New Roman" w:eastAsia="Times New Roman" w:hAnsi="Times New Roman" w:cs="Times New Roman"/>
          <w:sz w:val="24"/>
          <w:szCs w:val="24"/>
          <w:lang w:eastAsia="en-AU"/>
        </w:rPr>
        <w:t xml:space="preserve"> therapeutic goods</w:t>
      </w:r>
      <w:r>
        <w:rPr>
          <w:rFonts w:ascii="Times New Roman" w:eastAsia="Times New Roman" w:hAnsi="Times New Roman" w:cs="Times New Roman"/>
          <w:sz w:val="24"/>
          <w:szCs w:val="24"/>
          <w:lang w:eastAsia="en-AU"/>
        </w:rPr>
        <w:t xml:space="preserve">. </w:t>
      </w:r>
    </w:p>
    <w:p w:rsidR="00A8566B" w:rsidRPr="007D7395" w:rsidRDefault="00A8566B" w:rsidP="00A8566B">
      <w:pPr>
        <w:autoSpaceDE w:val="0"/>
        <w:autoSpaceDN w:val="0"/>
        <w:adjustRightInd w:val="0"/>
        <w:spacing w:before="240" w:after="0" w:line="240" w:lineRule="auto"/>
        <w:rPr>
          <w:rFonts w:ascii="Times New Roman" w:hAnsi="Times New Roman" w:cs="Times New Roman"/>
          <w:sz w:val="24"/>
          <w:szCs w:val="24"/>
        </w:rPr>
      </w:pPr>
      <w:r w:rsidRPr="007D7395">
        <w:rPr>
          <w:rFonts w:ascii="Times New Roman" w:hAnsi="Times New Roman" w:cs="Times New Roman"/>
          <w:sz w:val="24"/>
          <w:szCs w:val="24"/>
        </w:rPr>
        <w:t xml:space="preserve">Therapeutic Goods Order No. </w:t>
      </w:r>
      <w:r w:rsidRPr="007D7395">
        <w:rPr>
          <w:rFonts w:ascii="Times New Roman" w:eastAsia="Times New Roman" w:hAnsi="Times New Roman" w:cs="Times New Roman"/>
          <w:bCs/>
          <w:sz w:val="24"/>
          <w:szCs w:val="24"/>
          <w:lang w:eastAsia="en-AU"/>
        </w:rPr>
        <w:t xml:space="preserve">69 – General </w:t>
      </w:r>
      <w:r w:rsidRPr="007D7395">
        <w:rPr>
          <w:rFonts w:ascii="Times New Roman" w:hAnsi="Times New Roman" w:cs="Times New Roman"/>
          <w:sz w:val="24"/>
          <w:szCs w:val="24"/>
        </w:rPr>
        <w:t xml:space="preserve">requirements for labels for medicines 2017 </w:t>
      </w:r>
      <w:r>
        <w:rPr>
          <w:rFonts w:ascii="Times New Roman" w:hAnsi="Times New Roman" w:cs="Times New Roman"/>
          <w:sz w:val="24"/>
          <w:szCs w:val="24"/>
        </w:rPr>
        <w:t>(</w:t>
      </w:r>
      <w:r w:rsidRPr="007D7395">
        <w:rPr>
          <w:rFonts w:ascii="Times New Roman" w:hAnsi="Times New Roman" w:cs="Times New Roman"/>
          <w:sz w:val="24"/>
          <w:szCs w:val="24"/>
        </w:rPr>
        <w:t>TGO 69 (2017), this Order</w:t>
      </w:r>
      <w:r>
        <w:rPr>
          <w:rFonts w:ascii="Times New Roman" w:hAnsi="Times New Roman" w:cs="Times New Roman"/>
          <w:sz w:val="24"/>
          <w:szCs w:val="24"/>
        </w:rPr>
        <w:t>)</w:t>
      </w:r>
      <w:r w:rsidRPr="007D7395">
        <w:rPr>
          <w:rFonts w:ascii="Times New Roman" w:hAnsi="Times New Roman" w:cs="Times New Roman"/>
          <w:sz w:val="24"/>
          <w:szCs w:val="24"/>
        </w:rPr>
        <w:t xml:space="preserve"> is an Order made by the delegate of the Minister for Health under section 10 of the </w:t>
      </w:r>
      <w:r w:rsidRPr="007D7395">
        <w:rPr>
          <w:rFonts w:ascii="Times New Roman" w:hAnsi="Times New Roman" w:cs="Times New Roman"/>
          <w:i/>
          <w:sz w:val="24"/>
          <w:szCs w:val="24"/>
        </w:rPr>
        <w:t xml:space="preserve">Therapeutic Goods Act 1989 </w:t>
      </w:r>
      <w:r w:rsidRPr="007D7395">
        <w:rPr>
          <w:rFonts w:ascii="Times New Roman" w:hAnsi="Times New Roman" w:cs="Times New Roman"/>
          <w:sz w:val="24"/>
          <w:szCs w:val="24"/>
        </w:rPr>
        <w:t>(the Act)</w:t>
      </w:r>
      <w:r w:rsidRPr="007D7395">
        <w:rPr>
          <w:rFonts w:ascii="Times New Roman" w:hAnsi="Times New Roman" w:cs="Times New Roman"/>
          <w:i/>
          <w:sz w:val="24"/>
          <w:szCs w:val="24"/>
        </w:rPr>
        <w:t xml:space="preserve">.  </w:t>
      </w:r>
    </w:p>
    <w:p w:rsidR="00A8566B" w:rsidRPr="007D7395" w:rsidRDefault="00A8566B" w:rsidP="00A8566B">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7D7395">
        <w:rPr>
          <w:rFonts w:ascii="Times New Roman" w:hAnsi="Times New Roman" w:cs="Times New Roman"/>
          <w:sz w:val="24"/>
          <w:szCs w:val="24"/>
        </w:rPr>
        <w:t xml:space="preserve">This Order repeals the existing </w:t>
      </w:r>
      <w:r w:rsidRPr="007D7395">
        <w:rPr>
          <w:rStyle w:val="CommentReference"/>
          <w:rFonts w:ascii="Times New Roman" w:hAnsi="Times New Roman" w:cs="Times New Roman"/>
          <w:sz w:val="24"/>
          <w:szCs w:val="24"/>
        </w:rPr>
        <w:t xml:space="preserve">Therapeutic Goods Order No. 69, entitled ‘General requirements for labels for medicines’, made on 27 August 2001 </w:t>
      </w:r>
      <w:r>
        <w:rPr>
          <w:rStyle w:val="CommentReference"/>
          <w:rFonts w:ascii="Times New Roman" w:hAnsi="Times New Roman" w:cs="Times New Roman"/>
          <w:sz w:val="24"/>
          <w:szCs w:val="24"/>
        </w:rPr>
        <w:t>(</w:t>
      </w:r>
      <w:r w:rsidRPr="007D7395">
        <w:rPr>
          <w:rStyle w:val="CommentReference"/>
          <w:rFonts w:ascii="Times New Roman" w:hAnsi="Times New Roman" w:cs="Times New Roman"/>
          <w:sz w:val="24"/>
          <w:szCs w:val="24"/>
        </w:rPr>
        <w:t>TGO 69</w:t>
      </w:r>
      <w:r>
        <w:rPr>
          <w:rStyle w:val="CommentReference"/>
          <w:rFonts w:ascii="Times New Roman" w:hAnsi="Times New Roman" w:cs="Times New Roman"/>
          <w:sz w:val="24"/>
          <w:szCs w:val="24"/>
        </w:rPr>
        <w:t>)</w:t>
      </w:r>
      <w:r w:rsidRPr="007D7395">
        <w:rPr>
          <w:rStyle w:val="CommentReference"/>
          <w:rFonts w:ascii="Times New Roman" w:hAnsi="Times New Roman" w:cs="Times New Roman"/>
          <w:sz w:val="24"/>
          <w:szCs w:val="24"/>
        </w:rPr>
        <w:t>, as amended (Register ID: F2014C00926) which</w:t>
      </w:r>
      <w:r w:rsidRPr="007D7395">
        <w:rPr>
          <w:rFonts w:ascii="Times New Roman" w:eastAsia="Times New Roman" w:hAnsi="Times New Roman" w:cs="Times New Roman"/>
          <w:sz w:val="24"/>
          <w:szCs w:val="24"/>
          <w:lang w:eastAsia="en-AU"/>
        </w:rPr>
        <w:t xml:space="preserve"> is due to ‘sunset’ under the </w:t>
      </w:r>
      <w:r w:rsidRPr="007D7395">
        <w:rPr>
          <w:rFonts w:ascii="Times New Roman" w:eastAsia="Times New Roman" w:hAnsi="Times New Roman" w:cs="Times New Roman"/>
          <w:i/>
          <w:sz w:val="24"/>
          <w:szCs w:val="24"/>
          <w:lang w:eastAsia="en-AU"/>
        </w:rPr>
        <w:t>Legislati</w:t>
      </w:r>
      <w:r>
        <w:rPr>
          <w:rFonts w:ascii="Times New Roman" w:eastAsia="Times New Roman" w:hAnsi="Times New Roman" w:cs="Times New Roman"/>
          <w:i/>
          <w:sz w:val="24"/>
          <w:szCs w:val="24"/>
          <w:lang w:eastAsia="en-AU"/>
        </w:rPr>
        <w:t>on</w:t>
      </w:r>
      <w:r w:rsidRPr="007D7395">
        <w:rPr>
          <w:rFonts w:ascii="Times New Roman" w:eastAsia="Times New Roman" w:hAnsi="Times New Roman" w:cs="Times New Roman"/>
          <w:i/>
          <w:sz w:val="24"/>
          <w:szCs w:val="24"/>
          <w:lang w:eastAsia="en-AU"/>
        </w:rPr>
        <w:t xml:space="preserve"> Act 2003</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(the Legislation Act) soon</w:t>
      </w:r>
      <w:r w:rsidRPr="007D7395">
        <w:rPr>
          <w:rFonts w:ascii="Times New Roman" w:eastAsia="Times New Roman" w:hAnsi="Times New Roman" w:cs="Times New Roman"/>
          <w:sz w:val="24"/>
          <w:szCs w:val="24"/>
          <w:lang w:eastAsia="en-AU"/>
        </w:rPr>
        <w:t xml:space="preserve">. </w:t>
      </w:r>
      <w:r w:rsidR="00CB6D64">
        <w:rPr>
          <w:rFonts w:ascii="Times New Roman" w:eastAsia="Times New Roman" w:hAnsi="Times New Roman" w:cs="Times New Roman"/>
          <w:sz w:val="24"/>
          <w:szCs w:val="24"/>
          <w:lang w:eastAsia="en-AU"/>
        </w:rPr>
        <w:t xml:space="preserve"> </w:t>
      </w:r>
      <w:r w:rsidRPr="007D7395">
        <w:rPr>
          <w:rFonts w:ascii="Times New Roman" w:eastAsia="Times New Roman" w:hAnsi="Times New Roman" w:cs="Times New Roman"/>
          <w:sz w:val="24"/>
          <w:szCs w:val="24"/>
          <w:lang w:eastAsia="en-AU"/>
        </w:rPr>
        <w:t xml:space="preserve">The </w:t>
      </w:r>
      <w:proofErr w:type="spellStart"/>
      <w:r w:rsidRPr="007D7395">
        <w:rPr>
          <w:rFonts w:ascii="Times New Roman" w:eastAsia="Times New Roman" w:hAnsi="Times New Roman" w:cs="Times New Roman"/>
          <w:sz w:val="24"/>
          <w:szCs w:val="24"/>
          <w:lang w:eastAsia="en-AU"/>
        </w:rPr>
        <w:t>sunsetting</w:t>
      </w:r>
      <w:proofErr w:type="spellEnd"/>
      <w:r w:rsidRPr="007D7395">
        <w:rPr>
          <w:rFonts w:ascii="Times New Roman" w:eastAsia="Times New Roman" w:hAnsi="Times New Roman" w:cs="Times New Roman"/>
          <w:sz w:val="24"/>
          <w:szCs w:val="24"/>
          <w:lang w:eastAsia="en-AU"/>
        </w:rPr>
        <w:t xml:space="preserve"> date for TGO 69 is 1 October 2017, as it was re</w:t>
      </w:r>
      <w:r>
        <w:rPr>
          <w:rFonts w:ascii="Times New Roman" w:eastAsia="Times New Roman" w:hAnsi="Times New Roman" w:cs="Times New Roman"/>
          <w:sz w:val="24"/>
          <w:szCs w:val="24"/>
          <w:lang w:eastAsia="en-AU"/>
        </w:rPr>
        <w:noBreakHyphen/>
      </w:r>
      <w:r w:rsidRPr="007D7395">
        <w:rPr>
          <w:rFonts w:ascii="Times New Roman" w:eastAsia="Times New Roman" w:hAnsi="Times New Roman" w:cs="Times New Roman"/>
          <w:sz w:val="24"/>
          <w:szCs w:val="24"/>
          <w:lang w:eastAsia="en-AU"/>
        </w:rPr>
        <w:t>registered on Federal Register of Legislation (FRL) on 16 May 2007.</w:t>
      </w:r>
    </w:p>
    <w:p w:rsidR="00A8566B" w:rsidRPr="007D7395" w:rsidRDefault="00A8566B" w:rsidP="00A8566B">
      <w:pPr>
        <w:autoSpaceDE w:val="0"/>
        <w:autoSpaceDN w:val="0"/>
        <w:adjustRightInd w:val="0"/>
        <w:spacing w:before="240" w:after="0" w:line="240" w:lineRule="auto"/>
        <w:rPr>
          <w:rFonts w:ascii="Times New Roman" w:hAnsi="Times New Roman" w:cs="Times New Roman"/>
          <w:sz w:val="24"/>
          <w:szCs w:val="24"/>
        </w:rPr>
      </w:pPr>
      <w:r w:rsidRPr="007D7395">
        <w:rPr>
          <w:rFonts w:ascii="Times New Roman" w:eastAsia="Times New Roman" w:hAnsi="Times New Roman" w:cs="Times New Roman"/>
          <w:sz w:val="24"/>
          <w:szCs w:val="24"/>
          <w:lang w:eastAsia="en-AU"/>
        </w:rPr>
        <w:t>Labelling requirements for medicines have recently been reviewed</w:t>
      </w:r>
      <w:r>
        <w:rPr>
          <w:rFonts w:ascii="Times New Roman" w:eastAsia="Times New Roman" w:hAnsi="Times New Roman" w:cs="Times New Roman"/>
          <w:sz w:val="24"/>
          <w:szCs w:val="24"/>
          <w:lang w:eastAsia="en-AU"/>
        </w:rPr>
        <w:t>,</w:t>
      </w:r>
      <w:r w:rsidRPr="007D7395">
        <w:rPr>
          <w:rFonts w:ascii="Times New Roman" w:eastAsia="Times New Roman" w:hAnsi="Times New Roman" w:cs="Times New Roman"/>
          <w:sz w:val="24"/>
          <w:szCs w:val="24"/>
          <w:lang w:eastAsia="en-AU"/>
        </w:rPr>
        <w:t xml:space="preserve"> and two new labelling Orders have been implemented with a four year transition period. </w:t>
      </w:r>
      <w:r w:rsidR="00CB6D64">
        <w:rPr>
          <w:rFonts w:ascii="Times New Roman" w:eastAsia="Times New Roman" w:hAnsi="Times New Roman" w:cs="Times New Roman"/>
          <w:sz w:val="24"/>
          <w:szCs w:val="24"/>
          <w:lang w:eastAsia="en-AU"/>
        </w:rPr>
        <w:t xml:space="preserve"> </w:t>
      </w:r>
      <w:r w:rsidRPr="007D7395">
        <w:rPr>
          <w:rFonts w:ascii="Times New Roman" w:eastAsia="Times New Roman" w:hAnsi="Times New Roman" w:cs="Times New Roman"/>
          <w:sz w:val="24"/>
          <w:szCs w:val="24"/>
          <w:lang w:eastAsia="en-AU"/>
        </w:rPr>
        <w:t xml:space="preserve">These </w:t>
      </w:r>
      <w:r w:rsidRPr="007D7395">
        <w:rPr>
          <w:rFonts w:ascii="Times New Roman" w:hAnsi="Times New Roman" w:cs="Times New Roman"/>
          <w:sz w:val="24"/>
          <w:szCs w:val="24"/>
        </w:rPr>
        <w:t>new labelling Orders, Therapeutic Goods Order No. 91 - Standard for labels of prescription and related medicines (TGO 91) and Therapeutic Goods Order No. 92 - Standard for labels of non</w:t>
      </w:r>
      <w:r>
        <w:rPr>
          <w:rFonts w:ascii="Times New Roman" w:hAnsi="Times New Roman" w:cs="Times New Roman"/>
          <w:sz w:val="24"/>
          <w:szCs w:val="24"/>
        </w:rPr>
        <w:noBreakHyphen/>
      </w:r>
      <w:r w:rsidRPr="007D7395">
        <w:rPr>
          <w:rFonts w:ascii="Times New Roman" w:hAnsi="Times New Roman" w:cs="Times New Roman"/>
          <w:sz w:val="24"/>
          <w:szCs w:val="24"/>
        </w:rPr>
        <w:t>prescription medicines (TGO 92)</w:t>
      </w:r>
      <w:r>
        <w:rPr>
          <w:rFonts w:ascii="Times New Roman" w:hAnsi="Times New Roman" w:cs="Times New Roman"/>
          <w:sz w:val="24"/>
          <w:szCs w:val="24"/>
        </w:rPr>
        <w:t>,</w:t>
      </w:r>
      <w:r w:rsidRPr="007D7395">
        <w:rPr>
          <w:rFonts w:ascii="Times New Roman" w:hAnsi="Times New Roman" w:cs="Times New Roman"/>
          <w:sz w:val="24"/>
          <w:szCs w:val="24"/>
        </w:rPr>
        <w:t xml:space="preserve"> commenced on 31 August 2016. </w:t>
      </w:r>
      <w:r>
        <w:rPr>
          <w:rFonts w:ascii="Times New Roman" w:hAnsi="Times New Roman" w:cs="Times New Roman"/>
          <w:sz w:val="24"/>
          <w:szCs w:val="24"/>
        </w:rPr>
        <w:t xml:space="preserve"> </w:t>
      </w:r>
      <w:r w:rsidRPr="0078510C">
        <w:rPr>
          <w:rFonts w:ascii="Times New Roman" w:hAnsi="Times New Roman" w:cs="Times New Roman"/>
          <w:sz w:val="24"/>
          <w:szCs w:val="24"/>
        </w:rPr>
        <w:t xml:space="preserve">TGO 91 and TGO 92 are intended to replace </w:t>
      </w:r>
      <w:r w:rsidRPr="0078510C">
        <w:rPr>
          <w:rStyle w:val="CommentReference"/>
          <w:rFonts w:ascii="Times New Roman" w:hAnsi="Times New Roman" w:cs="Times New Roman"/>
          <w:sz w:val="24"/>
          <w:szCs w:val="24"/>
        </w:rPr>
        <w:t>TGO 69</w:t>
      </w:r>
      <w:r w:rsidRPr="0078510C" w:rsidDel="00103199">
        <w:rPr>
          <w:rFonts w:ascii="Times New Roman" w:hAnsi="Times New Roman" w:cs="Times New Roman"/>
          <w:sz w:val="24"/>
          <w:szCs w:val="24"/>
        </w:rPr>
        <w:t xml:space="preserve"> </w:t>
      </w:r>
      <w:r w:rsidRPr="0078510C">
        <w:rPr>
          <w:rFonts w:ascii="Times New Roman" w:hAnsi="Times New Roman" w:cs="Times New Roman"/>
          <w:sz w:val="24"/>
          <w:szCs w:val="24"/>
        </w:rPr>
        <w:t>at the end of the transition period provided for when those new instruments commenced (1 September 2020).</w:t>
      </w:r>
    </w:p>
    <w:p w:rsidR="00A8566B" w:rsidRPr="007D7395" w:rsidRDefault="00A8566B" w:rsidP="00A8566B">
      <w:pPr>
        <w:autoSpaceDE w:val="0"/>
        <w:autoSpaceDN w:val="0"/>
        <w:adjustRightInd w:val="0"/>
        <w:spacing w:before="240" w:after="0" w:line="240" w:lineRule="auto"/>
        <w:rPr>
          <w:rFonts w:ascii="Times New Roman" w:hAnsi="Times New Roman" w:cs="Times New Roman"/>
          <w:sz w:val="24"/>
          <w:szCs w:val="24"/>
        </w:rPr>
      </w:pPr>
      <w:r w:rsidRPr="007D7395">
        <w:rPr>
          <w:rFonts w:ascii="Times New Roman" w:eastAsia="Times New Roman" w:hAnsi="Times New Roman" w:cs="Times New Roman"/>
          <w:sz w:val="24"/>
          <w:szCs w:val="24"/>
          <w:lang w:eastAsia="en-AU"/>
        </w:rPr>
        <w:t xml:space="preserve">Although TGO 69 is now more than 16 years old and does not align with international best practice labelling standards, it is being remade </w:t>
      </w:r>
      <w:r w:rsidRPr="007D7395">
        <w:rPr>
          <w:rFonts w:ascii="Times New Roman" w:hAnsi="Times New Roman" w:cs="Times New Roman"/>
          <w:sz w:val="24"/>
          <w:szCs w:val="24"/>
        </w:rPr>
        <w:t>to serve throughout th</w:t>
      </w:r>
      <w:r>
        <w:rPr>
          <w:rFonts w:ascii="Times New Roman" w:hAnsi="Times New Roman" w:cs="Times New Roman"/>
          <w:sz w:val="24"/>
          <w:szCs w:val="24"/>
        </w:rPr>
        <w:t>is</w:t>
      </w:r>
      <w:r w:rsidRPr="007D7395">
        <w:rPr>
          <w:rFonts w:ascii="Times New Roman" w:hAnsi="Times New Roman" w:cs="Times New Roman"/>
          <w:sz w:val="24"/>
          <w:szCs w:val="24"/>
        </w:rPr>
        <w:t xml:space="preserve"> transition period </w:t>
      </w:r>
      <w:r>
        <w:rPr>
          <w:rFonts w:ascii="Times New Roman" w:hAnsi="Times New Roman" w:cs="Times New Roman"/>
          <w:sz w:val="24"/>
          <w:szCs w:val="24"/>
        </w:rPr>
        <w:t>f</w:t>
      </w:r>
      <w:r w:rsidRPr="007D7395">
        <w:rPr>
          <w:rFonts w:ascii="Times New Roman" w:hAnsi="Times New Roman" w:cs="Times New Roman"/>
          <w:sz w:val="24"/>
          <w:szCs w:val="24"/>
        </w:rPr>
        <w:t>o</w:t>
      </w:r>
      <w:r>
        <w:rPr>
          <w:rFonts w:ascii="Times New Roman" w:hAnsi="Times New Roman" w:cs="Times New Roman"/>
          <w:sz w:val="24"/>
          <w:szCs w:val="24"/>
        </w:rPr>
        <w:t>r</w:t>
      </w:r>
      <w:r w:rsidRPr="007D7395">
        <w:rPr>
          <w:rFonts w:ascii="Times New Roman" w:hAnsi="Times New Roman" w:cs="Times New Roman"/>
          <w:sz w:val="24"/>
          <w:szCs w:val="24"/>
        </w:rPr>
        <w:t xml:space="preserve"> TGOs 91</w:t>
      </w:r>
      <w:r>
        <w:rPr>
          <w:rFonts w:ascii="Times New Roman" w:hAnsi="Times New Roman" w:cs="Times New Roman"/>
          <w:sz w:val="24"/>
          <w:szCs w:val="24"/>
        </w:rPr>
        <w:t xml:space="preserve"> and </w:t>
      </w:r>
      <w:r w:rsidRPr="007D7395">
        <w:rPr>
          <w:rFonts w:ascii="Times New Roman" w:hAnsi="Times New Roman" w:cs="Times New Roman"/>
          <w:sz w:val="24"/>
          <w:szCs w:val="24"/>
        </w:rPr>
        <w:t>92</w:t>
      </w:r>
      <w:r>
        <w:rPr>
          <w:rFonts w:ascii="Times New Roman" w:hAnsi="Times New Roman" w:cs="Times New Roman"/>
          <w:sz w:val="24"/>
          <w:szCs w:val="24"/>
        </w:rPr>
        <w:t xml:space="preserve"> to assist industry to adapt to the requirements in the new instruments</w:t>
      </w:r>
      <w:r w:rsidRPr="007D73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7D7395">
        <w:rPr>
          <w:rFonts w:ascii="Times New Roman" w:eastAsia="Times New Roman" w:hAnsi="Times New Roman" w:cs="Times New Roman"/>
          <w:sz w:val="24"/>
          <w:szCs w:val="24"/>
          <w:lang w:eastAsia="en-AU"/>
        </w:rPr>
        <w:t xml:space="preserve">During this time, sponsors can choose between complying with either the requirements of TGO 69, or </w:t>
      </w:r>
      <w:r w:rsidRPr="007D7395">
        <w:rPr>
          <w:rFonts w:ascii="Times New Roman" w:hAnsi="Times New Roman" w:cs="Times New Roman"/>
          <w:sz w:val="24"/>
          <w:szCs w:val="24"/>
        </w:rPr>
        <w:t>TGOs 91</w:t>
      </w:r>
      <w:r>
        <w:rPr>
          <w:rFonts w:ascii="Times New Roman" w:hAnsi="Times New Roman" w:cs="Times New Roman"/>
          <w:sz w:val="24"/>
          <w:szCs w:val="24"/>
        </w:rPr>
        <w:t xml:space="preserve"> or </w:t>
      </w:r>
      <w:r w:rsidRPr="007D7395">
        <w:rPr>
          <w:rFonts w:ascii="Times New Roman" w:hAnsi="Times New Roman" w:cs="Times New Roman"/>
          <w:sz w:val="24"/>
          <w:szCs w:val="24"/>
        </w:rPr>
        <w:t xml:space="preserve">92, as </w:t>
      </w:r>
      <w:r w:rsidRPr="007D7395">
        <w:rPr>
          <w:rFonts w:ascii="Times New Roman" w:eastAsia="Times New Roman" w:hAnsi="Times New Roman" w:cs="Times New Roman"/>
          <w:sz w:val="24"/>
          <w:szCs w:val="24"/>
          <w:lang w:eastAsia="en-AU"/>
        </w:rPr>
        <w:t>relevant to their medicine.</w:t>
      </w:r>
    </w:p>
    <w:p w:rsidR="00A8566B" w:rsidRDefault="00A8566B" w:rsidP="00A8566B">
      <w:pPr>
        <w:autoSpaceDE w:val="0"/>
        <w:autoSpaceDN w:val="0"/>
        <w:adjustRightInd w:val="0"/>
        <w:spacing w:before="240" w:after="0" w:line="240" w:lineRule="auto"/>
        <w:rPr>
          <w:rFonts w:ascii="Times New Roman" w:hAnsi="Times New Roman" w:cs="Times New Roman"/>
          <w:sz w:val="24"/>
          <w:szCs w:val="24"/>
        </w:rPr>
      </w:pPr>
      <w:r w:rsidRPr="007D7395">
        <w:rPr>
          <w:rFonts w:ascii="Times New Roman" w:hAnsi="Times New Roman" w:cs="Times New Roman"/>
          <w:sz w:val="24"/>
          <w:szCs w:val="24"/>
        </w:rPr>
        <w:t>TGO 69 (2017)</w:t>
      </w:r>
      <w:r>
        <w:rPr>
          <w:rFonts w:ascii="Times New Roman" w:hAnsi="Times New Roman" w:cs="Times New Roman"/>
          <w:sz w:val="24"/>
          <w:szCs w:val="24"/>
        </w:rPr>
        <w:t xml:space="preserve"> replaces TGO 69</w:t>
      </w:r>
      <w:r w:rsidRPr="007D7395">
        <w:rPr>
          <w:rFonts w:ascii="Times New Roman" w:hAnsi="Times New Roman" w:cs="Times New Roman"/>
          <w:sz w:val="24"/>
          <w:szCs w:val="24"/>
        </w:rPr>
        <w:t>,</w:t>
      </w:r>
      <w:r>
        <w:rPr>
          <w:rFonts w:ascii="Times New Roman" w:hAnsi="Times New Roman" w:cs="Times New Roman"/>
          <w:sz w:val="24"/>
          <w:szCs w:val="24"/>
        </w:rPr>
        <w:t xml:space="preserve"> principally to reflect the above transitional arrangements (previously these had been set out in TGOs 91 and 92, but not mentioned in TGO 69), remove from the scope of the Order medicines that are not required to be entered in the Australian Register of Therapeutic Goods because they are authorised for supply by health practitioner notification under subsection 19(7A) of the Act (introduced recently by the </w:t>
      </w:r>
      <w:r w:rsidRPr="002E518A">
        <w:rPr>
          <w:rFonts w:ascii="Times New Roman" w:hAnsi="Times New Roman" w:cs="Times New Roman"/>
          <w:i/>
          <w:sz w:val="24"/>
          <w:szCs w:val="24"/>
        </w:rPr>
        <w:lastRenderedPageBreak/>
        <w:t>Therapeutic Goods Amendment (2016 Measures No.1) Act 2017</w:t>
      </w:r>
      <w:r w:rsidRPr="008A4D97">
        <w:rPr>
          <w:rFonts w:ascii="Times New Roman" w:hAnsi="Times New Roman" w:cs="Times New Roman"/>
          <w:i/>
          <w:sz w:val="24"/>
          <w:szCs w:val="24"/>
        </w:rPr>
        <w:t>)</w:t>
      </w:r>
      <w:r>
        <w:rPr>
          <w:rFonts w:ascii="Times New Roman" w:hAnsi="Times New Roman" w:cs="Times New Roman"/>
          <w:sz w:val="24"/>
          <w:szCs w:val="24"/>
        </w:rPr>
        <w:t>,</w:t>
      </w:r>
      <w:r w:rsidRPr="007D7395">
        <w:rPr>
          <w:rFonts w:ascii="Times New Roman" w:hAnsi="Times New Roman" w:cs="Times New Roman"/>
          <w:sz w:val="24"/>
          <w:szCs w:val="24"/>
        </w:rPr>
        <w:t xml:space="preserve"> </w:t>
      </w:r>
      <w:r>
        <w:rPr>
          <w:rFonts w:ascii="Times New Roman" w:hAnsi="Times New Roman" w:cs="Times New Roman"/>
          <w:sz w:val="24"/>
          <w:szCs w:val="24"/>
        </w:rPr>
        <w:t>and correct a small number of errors.</w:t>
      </w:r>
    </w:p>
    <w:p w:rsidR="00A8566B" w:rsidRDefault="00A8566B" w:rsidP="00A8566B">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T</w:t>
      </w:r>
      <w:r w:rsidRPr="007D7395">
        <w:rPr>
          <w:rFonts w:ascii="Times New Roman" w:hAnsi="Times New Roman" w:cs="Times New Roman"/>
          <w:sz w:val="24"/>
          <w:szCs w:val="24"/>
        </w:rPr>
        <w:t>his Order</w:t>
      </w:r>
      <w:r>
        <w:rPr>
          <w:rFonts w:ascii="Times New Roman" w:hAnsi="Times New Roman" w:cs="Times New Roman"/>
          <w:sz w:val="24"/>
          <w:szCs w:val="24"/>
        </w:rPr>
        <w:t xml:space="preserve"> commences on 1 July 2017 and</w:t>
      </w:r>
      <w:r w:rsidRPr="007D7395">
        <w:rPr>
          <w:rFonts w:ascii="Times New Roman" w:hAnsi="Times New Roman" w:cs="Times New Roman"/>
          <w:sz w:val="24"/>
          <w:szCs w:val="24"/>
        </w:rPr>
        <w:t>,</w:t>
      </w:r>
      <w:r>
        <w:rPr>
          <w:rFonts w:ascii="Times New Roman" w:hAnsi="Times New Roman" w:cs="Times New Roman"/>
          <w:sz w:val="24"/>
          <w:szCs w:val="24"/>
        </w:rPr>
        <w:t xml:space="preserve"> as with TGO 69,</w:t>
      </w:r>
      <w:r w:rsidRPr="007D7395">
        <w:rPr>
          <w:rFonts w:ascii="Times New Roman" w:hAnsi="Times New Roman" w:cs="Times New Roman"/>
          <w:sz w:val="24"/>
          <w:szCs w:val="24"/>
        </w:rPr>
        <w:t xml:space="preserve"> will cease to be in force once the four year transition period to TGO 91 and TGO 92 ends. </w:t>
      </w:r>
    </w:p>
    <w:p w:rsidR="00A8566B" w:rsidRDefault="00A8566B" w:rsidP="00A8566B">
      <w:pPr>
        <w:pStyle w:val="Heading3"/>
        <w:spacing w:before="0"/>
        <w:rPr>
          <w:rFonts w:asciiTheme="minorHAnsi" w:eastAsiaTheme="minorHAnsi" w:hAnsiTheme="minorHAnsi" w:cstheme="minorBidi"/>
          <w:b w:val="0"/>
          <w:bCs w:val="0"/>
          <w:sz w:val="24"/>
          <w:szCs w:val="24"/>
          <w:lang w:eastAsia="en-US"/>
        </w:rPr>
      </w:pPr>
    </w:p>
    <w:p w:rsidR="00A8566B" w:rsidRPr="00B95376" w:rsidRDefault="00A8566B" w:rsidP="00A8566B">
      <w:pPr>
        <w:pStyle w:val="Heading3"/>
        <w:spacing w:before="0"/>
        <w:rPr>
          <w:sz w:val="24"/>
          <w:szCs w:val="24"/>
        </w:rPr>
      </w:pPr>
      <w:r w:rsidRPr="00B95376">
        <w:rPr>
          <w:sz w:val="24"/>
          <w:szCs w:val="24"/>
        </w:rPr>
        <w:t>BACKGROUND</w:t>
      </w:r>
    </w:p>
    <w:p w:rsidR="00A8566B" w:rsidRDefault="00A8566B" w:rsidP="00A8566B">
      <w:pPr>
        <w:autoSpaceDE w:val="0"/>
        <w:autoSpaceDN w:val="0"/>
        <w:adjustRightInd w:val="0"/>
        <w:spacing w:before="240" w:after="0" w:line="240" w:lineRule="auto"/>
        <w:rPr>
          <w:rFonts w:ascii="Times New Roman" w:hAnsi="Times New Roman" w:cs="Times New Roman"/>
          <w:sz w:val="24"/>
          <w:szCs w:val="24"/>
        </w:rPr>
      </w:pPr>
      <w:r w:rsidRPr="00B95376">
        <w:rPr>
          <w:rFonts w:ascii="Times New Roman" w:hAnsi="Times New Roman" w:cs="Times New Roman"/>
          <w:sz w:val="24"/>
          <w:szCs w:val="24"/>
        </w:rPr>
        <w:t>Standards made under section 10 of the Act may relate to any matter relevant to the quality, safety or efficacy of a medicine, and generally, a medicine must not be imported, exported or supplied if it does not conform to an applicable standard. Paragraph (c) of subsection 10(2)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rsidR="00A8566B" w:rsidRDefault="00A8566B" w:rsidP="00A8566B">
      <w:pPr>
        <w:autoSpaceDE w:val="0"/>
        <w:autoSpaceDN w:val="0"/>
        <w:adjustRightInd w:val="0"/>
        <w:spacing w:before="240" w:after="0" w:line="240" w:lineRule="auto"/>
        <w:rPr>
          <w:rFonts w:ascii="Times New Roman" w:hAnsi="Times New Roman" w:cs="Times New Roman"/>
          <w:sz w:val="24"/>
          <w:szCs w:val="24"/>
        </w:rPr>
      </w:pPr>
      <w:r w:rsidRPr="00B95376">
        <w:rPr>
          <w:rFonts w:ascii="Times New Roman" w:eastAsia="Times New Roman" w:hAnsi="Times New Roman" w:cs="Times New Roman"/>
          <w:sz w:val="24"/>
          <w:szCs w:val="24"/>
          <w:lang w:eastAsia="en-AU"/>
        </w:rPr>
        <w:t>TGO 69 (2017) mandates information that must be on labels and the format and placement in which it must be presented, to contribute to the quality use of medicines by Australian consumers and healthcare professionals.</w:t>
      </w:r>
      <w:r w:rsidR="00CB6D64">
        <w:rPr>
          <w:rFonts w:ascii="Times New Roman" w:eastAsia="Times New Roman" w:hAnsi="Times New Roman" w:cs="Times New Roman"/>
          <w:sz w:val="24"/>
          <w:szCs w:val="24"/>
          <w:lang w:eastAsia="en-AU"/>
        </w:rPr>
        <w:t xml:space="preserve"> </w:t>
      </w:r>
      <w:r w:rsidRPr="00B95376">
        <w:rPr>
          <w:rFonts w:ascii="Times New Roman" w:eastAsia="Cambria" w:hAnsi="Times New Roman" w:cs="Times New Roman"/>
          <w:sz w:val="24"/>
          <w:szCs w:val="24"/>
        </w:rPr>
        <w:t xml:space="preserve"> </w:t>
      </w:r>
      <w:r w:rsidRPr="00B95376">
        <w:rPr>
          <w:rFonts w:ascii="Times New Roman" w:eastAsia="Times New Roman" w:hAnsi="Times New Roman" w:cs="Times New Roman"/>
          <w:sz w:val="24"/>
          <w:szCs w:val="24"/>
          <w:lang w:eastAsia="en-AU"/>
        </w:rPr>
        <w:t>Examples of information required by TGO</w:t>
      </w:r>
      <w:r>
        <w:rPr>
          <w:rFonts w:ascii="Times New Roman" w:eastAsia="Times New Roman" w:hAnsi="Times New Roman" w:cs="Times New Roman"/>
          <w:sz w:val="24"/>
          <w:szCs w:val="24"/>
          <w:lang w:eastAsia="en-AU"/>
        </w:rPr>
        <w:t> </w:t>
      </w:r>
      <w:r w:rsidRPr="00B95376">
        <w:rPr>
          <w:rFonts w:ascii="Times New Roman" w:eastAsia="Times New Roman" w:hAnsi="Times New Roman" w:cs="Times New Roman"/>
          <w:sz w:val="24"/>
          <w:szCs w:val="24"/>
          <w:lang w:eastAsia="en-AU"/>
        </w:rPr>
        <w:t>69</w:t>
      </w:r>
      <w:r>
        <w:rPr>
          <w:rFonts w:ascii="Times New Roman" w:eastAsia="Times New Roman" w:hAnsi="Times New Roman" w:cs="Times New Roman"/>
          <w:sz w:val="24"/>
          <w:szCs w:val="24"/>
          <w:lang w:eastAsia="en-AU"/>
        </w:rPr>
        <w:t> </w:t>
      </w:r>
      <w:r w:rsidRPr="00B95376">
        <w:rPr>
          <w:rFonts w:ascii="Times New Roman" w:eastAsia="Times New Roman" w:hAnsi="Times New Roman" w:cs="Times New Roman"/>
          <w:sz w:val="24"/>
          <w:szCs w:val="24"/>
          <w:lang w:eastAsia="en-AU"/>
        </w:rPr>
        <w:t xml:space="preserve">(2017) include the name of the medicine, the name of the active ingredient and its strength or quantity, storage requirements, expiry date and the declaration of certain inert or inactive ingredients (‘excipient’ ingredients). </w:t>
      </w:r>
    </w:p>
    <w:p w:rsidR="00A8566B" w:rsidRPr="001C2542" w:rsidRDefault="00A8566B" w:rsidP="00A8566B">
      <w:pPr>
        <w:autoSpaceDE w:val="0"/>
        <w:autoSpaceDN w:val="0"/>
        <w:adjustRightInd w:val="0"/>
        <w:spacing w:before="240" w:after="0" w:line="240" w:lineRule="auto"/>
        <w:rPr>
          <w:rFonts w:ascii="Times New Roman" w:hAnsi="Times New Roman" w:cs="Times New Roman"/>
          <w:sz w:val="24"/>
          <w:szCs w:val="24"/>
        </w:rPr>
      </w:pPr>
      <w:r w:rsidRPr="00B95376">
        <w:rPr>
          <w:rFonts w:ascii="Times New Roman" w:eastAsia="Times New Roman" w:hAnsi="Times New Roman" w:cs="Times New Roman"/>
          <w:sz w:val="24"/>
          <w:szCs w:val="24"/>
          <w:lang w:eastAsia="en-AU"/>
        </w:rPr>
        <w:t>Compare</w:t>
      </w:r>
      <w:r>
        <w:rPr>
          <w:rFonts w:ascii="Times New Roman" w:eastAsia="Times New Roman" w:hAnsi="Times New Roman" w:cs="Times New Roman"/>
          <w:sz w:val="24"/>
          <w:szCs w:val="24"/>
          <w:lang w:eastAsia="en-AU"/>
        </w:rPr>
        <w:t>d</w:t>
      </w:r>
      <w:r w:rsidRPr="00B95376">
        <w:rPr>
          <w:rFonts w:ascii="Times New Roman" w:eastAsia="Times New Roman" w:hAnsi="Times New Roman" w:cs="Times New Roman"/>
          <w:sz w:val="24"/>
          <w:szCs w:val="24"/>
          <w:lang w:eastAsia="en-AU"/>
        </w:rPr>
        <w:t xml:space="preserve"> to TGO 69, TGO 69 (2017): </w:t>
      </w:r>
    </w:p>
    <w:p w:rsidR="00A8566B" w:rsidRDefault="00A8566B" w:rsidP="00A8566B">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reflects</w:t>
      </w:r>
      <w:r w:rsidRPr="00B95376">
        <w:rPr>
          <w:rFonts w:ascii="Times New Roman" w:eastAsia="Times New Roman" w:hAnsi="Times New Roman" w:cs="Times New Roman"/>
          <w:sz w:val="24"/>
          <w:szCs w:val="24"/>
          <w:lang w:eastAsia="en-AU"/>
        </w:rPr>
        <w:t xml:space="preserve"> the transition arrangement</w:t>
      </w:r>
      <w:r>
        <w:rPr>
          <w:rFonts w:ascii="Times New Roman" w:eastAsia="Times New Roman" w:hAnsi="Times New Roman" w:cs="Times New Roman"/>
          <w:sz w:val="24"/>
          <w:szCs w:val="24"/>
          <w:lang w:eastAsia="en-AU"/>
        </w:rPr>
        <w:t xml:space="preserve"> for the implementation of TGO 91 and TGO 92;</w:t>
      </w:r>
      <w:r w:rsidRPr="00B95376">
        <w:rPr>
          <w:rFonts w:ascii="Times New Roman" w:eastAsia="Times New Roman" w:hAnsi="Times New Roman" w:cs="Times New Roman"/>
          <w:sz w:val="24"/>
          <w:szCs w:val="24"/>
          <w:lang w:eastAsia="en-AU"/>
        </w:rPr>
        <w:t xml:space="preserve"> </w:t>
      </w:r>
    </w:p>
    <w:p w:rsidR="00A8566B" w:rsidRPr="00B95376" w:rsidRDefault="00A8566B" w:rsidP="00A8566B">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notes that medicines that are authorised for supply by health practitioner notification under subsection 19(7A) of the Act (introduced recently by the </w:t>
      </w:r>
      <w:r w:rsidRPr="002E518A">
        <w:rPr>
          <w:rFonts w:ascii="Times New Roman" w:hAnsi="Times New Roman" w:cs="Times New Roman"/>
          <w:i/>
          <w:sz w:val="24"/>
          <w:szCs w:val="24"/>
        </w:rPr>
        <w:t>Therapeutic Goods Amendment (2016 Measures No.1) Act 2017</w:t>
      </w:r>
      <w:r>
        <w:rPr>
          <w:rFonts w:ascii="Times New Roman" w:hAnsi="Times New Roman" w:cs="Times New Roman"/>
          <w:sz w:val="24"/>
          <w:szCs w:val="24"/>
        </w:rPr>
        <w:t>) are not required to comply with this Order;</w:t>
      </w:r>
    </w:p>
    <w:p w:rsidR="00A8566B" w:rsidRPr="00B95376" w:rsidRDefault="00A8566B" w:rsidP="00A8566B">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removes the references to</w:t>
      </w:r>
      <w:r w:rsidRPr="00B95376">
        <w:rPr>
          <w:rFonts w:ascii="Times New Roman" w:eastAsia="Times New Roman" w:hAnsi="Times New Roman" w:cs="Times New Roman"/>
          <w:sz w:val="24"/>
          <w:szCs w:val="24"/>
          <w:lang w:eastAsia="en-AU"/>
        </w:rPr>
        <w:t xml:space="preserve"> goods intended solely for use in animals</w:t>
      </w:r>
      <w:r>
        <w:rPr>
          <w:rFonts w:ascii="Times New Roman" w:eastAsia="Times New Roman" w:hAnsi="Times New Roman" w:cs="Times New Roman"/>
          <w:sz w:val="24"/>
          <w:szCs w:val="24"/>
          <w:lang w:eastAsia="en-AU"/>
        </w:rPr>
        <w:t>,</w:t>
      </w:r>
      <w:r w:rsidRPr="00B95376">
        <w:rPr>
          <w:rFonts w:ascii="Times New Roman" w:eastAsia="Times New Roman" w:hAnsi="Times New Roman" w:cs="Times New Roman"/>
          <w:sz w:val="24"/>
          <w:szCs w:val="24"/>
          <w:lang w:eastAsia="en-AU"/>
        </w:rPr>
        <w:t xml:space="preserve"> and other references to animals or veterinary surgeon</w:t>
      </w:r>
      <w:r>
        <w:rPr>
          <w:rFonts w:ascii="Times New Roman" w:eastAsia="Times New Roman" w:hAnsi="Times New Roman" w:cs="Times New Roman"/>
          <w:sz w:val="24"/>
          <w:szCs w:val="24"/>
          <w:lang w:eastAsia="en-AU"/>
        </w:rPr>
        <w:t>s, that are no longer relevant as the definition of ‘therapeutic goods’ in the Act only relates to such goods that are for use in relation to humans; and</w:t>
      </w:r>
    </w:p>
    <w:p w:rsidR="00A8566B" w:rsidRPr="00B95376" w:rsidRDefault="00A8566B" w:rsidP="00A8566B">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makes a small number of minor fixes, including updating the </w:t>
      </w:r>
      <w:r w:rsidRPr="00B95376">
        <w:rPr>
          <w:rFonts w:ascii="Times New Roman" w:eastAsia="Times New Roman" w:hAnsi="Times New Roman" w:cs="Times New Roman"/>
          <w:sz w:val="24"/>
          <w:szCs w:val="24"/>
          <w:lang w:eastAsia="en-AU"/>
        </w:rPr>
        <w:t>definition</w:t>
      </w:r>
      <w:r>
        <w:rPr>
          <w:rFonts w:ascii="Times New Roman" w:eastAsia="Times New Roman" w:hAnsi="Times New Roman" w:cs="Times New Roman"/>
          <w:sz w:val="24"/>
          <w:szCs w:val="24"/>
          <w:lang w:eastAsia="en-AU"/>
        </w:rPr>
        <w:t xml:space="preserve"> ‘warning statements’ to replace the reference to the </w:t>
      </w:r>
      <w:r w:rsidRPr="00B95376">
        <w:rPr>
          <w:rFonts w:ascii="Times New Roman" w:eastAsia="Times New Roman" w:hAnsi="Times New Roman" w:cs="Times New Roman"/>
          <w:sz w:val="24"/>
          <w:szCs w:val="24"/>
          <w:lang w:eastAsia="en-AU"/>
        </w:rPr>
        <w:t xml:space="preserve">legislative instrument </w:t>
      </w:r>
      <w:r>
        <w:rPr>
          <w:rFonts w:ascii="Times New Roman" w:eastAsia="Times New Roman" w:hAnsi="Times New Roman" w:cs="Times New Roman"/>
          <w:sz w:val="24"/>
          <w:szCs w:val="24"/>
          <w:lang w:eastAsia="en-AU"/>
        </w:rPr>
        <w:t xml:space="preserve">the </w:t>
      </w:r>
      <w:r w:rsidRPr="00B95376">
        <w:rPr>
          <w:rFonts w:ascii="Times New Roman" w:eastAsia="Times New Roman" w:hAnsi="Times New Roman" w:cs="Times New Roman"/>
          <w:sz w:val="24"/>
          <w:szCs w:val="24"/>
          <w:lang w:eastAsia="en-AU"/>
        </w:rPr>
        <w:t>‘</w:t>
      </w:r>
      <w:r w:rsidRPr="00B95376">
        <w:rPr>
          <w:rFonts w:ascii="Times New Roman" w:hAnsi="Times New Roman" w:cs="Times New Roman"/>
          <w:sz w:val="24"/>
          <w:szCs w:val="24"/>
          <w:lang w:val="en-US"/>
        </w:rPr>
        <w:t>Medicines Advisory Statements Specification 2014’</w:t>
      </w:r>
      <w:r>
        <w:rPr>
          <w:rFonts w:ascii="Times New Roman" w:hAnsi="Times New Roman" w:cs="Times New Roman"/>
          <w:sz w:val="24"/>
          <w:szCs w:val="24"/>
          <w:lang w:val="en-US"/>
        </w:rPr>
        <w:t xml:space="preserve"> (which has been repealed by the Medicines Advisory Statements Specification 2017)</w:t>
      </w:r>
      <w:r w:rsidRPr="00B95376">
        <w:rPr>
          <w:rFonts w:ascii="Times New Roman" w:hAnsi="Times New Roman" w:cs="Times New Roman"/>
          <w:sz w:val="24"/>
          <w:szCs w:val="24"/>
          <w:lang w:val="en-US"/>
        </w:rPr>
        <w:t xml:space="preserve"> </w:t>
      </w:r>
      <w:r>
        <w:rPr>
          <w:rFonts w:ascii="Times New Roman" w:hAnsi="Times New Roman" w:cs="Times New Roman"/>
          <w:sz w:val="24"/>
          <w:szCs w:val="24"/>
          <w:lang w:val="en-US"/>
        </w:rPr>
        <w:t>with a reference to</w:t>
      </w:r>
      <w:r w:rsidRPr="00B95376">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instrument made by the </w:t>
      </w:r>
      <w:r w:rsidRPr="00B95376">
        <w:rPr>
          <w:rFonts w:ascii="Times New Roman" w:hAnsi="Times New Roman" w:cs="Times New Roman"/>
          <w:sz w:val="24"/>
          <w:szCs w:val="24"/>
          <w:lang w:val="en-US"/>
        </w:rPr>
        <w:t>Minister under subsection 3(5A) of the Act</w:t>
      </w:r>
      <w:r>
        <w:rPr>
          <w:rFonts w:ascii="Times New Roman" w:hAnsi="Times New Roman" w:cs="Times New Roman"/>
          <w:sz w:val="24"/>
          <w:szCs w:val="24"/>
          <w:lang w:val="en-US"/>
        </w:rPr>
        <w:t>, to ensure that the most current legislative instrument made under that provision must be complied with</w:t>
      </w:r>
      <w:r w:rsidRPr="00B95376">
        <w:rPr>
          <w:rFonts w:ascii="Times New Roman" w:hAnsi="Times New Roman" w:cs="Times New Roman"/>
          <w:sz w:val="24"/>
          <w:szCs w:val="24"/>
          <w:lang w:val="en-US"/>
        </w:rPr>
        <w:t xml:space="preserve">. </w:t>
      </w:r>
    </w:p>
    <w:p w:rsidR="00A8566B" w:rsidRPr="00B95376" w:rsidRDefault="00A8566B" w:rsidP="00A8566B">
      <w:pPr>
        <w:pStyle w:val="Heading3"/>
        <w:spacing w:before="0"/>
        <w:rPr>
          <w:sz w:val="24"/>
          <w:szCs w:val="24"/>
        </w:rPr>
      </w:pPr>
    </w:p>
    <w:p w:rsidR="00A8566B" w:rsidRPr="00B95376" w:rsidRDefault="00A8566B" w:rsidP="00A8566B">
      <w:pPr>
        <w:pStyle w:val="Heading3"/>
        <w:rPr>
          <w:sz w:val="24"/>
          <w:szCs w:val="24"/>
        </w:rPr>
      </w:pPr>
      <w:r w:rsidRPr="00B95376">
        <w:rPr>
          <w:sz w:val="24"/>
          <w:szCs w:val="24"/>
        </w:rPr>
        <w:t xml:space="preserve">CONSULTATION </w:t>
      </w:r>
    </w:p>
    <w:p w:rsidR="00A8566B" w:rsidRDefault="00A8566B" w:rsidP="00A8566B">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than the minor changes outlined above, TGO 69 (2017) does not represent a major change as compared with the legislative instrument it replaces, TGO 69.  As such, the particular changes that would be made by TGO 69 (2017) have not been specifically consulted on, as they are minor and machinery in nature.</w:t>
      </w:r>
    </w:p>
    <w:p w:rsidR="00A8566B" w:rsidRDefault="00A8566B" w:rsidP="00A8566B">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Therapeutic Goods Committee (which no longer exists following amendments to regulations that took effect on 1 January 2017) was, however, consulted on some of these aspects.</w:t>
      </w:r>
    </w:p>
    <w:p w:rsidR="00A8566B" w:rsidRPr="00001356" w:rsidRDefault="00A8566B" w:rsidP="00A8566B">
      <w:pPr>
        <w:autoSpaceDE w:val="0"/>
        <w:autoSpaceDN w:val="0"/>
        <w:adjustRightInd w:val="0"/>
        <w:spacing w:before="240" w:after="0" w:line="240" w:lineRule="auto"/>
        <w:rPr>
          <w:rFonts w:ascii="Times New Roman" w:hAnsi="Times New Roman" w:cs="Times New Roman"/>
          <w:sz w:val="24"/>
          <w:szCs w:val="24"/>
        </w:rPr>
      </w:pPr>
      <w:r w:rsidRPr="00001356">
        <w:rPr>
          <w:rFonts w:ascii="Times New Roman" w:hAnsi="Times New Roman" w:cs="Times New Roman"/>
          <w:color w:val="000000"/>
          <w:sz w:val="24"/>
          <w:szCs w:val="24"/>
        </w:rPr>
        <w:t>At its 41</w:t>
      </w:r>
      <w:r w:rsidRPr="00001356">
        <w:rPr>
          <w:rFonts w:ascii="Times New Roman" w:hAnsi="Times New Roman" w:cs="Times New Roman"/>
          <w:color w:val="000000"/>
          <w:sz w:val="24"/>
          <w:szCs w:val="24"/>
          <w:vertAlign w:val="superscript"/>
        </w:rPr>
        <w:t>st</w:t>
      </w:r>
      <w:r w:rsidRPr="00001356">
        <w:rPr>
          <w:rFonts w:ascii="Times New Roman" w:hAnsi="Times New Roman" w:cs="Times New Roman"/>
          <w:color w:val="000000"/>
          <w:sz w:val="24"/>
          <w:szCs w:val="24"/>
        </w:rPr>
        <w:t xml:space="preserve"> meeting, held on 4 September 2015, and its 42</w:t>
      </w:r>
      <w:r w:rsidRPr="00001356">
        <w:rPr>
          <w:rFonts w:ascii="Times New Roman" w:hAnsi="Times New Roman" w:cs="Times New Roman"/>
          <w:color w:val="000000"/>
          <w:sz w:val="24"/>
          <w:szCs w:val="24"/>
          <w:vertAlign w:val="superscript"/>
        </w:rPr>
        <w:t>nd</w:t>
      </w:r>
      <w:r w:rsidRPr="00001356">
        <w:rPr>
          <w:rFonts w:ascii="Times New Roman" w:hAnsi="Times New Roman" w:cs="Times New Roman"/>
          <w:color w:val="000000"/>
          <w:sz w:val="24"/>
          <w:szCs w:val="24"/>
        </w:rPr>
        <w:t xml:space="preserve"> meeting on 13 May 2016, the </w:t>
      </w:r>
      <w:r w:rsidRPr="00001356">
        <w:rPr>
          <w:rFonts w:ascii="Times New Roman" w:hAnsi="Times New Roman" w:cs="Times New Roman"/>
          <w:sz w:val="24"/>
          <w:szCs w:val="24"/>
        </w:rPr>
        <w:t>Therapeutic Goods Committee (TGC) was asked to consider issues relating to the possible amendment of TGO 69.</w:t>
      </w:r>
      <w:r w:rsidRPr="00001356" w:rsidDel="0042517D">
        <w:rPr>
          <w:rFonts w:ascii="Times New Roman" w:hAnsi="Times New Roman" w:cs="Times New Roman"/>
          <w:color w:val="000000"/>
          <w:sz w:val="24"/>
          <w:szCs w:val="24"/>
        </w:rPr>
        <w:t xml:space="preserve"> </w:t>
      </w:r>
      <w:r w:rsidRPr="00001356">
        <w:rPr>
          <w:rFonts w:ascii="Times New Roman" w:hAnsi="Times New Roman" w:cs="Times New Roman"/>
          <w:color w:val="000000"/>
          <w:sz w:val="24"/>
          <w:szCs w:val="24"/>
        </w:rPr>
        <w:t xml:space="preserve"> At its 41</w:t>
      </w:r>
      <w:r w:rsidRPr="00001356">
        <w:rPr>
          <w:rFonts w:ascii="Times New Roman" w:hAnsi="Times New Roman" w:cs="Times New Roman"/>
          <w:color w:val="000000"/>
          <w:sz w:val="24"/>
          <w:szCs w:val="24"/>
          <w:vertAlign w:val="superscript"/>
        </w:rPr>
        <w:t>st</w:t>
      </w:r>
      <w:r w:rsidRPr="00001356">
        <w:rPr>
          <w:rFonts w:ascii="Times New Roman" w:hAnsi="Times New Roman" w:cs="Times New Roman"/>
          <w:color w:val="000000"/>
          <w:sz w:val="24"/>
          <w:szCs w:val="24"/>
        </w:rPr>
        <w:t xml:space="preserve"> meeting, the TGC noted the need to replicate TGO 69 to extend its operation beyond its </w:t>
      </w:r>
      <w:proofErr w:type="spellStart"/>
      <w:r w:rsidRPr="00001356">
        <w:rPr>
          <w:rFonts w:ascii="Times New Roman" w:hAnsi="Times New Roman" w:cs="Times New Roman"/>
          <w:color w:val="000000"/>
          <w:sz w:val="24"/>
          <w:szCs w:val="24"/>
        </w:rPr>
        <w:t>sunsetting</w:t>
      </w:r>
      <w:proofErr w:type="spellEnd"/>
      <w:r w:rsidRPr="00001356">
        <w:rPr>
          <w:rFonts w:ascii="Times New Roman" w:hAnsi="Times New Roman" w:cs="Times New Roman"/>
          <w:color w:val="000000"/>
          <w:sz w:val="24"/>
          <w:szCs w:val="24"/>
        </w:rPr>
        <w:t xml:space="preserve"> date of 1 October 2017.  At its meeting on 13 May 2016, the </w:t>
      </w:r>
      <w:r w:rsidRPr="00001356">
        <w:rPr>
          <w:rFonts w:ascii="Times New Roman" w:hAnsi="Times New Roman" w:cs="Times New Roman"/>
          <w:sz w:val="24"/>
          <w:szCs w:val="24"/>
        </w:rPr>
        <w:t>TGC recommended that TGO 69 be varied by deleting the specific reference to ‘</w:t>
      </w:r>
      <w:r w:rsidRPr="00001356">
        <w:rPr>
          <w:rFonts w:ascii="Times New Roman" w:hAnsi="Times New Roman" w:cs="Times New Roman"/>
          <w:i/>
          <w:sz w:val="24"/>
          <w:szCs w:val="24"/>
        </w:rPr>
        <w:t xml:space="preserve">Medicines Advisory Statements Specification 2014’ </w:t>
      </w:r>
      <w:r w:rsidRPr="00001356">
        <w:rPr>
          <w:rFonts w:ascii="Times New Roman" w:hAnsi="Times New Roman" w:cs="Times New Roman"/>
          <w:sz w:val="24"/>
          <w:szCs w:val="24"/>
        </w:rPr>
        <w:t>in</w:t>
      </w:r>
      <w:r w:rsidRPr="00001356">
        <w:rPr>
          <w:rFonts w:ascii="Times New Roman" w:hAnsi="Times New Roman" w:cs="Times New Roman"/>
          <w:i/>
          <w:sz w:val="24"/>
          <w:szCs w:val="24"/>
        </w:rPr>
        <w:t xml:space="preserve"> </w:t>
      </w:r>
      <w:r w:rsidRPr="00001356">
        <w:rPr>
          <w:rFonts w:ascii="Times New Roman" w:hAnsi="Times New Roman" w:cs="Times New Roman"/>
          <w:sz w:val="24"/>
          <w:szCs w:val="24"/>
        </w:rPr>
        <w:t xml:space="preserve">consideration of the risks of not varying TGO 69, particularly the potential legal complexities that may arise if the Order did not refer to the current specification.  The </w:t>
      </w:r>
      <w:r w:rsidRPr="00001356">
        <w:rPr>
          <w:rFonts w:ascii="Times New Roman" w:hAnsi="Times New Roman" w:cs="Times New Roman"/>
          <w:color w:val="000000"/>
          <w:sz w:val="24"/>
          <w:szCs w:val="24"/>
        </w:rPr>
        <w:t>meeting reports and resolution of the TGC’s 41</w:t>
      </w:r>
      <w:r w:rsidRPr="00001356">
        <w:rPr>
          <w:rFonts w:ascii="Times New Roman" w:hAnsi="Times New Roman" w:cs="Times New Roman"/>
          <w:color w:val="000000"/>
          <w:sz w:val="24"/>
          <w:szCs w:val="24"/>
          <w:vertAlign w:val="superscript"/>
        </w:rPr>
        <w:t>st</w:t>
      </w:r>
      <w:r w:rsidRPr="00001356">
        <w:rPr>
          <w:rFonts w:ascii="Times New Roman" w:hAnsi="Times New Roman" w:cs="Times New Roman"/>
          <w:color w:val="000000"/>
          <w:sz w:val="24"/>
          <w:szCs w:val="24"/>
        </w:rPr>
        <w:t xml:space="preserve"> and 42</w:t>
      </w:r>
      <w:r w:rsidRPr="00001356">
        <w:rPr>
          <w:rFonts w:ascii="Times New Roman" w:hAnsi="Times New Roman" w:cs="Times New Roman"/>
          <w:color w:val="000000"/>
          <w:sz w:val="24"/>
          <w:szCs w:val="24"/>
          <w:vertAlign w:val="superscript"/>
        </w:rPr>
        <w:t>nd</w:t>
      </w:r>
      <w:r w:rsidRPr="00001356">
        <w:rPr>
          <w:rFonts w:ascii="Times New Roman" w:hAnsi="Times New Roman" w:cs="Times New Roman"/>
          <w:color w:val="000000"/>
          <w:sz w:val="24"/>
          <w:szCs w:val="24"/>
        </w:rPr>
        <w:t xml:space="preserve"> meeting may be viewed and downloaded from the TGA’s website (</w:t>
      </w:r>
      <w:hyperlink r:id="rId9" w:history="1">
        <w:r w:rsidRPr="00001356">
          <w:rPr>
            <w:rStyle w:val="Hyperlink"/>
            <w:rFonts w:ascii="Times New Roman" w:hAnsi="Times New Roman" w:cs="Times New Roman"/>
            <w:sz w:val="24"/>
            <w:szCs w:val="24"/>
          </w:rPr>
          <w:t>www.tga.gov.au</w:t>
        </w:r>
      </w:hyperlink>
      <w:r w:rsidRPr="00001356">
        <w:rPr>
          <w:rFonts w:ascii="Times New Roman" w:hAnsi="Times New Roman" w:cs="Times New Roman"/>
          <w:color w:val="000000"/>
          <w:sz w:val="24"/>
          <w:szCs w:val="24"/>
        </w:rPr>
        <w:t>), at no cost.</w:t>
      </w:r>
    </w:p>
    <w:p w:rsidR="00A8566B" w:rsidRPr="00001356" w:rsidRDefault="00A8566B" w:rsidP="00A8566B">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001356">
        <w:rPr>
          <w:rFonts w:ascii="Times New Roman" w:eastAsia="Times New Roman" w:hAnsi="Times New Roman" w:cs="Times New Roman"/>
          <w:sz w:val="24"/>
          <w:szCs w:val="24"/>
          <w:lang w:eastAsia="en-AU"/>
        </w:rPr>
        <w:t>In addition, since 2011 extensive stakeholder consultations have been held with consumers, academics, healthcare professionals and industry in relation to the development of TGOs 91 and 92, which this Order has been amended (in part) to recognise.</w:t>
      </w:r>
    </w:p>
    <w:p w:rsidR="004A249A" w:rsidRPr="00001356" w:rsidRDefault="004A249A" w:rsidP="00A8566B">
      <w:pPr>
        <w:autoSpaceDE w:val="0"/>
        <w:autoSpaceDN w:val="0"/>
        <w:adjustRightInd w:val="0"/>
        <w:spacing w:before="240" w:after="0" w:line="240" w:lineRule="auto"/>
        <w:rPr>
          <w:rFonts w:ascii="Times New Roman" w:hAnsi="Times New Roman" w:cs="Times New Roman"/>
          <w:sz w:val="24"/>
          <w:szCs w:val="24"/>
        </w:rPr>
      </w:pPr>
      <w:r w:rsidRPr="00001356">
        <w:rPr>
          <w:rFonts w:ascii="Times New Roman" w:eastAsia="Times New Roman" w:hAnsi="Times New Roman" w:cs="Times New Roman"/>
          <w:sz w:val="24"/>
          <w:szCs w:val="24"/>
          <w:lang w:eastAsia="en-AU"/>
        </w:rPr>
        <w:t>In June 2017, targeted consultation was undertaken with the major industry sponsors that</w:t>
      </w:r>
      <w:r w:rsidRPr="00001356">
        <w:rPr>
          <w:rFonts w:ascii="Times New Roman" w:hAnsi="Times New Roman" w:cs="Times New Roman"/>
          <w:sz w:val="24"/>
          <w:szCs w:val="24"/>
        </w:rPr>
        <w:t xml:space="preserve"> </w:t>
      </w:r>
      <w:r w:rsidR="0053605F" w:rsidRPr="00001356">
        <w:rPr>
          <w:rFonts w:ascii="Times New Roman" w:hAnsi="Times New Roman" w:cs="Times New Roman"/>
          <w:sz w:val="24"/>
          <w:szCs w:val="24"/>
        </w:rPr>
        <w:t xml:space="preserve">would </w:t>
      </w:r>
      <w:r w:rsidRPr="00001356">
        <w:rPr>
          <w:rFonts w:ascii="Times New Roman" w:eastAsia="Times New Roman" w:hAnsi="Times New Roman" w:cs="Times New Roman"/>
          <w:sz w:val="24"/>
          <w:szCs w:val="24"/>
          <w:lang w:eastAsia="en-AU"/>
        </w:rPr>
        <w:t xml:space="preserve">supply unapproved therapeutic goods authorised for supply by health practitioner notification under subsection 19(7A) of the Act.  In that consultation, in which the top 20 manufacturers and suppliers of unapproved goods via the Special Access Scheme and the relevant peak industry bodies, sponsors were made aware that Therapeutic Goods Orders Nos. 69, 91 and 92 will be amended to exempt goods supplied under </w:t>
      </w:r>
      <w:r w:rsidR="0053605F" w:rsidRPr="00001356">
        <w:rPr>
          <w:rFonts w:ascii="Times New Roman" w:eastAsia="Times New Roman" w:hAnsi="Times New Roman" w:cs="Times New Roman"/>
          <w:sz w:val="24"/>
          <w:szCs w:val="24"/>
          <w:lang w:eastAsia="en-AU"/>
        </w:rPr>
        <w:t xml:space="preserve">subsection </w:t>
      </w:r>
      <w:r w:rsidRPr="00001356">
        <w:rPr>
          <w:rFonts w:ascii="Times New Roman" w:eastAsia="Times New Roman" w:hAnsi="Times New Roman" w:cs="Times New Roman"/>
          <w:sz w:val="24"/>
          <w:szCs w:val="24"/>
          <w:lang w:eastAsia="en-AU"/>
        </w:rPr>
        <w:t>19(7A) of the Act (the new Category C pathway) from the labelling requirements.</w:t>
      </w:r>
    </w:p>
    <w:p w:rsidR="00A8566B" w:rsidRPr="00B95376" w:rsidRDefault="00A8566B" w:rsidP="00A8566B">
      <w:pPr>
        <w:autoSpaceDE w:val="0"/>
        <w:autoSpaceDN w:val="0"/>
        <w:adjustRightInd w:val="0"/>
        <w:spacing w:after="0" w:line="240" w:lineRule="auto"/>
        <w:rPr>
          <w:rFonts w:ascii="Arial" w:hAnsi="Arial" w:cs="Arial"/>
          <w:b/>
          <w:bCs/>
          <w:sz w:val="24"/>
          <w:szCs w:val="24"/>
        </w:rPr>
      </w:pPr>
    </w:p>
    <w:p w:rsidR="00A8566B" w:rsidRPr="00B95376" w:rsidRDefault="00A8566B" w:rsidP="00A8566B">
      <w:pPr>
        <w:autoSpaceDE w:val="0"/>
        <w:autoSpaceDN w:val="0"/>
        <w:adjustRightInd w:val="0"/>
        <w:spacing w:after="0" w:line="240" w:lineRule="auto"/>
        <w:rPr>
          <w:rFonts w:ascii="Arial" w:hAnsi="Arial" w:cs="Arial"/>
          <w:b/>
          <w:bCs/>
          <w:sz w:val="24"/>
          <w:szCs w:val="24"/>
        </w:rPr>
      </w:pPr>
    </w:p>
    <w:p w:rsidR="00A8566B" w:rsidRPr="00B95376" w:rsidRDefault="00A8566B" w:rsidP="00A8566B">
      <w:pPr>
        <w:autoSpaceDE w:val="0"/>
        <w:autoSpaceDN w:val="0"/>
        <w:adjustRightInd w:val="0"/>
        <w:spacing w:after="0" w:line="240" w:lineRule="auto"/>
        <w:rPr>
          <w:rFonts w:ascii="Arial" w:hAnsi="Arial" w:cs="Arial"/>
          <w:b/>
          <w:bCs/>
          <w:sz w:val="24"/>
          <w:szCs w:val="24"/>
        </w:rPr>
      </w:pPr>
      <w:r w:rsidRPr="00B95376">
        <w:rPr>
          <w:rFonts w:ascii="Arial" w:hAnsi="Arial" w:cs="Arial"/>
          <w:b/>
          <w:bCs/>
          <w:sz w:val="24"/>
          <w:szCs w:val="24"/>
        </w:rPr>
        <w:t>REGULATION IMPACT</w:t>
      </w:r>
    </w:p>
    <w:p w:rsidR="00A8566B" w:rsidRPr="007D7395" w:rsidRDefault="00A8566B" w:rsidP="00A8566B">
      <w:pPr>
        <w:autoSpaceDE w:val="0"/>
        <w:autoSpaceDN w:val="0"/>
        <w:adjustRightInd w:val="0"/>
        <w:spacing w:before="240" w:after="0" w:line="240" w:lineRule="auto"/>
        <w:rPr>
          <w:rFonts w:ascii="Times New Roman" w:hAnsi="Times New Roman" w:cs="Times New Roman"/>
          <w:sz w:val="24"/>
          <w:szCs w:val="24"/>
        </w:rPr>
      </w:pPr>
      <w:r w:rsidRPr="007D7395">
        <w:rPr>
          <w:rFonts w:ascii="Times New Roman" w:hAnsi="Times New Roman" w:cs="Times New Roman"/>
          <w:sz w:val="24"/>
          <w:szCs w:val="24"/>
        </w:rPr>
        <w:t xml:space="preserve">The remaking of TGO 69 </w:t>
      </w:r>
      <w:r>
        <w:rPr>
          <w:rFonts w:ascii="Times New Roman" w:hAnsi="Times New Roman" w:cs="Times New Roman"/>
          <w:sz w:val="24"/>
          <w:szCs w:val="24"/>
        </w:rPr>
        <w:t>(as represented by this Order)</w:t>
      </w:r>
      <w:r w:rsidRPr="007D7395">
        <w:rPr>
          <w:rFonts w:ascii="Times New Roman" w:hAnsi="Times New Roman" w:cs="Times New Roman"/>
          <w:sz w:val="24"/>
          <w:szCs w:val="24"/>
        </w:rPr>
        <w:t xml:space="preserve"> to cover the transition period </w:t>
      </w:r>
      <w:r>
        <w:rPr>
          <w:rFonts w:ascii="Times New Roman" w:hAnsi="Times New Roman" w:cs="Times New Roman"/>
          <w:sz w:val="24"/>
          <w:szCs w:val="24"/>
        </w:rPr>
        <w:t>f</w:t>
      </w:r>
      <w:r w:rsidRPr="007D7395">
        <w:rPr>
          <w:rFonts w:ascii="Times New Roman" w:hAnsi="Times New Roman" w:cs="Times New Roman"/>
          <w:sz w:val="24"/>
          <w:szCs w:val="24"/>
        </w:rPr>
        <w:t>o</w:t>
      </w:r>
      <w:r>
        <w:rPr>
          <w:rFonts w:ascii="Times New Roman" w:hAnsi="Times New Roman" w:cs="Times New Roman"/>
          <w:sz w:val="24"/>
          <w:szCs w:val="24"/>
        </w:rPr>
        <w:t>r</w:t>
      </w:r>
      <w:r w:rsidRPr="007D7395">
        <w:rPr>
          <w:rFonts w:ascii="Times New Roman" w:hAnsi="Times New Roman" w:cs="Times New Roman"/>
          <w:sz w:val="24"/>
          <w:szCs w:val="24"/>
        </w:rPr>
        <w:t xml:space="preserve"> </w:t>
      </w:r>
      <w:r>
        <w:rPr>
          <w:rFonts w:ascii="Times New Roman" w:hAnsi="Times New Roman" w:cs="Times New Roman"/>
          <w:sz w:val="24"/>
          <w:szCs w:val="24"/>
        </w:rPr>
        <w:t xml:space="preserve">the introduction of </w:t>
      </w:r>
      <w:r w:rsidRPr="007D7395">
        <w:rPr>
          <w:rFonts w:ascii="Times New Roman" w:hAnsi="Times New Roman" w:cs="Times New Roman"/>
          <w:sz w:val="24"/>
          <w:szCs w:val="24"/>
        </w:rPr>
        <w:t xml:space="preserve">new labelling requirements </w:t>
      </w:r>
      <w:r>
        <w:rPr>
          <w:rFonts w:ascii="Times New Roman" w:hAnsi="Times New Roman" w:cs="Times New Roman"/>
          <w:sz w:val="24"/>
          <w:szCs w:val="24"/>
        </w:rPr>
        <w:t xml:space="preserve">in TGOs 91 and 92, </w:t>
      </w:r>
      <w:r w:rsidRPr="007D7395">
        <w:rPr>
          <w:rFonts w:ascii="Times New Roman" w:hAnsi="Times New Roman" w:cs="Times New Roman"/>
          <w:sz w:val="24"/>
          <w:szCs w:val="24"/>
        </w:rPr>
        <w:t xml:space="preserve">was addressed in the </w:t>
      </w:r>
      <w:r w:rsidRPr="00B017C0">
        <w:rPr>
          <w:rFonts w:ascii="Times New Roman" w:hAnsi="Times New Roman" w:cs="Times New Roman"/>
          <w:sz w:val="24"/>
          <w:szCs w:val="24"/>
        </w:rPr>
        <w:t>Regulation Impact Statement</w:t>
      </w:r>
      <w:r>
        <w:rPr>
          <w:rFonts w:ascii="Times New Roman" w:hAnsi="Times New Roman" w:cs="Times New Roman"/>
          <w:sz w:val="24"/>
          <w:szCs w:val="24"/>
        </w:rPr>
        <w:t xml:space="preserve"> - </w:t>
      </w:r>
      <w:r w:rsidRPr="00B017C0">
        <w:rPr>
          <w:rFonts w:ascii="Times New Roman" w:hAnsi="Times New Roman" w:cs="Times New Roman"/>
          <w:sz w:val="24"/>
          <w:szCs w:val="24"/>
        </w:rPr>
        <w:t>General requirements for labels for medicines</w:t>
      </w:r>
      <w:r>
        <w:rPr>
          <w:rFonts w:ascii="Times New Roman" w:hAnsi="Times New Roman" w:cs="Times New Roman"/>
          <w:sz w:val="24"/>
          <w:szCs w:val="24"/>
        </w:rPr>
        <w:t xml:space="preserve"> - </w:t>
      </w:r>
      <w:r w:rsidRPr="00B017C0">
        <w:rPr>
          <w:rFonts w:ascii="Times New Roman" w:hAnsi="Times New Roman" w:cs="Times New Roman"/>
          <w:sz w:val="24"/>
          <w:szCs w:val="24"/>
        </w:rPr>
        <w:t>Version 3.0, July 2016</w:t>
      </w:r>
      <w:r>
        <w:rPr>
          <w:rFonts w:ascii="Times New Roman" w:hAnsi="Times New Roman" w:cs="Times New Roman"/>
          <w:sz w:val="24"/>
          <w:szCs w:val="24"/>
        </w:rPr>
        <w:t xml:space="preserve"> (</w:t>
      </w:r>
      <w:hyperlink r:id="rId10" w:history="1">
        <w:r w:rsidRPr="001F6FBC">
          <w:rPr>
            <w:rStyle w:val="Hyperlink"/>
            <w:rFonts w:ascii="Times New Roman" w:hAnsi="Times New Roman" w:cs="Times New Roman"/>
            <w:sz w:val="24"/>
            <w:szCs w:val="24"/>
          </w:rPr>
          <w:t>http://ris.pmc.gov.au/2016/08/19/clearer-labels-medicines</w:t>
        </w:r>
      </w:hyperlink>
      <w:r>
        <w:rPr>
          <w:rFonts w:ascii="Times New Roman" w:hAnsi="Times New Roman" w:cs="Times New Roman"/>
          <w:sz w:val="24"/>
          <w:szCs w:val="24"/>
        </w:rPr>
        <w:t>) that was prepared for these two orders</w:t>
      </w:r>
      <w:r w:rsidRPr="007D7395">
        <w:rPr>
          <w:rFonts w:ascii="Times New Roman" w:hAnsi="Times New Roman" w:cs="Times New Roman"/>
          <w:sz w:val="24"/>
          <w:szCs w:val="24"/>
        </w:rPr>
        <w:t>.</w:t>
      </w:r>
      <w:r>
        <w:rPr>
          <w:rFonts w:ascii="Times New Roman" w:hAnsi="Times New Roman" w:cs="Times New Roman"/>
          <w:sz w:val="24"/>
          <w:szCs w:val="24"/>
        </w:rPr>
        <w:t xml:space="preserve"> </w:t>
      </w:r>
    </w:p>
    <w:p w:rsidR="00A8566B" w:rsidRPr="00B95376" w:rsidRDefault="00A8566B" w:rsidP="00A8566B">
      <w:pPr>
        <w:autoSpaceDE w:val="0"/>
        <w:autoSpaceDN w:val="0"/>
        <w:adjustRightInd w:val="0"/>
        <w:spacing w:after="0" w:line="240" w:lineRule="auto"/>
        <w:rPr>
          <w:rFonts w:ascii="Times New Roman" w:hAnsi="Times New Roman" w:cs="Times New Roman"/>
          <w:b/>
          <w:bCs/>
          <w:color w:val="000000"/>
          <w:sz w:val="24"/>
          <w:szCs w:val="24"/>
        </w:rPr>
      </w:pPr>
    </w:p>
    <w:p w:rsidR="00A8566B" w:rsidRPr="00B95376" w:rsidRDefault="00A8566B" w:rsidP="00A8566B">
      <w:pPr>
        <w:autoSpaceDE w:val="0"/>
        <w:autoSpaceDN w:val="0"/>
        <w:adjustRightInd w:val="0"/>
        <w:spacing w:after="0" w:line="240" w:lineRule="auto"/>
        <w:rPr>
          <w:rFonts w:ascii="Times New Roman" w:hAnsi="Times New Roman" w:cs="Times New Roman"/>
          <w:b/>
          <w:bCs/>
          <w:color w:val="000000"/>
          <w:sz w:val="24"/>
          <w:szCs w:val="24"/>
        </w:rPr>
      </w:pPr>
      <w:r w:rsidRPr="00B95376">
        <w:rPr>
          <w:rFonts w:ascii="Times New Roman" w:hAnsi="Times New Roman" w:cs="Times New Roman"/>
          <w:b/>
          <w:bCs/>
          <w:color w:val="000000"/>
          <w:sz w:val="24"/>
          <w:szCs w:val="24"/>
        </w:rPr>
        <w:t>REFERENCED DOCUMENTS</w:t>
      </w:r>
    </w:p>
    <w:p w:rsidR="00A8566B" w:rsidRPr="00001356" w:rsidRDefault="00A8566B" w:rsidP="00A8566B">
      <w:pPr>
        <w:autoSpaceDE w:val="0"/>
        <w:autoSpaceDN w:val="0"/>
        <w:adjustRightInd w:val="0"/>
        <w:spacing w:before="240" w:after="0" w:line="240" w:lineRule="auto"/>
        <w:rPr>
          <w:rFonts w:ascii="Times New Roman" w:hAnsi="Times New Roman" w:cs="Times New Roman"/>
          <w:sz w:val="24"/>
          <w:szCs w:val="24"/>
        </w:rPr>
      </w:pPr>
      <w:r w:rsidRPr="00001356">
        <w:rPr>
          <w:rFonts w:ascii="Times New Roman" w:hAnsi="Times New Roman" w:cs="Times New Roman"/>
          <w:sz w:val="24"/>
          <w:szCs w:val="24"/>
        </w:rPr>
        <w:t>The following documents are referred to in TGO 69 (2017) and may be obtained from the following websites:</w:t>
      </w:r>
    </w:p>
    <w:p w:rsidR="00A8566B" w:rsidRPr="00001356" w:rsidRDefault="00A8566B" w:rsidP="00A8566B">
      <w:pPr>
        <w:pStyle w:val="ListParagraph"/>
        <w:numPr>
          <w:ilvl w:val="0"/>
          <w:numId w:val="7"/>
        </w:numPr>
        <w:autoSpaceDE w:val="0"/>
        <w:autoSpaceDN w:val="0"/>
        <w:adjustRightInd w:val="0"/>
        <w:spacing w:before="240" w:after="0" w:line="240" w:lineRule="auto"/>
        <w:rPr>
          <w:rFonts w:ascii="Times New Roman" w:hAnsi="Times New Roman" w:cs="Times New Roman"/>
          <w:i/>
          <w:iCs/>
          <w:sz w:val="24"/>
          <w:szCs w:val="24"/>
        </w:rPr>
      </w:pPr>
      <w:proofErr w:type="gramStart"/>
      <w:r w:rsidRPr="00001356">
        <w:rPr>
          <w:rFonts w:ascii="Times New Roman" w:hAnsi="Times New Roman" w:cs="Times New Roman"/>
          <w:sz w:val="24"/>
          <w:szCs w:val="24"/>
        </w:rPr>
        <w:t>the</w:t>
      </w:r>
      <w:proofErr w:type="gramEnd"/>
      <w:r w:rsidRPr="00001356">
        <w:rPr>
          <w:rFonts w:ascii="Times New Roman" w:hAnsi="Times New Roman" w:cs="Times New Roman"/>
          <w:sz w:val="24"/>
          <w:szCs w:val="24"/>
        </w:rPr>
        <w:t xml:space="preserve"> industry code of practice entitled </w:t>
      </w:r>
      <w:r w:rsidRPr="00001356">
        <w:rPr>
          <w:rFonts w:ascii="Times New Roman" w:hAnsi="Times New Roman" w:cs="Times New Roman"/>
          <w:i/>
          <w:sz w:val="24"/>
          <w:szCs w:val="24"/>
        </w:rPr>
        <w:t xml:space="preserve">Labelling Code of Practice: Designing usable non-prescription medicine labels for consumers, </w:t>
      </w:r>
      <w:r w:rsidRPr="00001356">
        <w:rPr>
          <w:rFonts w:ascii="Times New Roman" w:hAnsi="Times New Roman" w:cs="Times New Roman"/>
          <w:sz w:val="24"/>
          <w:szCs w:val="24"/>
        </w:rPr>
        <w:t xml:space="preserve">published by the Communications Research Institute of Australia Inc.  This code creates and modifies the labels that consumers can use effectively, and which are consistent with current regulations for those who write and design labelling for non-prescription products </w:t>
      </w:r>
      <w:r w:rsidRPr="00001356">
        <w:rPr>
          <w:rFonts w:ascii="Times New Roman" w:hAnsi="Times New Roman" w:cs="Times New Roman"/>
          <w:sz w:val="24"/>
          <w:szCs w:val="24"/>
          <w:lang w:val="en-GB"/>
        </w:rPr>
        <w:t xml:space="preserve">and </w:t>
      </w:r>
      <w:r w:rsidRPr="00001356">
        <w:rPr>
          <w:rFonts w:ascii="Times New Roman" w:hAnsi="Times New Roman" w:cs="Times New Roman"/>
          <w:sz w:val="24"/>
          <w:szCs w:val="24"/>
        </w:rPr>
        <w:t>may be obtained from ASMI’s website (</w:t>
      </w:r>
      <w:hyperlink r:id="rId11" w:history="1">
        <w:r w:rsidRPr="00001356">
          <w:rPr>
            <w:rStyle w:val="Hyperlink"/>
            <w:rFonts w:ascii="Times New Roman" w:hAnsi="Times New Roman" w:cs="Times New Roman"/>
            <w:sz w:val="24"/>
            <w:szCs w:val="24"/>
          </w:rPr>
          <w:t>http://www.asmi.com.au/documents/Industry/labelling_code_of_practice.pdf</w:t>
        </w:r>
      </w:hyperlink>
      <w:r w:rsidRPr="00001356">
        <w:rPr>
          <w:rFonts w:ascii="Times New Roman" w:hAnsi="Times New Roman" w:cs="Times New Roman"/>
          <w:sz w:val="24"/>
          <w:szCs w:val="24"/>
        </w:rPr>
        <w:t xml:space="preserve">), at no cost; and </w:t>
      </w:r>
    </w:p>
    <w:p w:rsidR="00A8566B" w:rsidRPr="00001356" w:rsidRDefault="00A8566B" w:rsidP="00A8566B">
      <w:pPr>
        <w:pStyle w:val="ListParagraph"/>
        <w:numPr>
          <w:ilvl w:val="0"/>
          <w:numId w:val="7"/>
        </w:numPr>
        <w:autoSpaceDE w:val="0"/>
        <w:autoSpaceDN w:val="0"/>
        <w:adjustRightInd w:val="0"/>
        <w:spacing w:before="240" w:after="0" w:line="240" w:lineRule="auto"/>
        <w:rPr>
          <w:rStyle w:val="Hyperlink"/>
          <w:rFonts w:ascii="Times New Roman" w:hAnsi="Times New Roman" w:cs="Times New Roman"/>
          <w:i/>
          <w:iCs/>
          <w:color w:val="auto"/>
          <w:sz w:val="24"/>
          <w:szCs w:val="24"/>
          <w:u w:val="none"/>
        </w:rPr>
      </w:pPr>
      <w:r w:rsidRPr="00001356">
        <w:rPr>
          <w:rFonts w:ascii="Times New Roman" w:hAnsi="Times New Roman" w:cs="Times New Roman"/>
          <w:sz w:val="24"/>
          <w:szCs w:val="24"/>
          <w:lang w:val="en-US"/>
        </w:rPr>
        <w:lastRenderedPageBreak/>
        <w:t xml:space="preserve">the current edition of ‘MIMS Annual’ provides </w:t>
      </w:r>
      <w:r w:rsidRPr="00001356">
        <w:rPr>
          <w:rFonts w:ascii="Times New Roman" w:hAnsi="Times New Roman" w:cs="Times New Roman"/>
          <w:sz w:val="24"/>
          <w:szCs w:val="24"/>
          <w:lang w:val="en-GB"/>
        </w:rPr>
        <w:t xml:space="preserve">its comprehensive and trusted medicines information in a wide variety of formats that enable the busy healthcare professional to access the right information at the right time and in the most appropriate way and </w:t>
      </w:r>
      <w:r w:rsidRPr="00001356">
        <w:rPr>
          <w:rFonts w:ascii="Times New Roman" w:hAnsi="Times New Roman" w:cs="Times New Roman"/>
          <w:sz w:val="24"/>
          <w:szCs w:val="24"/>
        </w:rPr>
        <w:t>may be obtained from MIMS’ website with an extra cost of $575 per year.  Generally, most medicine sponsors are MIMS Annual subscribers and as such should not have any difficulties in accessing this information (</w:t>
      </w:r>
      <w:hyperlink r:id="rId12" w:history="1">
        <w:r w:rsidRPr="00001356">
          <w:rPr>
            <w:rStyle w:val="Hyperlink"/>
            <w:rFonts w:ascii="Times New Roman" w:hAnsi="Times New Roman" w:cs="Times New Roman"/>
            <w:color w:val="auto"/>
            <w:sz w:val="24"/>
            <w:szCs w:val="24"/>
          </w:rPr>
          <w:t>http://www.mims.com.au/index.php/products/product-overview</w:t>
        </w:r>
      </w:hyperlink>
      <w:r w:rsidRPr="00001356">
        <w:rPr>
          <w:rStyle w:val="Hyperlink"/>
          <w:rFonts w:ascii="Times New Roman" w:hAnsi="Times New Roman" w:cs="Times New Roman"/>
          <w:color w:val="auto"/>
          <w:sz w:val="24"/>
          <w:szCs w:val="24"/>
        </w:rPr>
        <w:t>).</w:t>
      </w:r>
    </w:p>
    <w:p w:rsidR="00A8566B" w:rsidRPr="00001356" w:rsidRDefault="00A8566B" w:rsidP="00A8566B">
      <w:pPr>
        <w:autoSpaceDE w:val="0"/>
        <w:autoSpaceDN w:val="0"/>
        <w:adjustRightInd w:val="0"/>
        <w:spacing w:before="240" w:after="0" w:line="240" w:lineRule="auto"/>
        <w:rPr>
          <w:rFonts w:ascii="Times New Roman" w:hAnsi="Times New Roman" w:cs="Times New Roman"/>
          <w:sz w:val="24"/>
          <w:szCs w:val="24"/>
        </w:rPr>
      </w:pPr>
      <w:r w:rsidRPr="00001356">
        <w:rPr>
          <w:rFonts w:ascii="Times New Roman" w:hAnsi="Times New Roman" w:cs="Times New Roman"/>
          <w:sz w:val="24"/>
          <w:szCs w:val="24"/>
        </w:rPr>
        <w:t>TGO 69 (2017) is a legislative instrument for the purposes of the Legislation Act.</w:t>
      </w:r>
    </w:p>
    <w:p w:rsidR="00A8566B" w:rsidRPr="00001356" w:rsidRDefault="00A8566B" w:rsidP="00A8566B">
      <w:pPr>
        <w:autoSpaceDE w:val="0"/>
        <w:autoSpaceDN w:val="0"/>
        <w:adjustRightInd w:val="0"/>
        <w:spacing w:before="240" w:after="0" w:line="240" w:lineRule="auto"/>
        <w:rPr>
          <w:rFonts w:ascii="Times New Roman" w:hAnsi="Times New Roman" w:cs="Times New Roman"/>
          <w:sz w:val="24"/>
          <w:szCs w:val="24"/>
        </w:rPr>
      </w:pPr>
      <w:r w:rsidRPr="00001356">
        <w:rPr>
          <w:rFonts w:ascii="Times New Roman" w:hAnsi="Times New Roman" w:cs="Times New Roman"/>
          <w:sz w:val="24"/>
          <w:szCs w:val="24"/>
        </w:rPr>
        <w:t xml:space="preserve">In relation to compatibility with human rights, it is considered that TGO 69 (2017) is compatible with the human rights and freedoms recognised or declared in the international instruments listed in section 3 of the </w:t>
      </w:r>
      <w:r w:rsidRPr="00001356">
        <w:rPr>
          <w:rFonts w:ascii="Times New Roman" w:hAnsi="Times New Roman" w:cs="Times New Roman"/>
          <w:i/>
          <w:sz w:val="24"/>
          <w:szCs w:val="24"/>
        </w:rPr>
        <w:t>Human Rights (Parliamentary Scrutiny) Act 2011</w:t>
      </w:r>
      <w:r w:rsidRPr="00001356">
        <w:rPr>
          <w:rFonts w:ascii="Times New Roman" w:hAnsi="Times New Roman" w:cs="Times New Roman"/>
          <w:sz w:val="24"/>
          <w:szCs w:val="24"/>
        </w:rPr>
        <w:t xml:space="preserve">, and a Statement of Compatibility setting that out in further detail is below. </w:t>
      </w:r>
    </w:p>
    <w:p w:rsidR="00A8566B" w:rsidRPr="007D7395" w:rsidRDefault="00A8566B" w:rsidP="00A8566B">
      <w:pPr>
        <w:autoSpaceDE w:val="0"/>
        <w:autoSpaceDN w:val="0"/>
        <w:adjustRightInd w:val="0"/>
        <w:spacing w:before="240" w:after="0" w:line="240" w:lineRule="auto"/>
        <w:rPr>
          <w:sz w:val="24"/>
          <w:szCs w:val="24"/>
        </w:rPr>
      </w:pPr>
    </w:p>
    <w:p w:rsidR="00A8566B" w:rsidRDefault="00A8566B" w:rsidP="00A8566B">
      <w:pPr>
        <w:shd w:val="clear" w:color="auto" w:fill="FFFFFF"/>
        <w:spacing w:before="120" w:after="120"/>
        <w:rPr>
          <w:rFonts w:ascii="Arial" w:hAnsi="Arial" w:cs="Arial"/>
          <w:b/>
          <w:bCs/>
          <w:color w:val="000000"/>
          <w:lang w:val="en-US"/>
        </w:rPr>
        <w:sectPr w:rsidR="00A8566B" w:rsidSect="00CB0750">
          <w:footerReference w:type="default" r:id="rId13"/>
          <w:pgSz w:w="11906" w:h="16838"/>
          <w:pgMar w:top="1440" w:right="1440" w:bottom="1440" w:left="1440" w:header="708" w:footer="1134" w:gutter="0"/>
          <w:cols w:space="708"/>
          <w:docGrid w:linePitch="360"/>
        </w:sectPr>
      </w:pPr>
    </w:p>
    <w:p w:rsidR="00A8566B" w:rsidRPr="004364DA" w:rsidRDefault="00A8566B" w:rsidP="00A8566B">
      <w:pPr>
        <w:shd w:val="clear" w:color="auto" w:fill="FFFFFF"/>
        <w:spacing w:before="120" w:after="120"/>
        <w:rPr>
          <w:rFonts w:ascii="Times New Roman" w:hAnsi="Times New Roman" w:cs="Times New Roman"/>
          <w:b/>
          <w:bCs/>
          <w:color w:val="000000"/>
          <w:sz w:val="24"/>
          <w:szCs w:val="24"/>
          <w:lang w:val="en-US"/>
        </w:rPr>
      </w:pPr>
      <w:r w:rsidRPr="004364DA">
        <w:rPr>
          <w:rFonts w:ascii="Times New Roman" w:hAnsi="Times New Roman" w:cs="Times New Roman"/>
          <w:b/>
          <w:bCs/>
          <w:color w:val="000000"/>
          <w:sz w:val="24"/>
          <w:szCs w:val="24"/>
          <w:lang w:val="en-US"/>
        </w:rPr>
        <w:lastRenderedPageBreak/>
        <w:t>SUPPLEMENTARY NOTE</w:t>
      </w:r>
    </w:p>
    <w:p w:rsidR="00A8566B" w:rsidRDefault="00A8566B" w:rsidP="00A8566B">
      <w:pPr>
        <w:shd w:val="clear" w:color="auto" w:fill="FFFFFF"/>
        <w:spacing w:before="120" w:after="120"/>
        <w:rPr>
          <w:rFonts w:ascii="Times New Roman" w:hAnsi="Times New Roman" w:cs="Times New Roman"/>
          <w:b/>
          <w:color w:val="FF0000"/>
          <w:sz w:val="24"/>
          <w:szCs w:val="24"/>
          <w:lang w:val="en-US"/>
        </w:rPr>
      </w:pPr>
      <w:r w:rsidRPr="004364DA">
        <w:rPr>
          <w:rFonts w:ascii="Times New Roman" w:hAnsi="Times New Roman" w:cs="Times New Roman"/>
          <w:b/>
          <w:bCs/>
          <w:color w:val="000000"/>
          <w:sz w:val="24"/>
          <w:szCs w:val="24"/>
          <w:lang w:val="en-US"/>
        </w:rPr>
        <w:t>Names of large volume injections</w:t>
      </w:r>
      <w:r>
        <w:rPr>
          <w:rFonts w:ascii="Times New Roman" w:hAnsi="Times New Roman" w:cs="Times New Roman"/>
          <w:b/>
          <w:bCs/>
          <w:color w:val="000000"/>
          <w:sz w:val="24"/>
          <w:szCs w:val="24"/>
          <w:lang w:val="en-US"/>
        </w:rPr>
        <w:t xml:space="preserve"> [subsection 7(6)] </w:t>
      </w:r>
    </w:p>
    <w:p w:rsidR="00A8566B" w:rsidRPr="004364DA" w:rsidRDefault="00A8566B" w:rsidP="00A8566B">
      <w:pPr>
        <w:shd w:val="clear" w:color="auto" w:fill="FFFFFF"/>
        <w:spacing w:before="120" w:after="120"/>
        <w:rPr>
          <w:rFonts w:ascii="Times New Roman" w:hAnsi="Times New Roman" w:cs="Times New Roman"/>
          <w:color w:val="000000"/>
          <w:sz w:val="24"/>
          <w:szCs w:val="24"/>
        </w:rPr>
      </w:pPr>
      <w:r w:rsidRPr="004364DA">
        <w:rPr>
          <w:rFonts w:ascii="Times New Roman" w:hAnsi="Times New Roman" w:cs="Times New Roman"/>
          <w:color w:val="000000"/>
          <w:sz w:val="24"/>
          <w:szCs w:val="24"/>
          <w:lang w:val="en-US"/>
        </w:rPr>
        <w:t>The naming of large volume injections is described at</w:t>
      </w:r>
      <w:r>
        <w:rPr>
          <w:rFonts w:ascii="Times New Roman" w:hAnsi="Times New Roman" w:cs="Times New Roman"/>
          <w:color w:val="000000"/>
          <w:sz w:val="24"/>
          <w:szCs w:val="24"/>
          <w:lang w:val="en-US"/>
        </w:rPr>
        <w:t xml:space="preserve"> paragraph 7(6</w:t>
      </w:r>
      <w:proofErr w:type="gramStart"/>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a) </w:t>
      </w:r>
      <w:r w:rsidRPr="004364DA">
        <w:rPr>
          <w:rFonts w:ascii="Times New Roman" w:hAnsi="Times New Roman" w:cs="Times New Roman"/>
          <w:color w:val="000000"/>
          <w:sz w:val="24"/>
          <w:szCs w:val="24"/>
          <w:lang w:val="en-US"/>
        </w:rPr>
        <w:t xml:space="preserve">of this Order. This note provides further guidance to manufacturers in the naming of large volume injections. </w:t>
      </w:r>
      <w:r w:rsidR="00CB6D64">
        <w:rPr>
          <w:rFonts w:ascii="Times New Roman" w:hAnsi="Times New Roman" w:cs="Times New Roman"/>
          <w:color w:val="000000"/>
          <w:sz w:val="24"/>
          <w:szCs w:val="24"/>
          <w:lang w:val="en-US"/>
        </w:rPr>
        <w:t xml:space="preserve"> </w:t>
      </w:r>
      <w:r w:rsidRPr="004364DA">
        <w:rPr>
          <w:rFonts w:ascii="Times New Roman" w:hAnsi="Times New Roman" w:cs="Times New Roman"/>
          <w:color w:val="000000"/>
          <w:sz w:val="24"/>
          <w:szCs w:val="24"/>
          <w:lang w:val="en-US"/>
        </w:rPr>
        <w:t>The ‘non-proprietary name’ should include the name or names of the active ingredient(s), together with a word(s) denoting the name of the dosage form.</w:t>
      </w:r>
    </w:p>
    <w:p w:rsidR="00A8566B" w:rsidRPr="00103199" w:rsidRDefault="00A8566B" w:rsidP="00A8566B">
      <w:pPr>
        <w:shd w:val="clear" w:color="auto" w:fill="FFFFFF"/>
        <w:rPr>
          <w:rFonts w:ascii="Times New Roman" w:hAnsi="Times New Roman" w:cs="Times New Roman"/>
          <w:color w:val="000000"/>
          <w:sz w:val="24"/>
          <w:szCs w:val="24"/>
        </w:rPr>
      </w:pPr>
      <w:r w:rsidRPr="00103199">
        <w:rPr>
          <w:rFonts w:ascii="Times New Roman" w:hAnsi="Times New Roman" w:cs="Times New Roman"/>
          <w:color w:val="000000"/>
          <w:sz w:val="24"/>
          <w:szCs w:val="24"/>
          <w:lang w:val="en-US"/>
        </w:rPr>
        <w:t xml:space="preserve">The majority of large volume injections contain one, two or three active ingredients and the use of the non-proprietary name which specifies the identity and amount of each active </w:t>
      </w:r>
      <w:r w:rsidRPr="004364DA">
        <w:rPr>
          <w:rFonts w:ascii="Times New Roman" w:hAnsi="Times New Roman" w:cs="Times New Roman"/>
          <w:color w:val="000000"/>
          <w:sz w:val="24"/>
          <w:szCs w:val="24"/>
          <w:lang w:val="en-US"/>
        </w:rPr>
        <w:t>ingredient together with the usual name of the dosage form should not present any difficulty</w:t>
      </w:r>
      <w:r w:rsidRPr="00103199">
        <w:rPr>
          <w:rFonts w:ascii="Times New Roman" w:hAnsi="Times New Roman" w:cs="Times New Roman"/>
          <w:color w:val="000000"/>
          <w:sz w:val="24"/>
          <w:szCs w:val="24"/>
          <w:lang w:val="en-US"/>
        </w:rPr>
        <w:t>.</w:t>
      </w:r>
    </w:p>
    <w:p w:rsidR="00A8566B" w:rsidRPr="001B5FCB" w:rsidRDefault="00A8566B" w:rsidP="00A8566B">
      <w:pPr>
        <w:shd w:val="clear" w:color="auto" w:fill="FFFFFF"/>
        <w:rPr>
          <w:rFonts w:ascii="Times New Roman" w:hAnsi="Times New Roman" w:cs="Times New Roman"/>
          <w:color w:val="000000"/>
          <w:sz w:val="24"/>
          <w:szCs w:val="24"/>
        </w:rPr>
      </w:pPr>
      <w:r w:rsidRPr="00103199">
        <w:rPr>
          <w:rFonts w:ascii="Times New Roman" w:hAnsi="Times New Roman" w:cs="Times New Roman"/>
          <w:color w:val="000000"/>
          <w:sz w:val="24"/>
          <w:szCs w:val="24"/>
          <w:lang w:val="en-US"/>
        </w:rPr>
        <w:t xml:space="preserve">However, it would be impractical to include the name of each individual active ingredient in the non-proprietary name for the medicine containing, for example, multiple amino acids. </w:t>
      </w:r>
      <w:r w:rsidR="00CB6D64">
        <w:rPr>
          <w:rFonts w:ascii="Times New Roman" w:hAnsi="Times New Roman" w:cs="Times New Roman"/>
          <w:color w:val="000000"/>
          <w:sz w:val="24"/>
          <w:szCs w:val="24"/>
          <w:lang w:val="en-US"/>
        </w:rPr>
        <w:t xml:space="preserve"> </w:t>
      </w:r>
      <w:r w:rsidRPr="00103199">
        <w:rPr>
          <w:rFonts w:ascii="Times New Roman" w:hAnsi="Times New Roman" w:cs="Times New Roman"/>
          <w:color w:val="000000"/>
          <w:sz w:val="24"/>
          <w:szCs w:val="24"/>
          <w:lang w:val="en-US"/>
        </w:rPr>
        <w:t xml:space="preserve">For such products the non-proprietary name can be a general name which </w:t>
      </w:r>
      <w:proofErr w:type="spellStart"/>
      <w:r w:rsidRPr="00103199">
        <w:rPr>
          <w:rFonts w:ascii="Times New Roman" w:hAnsi="Times New Roman" w:cs="Times New Roman"/>
          <w:color w:val="000000"/>
          <w:sz w:val="24"/>
          <w:szCs w:val="24"/>
          <w:lang w:val="en-US"/>
        </w:rPr>
        <w:t>cat</w:t>
      </w:r>
      <w:r w:rsidRPr="001B5FCB">
        <w:rPr>
          <w:rFonts w:ascii="Times New Roman" w:hAnsi="Times New Roman" w:cs="Times New Roman"/>
          <w:color w:val="000000"/>
          <w:sz w:val="24"/>
          <w:szCs w:val="24"/>
          <w:lang w:val="en-US"/>
        </w:rPr>
        <w:t>egor</w:t>
      </w:r>
      <w:bookmarkStart w:id="0" w:name="_GoBack"/>
      <w:bookmarkEnd w:id="0"/>
      <w:r w:rsidRPr="001B5FCB">
        <w:rPr>
          <w:rFonts w:ascii="Times New Roman" w:hAnsi="Times New Roman" w:cs="Times New Roman"/>
          <w:color w:val="000000"/>
          <w:sz w:val="24"/>
          <w:szCs w:val="24"/>
          <w:lang w:val="en-US"/>
        </w:rPr>
        <w:t>ises</w:t>
      </w:r>
      <w:proofErr w:type="spellEnd"/>
      <w:r w:rsidRPr="001B5FCB">
        <w:rPr>
          <w:rFonts w:ascii="Times New Roman" w:hAnsi="Times New Roman" w:cs="Times New Roman"/>
          <w:color w:val="000000"/>
          <w:sz w:val="24"/>
          <w:szCs w:val="24"/>
          <w:lang w:val="en-US"/>
        </w:rPr>
        <w:t xml:space="preserve"> the types of active ingredient present.</w:t>
      </w:r>
    </w:p>
    <w:p w:rsidR="00A8566B" w:rsidRPr="001B5FCB" w:rsidRDefault="00A8566B" w:rsidP="00A8566B">
      <w:pPr>
        <w:shd w:val="clear" w:color="auto" w:fill="FFFFFF"/>
        <w:rPr>
          <w:rFonts w:ascii="Times New Roman" w:hAnsi="Times New Roman" w:cs="Times New Roman"/>
          <w:color w:val="000000"/>
          <w:sz w:val="24"/>
          <w:szCs w:val="24"/>
        </w:rPr>
      </w:pPr>
      <w:r w:rsidRPr="001B5FCB">
        <w:rPr>
          <w:rFonts w:ascii="Times New Roman" w:hAnsi="Times New Roman" w:cs="Times New Roman"/>
          <w:color w:val="000000"/>
          <w:sz w:val="24"/>
          <w:szCs w:val="24"/>
          <w:lang w:val="en-US"/>
        </w:rPr>
        <w:t>For example:</w:t>
      </w:r>
    </w:p>
    <w:p w:rsidR="00A8566B" w:rsidRPr="001B5FCB" w:rsidRDefault="00A8566B" w:rsidP="00A8566B">
      <w:pPr>
        <w:shd w:val="clear" w:color="auto" w:fill="FFFFFF"/>
        <w:ind w:left="567"/>
        <w:rPr>
          <w:rFonts w:ascii="Times New Roman" w:hAnsi="Times New Roman" w:cs="Times New Roman"/>
          <w:color w:val="000000"/>
          <w:sz w:val="24"/>
          <w:szCs w:val="24"/>
        </w:rPr>
      </w:pPr>
      <w:r w:rsidRPr="001B5FCB">
        <w:rPr>
          <w:rFonts w:ascii="Times New Roman" w:hAnsi="Times New Roman" w:cs="Times New Roman"/>
          <w:color w:val="000000"/>
          <w:sz w:val="24"/>
          <w:szCs w:val="24"/>
          <w:lang w:val="en-US"/>
        </w:rPr>
        <w:t>‘Amino Acid and Electrolyte Intravenous Infusion’</w:t>
      </w:r>
    </w:p>
    <w:p w:rsidR="00A8566B" w:rsidRPr="001B5FCB" w:rsidRDefault="00A8566B" w:rsidP="00A8566B">
      <w:pPr>
        <w:shd w:val="clear" w:color="auto" w:fill="FFFFFF"/>
        <w:ind w:left="567"/>
        <w:rPr>
          <w:rFonts w:ascii="Times New Roman" w:hAnsi="Times New Roman" w:cs="Times New Roman"/>
          <w:color w:val="000000"/>
          <w:sz w:val="24"/>
          <w:szCs w:val="24"/>
        </w:rPr>
      </w:pPr>
      <w:r w:rsidRPr="001B5FCB">
        <w:rPr>
          <w:rFonts w:ascii="Times New Roman" w:hAnsi="Times New Roman" w:cs="Times New Roman"/>
          <w:color w:val="000000"/>
          <w:sz w:val="24"/>
          <w:szCs w:val="24"/>
          <w:lang w:val="en-US"/>
        </w:rPr>
        <w:t>‘Triglyceride, Phospholipid and Glycerol x% Intravenous Infusion’</w:t>
      </w:r>
    </w:p>
    <w:p w:rsidR="00A8566B" w:rsidRPr="001B5FCB" w:rsidRDefault="00A8566B" w:rsidP="00A8566B">
      <w:pPr>
        <w:shd w:val="clear" w:color="auto" w:fill="FFFFFF"/>
        <w:rPr>
          <w:rFonts w:ascii="Times New Roman" w:hAnsi="Times New Roman" w:cs="Times New Roman"/>
          <w:color w:val="000000"/>
          <w:sz w:val="24"/>
          <w:szCs w:val="24"/>
        </w:rPr>
      </w:pPr>
      <w:r w:rsidRPr="001B5FCB">
        <w:rPr>
          <w:rFonts w:ascii="Times New Roman" w:hAnsi="Times New Roman" w:cs="Times New Roman"/>
          <w:color w:val="000000"/>
          <w:sz w:val="24"/>
          <w:szCs w:val="24"/>
          <w:lang w:val="en-US"/>
        </w:rPr>
        <w:t>The use of a general term such as ‘electrolyte’, ‘carbohydrate’, ‘amino acid’, etc. will be permitted where the product contains more than three active ingredients in one category.</w:t>
      </w:r>
    </w:p>
    <w:p w:rsidR="00A8566B" w:rsidRPr="004364DA" w:rsidRDefault="00A8566B" w:rsidP="00A8566B">
      <w:pPr>
        <w:autoSpaceDE w:val="0"/>
        <w:autoSpaceDN w:val="0"/>
        <w:adjustRightInd w:val="0"/>
        <w:spacing w:before="240" w:after="0" w:line="240" w:lineRule="auto"/>
        <w:rPr>
          <w:rStyle w:val="Hyperlink"/>
          <w:rFonts w:ascii="Times New Roman" w:hAnsi="Times New Roman" w:cs="Times New Roman"/>
          <w:i/>
          <w:iCs/>
          <w:color w:val="FF0000"/>
          <w:sz w:val="24"/>
          <w:szCs w:val="24"/>
          <w:u w:val="none"/>
        </w:rPr>
      </w:pPr>
    </w:p>
    <w:p w:rsidR="00A8566B" w:rsidRDefault="00A8566B" w:rsidP="00A8566B">
      <w:pPr>
        <w:rPr>
          <w:rFonts w:ascii="Times New Roman" w:eastAsia="Times New Roman" w:hAnsi="Times New Roman" w:cs="Times New Roman"/>
          <w:b/>
          <w:bCs/>
          <w:color w:val="FF0000"/>
          <w:sz w:val="24"/>
          <w:szCs w:val="24"/>
          <w:lang w:eastAsia="en-AU"/>
        </w:rPr>
      </w:pPr>
      <w:r>
        <w:rPr>
          <w:rFonts w:ascii="Times New Roman" w:eastAsia="Times New Roman" w:hAnsi="Times New Roman" w:cs="Times New Roman"/>
          <w:b/>
          <w:bCs/>
          <w:color w:val="FF0000"/>
          <w:sz w:val="24"/>
          <w:szCs w:val="24"/>
          <w:lang w:eastAsia="en-AU"/>
        </w:rPr>
        <w:br w:type="page"/>
      </w:r>
    </w:p>
    <w:p w:rsidR="00A8566B" w:rsidRPr="00B95376" w:rsidRDefault="00A8566B" w:rsidP="00A8566B">
      <w:pPr>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b/>
          <w:bCs/>
          <w:sz w:val="24"/>
          <w:szCs w:val="24"/>
          <w:lang w:eastAsia="en-AU"/>
        </w:rPr>
        <w:lastRenderedPageBreak/>
        <w:t xml:space="preserve">SUPPLEMENTARY MATERIAL - STATEMENT OF COMPATIBILITY WITH HUMAN RIGHTS FOR A LEGISLATIVE INSTRUMENT THAT </w:t>
      </w:r>
      <w:r w:rsidRPr="00B95376">
        <w:rPr>
          <w:rFonts w:ascii="Times New Roman" w:eastAsia="Times New Roman" w:hAnsi="Times New Roman" w:cs="Times New Roman"/>
          <w:b/>
          <w:bCs/>
          <w:sz w:val="24"/>
          <w:szCs w:val="24"/>
          <w:u w:val="single"/>
          <w:lang w:eastAsia="en-AU"/>
        </w:rPr>
        <w:t>DOES NOT</w:t>
      </w:r>
      <w:r w:rsidRPr="00B95376">
        <w:rPr>
          <w:rFonts w:ascii="Times New Roman" w:eastAsia="Times New Roman" w:hAnsi="Times New Roman" w:cs="Times New Roman"/>
          <w:b/>
          <w:bCs/>
          <w:sz w:val="24"/>
          <w:szCs w:val="24"/>
          <w:lang w:eastAsia="en-AU"/>
        </w:rPr>
        <w:t xml:space="preserve"> RAISE ANY HUMAN RIGHTS ISSUES</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b/>
          <w:bCs/>
          <w:sz w:val="24"/>
          <w:szCs w:val="24"/>
          <w:lang w:eastAsia="en-AU"/>
        </w:rPr>
        <w:t>Statement of Compatibility with Human Rights</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roofErr w:type="gramStart"/>
      <w:r w:rsidRPr="00B95376">
        <w:rPr>
          <w:rFonts w:ascii="Times New Roman" w:eastAsia="Times New Roman" w:hAnsi="Times New Roman" w:cs="Times New Roman"/>
          <w:sz w:val="24"/>
          <w:szCs w:val="24"/>
          <w:lang w:eastAsia="en-AU"/>
        </w:rPr>
        <w:t>Prepared in accordance with Part 3 of the</w:t>
      </w:r>
      <w:r w:rsidRPr="00B95376">
        <w:rPr>
          <w:rFonts w:ascii="Times New Roman" w:eastAsia="Times New Roman" w:hAnsi="Times New Roman" w:cs="Times New Roman"/>
          <w:i/>
          <w:iCs/>
          <w:sz w:val="24"/>
          <w:szCs w:val="24"/>
          <w:lang w:eastAsia="en-AU"/>
        </w:rPr>
        <w:t xml:space="preserve"> Human Rights (Parliamentary Scrutiny) Act 2011</w:t>
      </w:r>
      <w:r w:rsidRPr="00B95376">
        <w:rPr>
          <w:rFonts w:ascii="Times New Roman" w:eastAsia="Times New Roman" w:hAnsi="Times New Roman" w:cs="Times New Roman"/>
          <w:sz w:val="24"/>
          <w:szCs w:val="24"/>
          <w:lang w:eastAsia="en-AU"/>
        </w:rPr>
        <w:t>.</w:t>
      </w:r>
      <w:proofErr w:type="gramEnd"/>
    </w:p>
    <w:p w:rsidR="00A8566B" w:rsidRPr="00B95376" w:rsidRDefault="00A8566B" w:rsidP="00A8566B">
      <w:pPr>
        <w:shd w:val="clear" w:color="auto" w:fill="FFFFFF"/>
        <w:spacing w:before="100" w:beforeAutospacing="1" w:after="120" w:line="240" w:lineRule="auto"/>
        <w:rPr>
          <w:rFonts w:ascii="Times New Roman" w:hAnsi="Times New Roman" w:cs="Times New Roman"/>
          <w:b/>
          <w:sz w:val="24"/>
          <w:szCs w:val="24"/>
        </w:rPr>
      </w:pPr>
      <w:r w:rsidRPr="00B95376">
        <w:rPr>
          <w:rFonts w:ascii="Times New Roman" w:eastAsia="Times New Roman" w:hAnsi="Times New Roman" w:cs="Times New Roman"/>
          <w:b/>
          <w:bCs/>
          <w:sz w:val="24"/>
          <w:szCs w:val="24"/>
          <w:lang w:eastAsia="en-AU"/>
        </w:rPr>
        <w:t xml:space="preserve">Therapeutic Goods Order No. 69 - General </w:t>
      </w:r>
      <w:r w:rsidRPr="00B95376">
        <w:rPr>
          <w:rFonts w:ascii="Times New Roman" w:hAnsi="Times New Roman" w:cs="Times New Roman"/>
          <w:b/>
          <w:sz w:val="24"/>
          <w:szCs w:val="24"/>
        </w:rPr>
        <w:t>Requirements for Labels for Medicines 2017</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B95376">
        <w:rPr>
          <w:rFonts w:ascii="Times New Roman" w:eastAsia="Times New Roman" w:hAnsi="Times New Roman" w:cs="Times New Roman"/>
          <w:i/>
          <w:iCs/>
          <w:sz w:val="24"/>
          <w:szCs w:val="24"/>
          <w:lang w:eastAsia="en-AU"/>
        </w:rPr>
        <w:t>Human Rights (Parliamentary Scrutiny) Act 2011</w:t>
      </w:r>
      <w:r w:rsidRPr="00B95376">
        <w:rPr>
          <w:rFonts w:ascii="Times New Roman" w:eastAsia="Times New Roman" w:hAnsi="Times New Roman" w:cs="Times New Roman"/>
          <w:sz w:val="24"/>
          <w:szCs w:val="24"/>
          <w:lang w:eastAsia="en-AU"/>
        </w:rPr>
        <w:t>.</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b/>
          <w:bCs/>
          <w:sz w:val="24"/>
          <w:szCs w:val="24"/>
          <w:lang w:eastAsia="en-AU"/>
        </w:rPr>
        <w:t>Overview of the Legislative Instrument</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sz w:val="24"/>
          <w:szCs w:val="24"/>
          <w:lang w:eastAsia="en-AU"/>
        </w:rPr>
        <w:t xml:space="preserve">Although </w:t>
      </w:r>
      <w:r w:rsidRPr="00B95376">
        <w:rPr>
          <w:rFonts w:ascii="Times New Roman" w:eastAsia="Times New Roman" w:hAnsi="Times New Roman" w:cs="Times New Roman"/>
          <w:sz w:val="24"/>
          <w:szCs w:val="24"/>
          <w:lang w:eastAsia="en-AU"/>
        </w:rPr>
        <w:t xml:space="preserve">TGO 69 is now more than 16 years old and does not align with </w:t>
      </w:r>
      <w:r>
        <w:rPr>
          <w:rFonts w:ascii="Times New Roman" w:eastAsia="Times New Roman" w:hAnsi="Times New Roman" w:cs="Times New Roman"/>
          <w:sz w:val="24"/>
          <w:szCs w:val="24"/>
          <w:lang w:eastAsia="en-AU"/>
        </w:rPr>
        <w:t xml:space="preserve">international best practice </w:t>
      </w:r>
      <w:r w:rsidRPr="00B95376">
        <w:rPr>
          <w:rFonts w:ascii="Times New Roman" w:eastAsia="Times New Roman" w:hAnsi="Times New Roman" w:cs="Times New Roman"/>
          <w:sz w:val="24"/>
          <w:szCs w:val="24"/>
          <w:lang w:eastAsia="en-AU"/>
        </w:rPr>
        <w:t>labelling standards</w:t>
      </w:r>
      <w:r>
        <w:rPr>
          <w:rFonts w:ascii="Times New Roman" w:eastAsia="Times New Roman" w:hAnsi="Times New Roman" w:cs="Times New Roman"/>
          <w:sz w:val="24"/>
          <w:szCs w:val="24"/>
          <w:lang w:eastAsia="en-AU"/>
        </w:rPr>
        <w:t>, it is being re-made to serve throughout the transition period for the new Labelling Orders, Therapeutic Goods Order No. 91- Standard for labels of prescription and related medicines (TGO 91) and Therapeutic Goods Order No.92- Standard for labels of non-prescription medicines (TGO 92)</w:t>
      </w:r>
      <w:r w:rsidRPr="00B95376">
        <w:rPr>
          <w:rFonts w:ascii="Times New Roman" w:eastAsia="Times New Roman" w:hAnsi="Times New Roman" w:cs="Times New Roman"/>
          <w:sz w:val="24"/>
          <w:szCs w:val="24"/>
          <w:lang w:eastAsia="en-AU"/>
        </w:rPr>
        <w:t xml:space="preserve">. </w:t>
      </w:r>
    </w:p>
    <w:p w:rsidR="00A8566B" w:rsidRDefault="00A8566B" w:rsidP="00A8566B">
      <w:pPr>
        <w:autoSpaceDE w:val="0"/>
        <w:autoSpaceDN w:val="0"/>
        <w:adjustRightInd w:val="0"/>
        <w:spacing w:before="240" w:after="0" w:line="240" w:lineRule="auto"/>
        <w:rPr>
          <w:rStyle w:val="CommentReference"/>
          <w:rFonts w:ascii="Times New Roman" w:hAnsi="Times New Roman"/>
          <w:sz w:val="24"/>
          <w:szCs w:val="24"/>
        </w:rPr>
      </w:pPr>
      <w:r w:rsidRPr="00B95376">
        <w:rPr>
          <w:rFonts w:ascii="Times New Roman" w:eastAsia="Times New Roman" w:hAnsi="Times New Roman" w:cs="Times New Roman"/>
          <w:sz w:val="24"/>
          <w:szCs w:val="24"/>
          <w:lang w:eastAsia="en-AU"/>
        </w:rPr>
        <w:t xml:space="preserve">The re-made </w:t>
      </w:r>
      <w:r w:rsidRPr="00B95376">
        <w:rPr>
          <w:rFonts w:ascii="Times New Roman" w:eastAsia="Times New Roman" w:hAnsi="Times New Roman" w:cs="Times New Roman"/>
          <w:i/>
          <w:iCs/>
          <w:sz w:val="24"/>
          <w:szCs w:val="24"/>
          <w:lang w:eastAsia="en-AU"/>
        </w:rPr>
        <w:t xml:space="preserve">Therapeutic Goods Order No. 69 - </w:t>
      </w:r>
      <w:r w:rsidRPr="00B95376">
        <w:rPr>
          <w:rFonts w:ascii="Times New Roman" w:eastAsia="Times New Roman" w:hAnsi="Times New Roman" w:cs="Times New Roman"/>
          <w:bCs/>
          <w:i/>
          <w:sz w:val="24"/>
          <w:szCs w:val="24"/>
          <w:lang w:eastAsia="en-AU"/>
        </w:rPr>
        <w:t xml:space="preserve">General </w:t>
      </w:r>
      <w:r w:rsidRPr="00B95376">
        <w:rPr>
          <w:rFonts w:ascii="Times New Roman" w:hAnsi="Times New Roman" w:cs="Times New Roman"/>
          <w:i/>
          <w:sz w:val="24"/>
          <w:szCs w:val="24"/>
        </w:rPr>
        <w:t>Requirements for Labels for Medicines 2017</w:t>
      </w:r>
      <w:r>
        <w:rPr>
          <w:rFonts w:ascii="Times New Roman" w:hAnsi="Times New Roman" w:cs="Times New Roman"/>
          <w:sz w:val="24"/>
          <w:szCs w:val="24"/>
        </w:rPr>
        <w:t xml:space="preserve"> [</w:t>
      </w:r>
      <w:r w:rsidRPr="00B95376">
        <w:rPr>
          <w:rFonts w:ascii="Times New Roman" w:eastAsia="Times New Roman" w:hAnsi="Times New Roman" w:cs="Times New Roman"/>
          <w:sz w:val="24"/>
          <w:szCs w:val="24"/>
          <w:lang w:eastAsia="en-AU"/>
        </w:rPr>
        <w:t>TGO 69 (2017)</w:t>
      </w:r>
      <w:r>
        <w:rPr>
          <w:rFonts w:ascii="Times New Roman" w:eastAsia="Times New Roman" w:hAnsi="Times New Roman" w:cs="Times New Roman"/>
          <w:sz w:val="24"/>
          <w:szCs w:val="24"/>
          <w:lang w:eastAsia="en-AU"/>
        </w:rPr>
        <w:t>]</w:t>
      </w:r>
      <w:r w:rsidRPr="00B95376">
        <w:rPr>
          <w:rFonts w:ascii="Times New Roman" w:eastAsia="Times New Roman" w:hAnsi="Times New Roman" w:cs="Times New Roman"/>
          <w:sz w:val="24"/>
          <w:szCs w:val="24"/>
          <w:lang w:eastAsia="en-AU"/>
        </w:rPr>
        <w:t xml:space="preserve"> was drafted to </w:t>
      </w:r>
      <w:r w:rsidRPr="00B95376">
        <w:rPr>
          <w:rStyle w:val="CommentReference"/>
          <w:rFonts w:ascii="Times New Roman" w:hAnsi="Times New Roman"/>
          <w:sz w:val="24"/>
          <w:szCs w:val="24"/>
        </w:rPr>
        <w:t>repeal Therapeutic Goods Order No. 69, entitled ‘General requirements for labels for medicines’, made on 27 August 2001, as amended (Register ID: F2014C00926)</w:t>
      </w:r>
      <w:r>
        <w:rPr>
          <w:rStyle w:val="CommentReference"/>
          <w:rFonts w:ascii="Times New Roman" w:hAnsi="Times New Roman"/>
          <w:sz w:val="24"/>
          <w:szCs w:val="24"/>
        </w:rPr>
        <w:t>,</w:t>
      </w:r>
      <w:r w:rsidRPr="007B4C33">
        <w:rPr>
          <w:rStyle w:val="CommentReference"/>
          <w:rFonts w:ascii="Times New Roman" w:hAnsi="Times New Roman" w:cs="Times New Roman"/>
          <w:sz w:val="24"/>
          <w:szCs w:val="24"/>
        </w:rPr>
        <w:t xml:space="preserve"> </w:t>
      </w:r>
      <w:r w:rsidRPr="007D7395">
        <w:rPr>
          <w:rStyle w:val="CommentReference"/>
          <w:rFonts w:ascii="Times New Roman" w:hAnsi="Times New Roman" w:cs="Times New Roman"/>
          <w:sz w:val="24"/>
          <w:szCs w:val="24"/>
        </w:rPr>
        <w:t>which</w:t>
      </w:r>
      <w:r w:rsidRPr="007D739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wa</w:t>
      </w:r>
      <w:r w:rsidRPr="007D7395">
        <w:rPr>
          <w:rFonts w:ascii="Times New Roman" w:eastAsia="Times New Roman" w:hAnsi="Times New Roman" w:cs="Times New Roman"/>
          <w:sz w:val="24"/>
          <w:szCs w:val="24"/>
          <w:lang w:eastAsia="en-AU"/>
        </w:rPr>
        <w:t xml:space="preserve">s due to ‘sunset’ under the </w:t>
      </w:r>
      <w:r w:rsidRPr="007D7395">
        <w:rPr>
          <w:rFonts w:ascii="Times New Roman" w:eastAsia="Times New Roman" w:hAnsi="Times New Roman" w:cs="Times New Roman"/>
          <w:i/>
          <w:sz w:val="24"/>
          <w:szCs w:val="24"/>
          <w:lang w:eastAsia="en-AU"/>
        </w:rPr>
        <w:t>Legislati</w:t>
      </w:r>
      <w:r>
        <w:rPr>
          <w:rFonts w:ascii="Times New Roman" w:eastAsia="Times New Roman" w:hAnsi="Times New Roman" w:cs="Times New Roman"/>
          <w:i/>
          <w:sz w:val="24"/>
          <w:szCs w:val="24"/>
          <w:lang w:eastAsia="en-AU"/>
        </w:rPr>
        <w:t>on</w:t>
      </w:r>
      <w:r w:rsidRPr="007D7395">
        <w:rPr>
          <w:rFonts w:ascii="Times New Roman" w:eastAsia="Times New Roman" w:hAnsi="Times New Roman" w:cs="Times New Roman"/>
          <w:i/>
          <w:sz w:val="24"/>
          <w:szCs w:val="24"/>
          <w:lang w:eastAsia="en-AU"/>
        </w:rPr>
        <w:t xml:space="preserve"> Act 2003</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soon (1 October 2017)</w:t>
      </w:r>
      <w:r w:rsidRPr="00B95376">
        <w:rPr>
          <w:rStyle w:val="CommentReference"/>
          <w:rFonts w:ascii="Times New Roman" w:hAnsi="Times New Roman"/>
          <w:sz w:val="24"/>
          <w:szCs w:val="24"/>
        </w:rPr>
        <w:t>.</w:t>
      </w:r>
    </w:p>
    <w:p w:rsidR="00A8566B" w:rsidRDefault="00A8566B" w:rsidP="00A8566B">
      <w:pPr>
        <w:autoSpaceDE w:val="0"/>
        <w:autoSpaceDN w:val="0"/>
        <w:adjustRightInd w:val="0"/>
        <w:spacing w:before="240" w:after="0" w:line="240" w:lineRule="auto"/>
        <w:rPr>
          <w:rFonts w:ascii="Times New Roman" w:eastAsia="Times New Roman" w:hAnsi="Times New Roman" w:cs="Times New Roman"/>
          <w:sz w:val="24"/>
          <w:szCs w:val="24"/>
          <w:lang w:eastAsia="en-AU"/>
        </w:rPr>
      </w:pPr>
      <w:r>
        <w:rPr>
          <w:rFonts w:ascii="Times New Roman" w:hAnsi="Times New Roman" w:cs="Times New Roman"/>
          <w:color w:val="000000"/>
          <w:sz w:val="24"/>
          <w:szCs w:val="24"/>
        </w:rPr>
        <w:t xml:space="preserve">TGO 69 (2017) does not represent a significant change as compared with the legislative instrument it replaces, TGO 69, </w:t>
      </w:r>
      <w:r>
        <w:rPr>
          <w:rStyle w:val="CommentReference"/>
          <w:rFonts w:ascii="Times New Roman" w:hAnsi="Times New Roman"/>
          <w:sz w:val="24"/>
          <w:szCs w:val="24"/>
        </w:rPr>
        <w:t>except the following changes have been included</w:t>
      </w:r>
      <w:r>
        <w:rPr>
          <w:rFonts w:ascii="Times New Roman" w:eastAsia="Times New Roman" w:hAnsi="Times New Roman" w:cs="Times New Roman"/>
          <w:sz w:val="24"/>
          <w:szCs w:val="24"/>
          <w:lang w:eastAsia="en-AU"/>
        </w:rPr>
        <w:t xml:space="preserve">: </w:t>
      </w:r>
    </w:p>
    <w:p w:rsidR="00A8566B" w:rsidRPr="007C5C36" w:rsidRDefault="00A8566B" w:rsidP="00A8566B">
      <w:pPr>
        <w:pStyle w:val="ListParagraph"/>
        <w:numPr>
          <w:ilvl w:val="0"/>
          <w:numId w:val="10"/>
        </w:num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7C5C36">
        <w:rPr>
          <w:rFonts w:ascii="Times New Roman" w:eastAsia="Times New Roman" w:hAnsi="Times New Roman" w:cs="Times New Roman"/>
          <w:sz w:val="24"/>
          <w:szCs w:val="24"/>
          <w:lang w:eastAsia="en-AU"/>
        </w:rPr>
        <w:t>reflection of the transition arrangement for the implementation of TGO 91 and TGO 92</w:t>
      </w:r>
      <w:r>
        <w:rPr>
          <w:rFonts w:ascii="Times New Roman" w:eastAsia="Times New Roman" w:hAnsi="Times New Roman" w:cs="Times New Roman"/>
          <w:sz w:val="24"/>
          <w:szCs w:val="24"/>
          <w:lang w:eastAsia="en-AU"/>
        </w:rPr>
        <w:t>;</w:t>
      </w:r>
    </w:p>
    <w:p w:rsidR="00A8566B" w:rsidRPr="007C5C36" w:rsidRDefault="00A8566B" w:rsidP="00A8566B">
      <w:pPr>
        <w:pStyle w:val="ListParagraph"/>
        <w:numPr>
          <w:ilvl w:val="0"/>
          <w:numId w:val="10"/>
        </w:numPr>
        <w:autoSpaceDE w:val="0"/>
        <w:autoSpaceDN w:val="0"/>
        <w:adjustRightInd w:val="0"/>
        <w:spacing w:before="240" w:after="0" w:line="240" w:lineRule="auto"/>
        <w:rPr>
          <w:rFonts w:ascii="Times New Roman" w:hAnsi="Times New Roman" w:cs="Times New Roman"/>
          <w:sz w:val="24"/>
          <w:szCs w:val="24"/>
        </w:rPr>
      </w:pPr>
      <w:r w:rsidRPr="007C5C36">
        <w:rPr>
          <w:rFonts w:ascii="Times New Roman" w:eastAsia="Times New Roman" w:hAnsi="Times New Roman" w:cs="Times New Roman"/>
          <w:sz w:val="24"/>
          <w:szCs w:val="24"/>
          <w:lang w:eastAsia="en-AU"/>
        </w:rPr>
        <w:t>no</w:t>
      </w:r>
      <w:r w:rsidRPr="007C5C36">
        <w:rPr>
          <w:rFonts w:ascii="Times New Roman" w:hAnsi="Times New Roman" w:cs="Times New Roman"/>
          <w:sz w:val="24"/>
          <w:szCs w:val="24"/>
        </w:rPr>
        <w:t xml:space="preserve">tes that medicines that are authorised for supply by health practitioner notification under subsection 19(7A) of the Act (introduced recently by the </w:t>
      </w:r>
      <w:r w:rsidRPr="007C5C36">
        <w:rPr>
          <w:rFonts w:ascii="Times New Roman" w:hAnsi="Times New Roman" w:cs="Times New Roman"/>
          <w:i/>
          <w:sz w:val="24"/>
          <w:szCs w:val="24"/>
        </w:rPr>
        <w:t>Therapeutic Goods Amendment (2016 Measures No.1) Act 2017</w:t>
      </w:r>
      <w:r w:rsidRPr="007C5C36">
        <w:rPr>
          <w:rFonts w:ascii="Times New Roman" w:hAnsi="Times New Roman" w:cs="Times New Roman"/>
          <w:sz w:val="24"/>
          <w:szCs w:val="24"/>
        </w:rPr>
        <w:t>) are not required to comply with this Order</w:t>
      </w:r>
      <w:r>
        <w:rPr>
          <w:rFonts w:ascii="Times New Roman" w:hAnsi="Times New Roman" w:cs="Times New Roman"/>
          <w:sz w:val="24"/>
          <w:szCs w:val="24"/>
        </w:rPr>
        <w:t>;</w:t>
      </w:r>
    </w:p>
    <w:p w:rsidR="00A8566B" w:rsidRDefault="00A8566B" w:rsidP="00A8566B">
      <w:pPr>
        <w:pStyle w:val="ListParagraph"/>
        <w:numPr>
          <w:ilvl w:val="0"/>
          <w:numId w:val="10"/>
        </w:num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7C5C36">
        <w:rPr>
          <w:rFonts w:ascii="Times New Roman" w:eastAsia="Times New Roman" w:hAnsi="Times New Roman" w:cs="Times New Roman"/>
          <w:sz w:val="24"/>
          <w:szCs w:val="24"/>
          <w:lang w:eastAsia="en-AU"/>
        </w:rPr>
        <w:t>removal of the references to goods intended solely for use in animals, and other references to animals or veterinary surgeons</w:t>
      </w:r>
      <w:r>
        <w:rPr>
          <w:rFonts w:ascii="Times New Roman" w:eastAsia="Times New Roman" w:hAnsi="Times New Roman" w:cs="Times New Roman"/>
          <w:sz w:val="24"/>
          <w:szCs w:val="24"/>
          <w:lang w:eastAsia="en-AU"/>
        </w:rPr>
        <w:t>;</w:t>
      </w:r>
      <w:r w:rsidRPr="007C5C36">
        <w:rPr>
          <w:rFonts w:ascii="Times New Roman" w:eastAsia="Times New Roman" w:hAnsi="Times New Roman" w:cs="Times New Roman"/>
          <w:sz w:val="24"/>
          <w:szCs w:val="24"/>
          <w:lang w:eastAsia="en-AU"/>
        </w:rPr>
        <w:t xml:space="preserve"> and</w:t>
      </w:r>
    </w:p>
    <w:p w:rsidR="00A8566B" w:rsidRPr="007C5C36" w:rsidRDefault="00A8566B" w:rsidP="00A8566B">
      <w:pPr>
        <w:pStyle w:val="ListParagraph"/>
        <w:numPr>
          <w:ilvl w:val="0"/>
          <w:numId w:val="10"/>
        </w:numPr>
        <w:autoSpaceDE w:val="0"/>
        <w:autoSpaceDN w:val="0"/>
        <w:adjustRightInd w:val="0"/>
        <w:spacing w:before="240" w:after="0" w:line="240" w:lineRule="auto"/>
        <w:rPr>
          <w:rStyle w:val="CommentReference"/>
          <w:rFonts w:ascii="Times New Roman" w:eastAsia="Times New Roman" w:hAnsi="Times New Roman" w:cs="Times New Roman"/>
          <w:sz w:val="24"/>
          <w:szCs w:val="24"/>
          <w:lang w:eastAsia="en-AU"/>
        </w:rPr>
      </w:pPr>
      <w:r w:rsidRPr="007C5C36">
        <w:rPr>
          <w:rFonts w:ascii="Times New Roman" w:eastAsia="Times New Roman" w:hAnsi="Times New Roman" w:cs="Times New Roman"/>
          <w:sz w:val="24"/>
          <w:szCs w:val="24"/>
          <w:lang w:eastAsia="en-AU"/>
        </w:rPr>
        <w:t>a small number of minor fixes</w:t>
      </w:r>
      <w:r>
        <w:rPr>
          <w:rFonts w:ascii="Times New Roman" w:eastAsia="Times New Roman" w:hAnsi="Times New Roman" w:cs="Times New Roman"/>
          <w:sz w:val="24"/>
          <w:szCs w:val="24"/>
          <w:lang w:eastAsia="en-AU"/>
        </w:rPr>
        <w:t>, including updating the definition ‘warning statements’ to replace the reference to</w:t>
      </w:r>
      <w:r w:rsidRPr="007C5C3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legislative instrument the ‘Medicines Advisory Statements Specification 2014’ (which has been repealed by the Medicines Advisory Statements Specification 2017) with a reference to the instrument made by the Minister under subsection 3(5A) of the Act, </w:t>
      </w:r>
      <w:r w:rsidRPr="007C5C36">
        <w:rPr>
          <w:rFonts w:ascii="Times New Roman" w:hAnsi="Times New Roman" w:cs="Times New Roman"/>
          <w:sz w:val="24"/>
          <w:szCs w:val="24"/>
          <w:lang w:val="en-US"/>
        </w:rPr>
        <w:t>to ensure that the most current legislative instrument made under that provision must be complied with.</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B95376">
        <w:rPr>
          <w:rFonts w:ascii="Times New Roman" w:eastAsia="Times New Roman" w:hAnsi="Times New Roman" w:cs="Times New Roman"/>
          <w:sz w:val="24"/>
          <w:szCs w:val="24"/>
          <w:lang w:eastAsia="en-AU"/>
        </w:rPr>
        <w:t>TGO 69 (2017)</w:t>
      </w:r>
      <w:r>
        <w:rPr>
          <w:rFonts w:ascii="Times New Roman" w:eastAsia="Times New Roman" w:hAnsi="Times New Roman" w:cs="Times New Roman"/>
          <w:sz w:val="24"/>
          <w:szCs w:val="24"/>
          <w:lang w:eastAsia="en-AU"/>
        </w:rPr>
        <w:t xml:space="preserve"> </w:t>
      </w:r>
      <w:r w:rsidRPr="00B95376">
        <w:rPr>
          <w:rFonts w:ascii="Times New Roman" w:hAnsi="Times New Roman" w:cs="Times New Roman"/>
          <w:sz w:val="24"/>
          <w:szCs w:val="24"/>
        </w:rPr>
        <w:t>i</w:t>
      </w:r>
      <w:r w:rsidRPr="00B95376">
        <w:rPr>
          <w:rFonts w:ascii="Times New Roman" w:eastAsia="Times New Roman" w:hAnsi="Times New Roman" w:cs="Times New Roman"/>
          <w:sz w:val="24"/>
          <w:szCs w:val="24"/>
          <w:lang w:eastAsia="en-AU"/>
        </w:rPr>
        <w:t xml:space="preserve">s made by a delegate of the Minister under section 10 of the </w:t>
      </w:r>
      <w:r w:rsidRPr="00B95376">
        <w:rPr>
          <w:rFonts w:ascii="Times New Roman" w:eastAsia="Times New Roman" w:hAnsi="Times New Roman" w:cs="Times New Roman"/>
          <w:i/>
          <w:iCs/>
          <w:sz w:val="24"/>
          <w:szCs w:val="24"/>
          <w:lang w:eastAsia="en-AU"/>
        </w:rPr>
        <w:t>Therapeutic Goods Act 1989</w:t>
      </w:r>
      <w:r w:rsidRPr="00B95376">
        <w:rPr>
          <w:rFonts w:ascii="Times New Roman" w:eastAsia="Times New Roman" w:hAnsi="Times New Roman" w:cs="Times New Roman"/>
          <w:sz w:val="24"/>
          <w:szCs w:val="24"/>
          <w:lang w:eastAsia="en-AU"/>
        </w:rPr>
        <w:t xml:space="preserve">.  TGO 69 (2017) sets out the general requirements for the labelling of listed and registered medicines in the Australian Register of Therapeutic Goods. </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B95376">
        <w:rPr>
          <w:rFonts w:ascii="Times New Roman" w:eastAsia="Times New Roman" w:hAnsi="Times New Roman" w:cs="Times New Roman"/>
          <w:sz w:val="24"/>
          <w:szCs w:val="24"/>
          <w:lang w:eastAsia="en-AU"/>
        </w:rPr>
        <w:lastRenderedPageBreak/>
        <w:t>TGO 69 (2017) will commence on 1 July 2017</w:t>
      </w:r>
      <w:r>
        <w:rPr>
          <w:rFonts w:ascii="Times New Roman" w:eastAsia="Times New Roman" w:hAnsi="Times New Roman" w:cs="Times New Roman"/>
          <w:sz w:val="24"/>
          <w:szCs w:val="24"/>
          <w:lang w:eastAsia="en-AU"/>
        </w:rPr>
        <w:t xml:space="preserve"> and will cease to be in force once the four year transition period to TGO 91 and TGO 92 ends (1 September 2020)</w:t>
      </w:r>
      <w:r w:rsidRPr="00B95376">
        <w:rPr>
          <w:rFonts w:ascii="Times New Roman" w:eastAsia="Times New Roman" w:hAnsi="Times New Roman" w:cs="Times New Roman"/>
          <w:sz w:val="24"/>
          <w:szCs w:val="24"/>
          <w:lang w:eastAsia="en-AU"/>
        </w:rPr>
        <w:t>.</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b/>
          <w:bCs/>
          <w:sz w:val="24"/>
          <w:szCs w:val="24"/>
          <w:lang w:eastAsia="en-AU"/>
        </w:rPr>
        <w:t>Human rights implications</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B95376">
        <w:rPr>
          <w:rFonts w:ascii="Times New Roman" w:eastAsia="Times New Roman" w:hAnsi="Times New Roman" w:cs="Times New Roman"/>
          <w:sz w:val="24"/>
          <w:szCs w:val="24"/>
          <w:lang w:eastAsia="en-AU"/>
        </w:rPr>
        <w:t>This legislative instrument does not engage any of the applicable rights or freedoms.</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b/>
          <w:bCs/>
          <w:sz w:val="24"/>
          <w:szCs w:val="24"/>
          <w:lang w:eastAsia="en-AU"/>
        </w:rPr>
        <w:t>Conclusion</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B95376">
        <w:rPr>
          <w:rFonts w:ascii="Times New Roman" w:eastAsia="Times New Roman" w:hAnsi="Times New Roman" w:cs="Times New Roman"/>
          <w:sz w:val="24"/>
          <w:szCs w:val="24"/>
          <w:lang w:eastAsia="en-AU"/>
        </w:rPr>
        <w:t>This legislative instrument is compatible with human rights as it does not raise any human rights issues.</w:t>
      </w: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A8566B" w:rsidRPr="00B95376" w:rsidRDefault="00A8566B" w:rsidP="00A8566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Larry Kelly</w:t>
      </w:r>
      <w:r w:rsidRPr="00B95376">
        <w:rPr>
          <w:rFonts w:ascii="Times New Roman" w:eastAsia="Times New Roman" w:hAnsi="Times New Roman" w:cs="Times New Roman"/>
          <w:b/>
          <w:bCs/>
          <w:sz w:val="24"/>
          <w:szCs w:val="24"/>
          <w:lang w:eastAsia="en-AU"/>
        </w:rPr>
        <w:t xml:space="preserve">, delegate of the Minister for Health </w:t>
      </w:r>
    </w:p>
    <w:p w:rsidR="00A8566B" w:rsidRPr="00B95376" w:rsidRDefault="00A8566B" w:rsidP="00A8566B">
      <w:pPr>
        <w:rPr>
          <w:sz w:val="24"/>
          <w:szCs w:val="24"/>
        </w:rPr>
      </w:pPr>
    </w:p>
    <w:p w:rsidR="009733D5" w:rsidRPr="00B95376" w:rsidRDefault="009733D5">
      <w:pPr>
        <w:rPr>
          <w:sz w:val="24"/>
          <w:szCs w:val="24"/>
        </w:rPr>
      </w:pPr>
    </w:p>
    <w:sectPr w:rsidR="009733D5" w:rsidRPr="00B9537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3A" w:rsidRDefault="004A623A" w:rsidP="008F58E7">
      <w:pPr>
        <w:spacing w:after="0" w:line="240" w:lineRule="auto"/>
      </w:pPr>
      <w:r>
        <w:separator/>
      </w:r>
    </w:p>
  </w:endnote>
  <w:endnote w:type="continuationSeparator" w:id="0">
    <w:p w:rsidR="004A623A" w:rsidRDefault="004A623A"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6B" w:rsidRDefault="00A8566B" w:rsidP="00D51CB4">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sz w:val="20"/>
        <w:szCs w:val="20"/>
      </w:rPr>
      <w:t>Explanatory Statement – Therapeutic Goods Order No. 69-General Requirements for Labels for Medicines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B0750" w:rsidRPr="00CB0750">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A8566B" w:rsidRDefault="00A8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B4" w:rsidRDefault="00D51CB4" w:rsidP="00D51CB4">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sz w:val="20"/>
        <w:szCs w:val="20"/>
      </w:rPr>
      <w:t xml:space="preserve">Explanatory Statement – Therapeutic Goods Order No. </w:t>
    </w:r>
    <w:r w:rsidR="0024362B">
      <w:rPr>
        <w:rFonts w:ascii="Times New Roman" w:hAnsi="Times New Roman" w:cs="Times New Roman"/>
        <w:sz w:val="20"/>
        <w:szCs w:val="20"/>
      </w:rPr>
      <w:t>69</w:t>
    </w:r>
    <w:r w:rsidR="008B5D26">
      <w:rPr>
        <w:rFonts w:ascii="Times New Roman" w:hAnsi="Times New Roman" w:cs="Times New Roman"/>
        <w:sz w:val="20"/>
        <w:szCs w:val="20"/>
      </w:rPr>
      <w:t xml:space="preserve">-General Requirements for Labels for Medicines </w:t>
    </w:r>
    <w:r w:rsidR="0024362B">
      <w:rPr>
        <w:rFonts w:ascii="Times New Roman" w:hAnsi="Times New Roman" w:cs="Times New Roman"/>
        <w:sz w:val="20"/>
        <w:szCs w:val="20"/>
      </w:rPr>
      <w:t>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B0750" w:rsidRPr="00CB075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D51CB4" w:rsidRDefault="00D51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3A" w:rsidRDefault="004A623A" w:rsidP="008F58E7">
      <w:pPr>
        <w:spacing w:after="0" w:line="240" w:lineRule="auto"/>
      </w:pPr>
      <w:r>
        <w:separator/>
      </w:r>
    </w:p>
  </w:footnote>
  <w:footnote w:type="continuationSeparator" w:id="0">
    <w:p w:rsidR="004A623A" w:rsidRDefault="004A623A"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7"/>
  </w:num>
  <w:num w:numId="6">
    <w:abstractNumId w:val="5"/>
  </w:num>
  <w:num w:numId="7">
    <w:abstractNumId w:val="1"/>
  </w:num>
  <w:num w:numId="8">
    <w:abstractNumId w:val="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01356"/>
    <w:rsid w:val="0003695D"/>
    <w:rsid w:val="00041DBE"/>
    <w:rsid w:val="00043196"/>
    <w:rsid w:val="000731E4"/>
    <w:rsid w:val="000834FF"/>
    <w:rsid w:val="00087384"/>
    <w:rsid w:val="000A5E49"/>
    <w:rsid w:val="000B28E5"/>
    <w:rsid w:val="000D6B28"/>
    <w:rsid w:val="00103199"/>
    <w:rsid w:val="001104A3"/>
    <w:rsid w:val="00145FAB"/>
    <w:rsid w:val="00152142"/>
    <w:rsid w:val="001567D7"/>
    <w:rsid w:val="001744EF"/>
    <w:rsid w:val="00181566"/>
    <w:rsid w:val="00183176"/>
    <w:rsid w:val="001B5BD1"/>
    <w:rsid w:val="001B5FCB"/>
    <w:rsid w:val="001C2542"/>
    <w:rsid w:val="001C5678"/>
    <w:rsid w:val="001E15C1"/>
    <w:rsid w:val="001E2C22"/>
    <w:rsid w:val="001E647A"/>
    <w:rsid w:val="001E66DE"/>
    <w:rsid w:val="001F0015"/>
    <w:rsid w:val="001F652D"/>
    <w:rsid w:val="001F6E91"/>
    <w:rsid w:val="00215F20"/>
    <w:rsid w:val="0023465C"/>
    <w:rsid w:val="0024362B"/>
    <w:rsid w:val="00282152"/>
    <w:rsid w:val="00285E91"/>
    <w:rsid w:val="00294CAA"/>
    <w:rsid w:val="002A0AC2"/>
    <w:rsid w:val="002C22F7"/>
    <w:rsid w:val="002C48CA"/>
    <w:rsid w:val="002E518A"/>
    <w:rsid w:val="002F2A73"/>
    <w:rsid w:val="00304C4C"/>
    <w:rsid w:val="0034243B"/>
    <w:rsid w:val="003475EA"/>
    <w:rsid w:val="003846D3"/>
    <w:rsid w:val="003A4A62"/>
    <w:rsid w:val="003B024B"/>
    <w:rsid w:val="003D2E63"/>
    <w:rsid w:val="003D361B"/>
    <w:rsid w:val="003F6CAC"/>
    <w:rsid w:val="00403574"/>
    <w:rsid w:val="004120B2"/>
    <w:rsid w:val="0042517D"/>
    <w:rsid w:val="004364DA"/>
    <w:rsid w:val="00470227"/>
    <w:rsid w:val="0047375B"/>
    <w:rsid w:val="00474CFE"/>
    <w:rsid w:val="004943B7"/>
    <w:rsid w:val="004A249A"/>
    <w:rsid w:val="004A623A"/>
    <w:rsid w:val="004C187B"/>
    <w:rsid w:val="0053605F"/>
    <w:rsid w:val="005B2E7B"/>
    <w:rsid w:val="00635566"/>
    <w:rsid w:val="006619CF"/>
    <w:rsid w:val="0067342D"/>
    <w:rsid w:val="00687415"/>
    <w:rsid w:val="006B4562"/>
    <w:rsid w:val="006B78A9"/>
    <w:rsid w:val="006F2E4D"/>
    <w:rsid w:val="00764F9B"/>
    <w:rsid w:val="00766592"/>
    <w:rsid w:val="007741C0"/>
    <w:rsid w:val="0078055F"/>
    <w:rsid w:val="0078510C"/>
    <w:rsid w:val="007A0068"/>
    <w:rsid w:val="007A0741"/>
    <w:rsid w:val="007A282F"/>
    <w:rsid w:val="007A5ED1"/>
    <w:rsid w:val="007C07FC"/>
    <w:rsid w:val="007C5C36"/>
    <w:rsid w:val="007D7395"/>
    <w:rsid w:val="008062E7"/>
    <w:rsid w:val="008172AD"/>
    <w:rsid w:val="0082435D"/>
    <w:rsid w:val="00852295"/>
    <w:rsid w:val="00875D95"/>
    <w:rsid w:val="0089290E"/>
    <w:rsid w:val="008A4D97"/>
    <w:rsid w:val="008B5D26"/>
    <w:rsid w:val="008F58E7"/>
    <w:rsid w:val="00911B5F"/>
    <w:rsid w:val="009235C2"/>
    <w:rsid w:val="00924A7D"/>
    <w:rsid w:val="00941612"/>
    <w:rsid w:val="009538CC"/>
    <w:rsid w:val="0096702D"/>
    <w:rsid w:val="009733D5"/>
    <w:rsid w:val="00985CE7"/>
    <w:rsid w:val="009967AB"/>
    <w:rsid w:val="009A5695"/>
    <w:rsid w:val="009B611E"/>
    <w:rsid w:val="009C0A39"/>
    <w:rsid w:val="009E35FF"/>
    <w:rsid w:val="00A004E1"/>
    <w:rsid w:val="00A14FF6"/>
    <w:rsid w:val="00A311CF"/>
    <w:rsid w:val="00A37484"/>
    <w:rsid w:val="00A62C5D"/>
    <w:rsid w:val="00A679DF"/>
    <w:rsid w:val="00A84AA6"/>
    <w:rsid w:val="00A8566B"/>
    <w:rsid w:val="00AB5AB8"/>
    <w:rsid w:val="00AD2D32"/>
    <w:rsid w:val="00AF53B4"/>
    <w:rsid w:val="00B017C0"/>
    <w:rsid w:val="00B273DF"/>
    <w:rsid w:val="00B315DD"/>
    <w:rsid w:val="00B376BB"/>
    <w:rsid w:val="00B569CA"/>
    <w:rsid w:val="00B70E27"/>
    <w:rsid w:val="00B73C2A"/>
    <w:rsid w:val="00B947AF"/>
    <w:rsid w:val="00B95376"/>
    <w:rsid w:val="00B969F2"/>
    <w:rsid w:val="00BA3DF2"/>
    <w:rsid w:val="00BB064A"/>
    <w:rsid w:val="00BB14A7"/>
    <w:rsid w:val="00BB51FE"/>
    <w:rsid w:val="00BC28BC"/>
    <w:rsid w:val="00BC490F"/>
    <w:rsid w:val="00BC5C4B"/>
    <w:rsid w:val="00BF1C90"/>
    <w:rsid w:val="00C01E9A"/>
    <w:rsid w:val="00C178B7"/>
    <w:rsid w:val="00C226B6"/>
    <w:rsid w:val="00C4382B"/>
    <w:rsid w:val="00C46457"/>
    <w:rsid w:val="00C47690"/>
    <w:rsid w:val="00C60F02"/>
    <w:rsid w:val="00C8141D"/>
    <w:rsid w:val="00C856C6"/>
    <w:rsid w:val="00C871C4"/>
    <w:rsid w:val="00C91491"/>
    <w:rsid w:val="00CB0750"/>
    <w:rsid w:val="00CB22AE"/>
    <w:rsid w:val="00CB2320"/>
    <w:rsid w:val="00CB6D64"/>
    <w:rsid w:val="00CC3F84"/>
    <w:rsid w:val="00CE419C"/>
    <w:rsid w:val="00CF11E4"/>
    <w:rsid w:val="00D130D0"/>
    <w:rsid w:val="00D337F2"/>
    <w:rsid w:val="00D44D37"/>
    <w:rsid w:val="00D51CB4"/>
    <w:rsid w:val="00D76D27"/>
    <w:rsid w:val="00DE0F33"/>
    <w:rsid w:val="00DE1233"/>
    <w:rsid w:val="00DE2E44"/>
    <w:rsid w:val="00DF02E2"/>
    <w:rsid w:val="00DF1780"/>
    <w:rsid w:val="00E009D1"/>
    <w:rsid w:val="00E128F2"/>
    <w:rsid w:val="00E261FC"/>
    <w:rsid w:val="00E55959"/>
    <w:rsid w:val="00E861A5"/>
    <w:rsid w:val="00EE2B19"/>
    <w:rsid w:val="00F04F41"/>
    <w:rsid w:val="00F26667"/>
    <w:rsid w:val="00F316B1"/>
    <w:rsid w:val="00F34085"/>
    <w:rsid w:val="00F4372C"/>
    <w:rsid w:val="00F72A29"/>
    <w:rsid w:val="00F81EB6"/>
    <w:rsid w:val="00FB4449"/>
    <w:rsid w:val="00FC1B8B"/>
    <w:rsid w:val="00FD02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ms.com.au/index.php/products/product-ove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mi.com.au/documents/Industry/labelling_code_of_practic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is.pmc.gov.au/2016/08/19/clearer-labels-medicines"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7A71-744B-440D-9DD8-FAB17BFE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TIAN, Junling</cp:lastModifiedBy>
  <cp:revision>2</cp:revision>
  <dcterms:created xsi:type="dcterms:W3CDTF">2017-06-30T05:02:00Z</dcterms:created>
  <dcterms:modified xsi:type="dcterms:W3CDTF">2017-06-30T05:02:00Z</dcterms:modified>
</cp:coreProperties>
</file>