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DB571" w14:textId="77777777" w:rsidR="000879C9" w:rsidRPr="00F4731A" w:rsidRDefault="000879C9" w:rsidP="002622AB">
      <w:pPr>
        <w:spacing w:after="160"/>
        <w:jc w:val="center"/>
        <w:rPr>
          <w:b/>
          <w:sz w:val="28"/>
          <w:szCs w:val="28"/>
        </w:rPr>
      </w:pPr>
      <w:r w:rsidRPr="00F4731A">
        <w:rPr>
          <w:b/>
          <w:sz w:val="28"/>
          <w:szCs w:val="28"/>
        </w:rPr>
        <w:t>EXPLANATORY STATEMENT</w:t>
      </w:r>
    </w:p>
    <w:p w14:paraId="78A67E59" w14:textId="77777777" w:rsidR="000879C9" w:rsidRPr="0033624E" w:rsidRDefault="000879C9" w:rsidP="002622AB">
      <w:pPr>
        <w:spacing w:after="160"/>
        <w:jc w:val="center"/>
        <w:rPr>
          <w:i/>
        </w:rPr>
      </w:pPr>
      <w:r w:rsidRPr="0033624E">
        <w:rPr>
          <w:i/>
        </w:rPr>
        <w:t xml:space="preserve">Telecommunications Act 1997 </w:t>
      </w:r>
    </w:p>
    <w:p w14:paraId="264A156B" w14:textId="0350A7BA" w:rsidR="000879C9" w:rsidRPr="00304797" w:rsidRDefault="000879C9" w:rsidP="002622AB">
      <w:pPr>
        <w:spacing w:after="160"/>
        <w:jc w:val="center"/>
        <w:rPr>
          <w:b/>
          <w:i/>
          <w:sz w:val="28"/>
          <w:szCs w:val="28"/>
        </w:rPr>
      </w:pPr>
      <w:r w:rsidRPr="00304797">
        <w:rPr>
          <w:b/>
          <w:i/>
          <w:sz w:val="28"/>
          <w:szCs w:val="28"/>
        </w:rPr>
        <w:t>Telecommunications (Integrated Public Number Database</w:t>
      </w:r>
      <w:r w:rsidR="00CE0EFC">
        <w:rPr>
          <w:b/>
          <w:i/>
          <w:sz w:val="28"/>
          <w:szCs w:val="28"/>
        </w:rPr>
        <w:t xml:space="preserve"> Scheme</w:t>
      </w:r>
      <w:bookmarkStart w:id="0" w:name="_GoBack"/>
      <w:bookmarkEnd w:id="0"/>
      <w:r w:rsidRPr="00304797">
        <w:rPr>
          <w:b/>
          <w:i/>
          <w:sz w:val="28"/>
          <w:szCs w:val="28"/>
        </w:rPr>
        <w:t xml:space="preserve"> – Criteria for </w:t>
      </w:r>
      <w:r w:rsidR="000940F8" w:rsidRPr="00304797">
        <w:rPr>
          <w:b/>
          <w:i/>
          <w:sz w:val="28"/>
          <w:szCs w:val="28"/>
        </w:rPr>
        <w:t>Deciding Authorisation Applications</w:t>
      </w:r>
      <w:r w:rsidRPr="00304797">
        <w:rPr>
          <w:b/>
          <w:i/>
          <w:sz w:val="28"/>
          <w:szCs w:val="28"/>
        </w:rPr>
        <w:t>) Instrument 2017</w:t>
      </w:r>
    </w:p>
    <w:p w14:paraId="032471BB" w14:textId="77777777" w:rsidR="000879C9" w:rsidRDefault="000879C9" w:rsidP="002622AB">
      <w:pPr>
        <w:spacing w:after="160"/>
        <w:jc w:val="center"/>
      </w:pPr>
      <w:r>
        <w:t>Issued by the Authority of the Minister for Communications</w:t>
      </w:r>
    </w:p>
    <w:p w14:paraId="282BCDD4" w14:textId="77777777" w:rsidR="00FE48FD" w:rsidRPr="002B1535" w:rsidRDefault="00FE48FD" w:rsidP="005C7F33">
      <w:pPr>
        <w:rPr>
          <w:szCs w:val="24"/>
        </w:rPr>
      </w:pPr>
    </w:p>
    <w:p w14:paraId="6C40E47E" w14:textId="77777777" w:rsidR="009538B1" w:rsidRPr="002B1535" w:rsidRDefault="009538B1" w:rsidP="005C7F33">
      <w:pPr>
        <w:rPr>
          <w:szCs w:val="24"/>
        </w:rPr>
      </w:pPr>
    </w:p>
    <w:p w14:paraId="108AA006" w14:textId="77777777" w:rsidR="00FB163C" w:rsidRPr="00A6746D" w:rsidRDefault="00FB163C" w:rsidP="00FB163C">
      <w:pPr>
        <w:rPr>
          <w:szCs w:val="24"/>
        </w:rPr>
      </w:pPr>
      <w:r w:rsidRPr="00A6746D">
        <w:rPr>
          <w:szCs w:val="24"/>
        </w:rPr>
        <w:t xml:space="preserve">The </w:t>
      </w:r>
      <w:r w:rsidRPr="00A6746D">
        <w:rPr>
          <w:i/>
          <w:szCs w:val="24"/>
        </w:rPr>
        <w:t>Telecommunications (Integrated Public Number Database Scheme – Criteria for Deciding Authorisation Applications) Instrument 2017</w:t>
      </w:r>
      <w:r w:rsidRPr="00A6746D">
        <w:rPr>
          <w:szCs w:val="24"/>
        </w:rPr>
        <w:t xml:space="preserve"> (</w:t>
      </w:r>
      <w:r w:rsidRPr="002622AB">
        <w:t>the Instrument</w:t>
      </w:r>
      <w:r w:rsidRPr="00A6746D">
        <w:rPr>
          <w:szCs w:val="24"/>
        </w:rPr>
        <w:t>) specifies the criteria that the Australian Communications and Media Authority (</w:t>
      </w:r>
      <w:r w:rsidRPr="002622AB">
        <w:t>ACMA</w:t>
      </w:r>
      <w:r w:rsidRPr="00A6746D">
        <w:rPr>
          <w:szCs w:val="24"/>
        </w:rPr>
        <w:t>) must apply when deciding applications for authorisations for access to personal information contained in the Integrated Public Number Database (</w:t>
      </w:r>
      <w:r w:rsidRPr="002622AB">
        <w:t>IPND</w:t>
      </w:r>
      <w:r w:rsidRPr="00A6746D">
        <w:rPr>
          <w:szCs w:val="24"/>
        </w:rPr>
        <w:t xml:space="preserve">), which may be granted under the </w:t>
      </w:r>
      <w:r w:rsidRPr="00A6746D">
        <w:rPr>
          <w:i/>
          <w:szCs w:val="24"/>
        </w:rPr>
        <w:t>Integrated Public Number Database Scheme 2017</w:t>
      </w:r>
      <w:r w:rsidRPr="00A6746D">
        <w:rPr>
          <w:szCs w:val="24"/>
        </w:rPr>
        <w:t xml:space="preserve"> (</w:t>
      </w:r>
      <w:r w:rsidRPr="002622AB">
        <w:t>the IPND Scheme</w:t>
      </w:r>
      <w:r w:rsidRPr="00A6746D">
        <w:rPr>
          <w:szCs w:val="24"/>
        </w:rPr>
        <w:t xml:space="preserve">). </w:t>
      </w:r>
    </w:p>
    <w:p w14:paraId="3129CF89" w14:textId="77777777" w:rsidR="00FB163C" w:rsidRPr="00A6746D" w:rsidRDefault="00FB163C" w:rsidP="00FB163C">
      <w:pPr>
        <w:rPr>
          <w:szCs w:val="24"/>
        </w:rPr>
      </w:pPr>
    </w:p>
    <w:p w14:paraId="2C0B8DF1" w14:textId="57692160" w:rsidR="00FB163C" w:rsidRPr="00A6746D" w:rsidRDefault="002622AB" w:rsidP="00FB163C">
      <w:pPr>
        <w:rPr>
          <w:szCs w:val="24"/>
        </w:rPr>
      </w:pPr>
      <w:r>
        <w:rPr>
          <w:szCs w:val="24"/>
        </w:rPr>
        <w:lastRenderedPageBreak/>
        <w:t xml:space="preserve">Instrument repeals and replaces the </w:t>
      </w:r>
      <w:r w:rsidR="00FE48FD" w:rsidRPr="002B1535">
        <w:rPr>
          <w:i/>
          <w:szCs w:val="24"/>
        </w:rPr>
        <w:t>Telecommunications (Integrated Public Number Database Scheme – Criteria for Deciding Authorisation Applications) Instrument 2007 (No. 1)</w:t>
      </w:r>
      <w:r w:rsidRPr="00A6746D" w:rsidDel="002622AB">
        <w:rPr>
          <w:szCs w:val="24"/>
        </w:rPr>
        <w:t xml:space="preserve"> </w:t>
      </w:r>
      <w:r>
        <w:rPr>
          <w:szCs w:val="24"/>
        </w:rPr>
        <w:t>(the 2007 I</w:t>
      </w:r>
      <w:r w:rsidR="00FB163C">
        <w:rPr>
          <w:szCs w:val="24"/>
        </w:rPr>
        <w:t>nstrument</w:t>
      </w:r>
      <w:r>
        <w:rPr>
          <w:szCs w:val="24"/>
        </w:rPr>
        <w:t>)</w:t>
      </w:r>
      <w:r w:rsidR="00D62B47">
        <w:rPr>
          <w:szCs w:val="24"/>
        </w:rPr>
        <w:t>,</w:t>
      </w:r>
      <w:r>
        <w:rPr>
          <w:szCs w:val="24"/>
        </w:rPr>
        <w:t xml:space="preserve"> which</w:t>
      </w:r>
      <w:r w:rsidR="00FB163C">
        <w:rPr>
          <w:szCs w:val="24"/>
        </w:rPr>
        <w:t xml:space="preserve"> </w:t>
      </w:r>
      <w:r w:rsidR="00FB163C" w:rsidRPr="00A6746D">
        <w:rPr>
          <w:szCs w:val="24"/>
        </w:rPr>
        <w:t>is due to sunset on 1 October 2017, under Part 6 of the</w:t>
      </w:r>
      <w:r w:rsidR="00FB163C" w:rsidRPr="00A6746D">
        <w:rPr>
          <w:i/>
          <w:szCs w:val="24"/>
        </w:rPr>
        <w:t xml:space="preserve"> Legislation Act 2003 </w:t>
      </w:r>
      <w:r w:rsidR="00FB163C" w:rsidRPr="00A6746D">
        <w:rPr>
          <w:szCs w:val="24"/>
        </w:rPr>
        <w:t>(</w:t>
      </w:r>
      <w:r w:rsidR="00FB163C" w:rsidRPr="002622AB">
        <w:t>the Legislation Act</w:t>
      </w:r>
      <w:r w:rsidR="00FB163C" w:rsidRPr="00A6746D">
        <w:rPr>
          <w:szCs w:val="24"/>
        </w:rPr>
        <w:t>). Following review, it was determined that the provisions contained within th</w:t>
      </w:r>
      <w:r>
        <w:rPr>
          <w:szCs w:val="24"/>
        </w:rPr>
        <w:t>e 2007</w:t>
      </w:r>
      <w:r w:rsidR="00FB163C" w:rsidRPr="00A6746D">
        <w:rPr>
          <w:szCs w:val="24"/>
        </w:rPr>
        <w:t xml:space="preserve"> </w:t>
      </w:r>
      <w:r>
        <w:rPr>
          <w:szCs w:val="24"/>
        </w:rPr>
        <w:t>I</w:t>
      </w:r>
      <w:r w:rsidR="00FB163C" w:rsidRPr="00A6746D">
        <w:rPr>
          <w:szCs w:val="24"/>
        </w:rPr>
        <w:t>nstrument were operating effectively and efficiently, and continued to form a necessary and useful part of the legislative framework.</w:t>
      </w:r>
    </w:p>
    <w:p w14:paraId="525121DA" w14:textId="77777777" w:rsidR="00FB163C" w:rsidRDefault="00FB163C" w:rsidP="005C7F33">
      <w:pPr>
        <w:rPr>
          <w:szCs w:val="24"/>
        </w:rPr>
      </w:pPr>
    </w:p>
    <w:p w14:paraId="59225538" w14:textId="77777777" w:rsidR="002622AB" w:rsidRDefault="002622AB" w:rsidP="002622AB">
      <w:pPr>
        <w:rPr>
          <w:b/>
        </w:rPr>
      </w:pPr>
      <w:r>
        <w:rPr>
          <w:b/>
        </w:rPr>
        <w:t>Context and purposes</w:t>
      </w:r>
      <w:r w:rsidRPr="00992CA9">
        <w:rPr>
          <w:b/>
        </w:rPr>
        <w:t xml:space="preserve"> of the instrument</w:t>
      </w:r>
    </w:p>
    <w:p w14:paraId="2DC70DBD" w14:textId="77777777" w:rsidR="00D62B47" w:rsidRPr="00992CA9" w:rsidRDefault="00D62B47" w:rsidP="002622AB">
      <w:pPr>
        <w:rPr>
          <w:b/>
        </w:rPr>
      </w:pPr>
    </w:p>
    <w:p w14:paraId="0D8C9718" w14:textId="060E9DC5" w:rsidR="009A11CF" w:rsidRPr="002B1535" w:rsidRDefault="00E85E67" w:rsidP="005C7F33">
      <w:pPr>
        <w:rPr>
          <w:szCs w:val="24"/>
        </w:rPr>
      </w:pPr>
      <w:r w:rsidRPr="002B1535">
        <w:rPr>
          <w:szCs w:val="24"/>
        </w:rPr>
        <w:t xml:space="preserve">The IPND is an industry-wide database of public telephone numbers (both listed and unlisted) and associated customer information including name and address information. It also includes information such as whether the number or address is to be listed in a public number directory and whether the number is used for residential, business, government or charitable purposes. </w:t>
      </w:r>
    </w:p>
    <w:p w14:paraId="658D2099" w14:textId="77777777" w:rsidR="009A11CF" w:rsidRPr="002B1535" w:rsidRDefault="009A11CF" w:rsidP="005C7F33">
      <w:pPr>
        <w:rPr>
          <w:szCs w:val="24"/>
        </w:rPr>
      </w:pPr>
    </w:p>
    <w:p w14:paraId="72288637" w14:textId="77777777" w:rsidR="00E85E67" w:rsidRDefault="00E85E67" w:rsidP="005C7F33">
      <w:pPr>
        <w:rPr>
          <w:szCs w:val="24"/>
        </w:rPr>
      </w:pPr>
      <w:r w:rsidRPr="00A6746D">
        <w:rPr>
          <w:szCs w:val="24"/>
        </w:rPr>
        <w:t xml:space="preserve">The IPND is established and maintained by Telstra </w:t>
      </w:r>
      <w:r w:rsidR="006D1E54" w:rsidRPr="00A6746D">
        <w:rPr>
          <w:szCs w:val="24"/>
        </w:rPr>
        <w:t>Corporation Limited (</w:t>
      </w:r>
      <w:r w:rsidR="006D1E54" w:rsidRPr="002622AB">
        <w:t>Telstra</w:t>
      </w:r>
      <w:r w:rsidR="006D1E54" w:rsidRPr="00A6746D">
        <w:rPr>
          <w:szCs w:val="24"/>
        </w:rPr>
        <w:t xml:space="preserve">) </w:t>
      </w:r>
      <w:r w:rsidRPr="00A6746D">
        <w:rPr>
          <w:szCs w:val="24"/>
        </w:rPr>
        <w:t>as a condition of its carrier licence. All carriage service pr</w:t>
      </w:r>
      <w:r w:rsidR="00047A97" w:rsidRPr="00A6746D">
        <w:rPr>
          <w:szCs w:val="24"/>
        </w:rPr>
        <w:t>oviders which</w:t>
      </w:r>
      <w:r w:rsidRPr="00A6746D">
        <w:rPr>
          <w:szCs w:val="24"/>
        </w:rPr>
        <w:t xml:space="preserve"> supply carriage services to customers who </w:t>
      </w:r>
      <w:r w:rsidRPr="00A6746D">
        <w:rPr>
          <w:szCs w:val="24"/>
        </w:rPr>
        <w:lastRenderedPageBreak/>
        <w:t xml:space="preserve">have public numbers are obliged to provide customer information to Telstra for inclusion in the IPND. </w:t>
      </w:r>
    </w:p>
    <w:p w14:paraId="17B1D6C2" w14:textId="77777777" w:rsidR="00FB163C" w:rsidRDefault="00FB163C" w:rsidP="00FB163C">
      <w:pPr>
        <w:rPr>
          <w:szCs w:val="24"/>
        </w:rPr>
      </w:pPr>
    </w:p>
    <w:p w14:paraId="2D0EF6B6" w14:textId="77777777" w:rsidR="002622AB" w:rsidRPr="00D706D9" w:rsidRDefault="00FB163C" w:rsidP="002622AB">
      <w:r>
        <w:t>Information in the IPND can be accessed by persons to publish public number directories</w:t>
      </w:r>
      <w:r w:rsidR="002622AB">
        <w:t xml:space="preserve"> and for certain authorised research purposes. </w:t>
      </w:r>
    </w:p>
    <w:p w14:paraId="3B4F43EB" w14:textId="7E073203" w:rsidR="00E85E67" w:rsidRPr="00A6746D" w:rsidRDefault="00E85E67" w:rsidP="005C7F33">
      <w:pPr>
        <w:rPr>
          <w:szCs w:val="24"/>
        </w:rPr>
      </w:pPr>
    </w:p>
    <w:p w14:paraId="6AED606A" w14:textId="77777777" w:rsidR="009A11CF" w:rsidRPr="00A6746D" w:rsidRDefault="009A11CF" w:rsidP="005C7F33">
      <w:pPr>
        <w:rPr>
          <w:szCs w:val="24"/>
        </w:rPr>
      </w:pPr>
      <w:bookmarkStart w:id="1" w:name="OLE_LINK8"/>
      <w:r w:rsidRPr="00A6746D">
        <w:rPr>
          <w:szCs w:val="24"/>
        </w:rPr>
        <w:t xml:space="preserve">Under section 295A of </w:t>
      </w:r>
      <w:r w:rsidRPr="00A6746D">
        <w:rPr>
          <w:i/>
          <w:iCs/>
          <w:szCs w:val="24"/>
        </w:rPr>
        <w:t>Telecommunications Act 1997</w:t>
      </w:r>
      <w:r w:rsidRPr="00A6746D">
        <w:rPr>
          <w:szCs w:val="24"/>
        </w:rPr>
        <w:t xml:space="preserve"> (</w:t>
      </w:r>
      <w:r w:rsidRPr="002622AB">
        <w:t xml:space="preserve">the </w:t>
      </w:r>
      <w:r w:rsidR="00562533" w:rsidRPr="002622AB">
        <w:t xml:space="preserve">Telecommunications </w:t>
      </w:r>
      <w:r w:rsidRPr="002622AB">
        <w:t>Act</w:t>
      </w:r>
      <w:r w:rsidRPr="00A6746D">
        <w:rPr>
          <w:szCs w:val="24"/>
        </w:rPr>
        <w:t>), the ACMA must make a scheme for the granting of authorisations to access the IPND for the purposes of paragraph 285(1A</w:t>
      </w:r>
      <w:proofErr w:type="gramStart"/>
      <w:r w:rsidRPr="00A6746D">
        <w:rPr>
          <w:szCs w:val="24"/>
        </w:rPr>
        <w:t>)(</w:t>
      </w:r>
      <w:proofErr w:type="gramEnd"/>
      <w:r w:rsidRPr="00A6746D">
        <w:rPr>
          <w:szCs w:val="24"/>
        </w:rPr>
        <w:t xml:space="preserve">d) of the </w:t>
      </w:r>
      <w:r w:rsidR="00562533" w:rsidRPr="00A6746D">
        <w:rPr>
          <w:szCs w:val="24"/>
        </w:rPr>
        <w:t xml:space="preserve">Telecommunications </w:t>
      </w:r>
      <w:r w:rsidRPr="00A6746D">
        <w:rPr>
          <w:szCs w:val="24"/>
        </w:rPr>
        <w:t xml:space="preserve">Act. Those purposes are the publication and maintenance of a public number directory and the conduct of research of a kind specified in a legislative instrument, by the Minister, where the Minister is satisfied that the kind of research is in the public interest. </w:t>
      </w:r>
    </w:p>
    <w:p w14:paraId="2F98BEBE" w14:textId="77777777" w:rsidR="009A11CF" w:rsidRPr="002B1535" w:rsidRDefault="009A11CF" w:rsidP="005C7F33">
      <w:pPr>
        <w:rPr>
          <w:szCs w:val="24"/>
        </w:rPr>
      </w:pPr>
      <w:r w:rsidRPr="002B1535">
        <w:rPr>
          <w:szCs w:val="24"/>
        </w:rPr>
        <w:t xml:space="preserve"> </w:t>
      </w:r>
    </w:p>
    <w:p w14:paraId="11DA38CC" w14:textId="7D695A00" w:rsidR="009A11CF" w:rsidRPr="002B1535" w:rsidRDefault="009A11CF" w:rsidP="005C7F33">
      <w:pPr>
        <w:rPr>
          <w:szCs w:val="24"/>
        </w:rPr>
      </w:pPr>
      <w:r w:rsidRPr="002B1535">
        <w:rPr>
          <w:szCs w:val="24"/>
        </w:rPr>
        <w:t xml:space="preserve">Following a review by the ACMA in 2016, the IPND </w:t>
      </w:r>
      <w:r w:rsidR="00FE48FD">
        <w:rPr>
          <w:szCs w:val="24"/>
        </w:rPr>
        <w:t>S</w:t>
      </w:r>
      <w:r w:rsidR="003A228A">
        <w:rPr>
          <w:szCs w:val="24"/>
        </w:rPr>
        <w:t xml:space="preserve">cheme </w:t>
      </w:r>
      <w:r w:rsidRPr="002B1535">
        <w:rPr>
          <w:szCs w:val="24"/>
        </w:rPr>
        <w:t xml:space="preserve">enables the ACMA to grant research authorisations on an ongoing basis, and authorise a research body to disclose de-identified IPND data </w:t>
      </w:r>
      <w:r w:rsidR="002622AB">
        <w:rPr>
          <w:szCs w:val="24"/>
        </w:rPr>
        <w:t xml:space="preserve">(i.e. </w:t>
      </w:r>
      <w:r w:rsidR="00A14184">
        <w:rPr>
          <w:szCs w:val="24"/>
        </w:rPr>
        <w:t>excluding customer names</w:t>
      </w:r>
      <w:r w:rsidR="002622AB">
        <w:rPr>
          <w:szCs w:val="24"/>
        </w:rPr>
        <w:t>)</w:t>
      </w:r>
      <w:r w:rsidR="00A14184">
        <w:rPr>
          <w:szCs w:val="24"/>
        </w:rPr>
        <w:t xml:space="preserve"> </w:t>
      </w:r>
      <w:r w:rsidRPr="002B1535">
        <w:rPr>
          <w:szCs w:val="24"/>
        </w:rPr>
        <w:t>to its members for permitted research purposes provided certain requirements are met.</w:t>
      </w:r>
    </w:p>
    <w:p w14:paraId="7BC19F4E" w14:textId="77777777" w:rsidR="009A11CF" w:rsidRPr="002B1535" w:rsidRDefault="009A11CF" w:rsidP="005C7F33">
      <w:pPr>
        <w:rPr>
          <w:szCs w:val="24"/>
        </w:rPr>
      </w:pPr>
    </w:p>
    <w:p w14:paraId="4E097230" w14:textId="77777777" w:rsidR="009A11CF" w:rsidRPr="002B1535" w:rsidRDefault="009A11CF" w:rsidP="005C7F33">
      <w:pPr>
        <w:rPr>
          <w:szCs w:val="24"/>
        </w:rPr>
      </w:pPr>
      <w:r w:rsidRPr="002B1535">
        <w:rPr>
          <w:szCs w:val="24"/>
        </w:rPr>
        <w:t xml:space="preserve">The IPND </w:t>
      </w:r>
      <w:r w:rsidR="00FE48FD">
        <w:rPr>
          <w:szCs w:val="24"/>
        </w:rPr>
        <w:t>S</w:t>
      </w:r>
      <w:r w:rsidRPr="002B1535">
        <w:rPr>
          <w:szCs w:val="24"/>
        </w:rPr>
        <w:t xml:space="preserve">cheme requires persons seeking access to information in the IPND for the purposes of publishing and maintaining a public number directory or conducting research the Minister considers to be in the public interest, to apply to </w:t>
      </w:r>
      <w:r w:rsidR="00EF5F53">
        <w:rPr>
          <w:szCs w:val="24"/>
        </w:rPr>
        <w:t xml:space="preserve">the </w:t>
      </w:r>
      <w:r w:rsidRPr="002B1535">
        <w:rPr>
          <w:szCs w:val="24"/>
        </w:rPr>
        <w:t>ACMA for an authorisation before access to IPND information may be granted.</w:t>
      </w:r>
      <w:r w:rsidR="00061BE5">
        <w:rPr>
          <w:szCs w:val="24"/>
        </w:rPr>
        <w:t xml:space="preserve"> The ACMA </w:t>
      </w:r>
      <w:r w:rsidR="008D3D49">
        <w:rPr>
          <w:szCs w:val="24"/>
        </w:rPr>
        <w:t xml:space="preserve">must </w:t>
      </w:r>
      <w:r w:rsidR="00061BE5">
        <w:rPr>
          <w:szCs w:val="24"/>
        </w:rPr>
        <w:t>apply the criteria set out in the Instrument before granting such an authorisation.</w:t>
      </w:r>
    </w:p>
    <w:p w14:paraId="5B6E8935" w14:textId="77777777" w:rsidR="00047A97" w:rsidRPr="002B1535" w:rsidRDefault="00047A97" w:rsidP="005C7F33">
      <w:pPr>
        <w:outlineLvl w:val="0"/>
        <w:rPr>
          <w:b/>
          <w:szCs w:val="24"/>
        </w:rPr>
      </w:pPr>
    </w:p>
    <w:p w14:paraId="3A929411" w14:textId="77777777" w:rsidR="00D15879" w:rsidRPr="002B1535" w:rsidRDefault="00D15879" w:rsidP="005C7F33">
      <w:pPr>
        <w:outlineLvl w:val="0"/>
        <w:rPr>
          <w:b/>
          <w:szCs w:val="24"/>
        </w:rPr>
      </w:pPr>
      <w:r w:rsidRPr="002B1535">
        <w:rPr>
          <w:b/>
          <w:szCs w:val="24"/>
        </w:rPr>
        <w:t>Regulation Impact Statement</w:t>
      </w:r>
    </w:p>
    <w:p w14:paraId="2447138A" w14:textId="77777777" w:rsidR="00D15879" w:rsidRPr="002B1535" w:rsidRDefault="00D15879" w:rsidP="005C7F33">
      <w:pPr>
        <w:rPr>
          <w:szCs w:val="24"/>
        </w:rPr>
      </w:pPr>
    </w:p>
    <w:bookmarkEnd w:id="1"/>
    <w:p w14:paraId="55C553EC" w14:textId="77777777" w:rsidR="008D76E6" w:rsidRPr="002B1535" w:rsidRDefault="009A11CF" w:rsidP="005C7F33">
      <w:pPr>
        <w:rPr>
          <w:i/>
          <w:szCs w:val="24"/>
        </w:rPr>
      </w:pPr>
      <w:r w:rsidRPr="002B1535">
        <w:rPr>
          <w:szCs w:val="24"/>
        </w:rPr>
        <w:t xml:space="preserve">The Office of Best Practice Regulation has advised that a Regulation Impact Statement is not required on the basis that the </w:t>
      </w:r>
      <w:r w:rsidR="00B36FA2">
        <w:rPr>
          <w:szCs w:val="24"/>
        </w:rPr>
        <w:t>I</w:t>
      </w:r>
      <w:r w:rsidRPr="002B1535">
        <w:rPr>
          <w:szCs w:val="24"/>
        </w:rPr>
        <w:t xml:space="preserve">nstrument replaces an instrument that is sunsetting, the </w:t>
      </w:r>
      <w:r w:rsidRPr="002B1535">
        <w:rPr>
          <w:i/>
          <w:szCs w:val="24"/>
        </w:rPr>
        <w:t>Telecommunications (Integrated Public Number Database Scheme – Criteria for Deciding Authorisation Applications) Instrument 2007 (No. 1).</w:t>
      </w:r>
    </w:p>
    <w:p w14:paraId="0E3166D2" w14:textId="77777777" w:rsidR="009A11CF" w:rsidRPr="002B1535" w:rsidRDefault="009A11CF" w:rsidP="005C7F33">
      <w:pPr>
        <w:rPr>
          <w:b/>
          <w:szCs w:val="24"/>
        </w:rPr>
      </w:pPr>
    </w:p>
    <w:p w14:paraId="184230DA" w14:textId="77777777" w:rsidR="009A11CF" w:rsidRPr="002B1535" w:rsidRDefault="009A11CF" w:rsidP="005C7F33">
      <w:pPr>
        <w:rPr>
          <w:b/>
          <w:szCs w:val="24"/>
        </w:rPr>
      </w:pPr>
      <w:r w:rsidRPr="002B1535">
        <w:rPr>
          <w:b/>
          <w:szCs w:val="24"/>
        </w:rPr>
        <w:t xml:space="preserve">Statement of compatibility with human rights </w:t>
      </w:r>
    </w:p>
    <w:p w14:paraId="3E58D544" w14:textId="77777777" w:rsidR="009A11CF" w:rsidRPr="002B1535" w:rsidRDefault="009A11CF" w:rsidP="005C7F33">
      <w:pPr>
        <w:rPr>
          <w:szCs w:val="24"/>
        </w:rPr>
      </w:pPr>
    </w:p>
    <w:p w14:paraId="70FA62C6" w14:textId="77777777" w:rsidR="009A11CF" w:rsidRPr="002B1535" w:rsidRDefault="009A11CF" w:rsidP="005C7F33">
      <w:pPr>
        <w:shd w:val="clear" w:color="auto" w:fill="FFFFFF"/>
        <w:spacing w:after="100" w:afterAutospacing="1"/>
        <w:rPr>
          <w:szCs w:val="24"/>
          <w:lang w:val="en-US"/>
        </w:rPr>
      </w:pPr>
      <w:r w:rsidRPr="002B1535">
        <w:rPr>
          <w:szCs w:val="24"/>
        </w:rPr>
        <w:t xml:space="preserve">A statement of compatibility is set out at </w:t>
      </w:r>
      <w:r w:rsidRPr="002622AB">
        <w:t>Attachment A</w:t>
      </w:r>
      <w:r w:rsidRPr="00A6746D">
        <w:rPr>
          <w:szCs w:val="24"/>
        </w:rPr>
        <w:t>.</w:t>
      </w:r>
    </w:p>
    <w:p w14:paraId="50AC344C" w14:textId="77777777" w:rsidR="009A11CF" w:rsidRPr="002B1535" w:rsidRDefault="009A11CF" w:rsidP="005C7F33">
      <w:pPr>
        <w:rPr>
          <w:b/>
          <w:szCs w:val="24"/>
        </w:rPr>
      </w:pPr>
    </w:p>
    <w:p w14:paraId="795F36E0" w14:textId="77777777" w:rsidR="00390844" w:rsidRPr="002B1535" w:rsidRDefault="00390844" w:rsidP="005C7F33">
      <w:pPr>
        <w:outlineLvl w:val="0"/>
        <w:rPr>
          <w:b/>
          <w:szCs w:val="24"/>
        </w:rPr>
      </w:pPr>
      <w:r w:rsidRPr="002B1535">
        <w:rPr>
          <w:b/>
          <w:szCs w:val="24"/>
        </w:rPr>
        <w:t>Consultation</w:t>
      </w:r>
    </w:p>
    <w:p w14:paraId="54C92576" w14:textId="77777777" w:rsidR="00390844" w:rsidRPr="002B1535" w:rsidRDefault="00390844" w:rsidP="005C7F33">
      <w:pPr>
        <w:rPr>
          <w:szCs w:val="24"/>
        </w:rPr>
      </w:pPr>
    </w:p>
    <w:p w14:paraId="43AF03E6" w14:textId="4153E4A3" w:rsidR="00FB199D" w:rsidRPr="002B1535" w:rsidRDefault="009A11CF" w:rsidP="005C7F33">
      <w:pPr>
        <w:rPr>
          <w:szCs w:val="24"/>
        </w:rPr>
      </w:pPr>
      <w:r w:rsidRPr="002B1535">
        <w:rPr>
          <w:szCs w:val="24"/>
        </w:rPr>
        <w:t xml:space="preserve">The </w:t>
      </w:r>
      <w:r w:rsidR="00D668FF">
        <w:rPr>
          <w:szCs w:val="24"/>
        </w:rPr>
        <w:t>I</w:t>
      </w:r>
      <w:r w:rsidRPr="002B1535">
        <w:rPr>
          <w:szCs w:val="24"/>
        </w:rPr>
        <w:t xml:space="preserve">nstrument has been updated in consultation with the ACMA and current users of the IPND. </w:t>
      </w:r>
      <w:r w:rsidR="00FE48FD">
        <w:rPr>
          <w:szCs w:val="24"/>
        </w:rPr>
        <w:t xml:space="preserve">The </w:t>
      </w:r>
      <w:r w:rsidR="00A14184">
        <w:rPr>
          <w:szCs w:val="24"/>
        </w:rPr>
        <w:t xml:space="preserve">then </w:t>
      </w:r>
      <w:r w:rsidR="00FE48FD">
        <w:rPr>
          <w:szCs w:val="24"/>
        </w:rPr>
        <w:t>Department of Communications co</w:t>
      </w:r>
      <w:r w:rsidR="002622AB">
        <w:rPr>
          <w:szCs w:val="24"/>
        </w:rPr>
        <w:t>mple</w:t>
      </w:r>
      <w:r w:rsidR="00FE48FD">
        <w:rPr>
          <w:szCs w:val="24"/>
        </w:rPr>
        <w:t xml:space="preserve">ted </w:t>
      </w:r>
      <w:r w:rsidR="00FE48FD">
        <w:t>a</w:t>
      </w:r>
      <w:r w:rsidR="0074411B" w:rsidRPr="00075DCB">
        <w:t xml:space="preserve"> review of the IPND in 2015</w:t>
      </w:r>
      <w:r w:rsidR="00FE48FD">
        <w:t xml:space="preserve"> which</w:t>
      </w:r>
      <w:r w:rsidR="0074411B" w:rsidRPr="00075DCB">
        <w:t xml:space="preserve"> identified th</w:t>
      </w:r>
      <w:r w:rsidR="0074411B">
        <w:t>e need to retain the current IPND</w:t>
      </w:r>
      <w:r w:rsidRPr="00230D3E">
        <w:rPr>
          <w:szCs w:val="24"/>
        </w:rPr>
        <w:t>.</w:t>
      </w:r>
      <w:r w:rsidR="00FE48FD">
        <w:rPr>
          <w:szCs w:val="24"/>
        </w:rPr>
        <w:t xml:space="preserve"> The review involved public consultation, and the report is available on the department’s website. </w:t>
      </w:r>
      <w:r w:rsidRPr="002B1535">
        <w:rPr>
          <w:szCs w:val="24"/>
        </w:rPr>
        <w:t xml:space="preserve">  </w:t>
      </w:r>
    </w:p>
    <w:p w14:paraId="2C3554D7" w14:textId="77777777" w:rsidR="009A11CF" w:rsidRPr="002B1535" w:rsidRDefault="009A11CF" w:rsidP="005C7F33">
      <w:pPr>
        <w:rPr>
          <w:szCs w:val="24"/>
        </w:rPr>
      </w:pPr>
    </w:p>
    <w:p w14:paraId="15047E1F" w14:textId="77777777" w:rsidR="009538B1" w:rsidRPr="002B1535" w:rsidRDefault="009538B1" w:rsidP="005C7F33">
      <w:pPr>
        <w:keepNext/>
        <w:outlineLvl w:val="0"/>
        <w:rPr>
          <w:b/>
          <w:szCs w:val="24"/>
        </w:rPr>
      </w:pPr>
      <w:r w:rsidRPr="002B1535">
        <w:rPr>
          <w:b/>
          <w:szCs w:val="24"/>
        </w:rPr>
        <w:t>Legislative basis</w:t>
      </w:r>
    </w:p>
    <w:p w14:paraId="68671FB6" w14:textId="77777777" w:rsidR="00C25F2D" w:rsidRPr="002B1535" w:rsidRDefault="00C25F2D" w:rsidP="005C7F33">
      <w:pPr>
        <w:keepNext/>
        <w:rPr>
          <w:szCs w:val="24"/>
        </w:rPr>
      </w:pPr>
    </w:p>
    <w:p w14:paraId="573868A6" w14:textId="77777777" w:rsidR="008D76E6" w:rsidRPr="002B1535" w:rsidRDefault="009538B1" w:rsidP="005C7F33">
      <w:pPr>
        <w:keepNext/>
        <w:rPr>
          <w:szCs w:val="24"/>
        </w:rPr>
      </w:pPr>
      <w:r w:rsidRPr="002B1535">
        <w:rPr>
          <w:szCs w:val="24"/>
        </w:rPr>
        <w:t xml:space="preserve">The </w:t>
      </w:r>
      <w:r w:rsidR="00E85E67" w:rsidRPr="002B1535">
        <w:rPr>
          <w:szCs w:val="24"/>
        </w:rPr>
        <w:t xml:space="preserve">Instrument </w:t>
      </w:r>
      <w:r w:rsidRPr="002B1535">
        <w:rPr>
          <w:szCs w:val="24"/>
        </w:rPr>
        <w:t>is made under</w:t>
      </w:r>
      <w:r w:rsidR="00047A97" w:rsidRPr="002B1535">
        <w:rPr>
          <w:szCs w:val="24"/>
        </w:rPr>
        <w:t xml:space="preserve"> </w:t>
      </w:r>
      <w:r w:rsidR="00111980" w:rsidRPr="002B1535">
        <w:rPr>
          <w:szCs w:val="24"/>
        </w:rPr>
        <w:t xml:space="preserve">section 295N of the </w:t>
      </w:r>
      <w:r w:rsidR="00111980" w:rsidRPr="00D914D3">
        <w:rPr>
          <w:szCs w:val="24"/>
        </w:rPr>
        <w:t>Telecommunications Act</w:t>
      </w:r>
      <w:r w:rsidR="00A1512C" w:rsidRPr="00562533">
        <w:rPr>
          <w:szCs w:val="24"/>
        </w:rPr>
        <w:t>.</w:t>
      </w:r>
    </w:p>
    <w:p w14:paraId="2A1398D9" w14:textId="77777777" w:rsidR="009538B1" w:rsidRPr="002B1535" w:rsidRDefault="009538B1" w:rsidP="005C7F33">
      <w:pPr>
        <w:rPr>
          <w:szCs w:val="24"/>
        </w:rPr>
      </w:pPr>
    </w:p>
    <w:p w14:paraId="4CDB8FED" w14:textId="77777777" w:rsidR="00586376" w:rsidRPr="002B1535" w:rsidRDefault="00A144B5" w:rsidP="005C7F33">
      <w:pPr>
        <w:rPr>
          <w:szCs w:val="24"/>
        </w:rPr>
      </w:pPr>
      <w:r w:rsidRPr="002B1535">
        <w:rPr>
          <w:szCs w:val="24"/>
        </w:rPr>
        <w:t>S</w:t>
      </w:r>
      <w:r w:rsidR="00586376" w:rsidRPr="002B1535">
        <w:rPr>
          <w:szCs w:val="24"/>
        </w:rPr>
        <w:t xml:space="preserve">ubsection </w:t>
      </w:r>
      <w:proofErr w:type="gramStart"/>
      <w:r w:rsidR="00586376" w:rsidRPr="002B1535">
        <w:rPr>
          <w:szCs w:val="24"/>
        </w:rPr>
        <w:t>295N(</w:t>
      </w:r>
      <w:proofErr w:type="gramEnd"/>
      <w:r w:rsidR="00586376" w:rsidRPr="002B1535">
        <w:rPr>
          <w:szCs w:val="24"/>
        </w:rPr>
        <w:t>1)</w:t>
      </w:r>
      <w:r w:rsidR="00082305" w:rsidRPr="002B1535">
        <w:rPr>
          <w:szCs w:val="24"/>
        </w:rPr>
        <w:t xml:space="preserve"> </w:t>
      </w:r>
      <w:r w:rsidR="00111980" w:rsidRPr="002B1535">
        <w:rPr>
          <w:szCs w:val="24"/>
        </w:rPr>
        <w:t xml:space="preserve">provides </w:t>
      </w:r>
      <w:r w:rsidR="00082305" w:rsidRPr="002B1535">
        <w:rPr>
          <w:szCs w:val="24"/>
        </w:rPr>
        <w:t xml:space="preserve">that the Minister must, by </w:t>
      </w:r>
      <w:r w:rsidR="00D231C7" w:rsidRPr="002B1535">
        <w:rPr>
          <w:szCs w:val="24"/>
        </w:rPr>
        <w:t xml:space="preserve">legislative instrument, </w:t>
      </w:r>
      <w:r w:rsidR="00082305" w:rsidRPr="002B1535">
        <w:rPr>
          <w:szCs w:val="24"/>
        </w:rPr>
        <w:t xml:space="preserve">specify criteria for deciding authorisation applications made under the IPND </w:t>
      </w:r>
      <w:r w:rsidR="00FE48FD">
        <w:rPr>
          <w:szCs w:val="24"/>
        </w:rPr>
        <w:t>S</w:t>
      </w:r>
      <w:r w:rsidR="00082305" w:rsidRPr="002B1535">
        <w:rPr>
          <w:szCs w:val="24"/>
        </w:rPr>
        <w:t xml:space="preserve">cheme. </w:t>
      </w:r>
    </w:p>
    <w:p w14:paraId="1E2D61CC" w14:textId="77777777" w:rsidR="00586376" w:rsidRPr="002B1535" w:rsidRDefault="00586376" w:rsidP="005C7F33">
      <w:pPr>
        <w:rPr>
          <w:szCs w:val="24"/>
        </w:rPr>
      </w:pPr>
    </w:p>
    <w:p w14:paraId="4E0D9BC3" w14:textId="77777777" w:rsidR="00082305" w:rsidRPr="002B1535" w:rsidRDefault="00A144B5" w:rsidP="005C7F33">
      <w:pPr>
        <w:rPr>
          <w:szCs w:val="24"/>
        </w:rPr>
      </w:pPr>
      <w:r w:rsidRPr="002B1535">
        <w:rPr>
          <w:szCs w:val="24"/>
        </w:rPr>
        <w:t xml:space="preserve">Subsection </w:t>
      </w:r>
      <w:proofErr w:type="gramStart"/>
      <w:r w:rsidR="00586376" w:rsidRPr="002B1535">
        <w:rPr>
          <w:szCs w:val="24"/>
        </w:rPr>
        <w:t>295N(</w:t>
      </w:r>
      <w:proofErr w:type="gramEnd"/>
      <w:r w:rsidR="00586376" w:rsidRPr="002B1535">
        <w:rPr>
          <w:szCs w:val="24"/>
        </w:rPr>
        <w:t xml:space="preserve">2) </w:t>
      </w:r>
      <w:r w:rsidR="00082305" w:rsidRPr="002B1535">
        <w:rPr>
          <w:szCs w:val="24"/>
        </w:rPr>
        <w:t xml:space="preserve">permits the Minister to specify different criteria for different kinds of authorisation applications. </w:t>
      </w:r>
    </w:p>
    <w:p w14:paraId="7B1D5AB5" w14:textId="77777777" w:rsidR="00082305" w:rsidRPr="002B1535" w:rsidRDefault="00082305" w:rsidP="005C7F33">
      <w:pPr>
        <w:rPr>
          <w:szCs w:val="24"/>
        </w:rPr>
      </w:pPr>
    </w:p>
    <w:p w14:paraId="302DCDE9" w14:textId="77777777" w:rsidR="00082305" w:rsidRPr="002B1535" w:rsidRDefault="00A144B5" w:rsidP="005C7F33">
      <w:pPr>
        <w:rPr>
          <w:szCs w:val="24"/>
        </w:rPr>
      </w:pPr>
      <w:r w:rsidRPr="002B1535">
        <w:rPr>
          <w:szCs w:val="24"/>
        </w:rPr>
        <w:t xml:space="preserve">Subsection </w:t>
      </w:r>
      <w:proofErr w:type="gramStart"/>
      <w:r w:rsidR="00586376" w:rsidRPr="002B1535">
        <w:rPr>
          <w:szCs w:val="24"/>
        </w:rPr>
        <w:t>295N(</w:t>
      </w:r>
      <w:proofErr w:type="gramEnd"/>
      <w:r w:rsidR="00586376" w:rsidRPr="002B1535">
        <w:rPr>
          <w:szCs w:val="24"/>
        </w:rPr>
        <w:t>3)</w:t>
      </w:r>
      <w:r w:rsidR="00082305" w:rsidRPr="002B1535">
        <w:rPr>
          <w:szCs w:val="24"/>
        </w:rPr>
        <w:t xml:space="preserve"> </w:t>
      </w:r>
      <w:r w:rsidR="00111980" w:rsidRPr="002B1535">
        <w:rPr>
          <w:szCs w:val="24"/>
        </w:rPr>
        <w:t xml:space="preserve">provides </w:t>
      </w:r>
      <w:r w:rsidR="00082305" w:rsidRPr="002B1535">
        <w:rPr>
          <w:szCs w:val="24"/>
        </w:rPr>
        <w:t xml:space="preserve">that, in deciding an authorisation application, </w:t>
      </w:r>
      <w:r w:rsidR="00A1512C">
        <w:rPr>
          <w:szCs w:val="24"/>
        </w:rPr>
        <w:t xml:space="preserve">the </w:t>
      </w:r>
      <w:r w:rsidR="00082305" w:rsidRPr="002B1535">
        <w:rPr>
          <w:szCs w:val="24"/>
        </w:rPr>
        <w:t xml:space="preserve">ACMA must apply the criteria </w:t>
      </w:r>
      <w:r w:rsidR="00111980" w:rsidRPr="002B1535">
        <w:rPr>
          <w:szCs w:val="24"/>
        </w:rPr>
        <w:t xml:space="preserve">applicable </w:t>
      </w:r>
      <w:r w:rsidR="008D3D49">
        <w:rPr>
          <w:szCs w:val="24"/>
        </w:rPr>
        <w:t>to the application,</w:t>
      </w:r>
      <w:r w:rsidR="00082305" w:rsidRPr="002B1535">
        <w:rPr>
          <w:szCs w:val="24"/>
        </w:rPr>
        <w:t xml:space="preserve"> and may have regard to any other matters that it thinks are relevant.</w:t>
      </w:r>
    </w:p>
    <w:p w14:paraId="68413CBB" w14:textId="77777777" w:rsidR="004D7C2A" w:rsidRPr="002B1535" w:rsidRDefault="004D7C2A" w:rsidP="005C7F33">
      <w:pPr>
        <w:rPr>
          <w:szCs w:val="24"/>
        </w:rPr>
      </w:pPr>
    </w:p>
    <w:p w14:paraId="29C3D103" w14:textId="77777777" w:rsidR="00FE48FD" w:rsidRDefault="008D76E6" w:rsidP="005C7F33">
      <w:pPr>
        <w:rPr>
          <w:szCs w:val="24"/>
        </w:rPr>
      </w:pPr>
      <w:r w:rsidRPr="002B1535">
        <w:rPr>
          <w:szCs w:val="24"/>
        </w:rPr>
        <w:t>Th</w:t>
      </w:r>
      <w:r w:rsidR="00860DB4" w:rsidRPr="002B1535">
        <w:rPr>
          <w:szCs w:val="24"/>
        </w:rPr>
        <w:t xml:space="preserve">e </w:t>
      </w:r>
      <w:r w:rsidR="00111980" w:rsidRPr="002B1535">
        <w:rPr>
          <w:szCs w:val="24"/>
        </w:rPr>
        <w:t>I</w:t>
      </w:r>
      <w:r w:rsidR="009538B1" w:rsidRPr="002B1535">
        <w:rPr>
          <w:szCs w:val="24"/>
        </w:rPr>
        <w:t xml:space="preserve">nstrument is a legislative instrument for the purposes of the </w:t>
      </w:r>
      <w:r w:rsidR="00047A97" w:rsidRPr="002B1535">
        <w:rPr>
          <w:szCs w:val="24"/>
        </w:rPr>
        <w:t>L</w:t>
      </w:r>
      <w:r w:rsidR="00A1512C">
        <w:rPr>
          <w:szCs w:val="24"/>
        </w:rPr>
        <w:t>egislation Act</w:t>
      </w:r>
      <w:r w:rsidR="00047A97" w:rsidRPr="002B1535">
        <w:rPr>
          <w:szCs w:val="24"/>
        </w:rPr>
        <w:t xml:space="preserve"> </w:t>
      </w:r>
      <w:r w:rsidR="009538B1" w:rsidRPr="002B1535">
        <w:rPr>
          <w:szCs w:val="24"/>
        </w:rPr>
        <w:t>(see</w:t>
      </w:r>
      <w:r w:rsidR="00111980" w:rsidRPr="002B1535">
        <w:rPr>
          <w:szCs w:val="24"/>
        </w:rPr>
        <w:t xml:space="preserve"> section </w:t>
      </w:r>
      <w:r w:rsidR="007C4292">
        <w:rPr>
          <w:szCs w:val="24"/>
        </w:rPr>
        <w:t>8</w:t>
      </w:r>
      <w:r w:rsidR="007C4292" w:rsidRPr="002B1535">
        <w:rPr>
          <w:szCs w:val="24"/>
        </w:rPr>
        <w:t xml:space="preserve"> </w:t>
      </w:r>
      <w:r w:rsidR="00111980" w:rsidRPr="002B1535">
        <w:rPr>
          <w:szCs w:val="24"/>
        </w:rPr>
        <w:t>of that Act</w:t>
      </w:r>
      <w:r w:rsidR="009538B1" w:rsidRPr="002B1535">
        <w:rPr>
          <w:szCs w:val="24"/>
        </w:rPr>
        <w:t>)</w:t>
      </w:r>
      <w:r w:rsidR="00BD0F45" w:rsidRPr="002B1535">
        <w:rPr>
          <w:szCs w:val="24"/>
        </w:rPr>
        <w:t xml:space="preserve">. </w:t>
      </w:r>
    </w:p>
    <w:p w14:paraId="58363C53" w14:textId="77777777" w:rsidR="00FE48FD" w:rsidRDefault="00FE48FD" w:rsidP="005C7F33">
      <w:pPr>
        <w:rPr>
          <w:szCs w:val="24"/>
        </w:rPr>
      </w:pPr>
    </w:p>
    <w:p w14:paraId="18232EA7" w14:textId="7E61827F" w:rsidR="00A63395" w:rsidRDefault="00A63395" w:rsidP="005C7F33">
      <w:pPr>
        <w:rPr>
          <w:szCs w:val="24"/>
        </w:rPr>
      </w:pPr>
    </w:p>
    <w:p w14:paraId="19A231E9" w14:textId="77777777" w:rsidR="00A63395" w:rsidRDefault="00A63395" w:rsidP="005C7F33">
      <w:pPr>
        <w:rPr>
          <w:szCs w:val="24"/>
        </w:rPr>
      </w:pPr>
    </w:p>
    <w:p w14:paraId="4BEC6AC9" w14:textId="77777777" w:rsidR="00A63395" w:rsidRDefault="00A63395" w:rsidP="005C7F33">
      <w:pPr>
        <w:rPr>
          <w:szCs w:val="24"/>
        </w:rPr>
      </w:pPr>
    </w:p>
    <w:p w14:paraId="58F45924" w14:textId="77777777" w:rsidR="00A63395" w:rsidRDefault="00A63395" w:rsidP="005C7F33">
      <w:pPr>
        <w:rPr>
          <w:szCs w:val="24"/>
        </w:rPr>
      </w:pPr>
    </w:p>
    <w:p w14:paraId="4EE0C384" w14:textId="77777777" w:rsidR="00A63395" w:rsidRDefault="00A63395" w:rsidP="005C7F33">
      <w:pPr>
        <w:rPr>
          <w:szCs w:val="24"/>
        </w:rPr>
      </w:pPr>
    </w:p>
    <w:p w14:paraId="58610BD6" w14:textId="77777777" w:rsidR="00A63395" w:rsidRDefault="00A63395" w:rsidP="005C7F33">
      <w:pPr>
        <w:rPr>
          <w:szCs w:val="24"/>
        </w:rPr>
      </w:pPr>
    </w:p>
    <w:p w14:paraId="33B52CFF" w14:textId="77777777" w:rsidR="00ED2B75" w:rsidRPr="002B1535" w:rsidRDefault="00ED2B75" w:rsidP="005C7F33">
      <w:pPr>
        <w:rPr>
          <w:szCs w:val="24"/>
        </w:rPr>
      </w:pPr>
    </w:p>
    <w:p w14:paraId="719917A6" w14:textId="77777777" w:rsidR="009A11CF" w:rsidRPr="002B1535" w:rsidRDefault="009A11CF" w:rsidP="005C7F33">
      <w:pPr>
        <w:outlineLvl w:val="0"/>
        <w:rPr>
          <w:b/>
          <w:szCs w:val="24"/>
        </w:rPr>
      </w:pPr>
    </w:p>
    <w:p w14:paraId="192D26E8" w14:textId="77777777" w:rsidR="00FD4739" w:rsidRPr="002B1535" w:rsidRDefault="00FD4739" w:rsidP="005C7F33">
      <w:pPr>
        <w:outlineLvl w:val="0"/>
        <w:rPr>
          <w:b/>
          <w:szCs w:val="24"/>
        </w:rPr>
      </w:pPr>
      <w:r w:rsidRPr="002B1535">
        <w:rPr>
          <w:b/>
          <w:szCs w:val="24"/>
        </w:rPr>
        <w:t>NOTES ON CLAUSES</w:t>
      </w:r>
    </w:p>
    <w:p w14:paraId="743A3F76" w14:textId="77777777" w:rsidR="00FD4739" w:rsidRPr="002B1535" w:rsidRDefault="00FD4739" w:rsidP="005C7F33">
      <w:pPr>
        <w:rPr>
          <w:szCs w:val="24"/>
        </w:rPr>
      </w:pPr>
    </w:p>
    <w:p w14:paraId="79A18002" w14:textId="77777777" w:rsidR="00B9394A" w:rsidRPr="00697695" w:rsidRDefault="00B9394A" w:rsidP="005C7F33">
      <w:pPr>
        <w:shd w:val="clear" w:color="auto" w:fill="FFFFFF"/>
        <w:spacing w:before="100" w:beforeAutospacing="1" w:after="100" w:afterAutospacing="1"/>
        <w:rPr>
          <w:szCs w:val="24"/>
          <w:lang w:eastAsia="en-AU"/>
        </w:rPr>
      </w:pPr>
      <w:r>
        <w:rPr>
          <w:b/>
          <w:bCs/>
          <w:szCs w:val="24"/>
          <w:lang w:eastAsia="en-AU"/>
        </w:rPr>
        <w:t>Section</w:t>
      </w:r>
      <w:r w:rsidRPr="00697695">
        <w:rPr>
          <w:b/>
          <w:bCs/>
          <w:szCs w:val="24"/>
          <w:lang w:eastAsia="en-AU"/>
        </w:rPr>
        <w:t xml:space="preserve"> 1 </w:t>
      </w:r>
      <w:r w:rsidRPr="00697695">
        <w:rPr>
          <w:b/>
          <w:bCs/>
          <w:szCs w:val="24"/>
          <w:lang w:eastAsia="en-AU"/>
        </w:rPr>
        <w:noBreakHyphen/>
        <w:t xml:space="preserve"> Name</w:t>
      </w:r>
    </w:p>
    <w:p w14:paraId="43B8CD87" w14:textId="77777777" w:rsidR="00B9394A" w:rsidRPr="00697695" w:rsidRDefault="00B9394A" w:rsidP="005C7F33">
      <w:pPr>
        <w:shd w:val="clear" w:color="auto" w:fill="FFFFFF"/>
        <w:spacing w:before="100" w:beforeAutospacing="1" w:after="100" w:afterAutospacing="1"/>
        <w:rPr>
          <w:szCs w:val="24"/>
          <w:lang w:eastAsia="en-AU"/>
        </w:rPr>
      </w:pPr>
      <w:r>
        <w:rPr>
          <w:szCs w:val="24"/>
          <w:lang w:eastAsia="en-AU"/>
        </w:rPr>
        <w:t xml:space="preserve">Section </w:t>
      </w:r>
      <w:r w:rsidRPr="00697695">
        <w:rPr>
          <w:szCs w:val="24"/>
          <w:lang w:eastAsia="en-AU"/>
        </w:rPr>
        <w:t xml:space="preserve">1 provides that the name of the Instrument is the </w:t>
      </w:r>
      <w:r w:rsidRPr="00697695">
        <w:rPr>
          <w:i/>
          <w:iCs/>
          <w:szCs w:val="24"/>
          <w:lang w:eastAsia="en-AU"/>
        </w:rPr>
        <w:t>Telecommunications (Integrated Public Number Database Scheme – Criteria for Deciding Authorisation Applications) Instrument 2017</w:t>
      </w:r>
      <w:r w:rsidRPr="00697695">
        <w:rPr>
          <w:szCs w:val="24"/>
          <w:lang w:eastAsia="en-AU"/>
        </w:rPr>
        <w:t>.</w:t>
      </w:r>
    </w:p>
    <w:p w14:paraId="23B1972D" w14:textId="77777777" w:rsidR="00B9394A" w:rsidRPr="00697695" w:rsidRDefault="00B9394A" w:rsidP="005C7F33">
      <w:pPr>
        <w:shd w:val="clear" w:color="auto" w:fill="FFFFFF"/>
        <w:spacing w:before="100" w:beforeAutospacing="1" w:after="100" w:afterAutospacing="1"/>
        <w:rPr>
          <w:szCs w:val="24"/>
          <w:lang w:eastAsia="en-AU"/>
        </w:rPr>
      </w:pPr>
      <w:r>
        <w:rPr>
          <w:b/>
          <w:bCs/>
          <w:szCs w:val="24"/>
          <w:lang w:eastAsia="en-AU"/>
        </w:rPr>
        <w:t>Section</w:t>
      </w:r>
      <w:r w:rsidRPr="00697695">
        <w:rPr>
          <w:b/>
          <w:bCs/>
          <w:szCs w:val="24"/>
          <w:lang w:eastAsia="en-AU"/>
        </w:rPr>
        <w:t xml:space="preserve"> 2 </w:t>
      </w:r>
      <w:r w:rsidRPr="00697695">
        <w:rPr>
          <w:b/>
          <w:bCs/>
          <w:szCs w:val="24"/>
          <w:lang w:eastAsia="en-AU"/>
        </w:rPr>
        <w:noBreakHyphen/>
        <w:t xml:space="preserve"> Commencement </w:t>
      </w:r>
    </w:p>
    <w:p w14:paraId="6F0158BC" w14:textId="4A7714D6" w:rsidR="00B9394A" w:rsidRDefault="00B9394A" w:rsidP="005C7F33">
      <w:pPr>
        <w:shd w:val="clear" w:color="auto" w:fill="FFFFFF"/>
        <w:spacing w:before="100" w:beforeAutospacing="1" w:after="100" w:afterAutospacing="1"/>
        <w:rPr>
          <w:szCs w:val="24"/>
          <w:lang w:eastAsia="en-AU"/>
        </w:rPr>
      </w:pPr>
      <w:r>
        <w:rPr>
          <w:szCs w:val="24"/>
          <w:lang w:eastAsia="en-AU"/>
        </w:rPr>
        <w:t>Section</w:t>
      </w:r>
      <w:r w:rsidRPr="00697695">
        <w:rPr>
          <w:szCs w:val="24"/>
          <w:lang w:eastAsia="en-AU"/>
        </w:rPr>
        <w:t xml:space="preserve"> 2 provides that the Instrument commences on the day after the </w:t>
      </w:r>
      <w:r w:rsidR="002622AB">
        <w:rPr>
          <w:szCs w:val="24"/>
          <w:lang w:eastAsia="en-AU"/>
        </w:rPr>
        <w:t>I</w:t>
      </w:r>
      <w:r w:rsidRPr="00697695">
        <w:rPr>
          <w:szCs w:val="24"/>
          <w:lang w:eastAsia="en-AU"/>
        </w:rPr>
        <w:t>nstrument is registered.</w:t>
      </w:r>
    </w:p>
    <w:p w14:paraId="21B617C3" w14:textId="77777777" w:rsidR="00B9394A" w:rsidRPr="00697695" w:rsidRDefault="00B9394A" w:rsidP="005C7F33">
      <w:pPr>
        <w:keepNext/>
        <w:shd w:val="clear" w:color="auto" w:fill="FFFFFF"/>
        <w:spacing w:before="100" w:beforeAutospacing="1" w:after="100" w:afterAutospacing="1"/>
        <w:rPr>
          <w:szCs w:val="24"/>
          <w:lang w:eastAsia="en-AU"/>
        </w:rPr>
      </w:pPr>
      <w:r>
        <w:rPr>
          <w:b/>
          <w:bCs/>
          <w:szCs w:val="24"/>
          <w:lang w:eastAsia="en-AU"/>
        </w:rPr>
        <w:t>Section</w:t>
      </w:r>
      <w:r w:rsidRPr="00E71885">
        <w:rPr>
          <w:b/>
          <w:bCs/>
          <w:szCs w:val="24"/>
          <w:lang w:eastAsia="en-AU"/>
        </w:rPr>
        <w:t xml:space="preserve"> 3 </w:t>
      </w:r>
      <w:r w:rsidRPr="00E71885">
        <w:rPr>
          <w:b/>
          <w:bCs/>
          <w:szCs w:val="24"/>
          <w:lang w:eastAsia="en-AU"/>
        </w:rPr>
        <w:noBreakHyphen/>
        <w:t xml:space="preserve"> Authority</w:t>
      </w:r>
    </w:p>
    <w:p w14:paraId="61BA6A3B" w14:textId="77777777" w:rsidR="00B9394A" w:rsidRPr="007871FC" w:rsidRDefault="00B9394A" w:rsidP="005C7F33">
      <w:pPr>
        <w:rPr>
          <w:szCs w:val="24"/>
        </w:rPr>
      </w:pPr>
      <w:r w:rsidRPr="007871FC">
        <w:rPr>
          <w:szCs w:val="24"/>
        </w:rPr>
        <w:t>Section 3 provides that the Instrument is</w:t>
      </w:r>
      <w:r w:rsidR="008D3D49">
        <w:rPr>
          <w:szCs w:val="24"/>
        </w:rPr>
        <w:t xml:space="preserve"> made under section 295N of the</w:t>
      </w:r>
      <w:r w:rsidRPr="00D914D3">
        <w:rPr>
          <w:b/>
          <w:szCs w:val="24"/>
        </w:rPr>
        <w:t xml:space="preserve"> </w:t>
      </w:r>
      <w:r w:rsidR="00562533" w:rsidRPr="008D3D49">
        <w:rPr>
          <w:szCs w:val="24"/>
        </w:rPr>
        <w:t xml:space="preserve">Telecommunications </w:t>
      </w:r>
      <w:r w:rsidRPr="008D3D49">
        <w:rPr>
          <w:szCs w:val="24"/>
        </w:rPr>
        <w:t>Act</w:t>
      </w:r>
      <w:r w:rsidRPr="007871FC">
        <w:rPr>
          <w:szCs w:val="24"/>
        </w:rPr>
        <w:t xml:space="preserve"> </w:t>
      </w:r>
      <w:r w:rsidRPr="008D3D49">
        <w:rPr>
          <w:szCs w:val="24"/>
        </w:rPr>
        <w:t xml:space="preserve">which provides that the Minister must by legislative instrument, specify criteria for deciding authorisation applications made under the </w:t>
      </w:r>
      <w:r w:rsidR="006D6870" w:rsidRPr="008D3D49">
        <w:rPr>
          <w:szCs w:val="24"/>
        </w:rPr>
        <w:t>IPND</w:t>
      </w:r>
      <w:r w:rsidRPr="008D3D49">
        <w:rPr>
          <w:szCs w:val="24"/>
        </w:rPr>
        <w:t xml:space="preserve"> </w:t>
      </w:r>
      <w:r w:rsidR="00FE48FD">
        <w:rPr>
          <w:szCs w:val="24"/>
        </w:rPr>
        <w:t>S</w:t>
      </w:r>
      <w:r w:rsidRPr="008D3D49">
        <w:rPr>
          <w:szCs w:val="24"/>
        </w:rPr>
        <w:t>cheme.</w:t>
      </w:r>
    </w:p>
    <w:p w14:paraId="478A43D5" w14:textId="77777777" w:rsidR="00B9394A" w:rsidRPr="00697695" w:rsidRDefault="00B9394A" w:rsidP="005C7F33">
      <w:pPr>
        <w:keepNext/>
        <w:shd w:val="clear" w:color="auto" w:fill="FFFFFF"/>
        <w:spacing w:before="100" w:beforeAutospacing="1" w:after="100" w:afterAutospacing="1"/>
        <w:rPr>
          <w:szCs w:val="24"/>
          <w:lang w:eastAsia="en-AU"/>
        </w:rPr>
      </w:pPr>
      <w:r>
        <w:rPr>
          <w:b/>
          <w:bCs/>
          <w:szCs w:val="24"/>
          <w:lang w:eastAsia="en-AU"/>
        </w:rPr>
        <w:t>Section 4</w:t>
      </w:r>
      <w:r w:rsidRPr="00697695">
        <w:rPr>
          <w:b/>
          <w:bCs/>
          <w:szCs w:val="24"/>
          <w:lang w:eastAsia="en-AU"/>
        </w:rPr>
        <w:t xml:space="preserve"> </w:t>
      </w:r>
      <w:r w:rsidRPr="00697695">
        <w:rPr>
          <w:b/>
          <w:bCs/>
          <w:szCs w:val="24"/>
          <w:lang w:eastAsia="en-AU"/>
        </w:rPr>
        <w:noBreakHyphen/>
        <w:t xml:space="preserve"> Definitions</w:t>
      </w:r>
    </w:p>
    <w:p w14:paraId="1E591986" w14:textId="77777777" w:rsidR="00B9394A" w:rsidRPr="002A313A" w:rsidRDefault="00B9394A" w:rsidP="005C7F33">
      <w:pPr>
        <w:keepNext/>
        <w:shd w:val="clear" w:color="auto" w:fill="FFFFFF"/>
        <w:spacing w:before="100" w:beforeAutospacing="1" w:after="100" w:afterAutospacing="1"/>
        <w:rPr>
          <w:szCs w:val="24"/>
          <w:lang w:eastAsia="en-AU"/>
        </w:rPr>
      </w:pPr>
      <w:r w:rsidRPr="002A313A">
        <w:rPr>
          <w:szCs w:val="24"/>
          <w:lang w:eastAsia="en-AU"/>
        </w:rPr>
        <w:t xml:space="preserve">Section 4 defines the terms and concepts used in the Instrument. </w:t>
      </w:r>
    </w:p>
    <w:p w14:paraId="5B34E6AC" w14:textId="77777777" w:rsidR="00B9394A" w:rsidRPr="008D3D49" w:rsidRDefault="00B9394A" w:rsidP="005C7F33">
      <w:pPr>
        <w:pStyle w:val="Definition0"/>
        <w:ind w:left="0"/>
        <w:rPr>
          <w:sz w:val="24"/>
          <w:szCs w:val="24"/>
        </w:rPr>
      </w:pPr>
      <w:r w:rsidRPr="008D3D49">
        <w:rPr>
          <w:sz w:val="24"/>
          <w:szCs w:val="24"/>
        </w:rPr>
        <w:t>The term</w:t>
      </w:r>
      <w:r w:rsidRPr="008D3D49">
        <w:rPr>
          <w:b/>
          <w:i/>
          <w:sz w:val="24"/>
          <w:szCs w:val="24"/>
        </w:rPr>
        <w:t xml:space="preserve"> Act</w:t>
      </w:r>
      <w:r w:rsidRPr="008D3D49">
        <w:rPr>
          <w:sz w:val="24"/>
          <w:szCs w:val="24"/>
        </w:rPr>
        <w:t xml:space="preserve"> is defined to mean the </w:t>
      </w:r>
      <w:r w:rsidRPr="008D3D49">
        <w:rPr>
          <w:i/>
          <w:sz w:val="24"/>
          <w:szCs w:val="24"/>
        </w:rPr>
        <w:t>Telecommunications Act 1997</w:t>
      </w:r>
      <w:r w:rsidRPr="008D3D49">
        <w:rPr>
          <w:sz w:val="24"/>
          <w:szCs w:val="24"/>
        </w:rPr>
        <w:t>.</w:t>
      </w:r>
    </w:p>
    <w:p w14:paraId="5D0B12F4" w14:textId="61D07BBD" w:rsidR="002622AB" w:rsidRPr="0086619C" w:rsidRDefault="00B9394A" w:rsidP="002622AB">
      <w:pPr>
        <w:spacing w:before="180"/>
      </w:pPr>
      <w:r w:rsidRPr="008D3D49">
        <w:rPr>
          <w:bCs/>
          <w:szCs w:val="24"/>
        </w:rPr>
        <w:lastRenderedPageBreak/>
        <w:t>The term</w:t>
      </w:r>
      <w:r w:rsidRPr="008D3D49">
        <w:rPr>
          <w:b/>
          <w:bCs/>
          <w:i/>
          <w:szCs w:val="24"/>
        </w:rPr>
        <w:t xml:space="preserve"> candidate</w:t>
      </w:r>
      <w:r w:rsidRPr="008D3D49">
        <w:rPr>
          <w:b/>
          <w:bCs/>
          <w:szCs w:val="24"/>
        </w:rPr>
        <w:t xml:space="preserve"> </w:t>
      </w:r>
      <w:r w:rsidRPr="008D3D49">
        <w:rPr>
          <w:bCs/>
          <w:szCs w:val="24"/>
        </w:rPr>
        <w:t>is defined to have</w:t>
      </w:r>
      <w:r w:rsidRPr="008D3D49">
        <w:rPr>
          <w:szCs w:val="24"/>
        </w:rPr>
        <w:t xml:space="preserve"> the same meaning as in the </w:t>
      </w:r>
      <w:r w:rsidRPr="008D3D49">
        <w:rPr>
          <w:i/>
          <w:szCs w:val="24"/>
        </w:rPr>
        <w:t>Telecommunications (Integrated Public Number Database – Permitted Research Purposes) Instrument 2017</w:t>
      </w:r>
      <w:r w:rsidR="00D62B47">
        <w:rPr>
          <w:i/>
          <w:szCs w:val="24"/>
        </w:rPr>
        <w:t>.</w:t>
      </w:r>
      <w:r w:rsidR="002622AB">
        <w:rPr>
          <w:i/>
          <w:szCs w:val="24"/>
        </w:rPr>
        <w:t xml:space="preserve"> </w:t>
      </w:r>
      <w:r w:rsidR="00D62B47">
        <w:rPr>
          <w:szCs w:val="24"/>
        </w:rPr>
        <w:t>This</w:t>
      </w:r>
      <w:r w:rsidR="002622AB" w:rsidRPr="00812EF3">
        <w:rPr>
          <w:szCs w:val="24"/>
        </w:rPr>
        <w:t xml:space="preserve"> is</w:t>
      </w:r>
      <w:r w:rsidR="002622AB" w:rsidRPr="002622AB">
        <w:t xml:space="preserve"> </w:t>
      </w:r>
      <w:r w:rsidR="002622AB" w:rsidRPr="0086619C">
        <w:t xml:space="preserve">defined to mean a person who has been nominated as a candidate under the </w:t>
      </w:r>
      <w:r w:rsidR="002622AB" w:rsidRPr="0086619C">
        <w:rPr>
          <w:i/>
        </w:rPr>
        <w:t>Commonwealth Electoral Act 1918</w:t>
      </w:r>
      <w:r w:rsidR="002622AB" w:rsidRPr="0086619C">
        <w:t>, or under a law of a State or Territory that deals with electoral matters.</w:t>
      </w:r>
    </w:p>
    <w:p w14:paraId="77634164" w14:textId="196D396F" w:rsidR="00B9394A" w:rsidRPr="008D3D49" w:rsidRDefault="00B9394A" w:rsidP="005C7F33">
      <w:pPr>
        <w:pStyle w:val="Definition0"/>
        <w:ind w:left="0"/>
        <w:rPr>
          <w:sz w:val="24"/>
          <w:szCs w:val="24"/>
        </w:rPr>
      </w:pPr>
      <w:r w:rsidRPr="008D3D49">
        <w:rPr>
          <w:b/>
          <w:i/>
          <w:sz w:val="24"/>
          <w:szCs w:val="24"/>
        </w:rPr>
        <w:t xml:space="preserve">Commonwealth entity </w:t>
      </w:r>
      <w:r w:rsidRPr="008D3D49">
        <w:rPr>
          <w:sz w:val="24"/>
          <w:szCs w:val="24"/>
        </w:rPr>
        <w:t xml:space="preserve">is defined to have the same meaning given by section 10 of the </w:t>
      </w:r>
      <w:r w:rsidRPr="008D3D49">
        <w:rPr>
          <w:i/>
          <w:sz w:val="24"/>
          <w:szCs w:val="24"/>
        </w:rPr>
        <w:t>Public Governance, Performance and Accountability Act 2013</w:t>
      </w:r>
      <w:r w:rsidRPr="008D3D49">
        <w:rPr>
          <w:sz w:val="24"/>
          <w:szCs w:val="24"/>
        </w:rPr>
        <w:t>.</w:t>
      </w:r>
    </w:p>
    <w:p w14:paraId="35D09722" w14:textId="77777777" w:rsidR="00B9394A" w:rsidRPr="008D3D49" w:rsidRDefault="00B9394A" w:rsidP="005C7F33">
      <w:pPr>
        <w:pStyle w:val="Definition0"/>
        <w:ind w:left="0"/>
        <w:rPr>
          <w:sz w:val="24"/>
          <w:szCs w:val="24"/>
        </w:rPr>
      </w:pPr>
      <w:r w:rsidRPr="008D3D49">
        <w:rPr>
          <w:bCs/>
          <w:sz w:val="24"/>
          <w:szCs w:val="24"/>
        </w:rPr>
        <w:t>The term</w:t>
      </w:r>
      <w:r w:rsidRPr="008D3D49">
        <w:rPr>
          <w:b/>
          <w:bCs/>
          <w:i/>
          <w:sz w:val="24"/>
          <w:szCs w:val="24"/>
        </w:rPr>
        <w:t xml:space="preserve"> contractor</w:t>
      </w:r>
      <w:r w:rsidRPr="008D3D49">
        <w:rPr>
          <w:b/>
          <w:bCs/>
          <w:sz w:val="24"/>
          <w:szCs w:val="24"/>
        </w:rPr>
        <w:t xml:space="preserve"> </w:t>
      </w:r>
      <w:r w:rsidRPr="008D3D49">
        <w:rPr>
          <w:sz w:val="24"/>
          <w:szCs w:val="24"/>
        </w:rPr>
        <w:t>is defined to mean a person who performs services for and on behalf of the holder of a public number directory authorisation or a research authorisation but does not include a person who performs such services in the capacity of an employee of the holder.</w:t>
      </w:r>
    </w:p>
    <w:p w14:paraId="1E42CC4B" w14:textId="77777777" w:rsidR="00B9394A" w:rsidRPr="008D3D49" w:rsidRDefault="00B9394A" w:rsidP="005C7F33">
      <w:pPr>
        <w:pStyle w:val="Definition0"/>
        <w:ind w:left="0"/>
        <w:rPr>
          <w:sz w:val="24"/>
          <w:szCs w:val="24"/>
        </w:rPr>
      </w:pPr>
      <w:r w:rsidRPr="008D3D49">
        <w:rPr>
          <w:bCs/>
          <w:sz w:val="24"/>
          <w:szCs w:val="24"/>
        </w:rPr>
        <w:t>The term</w:t>
      </w:r>
      <w:r w:rsidRPr="008D3D49">
        <w:rPr>
          <w:b/>
          <w:bCs/>
          <w:i/>
          <w:sz w:val="24"/>
          <w:szCs w:val="24"/>
        </w:rPr>
        <w:t xml:space="preserve"> customer</w:t>
      </w:r>
      <w:r w:rsidRPr="008D3D49">
        <w:rPr>
          <w:sz w:val="24"/>
          <w:szCs w:val="24"/>
        </w:rPr>
        <w:t xml:space="preserve"> is defined to mean a person who is supplied with a carriage service by a carriage service provider.</w:t>
      </w:r>
    </w:p>
    <w:p w14:paraId="03A42407" w14:textId="77777777" w:rsidR="00B9394A" w:rsidRPr="008D3D49" w:rsidRDefault="00B9394A" w:rsidP="005C7F33">
      <w:pPr>
        <w:pStyle w:val="Definition0"/>
        <w:ind w:left="0"/>
        <w:rPr>
          <w:sz w:val="24"/>
          <w:szCs w:val="24"/>
        </w:rPr>
      </w:pPr>
      <w:r w:rsidRPr="008D3D49">
        <w:rPr>
          <w:b/>
          <w:bCs/>
          <w:i/>
          <w:sz w:val="24"/>
          <w:szCs w:val="24"/>
        </w:rPr>
        <w:t>Customer</w:t>
      </w:r>
      <w:r w:rsidRPr="008D3D49">
        <w:rPr>
          <w:b/>
          <w:bCs/>
          <w:sz w:val="24"/>
          <w:szCs w:val="24"/>
        </w:rPr>
        <w:t xml:space="preserve"> </w:t>
      </w:r>
      <w:r w:rsidRPr="008D3D49">
        <w:rPr>
          <w:b/>
          <w:bCs/>
          <w:i/>
          <w:sz w:val="24"/>
          <w:szCs w:val="24"/>
        </w:rPr>
        <w:t>data</w:t>
      </w:r>
      <w:r w:rsidRPr="008D3D49">
        <w:rPr>
          <w:b/>
          <w:bCs/>
          <w:sz w:val="24"/>
          <w:szCs w:val="24"/>
        </w:rPr>
        <w:t xml:space="preserve"> </w:t>
      </w:r>
      <w:r w:rsidRPr="008D3D49">
        <w:rPr>
          <w:sz w:val="24"/>
          <w:szCs w:val="24"/>
        </w:rPr>
        <w:t>is defined to have the same meaning as in the</w:t>
      </w:r>
      <w:r w:rsidRPr="008D3D49">
        <w:rPr>
          <w:b/>
          <w:bCs/>
          <w:sz w:val="24"/>
          <w:szCs w:val="24"/>
        </w:rPr>
        <w:t xml:space="preserve"> </w:t>
      </w:r>
      <w:r w:rsidRPr="008D3D49">
        <w:rPr>
          <w:i/>
          <w:sz w:val="24"/>
          <w:szCs w:val="24"/>
        </w:rPr>
        <w:t>Telecommunications Integrated Public Number Database Scheme 2017</w:t>
      </w:r>
      <w:r w:rsidRPr="008D3D49">
        <w:rPr>
          <w:bCs/>
          <w:sz w:val="24"/>
          <w:szCs w:val="24"/>
        </w:rPr>
        <w:t>.</w:t>
      </w:r>
      <w:r w:rsidRPr="008D3D49">
        <w:rPr>
          <w:sz w:val="24"/>
          <w:szCs w:val="24"/>
        </w:rPr>
        <w:t xml:space="preserve">  </w:t>
      </w:r>
      <w:r w:rsidR="00A64F06" w:rsidRPr="008D3D49">
        <w:rPr>
          <w:sz w:val="24"/>
          <w:szCs w:val="24"/>
        </w:rPr>
        <w:t>Customer data includes the public number, name, direc</w:t>
      </w:r>
      <w:r w:rsidR="00A64F06" w:rsidRPr="008D3D49">
        <w:rPr>
          <w:sz w:val="24"/>
          <w:szCs w:val="24"/>
        </w:rPr>
        <w:lastRenderedPageBreak/>
        <w:t>tory finding name, and the directory address of a customer or their business.  It also includes information such as whether the number or address is to be listed in a public number directory and whether the number is used for residential, business, government or charitable purposes.</w:t>
      </w:r>
    </w:p>
    <w:p w14:paraId="1FDE32CD" w14:textId="65823700" w:rsidR="002622AB" w:rsidRDefault="00B9394A" w:rsidP="002622AB">
      <w:pPr>
        <w:spacing w:before="180"/>
      </w:pPr>
      <w:r w:rsidRPr="008D3D49">
        <w:rPr>
          <w:b/>
          <w:bCs/>
          <w:i/>
          <w:szCs w:val="24"/>
        </w:rPr>
        <w:t>Electoral</w:t>
      </w:r>
      <w:r w:rsidRPr="008D3D49">
        <w:rPr>
          <w:b/>
          <w:bCs/>
          <w:szCs w:val="24"/>
        </w:rPr>
        <w:t xml:space="preserve"> </w:t>
      </w:r>
      <w:r w:rsidRPr="008D3D49">
        <w:rPr>
          <w:b/>
          <w:bCs/>
          <w:i/>
          <w:szCs w:val="24"/>
        </w:rPr>
        <w:t>matter</w:t>
      </w:r>
      <w:r w:rsidRPr="008D3D49">
        <w:rPr>
          <w:szCs w:val="24"/>
        </w:rPr>
        <w:t xml:space="preserve"> is defined to have the same meaning as in the </w:t>
      </w:r>
      <w:r w:rsidRPr="008D3D49">
        <w:rPr>
          <w:i/>
          <w:szCs w:val="24"/>
        </w:rPr>
        <w:t>Telecommunications (Integrated Public Number Database – Permitted Research Purposes) Instrument 2017</w:t>
      </w:r>
      <w:r w:rsidR="00D62B47">
        <w:rPr>
          <w:szCs w:val="24"/>
        </w:rPr>
        <w:t>.  This</w:t>
      </w:r>
      <w:r w:rsidR="002622AB" w:rsidRPr="00812EF3">
        <w:rPr>
          <w:szCs w:val="24"/>
        </w:rPr>
        <w:t xml:space="preserve"> is</w:t>
      </w:r>
      <w:r w:rsidR="002622AB">
        <w:rPr>
          <w:szCs w:val="24"/>
        </w:rPr>
        <w:t xml:space="preserve"> defined to mean </w:t>
      </w:r>
      <w:r w:rsidR="002622AB" w:rsidRPr="0086619C">
        <w:t>a matter which is intended or likely to affect voting in:</w:t>
      </w:r>
    </w:p>
    <w:p w14:paraId="2A4F9C2B" w14:textId="77777777" w:rsidR="002622AB" w:rsidRDefault="002622AB" w:rsidP="002622AB">
      <w:pPr>
        <w:numPr>
          <w:ilvl w:val="0"/>
          <w:numId w:val="47"/>
        </w:numPr>
        <w:spacing w:before="180"/>
      </w:pPr>
      <w:r w:rsidRPr="0086619C">
        <w:t>an election under a law of the Commonwealth, or a law of a State or Territory, relating to elections to a Parliament or to a local government authority; or</w:t>
      </w:r>
    </w:p>
    <w:p w14:paraId="4B06DEA8" w14:textId="4B26F237" w:rsidR="00B9394A" w:rsidRPr="002622AB" w:rsidRDefault="002622AB" w:rsidP="00812EF3">
      <w:pPr>
        <w:pStyle w:val="Definition0"/>
        <w:numPr>
          <w:ilvl w:val="0"/>
          <w:numId w:val="47"/>
        </w:numPr>
        <w:rPr>
          <w:sz w:val="24"/>
          <w:szCs w:val="24"/>
        </w:rPr>
      </w:pPr>
      <w:proofErr w:type="gramStart"/>
      <w:r w:rsidRPr="00812EF3">
        <w:rPr>
          <w:sz w:val="24"/>
          <w:szCs w:val="24"/>
        </w:rPr>
        <w:t>a</w:t>
      </w:r>
      <w:proofErr w:type="gramEnd"/>
      <w:r w:rsidRPr="00812EF3">
        <w:rPr>
          <w:sz w:val="24"/>
          <w:szCs w:val="24"/>
        </w:rPr>
        <w:t xml:space="preserve"> referendum under a law of the Commonwealth or a law of a State or Territory.</w:t>
      </w:r>
      <w:r w:rsidR="00B9394A" w:rsidRPr="002622AB">
        <w:rPr>
          <w:sz w:val="24"/>
          <w:szCs w:val="24"/>
        </w:rPr>
        <w:t>.</w:t>
      </w:r>
    </w:p>
    <w:p w14:paraId="6198C31F" w14:textId="77777777" w:rsidR="00B9394A" w:rsidRPr="008D3D49" w:rsidRDefault="00B9394A" w:rsidP="005C7F33">
      <w:pPr>
        <w:pStyle w:val="Definition0"/>
        <w:ind w:left="0"/>
        <w:rPr>
          <w:sz w:val="24"/>
          <w:szCs w:val="24"/>
        </w:rPr>
      </w:pPr>
      <w:r w:rsidRPr="008D3D49">
        <w:rPr>
          <w:b/>
          <w:bCs/>
          <w:i/>
          <w:sz w:val="24"/>
          <w:szCs w:val="24"/>
        </w:rPr>
        <w:t>Integrated public number database scheme</w:t>
      </w:r>
      <w:r w:rsidRPr="008D3D49">
        <w:rPr>
          <w:b/>
          <w:bCs/>
          <w:sz w:val="24"/>
          <w:szCs w:val="24"/>
        </w:rPr>
        <w:t xml:space="preserve"> </w:t>
      </w:r>
      <w:r w:rsidRPr="008D3D49">
        <w:rPr>
          <w:sz w:val="24"/>
          <w:szCs w:val="24"/>
        </w:rPr>
        <w:t>is defined to mean the scheme in force under section 295A of the Act.</w:t>
      </w:r>
    </w:p>
    <w:p w14:paraId="3C827246" w14:textId="2CA85A55" w:rsidR="00B9394A" w:rsidRPr="008D3D49" w:rsidRDefault="00B9394A" w:rsidP="005C7F33">
      <w:pPr>
        <w:pStyle w:val="Definition0"/>
        <w:ind w:left="0"/>
        <w:rPr>
          <w:sz w:val="24"/>
          <w:szCs w:val="24"/>
        </w:rPr>
      </w:pPr>
      <w:r w:rsidRPr="008D3D49">
        <w:rPr>
          <w:b/>
          <w:bCs/>
          <w:i/>
          <w:sz w:val="24"/>
          <w:szCs w:val="24"/>
        </w:rPr>
        <w:t>Local government authority</w:t>
      </w:r>
      <w:r w:rsidRPr="008D3D49">
        <w:rPr>
          <w:sz w:val="24"/>
          <w:szCs w:val="24"/>
        </w:rPr>
        <w:t xml:space="preserve"> is defined to have the same meaning as in the </w:t>
      </w:r>
      <w:r w:rsidRPr="008D3D49">
        <w:rPr>
          <w:i/>
          <w:sz w:val="24"/>
          <w:szCs w:val="24"/>
        </w:rPr>
        <w:t>Telecommunications (Integrated Public Number Database – Permitted Research Purposes) Instrument 2017</w:t>
      </w:r>
      <w:r w:rsidR="00D62B47">
        <w:rPr>
          <w:szCs w:val="24"/>
        </w:rPr>
        <w:t xml:space="preserve">.  </w:t>
      </w:r>
      <w:r w:rsidR="00D62B47" w:rsidRPr="00D62B47">
        <w:rPr>
          <w:sz w:val="24"/>
          <w:szCs w:val="24"/>
        </w:rPr>
        <w:t>This</w:t>
      </w:r>
      <w:r w:rsidR="002622AB">
        <w:rPr>
          <w:i/>
          <w:sz w:val="24"/>
          <w:szCs w:val="24"/>
        </w:rPr>
        <w:t xml:space="preserve"> </w:t>
      </w:r>
      <w:r w:rsidR="002622AB" w:rsidRPr="00812EF3">
        <w:rPr>
          <w:sz w:val="24"/>
          <w:szCs w:val="24"/>
        </w:rPr>
        <w:t>is defined to mean a local governing body established by or under a law of a State or a Territory</w:t>
      </w:r>
      <w:r w:rsidRPr="008D3D49">
        <w:rPr>
          <w:i/>
          <w:sz w:val="24"/>
          <w:szCs w:val="24"/>
        </w:rPr>
        <w:t>.</w:t>
      </w:r>
    </w:p>
    <w:p w14:paraId="7366C47D" w14:textId="6ED64C68" w:rsidR="00B9394A" w:rsidRPr="008D3D49" w:rsidRDefault="00B9394A" w:rsidP="005C7F33">
      <w:pPr>
        <w:pStyle w:val="Definition0"/>
        <w:ind w:left="0"/>
        <w:rPr>
          <w:sz w:val="24"/>
          <w:szCs w:val="24"/>
        </w:rPr>
      </w:pPr>
      <w:r w:rsidRPr="008D3D49">
        <w:rPr>
          <w:b/>
          <w:bCs/>
          <w:i/>
          <w:sz w:val="24"/>
          <w:szCs w:val="24"/>
        </w:rPr>
        <w:lastRenderedPageBreak/>
        <w:t>Parliament</w:t>
      </w:r>
      <w:r w:rsidRPr="008D3D49">
        <w:rPr>
          <w:b/>
          <w:bCs/>
          <w:sz w:val="24"/>
          <w:szCs w:val="24"/>
        </w:rPr>
        <w:t xml:space="preserve"> </w:t>
      </w:r>
      <w:r w:rsidRPr="008D3D49">
        <w:rPr>
          <w:sz w:val="24"/>
          <w:szCs w:val="24"/>
        </w:rPr>
        <w:t xml:space="preserve">is defined to have the same meaning as in the </w:t>
      </w:r>
      <w:r w:rsidRPr="008D3D49">
        <w:rPr>
          <w:i/>
          <w:sz w:val="24"/>
          <w:szCs w:val="24"/>
        </w:rPr>
        <w:t>Telecommunications (Integrated Public Number Database – Permitted Research Purposes) Instrument 2017</w:t>
      </w:r>
      <w:r w:rsidR="00D62B47">
        <w:rPr>
          <w:szCs w:val="24"/>
        </w:rPr>
        <w:t xml:space="preserve">.  </w:t>
      </w:r>
      <w:r w:rsidR="00D62B47" w:rsidRPr="00D62B47">
        <w:rPr>
          <w:sz w:val="24"/>
          <w:szCs w:val="24"/>
        </w:rPr>
        <w:t>This</w:t>
      </w:r>
      <w:r w:rsidR="002622AB">
        <w:rPr>
          <w:i/>
          <w:sz w:val="24"/>
          <w:szCs w:val="24"/>
        </w:rPr>
        <w:t xml:space="preserve"> </w:t>
      </w:r>
      <w:r w:rsidR="002622AB" w:rsidRPr="00812EF3">
        <w:rPr>
          <w:sz w:val="24"/>
          <w:szCs w:val="24"/>
        </w:rPr>
        <w:t>is</w:t>
      </w:r>
      <w:r w:rsidR="002622AB">
        <w:rPr>
          <w:i/>
          <w:sz w:val="24"/>
          <w:szCs w:val="24"/>
        </w:rPr>
        <w:t xml:space="preserve"> </w:t>
      </w:r>
      <w:r w:rsidR="002622AB" w:rsidRPr="00812EF3">
        <w:rPr>
          <w:sz w:val="24"/>
          <w:szCs w:val="24"/>
        </w:rPr>
        <w:t>defined to mean the Parliament of the Commonwealth, a State Parliament, or the legislature of a Territory</w:t>
      </w:r>
      <w:r w:rsidRPr="008D3D49">
        <w:rPr>
          <w:sz w:val="24"/>
          <w:szCs w:val="24"/>
        </w:rPr>
        <w:t>.</w:t>
      </w:r>
    </w:p>
    <w:p w14:paraId="488CE02D" w14:textId="5A7165B9" w:rsidR="00B9394A" w:rsidRPr="008D3D49" w:rsidRDefault="00B9394A" w:rsidP="005C7F33">
      <w:pPr>
        <w:pStyle w:val="Definition0"/>
        <w:ind w:left="0"/>
        <w:rPr>
          <w:sz w:val="24"/>
          <w:szCs w:val="24"/>
        </w:rPr>
      </w:pPr>
      <w:r w:rsidRPr="008D3D49">
        <w:rPr>
          <w:b/>
          <w:bCs/>
          <w:i/>
          <w:sz w:val="24"/>
          <w:szCs w:val="24"/>
        </w:rPr>
        <w:t>Political</w:t>
      </w:r>
      <w:r w:rsidRPr="008D3D49">
        <w:rPr>
          <w:b/>
          <w:bCs/>
          <w:sz w:val="24"/>
          <w:szCs w:val="24"/>
        </w:rPr>
        <w:t xml:space="preserve"> </w:t>
      </w:r>
      <w:r w:rsidRPr="008D3D49">
        <w:rPr>
          <w:b/>
          <w:bCs/>
          <w:i/>
          <w:sz w:val="24"/>
          <w:szCs w:val="24"/>
        </w:rPr>
        <w:t>representative</w:t>
      </w:r>
      <w:r w:rsidRPr="008D3D49">
        <w:rPr>
          <w:sz w:val="24"/>
          <w:szCs w:val="24"/>
        </w:rPr>
        <w:t xml:space="preserve"> is defined to have the same meaning as in the </w:t>
      </w:r>
      <w:r w:rsidRPr="008D3D49">
        <w:rPr>
          <w:i/>
          <w:sz w:val="24"/>
          <w:szCs w:val="24"/>
        </w:rPr>
        <w:t>Telecommunications (Integrated Public Number Database – Permitted Research Purposes) Instrument 2017</w:t>
      </w:r>
      <w:r w:rsidR="00D62B47">
        <w:rPr>
          <w:szCs w:val="24"/>
        </w:rPr>
        <w:t xml:space="preserve">.  </w:t>
      </w:r>
      <w:r w:rsidR="00D62B47" w:rsidRPr="00D62B47">
        <w:rPr>
          <w:sz w:val="24"/>
          <w:szCs w:val="24"/>
        </w:rPr>
        <w:t xml:space="preserve">This </w:t>
      </w:r>
      <w:r w:rsidR="00FD0536" w:rsidRPr="00812EF3">
        <w:rPr>
          <w:sz w:val="24"/>
          <w:szCs w:val="24"/>
        </w:rPr>
        <w:t>is defined to mean a member of a Parliament, or a councillor (however described) of a local government authority</w:t>
      </w:r>
      <w:r w:rsidRPr="008D3D49">
        <w:rPr>
          <w:sz w:val="24"/>
          <w:szCs w:val="24"/>
        </w:rPr>
        <w:t>.</w:t>
      </w:r>
    </w:p>
    <w:p w14:paraId="5F81066C" w14:textId="77777777" w:rsidR="00B9394A" w:rsidRPr="008D3D49" w:rsidRDefault="00B9394A" w:rsidP="005C7F33">
      <w:pPr>
        <w:pStyle w:val="Definition0"/>
        <w:ind w:left="0"/>
        <w:rPr>
          <w:sz w:val="24"/>
          <w:szCs w:val="24"/>
        </w:rPr>
      </w:pPr>
      <w:r w:rsidRPr="008D3D49">
        <w:rPr>
          <w:b/>
          <w:bCs/>
          <w:i/>
          <w:sz w:val="24"/>
          <w:szCs w:val="24"/>
        </w:rPr>
        <w:t>Protected</w:t>
      </w:r>
      <w:r w:rsidRPr="008D3D49">
        <w:rPr>
          <w:b/>
          <w:bCs/>
          <w:sz w:val="24"/>
          <w:szCs w:val="24"/>
        </w:rPr>
        <w:t xml:space="preserve"> </w:t>
      </w:r>
      <w:r w:rsidRPr="008D3D49">
        <w:rPr>
          <w:b/>
          <w:bCs/>
          <w:i/>
          <w:sz w:val="24"/>
          <w:szCs w:val="24"/>
        </w:rPr>
        <w:t>information</w:t>
      </w:r>
      <w:r w:rsidRPr="008D3D49">
        <w:rPr>
          <w:b/>
          <w:bCs/>
          <w:sz w:val="24"/>
          <w:szCs w:val="24"/>
        </w:rPr>
        <w:t xml:space="preserve"> </w:t>
      </w:r>
      <w:r w:rsidRPr="008D3D49">
        <w:rPr>
          <w:bCs/>
          <w:sz w:val="24"/>
          <w:szCs w:val="24"/>
        </w:rPr>
        <w:t>is defined to</w:t>
      </w:r>
      <w:r w:rsidRPr="008D3D49">
        <w:rPr>
          <w:b/>
          <w:bCs/>
          <w:sz w:val="24"/>
          <w:szCs w:val="24"/>
        </w:rPr>
        <w:t xml:space="preserve"> </w:t>
      </w:r>
      <w:r w:rsidRPr="008D3D49">
        <w:rPr>
          <w:sz w:val="24"/>
          <w:szCs w:val="24"/>
        </w:rPr>
        <w:t>mean information or a document disclosed under subsection 285(1A) of the Act for a purpose covered by subparagraph 285(1A</w:t>
      </w:r>
      <w:proofErr w:type="gramStart"/>
      <w:r w:rsidRPr="008D3D49">
        <w:rPr>
          <w:sz w:val="24"/>
          <w:szCs w:val="24"/>
        </w:rPr>
        <w:t>)(</w:t>
      </w:r>
      <w:proofErr w:type="gramEnd"/>
      <w:r w:rsidRPr="008D3D49">
        <w:rPr>
          <w:sz w:val="24"/>
          <w:szCs w:val="24"/>
        </w:rPr>
        <w:t>c)(ii) or subparagraph 285(1A)(c)(iv) of the Act.</w:t>
      </w:r>
    </w:p>
    <w:p w14:paraId="73E04289" w14:textId="77777777" w:rsidR="00B9394A" w:rsidRPr="008D3D49" w:rsidRDefault="00B9394A" w:rsidP="005C7F33">
      <w:pPr>
        <w:pStyle w:val="Definition0"/>
        <w:ind w:left="0"/>
        <w:rPr>
          <w:sz w:val="24"/>
          <w:szCs w:val="24"/>
        </w:rPr>
      </w:pPr>
      <w:r w:rsidRPr="008D3D49">
        <w:rPr>
          <w:b/>
          <w:bCs/>
          <w:i/>
          <w:iCs/>
          <w:sz w:val="24"/>
          <w:szCs w:val="24"/>
        </w:rPr>
        <w:t>Public mobile telecommunications service</w:t>
      </w:r>
      <w:r w:rsidRPr="008D3D49">
        <w:rPr>
          <w:sz w:val="24"/>
          <w:szCs w:val="24"/>
        </w:rPr>
        <w:t xml:space="preserve"> is defined to have the meaning given by section 32 of the Act.</w:t>
      </w:r>
    </w:p>
    <w:p w14:paraId="7D6571C9" w14:textId="77777777" w:rsidR="00B9394A" w:rsidRPr="008D3D49" w:rsidRDefault="00B9394A" w:rsidP="005C7F33">
      <w:pPr>
        <w:pStyle w:val="Definition0"/>
        <w:ind w:left="0"/>
        <w:rPr>
          <w:sz w:val="24"/>
          <w:szCs w:val="24"/>
        </w:rPr>
      </w:pPr>
      <w:r w:rsidRPr="008D3D49">
        <w:rPr>
          <w:b/>
          <w:bCs/>
          <w:i/>
          <w:iCs/>
          <w:sz w:val="24"/>
          <w:szCs w:val="24"/>
        </w:rPr>
        <w:t>Public number</w:t>
      </w:r>
      <w:r w:rsidRPr="008D3D49">
        <w:rPr>
          <w:sz w:val="24"/>
          <w:szCs w:val="24"/>
        </w:rPr>
        <w:t xml:space="preserve"> is defined to have the meaning given by subsection 285(2) of the Act.</w:t>
      </w:r>
    </w:p>
    <w:p w14:paraId="37CB1B24" w14:textId="77777777" w:rsidR="00B9394A" w:rsidRPr="008D3D49" w:rsidRDefault="00B9394A" w:rsidP="005C7F33">
      <w:pPr>
        <w:pStyle w:val="Definition0"/>
        <w:ind w:left="0"/>
        <w:rPr>
          <w:sz w:val="24"/>
          <w:szCs w:val="24"/>
        </w:rPr>
      </w:pPr>
      <w:r w:rsidRPr="008D3D49">
        <w:rPr>
          <w:b/>
          <w:bCs/>
          <w:i/>
          <w:iCs/>
          <w:sz w:val="24"/>
          <w:szCs w:val="24"/>
        </w:rPr>
        <w:t>Public number directory</w:t>
      </w:r>
      <w:r w:rsidRPr="008D3D49">
        <w:rPr>
          <w:sz w:val="24"/>
          <w:szCs w:val="24"/>
        </w:rPr>
        <w:t xml:space="preserve"> is defined to have the meaning given by subsection 285(2) of the Act.</w:t>
      </w:r>
    </w:p>
    <w:p w14:paraId="05DCF5F2" w14:textId="77777777" w:rsidR="00B9394A" w:rsidRPr="008D3D49" w:rsidRDefault="002A313A" w:rsidP="005C7F33">
      <w:pPr>
        <w:pStyle w:val="Definition0"/>
        <w:ind w:left="0"/>
        <w:rPr>
          <w:sz w:val="24"/>
          <w:szCs w:val="24"/>
        </w:rPr>
      </w:pPr>
      <w:r w:rsidRPr="008D3D49">
        <w:rPr>
          <w:b/>
          <w:bCs/>
          <w:i/>
          <w:iCs/>
          <w:sz w:val="24"/>
          <w:szCs w:val="24"/>
        </w:rPr>
        <w:lastRenderedPageBreak/>
        <w:t>P</w:t>
      </w:r>
      <w:r w:rsidR="00B9394A" w:rsidRPr="008D3D49">
        <w:rPr>
          <w:b/>
          <w:bCs/>
          <w:i/>
          <w:iCs/>
          <w:sz w:val="24"/>
          <w:szCs w:val="24"/>
        </w:rPr>
        <w:t>ublic number directory authorisation</w:t>
      </w:r>
      <w:r w:rsidR="00B9394A" w:rsidRPr="008D3D49">
        <w:rPr>
          <w:sz w:val="24"/>
          <w:szCs w:val="24"/>
        </w:rPr>
        <w:t xml:space="preserve"> is defined to mean an authorisation under the integrated public number database scheme that permits the person to whom it is granted to use and disclose protected information for a purpose covered by subparagraph 285(1A)(c)(ii) of the Act.</w:t>
      </w:r>
    </w:p>
    <w:p w14:paraId="08D3EB6E" w14:textId="3ADBE76F" w:rsidR="00B9394A" w:rsidRPr="008D3D49" w:rsidRDefault="00B9394A" w:rsidP="005C7F33">
      <w:pPr>
        <w:pStyle w:val="Definition0"/>
        <w:ind w:left="0"/>
        <w:rPr>
          <w:sz w:val="24"/>
          <w:szCs w:val="24"/>
        </w:rPr>
      </w:pPr>
      <w:r w:rsidRPr="008D3D49">
        <w:rPr>
          <w:b/>
          <w:bCs/>
          <w:i/>
          <w:iCs/>
          <w:sz w:val="24"/>
          <w:szCs w:val="24"/>
        </w:rPr>
        <w:t>Registered political party</w:t>
      </w:r>
      <w:r w:rsidRPr="008D3D49">
        <w:rPr>
          <w:sz w:val="24"/>
          <w:szCs w:val="24"/>
        </w:rPr>
        <w:t xml:space="preserve"> is defined to have the same meaning as in the </w:t>
      </w:r>
      <w:r w:rsidRPr="008D3D49">
        <w:rPr>
          <w:i/>
          <w:iCs/>
          <w:sz w:val="24"/>
          <w:szCs w:val="24"/>
        </w:rPr>
        <w:t>Telecommunications (Integrated Public Number Database – Permitted Research Purposes) Instrument 2017</w:t>
      </w:r>
      <w:r w:rsidR="00D62B47">
        <w:rPr>
          <w:szCs w:val="24"/>
        </w:rPr>
        <w:t xml:space="preserve">.  </w:t>
      </w:r>
      <w:r w:rsidR="00D62B47" w:rsidRPr="00D62B47">
        <w:rPr>
          <w:sz w:val="24"/>
          <w:szCs w:val="24"/>
        </w:rPr>
        <w:t>This</w:t>
      </w:r>
      <w:r w:rsidR="00FD0536" w:rsidRPr="00812EF3">
        <w:rPr>
          <w:iCs/>
          <w:sz w:val="24"/>
          <w:szCs w:val="24"/>
        </w:rPr>
        <w:t xml:space="preserve"> is</w:t>
      </w:r>
      <w:r w:rsidR="00FD0536">
        <w:rPr>
          <w:i/>
          <w:iCs/>
          <w:sz w:val="24"/>
          <w:szCs w:val="24"/>
        </w:rPr>
        <w:t xml:space="preserve"> </w:t>
      </w:r>
      <w:r w:rsidR="00FD0536" w:rsidRPr="00812EF3">
        <w:rPr>
          <w:sz w:val="24"/>
          <w:szCs w:val="24"/>
        </w:rPr>
        <w:t xml:space="preserve">defined to mean a political party, or a branch or division of a political </w:t>
      </w:r>
      <w:proofErr w:type="gramStart"/>
      <w:r w:rsidR="00FD0536" w:rsidRPr="00812EF3">
        <w:rPr>
          <w:sz w:val="24"/>
          <w:szCs w:val="24"/>
        </w:rPr>
        <w:t>party, that</w:t>
      </w:r>
      <w:proofErr w:type="gramEnd"/>
      <w:r w:rsidR="00FD0536" w:rsidRPr="00812EF3">
        <w:rPr>
          <w:sz w:val="24"/>
          <w:szCs w:val="24"/>
        </w:rPr>
        <w:t xml:space="preserve"> is registered under the</w:t>
      </w:r>
      <w:r w:rsidR="00FD0536" w:rsidRPr="00812EF3">
        <w:rPr>
          <w:b/>
          <w:bCs/>
          <w:sz w:val="24"/>
          <w:szCs w:val="24"/>
        </w:rPr>
        <w:t xml:space="preserve"> </w:t>
      </w:r>
      <w:r w:rsidR="00FD0536" w:rsidRPr="00812EF3">
        <w:rPr>
          <w:i/>
          <w:sz w:val="24"/>
          <w:szCs w:val="24"/>
        </w:rPr>
        <w:t>Commonwealth Electoral Act 1918</w:t>
      </w:r>
      <w:r w:rsidR="00FD0536" w:rsidRPr="00812EF3">
        <w:rPr>
          <w:sz w:val="24"/>
          <w:szCs w:val="24"/>
        </w:rPr>
        <w:t xml:space="preserve"> or under a law of a State or Territory that deals with electoral matters and provides for the registration of political parties</w:t>
      </w:r>
      <w:r w:rsidRPr="008D3D49">
        <w:rPr>
          <w:sz w:val="24"/>
          <w:szCs w:val="24"/>
        </w:rPr>
        <w:t>.</w:t>
      </w:r>
    </w:p>
    <w:p w14:paraId="44FB9C60" w14:textId="77777777" w:rsidR="00B9394A" w:rsidRPr="008D3D49" w:rsidRDefault="00B9394A" w:rsidP="005C7F33">
      <w:pPr>
        <w:pStyle w:val="Definition0"/>
        <w:ind w:left="0"/>
        <w:rPr>
          <w:sz w:val="24"/>
          <w:szCs w:val="24"/>
        </w:rPr>
      </w:pPr>
      <w:r w:rsidRPr="008D3D49">
        <w:rPr>
          <w:b/>
          <w:bCs/>
          <w:i/>
          <w:iCs/>
          <w:sz w:val="24"/>
          <w:szCs w:val="24"/>
        </w:rPr>
        <w:t>Research authorisation</w:t>
      </w:r>
      <w:r w:rsidRPr="008D3D49">
        <w:rPr>
          <w:sz w:val="24"/>
          <w:szCs w:val="24"/>
        </w:rPr>
        <w:t xml:space="preserve"> is defined to mean an authorisation under the integrated public number database scheme that permits the person to whom it is granted to use and disclose protected information for a purpose covered by subparagraph 285(1A)(c)(iv) of the Act.</w:t>
      </w:r>
    </w:p>
    <w:p w14:paraId="03AAD84F" w14:textId="77777777" w:rsidR="008D3D49" w:rsidRPr="008D3D49" w:rsidRDefault="008D3D49" w:rsidP="005C7F33">
      <w:pPr>
        <w:pStyle w:val="Definition0"/>
        <w:ind w:left="0"/>
        <w:rPr>
          <w:sz w:val="24"/>
          <w:szCs w:val="24"/>
        </w:rPr>
      </w:pPr>
      <w:r w:rsidRPr="008D3D49">
        <w:rPr>
          <w:sz w:val="24"/>
          <w:szCs w:val="24"/>
        </w:rPr>
        <w:t>There is a note at the end of the section indicating that a number of expressions used in the instrument are defined in section 7 of the Act.</w:t>
      </w:r>
    </w:p>
    <w:p w14:paraId="4C390279" w14:textId="77777777" w:rsidR="00B9394A" w:rsidRPr="009E77E5" w:rsidRDefault="00B9394A" w:rsidP="005C7F33">
      <w:pPr>
        <w:pStyle w:val="Definition0"/>
        <w:spacing w:before="0"/>
        <w:ind w:left="0"/>
        <w:rPr>
          <w:color w:val="FF0000"/>
          <w:sz w:val="24"/>
          <w:szCs w:val="24"/>
        </w:rPr>
      </w:pPr>
    </w:p>
    <w:p w14:paraId="4220C981" w14:textId="77777777" w:rsidR="00B9394A" w:rsidRDefault="00B9394A" w:rsidP="005C7F33">
      <w:pPr>
        <w:keepNext/>
        <w:shd w:val="clear" w:color="auto" w:fill="FFFFFF"/>
        <w:rPr>
          <w:b/>
          <w:bCs/>
          <w:szCs w:val="24"/>
          <w:lang w:eastAsia="en-AU"/>
        </w:rPr>
      </w:pPr>
      <w:r w:rsidRPr="00317AD4">
        <w:rPr>
          <w:b/>
          <w:bCs/>
          <w:szCs w:val="24"/>
          <w:lang w:eastAsia="en-AU"/>
        </w:rPr>
        <w:lastRenderedPageBreak/>
        <w:t xml:space="preserve">Section 5 </w:t>
      </w:r>
      <w:r>
        <w:rPr>
          <w:b/>
          <w:bCs/>
          <w:szCs w:val="24"/>
          <w:lang w:eastAsia="en-AU"/>
        </w:rPr>
        <w:t>–</w:t>
      </w:r>
      <w:r w:rsidRPr="00317AD4">
        <w:rPr>
          <w:b/>
          <w:bCs/>
          <w:szCs w:val="24"/>
          <w:lang w:eastAsia="en-AU"/>
        </w:rPr>
        <w:t xml:space="preserve"> Schedules</w:t>
      </w:r>
    </w:p>
    <w:p w14:paraId="7EDF22C4" w14:textId="77777777" w:rsidR="00B9394A" w:rsidRPr="00317AD4" w:rsidRDefault="00B9394A" w:rsidP="005C7F33">
      <w:pPr>
        <w:keepNext/>
        <w:shd w:val="clear" w:color="auto" w:fill="FFFFFF"/>
        <w:rPr>
          <w:b/>
          <w:bCs/>
          <w:szCs w:val="24"/>
          <w:lang w:eastAsia="en-AU"/>
        </w:rPr>
      </w:pPr>
    </w:p>
    <w:p w14:paraId="5145AF4A" w14:textId="77777777" w:rsidR="00B9394A" w:rsidRDefault="00B9394A" w:rsidP="005C7F33">
      <w:pPr>
        <w:rPr>
          <w:szCs w:val="24"/>
          <w:lang w:eastAsia="en-AU"/>
        </w:rPr>
      </w:pPr>
      <w:r>
        <w:rPr>
          <w:szCs w:val="24"/>
          <w:lang w:eastAsia="en-AU"/>
        </w:rPr>
        <w:t>Section 5 provides that each instrument that is specified in Schedule 1 is repealed as set out in the Schedule.</w:t>
      </w:r>
    </w:p>
    <w:p w14:paraId="79628DE9" w14:textId="77777777" w:rsidR="00B9394A" w:rsidRPr="00E71885" w:rsidRDefault="00B9394A" w:rsidP="005C7F33">
      <w:pPr>
        <w:rPr>
          <w:szCs w:val="24"/>
          <w:lang w:eastAsia="en-AU"/>
        </w:rPr>
      </w:pPr>
    </w:p>
    <w:p w14:paraId="54EB104A" w14:textId="77777777" w:rsidR="00B9394A" w:rsidRDefault="00B9394A" w:rsidP="005C7F33">
      <w:pPr>
        <w:keepNext/>
        <w:shd w:val="clear" w:color="auto" w:fill="FFFFFF"/>
        <w:rPr>
          <w:b/>
          <w:bCs/>
          <w:szCs w:val="24"/>
          <w:lang w:eastAsia="en-AU"/>
        </w:rPr>
      </w:pPr>
      <w:r>
        <w:rPr>
          <w:b/>
          <w:bCs/>
          <w:szCs w:val="24"/>
          <w:lang w:eastAsia="en-AU"/>
        </w:rPr>
        <w:t>Section 6</w:t>
      </w:r>
      <w:r w:rsidRPr="00697695">
        <w:rPr>
          <w:b/>
          <w:bCs/>
          <w:szCs w:val="24"/>
          <w:lang w:eastAsia="en-AU"/>
        </w:rPr>
        <w:t xml:space="preserve"> – </w:t>
      </w:r>
      <w:r>
        <w:rPr>
          <w:b/>
          <w:bCs/>
          <w:szCs w:val="24"/>
          <w:lang w:eastAsia="en-AU"/>
        </w:rPr>
        <w:t>C</w:t>
      </w:r>
      <w:r w:rsidRPr="00697695">
        <w:rPr>
          <w:b/>
          <w:bCs/>
          <w:szCs w:val="24"/>
          <w:lang w:eastAsia="en-AU"/>
        </w:rPr>
        <w:t>rite</w:t>
      </w:r>
      <w:r>
        <w:rPr>
          <w:b/>
          <w:bCs/>
          <w:szCs w:val="24"/>
          <w:lang w:eastAsia="en-AU"/>
        </w:rPr>
        <w:t>ria for deciding applications for</w:t>
      </w:r>
      <w:r w:rsidRPr="00697695">
        <w:rPr>
          <w:b/>
          <w:bCs/>
          <w:szCs w:val="24"/>
          <w:lang w:eastAsia="en-AU"/>
        </w:rPr>
        <w:t xml:space="preserve"> public number directory </w:t>
      </w:r>
      <w:r w:rsidRPr="00FE73A2">
        <w:rPr>
          <w:b/>
          <w:bCs/>
          <w:szCs w:val="24"/>
          <w:lang w:eastAsia="en-AU"/>
        </w:rPr>
        <w:t>authorisations</w:t>
      </w:r>
    </w:p>
    <w:p w14:paraId="58DCCF68" w14:textId="77777777" w:rsidR="002A313A" w:rsidRPr="00697695" w:rsidRDefault="002A313A" w:rsidP="005C7F33">
      <w:pPr>
        <w:keepNext/>
        <w:shd w:val="clear" w:color="auto" w:fill="FFFFFF"/>
        <w:rPr>
          <w:szCs w:val="24"/>
          <w:lang w:eastAsia="en-AU"/>
        </w:rPr>
      </w:pPr>
    </w:p>
    <w:p w14:paraId="2A0DB188" w14:textId="77777777" w:rsidR="00B9394A" w:rsidRPr="00697695" w:rsidRDefault="00B9394A" w:rsidP="005C7F33">
      <w:pPr>
        <w:shd w:val="clear" w:color="auto" w:fill="FFFFFF"/>
        <w:spacing w:after="100" w:afterAutospacing="1"/>
        <w:rPr>
          <w:szCs w:val="24"/>
          <w:lang w:eastAsia="en-AU"/>
        </w:rPr>
      </w:pPr>
      <w:r w:rsidRPr="00697695">
        <w:rPr>
          <w:szCs w:val="24"/>
          <w:lang w:eastAsia="en-AU"/>
        </w:rPr>
        <w:t xml:space="preserve">The application process will enable </w:t>
      </w:r>
      <w:r w:rsidRPr="00FE73A2">
        <w:rPr>
          <w:szCs w:val="24"/>
          <w:lang w:eastAsia="en-AU"/>
        </w:rPr>
        <w:t xml:space="preserve">the </w:t>
      </w:r>
      <w:r w:rsidRPr="00697695">
        <w:rPr>
          <w:szCs w:val="24"/>
          <w:lang w:eastAsia="en-AU"/>
        </w:rPr>
        <w:t xml:space="preserve">ACMA to scrutinise persons seeking access to IPND information and the way in which IPND information is proposed to be disclosed and used. Scrutiny by </w:t>
      </w:r>
      <w:r w:rsidRPr="00FE73A2">
        <w:rPr>
          <w:szCs w:val="24"/>
          <w:lang w:eastAsia="en-AU"/>
        </w:rPr>
        <w:t xml:space="preserve">the </w:t>
      </w:r>
      <w:r w:rsidRPr="00697695">
        <w:rPr>
          <w:szCs w:val="24"/>
          <w:lang w:eastAsia="en-AU"/>
        </w:rPr>
        <w:t xml:space="preserve">ACMA is intended as a safeguard for preventing inappropriate use of IPND information </w:t>
      </w:r>
      <w:r w:rsidR="00A14184">
        <w:rPr>
          <w:szCs w:val="24"/>
          <w:lang w:eastAsia="en-AU"/>
        </w:rPr>
        <w:t xml:space="preserve">pursuant to section 6 </w:t>
      </w:r>
      <w:r w:rsidRPr="00697695">
        <w:rPr>
          <w:szCs w:val="24"/>
          <w:lang w:eastAsia="en-AU"/>
        </w:rPr>
        <w:t>by public number directory publishers.</w:t>
      </w:r>
    </w:p>
    <w:p w14:paraId="6A6085B2" w14:textId="77777777" w:rsidR="00B9394A" w:rsidRPr="00697695" w:rsidRDefault="00B9394A" w:rsidP="005C7F33">
      <w:pPr>
        <w:shd w:val="clear" w:color="auto" w:fill="FFFFFF"/>
        <w:spacing w:before="100" w:beforeAutospacing="1" w:after="100" w:afterAutospacing="1"/>
        <w:rPr>
          <w:color w:val="FF0000"/>
          <w:szCs w:val="24"/>
          <w:lang w:eastAsia="en-AU"/>
        </w:rPr>
      </w:pPr>
      <w:r w:rsidRPr="00697695">
        <w:rPr>
          <w:szCs w:val="24"/>
          <w:lang w:eastAsia="en-AU"/>
        </w:rPr>
        <w:t xml:space="preserve">The criteria for public number directory publishers is intended to enable </w:t>
      </w:r>
      <w:r w:rsidRPr="00FE73A2">
        <w:rPr>
          <w:szCs w:val="24"/>
          <w:lang w:eastAsia="en-AU"/>
        </w:rPr>
        <w:t xml:space="preserve">the </w:t>
      </w:r>
      <w:r w:rsidRPr="00697695">
        <w:rPr>
          <w:szCs w:val="24"/>
          <w:lang w:eastAsia="en-AU"/>
        </w:rPr>
        <w:t xml:space="preserve">ACMA to assure itself that IPND information will </w:t>
      </w:r>
      <w:r w:rsidRPr="00E71885">
        <w:rPr>
          <w:szCs w:val="24"/>
          <w:lang w:eastAsia="en-AU"/>
        </w:rPr>
        <w:t xml:space="preserve">be used for the purpose set out in the </w:t>
      </w:r>
      <w:r w:rsidR="00562533">
        <w:rPr>
          <w:szCs w:val="24"/>
        </w:rPr>
        <w:t xml:space="preserve">Telecommunications </w:t>
      </w:r>
      <w:r w:rsidRPr="00E71885">
        <w:rPr>
          <w:szCs w:val="24"/>
          <w:lang w:eastAsia="en-AU"/>
        </w:rPr>
        <w:t xml:space="preserve">Act, and that applicants, if granted an authorisation, will comply with the requirements of the </w:t>
      </w:r>
      <w:r w:rsidR="00562533">
        <w:rPr>
          <w:szCs w:val="24"/>
        </w:rPr>
        <w:t xml:space="preserve">Telecommunications </w:t>
      </w:r>
      <w:r w:rsidRPr="00E71885">
        <w:rPr>
          <w:szCs w:val="24"/>
          <w:lang w:eastAsia="en-AU"/>
        </w:rPr>
        <w:t xml:space="preserve">Act and the integrated public number database scheme. </w:t>
      </w:r>
    </w:p>
    <w:p w14:paraId="13F5EEF5" w14:textId="77777777" w:rsidR="00B9394A" w:rsidRPr="00697695" w:rsidRDefault="00B532BE" w:rsidP="005C7F33">
      <w:pPr>
        <w:shd w:val="clear" w:color="auto" w:fill="FFFFFF"/>
        <w:spacing w:before="100" w:beforeAutospacing="1" w:after="100" w:afterAutospacing="1"/>
        <w:rPr>
          <w:szCs w:val="24"/>
          <w:lang w:eastAsia="en-AU"/>
        </w:rPr>
      </w:pPr>
      <w:r w:rsidRPr="008D3D49">
        <w:rPr>
          <w:szCs w:val="24"/>
          <w:lang w:eastAsia="en-AU"/>
        </w:rPr>
        <w:lastRenderedPageBreak/>
        <w:t>Subsection 6(1) sets out the criteria for deciding applications for public number directory authorisations.</w:t>
      </w:r>
      <w:r>
        <w:rPr>
          <w:szCs w:val="24"/>
          <w:lang w:eastAsia="en-AU"/>
        </w:rPr>
        <w:t xml:space="preserve">  </w:t>
      </w:r>
      <w:r w:rsidR="00B9394A" w:rsidRPr="00697695">
        <w:rPr>
          <w:szCs w:val="24"/>
          <w:lang w:eastAsia="en-AU"/>
        </w:rPr>
        <w:t xml:space="preserve">Paragraph </w:t>
      </w:r>
      <w:r w:rsidR="00B9394A" w:rsidRPr="00FE73A2">
        <w:rPr>
          <w:szCs w:val="24"/>
          <w:lang w:eastAsia="en-AU"/>
        </w:rPr>
        <w:t>6</w:t>
      </w:r>
      <w:r w:rsidR="00B9394A" w:rsidRPr="00697695">
        <w:rPr>
          <w:szCs w:val="24"/>
          <w:lang w:eastAsia="en-AU"/>
        </w:rPr>
        <w:t xml:space="preserve">(1)(a) requires </w:t>
      </w:r>
      <w:r w:rsidR="00B9394A">
        <w:rPr>
          <w:szCs w:val="24"/>
          <w:lang w:eastAsia="en-AU"/>
        </w:rPr>
        <w:t xml:space="preserve">the </w:t>
      </w:r>
      <w:r w:rsidR="00B9394A" w:rsidRPr="00697695">
        <w:rPr>
          <w:szCs w:val="24"/>
          <w:lang w:eastAsia="en-AU"/>
        </w:rPr>
        <w:t xml:space="preserve">ACMA to be reasonably satisfied that the applicant’s proposed public number directory meets the requirements of the definition of public number directory </w:t>
      </w:r>
      <w:r w:rsidR="00B9394A" w:rsidRPr="00FE73A2">
        <w:rPr>
          <w:szCs w:val="24"/>
          <w:lang w:eastAsia="en-AU"/>
        </w:rPr>
        <w:t>in subsection 285(2) of the</w:t>
      </w:r>
      <w:r w:rsidR="00B9394A" w:rsidRPr="00697695">
        <w:rPr>
          <w:szCs w:val="24"/>
          <w:lang w:eastAsia="en-AU"/>
        </w:rPr>
        <w:t xml:space="preserve"> </w:t>
      </w:r>
      <w:r w:rsidR="00562533">
        <w:rPr>
          <w:szCs w:val="24"/>
        </w:rPr>
        <w:t xml:space="preserve">Telecommunications </w:t>
      </w:r>
      <w:r w:rsidR="00B9394A" w:rsidRPr="00697695">
        <w:rPr>
          <w:szCs w:val="24"/>
          <w:lang w:eastAsia="en-AU"/>
        </w:rPr>
        <w:t>Act.</w:t>
      </w:r>
    </w:p>
    <w:p w14:paraId="5CDCF90E" w14:textId="77777777" w:rsidR="00B9394A" w:rsidRPr="00697695" w:rsidRDefault="00B9394A" w:rsidP="005C7F33">
      <w:pPr>
        <w:shd w:val="clear" w:color="auto" w:fill="FFFFFF"/>
        <w:spacing w:before="100" w:beforeAutospacing="1" w:after="100" w:afterAutospacing="1"/>
        <w:rPr>
          <w:szCs w:val="24"/>
          <w:lang w:eastAsia="en-AU"/>
        </w:rPr>
      </w:pPr>
      <w:r w:rsidRPr="00697695">
        <w:rPr>
          <w:szCs w:val="24"/>
          <w:lang w:eastAsia="en-AU"/>
        </w:rPr>
        <w:t xml:space="preserve">Paragraph </w:t>
      </w:r>
      <w:r w:rsidRPr="00FE73A2">
        <w:rPr>
          <w:szCs w:val="24"/>
          <w:lang w:eastAsia="en-AU"/>
        </w:rPr>
        <w:t>6</w:t>
      </w:r>
      <w:r w:rsidRPr="00697695">
        <w:rPr>
          <w:szCs w:val="24"/>
          <w:lang w:eastAsia="en-AU"/>
        </w:rPr>
        <w:t>(1</w:t>
      </w:r>
      <w:proofErr w:type="gramStart"/>
      <w:r w:rsidRPr="00697695">
        <w:rPr>
          <w:szCs w:val="24"/>
          <w:lang w:eastAsia="en-AU"/>
        </w:rPr>
        <w:t>)(</w:t>
      </w:r>
      <w:proofErr w:type="gramEnd"/>
      <w:r w:rsidRPr="00697695">
        <w:rPr>
          <w:szCs w:val="24"/>
          <w:lang w:eastAsia="en-AU"/>
        </w:rPr>
        <w:t>b) requires that the applicant, if granted an authorisation, will use IPND information for the authorised purpose, that is, for the publication and maintenance of a public number directory.</w:t>
      </w:r>
    </w:p>
    <w:p w14:paraId="244B75F0" w14:textId="77777777" w:rsidR="00B9394A" w:rsidRPr="00697695" w:rsidRDefault="00B9394A" w:rsidP="005C7F33">
      <w:pPr>
        <w:shd w:val="clear" w:color="auto" w:fill="FFFFFF"/>
        <w:spacing w:before="100" w:beforeAutospacing="1" w:after="100" w:afterAutospacing="1"/>
        <w:rPr>
          <w:szCs w:val="24"/>
          <w:lang w:eastAsia="en-AU"/>
        </w:rPr>
      </w:pPr>
      <w:r w:rsidRPr="00697695">
        <w:rPr>
          <w:szCs w:val="24"/>
          <w:lang w:eastAsia="en-AU"/>
        </w:rPr>
        <w:t xml:space="preserve">Paragraph </w:t>
      </w:r>
      <w:r w:rsidRPr="00FE73A2">
        <w:rPr>
          <w:szCs w:val="24"/>
          <w:lang w:eastAsia="en-AU"/>
        </w:rPr>
        <w:t>6</w:t>
      </w:r>
      <w:r w:rsidRPr="00697695">
        <w:rPr>
          <w:szCs w:val="24"/>
          <w:lang w:eastAsia="en-AU"/>
        </w:rPr>
        <w:t>(1</w:t>
      </w:r>
      <w:proofErr w:type="gramStart"/>
      <w:r w:rsidRPr="00697695">
        <w:rPr>
          <w:szCs w:val="24"/>
          <w:lang w:eastAsia="en-AU"/>
        </w:rPr>
        <w:t>)(</w:t>
      </w:r>
      <w:proofErr w:type="gramEnd"/>
      <w:r w:rsidRPr="00697695">
        <w:rPr>
          <w:szCs w:val="24"/>
          <w:lang w:eastAsia="en-AU"/>
        </w:rPr>
        <w:t xml:space="preserve">c) requires </w:t>
      </w:r>
      <w:r w:rsidRPr="00FE73A2">
        <w:rPr>
          <w:szCs w:val="24"/>
          <w:lang w:eastAsia="en-AU"/>
        </w:rPr>
        <w:t xml:space="preserve">the </w:t>
      </w:r>
      <w:r w:rsidRPr="00697695">
        <w:rPr>
          <w:szCs w:val="24"/>
          <w:lang w:eastAsia="en-AU"/>
        </w:rPr>
        <w:t xml:space="preserve">ACMA to be reasonably satisfied that the applicant, if granted an authorisation, will comply with the requirements of the </w:t>
      </w:r>
      <w:r w:rsidR="00562533">
        <w:rPr>
          <w:szCs w:val="24"/>
        </w:rPr>
        <w:t xml:space="preserve">Telecommunications </w:t>
      </w:r>
      <w:r w:rsidRPr="00697695">
        <w:rPr>
          <w:szCs w:val="24"/>
          <w:lang w:eastAsia="en-AU"/>
        </w:rPr>
        <w:t>Act, and the IPND scheme.</w:t>
      </w:r>
    </w:p>
    <w:p w14:paraId="7DF84895" w14:textId="77777777" w:rsidR="00B9394A" w:rsidRPr="00697695" w:rsidRDefault="00B9394A" w:rsidP="005C7F33">
      <w:pPr>
        <w:shd w:val="clear" w:color="auto" w:fill="FFFFFF"/>
        <w:spacing w:before="100" w:beforeAutospacing="1" w:after="100" w:afterAutospacing="1"/>
        <w:rPr>
          <w:szCs w:val="24"/>
          <w:lang w:eastAsia="en-AU"/>
        </w:rPr>
      </w:pPr>
      <w:r w:rsidRPr="00697695">
        <w:rPr>
          <w:szCs w:val="24"/>
          <w:lang w:eastAsia="en-AU"/>
        </w:rPr>
        <w:t xml:space="preserve">Paragraph </w:t>
      </w:r>
      <w:r w:rsidRPr="00FE73A2">
        <w:rPr>
          <w:szCs w:val="24"/>
          <w:lang w:eastAsia="en-AU"/>
        </w:rPr>
        <w:t>6</w:t>
      </w:r>
      <w:r w:rsidRPr="00697695">
        <w:rPr>
          <w:szCs w:val="24"/>
          <w:lang w:eastAsia="en-AU"/>
        </w:rPr>
        <w:t>(1</w:t>
      </w:r>
      <w:proofErr w:type="gramStart"/>
      <w:r w:rsidRPr="00697695">
        <w:rPr>
          <w:szCs w:val="24"/>
          <w:lang w:eastAsia="en-AU"/>
        </w:rPr>
        <w:t>)(</w:t>
      </w:r>
      <w:proofErr w:type="gramEnd"/>
      <w:r w:rsidRPr="00697695">
        <w:rPr>
          <w:szCs w:val="24"/>
          <w:lang w:eastAsia="en-AU"/>
        </w:rPr>
        <w:t xml:space="preserve">d) requires </w:t>
      </w:r>
      <w:r w:rsidRPr="00FE73A2">
        <w:rPr>
          <w:szCs w:val="24"/>
          <w:lang w:eastAsia="en-AU"/>
        </w:rPr>
        <w:t xml:space="preserve">the </w:t>
      </w:r>
      <w:r w:rsidRPr="00697695">
        <w:rPr>
          <w:szCs w:val="24"/>
          <w:lang w:eastAsia="en-AU"/>
        </w:rPr>
        <w:t>ACMA, when deciding the application, to consider any processes the applicant has in place, or intends to put in place, to protect the privacy and security of the IPND information.</w:t>
      </w:r>
    </w:p>
    <w:p w14:paraId="39057883" w14:textId="77777777" w:rsidR="00B9394A" w:rsidRPr="00697695" w:rsidRDefault="00B9394A" w:rsidP="005C7F33">
      <w:pPr>
        <w:shd w:val="clear" w:color="auto" w:fill="FFFFFF"/>
        <w:spacing w:before="100" w:beforeAutospacing="1" w:after="100" w:afterAutospacing="1"/>
        <w:rPr>
          <w:szCs w:val="24"/>
          <w:lang w:eastAsia="en-AU"/>
        </w:rPr>
      </w:pPr>
      <w:r w:rsidRPr="00697695">
        <w:rPr>
          <w:szCs w:val="24"/>
          <w:lang w:eastAsia="en-AU"/>
        </w:rPr>
        <w:lastRenderedPageBreak/>
        <w:t>Sub</w:t>
      </w:r>
      <w:r>
        <w:rPr>
          <w:szCs w:val="24"/>
          <w:lang w:eastAsia="en-AU"/>
        </w:rPr>
        <w:t>section</w:t>
      </w:r>
      <w:r w:rsidRPr="00697695">
        <w:rPr>
          <w:szCs w:val="24"/>
          <w:lang w:eastAsia="en-AU"/>
        </w:rPr>
        <w:t xml:space="preserve"> </w:t>
      </w:r>
      <w:r w:rsidRPr="00FE73A2">
        <w:rPr>
          <w:szCs w:val="24"/>
          <w:lang w:eastAsia="en-AU"/>
        </w:rPr>
        <w:t>6</w:t>
      </w:r>
      <w:r w:rsidRPr="00697695">
        <w:rPr>
          <w:szCs w:val="24"/>
          <w:lang w:eastAsia="en-AU"/>
        </w:rPr>
        <w:t>(2) requires</w:t>
      </w:r>
      <w:r w:rsidRPr="00FE73A2">
        <w:rPr>
          <w:szCs w:val="24"/>
          <w:lang w:eastAsia="en-AU"/>
        </w:rPr>
        <w:t xml:space="preserve"> the</w:t>
      </w:r>
      <w:r w:rsidRPr="00697695">
        <w:rPr>
          <w:szCs w:val="24"/>
          <w:lang w:eastAsia="en-AU"/>
        </w:rPr>
        <w:t xml:space="preserve"> ACMA, when assessing an application against criteria in paragraphs </w:t>
      </w:r>
      <w:r w:rsidRPr="00FE73A2">
        <w:rPr>
          <w:szCs w:val="24"/>
          <w:lang w:eastAsia="en-AU"/>
        </w:rPr>
        <w:t>6</w:t>
      </w:r>
      <w:r w:rsidRPr="00697695">
        <w:rPr>
          <w:szCs w:val="24"/>
          <w:lang w:eastAsia="en-AU"/>
        </w:rPr>
        <w:t>(1</w:t>
      </w:r>
      <w:proofErr w:type="gramStart"/>
      <w:r w:rsidRPr="00697695">
        <w:rPr>
          <w:szCs w:val="24"/>
          <w:lang w:eastAsia="en-AU"/>
        </w:rPr>
        <w:t>)(</w:t>
      </w:r>
      <w:proofErr w:type="gramEnd"/>
      <w:r w:rsidRPr="00697695">
        <w:rPr>
          <w:szCs w:val="24"/>
          <w:lang w:eastAsia="en-AU"/>
        </w:rPr>
        <w:t xml:space="preserve">b) and </w:t>
      </w:r>
      <w:r w:rsidRPr="00FE73A2">
        <w:rPr>
          <w:szCs w:val="24"/>
          <w:lang w:eastAsia="en-AU"/>
        </w:rPr>
        <w:t>6</w:t>
      </w:r>
      <w:r w:rsidRPr="00697695">
        <w:rPr>
          <w:szCs w:val="24"/>
          <w:lang w:eastAsia="en-AU"/>
        </w:rPr>
        <w:t xml:space="preserve">(1)(c), to take into account an applicant’s past compliance with the </w:t>
      </w:r>
      <w:r w:rsidR="00562533">
        <w:rPr>
          <w:szCs w:val="24"/>
        </w:rPr>
        <w:t xml:space="preserve">Telecommunications </w:t>
      </w:r>
      <w:r w:rsidRPr="00697695">
        <w:rPr>
          <w:szCs w:val="24"/>
          <w:lang w:eastAsia="en-AU"/>
        </w:rPr>
        <w:t xml:space="preserve">Act in relation to any previous use of </w:t>
      </w:r>
      <w:r w:rsidR="00F432E5">
        <w:rPr>
          <w:szCs w:val="24"/>
          <w:lang w:eastAsia="en-AU"/>
        </w:rPr>
        <w:t>customer data</w:t>
      </w:r>
      <w:r w:rsidRPr="00697695">
        <w:rPr>
          <w:szCs w:val="24"/>
          <w:lang w:eastAsia="en-AU"/>
        </w:rPr>
        <w:t xml:space="preserve">. Alternatively, if the applicant does not have a track record of previous </w:t>
      </w:r>
      <w:r w:rsidR="00F432E5">
        <w:rPr>
          <w:szCs w:val="24"/>
          <w:lang w:eastAsia="en-AU"/>
        </w:rPr>
        <w:t>customer data</w:t>
      </w:r>
      <w:r w:rsidRPr="00697695">
        <w:rPr>
          <w:szCs w:val="24"/>
          <w:lang w:eastAsia="en-AU"/>
        </w:rPr>
        <w:t xml:space="preserve"> use and compliance, then </w:t>
      </w:r>
      <w:r w:rsidRPr="00FE73A2">
        <w:rPr>
          <w:szCs w:val="24"/>
          <w:lang w:eastAsia="en-AU"/>
        </w:rPr>
        <w:t xml:space="preserve">the </w:t>
      </w:r>
      <w:r w:rsidRPr="00697695">
        <w:rPr>
          <w:szCs w:val="24"/>
          <w:lang w:eastAsia="en-AU"/>
        </w:rPr>
        <w:t xml:space="preserve">ACMA may consider whether the applicant has appropriate processes in place that will enable the applicant, and any contractor, to comply with the requirements of the </w:t>
      </w:r>
      <w:r w:rsidR="00562533">
        <w:rPr>
          <w:szCs w:val="24"/>
        </w:rPr>
        <w:t xml:space="preserve">Telecommunications </w:t>
      </w:r>
      <w:r w:rsidRPr="00697695">
        <w:rPr>
          <w:szCs w:val="24"/>
          <w:lang w:eastAsia="en-AU"/>
        </w:rPr>
        <w:t xml:space="preserve">Act, </w:t>
      </w:r>
      <w:r w:rsidRPr="00E71885">
        <w:rPr>
          <w:szCs w:val="24"/>
          <w:lang w:eastAsia="en-AU"/>
        </w:rPr>
        <w:t>relevant</w:t>
      </w:r>
      <w:r>
        <w:rPr>
          <w:szCs w:val="24"/>
          <w:lang w:eastAsia="en-AU"/>
        </w:rPr>
        <w:t xml:space="preserve"> l</w:t>
      </w:r>
      <w:r w:rsidRPr="00FE73A2">
        <w:rPr>
          <w:szCs w:val="24"/>
          <w:lang w:eastAsia="en-AU"/>
        </w:rPr>
        <w:t>egislative instruments</w:t>
      </w:r>
      <w:r w:rsidRPr="00697695">
        <w:rPr>
          <w:szCs w:val="24"/>
          <w:lang w:eastAsia="en-AU"/>
        </w:rPr>
        <w:t xml:space="preserve">, and the IPND </w:t>
      </w:r>
      <w:r w:rsidR="00FE48FD">
        <w:rPr>
          <w:szCs w:val="24"/>
          <w:lang w:eastAsia="en-AU"/>
        </w:rPr>
        <w:t>S</w:t>
      </w:r>
      <w:r w:rsidRPr="00697695">
        <w:rPr>
          <w:szCs w:val="24"/>
          <w:lang w:eastAsia="en-AU"/>
        </w:rPr>
        <w:t xml:space="preserve">cheme in relation to its future use of </w:t>
      </w:r>
      <w:r w:rsidR="00F432E5">
        <w:rPr>
          <w:szCs w:val="24"/>
          <w:lang w:eastAsia="en-AU"/>
        </w:rPr>
        <w:t>customer data</w:t>
      </w:r>
      <w:r w:rsidRPr="00697695">
        <w:rPr>
          <w:szCs w:val="24"/>
          <w:lang w:eastAsia="en-AU"/>
        </w:rPr>
        <w:t>.</w:t>
      </w:r>
    </w:p>
    <w:p w14:paraId="5E468ABE" w14:textId="77777777" w:rsidR="00CF2E21" w:rsidRPr="00697695" w:rsidRDefault="00CF2E21" w:rsidP="00CF2E21">
      <w:pPr>
        <w:shd w:val="clear" w:color="auto" w:fill="FFFFFF"/>
        <w:spacing w:before="100" w:beforeAutospacing="1" w:after="100" w:afterAutospacing="1"/>
        <w:rPr>
          <w:szCs w:val="24"/>
          <w:lang w:eastAsia="en-AU"/>
        </w:rPr>
      </w:pPr>
      <w:r w:rsidRPr="00697695">
        <w:rPr>
          <w:szCs w:val="24"/>
          <w:lang w:eastAsia="en-AU"/>
        </w:rPr>
        <w:t xml:space="preserve">Use of the term ‘reasonably satisfied’ throughout the criteria recognises that </w:t>
      </w:r>
      <w:r>
        <w:rPr>
          <w:szCs w:val="24"/>
          <w:lang w:eastAsia="en-AU"/>
        </w:rPr>
        <w:t xml:space="preserve">the ACMA must be reasonably satisfied in the particular circumstances of each application and the information provided by the applicant.  It does not prevent the ACMA from requesting further information from the applicant when assessing applications, as paragraph 295N(3)(b) of the Telecommunications Act permits the ACMA to have regard to any other matters that it thinks are relevant when deciding an authorisation application.  </w:t>
      </w:r>
    </w:p>
    <w:p w14:paraId="1C51D431" w14:textId="77777777" w:rsidR="002A313A" w:rsidRDefault="002A313A" w:rsidP="005C7F33">
      <w:pPr>
        <w:shd w:val="clear" w:color="auto" w:fill="FFFFFF"/>
        <w:rPr>
          <w:szCs w:val="24"/>
          <w:lang w:eastAsia="en-AU"/>
        </w:rPr>
      </w:pPr>
    </w:p>
    <w:p w14:paraId="0A4616EC" w14:textId="77777777" w:rsidR="008D3D49" w:rsidRDefault="00B9394A" w:rsidP="005C7F33">
      <w:pPr>
        <w:shd w:val="clear" w:color="auto" w:fill="FFFFFF"/>
        <w:rPr>
          <w:b/>
          <w:bCs/>
          <w:szCs w:val="24"/>
          <w:lang w:eastAsia="en-AU"/>
        </w:rPr>
      </w:pPr>
      <w:r>
        <w:rPr>
          <w:b/>
          <w:bCs/>
          <w:szCs w:val="24"/>
          <w:lang w:eastAsia="en-AU"/>
        </w:rPr>
        <w:t>Section</w:t>
      </w:r>
      <w:r w:rsidRPr="00697695">
        <w:rPr>
          <w:b/>
          <w:bCs/>
          <w:szCs w:val="24"/>
          <w:lang w:eastAsia="en-AU"/>
        </w:rPr>
        <w:t xml:space="preserve"> </w:t>
      </w:r>
      <w:r w:rsidRPr="00FE73A2">
        <w:rPr>
          <w:b/>
          <w:bCs/>
          <w:szCs w:val="24"/>
          <w:lang w:eastAsia="en-AU"/>
        </w:rPr>
        <w:t>7</w:t>
      </w:r>
      <w:r w:rsidRPr="00697695">
        <w:rPr>
          <w:b/>
          <w:bCs/>
          <w:szCs w:val="24"/>
          <w:lang w:eastAsia="en-AU"/>
        </w:rPr>
        <w:t xml:space="preserve"> – Criteria for deciding applications from researchers</w:t>
      </w:r>
    </w:p>
    <w:p w14:paraId="3DEA1B46" w14:textId="77777777" w:rsidR="008D3D49" w:rsidRDefault="008D3D49" w:rsidP="005C7F33">
      <w:pPr>
        <w:shd w:val="clear" w:color="auto" w:fill="FFFFFF"/>
        <w:rPr>
          <w:b/>
          <w:bCs/>
          <w:szCs w:val="24"/>
          <w:lang w:eastAsia="en-AU"/>
        </w:rPr>
      </w:pPr>
    </w:p>
    <w:p w14:paraId="59252777" w14:textId="77777777" w:rsidR="008D3D49" w:rsidRPr="008D3D49" w:rsidRDefault="00B532BE" w:rsidP="005C7F33">
      <w:pPr>
        <w:shd w:val="clear" w:color="auto" w:fill="FFFFFF"/>
        <w:rPr>
          <w:b/>
          <w:bCs/>
          <w:szCs w:val="24"/>
          <w:lang w:eastAsia="en-AU"/>
        </w:rPr>
      </w:pPr>
      <w:r>
        <w:rPr>
          <w:iCs/>
          <w:szCs w:val="24"/>
          <w:lang w:eastAsia="en-AU"/>
        </w:rPr>
        <w:lastRenderedPageBreak/>
        <w:t>S</w:t>
      </w:r>
      <w:r w:rsidR="004D507F">
        <w:rPr>
          <w:iCs/>
          <w:szCs w:val="24"/>
          <w:lang w:eastAsia="en-AU"/>
        </w:rPr>
        <w:t>ubs</w:t>
      </w:r>
      <w:r>
        <w:rPr>
          <w:iCs/>
          <w:szCs w:val="24"/>
          <w:lang w:eastAsia="en-AU"/>
        </w:rPr>
        <w:t>ection 7</w:t>
      </w:r>
      <w:r w:rsidR="004D507F">
        <w:rPr>
          <w:iCs/>
          <w:szCs w:val="24"/>
          <w:lang w:eastAsia="en-AU"/>
        </w:rPr>
        <w:t>(1)</w:t>
      </w:r>
      <w:r>
        <w:rPr>
          <w:iCs/>
          <w:szCs w:val="24"/>
          <w:lang w:eastAsia="en-AU"/>
        </w:rPr>
        <w:t xml:space="preserve"> sets out the criteria for deciding applications from </w:t>
      </w:r>
      <w:r w:rsidR="008D3D49">
        <w:rPr>
          <w:iCs/>
          <w:szCs w:val="24"/>
          <w:lang w:eastAsia="en-AU"/>
        </w:rPr>
        <w:t>researchers.</w:t>
      </w:r>
    </w:p>
    <w:p w14:paraId="0167F4AC" w14:textId="77777777" w:rsidR="00B9394A" w:rsidRPr="00697695" w:rsidRDefault="008D3D49" w:rsidP="005C7F33">
      <w:pPr>
        <w:shd w:val="clear" w:color="auto" w:fill="FFFFFF"/>
        <w:spacing w:after="100" w:afterAutospacing="1"/>
        <w:rPr>
          <w:szCs w:val="24"/>
          <w:lang w:eastAsia="en-AU"/>
        </w:rPr>
      </w:pPr>
      <w:r w:rsidRPr="00697695">
        <w:rPr>
          <w:szCs w:val="24"/>
          <w:lang w:eastAsia="en-AU"/>
        </w:rPr>
        <w:t>Paragraph</w:t>
      </w:r>
      <w:r w:rsidR="00B9394A" w:rsidRPr="00697695">
        <w:rPr>
          <w:szCs w:val="24"/>
          <w:lang w:eastAsia="en-AU"/>
        </w:rPr>
        <w:t xml:space="preserve"> </w:t>
      </w:r>
      <w:r w:rsidR="00B9394A" w:rsidRPr="00FE73A2">
        <w:rPr>
          <w:szCs w:val="24"/>
          <w:lang w:eastAsia="en-AU"/>
        </w:rPr>
        <w:t>7</w:t>
      </w:r>
      <w:r w:rsidR="00B9394A" w:rsidRPr="00697695">
        <w:rPr>
          <w:szCs w:val="24"/>
          <w:lang w:eastAsia="en-AU"/>
        </w:rPr>
        <w:t xml:space="preserve">(1)(a) requires </w:t>
      </w:r>
      <w:r w:rsidR="00B9394A" w:rsidRPr="00FE73A2">
        <w:rPr>
          <w:szCs w:val="24"/>
          <w:lang w:eastAsia="en-AU"/>
        </w:rPr>
        <w:t xml:space="preserve">the </w:t>
      </w:r>
      <w:r w:rsidR="00B9394A" w:rsidRPr="00697695">
        <w:rPr>
          <w:szCs w:val="24"/>
          <w:lang w:eastAsia="en-AU"/>
        </w:rPr>
        <w:t xml:space="preserve">ACMA to be reasonably satisfied that the proposed research is of a kind specified in the </w:t>
      </w:r>
      <w:r w:rsidR="00B9394A" w:rsidRPr="00697695">
        <w:rPr>
          <w:i/>
          <w:iCs/>
          <w:szCs w:val="24"/>
          <w:lang w:eastAsia="en-AU"/>
        </w:rPr>
        <w:t xml:space="preserve">Telecommunications (Integrated Public Number Database – Permitted Research Purposes) Instrument </w:t>
      </w:r>
      <w:r w:rsidR="00B9394A" w:rsidRPr="00FE73A2">
        <w:rPr>
          <w:i/>
          <w:iCs/>
          <w:szCs w:val="24"/>
          <w:lang w:eastAsia="en-AU"/>
        </w:rPr>
        <w:t>2017.</w:t>
      </w:r>
    </w:p>
    <w:p w14:paraId="0C22284E" w14:textId="77777777" w:rsidR="00B9394A" w:rsidRDefault="00B9394A" w:rsidP="005C7F33">
      <w:pPr>
        <w:shd w:val="clear" w:color="auto" w:fill="FFFFFF"/>
        <w:spacing w:before="100" w:beforeAutospacing="1" w:after="100" w:afterAutospacing="1"/>
        <w:rPr>
          <w:szCs w:val="24"/>
          <w:lang w:eastAsia="en-AU"/>
        </w:rPr>
      </w:pPr>
      <w:r w:rsidRPr="00697695">
        <w:rPr>
          <w:szCs w:val="24"/>
          <w:lang w:eastAsia="en-AU"/>
        </w:rPr>
        <w:t xml:space="preserve">The </w:t>
      </w:r>
      <w:r w:rsidRPr="00697695">
        <w:rPr>
          <w:i/>
          <w:iCs/>
          <w:szCs w:val="24"/>
          <w:lang w:eastAsia="en-AU"/>
        </w:rPr>
        <w:t xml:space="preserve">Telecommunications (Integrated Public Number Database – Permitted Research Purposes) Instrument </w:t>
      </w:r>
      <w:r w:rsidRPr="00FE73A2">
        <w:rPr>
          <w:i/>
          <w:iCs/>
          <w:szCs w:val="24"/>
          <w:lang w:eastAsia="en-AU"/>
        </w:rPr>
        <w:t>2017</w:t>
      </w:r>
      <w:r w:rsidRPr="00697695">
        <w:rPr>
          <w:szCs w:val="24"/>
          <w:lang w:eastAsia="en-AU"/>
        </w:rPr>
        <w:t xml:space="preserve"> specifies three kinds of permitted research:</w:t>
      </w:r>
    </w:p>
    <w:p w14:paraId="1570E632" w14:textId="77777777" w:rsidR="008D3D49" w:rsidRDefault="00B9394A" w:rsidP="005C7F33">
      <w:pPr>
        <w:numPr>
          <w:ilvl w:val="0"/>
          <w:numId w:val="46"/>
        </w:numPr>
        <w:shd w:val="clear" w:color="auto" w:fill="FFFFFF"/>
        <w:spacing w:before="100" w:beforeAutospacing="1" w:after="100" w:afterAutospacing="1"/>
      </w:pPr>
      <w:r w:rsidRPr="00DC32AB">
        <w:t>research, or the compilation or analysis of statistics, relevant to public health, including epidemiological research, where the research is not conducted for</w:t>
      </w:r>
      <w:r>
        <w:t xml:space="preserve"> a primarily commercial purpose;</w:t>
      </w:r>
    </w:p>
    <w:p w14:paraId="273BD170" w14:textId="77777777" w:rsidR="008D3D49" w:rsidRDefault="00B9394A" w:rsidP="005C7F33">
      <w:pPr>
        <w:numPr>
          <w:ilvl w:val="0"/>
          <w:numId w:val="46"/>
        </w:numPr>
        <w:shd w:val="clear" w:color="auto" w:fill="FFFFFF"/>
        <w:spacing w:before="100" w:beforeAutospacing="1" w:after="100" w:afterAutospacing="1"/>
      </w:pPr>
      <w:r w:rsidRPr="00DC32AB">
        <w:t>research regarding an electoral matter conducted by a registered political party, a political representative, a candidate in an election for a Parliament or a local government authority or a person on behalf of such a party, representative or candidate, where the research is not conducted for a p</w:t>
      </w:r>
      <w:r>
        <w:t>rimarily commercial purpose;</w:t>
      </w:r>
    </w:p>
    <w:p w14:paraId="3CDE7989" w14:textId="77777777" w:rsidR="00B9394A" w:rsidRPr="00DC32AB" w:rsidRDefault="00B9394A" w:rsidP="005C7F33">
      <w:pPr>
        <w:numPr>
          <w:ilvl w:val="0"/>
          <w:numId w:val="46"/>
        </w:numPr>
        <w:shd w:val="clear" w:color="auto" w:fill="FFFFFF"/>
        <w:spacing w:before="100" w:beforeAutospacing="1" w:after="100" w:afterAutospacing="1"/>
      </w:pPr>
      <w:proofErr w:type="gramStart"/>
      <w:r w:rsidRPr="00DC32AB">
        <w:lastRenderedPageBreak/>
        <w:t>research</w:t>
      </w:r>
      <w:proofErr w:type="gramEnd"/>
      <w:r w:rsidRPr="00DC32AB">
        <w:t xml:space="preserve"> conducted by o</w:t>
      </w:r>
      <w:r>
        <w:t xml:space="preserve">r on behalf of the Commonwealth or a Commonwealth entity </w:t>
      </w:r>
      <w:r w:rsidRPr="00DC32AB">
        <w:t>which will contribute to the development of public policy, where the research is not conducted for a primarily commercial purpose.</w:t>
      </w:r>
    </w:p>
    <w:p w14:paraId="6C9F5D7E" w14:textId="77777777" w:rsidR="00B9394A" w:rsidRPr="00697695" w:rsidRDefault="00B9394A" w:rsidP="00B9394A">
      <w:pPr>
        <w:shd w:val="clear" w:color="auto" w:fill="FFFFFF"/>
        <w:spacing w:before="100" w:beforeAutospacing="1" w:after="100" w:afterAutospacing="1"/>
        <w:rPr>
          <w:szCs w:val="24"/>
          <w:lang w:eastAsia="en-AU"/>
        </w:rPr>
      </w:pPr>
      <w:r w:rsidRPr="00697695">
        <w:rPr>
          <w:szCs w:val="24"/>
          <w:lang w:eastAsia="en-AU"/>
        </w:rPr>
        <w:t xml:space="preserve">Research conducted under any of these specified research purposes must not be conducted for a primarily commercial purpose. An additional criterion is therefore included in paragraph </w:t>
      </w:r>
      <w:r w:rsidRPr="00FE73A2">
        <w:rPr>
          <w:szCs w:val="24"/>
          <w:lang w:eastAsia="en-AU"/>
        </w:rPr>
        <w:t>7</w:t>
      </w:r>
      <w:r w:rsidRPr="00697695">
        <w:rPr>
          <w:szCs w:val="24"/>
          <w:lang w:eastAsia="en-AU"/>
        </w:rPr>
        <w:t>(1</w:t>
      </w:r>
      <w:proofErr w:type="gramStart"/>
      <w:r w:rsidRPr="00697695">
        <w:rPr>
          <w:szCs w:val="24"/>
          <w:lang w:eastAsia="en-AU"/>
        </w:rPr>
        <w:t>)(</w:t>
      </w:r>
      <w:proofErr w:type="gramEnd"/>
      <w:r w:rsidRPr="00697695">
        <w:rPr>
          <w:szCs w:val="24"/>
          <w:lang w:eastAsia="en-AU"/>
        </w:rPr>
        <w:t xml:space="preserve">b) requiring </w:t>
      </w:r>
      <w:r w:rsidRPr="00FE73A2">
        <w:rPr>
          <w:szCs w:val="24"/>
          <w:lang w:eastAsia="en-AU"/>
        </w:rPr>
        <w:t xml:space="preserve">the </w:t>
      </w:r>
      <w:r w:rsidRPr="00697695">
        <w:rPr>
          <w:szCs w:val="24"/>
          <w:lang w:eastAsia="en-AU"/>
        </w:rPr>
        <w:t xml:space="preserve">ACMA to be reasonably satisfied that the proposed research will not be conducted for a primarily commercial purpose. </w:t>
      </w:r>
    </w:p>
    <w:p w14:paraId="3DE955AC" w14:textId="77777777" w:rsidR="004D507F" w:rsidRPr="008D3D49" w:rsidRDefault="004D507F" w:rsidP="005C7F33">
      <w:pPr>
        <w:shd w:val="clear" w:color="auto" w:fill="FFFFFF"/>
        <w:spacing w:before="100" w:beforeAutospacing="1" w:after="100" w:afterAutospacing="1"/>
        <w:rPr>
          <w:szCs w:val="24"/>
          <w:lang w:eastAsia="en-AU"/>
        </w:rPr>
      </w:pPr>
      <w:r w:rsidRPr="008D3D49">
        <w:rPr>
          <w:szCs w:val="24"/>
          <w:lang w:eastAsia="en-AU"/>
        </w:rPr>
        <w:t>Paragraph 7(1</w:t>
      </w:r>
      <w:proofErr w:type="gramStart"/>
      <w:r w:rsidRPr="008D3D49">
        <w:rPr>
          <w:szCs w:val="24"/>
          <w:lang w:eastAsia="en-AU"/>
        </w:rPr>
        <w:t>)(</w:t>
      </w:r>
      <w:proofErr w:type="gramEnd"/>
      <w:r w:rsidRPr="008D3D49">
        <w:rPr>
          <w:szCs w:val="24"/>
          <w:lang w:eastAsia="en-AU"/>
        </w:rPr>
        <w:t xml:space="preserve">c) requires the ACMA to be reasonably satisfied that the applicant will use protected information for a purpose covered by subparagraph 285(1A)(c)(iv) of the </w:t>
      </w:r>
      <w:r w:rsidR="00562533" w:rsidRPr="008D3D49">
        <w:rPr>
          <w:szCs w:val="24"/>
        </w:rPr>
        <w:t xml:space="preserve">Telecommunications </w:t>
      </w:r>
      <w:r w:rsidR="008D3D49" w:rsidRPr="008D3D49">
        <w:rPr>
          <w:szCs w:val="24"/>
          <w:lang w:eastAsia="en-AU"/>
        </w:rPr>
        <w:t>Act, the conduct of specified kinds of permitted research.</w:t>
      </w:r>
    </w:p>
    <w:p w14:paraId="3B888200" w14:textId="77777777" w:rsidR="004D507F" w:rsidRPr="008D3D49" w:rsidRDefault="004D507F" w:rsidP="005C7F33">
      <w:pPr>
        <w:shd w:val="clear" w:color="auto" w:fill="FFFFFF"/>
        <w:spacing w:before="100" w:beforeAutospacing="1" w:after="100" w:afterAutospacing="1"/>
      </w:pPr>
      <w:r w:rsidRPr="008D3D49">
        <w:rPr>
          <w:szCs w:val="24"/>
          <w:lang w:eastAsia="en-AU"/>
        </w:rPr>
        <w:t>Paragraph 7(1</w:t>
      </w:r>
      <w:proofErr w:type="gramStart"/>
      <w:r w:rsidRPr="008D3D49">
        <w:rPr>
          <w:szCs w:val="24"/>
          <w:lang w:eastAsia="en-AU"/>
        </w:rPr>
        <w:t>)(</w:t>
      </w:r>
      <w:proofErr w:type="gramEnd"/>
      <w:r w:rsidRPr="008D3D49">
        <w:rPr>
          <w:szCs w:val="24"/>
          <w:lang w:eastAsia="en-AU"/>
        </w:rPr>
        <w:t xml:space="preserve">d) requires the ACMA to </w:t>
      </w:r>
      <w:r w:rsidRPr="008D3D49">
        <w:t xml:space="preserve">be reasonably satisfied that the applicant will otherwise comply with the requirements of the </w:t>
      </w:r>
      <w:r w:rsidR="00562533" w:rsidRPr="008D3D49">
        <w:rPr>
          <w:szCs w:val="24"/>
        </w:rPr>
        <w:t xml:space="preserve">Telecommunications </w:t>
      </w:r>
      <w:r w:rsidRPr="008D3D49">
        <w:t>Act, and the IPND scheme.</w:t>
      </w:r>
    </w:p>
    <w:p w14:paraId="7EEFFDA8" w14:textId="77777777" w:rsidR="004D507F" w:rsidRPr="008D3D49" w:rsidRDefault="004D507F" w:rsidP="005C7F33">
      <w:pPr>
        <w:shd w:val="clear" w:color="auto" w:fill="FFFFFF"/>
        <w:spacing w:before="100" w:beforeAutospacing="1" w:after="100" w:afterAutospacing="1"/>
      </w:pPr>
      <w:r w:rsidRPr="008D3D49">
        <w:t>Paragraph 7(1</w:t>
      </w:r>
      <w:proofErr w:type="gramStart"/>
      <w:r w:rsidRPr="008D3D49">
        <w:t>)(</w:t>
      </w:r>
      <w:proofErr w:type="gramEnd"/>
      <w:r w:rsidRPr="008D3D49">
        <w:t>e) requires the ACMA to consider what processes the applicant has in place, or intends to put in place, to protect the privacy and security of protected information.</w:t>
      </w:r>
    </w:p>
    <w:p w14:paraId="57E3170F" w14:textId="4305367B" w:rsidR="00F432E5" w:rsidRPr="008D3D49" w:rsidRDefault="004D507F" w:rsidP="005C7F33">
      <w:pPr>
        <w:shd w:val="clear" w:color="auto" w:fill="FFFFFF"/>
        <w:spacing w:before="100" w:beforeAutospacing="1" w:after="100" w:afterAutospacing="1"/>
      </w:pPr>
      <w:r w:rsidRPr="008D3D49">
        <w:lastRenderedPageBreak/>
        <w:t>Subsection 7(2)</w:t>
      </w:r>
      <w:r w:rsidR="00F432E5" w:rsidRPr="008D3D49">
        <w:t xml:space="preserve"> </w:t>
      </w:r>
      <w:r w:rsidR="00F432E5" w:rsidRPr="008D3D49">
        <w:rPr>
          <w:szCs w:val="24"/>
          <w:lang w:eastAsia="en-AU"/>
        </w:rPr>
        <w:t>requires the ACMA, when assessing an application against criteria in paragraphs 7(1</w:t>
      </w:r>
      <w:proofErr w:type="gramStart"/>
      <w:r w:rsidR="00F432E5" w:rsidRPr="008D3D49">
        <w:rPr>
          <w:szCs w:val="24"/>
          <w:lang w:eastAsia="en-AU"/>
        </w:rPr>
        <w:t>)(</w:t>
      </w:r>
      <w:proofErr w:type="gramEnd"/>
      <w:r w:rsidR="00F432E5" w:rsidRPr="008D3D49">
        <w:rPr>
          <w:szCs w:val="24"/>
          <w:lang w:eastAsia="en-AU"/>
        </w:rPr>
        <w:t xml:space="preserve">b) and 7(1)(c), to take into account an applicant’s past compliance with the </w:t>
      </w:r>
      <w:r w:rsidR="00562533" w:rsidRPr="008D3D49">
        <w:rPr>
          <w:szCs w:val="24"/>
        </w:rPr>
        <w:t xml:space="preserve">Telecommunications </w:t>
      </w:r>
      <w:r w:rsidR="00F432E5" w:rsidRPr="008D3D49">
        <w:rPr>
          <w:szCs w:val="24"/>
          <w:lang w:eastAsia="en-AU"/>
        </w:rPr>
        <w:t>Act in relation to any previous use of customer data. Alternatively, if the applicant does not have a track record of previous customer data use and compliance, then the ACMA may consider whether the applicant has appropriate processes in place that will enable the applicant, and any contractor, to comply with the requirements of the</w:t>
      </w:r>
      <w:r w:rsidR="00562533" w:rsidRPr="008D3D49">
        <w:rPr>
          <w:szCs w:val="24"/>
        </w:rPr>
        <w:t xml:space="preserve"> Telecommunications</w:t>
      </w:r>
      <w:r w:rsidR="00F432E5" w:rsidRPr="008D3D49">
        <w:rPr>
          <w:szCs w:val="24"/>
          <w:lang w:eastAsia="en-AU"/>
        </w:rPr>
        <w:t xml:space="preserve"> Act, </w:t>
      </w:r>
      <w:r w:rsidR="001249B1" w:rsidRPr="00E71885">
        <w:rPr>
          <w:szCs w:val="24"/>
          <w:lang w:eastAsia="en-AU"/>
        </w:rPr>
        <w:t>relevant</w:t>
      </w:r>
      <w:r w:rsidR="001249B1">
        <w:rPr>
          <w:szCs w:val="24"/>
          <w:lang w:eastAsia="en-AU"/>
        </w:rPr>
        <w:t xml:space="preserve"> l</w:t>
      </w:r>
      <w:r w:rsidR="001249B1" w:rsidRPr="00FE73A2">
        <w:rPr>
          <w:szCs w:val="24"/>
          <w:lang w:eastAsia="en-AU"/>
        </w:rPr>
        <w:t>egislative instruments</w:t>
      </w:r>
      <w:r w:rsidR="001249B1" w:rsidRPr="008D3D49">
        <w:rPr>
          <w:szCs w:val="24"/>
          <w:lang w:eastAsia="en-AU"/>
        </w:rPr>
        <w:t xml:space="preserve"> </w:t>
      </w:r>
      <w:r w:rsidR="00F432E5" w:rsidRPr="008D3D49">
        <w:rPr>
          <w:szCs w:val="24"/>
          <w:lang w:eastAsia="en-AU"/>
        </w:rPr>
        <w:t xml:space="preserve">and the IPND </w:t>
      </w:r>
      <w:r w:rsidR="00FE48FD">
        <w:rPr>
          <w:szCs w:val="24"/>
          <w:lang w:eastAsia="en-AU"/>
        </w:rPr>
        <w:t>S</w:t>
      </w:r>
      <w:r w:rsidR="00F432E5" w:rsidRPr="008D3D49">
        <w:rPr>
          <w:szCs w:val="24"/>
          <w:lang w:eastAsia="en-AU"/>
        </w:rPr>
        <w:t>cheme in relation to its future use of customer data.</w:t>
      </w:r>
    </w:p>
    <w:p w14:paraId="3DF86C32" w14:textId="77777777" w:rsidR="00B9394A" w:rsidRPr="00697695" w:rsidRDefault="00F432E5" w:rsidP="005C7F33">
      <w:pPr>
        <w:shd w:val="clear" w:color="auto" w:fill="FFFFFF"/>
        <w:spacing w:before="100" w:beforeAutospacing="1" w:after="100" w:afterAutospacing="1"/>
        <w:rPr>
          <w:szCs w:val="24"/>
          <w:lang w:eastAsia="en-AU"/>
        </w:rPr>
      </w:pPr>
      <w:r w:rsidRPr="00697695">
        <w:rPr>
          <w:szCs w:val="24"/>
          <w:lang w:eastAsia="en-AU"/>
        </w:rPr>
        <w:t>In relation to research regarding an electoral matter and research which will contribute to the development of public policy, the instrument is very specific about which persons may conduct such research.</w:t>
      </w:r>
      <w:r w:rsidR="008D3D49">
        <w:rPr>
          <w:szCs w:val="24"/>
          <w:lang w:eastAsia="en-AU"/>
        </w:rPr>
        <w:t xml:space="preserve"> </w:t>
      </w:r>
      <w:r w:rsidR="00B9394A">
        <w:rPr>
          <w:szCs w:val="24"/>
          <w:lang w:eastAsia="en-AU"/>
        </w:rPr>
        <w:t>Subsection</w:t>
      </w:r>
      <w:r w:rsidR="00B9394A" w:rsidRPr="00697695">
        <w:rPr>
          <w:szCs w:val="24"/>
          <w:lang w:eastAsia="en-AU"/>
        </w:rPr>
        <w:t xml:space="preserve"> </w:t>
      </w:r>
      <w:r w:rsidR="00B9394A" w:rsidRPr="00FE73A2">
        <w:rPr>
          <w:szCs w:val="24"/>
          <w:lang w:eastAsia="en-AU"/>
        </w:rPr>
        <w:t>7</w:t>
      </w:r>
      <w:r w:rsidR="00B9394A" w:rsidRPr="00697695">
        <w:rPr>
          <w:szCs w:val="24"/>
          <w:lang w:eastAsia="en-AU"/>
        </w:rPr>
        <w:t xml:space="preserve">(3) requires </w:t>
      </w:r>
      <w:r w:rsidR="00B9394A" w:rsidRPr="00FE73A2">
        <w:rPr>
          <w:szCs w:val="24"/>
          <w:lang w:eastAsia="en-AU"/>
        </w:rPr>
        <w:t xml:space="preserve">the </w:t>
      </w:r>
      <w:r w:rsidR="00B9394A" w:rsidRPr="00697695">
        <w:rPr>
          <w:szCs w:val="24"/>
          <w:lang w:eastAsia="en-AU"/>
        </w:rPr>
        <w:t>ACMA, before granting an authorisation, to be reasonably satisfied that</w:t>
      </w:r>
      <w:r w:rsidR="008D3D49">
        <w:rPr>
          <w:szCs w:val="24"/>
          <w:lang w:eastAsia="en-AU"/>
        </w:rPr>
        <w:t xml:space="preserve"> the applicant for the authorisation for </w:t>
      </w:r>
      <w:r w:rsidR="00B9394A" w:rsidRPr="00697695">
        <w:rPr>
          <w:szCs w:val="24"/>
          <w:lang w:eastAsia="en-AU"/>
        </w:rPr>
        <w:t>research regarding an electoral matter is a registered political party, a political representative, a candidate in an election for a Parliament or local government authority</w:t>
      </w:r>
      <w:r w:rsidR="008D3D49">
        <w:rPr>
          <w:szCs w:val="24"/>
          <w:lang w:eastAsia="en-AU"/>
        </w:rPr>
        <w:t>,</w:t>
      </w:r>
      <w:r w:rsidR="00B9394A" w:rsidRPr="00697695">
        <w:rPr>
          <w:szCs w:val="24"/>
          <w:lang w:eastAsia="en-AU"/>
        </w:rPr>
        <w:t xml:space="preserve"> or is a person acting on behalf of such a party, representative or candidate.</w:t>
      </w:r>
    </w:p>
    <w:p w14:paraId="7E5B9A85" w14:textId="77777777" w:rsidR="00B9394A" w:rsidRPr="00697695" w:rsidRDefault="00B532BE" w:rsidP="005C7F33">
      <w:pPr>
        <w:shd w:val="clear" w:color="auto" w:fill="FFFFFF"/>
        <w:spacing w:before="100" w:beforeAutospacing="1" w:after="100" w:afterAutospacing="1"/>
        <w:rPr>
          <w:szCs w:val="24"/>
          <w:lang w:eastAsia="en-AU"/>
        </w:rPr>
      </w:pPr>
      <w:r w:rsidRPr="008D3D49">
        <w:rPr>
          <w:szCs w:val="24"/>
          <w:lang w:eastAsia="en-AU"/>
        </w:rPr>
        <w:t>Subsection 7(4) sets out additional criteria for a research authorisation in relation to research which will contribute to the development of public policy.</w:t>
      </w:r>
      <w:r>
        <w:rPr>
          <w:szCs w:val="24"/>
          <w:lang w:eastAsia="en-AU"/>
        </w:rPr>
        <w:t xml:space="preserve"> </w:t>
      </w:r>
      <w:r w:rsidR="00B9394A" w:rsidRPr="00FE73A2">
        <w:rPr>
          <w:szCs w:val="24"/>
          <w:lang w:eastAsia="en-AU"/>
        </w:rPr>
        <w:t>Paragraph 7</w:t>
      </w:r>
      <w:r w:rsidR="00B9394A" w:rsidRPr="00697695">
        <w:rPr>
          <w:szCs w:val="24"/>
          <w:lang w:eastAsia="en-AU"/>
        </w:rPr>
        <w:t>(4</w:t>
      </w:r>
      <w:proofErr w:type="gramStart"/>
      <w:r w:rsidR="00B9394A" w:rsidRPr="00697695">
        <w:rPr>
          <w:szCs w:val="24"/>
          <w:lang w:eastAsia="en-AU"/>
        </w:rPr>
        <w:t>)(</w:t>
      </w:r>
      <w:proofErr w:type="gramEnd"/>
      <w:r w:rsidR="00B9394A" w:rsidRPr="00697695">
        <w:rPr>
          <w:szCs w:val="24"/>
          <w:lang w:eastAsia="en-AU"/>
        </w:rPr>
        <w:t xml:space="preserve">a) requires </w:t>
      </w:r>
      <w:r w:rsidR="00B9394A" w:rsidRPr="00FE73A2">
        <w:rPr>
          <w:szCs w:val="24"/>
          <w:lang w:eastAsia="en-AU"/>
        </w:rPr>
        <w:t xml:space="preserve">the </w:t>
      </w:r>
      <w:r w:rsidR="00B9394A" w:rsidRPr="00697695">
        <w:rPr>
          <w:szCs w:val="24"/>
          <w:lang w:eastAsia="en-AU"/>
        </w:rPr>
        <w:t xml:space="preserve">ACMA, before granting an authorisation, to </w:t>
      </w:r>
      <w:r w:rsidR="00B9394A" w:rsidRPr="00FE73A2">
        <w:rPr>
          <w:szCs w:val="24"/>
          <w:lang w:eastAsia="en-AU"/>
        </w:rPr>
        <w:t xml:space="preserve">be reasonably satisfied that the research will be conducted by </w:t>
      </w:r>
      <w:r w:rsidR="00B9394A" w:rsidRPr="00FE73A2">
        <w:rPr>
          <w:szCs w:val="24"/>
          <w:lang w:eastAsia="en-AU"/>
        </w:rPr>
        <w:lastRenderedPageBreak/>
        <w:t>or on behalf of the Commonwealth or a Commonwealth entity.</w:t>
      </w:r>
      <w:r w:rsidR="008D3D49">
        <w:rPr>
          <w:szCs w:val="24"/>
          <w:lang w:eastAsia="en-AU"/>
        </w:rPr>
        <w:t xml:space="preserve"> </w:t>
      </w:r>
      <w:r w:rsidR="00B9394A" w:rsidRPr="00FE73A2">
        <w:rPr>
          <w:szCs w:val="24"/>
          <w:lang w:eastAsia="en-AU"/>
        </w:rPr>
        <w:t>Paragraph 7</w:t>
      </w:r>
      <w:r w:rsidR="00B9394A" w:rsidRPr="00697695">
        <w:rPr>
          <w:szCs w:val="24"/>
          <w:lang w:eastAsia="en-AU"/>
        </w:rPr>
        <w:t>(4)(b) requires</w:t>
      </w:r>
      <w:r w:rsidR="00B9394A" w:rsidRPr="00FE73A2">
        <w:rPr>
          <w:szCs w:val="24"/>
          <w:lang w:eastAsia="en-AU"/>
        </w:rPr>
        <w:t xml:space="preserve"> the</w:t>
      </w:r>
      <w:r w:rsidR="00B9394A" w:rsidRPr="00697695">
        <w:rPr>
          <w:szCs w:val="24"/>
          <w:lang w:eastAsia="en-AU"/>
        </w:rPr>
        <w:t xml:space="preserve"> ACMA, before granting an authorisation for research which will contribute to the development of public policy, to be reasonably satisfied that the applicant has demonstrated that the research will </w:t>
      </w:r>
      <w:r>
        <w:rPr>
          <w:szCs w:val="24"/>
          <w:lang w:eastAsia="en-AU"/>
        </w:rPr>
        <w:t xml:space="preserve">in fact </w:t>
      </w:r>
      <w:r w:rsidR="00B9394A" w:rsidRPr="00697695">
        <w:rPr>
          <w:szCs w:val="24"/>
          <w:lang w:eastAsia="en-AU"/>
        </w:rPr>
        <w:t>contribute to the development of public policy.</w:t>
      </w:r>
    </w:p>
    <w:p w14:paraId="1B43D0C9" w14:textId="77777777" w:rsidR="00B9394A" w:rsidRPr="00697695" w:rsidRDefault="00B9394A" w:rsidP="005C7F33">
      <w:pPr>
        <w:shd w:val="clear" w:color="auto" w:fill="FFFFFF"/>
        <w:spacing w:before="100" w:beforeAutospacing="1" w:after="100" w:afterAutospacing="1"/>
        <w:rPr>
          <w:szCs w:val="24"/>
          <w:lang w:eastAsia="en-AU"/>
        </w:rPr>
      </w:pPr>
      <w:r w:rsidRPr="00697695">
        <w:rPr>
          <w:szCs w:val="24"/>
          <w:lang w:eastAsia="en-AU"/>
        </w:rPr>
        <w:t xml:space="preserve">Use of the term ‘reasonably satisfied’ throughout the criteria recognises that </w:t>
      </w:r>
      <w:r w:rsidR="00B532BE">
        <w:rPr>
          <w:szCs w:val="24"/>
          <w:lang w:eastAsia="en-AU"/>
        </w:rPr>
        <w:t>the ACMA must be reasonably satisfied in the particular circumstances of each application and the information provided by the applicant.  It does not prevent the ACMA from requesting further information from the applicant when assessing applications</w:t>
      </w:r>
      <w:r w:rsidR="008D3D49">
        <w:rPr>
          <w:szCs w:val="24"/>
          <w:lang w:eastAsia="en-AU"/>
        </w:rPr>
        <w:t>, as paragraph 295N(3)(b) of the Telecommunications Act permits the ACMA to have regard to any other matters that it thinks are relevant when deciding an authorisation application</w:t>
      </w:r>
      <w:r w:rsidR="00B532BE">
        <w:rPr>
          <w:szCs w:val="24"/>
          <w:lang w:eastAsia="en-AU"/>
        </w:rPr>
        <w:t xml:space="preserve">.  </w:t>
      </w:r>
    </w:p>
    <w:p w14:paraId="13AD7B3A" w14:textId="77777777" w:rsidR="00B9394A" w:rsidRPr="008D3D49" w:rsidRDefault="00B9394A" w:rsidP="005C7F33">
      <w:pPr>
        <w:pStyle w:val="CommentText"/>
      </w:pPr>
    </w:p>
    <w:p w14:paraId="015D0923" w14:textId="77777777" w:rsidR="00B9394A" w:rsidRPr="008D3D49" w:rsidRDefault="00B9394A" w:rsidP="005C7F33">
      <w:pPr>
        <w:pStyle w:val="CommentText"/>
        <w:rPr>
          <w:b/>
          <w:sz w:val="24"/>
          <w:szCs w:val="24"/>
        </w:rPr>
      </w:pPr>
      <w:r w:rsidRPr="008D3D49">
        <w:rPr>
          <w:b/>
          <w:sz w:val="24"/>
          <w:szCs w:val="24"/>
        </w:rPr>
        <w:t>Schedule 1 – Repeals</w:t>
      </w:r>
    </w:p>
    <w:p w14:paraId="69342581" w14:textId="77777777" w:rsidR="00B9394A" w:rsidRPr="008D3D49" w:rsidRDefault="00B9394A" w:rsidP="005C7F33">
      <w:pPr>
        <w:pStyle w:val="CommentText"/>
        <w:rPr>
          <w:b/>
          <w:sz w:val="24"/>
          <w:szCs w:val="24"/>
        </w:rPr>
      </w:pPr>
    </w:p>
    <w:p w14:paraId="108FC2FF" w14:textId="77777777" w:rsidR="00B9394A" w:rsidRPr="008D3D49" w:rsidRDefault="00B9394A" w:rsidP="005C7F33">
      <w:pPr>
        <w:rPr>
          <w:szCs w:val="24"/>
        </w:rPr>
      </w:pPr>
      <w:r w:rsidRPr="008D3D49">
        <w:rPr>
          <w:szCs w:val="24"/>
        </w:rPr>
        <w:t xml:space="preserve">Schedule 1 repeals the </w:t>
      </w:r>
      <w:r w:rsidRPr="00304797">
        <w:rPr>
          <w:i/>
          <w:szCs w:val="24"/>
        </w:rPr>
        <w:t>Telecommunications (Integrated Public Number Database Scheme – Criteria for Deciding Authorisation Applications) Instrument 2007 (No. 1)</w:t>
      </w:r>
      <w:r w:rsidRPr="008D3D49">
        <w:rPr>
          <w:szCs w:val="24"/>
        </w:rPr>
        <w:t xml:space="preserve"> which is due to sunset on 1 October 2017</w:t>
      </w:r>
      <w:r w:rsidR="00A14184" w:rsidRPr="00A14184">
        <w:rPr>
          <w:rFonts w:eastAsia="Calibri"/>
        </w:rPr>
        <w:t xml:space="preserve"> </w:t>
      </w:r>
      <w:r w:rsidR="00A14184">
        <w:rPr>
          <w:rFonts w:eastAsia="Calibri"/>
        </w:rPr>
        <w:t>so it can be replaced with this new instrument</w:t>
      </w:r>
      <w:r w:rsidRPr="008D3D49">
        <w:rPr>
          <w:szCs w:val="24"/>
        </w:rPr>
        <w:t>.</w:t>
      </w:r>
    </w:p>
    <w:p w14:paraId="76387C9C" w14:textId="77777777" w:rsidR="00CA4355" w:rsidRPr="008D3D49" w:rsidRDefault="009C0B2C" w:rsidP="005C7F33">
      <w:pPr>
        <w:jc w:val="right"/>
        <w:rPr>
          <w:sz w:val="28"/>
          <w:szCs w:val="28"/>
          <w:lang w:val="en-US"/>
        </w:rPr>
      </w:pPr>
      <w:bookmarkStart w:id="2" w:name="BKCheck15B_3"/>
      <w:bookmarkEnd w:id="2"/>
      <w:r>
        <w:rPr>
          <w:b/>
          <w:bCs/>
          <w:szCs w:val="24"/>
        </w:rPr>
        <w:br w:type="page"/>
      </w:r>
      <w:r w:rsidR="00CA4355" w:rsidRPr="008D3D49">
        <w:rPr>
          <w:b/>
          <w:bCs/>
          <w:sz w:val="28"/>
          <w:szCs w:val="28"/>
        </w:rPr>
        <w:lastRenderedPageBreak/>
        <w:t>Attachment A</w:t>
      </w:r>
    </w:p>
    <w:p w14:paraId="701173EA" w14:textId="77777777" w:rsidR="00CA4355" w:rsidRPr="008D3D49" w:rsidRDefault="00CA4355" w:rsidP="005C7F33">
      <w:pPr>
        <w:shd w:val="clear" w:color="auto" w:fill="FFFFFF"/>
        <w:spacing w:before="100" w:beforeAutospacing="1" w:after="100" w:afterAutospacing="1"/>
        <w:jc w:val="center"/>
        <w:rPr>
          <w:sz w:val="28"/>
          <w:szCs w:val="28"/>
          <w:lang w:val="en-US"/>
        </w:rPr>
      </w:pPr>
      <w:r w:rsidRPr="008D3D49">
        <w:rPr>
          <w:b/>
          <w:bCs/>
          <w:sz w:val="28"/>
          <w:szCs w:val="28"/>
        </w:rPr>
        <w:t xml:space="preserve">Statement of </w:t>
      </w:r>
      <w:r w:rsidR="00D668FF" w:rsidRPr="008D3D49">
        <w:rPr>
          <w:b/>
          <w:bCs/>
          <w:sz w:val="28"/>
          <w:szCs w:val="28"/>
        </w:rPr>
        <w:t>C</w:t>
      </w:r>
      <w:r w:rsidRPr="008D3D49">
        <w:rPr>
          <w:b/>
          <w:bCs/>
          <w:sz w:val="28"/>
          <w:szCs w:val="28"/>
        </w:rPr>
        <w:t xml:space="preserve">ompatibility with </w:t>
      </w:r>
      <w:r w:rsidR="00D668FF" w:rsidRPr="008D3D49">
        <w:rPr>
          <w:b/>
          <w:bCs/>
          <w:sz w:val="28"/>
          <w:szCs w:val="28"/>
        </w:rPr>
        <w:t>H</w:t>
      </w:r>
      <w:r w:rsidRPr="008D3D49">
        <w:rPr>
          <w:b/>
          <w:bCs/>
          <w:sz w:val="28"/>
          <w:szCs w:val="28"/>
        </w:rPr>
        <w:t xml:space="preserve">uman </w:t>
      </w:r>
      <w:r w:rsidR="00D668FF" w:rsidRPr="008D3D49">
        <w:rPr>
          <w:b/>
          <w:bCs/>
          <w:sz w:val="28"/>
          <w:szCs w:val="28"/>
        </w:rPr>
        <w:t>R</w:t>
      </w:r>
      <w:r w:rsidRPr="008D3D49">
        <w:rPr>
          <w:b/>
          <w:bCs/>
          <w:sz w:val="28"/>
          <w:szCs w:val="28"/>
        </w:rPr>
        <w:t>ights</w:t>
      </w:r>
    </w:p>
    <w:p w14:paraId="6898D2F7" w14:textId="77777777" w:rsidR="00ED168C" w:rsidRPr="008D3D49" w:rsidRDefault="004C6979" w:rsidP="005C7F33">
      <w:pPr>
        <w:shd w:val="clear" w:color="auto" w:fill="FFFFFF"/>
        <w:spacing w:before="100" w:beforeAutospacing="1" w:after="100" w:afterAutospacing="1"/>
        <w:jc w:val="center"/>
        <w:rPr>
          <w:i/>
          <w:iCs/>
          <w:szCs w:val="24"/>
        </w:rPr>
      </w:pPr>
      <w:r w:rsidRPr="008D3D49">
        <w:rPr>
          <w:i/>
          <w:szCs w:val="24"/>
        </w:rPr>
        <w:t xml:space="preserve">Prepared in accordance with subsection 9(1) of the </w:t>
      </w:r>
      <w:r w:rsidRPr="008D3D49">
        <w:rPr>
          <w:i/>
          <w:iCs/>
          <w:szCs w:val="24"/>
        </w:rPr>
        <w:t>Human Rights (Parliamentary Scrutiny) Act 2011</w:t>
      </w:r>
    </w:p>
    <w:p w14:paraId="49E22A6B" w14:textId="77777777" w:rsidR="00CA4355" w:rsidRPr="00304797" w:rsidRDefault="00CA4355" w:rsidP="005C7F33">
      <w:pPr>
        <w:jc w:val="center"/>
        <w:rPr>
          <w:b/>
          <w:i/>
          <w:szCs w:val="24"/>
        </w:rPr>
      </w:pPr>
      <w:r w:rsidRPr="00304797">
        <w:rPr>
          <w:b/>
          <w:i/>
          <w:szCs w:val="24"/>
        </w:rPr>
        <w:t>Telecommunications (Integrated Public Number</w:t>
      </w:r>
      <w:r w:rsidR="008D3D49" w:rsidRPr="00304797">
        <w:rPr>
          <w:b/>
          <w:i/>
          <w:szCs w:val="24"/>
        </w:rPr>
        <w:t xml:space="preserve"> </w:t>
      </w:r>
      <w:r w:rsidRPr="00304797">
        <w:rPr>
          <w:b/>
          <w:i/>
          <w:szCs w:val="24"/>
        </w:rPr>
        <w:t>Database Scheme – Criteria for Deciding Authorisation Applications) Instrument 2017</w:t>
      </w:r>
    </w:p>
    <w:p w14:paraId="048218CD" w14:textId="77777777" w:rsidR="00CA4355" w:rsidRPr="002B1535" w:rsidRDefault="00CA4355" w:rsidP="005C7F33">
      <w:pPr>
        <w:rPr>
          <w:b/>
          <w:i/>
          <w:szCs w:val="24"/>
        </w:rPr>
      </w:pPr>
    </w:p>
    <w:p w14:paraId="0DFE205B" w14:textId="77777777" w:rsidR="00CA4355" w:rsidRPr="002B1535" w:rsidRDefault="00CA4355" w:rsidP="005C7F33">
      <w:pPr>
        <w:rPr>
          <w:b/>
          <w:i/>
          <w:szCs w:val="24"/>
        </w:rPr>
      </w:pPr>
      <w:r w:rsidRPr="002B1535">
        <w:rPr>
          <w:b/>
          <w:i/>
          <w:szCs w:val="24"/>
        </w:rPr>
        <w:t xml:space="preserve">Overview of the instrument </w:t>
      </w:r>
    </w:p>
    <w:p w14:paraId="692BF928" w14:textId="77777777" w:rsidR="00CA4355" w:rsidRDefault="00CA4355" w:rsidP="005C7F33">
      <w:pPr>
        <w:rPr>
          <w:b/>
          <w:i/>
          <w:szCs w:val="24"/>
        </w:rPr>
      </w:pPr>
    </w:p>
    <w:p w14:paraId="570252EA" w14:textId="77777777" w:rsidR="003A228A" w:rsidRPr="00066DDF" w:rsidRDefault="003A228A" w:rsidP="005C7F33">
      <w:pPr>
        <w:rPr>
          <w:szCs w:val="24"/>
        </w:rPr>
      </w:pPr>
      <w:r w:rsidRPr="00066DDF">
        <w:rPr>
          <w:szCs w:val="24"/>
        </w:rPr>
        <w:t xml:space="preserve">The </w:t>
      </w:r>
      <w:r w:rsidRPr="00066DDF">
        <w:rPr>
          <w:i/>
          <w:szCs w:val="24"/>
        </w:rPr>
        <w:t xml:space="preserve">Telecommunications (Integrated Public Number Database Scheme – Criteria for Deciding Authorisation Applications) Instrument </w:t>
      </w:r>
      <w:r w:rsidR="00D668FF" w:rsidRPr="00066DDF">
        <w:rPr>
          <w:i/>
          <w:szCs w:val="24"/>
        </w:rPr>
        <w:t>2017</w:t>
      </w:r>
      <w:r w:rsidRPr="00066DDF">
        <w:rPr>
          <w:szCs w:val="24"/>
        </w:rPr>
        <w:t xml:space="preserve"> (</w:t>
      </w:r>
      <w:r w:rsidRPr="002622AB">
        <w:t xml:space="preserve">the </w:t>
      </w:r>
      <w:r w:rsidR="008D3D49" w:rsidRPr="002622AB">
        <w:t>Instrument</w:t>
      </w:r>
      <w:r w:rsidRPr="00066DDF">
        <w:rPr>
          <w:szCs w:val="24"/>
        </w:rPr>
        <w:t>) specifies the criteria the Australian Communications and Media Authority (</w:t>
      </w:r>
      <w:r w:rsidR="008D3D49" w:rsidRPr="002622AB">
        <w:t xml:space="preserve">the </w:t>
      </w:r>
      <w:r w:rsidRPr="002622AB">
        <w:t>ACMA</w:t>
      </w:r>
      <w:r w:rsidRPr="00066DDF">
        <w:rPr>
          <w:szCs w:val="24"/>
        </w:rPr>
        <w:t>) must apply when deciding applications for authorisations for access to personal information contained in the Integrated Public Number Database (</w:t>
      </w:r>
      <w:r w:rsidR="008D3D49" w:rsidRPr="002622AB">
        <w:t>the I</w:t>
      </w:r>
      <w:r w:rsidRPr="002622AB">
        <w:t>PND</w:t>
      </w:r>
      <w:r w:rsidRPr="00066DDF">
        <w:rPr>
          <w:szCs w:val="24"/>
        </w:rPr>
        <w:t xml:space="preserve">), which may be granted under the </w:t>
      </w:r>
      <w:r w:rsidR="008D3D49" w:rsidRPr="00066DDF">
        <w:rPr>
          <w:szCs w:val="24"/>
        </w:rPr>
        <w:t>Integrated Public Number Database</w:t>
      </w:r>
      <w:r w:rsidRPr="00066DDF">
        <w:rPr>
          <w:szCs w:val="24"/>
        </w:rPr>
        <w:t xml:space="preserve"> </w:t>
      </w:r>
      <w:r w:rsidR="00FE48FD" w:rsidRPr="00066DDF">
        <w:rPr>
          <w:szCs w:val="24"/>
        </w:rPr>
        <w:t>S</w:t>
      </w:r>
      <w:r w:rsidRPr="00066DDF">
        <w:rPr>
          <w:szCs w:val="24"/>
        </w:rPr>
        <w:t>cheme</w:t>
      </w:r>
      <w:r w:rsidR="008D3D49" w:rsidRPr="00066DDF">
        <w:rPr>
          <w:szCs w:val="24"/>
        </w:rPr>
        <w:t xml:space="preserve"> (</w:t>
      </w:r>
      <w:r w:rsidR="008D3D49" w:rsidRPr="002622AB">
        <w:t>the IPND Scheme</w:t>
      </w:r>
      <w:r w:rsidR="008D3D49" w:rsidRPr="00066DDF">
        <w:rPr>
          <w:szCs w:val="24"/>
        </w:rPr>
        <w:t>)</w:t>
      </w:r>
      <w:r w:rsidRPr="00066DDF">
        <w:rPr>
          <w:szCs w:val="24"/>
        </w:rPr>
        <w:t xml:space="preserve">. </w:t>
      </w:r>
    </w:p>
    <w:p w14:paraId="0F33BD9E" w14:textId="77777777" w:rsidR="003A228A" w:rsidRPr="002B1535" w:rsidRDefault="003A228A" w:rsidP="005C7F33">
      <w:pPr>
        <w:rPr>
          <w:b/>
          <w:i/>
          <w:szCs w:val="24"/>
        </w:rPr>
      </w:pPr>
    </w:p>
    <w:p w14:paraId="4EFE0B5F" w14:textId="77777777" w:rsidR="00CF6E69" w:rsidRDefault="00313687" w:rsidP="005C7F33">
      <w:pPr>
        <w:rPr>
          <w:szCs w:val="24"/>
        </w:rPr>
      </w:pPr>
      <w:r>
        <w:rPr>
          <w:szCs w:val="24"/>
        </w:rPr>
        <w:lastRenderedPageBreak/>
        <w:t>Section</w:t>
      </w:r>
      <w:r w:rsidRPr="002B1535">
        <w:rPr>
          <w:szCs w:val="24"/>
        </w:rPr>
        <w:t xml:space="preserve"> </w:t>
      </w:r>
      <w:r w:rsidR="00CA4355" w:rsidRPr="002B1535">
        <w:rPr>
          <w:szCs w:val="24"/>
        </w:rPr>
        <w:t xml:space="preserve">6 provides the criteria for deciding applications </w:t>
      </w:r>
      <w:r w:rsidR="00B26267">
        <w:rPr>
          <w:szCs w:val="24"/>
        </w:rPr>
        <w:t>for</w:t>
      </w:r>
      <w:r w:rsidR="00B26267" w:rsidRPr="002B1535">
        <w:rPr>
          <w:szCs w:val="24"/>
        </w:rPr>
        <w:t xml:space="preserve"> </w:t>
      </w:r>
      <w:r w:rsidR="00CA4355" w:rsidRPr="002B1535">
        <w:rPr>
          <w:szCs w:val="24"/>
        </w:rPr>
        <w:t xml:space="preserve">Public Number Directory authorisations and </w:t>
      </w:r>
      <w:r>
        <w:rPr>
          <w:szCs w:val="24"/>
        </w:rPr>
        <w:t>section</w:t>
      </w:r>
      <w:r w:rsidRPr="002B1535">
        <w:rPr>
          <w:szCs w:val="24"/>
        </w:rPr>
        <w:t xml:space="preserve"> </w:t>
      </w:r>
      <w:r w:rsidR="00CA4355" w:rsidRPr="002B1535">
        <w:rPr>
          <w:szCs w:val="24"/>
        </w:rPr>
        <w:t>7 provides the criteri</w:t>
      </w:r>
      <w:r w:rsidR="008D3D49">
        <w:rPr>
          <w:szCs w:val="24"/>
        </w:rPr>
        <w:t>a for deciding applications for</w:t>
      </w:r>
      <w:r w:rsidR="00CA4355" w:rsidRPr="002B1535">
        <w:rPr>
          <w:szCs w:val="24"/>
        </w:rPr>
        <w:t xml:space="preserve"> researchers.</w:t>
      </w:r>
      <w:r w:rsidR="008D3D49">
        <w:rPr>
          <w:szCs w:val="24"/>
        </w:rPr>
        <w:t xml:space="preserve">  Holders of authorisations granted under the Instrument provide a range of services and products to governments, subscribers and the general </w:t>
      </w:r>
      <w:r w:rsidR="00CF6E69">
        <w:rPr>
          <w:szCs w:val="24"/>
        </w:rPr>
        <w:t>public, which</w:t>
      </w:r>
      <w:r w:rsidR="008D3D49">
        <w:rPr>
          <w:szCs w:val="24"/>
        </w:rPr>
        <w:t xml:space="preserve"> would not be possible, or would be more difficult to provide, without a</w:t>
      </w:r>
      <w:r w:rsidR="00CF6E69">
        <w:rPr>
          <w:szCs w:val="24"/>
        </w:rPr>
        <w:t xml:space="preserve"> system like the IPND. The ACMA can only grant an authorisation if it considers that the strict conditions in the Instrument are met, while the Telecommunications Act and the IPND Scheme impose conditions on the use of IPND information.</w:t>
      </w:r>
    </w:p>
    <w:p w14:paraId="03072577" w14:textId="77777777" w:rsidR="00CF6E69" w:rsidRDefault="00CF6E69" w:rsidP="005C7F33">
      <w:pPr>
        <w:rPr>
          <w:szCs w:val="24"/>
        </w:rPr>
      </w:pPr>
    </w:p>
    <w:p w14:paraId="4434F390" w14:textId="77777777" w:rsidR="00CA4355" w:rsidRPr="002B1535" w:rsidRDefault="00CA4355" w:rsidP="005C7F33">
      <w:pPr>
        <w:rPr>
          <w:szCs w:val="24"/>
        </w:rPr>
      </w:pPr>
      <w:r w:rsidRPr="002B1535">
        <w:rPr>
          <w:szCs w:val="24"/>
        </w:rPr>
        <w:t xml:space="preserve">Sections 276 and 277 of the </w:t>
      </w:r>
      <w:r w:rsidR="00EF5F53" w:rsidRPr="00C76F69">
        <w:rPr>
          <w:szCs w:val="24"/>
        </w:rPr>
        <w:t xml:space="preserve">Telecommunications </w:t>
      </w:r>
      <w:r w:rsidR="00A948EA" w:rsidRPr="00C76F69">
        <w:rPr>
          <w:szCs w:val="24"/>
        </w:rPr>
        <w:t>Act</w:t>
      </w:r>
      <w:r w:rsidR="00EF5F53">
        <w:rPr>
          <w:szCs w:val="24"/>
        </w:rPr>
        <w:t xml:space="preserve"> </w:t>
      </w:r>
      <w:r w:rsidRPr="002B1535">
        <w:rPr>
          <w:szCs w:val="24"/>
        </w:rPr>
        <w:t xml:space="preserve">prohibit the disclosure or use of information obtained by carriers and carriage service providers in the course of providing their services.  The prohibition extends to the disclosure and use of information held in the </w:t>
      </w:r>
      <w:r w:rsidRPr="00516984">
        <w:rPr>
          <w:szCs w:val="24"/>
        </w:rPr>
        <w:t>IPND</w:t>
      </w:r>
      <w:r w:rsidRPr="002B1535">
        <w:rPr>
          <w:szCs w:val="24"/>
        </w:rPr>
        <w:t xml:space="preserve">, an industry wide database of all residential and business telephone numbers and associated subscriber information.  </w:t>
      </w:r>
    </w:p>
    <w:p w14:paraId="3E70B109" w14:textId="77777777" w:rsidR="00CA4355" w:rsidRPr="002B1535" w:rsidRDefault="00CA4355" w:rsidP="005C7F33">
      <w:pPr>
        <w:rPr>
          <w:szCs w:val="24"/>
        </w:rPr>
      </w:pPr>
    </w:p>
    <w:p w14:paraId="044468F6" w14:textId="4196D630" w:rsidR="00A948EA" w:rsidRDefault="00CA4355" w:rsidP="005C7F33">
      <w:pPr>
        <w:rPr>
          <w:szCs w:val="24"/>
        </w:rPr>
      </w:pPr>
      <w:r w:rsidRPr="002B1535">
        <w:rPr>
          <w:szCs w:val="24"/>
        </w:rPr>
        <w:t xml:space="preserve">Section 285 of the </w:t>
      </w:r>
      <w:r w:rsidR="00562533">
        <w:rPr>
          <w:szCs w:val="24"/>
        </w:rPr>
        <w:t xml:space="preserve">Telecommunications </w:t>
      </w:r>
      <w:r w:rsidRPr="002B1535">
        <w:rPr>
          <w:szCs w:val="24"/>
        </w:rPr>
        <w:t xml:space="preserve">Act contains an exception to the prohibition, and permits disclosure of information from the IPND by Telstra to a person who holds an authorisation granted by the ACMA to receive IPND information.  </w:t>
      </w:r>
      <w:r w:rsidR="00CF2E21">
        <w:rPr>
          <w:szCs w:val="24"/>
        </w:rPr>
        <w:t>A</w:t>
      </w:r>
      <w:r w:rsidRPr="002B1535">
        <w:rPr>
          <w:szCs w:val="24"/>
        </w:rPr>
        <w:t xml:space="preserve">uthorisations to access information contained in the IPND for the purposes of paragraph </w:t>
      </w:r>
      <w:r w:rsidRPr="001D1CD6">
        <w:rPr>
          <w:szCs w:val="24"/>
        </w:rPr>
        <w:t>285(1A)(d)</w:t>
      </w:r>
      <w:r w:rsidRPr="002B1535">
        <w:rPr>
          <w:szCs w:val="24"/>
        </w:rPr>
        <w:t xml:space="preserve"> of the </w:t>
      </w:r>
      <w:r w:rsidR="00562533">
        <w:rPr>
          <w:szCs w:val="24"/>
        </w:rPr>
        <w:t xml:space="preserve">Telecommunications </w:t>
      </w:r>
      <w:r w:rsidRPr="002B1535">
        <w:rPr>
          <w:szCs w:val="24"/>
        </w:rPr>
        <w:t>Act</w:t>
      </w:r>
      <w:r w:rsidR="00CF2E21">
        <w:rPr>
          <w:szCs w:val="24"/>
        </w:rPr>
        <w:t xml:space="preserve"> may be granted </w:t>
      </w:r>
      <w:r w:rsidR="00CF2E21">
        <w:rPr>
          <w:szCs w:val="24"/>
        </w:rPr>
        <w:lastRenderedPageBreak/>
        <w:t xml:space="preserve">under the IPND Scheme enabled by the </w:t>
      </w:r>
      <w:r w:rsidR="00CF2E21" w:rsidRPr="00812EF3">
        <w:rPr>
          <w:i/>
        </w:rPr>
        <w:t>Telecommunications Integrated Public Number Database Scheme 2017</w:t>
      </w:r>
      <w:r w:rsidR="00CF2E21">
        <w:rPr>
          <w:i/>
        </w:rPr>
        <w:t xml:space="preserve"> </w:t>
      </w:r>
      <w:r w:rsidR="00CF2E21" w:rsidRPr="00812EF3">
        <w:t xml:space="preserve">made under section 295A of the </w:t>
      </w:r>
      <w:r w:rsidR="00CF2E21" w:rsidRPr="00CF2E21">
        <w:rPr>
          <w:szCs w:val="24"/>
        </w:rPr>
        <w:t>Telecommunications Act</w:t>
      </w:r>
      <w:r w:rsidRPr="002B1535">
        <w:rPr>
          <w:szCs w:val="24"/>
        </w:rPr>
        <w:t>. Those purposes are the publication and maintenance of a public number directory and the conduct of research of a kind specified in a legislative instrument, by the Minister, where the Minister is satisfied that the kind of research is in the public interest</w:t>
      </w:r>
      <w:r w:rsidR="001D1CD6">
        <w:rPr>
          <w:szCs w:val="24"/>
        </w:rPr>
        <w:t>.</w:t>
      </w:r>
    </w:p>
    <w:p w14:paraId="4F7B4BCE" w14:textId="77777777" w:rsidR="00A1512C" w:rsidRPr="008005DD" w:rsidRDefault="00A1512C" w:rsidP="005C7F33">
      <w:pPr>
        <w:rPr>
          <w:szCs w:val="24"/>
        </w:rPr>
      </w:pPr>
    </w:p>
    <w:p w14:paraId="4817FEA5" w14:textId="77777777" w:rsidR="00CA4355" w:rsidRPr="002B1535" w:rsidRDefault="00CA4355" w:rsidP="005C7F33">
      <w:pPr>
        <w:rPr>
          <w:b/>
          <w:i/>
          <w:szCs w:val="24"/>
        </w:rPr>
      </w:pPr>
      <w:r w:rsidRPr="002B1535">
        <w:rPr>
          <w:b/>
          <w:i/>
          <w:szCs w:val="24"/>
        </w:rPr>
        <w:t xml:space="preserve">Human rights implications </w:t>
      </w:r>
    </w:p>
    <w:p w14:paraId="5B90CD7E" w14:textId="77777777" w:rsidR="00CA4355" w:rsidRPr="002B1535" w:rsidRDefault="00CA4355" w:rsidP="005C7F33">
      <w:pPr>
        <w:rPr>
          <w:b/>
          <w:i/>
          <w:szCs w:val="24"/>
        </w:rPr>
      </w:pPr>
    </w:p>
    <w:p w14:paraId="5D283489" w14:textId="77777777" w:rsidR="004C6979" w:rsidRPr="002B1535" w:rsidRDefault="00684F4A" w:rsidP="005C7F33">
      <w:pPr>
        <w:rPr>
          <w:szCs w:val="24"/>
        </w:rPr>
      </w:pPr>
      <w:r>
        <w:rPr>
          <w:szCs w:val="24"/>
        </w:rPr>
        <w:t>It has been assessed</w:t>
      </w:r>
      <w:r w:rsidR="004C6979" w:rsidRPr="002B1535">
        <w:rPr>
          <w:szCs w:val="24"/>
        </w:rPr>
        <w:t xml:space="preserve"> whether the </w:t>
      </w:r>
      <w:r w:rsidR="00996CA2">
        <w:rPr>
          <w:szCs w:val="24"/>
        </w:rPr>
        <w:t>I</w:t>
      </w:r>
      <w:r w:rsidR="004C6979" w:rsidRPr="002B1535">
        <w:rPr>
          <w:szCs w:val="24"/>
        </w:rPr>
        <w:t xml:space="preserve">nstrument is compatible with human rights, being the rights and freedoms recognised or declared by the international instruments listed in subsection 3(1) of the </w:t>
      </w:r>
      <w:r w:rsidR="004C6979" w:rsidRPr="002B1535">
        <w:rPr>
          <w:i/>
          <w:szCs w:val="24"/>
        </w:rPr>
        <w:t>Human Rights (Parliamentary Scrutiny) Act 2011</w:t>
      </w:r>
      <w:r w:rsidR="004C6979" w:rsidRPr="002B1535">
        <w:rPr>
          <w:szCs w:val="24"/>
        </w:rPr>
        <w:t xml:space="preserve"> as they apply to Australia. </w:t>
      </w:r>
    </w:p>
    <w:p w14:paraId="6A745CD6" w14:textId="77777777" w:rsidR="004C6979" w:rsidRPr="002B1535" w:rsidRDefault="004C6979" w:rsidP="005C7F33">
      <w:pPr>
        <w:rPr>
          <w:szCs w:val="24"/>
        </w:rPr>
      </w:pPr>
    </w:p>
    <w:p w14:paraId="0D1A5B42" w14:textId="77777777" w:rsidR="004C6979" w:rsidRPr="00066DDF" w:rsidRDefault="004C6979" w:rsidP="005C7F33">
      <w:pPr>
        <w:rPr>
          <w:szCs w:val="24"/>
        </w:rPr>
      </w:pPr>
      <w:r w:rsidRPr="002B1535">
        <w:rPr>
          <w:szCs w:val="24"/>
        </w:rPr>
        <w:t xml:space="preserve">Having considered the likely impact of the </w:t>
      </w:r>
      <w:r w:rsidR="00B26267">
        <w:rPr>
          <w:szCs w:val="24"/>
        </w:rPr>
        <w:t>I</w:t>
      </w:r>
      <w:r w:rsidRPr="002B1535">
        <w:rPr>
          <w:szCs w:val="24"/>
        </w:rPr>
        <w:t xml:space="preserve">nstrument and the nature of the applicable rights and freedoms, </w:t>
      </w:r>
      <w:r w:rsidR="00857088">
        <w:rPr>
          <w:szCs w:val="24"/>
        </w:rPr>
        <w:t>it has been determined that</w:t>
      </w:r>
      <w:r w:rsidRPr="002B1535">
        <w:rPr>
          <w:szCs w:val="24"/>
        </w:rPr>
        <w:t xml:space="preserve"> the instrument engages the right to privacy in Article 17 of t</w:t>
      </w:r>
      <w:r w:rsidRPr="00066DDF">
        <w:rPr>
          <w:szCs w:val="24"/>
        </w:rPr>
        <w:t xml:space="preserve">he </w:t>
      </w:r>
      <w:r w:rsidRPr="00066DDF">
        <w:rPr>
          <w:i/>
          <w:szCs w:val="24"/>
        </w:rPr>
        <w:t xml:space="preserve">International Covenant on Civil and Political Rights </w:t>
      </w:r>
      <w:r w:rsidRPr="00066DDF">
        <w:rPr>
          <w:szCs w:val="24"/>
        </w:rPr>
        <w:t>(</w:t>
      </w:r>
      <w:r w:rsidRPr="00812EF3">
        <w:t>the ICCPR</w:t>
      </w:r>
      <w:r w:rsidRPr="00066DDF">
        <w:rPr>
          <w:szCs w:val="24"/>
        </w:rPr>
        <w:t xml:space="preserve">). </w:t>
      </w:r>
    </w:p>
    <w:p w14:paraId="472B9A77" w14:textId="77777777" w:rsidR="00CA4355" w:rsidRPr="002B1535" w:rsidRDefault="00CA4355" w:rsidP="005C7F33">
      <w:pPr>
        <w:rPr>
          <w:b/>
          <w:i/>
          <w:szCs w:val="24"/>
        </w:rPr>
      </w:pPr>
    </w:p>
    <w:p w14:paraId="6ED19681" w14:textId="77777777" w:rsidR="00CA4355" w:rsidRPr="002B1535" w:rsidRDefault="00CA4355" w:rsidP="005C7F33">
      <w:pPr>
        <w:rPr>
          <w:b/>
          <w:i/>
          <w:szCs w:val="24"/>
        </w:rPr>
      </w:pPr>
      <w:r w:rsidRPr="002B1535">
        <w:rPr>
          <w:b/>
          <w:i/>
          <w:szCs w:val="24"/>
        </w:rPr>
        <w:t xml:space="preserve">Right to privacy </w:t>
      </w:r>
    </w:p>
    <w:p w14:paraId="7987B371" w14:textId="77777777" w:rsidR="00CA4355" w:rsidRPr="002B1535" w:rsidRDefault="00CA4355" w:rsidP="005C7F33">
      <w:pPr>
        <w:rPr>
          <w:b/>
          <w:i/>
          <w:szCs w:val="24"/>
        </w:rPr>
      </w:pPr>
    </w:p>
    <w:p w14:paraId="65FBFB7F" w14:textId="77777777" w:rsidR="00CA4355" w:rsidRPr="002B1535" w:rsidRDefault="00CA4355" w:rsidP="005C7F33">
      <w:pPr>
        <w:rPr>
          <w:szCs w:val="24"/>
        </w:rPr>
      </w:pPr>
      <w:r w:rsidRPr="002B1535">
        <w:rPr>
          <w:szCs w:val="24"/>
        </w:rPr>
        <w:t>Article 17 of the ICCPR provides:</w:t>
      </w:r>
    </w:p>
    <w:p w14:paraId="0EEC2450" w14:textId="77777777" w:rsidR="00CA4355" w:rsidRPr="002B1535" w:rsidRDefault="00CA4355" w:rsidP="005C7F33">
      <w:pPr>
        <w:rPr>
          <w:szCs w:val="24"/>
        </w:rPr>
      </w:pPr>
    </w:p>
    <w:p w14:paraId="1439B721" w14:textId="77777777" w:rsidR="00CA4355" w:rsidRPr="002B1535" w:rsidRDefault="00CA4355" w:rsidP="005C7F33">
      <w:pPr>
        <w:rPr>
          <w:i/>
          <w:szCs w:val="24"/>
        </w:rPr>
      </w:pPr>
      <w:r w:rsidRPr="002B1535">
        <w:rPr>
          <w:i/>
          <w:szCs w:val="24"/>
        </w:rPr>
        <w:t xml:space="preserve">1. No one shall be subjected to arbitrary or unlawful interference with his privacy, family, home or correspondence, nor to unlawful attacks on his honour and reputation. </w:t>
      </w:r>
    </w:p>
    <w:p w14:paraId="05332AF5" w14:textId="77777777" w:rsidR="00CA4355" w:rsidRPr="002B1535" w:rsidRDefault="00CA4355" w:rsidP="005C7F33">
      <w:pPr>
        <w:rPr>
          <w:i/>
          <w:szCs w:val="24"/>
        </w:rPr>
      </w:pPr>
      <w:r w:rsidRPr="002B1535">
        <w:rPr>
          <w:i/>
          <w:szCs w:val="24"/>
        </w:rPr>
        <w:t>2. Everyone has the right to the protection of the law against such interference or attacks.</w:t>
      </w:r>
    </w:p>
    <w:p w14:paraId="1703B4CD" w14:textId="77777777" w:rsidR="00CA4355" w:rsidRPr="002B1535" w:rsidRDefault="00CA4355" w:rsidP="005C7F33">
      <w:pPr>
        <w:rPr>
          <w:szCs w:val="24"/>
        </w:rPr>
      </w:pPr>
    </w:p>
    <w:p w14:paraId="043BCE01" w14:textId="77777777" w:rsidR="00CA4355" w:rsidRPr="002B1535" w:rsidRDefault="00CA4355" w:rsidP="005C7F33">
      <w:pPr>
        <w:rPr>
          <w:szCs w:val="24"/>
        </w:rPr>
      </w:pPr>
      <w:r w:rsidRPr="002B1535">
        <w:rPr>
          <w:szCs w:val="24"/>
        </w:rPr>
        <w:t>Collecting, using, storing, disclosing or publishing personal information amounts to an interference with privacy.  In order for the interference with privacy not to be ‘arbitrary’, any interference with privacy must be in accordance with the provisions, aims and objectives of the ICCPR and should be reasonable in the particular circumstances.  Reasonableness, in this context, incorporates notions of proportionality, appropriateness and necessity.</w:t>
      </w:r>
    </w:p>
    <w:p w14:paraId="055AB251" w14:textId="77777777" w:rsidR="00CA4355" w:rsidRPr="002B1535" w:rsidRDefault="00CA4355" w:rsidP="005C7F33">
      <w:pPr>
        <w:rPr>
          <w:szCs w:val="24"/>
        </w:rPr>
      </w:pPr>
    </w:p>
    <w:p w14:paraId="03777883" w14:textId="77777777" w:rsidR="00CF6E69" w:rsidRDefault="00CA4355" w:rsidP="005C7F33">
      <w:pPr>
        <w:rPr>
          <w:szCs w:val="24"/>
        </w:rPr>
      </w:pPr>
      <w:r w:rsidRPr="002B1535">
        <w:rPr>
          <w:szCs w:val="24"/>
        </w:rPr>
        <w:t xml:space="preserve">In authorising access to the IPND, the ACMA must assure itself that IPND information will be used for the </w:t>
      </w:r>
      <w:r w:rsidRPr="00996CA2">
        <w:rPr>
          <w:szCs w:val="24"/>
        </w:rPr>
        <w:t>purpose</w:t>
      </w:r>
      <w:r w:rsidR="00996CA2" w:rsidRPr="00996CA2">
        <w:rPr>
          <w:szCs w:val="24"/>
        </w:rPr>
        <w:t>s</w:t>
      </w:r>
      <w:r w:rsidRPr="002B1535">
        <w:rPr>
          <w:szCs w:val="24"/>
        </w:rPr>
        <w:t xml:space="preserve"> set out in the Telecommunications Act, and that applicants, if granted an authorisation, will comply with the </w:t>
      </w:r>
      <w:r w:rsidR="00562533">
        <w:rPr>
          <w:szCs w:val="24"/>
        </w:rPr>
        <w:t xml:space="preserve">Telecommunications </w:t>
      </w:r>
      <w:r w:rsidRPr="002B1535">
        <w:rPr>
          <w:szCs w:val="24"/>
        </w:rPr>
        <w:t xml:space="preserve">Act and any legislative instruments, including the IPND </w:t>
      </w:r>
      <w:r w:rsidR="00FE48FD">
        <w:rPr>
          <w:szCs w:val="24"/>
        </w:rPr>
        <w:t>S</w:t>
      </w:r>
      <w:r w:rsidRPr="002B1535">
        <w:rPr>
          <w:szCs w:val="24"/>
        </w:rPr>
        <w:t xml:space="preserve">cheme and </w:t>
      </w:r>
      <w:r w:rsidRPr="00996CA2">
        <w:rPr>
          <w:szCs w:val="24"/>
        </w:rPr>
        <w:t>conditions of authorisation.</w:t>
      </w:r>
    </w:p>
    <w:p w14:paraId="1956FE14" w14:textId="77777777" w:rsidR="00CF6E69" w:rsidRDefault="00CF6E69" w:rsidP="005C7F33">
      <w:pPr>
        <w:rPr>
          <w:szCs w:val="24"/>
        </w:rPr>
      </w:pPr>
    </w:p>
    <w:p w14:paraId="395DF97E" w14:textId="77777777" w:rsidR="00CF6E69" w:rsidRDefault="00D8029E" w:rsidP="005C7F33">
      <w:r w:rsidRPr="00397B43">
        <w:rPr>
          <w:szCs w:val="24"/>
        </w:rPr>
        <w:t>The criteria in the Instrument have been drafted in recognition of the sensitive nature of IPND information</w:t>
      </w:r>
      <w:r w:rsidR="00397B43">
        <w:rPr>
          <w:szCs w:val="24"/>
        </w:rPr>
        <w:t>, and work to</w:t>
      </w:r>
      <w:r w:rsidR="00CF6E69">
        <w:rPr>
          <w:szCs w:val="24"/>
        </w:rPr>
        <w:t xml:space="preserve"> ensure the privacy of the information is protected. </w:t>
      </w:r>
      <w:r w:rsidR="00421B91" w:rsidRPr="00397B43">
        <w:t>The ACMA is required to consider any processes applicant</w:t>
      </w:r>
      <w:r w:rsidR="00421B91">
        <w:t>s</w:t>
      </w:r>
      <w:r w:rsidR="00421B91" w:rsidRPr="00397B43">
        <w:t xml:space="preserve"> ha</w:t>
      </w:r>
      <w:r w:rsidR="00421B91">
        <w:t>ve</w:t>
      </w:r>
      <w:r w:rsidR="00421B91" w:rsidRPr="00397B43">
        <w:t xml:space="preserve"> in place, or intend to put in place, to protect the privacy and security of the IPND information.</w:t>
      </w:r>
    </w:p>
    <w:p w14:paraId="65392166" w14:textId="77777777" w:rsidR="00CF6E69" w:rsidRDefault="00CF6E69" w:rsidP="005C7F33"/>
    <w:p w14:paraId="5BC342F5" w14:textId="77777777" w:rsidR="00421B91" w:rsidRDefault="00D8029E" w:rsidP="005C7F33">
      <w:r w:rsidRPr="00397B43">
        <w:rPr>
          <w:szCs w:val="24"/>
          <w:lang w:eastAsia="en-AU"/>
        </w:rPr>
        <w:t>The application process</w:t>
      </w:r>
      <w:r w:rsidR="00360E67" w:rsidRPr="00397B43">
        <w:rPr>
          <w:szCs w:val="24"/>
          <w:lang w:eastAsia="en-AU"/>
        </w:rPr>
        <w:t xml:space="preserve"> </w:t>
      </w:r>
      <w:r w:rsidRPr="00397B43">
        <w:rPr>
          <w:szCs w:val="24"/>
          <w:lang w:eastAsia="en-AU"/>
        </w:rPr>
        <w:t xml:space="preserve">will enable </w:t>
      </w:r>
      <w:r w:rsidR="00360E67" w:rsidRPr="00397B43">
        <w:rPr>
          <w:szCs w:val="24"/>
          <w:lang w:eastAsia="en-AU"/>
        </w:rPr>
        <w:t xml:space="preserve">the </w:t>
      </w:r>
      <w:r w:rsidRPr="00397B43">
        <w:rPr>
          <w:szCs w:val="24"/>
          <w:lang w:eastAsia="en-AU"/>
        </w:rPr>
        <w:t xml:space="preserve">ACMA to scrutinise persons seeking access to </w:t>
      </w:r>
      <w:r w:rsidR="00360E67" w:rsidRPr="00397B43">
        <w:rPr>
          <w:szCs w:val="24"/>
          <w:lang w:eastAsia="en-AU"/>
        </w:rPr>
        <w:t xml:space="preserve">the </w:t>
      </w:r>
      <w:r w:rsidRPr="00397B43">
        <w:rPr>
          <w:szCs w:val="24"/>
          <w:lang w:eastAsia="en-AU"/>
        </w:rPr>
        <w:t xml:space="preserve">IPND </w:t>
      </w:r>
      <w:r w:rsidR="00360E67" w:rsidRPr="00397B43">
        <w:rPr>
          <w:szCs w:val="24"/>
        </w:rPr>
        <w:t>for the purposes of publishing and maintaining a public number directory or conducting research the Minister considers to be in the public interest. The criteria in the Instrument</w:t>
      </w:r>
      <w:r w:rsidR="00397B43">
        <w:rPr>
          <w:szCs w:val="24"/>
        </w:rPr>
        <w:t xml:space="preserve"> will</w:t>
      </w:r>
      <w:r w:rsidR="00360E67" w:rsidRPr="00397B43">
        <w:rPr>
          <w:szCs w:val="24"/>
        </w:rPr>
        <w:t xml:space="preserve"> also enable the ACMA to scrutinise </w:t>
      </w:r>
      <w:r w:rsidR="00360E67" w:rsidRPr="00397B43">
        <w:rPr>
          <w:szCs w:val="24"/>
          <w:lang w:eastAsia="en-AU"/>
        </w:rPr>
        <w:t>t</w:t>
      </w:r>
      <w:r w:rsidRPr="00397B43">
        <w:rPr>
          <w:szCs w:val="24"/>
          <w:lang w:eastAsia="en-AU"/>
        </w:rPr>
        <w:t xml:space="preserve">he way in which IPND information is proposed to be disclosed and used. Scrutiny by </w:t>
      </w:r>
      <w:r w:rsidR="00360E67" w:rsidRPr="00397B43">
        <w:rPr>
          <w:szCs w:val="24"/>
          <w:lang w:eastAsia="en-AU"/>
        </w:rPr>
        <w:t xml:space="preserve">the </w:t>
      </w:r>
      <w:r w:rsidRPr="00397B43">
        <w:rPr>
          <w:szCs w:val="24"/>
          <w:lang w:eastAsia="en-AU"/>
        </w:rPr>
        <w:t>ACMA is intended as a safeguard for preventing inappropriate use of IPND information by public number directory publishers.</w:t>
      </w:r>
      <w:r w:rsidR="00360E67" w:rsidRPr="00397B43">
        <w:t xml:space="preserve"> </w:t>
      </w:r>
    </w:p>
    <w:p w14:paraId="6CECA956" w14:textId="77777777" w:rsidR="00421B91" w:rsidRPr="00397B43" w:rsidRDefault="00421B91" w:rsidP="005C7F33">
      <w:pPr>
        <w:ind w:left="720"/>
        <w:rPr>
          <w:szCs w:val="24"/>
          <w:lang w:eastAsia="en-AU"/>
        </w:rPr>
      </w:pPr>
    </w:p>
    <w:p w14:paraId="4E293D81" w14:textId="52A3B81E" w:rsidR="00CA4355" w:rsidRPr="002B1535" w:rsidRDefault="00CA4355" w:rsidP="005C7F33">
      <w:pPr>
        <w:rPr>
          <w:szCs w:val="24"/>
        </w:rPr>
      </w:pPr>
      <w:r w:rsidRPr="002B1535">
        <w:rPr>
          <w:szCs w:val="24"/>
        </w:rPr>
        <w:t>These protections</w:t>
      </w:r>
      <w:r w:rsidR="00FD7CE3">
        <w:rPr>
          <w:szCs w:val="24"/>
        </w:rPr>
        <w:t xml:space="preserve"> in the IPND Scheme and the Telecommunications Act</w:t>
      </w:r>
      <w:r w:rsidRPr="002B1535">
        <w:rPr>
          <w:szCs w:val="24"/>
        </w:rPr>
        <w:t xml:space="preserve"> </w:t>
      </w:r>
      <w:r w:rsidR="00304797">
        <w:rPr>
          <w:szCs w:val="24"/>
        </w:rPr>
        <w:t>mean</w:t>
      </w:r>
      <w:r w:rsidRPr="002B1535">
        <w:rPr>
          <w:szCs w:val="24"/>
        </w:rPr>
        <w:t xml:space="preserve"> that IPND information is used only for strictly prescribed purposes and in defined circumstances.  To the extent that the measures in the </w:t>
      </w:r>
      <w:r w:rsidR="00743046">
        <w:rPr>
          <w:szCs w:val="24"/>
        </w:rPr>
        <w:t>I</w:t>
      </w:r>
      <w:r w:rsidR="00743046" w:rsidRPr="002B1535">
        <w:rPr>
          <w:szCs w:val="24"/>
        </w:rPr>
        <w:t xml:space="preserve">nstrument </w:t>
      </w:r>
      <w:r w:rsidRPr="002B1535">
        <w:rPr>
          <w:szCs w:val="24"/>
        </w:rPr>
        <w:t>limit the right to privacy, they are lawful and non-arbitrary.</w:t>
      </w:r>
    </w:p>
    <w:p w14:paraId="1F29620B" w14:textId="77777777" w:rsidR="00CA4355" w:rsidRPr="002B1535" w:rsidRDefault="00CA4355" w:rsidP="005C7F33">
      <w:pPr>
        <w:rPr>
          <w:szCs w:val="24"/>
        </w:rPr>
      </w:pPr>
    </w:p>
    <w:p w14:paraId="11A31438" w14:textId="77777777" w:rsidR="00CA4355" w:rsidRPr="002B1535" w:rsidRDefault="00CA4355" w:rsidP="005C7F33">
      <w:pPr>
        <w:rPr>
          <w:b/>
          <w:i/>
          <w:szCs w:val="24"/>
        </w:rPr>
      </w:pPr>
      <w:r w:rsidRPr="002B1535">
        <w:rPr>
          <w:b/>
          <w:i/>
          <w:szCs w:val="24"/>
        </w:rPr>
        <w:lastRenderedPageBreak/>
        <w:t>Conclusion</w:t>
      </w:r>
    </w:p>
    <w:p w14:paraId="384B621D" w14:textId="77777777" w:rsidR="00CA4355" w:rsidRPr="002B1535" w:rsidRDefault="00CA4355" w:rsidP="005C7F33">
      <w:pPr>
        <w:rPr>
          <w:b/>
          <w:i/>
          <w:szCs w:val="24"/>
        </w:rPr>
      </w:pPr>
    </w:p>
    <w:p w14:paraId="3EFFCE19" w14:textId="77777777" w:rsidR="00D31FE0" w:rsidRPr="008005DD" w:rsidRDefault="00CA4355" w:rsidP="005C7F33">
      <w:pPr>
        <w:rPr>
          <w:b/>
          <w:szCs w:val="24"/>
        </w:rPr>
      </w:pPr>
      <w:r w:rsidRPr="002B1535">
        <w:rPr>
          <w:szCs w:val="24"/>
        </w:rPr>
        <w:t xml:space="preserve">The </w:t>
      </w:r>
      <w:r w:rsidR="00743046">
        <w:rPr>
          <w:szCs w:val="24"/>
        </w:rPr>
        <w:t>I</w:t>
      </w:r>
      <w:r w:rsidR="00743046" w:rsidRPr="002B1535">
        <w:rPr>
          <w:szCs w:val="24"/>
        </w:rPr>
        <w:t xml:space="preserve">nstrument </w:t>
      </w:r>
      <w:r w:rsidRPr="002B1535">
        <w:rPr>
          <w:szCs w:val="24"/>
        </w:rPr>
        <w:t xml:space="preserve">is compatible with human rights. To the extent that it limits any human rights, those impacts are reasonable, necessary and proportionate.  </w:t>
      </w:r>
    </w:p>
    <w:sectPr w:rsidR="00D31FE0" w:rsidRPr="008005DD" w:rsidSect="000F18FC">
      <w:headerReference w:type="even" r:id="rId14"/>
      <w:headerReference w:type="default" r:id="rId15"/>
      <w:footerReference w:type="default" r:id="rId16"/>
      <w:footerReference w:type="first" r:id="rId17"/>
      <w:pgSz w:w="11906" w:h="16838" w:code="9"/>
      <w:pgMar w:top="1440" w:right="1797" w:bottom="1276"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DA95E" w14:textId="77777777" w:rsidR="0020020C" w:rsidRDefault="0020020C">
      <w:r>
        <w:separator/>
      </w:r>
    </w:p>
  </w:endnote>
  <w:endnote w:type="continuationSeparator" w:id="0">
    <w:p w14:paraId="1390C261" w14:textId="77777777" w:rsidR="0020020C" w:rsidRDefault="0020020C">
      <w:r>
        <w:continuationSeparator/>
      </w:r>
    </w:p>
  </w:endnote>
  <w:endnote w:type="continuationNotice" w:id="1">
    <w:p w14:paraId="103F1ECE" w14:textId="77777777" w:rsidR="0020020C" w:rsidRDefault="00200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412C" w14:textId="77777777" w:rsidR="00D50011" w:rsidRDefault="00D50011">
    <w:pPr>
      <w:pStyle w:val="Footer"/>
      <w:jc w:val="right"/>
    </w:pPr>
    <w:r>
      <w:fldChar w:fldCharType="begin"/>
    </w:r>
    <w:r>
      <w:instrText xml:space="preserve"> PAGE   \* MERGEFORMAT </w:instrText>
    </w:r>
    <w:r>
      <w:fldChar w:fldCharType="separate"/>
    </w:r>
    <w:r w:rsidR="00ED230F">
      <w:rPr>
        <w:noProof/>
      </w:rPr>
      <w:t>9</w:t>
    </w:r>
    <w:r>
      <w:rPr>
        <w:noProof/>
      </w:rPr>
      <w:fldChar w:fldCharType="end"/>
    </w:r>
  </w:p>
  <w:p w14:paraId="43661A83" w14:textId="77777777" w:rsidR="007A6DAD" w:rsidRPr="00812EF3" w:rsidRDefault="007A6DAD">
    <w:pPr>
      <w:pStyle w:val="Footer"/>
      <w:rPr>
        <w:rFonts w:ascii="Arial" w:hAnsi="Arial" w:cs="Arial"/>
        <w:b/>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7E7B" w14:textId="77777777" w:rsidR="007A6DAD" w:rsidRPr="00224761" w:rsidRDefault="007A6DAD">
    <w:pPr>
      <w:pStyle w:val="Footer"/>
      <w:rPr>
        <w:rFonts w:ascii="Arial" w:hAnsi="Arial" w:cs="Arial"/>
        <w:b/>
        <w:sz w:val="48"/>
        <w:szCs w:val="48"/>
      </w:rPr>
    </w:pPr>
    <w:r>
      <w:rPr>
        <w:rFonts w:ascii="Arial" w:hAnsi="Arial" w:cs="Arial"/>
        <w:sz w:val="48"/>
        <w:szCs w:val="4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0327A" w14:textId="77777777" w:rsidR="0020020C" w:rsidRDefault="0020020C">
      <w:r>
        <w:separator/>
      </w:r>
    </w:p>
  </w:footnote>
  <w:footnote w:type="continuationSeparator" w:id="0">
    <w:p w14:paraId="6FABB5FB" w14:textId="77777777" w:rsidR="0020020C" w:rsidRDefault="0020020C">
      <w:r>
        <w:continuationSeparator/>
      </w:r>
    </w:p>
  </w:footnote>
  <w:footnote w:type="continuationNotice" w:id="1">
    <w:p w14:paraId="60338C28" w14:textId="77777777" w:rsidR="0020020C" w:rsidRDefault="002002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6D92" w14:textId="77777777" w:rsidR="007A6DAD" w:rsidRDefault="007A6DAD" w:rsidP="007B03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267BB" w14:textId="77777777" w:rsidR="007A6DAD" w:rsidRDefault="007A6DAD" w:rsidP="00B765A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8228F" w14:textId="77777777" w:rsidR="007A6DAD" w:rsidRDefault="007A6DAD" w:rsidP="00B765A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129A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1890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F89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4C45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426A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96F1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A2C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E40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C09A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4A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63F28"/>
    <w:multiLevelType w:val="hybridMultilevel"/>
    <w:tmpl w:val="49B0742A"/>
    <w:lvl w:ilvl="0" w:tplc="0C090001">
      <w:start w:val="1"/>
      <w:numFmt w:val="bullet"/>
      <w:lvlText w:val=""/>
      <w:lvlJc w:val="left"/>
      <w:pPr>
        <w:ind w:left="1633" w:hanging="360"/>
      </w:pPr>
      <w:rPr>
        <w:rFonts w:ascii="Symbol" w:hAnsi="Symbol" w:hint="default"/>
      </w:rPr>
    </w:lvl>
    <w:lvl w:ilvl="1" w:tplc="0C090003" w:tentative="1">
      <w:start w:val="1"/>
      <w:numFmt w:val="bullet"/>
      <w:lvlText w:val="o"/>
      <w:lvlJc w:val="left"/>
      <w:pPr>
        <w:ind w:left="2353" w:hanging="360"/>
      </w:pPr>
      <w:rPr>
        <w:rFonts w:ascii="Courier New" w:hAnsi="Courier New" w:cs="Courier New" w:hint="default"/>
      </w:rPr>
    </w:lvl>
    <w:lvl w:ilvl="2" w:tplc="0C090005" w:tentative="1">
      <w:start w:val="1"/>
      <w:numFmt w:val="bullet"/>
      <w:lvlText w:val=""/>
      <w:lvlJc w:val="left"/>
      <w:pPr>
        <w:ind w:left="3073" w:hanging="360"/>
      </w:pPr>
      <w:rPr>
        <w:rFonts w:ascii="Wingdings" w:hAnsi="Wingdings" w:hint="default"/>
      </w:rPr>
    </w:lvl>
    <w:lvl w:ilvl="3" w:tplc="0C090001" w:tentative="1">
      <w:start w:val="1"/>
      <w:numFmt w:val="bullet"/>
      <w:lvlText w:val=""/>
      <w:lvlJc w:val="left"/>
      <w:pPr>
        <w:ind w:left="3793" w:hanging="360"/>
      </w:pPr>
      <w:rPr>
        <w:rFonts w:ascii="Symbol" w:hAnsi="Symbol" w:hint="default"/>
      </w:rPr>
    </w:lvl>
    <w:lvl w:ilvl="4" w:tplc="0C090003" w:tentative="1">
      <w:start w:val="1"/>
      <w:numFmt w:val="bullet"/>
      <w:lvlText w:val="o"/>
      <w:lvlJc w:val="left"/>
      <w:pPr>
        <w:ind w:left="4513" w:hanging="360"/>
      </w:pPr>
      <w:rPr>
        <w:rFonts w:ascii="Courier New" w:hAnsi="Courier New" w:cs="Courier New" w:hint="default"/>
      </w:rPr>
    </w:lvl>
    <w:lvl w:ilvl="5" w:tplc="0C090005" w:tentative="1">
      <w:start w:val="1"/>
      <w:numFmt w:val="bullet"/>
      <w:lvlText w:val=""/>
      <w:lvlJc w:val="left"/>
      <w:pPr>
        <w:ind w:left="5233" w:hanging="360"/>
      </w:pPr>
      <w:rPr>
        <w:rFonts w:ascii="Wingdings" w:hAnsi="Wingdings" w:hint="default"/>
      </w:rPr>
    </w:lvl>
    <w:lvl w:ilvl="6" w:tplc="0C090001" w:tentative="1">
      <w:start w:val="1"/>
      <w:numFmt w:val="bullet"/>
      <w:lvlText w:val=""/>
      <w:lvlJc w:val="left"/>
      <w:pPr>
        <w:ind w:left="5953" w:hanging="360"/>
      </w:pPr>
      <w:rPr>
        <w:rFonts w:ascii="Symbol" w:hAnsi="Symbol" w:hint="default"/>
      </w:rPr>
    </w:lvl>
    <w:lvl w:ilvl="7" w:tplc="0C090003" w:tentative="1">
      <w:start w:val="1"/>
      <w:numFmt w:val="bullet"/>
      <w:lvlText w:val="o"/>
      <w:lvlJc w:val="left"/>
      <w:pPr>
        <w:ind w:left="6673" w:hanging="360"/>
      </w:pPr>
      <w:rPr>
        <w:rFonts w:ascii="Courier New" w:hAnsi="Courier New" w:cs="Courier New" w:hint="default"/>
      </w:rPr>
    </w:lvl>
    <w:lvl w:ilvl="8" w:tplc="0C090005" w:tentative="1">
      <w:start w:val="1"/>
      <w:numFmt w:val="bullet"/>
      <w:lvlText w:val=""/>
      <w:lvlJc w:val="left"/>
      <w:pPr>
        <w:ind w:left="7393" w:hanging="360"/>
      </w:pPr>
      <w:rPr>
        <w:rFonts w:ascii="Wingdings" w:hAnsi="Wingdings" w:hint="default"/>
      </w:rPr>
    </w:lvl>
  </w:abstractNum>
  <w:abstractNum w:abstractNumId="11" w15:restartNumberingAfterBreak="0">
    <w:nsid w:val="0580423D"/>
    <w:multiLevelType w:val="hybridMultilevel"/>
    <w:tmpl w:val="F06CE5FA"/>
    <w:lvl w:ilvl="0" w:tplc="15EC7A44">
      <w:start w:val="1"/>
      <w:numFmt w:val="bullet"/>
      <w:lvlText w:val=""/>
      <w:lvlJc w:val="left"/>
      <w:pPr>
        <w:tabs>
          <w:tab w:val="num" w:pos="417"/>
        </w:tabs>
        <w:ind w:left="417" w:hanging="357"/>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08B77ADC"/>
    <w:multiLevelType w:val="hybridMultilevel"/>
    <w:tmpl w:val="3B18687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323309"/>
    <w:multiLevelType w:val="multilevel"/>
    <w:tmpl w:val="31D04818"/>
    <w:lvl w:ilvl="0">
      <w:start w:val="1"/>
      <w:numFmt w:val="decimal"/>
      <w:pStyle w:val="Heading1"/>
      <w:lvlText w:val="%1"/>
      <w:lvlJc w:val="left"/>
      <w:pPr>
        <w:tabs>
          <w:tab w:val="num" w:pos="432"/>
        </w:tabs>
        <w:ind w:left="432" w:hanging="432"/>
      </w:pPr>
      <w:rPr>
        <w:rFonts w:hint="default"/>
      </w:rPr>
    </w:lvl>
    <w:lvl w:ilvl="1">
      <w:start w:val="1"/>
      <w:numFmt w:val="none"/>
      <w:lvlText w:val="4.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2%2.10.%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EE46E28"/>
    <w:multiLevelType w:val="hybridMultilevel"/>
    <w:tmpl w:val="A65CAE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31D60D0"/>
    <w:multiLevelType w:val="hybridMultilevel"/>
    <w:tmpl w:val="42D411CC"/>
    <w:lvl w:ilvl="0" w:tplc="EDF2E0F0">
      <w:start w:val="1"/>
      <w:numFmt w:val="lowerLetter"/>
      <w:lvlText w:val="(%1)"/>
      <w:lvlJc w:val="left"/>
      <w:pPr>
        <w:tabs>
          <w:tab w:val="num" w:pos="360"/>
        </w:tabs>
        <w:ind w:left="360" w:hanging="360"/>
      </w:pPr>
      <w:rPr>
        <w:rFonts w:hint="default"/>
      </w:rPr>
    </w:lvl>
    <w:lvl w:ilvl="1" w:tplc="C93C7920">
      <w:start w:val="1"/>
      <w:numFmt w:val="decimal"/>
      <w:lvlText w:val="%2."/>
      <w:lvlJc w:val="left"/>
      <w:pPr>
        <w:tabs>
          <w:tab w:val="num" w:pos="872"/>
        </w:tabs>
        <w:ind w:left="872" w:hanging="360"/>
      </w:pPr>
      <w:rPr>
        <w:rFonts w:hint="default"/>
      </w:rPr>
    </w:lvl>
    <w:lvl w:ilvl="2" w:tplc="0C09001B" w:tentative="1">
      <w:start w:val="1"/>
      <w:numFmt w:val="lowerRoman"/>
      <w:lvlText w:val="%3."/>
      <w:lvlJc w:val="right"/>
      <w:pPr>
        <w:tabs>
          <w:tab w:val="num" w:pos="1592"/>
        </w:tabs>
        <w:ind w:left="1592" w:hanging="180"/>
      </w:pPr>
    </w:lvl>
    <w:lvl w:ilvl="3" w:tplc="0C09000F" w:tentative="1">
      <w:start w:val="1"/>
      <w:numFmt w:val="decimal"/>
      <w:lvlText w:val="%4."/>
      <w:lvlJc w:val="left"/>
      <w:pPr>
        <w:tabs>
          <w:tab w:val="num" w:pos="2312"/>
        </w:tabs>
        <w:ind w:left="2312" w:hanging="360"/>
      </w:pPr>
    </w:lvl>
    <w:lvl w:ilvl="4" w:tplc="0C090019" w:tentative="1">
      <w:start w:val="1"/>
      <w:numFmt w:val="lowerLetter"/>
      <w:lvlText w:val="%5."/>
      <w:lvlJc w:val="left"/>
      <w:pPr>
        <w:tabs>
          <w:tab w:val="num" w:pos="3032"/>
        </w:tabs>
        <w:ind w:left="3032" w:hanging="360"/>
      </w:pPr>
    </w:lvl>
    <w:lvl w:ilvl="5" w:tplc="0C09001B" w:tentative="1">
      <w:start w:val="1"/>
      <w:numFmt w:val="lowerRoman"/>
      <w:lvlText w:val="%6."/>
      <w:lvlJc w:val="right"/>
      <w:pPr>
        <w:tabs>
          <w:tab w:val="num" w:pos="3752"/>
        </w:tabs>
        <w:ind w:left="3752" w:hanging="180"/>
      </w:pPr>
    </w:lvl>
    <w:lvl w:ilvl="6" w:tplc="0C09000F" w:tentative="1">
      <w:start w:val="1"/>
      <w:numFmt w:val="decimal"/>
      <w:lvlText w:val="%7."/>
      <w:lvlJc w:val="left"/>
      <w:pPr>
        <w:tabs>
          <w:tab w:val="num" w:pos="4472"/>
        </w:tabs>
        <w:ind w:left="4472" w:hanging="360"/>
      </w:pPr>
    </w:lvl>
    <w:lvl w:ilvl="7" w:tplc="0C090019" w:tentative="1">
      <w:start w:val="1"/>
      <w:numFmt w:val="lowerLetter"/>
      <w:lvlText w:val="%8."/>
      <w:lvlJc w:val="left"/>
      <w:pPr>
        <w:tabs>
          <w:tab w:val="num" w:pos="5192"/>
        </w:tabs>
        <w:ind w:left="5192" w:hanging="360"/>
      </w:pPr>
    </w:lvl>
    <w:lvl w:ilvl="8" w:tplc="0C09001B" w:tentative="1">
      <w:start w:val="1"/>
      <w:numFmt w:val="lowerRoman"/>
      <w:lvlText w:val="%9."/>
      <w:lvlJc w:val="right"/>
      <w:pPr>
        <w:tabs>
          <w:tab w:val="num" w:pos="5912"/>
        </w:tabs>
        <w:ind w:left="5912" w:hanging="180"/>
      </w:pPr>
    </w:lvl>
  </w:abstractNum>
  <w:abstractNum w:abstractNumId="16" w15:restartNumberingAfterBreak="0">
    <w:nsid w:val="144415D9"/>
    <w:multiLevelType w:val="hybridMultilevel"/>
    <w:tmpl w:val="D7321128"/>
    <w:lvl w:ilvl="0" w:tplc="5EEAD192">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4B2312A"/>
    <w:multiLevelType w:val="hybridMultilevel"/>
    <w:tmpl w:val="D4CC3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C13C95"/>
    <w:multiLevelType w:val="hybridMultilevel"/>
    <w:tmpl w:val="477E1C3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20D1546"/>
    <w:multiLevelType w:val="hybridMultilevel"/>
    <w:tmpl w:val="8C08A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997C03"/>
    <w:multiLevelType w:val="hybridMultilevel"/>
    <w:tmpl w:val="A5FAF544"/>
    <w:lvl w:ilvl="0" w:tplc="C5E2065A">
      <w:start w:val="1"/>
      <w:numFmt w:val="bullet"/>
      <w:lvlText w:val=""/>
      <w:lvlJc w:val="left"/>
      <w:pPr>
        <w:tabs>
          <w:tab w:val="num" w:pos="360"/>
        </w:tabs>
        <w:ind w:left="360" w:hanging="360"/>
      </w:pPr>
      <w:rPr>
        <w:rFonts w:ascii="Symbol" w:hAnsi="Symbol" w:hint="default"/>
        <w:sz w:val="20"/>
        <w:szCs w:val="2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D3B6E27"/>
    <w:multiLevelType w:val="hybridMultilevel"/>
    <w:tmpl w:val="3650FA06"/>
    <w:lvl w:ilvl="0" w:tplc="C5E2065A">
      <w:start w:val="1"/>
      <w:numFmt w:val="bullet"/>
      <w:lvlText w:val=""/>
      <w:lvlJc w:val="left"/>
      <w:pPr>
        <w:tabs>
          <w:tab w:val="num" w:pos="360"/>
        </w:tabs>
        <w:ind w:left="360" w:hanging="360"/>
      </w:pPr>
      <w:rPr>
        <w:rFonts w:ascii="Symbol" w:hAnsi="Symbol" w:hint="default"/>
        <w:sz w:val="20"/>
        <w:szCs w:val="20"/>
      </w:rPr>
    </w:lvl>
    <w:lvl w:ilvl="1" w:tplc="F4AC2B10">
      <w:start w:val="1"/>
      <w:numFmt w:val="bullet"/>
      <w:lvlText w:val="­"/>
      <w:lvlJc w:val="left"/>
      <w:pPr>
        <w:tabs>
          <w:tab w:val="num" w:pos="1080"/>
        </w:tabs>
        <w:ind w:left="1080" w:hanging="360"/>
      </w:pPr>
      <w:rPr>
        <w:rFonts w:ascii="Courier New" w:hAnsi="Courier New" w:hint="default"/>
        <w:sz w:val="20"/>
        <w:szCs w:val="2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667688"/>
    <w:multiLevelType w:val="hybridMultilevel"/>
    <w:tmpl w:val="134A7A6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88E5E55"/>
    <w:multiLevelType w:val="hybridMultilevel"/>
    <w:tmpl w:val="7396BC94"/>
    <w:lvl w:ilvl="0" w:tplc="0C09000F">
      <w:start w:val="1"/>
      <w:numFmt w:val="decimal"/>
      <w:lvlText w:val="%1."/>
      <w:lvlJc w:val="left"/>
      <w:pPr>
        <w:ind w:left="1633" w:hanging="360"/>
      </w:pPr>
      <w:rPr>
        <w:rFonts w:hint="default"/>
      </w:rPr>
    </w:lvl>
    <w:lvl w:ilvl="1" w:tplc="0C090003" w:tentative="1">
      <w:start w:val="1"/>
      <w:numFmt w:val="bullet"/>
      <w:lvlText w:val="o"/>
      <w:lvlJc w:val="left"/>
      <w:pPr>
        <w:ind w:left="2353" w:hanging="360"/>
      </w:pPr>
      <w:rPr>
        <w:rFonts w:ascii="Courier New" w:hAnsi="Courier New" w:cs="Courier New" w:hint="default"/>
      </w:rPr>
    </w:lvl>
    <w:lvl w:ilvl="2" w:tplc="0C090005" w:tentative="1">
      <w:start w:val="1"/>
      <w:numFmt w:val="bullet"/>
      <w:lvlText w:val=""/>
      <w:lvlJc w:val="left"/>
      <w:pPr>
        <w:ind w:left="3073" w:hanging="360"/>
      </w:pPr>
      <w:rPr>
        <w:rFonts w:ascii="Wingdings" w:hAnsi="Wingdings" w:hint="default"/>
      </w:rPr>
    </w:lvl>
    <w:lvl w:ilvl="3" w:tplc="0C090001" w:tentative="1">
      <w:start w:val="1"/>
      <w:numFmt w:val="bullet"/>
      <w:lvlText w:val=""/>
      <w:lvlJc w:val="left"/>
      <w:pPr>
        <w:ind w:left="3793" w:hanging="360"/>
      </w:pPr>
      <w:rPr>
        <w:rFonts w:ascii="Symbol" w:hAnsi="Symbol" w:hint="default"/>
      </w:rPr>
    </w:lvl>
    <w:lvl w:ilvl="4" w:tplc="0C090003" w:tentative="1">
      <w:start w:val="1"/>
      <w:numFmt w:val="bullet"/>
      <w:lvlText w:val="o"/>
      <w:lvlJc w:val="left"/>
      <w:pPr>
        <w:ind w:left="4513" w:hanging="360"/>
      </w:pPr>
      <w:rPr>
        <w:rFonts w:ascii="Courier New" w:hAnsi="Courier New" w:cs="Courier New" w:hint="default"/>
      </w:rPr>
    </w:lvl>
    <w:lvl w:ilvl="5" w:tplc="0C090005" w:tentative="1">
      <w:start w:val="1"/>
      <w:numFmt w:val="bullet"/>
      <w:lvlText w:val=""/>
      <w:lvlJc w:val="left"/>
      <w:pPr>
        <w:ind w:left="5233" w:hanging="360"/>
      </w:pPr>
      <w:rPr>
        <w:rFonts w:ascii="Wingdings" w:hAnsi="Wingdings" w:hint="default"/>
      </w:rPr>
    </w:lvl>
    <w:lvl w:ilvl="6" w:tplc="0C090001" w:tentative="1">
      <w:start w:val="1"/>
      <w:numFmt w:val="bullet"/>
      <w:lvlText w:val=""/>
      <w:lvlJc w:val="left"/>
      <w:pPr>
        <w:ind w:left="5953" w:hanging="360"/>
      </w:pPr>
      <w:rPr>
        <w:rFonts w:ascii="Symbol" w:hAnsi="Symbol" w:hint="default"/>
      </w:rPr>
    </w:lvl>
    <w:lvl w:ilvl="7" w:tplc="0C090003" w:tentative="1">
      <w:start w:val="1"/>
      <w:numFmt w:val="bullet"/>
      <w:lvlText w:val="o"/>
      <w:lvlJc w:val="left"/>
      <w:pPr>
        <w:ind w:left="6673" w:hanging="360"/>
      </w:pPr>
      <w:rPr>
        <w:rFonts w:ascii="Courier New" w:hAnsi="Courier New" w:cs="Courier New" w:hint="default"/>
      </w:rPr>
    </w:lvl>
    <w:lvl w:ilvl="8" w:tplc="0C090005" w:tentative="1">
      <w:start w:val="1"/>
      <w:numFmt w:val="bullet"/>
      <w:lvlText w:val=""/>
      <w:lvlJc w:val="left"/>
      <w:pPr>
        <w:ind w:left="7393" w:hanging="360"/>
      </w:pPr>
      <w:rPr>
        <w:rFonts w:ascii="Wingdings" w:hAnsi="Wingdings" w:hint="default"/>
      </w:rPr>
    </w:lvl>
  </w:abstractNum>
  <w:abstractNum w:abstractNumId="24" w15:restartNumberingAfterBreak="0">
    <w:nsid w:val="3B9045C6"/>
    <w:multiLevelType w:val="hybridMultilevel"/>
    <w:tmpl w:val="D352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1353"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FA1BB3"/>
    <w:multiLevelType w:val="multilevel"/>
    <w:tmpl w:val="D7321128"/>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4AF1D67"/>
    <w:multiLevelType w:val="hybridMultilevel"/>
    <w:tmpl w:val="5E46206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C66AB3"/>
    <w:multiLevelType w:val="hybridMultilevel"/>
    <w:tmpl w:val="4202D4F8"/>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7612010"/>
    <w:multiLevelType w:val="multilevel"/>
    <w:tmpl w:val="A5FAF544"/>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89B295B"/>
    <w:multiLevelType w:val="multilevel"/>
    <w:tmpl w:val="233AC3FA"/>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99B06A3"/>
    <w:multiLevelType w:val="hybridMultilevel"/>
    <w:tmpl w:val="9272B3B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3D1BBB"/>
    <w:multiLevelType w:val="hybridMultilevel"/>
    <w:tmpl w:val="7DC4704A"/>
    <w:lvl w:ilvl="0" w:tplc="0E02D71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0230865"/>
    <w:multiLevelType w:val="singleLevel"/>
    <w:tmpl w:val="6778C91C"/>
    <w:lvl w:ilvl="0">
      <w:start w:val="1"/>
      <w:numFmt w:val="lowerLetter"/>
      <w:lvlText w:val="(%1)"/>
      <w:lvlJc w:val="left"/>
      <w:pPr>
        <w:tabs>
          <w:tab w:val="num" w:pos="1794"/>
        </w:tabs>
        <w:ind w:left="1794" w:hanging="660"/>
      </w:pPr>
      <w:rPr>
        <w:rFonts w:hint="default"/>
      </w:rPr>
    </w:lvl>
  </w:abstractNum>
  <w:abstractNum w:abstractNumId="33" w15:restartNumberingAfterBreak="0">
    <w:nsid w:val="5378658E"/>
    <w:multiLevelType w:val="hybridMultilevel"/>
    <w:tmpl w:val="B0846D1E"/>
    <w:lvl w:ilvl="0" w:tplc="6772D5F4">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8032660"/>
    <w:multiLevelType w:val="multilevel"/>
    <w:tmpl w:val="C8F2A55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90E30AC"/>
    <w:multiLevelType w:val="hybridMultilevel"/>
    <w:tmpl w:val="F080206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173940"/>
    <w:multiLevelType w:val="hybridMultilevel"/>
    <w:tmpl w:val="72907F98"/>
    <w:lvl w:ilvl="0" w:tplc="F0CC7558">
      <w:start w:val="1"/>
      <w:numFmt w:val="lowerLetter"/>
      <w:lvlText w:val="(%1)"/>
      <w:lvlJc w:val="left"/>
      <w:pPr>
        <w:tabs>
          <w:tab w:val="num" w:pos="1080"/>
        </w:tabs>
        <w:ind w:left="1080" w:hanging="720"/>
      </w:pPr>
      <w:rPr>
        <w:rFonts w:hint="default"/>
      </w:rPr>
    </w:lvl>
    <w:lvl w:ilvl="1" w:tplc="5406F3E0">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38776B3"/>
    <w:multiLevelType w:val="hybridMultilevel"/>
    <w:tmpl w:val="0AF0FBC0"/>
    <w:lvl w:ilvl="0" w:tplc="5EEAD192">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5B4683D"/>
    <w:multiLevelType w:val="hybridMultilevel"/>
    <w:tmpl w:val="4D2283BC"/>
    <w:lvl w:ilvl="0" w:tplc="15EC7A44">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87AB8"/>
    <w:multiLevelType w:val="hybridMultilevel"/>
    <w:tmpl w:val="A00206C8"/>
    <w:lvl w:ilvl="0" w:tplc="F8BCF1C4">
      <w:start w:val="1"/>
      <w:numFmt w:val="lowerLetter"/>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0" w15:restartNumberingAfterBreak="0">
    <w:nsid w:val="676D1EF0"/>
    <w:multiLevelType w:val="hybridMultilevel"/>
    <w:tmpl w:val="270088AE"/>
    <w:lvl w:ilvl="0" w:tplc="15EC7A44">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9310D5"/>
    <w:multiLevelType w:val="hybridMultilevel"/>
    <w:tmpl w:val="D8665F0E"/>
    <w:lvl w:ilvl="0" w:tplc="885CB130">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2" w15:restartNumberingAfterBreak="0">
    <w:nsid w:val="6A661B1F"/>
    <w:multiLevelType w:val="multilevel"/>
    <w:tmpl w:val="F080206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C9024D"/>
    <w:multiLevelType w:val="hybridMultilevel"/>
    <w:tmpl w:val="D610E24A"/>
    <w:lvl w:ilvl="0" w:tplc="15EC7A44">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A559D2"/>
    <w:multiLevelType w:val="hybridMultilevel"/>
    <w:tmpl w:val="0DEEC4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7E4429"/>
    <w:multiLevelType w:val="hybridMultilevel"/>
    <w:tmpl w:val="162A991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79B314F6"/>
    <w:multiLevelType w:val="hybridMultilevel"/>
    <w:tmpl w:val="A27E326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26"/>
  </w:num>
  <w:num w:numId="4">
    <w:abstractNumId w:val="16"/>
  </w:num>
  <w:num w:numId="5">
    <w:abstractNumId w:val="25"/>
  </w:num>
  <w:num w:numId="6">
    <w:abstractNumId w:val="27"/>
  </w:num>
  <w:num w:numId="7">
    <w:abstractNumId w:val="37"/>
  </w:num>
  <w:num w:numId="8">
    <w:abstractNumId w:val="15"/>
  </w:num>
  <w:num w:numId="9">
    <w:abstractNumId w:val="39"/>
  </w:num>
  <w:num w:numId="10">
    <w:abstractNumId w:val="18"/>
  </w:num>
  <w:num w:numId="11">
    <w:abstractNumId w:val="34"/>
  </w:num>
  <w:num w:numId="12">
    <w:abstractNumId w:val="46"/>
  </w:num>
  <w:num w:numId="13">
    <w:abstractNumId w:val="22"/>
  </w:num>
  <w:num w:numId="14">
    <w:abstractNumId w:val="45"/>
  </w:num>
  <w:num w:numId="15">
    <w:abstractNumId w:val="3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5"/>
  </w:num>
  <w:num w:numId="27">
    <w:abstractNumId w:val="41"/>
  </w:num>
  <w:num w:numId="28">
    <w:abstractNumId w:val="42"/>
  </w:num>
  <w:num w:numId="29">
    <w:abstractNumId w:val="20"/>
  </w:num>
  <w:num w:numId="30">
    <w:abstractNumId w:val="28"/>
  </w:num>
  <w:num w:numId="31">
    <w:abstractNumId w:val="21"/>
  </w:num>
  <w:num w:numId="32">
    <w:abstractNumId w:val="40"/>
  </w:num>
  <w:num w:numId="33">
    <w:abstractNumId w:val="44"/>
  </w:num>
  <w:num w:numId="34">
    <w:abstractNumId w:val="43"/>
  </w:num>
  <w:num w:numId="35">
    <w:abstractNumId w:val="36"/>
  </w:num>
  <w:num w:numId="36">
    <w:abstractNumId w:val="29"/>
  </w:num>
  <w:num w:numId="37">
    <w:abstractNumId w:val="33"/>
  </w:num>
  <w:num w:numId="38">
    <w:abstractNumId w:val="31"/>
  </w:num>
  <w:num w:numId="39">
    <w:abstractNumId w:val="32"/>
  </w:num>
  <w:num w:numId="40">
    <w:abstractNumId w:val="38"/>
  </w:num>
  <w:num w:numId="41">
    <w:abstractNumId w:val="11"/>
  </w:num>
  <w:num w:numId="42">
    <w:abstractNumId w:val="19"/>
  </w:num>
  <w:num w:numId="43">
    <w:abstractNumId w:val="24"/>
  </w:num>
  <w:num w:numId="44">
    <w:abstractNumId w:val="10"/>
  </w:num>
  <w:num w:numId="45">
    <w:abstractNumId w:val="23"/>
  </w:num>
  <w:num w:numId="46">
    <w:abstractNumId w:val="1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A9"/>
    <w:rsid w:val="0000068F"/>
    <w:rsid w:val="00001EC8"/>
    <w:rsid w:val="00002CAA"/>
    <w:rsid w:val="0000449F"/>
    <w:rsid w:val="00005154"/>
    <w:rsid w:val="000122B8"/>
    <w:rsid w:val="0001311F"/>
    <w:rsid w:val="000134C4"/>
    <w:rsid w:val="00013D83"/>
    <w:rsid w:val="00020837"/>
    <w:rsid w:val="00021320"/>
    <w:rsid w:val="00022E6E"/>
    <w:rsid w:val="00030AD8"/>
    <w:rsid w:val="00032462"/>
    <w:rsid w:val="0003341B"/>
    <w:rsid w:val="00040EE3"/>
    <w:rsid w:val="000410A9"/>
    <w:rsid w:val="00045473"/>
    <w:rsid w:val="0004613B"/>
    <w:rsid w:val="000477E4"/>
    <w:rsid w:val="00047A97"/>
    <w:rsid w:val="00053C27"/>
    <w:rsid w:val="00055F64"/>
    <w:rsid w:val="00061514"/>
    <w:rsid w:val="00061BE5"/>
    <w:rsid w:val="00065E99"/>
    <w:rsid w:val="00066DDF"/>
    <w:rsid w:val="00067239"/>
    <w:rsid w:val="00070FDF"/>
    <w:rsid w:val="000714B5"/>
    <w:rsid w:val="00072DA9"/>
    <w:rsid w:val="000745CA"/>
    <w:rsid w:val="00076ADA"/>
    <w:rsid w:val="00076ED3"/>
    <w:rsid w:val="00077442"/>
    <w:rsid w:val="00077AEE"/>
    <w:rsid w:val="00081DAB"/>
    <w:rsid w:val="00082305"/>
    <w:rsid w:val="00084228"/>
    <w:rsid w:val="000864DD"/>
    <w:rsid w:val="000879C9"/>
    <w:rsid w:val="00092CCB"/>
    <w:rsid w:val="000940F8"/>
    <w:rsid w:val="00097E61"/>
    <w:rsid w:val="000A0B95"/>
    <w:rsid w:val="000A0CF9"/>
    <w:rsid w:val="000A50AB"/>
    <w:rsid w:val="000A571E"/>
    <w:rsid w:val="000A7750"/>
    <w:rsid w:val="000A7BDB"/>
    <w:rsid w:val="000B270F"/>
    <w:rsid w:val="000B3387"/>
    <w:rsid w:val="000B355A"/>
    <w:rsid w:val="000B3F25"/>
    <w:rsid w:val="000B67CF"/>
    <w:rsid w:val="000B67DA"/>
    <w:rsid w:val="000B77AA"/>
    <w:rsid w:val="000C3959"/>
    <w:rsid w:val="000C4EA1"/>
    <w:rsid w:val="000C65A6"/>
    <w:rsid w:val="000C6F44"/>
    <w:rsid w:val="000D023D"/>
    <w:rsid w:val="000D0ED0"/>
    <w:rsid w:val="000D5522"/>
    <w:rsid w:val="000D76BA"/>
    <w:rsid w:val="000E11FA"/>
    <w:rsid w:val="000E528A"/>
    <w:rsid w:val="000E558C"/>
    <w:rsid w:val="000F18FC"/>
    <w:rsid w:val="000F31E1"/>
    <w:rsid w:val="000F3571"/>
    <w:rsid w:val="00104CD9"/>
    <w:rsid w:val="00106BFC"/>
    <w:rsid w:val="001107AF"/>
    <w:rsid w:val="00111980"/>
    <w:rsid w:val="00112F37"/>
    <w:rsid w:val="001216CD"/>
    <w:rsid w:val="001219B2"/>
    <w:rsid w:val="00123AE6"/>
    <w:rsid w:val="00123FF9"/>
    <w:rsid w:val="0012400D"/>
    <w:rsid w:val="0012403D"/>
    <w:rsid w:val="001249B1"/>
    <w:rsid w:val="00126EB0"/>
    <w:rsid w:val="00137317"/>
    <w:rsid w:val="00137330"/>
    <w:rsid w:val="00142A16"/>
    <w:rsid w:val="00144972"/>
    <w:rsid w:val="00146632"/>
    <w:rsid w:val="00147E6A"/>
    <w:rsid w:val="00150356"/>
    <w:rsid w:val="001523B4"/>
    <w:rsid w:val="00153B95"/>
    <w:rsid w:val="001602AD"/>
    <w:rsid w:val="00160510"/>
    <w:rsid w:val="001616B3"/>
    <w:rsid w:val="0016492B"/>
    <w:rsid w:val="0016539A"/>
    <w:rsid w:val="00165AD7"/>
    <w:rsid w:val="00166CEC"/>
    <w:rsid w:val="00172127"/>
    <w:rsid w:val="00172368"/>
    <w:rsid w:val="0017331D"/>
    <w:rsid w:val="00176B12"/>
    <w:rsid w:val="00176C8B"/>
    <w:rsid w:val="001829FD"/>
    <w:rsid w:val="0018646A"/>
    <w:rsid w:val="00187A30"/>
    <w:rsid w:val="001923FD"/>
    <w:rsid w:val="00194298"/>
    <w:rsid w:val="00194B28"/>
    <w:rsid w:val="00195D00"/>
    <w:rsid w:val="001A028B"/>
    <w:rsid w:val="001A0ADD"/>
    <w:rsid w:val="001A30E7"/>
    <w:rsid w:val="001A3E6D"/>
    <w:rsid w:val="001A59D7"/>
    <w:rsid w:val="001A6C15"/>
    <w:rsid w:val="001A7393"/>
    <w:rsid w:val="001B13AF"/>
    <w:rsid w:val="001B2245"/>
    <w:rsid w:val="001B3C98"/>
    <w:rsid w:val="001C0907"/>
    <w:rsid w:val="001C410E"/>
    <w:rsid w:val="001D1CD6"/>
    <w:rsid w:val="001D4111"/>
    <w:rsid w:val="001D56E3"/>
    <w:rsid w:val="001D69D6"/>
    <w:rsid w:val="001D7C6E"/>
    <w:rsid w:val="001E1A0A"/>
    <w:rsid w:val="001E3884"/>
    <w:rsid w:val="001E5F1E"/>
    <w:rsid w:val="001E609C"/>
    <w:rsid w:val="001E7E78"/>
    <w:rsid w:val="001F320C"/>
    <w:rsid w:val="001F3374"/>
    <w:rsid w:val="0020020C"/>
    <w:rsid w:val="0020280C"/>
    <w:rsid w:val="00204118"/>
    <w:rsid w:val="00205D0F"/>
    <w:rsid w:val="00206BB0"/>
    <w:rsid w:val="002124A7"/>
    <w:rsid w:val="00213ED1"/>
    <w:rsid w:val="00222446"/>
    <w:rsid w:val="00224761"/>
    <w:rsid w:val="002256DF"/>
    <w:rsid w:val="002257F6"/>
    <w:rsid w:val="002266F9"/>
    <w:rsid w:val="002273FD"/>
    <w:rsid w:val="00230D3E"/>
    <w:rsid w:val="00233AC2"/>
    <w:rsid w:val="00235696"/>
    <w:rsid w:val="00242763"/>
    <w:rsid w:val="002433D5"/>
    <w:rsid w:val="00244955"/>
    <w:rsid w:val="002504CC"/>
    <w:rsid w:val="002507BD"/>
    <w:rsid w:val="0025394F"/>
    <w:rsid w:val="00253F4D"/>
    <w:rsid w:val="00253FB9"/>
    <w:rsid w:val="002622AB"/>
    <w:rsid w:val="002631B9"/>
    <w:rsid w:val="00263958"/>
    <w:rsid w:val="00264620"/>
    <w:rsid w:val="00267C59"/>
    <w:rsid w:val="00270B6D"/>
    <w:rsid w:val="002829B0"/>
    <w:rsid w:val="0028690A"/>
    <w:rsid w:val="00290874"/>
    <w:rsid w:val="002924DF"/>
    <w:rsid w:val="002A313A"/>
    <w:rsid w:val="002A4926"/>
    <w:rsid w:val="002A4CE9"/>
    <w:rsid w:val="002A77E0"/>
    <w:rsid w:val="002B1535"/>
    <w:rsid w:val="002B29CE"/>
    <w:rsid w:val="002B2ADF"/>
    <w:rsid w:val="002B738E"/>
    <w:rsid w:val="002B7A23"/>
    <w:rsid w:val="002C052F"/>
    <w:rsid w:val="002C0FF4"/>
    <w:rsid w:val="002C265C"/>
    <w:rsid w:val="002C463E"/>
    <w:rsid w:val="002C7F37"/>
    <w:rsid w:val="002D012E"/>
    <w:rsid w:val="002D05E5"/>
    <w:rsid w:val="002D2436"/>
    <w:rsid w:val="002D44B3"/>
    <w:rsid w:val="002D53B5"/>
    <w:rsid w:val="002E16E9"/>
    <w:rsid w:val="00301387"/>
    <w:rsid w:val="00301557"/>
    <w:rsid w:val="0030207D"/>
    <w:rsid w:val="00304797"/>
    <w:rsid w:val="00304E5C"/>
    <w:rsid w:val="0030743E"/>
    <w:rsid w:val="00311A99"/>
    <w:rsid w:val="00311CF6"/>
    <w:rsid w:val="00313687"/>
    <w:rsid w:val="00316447"/>
    <w:rsid w:val="00321538"/>
    <w:rsid w:val="00321818"/>
    <w:rsid w:val="00325840"/>
    <w:rsid w:val="003264F5"/>
    <w:rsid w:val="00326B09"/>
    <w:rsid w:val="00330C84"/>
    <w:rsid w:val="003327BE"/>
    <w:rsid w:val="00334A8C"/>
    <w:rsid w:val="00334E7C"/>
    <w:rsid w:val="003447B4"/>
    <w:rsid w:val="00346B7F"/>
    <w:rsid w:val="00347019"/>
    <w:rsid w:val="00351BBF"/>
    <w:rsid w:val="00356CD2"/>
    <w:rsid w:val="00360E67"/>
    <w:rsid w:val="003621AB"/>
    <w:rsid w:val="00362D4C"/>
    <w:rsid w:val="003717EF"/>
    <w:rsid w:val="00382335"/>
    <w:rsid w:val="0038262E"/>
    <w:rsid w:val="003827C1"/>
    <w:rsid w:val="003858F8"/>
    <w:rsid w:val="0038631E"/>
    <w:rsid w:val="00386DB1"/>
    <w:rsid w:val="003872BA"/>
    <w:rsid w:val="00390844"/>
    <w:rsid w:val="00390D03"/>
    <w:rsid w:val="00393B74"/>
    <w:rsid w:val="00394E12"/>
    <w:rsid w:val="00397B43"/>
    <w:rsid w:val="003A228A"/>
    <w:rsid w:val="003B2098"/>
    <w:rsid w:val="003B56A6"/>
    <w:rsid w:val="003B5F97"/>
    <w:rsid w:val="003B6207"/>
    <w:rsid w:val="003C41B7"/>
    <w:rsid w:val="003C4734"/>
    <w:rsid w:val="003C7E68"/>
    <w:rsid w:val="003D206F"/>
    <w:rsid w:val="003D4131"/>
    <w:rsid w:val="003D5E54"/>
    <w:rsid w:val="003D7984"/>
    <w:rsid w:val="003E10B1"/>
    <w:rsid w:val="003E15DD"/>
    <w:rsid w:val="003E37D1"/>
    <w:rsid w:val="003F13CA"/>
    <w:rsid w:val="003F3BFB"/>
    <w:rsid w:val="003F3F71"/>
    <w:rsid w:val="003F53EA"/>
    <w:rsid w:val="0040285C"/>
    <w:rsid w:val="0040614B"/>
    <w:rsid w:val="004062E5"/>
    <w:rsid w:val="004102BC"/>
    <w:rsid w:val="004120BB"/>
    <w:rsid w:val="00415107"/>
    <w:rsid w:val="00421B91"/>
    <w:rsid w:val="004230F9"/>
    <w:rsid w:val="00423304"/>
    <w:rsid w:val="004252E8"/>
    <w:rsid w:val="004260EB"/>
    <w:rsid w:val="00426A44"/>
    <w:rsid w:val="004320B3"/>
    <w:rsid w:val="00432424"/>
    <w:rsid w:val="00433312"/>
    <w:rsid w:val="00435A59"/>
    <w:rsid w:val="004418D1"/>
    <w:rsid w:val="00442DCB"/>
    <w:rsid w:val="0044379B"/>
    <w:rsid w:val="00444DAA"/>
    <w:rsid w:val="00445764"/>
    <w:rsid w:val="00446BEB"/>
    <w:rsid w:val="00450879"/>
    <w:rsid w:val="00451042"/>
    <w:rsid w:val="00451091"/>
    <w:rsid w:val="00452690"/>
    <w:rsid w:val="00452FBB"/>
    <w:rsid w:val="0045428A"/>
    <w:rsid w:val="00454A9E"/>
    <w:rsid w:val="00456C65"/>
    <w:rsid w:val="00461280"/>
    <w:rsid w:val="00461B51"/>
    <w:rsid w:val="00462A30"/>
    <w:rsid w:val="00463481"/>
    <w:rsid w:val="00467EA8"/>
    <w:rsid w:val="00471AEF"/>
    <w:rsid w:val="00471BE4"/>
    <w:rsid w:val="00473529"/>
    <w:rsid w:val="00474D8C"/>
    <w:rsid w:val="00476355"/>
    <w:rsid w:val="00481FDE"/>
    <w:rsid w:val="0048295F"/>
    <w:rsid w:val="00485931"/>
    <w:rsid w:val="00486583"/>
    <w:rsid w:val="00487D07"/>
    <w:rsid w:val="00494C81"/>
    <w:rsid w:val="00497F05"/>
    <w:rsid w:val="004A13C6"/>
    <w:rsid w:val="004A1506"/>
    <w:rsid w:val="004A6521"/>
    <w:rsid w:val="004B3E47"/>
    <w:rsid w:val="004B5D01"/>
    <w:rsid w:val="004B6C29"/>
    <w:rsid w:val="004C16E9"/>
    <w:rsid w:val="004C6091"/>
    <w:rsid w:val="004C6979"/>
    <w:rsid w:val="004D4908"/>
    <w:rsid w:val="004D507F"/>
    <w:rsid w:val="004D5152"/>
    <w:rsid w:val="004D6FA1"/>
    <w:rsid w:val="004D7C2A"/>
    <w:rsid w:val="004E6522"/>
    <w:rsid w:val="004F02DD"/>
    <w:rsid w:val="004F643F"/>
    <w:rsid w:val="004F70CE"/>
    <w:rsid w:val="004F758B"/>
    <w:rsid w:val="0050192E"/>
    <w:rsid w:val="005023D9"/>
    <w:rsid w:val="00507AEA"/>
    <w:rsid w:val="005121B7"/>
    <w:rsid w:val="005122A9"/>
    <w:rsid w:val="005130CA"/>
    <w:rsid w:val="00516984"/>
    <w:rsid w:val="00517797"/>
    <w:rsid w:val="005179A4"/>
    <w:rsid w:val="00521624"/>
    <w:rsid w:val="0052259B"/>
    <w:rsid w:val="00522B97"/>
    <w:rsid w:val="00524A7F"/>
    <w:rsid w:val="0053138B"/>
    <w:rsid w:val="00534657"/>
    <w:rsid w:val="0053537D"/>
    <w:rsid w:val="00535AE6"/>
    <w:rsid w:val="005401E9"/>
    <w:rsid w:val="005433C5"/>
    <w:rsid w:val="00543C01"/>
    <w:rsid w:val="005474BD"/>
    <w:rsid w:val="0055332E"/>
    <w:rsid w:val="00562533"/>
    <w:rsid w:val="00573F49"/>
    <w:rsid w:val="00575844"/>
    <w:rsid w:val="00576728"/>
    <w:rsid w:val="00576D6E"/>
    <w:rsid w:val="00577F29"/>
    <w:rsid w:val="0058107F"/>
    <w:rsid w:val="00581865"/>
    <w:rsid w:val="0058505B"/>
    <w:rsid w:val="00586376"/>
    <w:rsid w:val="00591DB1"/>
    <w:rsid w:val="005A65E8"/>
    <w:rsid w:val="005A76EE"/>
    <w:rsid w:val="005B2FE2"/>
    <w:rsid w:val="005B6B2F"/>
    <w:rsid w:val="005C048D"/>
    <w:rsid w:val="005C337C"/>
    <w:rsid w:val="005C453E"/>
    <w:rsid w:val="005C6A86"/>
    <w:rsid w:val="005C7811"/>
    <w:rsid w:val="005C7F33"/>
    <w:rsid w:val="005D034F"/>
    <w:rsid w:val="005D367A"/>
    <w:rsid w:val="005D3855"/>
    <w:rsid w:val="005D3BC8"/>
    <w:rsid w:val="005D3D68"/>
    <w:rsid w:val="005D507C"/>
    <w:rsid w:val="005D6D3D"/>
    <w:rsid w:val="005E3217"/>
    <w:rsid w:val="005F40DF"/>
    <w:rsid w:val="005F4E83"/>
    <w:rsid w:val="005F4FAB"/>
    <w:rsid w:val="00603E72"/>
    <w:rsid w:val="00604704"/>
    <w:rsid w:val="00605392"/>
    <w:rsid w:val="00612A65"/>
    <w:rsid w:val="00614370"/>
    <w:rsid w:val="00614860"/>
    <w:rsid w:val="00614DEC"/>
    <w:rsid w:val="00615A8D"/>
    <w:rsid w:val="006270E2"/>
    <w:rsid w:val="00630C1C"/>
    <w:rsid w:val="00634F29"/>
    <w:rsid w:val="006376ED"/>
    <w:rsid w:val="00640621"/>
    <w:rsid w:val="00642878"/>
    <w:rsid w:val="00644A40"/>
    <w:rsid w:val="00645194"/>
    <w:rsid w:val="00650360"/>
    <w:rsid w:val="00651B39"/>
    <w:rsid w:val="00654EAE"/>
    <w:rsid w:val="006629BE"/>
    <w:rsid w:val="00666EA0"/>
    <w:rsid w:val="00670817"/>
    <w:rsid w:val="00674824"/>
    <w:rsid w:val="0067592F"/>
    <w:rsid w:val="00676EEA"/>
    <w:rsid w:val="0067706B"/>
    <w:rsid w:val="00681385"/>
    <w:rsid w:val="00684F4A"/>
    <w:rsid w:val="006909FC"/>
    <w:rsid w:val="00694713"/>
    <w:rsid w:val="006A25E9"/>
    <w:rsid w:val="006A484C"/>
    <w:rsid w:val="006A5376"/>
    <w:rsid w:val="006A7C90"/>
    <w:rsid w:val="006B12C4"/>
    <w:rsid w:val="006C0005"/>
    <w:rsid w:val="006C0092"/>
    <w:rsid w:val="006C1A31"/>
    <w:rsid w:val="006C2566"/>
    <w:rsid w:val="006C31AD"/>
    <w:rsid w:val="006C3743"/>
    <w:rsid w:val="006C6E98"/>
    <w:rsid w:val="006D1E54"/>
    <w:rsid w:val="006D250A"/>
    <w:rsid w:val="006D29D1"/>
    <w:rsid w:val="006D2F06"/>
    <w:rsid w:val="006D6870"/>
    <w:rsid w:val="006E1FDF"/>
    <w:rsid w:val="006E68F8"/>
    <w:rsid w:val="006F3655"/>
    <w:rsid w:val="006F5B9C"/>
    <w:rsid w:val="006F60A5"/>
    <w:rsid w:val="006F6698"/>
    <w:rsid w:val="007049E8"/>
    <w:rsid w:val="00711107"/>
    <w:rsid w:val="00711C84"/>
    <w:rsid w:val="00714CF0"/>
    <w:rsid w:val="00715820"/>
    <w:rsid w:val="00716E25"/>
    <w:rsid w:val="007174F7"/>
    <w:rsid w:val="00717B46"/>
    <w:rsid w:val="00717FD3"/>
    <w:rsid w:val="007242BA"/>
    <w:rsid w:val="0072724F"/>
    <w:rsid w:val="0073281B"/>
    <w:rsid w:val="00734275"/>
    <w:rsid w:val="00734ACA"/>
    <w:rsid w:val="007355FC"/>
    <w:rsid w:val="00741F0A"/>
    <w:rsid w:val="00743046"/>
    <w:rsid w:val="0074411B"/>
    <w:rsid w:val="007455C2"/>
    <w:rsid w:val="007455E1"/>
    <w:rsid w:val="0074641E"/>
    <w:rsid w:val="00753D42"/>
    <w:rsid w:val="00754CE0"/>
    <w:rsid w:val="00755BC0"/>
    <w:rsid w:val="007629AD"/>
    <w:rsid w:val="00762D7D"/>
    <w:rsid w:val="00764A55"/>
    <w:rsid w:val="00767819"/>
    <w:rsid w:val="00770A70"/>
    <w:rsid w:val="0077274D"/>
    <w:rsid w:val="0077305D"/>
    <w:rsid w:val="00773104"/>
    <w:rsid w:val="00775513"/>
    <w:rsid w:val="0077554E"/>
    <w:rsid w:val="007765F3"/>
    <w:rsid w:val="00792E53"/>
    <w:rsid w:val="00794475"/>
    <w:rsid w:val="007A0C6A"/>
    <w:rsid w:val="007A149F"/>
    <w:rsid w:val="007A3135"/>
    <w:rsid w:val="007A5E06"/>
    <w:rsid w:val="007A6DAD"/>
    <w:rsid w:val="007A7667"/>
    <w:rsid w:val="007B03E1"/>
    <w:rsid w:val="007B17D1"/>
    <w:rsid w:val="007B291A"/>
    <w:rsid w:val="007B4A93"/>
    <w:rsid w:val="007B6B16"/>
    <w:rsid w:val="007B7028"/>
    <w:rsid w:val="007C11A4"/>
    <w:rsid w:val="007C1FD0"/>
    <w:rsid w:val="007C2A9D"/>
    <w:rsid w:val="007C4292"/>
    <w:rsid w:val="007C504D"/>
    <w:rsid w:val="007C66FB"/>
    <w:rsid w:val="007D02E9"/>
    <w:rsid w:val="007D1963"/>
    <w:rsid w:val="007D2383"/>
    <w:rsid w:val="007D38B6"/>
    <w:rsid w:val="007D5A9D"/>
    <w:rsid w:val="007E107A"/>
    <w:rsid w:val="007E1C69"/>
    <w:rsid w:val="007E4BE5"/>
    <w:rsid w:val="007F001A"/>
    <w:rsid w:val="007F00E1"/>
    <w:rsid w:val="007F25A5"/>
    <w:rsid w:val="007F2601"/>
    <w:rsid w:val="007F4914"/>
    <w:rsid w:val="007F5332"/>
    <w:rsid w:val="007F7996"/>
    <w:rsid w:val="008005DD"/>
    <w:rsid w:val="00801CE6"/>
    <w:rsid w:val="008113A3"/>
    <w:rsid w:val="00811D17"/>
    <w:rsid w:val="00812EF3"/>
    <w:rsid w:val="0081306D"/>
    <w:rsid w:val="008170DF"/>
    <w:rsid w:val="008207D7"/>
    <w:rsid w:val="00824045"/>
    <w:rsid w:val="00827571"/>
    <w:rsid w:val="00836018"/>
    <w:rsid w:val="00840845"/>
    <w:rsid w:val="00842635"/>
    <w:rsid w:val="008518DF"/>
    <w:rsid w:val="008569B0"/>
    <w:rsid w:val="00857088"/>
    <w:rsid w:val="008601E3"/>
    <w:rsid w:val="00860345"/>
    <w:rsid w:val="00860DB4"/>
    <w:rsid w:val="00861257"/>
    <w:rsid w:val="00862D4E"/>
    <w:rsid w:val="008671FC"/>
    <w:rsid w:val="008705AC"/>
    <w:rsid w:val="00871ACA"/>
    <w:rsid w:val="00874E76"/>
    <w:rsid w:val="0087626B"/>
    <w:rsid w:val="0087637B"/>
    <w:rsid w:val="0088239E"/>
    <w:rsid w:val="00882DEF"/>
    <w:rsid w:val="00883AC2"/>
    <w:rsid w:val="0088674B"/>
    <w:rsid w:val="008870C9"/>
    <w:rsid w:val="0089222E"/>
    <w:rsid w:val="008922AA"/>
    <w:rsid w:val="00892676"/>
    <w:rsid w:val="008930FE"/>
    <w:rsid w:val="00895CEB"/>
    <w:rsid w:val="008A00FC"/>
    <w:rsid w:val="008A189C"/>
    <w:rsid w:val="008A22CA"/>
    <w:rsid w:val="008B0075"/>
    <w:rsid w:val="008B03E0"/>
    <w:rsid w:val="008B7C3C"/>
    <w:rsid w:val="008C463D"/>
    <w:rsid w:val="008C4BE9"/>
    <w:rsid w:val="008C4C7F"/>
    <w:rsid w:val="008D1C44"/>
    <w:rsid w:val="008D1E4B"/>
    <w:rsid w:val="008D3D49"/>
    <w:rsid w:val="008D6717"/>
    <w:rsid w:val="008D6F9D"/>
    <w:rsid w:val="008D76E6"/>
    <w:rsid w:val="008E0CE7"/>
    <w:rsid w:val="008E1651"/>
    <w:rsid w:val="008E1984"/>
    <w:rsid w:val="008E42EE"/>
    <w:rsid w:val="008E4456"/>
    <w:rsid w:val="008E63E0"/>
    <w:rsid w:val="008E7A95"/>
    <w:rsid w:val="008F4415"/>
    <w:rsid w:val="00904A69"/>
    <w:rsid w:val="00910F6E"/>
    <w:rsid w:val="0091256A"/>
    <w:rsid w:val="00920860"/>
    <w:rsid w:val="00927224"/>
    <w:rsid w:val="00930140"/>
    <w:rsid w:val="00933690"/>
    <w:rsid w:val="009343F2"/>
    <w:rsid w:val="00934AA5"/>
    <w:rsid w:val="00935401"/>
    <w:rsid w:val="00936EC4"/>
    <w:rsid w:val="009375A4"/>
    <w:rsid w:val="00941C2C"/>
    <w:rsid w:val="00943ADE"/>
    <w:rsid w:val="00943D37"/>
    <w:rsid w:val="00945692"/>
    <w:rsid w:val="009464B3"/>
    <w:rsid w:val="00950832"/>
    <w:rsid w:val="00951168"/>
    <w:rsid w:val="009530DE"/>
    <w:rsid w:val="00953668"/>
    <w:rsid w:val="009538B1"/>
    <w:rsid w:val="00954DB1"/>
    <w:rsid w:val="00956BF4"/>
    <w:rsid w:val="00957C02"/>
    <w:rsid w:val="00961DB0"/>
    <w:rsid w:val="00965934"/>
    <w:rsid w:val="00965F9C"/>
    <w:rsid w:val="009661E7"/>
    <w:rsid w:val="00967AA0"/>
    <w:rsid w:val="00982A73"/>
    <w:rsid w:val="009845AD"/>
    <w:rsid w:val="009857E0"/>
    <w:rsid w:val="00987DFE"/>
    <w:rsid w:val="0099527E"/>
    <w:rsid w:val="0099552B"/>
    <w:rsid w:val="00996CA2"/>
    <w:rsid w:val="009A11CF"/>
    <w:rsid w:val="009A4EE0"/>
    <w:rsid w:val="009B227B"/>
    <w:rsid w:val="009B229B"/>
    <w:rsid w:val="009C0B2C"/>
    <w:rsid w:val="009C17A1"/>
    <w:rsid w:val="009C19A1"/>
    <w:rsid w:val="009C2CA2"/>
    <w:rsid w:val="009C47A7"/>
    <w:rsid w:val="009D125E"/>
    <w:rsid w:val="009D4713"/>
    <w:rsid w:val="009D4828"/>
    <w:rsid w:val="009D4881"/>
    <w:rsid w:val="009D73B2"/>
    <w:rsid w:val="009D78BC"/>
    <w:rsid w:val="009E1C2B"/>
    <w:rsid w:val="009E3EDC"/>
    <w:rsid w:val="009E4AFC"/>
    <w:rsid w:val="009E7772"/>
    <w:rsid w:val="009F099D"/>
    <w:rsid w:val="009F2807"/>
    <w:rsid w:val="009F4459"/>
    <w:rsid w:val="00A01661"/>
    <w:rsid w:val="00A01C60"/>
    <w:rsid w:val="00A033C2"/>
    <w:rsid w:val="00A04D3F"/>
    <w:rsid w:val="00A1086C"/>
    <w:rsid w:val="00A11893"/>
    <w:rsid w:val="00A11ECD"/>
    <w:rsid w:val="00A1204C"/>
    <w:rsid w:val="00A120FF"/>
    <w:rsid w:val="00A14184"/>
    <w:rsid w:val="00A144B5"/>
    <w:rsid w:val="00A1512C"/>
    <w:rsid w:val="00A161B0"/>
    <w:rsid w:val="00A25C13"/>
    <w:rsid w:val="00A26847"/>
    <w:rsid w:val="00A424B1"/>
    <w:rsid w:val="00A42E78"/>
    <w:rsid w:val="00A44904"/>
    <w:rsid w:val="00A4526A"/>
    <w:rsid w:val="00A47712"/>
    <w:rsid w:val="00A54261"/>
    <w:rsid w:val="00A54A37"/>
    <w:rsid w:val="00A61B2E"/>
    <w:rsid w:val="00A63395"/>
    <w:rsid w:val="00A63894"/>
    <w:rsid w:val="00A64F06"/>
    <w:rsid w:val="00A6746D"/>
    <w:rsid w:val="00A67FCF"/>
    <w:rsid w:val="00A70571"/>
    <w:rsid w:val="00A706A3"/>
    <w:rsid w:val="00A72A08"/>
    <w:rsid w:val="00A72C70"/>
    <w:rsid w:val="00A81542"/>
    <w:rsid w:val="00A827EC"/>
    <w:rsid w:val="00A85BF8"/>
    <w:rsid w:val="00A919A7"/>
    <w:rsid w:val="00A948EA"/>
    <w:rsid w:val="00A96B95"/>
    <w:rsid w:val="00A9750B"/>
    <w:rsid w:val="00AA0B29"/>
    <w:rsid w:val="00AA325F"/>
    <w:rsid w:val="00AA629A"/>
    <w:rsid w:val="00AA7128"/>
    <w:rsid w:val="00AB0DF5"/>
    <w:rsid w:val="00AB723E"/>
    <w:rsid w:val="00AC02F6"/>
    <w:rsid w:val="00AC12B9"/>
    <w:rsid w:val="00AC24FA"/>
    <w:rsid w:val="00AC25F6"/>
    <w:rsid w:val="00AC4663"/>
    <w:rsid w:val="00AC6969"/>
    <w:rsid w:val="00AD2F7E"/>
    <w:rsid w:val="00AD6108"/>
    <w:rsid w:val="00AD6333"/>
    <w:rsid w:val="00AE260F"/>
    <w:rsid w:val="00AE3974"/>
    <w:rsid w:val="00AE40BB"/>
    <w:rsid w:val="00AE4165"/>
    <w:rsid w:val="00AE7F60"/>
    <w:rsid w:val="00AF03CE"/>
    <w:rsid w:val="00AF1A2C"/>
    <w:rsid w:val="00AF2040"/>
    <w:rsid w:val="00AF3DC2"/>
    <w:rsid w:val="00B01BDF"/>
    <w:rsid w:val="00B01F35"/>
    <w:rsid w:val="00B04D79"/>
    <w:rsid w:val="00B04DD4"/>
    <w:rsid w:val="00B2095C"/>
    <w:rsid w:val="00B210E8"/>
    <w:rsid w:val="00B219F0"/>
    <w:rsid w:val="00B2321E"/>
    <w:rsid w:val="00B25838"/>
    <w:rsid w:val="00B25B6B"/>
    <w:rsid w:val="00B26267"/>
    <w:rsid w:val="00B266AF"/>
    <w:rsid w:val="00B318DF"/>
    <w:rsid w:val="00B34FB7"/>
    <w:rsid w:val="00B36823"/>
    <w:rsid w:val="00B36FA2"/>
    <w:rsid w:val="00B37606"/>
    <w:rsid w:val="00B41718"/>
    <w:rsid w:val="00B43496"/>
    <w:rsid w:val="00B5138E"/>
    <w:rsid w:val="00B532BE"/>
    <w:rsid w:val="00B53348"/>
    <w:rsid w:val="00B54FE2"/>
    <w:rsid w:val="00B55855"/>
    <w:rsid w:val="00B62889"/>
    <w:rsid w:val="00B632D0"/>
    <w:rsid w:val="00B6776D"/>
    <w:rsid w:val="00B677B3"/>
    <w:rsid w:val="00B739C1"/>
    <w:rsid w:val="00B765A1"/>
    <w:rsid w:val="00B76F95"/>
    <w:rsid w:val="00B8097C"/>
    <w:rsid w:val="00B8144A"/>
    <w:rsid w:val="00B837F1"/>
    <w:rsid w:val="00B842C0"/>
    <w:rsid w:val="00B85D75"/>
    <w:rsid w:val="00B90412"/>
    <w:rsid w:val="00B9394A"/>
    <w:rsid w:val="00B93AC4"/>
    <w:rsid w:val="00BA073D"/>
    <w:rsid w:val="00BA4C15"/>
    <w:rsid w:val="00BA57B6"/>
    <w:rsid w:val="00BB05EF"/>
    <w:rsid w:val="00BB06BD"/>
    <w:rsid w:val="00BB175E"/>
    <w:rsid w:val="00BB3E8B"/>
    <w:rsid w:val="00BB6752"/>
    <w:rsid w:val="00BC2CFA"/>
    <w:rsid w:val="00BC4957"/>
    <w:rsid w:val="00BC60BE"/>
    <w:rsid w:val="00BD0F45"/>
    <w:rsid w:val="00BD2F06"/>
    <w:rsid w:val="00BD50D3"/>
    <w:rsid w:val="00BD5477"/>
    <w:rsid w:val="00BD6C9D"/>
    <w:rsid w:val="00BD7EE5"/>
    <w:rsid w:val="00BD7F8E"/>
    <w:rsid w:val="00BE764B"/>
    <w:rsid w:val="00BF06ED"/>
    <w:rsid w:val="00BF07DE"/>
    <w:rsid w:val="00BF2A2A"/>
    <w:rsid w:val="00BF7A09"/>
    <w:rsid w:val="00BF7D75"/>
    <w:rsid w:val="00C0260A"/>
    <w:rsid w:val="00C029E5"/>
    <w:rsid w:val="00C04770"/>
    <w:rsid w:val="00C06C6A"/>
    <w:rsid w:val="00C112D6"/>
    <w:rsid w:val="00C13B8F"/>
    <w:rsid w:val="00C16E50"/>
    <w:rsid w:val="00C203BD"/>
    <w:rsid w:val="00C20C48"/>
    <w:rsid w:val="00C2152C"/>
    <w:rsid w:val="00C253FA"/>
    <w:rsid w:val="00C25F2D"/>
    <w:rsid w:val="00C3045F"/>
    <w:rsid w:val="00C316A3"/>
    <w:rsid w:val="00C31850"/>
    <w:rsid w:val="00C31C5C"/>
    <w:rsid w:val="00C31DCE"/>
    <w:rsid w:val="00C33B98"/>
    <w:rsid w:val="00C41F57"/>
    <w:rsid w:val="00C44CA7"/>
    <w:rsid w:val="00C504F8"/>
    <w:rsid w:val="00C5511C"/>
    <w:rsid w:val="00C55C9C"/>
    <w:rsid w:val="00C562F1"/>
    <w:rsid w:val="00C635C6"/>
    <w:rsid w:val="00C63FA1"/>
    <w:rsid w:val="00C64EF5"/>
    <w:rsid w:val="00C66EA9"/>
    <w:rsid w:val="00C742D9"/>
    <w:rsid w:val="00C74EC9"/>
    <w:rsid w:val="00C760E8"/>
    <w:rsid w:val="00C76DB3"/>
    <w:rsid w:val="00C76F69"/>
    <w:rsid w:val="00C806DA"/>
    <w:rsid w:val="00C82DF9"/>
    <w:rsid w:val="00C83982"/>
    <w:rsid w:val="00C856A2"/>
    <w:rsid w:val="00C87313"/>
    <w:rsid w:val="00C90AA8"/>
    <w:rsid w:val="00C938BC"/>
    <w:rsid w:val="00C95AC6"/>
    <w:rsid w:val="00C95CF4"/>
    <w:rsid w:val="00CA0CB4"/>
    <w:rsid w:val="00CA3B61"/>
    <w:rsid w:val="00CA3EB1"/>
    <w:rsid w:val="00CA4095"/>
    <w:rsid w:val="00CA4355"/>
    <w:rsid w:val="00CA50E3"/>
    <w:rsid w:val="00CB03DD"/>
    <w:rsid w:val="00CB2C0E"/>
    <w:rsid w:val="00CB311F"/>
    <w:rsid w:val="00CB4006"/>
    <w:rsid w:val="00CB766B"/>
    <w:rsid w:val="00CC2208"/>
    <w:rsid w:val="00CC2518"/>
    <w:rsid w:val="00CC3502"/>
    <w:rsid w:val="00CC5A46"/>
    <w:rsid w:val="00CC5F1C"/>
    <w:rsid w:val="00CC616F"/>
    <w:rsid w:val="00CC7980"/>
    <w:rsid w:val="00CD04DC"/>
    <w:rsid w:val="00CD1A7D"/>
    <w:rsid w:val="00CD1B2B"/>
    <w:rsid w:val="00CD6851"/>
    <w:rsid w:val="00CE0EFC"/>
    <w:rsid w:val="00CE5D71"/>
    <w:rsid w:val="00CE64DE"/>
    <w:rsid w:val="00CF2E21"/>
    <w:rsid w:val="00CF5585"/>
    <w:rsid w:val="00CF6E69"/>
    <w:rsid w:val="00D0139E"/>
    <w:rsid w:val="00D01BDE"/>
    <w:rsid w:val="00D05D99"/>
    <w:rsid w:val="00D05EDA"/>
    <w:rsid w:val="00D0663F"/>
    <w:rsid w:val="00D10A9E"/>
    <w:rsid w:val="00D10FA4"/>
    <w:rsid w:val="00D13C2F"/>
    <w:rsid w:val="00D15879"/>
    <w:rsid w:val="00D20335"/>
    <w:rsid w:val="00D231C7"/>
    <w:rsid w:val="00D23C01"/>
    <w:rsid w:val="00D23C0E"/>
    <w:rsid w:val="00D2681C"/>
    <w:rsid w:val="00D277E8"/>
    <w:rsid w:val="00D30876"/>
    <w:rsid w:val="00D31330"/>
    <w:rsid w:val="00D31FE0"/>
    <w:rsid w:val="00D349BF"/>
    <w:rsid w:val="00D40EFA"/>
    <w:rsid w:val="00D411E8"/>
    <w:rsid w:val="00D41888"/>
    <w:rsid w:val="00D41B25"/>
    <w:rsid w:val="00D4353A"/>
    <w:rsid w:val="00D44BA6"/>
    <w:rsid w:val="00D50011"/>
    <w:rsid w:val="00D51647"/>
    <w:rsid w:val="00D56927"/>
    <w:rsid w:val="00D621A8"/>
    <w:rsid w:val="00D62B47"/>
    <w:rsid w:val="00D6660C"/>
    <w:rsid w:val="00D668FF"/>
    <w:rsid w:val="00D67787"/>
    <w:rsid w:val="00D73471"/>
    <w:rsid w:val="00D74B17"/>
    <w:rsid w:val="00D77CF2"/>
    <w:rsid w:val="00D8029E"/>
    <w:rsid w:val="00D80439"/>
    <w:rsid w:val="00D8679D"/>
    <w:rsid w:val="00D86E75"/>
    <w:rsid w:val="00D914D3"/>
    <w:rsid w:val="00D96CE8"/>
    <w:rsid w:val="00D97F23"/>
    <w:rsid w:val="00DA5C50"/>
    <w:rsid w:val="00DA76AC"/>
    <w:rsid w:val="00DB39C6"/>
    <w:rsid w:val="00DB3A5E"/>
    <w:rsid w:val="00DC2CC1"/>
    <w:rsid w:val="00DC2CF6"/>
    <w:rsid w:val="00DC4E18"/>
    <w:rsid w:val="00DC5B78"/>
    <w:rsid w:val="00DD4A59"/>
    <w:rsid w:val="00DE01AC"/>
    <w:rsid w:val="00DE0D91"/>
    <w:rsid w:val="00DE5876"/>
    <w:rsid w:val="00DE5A62"/>
    <w:rsid w:val="00DE6735"/>
    <w:rsid w:val="00DE69A5"/>
    <w:rsid w:val="00DE726D"/>
    <w:rsid w:val="00DE7296"/>
    <w:rsid w:val="00DF3A47"/>
    <w:rsid w:val="00DF409D"/>
    <w:rsid w:val="00DF529B"/>
    <w:rsid w:val="00E00E6F"/>
    <w:rsid w:val="00E011B7"/>
    <w:rsid w:val="00E02DB2"/>
    <w:rsid w:val="00E03ACD"/>
    <w:rsid w:val="00E07B11"/>
    <w:rsid w:val="00E128C8"/>
    <w:rsid w:val="00E1484A"/>
    <w:rsid w:val="00E258FA"/>
    <w:rsid w:val="00E32404"/>
    <w:rsid w:val="00E324BB"/>
    <w:rsid w:val="00E36C23"/>
    <w:rsid w:val="00E46C3C"/>
    <w:rsid w:val="00E47623"/>
    <w:rsid w:val="00E50EA0"/>
    <w:rsid w:val="00E51C2C"/>
    <w:rsid w:val="00E552B4"/>
    <w:rsid w:val="00E56961"/>
    <w:rsid w:val="00E6269D"/>
    <w:rsid w:val="00E64082"/>
    <w:rsid w:val="00E647E2"/>
    <w:rsid w:val="00E66AC9"/>
    <w:rsid w:val="00E75433"/>
    <w:rsid w:val="00E80334"/>
    <w:rsid w:val="00E85E67"/>
    <w:rsid w:val="00E91281"/>
    <w:rsid w:val="00E94DC9"/>
    <w:rsid w:val="00E94F4F"/>
    <w:rsid w:val="00E95522"/>
    <w:rsid w:val="00E9648D"/>
    <w:rsid w:val="00E97011"/>
    <w:rsid w:val="00EB1C77"/>
    <w:rsid w:val="00EB1E03"/>
    <w:rsid w:val="00EB6F67"/>
    <w:rsid w:val="00EC5522"/>
    <w:rsid w:val="00ED168C"/>
    <w:rsid w:val="00ED1D15"/>
    <w:rsid w:val="00ED230F"/>
    <w:rsid w:val="00ED2B75"/>
    <w:rsid w:val="00ED4868"/>
    <w:rsid w:val="00ED65D2"/>
    <w:rsid w:val="00ED76C9"/>
    <w:rsid w:val="00EE2A73"/>
    <w:rsid w:val="00EE46C8"/>
    <w:rsid w:val="00EE493D"/>
    <w:rsid w:val="00EE66C5"/>
    <w:rsid w:val="00EE69B7"/>
    <w:rsid w:val="00EF51AD"/>
    <w:rsid w:val="00EF5F53"/>
    <w:rsid w:val="00EF7887"/>
    <w:rsid w:val="00F00231"/>
    <w:rsid w:val="00F02143"/>
    <w:rsid w:val="00F039AC"/>
    <w:rsid w:val="00F04667"/>
    <w:rsid w:val="00F10D68"/>
    <w:rsid w:val="00F15837"/>
    <w:rsid w:val="00F15CD7"/>
    <w:rsid w:val="00F24556"/>
    <w:rsid w:val="00F314E3"/>
    <w:rsid w:val="00F33C10"/>
    <w:rsid w:val="00F34A55"/>
    <w:rsid w:val="00F432E5"/>
    <w:rsid w:val="00F4481D"/>
    <w:rsid w:val="00F51EAA"/>
    <w:rsid w:val="00F74C8A"/>
    <w:rsid w:val="00F8411F"/>
    <w:rsid w:val="00F92BE3"/>
    <w:rsid w:val="00F957E1"/>
    <w:rsid w:val="00F95952"/>
    <w:rsid w:val="00F96C53"/>
    <w:rsid w:val="00FA1F6E"/>
    <w:rsid w:val="00FA3BD8"/>
    <w:rsid w:val="00FA3EB1"/>
    <w:rsid w:val="00FA7920"/>
    <w:rsid w:val="00FB0FB2"/>
    <w:rsid w:val="00FB163C"/>
    <w:rsid w:val="00FB199D"/>
    <w:rsid w:val="00FB49F7"/>
    <w:rsid w:val="00FB58E6"/>
    <w:rsid w:val="00FB652A"/>
    <w:rsid w:val="00FB6CE9"/>
    <w:rsid w:val="00FB7F48"/>
    <w:rsid w:val="00FC1F4B"/>
    <w:rsid w:val="00FC2CAD"/>
    <w:rsid w:val="00FC42E5"/>
    <w:rsid w:val="00FD0536"/>
    <w:rsid w:val="00FD3068"/>
    <w:rsid w:val="00FD31BD"/>
    <w:rsid w:val="00FD3A2D"/>
    <w:rsid w:val="00FD4739"/>
    <w:rsid w:val="00FD650B"/>
    <w:rsid w:val="00FD7CE3"/>
    <w:rsid w:val="00FD7E0D"/>
    <w:rsid w:val="00FE125F"/>
    <w:rsid w:val="00FE1CF9"/>
    <w:rsid w:val="00FE48FD"/>
    <w:rsid w:val="00FE59C9"/>
    <w:rsid w:val="00FE653C"/>
    <w:rsid w:val="00FF10F2"/>
    <w:rsid w:val="00FF2243"/>
    <w:rsid w:val="00FF2832"/>
    <w:rsid w:val="00FF30A9"/>
    <w:rsid w:val="00FF4437"/>
    <w:rsid w:val="00FF4DFB"/>
    <w:rsid w:val="00FF5661"/>
    <w:rsid w:val="00FF6552"/>
    <w:rsid w:val="00FF6B0A"/>
    <w:rsid w:val="00FF7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7C890"/>
  <w15:chartTrackingRefBased/>
  <w15:docId w15:val="{551FFEC9-F4A9-469D-AB88-2A758EDC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17"/>
    <w:rPr>
      <w:sz w:val="24"/>
      <w:lang w:eastAsia="en-US"/>
    </w:rPr>
  </w:style>
  <w:style w:type="paragraph" w:styleId="Heading1">
    <w:name w:val="heading 1"/>
    <w:basedOn w:val="Normal"/>
    <w:next w:val="Normal"/>
    <w:qFormat/>
    <w:pPr>
      <w:keepNext/>
      <w:numPr>
        <w:numId w:val="1"/>
      </w:numPr>
      <w:spacing w:before="240" w:after="60"/>
      <w:jc w:val="center"/>
      <w:outlineLvl w:val="0"/>
    </w:pPr>
    <w:rPr>
      <w:rFonts w:ascii="Arial" w:hAnsi="Arial"/>
      <w:b/>
      <w:kern w:val="28"/>
      <w:sz w:val="28"/>
    </w:rPr>
  </w:style>
  <w:style w:type="paragraph" w:styleId="Heading3">
    <w:name w:val="heading 3"/>
    <w:basedOn w:val="Normal"/>
    <w:next w:val="Normal"/>
    <w:qFormat/>
    <w:rsid w:val="00A81542"/>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rsid w:val="00A81542"/>
    <w:rPr>
      <w:rFonts w:ascii="Times New Roman" w:hAnsi="Times New Roman" w:cs="Times New Roman"/>
      <w:sz w:val="28"/>
      <w:szCs w:val="28"/>
      <w:lang w:eastAsia="en-AU"/>
    </w:rPr>
  </w:style>
  <w:style w:type="character" w:styleId="CommentReference">
    <w:name w:val="annotation reference"/>
    <w:uiPriority w:val="99"/>
    <w:semiHidden/>
    <w:rsid w:val="004C16E9"/>
    <w:rPr>
      <w:sz w:val="16"/>
      <w:szCs w:val="16"/>
    </w:rPr>
  </w:style>
  <w:style w:type="paragraph" w:styleId="CommentText">
    <w:name w:val="annotation text"/>
    <w:basedOn w:val="Normal"/>
    <w:link w:val="CommentTextChar"/>
    <w:uiPriority w:val="99"/>
    <w:rsid w:val="004C16E9"/>
    <w:rPr>
      <w:sz w:val="20"/>
    </w:rPr>
  </w:style>
  <w:style w:type="paragraph" w:styleId="CommentSubject">
    <w:name w:val="annotation subject"/>
    <w:basedOn w:val="CommentText"/>
    <w:next w:val="CommentText"/>
    <w:semiHidden/>
    <w:rsid w:val="004C16E9"/>
    <w:rPr>
      <w:b/>
      <w:bCs/>
    </w:rPr>
  </w:style>
  <w:style w:type="paragraph" w:styleId="BalloonText">
    <w:name w:val="Balloon Text"/>
    <w:basedOn w:val="Normal"/>
    <w:semiHidden/>
    <w:rsid w:val="004C16E9"/>
    <w:rPr>
      <w:rFonts w:ascii="Tahoma" w:hAnsi="Tahoma" w:cs="Tahoma"/>
      <w:sz w:val="16"/>
      <w:szCs w:val="16"/>
    </w:rPr>
  </w:style>
  <w:style w:type="paragraph" w:customStyle="1" w:styleId="CharCharCharCharCharChar">
    <w:name w:val="Char Char Char Char Char Char"/>
    <w:basedOn w:val="Normal"/>
    <w:rsid w:val="00D44BA6"/>
    <w:pPr>
      <w:spacing w:after="160" w:line="240" w:lineRule="exact"/>
    </w:pPr>
    <w:rPr>
      <w:rFonts w:ascii="Verdana" w:hAnsi="Verdana"/>
      <w:sz w:val="20"/>
      <w:szCs w:val="24"/>
      <w:lang w:val="en-US"/>
    </w:rPr>
  </w:style>
  <w:style w:type="character" w:customStyle="1" w:styleId="bodyfat1">
    <w:name w:val="bodyfat1"/>
    <w:rsid w:val="00A827EC"/>
    <w:rPr>
      <w:rFonts w:ascii="Verdana" w:hAnsi="Verdana" w:hint="default"/>
      <w:color w:val="003366"/>
      <w:sz w:val="17"/>
      <w:szCs w:val="17"/>
    </w:rPr>
  </w:style>
  <w:style w:type="paragraph" w:styleId="NormalWeb">
    <w:name w:val="Normal (Web)"/>
    <w:basedOn w:val="Normal"/>
    <w:rsid w:val="000B270F"/>
    <w:pPr>
      <w:spacing w:before="100" w:beforeAutospacing="1" w:after="100" w:afterAutospacing="1"/>
    </w:pPr>
    <w:rPr>
      <w:szCs w:val="24"/>
      <w:lang w:eastAsia="en-AU"/>
    </w:rPr>
  </w:style>
  <w:style w:type="paragraph" w:styleId="Header">
    <w:name w:val="header"/>
    <w:basedOn w:val="Normal"/>
    <w:rsid w:val="00B765A1"/>
    <w:pPr>
      <w:tabs>
        <w:tab w:val="center" w:pos="4153"/>
        <w:tab w:val="right" w:pos="8306"/>
      </w:tabs>
    </w:pPr>
  </w:style>
  <w:style w:type="character" w:styleId="PageNumber">
    <w:name w:val="page number"/>
    <w:basedOn w:val="DefaultParagraphFont"/>
    <w:rsid w:val="00B765A1"/>
  </w:style>
  <w:style w:type="paragraph" w:styleId="Footer">
    <w:name w:val="footer"/>
    <w:basedOn w:val="Normal"/>
    <w:link w:val="FooterChar"/>
    <w:uiPriority w:val="99"/>
    <w:rsid w:val="00FB49F7"/>
    <w:pPr>
      <w:tabs>
        <w:tab w:val="center" w:pos="4153"/>
        <w:tab w:val="right" w:pos="8306"/>
      </w:tabs>
    </w:pPr>
  </w:style>
  <w:style w:type="character" w:styleId="Hyperlink">
    <w:name w:val="Hyperlink"/>
    <w:rsid w:val="009530DE"/>
    <w:rPr>
      <w:color w:val="0000FF"/>
      <w:u w:val="single"/>
    </w:rPr>
  </w:style>
  <w:style w:type="paragraph" w:customStyle="1" w:styleId="R1">
    <w:name w:val="R1"/>
    <w:aliases w:val="1. or 1.(1)"/>
    <w:basedOn w:val="Normal"/>
    <w:next w:val="Normal"/>
    <w:rsid w:val="000B3F25"/>
    <w:pPr>
      <w:tabs>
        <w:tab w:val="right" w:pos="1080"/>
        <w:tab w:val="left" w:pos="1260"/>
        <w:tab w:val="left" w:pos="1800"/>
      </w:tabs>
      <w:spacing w:before="120"/>
      <w:jc w:val="both"/>
    </w:pPr>
    <w:rPr>
      <w:rFonts w:ascii="Times" w:hAnsi="Times"/>
      <w:sz w:val="26"/>
      <w:lang w:eastAsia="en-AU"/>
    </w:rPr>
  </w:style>
  <w:style w:type="paragraph" w:styleId="FootnoteText">
    <w:name w:val="footnote text"/>
    <w:basedOn w:val="Normal"/>
    <w:semiHidden/>
    <w:rsid w:val="00DC2CC1"/>
    <w:rPr>
      <w:sz w:val="20"/>
    </w:rPr>
  </w:style>
  <w:style w:type="character" w:styleId="FootnoteReference">
    <w:name w:val="footnote reference"/>
    <w:semiHidden/>
    <w:rsid w:val="00DC2CC1"/>
    <w:rPr>
      <w:vertAlign w:val="superscript"/>
    </w:rPr>
  </w:style>
  <w:style w:type="paragraph" w:styleId="DocumentMap">
    <w:name w:val="Document Map"/>
    <w:basedOn w:val="Normal"/>
    <w:semiHidden/>
    <w:rsid w:val="00F33C10"/>
    <w:pPr>
      <w:shd w:val="clear" w:color="auto" w:fill="000080"/>
    </w:pPr>
    <w:rPr>
      <w:rFonts w:ascii="Tahoma" w:hAnsi="Tahoma" w:cs="Tahoma"/>
      <w:sz w:val="20"/>
    </w:rPr>
  </w:style>
  <w:style w:type="paragraph" w:styleId="Title">
    <w:name w:val="Title"/>
    <w:basedOn w:val="Normal"/>
    <w:next w:val="Normal"/>
    <w:qFormat/>
    <w:rsid w:val="00AF03CE"/>
    <w:pPr>
      <w:spacing w:before="480"/>
      <w:jc w:val="center"/>
    </w:pPr>
    <w:rPr>
      <w:rFonts w:ascii="Times" w:hAnsi="Times"/>
      <w:b/>
      <w:sz w:val="36"/>
      <w:lang w:eastAsia="en-AU"/>
    </w:rPr>
  </w:style>
  <w:style w:type="paragraph" w:customStyle="1" w:styleId="definition">
    <w:name w:val="definition"/>
    <w:basedOn w:val="Normal"/>
    <w:rsid w:val="00AF03CE"/>
    <w:pPr>
      <w:tabs>
        <w:tab w:val="right" w:pos="1080"/>
        <w:tab w:val="left" w:pos="1260"/>
        <w:tab w:val="left" w:pos="1800"/>
      </w:tabs>
      <w:spacing w:before="40"/>
      <w:jc w:val="both"/>
    </w:pPr>
    <w:rPr>
      <w:rFonts w:ascii="Times" w:hAnsi="Times"/>
      <w:sz w:val="26"/>
      <w:lang w:eastAsia="en-AU"/>
    </w:rPr>
  </w:style>
  <w:style w:type="paragraph" w:customStyle="1" w:styleId="P1">
    <w:name w:val="P1"/>
    <w:aliases w:val="(a)"/>
    <w:basedOn w:val="Normal"/>
    <w:rsid w:val="00D0663F"/>
    <w:pPr>
      <w:tabs>
        <w:tab w:val="right" w:pos="1080"/>
      </w:tabs>
      <w:spacing w:before="40" w:line="260" w:lineRule="atLeast"/>
      <w:ind w:left="1276" w:hanging="1280"/>
      <w:jc w:val="both"/>
    </w:pPr>
    <w:rPr>
      <w:rFonts w:ascii="Times" w:hAnsi="Times"/>
      <w:sz w:val="26"/>
      <w:lang w:eastAsia="en-AU"/>
    </w:rPr>
  </w:style>
  <w:style w:type="paragraph" w:styleId="ListBullet">
    <w:name w:val="List Bullet"/>
    <w:basedOn w:val="Normal"/>
    <w:qFormat/>
    <w:rsid w:val="009D125E"/>
    <w:pPr>
      <w:tabs>
        <w:tab w:val="num" w:pos="295"/>
      </w:tabs>
      <w:spacing w:after="80" w:line="240" w:lineRule="atLeast"/>
      <w:ind w:left="295" w:hanging="295"/>
    </w:pPr>
    <w:rPr>
      <w:rFonts w:ascii="Arial" w:hAnsi="Arial"/>
      <w:sz w:val="20"/>
      <w:szCs w:val="24"/>
      <w:lang w:eastAsia="en-AU"/>
    </w:rPr>
  </w:style>
  <w:style w:type="paragraph" w:styleId="Revision">
    <w:name w:val="Revision"/>
    <w:hidden/>
    <w:uiPriority w:val="99"/>
    <w:semiHidden/>
    <w:rsid w:val="00D668FF"/>
    <w:rPr>
      <w:sz w:val="24"/>
      <w:lang w:eastAsia="en-US"/>
    </w:rPr>
  </w:style>
  <w:style w:type="paragraph" w:customStyle="1" w:styleId="paragraph">
    <w:name w:val="paragraph"/>
    <w:aliases w:val="a"/>
    <w:basedOn w:val="Normal"/>
    <w:rsid w:val="00B9394A"/>
    <w:pPr>
      <w:tabs>
        <w:tab w:val="right" w:pos="1531"/>
      </w:tabs>
      <w:spacing w:before="40"/>
      <w:ind w:left="1644" w:hanging="1644"/>
    </w:pPr>
    <w:rPr>
      <w:sz w:val="22"/>
      <w:lang w:eastAsia="en-AU"/>
    </w:rPr>
  </w:style>
  <w:style w:type="character" w:customStyle="1" w:styleId="CommentTextChar">
    <w:name w:val="Comment Text Char"/>
    <w:link w:val="CommentText"/>
    <w:uiPriority w:val="99"/>
    <w:rsid w:val="00B9394A"/>
    <w:rPr>
      <w:lang w:eastAsia="en-US"/>
    </w:rPr>
  </w:style>
  <w:style w:type="paragraph" w:customStyle="1" w:styleId="Definition0">
    <w:name w:val="Definition"/>
    <w:aliases w:val="dd"/>
    <w:basedOn w:val="Normal"/>
    <w:rsid w:val="00B9394A"/>
    <w:pPr>
      <w:spacing w:before="180"/>
      <w:ind w:left="1134"/>
    </w:pPr>
    <w:rPr>
      <w:sz w:val="22"/>
      <w:lang w:eastAsia="en-AU"/>
    </w:rPr>
  </w:style>
  <w:style w:type="character" w:customStyle="1" w:styleId="FooterChar">
    <w:name w:val="Footer Char"/>
    <w:link w:val="Footer"/>
    <w:uiPriority w:val="99"/>
    <w:rsid w:val="00D50011"/>
    <w:rPr>
      <w:sz w:val="24"/>
      <w:lang w:eastAsia="en-US"/>
    </w:rPr>
  </w:style>
  <w:style w:type="paragraph" w:customStyle="1" w:styleId="subsection">
    <w:name w:val="subsection"/>
    <w:basedOn w:val="Normal"/>
    <w:rsid w:val="002622AB"/>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9207">
      <w:bodyDiv w:val="1"/>
      <w:marLeft w:val="0"/>
      <w:marRight w:val="0"/>
      <w:marTop w:val="0"/>
      <w:marBottom w:val="0"/>
      <w:divBdr>
        <w:top w:val="none" w:sz="0" w:space="0" w:color="auto"/>
        <w:left w:val="none" w:sz="0" w:space="0" w:color="auto"/>
        <w:bottom w:val="none" w:sz="0" w:space="0" w:color="auto"/>
        <w:right w:val="none" w:sz="0" w:space="0" w:color="auto"/>
      </w:divBdr>
      <w:divsChild>
        <w:div w:id="805902031">
          <w:marLeft w:val="0"/>
          <w:marRight w:val="0"/>
          <w:marTop w:val="0"/>
          <w:marBottom w:val="0"/>
          <w:divBdr>
            <w:top w:val="none" w:sz="0" w:space="0" w:color="auto"/>
            <w:left w:val="none" w:sz="0" w:space="0" w:color="auto"/>
            <w:bottom w:val="none" w:sz="0" w:space="0" w:color="auto"/>
            <w:right w:val="none" w:sz="0" w:space="0" w:color="auto"/>
          </w:divBdr>
          <w:divsChild>
            <w:div w:id="343169462">
              <w:marLeft w:val="1950"/>
              <w:marRight w:val="0"/>
              <w:marTop w:val="0"/>
              <w:marBottom w:val="0"/>
              <w:divBdr>
                <w:top w:val="none" w:sz="0" w:space="0" w:color="auto"/>
                <w:left w:val="none" w:sz="0" w:space="0" w:color="auto"/>
                <w:bottom w:val="none" w:sz="0" w:space="0" w:color="auto"/>
                <w:right w:val="none" w:sz="0" w:space="0" w:color="auto"/>
              </w:divBdr>
              <w:divsChild>
                <w:div w:id="1686664024">
                  <w:marLeft w:val="450"/>
                  <w:marRight w:val="0"/>
                  <w:marTop w:val="0"/>
                  <w:marBottom w:val="0"/>
                  <w:divBdr>
                    <w:top w:val="none" w:sz="0" w:space="0" w:color="auto"/>
                    <w:left w:val="none" w:sz="0" w:space="0" w:color="auto"/>
                    <w:bottom w:val="none" w:sz="0" w:space="0" w:color="auto"/>
                    <w:right w:val="none" w:sz="0" w:space="0" w:color="auto"/>
                  </w:divBdr>
                  <w:divsChild>
                    <w:div w:id="6262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25128">
      <w:bodyDiv w:val="1"/>
      <w:marLeft w:val="0"/>
      <w:marRight w:val="0"/>
      <w:marTop w:val="0"/>
      <w:marBottom w:val="0"/>
      <w:divBdr>
        <w:top w:val="none" w:sz="0" w:space="0" w:color="auto"/>
        <w:left w:val="none" w:sz="0" w:space="0" w:color="auto"/>
        <w:bottom w:val="none" w:sz="0" w:space="0" w:color="auto"/>
        <w:right w:val="none" w:sz="0" w:space="0" w:color="auto"/>
      </w:divBdr>
      <w:divsChild>
        <w:div w:id="564997370">
          <w:marLeft w:val="0"/>
          <w:marRight w:val="0"/>
          <w:marTop w:val="0"/>
          <w:marBottom w:val="0"/>
          <w:divBdr>
            <w:top w:val="none" w:sz="0" w:space="0" w:color="auto"/>
            <w:left w:val="none" w:sz="0" w:space="0" w:color="auto"/>
            <w:bottom w:val="none" w:sz="0" w:space="0" w:color="auto"/>
            <w:right w:val="none" w:sz="0" w:space="0" w:color="auto"/>
          </w:divBdr>
          <w:divsChild>
            <w:div w:id="1340231550">
              <w:marLeft w:val="0"/>
              <w:marRight w:val="0"/>
              <w:marTop w:val="0"/>
              <w:marBottom w:val="0"/>
              <w:divBdr>
                <w:top w:val="none" w:sz="0" w:space="0" w:color="auto"/>
                <w:left w:val="none" w:sz="0" w:space="0" w:color="auto"/>
                <w:bottom w:val="none" w:sz="0" w:space="0" w:color="auto"/>
                <w:right w:val="none" w:sz="0" w:space="0" w:color="auto"/>
              </w:divBdr>
              <w:divsChild>
                <w:div w:id="1051465458">
                  <w:marLeft w:val="0"/>
                  <w:marRight w:val="0"/>
                  <w:marTop w:val="0"/>
                  <w:marBottom w:val="0"/>
                  <w:divBdr>
                    <w:top w:val="none" w:sz="0" w:space="0" w:color="auto"/>
                    <w:left w:val="none" w:sz="0" w:space="0" w:color="auto"/>
                    <w:bottom w:val="none" w:sz="0" w:space="0" w:color="auto"/>
                    <w:right w:val="none" w:sz="0" w:space="0" w:color="auto"/>
                  </w:divBdr>
                  <w:divsChild>
                    <w:div w:id="1565791989">
                      <w:marLeft w:val="0"/>
                      <w:marRight w:val="0"/>
                      <w:marTop w:val="0"/>
                      <w:marBottom w:val="0"/>
                      <w:divBdr>
                        <w:top w:val="none" w:sz="0" w:space="0" w:color="auto"/>
                        <w:left w:val="none" w:sz="0" w:space="0" w:color="auto"/>
                        <w:bottom w:val="none" w:sz="0" w:space="0" w:color="auto"/>
                        <w:right w:val="none" w:sz="0" w:space="0" w:color="auto"/>
                      </w:divBdr>
                      <w:divsChild>
                        <w:div w:id="1645502380">
                          <w:marLeft w:val="0"/>
                          <w:marRight w:val="0"/>
                          <w:marTop w:val="0"/>
                          <w:marBottom w:val="0"/>
                          <w:divBdr>
                            <w:top w:val="none" w:sz="0" w:space="0" w:color="auto"/>
                            <w:left w:val="none" w:sz="0" w:space="0" w:color="auto"/>
                            <w:bottom w:val="none" w:sz="0" w:space="0" w:color="auto"/>
                            <w:right w:val="none" w:sz="0" w:space="0" w:color="auto"/>
                          </w:divBdr>
                          <w:divsChild>
                            <w:div w:id="31536318">
                              <w:marLeft w:val="0"/>
                              <w:marRight w:val="0"/>
                              <w:marTop w:val="0"/>
                              <w:marBottom w:val="0"/>
                              <w:divBdr>
                                <w:top w:val="none" w:sz="0" w:space="0" w:color="auto"/>
                                <w:left w:val="none" w:sz="0" w:space="0" w:color="auto"/>
                                <w:bottom w:val="none" w:sz="0" w:space="0" w:color="auto"/>
                                <w:right w:val="none" w:sz="0" w:space="0" w:color="auto"/>
                              </w:divBdr>
                              <w:divsChild>
                                <w:div w:id="1464467996">
                                  <w:marLeft w:val="0"/>
                                  <w:marRight w:val="0"/>
                                  <w:marTop w:val="0"/>
                                  <w:marBottom w:val="0"/>
                                  <w:divBdr>
                                    <w:top w:val="none" w:sz="0" w:space="0" w:color="auto"/>
                                    <w:left w:val="none" w:sz="0" w:space="0" w:color="auto"/>
                                    <w:bottom w:val="none" w:sz="0" w:space="0" w:color="auto"/>
                                    <w:right w:val="none" w:sz="0" w:space="0" w:color="auto"/>
                                  </w:divBdr>
                                  <w:divsChild>
                                    <w:div w:id="1241334224">
                                      <w:marLeft w:val="0"/>
                                      <w:marRight w:val="0"/>
                                      <w:marTop w:val="0"/>
                                      <w:marBottom w:val="0"/>
                                      <w:divBdr>
                                        <w:top w:val="none" w:sz="0" w:space="0" w:color="auto"/>
                                        <w:left w:val="none" w:sz="0" w:space="0" w:color="auto"/>
                                        <w:bottom w:val="none" w:sz="0" w:space="0" w:color="auto"/>
                                        <w:right w:val="none" w:sz="0" w:space="0" w:color="auto"/>
                                      </w:divBdr>
                                      <w:divsChild>
                                        <w:div w:id="802651210">
                                          <w:marLeft w:val="0"/>
                                          <w:marRight w:val="0"/>
                                          <w:marTop w:val="0"/>
                                          <w:marBottom w:val="0"/>
                                          <w:divBdr>
                                            <w:top w:val="none" w:sz="0" w:space="0" w:color="auto"/>
                                            <w:left w:val="none" w:sz="0" w:space="0" w:color="auto"/>
                                            <w:bottom w:val="none" w:sz="0" w:space="0" w:color="auto"/>
                                            <w:right w:val="none" w:sz="0" w:space="0" w:color="auto"/>
                                          </w:divBdr>
                                          <w:divsChild>
                                            <w:div w:id="1661349689">
                                              <w:marLeft w:val="0"/>
                                              <w:marRight w:val="0"/>
                                              <w:marTop w:val="0"/>
                                              <w:marBottom w:val="0"/>
                                              <w:divBdr>
                                                <w:top w:val="none" w:sz="0" w:space="0" w:color="auto"/>
                                                <w:left w:val="none" w:sz="0" w:space="0" w:color="auto"/>
                                                <w:bottom w:val="none" w:sz="0" w:space="0" w:color="auto"/>
                                                <w:right w:val="none" w:sz="0" w:space="0" w:color="auto"/>
                                              </w:divBdr>
                                              <w:divsChild>
                                                <w:div w:id="2009138075">
                                                  <w:marLeft w:val="0"/>
                                                  <w:marRight w:val="0"/>
                                                  <w:marTop w:val="0"/>
                                                  <w:marBottom w:val="0"/>
                                                  <w:divBdr>
                                                    <w:top w:val="none" w:sz="0" w:space="0" w:color="auto"/>
                                                    <w:left w:val="none" w:sz="0" w:space="0" w:color="auto"/>
                                                    <w:bottom w:val="none" w:sz="0" w:space="0" w:color="auto"/>
                                                    <w:right w:val="none" w:sz="0" w:space="0" w:color="auto"/>
                                                  </w:divBdr>
                                                  <w:divsChild>
                                                    <w:div w:id="1347638064">
                                                      <w:marLeft w:val="0"/>
                                                      <w:marRight w:val="0"/>
                                                      <w:marTop w:val="0"/>
                                                      <w:marBottom w:val="0"/>
                                                      <w:divBdr>
                                                        <w:top w:val="none" w:sz="0" w:space="0" w:color="auto"/>
                                                        <w:left w:val="none" w:sz="0" w:space="0" w:color="auto"/>
                                                        <w:bottom w:val="none" w:sz="0" w:space="0" w:color="auto"/>
                                                        <w:right w:val="none" w:sz="0" w:space="0" w:color="auto"/>
                                                      </w:divBdr>
                                                      <w:divsChild>
                                                        <w:div w:id="8585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5376ADEF06A459CE24E30552D226A" ma:contentTypeVersion="0" ma:contentTypeDescription="Create a new document." ma:contentTypeScope="" ma:versionID="1fd2bd4c82887fd4b4f4f3ad870bd93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5A589-A0B9-4CF7-ADBF-DAF51EC8B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DC29F9-9FAD-4C26-B1D3-2E1AF06E0A3C}">
  <ds:schemaRefs>
    <ds:schemaRef ds:uri="http://schemas.microsoft.com/sharepoint/v3/contenttype/forms"/>
  </ds:schemaRefs>
</ds:datastoreItem>
</file>

<file path=customXml/itemProps3.xml><?xml version="1.0" encoding="utf-8"?>
<ds:datastoreItem xmlns:ds="http://schemas.openxmlformats.org/officeDocument/2006/customXml" ds:itemID="{E01802D2-4941-4060-B258-A8543111C136}">
  <ds:schemaRefs>
    <ds:schemaRef ds:uri="http://schemas.microsoft.com/office/2006/metadata/longProperties"/>
  </ds:schemaRefs>
</ds:datastoreItem>
</file>

<file path=customXml/itemProps4.xml><?xml version="1.0" encoding="utf-8"?>
<ds:datastoreItem xmlns:ds="http://schemas.openxmlformats.org/officeDocument/2006/customXml" ds:itemID="{2085EB13-71E3-4CA8-9E5A-BD67C296CB05}">
  <ds:schemaRefs>
    <ds:schemaRef ds:uri="http://schemas.microsoft.com/office/2006/metadata/longProperties"/>
  </ds:schemaRefs>
</ds:datastoreItem>
</file>

<file path=customXml/itemProps5.xml><?xml version="1.0" encoding="utf-8"?>
<ds:datastoreItem xmlns:ds="http://schemas.openxmlformats.org/officeDocument/2006/customXml" ds:itemID="{EB87346F-696A-4178-A013-95E51368085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3BB63B61-186B-4A87-9A03-25547B57E418}">
  <ds:schemaRefs>
    <ds:schemaRef ds:uri="http://schemas.microsoft.com/sharepoint/v3/contenttype/forms"/>
  </ds:schemaRefs>
</ds:datastoreItem>
</file>

<file path=customXml/itemProps7.xml><?xml version="1.0" encoding="utf-8"?>
<ds:datastoreItem xmlns:ds="http://schemas.openxmlformats.org/officeDocument/2006/customXml" ds:itemID="{3808E4D4-DE59-4BD8-800F-5C7554C7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3518</Words>
  <Characters>20056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Toole, Paul</dc:creator>
  <cp:keywords/>
  <dc:description/>
  <cp:lastModifiedBy>Dyer, Siew</cp:lastModifiedBy>
  <cp:revision>2</cp:revision>
  <cp:lastPrinted>2017-06-26T06:28:00Z</cp:lastPrinted>
  <dcterms:created xsi:type="dcterms:W3CDTF">2017-07-20T00:23:00Z</dcterms:created>
  <dcterms:modified xsi:type="dcterms:W3CDTF">2017-07-20T00:23:00Z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visionNumber">
    <vt:lpwstr>1</vt:lpwstr>
  </property>
  <property fmtid="{D5CDD505-2E9C-101B-9397-08002B2CF9AE}" pid="3" name="ContentTypeId">
    <vt:lpwstr>0x0101002965376ADEF06A459CE24E30552D226A</vt:lpwstr>
  </property>
</Properties>
</file>