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BB441" w14:textId="77777777" w:rsidR="00715914" w:rsidRPr="005F1388" w:rsidRDefault="00DA186E" w:rsidP="00715914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55C986B0" wp14:editId="2F40E00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EDA8F" w14:textId="77777777" w:rsidR="00715914" w:rsidRPr="00E500D4" w:rsidRDefault="00715914" w:rsidP="00715914">
      <w:pPr>
        <w:rPr>
          <w:sz w:val="19"/>
        </w:rPr>
      </w:pPr>
    </w:p>
    <w:p w14:paraId="74937B95" w14:textId="77777777" w:rsidR="00715914" w:rsidRPr="00E500D4" w:rsidRDefault="00D2661B" w:rsidP="00715914">
      <w:pPr>
        <w:pStyle w:val="ShortT"/>
      </w:pPr>
      <w:r w:rsidRPr="006D7228">
        <w:t>Telecommunications (Integrated Public Number Database Scheme – Criteria for Deciding Authorisation Applications) Instrument 2017</w:t>
      </w:r>
    </w:p>
    <w:p w14:paraId="58F908F3" w14:textId="77777777" w:rsidR="001F6CD4" w:rsidRDefault="001F6CD4" w:rsidP="00715914"/>
    <w:p w14:paraId="64D93C00" w14:textId="77777777" w:rsidR="001F6CD4" w:rsidRDefault="001F6CD4" w:rsidP="00715914"/>
    <w:p w14:paraId="7CDFB126" w14:textId="77777777" w:rsidR="001F6CD4" w:rsidRDefault="001F6CD4" w:rsidP="00715914"/>
    <w:p w14:paraId="2C9C0740" w14:textId="6FA3320E" w:rsidR="00D2661B" w:rsidRPr="00DA182D" w:rsidRDefault="00D2661B" w:rsidP="00D2661B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MITCH</w:t>
      </w:r>
      <w:r w:rsidR="006F5129">
        <w:rPr>
          <w:szCs w:val="22"/>
        </w:rPr>
        <w:t xml:space="preserve"> </w:t>
      </w:r>
      <w:r>
        <w:rPr>
          <w:szCs w:val="22"/>
        </w:rPr>
        <w:t>FIFIELD</w:t>
      </w:r>
      <w:r w:rsidRPr="00DA182D">
        <w:rPr>
          <w:szCs w:val="22"/>
        </w:rPr>
        <w:t xml:space="preserve">, </w:t>
      </w:r>
      <w:r>
        <w:rPr>
          <w:szCs w:val="22"/>
        </w:rPr>
        <w:t>Minister for Communications</w:t>
      </w:r>
      <w:r w:rsidRPr="00DA182D">
        <w:rPr>
          <w:szCs w:val="22"/>
        </w:rPr>
        <w:t>,</w:t>
      </w:r>
      <w:r>
        <w:rPr>
          <w:szCs w:val="22"/>
        </w:rPr>
        <w:t xml:space="preserve"> make the following </w:t>
      </w:r>
      <w:r w:rsidR="00352440">
        <w:rPr>
          <w:szCs w:val="22"/>
        </w:rPr>
        <w:t>instrument</w:t>
      </w:r>
      <w:r w:rsidRPr="00DA182D">
        <w:rPr>
          <w:szCs w:val="22"/>
        </w:rPr>
        <w:t>.</w:t>
      </w:r>
    </w:p>
    <w:p w14:paraId="78CEF33F" w14:textId="779DC05B" w:rsidR="00D2661B" w:rsidRPr="00001A63" w:rsidRDefault="00D2661B" w:rsidP="00D2661B">
      <w:pPr>
        <w:keepNext/>
        <w:spacing w:before="300" w:line="240" w:lineRule="atLeast"/>
        <w:ind w:right="397"/>
        <w:jc w:val="both"/>
        <w:rPr>
          <w:szCs w:val="22"/>
        </w:rPr>
      </w:pPr>
      <w:r w:rsidRPr="0067569E">
        <w:rPr>
          <w:szCs w:val="22"/>
        </w:rPr>
        <w:lastRenderedPageBreak/>
        <w:t>Dated</w:t>
      </w:r>
      <w:r w:rsidR="00DD6089">
        <w:rPr>
          <w:szCs w:val="22"/>
        </w:rPr>
        <w:t xml:space="preserve"> 18 July 2017</w:t>
      </w:r>
      <w:r w:rsidRPr="001C71BA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36569F4A" w14:textId="40158919" w:rsidR="00D2661B" w:rsidRPr="001C71BA" w:rsidRDefault="00D2661B" w:rsidP="00D2661B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C71BA">
        <w:rPr>
          <w:szCs w:val="22"/>
        </w:rPr>
        <w:t xml:space="preserve">MITCH FIFIELD </w:t>
      </w:r>
    </w:p>
    <w:p w14:paraId="3429A6D6" w14:textId="77777777" w:rsidR="00D2661B" w:rsidRPr="008E0027" w:rsidRDefault="00D2661B" w:rsidP="00D2661B">
      <w:pPr>
        <w:pStyle w:val="SignCoverPageEnd"/>
        <w:rPr>
          <w:sz w:val="22"/>
        </w:rPr>
      </w:pPr>
      <w:r w:rsidRPr="001C71BA">
        <w:rPr>
          <w:sz w:val="22"/>
        </w:rPr>
        <w:t>Minister</w:t>
      </w:r>
      <w:r>
        <w:rPr>
          <w:sz w:val="22"/>
        </w:rPr>
        <w:t xml:space="preserve"> for Communications</w:t>
      </w:r>
    </w:p>
    <w:p w14:paraId="3CF22820" w14:textId="77777777" w:rsidR="007050A2" w:rsidRDefault="007050A2" w:rsidP="00715914"/>
    <w:p w14:paraId="30FA18EF" w14:textId="77777777" w:rsidR="00F6696E" w:rsidRDefault="00F6696E" w:rsidP="00715914"/>
    <w:p w14:paraId="059B6357" w14:textId="77777777" w:rsidR="00F6696E" w:rsidRDefault="00F6696E" w:rsidP="00F6696E"/>
    <w:p w14:paraId="353EC444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3FC3F5E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03997E4" w14:textId="77777777" w:rsidR="0067569E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7569E">
        <w:rPr>
          <w:noProof/>
        </w:rPr>
        <w:t>1  Name</w:t>
      </w:r>
      <w:r w:rsidR="0067569E">
        <w:rPr>
          <w:noProof/>
        </w:rPr>
        <w:tab/>
      </w:r>
      <w:r w:rsidR="0067569E">
        <w:rPr>
          <w:noProof/>
        </w:rPr>
        <w:fldChar w:fldCharType="begin"/>
      </w:r>
      <w:r w:rsidR="0067569E">
        <w:rPr>
          <w:noProof/>
        </w:rPr>
        <w:instrText xml:space="preserve"> PAGEREF _Toc484773285 \h </w:instrText>
      </w:r>
      <w:r w:rsidR="0067569E">
        <w:rPr>
          <w:noProof/>
        </w:rPr>
      </w:r>
      <w:r w:rsidR="0067569E">
        <w:rPr>
          <w:noProof/>
        </w:rPr>
        <w:fldChar w:fldCharType="separate"/>
      </w:r>
      <w:r w:rsidR="0067569E">
        <w:rPr>
          <w:noProof/>
        </w:rPr>
        <w:t>1</w:t>
      </w:r>
      <w:r w:rsidR="0067569E">
        <w:rPr>
          <w:noProof/>
        </w:rPr>
        <w:fldChar w:fldCharType="end"/>
      </w:r>
    </w:p>
    <w:p w14:paraId="4C84E92F" w14:textId="77777777" w:rsidR="0067569E" w:rsidRDefault="006756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_Toc484773286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1F2845F" w14:textId="77777777" w:rsidR="0067569E" w:rsidRDefault="006756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_Toc484773287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FCCF13F" w14:textId="77777777" w:rsidR="0067569E" w:rsidRDefault="006756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_Toc484773288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44FFBB1" w14:textId="77777777" w:rsidR="0067569E" w:rsidRDefault="006756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_Toc484773289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B778E3E" w14:textId="77777777" w:rsidR="0067569E" w:rsidRDefault="006756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Criteria for deciding applications for public number directory authorisations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_Toc484773290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498AB4E" w14:textId="77777777" w:rsidR="0067569E" w:rsidRDefault="006756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Criteria for deciding applications from researchers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_Toc484773291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FF08D74" w14:textId="77777777" w:rsidR="0067569E" w:rsidRDefault="0067569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_Toc484773292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A6F64DF" w14:textId="77777777" w:rsidR="0067569E" w:rsidRDefault="0067569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(Integrated Public Number Database Scheme – Criteria For Deciding Authorisation Applications) Instrument 2007 (No.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_Toc484773293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A62A1C4" w14:textId="77777777" w:rsidR="00F6696E" w:rsidRDefault="00B418CB" w:rsidP="00F6696E">
      <w:pPr>
        <w:outlineLvl w:val="0"/>
      </w:pPr>
      <w:r>
        <w:fldChar w:fldCharType="end"/>
      </w:r>
    </w:p>
    <w:p w14:paraId="24E4B24C" w14:textId="77777777" w:rsidR="00F6696E" w:rsidRPr="00A802BC" w:rsidRDefault="00F6696E" w:rsidP="00F6696E">
      <w:pPr>
        <w:outlineLvl w:val="0"/>
        <w:rPr>
          <w:sz w:val="20"/>
        </w:rPr>
      </w:pPr>
    </w:p>
    <w:p w14:paraId="7498DC22" w14:textId="77777777" w:rsidR="00F6696E" w:rsidRDefault="00F6696E" w:rsidP="00F6696E">
      <w:pPr>
        <w:sectPr w:rsidR="00F6696E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741EBFB" w14:textId="77777777" w:rsidR="00A75FE9" w:rsidRPr="009C2562" w:rsidRDefault="00A75FE9" w:rsidP="00A75FE9">
      <w:pPr>
        <w:pStyle w:val="ActHead5"/>
      </w:pPr>
      <w:bookmarkStart w:id="1" w:name="_Toc484773285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2706B7C1" w14:textId="77777777"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>is the</w:t>
      </w:r>
      <w:r w:rsidR="00D2661B">
        <w:t xml:space="preserve"> </w:t>
      </w:r>
      <w:r w:rsidR="00D2661B">
        <w:rPr>
          <w:i/>
        </w:rPr>
        <w:t>Telecommunications (Integrated Public Number Database Scheme – Criteria for Deciding Authorisation Applications) Instrument 2017</w:t>
      </w:r>
      <w:bookmarkStart w:id="2" w:name="BKCheck15B_3"/>
      <w:bookmarkEnd w:id="2"/>
      <w:r w:rsidRPr="009C2562">
        <w:t>.</w:t>
      </w:r>
    </w:p>
    <w:p w14:paraId="47C42A19" w14:textId="77777777" w:rsidR="00A75FE9" w:rsidRDefault="00A75FE9" w:rsidP="00A75FE9">
      <w:pPr>
        <w:pStyle w:val="ActHead5"/>
      </w:pPr>
      <w:bookmarkStart w:id="3" w:name="_Toc484773286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4B8FE9C2" w14:textId="77777777" w:rsidR="00232984" w:rsidRPr="00232984" w:rsidRDefault="00232984" w:rsidP="00232984">
      <w:pPr>
        <w:pStyle w:val="subsection"/>
      </w:pPr>
      <w:r>
        <w:tab/>
      </w:r>
      <w:r>
        <w:tab/>
        <w:t>This instrument commences</w:t>
      </w:r>
      <w:r w:rsidR="00D2661B">
        <w:t xml:space="preserve"> on the day after this instrument is registered</w:t>
      </w:r>
      <w:r>
        <w:t>.</w:t>
      </w:r>
    </w:p>
    <w:p w14:paraId="6B0787CC" w14:textId="77777777" w:rsidR="00A75FE9" w:rsidRPr="009C2562" w:rsidRDefault="00A75FE9" w:rsidP="00A75FE9">
      <w:pPr>
        <w:pStyle w:val="ActHead5"/>
      </w:pPr>
      <w:bookmarkStart w:id="4" w:name="_Toc484773287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1AF19286" w14:textId="77777777"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>This instrument is made under</w:t>
      </w:r>
      <w:r w:rsidR="00D2661B">
        <w:t xml:space="preserve"> section 295N of the </w:t>
      </w:r>
      <w:r w:rsidR="00D2661B">
        <w:rPr>
          <w:i/>
        </w:rPr>
        <w:t>Telecommunications Act 1997</w:t>
      </w:r>
      <w:r w:rsidRPr="009C2562">
        <w:t>.</w:t>
      </w:r>
    </w:p>
    <w:p w14:paraId="408EEA6F" w14:textId="4DA658E2" w:rsidR="00A75FE9" w:rsidRPr="009C2562" w:rsidRDefault="00A75FE9" w:rsidP="00A75FE9">
      <w:pPr>
        <w:pStyle w:val="ActHead5"/>
      </w:pPr>
      <w:bookmarkStart w:id="5" w:name="_Toc484773288"/>
      <w:r w:rsidRPr="009C2562">
        <w:rPr>
          <w:rStyle w:val="CharSectno"/>
        </w:rPr>
        <w:t>4</w:t>
      </w:r>
      <w:r w:rsidRPr="009C2562">
        <w:t xml:space="preserve">  Definitions</w:t>
      </w:r>
      <w:bookmarkEnd w:id="5"/>
      <w:r w:rsidR="006F5129">
        <w:t xml:space="preserve"> </w:t>
      </w:r>
    </w:p>
    <w:p w14:paraId="248691CD" w14:textId="77777777"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>In this instrument:</w:t>
      </w:r>
    </w:p>
    <w:p w14:paraId="59942011" w14:textId="77777777" w:rsidR="00A75FE9" w:rsidRDefault="00A75FE9" w:rsidP="00A75FE9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</w:t>
      </w:r>
      <w:r w:rsidR="00D2661B">
        <w:t xml:space="preserve"> </w:t>
      </w:r>
      <w:r w:rsidR="00D2661B">
        <w:rPr>
          <w:i/>
        </w:rPr>
        <w:t>Telecommunications Act 1997</w:t>
      </w:r>
      <w:r>
        <w:t>.</w:t>
      </w:r>
    </w:p>
    <w:p w14:paraId="229F07AA" w14:textId="77777777" w:rsidR="00D2661B" w:rsidRDefault="00D2661B" w:rsidP="00D2661B">
      <w:pPr>
        <w:pStyle w:val="Definition"/>
      </w:pPr>
      <w:r w:rsidRPr="005E56D5">
        <w:rPr>
          <w:b/>
          <w:bCs/>
          <w:i/>
        </w:rPr>
        <w:t>candidate</w:t>
      </w:r>
      <w:r>
        <w:rPr>
          <w:b/>
          <w:bCs/>
        </w:rPr>
        <w:t xml:space="preserve"> </w:t>
      </w:r>
      <w:r>
        <w:t xml:space="preserve">has the same meaning as in the </w:t>
      </w:r>
      <w:r w:rsidRPr="005E56D5">
        <w:rPr>
          <w:i/>
        </w:rPr>
        <w:t>Telecommunications (Integrated Public Number Database – Permitted R</w:t>
      </w:r>
      <w:r w:rsidR="005E56D5">
        <w:rPr>
          <w:i/>
        </w:rPr>
        <w:t>esearch Purposes) Instrument 201</w:t>
      </w:r>
      <w:r w:rsidRPr="005E56D5">
        <w:rPr>
          <w:i/>
        </w:rPr>
        <w:t>7.</w:t>
      </w:r>
    </w:p>
    <w:p w14:paraId="49F5D648" w14:textId="02BE3F3A" w:rsidR="005E56D5" w:rsidRDefault="005E56D5" w:rsidP="005E56D5">
      <w:pPr>
        <w:pStyle w:val="Definition"/>
      </w:pPr>
      <w:r w:rsidRPr="005E4CCC">
        <w:rPr>
          <w:b/>
          <w:i/>
        </w:rPr>
        <w:lastRenderedPageBreak/>
        <w:t xml:space="preserve">Commonwealth entity </w:t>
      </w:r>
      <w:r>
        <w:t xml:space="preserve">has the meaning given by section 10 of the </w:t>
      </w:r>
      <w:r>
        <w:rPr>
          <w:i/>
        </w:rPr>
        <w:t>Public Governance, Performance and Accountability Act 2013</w:t>
      </w:r>
      <w:r>
        <w:t>.</w:t>
      </w:r>
    </w:p>
    <w:p w14:paraId="772A539B" w14:textId="77777777" w:rsidR="00D2661B" w:rsidRDefault="00D2661B" w:rsidP="00D2661B">
      <w:pPr>
        <w:pStyle w:val="Definition"/>
      </w:pPr>
      <w:r w:rsidRPr="005E56D5">
        <w:rPr>
          <w:b/>
          <w:bCs/>
          <w:i/>
        </w:rPr>
        <w:t>contractor</w:t>
      </w:r>
      <w:r>
        <w:rPr>
          <w:b/>
          <w:bCs/>
        </w:rPr>
        <w:t xml:space="preserve"> </w:t>
      </w:r>
      <w:r>
        <w:t>means a person who performs services for and on behalf of the holder of a public number directory authorisation or a research authorisation but does not include a person who performs such services in the capacity of an employee of the holder.</w:t>
      </w:r>
    </w:p>
    <w:p w14:paraId="2DD65E24" w14:textId="77777777" w:rsidR="00D2661B" w:rsidRDefault="00D2661B" w:rsidP="00D2661B">
      <w:pPr>
        <w:pStyle w:val="Definition"/>
      </w:pPr>
      <w:r w:rsidRPr="005E56D5">
        <w:rPr>
          <w:b/>
          <w:bCs/>
          <w:i/>
        </w:rPr>
        <w:t>customer</w:t>
      </w:r>
      <w:r>
        <w:t xml:space="preserve"> means a person who is supplied with a carriage service by a carriage service provider.</w:t>
      </w:r>
    </w:p>
    <w:p w14:paraId="13E6563C" w14:textId="2AD5901F" w:rsidR="00D2661B" w:rsidRDefault="00D2661B" w:rsidP="00D2661B">
      <w:pPr>
        <w:pStyle w:val="Definition"/>
      </w:pPr>
      <w:r w:rsidRPr="005E56D5">
        <w:rPr>
          <w:b/>
          <w:bCs/>
          <w:i/>
        </w:rPr>
        <w:t>customer</w:t>
      </w:r>
      <w:r>
        <w:rPr>
          <w:b/>
          <w:bCs/>
        </w:rPr>
        <w:t xml:space="preserve"> </w:t>
      </w:r>
      <w:r w:rsidRPr="005E56D5">
        <w:rPr>
          <w:b/>
          <w:bCs/>
          <w:i/>
        </w:rPr>
        <w:t>data</w:t>
      </w:r>
      <w:r>
        <w:rPr>
          <w:b/>
          <w:bCs/>
        </w:rPr>
        <w:t xml:space="preserve"> </w:t>
      </w:r>
      <w:r>
        <w:t>has the same meaning as in the</w:t>
      </w:r>
      <w:r>
        <w:rPr>
          <w:b/>
          <w:bCs/>
        </w:rPr>
        <w:t xml:space="preserve"> </w:t>
      </w:r>
      <w:r w:rsidRPr="002703D2">
        <w:rPr>
          <w:i/>
        </w:rPr>
        <w:t>Telecommunications Integrated P</w:t>
      </w:r>
      <w:r w:rsidR="002703D2" w:rsidRPr="002703D2">
        <w:rPr>
          <w:i/>
        </w:rPr>
        <w:t>ublic Number Database Scheme 201</w:t>
      </w:r>
      <w:r w:rsidRPr="002703D2">
        <w:rPr>
          <w:i/>
        </w:rPr>
        <w:t>7</w:t>
      </w:r>
      <w:r>
        <w:rPr>
          <w:b/>
          <w:bCs/>
        </w:rPr>
        <w:t>.</w:t>
      </w:r>
      <w:r>
        <w:rPr>
          <w:szCs w:val="22"/>
        </w:rPr>
        <w:t xml:space="preserve">  </w:t>
      </w:r>
    </w:p>
    <w:p w14:paraId="0686F665" w14:textId="7CB9DD2D" w:rsidR="00D2661B" w:rsidRDefault="00D2661B" w:rsidP="00D2661B">
      <w:pPr>
        <w:pStyle w:val="Definition"/>
      </w:pPr>
      <w:r w:rsidRPr="005E56D5">
        <w:rPr>
          <w:b/>
          <w:bCs/>
          <w:i/>
        </w:rPr>
        <w:t>electoral</w:t>
      </w:r>
      <w:r>
        <w:rPr>
          <w:b/>
          <w:bCs/>
        </w:rPr>
        <w:t xml:space="preserve"> </w:t>
      </w:r>
      <w:r w:rsidRPr="005E56D5">
        <w:rPr>
          <w:b/>
          <w:bCs/>
          <w:i/>
        </w:rPr>
        <w:t>matter</w:t>
      </w:r>
      <w:r>
        <w:t xml:space="preserve"> has the same meaning as in the </w:t>
      </w:r>
      <w:r w:rsidRPr="002703D2">
        <w:rPr>
          <w:i/>
        </w:rPr>
        <w:t>Telecommunications (Integrated Public Number Database – Permitted R</w:t>
      </w:r>
      <w:r w:rsidR="002703D2" w:rsidRPr="002703D2">
        <w:rPr>
          <w:i/>
        </w:rPr>
        <w:t>esearch Purposes) Instrument 201</w:t>
      </w:r>
      <w:r w:rsidRPr="002703D2">
        <w:rPr>
          <w:i/>
        </w:rPr>
        <w:t>7</w:t>
      </w:r>
      <w:r>
        <w:t>.</w:t>
      </w:r>
    </w:p>
    <w:p w14:paraId="02A735D2" w14:textId="0513A980" w:rsidR="00D2661B" w:rsidRDefault="00D2661B" w:rsidP="00D2661B">
      <w:pPr>
        <w:pStyle w:val="Definition"/>
      </w:pPr>
      <w:r w:rsidRPr="005E56D5">
        <w:rPr>
          <w:b/>
          <w:bCs/>
          <w:i/>
        </w:rPr>
        <w:t>integrated public number database scheme</w:t>
      </w:r>
      <w:r>
        <w:rPr>
          <w:b/>
          <w:bCs/>
        </w:rPr>
        <w:t xml:space="preserve"> </w:t>
      </w:r>
      <w:r>
        <w:t>means the scheme in force under section 295A of the Act.</w:t>
      </w:r>
    </w:p>
    <w:p w14:paraId="63C86472" w14:textId="50120E3A" w:rsidR="00D2661B" w:rsidRDefault="00D2661B" w:rsidP="00D2661B">
      <w:pPr>
        <w:pStyle w:val="Definition"/>
      </w:pPr>
      <w:r w:rsidRPr="005E56D5">
        <w:rPr>
          <w:b/>
          <w:bCs/>
          <w:i/>
        </w:rPr>
        <w:t>local government authority</w:t>
      </w:r>
      <w:r>
        <w:t xml:space="preserve"> has the same meaning as in the </w:t>
      </w:r>
      <w:r w:rsidRPr="002703D2">
        <w:rPr>
          <w:i/>
        </w:rPr>
        <w:t>Telecommunications (Integrated Public Number Database – Permitted Research P</w:t>
      </w:r>
      <w:r w:rsidR="002703D2">
        <w:rPr>
          <w:i/>
        </w:rPr>
        <w:t>urposes) Instrument 2017</w:t>
      </w:r>
      <w:r w:rsidRPr="002703D2">
        <w:rPr>
          <w:i/>
        </w:rPr>
        <w:t>.</w:t>
      </w:r>
    </w:p>
    <w:p w14:paraId="19C25B3C" w14:textId="1D4C42CF" w:rsidR="00D2661B" w:rsidRDefault="00D2661B" w:rsidP="00D2661B">
      <w:pPr>
        <w:pStyle w:val="Definition"/>
      </w:pPr>
      <w:r w:rsidRPr="005E56D5">
        <w:rPr>
          <w:b/>
          <w:bCs/>
          <w:i/>
        </w:rPr>
        <w:lastRenderedPageBreak/>
        <w:t>Parliament</w:t>
      </w:r>
      <w:r>
        <w:rPr>
          <w:b/>
          <w:bCs/>
        </w:rPr>
        <w:t xml:space="preserve"> </w:t>
      </w:r>
      <w:r>
        <w:t xml:space="preserve">has the same meaning as in the </w:t>
      </w:r>
      <w:r w:rsidRPr="002703D2">
        <w:rPr>
          <w:i/>
        </w:rPr>
        <w:t>Telecommunications (Integrated Public Number Database – Permitted Research Purposes) Instrument 20</w:t>
      </w:r>
      <w:r w:rsidR="002703D2" w:rsidRPr="002703D2">
        <w:rPr>
          <w:i/>
        </w:rPr>
        <w:t>1</w:t>
      </w:r>
      <w:r w:rsidRPr="002703D2">
        <w:rPr>
          <w:i/>
        </w:rPr>
        <w:t>7</w:t>
      </w:r>
      <w:r>
        <w:t>.</w:t>
      </w:r>
    </w:p>
    <w:p w14:paraId="5032D3E7" w14:textId="45B588F3" w:rsidR="00D2661B" w:rsidRDefault="00D2661B" w:rsidP="00D2661B">
      <w:pPr>
        <w:pStyle w:val="Definition"/>
      </w:pPr>
      <w:r w:rsidRPr="005E56D5">
        <w:rPr>
          <w:b/>
          <w:bCs/>
          <w:i/>
        </w:rPr>
        <w:t>political</w:t>
      </w:r>
      <w:r>
        <w:rPr>
          <w:b/>
          <w:bCs/>
        </w:rPr>
        <w:t xml:space="preserve"> </w:t>
      </w:r>
      <w:r w:rsidRPr="005E56D5">
        <w:rPr>
          <w:b/>
          <w:bCs/>
          <w:i/>
        </w:rPr>
        <w:t>representative</w:t>
      </w:r>
      <w:r>
        <w:t xml:space="preserve"> has the same meaning as in the </w:t>
      </w:r>
      <w:r w:rsidRPr="002703D2">
        <w:rPr>
          <w:i/>
        </w:rPr>
        <w:t>Telecommunications (Integrated Public Number Database – Permitted R</w:t>
      </w:r>
      <w:r w:rsidR="002703D2" w:rsidRPr="002703D2">
        <w:rPr>
          <w:i/>
        </w:rPr>
        <w:t>esearch Purposes) Instrument 201</w:t>
      </w:r>
      <w:r w:rsidRPr="002703D2">
        <w:rPr>
          <w:i/>
        </w:rPr>
        <w:t>7</w:t>
      </w:r>
      <w:r>
        <w:t>.</w:t>
      </w:r>
    </w:p>
    <w:p w14:paraId="48F82D38" w14:textId="77777777" w:rsidR="00D2661B" w:rsidRDefault="00D2661B" w:rsidP="00D2661B">
      <w:pPr>
        <w:pStyle w:val="Definition"/>
      </w:pPr>
      <w:r w:rsidRPr="005E56D5">
        <w:rPr>
          <w:b/>
          <w:bCs/>
          <w:i/>
        </w:rPr>
        <w:t>protected</w:t>
      </w:r>
      <w:r>
        <w:rPr>
          <w:b/>
          <w:bCs/>
        </w:rPr>
        <w:t xml:space="preserve"> </w:t>
      </w:r>
      <w:r w:rsidRPr="005E56D5">
        <w:rPr>
          <w:b/>
          <w:bCs/>
          <w:i/>
        </w:rPr>
        <w:t>information</w:t>
      </w:r>
      <w:r>
        <w:rPr>
          <w:b/>
          <w:bCs/>
        </w:rPr>
        <w:t xml:space="preserve"> </w:t>
      </w:r>
      <w:r>
        <w:t xml:space="preserve">means information or a document disclosed under subsection 285(1A) of the Act for a purpose covered by:  </w:t>
      </w:r>
    </w:p>
    <w:p w14:paraId="73EB9130" w14:textId="77777777" w:rsidR="00D2661B" w:rsidRDefault="005E56D5" w:rsidP="005E56D5">
      <w:pPr>
        <w:pStyle w:val="paragraph"/>
      </w:pPr>
      <w:r>
        <w:tab/>
        <w:t>(a)</w:t>
      </w:r>
      <w:r>
        <w:tab/>
      </w:r>
      <w:r w:rsidR="00D2661B">
        <w:t>subparagraph 285(1A)(c)(ii) of the Act; or</w:t>
      </w:r>
    </w:p>
    <w:p w14:paraId="2F2DC218" w14:textId="77777777" w:rsidR="00D2661B" w:rsidRDefault="005E56D5" w:rsidP="005E56D5">
      <w:pPr>
        <w:pStyle w:val="paragraph"/>
      </w:pPr>
      <w:r>
        <w:tab/>
      </w:r>
      <w:r w:rsidR="00D2661B">
        <w:t>(b)</w:t>
      </w:r>
      <w:r>
        <w:tab/>
      </w:r>
      <w:r w:rsidR="00D2661B">
        <w:t>subparagraph 285(1A)(c)(iv) of the Act.</w:t>
      </w:r>
      <w:r w:rsidR="00D2661B">
        <w:rPr>
          <w:b/>
          <w:bCs/>
        </w:rPr>
        <w:t xml:space="preserve"> </w:t>
      </w:r>
    </w:p>
    <w:p w14:paraId="097BDCAD" w14:textId="77777777" w:rsidR="00D2661B" w:rsidRDefault="00D2661B" w:rsidP="00D2661B">
      <w:pPr>
        <w:pStyle w:val="Definition"/>
      </w:pPr>
      <w:r>
        <w:rPr>
          <w:b/>
          <w:bCs/>
          <w:i/>
          <w:iCs/>
        </w:rPr>
        <w:t>public mobile telecommunications service</w:t>
      </w:r>
      <w:r>
        <w:t xml:space="preserve"> has the meaning given by section 32 of the Act.</w:t>
      </w:r>
    </w:p>
    <w:p w14:paraId="6FCD9709" w14:textId="77777777" w:rsidR="00D2661B" w:rsidRDefault="00D2661B" w:rsidP="00D2661B">
      <w:pPr>
        <w:pStyle w:val="Definition"/>
      </w:pPr>
      <w:r>
        <w:rPr>
          <w:b/>
          <w:bCs/>
          <w:i/>
          <w:iCs/>
        </w:rPr>
        <w:t>public number</w:t>
      </w:r>
      <w:r>
        <w:t xml:space="preserve"> has the meaning given by subsection 285(2) of the Act.</w:t>
      </w:r>
    </w:p>
    <w:p w14:paraId="3D282B55" w14:textId="77777777" w:rsidR="00D2661B" w:rsidRDefault="00D2661B" w:rsidP="00D2661B">
      <w:pPr>
        <w:pStyle w:val="Definition"/>
      </w:pPr>
      <w:r>
        <w:rPr>
          <w:b/>
          <w:bCs/>
          <w:i/>
          <w:iCs/>
        </w:rPr>
        <w:t>public number directory</w:t>
      </w:r>
      <w:r>
        <w:t xml:space="preserve"> has the meaning given by subsection 285(2) of the Act.</w:t>
      </w:r>
    </w:p>
    <w:p w14:paraId="4913277B" w14:textId="77777777" w:rsidR="00D2661B" w:rsidRDefault="00D2661B" w:rsidP="00D2661B">
      <w:pPr>
        <w:pStyle w:val="Definition"/>
      </w:pPr>
      <w:r>
        <w:rPr>
          <w:b/>
          <w:bCs/>
          <w:i/>
          <w:iCs/>
        </w:rPr>
        <w:t>public number directory authorisation</w:t>
      </w:r>
      <w:r>
        <w:t xml:space="preserve"> means an authorisation under the integrated public number database scheme that permits the person to whom it is granted to use and disclose protected information for a purpose covered by subparagraph 285(1A)(c)(ii) of the Act.</w:t>
      </w:r>
    </w:p>
    <w:p w14:paraId="7EDE7E16" w14:textId="56584F07" w:rsidR="00D2661B" w:rsidRDefault="00D2661B" w:rsidP="00D2661B">
      <w:pPr>
        <w:pStyle w:val="Definition"/>
      </w:pPr>
      <w:r>
        <w:rPr>
          <w:b/>
          <w:bCs/>
          <w:i/>
          <w:iCs/>
        </w:rPr>
        <w:lastRenderedPageBreak/>
        <w:t>registered political party</w:t>
      </w:r>
      <w:r>
        <w:t xml:space="preserve"> has the same meaning as in the </w:t>
      </w:r>
      <w:r>
        <w:rPr>
          <w:i/>
          <w:iCs/>
        </w:rPr>
        <w:t>Telecommunications (Integrated Public Number Database – Permitted R</w:t>
      </w:r>
      <w:r w:rsidR="00AA551A">
        <w:rPr>
          <w:i/>
          <w:iCs/>
        </w:rPr>
        <w:t>esearch Purposes) Instrument 201</w:t>
      </w:r>
      <w:r w:rsidR="00D14866">
        <w:rPr>
          <w:i/>
          <w:iCs/>
        </w:rPr>
        <w:t>7</w:t>
      </w:r>
      <w:r>
        <w:t>.</w:t>
      </w:r>
    </w:p>
    <w:p w14:paraId="3897FB1E" w14:textId="77777777" w:rsidR="00D2661B" w:rsidRDefault="00D2661B" w:rsidP="00D2661B">
      <w:pPr>
        <w:pStyle w:val="Definition"/>
      </w:pPr>
      <w:r>
        <w:rPr>
          <w:b/>
          <w:bCs/>
          <w:i/>
          <w:iCs/>
        </w:rPr>
        <w:t>research authorisation</w:t>
      </w:r>
      <w:r>
        <w:t xml:space="preserve"> means an authorisation under the integrated public number database scheme that permits the person to whom it is granted to use and disclose protected information for a purpose covered by subparagraph 285(1A)(c)(iv) of the Act.</w:t>
      </w:r>
    </w:p>
    <w:p w14:paraId="3A39C567" w14:textId="77777777" w:rsidR="00FD2D87" w:rsidRPr="009C2562" w:rsidDel="006F5129" w:rsidRDefault="00FD2D87" w:rsidP="00FD2D87">
      <w:pPr>
        <w:pStyle w:val="notetext"/>
      </w:pPr>
      <w:r w:rsidRPr="009C2562" w:rsidDel="006F5129">
        <w:t>Note:</w:t>
      </w:r>
      <w:r w:rsidRPr="009C2562" w:rsidDel="006F5129">
        <w:tab/>
        <w:t xml:space="preserve">A number of expressions used in this instrument are defined in </w:t>
      </w:r>
      <w:r w:rsidDel="006F5129">
        <w:t>section 7 of the Act</w:t>
      </w:r>
      <w:r w:rsidRPr="009C2562" w:rsidDel="006F5129">
        <w:t>, including the following:</w:t>
      </w:r>
    </w:p>
    <w:p w14:paraId="5556D2C3" w14:textId="77777777" w:rsidR="00FD2D87" w:rsidRPr="009C2562" w:rsidDel="006F5129" w:rsidRDefault="00FD2D87" w:rsidP="00FD2D87">
      <w:pPr>
        <w:pStyle w:val="notepara"/>
      </w:pPr>
      <w:r w:rsidRPr="009C2562" w:rsidDel="006F5129">
        <w:t>(a)</w:t>
      </w:r>
      <w:r w:rsidRPr="009C2562" w:rsidDel="006F5129">
        <w:tab/>
      </w:r>
      <w:r w:rsidDel="006F5129">
        <w:t>ACMA</w:t>
      </w:r>
      <w:r w:rsidRPr="009C2562" w:rsidDel="006F5129">
        <w:t>;</w:t>
      </w:r>
    </w:p>
    <w:p w14:paraId="7EE07494" w14:textId="77777777" w:rsidR="00FD2D87" w:rsidDel="006F5129" w:rsidRDefault="00FD2D87" w:rsidP="00FD2D87">
      <w:pPr>
        <w:pStyle w:val="notepara"/>
      </w:pPr>
      <w:r w:rsidRPr="009C2562" w:rsidDel="006F5129">
        <w:t>(b)</w:t>
      </w:r>
      <w:r w:rsidRPr="009C2562" w:rsidDel="006F5129">
        <w:tab/>
      </w:r>
      <w:r w:rsidDel="006F5129">
        <w:t>carriage service;</w:t>
      </w:r>
    </w:p>
    <w:p w14:paraId="03E547A2" w14:textId="77777777" w:rsidR="00FD2D87" w:rsidRPr="009C2562" w:rsidDel="006F5129" w:rsidRDefault="00FD2D87" w:rsidP="00FD2D87">
      <w:pPr>
        <w:pStyle w:val="notepara"/>
      </w:pPr>
      <w:r w:rsidDel="006F5129">
        <w:t>(c)</w:t>
      </w:r>
      <w:r w:rsidDel="006F5129">
        <w:tab/>
        <w:t>carriage service provider.</w:t>
      </w:r>
    </w:p>
    <w:p w14:paraId="398981BE" w14:textId="77777777" w:rsidR="007F51B2" w:rsidRPr="005A65D5" w:rsidRDefault="007F51B2" w:rsidP="005A65D5">
      <w:pPr>
        <w:pStyle w:val="ActHead5"/>
      </w:pPr>
      <w:bookmarkStart w:id="6" w:name="_Toc454781205"/>
      <w:bookmarkStart w:id="7" w:name="_Toc484773289"/>
      <w:r w:rsidRPr="005A65D5">
        <w:t>5  Schedules</w:t>
      </w:r>
      <w:bookmarkEnd w:id="6"/>
      <w:bookmarkEnd w:id="7"/>
    </w:p>
    <w:p w14:paraId="6B4339AD" w14:textId="64B85029" w:rsidR="007F51B2" w:rsidRDefault="007F51B2" w:rsidP="007F51B2">
      <w:pPr>
        <w:pStyle w:val="subsection"/>
      </w:pPr>
      <w:r w:rsidRPr="006065DA">
        <w:tab/>
      </w:r>
      <w:r w:rsidRPr="006065DA">
        <w:tab/>
      </w:r>
      <w:r w:rsidR="00D14866" w:rsidRPr="006065DA">
        <w:t>Each instrument that is specified in Schedule</w:t>
      </w:r>
      <w:r w:rsidR="00D14866">
        <w:t xml:space="preserve"> 1</w:t>
      </w:r>
      <w:r w:rsidR="00D14866" w:rsidRPr="006065DA">
        <w:t xml:space="preserve"> to this instrument is repealed as set out in the Schedule</w:t>
      </w:r>
      <w:r w:rsidR="00D14866">
        <w:t>.</w:t>
      </w:r>
    </w:p>
    <w:p w14:paraId="5B043A73" w14:textId="05A149D9" w:rsidR="00AA551A" w:rsidRPr="00AA551A" w:rsidRDefault="007F51B2" w:rsidP="00AA551A">
      <w:pPr>
        <w:pStyle w:val="ActHead5"/>
        <w:rPr>
          <w:highlight w:val="yellow"/>
        </w:rPr>
      </w:pPr>
      <w:bookmarkStart w:id="8" w:name="_Toc484773290"/>
      <w:r w:rsidRPr="00AA551A">
        <w:t>6</w:t>
      </w:r>
      <w:r w:rsidR="00A75FE9" w:rsidRPr="00AA551A">
        <w:t xml:space="preserve">  </w:t>
      </w:r>
      <w:r w:rsidR="00AA551A" w:rsidRPr="00AA551A">
        <w:t>Criteria for deciding applications f</w:t>
      </w:r>
      <w:r w:rsidR="0006502A">
        <w:t>or public number directory authorisations</w:t>
      </w:r>
      <w:bookmarkEnd w:id="8"/>
    </w:p>
    <w:p w14:paraId="4C432990" w14:textId="5227CC0F" w:rsidR="00AA551A" w:rsidRPr="00AA551A" w:rsidRDefault="00C364E0" w:rsidP="00C364E0">
      <w:pPr>
        <w:pStyle w:val="subsection"/>
      </w:pPr>
      <w:r>
        <w:tab/>
      </w:r>
      <w:r w:rsidR="00AA551A">
        <w:t>(1)</w:t>
      </w:r>
      <w:r>
        <w:tab/>
      </w:r>
      <w:r w:rsidR="00AA551A" w:rsidRPr="00AA551A">
        <w:t>The following criteria apply for deciding an application for a public number directory authorisation</w:t>
      </w:r>
      <w:r w:rsidR="009D1C8B">
        <w:t>, the ACMA must</w:t>
      </w:r>
      <w:r w:rsidR="00AA551A" w:rsidRPr="00AA551A">
        <w:t>:</w:t>
      </w:r>
    </w:p>
    <w:p w14:paraId="479E66B5" w14:textId="263098A0" w:rsidR="00AA551A" w:rsidRPr="00AA551A" w:rsidRDefault="00C364E0" w:rsidP="00C364E0">
      <w:pPr>
        <w:pStyle w:val="paragraph"/>
      </w:pPr>
      <w:r>
        <w:lastRenderedPageBreak/>
        <w:tab/>
      </w:r>
      <w:r w:rsidR="00AA551A" w:rsidRPr="00AA551A">
        <w:t>(a)</w:t>
      </w:r>
      <w:r>
        <w:tab/>
      </w:r>
      <w:r w:rsidR="00AA551A" w:rsidRPr="00AA551A">
        <w:t xml:space="preserve">be reasonably satisfied that the proposed directory product specified in the application will satisfy the requirements of the definition of </w:t>
      </w:r>
      <w:r w:rsidR="00AA551A" w:rsidRPr="00AA551A">
        <w:rPr>
          <w:b/>
          <w:bCs/>
          <w:i/>
          <w:iCs/>
        </w:rPr>
        <w:t>public number directory</w:t>
      </w:r>
      <w:r w:rsidR="00AA551A" w:rsidRPr="00AA551A">
        <w:t xml:space="preserve"> i</w:t>
      </w:r>
      <w:r w:rsidR="005911C2">
        <w:t>n subsection 285(2) of the Act</w:t>
      </w:r>
      <w:r w:rsidR="00AA551A" w:rsidRPr="00AA551A">
        <w:t>; and</w:t>
      </w:r>
    </w:p>
    <w:p w14:paraId="22D70F16" w14:textId="55A6B8CB" w:rsidR="00AA551A" w:rsidRPr="00AA551A" w:rsidRDefault="00C364E0" w:rsidP="00C364E0">
      <w:pPr>
        <w:pStyle w:val="paragraph"/>
      </w:pPr>
      <w:r>
        <w:tab/>
      </w:r>
      <w:r w:rsidR="00AA551A" w:rsidRPr="00AA551A">
        <w:t>(b)</w:t>
      </w:r>
      <w:r>
        <w:tab/>
      </w:r>
      <w:r w:rsidR="009D1C8B">
        <w:t>b</w:t>
      </w:r>
      <w:r w:rsidR="00AA551A" w:rsidRPr="00AA551A">
        <w:t>e reasonably satisfied that the applicant will use protected information for a purpose covered by subparagraph 285(1A)(c)(ii) of the Act; and</w:t>
      </w:r>
    </w:p>
    <w:p w14:paraId="2F6A96F6" w14:textId="13C7689D" w:rsidR="00AA551A" w:rsidRPr="00AA551A" w:rsidRDefault="00C364E0" w:rsidP="00C364E0">
      <w:pPr>
        <w:pStyle w:val="paragraph"/>
      </w:pPr>
      <w:r>
        <w:tab/>
      </w:r>
      <w:r w:rsidR="00AA551A" w:rsidRPr="00AA551A">
        <w:t>(c)</w:t>
      </w:r>
      <w:r>
        <w:tab/>
      </w:r>
      <w:r w:rsidR="00AA551A" w:rsidRPr="00AA551A">
        <w:t>be reasonably satisfied that the applicant will otherwise comply with the requirements of the Act, and the integrated public number database scheme; and</w:t>
      </w:r>
    </w:p>
    <w:p w14:paraId="272E1849" w14:textId="5D94951C" w:rsidR="00AA551A" w:rsidRPr="00AA551A" w:rsidRDefault="00C364E0" w:rsidP="00C364E0">
      <w:pPr>
        <w:pStyle w:val="paragraph"/>
      </w:pPr>
      <w:r>
        <w:tab/>
      </w:r>
      <w:r w:rsidR="00AA551A" w:rsidRPr="00AA551A">
        <w:t>(d)</w:t>
      </w:r>
      <w:r>
        <w:tab/>
      </w:r>
      <w:r w:rsidR="00AA551A" w:rsidRPr="00AA551A">
        <w:t>consider what processes the applicant has in place, or intends to put in place, to protect the privacy and security of protected information.</w:t>
      </w:r>
    </w:p>
    <w:p w14:paraId="2E6675D9" w14:textId="6128E4FF" w:rsidR="00AA551A" w:rsidRPr="00AA551A" w:rsidRDefault="00C364E0" w:rsidP="00C364E0">
      <w:pPr>
        <w:pStyle w:val="subsection"/>
      </w:pPr>
      <w:r>
        <w:tab/>
      </w:r>
      <w:r w:rsidR="00AA551A">
        <w:t>(2)</w:t>
      </w:r>
      <w:r>
        <w:tab/>
      </w:r>
      <w:r w:rsidR="00AA551A" w:rsidRPr="00AA551A">
        <w:t xml:space="preserve">For the purposes of paragraphs (1)(b) and (c), </w:t>
      </w:r>
      <w:r w:rsidR="006F5129">
        <w:t xml:space="preserve">the </w:t>
      </w:r>
      <w:r w:rsidR="00AA551A" w:rsidRPr="00AA551A">
        <w:t>ACMA must consider:</w:t>
      </w:r>
    </w:p>
    <w:p w14:paraId="2BC3CAB1" w14:textId="6F6ED8F4" w:rsidR="00AA551A" w:rsidRPr="00AA551A" w:rsidRDefault="00C364E0" w:rsidP="00C364E0">
      <w:pPr>
        <w:pStyle w:val="paragraph"/>
      </w:pPr>
      <w:r>
        <w:tab/>
      </w:r>
      <w:r w:rsidR="00AA551A" w:rsidRPr="00AA551A">
        <w:t>(a)</w:t>
      </w:r>
      <w:r>
        <w:tab/>
      </w:r>
      <w:r w:rsidR="00AA551A" w:rsidRPr="00AA551A">
        <w:t>the extent to which the applicant has complied with the requirements of the Act</w:t>
      </w:r>
      <w:r w:rsidR="001D5803">
        <w:t xml:space="preserve"> </w:t>
      </w:r>
      <w:r w:rsidR="00AA551A" w:rsidRPr="00AA551A">
        <w:t>in relation to its previous use of customer data; and</w:t>
      </w:r>
    </w:p>
    <w:p w14:paraId="1143BF5F" w14:textId="61863279" w:rsidR="00AA551A" w:rsidRPr="00AA551A" w:rsidRDefault="00C364E0" w:rsidP="00C364E0">
      <w:pPr>
        <w:pStyle w:val="paragraph"/>
      </w:pPr>
      <w:r>
        <w:tab/>
      </w:r>
      <w:r w:rsidR="00AA551A" w:rsidRPr="00AA551A">
        <w:t>(b)</w:t>
      </w:r>
      <w:r>
        <w:tab/>
      </w:r>
      <w:r w:rsidR="00AA551A" w:rsidRPr="00AA551A">
        <w:t xml:space="preserve">if paragraph (a) does not apply—whether the applicant has appropriate processes in place that will enable the applicant, and any contractor, to comply with the requirements of the Act, </w:t>
      </w:r>
      <w:r w:rsidR="004D4431">
        <w:t>relevant</w:t>
      </w:r>
      <w:r w:rsidR="001D5803">
        <w:t xml:space="preserve"> legislative instruments</w:t>
      </w:r>
      <w:r w:rsidR="00AA551A" w:rsidRPr="00AA551A">
        <w:t>, and the integrated public number database scheme in relation to its future use of customer data.</w:t>
      </w:r>
    </w:p>
    <w:p w14:paraId="6F115588" w14:textId="4A10CF69" w:rsidR="00AA551A" w:rsidRPr="00AA551A" w:rsidRDefault="00C364E0" w:rsidP="00C364E0">
      <w:pPr>
        <w:pStyle w:val="ActHead5"/>
      </w:pPr>
      <w:bookmarkStart w:id="9" w:name="param5"/>
      <w:bookmarkStart w:id="10" w:name="_Toc484773291"/>
      <w:bookmarkEnd w:id="9"/>
      <w:r>
        <w:lastRenderedPageBreak/>
        <w:t>7</w:t>
      </w:r>
      <w:r w:rsidR="00AA551A">
        <w:t xml:space="preserve">  </w:t>
      </w:r>
      <w:r w:rsidR="00AA551A" w:rsidRPr="00AA551A">
        <w:t>Criteria for deciding applications from researchers</w:t>
      </w:r>
      <w:bookmarkEnd w:id="10"/>
    </w:p>
    <w:p w14:paraId="070B4130" w14:textId="60CD28F4" w:rsidR="00AA551A" w:rsidRPr="00AA551A" w:rsidRDefault="00C364E0" w:rsidP="00C364E0">
      <w:pPr>
        <w:pStyle w:val="subsection"/>
      </w:pPr>
      <w:r>
        <w:tab/>
      </w:r>
      <w:r w:rsidR="00AA551A" w:rsidRPr="00AA551A">
        <w:t>(1)</w:t>
      </w:r>
      <w:r>
        <w:tab/>
      </w:r>
      <w:r w:rsidR="00AA551A" w:rsidRPr="00AA551A">
        <w:t>The following criteria apply for deciding an application for a research authorisation</w:t>
      </w:r>
      <w:r w:rsidR="001D5803">
        <w:t>, the ACMA must</w:t>
      </w:r>
      <w:r w:rsidR="00AA551A" w:rsidRPr="00AA551A">
        <w:t>:</w:t>
      </w:r>
    </w:p>
    <w:p w14:paraId="55D08ECD" w14:textId="548E9BFD" w:rsidR="00AA551A" w:rsidRPr="00AA551A" w:rsidRDefault="00C364E0" w:rsidP="00C364E0">
      <w:pPr>
        <w:pStyle w:val="paragraph"/>
      </w:pPr>
      <w:r>
        <w:tab/>
        <w:t>(a)</w:t>
      </w:r>
      <w:r>
        <w:tab/>
      </w:r>
      <w:r w:rsidR="00AA551A" w:rsidRPr="00AA551A">
        <w:t xml:space="preserve">be reasonably satisfied that the proposed research is research of a kind specified in the </w:t>
      </w:r>
      <w:r w:rsidR="00AA551A" w:rsidRPr="00AA551A">
        <w:rPr>
          <w:i/>
          <w:iCs/>
        </w:rPr>
        <w:t>Telecommunications (Integrated Public Number Database – Permitted Research Purposes) Instrument 20</w:t>
      </w:r>
      <w:r w:rsidR="001D5803">
        <w:rPr>
          <w:i/>
          <w:iCs/>
        </w:rPr>
        <w:t>1</w:t>
      </w:r>
      <w:r w:rsidR="00AA551A" w:rsidRPr="00AA551A">
        <w:rPr>
          <w:i/>
          <w:iCs/>
        </w:rPr>
        <w:t>7</w:t>
      </w:r>
      <w:r w:rsidR="00AA551A" w:rsidRPr="00AA551A">
        <w:t>; and</w:t>
      </w:r>
    </w:p>
    <w:p w14:paraId="3D032970" w14:textId="511578F6" w:rsidR="00AA551A" w:rsidRPr="00AA551A" w:rsidRDefault="00C364E0" w:rsidP="00C364E0">
      <w:pPr>
        <w:pStyle w:val="paragraph"/>
      </w:pPr>
      <w:r>
        <w:tab/>
      </w:r>
      <w:r w:rsidR="00AA551A" w:rsidRPr="00AA551A">
        <w:t>(b)</w:t>
      </w:r>
      <w:r>
        <w:tab/>
      </w:r>
      <w:r w:rsidR="00AA551A" w:rsidRPr="00AA551A">
        <w:t>be reasonably satisfied that the proposed research will not be conducted for a primarily commercial purpose; and</w:t>
      </w:r>
    </w:p>
    <w:p w14:paraId="3D5974CC" w14:textId="18D4BF02" w:rsidR="00AA551A" w:rsidRPr="00AA551A" w:rsidRDefault="00C364E0" w:rsidP="00C364E0">
      <w:pPr>
        <w:pStyle w:val="paragraph"/>
      </w:pPr>
      <w:r>
        <w:tab/>
      </w:r>
      <w:r w:rsidR="00AA551A" w:rsidRPr="00AA551A">
        <w:t>(c)</w:t>
      </w:r>
      <w:r>
        <w:tab/>
      </w:r>
      <w:r w:rsidR="00AA551A" w:rsidRPr="00AA551A">
        <w:t>be reasonably satisfied that the applicant will use protected information for a purpose covered by subparagraph 285(1A)(c)(iv) of the Act; and</w:t>
      </w:r>
    </w:p>
    <w:p w14:paraId="2BE2780C" w14:textId="0A85F1C5" w:rsidR="00AA551A" w:rsidRPr="00AA551A" w:rsidRDefault="00C364E0" w:rsidP="00C364E0">
      <w:pPr>
        <w:pStyle w:val="paragraph"/>
      </w:pPr>
      <w:r>
        <w:tab/>
      </w:r>
      <w:r w:rsidR="00AA551A" w:rsidRPr="00AA551A">
        <w:t>(d)</w:t>
      </w:r>
      <w:r>
        <w:tab/>
      </w:r>
      <w:r w:rsidR="001D5803">
        <w:t>b</w:t>
      </w:r>
      <w:r w:rsidR="00AA551A" w:rsidRPr="00AA551A">
        <w:t>e reasonably satisfied that the applicant will otherwise comply with the requirements of the Act,</w:t>
      </w:r>
      <w:r w:rsidR="001D5803">
        <w:t xml:space="preserve"> </w:t>
      </w:r>
      <w:r w:rsidR="00AA551A" w:rsidRPr="00AA551A">
        <w:t xml:space="preserve">and the integrated public number database scheme; and </w:t>
      </w:r>
    </w:p>
    <w:p w14:paraId="2A243835" w14:textId="1C764976" w:rsidR="00AA551A" w:rsidRPr="00AA551A" w:rsidRDefault="00C364E0" w:rsidP="00C364E0">
      <w:pPr>
        <w:pStyle w:val="paragraph"/>
      </w:pPr>
      <w:r>
        <w:tab/>
      </w:r>
      <w:r w:rsidR="00AA551A" w:rsidRPr="00AA551A">
        <w:t>(e)</w:t>
      </w:r>
      <w:r>
        <w:tab/>
      </w:r>
      <w:r w:rsidR="00AA551A" w:rsidRPr="00AA551A">
        <w:t>consider what processes the applicant has in place, or intends to put in place, to protect the privacy and sec</w:t>
      </w:r>
      <w:r>
        <w:t>urity of protected information.</w:t>
      </w:r>
    </w:p>
    <w:p w14:paraId="4A8D068C" w14:textId="2708C18B" w:rsidR="00AA551A" w:rsidRPr="00AA551A" w:rsidRDefault="00C364E0" w:rsidP="00C364E0">
      <w:pPr>
        <w:pStyle w:val="subsection"/>
      </w:pPr>
      <w:r>
        <w:tab/>
      </w:r>
      <w:r w:rsidR="00AA551A" w:rsidRPr="00AA551A">
        <w:t>(2)</w:t>
      </w:r>
      <w:r>
        <w:tab/>
      </w:r>
      <w:r w:rsidR="00AA551A" w:rsidRPr="00AA551A">
        <w:t xml:space="preserve">For the purposes of paragraphs (1)(c) and (d), </w:t>
      </w:r>
      <w:r w:rsidR="006F5129">
        <w:t xml:space="preserve">the </w:t>
      </w:r>
      <w:r w:rsidR="00AA551A" w:rsidRPr="00AA551A">
        <w:t>ACMA must consider:</w:t>
      </w:r>
    </w:p>
    <w:p w14:paraId="1F40F2AB" w14:textId="22321342" w:rsidR="00AA551A" w:rsidRPr="00AA551A" w:rsidRDefault="00C364E0" w:rsidP="00C364E0">
      <w:pPr>
        <w:pStyle w:val="paragraph"/>
      </w:pPr>
      <w:r>
        <w:tab/>
      </w:r>
      <w:r w:rsidR="00AA551A" w:rsidRPr="00AA551A">
        <w:t>(a)</w:t>
      </w:r>
      <w:r>
        <w:tab/>
      </w:r>
      <w:r w:rsidR="00AA551A" w:rsidRPr="00AA551A">
        <w:t>the extent to which the applicant has complied with the requirements of the Act in relation its previous use of customer data; and</w:t>
      </w:r>
    </w:p>
    <w:p w14:paraId="19AA3A61" w14:textId="7F59C7F2" w:rsidR="00AA551A" w:rsidRPr="00AA551A" w:rsidRDefault="00C364E0" w:rsidP="00C364E0">
      <w:pPr>
        <w:pStyle w:val="paragraph"/>
      </w:pPr>
      <w:r>
        <w:lastRenderedPageBreak/>
        <w:tab/>
      </w:r>
      <w:r w:rsidR="00AA551A" w:rsidRPr="00AA551A">
        <w:t>(b)</w:t>
      </w:r>
      <w:r>
        <w:tab/>
      </w:r>
      <w:r w:rsidR="00AA551A" w:rsidRPr="00AA551A">
        <w:t>if paragraph (a) does not apply—whether the applicant has appropriate processes in place that will enable the applicant, and any contractor, to comply w</w:t>
      </w:r>
      <w:r w:rsidR="001D5803">
        <w:t>ith the requirements of the Act,</w:t>
      </w:r>
      <w:r w:rsidR="00C53688">
        <w:t xml:space="preserve"> relevant legislative instruments,</w:t>
      </w:r>
      <w:r w:rsidR="00AA551A" w:rsidRPr="00AA551A">
        <w:t xml:space="preserve"> and the integrated public number database scheme in relation to its future use of customer data.</w:t>
      </w:r>
    </w:p>
    <w:p w14:paraId="328E4DD1" w14:textId="1654CA7A" w:rsidR="00AA551A" w:rsidRPr="00AA551A" w:rsidRDefault="00C364E0" w:rsidP="00C364E0">
      <w:pPr>
        <w:pStyle w:val="subsection"/>
      </w:pPr>
      <w:r>
        <w:tab/>
      </w:r>
      <w:r w:rsidR="00AA551A" w:rsidRPr="00AA551A">
        <w:t>(3)</w:t>
      </w:r>
      <w:r>
        <w:tab/>
      </w:r>
      <w:r w:rsidR="00AA551A" w:rsidRPr="00AA551A">
        <w:t xml:space="preserve">In deciding an application for a research authorisation in relation to research on an electoral matter, </w:t>
      </w:r>
      <w:r w:rsidR="001D5803">
        <w:t xml:space="preserve">the </w:t>
      </w:r>
      <w:r w:rsidR="00AA551A" w:rsidRPr="00AA551A">
        <w:t xml:space="preserve">ACMA must be reasonably satisfied that the research will be conducted by the applicant, being a registered political party, a political representative, a candidate in an election for a Parliament or local government authority or a person acting on behalf of such a party, representative or candidate. </w:t>
      </w:r>
    </w:p>
    <w:p w14:paraId="184C15B5" w14:textId="4DE85B66" w:rsidR="00AA551A" w:rsidRPr="00AA551A" w:rsidRDefault="00C364E0" w:rsidP="00C364E0">
      <w:pPr>
        <w:pStyle w:val="subsection"/>
      </w:pPr>
      <w:r>
        <w:tab/>
      </w:r>
      <w:r w:rsidR="00AA551A" w:rsidRPr="00AA551A">
        <w:t>(4)</w:t>
      </w:r>
      <w:r>
        <w:tab/>
      </w:r>
      <w:r w:rsidR="00AA551A" w:rsidRPr="00AA551A">
        <w:t xml:space="preserve">In deciding an application for a research authorisation in relation to research which will contribute to the development of public policy, </w:t>
      </w:r>
      <w:r w:rsidR="001D5803">
        <w:t xml:space="preserve">the </w:t>
      </w:r>
      <w:r w:rsidR="00AA551A" w:rsidRPr="00AA551A">
        <w:t>ACMA must be reasonably satisfied that:</w:t>
      </w:r>
    </w:p>
    <w:p w14:paraId="2FC76644" w14:textId="3B2A090D" w:rsidR="00AA551A" w:rsidRPr="00AA551A" w:rsidRDefault="00C364E0" w:rsidP="00AA0914">
      <w:pPr>
        <w:pStyle w:val="paragraph"/>
      </w:pPr>
      <w:r>
        <w:tab/>
      </w:r>
      <w:r w:rsidR="00AA551A" w:rsidRPr="00AA551A">
        <w:t>(a)</w:t>
      </w:r>
      <w:r>
        <w:tab/>
      </w:r>
      <w:r w:rsidR="00AA551A" w:rsidRPr="00AA551A">
        <w:t>the research will be conducted by</w:t>
      </w:r>
      <w:r w:rsidR="00AA0914">
        <w:t xml:space="preserve"> or on behalf of the Commonwealth or a Commonwealth entity</w:t>
      </w:r>
      <w:r w:rsidR="00AA551A" w:rsidRPr="00AA551A">
        <w:t>; and</w:t>
      </w:r>
    </w:p>
    <w:p w14:paraId="0FAB0058" w14:textId="17A6646E" w:rsidR="00AA551A" w:rsidRPr="00AA551A" w:rsidRDefault="00C364E0" w:rsidP="00C364E0">
      <w:pPr>
        <w:pStyle w:val="paragraph"/>
      </w:pPr>
      <w:r>
        <w:tab/>
      </w:r>
      <w:r w:rsidR="00AA551A" w:rsidRPr="00AA551A">
        <w:t>(b)</w:t>
      </w:r>
      <w:r>
        <w:tab/>
      </w:r>
      <w:r w:rsidR="00AA551A" w:rsidRPr="00AA551A">
        <w:t>the applicant has demonstrated that the research will contribute to the development of public policy.</w:t>
      </w:r>
    </w:p>
    <w:p w14:paraId="0D6DEE9C" w14:textId="77777777" w:rsidR="004E1307" w:rsidRDefault="004E1307" w:rsidP="000B35EB">
      <w:pPr>
        <w:pStyle w:val="paragraphsub"/>
      </w:pPr>
    </w:p>
    <w:p w14:paraId="01F1D6ED" w14:textId="77777777" w:rsidR="00C364E0" w:rsidRDefault="00C364E0" w:rsidP="000B35EB">
      <w:pPr>
        <w:pStyle w:val="paragraphsub"/>
      </w:pPr>
    </w:p>
    <w:p w14:paraId="35CEE52A" w14:textId="77777777" w:rsidR="00C364E0" w:rsidRDefault="00C364E0" w:rsidP="000B35EB">
      <w:pPr>
        <w:pStyle w:val="paragraphsub"/>
      </w:pPr>
    </w:p>
    <w:p w14:paraId="5D3A5666" w14:textId="77777777" w:rsidR="00C364E0" w:rsidRDefault="00C364E0" w:rsidP="000B35EB">
      <w:pPr>
        <w:pStyle w:val="paragraphsub"/>
      </w:pPr>
    </w:p>
    <w:p w14:paraId="2211653E" w14:textId="77777777" w:rsidR="00C364E0" w:rsidRDefault="00C364E0" w:rsidP="000B35EB">
      <w:pPr>
        <w:pStyle w:val="paragraphsub"/>
      </w:pPr>
    </w:p>
    <w:p w14:paraId="6C4033D5" w14:textId="77777777" w:rsidR="00C364E0" w:rsidRDefault="00C364E0" w:rsidP="000B35EB">
      <w:pPr>
        <w:pStyle w:val="paragraphsub"/>
      </w:pPr>
    </w:p>
    <w:p w14:paraId="7611580E" w14:textId="77777777" w:rsidR="00C364E0" w:rsidRDefault="00C364E0" w:rsidP="000B35EB">
      <w:pPr>
        <w:pStyle w:val="paragraphsub"/>
      </w:pPr>
    </w:p>
    <w:p w14:paraId="126BFDA9" w14:textId="77777777" w:rsidR="00C364E0" w:rsidRDefault="00C364E0" w:rsidP="000B35EB">
      <w:pPr>
        <w:pStyle w:val="paragraphsub"/>
      </w:pPr>
    </w:p>
    <w:p w14:paraId="53EEF783" w14:textId="77777777" w:rsidR="00C364E0" w:rsidRDefault="00C364E0" w:rsidP="000B35EB">
      <w:pPr>
        <w:pStyle w:val="paragraphsub"/>
      </w:pPr>
    </w:p>
    <w:p w14:paraId="4876315A" w14:textId="77777777" w:rsidR="00D14866" w:rsidRDefault="00D14866" w:rsidP="000B35EB">
      <w:pPr>
        <w:pStyle w:val="paragraphsub"/>
      </w:pPr>
    </w:p>
    <w:p w14:paraId="795019B7" w14:textId="77777777" w:rsidR="00D14866" w:rsidRDefault="00D14866" w:rsidP="000B35EB">
      <w:pPr>
        <w:pStyle w:val="paragraphsub"/>
      </w:pPr>
    </w:p>
    <w:p w14:paraId="10F78163" w14:textId="77777777" w:rsidR="00D14866" w:rsidRDefault="00D14866" w:rsidP="000B35EB">
      <w:pPr>
        <w:pStyle w:val="paragraphsub"/>
      </w:pPr>
    </w:p>
    <w:p w14:paraId="022B68D8" w14:textId="77777777" w:rsidR="00D14866" w:rsidRDefault="00D14866" w:rsidP="000B35EB">
      <w:pPr>
        <w:pStyle w:val="paragraphsub"/>
      </w:pPr>
    </w:p>
    <w:p w14:paraId="5661CA95" w14:textId="77777777" w:rsidR="00D14866" w:rsidRDefault="00D14866" w:rsidP="000B35EB">
      <w:pPr>
        <w:pStyle w:val="paragraphsub"/>
      </w:pPr>
    </w:p>
    <w:p w14:paraId="00A5A51B" w14:textId="77777777" w:rsidR="00D14866" w:rsidRDefault="00D14866" w:rsidP="000B35EB">
      <w:pPr>
        <w:pStyle w:val="paragraphsub"/>
      </w:pPr>
    </w:p>
    <w:p w14:paraId="6DBBA14C" w14:textId="77777777" w:rsidR="00D14866" w:rsidRDefault="00D14866" w:rsidP="000B35EB">
      <w:pPr>
        <w:pStyle w:val="paragraphsub"/>
      </w:pPr>
    </w:p>
    <w:p w14:paraId="119A427F" w14:textId="77777777" w:rsidR="00C364E0" w:rsidRDefault="00C364E0" w:rsidP="000B35EB">
      <w:pPr>
        <w:pStyle w:val="paragraphsub"/>
      </w:pPr>
    </w:p>
    <w:p w14:paraId="65F5B6CF" w14:textId="77777777" w:rsidR="00C364E0" w:rsidRDefault="00C364E0" w:rsidP="000B35EB">
      <w:pPr>
        <w:pStyle w:val="paragraphsub"/>
      </w:pPr>
    </w:p>
    <w:p w14:paraId="1E7317A4" w14:textId="77777777" w:rsidR="00C364E0" w:rsidRDefault="00C364E0" w:rsidP="000B35EB">
      <w:pPr>
        <w:pStyle w:val="paragraphsub"/>
      </w:pPr>
    </w:p>
    <w:p w14:paraId="405EAC65" w14:textId="77777777" w:rsidR="00C364E0" w:rsidRDefault="00C364E0" w:rsidP="000B35EB">
      <w:pPr>
        <w:pStyle w:val="paragraphsub"/>
      </w:pPr>
    </w:p>
    <w:p w14:paraId="0B0872EA" w14:textId="77777777" w:rsidR="00C364E0" w:rsidRDefault="00C364E0" w:rsidP="000B35EB">
      <w:pPr>
        <w:pStyle w:val="paragraphsub"/>
      </w:pPr>
    </w:p>
    <w:p w14:paraId="797CF487" w14:textId="77777777" w:rsidR="00C364E0" w:rsidRDefault="00C364E0" w:rsidP="000B35EB">
      <w:pPr>
        <w:pStyle w:val="paragraphsub"/>
      </w:pPr>
    </w:p>
    <w:p w14:paraId="7A49C94A" w14:textId="77777777" w:rsidR="006D7228" w:rsidRDefault="006D7228" w:rsidP="000B35EB">
      <w:pPr>
        <w:pStyle w:val="paragraphsub"/>
      </w:pPr>
    </w:p>
    <w:p w14:paraId="7BBC0C7F" w14:textId="77777777" w:rsidR="006D7228" w:rsidRDefault="006D7228" w:rsidP="000B35EB">
      <w:pPr>
        <w:pStyle w:val="paragraphsub"/>
      </w:pPr>
    </w:p>
    <w:p w14:paraId="783864A3" w14:textId="77777777" w:rsidR="006D7228" w:rsidRDefault="006D7228" w:rsidP="000B35EB">
      <w:pPr>
        <w:pStyle w:val="paragraphsub"/>
      </w:pPr>
    </w:p>
    <w:p w14:paraId="00DAB3E0" w14:textId="77777777" w:rsidR="006D7228" w:rsidRDefault="006D7228" w:rsidP="000B35EB">
      <w:pPr>
        <w:pStyle w:val="paragraphsub"/>
      </w:pPr>
    </w:p>
    <w:p w14:paraId="6133524B" w14:textId="77777777" w:rsidR="006D7228" w:rsidRDefault="006D7228" w:rsidP="000B35EB">
      <w:pPr>
        <w:pStyle w:val="paragraphsub"/>
      </w:pPr>
    </w:p>
    <w:p w14:paraId="5E2D34C7" w14:textId="77777777" w:rsidR="00C364E0" w:rsidRDefault="00C364E0" w:rsidP="000B35EB">
      <w:pPr>
        <w:pStyle w:val="paragraphsub"/>
      </w:pPr>
    </w:p>
    <w:p w14:paraId="074E91DC" w14:textId="77777777" w:rsidR="00C364E0" w:rsidRDefault="00C364E0" w:rsidP="000B35EB">
      <w:pPr>
        <w:pStyle w:val="paragraphsub"/>
      </w:pPr>
    </w:p>
    <w:p w14:paraId="6C3E570C" w14:textId="77777777" w:rsidR="00C364E0" w:rsidRDefault="00C364E0" w:rsidP="000B35EB">
      <w:pPr>
        <w:pStyle w:val="paragraphsub"/>
      </w:pPr>
    </w:p>
    <w:p w14:paraId="2E9E550E" w14:textId="77777777" w:rsidR="00C364E0" w:rsidRDefault="00C364E0" w:rsidP="000B35EB">
      <w:pPr>
        <w:pStyle w:val="paragraphsub"/>
      </w:pPr>
    </w:p>
    <w:p w14:paraId="0B31D0EE" w14:textId="77777777" w:rsidR="00C364E0" w:rsidRDefault="00C364E0" w:rsidP="000B35EB">
      <w:pPr>
        <w:pStyle w:val="paragraphsub"/>
      </w:pPr>
    </w:p>
    <w:p w14:paraId="4021FF1E" w14:textId="77777777" w:rsidR="00C364E0" w:rsidRDefault="00C364E0" w:rsidP="000B35EB">
      <w:pPr>
        <w:pStyle w:val="paragraphsub"/>
      </w:pPr>
    </w:p>
    <w:p w14:paraId="7345076C" w14:textId="77777777" w:rsidR="00C364E0" w:rsidRDefault="00C364E0" w:rsidP="000B35EB">
      <w:pPr>
        <w:pStyle w:val="paragraphsub"/>
      </w:pPr>
    </w:p>
    <w:p w14:paraId="4D679B15" w14:textId="77777777" w:rsidR="00D6537E" w:rsidRPr="004E1307" w:rsidRDefault="004E1307" w:rsidP="00D6537E">
      <w:pPr>
        <w:pStyle w:val="ActHead6"/>
      </w:pPr>
      <w:bookmarkStart w:id="11" w:name="_Toc484773292"/>
      <w:r>
        <w:lastRenderedPageBreak/>
        <w:t xml:space="preserve">Schedule </w:t>
      </w:r>
      <w:r w:rsidR="00D6537E" w:rsidRPr="004E1307">
        <w:t>1—Repeals</w:t>
      </w:r>
      <w:bookmarkEnd w:id="11"/>
    </w:p>
    <w:p w14:paraId="1AB54840" w14:textId="6ED97504" w:rsidR="00D6537E" w:rsidRPr="00D6537E" w:rsidRDefault="00C364E0" w:rsidP="00D6537E">
      <w:pPr>
        <w:pStyle w:val="ActHead9"/>
      </w:pPr>
      <w:bookmarkStart w:id="12" w:name="_Toc484773293"/>
      <w:r w:rsidRPr="006D7228">
        <w:t xml:space="preserve">Telecommunications (Integrated Public Number Database Scheme – Criteria </w:t>
      </w:r>
      <w:r>
        <w:t>For Deciding Authorisation Applications) Instrument 2007 (No. 1)</w:t>
      </w:r>
      <w:bookmarkEnd w:id="12"/>
    </w:p>
    <w:p w14:paraId="37A18E00" w14:textId="77777777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4BD16C2B" w14:textId="276AFEB6" w:rsidR="004E1307" w:rsidRDefault="00D6537E" w:rsidP="00D6537E">
      <w:pPr>
        <w:pStyle w:val="Item"/>
      </w:pPr>
      <w:r>
        <w:t>Repeal the instrument</w:t>
      </w:r>
      <w:r w:rsidR="00C364E0">
        <w:t>.</w:t>
      </w:r>
    </w:p>
    <w:p w14:paraId="3C2F831D" w14:textId="77777777" w:rsidR="00D6537E" w:rsidRDefault="00D6537E"/>
    <w:sectPr w:rsidR="00D6537E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C6789" w14:textId="77777777" w:rsidR="00D2661B" w:rsidRDefault="00D2661B" w:rsidP="00715914">
      <w:pPr>
        <w:spacing w:line="240" w:lineRule="auto"/>
      </w:pPr>
      <w:r>
        <w:separator/>
      </w:r>
    </w:p>
  </w:endnote>
  <w:endnote w:type="continuationSeparator" w:id="0">
    <w:p w14:paraId="02856608" w14:textId="77777777" w:rsidR="00D2661B" w:rsidRDefault="00D2661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14E9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449AA2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20D4E3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940718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2661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E0FCA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BF3250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9123E77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9E0A0E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E498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C6FF23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08D76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3D60C4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2661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B615D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F8BD81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AC8C36" w14:textId="77777777" w:rsidR="0072147A" w:rsidRDefault="0072147A" w:rsidP="00A369E3">
          <w:pPr>
            <w:rPr>
              <w:sz w:val="18"/>
            </w:rPr>
          </w:pPr>
        </w:p>
      </w:tc>
    </w:tr>
  </w:tbl>
  <w:p w14:paraId="52EE00D0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4BE9B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5FF3FDB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010E16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862A4C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118A4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E587F64" w14:textId="5263C931" w:rsidR="00D2661B" w:rsidRPr="00600A4C" w:rsidRDefault="00D2661B" w:rsidP="0067569E">
    <w:pPr>
      <w:jc w:val="center"/>
      <w:rPr>
        <w:rFonts w:ascii="Arial" w:hAnsi="Arial" w:cs="Arial"/>
        <w:b/>
        <w:sz w:val="4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2DC9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32DE2F0D" w14:textId="77777777" w:rsidTr="00A87A58">
      <w:tc>
        <w:tcPr>
          <w:tcW w:w="365" w:type="pct"/>
        </w:tcPr>
        <w:p w14:paraId="041555B1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18509B1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2661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7D1B374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8E56C09" w14:textId="77777777" w:rsidTr="00A87A58">
      <w:tc>
        <w:tcPr>
          <w:tcW w:w="5000" w:type="pct"/>
          <w:gridSpan w:val="3"/>
        </w:tcPr>
        <w:p w14:paraId="10BFCB42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46E4C92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8C64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A109AC7" w14:textId="77777777" w:rsidTr="00A87A58">
      <w:tc>
        <w:tcPr>
          <w:tcW w:w="947" w:type="pct"/>
        </w:tcPr>
        <w:p w14:paraId="26CAD9AC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F0D7373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D1A2A">
            <w:rPr>
              <w:i/>
              <w:noProof/>
              <w:sz w:val="18"/>
            </w:rPr>
            <w:t>Telecommunications (Integrated Public Number Database Scheme – Criteria for Deciding Authorisation Applications)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212E60E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1A2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AB0743D" w14:textId="77777777" w:rsidTr="00A87A58">
      <w:tc>
        <w:tcPr>
          <w:tcW w:w="5000" w:type="pct"/>
          <w:gridSpan w:val="3"/>
        </w:tcPr>
        <w:p w14:paraId="2A0E8927" w14:textId="77777777" w:rsidR="00F6696E" w:rsidRDefault="00F6696E" w:rsidP="000850AC">
          <w:pPr>
            <w:rPr>
              <w:sz w:val="18"/>
            </w:rPr>
          </w:pPr>
        </w:p>
      </w:tc>
    </w:tr>
  </w:tbl>
  <w:p w14:paraId="2E67FE2F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DD19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5981A73E" w14:textId="77777777" w:rsidTr="00A87A58">
      <w:tc>
        <w:tcPr>
          <w:tcW w:w="365" w:type="pct"/>
        </w:tcPr>
        <w:p w14:paraId="0FAF8B52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608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C807200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D6089">
            <w:rPr>
              <w:i/>
              <w:noProof/>
              <w:sz w:val="18"/>
            </w:rPr>
            <w:t>Telecommunications (Integrated Public Number Database Scheme – Criteria for Deciding Authorisation Applications)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6A2401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5A5DCA9" w14:textId="77777777" w:rsidTr="00A87A58">
      <w:tc>
        <w:tcPr>
          <w:tcW w:w="5000" w:type="pct"/>
          <w:gridSpan w:val="3"/>
        </w:tcPr>
        <w:p w14:paraId="5DF9DD26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70F21C6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FD08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DC98ACF" w14:textId="77777777" w:rsidTr="00A87A58">
      <w:tc>
        <w:tcPr>
          <w:tcW w:w="947" w:type="pct"/>
        </w:tcPr>
        <w:p w14:paraId="699F50F6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FF1D4B2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D1A2A">
            <w:rPr>
              <w:i/>
              <w:noProof/>
              <w:sz w:val="18"/>
            </w:rPr>
            <w:t>Telecommunications (Integrated Public Number Database Scheme – Criteria for Deciding Authorisation Applications)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B7976A6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1A2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E15B264" w14:textId="77777777" w:rsidTr="00A87A58">
      <w:tc>
        <w:tcPr>
          <w:tcW w:w="5000" w:type="pct"/>
          <w:gridSpan w:val="3"/>
        </w:tcPr>
        <w:p w14:paraId="57DEEC22" w14:textId="77777777" w:rsidR="008C2EAC" w:rsidRDefault="008C2EAC" w:rsidP="000850AC">
          <w:pPr>
            <w:rPr>
              <w:sz w:val="18"/>
            </w:rPr>
          </w:pPr>
        </w:p>
      </w:tc>
    </w:tr>
  </w:tbl>
  <w:p w14:paraId="4169583B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0C548" w14:textId="77777777" w:rsidR="00D2661B" w:rsidRDefault="00D2661B" w:rsidP="00715914">
      <w:pPr>
        <w:spacing w:line="240" w:lineRule="auto"/>
      </w:pPr>
      <w:r>
        <w:separator/>
      </w:r>
    </w:p>
  </w:footnote>
  <w:footnote w:type="continuationSeparator" w:id="0">
    <w:p w14:paraId="58722553" w14:textId="77777777" w:rsidR="00D2661B" w:rsidRDefault="00D2661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EB12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D372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F23AD" w14:textId="6ABBC230" w:rsidR="00D2661B" w:rsidRPr="00600A4C" w:rsidRDefault="00D2661B" w:rsidP="00D2661B">
    <w:pPr>
      <w:jc w:val="center"/>
      <w:rPr>
        <w:rFonts w:ascii="Arial" w:hAnsi="Arial" w:cs="Arial"/>
        <w:b/>
        <w:sz w:val="40"/>
      </w:rPr>
    </w:pPr>
    <w:r w:rsidRPr="00600A4C">
      <w:rPr>
        <w:rFonts w:ascii="Arial" w:hAnsi="Arial" w:cs="Arial"/>
        <w:b/>
        <w:sz w:val="40"/>
      </w:rPr>
      <w:t xml:space="preserve"> </w:t>
    </w:r>
  </w:p>
  <w:p w14:paraId="2F78949E" w14:textId="77777777" w:rsidR="00487764" w:rsidRDefault="0048776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506FC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6983E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78724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3EE51" w14:textId="77777777" w:rsidR="004E1307" w:rsidRDefault="004E1307" w:rsidP="00715914">
    <w:pPr>
      <w:rPr>
        <w:sz w:val="20"/>
      </w:rPr>
    </w:pPr>
  </w:p>
  <w:p w14:paraId="39CA81CD" w14:textId="77777777" w:rsidR="004E1307" w:rsidRDefault="004E1307" w:rsidP="00715914">
    <w:pPr>
      <w:rPr>
        <w:sz w:val="20"/>
      </w:rPr>
    </w:pPr>
  </w:p>
  <w:p w14:paraId="28E2704A" w14:textId="77777777" w:rsidR="004E1307" w:rsidRPr="007A1328" w:rsidRDefault="004E1307" w:rsidP="00715914">
    <w:pPr>
      <w:rPr>
        <w:sz w:val="20"/>
      </w:rPr>
    </w:pPr>
  </w:p>
  <w:p w14:paraId="11FA800E" w14:textId="77777777" w:rsidR="004E1307" w:rsidRPr="007A1328" w:rsidRDefault="004E1307" w:rsidP="00715914">
    <w:pPr>
      <w:rPr>
        <w:b/>
        <w:sz w:val="24"/>
      </w:rPr>
    </w:pPr>
  </w:p>
  <w:p w14:paraId="520F6344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54ED0" w14:textId="77777777" w:rsidR="004E1307" w:rsidRPr="007A1328" w:rsidRDefault="004E1307" w:rsidP="00715914">
    <w:pPr>
      <w:jc w:val="right"/>
      <w:rPr>
        <w:sz w:val="20"/>
      </w:rPr>
    </w:pPr>
  </w:p>
  <w:p w14:paraId="264D27DA" w14:textId="77777777" w:rsidR="004E1307" w:rsidRPr="007A1328" w:rsidRDefault="004E1307" w:rsidP="00715914">
    <w:pPr>
      <w:jc w:val="right"/>
      <w:rPr>
        <w:sz w:val="20"/>
      </w:rPr>
    </w:pPr>
  </w:p>
  <w:p w14:paraId="78FEA910" w14:textId="77777777" w:rsidR="004E1307" w:rsidRPr="007A1328" w:rsidRDefault="004E1307" w:rsidP="00715914">
    <w:pPr>
      <w:jc w:val="right"/>
      <w:rPr>
        <w:sz w:val="20"/>
      </w:rPr>
    </w:pPr>
  </w:p>
  <w:p w14:paraId="5CA8C6F8" w14:textId="77777777" w:rsidR="004E1307" w:rsidRPr="007A1328" w:rsidRDefault="004E1307" w:rsidP="00715914">
    <w:pPr>
      <w:jc w:val="right"/>
      <w:rPr>
        <w:b/>
        <w:sz w:val="24"/>
      </w:rPr>
    </w:pPr>
  </w:p>
  <w:p w14:paraId="51E5F12F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1B"/>
    <w:rsid w:val="00004174"/>
    <w:rsid w:val="00004470"/>
    <w:rsid w:val="000136AF"/>
    <w:rsid w:val="000258B1"/>
    <w:rsid w:val="00040A89"/>
    <w:rsid w:val="000437C1"/>
    <w:rsid w:val="000442CB"/>
    <w:rsid w:val="0004455A"/>
    <w:rsid w:val="0005365D"/>
    <w:rsid w:val="000614BF"/>
    <w:rsid w:val="0006502A"/>
    <w:rsid w:val="0006709C"/>
    <w:rsid w:val="00074376"/>
    <w:rsid w:val="000759D1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1CB9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D5803"/>
    <w:rsid w:val="001E3590"/>
    <w:rsid w:val="001E7407"/>
    <w:rsid w:val="001F5D5E"/>
    <w:rsid w:val="001F6219"/>
    <w:rsid w:val="001F6CD4"/>
    <w:rsid w:val="00206C4D"/>
    <w:rsid w:val="00215AF1"/>
    <w:rsid w:val="002177F1"/>
    <w:rsid w:val="002321E8"/>
    <w:rsid w:val="00232984"/>
    <w:rsid w:val="0024010F"/>
    <w:rsid w:val="00240749"/>
    <w:rsid w:val="00243018"/>
    <w:rsid w:val="002564A4"/>
    <w:rsid w:val="0026736C"/>
    <w:rsid w:val="0026792C"/>
    <w:rsid w:val="002703D2"/>
    <w:rsid w:val="00281308"/>
    <w:rsid w:val="00284719"/>
    <w:rsid w:val="00297ECB"/>
    <w:rsid w:val="002A7BCF"/>
    <w:rsid w:val="002C3FD1"/>
    <w:rsid w:val="002D043A"/>
    <w:rsid w:val="002D1A2A"/>
    <w:rsid w:val="002D266B"/>
    <w:rsid w:val="002D6224"/>
    <w:rsid w:val="002E4FB4"/>
    <w:rsid w:val="00304F8B"/>
    <w:rsid w:val="00335BC6"/>
    <w:rsid w:val="003415D3"/>
    <w:rsid w:val="00344338"/>
    <w:rsid w:val="00344701"/>
    <w:rsid w:val="00352440"/>
    <w:rsid w:val="00352B0F"/>
    <w:rsid w:val="00360459"/>
    <w:rsid w:val="0038049F"/>
    <w:rsid w:val="003C6231"/>
    <w:rsid w:val="003D0BFE"/>
    <w:rsid w:val="003D5700"/>
    <w:rsid w:val="003E341B"/>
    <w:rsid w:val="003E4D00"/>
    <w:rsid w:val="003F35FA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D4431"/>
    <w:rsid w:val="004E063A"/>
    <w:rsid w:val="004E1307"/>
    <w:rsid w:val="004E7BEC"/>
    <w:rsid w:val="00505D3D"/>
    <w:rsid w:val="00506AF6"/>
    <w:rsid w:val="00516B8D"/>
    <w:rsid w:val="005303C8"/>
    <w:rsid w:val="00537FBC"/>
    <w:rsid w:val="00584811"/>
    <w:rsid w:val="00585784"/>
    <w:rsid w:val="00590B10"/>
    <w:rsid w:val="005911C2"/>
    <w:rsid w:val="00593AA6"/>
    <w:rsid w:val="00594161"/>
    <w:rsid w:val="00594749"/>
    <w:rsid w:val="005A65D5"/>
    <w:rsid w:val="005B4067"/>
    <w:rsid w:val="005C3F41"/>
    <w:rsid w:val="005D1D92"/>
    <w:rsid w:val="005D2D09"/>
    <w:rsid w:val="005E4CCC"/>
    <w:rsid w:val="005E56D5"/>
    <w:rsid w:val="00600219"/>
    <w:rsid w:val="00604F2A"/>
    <w:rsid w:val="0061408B"/>
    <w:rsid w:val="00620076"/>
    <w:rsid w:val="00627E0A"/>
    <w:rsid w:val="0065488B"/>
    <w:rsid w:val="00670EA1"/>
    <w:rsid w:val="0067569E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D7228"/>
    <w:rsid w:val="006E2E1C"/>
    <w:rsid w:val="006E6246"/>
    <w:rsid w:val="006E69C2"/>
    <w:rsid w:val="006E6DCC"/>
    <w:rsid w:val="006F318F"/>
    <w:rsid w:val="006F5129"/>
    <w:rsid w:val="0070017E"/>
    <w:rsid w:val="00700B2C"/>
    <w:rsid w:val="00703475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D1C8B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A0914"/>
    <w:rsid w:val="00AA551A"/>
    <w:rsid w:val="00AD53CC"/>
    <w:rsid w:val="00AD5641"/>
    <w:rsid w:val="00AF06CF"/>
    <w:rsid w:val="00B07CDB"/>
    <w:rsid w:val="00B16A31"/>
    <w:rsid w:val="00B17DFD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166DB"/>
    <w:rsid w:val="00C25E7F"/>
    <w:rsid w:val="00C2746F"/>
    <w:rsid w:val="00C323D6"/>
    <w:rsid w:val="00C324A0"/>
    <w:rsid w:val="00C364E0"/>
    <w:rsid w:val="00C42BF8"/>
    <w:rsid w:val="00C50043"/>
    <w:rsid w:val="00C53688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4866"/>
    <w:rsid w:val="00D150E7"/>
    <w:rsid w:val="00D2661B"/>
    <w:rsid w:val="00D52DC2"/>
    <w:rsid w:val="00D53BCC"/>
    <w:rsid w:val="00D54C9E"/>
    <w:rsid w:val="00D62DB8"/>
    <w:rsid w:val="00D6537E"/>
    <w:rsid w:val="00D70DFB"/>
    <w:rsid w:val="00D766DF"/>
    <w:rsid w:val="00D8206C"/>
    <w:rsid w:val="00D915E2"/>
    <w:rsid w:val="00D91F10"/>
    <w:rsid w:val="00DA186E"/>
    <w:rsid w:val="00DA4116"/>
    <w:rsid w:val="00DB251C"/>
    <w:rsid w:val="00DB4630"/>
    <w:rsid w:val="00DC4F88"/>
    <w:rsid w:val="00DD6089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D2D87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95696E"/>
  <w15:docId w15:val="{33740A28-136F-440F-B9E4-DA2E007A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inition0">
    <w:name w:val="definition"/>
    <w:basedOn w:val="Normal"/>
    <w:rsid w:val="00D2661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E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6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6D5"/>
  </w:style>
  <w:style w:type="paragraph" w:customStyle="1" w:styleId="hr">
    <w:name w:val="hr"/>
    <w:basedOn w:val="Normal"/>
    <w:rsid w:val="00AA55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3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8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1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8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44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30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6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3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85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40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58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02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26DF5B2D28947A64F5EF013DE8830" ma:contentTypeVersion="0" ma:contentTypeDescription="Create a new document." ma:contentTypeScope="" ma:versionID="5d096cd7797e90176bc559c5ad5442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AA86-D57A-4D3C-BFAB-C305DB64151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8FB37C-32BF-4318-AB99-7CA64FAB9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92F67-8615-4F36-A0CB-2DDCB8F0E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70309A-16C5-4D30-93ED-779B3570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Toole, Paul</dc:creator>
  <cp:lastModifiedBy>Dyer, Siew</cp:lastModifiedBy>
  <cp:revision>2</cp:revision>
  <dcterms:created xsi:type="dcterms:W3CDTF">2017-07-19T06:40:00Z</dcterms:created>
  <dcterms:modified xsi:type="dcterms:W3CDTF">2017-07-19T06:40:00Z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0x0101001A526DF5B2D28947A64F5EF013DE8830</vt:lpwstr>
  </property>
  <property fmtid="{D5CDD505-2E9C-101B-9397-08002B2CF9AE}" pid="3" name="TrimRevisionNumber">
    <vt:i4>1</vt:i4>
  </property>
</Properties>
</file>