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64A82" w14:textId="6B01A049" w:rsidR="005B0E3A" w:rsidRDefault="005B0E3A" w:rsidP="003729CD">
      <w:pPr>
        <w:spacing w:before="63" w:line="479" w:lineRule="auto"/>
        <w:jc w:val="cente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3729CD" w:rsidRPr="003729CD">
        <w:rPr>
          <w:b/>
          <w:color w:val="000000"/>
          <w:spacing w:val="-1"/>
          <w:sz w:val="28"/>
        </w:rPr>
        <w:t>ASIC Corporations (</w:t>
      </w:r>
      <w:r w:rsidR="002148E7">
        <w:rPr>
          <w:b/>
          <w:color w:val="000000"/>
          <w:spacing w:val="-1"/>
          <w:sz w:val="28"/>
        </w:rPr>
        <w:t>Amendment</w:t>
      </w:r>
      <w:r w:rsidR="003729CD" w:rsidRPr="003729CD">
        <w:rPr>
          <w:b/>
          <w:color w:val="000000"/>
          <w:spacing w:val="-1"/>
          <w:sz w:val="28"/>
        </w:rPr>
        <w:t>) Instrument 201</w:t>
      </w:r>
      <w:r w:rsidR="00532F44">
        <w:rPr>
          <w:b/>
          <w:color w:val="000000"/>
          <w:spacing w:val="-1"/>
          <w:sz w:val="28"/>
        </w:rPr>
        <w:t>7</w:t>
      </w:r>
      <w:r w:rsidR="003729CD" w:rsidRPr="003729CD">
        <w:rPr>
          <w:b/>
          <w:color w:val="000000"/>
          <w:spacing w:val="-1"/>
          <w:sz w:val="28"/>
        </w:rPr>
        <w:t>/</w:t>
      </w:r>
      <w:r w:rsidR="00634809">
        <w:rPr>
          <w:b/>
          <w:color w:val="000000"/>
          <w:spacing w:val="-1"/>
          <w:sz w:val="28"/>
        </w:rPr>
        <w:t>684</w:t>
      </w:r>
      <w:r w:rsidR="003729CD">
        <w:rPr>
          <w:b/>
          <w:color w:val="000000"/>
          <w:spacing w:val="-1"/>
          <w:sz w:val="28"/>
        </w:rPr>
        <w:br/>
      </w:r>
      <w:r>
        <w:t>Prepared by the Australian Securities and Investments Commission</w:t>
      </w:r>
    </w:p>
    <w:p w14:paraId="29D54561" w14:textId="77777777" w:rsidR="005B0E3A" w:rsidRDefault="005B0E3A" w:rsidP="005B0E3A">
      <w:pPr>
        <w:jc w:val="center"/>
        <w:rPr>
          <w:i/>
          <w:sz w:val="24"/>
        </w:rPr>
      </w:pPr>
      <w:r>
        <w:rPr>
          <w:i/>
          <w:sz w:val="24"/>
        </w:rPr>
        <w:t>Corporations Act 2001</w:t>
      </w:r>
    </w:p>
    <w:p w14:paraId="75D36025" w14:textId="386F0DBA" w:rsidR="003729CD" w:rsidRDefault="005B0E3A" w:rsidP="003729CD">
      <w:pPr>
        <w:pStyle w:val="BodyText"/>
        <w:spacing w:line="261" w:lineRule="auto"/>
      </w:pPr>
      <w:r w:rsidRPr="00045CF8">
        <w:t>The Australian Securities and Investments Commission (</w:t>
      </w:r>
      <w:r w:rsidRPr="008B6985">
        <w:rPr>
          <w:b/>
        </w:rPr>
        <w:t>ASIC</w:t>
      </w:r>
      <w:r w:rsidRPr="00045CF8">
        <w:t xml:space="preserve">) makes </w:t>
      </w:r>
      <w:r w:rsidR="003729CD" w:rsidRPr="008B6985">
        <w:rPr>
          <w:i/>
        </w:rPr>
        <w:t>ASIC Corporations (</w:t>
      </w:r>
      <w:r w:rsidR="002148E7" w:rsidRPr="008B6985">
        <w:rPr>
          <w:i/>
        </w:rPr>
        <w:t>Amendment</w:t>
      </w:r>
      <w:r w:rsidR="003729CD" w:rsidRPr="008B6985">
        <w:rPr>
          <w:i/>
        </w:rPr>
        <w:t>) Instrument 201</w:t>
      </w:r>
      <w:r w:rsidR="00664FF6" w:rsidRPr="008B6985">
        <w:rPr>
          <w:i/>
        </w:rPr>
        <w:t>7</w:t>
      </w:r>
      <w:r w:rsidR="003729CD" w:rsidRPr="008B6985">
        <w:rPr>
          <w:i/>
        </w:rPr>
        <w:t>/</w:t>
      </w:r>
      <w:r w:rsidR="00634809" w:rsidRPr="008B6985">
        <w:rPr>
          <w:i/>
        </w:rPr>
        <w:t>684</w:t>
      </w:r>
      <w:r w:rsidR="002148E7">
        <w:t xml:space="preserve"> (the </w:t>
      </w:r>
      <w:r w:rsidR="002148E7" w:rsidRPr="008B6985">
        <w:rPr>
          <w:b/>
        </w:rPr>
        <w:t>Amending Instrument</w:t>
      </w:r>
      <w:r w:rsidR="002148E7">
        <w:t>)</w:t>
      </w:r>
      <w:r w:rsidR="003729CD" w:rsidRPr="00045CF8">
        <w:t xml:space="preserve"> under section 926A</w:t>
      </w:r>
      <w:r w:rsidR="00045CF8">
        <w:t>(2)(a)</w:t>
      </w:r>
      <w:r w:rsidR="003729CD" w:rsidRPr="00045CF8">
        <w:t xml:space="preserve"> of the </w:t>
      </w:r>
      <w:r w:rsidR="003729CD" w:rsidRPr="00045CF8">
        <w:rPr>
          <w:i/>
        </w:rPr>
        <w:t>Corporations Act 2001</w:t>
      </w:r>
      <w:r w:rsidR="003729CD" w:rsidRPr="00045CF8">
        <w:t xml:space="preserve"> (Corporations Act).</w:t>
      </w:r>
      <w:r w:rsidR="00045CF8">
        <w:t xml:space="preserve"> Paragraph 926A(2)(a)</w:t>
      </w:r>
      <w:r w:rsidR="003729CD" w:rsidRPr="00045CF8">
        <w:rPr>
          <w:spacing w:val="-1"/>
        </w:rPr>
        <w:t xml:space="preserve"> </w:t>
      </w:r>
      <w:r w:rsidR="003729CD" w:rsidRPr="00045CF8">
        <w:t>provides that ASIC may</w:t>
      </w:r>
      <w:r w:rsidR="003729CD" w:rsidRPr="00045CF8">
        <w:rPr>
          <w:spacing w:val="-1"/>
        </w:rPr>
        <w:t xml:space="preserve"> </w:t>
      </w:r>
      <w:r w:rsidR="00045CF8" w:rsidRPr="00045CF8">
        <w:t>exempt a</w:t>
      </w:r>
      <w:r w:rsidR="00045CF8">
        <w:t xml:space="preserve"> person, or</w:t>
      </w:r>
      <w:r w:rsidR="00045CF8" w:rsidRPr="00045CF8">
        <w:t xml:space="preserve"> class of persons</w:t>
      </w:r>
      <w:r w:rsidR="00045CF8">
        <w:t>,</w:t>
      </w:r>
      <w:r w:rsidR="00045CF8" w:rsidRPr="00045CF8">
        <w:t xml:space="preserve"> from all or specified provisions in </w:t>
      </w:r>
      <w:r w:rsidR="00045CF8">
        <w:t>Part 7.6 of that Act (except Divisions 4 and 8).</w:t>
      </w:r>
    </w:p>
    <w:p w14:paraId="491C5757" w14:textId="0FC3B010" w:rsidR="002148E7" w:rsidRPr="00045CF8" w:rsidRDefault="002148E7" w:rsidP="003729CD">
      <w:pPr>
        <w:pStyle w:val="BodyText"/>
        <w:spacing w:line="261" w:lineRule="auto"/>
      </w:pPr>
      <w:r w:rsidRPr="002148E7">
        <w:t xml:space="preserve">Under subsection 33(3) of the </w:t>
      </w:r>
      <w:r w:rsidRPr="002148E7">
        <w:rPr>
          <w:i/>
        </w:rPr>
        <w:t>Acts Interpretations Act 1901</w:t>
      </w:r>
      <w:r w:rsidRPr="002148E7">
        <w:t xml:space="preserve"> (as applicable to the relevant powers because of section 5C of the </w:t>
      </w:r>
      <w:r w:rsidR="00C1014B" w:rsidRPr="008B6985">
        <w:rPr>
          <w:b/>
        </w:rPr>
        <w:t xml:space="preserve">Corporations </w:t>
      </w:r>
      <w:r w:rsidRPr="008B6985">
        <w:rPr>
          <w:b/>
        </w:rPr>
        <w:t>Act</w:t>
      </w:r>
      <w:r w:rsidRPr="002148E7">
        <w:t>), where an Act confers a power to make, grant or issue any instrument, the power shall be construed as including a power exercisable in the like manner and subject to the like conditions to repeal, rescind, revoke, amend or vary any such instrument.</w:t>
      </w:r>
    </w:p>
    <w:p w14:paraId="5F4F6DA9" w14:textId="77777777" w:rsidR="005B0E3A" w:rsidRPr="0090337E" w:rsidRDefault="005B0E3A" w:rsidP="0090337E">
      <w:pPr>
        <w:pStyle w:val="Heading2"/>
        <w:numPr>
          <w:ilvl w:val="0"/>
          <w:numId w:val="20"/>
        </w:numPr>
        <w:spacing w:before="480"/>
        <w:ind w:hanging="720"/>
        <w:rPr>
          <w:rFonts w:eastAsia="Arial" w:cs="Arial"/>
          <w:sz w:val="28"/>
          <w:szCs w:val="28"/>
        </w:rPr>
      </w:pPr>
      <w:bookmarkStart w:id="0" w:name="1._Background"/>
      <w:bookmarkEnd w:id="0"/>
      <w:r w:rsidRPr="0090337E">
        <w:rPr>
          <w:sz w:val="28"/>
          <w:szCs w:val="28"/>
        </w:rPr>
        <w:t>Background</w:t>
      </w:r>
    </w:p>
    <w:p w14:paraId="052ECA0F" w14:textId="2B47C0A6" w:rsidR="002148E7" w:rsidRDefault="002148E7" w:rsidP="002148E7">
      <w:pPr>
        <w:pStyle w:val="BodyText"/>
        <w:spacing w:before="199"/>
      </w:pPr>
      <w:r>
        <w:t xml:space="preserve">On 14 December 2016 </w:t>
      </w:r>
      <w:r w:rsidRPr="000F3C75">
        <w:t xml:space="preserve">ASIC made </w:t>
      </w:r>
      <w:r w:rsidRPr="008B6985">
        <w:rPr>
          <w:i/>
        </w:rPr>
        <w:t>ASIC Corporations (Concept Validation Licensing Exemption) Instrument 2016/1175</w:t>
      </w:r>
      <w:r w:rsidRPr="000F3C75">
        <w:t xml:space="preserve"> (the </w:t>
      </w:r>
      <w:r w:rsidRPr="008B6985">
        <w:rPr>
          <w:b/>
        </w:rPr>
        <w:t>Principal Instrument</w:t>
      </w:r>
      <w:r w:rsidRPr="000F3C75">
        <w:t xml:space="preserve">) and </w:t>
      </w:r>
      <w:r w:rsidRPr="008B6985">
        <w:rPr>
          <w:i/>
        </w:rPr>
        <w:t xml:space="preserve">ASIC Credit (Concept Validation Licensing Exemption) Instrument 2016/1176, </w:t>
      </w:r>
      <w:r w:rsidRPr="000F3C75">
        <w:t>which allow eligible businesses to test certain products and services for 12 months without needing to obtain an A</w:t>
      </w:r>
      <w:r w:rsidR="005C5530">
        <w:t xml:space="preserve">ustralian </w:t>
      </w:r>
      <w:r w:rsidRPr="000F3C75">
        <w:t>F</w:t>
      </w:r>
      <w:r w:rsidR="005C5530">
        <w:t xml:space="preserve">inancial </w:t>
      </w:r>
      <w:r w:rsidRPr="000F3C75">
        <w:t>S</w:t>
      </w:r>
      <w:r w:rsidR="005C5530">
        <w:t>ervices</w:t>
      </w:r>
      <w:r w:rsidRPr="000F3C75">
        <w:t xml:space="preserve"> licence or credit licence, respectively. </w:t>
      </w:r>
    </w:p>
    <w:p w14:paraId="6F0A56DF" w14:textId="176E770F" w:rsidR="002148E7" w:rsidRDefault="002148E7" w:rsidP="002148E7">
      <w:pPr>
        <w:pStyle w:val="BodyText"/>
        <w:spacing w:before="199"/>
      </w:pPr>
      <w:r>
        <w:t>The Principal Instrument provides that a</w:t>
      </w:r>
      <w:r w:rsidR="00082DAB">
        <w:t>n eligible</w:t>
      </w:r>
      <w:r w:rsidR="00100297">
        <w:t xml:space="preserve"> </w:t>
      </w:r>
      <w:r>
        <w:t xml:space="preserve">person does not </w:t>
      </w:r>
      <w:r w:rsidR="00082DAB">
        <w:t>have to</w:t>
      </w:r>
      <w:r>
        <w:t xml:space="preserve"> hold an A</w:t>
      </w:r>
      <w:r w:rsidR="00473CD6">
        <w:t xml:space="preserve">ustralian </w:t>
      </w:r>
      <w:r>
        <w:t>F</w:t>
      </w:r>
      <w:r w:rsidR="00473CD6">
        <w:t xml:space="preserve">inancial </w:t>
      </w:r>
      <w:r>
        <w:t>S</w:t>
      </w:r>
      <w:r w:rsidR="00473CD6">
        <w:t>ervices</w:t>
      </w:r>
      <w:r>
        <w:t xml:space="preserve"> licence to:</w:t>
      </w:r>
    </w:p>
    <w:p w14:paraId="7AB39667" w14:textId="77777777" w:rsidR="002148E7" w:rsidRDefault="002148E7" w:rsidP="002148E7">
      <w:pPr>
        <w:pStyle w:val="BodyText"/>
        <w:spacing w:before="199"/>
      </w:pPr>
      <w:r>
        <w:t>a.</w:t>
      </w:r>
      <w:r>
        <w:tab/>
        <w:t xml:space="preserve">provide financial product advice in relation to an eligible product; </w:t>
      </w:r>
    </w:p>
    <w:p w14:paraId="569DF51D" w14:textId="77777777" w:rsidR="002148E7" w:rsidRDefault="002148E7" w:rsidP="002148E7">
      <w:pPr>
        <w:pStyle w:val="BodyText"/>
        <w:spacing w:before="199"/>
      </w:pPr>
      <w:r>
        <w:t>b.</w:t>
      </w:r>
      <w:r>
        <w:tab/>
        <w:t>deal in an eligible product (other than by way of issuing or varying the eligible product).</w:t>
      </w:r>
    </w:p>
    <w:p w14:paraId="04D13194" w14:textId="07689753" w:rsidR="002148E7" w:rsidRDefault="006872A1" w:rsidP="002148E7">
      <w:pPr>
        <w:pStyle w:val="BodyText"/>
        <w:spacing w:before="199"/>
      </w:pPr>
      <w:r>
        <w:t xml:space="preserve">In providing financial product advice, </w:t>
      </w:r>
      <w:r w:rsidR="002148E7">
        <w:t xml:space="preserve">the Principal Instrument </w:t>
      </w:r>
      <w:r>
        <w:t>states</w:t>
      </w:r>
      <w:r w:rsidR="002148E7">
        <w:t>:</w:t>
      </w:r>
    </w:p>
    <w:p w14:paraId="6867BEA6" w14:textId="14228CA1" w:rsidR="002148E7" w:rsidRPr="006E05C8" w:rsidRDefault="006872A1" w:rsidP="002148E7">
      <w:pPr>
        <w:pStyle w:val="BodyText"/>
        <w:numPr>
          <w:ilvl w:val="0"/>
          <w:numId w:val="19"/>
        </w:numPr>
        <w:tabs>
          <w:tab w:val="clear" w:pos="567"/>
          <w:tab w:val="clear" w:pos="680"/>
          <w:tab w:val="left" w:pos="851"/>
        </w:tabs>
        <w:spacing w:before="199"/>
        <w:ind w:left="851" w:hanging="567"/>
        <w:rPr>
          <w:szCs w:val="24"/>
        </w:rPr>
      </w:pPr>
      <w:r w:rsidRPr="006E05C8">
        <w:rPr>
          <w:szCs w:val="24"/>
        </w:rPr>
        <w:t>An eligible person relying on the exemption in subsection 5(1) who provides personal advice to a person as a retail client must comply with Division 2 of Part 7.7A of the Act as if they were a provider for the purposes of that Division</w:t>
      </w:r>
      <w:r w:rsidR="002148E7" w:rsidRPr="006E05C8">
        <w:rPr>
          <w:szCs w:val="24"/>
        </w:rPr>
        <w:t>;</w:t>
      </w:r>
    </w:p>
    <w:p w14:paraId="7CC7AEF9" w14:textId="642C477D" w:rsidR="00D26D9E" w:rsidRDefault="00D26D9E" w:rsidP="002148E7">
      <w:pPr>
        <w:pStyle w:val="BodyText"/>
        <w:tabs>
          <w:tab w:val="clear" w:pos="567"/>
          <w:tab w:val="clear" w:pos="680"/>
          <w:tab w:val="left" w:pos="851"/>
        </w:tabs>
        <w:spacing w:before="199"/>
      </w:pPr>
      <w:r>
        <w:t>Division 2 of Part 7.7A of the Act imposes obligations on a provider of personal advice to a retail client to act in the best interests of the client.</w:t>
      </w:r>
    </w:p>
    <w:p w14:paraId="540BFF68" w14:textId="3F09F7ED" w:rsidR="003C4D88" w:rsidRDefault="002148E7" w:rsidP="002148E7">
      <w:pPr>
        <w:pStyle w:val="BodyText"/>
        <w:tabs>
          <w:tab w:val="clear" w:pos="567"/>
          <w:tab w:val="clear" w:pos="680"/>
          <w:tab w:val="left" w:pos="851"/>
        </w:tabs>
        <w:spacing w:before="199"/>
      </w:pPr>
      <w:r w:rsidRPr="006E05C8">
        <w:t xml:space="preserve">When making the Principal Instrument, ASIC </w:t>
      </w:r>
      <w:r w:rsidR="00D26D9E">
        <w:t xml:space="preserve">also </w:t>
      </w:r>
      <w:r w:rsidRPr="006E05C8">
        <w:t>intended</w:t>
      </w:r>
      <w:r>
        <w:t xml:space="preserve"> to include</w:t>
      </w:r>
      <w:r w:rsidR="002E0264">
        <w:t xml:space="preserve"> </w:t>
      </w:r>
      <w:r w:rsidR="00D26D9E">
        <w:t>a</w:t>
      </w:r>
      <w:r w:rsidR="002E0264">
        <w:t xml:space="preserve"> condition</w:t>
      </w:r>
      <w:r>
        <w:t xml:space="preserve"> </w:t>
      </w:r>
      <w:r w:rsidR="006872A1">
        <w:t xml:space="preserve">that a person relying on the </w:t>
      </w:r>
      <w:r w:rsidR="006872A1" w:rsidRPr="008B6985">
        <w:t xml:space="preserve">exemption in the Principal Instrument </w:t>
      </w:r>
      <w:r w:rsidR="00082DAB" w:rsidRPr="008B6985">
        <w:t xml:space="preserve">who provides personal advice to a </w:t>
      </w:r>
      <w:bookmarkStart w:id="1" w:name="_GoBack"/>
      <w:r w:rsidR="00082DAB" w:rsidRPr="008B6985">
        <w:t>person</w:t>
      </w:r>
      <w:r w:rsidR="00C1014B" w:rsidRPr="008B6985">
        <w:t xml:space="preserve"> as</w:t>
      </w:r>
      <w:r w:rsidR="00082DAB" w:rsidRPr="008B6985">
        <w:t xml:space="preserve"> a retail client must comply with</w:t>
      </w:r>
      <w:r w:rsidR="006872A1" w:rsidRPr="008B6985">
        <w:t xml:space="preserve"> </w:t>
      </w:r>
      <w:r w:rsidR="00D26D9E" w:rsidRPr="008B6985">
        <w:t>th</w:t>
      </w:r>
      <w:r w:rsidR="005C5530" w:rsidRPr="008B6985">
        <w:t>e Statement of A</w:t>
      </w:r>
      <w:r w:rsidR="00D26D9E" w:rsidRPr="008B6985">
        <w:t xml:space="preserve">dvice requirements in </w:t>
      </w:r>
      <w:r w:rsidR="006872A1" w:rsidRPr="008B6985">
        <w:t>Division</w:t>
      </w:r>
      <w:r w:rsidR="00C1014B" w:rsidRPr="008B6985">
        <w:t xml:space="preserve"> </w:t>
      </w:r>
      <w:r w:rsidR="006872A1" w:rsidRPr="008B6985">
        <w:t xml:space="preserve">3 </w:t>
      </w:r>
      <w:bookmarkEnd w:id="1"/>
      <w:r w:rsidR="006872A1" w:rsidRPr="008B6985">
        <w:lastRenderedPageBreak/>
        <w:t xml:space="preserve">of </w:t>
      </w:r>
      <w:r w:rsidR="00C1014B" w:rsidRPr="008B6985">
        <w:t>P</w:t>
      </w:r>
      <w:r w:rsidR="006872A1" w:rsidRPr="008B6985">
        <w:t xml:space="preserve">art 7.7 of the Corporations Act as if they </w:t>
      </w:r>
      <w:r w:rsidR="00082DAB" w:rsidRPr="008B6985">
        <w:t>were a financial services licensee for the purposes of that Division</w:t>
      </w:r>
      <w:r w:rsidR="00A954D0" w:rsidRPr="008B6985">
        <w:t>.</w:t>
      </w:r>
      <w:r w:rsidRPr="008B6985">
        <w:t xml:space="preserve"> However, this did not occur.</w:t>
      </w:r>
      <w:r w:rsidR="00DC6E7B" w:rsidRPr="008B6985">
        <w:t xml:space="preserve"> </w:t>
      </w:r>
    </w:p>
    <w:p w14:paraId="547BCE33" w14:textId="77777777" w:rsidR="002148E7" w:rsidRPr="0090337E" w:rsidRDefault="002148E7" w:rsidP="002148E7">
      <w:pPr>
        <w:pStyle w:val="Heading2"/>
        <w:numPr>
          <w:ilvl w:val="0"/>
          <w:numId w:val="20"/>
        </w:numPr>
        <w:spacing w:before="480"/>
        <w:ind w:hanging="720"/>
        <w:rPr>
          <w:sz w:val="28"/>
          <w:szCs w:val="28"/>
        </w:rPr>
      </w:pPr>
      <w:r w:rsidRPr="0090337E">
        <w:rPr>
          <w:sz w:val="28"/>
          <w:szCs w:val="28"/>
        </w:rPr>
        <w:t>Purpose of the instrument</w:t>
      </w:r>
    </w:p>
    <w:p w14:paraId="7E8661AD" w14:textId="0AFD4E69" w:rsidR="00A954D0" w:rsidRDefault="002148E7" w:rsidP="00A954D0">
      <w:pPr>
        <w:pStyle w:val="BodyText"/>
        <w:spacing w:before="199"/>
      </w:pPr>
      <w:r w:rsidRPr="000F3C75">
        <w:t xml:space="preserve">ASIC has made </w:t>
      </w:r>
      <w:r w:rsidR="008D7B5E">
        <w:t>the Amending Instrument</w:t>
      </w:r>
      <w:r w:rsidRPr="000F3C75">
        <w:t xml:space="preserve"> </w:t>
      </w:r>
      <w:r>
        <w:t xml:space="preserve">to amend the Principal Instrument to include </w:t>
      </w:r>
      <w:r w:rsidR="00D26D9E">
        <w:t xml:space="preserve">a condition requiring </w:t>
      </w:r>
      <w:r w:rsidR="00B62916">
        <w:t xml:space="preserve">an eligible person </w:t>
      </w:r>
      <w:r w:rsidR="00D26D9E">
        <w:t>(as defined in the Principal Instrument) who provides personal advice to a person as a retail client</w:t>
      </w:r>
      <w:r w:rsidR="005C5530">
        <w:t xml:space="preserve"> in reliance on the relief to comply with the Statement of A</w:t>
      </w:r>
      <w:r w:rsidR="00D26D9E">
        <w:t>dvice requirements</w:t>
      </w:r>
      <w:r w:rsidR="00A954D0">
        <w:t>.</w:t>
      </w:r>
    </w:p>
    <w:p w14:paraId="6D90A907" w14:textId="13633E6A" w:rsidR="002148E7" w:rsidRDefault="002148E7" w:rsidP="00A954D0">
      <w:pPr>
        <w:pStyle w:val="BodyText"/>
        <w:tabs>
          <w:tab w:val="clear" w:pos="567"/>
          <w:tab w:val="clear" w:pos="680"/>
          <w:tab w:val="left" w:pos="851"/>
        </w:tabs>
        <w:spacing w:before="199"/>
      </w:pPr>
      <w:r>
        <w:t>The effect of this change is that</w:t>
      </w:r>
      <w:r w:rsidR="008D7B5E">
        <w:t xml:space="preserve"> new businesses may test certain financial services </w:t>
      </w:r>
      <w:r w:rsidR="00B62916">
        <w:t>related to the provision of financial advice</w:t>
      </w:r>
      <w:r w:rsidR="008D7B5E">
        <w:t xml:space="preserve"> without a financial services licence for 12 months</w:t>
      </w:r>
      <w:r w:rsidR="00960333">
        <w:t xml:space="preserve"> and if this includes </w:t>
      </w:r>
      <w:r w:rsidR="002E0264" w:rsidRPr="00DC6E7B">
        <w:t xml:space="preserve">personal advice </w:t>
      </w:r>
      <w:r w:rsidR="00960333">
        <w:t>they</w:t>
      </w:r>
      <w:r w:rsidR="00F00F3A">
        <w:t xml:space="preserve"> </w:t>
      </w:r>
      <w:r w:rsidR="00960333">
        <w:t xml:space="preserve"> will </w:t>
      </w:r>
      <w:r w:rsidR="00F00F3A">
        <w:t xml:space="preserve">be subject to </w:t>
      </w:r>
      <w:r w:rsidR="00960333">
        <w:t xml:space="preserve">Statement of Advice requirements </w:t>
      </w:r>
      <w:r w:rsidR="00F00F3A">
        <w:t>to the same extent as a financial services licensee</w:t>
      </w:r>
      <w:r w:rsidR="00960333">
        <w:t xml:space="preserve">. </w:t>
      </w:r>
    </w:p>
    <w:p w14:paraId="61B17544" w14:textId="77777777" w:rsidR="002148E7" w:rsidRPr="0090337E" w:rsidRDefault="002148E7" w:rsidP="002148E7">
      <w:pPr>
        <w:pStyle w:val="Heading2"/>
        <w:numPr>
          <w:ilvl w:val="0"/>
          <w:numId w:val="20"/>
        </w:numPr>
        <w:spacing w:before="480"/>
        <w:ind w:hanging="720"/>
        <w:rPr>
          <w:sz w:val="28"/>
          <w:szCs w:val="28"/>
        </w:rPr>
      </w:pPr>
      <w:r w:rsidRPr="0090337E">
        <w:rPr>
          <w:sz w:val="28"/>
          <w:szCs w:val="28"/>
        </w:rPr>
        <w:t>Operation of the instrument</w:t>
      </w:r>
    </w:p>
    <w:p w14:paraId="30B0168D" w14:textId="3F41060C" w:rsidR="005C5530" w:rsidRDefault="00C1014B" w:rsidP="00C1014B">
      <w:pPr>
        <w:pStyle w:val="BodyText"/>
        <w:spacing w:before="199"/>
      </w:pPr>
      <w:r>
        <w:t xml:space="preserve">Section 4 of the Amending Instrument and </w:t>
      </w:r>
      <w:r w:rsidR="002148E7">
        <w:t>Schedule 1 to</w:t>
      </w:r>
      <w:r w:rsidR="008D7B5E">
        <w:t xml:space="preserve"> the Amending Instrument</w:t>
      </w:r>
      <w:r w:rsidR="002148E7">
        <w:t xml:space="preserve"> </w:t>
      </w:r>
      <w:r>
        <w:t xml:space="preserve">repeal and replace subsection 7(5) of the Principal Instrument. </w:t>
      </w:r>
    </w:p>
    <w:p w14:paraId="7B7968C9" w14:textId="6E5DF7DC" w:rsidR="00C1014B" w:rsidRDefault="00C1014B" w:rsidP="00C1014B">
      <w:pPr>
        <w:pStyle w:val="BodyText"/>
        <w:spacing w:before="199"/>
      </w:pPr>
      <w:r>
        <w:t xml:space="preserve">The new subsection 7(5) of the Principal Instrument sets out conditions that apply to an eligible person who relies on the exemption in subsection 5(1) of the Principal Instrument and who provides personal advice to a person as a retail client. The eligible person must comply with: </w:t>
      </w:r>
    </w:p>
    <w:p w14:paraId="7BB5E1F9" w14:textId="5D41D2DD" w:rsidR="00C1014B" w:rsidRDefault="00C1014B" w:rsidP="008B6985">
      <w:pPr>
        <w:pStyle w:val="BodyText"/>
        <w:spacing w:before="199"/>
        <w:ind w:left="567" w:hanging="567"/>
      </w:pPr>
      <w:r>
        <w:t>(a)</w:t>
      </w:r>
      <w:r>
        <w:tab/>
        <w:t>Division 3 of Part 7.7 of the Corporations Act as if they were a financial services licensee for the purposes of that Division</w:t>
      </w:r>
      <w:r w:rsidR="005C5530">
        <w:t xml:space="preserve"> </w:t>
      </w:r>
      <w:r w:rsidR="00473CD6">
        <w:t>(</w:t>
      </w:r>
      <w:r w:rsidR="005C5530">
        <w:t>Division</w:t>
      </w:r>
      <w:r w:rsidR="00473CD6">
        <w:t xml:space="preserve"> 3</w:t>
      </w:r>
      <w:r>
        <w:t xml:space="preserve"> </w:t>
      </w:r>
      <w:r w:rsidR="005C5530">
        <w:t>contains the Statement of Advice requirements</w:t>
      </w:r>
      <w:r w:rsidR="00D26D9E">
        <w:t>)</w:t>
      </w:r>
      <w:r>
        <w:t>; and</w:t>
      </w:r>
    </w:p>
    <w:p w14:paraId="6FEC9821" w14:textId="34D6BB01" w:rsidR="002148E7" w:rsidRDefault="00C1014B" w:rsidP="008B6985">
      <w:pPr>
        <w:pStyle w:val="BodyText"/>
        <w:spacing w:before="199"/>
        <w:ind w:left="567" w:hanging="567"/>
      </w:pPr>
      <w:r>
        <w:t>(b)</w:t>
      </w:r>
      <w:r>
        <w:tab/>
        <w:t>Division 2 of Part 7.7A of the Act as if they were a provider for the purposes of that Division</w:t>
      </w:r>
      <w:r w:rsidR="005C5530">
        <w:t xml:space="preserve"> (this replicates the condition in the former subsection 7(5) of the Principal Instrument)</w:t>
      </w:r>
      <w:r>
        <w:t>.</w:t>
      </w:r>
      <w:r w:rsidDel="00C1014B">
        <w:t xml:space="preserve"> </w:t>
      </w:r>
    </w:p>
    <w:p w14:paraId="62950F70" w14:textId="77777777" w:rsidR="002148E7" w:rsidRPr="0090337E" w:rsidRDefault="002148E7" w:rsidP="002148E7">
      <w:pPr>
        <w:pStyle w:val="Heading2"/>
        <w:numPr>
          <w:ilvl w:val="0"/>
          <w:numId w:val="20"/>
        </w:numPr>
        <w:spacing w:before="480"/>
        <w:ind w:hanging="720"/>
        <w:rPr>
          <w:b w:val="0"/>
          <w:spacing w:val="-1"/>
          <w:sz w:val="24"/>
        </w:rPr>
      </w:pPr>
      <w:r w:rsidRPr="0090337E">
        <w:rPr>
          <w:sz w:val="28"/>
          <w:szCs w:val="28"/>
        </w:rPr>
        <w:t>Consultation</w:t>
      </w:r>
    </w:p>
    <w:p w14:paraId="0B7E39CC" w14:textId="5C20D314" w:rsidR="002148E7" w:rsidRDefault="002148E7" w:rsidP="002148E7">
      <w:pPr>
        <w:pStyle w:val="BodyText"/>
        <w:spacing w:before="199"/>
      </w:pPr>
      <w:r w:rsidRPr="002148E7">
        <w:t xml:space="preserve">ASIC did not undertake a formal consultation process </w:t>
      </w:r>
      <w:r w:rsidR="006E05C8">
        <w:t>for</w:t>
      </w:r>
      <w:r w:rsidRPr="002148E7">
        <w:t xml:space="preserve"> the </w:t>
      </w:r>
      <w:r w:rsidR="008D7B5E">
        <w:t>Amending I</w:t>
      </w:r>
      <w:r w:rsidRPr="002148E7">
        <w:t xml:space="preserve">nstrument on the basis that it makes a minor amendment to </w:t>
      </w:r>
      <w:r w:rsidR="008D7B5E">
        <w:t>reflect</w:t>
      </w:r>
      <w:r w:rsidRPr="002148E7">
        <w:t xml:space="preserve"> the intended effec</w:t>
      </w:r>
      <w:r w:rsidR="008D7B5E">
        <w:t>t of the Principal I</w:t>
      </w:r>
      <w:r w:rsidRPr="002148E7">
        <w:t>nstrument</w:t>
      </w:r>
      <w:r w:rsidR="00A77F03">
        <w:t xml:space="preserve"> which did have consultation undertaken</w:t>
      </w:r>
      <w:r w:rsidRPr="002148E7">
        <w:t>.</w:t>
      </w:r>
      <w:r w:rsidR="00ED1809">
        <w:t xml:space="preserve"> This was confirmed with </w:t>
      </w:r>
      <w:r w:rsidR="00ED1809" w:rsidRPr="00ED1809">
        <w:t>The Office of Best Practice Regulation</w:t>
      </w:r>
      <w:r w:rsidR="00ED1809">
        <w:t>.</w:t>
      </w:r>
    </w:p>
    <w:p w14:paraId="047BEF20" w14:textId="77777777" w:rsidR="005B0E3A" w:rsidRDefault="005B0E3A" w:rsidP="00043431">
      <w:pPr>
        <w:pStyle w:val="Bodytextplain"/>
        <w:ind w:left="0"/>
      </w:pPr>
    </w:p>
    <w:p w14:paraId="1D074C57" w14:textId="77777777" w:rsidR="005C5530" w:rsidRDefault="005C5530" w:rsidP="00043431">
      <w:pPr>
        <w:pStyle w:val="Bodytextplain"/>
        <w:ind w:left="0"/>
        <w:sectPr w:rsidR="005C5530" w:rsidSect="003729CD">
          <w:headerReference w:type="even"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p>
    <w:p w14:paraId="219151F4" w14:textId="77777777" w:rsidR="00574893" w:rsidRPr="00574893" w:rsidRDefault="00574893" w:rsidP="00574893">
      <w:pPr>
        <w:pStyle w:val="Heading2"/>
        <w:spacing w:before="480"/>
        <w:jc w:val="center"/>
        <w:rPr>
          <w:sz w:val="28"/>
          <w:szCs w:val="28"/>
        </w:rPr>
      </w:pPr>
      <w:r w:rsidRPr="00574893">
        <w:rPr>
          <w:sz w:val="28"/>
          <w:szCs w:val="28"/>
        </w:rPr>
        <w:lastRenderedPageBreak/>
        <w:t>Statement of Compatibility with Human Rights</w:t>
      </w:r>
    </w:p>
    <w:p w14:paraId="5F01C160" w14:textId="77777777" w:rsidR="00574893" w:rsidRPr="00247F54" w:rsidRDefault="00574893" w:rsidP="00574893">
      <w:pPr>
        <w:spacing w:before="120" w:after="120"/>
        <w:jc w:val="center"/>
      </w:pPr>
      <w:r w:rsidRPr="00247F54">
        <w:rPr>
          <w:i/>
        </w:rPr>
        <w:t>Prepared in accordance with Part 3 of the Human Rights (Parliamentary Scrutiny) Act 2011</w:t>
      </w:r>
    </w:p>
    <w:p w14:paraId="61646181" w14:textId="77777777" w:rsidR="00574893" w:rsidRPr="00247F54" w:rsidRDefault="00574893" w:rsidP="00574893">
      <w:pPr>
        <w:spacing w:before="120" w:after="120"/>
        <w:jc w:val="center"/>
      </w:pPr>
    </w:p>
    <w:p w14:paraId="62FD85B3" w14:textId="10375FEF" w:rsidR="00574893" w:rsidRPr="00247F54" w:rsidRDefault="00574893" w:rsidP="008D7B5E">
      <w:pPr>
        <w:spacing w:before="120" w:after="120"/>
        <w:jc w:val="center"/>
        <w:rPr>
          <w:b/>
        </w:rPr>
      </w:pPr>
      <w:r w:rsidRPr="00043431">
        <w:rPr>
          <w:b/>
        </w:rPr>
        <w:t>ASIC Corporations (</w:t>
      </w:r>
      <w:r w:rsidR="008D7B5E">
        <w:rPr>
          <w:b/>
        </w:rPr>
        <w:t>Amendment</w:t>
      </w:r>
      <w:r w:rsidRPr="00043431">
        <w:rPr>
          <w:b/>
        </w:rPr>
        <w:t>) Instrument 201</w:t>
      </w:r>
      <w:r w:rsidR="00960333">
        <w:rPr>
          <w:b/>
        </w:rPr>
        <w:t>7</w:t>
      </w:r>
      <w:r w:rsidRPr="00043431">
        <w:rPr>
          <w:b/>
        </w:rPr>
        <w:t>/</w:t>
      </w:r>
      <w:r w:rsidR="005C5530">
        <w:rPr>
          <w:b/>
        </w:rPr>
        <w:t>684</w:t>
      </w:r>
    </w:p>
    <w:p w14:paraId="32FF1D30" w14:textId="77777777" w:rsidR="00574893" w:rsidRPr="00247F54" w:rsidRDefault="00574893" w:rsidP="00574893">
      <w:pPr>
        <w:spacing w:before="120" w:after="120"/>
      </w:pPr>
    </w:p>
    <w:p w14:paraId="000F8944" w14:textId="2C2F2F2E" w:rsidR="00574893" w:rsidRDefault="00574893" w:rsidP="00574893">
      <w:pPr>
        <w:spacing w:before="120" w:after="120"/>
      </w:pPr>
      <w:r w:rsidRPr="008B6985">
        <w:rPr>
          <w:i/>
        </w:rPr>
        <w:t>ASIC Corporations (</w:t>
      </w:r>
      <w:r w:rsidR="008D7B5E" w:rsidRPr="008B6985">
        <w:rPr>
          <w:i/>
        </w:rPr>
        <w:t>Amendment</w:t>
      </w:r>
      <w:r w:rsidR="003477F2" w:rsidRPr="008B6985">
        <w:rPr>
          <w:i/>
        </w:rPr>
        <w:t xml:space="preserve">) Instrument </w:t>
      </w:r>
      <w:r w:rsidR="003477F2" w:rsidRPr="00634809">
        <w:t>201</w:t>
      </w:r>
      <w:r w:rsidR="005C5530" w:rsidRPr="00634809">
        <w:t>7</w:t>
      </w:r>
      <w:r w:rsidRPr="00634809">
        <w:t>/</w:t>
      </w:r>
      <w:r w:rsidR="005C5530" w:rsidRPr="00634809">
        <w:t>684</w:t>
      </w:r>
      <w:r w:rsidR="005C5530">
        <w:t xml:space="preserve"> </w:t>
      </w:r>
      <w:r w:rsidR="008D7B5E">
        <w:t>(</w:t>
      </w:r>
      <w:r w:rsidR="008D7B5E" w:rsidRPr="008B6985">
        <w:rPr>
          <w:b/>
        </w:rPr>
        <w:t>Amending Instrument</w:t>
      </w:r>
      <w:r w:rsidR="008D7B5E">
        <w:t>)</w:t>
      </w:r>
      <w:r>
        <w:t xml:space="preserve"> </w:t>
      </w:r>
      <w:r w:rsidR="008D7B5E">
        <w:t>is</w:t>
      </w:r>
      <w:r>
        <w:t xml:space="preserve">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14:paraId="6F11AC79" w14:textId="77777777" w:rsidR="00574893" w:rsidRPr="00FF4C09" w:rsidRDefault="00574893" w:rsidP="00FF4C09">
      <w:pPr>
        <w:pStyle w:val="Heading3"/>
        <w:spacing w:before="199" w:after="0" w:line="300" w:lineRule="atLeast"/>
        <w:ind w:left="0"/>
        <w:jc w:val="left"/>
        <w:rPr>
          <w:b/>
          <w:sz w:val="24"/>
          <w:szCs w:val="24"/>
        </w:rPr>
      </w:pPr>
      <w:r w:rsidRPr="00FF4C09">
        <w:rPr>
          <w:b/>
          <w:sz w:val="24"/>
          <w:szCs w:val="24"/>
        </w:rPr>
        <w:t>Overview</w:t>
      </w:r>
    </w:p>
    <w:p w14:paraId="141295B2" w14:textId="2931D48C" w:rsidR="008D7B5E" w:rsidRDefault="008D7B5E" w:rsidP="00574893">
      <w:pPr>
        <w:spacing w:before="120" w:after="120"/>
      </w:pPr>
      <w:r>
        <w:t>The purpose of the Amending Instrument is to make a</w:t>
      </w:r>
      <w:r w:rsidR="00634809">
        <w:t>n</w:t>
      </w:r>
      <w:r>
        <w:t xml:space="preserve"> amendment to the </w:t>
      </w:r>
      <w:r w:rsidR="00574893">
        <w:t xml:space="preserve">ASIC </w:t>
      </w:r>
      <w:r w:rsidR="00574893" w:rsidRPr="008B6985">
        <w:rPr>
          <w:i/>
        </w:rPr>
        <w:t>Corporations (Concept Validation Licensing Exemption) Instrument 2016/1175</w:t>
      </w:r>
      <w:r>
        <w:t xml:space="preserve"> (the </w:t>
      </w:r>
      <w:r w:rsidRPr="008B6985">
        <w:rPr>
          <w:b/>
        </w:rPr>
        <w:t>Principal Instrument</w:t>
      </w:r>
      <w:r>
        <w:t>).</w:t>
      </w:r>
    </w:p>
    <w:p w14:paraId="280598F8" w14:textId="49DAB935" w:rsidR="00574893" w:rsidRDefault="008D7B5E" w:rsidP="00574893">
      <w:pPr>
        <w:spacing w:before="120" w:after="120"/>
      </w:pPr>
      <w:r>
        <w:t>The Principal Instrument</w:t>
      </w:r>
      <w:r w:rsidR="00574893">
        <w:t xml:space="preserve"> </w:t>
      </w:r>
      <w:r w:rsidR="00473CD6">
        <w:t xml:space="preserve">provides relief to </w:t>
      </w:r>
      <w:r w:rsidR="00574893" w:rsidRPr="003C6B0D">
        <w:t xml:space="preserve">allow eligible </w:t>
      </w:r>
      <w:r w:rsidR="00574893">
        <w:t>persons</w:t>
      </w:r>
      <w:r w:rsidR="00574893" w:rsidRPr="003C6B0D">
        <w:t xml:space="preserve"> to test certain products and services for 12 months without needing to obtain an A</w:t>
      </w:r>
      <w:r w:rsidR="00473CD6">
        <w:t xml:space="preserve">ustralian </w:t>
      </w:r>
      <w:r w:rsidR="00574893" w:rsidRPr="003C6B0D">
        <w:t>F</w:t>
      </w:r>
      <w:r w:rsidR="00473CD6">
        <w:t xml:space="preserve">inancial </w:t>
      </w:r>
      <w:r w:rsidR="00574893" w:rsidRPr="003C6B0D">
        <w:t>S</w:t>
      </w:r>
      <w:r w:rsidR="00473CD6">
        <w:t>ervices</w:t>
      </w:r>
      <w:r w:rsidR="00574893" w:rsidRPr="003C6B0D">
        <w:t xml:space="preserve"> licence</w:t>
      </w:r>
      <w:r w:rsidR="00574893">
        <w:t xml:space="preserve">. </w:t>
      </w:r>
      <w:r>
        <w:t xml:space="preserve">The intention of the Principal </w:t>
      </w:r>
      <w:r w:rsidR="00473CD6">
        <w:t>I</w:t>
      </w:r>
      <w:r>
        <w:t>nstrument</w:t>
      </w:r>
      <w:r w:rsidR="00574893">
        <w:t xml:space="preserve"> is to promote innov</w:t>
      </w:r>
      <w:r>
        <w:t xml:space="preserve">ation in financial services </w:t>
      </w:r>
      <w:r w:rsidR="000030EB">
        <w:t xml:space="preserve">by facilitating unlicensed testing of certain types of services </w:t>
      </w:r>
      <w:r w:rsidR="00574893">
        <w:t>while maintaining many of the normal protections that apply to consumers.</w:t>
      </w:r>
    </w:p>
    <w:p w14:paraId="79CA2A9F" w14:textId="0F755EB1" w:rsidR="008D7B5E" w:rsidRPr="00883DB6" w:rsidRDefault="008D7B5E" w:rsidP="00574893">
      <w:pPr>
        <w:spacing w:before="120" w:after="120"/>
      </w:pPr>
      <w:r>
        <w:t xml:space="preserve">The Amending Instrument </w:t>
      </w:r>
      <w:r w:rsidR="00473CD6">
        <w:t>amends the Principal Instrument to include an additional condition that applies to a person relying on the relief in the Principal Instrument who provides financial product advice that is personal advice. Such a person must comply with the Statement of Advice requirements under the</w:t>
      </w:r>
      <w:r w:rsidR="00473CD6" w:rsidRPr="008B6985">
        <w:rPr>
          <w:i/>
        </w:rPr>
        <w:t xml:space="preserve"> Corporations Act 2001</w:t>
      </w:r>
      <w:r w:rsidR="00473CD6">
        <w:t xml:space="preserve"> that would apply if they held an Australian Financial Services licence. </w:t>
      </w:r>
    </w:p>
    <w:p w14:paraId="5BD20F5E" w14:textId="77777777" w:rsidR="00574893" w:rsidRPr="00FF4C09" w:rsidRDefault="00574893" w:rsidP="00FF4C09">
      <w:pPr>
        <w:pStyle w:val="Heading3"/>
        <w:spacing w:before="199" w:after="0" w:line="300" w:lineRule="atLeast"/>
        <w:ind w:left="0"/>
        <w:jc w:val="left"/>
        <w:rPr>
          <w:b/>
          <w:sz w:val="24"/>
          <w:szCs w:val="24"/>
        </w:rPr>
      </w:pPr>
      <w:r w:rsidRPr="00FF4C09">
        <w:rPr>
          <w:b/>
          <w:sz w:val="24"/>
          <w:szCs w:val="24"/>
        </w:rPr>
        <w:t>Human rights implications</w:t>
      </w:r>
    </w:p>
    <w:p w14:paraId="24A481DC" w14:textId="77777777" w:rsidR="008D7B5E" w:rsidRDefault="00574893" w:rsidP="00574893">
      <w:pPr>
        <w:spacing w:before="120" w:after="120"/>
      </w:pPr>
      <w:r>
        <w:t>The</w:t>
      </w:r>
      <w:r w:rsidR="008D7B5E">
        <w:t xml:space="preserve"> Amending Instrument does not engage any of the applicable rights or freedoms.</w:t>
      </w:r>
    </w:p>
    <w:p w14:paraId="5616A04C" w14:textId="77777777" w:rsidR="00574893" w:rsidRPr="00FF4C09" w:rsidRDefault="00574893" w:rsidP="00FF4C09">
      <w:pPr>
        <w:pStyle w:val="Heading3"/>
        <w:spacing w:before="199" w:after="0" w:line="300" w:lineRule="atLeast"/>
        <w:ind w:left="0"/>
        <w:jc w:val="left"/>
        <w:rPr>
          <w:b/>
          <w:sz w:val="24"/>
          <w:szCs w:val="24"/>
        </w:rPr>
      </w:pPr>
      <w:r w:rsidRPr="00FF4C09">
        <w:rPr>
          <w:b/>
          <w:sz w:val="24"/>
          <w:szCs w:val="24"/>
        </w:rPr>
        <w:t>Conclusion</w:t>
      </w:r>
    </w:p>
    <w:p w14:paraId="3D107979" w14:textId="77777777" w:rsidR="00574893" w:rsidRDefault="001E59C8" w:rsidP="001E59C8">
      <w:pPr>
        <w:pStyle w:val="ListParagraph"/>
        <w:spacing w:before="120" w:after="120"/>
        <w:ind w:left="0"/>
      </w:pPr>
      <w:r w:rsidRPr="001E59C8">
        <w:t>The</w:t>
      </w:r>
      <w:r w:rsidR="008D7B5E">
        <w:t xml:space="preserve"> Amending</w:t>
      </w:r>
      <w:r w:rsidRPr="001E59C8">
        <w:t xml:space="preserve"> Instrument is compatible with human rights</w:t>
      </w:r>
      <w:r w:rsidR="008D7B5E">
        <w:t xml:space="preserve"> as it does not raise any human rights issues.</w:t>
      </w:r>
    </w:p>
    <w:p w14:paraId="3C10E615" w14:textId="77777777" w:rsidR="001E59C8" w:rsidRPr="00E4135E" w:rsidRDefault="001E59C8" w:rsidP="000030EB">
      <w:pPr>
        <w:pStyle w:val="ListParagraph"/>
        <w:spacing w:before="120" w:after="120"/>
        <w:ind w:left="1080"/>
      </w:pPr>
    </w:p>
    <w:p w14:paraId="6F578646" w14:textId="77777777" w:rsidR="00574893" w:rsidRPr="00E4135E" w:rsidRDefault="00574893" w:rsidP="001E59C8">
      <w:pPr>
        <w:spacing w:before="120" w:after="120"/>
        <w:jc w:val="center"/>
      </w:pPr>
      <w:r w:rsidRPr="001E59C8">
        <w:rPr>
          <w:b/>
        </w:rPr>
        <w:t>Australian Securities and Investments Commission</w:t>
      </w:r>
    </w:p>
    <w:p w14:paraId="0BC712AF" w14:textId="77777777" w:rsidR="00574893" w:rsidRDefault="00574893" w:rsidP="000030EB">
      <w:pPr>
        <w:pStyle w:val="ListParagraph"/>
        <w:spacing w:before="120" w:after="120"/>
        <w:ind w:left="1080"/>
      </w:pPr>
    </w:p>
    <w:p w14:paraId="6F2482BC" w14:textId="77777777" w:rsidR="000076D6" w:rsidRDefault="000076D6"/>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E1AC9" w14:textId="77777777" w:rsidR="00D145A3" w:rsidRDefault="00D145A3">
      <w:pPr>
        <w:spacing w:after="0"/>
      </w:pPr>
      <w:r>
        <w:separator/>
      </w:r>
    </w:p>
  </w:endnote>
  <w:endnote w:type="continuationSeparator" w:id="0">
    <w:p w14:paraId="5EB51F0C" w14:textId="77777777" w:rsidR="00D145A3" w:rsidRDefault="00D145A3">
      <w:pPr>
        <w:spacing w:after="0"/>
      </w:pPr>
      <w:r>
        <w:continuationSeparator/>
      </w:r>
    </w:p>
  </w:endnote>
  <w:endnote w:type="continuationNotice" w:id="1">
    <w:p w14:paraId="7C07E323" w14:textId="77777777" w:rsidR="002703BA" w:rsidRDefault="002703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44796" w14:textId="77777777" w:rsidR="00D145A3" w:rsidRDefault="00D14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9BB3C07" w14:textId="77777777" w:rsidR="00D145A3" w:rsidRDefault="00D145A3">
    <w:pPr>
      <w:pStyle w:val="Footer"/>
      <w:ind w:right="360"/>
    </w:pPr>
  </w:p>
  <w:p w14:paraId="1EFAC02C" w14:textId="77777777" w:rsidR="00D145A3" w:rsidRDefault="00D145A3"/>
  <w:p w14:paraId="14AB138E" w14:textId="77777777" w:rsidR="00D145A3" w:rsidRDefault="00D145A3"/>
  <w:p w14:paraId="0219F193" w14:textId="77777777" w:rsidR="00D145A3" w:rsidRDefault="00D145A3"/>
  <w:p w14:paraId="385556B7" w14:textId="77777777" w:rsidR="00D145A3" w:rsidRDefault="00D145A3"/>
  <w:p w14:paraId="3CEC7ACE" w14:textId="77777777" w:rsidR="00D145A3" w:rsidRDefault="00D145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AEB70" w14:textId="2C6C9B2A" w:rsidR="00D145A3" w:rsidRDefault="00D145A3">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7E47FC50" wp14:editId="2AA78B11">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F5484" w14:textId="77777777" w:rsidR="00D145A3" w:rsidRPr="008F541E" w:rsidRDefault="00D145A3" w:rsidP="003729CD">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F53D0">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180F5484" w14:textId="77777777" w:rsidR="00D145A3" w:rsidRPr="008F541E" w:rsidRDefault="00D145A3" w:rsidP="003729CD">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F53D0">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9E8FE" w14:textId="77777777" w:rsidR="00D145A3" w:rsidRDefault="00D145A3">
      <w:pPr>
        <w:spacing w:after="0"/>
      </w:pPr>
      <w:r>
        <w:separator/>
      </w:r>
    </w:p>
  </w:footnote>
  <w:footnote w:type="continuationSeparator" w:id="0">
    <w:p w14:paraId="1B701F85" w14:textId="77777777" w:rsidR="00D145A3" w:rsidRDefault="00D145A3">
      <w:pPr>
        <w:spacing w:after="0"/>
      </w:pPr>
      <w:r>
        <w:continuationSeparator/>
      </w:r>
    </w:p>
  </w:footnote>
  <w:footnote w:type="continuationNotice" w:id="1">
    <w:p w14:paraId="61410BCB" w14:textId="77777777" w:rsidR="002703BA" w:rsidRDefault="002703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E1C6" w14:textId="77777777" w:rsidR="00D145A3" w:rsidRDefault="00D145A3"/>
  <w:p w14:paraId="7AE25280" w14:textId="77777777" w:rsidR="00D145A3" w:rsidRDefault="00D145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2AA08" w14:textId="77777777" w:rsidR="00D145A3" w:rsidRDefault="00D145A3">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10239"/>
    <w:multiLevelType w:val="hybridMultilevel"/>
    <w:tmpl w:val="126E8204"/>
    <w:lvl w:ilvl="0" w:tplc="38F0B412">
      <w:start w:val="1"/>
      <w:numFmt w:val="decimal"/>
      <w:lvlText w:val="%1."/>
      <w:lvlJc w:val="left"/>
      <w:pPr>
        <w:ind w:left="36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311169"/>
    <w:multiLevelType w:val="hybridMultilevel"/>
    <w:tmpl w:val="4CB0928A"/>
    <w:lvl w:ilvl="0" w:tplc="1E7280D8">
      <w:start w:val="1"/>
      <w:numFmt w:val="decimal"/>
      <w:lvlText w:val="%1."/>
      <w:lvlJc w:val="left"/>
      <w:pPr>
        <w:ind w:left="720" w:hanging="360"/>
      </w:pPr>
      <w:rPr>
        <w:rFonts w:eastAsia="Times New Roman" w:cs="Times New Roman" w:hint="default"/>
        <w:b/>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32163883"/>
    <w:multiLevelType w:val="hybridMultilevel"/>
    <w:tmpl w:val="D4D2FC7A"/>
    <w:lvl w:ilvl="0" w:tplc="FD72A49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632706"/>
    <w:multiLevelType w:val="hybridMultilevel"/>
    <w:tmpl w:val="A1141A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9139E6"/>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F211A46"/>
    <w:multiLevelType w:val="hybridMultilevel"/>
    <w:tmpl w:val="4DD45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06C20D7"/>
    <w:multiLevelType w:val="hybridMultilevel"/>
    <w:tmpl w:val="19BE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65181A"/>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F25735"/>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4B925BD4"/>
    <w:multiLevelType w:val="hybridMultilevel"/>
    <w:tmpl w:val="FFAABC38"/>
    <w:lvl w:ilvl="0" w:tplc="0C09000F">
      <w:start w:val="1"/>
      <w:numFmt w:val="decimal"/>
      <w:lvlText w:val="%1."/>
      <w:lvlJc w:val="left"/>
      <w:pPr>
        <w:ind w:left="644" w:hanging="360"/>
      </w:pPr>
      <w:rPr>
        <w:rFonts w:eastAsia="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B50A8B"/>
    <w:multiLevelType w:val="hybridMultilevel"/>
    <w:tmpl w:val="99B65442"/>
    <w:lvl w:ilvl="0" w:tplc="0C09000F">
      <w:start w:val="1"/>
      <w:numFmt w:val="decimal"/>
      <w:lvlText w:val="%1."/>
      <w:lvlJc w:val="left"/>
      <w:pPr>
        <w:ind w:left="786" w:hanging="360"/>
      </w:pPr>
      <w:rPr>
        <w:rFonts w:eastAsia="Times New Roman" w:cs="Times New Roman"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nsid w:val="656222C6"/>
    <w:multiLevelType w:val="hybridMultilevel"/>
    <w:tmpl w:val="F1084C4E"/>
    <w:lvl w:ilvl="0" w:tplc="6994C1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5">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5"/>
  </w:num>
  <w:num w:numId="3">
    <w:abstractNumId w:val="17"/>
  </w:num>
  <w:num w:numId="4">
    <w:abstractNumId w:val="24"/>
  </w:num>
  <w:num w:numId="5">
    <w:abstractNumId w:val="7"/>
  </w:num>
  <w:num w:numId="6">
    <w:abstractNumId w:val="6"/>
  </w:num>
  <w:num w:numId="7">
    <w:abstractNumId w:val="14"/>
  </w:num>
  <w:num w:numId="8">
    <w:abstractNumId w:val="3"/>
  </w:num>
  <w:num w:numId="9">
    <w:abstractNumId w:val="2"/>
  </w:num>
  <w:num w:numId="10">
    <w:abstractNumId w:val="0"/>
  </w:num>
  <w:num w:numId="11">
    <w:abstractNumId w:val="11"/>
  </w:num>
  <w:num w:numId="12">
    <w:abstractNumId w:val="23"/>
  </w:num>
  <w:num w:numId="13">
    <w:abstractNumId w:val="20"/>
  </w:num>
  <w:num w:numId="14">
    <w:abstractNumId w:val="8"/>
  </w:num>
  <w:num w:numId="15">
    <w:abstractNumId w:val="1"/>
  </w:num>
  <w:num w:numId="16">
    <w:abstractNumId w:val="9"/>
  </w:num>
  <w:num w:numId="17">
    <w:abstractNumId w:val="16"/>
  </w:num>
  <w:num w:numId="18">
    <w:abstractNumId w:val="12"/>
  </w:num>
  <w:num w:numId="19">
    <w:abstractNumId w:val="10"/>
  </w:num>
  <w:num w:numId="20">
    <w:abstractNumId w:val="5"/>
  </w:num>
  <w:num w:numId="21">
    <w:abstractNumId w:val="18"/>
  </w:num>
  <w:num w:numId="22">
    <w:abstractNumId w:val="13"/>
  </w:num>
  <w:num w:numId="23">
    <w:abstractNumId w:val="22"/>
  </w:num>
  <w:num w:numId="24">
    <w:abstractNumId w:val="19"/>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30EB"/>
    <w:rsid w:val="000076D6"/>
    <w:rsid w:val="00034C15"/>
    <w:rsid w:val="00043431"/>
    <w:rsid w:val="00045CF8"/>
    <w:rsid w:val="00082DAB"/>
    <w:rsid w:val="000D10FE"/>
    <w:rsid w:val="000F3C75"/>
    <w:rsid w:val="00100297"/>
    <w:rsid w:val="00126F82"/>
    <w:rsid w:val="0018051C"/>
    <w:rsid w:val="001C3E1F"/>
    <w:rsid w:val="001E59C8"/>
    <w:rsid w:val="002148E7"/>
    <w:rsid w:val="002703BA"/>
    <w:rsid w:val="002E0264"/>
    <w:rsid w:val="002F4398"/>
    <w:rsid w:val="002F5298"/>
    <w:rsid w:val="00322D4F"/>
    <w:rsid w:val="0034311E"/>
    <w:rsid w:val="003477F2"/>
    <w:rsid w:val="00370F75"/>
    <w:rsid w:val="003729CD"/>
    <w:rsid w:val="0037774C"/>
    <w:rsid w:val="003B2FAF"/>
    <w:rsid w:val="003C4D88"/>
    <w:rsid w:val="003C6B0D"/>
    <w:rsid w:val="003C7893"/>
    <w:rsid w:val="00473CD6"/>
    <w:rsid w:val="004857BE"/>
    <w:rsid w:val="004F0124"/>
    <w:rsid w:val="004F3989"/>
    <w:rsid w:val="00532F44"/>
    <w:rsid w:val="00542A61"/>
    <w:rsid w:val="00574893"/>
    <w:rsid w:val="005B0E3A"/>
    <w:rsid w:val="005C5530"/>
    <w:rsid w:val="00634809"/>
    <w:rsid w:val="00664FF6"/>
    <w:rsid w:val="006872A1"/>
    <w:rsid w:val="006E05C8"/>
    <w:rsid w:val="007A4EE4"/>
    <w:rsid w:val="007D7097"/>
    <w:rsid w:val="008B6985"/>
    <w:rsid w:val="008D7B5E"/>
    <w:rsid w:val="008F4B61"/>
    <w:rsid w:val="0090337E"/>
    <w:rsid w:val="00946934"/>
    <w:rsid w:val="00960333"/>
    <w:rsid w:val="009B00E0"/>
    <w:rsid w:val="009F53D0"/>
    <w:rsid w:val="00A77F03"/>
    <w:rsid w:val="00A954D0"/>
    <w:rsid w:val="00AA349D"/>
    <w:rsid w:val="00AB73F6"/>
    <w:rsid w:val="00AC02C2"/>
    <w:rsid w:val="00B03977"/>
    <w:rsid w:val="00B229BA"/>
    <w:rsid w:val="00B503FC"/>
    <w:rsid w:val="00B62916"/>
    <w:rsid w:val="00B655D0"/>
    <w:rsid w:val="00C05AD5"/>
    <w:rsid w:val="00C1014B"/>
    <w:rsid w:val="00C3565D"/>
    <w:rsid w:val="00C65CBC"/>
    <w:rsid w:val="00CA24A5"/>
    <w:rsid w:val="00CC60D0"/>
    <w:rsid w:val="00CE583D"/>
    <w:rsid w:val="00D05C06"/>
    <w:rsid w:val="00D145A3"/>
    <w:rsid w:val="00D26D9E"/>
    <w:rsid w:val="00DB3A5E"/>
    <w:rsid w:val="00DC6E7B"/>
    <w:rsid w:val="00DD3C61"/>
    <w:rsid w:val="00EB6F70"/>
    <w:rsid w:val="00EC7F1D"/>
    <w:rsid w:val="00ED1809"/>
    <w:rsid w:val="00F00F3A"/>
    <w:rsid w:val="00F25C15"/>
    <w:rsid w:val="00FF4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FB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322D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4F"/>
    <w:rPr>
      <w:rFonts w:ascii="Tahoma" w:hAnsi="Tahoma" w:cs="Tahoma"/>
      <w:sz w:val="16"/>
      <w:szCs w:val="16"/>
    </w:rPr>
  </w:style>
  <w:style w:type="character" w:styleId="CommentReference">
    <w:name w:val="annotation reference"/>
    <w:basedOn w:val="DefaultParagraphFont"/>
    <w:uiPriority w:val="99"/>
    <w:semiHidden/>
    <w:unhideWhenUsed/>
    <w:rsid w:val="00082DAB"/>
    <w:rPr>
      <w:sz w:val="16"/>
      <w:szCs w:val="16"/>
    </w:rPr>
  </w:style>
  <w:style w:type="paragraph" w:styleId="CommentSubject">
    <w:name w:val="annotation subject"/>
    <w:basedOn w:val="CommentText"/>
    <w:next w:val="CommentText"/>
    <w:link w:val="CommentSubjectChar"/>
    <w:uiPriority w:val="99"/>
    <w:semiHidden/>
    <w:unhideWhenUsed/>
    <w:rsid w:val="00082DAB"/>
    <w:rPr>
      <w:b/>
      <w:bCs/>
    </w:rPr>
  </w:style>
  <w:style w:type="character" w:customStyle="1" w:styleId="CommentTextChar">
    <w:name w:val="Comment Text Char"/>
    <w:basedOn w:val="DefaultParagraphFont"/>
    <w:link w:val="CommentText"/>
    <w:semiHidden/>
    <w:rsid w:val="00082DAB"/>
  </w:style>
  <w:style w:type="character" w:customStyle="1" w:styleId="CommentSubjectChar">
    <w:name w:val="Comment Subject Char"/>
    <w:basedOn w:val="CommentTextChar"/>
    <w:link w:val="CommentSubject"/>
    <w:uiPriority w:val="99"/>
    <w:semiHidden/>
    <w:rsid w:val="00082DAB"/>
    <w:rPr>
      <w:b/>
      <w:bCs/>
    </w:rPr>
  </w:style>
  <w:style w:type="paragraph" w:styleId="Revision">
    <w:name w:val="Revision"/>
    <w:hidden/>
    <w:uiPriority w:val="99"/>
    <w:semiHidden/>
    <w:rsid w:val="005C553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322D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4F"/>
    <w:rPr>
      <w:rFonts w:ascii="Tahoma" w:hAnsi="Tahoma" w:cs="Tahoma"/>
      <w:sz w:val="16"/>
      <w:szCs w:val="16"/>
    </w:rPr>
  </w:style>
  <w:style w:type="character" w:styleId="CommentReference">
    <w:name w:val="annotation reference"/>
    <w:basedOn w:val="DefaultParagraphFont"/>
    <w:uiPriority w:val="99"/>
    <w:semiHidden/>
    <w:unhideWhenUsed/>
    <w:rsid w:val="00082DAB"/>
    <w:rPr>
      <w:sz w:val="16"/>
      <w:szCs w:val="16"/>
    </w:rPr>
  </w:style>
  <w:style w:type="paragraph" w:styleId="CommentSubject">
    <w:name w:val="annotation subject"/>
    <w:basedOn w:val="CommentText"/>
    <w:next w:val="CommentText"/>
    <w:link w:val="CommentSubjectChar"/>
    <w:uiPriority w:val="99"/>
    <w:semiHidden/>
    <w:unhideWhenUsed/>
    <w:rsid w:val="00082DAB"/>
    <w:rPr>
      <w:b/>
      <w:bCs/>
    </w:rPr>
  </w:style>
  <w:style w:type="character" w:customStyle="1" w:styleId="CommentTextChar">
    <w:name w:val="Comment Text Char"/>
    <w:basedOn w:val="DefaultParagraphFont"/>
    <w:link w:val="CommentText"/>
    <w:semiHidden/>
    <w:rsid w:val="00082DAB"/>
  </w:style>
  <w:style w:type="character" w:customStyle="1" w:styleId="CommentSubjectChar">
    <w:name w:val="Comment Subject Char"/>
    <w:basedOn w:val="CommentTextChar"/>
    <w:link w:val="CommentSubject"/>
    <w:uiPriority w:val="99"/>
    <w:semiHidden/>
    <w:rsid w:val="00082DAB"/>
    <w:rPr>
      <w:b/>
      <w:bCs/>
    </w:rPr>
  </w:style>
  <w:style w:type="paragraph" w:styleId="Revision">
    <w:name w:val="Revision"/>
    <w:hidden/>
    <w:uiPriority w:val="99"/>
    <w:semiHidden/>
    <w:rsid w:val="005C55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M Project Document" ma:contentTypeID="0x010100B5F685A1365F544391EF8C813B164F3A9E00EAFF1B56FE073C42895EC72E49ED6F99" ma:contentTypeVersion="11" ma:contentTypeDescription="" ma:contentTypeScope="" ma:versionID="98e52c4866e2dc8839b12c980b92a9ff">
  <xsd:schema xmlns:xsd="http://www.w3.org/2001/XMLSchema" xmlns:xs="http://www.w3.org/2001/XMLSchema" xmlns:p="http://schemas.microsoft.com/office/2006/metadata/properties" xmlns:ns2="da7a9ac0-bc47-4684-84e6-3a8e9ac80c12" xmlns:ns3="6181b681-ca7e-4648-8291-7d20c9dedd2c" xmlns:ns4="17f478ab-373e-4295-9ff0-9b833ad01319" xmlns:ns6="http://schemas.microsoft.com/sharepoint/v4" targetNamespace="http://schemas.microsoft.com/office/2006/metadata/properties" ma:root="true" ma:fieldsID="f5191e77ae6aff7a15f705330a01fe65" ns2:_="" ns3:_="" ns4:_="" ns6:_="">
    <xsd:import namespace="da7a9ac0-bc47-4684-84e6-3a8e9ac80c12"/>
    <xsd:import namespace="6181b681-ca7e-4648-8291-7d20c9dedd2c"/>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CalendarYear" minOccurs="0"/>
                <xsd:element ref="ns3:CalendarMonth" minOccurs="0"/>
                <xsd:element ref="ns2:NotesLinks" minOccurs="0"/>
                <xsd:element ref="ns4:Reviewers" minOccurs="0"/>
                <xsd:element ref="ns4:Approvers" minOccurs="0"/>
                <xsd:element ref="ns2:ded95d7ab059406991d558011d18c177" minOccurs="0"/>
                <xsd:element ref="ns2:a87ee999f33e4c889ce908369cd07390" minOccurs="0"/>
                <xsd:element ref="ns3:TaxCatchAll" minOccurs="0"/>
                <xsd:element ref="ns3:c228645dc5b941d487efcccbb7847f18" minOccurs="0"/>
                <xsd:element ref="ns3:ifcd54bf53b24354af98482ec6fcf7b8" minOccurs="0"/>
                <xsd:element ref="ns6:IconOverlay"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NotesLinks" ma:index="10" nillable="true" ma:displayName="Notes &amp; Links" ma:description="Use this field to enter relevant document/site hyperlinks and/or notes." ma:internalName="NotesLinks">
      <xsd:simpleType>
        <xsd:restriction base="dms:Note"/>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a87ee999f33e4c889ce908369cd07390" ma:index="17" nillable="true" ma:displayName="APMProjectDocumentType_0" ma:hidden="true" ma:internalName="a87ee999f33e4c889ce908369cd0739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1b681-ca7e-4648-8291-7d20c9dedd2c" elementFormDefault="qualified">
    <xsd:import namespace="http://schemas.microsoft.com/office/2006/documentManagement/types"/>
    <xsd:import namespace="http://schemas.microsoft.com/office/infopath/2007/PartnerControls"/>
    <xsd:element name="CalendarYear" ma:index="8" nillable="true" ma:displayName="Calendar Year" ma:format="Dropdown" ma:internalName="CalendarYear" ma:readOnly="false">
      <xsd:simpleType>
        <xsd:restriction base="dms:Choice">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enumeration value="2066"/>
          <xsd:enumeration value="2067"/>
          <xsd:enumeration value="2068"/>
          <xsd:enumeration value="2069"/>
          <xsd:enumeration value="2070"/>
        </xsd:restriction>
      </xsd:simpleType>
    </xsd:element>
    <xsd:element name="CalendarMonth" ma:index="9" nillable="true" ma:displayName="Calendar Month" ma:format="Dropdown" ma:internalName="CalendarMonth" ma:readOnly="false">
      <xsd:simpleType>
        <xsd:restriction base="dms:Choice">
          <xsd:enumeration value="01 - Jan"/>
          <xsd:enumeration value="02 - Feb"/>
          <xsd:enumeration value="03 - Mar"/>
          <xsd:enumeration value="04 - Apr"/>
          <xsd:enumeration value="05 - May"/>
          <xsd:enumeration value="06 - Jun"/>
          <xsd:enumeration value="07 - Jul"/>
          <xsd:enumeration value="08 - Aug"/>
          <xsd:enumeration value="09 - Sep"/>
          <xsd:enumeration value="10 - Oct"/>
          <xsd:enumeration value="11 - Nov"/>
          <xsd:enumeration value="12 - Dec"/>
        </xsd:restriction>
      </xsd:simpleType>
    </xsd:element>
    <xsd:element name="TaxCatchAll" ma:index="18" nillable="true" ma:displayName="Taxonomy Catch All Column" ma:hidden="true" ma:list="{a2ba6e6e-2055-4ede-8df7-78c3b710d162}" ma:internalName="TaxCatchAll" ma:showField="CatchAllData" ma:web="6181b681-ca7e-4648-8291-7d20c9dedd2c">
      <xsd:complexType>
        <xsd:complexContent>
          <xsd:extension base="dms:MultiChoiceLookup">
            <xsd:sequence>
              <xsd:element name="Value" type="dms:Lookup" maxOccurs="unbounded" minOccurs="0" nillable="true"/>
            </xsd:sequence>
          </xsd:extension>
        </xsd:complexContent>
      </xsd:complexType>
    </xsd:element>
    <xsd:element name="c228645dc5b941d487efcccbb7847f18" ma:index="20" nillable="true" ma:taxonomy="true" ma:internalName="c228645dc5b941d487efcccbb7847f18" ma:taxonomyFieldName="APMProjectDocumentType" ma:displayName="APM Project Document Type" ma:fieldId="{c228645d-c5b9-41d4-87ef-cccbb7847f18}" ma:sspId="b38671ba-7d76-46f8-b8a5-5fc3a7d6229d" ma:termSetId="7f972143-e5b6-42ad-815e-5f17102fbe8b" ma:anchorId="45b7f801-b95c-481d-b286-1083f114eefc" ma:open="false" ma:isKeyword="false">
      <xsd:complexType>
        <xsd:sequence>
          <xsd:element ref="pc:Terms" minOccurs="0" maxOccurs="1"/>
        </xsd:sequence>
      </xsd:complexType>
    </xsd:element>
    <xsd:element name="ifcd54bf53b24354af98482ec6fcf7b8" ma:index="21" ma:taxonomy="true" ma:internalName="ifcd54bf53b24354af98482ec6fcf7b8" ma:taxonomyFieldName="SecurityClassification" ma:displayName="Security Classification" ma:default="6;#Sensitive|19fd2cb8-3e97-4464-ae71-8c2c2095d028" ma:fieldId="{2fcd54bf-53b2-4354-af98-482ec6fcf7b8}"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a2ba6e6e-2055-4ede-8df7-78c3b710d162}" ma:internalName="TaxCatchAllLabel" ma:readOnly="true" ma:showField="CatchAllDataLabel" ma:web="6181b681-ca7e-4648-8291-7d20c9dedd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1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R20170000455814</RecordNumber>
    <ObjectiveID xmlns="da7a9ac0-bc47-4684-84e6-3a8e9ac80c12" xsi:nil="true"/>
    <c228645dc5b941d487efcccbb7847f18 xmlns="6181b681-ca7e-4648-8291-7d20c9dedd2c">
      <Terms xmlns="http://schemas.microsoft.com/office/infopath/2007/PartnerControls"/>
    </c228645dc5b941d487efcccbb7847f18>
    <IconOverlay xmlns="http://schemas.microsoft.com/sharepoint/v4" xsi:nil="true"/>
    <ifcd54bf53b24354af98482ec6fcf7b8 xmlns="6181b681-ca7e-4648-8291-7d20c9dedd2c">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ifcd54bf53b24354af98482ec6fcf7b8>
    <CalendarMonth xmlns="6181b681-ca7e-4648-8291-7d20c9dedd2c" xsi:nil="true"/>
    <SignificantFlag xmlns="da7a9ac0-bc47-4684-84e6-3a8e9ac80c12">false</SignificantFlag>
    <CalendarYear xmlns="6181b681-ca7e-4648-8291-7d20c9dedd2c" xsi:nil="true"/>
    <SenateOrder12 xmlns="da7a9ac0-bc47-4684-84e6-3a8e9ac80c12">false</SenateOrder12>
    <Approvers xmlns="17f478ab-373e-4295-9ff0-9b833ad01319">
      <UserInfo>
        <DisplayName/>
        <AccountId xsi:nil="true"/>
        <AccountType/>
      </UserInfo>
    </Approvers>
    <ded95d7ab059406991d558011d18c177 xmlns="da7a9ac0-bc47-4684-84e6-3a8e9ac80c12" xsi:nil="true"/>
    <a87ee999f33e4c889ce908369cd07390 xmlns="da7a9ac0-bc47-4684-84e6-3a8e9ac80c12" xsi:nil="true"/>
    <Reviewers xmlns="17f478ab-373e-4295-9ff0-9b833ad01319">
      <UserInfo>
        <DisplayName/>
        <AccountId xsi:nil="true"/>
        <AccountType/>
      </UserInfo>
    </Reviewers>
    <TaxCatchAll xmlns="6181b681-ca7e-4648-8291-7d20c9dedd2c">
      <Value>6</Value>
    </TaxCatchAll>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3EB8-B0B7-4D54-85BA-BFC8ECA0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181b681-ca7e-4648-8291-7d20c9dedd2c"/>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B89B7-3748-47CC-9463-C2218DD6B348}">
  <ds:schemaRefs>
    <ds:schemaRef ds:uri="http://schemas.microsoft.com/sharepoint/v3/contenttype/forms"/>
  </ds:schemaRefs>
</ds:datastoreItem>
</file>

<file path=customXml/itemProps3.xml><?xml version="1.0" encoding="utf-8"?>
<ds:datastoreItem xmlns:ds="http://schemas.openxmlformats.org/officeDocument/2006/customXml" ds:itemID="{31B70E67-5D63-47BE-88F1-BBE98B751869}">
  <ds:schemaRefs>
    <ds:schemaRef ds:uri="http://schemas.microsoft.com/office/infopath/2007/PartnerControls"/>
    <ds:schemaRef ds:uri="http://purl.org/dc/terms/"/>
    <ds:schemaRef ds:uri="http://purl.org/dc/elements/1.1/"/>
    <ds:schemaRef ds:uri="http://schemas.microsoft.com/office/2006/metadata/properties"/>
    <ds:schemaRef ds:uri="da7a9ac0-bc47-4684-84e6-3a8e9ac80c12"/>
    <ds:schemaRef ds:uri="http://schemas.microsoft.com/office/2006/documentManagement/types"/>
    <ds:schemaRef ds:uri="http://schemas.openxmlformats.org/package/2006/metadata/core-properties"/>
    <ds:schemaRef ds:uri="http://purl.org/dc/dcmitype/"/>
    <ds:schemaRef ds:uri="http://schemas.microsoft.com/sharepoint/v4"/>
    <ds:schemaRef ds:uri="17f478ab-373e-4295-9ff0-9b833ad01319"/>
    <ds:schemaRef ds:uri="6181b681-ca7e-4648-8291-7d20c9dedd2c"/>
    <ds:schemaRef ds:uri="http://www.w3.org/XML/1998/namespace"/>
  </ds:schemaRefs>
</ds:datastoreItem>
</file>

<file path=customXml/itemProps4.xml><?xml version="1.0" encoding="utf-8"?>
<ds:datastoreItem xmlns:ds="http://schemas.openxmlformats.org/officeDocument/2006/customXml" ds:itemID="{721154BE-162C-4FF7-8D11-EC2B6A8F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5116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ruki.weerasinghe</cp:lastModifiedBy>
  <cp:revision>2</cp:revision>
  <cp:lastPrinted>2017-07-20T04:39:00Z</cp:lastPrinted>
  <dcterms:created xsi:type="dcterms:W3CDTF">2017-07-21T05:30:00Z</dcterms:created>
  <dcterms:modified xsi:type="dcterms:W3CDTF">2017-07-21T05:30:00Z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0x010100B5F685A1365F544391EF8C813B164F3A9E00EAFF1B56FE073C42895EC72E49ED6F99</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APMProjectDocumentType">
    <vt:lpwstr/>
  </property>
  <property fmtid="{D5CDD505-2E9C-101B-9397-08002B2CF9AE}" pid="26" name="RecordPoint_ActiveItemUniqueId">
    <vt:lpwstr>{d0bafde5-ffb4-4ece-9a08-56252c72b33d}</vt:lpwstr>
  </property>
  <property fmtid="{D5CDD505-2E9C-101B-9397-08002B2CF9AE}" pid="27" name="RecordPoint_ActiveItemWebId">
    <vt:lpwstr>{6181b681-ca7e-4648-8291-7d20c9dedd2c}</vt:lpwstr>
  </property>
  <property fmtid="{D5CDD505-2E9C-101B-9397-08002B2CF9AE}" pid="28" name="RecordPoint_ActiveItemSiteId">
    <vt:lpwstr>{c3e7edcd-6660-4b69-a035-df4fac795ed5}</vt:lpwstr>
  </property>
  <property fmtid="{D5CDD505-2E9C-101B-9397-08002B2CF9AE}" pid="29" name="RecordPoint_ActiveItemListId">
    <vt:lpwstr>{5be4d1b1-9c12-4ff2-ac68-45e54a97c56b}</vt:lpwstr>
  </property>
  <property fmtid="{D5CDD505-2E9C-101B-9397-08002B2CF9AE}" pid="30" name="RecordPoint_RecordNumberSubmitted">
    <vt:lpwstr>R20170000455814</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y fmtid="{D5CDD505-2E9C-101B-9397-08002B2CF9AE}" pid="34" name="RecordPoint_SubmissionCompleted">
    <vt:lpwstr>2017-07-20T15:36:10.2832045+10:00</vt:lpwstr>
  </property>
</Properties>
</file>