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C170" w14:textId="2FCA24E8" w:rsidR="00074425" w:rsidRPr="00A11039" w:rsidRDefault="00074425" w:rsidP="00074425">
      <w:pPr>
        <w:jc w:val="center"/>
        <w:rPr>
          <w:rFonts w:ascii="Times New Roman" w:hAnsi="Times New Roman"/>
          <w:b/>
          <w:sz w:val="24"/>
          <w:szCs w:val="24"/>
          <w:u w:val="single"/>
        </w:rPr>
      </w:pPr>
      <w:r w:rsidRPr="00A11039">
        <w:rPr>
          <w:rFonts w:ascii="Times New Roman" w:hAnsi="Times New Roman"/>
          <w:b/>
          <w:sz w:val="24"/>
          <w:szCs w:val="24"/>
          <w:u w:val="single"/>
        </w:rPr>
        <w:t xml:space="preserve">EXPLANATORY </w:t>
      </w:r>
      <w:r w:rsidR="00A11039" w:rsidRPr="00A11039">
        <w:rPr>
          <w:rFonts w:ascii="Times New Roman" w:hAnsi="Times New Roman"/>
          <w:b/>
          <w:sz w:val="24"/>
          <w:szCs w:val="24"/>
          <w:u w:val="single"/>
        </w:rPr>
        <w:t>STATEMENT</w:t>
      </w:r>
    </w:p>
    <w:p w14:paraId="369BB180" w14:textId="77777777" w:rsidR="00CD7BEC" w:rsidRDefault="00CD7BEC" w:rsidP="00A11039">
      <w:pPr>
        <w:jc w:val="center"/>
        <w:rPr>
          <w:rFonts w:ascii="Times New Roman" w:hAnsi="Times New Roman"/>
          <w:sz w:val="24"/>
          <w:szCs w:val="24"/>
        </w:rPr>
      </w:pPr>
    </w:p>
    <w:p w14:paraId="4A386D90" w14:textId="71CFFFCE" w:rsidR="00A11039" w:rsidRPr="00A11039" w:rsidRDefault="00A11039" w:rsidP="00A11039">
      <w:pPr>
        <w:jc w:val="center"/>
        <w:rPr>
          <w:rFonts w:ascii="Times New Roman" w:hAnsi="Times New Roman"/>
          <w:sz w:val="24"/>
          <w:szCs w:val="24"/>
        </w:rPr>
      </w:pPr>
      <w:bookmarkStart w:id="0" w:name="_GoBack"/>
      <w:bookmarkEnd w:id="0"/>
      <w:r w:rsidRPr="00A11039">
        <w:rPr>
          <w:rFonts w:ascii="Times New Roman" w:hAnsi="Times New Roman"/>
          <w:sz w:val="24"/>
          <w:szCs w:val="24"/>
        </w:rPr>
        <w:t>Issued by authority of the Minister for the Environment and Energy</w:t>
      </w:r>
    </w:p>
    <w:p w14:paraId="0DFE650E" w14:textId="77777777" w:rsidR="00A11039" w:rsidRPr="00A11039" w:rsidRDefault="00A11039" w:rsidP="00A11039">
      <w:pPr>
        <w:jc w:val="center"/>
        <w:rPr>
          <w:rFonts w:ascii="Times New Roman" w:hAnsi="Times New Roman"/>
          <w:sz w:val="24"/>
          <w:szCs w:val="24"/>
        </w:rPr>
      </w:pPr>
    </w:p>
    <w:p w14:paraId="27E9B0BC" w14:textId="77777777" w:rsidR="00B55335" w:rsidRPr="00A11039" w:rsidRDefault="00B55335" w:rsidP="00B55335">
      <w:pPr>
        <w:ind w:left="993" w:hanging="993"/>
        <w:rPr>
          <w:rFonts w:ascii="Times New Roman" w:hAnsi="Times New Roman"/>
          <w:i/>
          <w:sz w:val="24"/>
          <w:szCs w:val="24"/>
        </w:rPr>
      </w:pPr>
      <w:r w:rsidRPr="00A11039">
        <w:rPr>
          <w:rFonts w:ascii="Times New Roman" w:hAnsi="Times New Roman"/>
          <w:sz w:val="24"/>
          <w:szCs w:val="24"/>
        </w:rPr>
        <w:t xml:space="preserve">Subject </w:t>
      </w:r>
      <w:proofErr w:type="gramStart"/>
      <w:r w:rsidRPr="00A11039">
        <w:rPr>
          <w:rFonts w:ascii="Times New Roman" w:hAnsi="Times New Roman"/>
          <w:sz w:val="24"/>
          <w:szCs w:val="24"/>
        </w:rPr>
        <w:t xml:space="preserve">–  </w:t>
      </w:r>
      <w:r w:rsidRPr="00A11039">
        <w:rPr>
          <w:rFonts w:ascii="Times New Roman" w:hAnsi="Times New Roman"/>
          <w:i/>
          <w:sz w:val="24"/>
          <w:szCs w:val="24"/>
        </w:rPr>
        <w:t>Ozone</w:t>
      </w:r>
      <w:proofErr w:type="gramEnd"/>
      <w:r w:rsidRPr="00A11039">
        <w:rPr>
          <w:rFonts w:ascii="Times New Roman" w:hAnsi="Times New Roman"/>
          <w:i/>
          <w:sz w:val="24"/>
          <w:szCs w:val="24"/>
        </w:rPr>
        <w:t xml:space="preserve"> Protection and Synthetic Greenhouse Gas Management Act 1989</w:t>
      </w:r>
    </w:p>
    <w:p w14:paraId="4B2DD16C" w14:textId="77777777" w:rsidR="00B55335" w:rsidRPr="00A11039" w:rsidRDefault="00B55335" w:rsidP="00B55335">
      <w:pPr>
        <w:ind w:left="993"/>
        <w:rPr>
          <w:rFonts w:ascii="Times New Roman" w:hAnsi="Times New Roman"/>
          <w:i/>
          <w:iCs/>
          <w:sz w:val="24"/>
          <w:szCs w:val="24"/>
          <w:shd w:val="clear" w:color="auto" w:fill="FFFFFF"/>
        </w:rPr>
      </w:pPr>
      <w:r w:rsidRPr="00A11039">
        <w:rPr>
          <w:rFonts w:ascii="Times New Roman" w:hAnsi="Times New Roman"/>
          <w:i/>
          <w:iCs/>
          <w:sz w:val="24"/>
          <w:szCs w:val="24"/>
          <w:shd w:val="clear" w:color="auto" w:fill="FFFFFF"/>
        </w:rPr>
        <w:t>Ozone Protection and Synthetic Greenhouse Gas (Import Levy) Act 1995</w:t>
      </w:r>
    </w:p>
    <w:p w14:paraId="37C7EDC2" w14:textId="77777777" w:rsidR="00B55335" w:rsidRPr="00A11039" w:rsidRDefault="00B55335" w:rsidP="00B55335">
      <w:pPr>
        <w:ind w:left="993"/>
        <w:rPr>
          <w:rFonts w:ascii="Times New Roman" w:hAnsi="Times New Roman"/>
          <w:i/>
          <w:sz w:val="24"/>
          <w:szCs w:val="24"/>
        </w:rPr>
      </w:pPr>
      <w:r w:rsidRPr="00A11039">
        <w:rPr>
          <w:rFonts w:ascii="Times New Roman" w:hAnsi="Times New Roman"/>
          <w:i/>
          <w:iCs/>
          <w:sz w:val="24"/>
          <w:szCs w:val="24"/>
          <w:shd w:val="clear" w:color="auto" w:fill="FFFFFF"/>
        </w:rPr>
        <w:t>Ozone Protection and Synthetic Greenhouse Gas (Manufacture Levy) Act 1995</w:t>
      </w:r>
    </w:p>
    <w:p w14:paraId="0BF8F6EF" w14:textId="77777777" w:rsidR="00B55335" w:rsidRPr="00A11039" w:rsidRDefault="00B55335" w:rsidP="00B55335">
      <w:pPr>
        <w:rPr>
          <w:rFonts w:ascii="Times New Roman" w:hAnsi="Times New Roman"/>
          <w:i/>
          <w:sz w:val="24"/>
          <w:szCs w:val="24"/>
        </w:rPr>
      </w:pPr>
      <w:r w:rsidRPr="00A11039">
        <w:rPr>
          <w:rFonts w:ascii="Times New Roman" w:hAnsi="Times New Roman"/>
          <w:i/>
          <w:sz w:val="24"/>
          <w:szCs w:val="24"/>
        </w:rPr>
        <w:tab/>
      </w:r>
    </w:p>
    <w:p w14:paraId="6925DEED" w14:textId="77777777" w:rsidR="00B55335" w:rsidRPr="0028554F" w:rsidRDefault="00B55335" w:rsidP="00B55335">
      <w:pPr>
        <w:ind w:left="993"/>
        <w:rPr>
          <w:rFonts w:ascii="Times New Roman" w:hAnsi="Times New Roman"/>
          <w:sz w:val="24"/>
          <w:szCs w:val="24"/>
        </w:rPr>
      </w:pPr>
      <w:r w:rsidRPr="00A11039">
        <w:rPr>
          <w:rFonts w:ascii="Times New Roman" w:hAnsi="Times New Roman"/>
          <w:i/>
          <w:sz w:val="24"/>
          <w:szCs w:val="24"/>
        </w:rPr>
        <w:t>Ozone Protection and Synthetic Greenhouse Gas Management Legislation Amendment (2017 Measures No. 1) Regulations 2017</w:t>
      </w:r>
    </w:p>
    <w:p w14:paraId="6CE61B76" w14:textId="77777777" w:rsidR="00B55335" w:rsidRPr="0028554F" w:rsidRDefault="00B55335" w:rsidP="00B55335">
      <w:pPr>
        <w:tabs>
          <w:tab w:val="left" w:pos="993"/>
        </w:tabs>
        <w:rPr>
          <w:rFonts w:ascii="Times New Roman" w:hAnsi="Times New Roman"/>
          <w:sz w:val="24"/>
          <w:szCs w:val="24"/>
        </w:rPr>
      </w:pPr>
    </w:p>
    <w:p w14:paraId="52B87740" w14:textId="4357A3C2" w:rsidR="00B55335" w:rsidRPr="002E108B" w:rsidRDefault="00B55335" w:rsidP="00B55335">
      <w:pPr>
        <w:shd w:val="clear" w:color="auto" w:fill="FFFFFF"/>
        <w:spacing w:line="260" w:lineRule="atLeast"/>
        <w:rPr>
          <w:rFonts w:ascii="Times New Roman" w:eastAsia="Times New Roman" w:hAnsi="Times New Roman"/>
          <w:sz w:val="24"/>
          <w:szCs w:val="24"/>
        </w:rPr>
      </w:pPr>
      <w:r w:rsidRPr="00AF3819">
        <w:rPr>
          <w:rFonts w:ascii="Times New Roman" w:eastAsia="Times New Roman" w:hAnsi="Times New Roman"/>
          <w:sz w:val="24"/>
          <w:szCs w:val="24"/>
        </w:rPr>
        <w:t>The</w:t>
      </w:r>
      <w:r w:rsidRPr="0028554F">
        <w:rPr>
          <w:rFonts w:ascii="Times New Roman" w:eastAsia="Times New Roman" w:hAnsi="Times New Roman"/>
          <w:sz w:val="24"/>
          <w:szCs w:val="24"/>
        </w:rPr>
        <w:t xml:space="preserve"> </w:t>
      </w:r>
      <w:r w:rsidRPr="0028554F">
        <w:rPr>
          <w:rFonts w:ascii="Times New Roman" w:hAnsi="Times New Roman"/>
          <w:i/>
          <w:sz w:val="24"/>
          <w:szCs w:val="24"/>
        </w:rPr>
        <w:t>Ozone Protection and Synthetic Greenhouse Gas Management Act 1989</w:t>
      </w:r>
      <w:r w:rsidRPr="00AF3819">
        <w:rPr>
          <w:rFonts w:ascii="Times New Roman" w:eastAsia="Times New Roman" w:hAnsi="Times New Roman"/>
          <w:sz w:val="24"/>
          <w:szCs w:val="24"/>
        </w:rPr>
        <w:t xml:space="preserve"> </w:t>
      </w:r>
      <w:r w:rsidRPr="0028554F">
        <w:rPr>
          <w:rFonts w:ascii="Times New Roman" w:eastAsia="Times New Roman" w:hAnsi="Times New Roman"/>
          <w:sz w:val="24"/>
          <w:szCs w:val="24"/>
        </w:rPr>
        <w:t>(</w:t>
      </w:r>
      <w:r w:rsidRPr="00AF3819">
        <w:rPr>
          <w:rFonts w:ascii="Times New Roman" w:eastAsia="Times New Roman" w:hAnsi="Times New Roman"/>
          <w:sz w:val="24"/>
          <w:szCs w:val="24"/>
        </w:rPr>
        <w:t>OPS</w:t>
      </w:r>
      <w:r w:rsidR="00CF0266">
        <w:rPr>
          <w:rFonts w:ascii="Times New Roman" w:eastAsia="Times New Roman" w:hAnsi="Times New Roman"/>
          <w:sz w:val="24"/>
          <w:szCs w:val="24"/>
        </w:rPr>
        <w:t>G</w:t>
      </w:r>
      <w:r w:rsidRPr="00AF3819">
        <w:rPr>
          <w:rFonts w:ascii="Times New Roman" w:eastAsia="Times New Roman" w:hAnsi="Times New Roman"/>
          <w:sz w:val="24"/>
          <w:szCs w:val="24"/>
        </w:rPr>
        <w:t>GM Act</w:t>
      </w:r>
      <w:r w:rsidRPr="0028554F">
        <w:rPr>
          <w:rFonts w:ascii="Times New Roman" w:eastAsia="Times New Roman" w:hAnsi="Times New Roman"/>
          <w:sz w:val="24"/>
          <w:szCs w:val="24"/>
        </w:rPr>
        <w:t>)</w:t>
      </w:r>
      <w:r w:rsidRPr="00AF3819">
        <w:rPr>
          <w:rFonts w:ascii="Times New Roman" w:eastAsia="Times New Roman" w:hAnsi="Times New Roman"/>
          <w:sz w:val="24"/>
          <w:szCs w:val="24"/>
        </w:rPr>
        <w:t xml:space="preserve"> implements Australia’s international obligations under the Vienna Convention</w:t>
      </w:r>
      <w:r>
        <w:rPr>
          <w:rFonts w:ascii="Times New Roman" w:eastAsia="Times New Roman" w:hAnsi="Times New Roman"/>
          <w:sz w:val="24"/>
          <w:szCs w:val="24"/>
        </w:rPr>
        <w:t xml:space="preserve"> for the Protection of the Ozone Layer and its </w:t>
      </w:r>
      <w:r w:rsidRPr="00AF3819">
        <w:rPr>
          <w:rFonts w:ascii="Times New Roman" w:eastAsia="Times New Roman" w:hAnsi="Times New Roman"/>
          <w:sz w:val="24"/>
          <w:szCs w:val="24"/>
        </w:rPr>
        <w:t>Montreal Protocol</w:t>
      </w:r>
      <w:r>
        <w:rPr>
          <w:rFonts w:ascii="Times New Roman" w:eastAsia="Times New Roman" w:hAnsi="Times New Roman"/>
          <w:sz w:val="24"/>
          <w:szCs w:val="24"/>
        </w:rPr>
        <w:t xml:space="preserve"> on Substances that Deplete the Ozone Layer and t</w:t>
      </w:r>
      <w:r w:rsidRPr="00AF3819">
        <w:rPr>
          <w:rFonts w:ascii="Times New Roman" w:eastAsia="Times New Roman" w:hAnsi="Times New Roman"/>
          <w:sz w:val="24"/>
          <w:szCs w:val="24"/>
        </w:rPr>
        <w:t>he U</w:t>
      </w:r>
      <w:r>
        <w:rPr>
          <w:rFonts w:ascii="Times New Roman" w:eastAsia="Times New Roman" w:hAnsi="Times New Roman"/>
          <w:sz w:val="24"/>
          <w:szCs w:val="24"/>
        </w:rPr>
        <w:t xml:space="preserve">nited </w:t>
      </w:r>
      <w:r w:rsidRPr="00AF3819">
        <w:rPr>
          <w:rFonts w:ascii="Times New Roman" w:eastAsia="Times New Roman" w:hAnsi="Times New Roman"/>
          <w:sz w:val="24"/>
          <w:szCs w:val="24"/>
        </w:rPr>
        <w:t>N</w:t>
      </w:r>
      <w:r>
        <w:rPr>
          <w:rFonts w:ascii="Times New Roman" w:eastAsia="Times New Roman" w:hAnsi="Times New Roman"/>
          <w:sz w:val="24"/>
          <w:szCs w:val="24"/>
        </w:rPr>
        <w:t xml:space="preserve">ations </w:t>
      </w:r>
      <w:r w:rsidRPr="00AF3819">
        <w:rPr>
          <w:rFonts w:ascii="Times New Roman" w:eastAsia="Times New Roman" w:hAnsi="Times New Roman"/>
          <w:sz w:val="24"/>
          <w:szCs w:val="24"/>
        </w:rPr>
        <w:t>F</w:t>
      </w:r>
      <w:r>
        <w:rPr>
          <w:rFonts w:ascii="Times New Roman" w:eastAsia="Times New Roman" w:hAnsi="Times New Roman"/>
          <w:sz w:val="24"/>
          <w:szCs w:val="24"/>
        </w:rPr>
        <w:t xml:space="preserve">ramework </w:t>
      </w:r>
      <w:r w:rsidRPr="00AF3819">
        <w:rPr>
          <w:rFonts w:ascii="Times New Roman" w:eastAsia="Times New Roman" w:hAnsi="Times New Roman"/>
          <w:sz w:val="24"/>
          <w:szCs w:val="24"/>
        </w:rPr>
        <w:t>C</w:t>
      </w:r>
      <w:r>
        <w:rPr>
          <w:rFonts w:ascii="Times New Roman" w:eastAsia="Times New Roman" w:hAnsi="Times New Roman"/>
          <w:sz w:val="24"/>
          <w:szCs w:val="24"/>
        </w:rPr>
        <w:t xml:space="preserve">onvention on </w:t>
      </w:r>
      <w:r w:rsidRPr="00AF3819">
        <w:rPr>
          <w:rFonts w:ascii="Times New Roman" w:eastAsia="Times New Roman" w:hAnsi="Times New Roman"/>
          <w:sz w:val="24"/>
          <w:szCs w:val="24"/>
        </w:rPr>
        <w:t>C</w:t>
      </w:r>
      <w:r>
        <w:rPr>
          <w:rFonts w:ascii="Times New Roman" w:eastAsia="Times New Roman" w:hAnsi="Times New Roman"/>
          <w:sz w:val="24"/>
          <w:szCs w:val="24"/>
        </w:rPr>
        <w:t xml:space="preserve">limate </w:t>
      </w:r>
      <w:r w:rsidRPr="00AF3819">
        <w:rPr>
          <w:rFonts w:ascii="Times New Roman" w:eastAsia="Times New Roman" w:hAnsi="Times New Roman"/>
          <w:sz w:val="24"/>
          <w:szCs w:val="24"/>
        </w:rPr>
        <w:t>C</w:t>
      </w:r>
      <w:r>
        <w:rPr>
          <w:rFonts w:ascii="Times New Roman" w:eastAsia="Times New Roman" w:hAnsi="Times New Roman"/>
          <w:sz w:val="24"/>
          <w:szCs w:val="24"/>
        </w:rPr>
        <w:t xml:space="preserve">hange </w:t>
      </w:r>
      <w:r w:rsidRPr="00AF3819">
        <w:rPr>
          <w:rFonts w:ascii="Times New Roman" w:eastAsia="Times New Roman" w:hAnsi="Times New Roman"/>
          <w:sz w:val="24"/>
          <w:szCs w:val="24"/>
        </w:rPr>
        <w:t>and</w:t>
      </w:r>
      <w:r>
        <w:rPr>
          <w:rFonts w:ascii="Times New Roman" w:eastAsia="Times New Roman" w:hAnsi="Times New Roman"/>
          <w:sz w:val="24"/>
          <w:szCs w:val="24"/>
        </w:rPr>
        <w:t xml:space="preserve"> its </w:t>
      </w:r>
      <w:r w:rsidRPr="00AF3819">
        <w:rPr>
          <w:rFonts w:ascii="Times New Roman" w:eastAsia="Times New Roman" w:hAnsi="Times New Roman"/>
          <w:sz w:val="24"/>
          <w:szCs w:val="24"/>
        </w:rPr>
        <w:t xml:space="preserve">Kyoto Protocol. </w:t>
      </w:r>
      <w:r w:rsidRPr="0028554F">
        <w:rPr>
          <w:rFonts w:ascii="Times New Roman" w:eastAsia="Times New Roman" w:hAnsi="Times New Roman"/>
          <w:sz w:val="24"/>
          <w:szCs w:val="24"/>
        </w:rPr>
        <w:t xml:space="preserve">It does so through the control of the </w:t>
      </w:r>
      <w:r w:rsidRPr="00AF3819">
        <w:rPr>
          <w:rFonts w:ascii="Times New Roman" w:eastAsia="Times New Roman" w:hAnsi="Times New Roman"/>
          <w:sz w:val="24"/>
          <w:szCs w:val="24"/>
        </w:rPr>
        <w:t>import, export</w:t>
      </w:r>
      <w:r w:rsidRPr="0028554F">
        <w:rPr>
          <w:rFonts w:ascii="Times New Roman" w:eastAsia="Times New Roman" w:hAnsi="Times New Roman"/>
          <w:sz w:val="24"/>
          <w:szCs w:val="24"/>
        </w:rPr>
        <w:t>,</w:t>
      </w:r>
      <w:r w:rsidRPr="00AF3819">
        <w:rPr>
          <w:rFonts w:ascii="Times New Roman" w:eastAsia="Times New Roman" w:hAnsi="Times New Roman"/>
          <w:sz w:val="24"/>
          <w:szCs w:val="24"/>
        </w:rPr>
        <w:t xml:space="preserve"> </w:t>
      </w:r>
      <w:r>
        <w:rPr>
          <w:rFonts w:ascii="Times New Roman" w:eastAsia="Times New Roman" w:hAnsi="Times New Roman"/>
          <w:sz w:val="24"/>
          <w:szCs w:val="24"/>
        </w:rPr>
        <w:t>manufacture and use</w:t>
      </w:r>
      <w:r w:rsidRPr="00AF3819">
        <w:rPr>
          <w:rFonts w:ascii="Times New Roman" w:eastAsia="Times New Roman" w:hAnsi="Times New Roman"/>
          <w:sz w:val="24"/>
          <w:szCs w:val="24"/>
        </w:rPr>
        <w:t xml:space="preserve"> of substances </w:t>
      </w:r>
      <w:r w:rsidRPr="0028554F">
        <w:rPr>
          <w:rFonts w:ascii="Times New Roman" w:eastAsia="Times New Roman" w:hAnsi="Times New Roman"/>
          <w:sz w:val="24"/>
          <w:szCs w:val="24"/>
        </w:rPr>
        <w:t>covered by</w:t>
      </w:r>
      <w:r w:rsidRPr="00AF3819">
        <w:rPr>
          <w:rFonts w:ascii="Times New Roman" w:eastAsia="Times New Roman" w:hAnsi="Times New Roman"/>
          <w:sz w:val="24"/>
          <w:szCs w:val="24"/>
        </w:rPr>
        <w:t xml:space="preserve"> the OPSGGM Act</w:t>
      </w:r>
      <w:r w:rsidRPr="0028554F">
        <w:rPr>
          <w:rFonts w:ascii="Times New Roman" w:eastAsia="Times New Roman" w:hAnsi="Times New Roman"/>
          <w:sz w:val="24"/>
          <w:szCs w:val="24"/>
        </w:rPr>
        <w:t>. T</w:t>
      </w:r>
      <w:r w:rsidRPr="00AF3819">
        <w:rPr>
          <w:rFonts w:ascii="Times New Roman" w:eastAsia="Times New Roman" w:hAnsi="Times New Roman"/>
          <w:sz w:val="24"/>
          <w:szCs w:val="24"/>
        </w:rPr>
        <w:t>he import and manufacture of certain products containing</w:t>
      </w:r>
      <w:r w:rsidRPr="0028554F">
        <w:rPr>
          <w:rFonts w:ascii="Times New Roman" w:eastAsia="Times New Roman" w:hAnsi="Times New Roman"/>
          <w:sz w:val="24"/>
          <w:szCs w:val="24"/>
        </w:rPr>
        <w:t>,</w:t>
      </w:r>
      <w:r w:rsidRPr="00AF3819">
        <w:rPr>
          <w:rFonts w:ascii="Times New Roman" w:eastAsia="Times New Roman" w:hAnsi="Times New Roman"/>
          <w:sz w:val="24"/>
          <w:szCs w:val="24"/>
        </w:rPr>
        <w:t xml:space="preserve"> or designed to contain</w:t>
      </w:r>
      <w:r w:rsidRPr="0028554F">
        <w:rPr>
          <w:rFonts w:ascii="Times New Roman" w:eastAsia="Times New Roman" w:hAnsi="Times New Roman"/>
          <w:sz w:val="24"/>
          <w:szCs w:val="24"/>
        </w:rPr>
        <w:t>,</w:t>
      </w:r>
      <w:r w:rsidRPr="00AF3819">
        <w:rPr>
          <w:rFonts w:ascii="Times New Roman" w:eastAsia="Times New Roman" w:hAnsi="Times New Roman"/>
          <w:sz w:val="24"/>
          <w:szCs w:val="24"/>
        </w:rPr>
        <w:t xml:space="preserve"> some of these controlled substances is</w:t>
      </w:r>
      <w:r w:rsidRPr="0028554F">
        <w:rPr>
          <w:rFonts w:ascii="Times New Roman" w:eastAsia="Times New Roman" w:hAnsi="Times New Roman"/>
          <w:sz w:val="24"/>
          <w:szCs w:val="24"/>
        </w:rPr>
        <w:t xml:space="preserve"> also</w:t>
      </w:r>
      <w:r w:rsidRPr="00AF3819">
        <w:rPr>
          <w:rFonts w:ascii="Times New Roman" w:eastAsia="Times New Roman" w:hAnsi="Times New Roman"/>
          <w:sz w:val="24"/>
          <w:szCs w:val="24"/>
        </w:rPr>
        <w:t xml:space="preserve"> prohibited </w:t>
      </w:r>
      <w:r w:rsidRPr="0028554F">
        <w:rPr>
          <w:rFonts w:ascii="Times New Roman" w:eastAsia="Times New Roman" w:hAnsi="Times New Roman"/>
          <w:sz w:val="24"/>
          <w:szCs w:val="24"/>
        </w:rPr>
        <w:t xml:space="preserve">under </w:t>
      </w:r>
      <w:r w:rsidRPr="002E108B">
        <w:rPr>
          <w:rFonts w:ascii="Times New Roman" w:eastAsia="Times New Roman" w:hAnsi="Times New Roman"/>
          <w:sz w:val="24"/>
          <w:szCs w:val="24"/>
        </w:rPr>
        <w:t xml:space="preserve">the OPSGGM Act unless the correct licence or exemption is held. </w:t>
      </w:r>
    </w:p>
    <w:p w14:paraId="09C3B5FC" w14:textId="78AF93BB" w:rsidR="00B55335" w:rsidRPr="002E108B" w:rsidRDefault="00B55335" w:rsidP="00B55335">
      <w:pPr>
        <w:shd w:val="clear" w:color="auto" w:fill="FFFFFF"/>
        <w:spacing w:line="260" w:lineRule="atLeast"/>
        <w:rPr>
          <w:rFonts w:ascii="Times New Roman" w:eastAsia="Times New Roman" w:hAnsi="Times New Roman"/>
        </w:rPr>
      </w:pPr>
    </w:p>
    <w:p w14:paraId="455EE261" w14:textId="1E06DFF3" w:rsidR="007E50C1" w:rsidRPr="002E108B" w:rsidRDefault="007E50C1" w:rsidP="00AD0D65">
      <w:pPr>
        <w:rPr>
          <w:rFonts w:ascii="Times New Roman" w:hAnsi="Times New Roman"/>
          <w:iCs/>
          <w:sz w:val="24"/>
          <w:szCs w:val="24"/>
          <w:shd w:val="clear" w:color="auto" w:fill="FFFFFF"/>
        </w:rPr>
      </w:pPr>
      <w:r w:rsidRPr="002E108B">
        <w:rPr>
          <w:rFonts w:ascii="Times New Roman" w:eastAsia="Times New Roman" w:hAnsi="Times New Roman"/>
        </w:rPr>
        <w:t>The</w:t>
      </w:r>
      <w:r w:rsidRPr="002E108B">
        <w:rPr>
          <w:rFonts w:ascii="Times New Roman" w:hAnsi="Times New Roman"/>
          <w:i/>
          <w:iCs/>
          <w:sz w:val="24"/>
          <w:szCs w:val="24"/>
          <w:shd w:val="clear" w:color="auto" w:fill="FFFFFF"/>
        </w:rPr>
        <w:t xml:space="preserve"> Ozone Protection and Synthetic Greenhouse Gas (Import Levy) Act 1995 </w:t>
      </w:r>
      <w:r w:rsidRPr="002E108B">
        <w:rPr>
          <w:rFonts w:ascii="Times New Roman" w:hAnsi="Times New Roman"/>
          <w:iCs/>
          <w:sz w:val="24"/>
          <w:szCs w:val="24"/>
          <w:shd w:val="clear" w:color="auto" w:fill="FFFFFF"/>
        </w:rPr>
        <w:t>(Import</w:t>
      </w:r>
      <w:r w:rsidR="00CF0266" w:rsidRPr="002E108B">
        <w:rPr>
          <w:rFonts w:ascii="Times New Roman" w:hAnsi="Times New Roman"/>
          <w:iCs/>
          <w:sz w:val="24"/>
          <w:szCs w:val="24"/>
          <w:shd w:val="clear" w:color="auto" w:fill="FFFFFF"/>
        </w:rPr>
        <w:t xml:space="preserve"> Levy</w:t>
      </w:r>
      <w:r w:rsidRPr="002E108B">
        <w:rPr>
          <w:rFonts w:ascii="Times New Roman" w:hAnsi="Times New Roman"/>
          <w:iCs/>
          <w:sz w:val="24"/>
          <w:szCs w:val="24"/>
          <w:shd w:val="clear" w:color="auto" w:fill="FFFFFF"/>
        </w:rPr>
        <w:t xml:space="preserve"> Act) provides</w:t>
      </w:r>
      <w:r w:rsidR="00CF0266" w:rsidRPr="002E108B">
        <w:rPr>
          <w:rFonts w:ascii="Times New Roman" w:hAnsi="Times New Roman"/>
          <w:iCs/>
          <w:sz w:val="24"/>
          <w:szCs w:val="24"/>
          <w:shd w:val="clear" w:color="auto" w:fill="FFFFFF"/>
        </w:rPr>
        <w:t xml:space="preserve"> for levies to be set in relation to the import of substances and equipment regulated by the OPSGGM Act. </w:t>
      </w:r>
    </w:p>
    <w:p w14:paraId="02C36AAB" w14:textId="7354A82E" w:rsidR="007E50C1" w:rsidRPr="002E108B" w:rsidRDefault="007E50C1" w:rsidP="00B55335">
      <w:pPr>
        <w:shd w:val="clear" w:color="auto" w:fill="FFFFFF"/>
        <w:spacing w:line="260" w:lineRule="atLeast"/>
        <w:rPr>
          <w:rFonts w:ascii="Times New Roman" w:eastAsia="Times New Roman" w:hAnsi="Times New Roman"/>
        </w:rPr>
      </w:pPr>
    </w:p>
    <w:p w14:paraId="44512D6A" w14:textId="65A9BAFB" w:rsidR="007E50C1" w:rsidRPr="002E108B" w:rsidRDefault="007E50C1" w:rsidP="00AD0D65">
      <w:pPr>
        <w:rPr>
          <w:rFonts w:ascii="Times New Roman" w:hAnsi="Times New Roman"/>
          <w:sz w:val="24"/>
          <w:szCs w:val="24"/>
        </w:rPr>
      </w:pPr>
      <w:r w:rsidRPr="002E108B">
        <w:rPr>
          <w:rFonts w:ascii="Times New Roman" w:eastAsia="Times New Roman" w:hAnsi="Times New Roman"/>
        </w:rPr>
        <w:t>The</w:t>
      </w:r>
      <w:r w:rsidRPr="002E108B">
        <w:rPr>
          <w:rFonts w:ascii="Times New Roman" w:hAnsi="Times New Roman"/>
          <w:i/>
          <w:iCs/>
          <w:sz w:val="24"/>
          <w:szCs w:val="24"/>
          <w:shd w:val="clear" w:color="auto" w:fill="FFFFFF"/>
        </w:rPr>
        <w:t xml:space="preserve"> Ozone Protection and Synthetic Greenhouse Gas (Manufacture Levy) Act 1995 </w:t>
      </w:r>
      <w:r w:rsidRPr="002E108B">
        <w:rPr>
          <w:rFonts w:ascii="Times New Roman" w:hAnsi="Times New Roman"/>
          <w:iCs/>
          <w:sz w:val="24"/>
          <w:szCs w:val="24"/>
          <w:shd w:val="clear" w:color="auto" w:fill="FFFFFF"/>
        </w:rPr>
        <w:t>(Manufacture</w:t>
      </w:r>
      <w:r w:rsidR="00CF0266" w:rsidRPr="002E108B">
        <w:rPr>
          <w:rFonts w:ascii="Times New Roman" w:hAnsi="Times New Roman"/>
          <w:iCs/>
          <w:sz w:val="24"/>
          <w:szCs w:val="24"/>
          <w:shd w:val="clear" w:color="auto" w:fill="FFFFFF"/>
        </w:rPr>
        <w:t xml:space="preserve"> Levy</w:t>
      </w:r>
      <w:r w:rsidRPr="002E108B">
        <w:rPr>
          <w:rFonts w:ascii="Times New Roman" w:hAnsi="Times New Roman"/>
          <w:iCs/>
          <w:sz w:val="24"/>
          <w:szCs w:val="24"/>
          <w:shd w:val="clear" w:color="auto" w:fill="FFFFFF"/>
        </w:rPr>
        <w:t xml:space="preserve"> Act) provide</w:t>
      </w:r>
      <w:r w:rsidR="00CF0266" w:rsidRPr="002E108B">
        <w:rPr>
          <w:rFonts w:ascii="Times New Roman" w:hAnsi="Times New Roman"/>
          <w:iCs/>
          <w:sz w:val="24"/>
          <w:szCs w:val="24"/>
          <w:shd w:val="clear" w:color="auto" w:fill="FFFFFF"/>
        </w:rPr>
        <w:t xml:space="preserve"> for levies to be set in relation to the manufacture of substances and equipment regulated by the OPSGGM Act.</w:t>
      </w:r>
    </w:p>
    <w:p w14:paraId="5218DD53" w14:textId="77777777" w:rsidR="007E50C1" w:rsidRPr="002E108B" w:rsidRDefault="007E50C1" w:rsidP="00B55335">
      <w:pPr>
        <w:shd w:val="clear" w:color="auto" w:fill="FFFFFF"/>
        <w:spacing w:line="260" w:lineRule="atLeast"/>
        <w:rPr>
          <w:rFonts w:ascii="Times New Roman" w:eastAsia="Times New Roman" w:hAnsi="Times New Roman"/>
        </w:rPr>
      </w:pPr>
    </w:p>
    <w:p w14:paraId="22F5D4F2" w14:textId="63AFD9AC" w:rsidR="00FE77FA" w:rsidRDefault="007E50C1" w:rsidP="009825A4">
      <w:pPr>
        <w:tabs>
          <w:tab w:val="left" w:pos="4536"/>
        </w:tabs>
        <w:rPr>
          <w:rFonts w:ascii="Times New Roman" w:hAnsi="Times New Roman"/>
          <w:iCs/>
          <w:sz w:val="24"/>
          <w:szCs w:val="24"/>
          <w:shd w:val="clear" w:color="auto" w:fill="FFFFFF"/>
        </w:rPr>
      </w:pPr>
      <w:r w:rsidRPr="002E108B">
        <w:rPr>
          <w:rFonts w:ascii="Times New Roman" w:hAnsi="Times New Roman"/>
          <w:sz w:val="24"/>
          <w:szCs w:val="24"/>
        </w:rPr>
        <w:t>Section 70 of the OPS</w:t>
      </w:r>
      <w:r w:rsidR="00CF0266" w:rsidRPr="002E108B">
        <w:rPr>
          <w:rFonts w:ascii="Times New Roman" w:hAnsi="Times New Roman"/>
          <w:sz w:val="24"/>
          <w:szCs w:val="24"/>
        </w:rPr>
        <w:t>G</w:t>
      </w:r>
      <w:r w:rsidRPr="002E108B">
        <w:rPr>
          <w:rFonts w:ascii="Times New Roman" w:hAnsi="Times New Roman"/>
          <w:sz w:val="24"/>
          <w:szCs w:val="24"/>
        </w:rPr>
        <w:t>GM Act</w:t>
      </w:r>
      <w:r w:rsidR="00CF0266" w:rsidRPr="002E108B">
        <w:rPr>
          <w:rFonts w:ascii="Times New Roman" w:hAnsi="Times New Roman"/>
          <w:sz w:val="24"/>
          <w:szCs w:val="24"/>
        </w:rPr>
        <w:t xml:space="preserve"> provides for the Governor-General to make regulations required or permitted by the OPSGGM Act or necessary or convenient for giving effect to that Act. S</w:t>
      </w:r>
      <w:r w:rsidRPr="002E108B">
        <w:rPr>
          <w:rFonts w:ascii="Times New Roman" w:hAnsi="Times New Roman"/>
          <w:sz w:val="24"/>
          <w:szCs w:val="24"/>
        </w:rPr>
        <w:t>ection 5 of the Import</w:t>
      </w:r>
      <w:r w:rsidR="00CF0266" w:rsidRPr="002E108B">
        <w:rPr>
          <w:rFonts w:ascii="Times New Roman" w:hAnsi="Times New Roman"/>
          <w:sz w:val="24"/>
          <w:szCs w:val="24"/>
        </w:rPr>
        <w:t xml:space="preserve"> Levy</w:t>
      </w:r>
      <w:r w:rsidRPr="002E108B">
        <w:rPr>
          <w:rFonts w:ascii="Times New Roman" w:hAnsi="Times New Roman"/>
          <w:sz w:val="24"/>
          <w:szCs w:val="24"/>
        </w:rPr>
        <w:t xml:space="preserve"> Act</w:t>
      </w:r>
      <w:r w:rsidRPr="002E108B">
        <w:rPr>
          <w:rFonts w:ascii="Times New Roman" w:hAnsi="Times New Roman"/>
          <w:i/>
          <w:iCs/>
          <w:sz w:val="24"/>
          <w:szCs w:val="24"/>
          <w:shd w:val="clear" w:color="auto" w:fill="FFFFFF"/>
        </w:rPr>
        <w:t xml:space="preserve"> </w:t>
      </w:r>
      <w:r w:rsidRPr="002E108B">
        <w:rPr>
          <w:rFonts w:ascii="Times New Roman" w:hAnsi="Times New Roman"/>
          <w:iCs/>
          <w:sz w:val="24"/>
          <w:szCs w:val="24"/>
          <w:shd w:val="clear" w:color="auto" w:fill="FFFFFF"/>
        </w:rPr>
        <w:t xml:space="preserve">and </w:t>
      </w:r>
      <w:r w:rsidRPr="002E108B">
        <w:rPr>
          <w:rFonts w:ascii="Times New Roman" w:hAnsi="Times New Roman"/>
          <w:sz w:val="24"/>
          <w:szCs w:val="24"/>
        </w:rPr>
        <w:t xml:space="preserve">section 5 of the </w:t>
      </w:r>
      <w:r w:rsidRPr="002E108B">
        <w:rPr>
          <w:rFonts w:ascii="Times New Roman" w:hAnsi="Times New Roman"/>
          <w:iCs/>
          <w:sz w:val="24"/>
          <w:szCs w:val="24"/>
          <w:shd w:val="clear" w:color="auto" w:fill="FFFFFF"/>
        </w:rPr>
        <w:t>Manufacture</w:t>
      </w:r>
      <w:r w:rsidR="00CF0266" w:rsidRPr="002E108B">
        <w:rPr>
          <w:rFonts w:ascii="Times New Roman" w:hAnsi="Times New Roman"/>
          <w:iCs/>
          <w:sz w:val="24"/>
          <w:szCs w:val="24"/>
          <w:shd w:val="clear" w:color="auto" w:fill="FFFFFF"/>
        </w:rPr>
        <w:t xml:space="preserve"> Levy</w:t>
      </w:r>
      <w:r w:rsidRPr="002E108B">
        <w:rPr>
          <w:rFonts w:ascii="Times New Roman" w:hAnsi="Times New Roman"/>
          <w:iCs/>
          <w:sz w:val="24"/>
          <w:szCs w:val="24"/>
          <w:shd w:val="clear" w:color="auto" w:fill="FFFFFF"/>
        </w:rPr>
        <w:t xml:space="preserve"> Act</w:t>
      </w:r>
      <w:r w:rsidRPr="002E108B">
        <w:rPr>
          <w:rFonts w:ascii="Times New Roman" w:hAnsi="Times New Roman"/>
          <w:i/>
          <w:iCs/>
          <w:sz w:val="24"/>
          <w:szCs w:val="24"/>
          <w:shd w:val="clear" w:color="auto" w:fill="FFFFFF"/>
        </w:rPr>
        <w:t xml:space="preserve"> </w:t>
      </w:r>
      <w:r w:rsidRPr="002E108B">
        <w:rPr>
          <w:rFonts w:ascii="Times New Roman" w:hAnsi="Times New Roman"/>
          <w:iCs/>
          <w:sz w:val="24"/>
          <w:szCs w:val="24"/>
          <w:shd w:val="clear" w:color="auto" w:fill="FFFFFF"/>
        </w:rPr>
        <w:t>provide for the Governor-General to</w:t>
      </w:r>
      <w:r w:rsidR="00CF0266" w:rsidRPr="002E108B">
        <w:rPr>
          <w:rFonts w:ascii="Times New Roman" w:hAnsi="Times New Roman"/>
          <w:iCs/>
          <w:sz w:val="24"/>
          <w:szCs w:val="24"/>
          <w:shd w:val="clear" w:color="auto" w:fill="FFFFFF"/>
        </w:rPr>
        <w:t xml:space="preserve"> make regulations for the purposes of the substantive provisions of the Import Levy Act and the Manufacture Levy Act respectively.</w:t>
      </w:r>
      <w:r w:rsidR="00CF0266">
        <w:rPr>
          <w:rFonts w:ascii="Times New Roman" w:hAnsi="Times New Roman"/>
          <w:iCs/>
          <w:sz w:val="24"/>
          <w:szCs w:val="24"/>
          <w:shd w:val="clear" w:color="auto" w:fill="FFFFFF"/>
        </w:rPr>
        <w:t xml:space="preserve"> </w:t>
      </w:r>
    </w:p>
    <w:p w14:paraId="5DF27F21" w14:textId="77777777" w:rsidR="009825A4" w:rsidRPr="009825A4" w:rsidRDefault="009825A4" w:rsidP="009825A4">
      <w:pPr>
        <w:tabs>
          <w:tab w:val="left" w:pos="4536"/>
        </w:tabs>
        <w:rPr>
          <w:rFonts w:ascii="Times New Roman" w:hAnsi="Times New Roman"/>
          <w:sz w:val="24"/>
          <w:szCs w:val="24"/>
        </w:rPr>
      </w:pPr>
    </w:p>
    <w:p w14:paraId="34292EF5" w14:textId="580E5178" w:rsidR="00B55335" w:rsidRPr="0028554F" w:rsidRDefault="00B55335" w:rsidP="00B55335">
      <w:pPr>
        <w:shd w:val="clear" w:color="auto" w:fill="FFFFFF"/>
        <w:spacing w:line="260" w:lineRule="atLeast"/>
        <w:rPr>
          <w:rFonts w:ascii="Times New Roman" w:eastAsia="Times New Roman" w:hAnsi="Times New Roman"/>
          <w:sz w:val="24"/>
          <w:szCs w:val="24"/>
        </w:rPr>
      </w:pPr>
      <w:r w:rsidRPr="00AF3819">
        <w:rPr>
          <w:rFonts w:ascii="Times New Roman" w:eastAsia="Times New Roman" w:hAnsi="Times New Roman"/>
          <w:sz w:val="24"/>
          <w:szCs w:val="24"/>
        </w:rPr>
        <w:t xml:space="preserve">A review of the Ozone </w:t>
      </w:r>
      <w:r w:rsidR="00744862">
        <w:rPr>
          <w:rFonts w:ascii="Times New Roman" w:eastAsia="Times New Roman" w:hAnsi="Times New Roman"/>
          <w:sz w:val="24"/>
          <w:szCs w:val="24"/>
        </w:rPr>
        <w:t xml:space="preserve">Protection </w:t>
      </w:r>
      <w:r w:rsidRPr="00AF3819">
        <w:rPr>
          <w:rFonts w:ascii="Times New Roman" w:eastAsia="Times New Roman" w:hAnsi="Times New Roman"/>
          <w:sz w:val="24"/>
          <w:szCs w:val="24"/>
        </w:rPr>
        <w:t>and Synthetic Greenhouse Gas Program</w:t>
      </w:r>
      <w:r w:rsidRPr="0028554F">
        <w:rPr>
          <w:rFonts w:ascii="Times New Roman" w:eastAsia="Times New Roman" w:hAnsi="Times New Roman"/>
          <w:sz w:val="24"/>
          <w:szCs w:val="24"/>
        </w:rPr>
        <w:t xml:space="preserve"> (the Review)</w:t>
      </w:r>
      <w:r>
        <w:rPr>
          <w:rFonts w:ascii="Times New Roman" w:eastAsia="Times New Roman" w:hAnsi="Times New Roman"/>
          <w:sz w:val="24"/>
          <w:szCs w:val="24"/>
        </w:rPr>
        <w:t xml:space="preserve">, completed in 2016, identified </w:t>
      </w:r>
      <w:r w:rsidRPr="00AF3819">
        <w:rPr>
          <w:rFonts w:ascii="Times New Roman" w:eastAsia="Times New Roman" w:hAnsi="Times New Roman"/>
          <w:sz w:val="24"/>
          <w:szCs w:val="24"/>
        </w:rPr>
        <w:t xml:space="preserve">a range of measures </w:t>
      </w:r>
      <w:r w:rsidR="00DC1E73">
        <w:rPr>
          <w:rFonts w:ascii="Times New Roman" w:eastAsia="Times New Roman" w:hAnsi="Times New Roman"/>
          <w:sz w:val="24"/>
          <w:szCs w:val="24"/>
        </w:rPr>
        <w:t>to</w:t>
      </w:r>
      <w:r w:rsidRPr="00AF3819">
        <w:rPr>
          <w:rFonts w:ascii="Times New Roman" w:eastAsia="Times New Roman" w:hAnsi="Times New Roman"/>
          <w:sz w:val="24"/>
          <w:szCs w:val="24"/>
        </w:rPr>
        <w:t xml:space="preserve"> improve the effectiveness and efficiency of the </w:t>
      </w:r>
      <w:r w:rsidRPr="0028554F">
        <w:rPr>
          <w:rFonts w:ascii="Times New Roman" w:eastAsia="Times New Roman" w:hAnsi="Times New Roman"/>
          <w:sz w:val="24"/>
          <w:szCs w:val="24"/>
        </w:rPr>
        <w:t>P</w:t>
      </w:r>
      <w:r w:rsidRPr="00AF3819">
        <w:rPr>
          <w:rFonts w:ascii="Times New Roman" w:eastAsia="Times New Roman" w:hAnsi="Times New Roman"/>
          <w:sz w:val="24"/>
          <w:szCs w:val="24"/>
        </w:rPr>
        <w:t xml:space="preserve">rogram and further reduce emissions of </w:t>
      </w:r>
      <w:r w:rsidRPr="0028554F">
        <w:rPr>
          <w:rFonts w:ascii="Times New Roman" w:eastAsia="Times New Roman" w:hAnsi="Times New Roman"/>
          <w:sz w:val="24"/>
          <w:szCs w:val="24"/>
        </w:rPr>
        <w:t>ozone depleting substances (</w:t>
      </w:r>
      <w:r w:rsidRPr="00AF3819">
        <w:rPr>
          <w:rFonts w:ascii="Times New Roman" w:eastAsia="Times New Roman" w:hAnsi="Times New Roman"/>
          <w:sz w:val="24"/>
          <w:szCs w:val="24"/>
        </w:rPr>
        <w:t>ODS</w:t>
      </w:r>
      <w:r w:rsidRPr="0028554F">
        <w:rPr>
          <w:rFonts w:ascii="Times New Roman" w:eastAsia="Times New Roman" w:hAnsi="Times New Roman"/>
          <w:sz w:val="24"/>
          <w:szCs w:val="24"/>
        </w:rPr>
        <w:t>)</w:t>
      </w:r>
      <w:r w:rsidRPr="00AF3819">
        <w:rPr>
          <w:rFonts w:ascii="Times New Roman" w:eastAsia="Times New Roman" w:hAnsi="Times New Roman"/>
          <w:sz w:val="24"/>
          <w:szCs w:val="24"/>
        </w:rPr>
        <w:t xml:space="preserve"> and </w:t>
      </w:r>
      <w:r w:rsidRPr="0028554F">
        <w:rPr>
          <w:rFonts w:ascii="Times New Roman" w:eastAsia="Times New Roman" w:hAnsi="Times New Roman"/>
          <w:sz w:val="24"/>
          <w:szCs w:val="24"/>
        </w:rPr>
        <w:t>synthetic greenhouse gases (</w:t>
      </w:r>
      <w:r w:rsidRPr="00AF3819">
        <w:rPr>
          <w:rFonts w:ascii="Times New Roman" w:eastAsia="Times New Roman" w:hAnsi="Times New Roman"/>
          <w:sz w:val="24"/>
          <w:szCs w:val="24"/>
        </w:rPr>
        <w:t>SGG</w:t>
      </w:r>
      <w:r w:rsidRPr="0028554F">
        <w:rPr>
          <w:rFonts w:ascii="Times New Roman" w:eastAsia="Times New Roman" w:hAnsi="Times New Roman"/>
          <w:sz w:val="24"/>
          <w:szCs w:val="24"/>
        </w:rPr>
        <w:t>s)</w:t>
      </w:r>
      <w:r w:rsidR="00726D21">
        <w:rPr>
          <w:rFonts w:ascii="Times New Roman" w:eastAsia="Times New Roman" w:hAnsi="Times New Roman"/>
          <w:sz w:val="24"/>
          <w:szCs w:val="24"/>
        </w:rPr>
        <w:t>. The</w:t>
      </w:r>
      <w:r w:rsidR="00DC1E73">
        <w:rPr>
          <w:rFonts w:ascii="Times New Roman" w:eastAsia="Times New Roman" w:hAnsi="Times New Roman"/>
          <w:sz w:val="24"/>
          <w:szCs w:val="24"/>
        </w:rPr>
        <w:t xml:space="preserve"> Australian</w:t>
      </w:r>
      <w:r w:rsidR="00726D21">
        <w:rPr>
          <w:rFonts w:ascii="Times New Roman" w:eastAsia="Times New Roman" w:hAnsi="Times New Roman"/>
          <w:sz w:val="24"/>
          <w:szCs w:val="24"/>
        </w:rPr>
        <w:t xml:space="preserve"> Government agreed to all recommended measures in June 2016, including phasing-down the import of hydrofluorocarbons (HFCs)</w:t>
      </w:r>
      <w:r>
        <w:rPr>
          <w:rFonts w:ascii="Times New Roman" w:eastAsia="Times New Roman" w:hAnsi="Times New Roman"/>
          <w:sz w:val="24"/>
          <w:szCs w:val="24"/>
        </w:rPr>
        <w:t xml:space="preserve"> from 1 January 2018</w:t>
      </w:r>
      <w:r w:rsidRPr="00AF3819">
        <w:rPr>
          <w:rFonts w:ascii="Times New Roman" w:eastAsia="Times New Roman" w:hAnsi="Times New Roman"/>
          <w:sz w:val="24"/>
          <w:szCs w:val="24"/>
        </w:rPr>
        <w:t xml:space="preserve">. In October 2016, the parties to the Montreal Protocol reached agreement on reducing </w:t>
      </w:r>
      <w:r w:rsidR="00726D21">
        <w:rPr>
          <w:rFonts w:ascii="Times New Roman" w:eastAsia="Times New Roman" w:hAnsi="Times New Roman"/>
          <w:sz w:val="24"/>
          <w:szCs w:val="24"/>
        </w:rPr>
        <w:t xml:space="preserve">global </w:t>
      </w:r>
      <w:r w:rsidRPr="00AF3819">
        <w:rPr>
          <w:rFonts w:ascii="Times New Roman" w:eastAsia="Times New Roman" w:hAnsi="Times New Roman"/>
          <w:sz w:val="24"/>
          <w:szCs w:val="24"/>
        </w:rPr>
        <w:t>HFC emissions</w:t>
      </w:r>
      <w:r>
        <w:rPr>
          <w:rFonts w:ascii="Times New Roman" w:eastAsia="Times New Roman" w:hAnsi="Times New Roman"/>
          <w:sz w:val="24"/>
          <w:szCs w:val="24"/>
        </w:rPr>
        <w:t xml:space="preserve"> by phasing-down the</w:t>
      </w:r>
      <w:r w:rsidR="00726D21">
        <w:rPr>
          <w:rFonts w:ascii="Times New Roman" w:eastAsia="Times New Roman" w:hAnsi="Times New Roman"/>
          <w:sz w:val="24"/>
          <w:szCs w:val="24"/>
        </w:rPr>
        <w:t>ir</w:t>
      </w:r>
      <w:r>
        <w:rPr>
          <w:rFonts w:ascii="Times New Roman" w:eastAsia="Times New Roman" w:hAnsi="Times New Roman"/>
          <w:sz w:val="24"/>
          <w:szCs w:val="24"/>
        </w:rPr>
        <w:t xml:space="preserve"> manufacture and import from 2019 (the Kigali Amendment). </w:t>
      </w:r>
    </w:p>
    <w:p w14:paraId="2AFB3F80" w14:textId="77777777" w:rsidR="00B55335" w:rsidRPr="00AF3819" w:rsidRDefault="00B55335" w:rsidP="00B55335">
      <w:pPr>
        <w:shd w:val="clear" w:color="auto" w:fill="FFFFFF"/>
        <w:spacing w:line="260" w:lineRule="atLeast"/>
        <w:rPr>
          <w:rFonts w:ascii="Times New Roman" w:eastAsia="Times New Roman" w:hAnsi="Times New Roman"/>
        </w:rPr>
      </w:pPr>
    </w:p>
    <w:p w14:paraId="03BFEAD2" w14:textId="214699CE" w:rsidR="00B55335" w:rsidRDefault="00B55335" w:rsidP="00B55335">
      <w:pPr>
        <w:shd w:val="clear" w:color="auto" w:fill="FFFFFF"/>
        <w:spacing w:line="260" w:lineRule="atLeast"/>
        <w:rPr>
          <w:rFonts w:ascii="Times New Roman" w:eastAsia="Times New Roman" w:hAnsi="Times New Roman"/>
          <w:sz w:val="24"/>
          <w:szCs w:val="24"/>
        </w:rPr>
      </w:pPr>
      <w:r w:rsidRPr="00AF3819">
        <w:rPr>
          <w:rFonts w:ascii="Times New Roman" w:eastAsia="Times New Roman" w:hAnsi="Times New Roman"/>
          <w:sz w:val="24"/>
          <w:szCs w:val="24"/>
        </w:rPr>
        <w:t xml:space="preserve">The </w:t>
      </w:r>
      <w:r w:rsidRPr="0028554F">
        <w:rPr>
          <w:rFonts w:ascii="Times New Roman" w:hAnsi="Times New Roman"/>
          <w:i/>
          <w:iCs/>
          <w:sz w:val="24"/>
          <w:szCs w:val="24"/>
          <w:shd w:val="clear" w:color="auto" w:fill="FFFFFF"/>
        </w:rPr>
        <w:t xml:space="preserve">Ozone Protection and Synthetic Greenhouse Gas Management Legislation Amendment </w:t>
      </w:r>
      <w:r>
        <w:rPr>
          <w:rFonts w:ascii="Times New Roman" w:hAnsi="Times New Roman"/>
          <w:i/>
          <w:iCs/>
          <w:sz w:val="24"/>
          <w:szCs w:val="24"/>
          <w:shd w:val="clear" w:color="auto" w:fill="FFFFFF"/>
        </w:rPr>
        <w:br/>
      </w:r>
      <w:r w:rsidRPr="0028554F">
        <w:rPr>
          <w:rFonts w:ascii="Times New Roman" w:hAnsi="Times New Roman"/>
          <w:i/>
          <w:iCs/>
          <w:sz w:val="24"/>
          <w:szCs w:val="24"/>
          <w:shd w:val="clear" w:color="auto" w:fill="FFFFFF"/>
        </w:rPr>
        <w:t>Act 2017</w:t>
      </w:r>
      <w:r w:rsidRPr="0028554F">
        <w:rPr>
          <w:i/>
          <w:iCs/>
          <w:shd w:val="clear" w:color="auto" w:fill="FFFFFF"/>
        </w:rPr>
        <w:t xml:space="preserve"> </w:t>
      </w:r>
      <w:r w:rsidRPr="0028554F">
        <w:rPr>
          <w:rFonts w:ascii="Times New Roman" w:eastAsia="Times New Roman" w:hAnsi="Times New Roman"/>
          <w:sz w:val="24"/>
          <w:szCs w:val="24"/>
        </w:rPr>
        <w:t>(</w:t>
      </w:r>
      <w:r w:rsidR="000E27EE">
        <w:rPr>
          <w:rFonts w:ascii="Times New Roman" w:eastAsia="Times New Roman" w:hAnsi="Times New Roman"/>
          <w:sz w:val="24"/>
          <w:szCs w:val="24"/>
        </w:rPr>
        <w:t xml:space="preserve">the </w:t>
      </w:r>
      <w:r w:rsidRPr="0028554F">
        <w:rPr>
          <w:rFonts w:ascii="Times New Roman" w:eastAsia="Times New Roman" w:hAnsi="Times New Roman"/>
          <w:sz w:val="24"/>
          <w:szCs w:val="24"/>
        </w:rPr>
        <w:t>Amendment Act)</w:t>
      </w:r>
      <w:r w:rsidRPr="00AF3819">
        <w:rPr>
          <w:rFonts w:ascii="Times New Roman" w:eastAsia="Times New Roman" w:hAnsi="Times New Roman"/>
          <w:sz w:val="24"/>
          <w:szCs w:val="24"/>
        </w:rPr>
        <w:t xml:space="preserve"> </w:t>
      </w:r>
      <w:r>
        <w:rPr>
          <w:rFonts w:ascii="Times New Roman" w:eastAsia="Times New Roman" w:hAnsi="Times New Roman"/>
          <w:sz w:val="24"/>
          <w:szCs w:val="24"/>
        </w:rPr>
        <w:t>amend</w:t>
      </w:r>
      <w:r w:rsidR="00A31AAF">
        <w:rPr>
          <w:rFonts w:ascii="Times New Roman" w:eastAsia="Times New Roman" w:hAnsi="Times New Roman"/>
          <w:sz w:val="24"/>
          <w:szCs w:val="24"/>
        </w:rPr>
        <w:t xml:space="preserve">s </w:t>
      </w:r>
      <w:r w:rsidRPr="00AF3819">
        <w:rPr>
          <w:rFonts w:ascii="Times New Roman" w:eastAsia="Times New Roman" w:hAnsi="Times New Roman"/>
          <w:sz w:val="24"/>
          <w:szCs w:val="24"/>
        </w:rPr>
        <w:t>the OPSGGM Act</w:t>
      </w:r>
      <w:r w:rsidR="007E50C1">
        <w:rPr>
          <w:rFonts w:ascii="Times New Roman" w:eastAsia="Times New Roman" w:hAnsi="Times New Roman"/>
          <w:sz w:val="24"/>
          <w:szCs w:val="24"/>
        </w:rPr>
        <w:t>, the Import</w:t>
      </w:r>
      <w:r w:rsidR="00260D92">
        <w:rPr>
          <w:rFonts w:ascii="Times New Roman" w:eastAsia="Times New Roman" w:hAnsi="Times New Roman"/>
          <w:sz w:val="24"/>
          <w:szCs w:val="24"/>
        </w:rPr>
        <w:t xml:space="preserve"> Levy</w:t>
      </w:r>
      <w:r w:rsidR="007E50C1">
        <w:rPr>
          <w:rFonts w:ascii="Times New Roman" w:eastAsia="Times New Roman" w:hAnsi="Times New Roman"/>
          <w:sz w:val="24"/>
          <w:szCs w:val="24"/>
        </w:rPr>
        <w:t xml:space="preserve"> Act</w:t>
      </w:r>
      <w:r w:rsidR="00260D92">
        <w:rPr>
          <w:rFonts w:ascii="Times New Roman" w:eastAsia="Times New Roman" w:hAnsi="Times New Roman"/>
          <w:sz w:val="24"/>
          <w:szCs w:val="24"/>
        </w:rPr>
        <w:t>,</w:t>
      </w:r>
      <w:r w:rsidR="007E50C1">
        <w:rPr>
          <w:rFonts w:ascii="Times New Roman" w:eastAsia="Times New Roman" w:hAnsi="Times New Roman"/>
          <w:sz w:val="24"/>
          <w:szCs w:val="24"/>
        </w:rPr>
        <w:t xml:space="preserve"> and</w:t>
      </w:r>
      <w:r w:rsidR="00260D92">
        <w:rPr>
          <w:rFonts w:ascii="Times New Roman" w:eastAsia="Times New Roman" w:hAnsi="Times New Roman"/>
          <w:sz w:val="24"/>
          <w:szCs w:val="24"/>
        </w:rPr>
        <w:t xml:space="preserve"> the </w:t>
      </w:r>
      <w:r w:rsidR="007E50C1">
        <w:rPr>
          <w:rFonts w:ascii="Times New Roman" w:eastAsia="Times New Roman" w:hAnsi="Times New Roman"/>
          <w:sz w:val="24"/>
          <w:szCs w:val="24"/>
        </w:rPr>
        <w:t>Manufacture</w:t>
      </w:r>
      <w:r w:rsidR="00260D92">
        <w:rPr>
          <w:rFonts w:ascii="Times New Roman" w:eastAsia="Times New Roman" w:hAnsi="Times New Roman"/>
          <w:sz w:val="24"/>
          <w:szCs w:val="24"/>
        </w:rPr>
        <w:t xml:space="preserve"> Levy</w:t>
      </w:r>
      <w:r w:rsidR="007E50C1">
        <w:rPr>
          <w:rFonts w:ascii="Times New Roman" w:eastAsia="Times New Roman" w:hAnsi="Times New Roman"/>
          <w:sz w:val="24"/>
          <w:szCs w:val="24"/>
        </w:rPr>
        <w:t xml:space="preserve"> Act </w:t>
      </w:r>
      <w:r w:rsidRPr="00AF3819">
        <w:rPr>
          <w:rFonts w:ascii="Times New Roman" w:eastAsia="Times New Roman" w:hAnsi="Times New Roman"/>
          <w:sz w:val="24"/>
          <w:szCs w:val="24"/>
        </w:rPr>
        <w:t>to</w:t>
      </w:r>
      <w:r>
        <w:rPr>
          <w:rFonts w:ascii="Times New Roman" w:eastAsia="Times New Roman" w:hAnsi="Times New Roman"/>
          <w:sz w:val="24"/>
          <w:szCs w:val="24"/>
        </w:rPr>
        <w:t>:</w:t>
      </w:r>
      <w:r>
        <w:rPr>
          <w:rFonts w:ascii="Times New Roman" w:eastAsia="Times New Roman" w:hAnsi="Times New Roman"/>
          <w:sz w:val="24"/>
          <w:szCs w:val="24"/>
        </w:rPr>
        <w:br/>
      </w:r>
    </w:p>
    <w:p w14:paraId="74A01B2E" w14:textId="38583E76" w:rsidR="00B55335" w:rsidRPr="000346BA" w:rsidRDefault="00B55335" w:rsidP="002F5DD1">
      <w:pPr>
        <w:pStyle w:val="ListParagraph"/>
        <w:numPr>
          <w:ilvl w:val="0"/>
          <w:numId w:val="7"/>
        </w:numPr>
        <w:shd w:val="clear" w:color="auto" w:fill="FFFFFF"/>
        <w:spacing w:line="260" w:lineRule="atLeast"/>
        <w:rPr>
          <w:rFonts w:ascii="Verdana" w:eastAsia="Times New Roman" w:hAnsi="Verdana"/>
          <w:sz w:val="18"/>
          <w:szCs w:val="18"/>
        </w:rPr>
      </w:pPr>
      <w:r>
        <w:rPr>
          <w:rFonts w:ascii="Times New Roman" w:eastAsia="Times New Roman" w:hAnsi="Times New Roman"/>
          <w:sz w:val="24"/>
          <w:szCs w:val="24"/>
        </w:rPr>
        <w:t>I</w:t>
      </w:r>
      <w:r w:rsidRPr="000346BA">
        <w:rPr>
          <w:rFonts w:ascii="Times New Roman" w:eastAsia="Times New Roman" w:hAnsi="Times New Roman"/>
          <w:sz w:val="24"/>
          <w:szCs w:val="24"/>
        </w:rPr>
        <w:t xml:space="preserve">mplement the Australian Government’s commitment to phase-down </w:t>
      </w:r>
      <w:r>
        <w:rPr>
          <w:rFonts w:ascii="Times New Roman" w:eastAsia="Times New Roman" w:hAnsi="Times New Roman"/>
          <w:sz w:val="24"/>
          <w:szCs w:val="24"/>
        </w:rPr>
        <w:t xml:space="preserve">the </w:t>
      </w:r>
      <w:r w:rsidRPr="000346BA">
        <w:rPr>
          <w:rFonts w:ascii="Times New Roman" w:eastAsia="Times New Roman" w:hAnsi="Times New Roman"/>
          <w:sz w:val="24"/>
          <w:szCs w:val="24"/>
        </w:rPr>
        <w:t>import</w:t>
      </w:r>
      <w:r>
        <w:rPr>
          <w:rFonts w:ascii="Times New Roman" w:eastAsia="Times New Roman" w:hAnsi="Times New Roman"/>
          <w:sz w:val="24"/>
          <w:szCs w:val="24"/>
        </w:rPr>
        <w:t xml:space="preserve"> </w:t>
      </w:r>
      <w:r w:rsidRPr="000346BA">
        <w:rPr>
          <w:rFonts w:ascii="Times New Roman" w:eastAsia="Times New Roman" w:hAnsi="Times New Roman"/>
          <w:sz w:val="24"/>
          <w:szCs w:val="24"/>
        </w:rPr>
        <w:t xml:space="preserve">of HFCs from 1 January 2018 and enable Australia to comply with the global </w:t>
      </w:r>
      <w:r>
        <w:rPr>
          <w:rFonts w:ascii="Times New Roman" w:eastAsia="Times New Roman" w:hAnsi="Times New Roman"/>
          <w:sz w:val="24"/>
          <w:szCs w:val="24"/>
        </w:rPr>
        <w:t xml:space="preserve">HFC </w:t>
      </w:r>
      <w:r w:rsidRPr="000346BA">
        <w:rPr>
          <w:rFonts w:ascii="Times New Roman" w:eastAsia="Times New Roman" w:hAnsi="Times New Roman"/>
          <w:sz w:val="24"/>
          <w:szCs w:val="24"/>
        </w:rPr>
        <w:t xml:space="preserve">phase-down implemented under the </w:t>
      </w:r>
      <w:r w:rsidR="00726D21">
        <w:rPr>
          <w:rFonts w:ascii="Times New Roman" w:eastAsia="Times New Roman" w:hAnsi="Times New Roman"/>
          <w:sz w:val="24"/>
          <w:szCs w:val="24"/>
        </w:rPr>
        <w:t>Kigali Amendment</w:t>
      </w:r>
      <w:r w:rsidRPr="000346BA">
        <w:rPr>
          <w:rFonts w:ascii="Times New Roman" w:eastAsia="Times New Roman" w:hAnsi="Times New Roman"/>
          <w:sz w:val="24"/>
          <w:szCs w:val="24"/>
        </w:rPr>
        <w:t xml:space="preserve">. </w:t>
      </w:r>
    </w:p>
    <w:p w14:paraId="3D3FA9F3" w14:textId="77777777" w:rsidR="00B55335" w:rsidRPr="000346BA" w:rsidRDefault="00B55335" w:rsidP="00B55335">
      <w:pPr>
        <w:pStyle w:val="ListParagraph"/>
        <w:numPr>
          <w:ilvl w:val="0"/>
          <w:numId w:val="0"/>
        </w:numPr>
        <w:shd w:val="clear" w:color="auto" w:fill="FFFFFF"/>
        <w:spacing w:line="260" w:lineRule="atLeast"/>
        <w:ind w:left="360"/>
        <w:rPr>
          <w:rFonts w:ascii="Verdana" w:eastAsia="Times New Roman" w:hAnsi="Verdana"/>
          <w:sz w:val="18"/>
          <w:szCs w:val="18"/>
        </w:rPr>
      </w:pPr>
    </w:p>
    <w:p w14:paraId="4E679B07" w14:textId="77777777" w:rsidR="00B55335" w:rsidRPr="000346BA" w:rsidRDefault="00B55335" w:rsidP="002F5DD1">
      <w:pPr>
        <w:pStyle w:val="ListParagraph"/>
        <w:numPr>
          <w:ilvl w:val="0"/>
          <w:numId w:val="7"/>
        </w:numPr>
        <w:shd w:val="clear" w:color="auto" w:fill="FFFFFF"/>
        <w:spacing w:line="260" w:lineRule="atLeast"/>
        <w:rPr>
          <w:rFonts w:ascii="Verdana" w:eastAsia="Times New Roman" w:hAnsi="Verdana"/>
          <w:sz w:val="18"/>
          <w:szCs w:val="18"/>
        </w:rPr>
      </w:pPr>
      <w:r>
        <w:rPr>
          <w:rFonts w:ascii="Times New Roman" w:eastAsia="Times New Roman" w:hAnsi="Times New Roman"/>
          <w:sz w:val="24"/>
          <w:szCs w:val="24"/>
        </w:rPr>
        <w:t>Improve</w:t>
      </w:r>
      <w:r w:rsidRPr="000346BA">
        <w:rPr>
          <w:rFonts w:ascii="Times New Roman" w:eastAsia="Times New Roman" w:hAnsi="Times New Roman"/>
          <w:sz w:val="24"/>
          <w:szCs w:val="24"/>
        </w:rPr>
        <w:t xml:space="preserve"> the operation of existing provisions relating to the </w:t>
      </w:r>
      <w:proofErr w:type="spellStart"/>
      <w:r w:rsidRPr="000346BA">
        <w:rPr>
          <w:rFonts w:ascii="Times New Roman" w:hAnsi="Times New Roman"/>
          <w:sz w:val="24"/>
          <w:szCs w:val="24"/>
        </w:rPr>
        <w:t>hydrochorofluorocarbon</w:t>
      </w:r>
      <w:proofErr w:type="spellEnd"/>
      <w:r w:rsidRPr="000346BA">
        <w:rPr>
          <w:rFonts w:ascii="Times New Roman" w:eastAsia="Times New Roman" w:hAnsi="Times New Roman"/>
          <w:sz w:val="24"/>
          <w:szCs w:val="24"/>
        </w:rPr>
        <w:t xml:space="preserve"> (HCFC) phase-out, and prohibit the use of new HCFCs from 1 January 2020. </w:t>
      </w:r>
    </w:p>
    <w:p w14:paraId="77B34DE1" w14:textId="77777777" w:rsidR="00B55335" w:rsidRPr="000346BA" w:rsidRDefault="00B55335" w:rsidP="00B55335">
      <w:pPr>
        <w:pStyle w:val="ListParagraph"/>
        <w:numPr>
          <w:ilvl w:val="0"/>
          <w:numId w:val="0"/>
        </w:numPr>
        <w:shd w:val="clear" w:color="auto" w:fill="FFFFFF"/>
        <w:spacing w:line="260" w:lineRule="atLeast"/>
        <w:ind w:left="360"/>
        <w:rPr>
          <w:rFonts w:ascii="Verdana" w:eastAsia="Times New Roman" w:hAnsi="Verdana"/>
          <w:sz w:val="18"/>
          <w:szCs w:val="18"/>
        </w:rPr>
      </w:pPr>
    </w:p>
    <w:p w14:paraId="34BFB7FC" w14:textId="77777777" w:rsidR="00B55335" w:rsidRPr="000346BA" w:rsidRDefault="00B55335" w:rsidP="002F5DD1">
      <w:pPr>
        <w:pStyle w:val="ListParagraph"/>
        <w:numPr>
          <w:ilvl w:val="0"/>
          <w:numId w:val="7"/>
        </w:numPr>
        <w:shd w:val="clear" w:color="auto" w:fill="FFFFFF"/>
        <w:spacing w:line="260" w:lineRule="atLeast"/>
        <w:rPr>
          <w:rFonts w:ascii="Verdana" w:eastAsia="Times New Roman" w:hAnsi="Verdana"/>
          <w:sz w:val="18"/>
          <w:szCs w:val="18"/>
        </w:rPr>
      </w:pPr>
      <w:r>
        <w:rPr>
          <w:rFonts w:ascii="Times New Roman" w:eastAsia="Times New Roman" w:hAnsi="Times New Roman"/>
          <w:sz w:val="24"/>
          <w:szCs w:val="24"/>
        </w:rPr>
        <w:lastRenderedPageBreak/>
        <w:t>I</w:t>
      </w:r>
      <w:r w:rsidRPr="000346BA">
        <w:rPr>
          <w:rFonts w:ascii="Times New Roman" w:eastAsia="Times New Roman" w:hAnsi="Times New Roman"/>
          <w:sz w:val="24"/>
          <w:szCs w:val="24"/>
        </w:rPr>
        <w:t>mplement Australia’s international obligations under the Kyoto Protocol to regulate two newly listed SGGs (nitrogen trifluoride and PFC-9-1-18 (C</w:t>
      </w:r>
      <w:r w:rsidRPr="000346BA">
        <w:rPr>
          <w:rFonts w:ascii="Times New Roman" w:eastAsia="Times New Roman" w:hAnsi="Times New Roman"/>
          <w:sz w:val="24"/>
          <w:szCs w:val="24"/>
          <w:vertAlign w:val="subscript"/>
        </w:rPr>
        <w:t>10</w:t>
      </w:r>
      <w:r w:rsidRPr="000346BA">
        <w:rPr>
          <w:rFonts w:ascii="Times New Roman" w:eastAsia="Times New Roman" w:hAnsi="Times New Roman"/>
          <w:sz w:val="24"/>
          <w:szCs w:val="24"/>
        </w:rPr>
        <w:t>F</w:t>
      </w:r>
      <w:r w:rsidRPr="000346BA">
        <w:rPr>
          <w:rFonts w:ascii="Times New Roman" w:eastAsia="Times New Roman" w:hAnsi="Times New Roman"/>
          <w:sz w:val="24"/>
          <w:szCs w:val="24"/>
          <w:vertAlign w:val="subscript"/>
        </w:rPr>
        <w:t>18</w:t>
      </w:r>
      <w:r w:rsidRPr="000346BA">
        <w:rPr>
          <w:rFonts w:ascii="Times New Roman" w:eastAsia="Times New Roman" w:hAnsi="Times New Roman"/>
          <w:sz w:val="24"/>
          <w:szCs w:val="24"/>
        </w:rPr>
        <w:t>))</w:t>
      </w:r>
      <w:r>
        <w:rPr>
          <w:rFonts w:ascii="Times New Roman" w:eastAsia="Times New Roman" w:hAnsi="Times New Roman"/>
          <w:sz w:val="24"/>
          <w:szCs w:val="24"/>
        </w:rPr>
        <w:t>.</w:t>
      </w:r>
    </w:p>
    <w:p w14:paraId="3A021324" w14:textId="77777777" w:rsidR="00B55335" w:rsidRPr="000346BA" w:rsidRDefault="00B55335" w:rsidP="00B55335">
      <w:pPr>
        <w:pStyle w:val="ListParagraph"/>
        <w:numPr>
          <w:ilvl w:val="0"/>
          <w:numId w:val="0"/>
        </w:numPr>
        <w:shd w:val="clear" w:color="auto" w:fill="FFFFFF"/>
        <w:spacing w:line="260" w:lineRule="atLeast"/>
        <w:ind w:left="360"/>
        <w:rPr>
          <w:rFonts w:ascii="Verdana" w:eastAsia="Times New Roman" w:hAnsi="Verdana"/>
          <w:sz w:val="18"/>
          <w:szCs w:val="18"/>
        </w:rPr>
      </w:pPr>
    </w:p>
    <w:p w14:paraId="6716D541" w14:textId="30247FFC" w:rsidR="00B55335" w:rsidRPr="004E7BE3" w:rsidRDefault="00B55335" w:rsidP="004E7BE3">
      <w:pPr>
        <w:pStyle w:val="ListParagraph"/>
        <w:numPr>
          <w:ilvl w:val="0"/>
          <w:numId w:val="7"/>
        </w:numPr>
        <w:shd w:val="clear" w:color="auto" w:fill="FFFFFF"/>
        <w:spacing w:line="260" w:lineRule="atLeast"/>
      </w:pPr>
      <w:r>
        <w:rPr>
          <w:rFonts w:ascii="Times New Roman" w:eastAsia="Times New Roman" w:hAnsi="Times New Roman"/>
          <w:sz w:val="24"/>
          <w:szCs w:val="24"/>
        </w:rPr>
        <w:t>S</w:t>
      </w:r>
      <w:r w:rsidRPr="000346BA">
        <w:rPr>
          <w:rFonts w:ascii="Times New Roman" w:eastAsia="Times New Roman" w:hAnsi="Times New Roman"/>
          <w:sz w:val="24"/>
          <w:szCs w:val="24"/>
        </w:rPr>
        <w:t>treamline</w:t>
      </w:r>
      <w:r>
        <w:rPr>
          <w:rFonts w:ascii="Times New Roman" w:eastAsia="Times New Roman" w:hAnsi="Times New Roman"/>
          <w:sz w:val="24"/>
          <w:szCs w:val="24"/>
        </w:rPr>
        <w:t xml:space="preserve"> the</w:t>
      </w:r>
      <w:r w:rsidRPr="000346BA">
        <w:rPr>
          <w:rFonts w:ascii="Times New Roman" w:eastAsia="Times New Roman" w:hAnsi="Times New Roman"/>
          <w:sz w:val="24"/>
          <w:szCs w:val="24"/>
        </w:rPr>
        <w:t xml:space="preserve"> provisions of the OPSGGM Act that relate to equipment bans</w:t>
      </w:r>
      <w:r>
        <w:rPr>
          <w:rFonts w:ascii="Times New Roman" w:eastAsia="Times New Roman" w:hAnsi="Times New Roman"/>
          <w:sz w:val="24"/>
          <w:szCs w:val="24"/>
        </w:rPr>
        <w:t xml:space="preserve"> and ensure that the provisions relating to equipment bans apply consistently to all regulated entities.</w:t>
      </w:r>
    </w:p>
    <w:p w14:paraId="170A0C0F" w14:textId="77777777" w:rsidR="004E7BE3" w:rsidRPr="00A31AAF" w:rsidRDefault="004E7BE3" w:rsidP="004E7BE3">
      <w:pPr>
        <w:pStyle w:val="ListParagraph"/>
        <w:numPr>
          <w:ilvl w:val="0"/>
          <w:numId w:val="0"/>
        </w:numPr>
        <w:shd w:val="clear" w:color="auto" w:fill="FFFFFF"/>
        <w:spacing w:line="260" w:lineRule="atLeast"/>
        <w:ind w:left="360"/>
      </w:pPr>
    </w:p>
    <w:p w14:paraId="72001F6A" w14:textId="77777777" w:rsidR="00B55335" w:rsidRPr="000346BA" w:rsidRDefault="00B55335" w:rsidP="002F5DD1">
      <w:pPr>
        <w:pStyle w:val="ListParagraph"/>
        <w:numPr>
          <w:ilvl w:val="0"/>
          <w:numId w:val="7"/>
        </w:numPr>
        <w:shd w:val="clear" w:color="auto" w:fill="FFFFFF"/>
        <w:spacing w:line="260" w:lineRule="atLeast"/>
        <w:rPr>
          <w:rFonts w:ascii="Verdana" w:eastAsia="Times New Roman" w:hAnsi="Verdana"/>
          <w:sz w:val="18"/>
          <w:szCs w:val="18"/>
        </w:rPr>
      </w:pPr>
      <w:r>
        <w:rPr>
          <w:rFonts w:ascii="Times New Roman" w:eastAsia="Times New Roman" w:hAnsi="Times New Roman"/>
          <w:sz w:val="24"/>
          <w:szCs w:val="24"/>
        </w:rPr>
        <w:t xml:space="preserve">Reduce the regulatory burden on businesses by </w:t>
      </w:r>
      <w:r w:rsidRPr="000346BA">
        <w:rPr>
          <w:rFonts w:ascii="Times New Roman" w:eastAsia="Times New Roman" w:hAnsi="Times New Roman"/>
          <w:sz w:val="24"/>
          <w:szCs w:val="24"/>
        </w:rPr>
        <w:t>enabl</w:t>
      </w:r>
      <w:r>
        <w:rPr>
          <w:rFonts w:ascii="Times New Roman" w:eastAsia="Times New Roman" w:hAnsi="Times New Roman"/>
          <w:sz w:val="24"/>
          <w:szCs w:val="24"/>
        </w:rPr>
        <w:t>ing</w:t>
      </w:r>
      <w:r w:rsidRPr="000346BA">
        <w:rPr>
          <w:rFonts w:ascii="Times New Roman" w:eastAsia="Times New Roman" w:hAnsi="Times New Roman"/>
          <w:sz w:val="24"/>
          <w:szCs w:val="24"/>
        </w:rPr>
        <w:t xml:space="preserve"> licence renewals, reduc</w:t>
      </w:r>
      <w:r>
        <w:rPr>
          <w:rFonts w:ascii="Times New Roman" w:eastAsia="Times New Roman" w:hAnsi="Times New Roman"/>
          <w:sz w:val="24"/>
          <w:szCs w:val="24"/>
        </w:rPr>
        <w:t>ing</w:t>
      </w:r>
      <w:r w:rsidRPr="000346BA">
        <w:rPr>
          <w:rFonts w:ascii="Times New Roman" w:eastAsia="Times New Roman" w:hAnsi="Times New Roman"/>
          <w:sz w:val="24"/>
          <w:szCs w:val="24"/>
        </w:rPr>
        <w:t xml:space="preserve"> the frequency by which licence holders are required to report their regulated activities, and introduc</w:t>
      </w:r>
      <w:r w:rsidRPr="00A946FB">
        <w:rPr>
          <w:rFonts w:ascii="Times New Roman" w:eastAsia="Times New Roman" w:hAnsi="Times New Roman"/>
          <w:sz w:val="24"/>
          <w:szCs w:val="24"/>
        </w:rPr>
        <w:t>ing</w:t>
      </w:r>
      <w:r w:rsidRPr="000346BA">
        <w:rPr>
          <w:rFonts w:ascii="Times New Roman" w:eastAsia="Times New Roman" w:hAnsi="Times New Roman"/>
          <w:sz w:val="24"/>
          <w:szCs w:val="24"/>
        </w:rPr>
        <w:t xml:space="preserve"> a threshold below which the cost recovery levy is not payable.</w:t>
      </w:r>
    </w:p>
    <w:p w14:paraId="41D19C9D" w14:textId="47305654" w:rsidR="009825A4" w:rsidRDefault="00B55335" w:rsidP="004C739F">
      <w:pPr>
        <w:tabs>
          <w:tab w:val="left" w:pos="993"/>
        </w:tabs>
        <w:spacing w:before="240"/>
        <w:rPr>
          <w:rFonts w:ascii="Times New Roman" w:hAnsi="Times New Roman"/>
          <w:sz w:val="24"/>
          <w:szCs w:val="24"/>
        </w:rPr>
      </w:pPr>
      <w:r w:rsidRPr="002E108B">
        <w:rPr>
          <w:rFonts w:ascii="Times New Roman" w:hAnsi="Times New Roman"/>
          <w:sz w:val="24"/>
          <w:szCs w:val="24"/>
        </w:rPr>
        <w:t xml:space="preserve">The purpose of the </w:t>
      </w:r>
      <w:r w:rsidRPr="002E108B">
        <w:rPr>
          <w:rFonts w:ascii="Times New Roman" w:hAnsi="Times New Roman"/>
          <w:i/>
          <w:sz w:val="24"/>
          <w:szCs w:val="24"/>
        </w:rPr>
        <w:t>Ozone Protection and Synthetic Greenhouse Gas Management Legislation Amendment (2017 Measures No. 1) Regulations 2017</w:t>
      </w:r>
      <w:r w:rsidRPr="002E108B">
        <w:rPr>
          <w:rFonts w:ascii="Times New Roman" w:hAnsi="Times New Roman"/>
          <w:sz w:val="24"/>
          <w:szCs w:val="24"/>
        </w:rPr>
        <w:t xml:space="preserve"> (the Regulation</w:t>
      </w:r>
      <w:r w:rsidR="00A249EE" w:rsidRPr="002E108B">
        <w:rPr>
          <w:rFonts w:ascii="Times New Roman" w:hAnsi="Times New Roman"/>
          <w:sz w:val="24"/>
          <w:szCs w:val="24"/>
        </w:rPr>
        <w:t>s</w:t>
      </w:r>
      <w:r w:rsidRPr="002E108B">
        <w:rPr>
          <w:rFonts w:ascii="Times New Roman" w:hAnsi="Times New Roman"/>
          <w:sz w:val="24"/>
          <w:szCs w:val="24"/>
        </w:rPr>
        <w:t xml:space="preserve">) </w:t>
      </w:r>
      <w:r w:rsidR="00A511A0">
        <w:rPr>
          <w:rFonts w:ascii="Times New Roman" w:hAnsi="Times New Roman"/>
          <w:sz w:val="24"/>
          <w:szCs w:val="24"/>
        </w:rPr>
        <w:t>is to</w:t>
      </w:r>
      <w:r w:rsidRPr="002E108B">
        <w:rPr>
          <w:rFonts w:ascii="Times New Roman" w:hAnsi="Times New Roman"/>
          <w:sz w:val="24"/>
          <w:szCs w:val="24"/>
        </w:rPr>
        <w:t xml:space="preserve"> </w:t>
      </w:r>
      <w:r w:rsidRPr="002E108B">
        <w:rPr>
          <w:rFonts w:ascii="Times New Roman" w:hAnsi="Times New Roman"/>
          <w:iCs/>
          <w:sz w:val="24"/>
          <w:szCs w:val="24"/>
          <w:shd w:val="clear" w:color="auto" w:fill="FFFFFF"/>
        </w:rPr>
        <w:t xml:space="preserve">support the implementation </w:t>
      </w:r>
      <w:r w:rsidR="00744862" w:rsidRPr="002E108B">
        <w:rPr>
          <w:rFonts w:ascii="Times New Roman" w:hAnsi="Times New Roman"/>
          <w:iCs/>
          <w:sz w:val="24"/>
          <w:szCs w:val="24"/>
          <w:shd w:val="clear" w:color="auto" w:fill="FFFFFF"/>
        </w:rPr>
        <w:t xml:space="preserve">of </w:t>
      </w:r>
      <w:r w:rsidRPr="002E108B">
        <w:rPr>
          <w:rFonts w:ascii="Times New Roman" w:hAnsi="Times New Roman"/>
          <w:iCs/>
          <w:sz w:val="24"/>
          <w:szCs w:val="24"/>
          <w:shd w:val="clear" w:color="auto" w:fill="FFFFFF"/>
        </w:rPr>
        <w:t>the measures contained in the Amendment Act by</w:t>
      </w:r>
      <w:r w:rsidR="009825A4" w:rsidRPr="002E108B">
        <w:rPr>
          <w:rFonts w:ascii="Times New Roman" w:hAnsi="Times New Roman"/>
          <w:iCs/>
          <w:sz w:val="24"/>
          <w:szCs w:val="24"/>
          <w:shd w:val="clear" w:color="auto" w:fill="FFFFFF"/>
        </w:rPr>
        <w:t xml:space="preserve">: </w:t>
      </w:r>
      <w:r w:rsidR="009825A4" w:rsidRPr="002E108B">
        <w:rPr>
          <w:rFonts w:ascii="Times New Roman" w:hAnsi="Times New Roman"/>
          <w:sz w:val="24"/>
          <w:szCs w:val="24"/>
        </w:rPr>
        <w:t>p</w:t>
      </w:r>
      <w:r w:rsidRPr="002E108B">
        <w:rPr>
          <w:rFonts w:ascii="Times New Roman" w:hAnsi="Times New Roman"/>
          <w:sz w:val="24"/>
          <w:szCs w:val="24"/>
        </w:rPr>
        <w:t>rescribing the detail of the HFC phase-down scheme</w:t>
      </w:r>
      <w:r w:rsidR="009825A4" w:rsidRPr="002E108B">
        <w:rPr>
          <w:rFonts w:ascii="Times New Roman" w:hAnsi="Times New Roman"/>
          <w:sz w:val="24"/>
          <w:szCs w:val="24"/>
        </w:rPr>
        <w:t>; p</w:t>
      </w:r>
      <w:r w:rsidRPr="002E108B">
        <w:rPr>
          <w:rFonts w:ascii="Times New Roman" w:hAnsi="Times New Roman"/>
          <w:sz w:val="24"/>
          <w:szCs w:val="24"/>
        </w:rPr>
        <w:t xml:space="preserve">rescribing </w:t>
      </w:r>
      <w:r w:rsidR="00A31AAF" w:rsidRPr="002E108B">
        <w:rPr>
          <w:rFonts w:ascii="Times New Roman" w:hAnsi="Times New Roman"/>
          <w:sz w:val="24"/>
          <w:szCs w:val="24"/>
        </w:rPr>
        <w:t>allowable uses for</w:t>
      </w:r>
      <w:r w:rsidRPr="002E108B">
        <w:rPr>
          <w:rFonts w:ascii="Times New Roman" w:hAnsi="Times New Roman"/>
          <w:sz w:val="24"/>
          <w:szCs w:val="24"/>
        </w:rPr>
        <w:t xml:space="preserve"> HCFCs from 1 January 2020</w:t>
      </w:r>
      <w:r w:rsidR="009825A4" w:rsidRPr="002E108B">
        <w:rPr>
          <w:rFonts w:ascii="Times New Roman" w:hAnsi="Times New Roman"/>
          <w:sz w:val="24"/>
          <w:szCs w:val="24"/>
        </w:rPr>
        <w:t xml:space="preserve">; </w:t>
      </w:r>
      <w:r w:rsidR="004C739F" w:rsidRPr="002E108B">
        <w:rPr>
          <w:rFonts w:ascii="Times New Roman" w:hAnsi="Times New Roman"/>
          <w:sz w:val="24"/>
          <w:szCs w:val="24"/>
        </w:rPr>
        <w:t>a</w:t>
      </w:r>
      <w:r w:rsidR="009825A4" w:rsidRPr="002E108B">
        <w:rPr>
          <w:rFonts w:ascii="Times New Roman" w:hAnsi="Times New Roman"/>
          <w:sz w:val="24"/>
          <w:szCs w:val="24"/>
        </w:rPr>
        <w:t>llowing the Secretary to delegate functions and powers</w:t>
      </w:r>
      <w:r w:rsidR="004E7BE3" w:rsidRPr="002E108B">
        <w:rPr>
          <w:rFonts w:ascii="Times New Roman" w:hAnsi="Times New Roman"/>
          <w:sz w:val="24"/>
          <w:szCs w:val="24"/>
        </w:rPr>
        <w:t xml:space="preserve"> down</w:t>
      </w:r>
      <w:r w:rsidR="009825A4" w:rsidRPr="002E108B">
        <w:rPr>
          <w:rFonts w:ascii="Times New Roman" w:hAnsi="Times New Roman"/>
          <w:sz w:val="24"/>
          <w:szCs w:val="24"/>
        </w:rPr>
        <w:t xml:space="preserve"> to APS employees who hold or are acting in an Executive Level 2 or equivalent position in the Department</w:t>
      </w:r>
      <w:r w:rsidR="004C739F" w:rsidRPr="002E108B">
        <w:rPr>
          <w:rFonts w:ascii="Times New Roman" w:hAnsi="Times New Roman"/>
          <w:sz w:val="24"/>
          <w:szCs w:val="24"/>
        </w:rPr>
        <w:t>; p</w:t>
      </w:r>
      <w:r w:rsidRPr="002E108B">
        <w:rPr>
          <w:rFonts w:ascii="Times New Roman" w:hAnsi="Times New Roman"/>
          <w:sz w:val="24"/>
          <w:szCs w:val="24"/>
        </w:rPr>
        <w:t>rescribing fee arrangements and other administrative measures necessary to support the renewal of licences</w:t>
      </w:r>
      <w:r w:rsidR="009825A4" w:rsidRPr="002E108B">
        <w:rPr>
          <w:rFonts w:ascii="Times New Roman" w:hAnsi="Times New Roman"/>
          <w:sz w:val="24"/>
          <w:szCs w:val="24"/>
        </w:rPr>
        <w:t>;</w:t>
      </w:r>
      <w:r w:rsidR="004C739F" w:rsidRPr="002E108B">
        <w:rPr>
          <w:rFonts w:ascii="Times New Roman" w:hAnsi="Times New Roman"/>
          <w:sz w:val="24"/>
          <w:szCs w:val="24"/>
        </w:rPr>
        <w:t xml:space="preserve"> u</w:t>
      </w:r>
      <w:r w:rsidR="009825A4" w:rsidRPr="002E108B">
        <w:rPr>
          <w:rFonts w:ascii="Times New Roman" w:hAnsi="Times New Roman"/>
          <w:sz w:val="24"/>
          <w:szCs w:val="24"/>
        </w:rPr>
        <w:t xml:space="preserve">pdating references, removing redundant references, and aligning definitions; </w:t>
      </w:r>
      <w:r w:rsidR="004C739F" w:rsidRPr="002E108B">
        <w:rPr>
          <w:rFonts w:ascii="Times New Roman" w:hAnsi="Times New Roman"/>
          <w:sz w:val="24"/>
          <w:szCs w:val="24"/>
        </w:rPr>
        <w:t>and o</w:t>
      </w:r>
      <w:r w:rsidR="004E7BE3" w:rsidRPr="002E108B">
        <w:rPr>
          <w:rFonts w:ascii="Times New Roman" w:hAnsi="Times New Roman"/>
          <w:sz w:val="24"/>
          <w:szCs w:val="24"/>
        </w:rPr>
        <w:t>t</w:t>
      </w:r>
      <w:r w:rsidR="009825A4" w:rsidRPr="002E108B">
        <w:rPr>
          <w:rFonts w:ascii="Times New Roman" w:hAnsi="Times New Roman"/>
          <w:sz w:val="24"/>
          <w:szCs w:val="24"/>
        </w:rPr>
        <w:t xml:space="preserve">her administrative measures necessary to support the streamlining of licensing provisions, </w:t>
      </w:r>
      <w:r w:rsidR="004E7BE3" w:rsidRPr="002E108B">
        <w:rPr>
          <w:rFonts w:ascii="Times New Roman" w:hAnsi="Times New Roman"/>
          <w:sz w:val="24"/>
          <w:szCs w:val="24"/>
        </w:rPr>
        <w:t>waiver of</w:t>
      </w:r>
      <w:r w:rsidR="009825A4" w:rsidRPr="002E108B">
        <w:rPr>
          <w:rFonts w:ascii="Times New Roman" w:hAnsi="Times New Roman"/>
          <w:sz w:val="24"/>
          <w:szCs w:val="24"/>
        </w:rPr>
        <w:t xml:space="preserve"> uneconomic levy debts, and reduced reporting frequency.</w:t>
      </w:r>
      <w:r w:rsidR="009825A4" w:rsidRPr="009825A4">
        <w:rPr>
          <w:rFonts w:ascii="Times New Roman" w:hAnsi="Times New Roman"/>
          <w:sz w:val="24"/>
          <w:szCs w:val="24"/>
        </w:rPr>
        <w:t xml:space="preserve"> </w:t>
      </w:r>
    </w:p>
    <w:p w14:paraId="2E9F530B" w14:textId="77777777" w:rsidR="00A511A0" w:rsidRDefault="00A511A0" w:rsidP="00A511A0">
      <w:pPr>
        <w:tabs>
          <w:tab w:val="left" w:pos="993"/>
        </w:tabs>
        <w:rPr>
          <w:rFonts w:ascii="Times New Roman" w:hAnsi="Times New Roman"/>
          <w:sz w:val="24"/>
          <w:szCs w:val="24"/>
        </w:rPr>
      </w:pPr>
    </w:p>
    <w:p w14:paraId="3ABAE2E6" w14:textId="77777777" w:rsidR="00A511A0" w:rsidRDefault="00A511A0" w:rsidP="00A511A0">
      <w:pPr>
        <w:tabs>
          <w:tab w:val="left" w:pos="993"/>
        </w:tabs>
        <w:rPr>
          <w:rFonts w:ascii="Times New Roman" w:hAnsi="Times New Roman"/>
          <w:sz w:val="24"/>
          <w:szCs w:val="24"/>
        </w:rPr>
      </w:pPr>
      <w:r>
        <w:rPr>
          <w:rFonts w:ascii="Times New Roman" w:hAnsi="Times New Roman"/>
          <w:sz w:val="24"/>
          <w:szCs w:val="24"/>
        </w:rPr>
        <w:t xml:space="preserve">Relevant industry stakeholders (including HFC importers, equipment manufacturers, end users, state and territory governments, and non-government organisations) were consulted regularly throughout the Review between 2014 and 2016. This consultation included the measures included in the Regulations. Consultation was undertaken through public consultation meetings, invitations for public comment on an options paper, participation in a technical working group representative of stakeholders, and regular meetings with HFC importers, equipment manufacturers, and end users. HFC importers and equipment manufacturers were also consulted with in deciding Australia’s revised phase-down schedule following agreement to the global HFC phase-down under the Montreal Protocol in October 2016. </w:t>
      </w:r>
    </w:p>
    <w:p w14:paraId="31419D65" w14:textId="77777777" w:rsidR="00A511A0" w:rsidRDefault="00A511A0" w:rsidP="00B55335">
      <w:pPr>
        <w:tabs>
          <w:tab w:val="left" w:pos="993"/>
        </w:tabs>
        <w:rPr>
          <w:rFonts w:ascii="Times New Roman" w:hAnsi="Times New Roman"/>
          <w:sz w:val="24"/>
          <w:szCs w:val="24"/>
        </w:rPr>
      </w:pPr>
    </w:p>
    <w:p w14:paraId="17ECA86C" w14:textId="3D4001B6" w:rsidR="00B55335" w:rsidRPr="00A52610" w:rsidRDefault="00B55335" w:rsidP="00B55335">
      <w:pPr>
        <w:tabs>
          <w:tab w:val="left" w:pos="993"/>
        </w:tabs>
        <w:rPr>
          <w:rFonts w:ascii="Times New Roman" w:hAnsi="Times New Roman"/>
          <w:sz w:val="24"/>
          <w:szCs w:val="24"/>
        </w:rPr>
      </w:pPr>
      <w:r w:rsidRPr="00A52610">
        <w:rPr>
          <w:rFonts w:ascii="Times New Roman" w:hAnsi="Times New Roman"/>
          <w:sz w:val="24"/>
          <w:szCs w:val="24"/>
        </w:rPr>
        <w:t>Details of the Regulation</w:t>
      </w:r>
      <w:r>
        <w:rPr>
          <w:rFonts w:ascii="Times New Roman" w:hAnsi="Times New Roman"/>
          <w:sz w:val="24"/>
          <w:szCs w:val="24"/>
        </w:rPr>
        <w:t>s</w:t>
      </w:r>
      <w:r w:rsidRPr="00A52610">
        <w:rPr>
          <w:rFonts w:ascii="Times New Roman" w:hAnsi="Times New Roman"/>
          <w:sz w:val="24"/>
          <w:szCs w:val="24"/>
        </w:rPr>
        <w:t xml:space="preserve"> are set out in</w:t>
      </w:r>
      <w:r w:rsidR="004C739F">
        <w:rPr>
          <w:rFonts w:ascii="Times New Roman" w:hAnsi="Times New Roman"/>
          <w:sz w:val="24"/>
          <w:szCs w:val="24"/>
        </w:rPr>
        <w:t xml:space="preserve"> the</w:t>
      </w:r>
      <w:r w:rsidRPr="00A52610">
        <w:rPr>
          <w:rFonts w:ascii="Times New Roman" w:hAnsi="Times New Roman"/>
          <w:sz w:val="24"/>
          <w:szCs w:val="24"/>
        </w:rPr>
        <w:t xml:space="preserve"> </w:t>
      </w:r>
      <w:r w:rsidRPr="00A52610">
        <w:rPr>
          <w:rFonts w:ascii="Times New Roman" w:hAnsi="Times New Roman"/>
          <w:sz w:val="24"/>
          <w:szCs w:val="24"/>
          <w:u w:val="single"/>
        </w:rPr>
        <w:t>Attachment</w:t>
      </w:r>
      <w:r w:rsidRPr="00A52610">
        <w:rPr>
          <w:rFonts w:ascii="Times New Roman" w:hAnsi="Times New Roman"/>
          <w:sz w:val="24"/>
          <w:szCs w:val="24"/>
        </w:rPr>
        <w:t xml:space="preserve">. </w:t>
      </w:r>
    </w:p>
    <w:p w14:paraId="6D05F80C" w14:textId="77777777" w:rsidR="00B55335" w:rsidRPr="00A52610" w:rsidRDefault="00B55335" w:rsidP="00B55335">
      <w:pPr>
        <w:rPr>
          <w:sz w:val="24"/>
          <w:szCs w:val="24"/>
        </w:rPr>
      </w:pPr>
    </w:p>
    <w:p w14:paraId="1909C2C6" w14:textId="5B8E6AAC" w:rsidR="00B55335" w:rsidRDefault="00B55335" w:rsidP="00B55335">
      <w:pPr>
        <w:rPr>
          <w:rFonts w:ascii="Times New Roman" w:hAnsi="Times New Roman"/>
          <w:sz w:val="24"/>
          <w:szCs w:val="24"/>
        </w:rPr>
      </w:pPr>
      <w:r w:rsidRPr="00A52610">
        <w:rPr>
          <w:rFonts w:ascii="Times New Roman" w:hAnsi="Times New Roman"/>
          <w:sz w:val="24"/>
          <w:szCs w:val="24"/>
        </w:rPr>
        <w:t>The Act</w:t>
      </w:r>
      <w:r w:rsidR="009825A4">
        <w:rPr>
          <w:rFonts w:ascii="Times New Roman" w:hAnsi="Times New Roman"/>
          <w:sz w:val="24"/>
          <w:szCs w:val="24"/>
        </w:rPr>
        <w:t>s</w:t>
      </w:r>
      <w:r w:rsidRPr="00A52610">
        <w:rPr>
          <w:rFonts w:ascii="Times New Roman" w:hAnsi="Times New Roman"/>
          <w:sz w:val="24"/>
          <w:szCs w:val="24"/>
        </w:rPr>
        <w:t xml:space="preserve"> </w:t>
      </w:r>
      <w:r w:rsidR="009825A4">
        <w:rPr>
          <w:rFonts w:ascii="Times New Roman" w:hAnsi="Times New Roman"/>
          <w:sz w:val="24"/>
          <w:szCs w:val="24"/>
        </w:rPr>
        <w:t>specif</w:t>
      </w:r>
      <w:r w:rsidR="006C4A31">
        <w:rPr>
          <w:rFonts w:ascii="Times New Roman" w:hAnsi="Times New Roman"/>
          <w:sz w:val="24"/>
          <w:szCs w:val="24"/>
        </w:rPr>
        <w:t>y</w:t>
      </w:r>
      <w:r w:rsidR="009825A4">
        <w:rPr>
          <w:rFonts w:ascii="Times New Roman" w:hAnsi="Times New Roman"/>
          <w:sz w:val="24"/>
          <w:szCs w:val="24"/>
        </w:rPr>
        <w:t xml:space="preserve"> no </w:t>
      </w:r>
      <w:r w:rsidRPr="00A52610">
        <w:rPr>
          <w:rFonts w:ascii="Times New Roman" w:hAnsi="Times New Roman"/>
          <w:sz w:val="24"/>
          <w:szCs w:val="24"/>
        </w:rPr>
        <w:t xml:space="preserve">conditions that need to be satisfied before the power to make the Regulations </w:t>
      </w:r>
      <w:r w:rsidR="00A249EE">
        <w:rPr>
          <w:rFonts w:ascii="Times New Roman" w:hAnsi="Times New Roman"/>
          <w:sz w:val="24"/>
          <w:szCs w:val="24"/>
        </w:rPr>
        <w:t>may be</w:t>
      </w:r>
      <w:r w:rsidRPr="00A52610">
        <w:rPr>
          <w:rFonts w:ascii="Times New Roman" w:hAnsi="Times New Roman"/>
          <w:sz w:val="24"/>
          <w:szCs w:val="24"/>
        </w:rPr>
        <w:t xml:space="preserve"> exercised.</w:t>
      </w:r>
    </w:p>
    <w:p w14:paraId="2681D450" w14:textId="77777777" w:rsidR="00B55335" w:rsidRDefault="00B55335" w:rsidP="00B55335">
      <w:pPr>
        <w:tabs>
          <w:tab w:val="left" w:pos="993"/>
        </w:tabs>
        <w:rPr>
          <w:rFonts w:ascii="Times New Roman" w:hAnsi="Times New Roman"/>
          <w:sz w:val="24"/>
          <w:szCs w:val="24"/>
        </w:rPr>
      </w:pPr>
    </w:p>
    <w:p w14:paraId="5DBAC53F" w14:textId="73C1AB25" w:rsidR="00B55335" w:rsidRPr="00A52610" w:rsidRDefault="00B55335" w:rsidP="00B55335">
      <w:pPr>
        <w:tabs>
          <w:tab w:val="left" w:pos="993"/>
        </w:tabs>
        <w:rPr>
          <w:rFonts w:ascii="Times New Roman" w:hAnsi="Times New Roman"/>
          <w:sz w:val="24"/>
          <w:szCs w:val="24"/>
        </w:rPr>
      </w:pPr>
      <w:r w:rsidRPr="00A52610">
        <w:rPr>
          <w:rFonts w:ascii="Times New Roman" w:hAnsi="Times New Roman"/>
          <w:sz w:val="24"/>
          <w:szCs w:val="24"/>
        </w:rPr>
        <w:t xml:space="preserve">The Regulations </w:t>
      </w:r>
      <w:r w:rsidR="00A511A0">
        <w:rPr>
          <w:rFonts w:ascii="Times New Roman" w:hAnsi="Times New Roman"/>
          <w:sz w:val="24"/>
          <w:szCs w:val="24"/>
        </w:rPr>
        <w:t>are</w:t>
      </w:r>
      <w:r w:rsidRPr="00A52610">
        <w:rPr>
          <w:rFonts w:ascii="Times New Roman" w:hAnsi="Times New Roman"/>
          <w:sz w:val="24"/>
          <w:szCs w:val="24"/>
        </w:rPr>
        <w:t xml:space="preserve"> a legislative instrument for the purposes of the </w:t>
      </w:r>
      <w:r>
        <w:rPr>
          <w:rFonts w:ascii="Times New Roman" w:hAnsi="Times New Roman"/>
          <w:i/>
          <w:sz w:val="24"/>
          <w:szCs w:val="24"/>
        </w:rPr>
        <w:t>Legislation</w:t>
      </w:r>
      <w:r w:rsidRPr="00A52610">
        <w:rPr>
          <w:rFonts w:ascii="Times New Roman" w:hAnsi="Times New Roman"/>
          <w:i/>
          <w:sz w:val="24"/>
          <w:szCs w:val="24"/>
        </w:rPr>
        <w:t xml:space="preserve"> Act 2003</w:t>
      </w:r>
      <w:r w:rsidRPr="00A52610">
        <w:rPr>
          <w:rFonts w:ascii="Times New Roman" w:hAnsi="Times New Roman"/>
          <w:sz w:val="24"/>
          <w:szCs w:val="24"/>
        </w:rPr>
        <w:t>.</w:t>
      </w:r>
    </w:p>
    <w:p w14:paraId="612DE6F7" w14:textId="77777777" w:rsidR="00B55335" w:rsidRPr="00A52610" w:rsidRDefault="00B55335" w:rsidP="00B55335">
      <w:pPr>
        <w:tabs>
          <w:tab w:val="left" w:pos="993"/>
        </w:tabs>
        <w:rPr>
          <w:rFonts w:ascii="Times New Roman" w:hAnsi="Times New Roman"/>
          <w:sz w:val="24"/>
          <w:szCs w:val="24"/>
        </w:rPr>
      </w:pPr>
    </w:p>
    <w:p w14:paraId="39026CD8" w14:textId="20DFB9D1" w:rsidR="00B55335" w:rsidRDefault="00B55335" w:rsidP="00B55335">
      <w:pPr>
        <w:tabs>
          <w:tab w:val="left" w:pos="993"/>
        </w:tabs>
        <w:rPr>
          <w:rFonts w:ascii="Times New Roman" w:hAnsi="Times New Roman"/>
          <w:sz w:val="24"/>
          <w:szCs w:val="24"/>
        </w:rPr>
      </w:pPr>
      <w:r>
        <w:rPr>
          <w:rFonts w:ascii="Times New Roman" w:hAnsi="Times New Roman"/>
          <w:sz w:val="24"/>
          <w:szCs w:val="24"/>
        </w:rPr>
        <w:t xml:space="preserve">Sections 1- 4 </w:t>
      </w:r>
      <w:r w:rsidRPr="00A52610">
        <w:rPr>
          <w:rFonts w:ascii="Times New Roman" w:hAnsi="Times New Roman"/>
          <w:sz w:val="24"/>
          <w:szCs w:val="24"/>
        </w:rPr>
        <w:t xml:space="preserve">commence </w:t>
      </w:r>
      <w:r>
        <w:rPr>
          <w:rFonts w:ascii="Times New Roman" w:hAnsi="Times New Roman"/>
          <w:sz w:val="24"/>
          <w:szCs w:val="24"/>
        </w:rPr>
        <w:t xml:space="preserve">the day after </w:t>
      </w:r>
      <w:r w:rsidR="00487C17" w:rsidRPr="00A52610">
        <w:rPr>
          <w:rFonts w:ascii="Times New Roman" w:hAnsi="Times New Roman"/>
          <w:sz w:val="24"/>
          <w:szCs w:val="24"/>
        </w:rPr>
        <w:t>the Regulation</w:t>
      </w:r>
      <w:r w:rsidR="00487C17">
        <w:rPr>
          <w:rFonts w:ascii="Times New Roman" w:hAnsi="Times New Roman"/>
          <w:sz w:val="24"/>
          <w:szCs w:val="24"/>
        </w:rPr>
        <w:t>s</w:t>
      </w:r>
      <w:r w:rsidR="00487C17" w:rsidRPr="00A52610">
        <w:rPr>
          <w:rFonts w:ascii="Times New Roman" w:hAnsi="Times New Roman"/>
          <w:sz w:val="24"/>
          <w:szCs w:val="24"/>
        </w:rPr>
        <w:t xml:space="preserve"> are</w:t>
      </w:r>
      <w:r>
        <w:rPr>
          <w:rFonts w:ascii="Times New Roman" w:hAnsi="Times New Roman"/>
          <w:sz w:val="24"/>
          <w:szCs w:val="24"/>
        </w:rPr>
        <w:t xml:space="preserve"> registered on the Federal Register of Legislation. Schedule 1 commence</w:t>
      </w:r>
      <w:r w:rsidR="00A511A0">
        <w:rPr>
          <w:rFonts w:ascii="Times New Roman" w:hAnsi="Times New Roman"/>
          <w:sz w:val="24"/>
          <w:szCs w:val="24"/>
        </w:rPr>
        <w:t>s</w:t>
      </w:r>
      <w:r>
        <w:rPr>
          <w:rFonts w:ascii="Times New Roman" w:hAnsi="Times New Roman"/>
          <w:sz w:val="24"/>
          <w:szCs w:val="24"/>
        </w:rPr>
        <w:t xml:space="preserve"> </w:t>
      </w:r>
      <w:r w:rsidR="003518D2">
        <w:rPr>
          <w:rFonts w:ascii="Times New Roman" w:hAnsi="Times New Roman"/>
          <w:sz w:val="24"/>
          <w:szCs w:val="24"/>
        </w:rPr>
        <w:t xml:space="preserve">on </w:t>
      </w:r>
      <w:r>
        <w:rPr>
          <w:rFonts w:ascii="Times New Roman" w:hAnsi="Times New Roman"/>
          <w:sz w:val="24"/>
          <w:szCs w:val="24"/>
        </w:rPr>
        <w:t>1 August 2017. Schedule 2 commence</w:t>
      </w:r>
      <w:r w:rsidR="00A511A0">
        <w:rPr>
          <w:rFonts w:ascii="Times New Roman" w:hAnsi="Times New Roman"/>
          <w:sz w:val="24"/>
          <w:szCs w:val="24"/>
        </w:rPr>
        <w:t>s</w:t>
      </w:r>
      <w:r>
        <w:rPr>
          <w:rFonts w:ascii="Times New Roman" w:hAnsi="Times New Roman"/>
          <w:sz w:val="24"/>
          <w:szCs w:val="24"/>
        </w:rPr>
        <w:t xml:space="preserve"> </w:t>
      </w:r>
      <w:r w:rsidR="003518D2">
        <w:rPr>
          <w:rFonts w:ascii="Times New Roman" w:hAnsi="Times New Roman"/>
          <w:sz w:val="24"/>
          <w:szCs w:val="24"/>
        </w:rPr>
        <w:t xml:space="preserve">on </w:t>
      </w:r>
      <w:r w:rsidR="00A511A0">
        <w:rPr>
          <w:rFonts w:ascii="Times New Roman" w:hAnsi="Times New Roman"/>
          <w:sz w:val="24"/>
          <w:szCs w:val="24"/>
        </w:rPr>
        <w:br/>
      </w:r>
      <w:r>
        <w:rPr>
          <w:rFonts w:ascii="Times New Roman" w:hAnsi="Times New Roman"/>
          <w:sz w:val="24"/>
          <w:szCs w:val="24"/>
        </w:rPr>
        <w:t>1 January 2018 and Schedule 3 commence</w:t>
      </w:r>
      <w:r w:rsidR="00A511A0">
        <w:rPr>
          <w:rFonts w:ascii="Times New Roman" w:hAnsi="Times New Roman"/>
          <w:sz w:val="24"/>
          <w:szCs w:val="24"/>
        </w:rPr>
        <w:t>s</w:t>
      </w:r>
      <w:r>
        <w:rPr>
          <w:rFonts w:ascii="Times New Roman" w:hAnsi="Times New Roman"/>
          <w:sz w:val="24"/>
          <w:szCs w:val="24"/>
        </w:rPr>
        <w:t xml:space="preserve"> </w:t>
      </w:r>
      <w:r w:rsidR="003518D2">
        <w:rPr>
          <w:rFonts w:ascii="Times New Roman" w:hAnsi="Times New Roman"/>
          <w:sz w:val="24"/>
          <w:szCs w:val="24"/>
        </w:rPr>
        <w:t xml:space="preserve">on </w:t>
      </w:r>
      <w:r>
        <w:rPr>
          <w:rFonts w:ascii="Times New Roman" w:hAnsi="Times New Roman"/>
          <w:sz w:val="24"/>
          <w:szCs w:val="24"/>
        </w:rPr>
        <w:t xml:space="preserve">1 January 2020. </w:t>
      </w:r>
    </w:p>
    <w:p w14:paraId="2D166F84" w14:textId="77777777" w:rsidR="00B55335" w:rsidRPr="00A52610" w:rsidRDefault="00B55335" w:rsidP="00B55335">
      <w:pPr>
        <w:tabs>
          <w:tab w:val="left" w:pos="993"/>
        </w:tabs>
        <w:rPr>
          <w:rFonts w:ascii="Times New Roman" w:hAnsi="Times New Roman"/>
          <w:sz w:val="24"/>
          <w:szCs w:val="24"/>
        </w:rPr>
      </w:pPr>
    </w:p>
    <w:p w14:paraId="3C7E022F" w14:textId="077A72C4" w:rsidR="00A511A0" w:rsidRPr="00A11039" w:rsidRDefault="00A249EE" w:rsidP="00A511A0">
      <w:pPr>
        <w:spacing w:before="120" w:after="120"/>
        <w:jc w:val="center"/>
        <w:rPr>
          <w:rFonts w:ascii="Times New Roman" w:hAnsi="Times New Roman"/>
          <w:b/>
          <w:sz w:val="24"/>
          <w:szCs w:val="24"/>
        </w:rPr>
      </w:pPr>
      <w:r>
        <w:rPr>
          <w:rFonts w:ascii="Times New Roman" w:hAnsi="Times New Roman"/>
          <w:b/>
          <w:sz w:val="24"/>
          <w:szCs w:val="24"/>
          <w:u w:val="single"/>
        </w:rPr>
        <w:br w:type="page"/>
      </w:r>
      <w:r w:rsidR="00A511A0" w:rsidRPr="00A11039">
        <w:rPr>
          <w:rFonts w:ascii="Times New Roman" w:hAnsi="Times New Roman"/>
          <w:b/>
          <w:iCs/>
          <w:sz w:val="24"/>
          <w:szCs w:val="24"/>
        </w:rPr>
        <w:lastRenderedPageBreak/>
        <w:t>Statement of Compatibility with Human Rights</w:t>
      </w:r>
    </w:p>
    <w:p w14:paraId="492687AF" w14:textId="77777777" w:rsidR="00A511A0" w:rsidRPr="00A11039" w:rsidRDefault="00A511A0" w:rsidP="00A511A0">
      <w:pPr>
        <w:spacing w:before="120" w:after="120"/>
        <w:jc w:val="center"/>
        <w:rPr>
          <w:rFonts w:ascii="Times New Roman" w:hAnsi="Times New Roman"/>
          <w:i/>
          <w:sz w:val="24"/>
          <w:szCs w:val="24"/>
        </w:rPr>
      </w:pPr>
    </w:p>
    <w:p w14:paraId="663030C5" w14:textId="77777777" w:rsidR="00A511A0" w:rsidRPr="00A11039" w:rsidRDefault="00A511A0" w:rsidP="00A511A0">
      <w:pPr>
        <w:spacing w:before="120" w:after="120"/>
        <w:jc w:val="center"/>
        <w:rPr>
          <w:rFonts w:ascii="Times New Roman" w:hAnsi="Times New Roman"/>
          <w:sz w:val="24"/>
          <w:szCs w:val="24"/>
        </w:rPr>
      </w:pPr>
      <w:r w:rsidRPr="00A11039">
        <w:rPr>
          <w:rFonts w:ascii="Times New Roman" w:hAnsi="Times New Roman"/>
          <w:i/>
          <w:sz w:val="24"/>
          <w:szCs w:val="24"/>
        </w:rPr>
        <w:t>Prepared in accordance with Part 3 of the Human Rights (Parliamentary Scrutiny) Act 2011</w:t>
      </w:r>
    </w:p>
    <w:p w14:paraId="61CBDA7E" w14:textId="77777777" w:rsidR="00A511A0" w:rsidRDefault="00A511A0" w:rsidP="00A511A0">
      <w:pPr>
        <w:jc w:val="center"/>
        <w:rPr>
          <w:rFonts w:ascii="Times New Roman" w:hAnsi="Times New Roman"/>
          <w:b/>
          <w:sz w:val="24"/>
          <w:szCs w:val="24"/>
        </w:rPr>
      </w:pPr>
      <w:r w:rsidRPr="00A11039">
        <w:rPr>
          <w:rFonts w:ascii="Times New Roman" w:hAnsi="Times New Roman"/>
          <w:b/>
          <w:sz w:val="24"/>
          <w:szCs w:val="24"/>
        </w:rPr>
        <w:t>Ozone Protection and Synthetic Greenhouse Gas Management Legislation Amendment (2017 Measures No. 1) Regulations 2017</w:t>
      </w:r>
    </w:p>
    <w:p w14:paraId="4FF91279" w14:textId="77777777" w:rsidR="000E27EE" w:rsidRPr="00A11039" w:rsidRDefault="000E27EE" w:rsidP="00A511A0">
      <w:pPr>
        <w:jc w:val="center"/>
        <w:rPr>
          <w:rFonts w:ascii="Times New Roman" w:hAnsi="Times New Roman"/>
          <w:b/>
          <w:sz w:val="24"/>
          <w:szCs w:val="24"/>
        </w:rPr>
      </w:pPr>
    </w:p>
    <w:p w14:paraId="648A0750" w14:textId="77777777" w:rsidR="00A511A0" w:rsidRPr="00A11039" w:rsidRDefault="00A511A0" w:rsidP="00A511A0">
      <w:pPr>
        <w:spacing w:before="120" w:after="120"/>
        <w:jc w:val="both"/>
        <w:rPr>
          <w:rFonts w:ascii="Times New Roman" w:hAnsi="Times New Roman"/>
          <w:b/>
          <w:sz w:val="24"/>
          <w:szCs w:val="24"/>
        </w:rPr>
      </w:pPr>
      <w:r w:rsidRPr="00A11039">
        <w:rPr>
          <w:rFonts w:ascii="Times New Roman" w:hAnsi="Times New Roman"/>
          <w:b/>
          <w:sz w:val="24"/>
          <w:szCs w:val="24"/>
        </w:rPr>
        <w:t>Overview of the Legislative Instrument</w:t>
      </w:r>
    </w:p>
    <w:p w14:paraId="1E47655A" w14:textId="04F1EC0B" w:rsidR="00A511A0" w:rsidRPr="00A11039" w:rsidRDefault="00A511A0" w:rsidP="00A511A0">
      <w:pPr>
        <w:shd w:val="clear" w:color="auto" w:fill="FFFFFF"/>
        <w:spacing w:line="260" w:lineRule="atLeast"/>
        <w:rPr>
          <w:rFonts w:ascii="Times New Roman" w:eastAsia="Times New Roman" w:hAnsi="Times New Roman"/>
          <w:sz w:val="24"/>
          <w:szCs w:val="24"/>
        </w:rPr>
      </w:pPr>
      <w:r w:rsidRPr="00A11039">
        <w:rPr>
          <w:rFonts w:ascii="Times New Roman" w:eastAsia="Times New Roman" w:hAnsi="Times New Roman"/>
          <w:sz w:val="24"/>
          <w:szCs w:val="24"/>
        </w:rPr>
        <w:t xml:space="preserve">The </w:t>
      </w:r>
      <w:r w:rsidRPr="00A11039">
        <w:rPr>
          <w:rFonts w:ascii="Times New Roman" w:hAnsi="Times New Roman"/>
          <w:i/>
          <w:iCs/>
          <w:sz w:val="24"/>
          <w:szCs w:val="24"/>
          <w:shd w:val="clear" w:color="auto" w:fill="FFFFFF"/>
        </w:rPr>
        <w:t xml:space="preserve">Ozone Protection and Synthetic Greenhouse Gas Management Legislation Amendment </w:t>
      </w:r>
      <w:r w:rsidRPr="00A11039">
        <w:rPr>
          <w:rFonts w:ascii="Times New Roman" w:hAnsi="Times New Roman"/>
          <w:i/>
          <w:iCs/>
          <w:sz w:val="24"/>
          <w:szCs w:val="24"/>
          <w:shd w:val="clear" w:color="auto" w:fill="FFFFFF"/>
        </w:rPr>
        <w:br/>
        <w:t>Act 2017</w:t>
      </w:r>
      <w:r w:rsidRPr="00A11039">
        <w:rPr>
          <w:i/>
          <w:iCs/>
          <w:shd w:val="clear" w:color="auto" w:fill="FFFFFF"/>
        </w:rPr>
        <w:t xml:space="preserve"> </w:t>
      </w:r>
      <w:r w:rsidRPr="00A11039">
        <w:rPr>
          <w:rFonts w:ascii="Times New Roman" w:eastAsia="Times New Roman" w:hAnsi="Times New Roman"/>
          <w:sz w:val="24"/>
          <w:szCs w:val="24"/>
        </w:rPr>
        <w:t>(</w:t>
      </w:r>
      <w:r w:rsidR="000E27EE">
        <w:rPr>
          <w:rFonts w:ascii="Times New Roman" w:eastAsia="Times New Roman" w:hAnsi="Times New Roman"/>
          <w:sz w:val="24"/>
          <w:szCs w:val="24"/>
        </w:rPr>
        <w:t xml:space="preserve">the </w:t>
      </w:r>
      <w:r w:rsidRPr="00A11039">
        <w:rPr>
          <w:rFonts w:ascii="Times New Roman" w:eastAsia="Times New Roman" w:hAnsi="Times New Roman"/>
          <w:sz w:val="24"/>
          <w:szCs w:val="24"/>
        </w:rPr>
        <w:t xml:space="preserve">Amendment Act) amends the </w:t>
      </w:r>
      <w:r w:rsidRPr="00A11039">
        <w:rPr>
          <w:rFonts w:ascii="Times New Roman" w:hAnsi="Times New Roman"/>
          <w:i/>
          <w:sz w:val="24"/>
          <w:szCs w:val="24"/>
        </w:rPr>
        <w:t>Ozone Protection and Synthetic Greenhouse Gas Management Act 1989</w:t>
      </w:r>
      <w:r w:rsidRPr="00A11039">
        <w:rPr>
          <w:rFonts w:ascii="Times New Roman" w:eastAsia="Times New Roman" w:hAnsi="Times New Roman"/>
          <w:sz w:val="24"/>
          <w:szCs w:val="24"/>
        </w:rPr>
        <w:t xml:space="preserve">, the </w:t>
      </w:r>
      <w:r w:rsidRPr="00A11039">
        <w:rPr>
          <w:rFonts w:ascii="Times New Roman" w:hAnsi="Times New Roman"/>
          <w:i/>
          <w:iCs/>
          <w:sz w:val="24"/>
          <w:szCs w:val="24"/>
          <w:shd w:val="clear" w:color="auto" w:fill="FFFFFF"/>
        </w:rPr>
        <w:t>Ozone Protection and Synthetic Greenhouse Gas (Import Levy) Act 1995</w:t>
      </w:r>
      <w:r w:rsidRPr="00A11039">
        <w:rPr>
          <w:rFonts w:ascii="Times New Roman" w:eastAsia="Times New Roman" w:hAnsi="Times New Roman"/>
          <w:sz w:val="24"/>
          <w:szCs w:val="24"/>
        </w:rPr>
        <w:t xml:space="preserve">, and the </w:t>
      </w:r>
      <w:r w:rsidRPr="00A11039">
        <w:rPr>
          <w:rFonts w:ascii="Times New Roman" w:hAnsi="Times New Roman"/>
          <w:i/>
          <w:iCs/>
          <w:sz w:val="24"/>
          <w:szCs w:val="24"/>
          <w:shd w:val="clear" w:color="auto" w:fill="FFFFFF"/>
        </w:rPr>
        <w:t>Ozone Protection and Synthetic Greenhouse Gas (Manufacture Levy) Act 1995</w:t>
      </w:r>
      <w:r w:rsidRPr="00A11039">
        <w:rPr>
          <w:rFonts w:ascii="Times New Roman" w:eastAsia="Times New Roman" w:hAnsi="Times New Roman"/>
          <w:sz w:val="24"/>
          <w:szCs w:val="24"/>
        </w:rPr>
        <w:t xml:space="preserve"> to:</w:t>
      </w:r>
    </w:p>
    <w:p w14:paraId="69B5A94A" w14:textId="77777777" w:rsidR="00A11039" w:rsidRPr="00A511A0" w:rsidRDefault="00A11039" w:rsidP="00A511A0">
      <w:pPr>
        <w:shd w:val="clear" w:color="auto" w:fill="FFFFFF"/>
        <w:spacing w:line="260" w:lineRule="atLeast"/>
        <w:rPr>
          <w:rFonts w:ascii="Times New Roman" w:eastAsia="Times New Roman" w:hAnsi="Times New Roman"/>
          <w:sz w:val="24"/>
          <w:szCs w:val="24"/>
          <w:highlight w:val="yellow"/>
        </w:rPr>
      </w:pPr>
    </w:p>
    <w:p w14:paraId="3407E6A4" w14:textId="77777777" w:rsidR="00A511A0" w:rsidRPr="00A11039" w:rsidRDefault="00A511A0" w:rsidP="00A11039">
      <w:pPr>
        <w:pStyle w:val="ListParagraph"/>
        <w:numPr>
          <w:ilvl w:val="0"/>
          <w:numId w:val="10"/>
        </w:numPr>
        <w:shd w:val="clear" w:color="auto" w:fill="FFFFFF"/>
        <w:spacing w:line="260" w:lineRule="atLeast"/>
        <w:rPr>
          <w:rFonts w:ascii="Times New Roman" w:eastAsia="Times New Roman" w:hAnsi="Times New Roman"/>
          <w:sz w:val="24"/>
          <w:szCs w:val="24"/>
        </w:rPr>
      </w:pPr>
      <w:r w:rsidRPr="00A11039">
        <w:rPr>
          <w:rFonts w:ascii="Times New Roman" w:eastAsia="Times New Roman" w:hAnsi="Times New Roman"/>
          <w:sz w:val="24"/>
          <w:szCs w:val="24"/>
        </w:rPr>
        <w:t xml:space="preserve">Implement the Australian Government’s commitment to phase-down the import of HFCs from 1 January 2018. </w:t>
      </w:r>
    </w:p>
    <w:p w14:paraId="2E27FD38" w14:textId="77777777" w:rsidR="00A511A0" w:rsidRPr="00A11039" w:rsidRDefault="00A511A0" w:rsidP="00A11039">
      <w:pPr>
        <w:pStyle w:val="ListParagraph"/>
        <w:numPr>
          <w:ilvl w:val="0"/>
          <w:numId w:val="10"/>
        </w:numPr>
        <w:shd w:val="clear" w:color="auto" w:fill="FFFFFF"/>
        <w:spacing w:line="260" w:lineRule="atLeast"/>
        <w:rPr>
          <w:rFonts w:ascii="Times New Roman" w:eastAsia="Times New Roman" w:hAnsi="Times New Roman"/>
          <w:sz w:val="24"/>
          <w:szCs w:val="24"/>
        </w:rPr>
      </w:pPr>
      <w:r w:rsidRPr="00A11039">
        <w:rPr>
          <w:rFonts w:ascii="Times New Roman" w:eastAsia="Times New Roman" w:hAnsi="Times New Roman"/>
          <w:sz w:val="24"/>
          <w:szCs w:val="24"/>
        </w:rPr>
        <w:t xml:space="preserve">Improve the operation of existing provisions relating to the </w:t>
      </w:r>
      <w:proofErr w:type="spellStart"/>
      <w:r w:rsidRPr="00A11039">
        <w:rPr>
          <w:rFonts w:ascii="Times New Roman" w:eastAsia="Times New Roman" w:hAnsi="Times New Roman"/>
          <w:sz w:val="24"/>
          <w:szCs w:val="24"/>
        </w:rPr>
        <w:t>hydrochorofluorocarbon</w:t>
      </w:r>
      <w:proofErr w:type="spellEnd"/>
      <w:r w:rsidRPr="00A11039">
        <w:rPr>
          <w:rFonts w:ascii="Times New Roman" w:eastAsia="Times New Roman" w:hAnsi="Times New Roman"/>
          <w:sz w:val="24"/>
          <w:szCs w:val="24"/>
        </w:rPr>
        <w:t xml:space="preserve"> (HCFC) phase-out, and prohibit the use of new HCFCs from 1 January 2020. </w:t>
      </w:r>
    </w:p>
    <w:p w14:paraId="4F2A0670" w14:textId="77777777" w:rsidR="00A511A0" w:rsidRPr="00A11039" w:rsidRDefault="00A511A0" w:rsidP="00A11039">
      <w:pPr>
        <w:pStyle w:val="ListParagraph"/>
        <w:numPr>
          <w:ilvl w:val="0"/>
          <w:numId w:val="10"/>
        </w:numPr>
        <w:shd w:val="clear" w:color="auto" w:fill="FFFFFF"/>
        <w:spacing w:line="260" w:lineRule="atLeast"/>
        <w:rPr>
          <w:rFonts w:ascii="Times New Roman" w:eastAsia="Times New Roman" w:hAnsi="Times New Roman"/>
          <w:sz w:val="24"/>
          <w:szCs w:val="24"/>
        </w:rPr>
      </w:pPr>
      <w:r w:rsidRPr="00A11039">
        <w:rPr>
          <w:rFonts w:ascii="Times New Roman" w:eastAsia="Times New Roman" w:hAnsi="Times New Roman"/>
          <w:sz w:val="24"/>
          <w:szCs w:val="24"/>
        </w:rPr>
        <w:t>Implement Australia’s international obligations under the Kyoto Protocol to regulate two newly listed SGGs (nitrogen trifluoride and PFC-9-1-18 (C10F18)).</w:t>
      </w:r>
    </w:p>
    <w:p w14:paraId="1A45E044" w14:textId="77777777" w:rsidR="00A511A0" w:rsidRPr="00A11039" w:rsidRDefault="00A511A0" w:rsidP="00A11039">
      <w:pPr>
        <w:pStyle w:val="ListParagraph"/>
        <w:numPr>
          <w:ilvl w:val="0"/>
          <w:numId w:val="10"/>
        </w:numPr>
        <w:shd w:val="clear" w:color="auto" w:fill="FFFFFF"/>
        <w:spacing w:line="260" w:lineRule="atLeast"/>
        <w:rPr>
          <w:rFonts w:ascii="Times New Roman" w:eastAsia="Times New Roman" w:hAnsi="Times New Roman"/>
          <w:sz w:val="24"/>
          <w:szCs w:val="24"/>
        </w:rPr>
      </w:pPr>
      <w:r w:rsidRPr="00A11039">
        <w:rPr>
          <w:rFonts w:ascii="Times New Roman" w:eastAsia="Times New Roman" w:hAnsi="Times New Roman"/>
          <w:sz w:val="24"/>
          <w:szCs w:val="24"/>
        </w:rPr>
        <w:t>Streamline the provisions of the OPSGGM Act that relate to equipment bans and ensure that the provisions relating to equipment bans apply consistently to all regulated entities.</w:t>
      </w:r>
    </w:p>
    <w:p w14:paraId="05B9418F" w14:textId="77777777" w:rsidR="00A511A0" w:rsidRPr="000E27EE" w:rsidRDefault="00A511A0" w:rsidP="00A11039">
      <w:pPr>
        <w:pStyle w:val="ListParagraph"/>
        <w:numPr>
          <w:ilvl w:val="0"/>
          <w:numId w:val="10"/>
        </w:numPr>
        <w:shd w:val="clear" w:color="auto" w:fill="FFFFFF"/>
        <w:spacing w:line="260" w:lineRule="atLeast"/>
        <w:rPr>
          <w:rFonts w:ascii="Times New Roman" w:hAnsi="Times New Roman"/>
          <w:sz w:val="24"/>
          <w:szCs w:val="24"/>
        </w:rPr>
      </w:pPr>
      <w:r w:rsidRPr="00A11039">
        <w:rPr>
          <w:rFonts w:ascii="Times New Roman" w:eastAsia="Times New Roman" w:hAnsi="Times New Roman"/>
          <w:sz w:val="24"/>
          <w:szCs w:val="24"/>
        </w:rPr>
        <w:t>Reduce the regulatory burden on businesses by enabling licence renewals, reducing the frequency by which licence holders are required to report their regulated activities, and introducing a threshold below which the cost recovery levy is not payable.</w:t>
      </w:r>
    </w:p>
    <w:p w14:paraId="2C873241" w14:textId="77777777" w:rsidR="000E27EE" w:rsidRPr="00A11039" w:rsidRDefault="000E27EE" w:rsidP="000E27EE">
      <w:pPr>
        <w:pStyle w:val="ListParagraph"/>
        <w:numPr>
          <w:ilvl w:val="0"/>
          <w:numId w:val="0"/>
        </w:numPr>
        <w:shd w:val="clear" w:color="auto" w:fill="FFFFFF"/>
        <w:spacing w:line="260" w:lineRule="atLeast"/>
        <w:ind w:left="360"/>
        <w:rPr>
          <w:rFonts w:ascii="Times New Roman" w:hAnsi="Times New Roman"/>
          <w:sz w:val="24"/>
          <w:szCs w:val="24"/>
        </w:rPr>
      </w:pPr>
    </w:p>
    <w:p w14:paraId="2F14CEE9" w14:textId="77777777" w:rsidR="00A511A0" w:rsidRPr="00A11039" w:rsidRDefault="00A511A0" w:rsidP="00A511A0">
      <w:pPr>
        <w:spacing w:before="120" w:after="120"/>
        <w:rPr>
          <w:rFonts w:ascii="Times New Roman" w:hAnsi="Times New Roman"/>
          <w:sz w:val="24"/>
          <w:szCs w:val="24"/>
        </w:rPr>
      </w:pPr>
      <w:r w:rsidRPr="00A11039">
        <w:rPr>
          <w:rFonts w:ascii="Times New Roman" w:hAnsi="Times New Roman"/>
          <w:sz w:val="24"/>
          <w:szCs w:val="24"/>
        </w:rPr>
        <w:t xml:space="preserve">The </w:t>
      </w:r>
      <w:r w:rsidRPr="00A11039">
        <w:rPr>
          <w:rFonts w:ascii="Times New Roman" w:hAnsi="Times New Roman"/>
          <w:i/>
          <w:sz w:val="24"/>
          <w:szCs w:val="24"/>
        </w:rPr>
        <w:t>Ozone Protection and Synthetic Greenhouse Gas Management Legislation Amendment (2017 Measures No. 1) Regulations 2017</w:t>
      </w:r>
      <w:r w:rsidRPr="00A11039">
        <w:rPr>
          <w:rFonts w:ascii="Times New Roman" w:hAnsi="Times New Roman"/>
          <w:sz w:val="24"/>
          <w:szCs w:val="24"/>
        </w:rPr>
        <w:t xml:space="preserve"> (the Regulations) </w:t>
      </w:r>
      <w:r w:rsidRPr="00A11039">
        <w:rPr>
          <w:rFonts w:ascii="Times New Roman" w:hAnsi="Times New Roman"/>
          <w:iCs/>
          <w:sz w:val="24"/>
          <w:szCs w:val="24"/>
          <w:shd w:val="clear" w:color="auto" w:fill="FFFFFF"/>
        </w:rPr>
        <w:t xml:space="preserve">support the implementation of the measures contained in the Amendment Act by: </w:t>
      </w:r>
      <w:r w:rsidRPr="00A11039">
        <w:rPr>
          <w:rFonts w:ascii="Times New Roman" w:hAnsi="Times New Roman"/>
          <w:sz w:val="24"/>
          <w:szCs w:val="24"/>
        </w:rPr>
        <w:t>prescribing the detail of the HFC phase-down scheme; prescribing allowable uses for HCFCs from 1 January 2020; allowing the Secretary to delegate functions and powers down to APS employees who hold or are acting in an Executive Level 2 or equivalent position in the Department; prescribing fee arrangements and other administrative measures necessary to support the renewal of licences; updating references, removing redundant references, and aligning definitions; and other administrative measures necessary to support the streamlining of licensing provisions, waiver of uneconomic levy debts, and reduced reporting frequency.</w:t>
      </w:r>
    </w:p>
    <w:p w14:paraId="4C5290D1" w14:textId="77777777" w:rsidR="00A511A0" w:rsidRPr="000E27EE" w:rsidRDefault="00A511A0" w:rsidP="00A511A0">
      <w:pPr>
        <w:spacing w:before="120" w:after="120"/>
        <w:rPr>
          <w:rFonts w:ascii="Times New Roman" w:hAnsi="Times New Roman"/>
          <w:b/>
          <w:sz w:val="24"/>
          <w:szCs w:val="24"/>
        </w:rPr>
      </w:pPr>
      <w:r w:rsidRPr="000E27EE">
        <w:rPr>
          <w:rFonts w:ascii="Times New Roman" w:hAnsi="Times New Roman"/>
          <w:b/>
          <w:sz w:val="24"/>
          <w:szCs w:val="24"/>
        </w:rPr>
        <w:t>Human rights implications</w:t>
      </w:r>
    </w:p>
    <w:p w14:paraId="3371B8E2" w14:textId="5841937C" w:rsidR="000E27EE" w:rsidRPr="000E27EE" w:rsidRDefault="00A511A0" w:rsidP="00A511A0">
      <w:pPr>
        <w:spacing w:before="120" w:after="120"/>
        <w:rPr>
          <w:rFonts w:ascii="Times New Roman" w:hAnsi="Times New Roman"/>
          <w:iCs/>
          <w:sz w:val="24"/>
          <w:szCs w:val="24"/>
          <w:shd w:val="clear" w:color="auto" w:fill="FFFFFF"/>
        </w:rPr>
      </w:pPr>
      <w:r w:rsidRPr="000E27EE">
        <w:rPr>
          <w:rFonts w:ascii="Times New Roman" w:hAnsi="Times New Roman"/>
          <w:sz w:val="24"/>
          <w:szCs w:val="24"/>
        </w:rPr>
        <w:t xml:space="preserve">As the Regulations </w:t>
      </w:r>
      <w:r w:rsidRPr="000E27EE">
        <w:rPr>
          <w:rFonts w:ascii="Times New Roman" w:hAnsi="Times New Roman"/>
          <w:iCs/>
          <w:sz w:val="24"/>
          <w:szCs w:val="24"/>
          <w:shd w:val="clear" w:color="auto" w:fill="FFFFFF"/>
        </w:rPr>
        <w:t xml:space="preserve">support the implementation of the Amendment Act, any human rights implications </w:t>
      </w:r>
      <w:r w:rsidR="000E27EE" w:rsidRPr="000E27EE">
        <w:rPr>
          <w:rFonts w:ascii="Times New Roman" w:hAnsi="Times New Roman"/>
          <w:iCs/>
          <w:sz w:val="24"/>
          <w:szCs w:val="24"/>
          <w:shd w:val="clear" w:color="auto" w:fill="FFFFFF"/>
        </w:rPr>
        <w:t xml:space="preserve">associated with the Regulations were considered holistically as part of the Amendment Act, and outlined in the </w:t>
      </w:r>
      <w:r w:rsidRPr="000E27EE">
        <w:rPr>
          <w:rFonts w:ascii="Times New Roman" w:hAnsi="Times New Roman"/>
          <w:iCs/>
          <w:sz w:val="24"/>
          <w:szCs w:val="24"/>
          <w:shd w:val="clear" w:color="auto" w:fill="FFFFFF"/>
        </w:rPr>
        <w:t xml:space="preserve">Statement of Compatibility with Human Rights that accompanied the Amendment Act. </w:t>
      </w:r>
      <w:r w:rsidR="000E27EE" w:rsidRPr="000E27EE">
        <w:rPr>
          <w:rFonts w:ascii="Times New Roman" w:hAnsi="Times New Roman"/>
          <w:iCs/>
          <w:sz w:val="24"/>
          <w:szCs w:val="24"/>
          <w:shd w:val="clear" w:color="auto" w:fill="FFFFFF"/>
        </w:rPr>
        <w:t xml:space="preserve">The Regulations do not raise any additional human rights implications. </w:t>
      </w:r>
    </w:p>
    <w:p w14:paraId="0A722DDE" w14:textId="77777777" w:rsidR="000E27EE" w:rsidRPr="000E27EE" w:rsidRDefault="000E27EE" w:rsidP="00A511A0">
      <w:pPr>
        <w:spacing w:before="120" w:after="120"/>
        <w:rPr>
          <w:rFonts w:ascii="Times New Roman" w:hAnsi="Times New Roman"/>
          <w:b/>
          <w:iCs/>
          <w:sz w:val="24"/>
          <w:szCs w:val="24"/>
          <w:shd w:val="clear" w:color="auto" w:fill="FFFFFF"/>
        </w:rPr>
      </w:pPr>
      <w:r w:rsidRPr="000E27EE">
        <w:rPr>
          <w:rFonts w:ascii="Times New Roman" w:hAnsi="Times New Roman"/>
          <w:b/>
          <w:iCs/>
          <w:sz w:val="24"/>
          <w:szCs w:val="24"/>
          <w:shd w:val="clear" w:color="auto" w:fill="FFFFFF"/>
        </w:rPr>
        <w:t>Conclusion</w:t>
      </w:r>
    </w:p>
    <w:p w14:paraId="168A8968" w14:textId="77E77149" w:rsidR="00A511A0" w:rsidRPr="000E27EE" w:rsidRDefault="000E27EE" w:rsidP="00A511A0">
      <w:pPr>
        <w:spacing w:before="120" w:after="120"/>
        <w:rPr>
          <w:rFonts w:ascii="Times New Roman" w:hAnsi="Times New Roman"/>
          <w:iCs/>
          <w:sz w:val="24"/>
          <w:szCs w:val="24"/>
          <w:shd w:val="clear" w:color="auto" w:fill="FFFFFF"/>
        </w:rPr>
      </w:pPr>
      <w:r w:rsidRPr="000E27EE">
        <w:rPr>
          <w:rFonts w:ascii="Times New Roman" w:hAnsi="Times New Roman"/>
          <w:iCs/>
          <w:sz w:val="24"/>
          <w:szCs w:val="24"/>
          <w:shd w:val="clear" w:color="auto" w:fill="FFFFFF"/>
        </w:rPr>
        <w:t>The Regulations are compatible with Australia’s human rights obligations.</w:t>
      </w:r>
      <w:r w:rsidR="00A511A0" w:rsidRPr="000E27EE">
        <w:rPr>
          <w:rFonts w:ascii="Times New Roman" w:hAnsi="Times New Roman"/>
          <w:iCs/>
          <w:sz w:val="24"/>
          <w:szCs w:val="24"/>
          <w:shd w:val="clear" w:color="auto" w:fill="FFFFFF"/>
        </w:rPr>
        <w:t xml:space="preserve"> </w:t>
      </w:r>
    </w:p>
    <w:p w14:paraId="5BC60856" w14:textId="77777777" w:rsidR="00A511A0" w:rsidRPr="000E27EE" w:rsidRDefault="00A511A0" w:rsidP="00A511A0">
      <w:pPr>
        <w:spacing w:before="120" w:after="120"/>
        <w:rPr>
          <w:rFonts w:ascii="Times New Roman" w:hAnsi="Times New Roman"/>
          <w:sz w:val="24"/>
          <w:szCs w:val="24"/>
        </w:rPr>
      </w:pPr>
    </w:p>
    <w:p w14:paraId="573AB5DD" w14:textId="77777777" w:rsidR="00A511A0" w:rsidRDefault="00A511A0" w:rsidP="00A511A0">
      <w:pPr>
        <w:spacing w:before="120" w:after="120"/>
        <w:jc w:val="center"/>
        <w:rPr>
          <w:rFonts w:ascii="Times New Roman" w:hAnsi="Times New Roman"/>
          <w:sz w:val="24"/>
          <w:szCs w:val="24"/>
        </w:rPr>
      </w:pPr>
      <w:r w:rsidRPr="000E27EE">
        <w:rPr>
          <w:rFonts w:ascii="Times New Roman" w:hAnsi="Times New Roman"/>
          <w:b/>
          <w:sz w:val="24"/>
          <w:szCs w:val="24"/>
        </w:rPr>
        <w:t xml:space="preserve">The Hon Josh </w:t>
      </w:r>
      <w:proofErr w:type="spellStart"/>
      <w:r w:rsidRPr="000E27EE">
        <w:rPr>
          <w:rFonts w:ascii="Times New Roman" w:hAnsi="Times New Roman"/>
          <w:b/>
          <w:sz w:val="24"/>
          <w:szCs w:val="24"/>
        </w:rPr>
        <w:t>Frydenberg</w:t>
      </w:r>
      <w:proofErr w:type="spellEnd"/>
      <w:r w:rsidRPr="000E27EE">
        <w:rPr>
          <w:rFonts w:ascii="Times New Roman" w:hAnsi="Times New Roman"/>
          <w:b/>
          <w:sz w:val="24"/>
          <w:szCs w:val="24"/>
        </w:rPr>
        <w:t xml:space="preserve"> MP, Minister for the Environment and Energy</w:t>
      </w:r>
    </w:p>
    <w:p w14:paraId="22362C17" w14:textId="3DAC291B" w:rsidR="00A511A0" w:rsidRDefault="00A511A0">
      <w:pPr>
        <w:rPr>
          <w:rFonts w:ascii="Times New Roman" w:hAnsi="Times New Roman"/>
          <w:b/>
          <w:sz w:val="24"/>
          <w:szCs w:val="24"/>
          <w:u w:val="single"/>
        </w:rPr>
      </w:pPr>
    </w:p>
    <w:p w14:paraId="10B1C70E" w14:textId="77777777" w:rsidR="00A249EE" w:rsidRDefault="00A249EE">
      <w:pPr>
        <w:rPr>
          <w:rFonts w:ascii="Times New Roman" w:hAnsi="Times New Roman"/>
          <w:b/>
          <w:sz w:val="24"/>
          <w:szCs w:val="24"/>
          <w:u w:val="single"/>
        </w:rPr>
      </w:pPr>
    </w:p>
    <w:p w14:paraId="79558C67" w14:textId="599FA6DA" w:rsidR="00074425" w:rsidRPr="00A52610" w:rsidRDefault="00A511A0" w:rsidP="000E27EE">
      <w:pPr>
        <w:jc w:val="right"/>
        <w:rPr>
          <w:rFonts w:ascii="Times New Roman" w:hAnsi="Times New Roman"/>
          <w:b/>
          <w:sz w:val="24"/>
          <w:szCs w:val="24"/>
          <w:u w:val="single"/>
        </w:rPr>
      </w:pPr>
      <w:r>
        <w:rPr>
          <w:rFonts w:ascii="Times New Roman" w:hAnsi="Times New Roman"/>
          <w:b/>
          <w:sz w:val="24"/>
          <w:szCs w:val="24"/>
          <w:u w:val="single"/>
        </w:rPr>
        <w:br w:type="page"/>
      </w:r>
      <w:r w:rsidR="00074425" w:rsidRPr="00A52610">
        <w:rPr>
          <w:rFonts w:ascii="Times New Roman" w:hAnsi="Times New Roman"/>
          <w:b/>
          <w:sz w:val="24"/>
          <w:szCs w:val="24"/>
          <w:u w:val="single"/>
        </w:rPr>
        <w:lastRenderedPageBreak/>
        <w:t>ATTACHMENT</w:t>
      </w:r>
    </w:p>
    <w:p w14:paraId="61F84E77" w14:textId="77777777" w:rsidR="00074425" w:rsidRPr="00A52610" w:rsidRDefault="00074425" w:rsidP="00074425">
      <w:pPr>
        <w:jc w:val="right"/>
        <w:rPr>
          <w:rFonts w:ascii="Times New Roman" w:hAnsi="Times New Roman"/>
          <w:b/>
          <w:sz w:val="24"/>
          <w:szCs w:val="24"/>
          <w:u w:val="single"/>
        </w:rPr>
      </w:pPr>
    </w:p>
    <w:p w14:paraId="0DE71F99" w14:textId="41E84D82" w:rsidR="00074425" w:rsidRPr="000E27EE" w:rsidRDefault="00074425" w:rsidP="00074425">
      <w:pPr>
        <w:tabs>
          <w:tab w:val="left" w:pos="993"/>
          <w:tab w:val="left" w:pos="4536"/>
          <w:tab w:val="left" w:pos="5670"/>
        </w:tabs>
        <w:rPr>
          <w:rFonts w:ascii="Times New Roman" w:hAnsi="Times New Roman"/>
          <w:b/>
          <w:sz w:val="24"/>
          <w:szCs w:val="24"/>
          <w:u w:val="single"/>
        </w:rPr>
      </w:pPr>
      <w:r w:rsidRPr="000E27EE">
        <w:rPr>
          <w:rFonts w:ascii="Times New Roman" w:hAnsi="Times New Roman"/>
          <w:b/>
          <w:sz w:val="24"/>
          <w:szCs w:val="24"/>
          <w:u w:val="single"/>
        </w:rPr>
        <w:t>Details of the</w:t>
      </w:r>
      <w:r w:rsidR="000F0EAD" w:rsidRPr="000E27EE">
        <w:rPr>
          <w:rFonts w:ascii="Times New Roman" w:hAnsi="Times New Roman"/>
          <w:b/>
          <w:sz w:val="24"/>
          <w:szCs w:val="24"/>
          <w:u w:val="single"/>
        </w:rPr>
        <w:t xml:space="preserve"> </w:t>
      </w:r>
      <w:r w:rsidR="00F71D2C" w:rsidRPr="000E27EE">
        <w:rPr>
          <w:rFonts w:ascii="Times New Roman" w:hAnsi="Times New Roman"/>
          <w:b/>
          <w:i/>
          <w:sz w:val="24"/>
          <w:szCs w:val="24"/>
          <w:u w:val="single"/>
        </w:rPr>
        <w:t>Ozone Protection and Synthetic Greenhouse Gas Management Legislation Amendment (2017 Measures No. 1) Regulations 2017</w:t>
      </w:r>
    </w:p>
    <w:p w14:paraId="76B3E76D" w14:textId="77777777" w:rsidR="00B7396E" w:rsidRPr="00A52610" w:rsidRDefault="00B7396E" w:rsidP="00074425">
      <w:pPr>
        <w:tabs>
          <w:tab w:val="left" w:pos="993"/>
          <w:tab w:val="left" w:pos="4536"/>
          <w:tab w:val="left" w:pos="5670"/>
        </w:tabs>
        <w:rPr>
          <w:rFonts w:ascii="Times New Roman" w:hAnsi="Times New Roman"/>
          <w:sz w:val="24"/>
          <w:szCs w:val="24"/>
          <w:u w:val="single"/>
        </w:rPr>
      </w:pPr>
    </w:p>
    <w:p w14:paraId="6EC23F4D" w14:textId="5CD0DEB9" w:rsidR="00074425" w:rsidRDefault="00074425" w:rsidP="00074425">
      <w:pPr>
        <w:tabs>
          <w:tab w:val="left" w:pos="993"/>
          <w:tab w:val="left" w:pos="4536"/>
          <w:tab w:val="left" w:pos="5670"/>
        </w:tabs>
        <w:rPr>
          <w:rFonts w:ascii="Times New Roman" w:hAnsi="Times New Roman"/>
          <w:sz w:val="24"/>
          <w:szCs w:val="24"/>
          <w:u w:val="single"/>
        </w:rPr>
      </w:pPr>
      <w:r w:rsidRPr="00A52610">
        <w:rPr>
          <w:rFonts w:ascii="Times New Roman" w:hAnsi="Times New Roman"/>
          <w:sz w:val="24"/>
          <w:szCs w:val="24"/>
          <w:u w:val="single"/>
        </w:rPr>
        <w:t xml:space="preserve">Section 1 – Name </w:t>
      </w:r>
    </w:p>
    <w:p w14:paraId="2D034CCF" w14:textId="77777777" w:rsidR="000F0EAD" w:rsidRPr="00A52610" w:rsidRDefault="000F0EAD" w:rsidP="00074425">
      <w:pPr>
        <w:tabs>
          <w:tab w:val="left" w:pos="993"/>
          <w:tab w:val="left" w:pos="4536"/>
          <w:tab w:val="left" w:pos="5670"/>
        </w:tabs>
        <w:rPr>
          <w:rFonts w:ascii="Times New Roman" w:hAnsi="Times New Roman"/>
          <w:sz w:val="24"/>
          <w:szCs w:val="24"/>
          <w:u w:val="single"/>
        </w:rPr>
      </w:pPr>
    </w:p>
    <w:p w14:paraId="72A660F6" w14:textId="1CBD8B00" w:rsidR="00074425" w:rsidRPr="00932D18" w:rsidRDefault="00074425" w:rsidP="00534DFC">
      <w:pPr>
        <w:pStyle w:val="ListNumber"/>
        <w:numPr>
          <w:ilvl w:val="0"/>
          <w:numId w:val="8"/>
        </w:numPr>
        <w:spacing w:after="240"/>
        <w:ind w:left="567" w:hanging="567"/>
        <w:rPr>
          <w:szCs w:val="24"/>
        </w:rPr>
      </w:pPr>
      <w:r w:rsidRPr="00932D18">
        <w:rPr>
          <w:szCs w:val="24"/>
        </w:rPr>
        <w:t xml:space="preserve">This section </w:t>
      </w:r>
      <w:r w:rsidR="005A1CFB" w:rsidRPr="00932D18">
        <w:rPr>
          <w:szCs w:val="24"/>
        </w:rPr>
        <w:t>provide</w:t>
      </w:r>
      <w:r w:rsidR="00A11039">
        <w:rPr>
          <w:szCs w:val="24"/>
        </w:rPr>
        <w:t>s</w:t>
      </w:r>
      <w:r w:rsidRPr="00932D18">
        <w:rPr>
          <w:szCs w:val="24"/>
        </w:rPr>
        <w:t xml:space="preserve"> that the title of the Regulation</w:t>
      </w:r>
      <w:r w:rsidR="00AF4E13" w:rsidRPr="00932D18">
        <w:rPr>
          <w:szCs w:val="24"/>
        </w:rPr>
        <w:t>s</w:t>
      </w:r>
      <w:r w:rsidRPr="00932D18">
        <w:rPr>
          <w:szCs w:val="24"/>
        </w:rPr>
        <w:t xml:space="preserve"> is the </w:t>
      </w:r>
      <w:r w:rsidR="002D76B5" w:rsidRPr="000E27EE">
        <w:rPr>
          <w:i/>
          <w:szCs w:val="24"/>
        </w:rPr>
        <w:t>Ozone Protection and Synthetic Greenhouse Gas Management Legislation Amendment (2017 Measures No. 1) Regulations 2017</w:t>
      </w:r>
      <w:r w:rsidRPr="00932D18">
        <w:rPr>
          <w:szCs w:val="24"/>
        </w:rPr>
        <w:t xml:space="preserve"> (the Regulation</w:t>
      </w:r>
      <w:r w:rsidR="00AF4E13" w:rsidRPr="00932D18">
        <w:rPr>
          <w:szCs w:val="24"/>
        </w:rPr>
        <w:t>s</w:t>
      </w:r>
      <w:r w:rsidRPr="00932D18">
        <w:rPr>
          <w:szCs w:val="24"/>
        </w:rPr>
        <w:t>).</w:t>
      </w:r>
    </w:p>
    <w:p w14:paraId="5A1F97EC" w14:textId="77777777" w:rsidR="00074425" w:rsidRDefault="00074425" w:rsidP="00074425">
      <w:pPr>
        <w:tabs>
          <w:tab w:val="left" w:pos="993"/>
          <w:tab w:val="left" w:pos="4536"/>
          <w:tab w:val="left" w:pos="5670"/>
        </w:tabs>
        <w:rPr>
          <w:rFonts w:ascii="Times New Roman" w:hAnsi="Times New Roman"/>
          <w:sz w:val="24"/>
          <w:szCs w:val="24"/>
          <w:u w:val="single"/>
        </w:rPr>
      </w:pPr>
      <w:r w:rsidRPr="00A52610">
        <w:rPr>
          <w:rFonts w:ascii="Times New Roman" w:hAnsi="Times New Roman"/>
          <w:sz w:val="24"/>
          <w:szCs w:val="24"/>
          <w:u w:val="single"/>
        </w:rPr>
        <w:t>Section 2 – Commencement</w:t>
      </w:r>
    </w:p>
    <w:p w14:paraId="09142C0D" w14:textId="77777777" w:rsidR="000F0EAD" w:rsidRPr="00A52610" w:rsidRDefault="000F0EAD" w:rsidP="00074425">
      <w:pPr>
        <w:tabs>
          <w:tab w:val="left" w:pos="993"/>
          <w:tab w:val="left" w:pos="4536"/>
          <w:tab w:val="left" w:pos="5670"/>
        </w:tabs>
        <w:rPr>
          <w:rFonts w:ascii="Times New Roman" w:hAnsi="Times New Roman"/>
          <w:sz w:val="24"/>
          <w:szCs w:val="24"/>
          <w:u w:val="single"/>
        </w:rPr>
      </w:pPr>
    </w:p>
    <w:p w14:paraId="65EAB71A" w14:textId="7854ECDA" w:rsidR="002D76B5" w:rsidRDefault="000F0EAD" w:rsidP="00534DFC">
      <w:pPr>
        <w:pStyle w:val="ListNumber"/>
        <w:numPr>
          <w:ilvl w:val="0"/>
          <w:numId w:val="8"/>
        </w:numPr>
        <w:spacing w:after="240"/>
        <w:ind w:left="567" w:hanging="567"/>
        <w:rPr>
          <w:szCs w:val="24"/>
        </w:rPr>
      </w:pPr>
      <w:r>
        <w:rPr>
          <w:szCs w:val="24"/>
        </w:rPr>
        <w:t>The table in t</w:t>
      </w:r>
      <w:r w:rsidR="00074425" w:rsidRPr="00A52610">
        <w:rPr>
          <w:szCs w:val="24"/>
        </w:rPr>
        <w:t xml:space="preserve">his section </w:t>
      </w:r>
      <w:r w:rsidR="005A1CFB" w:rsidRPr="00A52610">
        <w:rPr>
          <w:szCs w:val="24"/>
        </w:rPr>
        <w:t>provide</w:t>
      </w:r>
      <w:r w:rsidR="000E27EE">
        <w:rPr>
          <w:szCs w:val="24"/>
        </w:rPr>
        <w:t>s</w:t>
      </w:r>
      <w:r w:rsidR="00074425" w:rsidRPr="00A52610">
        <w:rPr>
          <w:szCs w:val="24"/>
        </w:rPr>
        <w:t xml:space="preserve"> for the</w:t>
      </w:r>
      <w:r w:rsidR="0099596B" w:rsidRPr="00A52610">
        <w:rPr>
          <w:szCs w:val="24"/>
        </w:rPr>
        <w:t xml:space="preserve"> </w:t>
      </w:r>
      <w:r>
        <w:rPr>
          <w:szCs w:val="24"/>
        </w:rPr>
        <w:t xml:space="preserve">commencement of the </w:t>
      </w:r>
      <w:r w:rsidR="00074425" w:rsidRPr="00A52610">
        <w:rPr>
          <w:szCs w:val="24"/>
        </w:rPr>
        <w:t>Regulation</w:t>
      </w:r>
      <w:r w:rsidR="00AF4E13" w:rsidRPr="00A52610">
        <w:rPr>
          <w:szCs w:val="24"/>
        </w:rPr>
        <w:t>s</w:t>
      </w:r>
      <w:r w:rsidR="002D76B5">
        <w:rPr>
          <w:szCs w:val="24"/>
        </w:rPr>
        <w:t xml:space="preserve">. </w:t>
      </w:r>
    </w:p>
    <w:p w14:paraId="4697F569" w14:textId="5E7B06B6" w:rsidR="002D76B5" w:rsidRDefault="000F0EAD" w:rsidP="00534DFC">
      <w:pPr>
        <w:pStyle w:val="ListNumber"/>
        <w:numPr>
          <w:ilvl w:val="0"/>
          <w:numId w:val="8"/>
        </w:numPr>
        <w:spacing w:after="240"/>
        <w:ind w:left="567" w:hanging="567"/>
        <w:rPr>
          <w:szCs w:val="24"/>
        </w:rPr>
      </w:pPr>
      <w:r>
        <w:rPr>
          <w:szCs w:val="24"/>
        </w:rPr>
        <w:t>S</w:t>
      </w:r>
      <w:r w:rsidR="002D76B5">
        <w:rPr>
          <w:szCs w:val="24"/>
        </w:rPr>
        <w:t xml:space="preserve">ections 1 to 4 (and anything else in the Regulations not covered by the table) </w:t>
      </w:r>
      <w:r w:rsidR="000E27EE">
        <w:rPr>
          <w:szCs w:val="24"/>
        </w:rPr>
        <w:t xml:space="preserve">commences </w:t>
      </w:r>
      <w:r w:rsidR="002D76B5">
        <w:rPr>
          <w:szCs w:val="24"/>
        </w:rPr>
        <w:t xml:space="preserve">on the day after the </w:t>
      </w:r>
      <w:r>
        <w:rPr>
          <w:szCs w:val="24"/>
        </w:rPr>
        <w:t>instrument is</w:t>
      </w:r>
      <w:r w:rsidR="002D76B5">
        <w:rPr>
          <w:szCs w:val="24"/>
        </w:rPr>
        <w:t xml:space="preserve"> registered.</w:t>
      </w:r>
    </w:p>
    <w:p w14:paraId="1D6F4018" w14:textId="065070DE" w:rsidR="00582E26" w:rsidRPr="00A52610" w:rsidRDefault="00724D96" w:rsidP="00534DFC">
      <w:pPr>
        <w:pStyle w:val="ListNumber"/>
        <w:numPr>
          <w:ilvl w:val="0"/>
          <w:numId w:val="8"/>
        </w:numPr>
        <w:spacing w:after="240"/>
        <w:ind w:left="567" w:hanging="567"/>
        <w:rPr>
          <w:szCs w:val="24"/>
        </w:rPr>
      </w:pPr>
      <w:r>
        <w:rPr>
          <w:szCs w:val="24"/>
        </w:rPr>
        <w:t>Schedule 1 commence</w:t>
      </w:r>
      <w:r w:rsidR="000E27EE">
        <w:rPr>
          <w:szCs w:val="24"/>
        </w:rPr>
        <w:t>s</w:t>
      </w:r>
      <w:r>
        <w:rPr>
          <w:szCs w:val="24"/>
        </w:rPr>
        <w:t xml:space="preserve"> </w:t>
      </w:r>
      <w:r w:rsidR="00F05AC9">
        <w:rPr>
          <w:szCs w:val="24"/>
        </w:rPr>
        <w:t>on 1 August 2017</w:t>
      </w:r>
      <w:r>
        <w:rPr>
          <w:szCs w:val="24"/>
        </w:rPr>
        <w:t xml:space="preserve">. </w:t>
      </w:r>
      <w:r w:rsidR="002D76B5">
        <w:rPr>
          <w:szCs w:val="24"/>
        </w:rPr>
        <w:t xml:space="preserve"> </w:t>
      </w:r>
      <w:r w:rsidR="00582E26">
        <w:rPr>
          <w:szCs w:val="24"/>
        </w:rPr>
        <w:t>Schedule 2 commence</w:t>
      </w:r>
      <w:r w:rsidR="000E27EE">
        <w:rPr>
          <w:szCs w:val="24"/>
        </w:rPr>
        <w:t>s</w:t>
      </w:r>
      <w:r w:rsidR="00582E26">
        <w:rPr>
          <w:szCs w:val="24"/>
        </w:rPr>
        <w:t xml:space="preserve"> </w:t>
      </w:r>
      <w:r w:rsidR="00F05AC9">
        <w:rPr>
          <w:szCs w:val="24"/>
        </w:rPr>
        <w:t xml:space="preserve">on </w:t>
      </w:r>
      <w:r w:rsidR="00582E26">
        <w:rPr>
          <w:szCs w:val="24"/>
        </w:rPr>
        <w:t>1 January 2018. Schedule 3 commence</w:t>
      </w:r>
      <w:r w:rsidR="000E27EE">
        <w:rPr>
          <w:szCs w:val="24"/>
        </w:rPr>
        <w:t>s</w:t>
      </w:r>
      <w:r w:rsidR="00582E26">
        <w:rPr>
          <w:szCs w:val="24"/>
        </w:rPr>
        <w:t xml:space="preserve"> </w:t>
      </w:r>
      <w:r w:rsidR="00F05AC9">
        <w:rPr>
          <w:szCs w:val="24"/>
        </w:rPr>
        <w:t xml:space="preserve">on </w:t>
      </w:r>
      <w:r w:rsidR="00582E26">
        <w:rPr>
          <w:szCs w:val="24"/>
        </w:rPr>
        <w:t xml:space="preserve">1 January 2020. </w:t>
      </w:r>
    </w:p>
    <w:p w14:paraId="5E143B77" w14:textId="77777777" w:rsidR="00074425" w:rsidRDefault="00074425" w:rsidP="00074425">
      <w:pPr>
        <w:tabs>
          <w:tab w:val="left" w:pos="993"/>
          <w:tab w:val="left" w:pos="4536"/>
          <w:tab w:val="left" w:pos="5670"/>
        </w:tabs>
        <w:rPr>
          <w:rFonts w:ascii="Times New Roman" w:hAnsi="Times New Roman"/>
          <w:sz w:val="24"/>
          <w:szCs w:val="24"/>
          <w:u w:val="single"/>
        </w:rPr>
      </w:pPr>
      <w:r w:rsidRPr="00A52610">
        <w:rPr>
          <w:rFonts w:ascii="Times New Roman" w:hAnsi="Times New Roman"/>
          <w:sz w:val="24"/>
          <w:szCs w:val="24"/>
          <w:u w:val="single"/>
        </w:rPr>
        <w:t>Section 3 – Authority</w:t>
      </w:r>
    </w:p>
    <w:p w14:paraId="493A3D3D" w14:textId="77777777" w:rsidR="000F0EAD" w:rsidRPr="00A52610" w:rsidRDefault="000F0EAD" w:rsidP="00074425">
      <w:pPr>
        <w:tabs>
          <w:tab w:val="left" w:pos="993"/>
          <w:tab w:val="left" w:pos="4536"/>
          <w:tab w:val="left" w:pos="5670"/>
        </w:tabs>
        <w:rPr>
          <w:rFonts w:ascii="Times New Roman" w:hAnsi="Times New Roman"/>
          <w:sz w:val="24"/>
          <w:szCs w:val="24"/>
          <w:u w:val="single"/>
        </w:rPr>
      </w:pPr>
    </w:p>
    <w:p w14:paraId="5A4C3469" w14:textId="07FD925E" w:rsidR="00074425" w:rsidRPr="00A52610" w:rsidRDefault="00074425" w:rsidP="00534DFC">
      <w:pPr>
        <w:pStyle w:val="ListNumber"/>
        <w:numPr>
          <w:ilvl w:val="0"/>
          <w:numId w:val="8"/>
        </w:numPr>
        <w:spacing w:after="240"/>
        <w:ind w:left="567" w:hanging="567"/>
        <w:rPr>
          <w:szCs w:val="24"/>
        </w:rPr>
      </w:pPr>
      <w:r w:rsidRPr="00A52610">
        <w:rPr>
          <w:szCs w:val="24"/>
        </w:rPr>
        <w:t>This section provide</w:t>
      </w:r>
      <w:r w:rsidR="000E27EE">
        <w:rPr>
          <w:szCs w:val="24"/>
        </w:rPr>
        <w:t>s</w:t>
      </w:r>
      <w:r w:rsidRPr="00A52610">
        <w:rPr>
          <w:szCs w:val="24"/>
        </w:rPr>
        <w:t xml:space="preserve"> that the Regulation</w:t>
      </w:r>
      <w:r w:rsidR="00AF4E13" w:rsidRPr="00A52610">
        <w:rPr>
          <w:szCs w:val="24"/>
        </w:rPr>
        <w:t>s</w:t>
      </w:r>
      <w:r w:rsidRPr="00A52610">
        <w:rPr>
          <w:szCs w:val="24"/>
        </w:rPr>
        <w:t xml:space="preserve"> </w:t>
      </w:r>
      <w:r w:rsidR="00AF4E13" w:rsidRPr="00A52610">
        <w:rPr>
          <w:szCs w:val="24"/>
        </w:rPr>
        <w:t>are</w:t>
      </w:r>
      <w:r w:rsidRPr="00A52610">
        <w:rPr>
          <w:szCs w:val="24"/>
        </w:rPr>
        <w:t xml:space="preserve"> made under</w:t>
      </w:r>
      <w:r w:rsidR="00787CEC" w:rsidRPr="00A52610">
        <w:rPr>
          <w:szCs w:val="24"/>
        </w:rPr>
        <w:t xml:space="preserve"> </w:t>
      </w:r>
      <w:r w:rsidR="00B3171E">
        <w:rPr>
          <w:szCs w:val="24"/>
        </w:rPr>
        <w:t xml:space="preserve">the </w:t>
      </w:r>
      <w:r w:rsidR="00B3171E" w:rsidRPr="00F05AC9">
        <w:rPr>
          <w:i/>
          <w:szCs w:val="24"/>
        </w:rPr>
        <w:t>Ozone Protection and Synthetic Greenhouse Gas (Import Levy) Act 1995</w:t>
      </w:r>
      <w:r w:rsidR="00B3171E">
        <w:rPr>
          <w:szCs w:val="24"/>
        </w:rPr>
        <w:t xml:space="preserve"> (the Import Levy Act), </w:t>
      </w:r>
      <w:r w:rsidR="00B3171E" w:rsidRPr="00F05AC9">
        <w:rPr>
          <w:i/>
          <w:szCs w:val="24"/>
        </w:rPr>
        <w:t>Ozone Protection and Synthetic Greenhouse Gas Management Act 1989</w:t>
      </w:r>
      <w:r w:rsidR="00B3171E">
        <w:rPr>
          <w:szCs w:val="24"/>
        </w:rPr>
        <w:t xml:space="preserve"> (the </w:t>
      </w:r>
      <w:r w:rsidR="005F2339">
        <w:rPr>
          <w:szCs w:val="24"/>
        </w:rPr>
        <w:t xml:space="preserve">OPSGGM </w:t>
      </w:r>
      <w:r w:rsidR="00B3171E">
        <w:rPr>
          <w:szCs w:val="24"/>
        </w:rPr>
        <w:t xml:space="preserve">Act) and the </w:t>
      </w:r>
      <w:r w:rsidR="00B3171E" w:rsidRPr="00F05AC9">
        <w:rPr>
          <w:i/>
          <w:szCs w:val="24"/>
        </w:rPr>
        <w:t>Ozone Protection and Synthetic Greenhouse Gas (Manufacture Levy) Act 1995</w:t>
      </w:r>
      <w:r w:rsidR="00B3171E">
        <w:rPr>
          <w:szCs w:val="24"/>
        </w:rPr>
        <w:t xml:space="preserve"> (the Manufacture Levy Act). </w:t>
      </w:r>
    </w:p>
    <w:p w14:paraId="28A6364E" w14:textId="77777777" w:rsidR="00074425" w:rsidRDefault="00074425" w:rsidP="00074425">
      <w:pPr>
        <w:tabs>
          <w:tab w:val="left" w:pos="993"/>
          <w:tab w:val="left" w:pos="4536"/>
          <w:tab w:val="left" w:pos="5670"/>
        </w:tabs>
        <w:rPr>
          <w:rFonts w:ascii="Times New Roman" w:hAnsi="Times New Roman"/>
          <w:sz w:val="24"/>
          <w:szCs w:val="24"/>
          <w:u w:val="single"/>
        </w:rPr>
      </w:pPr>
      <w:r w:rsidRPr="00A52610">
        <w:rPr>
          <w:rFonts w:ascii="Times New Roman" w:hAnsi="Times New Roman"/>
          <w:sz w:val="24"/>
          <w:szCs w:val="24"/>
          <w:u w:val="single"/>
        </w:rPr>
        <w:t>Section 4 – Schedules</w:t>
      </w:r>
    </w:p>
    <w:p w14:paraId="0B7E12E6" w14:textId="77777777" w:rsidR="000F0EAD" w:rsidRPr="00A52610" w:rsidRDefault="000F0EAD" w:rsidP="00074425">
      <w:pPr>
        <w:tabs>
          <w:tab w:val="left" w:pos="993"/>
          <w:tab w:val="left" w:pos="4536"/>
          <w:tab w:val="left" w:pos="5670"/>
        </w:tabs>
        <w:rPr>
          <w:rFonts w:ascii="Times New Roman" w:hAnsi="Times New Roman"/>
          <w:sz w:val="24"/>
          <w:szCs w:val="24"/>
          <w:u w:val="single"/>
        </w:rPr>
      </w:pPr>
    </w:p>
    <w:p w14:paraId="7EA7BCBF" w14:textId="7B5043AD" w:rsidR="00547E3E" w:rsidRPr="00932D18" w:rsidRDefault="00547E3E" w:rsidP="00534DFC">
      <w:pPr>
        <w:pStyle w:val="ListNumber"/>
        <w:numPr>
          <w:ilvl w:val="0"/>
          <w:numId w:val="8"/>
        </w:numPr>
        <w:spacing w:after="240"/>
        <w:ind w:left="567" w:hanging="567"/>
        <w:rPr>
          <w:szCs w:val="24"/>
        </w:rPr>
      </w:pPr>
      <w:r w:rsidRPr="00A52610">
        <w:rPr>
          <w:szCs w:val="24"/>
        </w:rPr>
        <w:t>This section provide</w:t>
      </w:r>
      <w:r w:rsidR="00BD423F">
        <w:rPr>
          <w:szCs w:val="24"/>
        </w:rPr>
        <w:t>s</w:t>
      </w:r>
      <w:r w:rsidRPr="00A52610">
        <w:rPr>
          <w:szCs w:val="24"/>
        </w:rPr>
        <w:t xml:space="preserve"> that each instrument specified in a Schedule to the Regulation</w:t>
      </w:r>
      <w:r w:rsidR="00C71550">
        <w:rPr>
          <w:szCs w:val="24"/>
        </w:rPr>
        <w:t>s</w:t>
      </w:r>
      <w:r w:rsidRPr="00A52610">
        <w:rPr>
          <w:szCs w:val="24"/>
        </w:rPr>
        <w:t xml:space="preserve"> is amended or repealed as set out in the applicable terms in the Schedule concerned, and any other item in a Schedule to this instrument has effect according to its terms. </w:t>
      </w:r>
    </w:p>
    <w:p w14:paraId="2F7532F8" w14:textId="0BDD72B6" w:rsidR="00815601" w:rsidRPr="00C010FA" w:rsidRDefault="00815601" w:rsidP="00815601">
      <w:pPr>
        <w:rPr>
          <w:rFonts w:ascii="Times New Roman" w:hAnsi="Times New Roman"/>
          <w:b/>
          <w:sz w:val="24"/>
          <w:szCs w:val="24"/>
        </w:rPr>
      </w:pPr>
      <w:r w:rsidRPr="00C010FA">
        <w:rPr>
          <w:rFonts w:ascii="Times New Roman" w:hAnsi="Times New Roman"/>
          <w:b/>
          <w:sz w:val="24"/>
          <w:szCs w:val="24"/>
        </w:rPr>
        <w:t xml:space="preserve">Schedule 1 – </w:t>
      </w:r>
      <w:r w:rsidR="00651B2E" w:rsidRPr="00C010FA">
        <w:rPr>
          <w:rFonts w:ascii="Times New Roman" w:hAnsi="Times New Roman"/>
          <w:b/>
          <w:sz w:val="24"/>
          <w:szCs w:val="24"/>
        </w:rPr>
        <w:t xml:space="preserve">Amendments commencing </w:t>
      </w:r>
      <w:r w:rsidR="0003302D">
        <w:rPr>
          <w:rFonts w:ascii="Times New Roman" w:hAnsi="Times New Roman"/>
          <w:b/>
          <w:sz w:val="24"/>
          <w:szCs w:val="24"/>
        </w:rPr>
        <w:t>1 August</w:t>
      </w:r>
      <w:r w:rsidR="00651B2E" w:rsidRPr="00C010FA">
        <w:rPr>
          <w:rFonts w:ascii="Times New Roman" w:hAnsi="Times New Roman"/>
          <w:b/>
          <w:sz w:val="24"/>
          <w:szCs w:val="24"/>
        </w:rPr>
        <w:t xml:space="preserve"> 2017</w:t>
      </w:r>
    </w:p>
    <w:p w14:paraId="3E312983" w14:textId="77777777" w:rsidR="00F71D2C" w:rsidRPr="00DA7EF0" w:rsidRDefault="00F71D2C" w:rsidP="00815601">
      <w:pPr>
        <w:rPr>
          <w:rFonts w:ascii="Times New Roman" w:hAnsi="Times New Roman"/>
          <w:sz w:val="28"/>
          <w:szCs w:val="28"/>
        </w:rPr>
      </w:pPr>
    </w:p>
    <w:p w14:paraId="7F71A8F9" w14:textId="77777777" w:rsidR="005F2339" w:rsidRDefault="000F0EAD" w:rsidP="00534DFC">
      <w:pPr>
        <w:pStyle w:val="ListNumber"/>
        <w:numPr>
          <w:ilvl w:val="0"/>
          <w:numId w:val="8"/>
        </w:numPr>
        <w:spacing w:after="240"/>
        <w:ind w:left="567" w:hanging="567"/>
        <w:rPr>
          <w:szCs w:val="24"/>
        </w:rPr>
      </w:pPr>
      <w:r>
        <w:rPr>
          <w:szCs w:val="24"/>
        </w:rPr>
        <w:t>Hydrofluorocarbons (</w:t>
      </w:r>
      <w:r w:rsidR="005F2339" w:rsidRPr="005F2339">
        <w:rPr>
          <w:szCs w:val="24"/>
        </w:rPr>
        <w:t>HFCs</w:t>
      </w:r>
      <w:r>
        <w:rPr>
          <w:szCs w:val="24"/>
        </w:rPr>
        <w:t>)</w:t>
      </w:r>
      <w:r w:rsidR="005F2339" w:rsidRPr="005F2339">
        <w:rPr>
          <w:szCs w:val="24"/>
        </w:rPr>
        <w:t xml:space="preserve"> are a type of </w:t>
      </w:r>
      <w:r w:rsidR="005F2339">
        <w:rPr>
          <w:szCs w:val="24"/>
        </w:rPr>
        <w:t>synthetic greenhouse gas (</w:t>
      </w:r>
      <w:r w:rsidR="005F2339" w:rsidRPr="005F2339">
        <w:rPr>
          <w:szCs w:val="24"/>
        </w:rPr>
        <w:t>SGG</w:t>
      </w:r>
      <w:r w:rsidR="005F2339">
        <w:rPr>
          <w:szCs w:val="24"/>
        </w:rPr>
        <w:t>)</w:t>
      </w:r>
      <w:r w:rsidR="005F2339" w:rsidRPr="005F2339">
        <w:rPr>
          <w:szCs w:val="24"/>
        </w:rPr>
        <w:t>, mostly used in refrigeration and air conditioning equipment. HFCs generally have a high global warming potential</w:t>
      </w:r>
      <w:r w:rsidR="005F2339">
        <w:rPr>
          <w:szCs w:val="24"/>
        </w:rPr>
        <w:t>,</w:t>
      </w:r>
      <w:r w:rsidR="005F2339" w:rsidRPr="005F2339">
        <w:rPr>
          <w:szCs w:val="24"/>
        </w:rPr>
        <w:t xml:space="preserve"> </w:t>
      </w:r>
      <w:r w:rsidR="005F2339">
        <w:rPr>
          <w:szCs w:val="24"/>
        </w:rPr>
        <w:t>meaning</w:t>
      </w:r>
      <w:r w:rsidR="005F2339" w:rsidRPr="005F2339">
        <w:rPr>
          <w:szCs w:val="24"/>
        </w:rPr>
        <w:t xml:space="preserve"> they have a greater ability to trap heat in the atmosphere compared to a sim</w:t>
      </w:r>
      <w:r w:rsidR="008632BA">
        <w:rPr>
          <w:szCs w:val="24"/>
        </w:rPr>
        <w:t>ilar mass of carbon dioxide (CO</w:t>
      </w:r>
      <w:r w:rsidR="005F2339" w:rsidRPr="00932D18">
        <w:rPr>
          <w:szCs w:val="24"/>
        </w:rPr>
        <w:t>2</w:t>
      </w:r>
      <w:r w:rsidR="005F2339" w:rsidRPr="005F2339">
        <w:rPr>
          <w:szCs w:val="24"/>
        </w:rPr>
        <w:t xml:space="preserve">). </w:t>
      </w:r>
    </w:p>
    <w:p w14:paraId="466C5D74" w14:textId="2B30D1C4" w:rsidR="005F2339" w:rsidRPr="00AB4541" w:rsidRDefault="005F2339" w:rsidP="00534DFC">
      <w:pPr>
        <w:pStyle w:val="ListNumber"/>
        <w:numPr>
          <w:ilvl w:val="0"/>
          <w:numId w:val="8"/>
        </w:numPr>
        <w:spacing w:after="240"/>
        <w:ind w:left="567" w:hanging="567"/>
        <w:rPr>
          <w:szCs w:val="24"/>
        </w:rPr>
      </w:pPr>
      <w:r w:rsidRPr="005F2339">
        <w:rPr>
          <w:szCs w:val="24"/>
        </w:rPr>
        <w:t xml:space="preserve">In </w:t>
      </w:r>
      <w:r w:rsidR="001907FF">
        <w:rPr>
          <w:szCs w:val="24"/>
        </w:rPr>
        <w:t xml:space="preserve">June </w:t>
      </w:r>
      <w:r w:rsidRPr="005F2339">
        <w:rPr>
          <w:szCs w:val="24"/>
        </w:rPr>
        <w:t xml:space="preserve">2016 the Australian Government </w:t>
      </w:r>
      <w:r w:rsidR="001907FF">
        <w:rPr>
          <w:szCs w:val="24"/>
        </w:rPr>
        <w:t xml:space="preserve">announced </w:t>
      </w:r>
      <w:r w:rsidR="006E615C">
        <w:rPr>
          <w:szCs w:val="24"/>
        </w:rPr>
        <w:t xml:space="preserve">its </w:t>
      </w:r>
      <w:r w:rsidR="001907FF">
        <w:rPr>
          <w:szCs w:val="24"/>
        </w:rPr>
        <w:t>commitment</w:t>
      </w:r>
      <w:r w:rsidRPr="005F2339">
        <w:rPr>
          <w:szCs w:val="24"/>
        </w:rPr>
        <w:t xml:space="preserve"> to reducing Australia’s use of </w:t>
      </w:r>
      <w:r w:rsidRPr="00932D18">
        <w:rPr>
          <w:szCs w:val="24"/>
        </w:rPr>
        <w:t xml:space="preserve">HFCs </w:t>
      </w:r>
      <w:r w:rsidRPr="005F2339">
        <w:rPr>
          <w:szCs w:val="24"/>
        </w:rPr>
        <w:t xml:space="preserve">through a cap and phase-down </w:t>
      </w:r>
      <w:r w:rsidR="001907FF">
        <w:rPr>
          <w:szCs w:val="24"/>
        </w:rPr>
        <w:t xml:space="preserve">of imports </w:t>
      </w:r>
      <w:r w:rsidRPr="005F2339">
        <w:rPr>
          <w:szCs w:val="24"/>
        </w:rPr>
        <w:t>from 1 January 2018</w:t>
      </w:r>
      <w:r w:rsidR="001247AC">
        <w:rPr>
          <w:szCs w:val="24"/>
        </w:rPr>
        <w:t>, resulting in an 85 per cent reduction by 2036</w:t>
      </w:r>
      <w:r w:rsidRPr="005F2339">
        <w:rPr>
          <w:szCs w:val="24"/>
        </w:rPr>
        <w:t xml:space="preserve">. </w:t>
      </w:r>
      <w:r w:rsidRPr="00932D18">
        <w:rPr>
          <w:szCs w:val="24"/>
        </w:rPr>
        <w:t xml:space="preserve">In October 2016, the parties to the Montreal Protocol reached a global agreement on reducing HFC emissions in Kigali, Rwanda. The Parties agreed to a phase-down of global HFC </w:t>
      </w:r>
      <w:r w:rsidR="00D82A19" w:rsidRPr="00932D18">
        <w:rPr>
          <w:szCs w:val="24"/>
        </w:rPr>
        <w:t>manufacture</w:t>
      </w:r>
      <w:r w:rsidRPr="00932D18">
        <w:rPr>
          <w:szCs w:val="24"/>
        </w:rPr>
        <w:t xml:space="preserve"> and imports from 2019, which will result in an 85 per cent phase-down in the use of HFCs by 2036 in developed countries</w:t>
      </w:r>
      <w:r w:rsidR="006E615C" w:rsidRPr="00932D18">
        <w:rPr>
          <w:szCs w:val="24"/>
        </w:rPr>
        <w:t xml:space="preserve"> (developing</w:t>
      </w:r>
      <w:r w:rsidR="001907FF" w:rsidRPr="00932D18">
        <w:rPr>
          <w:szCs w:val="24"/>
        </w:rPr>
        <w:t xml:space="preserve"> countries </w:t>
      </w:r>
      <w:r w:rsidR="008632BA" w:rsidRPr="00932D18">
        <w:rPr>
          <w:szCs w:val="24"/>
        </w:rPr>
        <w:t xml:space="preserve">will </w:t>
      </w:r>
      <w:r w:rsidR="001907FF" w:rsidRPr="00932D18">
        <w:rPr>
          <w:szCs w:val="24"/>
        </w:rPr>
        <w:t>also take on phase-down obligations</w:t>
      </w:r>
      <w:r w:rsidR="006E615C" w:rsidRPr="00932D18">
        <w:rPr>
          <w:szCs w:val="24"/>
        </w:rPr>
        <w:t>,</w:t>
      </w:r>
      <w:r w:rsidR="001907FF" w:rsidRPr="00932D18">
        <w:rPr>
          <w:szCs w:val="24"/>
        </w:rPr>
        <w:t xml:space="preserve"> but</w:t>
      </w:r>
      <w:r w:rsidR="008632BA" w:rsidRPr="00932D18">
        <w:rPr>
          <w:szCs w:val="24"/>
        </w:rPr>
        <w:t xml:space="preserve"> these</w:t>
      </w:r>
      <w:r w:rsidR="001907FF" w:rsidRPr="00932D18">
        <w:rPr>
          <w:szCs w:val="24"/>
        </w:rPr>
        <w:t xml:space="preserve"> </w:t>
      </w:r>
      <w:r w:rsidR="006E615C" w:rsidRPr="00932D18">
        <w:rPr>
          <w:szCs w:val="24"/>
        </w:rPr>
        <w:t xml:space="preserve">are </w:t>
      </w:r>
      <w:r w:rsidR="001907FF" w:rsidRPr="00932D18">
        <w:rPr>
          <w:szCs w:val="24"/>
        </w:rPr>
        <w:t>delayed by a few years)</w:t>
      </w:r>
      <w:r w:rsidR="00932D18">
        <w:rPr>
          <w:szCs w:val="24"/>
        </w:rPr>
        <w:t>.</w:t>
      </w:r>
      <w:r w:rsidRPr="00932D18">
        <w:rPr>
          <w:szCs w:val="24"/>
        </w:rPr>
        <w:t xml:space="preserve"> </w:t>
      </w:r>
      <w:r w:rsidRPr="00AB4541">
        <w:rPr>
          <w:szCs w:val="24"/>
        </w:rPr>
        <w:t xml:space="preserve"> </w:t>
      </w:r>
    </w:p>
    <w:p w14:paraId="464A14DD" w14:textId="18957966" w:rsidR="00730844" w:rsidRPr="00AB4541" w:rsidRDefault="00730844" w:rsidP="00534DFC">
      <w:pPr>
        <w:pStyle w:val="ListNumber"/>
        <w:numPr>
          <w:ilvl w:val="0"/>
          <w:numId w:val="8"/>
        </w:numPr>
        <w:spacing w:after="240"/>
        <w:ind w:left="567" w:hanging="567"/>
        <w:rPr>
          <w:szCs w:val="24"/>
        </w:rPr>
      </w:pPr>
      <w:r w:rsidRPr="00932D18">
        <w:rPr>
          <w:szCs w:val="24"/>
        </w:rPr>
        <w:t xml:space="preserve">The Amendment Act amended the OPSGGM Act and related legislation to enable Australia to </w:t>
      </w:r>
      <w:r w:rsidR="001247AC" w:rsidRPr="00932D18">
        <w:rPr>
          <w:szCs w:val="24"/>
        </w:rPr>
        <w:t xml:space="preserve">commence the domestic HFC phase-down and </w:t>
      </w:r>
      <w:r w:rsidRPr="00932D18">
        <w:rPr>
          <w:szCs w:val="24"/>
        </w:rPr>
        <w:t xml:space="preserve">comply with the global phase-down implemented under the Montreal Protocol, as amended by the Kigali Amendment. </w:t>
      </w:r>
      <w:r w:rsidRPr="00932D18">
        <w:rPr>
          <w:szCs w:val="24"/>
        </w:rPr>
        <w:lastRenderedPageBreak/>
        <w:t>The Amendment Act established a framework for the HFC phase-down</w:t>
      </w:r>
      <w:r w:rsidR="004F04C6" w:rsidRPr="00932D18">
        <w:rPr>
          <w:szCs w:val="24"/>
        </w:rPr>
        <w:t xml:space="preserve">, with appropriate technical detail to be prescribed in the </w:t>
      </w:r>
      <w:r w:rsidR="004F04C6" w:rsidRPr="00BD423F">
        <w:rPr>
          <w:i/>
          <w:szCs w:val="24"/>
        </w:rPr>
        <w:t>Ozone Protection and Synthetic Greenhouse Gas Management Regulations 1995</w:t>
      </w:r>
      <w:r w:rsidR="004F04C6" w:rsidRPr="00932D18">
        <w:rPr>
          <w:szCs w:val="24"/>
        </w:rPr>
        <w:t xml:space="preserve"> (the Principal Regulations).</w:t>
      </w:r>
      <w:r w:rsidR="004F04C6" w:rsidRPr="00AB4541">
        <w:rPr>
          <w:szCs w:val="24"/>
        </w:rPr>
        <w:t xml:space="preserve"> </w:t>
      </w:r>
    </w:p>
    <w:p w14:paraId="230F4771" w14:textId="71A7D678" w:rsidR="00DB134D" w:rsidRDefault="00DB134D" w:rsidP="00534DFC">
      <w:pPr>
        <w:pStyle w:val="ListNumber"/>
        <w:numPr>
          <w:ilvl w:val="0"/>
          <w:numId w:val="8"/>
        </w:numPr>
        <w:spacing w:after="240"/>
        <w:ind w:left="567" w:hanging="567"/>
        <w:rPr>
          <w:szCs w:val="24"/>
        </w:rPr>
      </w:pPr>
      <w:r w:rsidRPr="00932D18">
        <w:rPr>
          <w:szCs w:val="24"/>
        </w:rPr>
        <w:t xml:space="preserve">The Amendment Act provides that the HFC phase-down </w:t>
      </w:r>
      <w:r w:rsidR="005830A6" w:rsidRPr="00932D18">
        <w:rPr>
          <w:szCs w:val="24"/>
        </w:rPr>
        <w:t>would</w:t>
      </w:r>
      <w:r w:rsidRPr="00932D18">
        <w:rPr>
          <w:szCs w:val="24"/>
        </w:rPr>
        <w:t xml:space="preserve"> only apply to “bulk” imports of gas, such as in cylinders (bulk is a term commonly used within the industry to refer to scheduled substances that are in containers for transport or storage, not in pre-charged equipment). It </w:t>
      </w:r>
      <w:r w:rsidR="005830A6" w:rsidRPr="00932D18">
        <w:rPr>
          <w:szCs w:val="24"/>
        </w:rPr>
        <w:t>would</w:t>
      </w:r>
      <w:r w:rsidRPr="00932D18">
        <w:rPr>
          <w:szCs w:val="24"/>
        </w:rPr>
        <w:t xml:space="preserve"> not apply to HFCs imported in equipment (such as air-conditioners or refrigerators) or to used or recycled HFCs, as these are outside the scope of the HFC phase-down obligations set out in the Montreal Protocol (as amended by the Kigali Amendment). </w:t>
      </w:r>
      <w:r w:rsidR="008632BA" w:rsidRPr="00932D18">
        <w:rPr>
          <w:szCs w:val="24"/>
        </w:rPr>
        <w:t xml:space="preserve">Under the Montreal Protocol, </w:t>
      </w:r>
      <w:r w:rsidR="00D82A19" w:rsidRPr="00932D18">
        <w:rPr>
          <w:szCs w:val="24"/>
        </w:rPr>
        <w:t>HFCs imported in equipment or as used substances are accounted for in the country of manufacture.</w:t>
      </w:r>
    </w:p>
    <w:p w14:paraId="1C3475C5" w14:textId="2401BCA2" w:rsidR="00FE5FB1" w:rsidRPr="00932D18" w:rsidRDefault="00511BC0" w:rsidP="00534DFC">
      <w:pPr>
        <w:pStyle w:val="ListNumber"/>
        <w:numPr>
          <w:ilvl w:val="0"/>
          <w:numId w:val="8"/>
        </w:numPr>
        <w:spacing w:after="240"/>
        <w:ind w:left="567" w:hanging="567"/>
        <w:rPr>
          <w:szCs w:val="24"/>
        </w:rPr>
      </w:pPr>
      <w:r w:rsidRPr="00932D18">
        <w:rPr>
          <w:szCs w:val="24"/>
        </w:rPr>
        <w:t xml:space="preserve">The HFC phase-down </w:t>
      </w:r>
      <w:r w:rsidR="005830A6" w:rsidRPr="00932D18">
        <w:rPr>
          <w:szCs w:val="24"/>
        </w:rPr>
        <w:t>would</w:t>
      </w:r>
      <w:r w:rsidRPr="00932D18">
        <w:rPr>
          <w:szCs w:val="24"/>
        </w:rPr>
        <w:t xml:space="preserve"> be managed through a reducing import quota system</w:t>
      </w:r>
      <w:r w:rsidR="003A60C4" w:rsidRPr="00932D18">
        <w:rPr>
          <w:szCs w:val="24"/>
        </w:rPr>
        <w:t xml:space="preserve"> over 18 years</w:t>
      </w:r>
      <w:r w:rsidR="001247AC" w:rsidRPr="00932D18">
        <w:rPr>
          <w:szCs w:val="24"/>
        </w:rPr>
        <w:t>, finishing with a 15% residual after 2036 to allow for servicing of existing equipment</w:t>
      </w:r>
      <w:r w:rsidR="003A60C4" w:rsidRPr="00932D18">
        <w:rPr>
          <w:szCs w:val="24"/>
        </w:rPr>
        <w:t xml:space="preserve"> (there are currently no HFCs manufactured in Australia). </w:t>
      </w:r>
      <w:r w:rsidR="00FE5FB1" w:rsidRPr="00932D18">
        <w:rPr>
          <w:szCs w:val="24"/>
        </w:rPr>
        <w:t xml:space="preserve">Import limits for the amount of HFCs covered by the phase-down (i.e. bulk HFCs that are not reused or recycled) </w:t>
      </w:r>
      <w:r w:rsidR="005830A6" w:rsidRPr="00932D18">
        <w:rPr>
          <w:szCs w:val="24"/>
        </w:rPr>
        <w:t>would</w:t>
      </w:r>
      <w:r w:rsidR="00FE5FB1" w:rsidRPr="00932D18">
        <w:rPr>
          <w:szCs w:val="24"/>
        </w:rPr>
        <w:t xml:space="preserve"> be set via the total HFC industry limit, expressed in </w:t>
      </w:r>
      <w:r w:rsidR="005B69C4" w:rsidRPr="00932D18">
        <w:rPr>
          <w:szCs w:val="24"/>
        </w:rPr>
        <w:t>carbon dioxide equivalent (</w:t>
      </w:r>
      <w:r w:rsidR="00FE5FB1" w:rsidRPr="00932D18">
        <w:rPr>
          <w:szCs w:val="24"/>
        </w:rPr>
        <w:t>CO2e</w:t>
      </w:r>
      <w:r w:rsidR="005B69C4" w:rsidRPr="00932D18">
        <w:rPr>
          <w:szCs w:val="24"/>
        </w:rPr>
        <w:t>)</w:t>
      </w:r>
      <w:r w:rsidR="00FE5FB1" w:rsidRPr="00932D18">
        <w:rPr>
          <w:szCs w:val="24"/>
        </w:rPr>
        <w:t xml:space="preserve"> </w:t>
      </w:r>
      <w:proofErr w:type="spellStart"/>
      <w:r w:rsidR="00FE5FB1" w:rsidRPr="00932D18">
        <w:rPr>
          <w:szCs w:val="24"/>
        </w:rPr>
        <w:t>megatonnes</w:t>
      </w:r>
      <w:proofErr w:type="spellEnd"/>
      <w:r w:rsidR="00FE5FB1" w:rsidRPr="00932D18">
        <w:rPr>
          <w:szCs w:val="24"/>
        </w:rPr>
        <w:t xml:space="preserve">. The total HFC industry limit </w:t>
      </w:r>
      <w:r w:rsidR="005830A6" w:rsidRPr="00932D18">
        <w:rPr>
          <w:szCs w:val="24"/>
        </w:rPr>
        <w:t xml:space="preserve">would </w:t>
      </w:r>
      <w:r w:rsidR="003A60C4" w:rsidRPr="00932D18">
        <w:rPr>
          <w:szCs w:val="24"/>
        </w:rPr>
        <w:t xml:space="preserve">effectively </w:t>
      </w:r>
      <w:r w:rsidR="005830A6" w:rsidRPr="00932D18">
        <w:rPr>
          <w:szCs w:val="24"/>
        </w:rPr>
        <w:t>be</w:t>
      </w:r>
      <w:r w:rsidR="00FE5FB1" w:rsidRPr="00932D18">
        <w:rPr>
          <w:szCs w:val="24"/>
        </w:rPr>
        <w:t xml:space="preserve"> the maximum quantity of bulk HFCs that </w:t>
      </w:r>
      <w:r w:rsidR="005830A6" w:rsidRPr="00932D18">
        <w:rPr>
          <w:szCs w:val="24"/>
        </w:rPr>
        <w:t>could</w:t>
      </w:r>
      <w:r w:rsidR="00FE5FB1" w:rsidRPr="00932D18">
        <w:rPr>
          <w:szCs w:val="24"/>
        </w:rPr>
        <w:t xml:space="preserve"> be imported into Australia in the relevant quota period (excluding any reserve quota that may be allocated under section </w:t>
      </w:r>
      <w:r w:rsidR="00550E02" w:rsidRPr="00932D18">
        <w:rPr>
          <w:szCs w:val="24"/>
        </w:rPr>
        <w:t xml:space="preserve">36G </w:t>
      </w:r>
      <w:r w:rsidR="00FE5FB1" w:rsidRPr="00932D18">
        <w:rPr>
          <w:szCs w:val="24"/>
        </w:rPr>
        <w:t xml:space="preserve">of the </w:t>
      </w:r>
      <w:r w:rsidR="00CF2DE9" w:rsidRPr="00932D18">
        <w:rPr>
          <w:szCs w:val="24"/>
        </w:rPr>
        <w:t xml:space="preserve">OPSGGM </w:t>
      </w:r>
      <w:r w:rsidR="00FE5FB1" w:rsidRPr="00932D18">
        <w:rPr>
          <w:szCs w:val="24"/>
        </w:rPr>
        <w:t xml:space="preserve">Act). The total HFC industry limit </w:t>
      </w:r>
      <w:r w:rsidR="005830A6" w:rsidRPr="00932D18">
        <w:rPr>
          <w:szCs w:val="24"/>
        </w:rPr>
        <w:t>would</w:t>
      </w:r>
      <w:r w:rsidR="00FE5FB1" w:rsidRPr="00932D18">
        <w:rPr>
          <w:szCs w:val="24"/>
        </w:rPr>
        <w:t xml:space="preserve"> reduce</w:t>
      </w:r>
      <w:r w:rsidR="008A6D30" w:rsidRPr="00932D18">
        <w:rPr>
          <w:szCs w:val="24"/>
        </w:rPr>
        <w:t xml:space="preserve"> with each HFC quota allocation period</w:t>
      </w:r>
      <w:r w:rsidR="003A60C4" w:rsidRPr="00932D18">
        <w:rPr>
          <w:szCs w:val="24"/>
        </w:rPr>
        <w:t xml:space="preserve"> (</w:t>
      </w:r>
      <w:r w:rsidR="008A6D30" w:rsidRPr="00932D18">
        <w:rPr>
          <w:szCs w:val="24"/>
        </w:rPr>
        <w:t>a two-calendar-year period, aligning with the licensing periods under the O</w:t>
      </w:r>
      <w:r w:rsidR="00CF2DE9" w:rsidRPr="00932D18">
        <w:rPr>
          <w:szCs w:val="24"/>
        </w:rPr>
        <w:t>P</w:t>
      </w:r>
      <w:r w:rsidR="008A6D30" w:rsidRPr="00932D18">
        <w:rPr>
          <w:szCs w:val="24"/>
        </w:rPr>
        <w:t>SGGM Act</w:t>
      </w:r>
      <w:r w:rsidR="003A60C4" w:rsidRPr="00932D18">
        <w:rPr>
          <w:szCs w:val="24"/>
        </w:rPr>
        <w:t>)</w:t>
      </w:r>
      <w:r w:rsidR="008A6D30" w:rsidRPr="00932D18">
        <w:rPr>
          <w:szCs w:val="24"/>
        </w:rPr>
        <w:t>.</w:t>
      </w:r>
      <w:r w:rsidR="003A60C4" w:rsidRPr="00932D18">
        <w:rPr>
          <w:szCs w:val="24"/>
        </w:rPr>
        <w:t xml:space="preserve"> Reduced imports would decrease the total amount of HFCs in the economy that can be emitted to the atmosphere, therefore resulting in lower HFC emissions.</w:t>
      </w:r>
    </w:p>
    <w:p w14:paraId="6CD5B6D7" w14:textId="24A9E31A" w:rsidR="00511BC0" w:rsidRPr="00932D18" w:rsidRDefault="00511BC0" w:rsidP="00534DFC">
      <w:pPr>
        <w:pStyle w:val="ListNumber"/>
        <w:numPr>
          <w:ilvl w:val="0"/>
          <w:numId w:val="8"/>
        </w:numPr>
        <w:spacing w:after="240"/>
        <w:ind w:left="567" w:hanging="567"/>
        <w:rPr>
          <w:szCs w:val="24"/>
        </w:rPr>
      </w:pPr>
      <w:r w:rsidRPr="00932D18">
        <w:rPr>
          <w:szCs w:val="24"/>
        </w:rPr>
        <w:t>HFC q</w:t>
      </w:r>
      <w:r w:rsidR="00FE5FB1" w:rsidRPr="00932D18">
        <w:rPr>
          <w:szCs w:val="24"/>
        </w:rPr>
        <w:t xml:space="preserve">uota </w:t>
      </w:r>
      <w:r w:rsidR="005830A6" w:rsidRPr="00932D18">
        <w:rPr>
          <w:szCs w:val="24"/>
        </w:rPr>
        <w:t>would</w:t>
      </w:r>
      <w:r w:rsidR="00FE5FB1" w:rsidRPr="00932D18">
        <w:rPr>
          <w:szCs w:val="24"/>
        </w:rPr>
        <w:t xml:space="preserve"> be divided between a ‘grandfathered’ percentage and a ‘non-grandfathered’ percentage of the total HFC industry limit.</w:t>
      </w:r>
      <w:r w:rsidRPr="00932D18">
        <w:rPr>
          <w:szCs w:val="24"/>
        </w:rPr>
        <w:t xml:space="preserve"> The grandfathered percentage </w:t>
      </w:r>
      <w:r w:rsidR="005830A6" w:rsidRPr="00932D18">
        <w:rPr>
          <w:szCs w:val="24"/>
        </w:rPr>
        <w:t>would be</w:t>
      </w:r>
      <w:r w:rsidRPr="00932D18">
        <w:rPr>
          <w:szCs w:val="24"/>
        </w:rPr>
        <w:t xml:space="preserve"> the total share of the HFC industry limit for the HFC quota allocation period in question that is available to be allocated to persons who are entitled to grandfathered quota allocations during that period</w:t>
      </w:r>
      <w:r w:rsidR="00032392" w:rsidRPr="00932D18">
        <w:rPr>
          <w:szCs w:val="24"/>
        </w:rPr>
        <w:t xml:space="preserve"> </w:t>
      </w:r>
      <w:r w:rsidR="005830A6" w:rsidRPr="00932D18">
        <w:rPr>
          <w:szCs w:val="24"/>
        </w:rPr>
        <w:t>(</w:t>
      </w:r>
      <w:r w:rsidR="00032392" w:rsidRPr="00932D18">
        <w:rPr>
          <w:szCs w:val="24"/>
        </w:rPr>
        <w:t xml:space="preserve">established market </w:t>
      </w:r>
      <w:r w:rsidR="00550E02" w:rsidRPr="00932D18">
        <w:rPr>
          <w:szCs w:val="24"/>
        </w:rPr>
        <w:t>participants</w:t>
      </w:r>
      <w:r w:rsidR="005830A6" w:rsidRPr="00932D18">
        <w:rPr>
          <w:szCs w:val="24"/>
        </w:rPr>
        <w:t>)</w:t>
      </w:r>
      <w:r w:rsidRPr="00932D18">
        <w:rPr>
          <w:szCs w:val="24"/>
        </w:rPr>
        <w:t>.</w:t>
      </w:r>
      <w:r w:rsidR="009F7450" w:rsidRPr="00932D18">
        <w:rPr>
          <w:szCs w:val="24"/>
        </w:rPr>
        <w:t xml:space="preserve"> The non-</w:t>
      </w:r>
      <w:r w:rsidRPr="00932D18">
        <w:rPr>
          <w:szCs w:val="24"/>
        </w:rPr>
        <w:t xml:space="preserve">grandfathered percentage </w:t>
      </w:r>
      <w:r w:rsidR="009F7450" w:rsidRPr="00932D18">
        <w:rPr>
          <w:szCs w:val="24"/>
        </w:rPr>
        <w:t>would be</w:t>
      </w:r>
      <w:r w:rsidRPr="00932D18">
        <w:rPr>
          <w:szCs w:val="24"/>
        </w:rPr>
        <w:t xml:space="preserve"> the total share of the HFC industry limit for the HFC quota allocation period in question that is available to be allocated to p</w:t>
      </w:r>
      <w:r w:rsidR="009F7450" w:rsidRPr="00932D18">
        <w:rPr>
          <w:szCs w:val="24"/>
        </w:rPr>
        <w:t>ersons who are entitled to non-</w:t>
      </w:r>
      <w:r w:rsidRPr="00932D18">
        <w:rPr>
          <w:szCs w:val="24"/>
        </w:rPr>
        <w:t>grandfathered quota allocations during that period</w:t>
      </w:r>
      <w:r w:rsidR="00144677" w:rsidRPr="00932D18">
        <w:rPr>
          <w:szCs w:val="24"/>
        </w:rPr>
        <w:t xml:space="preserve"> (a quota allocation is the net allowance of HFCs after exports)</w:t>
      </w:r>
      <w:r w:rsidR="009F7450" w:rsidRPr="00932D18">
        <w:rPr>
          <w:szCs w:val="24"/>
        </w:rPr>
        <w:t>. Any person could apply for a non-grandfathered quota allocation</w:t>
      </w:r>
      <w:r w:rsidRPr="00932D18">
        <w:rPr>
          <w:szCs w:val="24"/>
        </w:rPr>
        <w:t xml:space="preserve">. </w:t>
      </w:r>
      <w:r w:rsidR="00FE5FB1" w:rsidRPr="00932D18">
        <w:rPr>
          <w:szCs w:val="24"/>
        </w:rPr>
        <w:t xml:space="preserve">The intent is to recognise both established participants and provide opportunities for new participants. </w:t>
      </w:r>
    </w:p>
    <w:p w14:paraId="34AF95A7" w14:textId="77777777" w:rsidR="000D761A" w:rsidRPr="00932D18" w:rsidRDefault="00FE5FB1" w:rsidP="00534DFC">
      <w:pPr>
        <w:pStyle w:val="ListNumber"/>
        <w:numPr>
          <w:ilvl w:val="0"/>
          <w:numId w:val="8"/>
        </w:numPr>
        <w:spacing w:after="240"/>
        <w:ind w:left="567" w:hanging="567"/>
        <w:rPr>
          <w:szCs w:val="24"/>
        </w:rPr>
      </w:pPr>
      <w:r w:rsidRPr="00932D18">
        <w:rPr>
          <w:szCs w:val="24"/>
        </w:rPr>
        <w:t xml:space="preserve">Established market participants </w:t>
      </w:r>
      <w:r w:rsidR="009F7450" w:rsidRPr="00932D18">
        <w:rPr>
          <w:szCs w:val="24"/>
        </w:rPr>
        <w:t>would</w:t>
      </w:r>
      <w:r w:rsidRPr="00932D18">
        <w:rPr>
          <w:szCs w:val="24"/>
        </w:rPr>
        <w:t xml:space="preserve"> be eligible for grandfathered quota based on their past imports</w:t>
      </w:r>
      <w:r w:rsidR="00144677" w:rsidRPr="00932D18">
        <w:rPr>
          <w:szCs w:val="24"/>
        </w:rPr>
        <w:t xml:space="preserve"> (specifically between 1 January 2009 and 31 December 2014)</w:t>
      </w:r>
      <w:r w:rsidRPr="00932D18">
        <w:rPr>
          <w:szCs w:val="24"/>
        </w:rPr>
        <w:t xml:space="preserve">. </w:t>
      </w:r>
      <w:r w:rsidR="00D03E3D" w:rsidRPr="00932D18">
        <w:rPr>
          <w:szCs w:val="24"/>
        </w:rPr>
        <w:t xml:space="preserve">The grandfathered quota allocations in the second HFC quota allocation period and subsequent HFC quota allocation periods </w:t>
      </w:r>
      <w:r w:rsidR="009F7450" w:rsidRPr="00932D18">
        <w:rPr>
          <w:szCs w:val="24"/>
        </w:rPr>
        <w:t>would</w:t>
      </w:r>
      <w:r w:rsidR="00D03E3D" w:rsidRPr="00932D18">
        <w:rPr>
          <w:szCs w:val="24"/>
        </w:rPr>
        <w:t xml:space="preserve"> be calculated based on actual imports during earlier </w:t>
      </w:r>
      <w:r w:rsidR="00144677" w:rsidRPr="00932D18">
        <w:rPr>
          <w:szCs w:val="24"/>
        </w:rPr>
        <w:t xml:space="preserve">HFC </w:t>
      </w:r>
      <w:r w:rsidR="00D03E3D" w:rsidRPr="00932D18">
        <w:rPr>
          <w:szCs w:val="24"/>
        </w:rPr>
        <w:t xml:space="preserve">quota allocation periods. </w:t>
      </w:r>
    </w:p>
    <w:p w14:paraId="4089CF33" w14:textId="77777777" w:rsidR="00144677" w:rsidRPr="00932D18" w:rsidRDefault="00FE5FB1" w:rsidP="00534DFC">
      <w:pPr>
        <w:pStyle w:val="ListNumber"/>
        <w:numPr>
          <w:ilvl w:val="0"/>
          <w:numId w:val="8"/>
        </w:numPr>
        <w:spacing w:after="240"/>
        <w:ind w:left="567" w:hanging="567"/>
        <w:rPr>
          <w:szCs w:val="24"/>
        </w:rPr>
      </w:pPr>
      <w:r w:rsidRPr="00932D18">
        <w:rPr>
          <w:szCs w:val="24"/>
        </w:rPr>
        <w:t xml:space="preserve">For each </w:t>
      </w:r>
      <w:r w:rsidR="00D03E3D" w:rsidRPr="00932D18">
        <w:rPr>
          <w:szCs w:val="24"/>
        </w:rPr>
        <w:t xml:space="preserve">HFC </w:t>
      </w:r>
      <w:r w:rsidRPr="00932D18">
        <w:rPr>
          <w:szCs w:val="24"/>
        </w:rPr>
        <w:t xml:space="preserve">quota allocation period, new and established </w:t>
      </w:r>
      <w:r w:rsidR="00D03E3D" w:rsidRPr="00932D18">
        <w:rPr>
          <w:szCs w:val="24"/>
        </w:rPr>
        <w:t xml:space="preserve">market </w:t>
      </w:r>
      <w:r w:rsidRPr="00932D18">
        <w:rPr>
          <w:szCs w:val="24"/>
        </w:rPr>
        <w:t xml:space="preserve">participants </w:t>
      </w:r>
      <w:r w:rsidR="003B09D4" w:rsidRPr="00932D18">
        <w:rPr>
          <w:szCs w:val="24"/>
        </w:rPr>
        <w:t>would</w:t>
      </w:r>
      <w:r w:rsidRPr="00932D18">
        <w:rPr>
          <w:szCs w:val="24"/>
        </w:rPr>
        <w:t xml:space="preserve"> be able to apply for</w:t>
      </w:r>
      <w:r w:rsidR="00D03E3D" w:rsidRPr="00932D18">
        <w:rPr>
          <w:szCs w:val="24"/>
        </w:rPr>
        <w:t xml:space="preserve"> non-grandfathered quota</w:t>
      </w:r>
      <w:r w:rsidR="000D761A" w:rsidRPr="00932D18">
        <w:rPr>
          <w:szCs w:val="24"/>
        </w:rPr>
        <w:t>. Entitlement for non-grandfathered quota in a period and the amount, or method for calculating the amount, of non-grandfathered quota to which a person is entitled in a</w:t>
      </w:r>
      <w:r w:rsidR="003B09D4" w:rsidRPr="00932D18">
        <w:rPr>
          <w:szCs w:val="24"/>
        </w:rPr>
        <w:t>n</w:t>
      </w:r>
      <w:r w:rsidR="000D761A" w:rsidRPr="00932D18">
        <w:rPr>
          <w:szCs w:val="24"/>
        </w:rPr>
        <w:t xml:space="preserve"> HFC quota allocation period, would be determined in a declaration made by the Minister. </w:t>
      </w:r>
      <w:r w:rsidRPr="00932D18">
        <w:rPr>
          <w:szCs w:val="24"/>
        </w:rPr>
        <w:t xml:space="preserve">The method for allocating </w:t>
      </w:r>
      <w:r w:rsidR="000D761A" w:rsidRPr="00932D18">
        <w:rPr>
          <w:szCs w:val="24"/>
        </w:rPr>
        <w:t>non-grandfathered quota would</w:t>
      </w:r>
      <w:r w:rsidRPr="00932D18">
        <w:rPr>
          <w:szCs w:val="24"/>
        </w:rPr>
        <w:t xml:space="preserve"> be published prior to each quota allocation period</w:t>
      </w:r>
      <w:r w:rsidR="000D761A" w:rsidRPr="00932D18">
        <w:rPr>
          <w:szCs w:val="24"/>
        </w:rPr>
        <w:t xml:space="preserve"> to provide certainty</w:t>
      </w:r>
      <w:r w:rsidRPr="00932D18">
        <w:rPr>
          <w:szCs w:val="24"/>
        </w:rPr>
        <w:t>.</w:t>
      </w:r>
      <w:r w:rsidR="00144677" w:rsidRPr="00932D18">
        <w:rPr>
          <w:szCs w:val="24"/>
        </w:rPr>
        <w:t xml:space="preserve"> </w:t>
      </w:r>
    </w:p>
    <w:p w14:paraId="01DEC06E" w14:textId="77777777" w:rsidR="00144677" w:rsidRPr="00932D18" w:rsidRDefault="00144677" w:rsidP="00AB4541">
      <w:pPr>
        <w:pStyle w:val="ListNumber"/>
        <w:numPr>
          <w:ilvl w:val="0"/>
          <w:numId w:val="0"/>
        </w:numPr>
        <w:ind w:left="369"/>
        <w:rPr>
          <w:szCs w:val="24"/>
        </w:rPr>
      </w:pPr>
    </w:p>
    <w:p w14:paraId="5988FAD3" w14:textId="77777777" w:rsidR="00FE5FB1" w:rsidRPr="00932D18" w:rsidRDefault="00FE5FB1" w:rsidP="00534DFC">
      <w:pPr>
        <w:pStyle w:val="ListNumber"/>
        <w:numPr>
          <w:ilvl w:val="0"/>
          <w:numId w:val="8"/>
        </w:numPr>
        <w:spacing w:after="240"/>
        <w:ind w:left="567" w:hanging="567"/>
        <w:rPr>
          <w:szCs w:val="24"/>
        </w:rPr>
      </w:pPr>
      <w:r w:rsidRPr="00932D18">
        <w:rPr>
          <w:szCs w:val="24"/>
        </w:rPr>
        <w:lastRenderedPageBreak/>
        <w:t xml:space="preserve">Applicants </w:t>
      </w:r>
      <w:r w:rsidR="000D761A" w:rsidRPr="00932D18">
        <w:rPr>
          <w:szCs w:val="24"/>
        </w:rPr>
        <w:t>would</w:t>
      </w:r>
      <w:r w:rsidRPr="00932D18">
        <w:rPr>
          <w:szCs w:val="24"/>
        </w:rPr>
        <w:t xml:space="preserve"> need to satisfy all the requirements to hold an </w:t>
      </w:r>
      <w:r w:rsidR="003A60C4" w:rsidRPr="00932D18">
        <w:rPr>
          <w:szCs w:val="24"/>
        </w:rPr>
        <w:t>SGG</w:t>
      </w:r>
      <w:r w:rsidRPr="00932D18">
        <w:rPr>
          <w:szCs w:val="24"/>
        </w:rPr>
        <w:t xml:space="preserve"> licence, and be granted an </w:t>
      </w:r>
      <w:r w:rsidR="003A60C4" w:rsidRPr="00932D18">
        <w:rPr>
          <w:szCs w:val="24"/>
        </w:rPr>
        <w:t>SGG</w:t>
      </w:r>
      <w:r w:rsidRPr="00932D18">
        <w:rPr>
          <w:szCs w:val="24"/>
        </w:rPr>
        <w:t xml:space="preserve"> licence, in order to be eligible for </w:t>
      </w:r>
      <w:r w:rsidR="000D761A" w:rsidRPr="00932D18">
        <w:rPr>
          <w:szCs w:val="24"/>
        </w:rPr>
        <w:t>non-grandfathered quota</w:t>
      </w:r>
      <w:r w:rsidRPr="00932D18">
        <w:rPr>
          <w:szCs w:val="24"/>
        </w:rPr>
        <w:t>.</w:t>
      </w:r>
    </w:p>
    <w:p w14:paraId="097D3233" w14:textId="77777777" w:rsidR="00550E02" w:rsidRPr="00932D18" w:rsidRDefault="00550E02" w:rsidP="00534DFC">
      <w:pPr>
        <w:pStyle w:val="ListNumber"/>
        <w:numPr>
          <w:ilvl w:val="0"/>
          <w:numId w:val="8"/>
        </w:numPr>
        <w:spacing w:after="240"/>
        <w:ind w:left="567" w:hanging="567"/>
        <w:rPr>
          <w:szCs w:val="24"/>
        </w:rPr>
      </w:pPr>
      <w:r w:rsidRPr="00932D18">
        <w:rPr>
          <w:szCs w:val="24"/>
        </w:rPr>
        <w:t xml:space="preserve">There would also be provisions allowing a person who had engaged in licensed regulated HFC activity or licensed regulated HCFC activity during the base period for a HFC quota allocation period (licensed regulated HCFC activity would only be relevant to the first HFC quota allocation period) to request that the activity be taken to have been engaged in by another specified person. This would effectively </w:t>
      </w:r>
      <w:r w:rsidR="003B09D4" w:rsidRPr="00932D18">
        <w:rPr>
          <w:szCs w:val="24"/>
        </w:rPr>
        <w:t>allow</w:t>
      </w:r>
      <w:r w:rsidRPr="00932D18">
        <w:rPr>
          <w:szCs w:val="24"/>
        </w:rPr>
        <w:t xml:space="preserve"> </w:t>
      </w:r>
      <w:r w:rsidR="003B09D4" w:rsidRPr="00932D18">
        <w:rPr>
          <w:szCs w:val="24"/>
        </w:rPr>
        <w:t>a</w:t>
      </w:r>
      <w:r w:rsidRPr="00932D18">
        <w:rPr>
          <w:szCs w:val="24"/>
        </w:rPr>
        <w:t xml:space="preserve"> person to transfer their future grandfathered quota allocations to another person. </w:t>
      </w:r>
    </w:p>
    <w:p w14:paraId="2566B5A8" w14:textId="26C7A676" w:rsidR="00550E02" w:rsidRDefault="00B94A9F" w:rsidP="00534DFC">
      <w:pPr>
        <w:pStyle w:val="ListNumber"/>
        <w:numPr>
          <w:ilvl w:val="0"/>
          <w:numId w:val="8"/>
        </w:numPr>
        <w:spacing w:after="240"/>
        <w:ind w:left="567" w:hanging="567"/>
        <w:rPr>
          <w:szCs w:val="24"/>
        </w:rPr>
      </w:pPr>
      <w:r w:rsidRPr="00932D18">
        <w:rPr>
          <w:szCs w:val="24"/>
        </w:rPr>
        <w:t>A person</w:t>
      </w:r>
      <w:r w:rsidR="00550E02" w:rsidRPr="00932D18">
        <w:rPr>
          <w:szCs w:val="24"/>
        </w:rPr>
        <w:t xml:space="preserve"> who would have an entitlement to grandfathered quota allocation</w:t>
      </w:r>
      <w:r w:rsidR="003B09D4" w:rsidRPr="00932D18">
        <w:rPr>
          <w:szCs w:val="24"/>
        </w:rPr>
        <w:t>s</w:t>
      </w:r>
      <w:r w:rsidR="00550E02" w:rsidRPr="00932D18">
        <w:rPr>
          <w:szCs w:val="24"/>
        </w:rPr>
        <w:t xml:space="preserve"> in future HFC quota allocation periods could also apply to have a percentage of (or all of) their grandfathered quota allocation </w:t>
      </w:r>
      <w:r w:rsidR="003B09D4" w:rsidRPr="00932D18">
        <w:rPr>
          <w:szCs w:val="24"/>
        </w:rPr>
        <w:t xml:space="preserve">entitlement </w:t>
      </w:r>
      <w:r w:rsidR="00550E02" w:rsidRPr="00932D18">
        <w:rPr>
          <w:szCs w:val="24"/>
        </w:rPr>
        <w:t xml:space="preserve">retired. </w:t>
      </w:r>
      <w:r w:rsidRPr="00932D18">
        <w:rPr>
          <w:szCs w:val="24"/>
        </w:rPr>
        <w:t xml:space="preserve">A person who retires </w:t>
      </w:r>
      <w:r w:rsidR="00550E02" w:rsidRPr="00932D18">
        <w:rPr>
          <w:szCs w:val="24"/>
        </w:rPr>
        <w:t xml:space="preserve">a percentage of a grandfathered quota allocation would have their grandfathered quota allocation reduced by that percentage in every future HFC quota allocation period. If </w:t>
      </w:r>
      <w:r w:rsidRPr="00932D18">
        <w:rPr>
          <w:szCs w:val="24"/>
        </w:rPr>
        <w:t xml:space="preserve">a </w:t>
      </w:r>
      <w:r w:rsidR="00550E02" w:rsidRPr="00932D18">
        <w:rPr>
          <w:szCs w:val="24"/>
        </w:rPr>
        <w:t xml:space="preserve">person </w:t>
      </w:r>
      <w:r w:rsidRPr="00932D18">
        <w:rPr>
          <w:szCs w:val="24"/>
        </w:rPr>
        <w:t xml:space="preserve">retires the </w:t>
      </w:r>
      <w:r w:rsidR="00550E02" w:rsidRPr="00932D18">
        <w:rPr>
          <w:szCs w:val="24"/>
        </w:rPr>
        <w:t xml:space="preserve">whole </w:t>
      </w:r>
      <w:r w:rsidRPr="00932D18">
        <w:rPr>
          <w:szCs w:val="24"/>
        </w:rPr>
        <w:t xml:space="preserve">of their </w:t>
      </w:r>
      <w:r w:rsidR="00550E02" w:rsidRPr="00932D18">
        <w:rPr>
          <w:szCs w:val="24"/>
        </w:rPr>
        <w:t xml:space="preserve">grandfathered HFC quota allocation, they would not receive any grandfathered quota allocations in future HFC quota allocation periods. </w:t>
      </w:r>
      <w:r w:rsidRPr="00932D18">
        <w:rPr>
          <w:szCs w:val="24"/>
        </w:rPr>
        <w:t xml:space="preserve">This would not impact </w:t>
      </w:r>
      <w:r w:rsidR="00550E02" w:rsidRPr="00932D18">
        <w:rPr>
          <w:szCs w:val="24"/>
        </w:rPr>
        <w:t>other HFC quota holders</w:t>
      </w:r>
      <w:r w:rsidR="003B09D4" w:rsidRPr="00932D18">
        <w:rPr>
          <w:szCs w:val="24"/>
        </w:rPr>
        <w:t>’</w:t>
      </w:r>
      <w:r w:rsidR="00550E02" w:rsidRPr="00932D18">
        <w:rPr>
          <w:szCs w:val="24"/>
        </w:rPr>
        <w:t xml:space="preserve"> quota allocations. </w:t>
      </w:r>
    </w:p>
    <w:p w14:paraId="7053C7B8" w14:textId="4A096EED" w:rsidR="00FE5FB1" w:rsidRDefault="00550E02" w:rsidP="00534DFC">
      <w:pPr>
        <w:pStyle w:val="ListNumber"/>
        <w:numPr>
          <w:ilvl w:val="0"/>
          <w:numId w:val="8"/>
        </w:numPr>
        <w:spacing w:after="240"/>
        <w:ind w:left="567" w:hanging="567"/>
        <w:rPr>
          <w:szCs w:val="24"/>
        </w:rPr>
      </w:pPr>
      <w:r w:rsidRPr="00932D18">
        <w:rPr>
          <w:szCs w:val="24"/>
        </w:rPr>
        <w:t>Part 1 of Schedule 1 also include</w:t>
      </w:r>
      <w:r w:rsidR="00305388">
        <w:rPr>
          <w:szCs w:val="24"/>
        </w:rPr>
        <w:t>s</w:t>
      </w:r>
      <w:r w:rsidRPr="00932D18">
        <w:rPr>
          <w:szCs w:val="24"/>
        </w:rPr>
        <w:t xml:space="preserve"> provisions relating to low-volume import thresholds</w:t>
      </w:r>
      <w:r w:rsidRPr="00411571">
        <w:rPr>
          <w:szCs w:val="24"/>
        </w:rPr>
        <w:t>.</w:t>
      </w:r>
    </w:p>
    <w:p w14:paraId="5921C7F1" w14:textId="77777777" w:rsidR="00E27E73" w:rsidRDefault="00E27E73" w:rsidP="00E27E73">
      <w:pPr>
        <w:rPr>
          <w:rFonts w:ascii="Times New Roman" w:hAnsi="Times New Roman"/>
          <w:b/>
          <w:sz w:val="24"/>
          <w:szCs w:val="24"/>
        </w:rPr>
      </w:pPr>
      <w:r w:rsidRPr="00C010FA">
        <w:rPr>
          <w:rFonts w:ascii="Times New Roman" w:hAnsi="Times New Roman"/>
          <w:b/>
          <w:sz w:val="24"/>
          <w:szCs w:val="24"/>
        </w:rPr>
        <w:t>Part 1 – HFCs</w:t>
      </w:r>
    </w:p>
    <w:p w14:paraId="00004A30" w14:textId="77777777" w:rsidR="00B94A9F" w:rsidRDefault="00B94A9F" w:rsidP="00E27E73">
      <w:pPr>
        <w:rPr>
          <w:rFonts w:ascii="Times New Roman" w:hAnsi="Times New Roman"/>
          <w:b/>
          <w:sz w:val="24"/>
          <w:szCs w:val="24"/>
        </w:rPr>
      </w:pPr>
    </w:p>
    <w:p w14:paraId="262ABA8D" w14:textId="2C923F15" w:rsidR="00DB134D" w:rsidRPr="001D43E7" w:rsidRDefault="00AC7689" w:rsidP="00815601">
      <w:pPr>
        <w:rPr>
          <w:rFonts w:ascii="Times New Roman" w:hAnsi="Times New Roman"/>
          <w:b/>
          <w:sz w:val="24"/>
          <w:szCs w:val="24"/>
        </w:rPr>
      </w:pPr>
      <w:r w:rsidRPr="001D43E7">
        <w:rPr>
          <w:rFonts w:ascii="Times New Roman" w:hAnsi="Times New Roman"/>
          <w:b/>
          <w:sz w:val="24"/>
          <w:szCs w:val="24"/>
        </w:rPr>
        <w:t xml:space="preserve">Items </w:t>
      </w:r>
      <w:r w:rsidR="000D1163">
        <w:rPr>
          <w:rFonts w:ascii="Times New Roman" w:hAnsi="Times New Roman"/>
          <w:b/>
          <w:sz w:val="24"/>
          <w:szCs w:val="24"/>
        </w:rPr>
        <w:t>2</w:t>
      </w:r>
      <w:r w:rsidR="001D43E7" w:rsidRPr="001D43E7">
        <w:rPr>
          <w:rFonts w:ascii="Times New Roman" w:hAnsi="Times New Roman"/>
          <w:b/>
          <w:sz w:val="24"/>
          <w:szCs w:val="24"/>
        </w:rPr>
        <w:t xml:space="preserve"> and </w:t>
      </w:r>
      <w:r w:rsidR="000D1163">
        <w:rPr>
          <w:rFonts w:ascii="Times New Roman" w:hAnsi="Times New Roman"/>
          <w:b/>
          <w:sz w:val="24"/>
          <w:szCs w:val="24"/>
        </w:rPr>
        <w:t>8</w:t>
      </w:r>
    </w:p>
    <w:p w14:paraId="50438605" w14:textId="77777777" w:rsidR="001D43E7" w:rsidRDefault="001D43E7" w:rsidP="00815601">
      <w:pPr>
        <w:rPr>
          <w:rFonts w:ascii="Times New Roman" w:hAnsi="Times New Roman"/>
          <w:sz w:val="24"/>
          <w:szCs w:val="24"/>
        </w:rPr>
      </w:pPr>
    </w:p>
    <w:p w14:paraId="3E7A25BC" w14:textId="0CF267CA" w:rsidR="006764FC" w:rsidRDefault="001D43E7" w:rsidP="00534DFC">
      <w:pPr>
        <w:pStyle w:val="ListNumber"/>
        <w:numPr>
          <w:ilvl w:val="0"/>
          <w:numId w:val="8"/>
        </w:numPr>
        <w:spacing w:after="240"/>
        <w:ind w:left="567" w:hanging="567"/>
        <w:rPr>
          <w:szCs w:val="24"/>
        </w:rPr>
      </w:pPr>
      <w:r>
        <w:rPr>
          <w:szCs w:val="24"/>
        </w:rPr>
        <w:t xml:space="preserve">Item </w:t>
      </w:r>
      <w:r w:rsidR="000D1163">
        <w:rPr>
          <w:szCs w:val="24"/>
        </w:rPr>
        <w:t>8</w:t>
      </w:r>
      <w:r>
        <w:rPr>
          <w:szCs w:val="24"/>
        </w:rPr>
        <w:t xml:space="preserve"> insert</w:t>
      </w:r>
      <w:r w:rsidR="00305388">
        <w:rPr>
          <w:szCs w:val="24"/>
        </w:rPr>
        <w:t>s</w:t>
      </w:r>
      <w:r>
        <w:rPr>
          <w:szCs w:val="24"/>
        </w:rPr>
        <w:t xml:space="preserve"> Part 4A</w:t>
      </w:r>
      <w:r w:rsidR="00B94A9F">
        <w:rPr>
          <w:szCs w:val="24"/>
        </w:rPr>
        <w:t xml:space="preserve"> (HFC quotas)</w:t>
      </w:r>
      <w:r>
        <w:rPr>
          <w:szCs w:val="24"/>
        </w:rPr>
        <w:t xml:space="preserve"> into the Principal Regulations. </w:t>
      </w:r>
      <w:r w:rsidR="006764FC">
        <w:rPr>
          <w:szCs w:val="24"/>
        </w:rPr>
        <w:t xml:space="preserve">Item </w:t>
      </w:r>
      <w:r w:rsidR="000D1163">
        <w:rPr>
          <w:szCs w:val="24"/>
        </w:rPr>
        <w:t>2</w:t>
      </w:r>
      <w:r w:rsidR="006764FC">
        <w:rPr>
          <w:szCs w:val="24"/>
        </w:rPr>
        <w:t xml:space="preserve"> insert</w:t>
      </w:r>
      <w:r w:rsidR="00305388">
        <w:rPr>
          <w:szCs w:val="24"/>
        </w:rPr>
        <w:t>s</w:t>
      </w:r>
      <w:r w:rsidR="006764FC">
        <w:rPr>
          <w:szCs w:val="24"/>
        </w:rPr>
        <w:t xml:space="preserve"> definition</w:t>
      </w:r>
      <w:r w:rsidR="00305388">
        <w:rPr>
          <w:szCs w:val="24"/>
        </w:rPr>
        <w:t>s</w:t>
      </w:r>
      <w:r w:rsidR="00B94A9F">
        <w:rPr>
          <w:szCs w:val="24"/>
        </w:rPr>
        <w:t xml:space="preserve"> of key terms used in Part 4A </w:t>
      </w:r>
      <w:r w:rsidR="006764FC">
        <w:rPr>
          <w:szCs w:val="24"/>
        </w:rPr>
        <w:t>into regulation 2</w:t>
      </w:r>
      <w:r w:rsidR="00B94A9F">
        <w:rPr>
          <w:szCs w:val="24"/>
        </w:rPr>
        <w:t xml:space="preserve"> of the Principal Regulations</w:t>
      </w:r>
      <w:r w:rsidR="006764FC">
        <w:rPr>
          <w:szCs w:val="24"/>
        </w:rPr>
        <w:t xml:space="preserve">. </w:t>
      </w:r>
    </w:p>
    <w:p w14:paraId="666B8781" w14:textId="0D49965D" w:rsidR="00AC7689" w:rsidRDefault="00305388" w:rsidP="00534DFC">
      <w:pPr>
        <w:pStyle w:val="ListNumber"/>
        <w:numPr>
          <w:ilvl w:val="0"/>
          <w:numId w:val="8"/>
        </w:numPr>
        <w:spacing w:after="240"/>
        <w:ind w:left="567" w:hanging="567"/>
        <w:rPr>
          <w:szCs w:val="24"/>
        </w:rPr>
      </w:pPr>
      <w:r>
        <w:rPr>
          <w:szCs w:val="24"/>
        </w:rPr>
        <w:t>R</w:t>
      </w:r>
      <w:r w:rsidR="009D395E">
        <w:rPr>
          <w:szCs w:val="24"/>
        </w:rPr>
        <w:t>egulation 41 define</w:t>
      </w:r>
      <w:r>
        <w:rPr>
          <w:szCs w:val="24"/>
        </w:rPr>
        <w:t>s</w:t>
      </w:r>
      <w:r w:rsidR="009D395E">
        <w:rPr>
          <w:szCs w:val="24"/>
        </w:rPr>
        <w:t xml:space="preserve"> a </w:t>
      </w:r>
      <w:r w:rsidR="009D395E" w:rsidRPr="00932D18">
        <w:rPr>
          <w:szCs w:val="24"/>
        </w:rPr>
        <w:t xml:space="preserve">HFC </w:t>
      </w:r>
      <w:r w:rsidR="006764FC" w:rsidRPr="00932D18">
        <w:rPr>
          <w:szCs w:val="24"/>
        </w:rPr>
        <w:t>quota allocation period</w:t>
      </w:r>
      <w:r w:rsidR="009D395E">
        <w:rPr>
          <w:szCs w:val="24"/>
        </w:rPr>
        <w:t>, as two years. The first HFC quota allocation period start</w:t>
      </w:r>
      <w:r>
        <w:rPr>
          <w:szCs w:val="24"/>
        </w:rPr>
        <w:t>s</w:t>
      </w:r>
      <w:r w:rsidR="009D395E">
        <w:rPr>
          <w:szCs w:val="24"/>
        </w:rPr>
        <w:t xml:space="preserve"> on 1 January 2018. The second HFC quota allocation period and every subsequent HFC quota allocation period start</w:t>
      </w:r>
      <w:r>
        <w:rPr>
          <w:szCs w:val="24"/>
        </w:rPr>
        <w:t>s</w:t>
      </w:r>
      <w:r w:rsidR="001F04D8">
        <w:rPr>
          <w:szCs w:val="24"/>
        </w:rPr>
        <w:t xml:space="preserve"> immediately after</w:t>
      </w:r>
      <w:r w:rsidR="009D395E">
        <w:rPr>
          <w:szCs w:val="24"/>
        </w:rPr>
        <w:t xml:space="preserve"> the end of the preceding </w:t>
      </w:r>
      <w:r w:rsidR="009928DF">
        <w:rPr>
          <w:szCs w:val="24"/>
        </w:rPr>
        <w:t xml:space="preserve">HFC </w:t>
      </w:r>
      <w:r w:rsidR="009D395E">
        <w:rPr>
          <w:szCs w:val="24"/>
        </w:rPr>
        <w:t>quota allocation period.</w:t>
      </w:r>
      <w:r w:rsidR="001A3A78">
        <w:rPr>
          <w:szCs w:val="24"/>
        </w:rPr>
        <w:t xml:space="preserve"> </w:t>
      </w:r>
    </w:p>
    <w:p w14:paraId="472B4D5E" w14:textId="77777777" w:rsidR="00430240" w:rsidRPr="00C010FA" w:rsidRDefault="00430240" w:rsidP="00815601">
      <w:pPr>
        <w:rPr>
          <w:rFonts w:ascii="Times New Roman" w:hAnsi="Times New Roman"/>
          <w:i/>
          <w:sz w:val="24"/>
          <w:szCs w:val="24"/>
        </w:rPr>
      </w:pPr>
      <w:r>
        <w:rPr>
          <w:rFonts w:ascii="Times New Roman" w:hAnsi="Times New Roman"/>
          <w:i/>
          <w:sz w:val="24"/>
          <w:szCs w:val="24"/>
        </w:rPr>
        <w:t>HFC industry limit</w:t>
      </w:r>
    </w:p>
    <w:p w14:paraId="6343E457" w14:textId="77777777" w:rsidR="00430240" w:rsidRDefault="00430240" w:rsidP="00815601">
      <w:pPr>
        <w:rPr>
          <w:rFonts w:ascii="Times New Roman" w:hAnsi="Times New Roman"/>
          <w:sz w:val="24"/>
          <w:szCs w:val="24"/>
        </w:rPr>
      </w:pPr>
    </w:p>
    <w:p w14:paraId="3E9BCB9A" w14:textId="3B198177" w:rsidR="00F876AF" w:rsidRDefault="00305388" w:rsidP="00534DFC">
      <w:pPr>
        <w:pStyle w:val="ListNumber"/>
        <w:numPr>
          <w:ilvl w:val="0"/>
          <w:numId w:val="8"/>
        </w:numPr>
        <w:spacing w:after="240"/>
        <w:ind w:left="567" w:hanging="567"/>
        <w:rPr>
          <w:szCs w:val="24"/>
        </w:rPr>
      </w:pPr>
      <w:r>
        <w:rPr>
          <w:szCs w:val="24"/>
        </w:rPr>
        <w:t>R</w:t>
      </w:r>
      <w:r w:rsidR="001A3A78">
        <w:rPr>
          <w:szCs w:val="24"/>
        </w:rPr>
        <w:t xml:space="preserve">egulation 42 </w:t>
      </w:r>
      <w:r w:rsidR="00F876AF">
        <w:rPr>
          <w:szCs w:val="24"/>
        </w:rPr>
        <w:t>prescribe</w:t>
      </w:r>
      <w:r>
        <w:rPr>
          <w:szCs w:val="24"/>
        </w:rPr>
        <w:t>s</w:t>
      </w:r>
      <w:r w:rsidR="00F876AF">
        <w:rPr>
          <w:szCs w:val="24"/>
        </w:rPr>
        <w:t xml:space="preserve"> HFC industry limits for the purposes of </w:t>
      </w:r>
      <w:r>
        <w:rPr>
          <w:szCs w:val="24"/>
        </w:rPr>
        <w:t xml:space="preserve">subsection </w:t>
      </w:r>
      <w:proofErr w:type="gramStart"/>
      <w:r w:rsidR="00F876AF">
        <w:rPr>
          <w:szCs w:val="24"/>
        </w:rPr>
        <w:t>36A(</w:t>
      </w:r>
      <w:proofErr w:type="gramEnd"/>
      <w:r w:rsidR="00F876AF">
        <w:rPr>
          <w:szCs w:val="24"/>
        </w:rPr>
        <w:t xml:space="preserve">1) of the OPSGGM Act. The HFC industry limit for a year in a HFC quota allocation period </w:t>
      </w:r>
      <w:r>
        <w:rPr>
          <w:szCs w:val="24"/>
        </w:rPr>
        <w:t>is</w:t>
      </w:r>
      <w:r w:rsidR="00F876AF">
        <w:rPr>
          <w:szCs w:val="24"/>
        </w:rPr>
        <w:t xml:space="preserve"> </w:t>
      </w:r>
      <w:r w:rsidR="00B94A9F">
        <w:rPr>
          <w:szCs w:val="24"/>
        </w:rPr>
        <w:t>the amount</w:t>
      </w:r>
      <w:r w:rsidR="00430240">
        <w:rPr>
          <w:szCs w:val="24"/>
        </w:rPr>
        <w:t>, expressed in CO</w:t>
      </w:r>
      <w:r w:rsidR="00430240" w:rsidRPr="00932D18">
        <w:rPr>
          <w:szCs w:val="24"/>
        </w:rPr>
        <w:t>2</w:t>
      </w:r>
      <w:r w:rsidR="00430240">
        <w:rPr>
          <w:szCs w:val="24"/>
        </w:rPr>
        <w:t xml:space="preserve">e </w:t>
      </w:r>
      <w:proofErr w:type="spellStart"/>
      <w:r w:rsidR="00430240">
        <w:rPr>
          <w:szCs w:val="24"/>
        </w:rPr>
        <w:t>megatonnes</w:t>
      </w:r>
      <w:proofErr w:type="spellEnd"/>
      <w:r w:rsidR="00430240">
        <w:rPr>
          <w:szCs w:val="24"/>
        </w:rPr>
        <w:t xml:space="preserve">, </w:t>
      </w:r>
      <w:r w:rsidR="00B94A9F">
        <w:rPr>
          <w:szCs w:val="24"/>
        </w:rPr>
        <w:t>specified</w:t>
      </w:r>
      <w:r w:rsidR="00F876AF">
        <w:rPr>
          <w:szCs w:val="24"/>
        </w:rPr>
        <w:t xml:space="preserve"> in Column 2 of the table in regulation 42 in respect of the relevant </w:t>
      </w:r>
      <w:r w:rsidR="00C67D2A">
        <w:rPr>
          <w:szCs w:val="24"/>
        </w:rPr>
        <w:t>y</w:t>
      </w:r>
      <w:r w:rsidR="00F876AF">
        <w:rPr>
          <w:szCs w:val="24"/>
        </w:rPr>
        <w:t>ear specified in Column 1 of that table.</w:t>
      </w:r>
    </w:p>
    <w:p w14:paraId="6C9203F8" w14:textId="5C888BC5" w:rsidR="0008393C" w:rsidRDefault="0008393C" w:rsidP="00534DFC">
      <w:pPr>
        <w:pStyle w:val="ListNumber"/>
        <w:numPr>
          <w:ilvl w:val="0"/>
          <w:numId w:val="8"/>
        </w:numPr>
        <w:spacing w:after="240"/>
        <w:ind w:left="567" w:hanging="567"/>
        <w:rPr>
          <w:szCs w:val="24"/>
        </w:rPr>
      </w:pPr>
      <w:r>
        <w:rPr>
          <w:szCs w:val="24"/>
        </w:rPr>
        <w:t xml:space="preserve">The </w:t>
      </w:r>
      <w:r w:rsidR="00430240">
        <w:rPr>
          <w:szCs w:val="24"/>
        </w:rPr>
        <w:t xml:space="preserve">HFC </w:t>
      </w:r>
      <w:r>
        <w:rPr>
          <w:szCs w:val="24"/>
        </w:rPr>
        <w:t xml:space="preserve">industry limit for each quota period </w:t>
      </w:r>
      <w:r w:rsidR="001F04D8">
        <w:rPr>
          <w:szCs w:val="24"/>
        </w:rPr>
        <w:t>set out in regulation 42 have been</w:t>
      </w:r>
      <w:r>
        <w:rPr>
          <w:szCs w:val="24"/>
        </w:rPr>
        <w:t xml:space="preserve"> set within the limits of the Montreal Protocol’s HFC phase-down. The industry limit in 2018 reflects the current demand for HFCs in Australia, as determined through consultation with industry stakeholders. Industry stakeholders have indicated a preference for smaller</w:t>
      </w:r>
      <w:r w:rsidR="001F04D8">
        <w:rPr>
          <w:szCs w:val="24"/>
        </w:rPr>
        <w:t>,</w:t>
      </w:r>
      <w:r>
        <w:rPr>
          <w:szCs w:val="24"/>
        </w:rPr>
        <w:t xml:space="preserve"> more frequent reduction steps every two years</w:t>
      </w:r>
      <w:r w:rsidR="001F04D8">
        <w:rPr>
          <w:szCs w:val="24"/>
        </w:rPr>
        <w:t xml:space="preserve"> (as opposed to </w:t>
      </w:r>
      <w:r w:rsidR="00F90A6A">
        <w:rPr>
          <w:szCs w:val="24"/>
        </w:rPr>
        <w:t>less frequent</w:t>
      </w:r>
      <w:r w:rsidR="005535E1">
        <w:rPr>
          <w:szCs w:val="24"/>
        </w:rPr>
        <w:t xml:space="preserve">, </w:t>
      </w:r>
      <w:r w:rsidR="00F90A6A">
        <w:rPr>
          <w:szCs w:val="24"/>
        </w:rPr>
        <w:t xml:space="preserve">larger </w:t>
      </w:r>
      <w:r w:rsidR="005535E1">
        <w:rPr>
          <w:szCs w:val="24"/>
        </w:rPr>
        <w:t>reductions</w:t>
      </w:r>
      <w:r w:rsidR="001F04D8">
        <w:rPr>
          <w:szCs w:val="24"/>
        </w:rPr>
        <w:t>)</w:t>
      </w:r>
      <w:r>
        <w:rPr>
          <w:szCs w:val="24"/>
        </w:rPr>
        <w:t xml:space="preserve"> and this is reflected in the reduction schedule. The final reduction step from 2036 reflects Australia’s on-going 85 per cent reduction commitment under the Montreal Protocol.</w:t>
      </w:r>
    </w:p>
    <w:p w14:paraId="328BFED8" w14:textId="52A608AB" w:rsidR="00430240" w:rsidRPr="00C010FA" w:rsidRDefault="00430240" w:rsidP="00815601">
      <w:pPr>
        <w:rPr>
          <w:rFonts w:ascii="Times New Roman" w:hAnsi="Times New Roman"/>
          <w:b/>
          <w:i/>
          <w:sz w:val="24"/>
          <w:szCs w:val="24"/>
        </w:rPr>
      </w:pPr>
      <w:r w:rsidRPr="00C010FA">
        <w:rPr>
          <w:rFonts w:ascii="Times New Roman" w:hAnsi="Times New Roman"/>
          <w:b/>
          <w:i/>
          <w:sz w:val="24"/>
          <w:szCs w:val="24"/>
        </w:rPr>
        <w:t xml:space="preserve">Applications, </w:t>
      </w:r>
      <w:r w:rsidR="000936FC" w:rsidRPr="00C010FA">
        <w:rPr>
          <w:rFonts w:ascii="Times New Roman" w:hAnsi="Times New Roman"/>
          <w:b/>
          <w:i/>
          <w:sz w:val="24"/>
          <w:szCs w:val="24"/>
        </w:rPr>
        <w:t>allocation</w:t>
      </w:r>
      <w:r w:rsidRPr="00C010FA">
        <w:rPr>
          <w:rFonts w:ascii="Times New Roman" w:hAnsi="Times New Roman"/>
          <w:b/>
          <w:i/>
          <w:sz w:val="24"/>
          <w:szCs w:val="24"/>
        </w:rPr>
        <w:t xml:space="preserve"> and size of HFC quotas</w:t>
      </w:r>
    </w:p>
    <w:p w14:paraId="3FBC8307" w14:textId="77777777" w:rsidR="00430240" w:rsidRDefault="00430240" w:rsidP="00815601">
      <w:pPr>
        <w:rPr>
          <w:rFonts w:ascii="Times New Roman" w:hAnsi="Times New Roman"/>
          <w:i/>
          <w:sz w:val="24"/>
          <w:szCs w:val="24"/>
        </w:rPr>
      </w:pPr>
    </w:p>
    <w:p w14:paraId="3DFB8639" w14:textId="3CE969DD" w:rsidR="000936FC" w:rsidRDefault="00B148C0" w:rsidP="00534DFC">
      <w:pPr>
        <w:pStyle w:val="ListNumber"/>
        <w:numPr>
          <w:ilvl w:val="0"/>
          <w:numId w:val="8"/>
        </w:numPr>
        <w:spacing w:after="240"/>
        <w:ind w:left="567" w:hanging="567"/>
        <w:rPr>
          <w:szCs w:val="24"/>
        </w:rPr>
      </w:pPr>
      <w:r>
        <w:rPr>
          <w:szCs w:val="24"/>
        </w:rPr>
        <w:t xml:space="preserve">Division 4A.3 (regulations 43 to 58) </w:t>
      </w:r>
      <w:r w:rsidR="00430240">
        <w:rPr>
          <w:szCs w:val="24"/>
        </w:rPr>
        <w:t>provide</w:t>
      </w:r>
      <w:r w:rsidR="00305388">
        <w:rPr>
          <w:szCs w:val="24"/>
        </w:rPr>
        <w:t>s</w:t>
      </w:r>
      <w:r w:rsidR="00430240">
        <w:rPr>
          <w:szCs w:val="24"/>
        </w:rPr>
        <w:t xml:space="preserve">, </w:t>
      </w:r>
      <w:r>
        <w:rPr>
          <w:szCs w:val="24"/>
        </w:rPr>
        <w:t>for the purpose</w:t>
      </w:r>
      <w:r w:rsidR="00F83A47">
        <w:rPr>
          <w:szCs w:val="24"/>
        </w:rPr>
        <w:t>s</w:t>
      </w:r>
      <w:r>
        <w:rPr>
          <w:szCs w:val="24"/>
        </w:rPr>
        <w:t xml:space="preserve"> of section 36C of the OPSGGM Act</w:t>
      </w:r>
      <w:r w:rsidR="00430240">
        <w:rPr>
          <w:szCs w:val="24"/>
        </w:rPr>
        <w:t xml:space="preserve">, processes for applying for HFC quotas (including who may apply), allocating HFC quotas for calendar years to SGG licence holders, varying the size of </w:t>
      </w:r>
      <w:r w:rsidR="00430240">
        <w:rPr>
          <w:szCs w:val="24"/>
        </w:rPr>
        <w:lastRenderedPageBreak/>
        <w:t xml:space="preserve">HFC quota allocations or cancelling HFC quota allocations, and a method for working out the size of HFC quotas. </w:t>
      </w:r>
    </w:p>
    <w:p w14:paraId="766E27EA" w14:textId="78AB7C75" w:rsidR="0093348A" w:rsidRDefault="000936FC" w:rsidP="00815601">
      <w:pPr>
        <w:rPr>
          <w:rFonts w:ascii="Times New Roman" w:hAnsi="Times New Roman"/>
          <w:sz w:val="24"/>
          <w:szCs w:val="24"/>
        </w:rPr>
      </w:pPr>
      <w:r>
        <w:rPr>
          <w:rFonts w:ascii="Times New Roman" w:hAnsi="Times New Roman"/>
          <w:i/>
          <w:sz w:val="24"/>
          <w:szCs w:val="24"/>
        </w:rPr>
        <w:t>Applying for HFC quotas</w:t>
      </w:r>
    </w:p>
    <w:p w14:paraId="7FAFFAD4" w14:textId="77777777" w:rsidR="00E27E73" w:rsidRDefault="00E27E73" w:rsidP="00815601">
      <w:pPr>
        <w:rPr>
          <w:rFonts w:ascii="Times New Roman" w:hAnsi="Times New Roman"/>
          <w:sz w:val="24"/>
          <w:szCs w:val="24"/>
        </w:rPr>
      </w:pPr>
    </w:p>
    <w:p w14:paraId="1D36A5C2" w14:textId="10B7B76C" w:rsidR="00CF659F" w:rsidRDefault="00305388" w:rsidP="00534DFC">
      <w:pPr>
        <w:pStyle w:val="ListNumber"/>
        <w:numPr>
          <w:ilvl w:val="0"/>
          <w:numId w:val="8"/>
        </w:numPr>
        <w:spacing w:after="240"/>
        <w:ind w:left="567" w:hanging="567"/>
        <w:rPr>
          <w:szCs w:val="24"/>
        </w:rPr>
      </w:pPr>
      <w:r>
        <w:rPr>
          <w:szCs w:val="24"/>
        </w:rPr>
        <w:t>R</w:t>
      </w:r>
      <w:r w:rsidR="00943882">
        <w:rPr>
          <w:szCs w:val="24"/>
        </w:rPr>
        <w:t>egulation 44</w:t>
      </w:r>
      <w:r w:rsidR="00430240">
        <w:rPr>
          <w:szCs w:val="24"/>
        </w:rPr>
        <w:t xml:space="preserve"> (Applying for HFC quotas) </w:t>
      </w:r>
      <w:r>
        <w:rPr>
          <w:szCs w:val="24"/>
        </w:rPr>
        <w:t>sets</w:t>
      </w:r>
      <w:r w:rsidR="00430240">
        <w:rPr>
          <w:szCs w:val="24"/>
        </w:rPr>
        <w:t xml:space="preserve"> out how a person may apply for </w:t>
      </w:r>
      <w:r w:rsidR="00943882">
        <w:rPr>
          <w:szCs w:val="24"/>
        </w:rPr>
        <w:t>HFC quota</w:t>
      </w:r>
      <w:r w:rsidR="00430240">
        <w:rPr>
          <w:szCs w:val="24"/>
        </w:rPr>
        <w:t>s</w:t>
      </w:r>
      <w:r w:rsidR="00943882">
        <w:rPr>
          <w:szCs w:val="24"/>
        </w:rPr>
        <w:t xml:space="preserve">. </w:t>
      </w:r>
      <w:proofErr w:type="spellStart"/>
      <w:r>
        <w:rPr>
          <w:szCs w:val="24"/>
        </w:rPr>
        <w:t>S</w:t>
      </w:r>
      <w:r w:rsidR="0099281F">
        <w:rPr>
          <w:szCs w:val="24"/>
        </w:rPr>
        <w:t>ubregulation</w:t>
      </w:r>
      <w:proofErr w:type="spellEnd"/>
      <w:r w:rsidR="0099281F">
        <w:rPr>
          <w:szCs w:val="24"/>
        </w:rPr>
        <w:t xml:space="preserve"> 44(1)</w:t>
      </w:r>
      <w:r w:rsidR="00943882">
        <w:rPr>
          <w:szCs w:val="24"/>
        </w:rPr>
        <w:t xml:space="preserve"> provide</w:t>
      </w:r>
      <w:r>
        <w:rPr>
          <w:szCs w:val="24"/>
        </w:rPr>
        <w:t>s</w:t>
      </w:r>
      <w:r w:rsidR="0099281F">
        <w:rPr>
          <w:szCs w:val="24"/>
        </w:rPr>
        <w:t xml:space="preserve"> that a person </w:t>
      </w:r>
      <w:r w:rsidR="003C10D3">
        <w:rPr>
          <w:szCs w:val="24"/>
        </w:rPr>
        <w:t>may apply</w:t>
      </w:r>
      <w:r w:rsidR="0099281F">
        <w:rPr>
          <w:szCs w:val="24"/>
        </w:rPr>
        <w:t xml:space="preserve"> for HFC quotas for an HFC quota allocation period if the person either: holds a SGG licence that covers the period; or the person has applied for a SGG licence and the application has not been refused. </w:t>
      </w:r>
    </w:p>
    <w:p w14:paraId="0F7CBE81" w14:textId="12DECF9C" w:rsidR="0099281F" w:rsidRDefault="00305388" w:rsidP="00534DFC">
      <w:pPr>
        <w:pStyle w:val="ListNumber"/>
        <w:numPr>
          <w:ilvl w:val="0"/>
          <w:numId w:val="8"/>
        </w:numPr>
        <w:spacing w:after="240"/>
        <w:ind w:left="567" w:hanging="567"/>
        <w:rPr>
          <w:szCs w:val="24"/>
        </w:rPr>
      </w:pPr>
      <w:proofErr w:type="spellStart"/>
      <w:r>
        <w:rPr>
          <w:szCs w:val="24"/>
        </w:rPr>
        <w:t>S</w:t>
      </w:r>
      <w:r w:rsidR="0099281F">
        <w:rPr>
          <w:szCs w:val="24"/>
        </w:rPr>
        <w:t>ubregulation</w:t>
      </w:r>
      <w:proofErr w:type="spellEnd"/>
      <w:r w:rsidR="0099281F">
        <w:rPr>
          <w:szCs w:val="24"/>
        </w:rPr>
        <w:t xml:space="preserve"> 44(2) provide</w:t>
      </w:r>
      <w:r>
        <w:rPr>
          <w:szCs w:val="24"/>
        </w:rPr>
        <w:t>s</w:t>
      </w:r>
      <w:r w:rsidR="0099281F">
        <w:rPr>
          <w:szCs w:val="24"/>
        </w:rPr>
        <w:t xml:space="preserve"> that an application under </w:t>
      </w:r>
      <w:proofErr w:type="spellStart"/>
      <w:r w:rsidR="0099281F">
        <w:rPr>
          <w:szCs w:val="24"/>
        </w:rPr>
        <w:t>subregulation</w:t>
      </w:r>
      <w:proofErr w:type="spellEnd"/>
      <w:r w:rsidR="0099281F">
        <w:rPr>
          <w:szCs w:val="24"/>
        </w:rPr>
        <w:t xml:space="preserve"> 44(1) must be in the approved form, specify the calendar years (that comprise the HFC quota allocation period) to which it relates, and state whether the applicant wishes to be allocated grandfathered or non-grandfathered quota. </w:t>
      </w:r>
      <w:r w:rsidR="005257B7">
        <w:rPr>
          <w:szCs w:val="24"/>
        </w:rPr>
        <w:t>I</w:t>
      </w:r>
      <w:r w:rsidR="0099281F">
        <w:rPr>
          <w:szCs w:val="24"/>
        </w:rPr>
        <w:t>f the application is being made in respect of the first quota allocation period</w:t>
      </w:r>
      <w:r w:rsidR="005257B7">
        <w:rPr>
          <w:szCs w:val="24"/>
        </w:rPr>
        <w:t xml:space="preserve"> (which commences on 1 January 2018), applications must be provided on or before a date to be determined by the Minister in a legislative instrument</w:t>
      </w:r>
      <w:r w:rsidR="0088056D">
        <w:rPr>
          <w:szCs w:val="24"/>
        </w:rPr>
        <w:t xml:space="preserve"> (the date would </w:t>
      </w:r>
      <w:r w:rsidR="005257B7">
        <w:rPr>
          <w:szCs w:val="24"/>
        </w:rPr>
        <w:t xml:space="preserve">also </w:t>
      </w:r>
      <w:r w:rsidR="0088056D">
        <w:rPr>
          <w:szCs w:val="24"/>
        </w:rPr>
        <w:t>be published on the Department of the Environment and Energy’s website)</w:t>
      </w:r>
      <w:r w:rsidR="005257B7">
        <w:rPr>
          <w:szCs w:val="24"/>
        </w:rPr>
        <w:t>. Applications must be provided on or before</w:t>
      </w:r>
      <w:r w:rsidR="0099281F">
        <w:rPr>
          <w:szCs w:val="24"/>
        </w:rPr>
        <w:t xml:space="preserve"> 31 August </w:t>
      </w:r>
      <w:r w:rsidR="003C10D3">
        <w:rPr>
          <w:szCs w:val="24"/>
        </w:rPr>
        <w:t xml:space="preserve">in </w:t>
      </w:r>
      <w:r w:rsidR="0099281F">
        <w:rPr>
          <w:szCs w:val="24"/>
        </w:rPr>
        <w:t xml:space="preserve">the year immediately before the start of </w:t>
      </w:r>
      <w:r w:rsidR="003C10D3">
        <w:rPr>
          <w:szCs w:val="24"/>
        </w:rPr>
        <w:t xml:space="preserve">future </w:t>
      </w:r>
      <w:r w:rsidR="0099281F">
        <w:rPr>
          <w:szCs w:val="24"/>
        </w:rPr>
        <w:t>HFC quota allocation period</w:t>
      </w:r>
      <w:r w:rsidR="003C10D3">
        <w:rPr>
          <w:szCs w:val="24"/>
        </w:rPr>
        <w:t>s</w:t>
      </w:r>
      <w:r w:rsidR="0099281F">
        <w:rPr>
          <w:szCs w:val="24"/>
        </w:rPr>
        <w:t xml:space="preserve">. For example, </w:t>
      </w:r>
      <w:r w:rsidR="00B97A20">
        <w:rPr>
          <w:szCs w:val="24"/>
        </w:rPr>
        <w:t>application</w:t>
      </w:r>
      <w:r w:rsidR="003C10D3">
        <w:rPr>
          <w:szCs w:val="24"/>
        </w:rPr>
        <w:t>s</w:t>
      </w:r>
      <w:r w:rsidR="00B97A20">
        <w:rPr>
          <w:szCs w:val="24"/>
        </w:rPr>
        <w:t xml:space="preserve"> </w:t>
      </w:r>
      <w:r w:rsidR="003C10D3">
        <w:rPr>
          <w:szCs w:val="24"/>
        </w:rPr>
        <w:t>for quota in</w:t>
      </w:r>
      <w:r w:rsidR="00B97A20">
        <w:rPr>
          <w:szCs w:val="24"/>
        </w:rPr>
        <w:t xml:space="preserve"> the second HFC allocation period, which would commence on </w:t>
      </w:r>
      <w:r>
        <w:rPr>
          <w:szCs w:val="24"/>
        </w:rPr>
        <w:br/>
      </w:r>
      <w:r w:rsidR="00B97A20">
        <w:rPr>
          <w:szCs w:val="24"/>
        </w:rPr>
        <w:t>1 January 2020</w:t>
      </w:r>
      <w:r w:rsidR="000936FC">
        <w:rPr>
          <w:szCs w:val="24"/>
        </w:rPr>
        <w:t xml:space="preserve"> must </w:t>
      </w:r>
      <w:r w:rsidR="00B97A20">
        <w:rPr>
          <w:szCs w:val="24"/>
        </w:rPr>
        <w:t>be g</w:t>
      </w:r>
      <w:r w:rsidR="00FD64B9">
        <w:rPr>
          <w:szCs w:val="24"/>
        </w:rPr>
        <w:t>iven to the Minister on or before</w:t>
      </w:r>
      <w:r w:rsidR="00B97A20">
        <w:rPr>
          <w:szCs w:val="24"/>
        </w:rPr>
        <w:t xml:space="preserve"> 31 August 2019. </w:t>
      </w:r>
    </w:p>
    <w:p w14:paraId="3CECD134" w14:textId="40521391" w:rsidR="001864B1" w:rsidRDefault="000936FC" w:rsidP="00534DFC">
      <w:pPr>
        <w:pStyle w:val="ListNumber"/>
        <w:numPr>
          <w:ilvl w:val="0"/>
          <w:numId w:val="8"/>
        </w:numPr>
        <w:spacing w:after="240"/>
        <w:ind w:left="567" w:hanging="567"/>
        <w:rPr>
          <w:szCs w:val="24"/>
        </w:rPr>
      </w:pPr>
      <w:r>
        <w:rPr>
          <w:szCs w:val="24"/>
        </w:rPr>
        <w:t xml:space="preserve">In circumstances where a person has applied for an SGG licence, and the application has not been refused (see paragraph 44(1)(b)), </w:t>
      </w:r>
      <w:proofErr w:type="spellStart"/>
      <w:r w:rsidR="00BF3458">
        <w:rPr>
          <w:szCs w:val="24"/>
        </w:rPr>
        <w:t>subregulation</w:t>
      </w:r>
      <w:proofErr w:type="spellEnd"/>
      <w:r w:rsidR="00BF3458">
        <w:rPr>
          <w:szCs w:val="24"/>
        </w:rPr>
        <w:t xml:space="preserve"> 44(3) </w:t>
      </w:r>
      <w:r>
        <w:rPr>
          <w:szCs w:val="24"/>
        </w:rPr>
        <w:t>require</w:t>
      </w:r>
      <w:r w:rsidR="00305388">
        <w:rPr>
          <w:szCs w:val="24"/>
        </w:rPr>
        <w:t>s</w:t>
      </w:r>
      <w:r w:rsidR="00BF3458">
        <w:rPr>
          <w:szCs w:val="24"/>
        </w:rPr>
        <w:t xml:space="preserve"> the Minister </w:t>
      </w:r>
      <w:r>
        <w:rPr>
          <w:szCs w:val="24"/>
        </w:rPr>
        <w:t xml:space="preserve">to </w:t>
      </w:r>
      <w:r w:rsidR="00BF3458">
        <w:rPr>
          <w:szCs w:val="24"/>
        </w:rPr>
        <w:t xml:space="preserve">first </w:t>
      </w:r>
      <w:r>
        <w:rPr>
          <w:szCs w:val="24"/>
        </w:rPr>
        <w:t xml:space="preserve">decide whether or not to grant the SGG </w:t>
      </w:r>
      <w:r w:rsidR="00BF3458">
        <w:rPr>
          <w:szCs w:val="24"/>
        </w:rPr>
        <w:t>before the Minister allocates any HFC quotas for the relevant years.</w:t>
      </w:r>
    </w:p>
    <w:p w14:paraId="1F3D2D96" w14:textId="4D3FBB51" w:rsidR="00CF659F" w:rsidRDefault="00305388" w:rsidP="00534DFC">
      <w:pPr>
        <w:pStyle w:val="ListNumber"/>
        <w:numPr>
          <w:ilvl w:val="0"/>
          <w:numId w:val="8"/>
        </w:numPr>
        <w:spacing w:after="240"/>
        <w:ind w:left="567" w:hanging="567"/>
        <w:rPr>
          <w:szCs w:val="24"/>
        </w:rPr>
      </w:pPr>
      <w:proofErr w:type="spellStart"/>
      <w:r>
        <w:rPr>
          <w:szCs w:val="24"/>
        </w:rPr>
        <w:t>S</w:t>
      </w:r>
      <w:r w:rsidR="00BF3458">
        <w:rPr>
          <w:szCs w:val="24"/>
        </w:rPr>
        <w:t>ubregulation</w:t>
      </w:r>
      <w:proofErr w:type="spellEnd"/>
      <w:r w:rsidR="00BF3458">
        <w:rPr>
          <w:szCs w:val="24"/>
        </w:rPr>
        <w:t xml:space="preserve"> 44(4) provide</w:t>
      </w:r>
      <w:r>
        <w:rPr>
          <w:szCs w:val="24"/>
        </w:rPr>
        <w:t>s</w:t>
      </w:r>
      <w:r w:rsidR="00BF3458">
        <w:rPr>
          <w:szCs w:val="24"/>
        </w:rPr>
        <w:t xml:space="preserve"> that </w:t>
      </w:r>
      <w:proofErr w:type="spellStart"/>
      <w:r w:rsidR="00BF3458">
        <w:rPr>
          <w:szCs w:val="24"/>
        </w:rPr>
        <w:t>subregulation</w:t>
      </w:r>
      <w:proofErr w:type="spellEnd"/>
      <w:r w:rsidR="00BF3458">
        <w:rPr>
          <w:szCs w:val="24"/>
        </w:rPr>
        <w:t xml:space="preserve"> 44(3) has effect as if a reference in section 17 to section 66 </w:t>
      </w:r>
      <w:r w:rsidR="000936FC">
        <w:rPr>
          <w:szCs w:val="24"/>
        </w:rPr>
        <w:t xml:space="preserve">of the OPSGGM Act </w:t>
      </w:r>
      <w:r w:rsidR="00BF3458">
        <w:rPr>
          <w:szCs w:val="24"/>
        </w:rPr>
        <w:t xml:space="preserve">included a reference to </w:t>
      </w:r>
      <w:proofErr w:type="spellStart"/>
      <w:r w:rsidR="00BF3458">
        <w:rPr>
          <w:szCs w:val="24"/>
        </w:rPr>
        <w:t>subregulation</w:t>
      </w:r>
      <w:proofErr w:type="spellEnd"/>
      <w:r w:rsidR="003B1D76">
        <w:rPr>
          <w:szCs w:val="24"/>
        </w:rPr>
        <w:t xml:space="preserve"> 44(3)</w:t>
      </w:r>
      <w:r w:rsidR="00BF3458">
        <w:rPr>
          <w:szCs w:val="24"/>
        </w:rPr>
        <w:t xml:space="preserve">. </w:t>
      </w:r>
      <w:r w:rsidR="00621E1F">
        <w:rPr>
          <w:szCs w:val="24"/>
        </w:rPr>
        <w:t xml:space="preserve">Subsections 17(1) and (2) of the OPSGGM Act refer to circumstances in which the Minister is deemed to have refused an application. Subsection 66(a) of the OPSGGM Act provides that a decision to refuse to grant a licence under section 16 (including a decision that is taken to have been made by virtue of section 17) is reviewable by the Administrative Appeals Tribunal (AAT). </w:t>
      </w:r>
      <w:r w:rsidR="0059677A">
        <w:rPr>
          <w:szCs w:val="24"/>
        </w:rPr>
        <w:t xml:space="preserve">The effect of </w:t>
      </w:r>
      <w:proofErr w:type="spellStart"/>
      <w:r w:rsidR="00621E1F">
        <w:rPr>
          <w:szCs w:val="24"/>
        </w:rPr>
        <w:t>subregulation</w:t>
      </w:r>
      <w:proofErr w:type="spellEnd"/>
      <w:r w:rsidR="00621E1F">
        <w:rPr>
          <w:szCs w:val="24"/>
        </w:rPr>
        <w:t xml:space="preserve"> 44(4) would</w:t>
      </w:r>
      <w:r w:rsidR="0059677A">
        <w:rPr>
          <w:szCs w:val="24"/>
        </w:rPr>
        <w:t xml:space="preserve"> be that </w:t>
      </w:r>
      <w:r w:rsidR="00621E1F">
        <w:rPr>
          <w:szCs w:val="24"/>
        </w:rPr>
        <w:t xml:space="preserve">decisions made (or deemed to have been made) to refuse an application in relation to </w:t>
      </w:r>
      <w:proofErr w:type="spellStart"/>
      <w:r w:rsidR="008532A5">
        <w:rPr>
          <w:szCs w:val="24"/>
        </w:rPr>
        <w:t>subregulation</w:t>
      </w:r>
      <w:proofErr w:type="spellEnd"/>
      <w:r w:rsidR="00621E1F">
        <w:rPr>
          <w:szCs w:val="24"/>
        </w:rPr>
        <w:t xml:space="preserve"> 44(3) would be similarly reviewable by the AAT. </w:t>
      </w:r>
    </w:p>
    <w:p w14:paraId="78E4F057" w14:textId="77777777" w:rsidR="000936FC" w:rsidRDefault="000936FC" w:rsidP="00815601">
      <w:pPr>
        <w:rPr>
          <w:rFonts w:ascii="Times New Roman" w:hAnsi="Times New Roman"/>
          <w:i/>
          <w:sz w:val="24"/>
          <w:szCs w:val="24"/>
        </w:rPr>
      </w:pPr>
      <w:r>
        <w:rPr>
          <w:rFonts w:ascii="Times New Roman" w:hAnsi="Times New Roman"/>
          <w:i/>
          <w:sz w:val="24"/>
          <w:szCs w:val="24"/>
        </w:rPr>
        <w:t>Allocating HFC quotas for HFC quota periods</w:t>
      </w:r>
    </w:p>
    <w:p w14:paraId="01E5450D" w14:textId="77777777" w:rsidR="000936FC" w:rsidRDefault="000936FC" w:rsidP="00815601">
      <w:pPr>
        <w:rPr>
          <w:rFonts w:ascii="Times New Roman" w:hAnsi="Times New Roman"/>
          <w:i/>
          <w:sz w:val="24"/>
          <w:szCs w:val="24"/>
        </w:rPr>
      </w:pPr>
    </w:p>
    <w:p w14:paraId="5396B88C" w14:textId="294AA918" w:rsidR="00BF3458" w:rsidRDefault="00EB378B" w:rsidP="00534DFC">
      <w:pPr>
        <w:pStyle w:val="ListNumber"/>
        <w:numPr>
          <w:ilvl w:val="0"/>
          <w:numId w:val="8"/>
        </w:numPr>
        <w:spacing w:after="240"/>
        <w:ind w:left="567" w:hanging="567"/>
        <w:rPr>
          <w:szCs w:val="24"/>
        </w:rPr>
      </w:pPr>
      <w:r>
        <w:rPr>
          <w:szCs w:val="24"/>
        </w:rPr>
        <w:t>R</w:t>
      </w:r>
      <w:r w:rsidR="00115E67">
        <w:rPr>
          <w:szCs w:val="24"/>
        </w:rPr>
        <w:t>egulation</w:t>
      </w:r>
      <w:r w:rsidR="00D44E70">
        <w:rPr>
          <w:szCs w:val="24"/>
        </w:rPr>
        <w:t xml:space="preserve"> </w:t>
      </w:r>
      <w:r w:rsidR="00115E67">
        <w:rPr>
          <w:szCs w:val="24"/>
        </w:rPr>
        <w:t>45</w:t>
      </w:r>
      <w:r w:rsidR="000936FC">
        <w:rPr>
          <w:szCs w:val="24"/>
        </w:rPr>
        <w:t xml:space="preserve"> (Allocating HFC quotas for HFC quota periods) requires the </w:t>
      </w:r>
      <w:r w:rsidR="00D30817">
        <w:rPr>
          <w:szCs w:val="24"/>
        </w:rPr>
        <w:t>Minister to</w:t>
      </w:r>
      <w:r w:rsidR="000936FC">
        <w:rPr>
          <w:szCs w:val="24"/>
        </w:rPr>
        <w:t xml:space="preserve"> allocate HFC quota and determine the size of each quota.</w:t>
      </w:r>
      <w:r w:rsidR="00115E67">
        <w:rPr>
          <w:szCs w:val="24"/>
        </w:rPr>
        <w:t xml:space="preserve"> </w:t>
      </w:r>
      <w:proofErr w:type="spellStart"/>
      <w:r>
        <w:rPr>
          <w:szCs w:val="24"/>
        </w:rPr>
        <w:t>S</w:t>
      </w:r>
      <w:r w:rsidR="00C96111">
        <w:rPr>
          <w:szCs w:val="24"/>
        </w:rPr>
        <w:t>ub</w:t>
      </w:r>
      <w:r w:rsidR="009443C6">
        <w:rPr>
          <w:szCs w:val="24"/>
        </w:rPr>
        <w:t>regulation</w:t>
      </w:r>
      <w:proofErr w:type="spellEnd"/>
      <w:r w:rsidR="00C96111">
        <w:rPr>
          <w:szCs w:val="24"/>
        </w:rPr>
        <w:t xml:space="preserve"> 45(1) </w:t>
      </w:r>
      <w:r w:rsidR="00707CF7">
        <w:rPr>
          <w:szCs w:val="24"/>
        </w:rPr>
        <w:t>provide</w:t>
      </w:r>
      <w:r>
        <w:rPr>
          <w:szCs w:val="24"/>
        </w:rPr>
        <w:t>s</w:t>
      </w:r>
      <w:r w:rsidR="00C96111">
        <w:rPr>
          <w:szCs w:val="24"/>
        </w:rPr>
        <w:t xml:space="preserve"> that the Minister must, subject to </w:t>
      </w:r>
      <w:proofErr w:type="spellStart"/>
      <w:r w:rsidR="004F6301">
        <w:rPr>
          <w:szCs w:val="24"/>
        </w:rPr>
        <w:t>subregulation</w:t>
      </w:r>
      <w:proofErr w:type="spellEnd"/>
      <w:r w:rsidR="004F6301">
        <w:rPr>
          <w:szCs w:val="24"/>
        </w:rPr>
        <w:t xml:space="preserve"> </w:t>
      </w:r>
      <w:r w:rsidR="00C96111">
        <w:rPr>
          <w:szCs w:val="24"/>
        </w:rPr>
        <w:t>44(3) allocate an HFC quota to a person if the person is entitled to amounts of grandfathered quota or non</w:t>
      </w:r>
      <w:r w:rsidR="008D7DC0">
        <w:rPr>
          <w:szCs w:val="24"/>
        </w:rPr>
        <w:t>-</w:t>
      </w:r>
      <w:r w:rsidR="00C96111">
        <w:rPr>
          <w:szCs w:val="24"/>
        </w:rPr>
        <w:t xml:space="preserve">grandfathered quota for the </w:t>
      </w:r>
      <w:r w:rsidR="000936FC">
        <w:rPr>
          <w:szCs w:val="24"/>
        </w:rPr>
        <w:t xml:space="preserve">calendar </w:t>
      </w:r>
      <w:r w:rsidR="00C96111">
        <w:rPr>
          <w:szCs w:val="24"/>
        </w:rPr>
        <w:t xml:space="preserve">years in a </w:t>
      </w:r>
      <w:r w:rsidR="000936FC">
        <w:rPr>
          <w:szCs w:val="24"/>
        </w:rPr>
        <w:t xml:space="preserve">HFC </w:t>
      </w:r>
      <w:r w:rsidR="00C96111">
        <w:rPr>
          <w:szCs w:val="24"/>
        </w:rPr>
        <w:t xml:space="preserve">quota allocation period. </w:t>
      </w:r>
      <w:proofErr w:type="spellStart"/>
      <w:r>
        <w:rPr>
          <w:szCs w:val="24"/>
        </w:rPr>
        <w:t>S</w:t>
      </w:r>
      <w:r w:rsidR="000936FC">
        <w:rPr>
          <w:szCs w:val="24"/>
        </w:rPr>
        <w:t>ubregulation</w:t>
      </w:r>
      <w:proofErr w:type="spellEnd"/>
      <w:r w:rsidR="000936FC">
        <w:rPr>
          <w:szCs w:val="24"/>
        </w:rPr>
        <w:t xml:space="preserve"> 45(2) require</w:t>
      </w:r>
      <w:r>
        <w:rPr>
          <w:szCs w:val="24"/>
        </w:rPr>
        <w:t>s</w:t>
      </w:r>
      <w:r w:rsidR="000936FC">
        <w:rPr>
          <w:szCs w:val="24"/>
        </w:rPr>
        <w:t xml:space="preserve"> the Minister to determine the size of each HFC quota in accordance with regulation 47.</w:t>
      </w:r>
    </w:p>
    <w:p w14:paraId="2B6B93F4" w14:textId="627A5F42" w:rsidR="00707CF7" w:rsidRDefault="00EB378B" w:rsidP="00534DFC">
      <w:pPr>
        <w:pStyle w:val="ListNumber"/>
        <w:numPr>
          <w:ilvl w:val="0"/>
          <w:numId w:val="8"/>
        </w:numPr>
        <w:spacing w:after="240"/>
        <w:ind w:left="567" w:hanging="567"/>
        <w:rPr>
          <w:szCs w:val="24"/>
        </w:rPr>
      </w:pPr>
      <w:proofErr w:type="spellStart"/>
      <w:r>
        <w:rPr>
          <w:szCs w:val="24"/>
        </w:rPr>
        <w:t>S</w:t>
      </w:r>
      <w:r w:rsidR="00707CF7">
        <w:rPr>
          <w:szCs w:val="24"/>
        </w:rPr>
        <w:t>ubregulations</w:t>
      </w:r>
      <w:proofErr w:type="spellEnd"/>
      <w:r w:rsidR="00707CF7">
        <w:rPr>
          <w:szCs w:val="24"/>
        </w:rPr>
        <w:t xml:space="preserve"> 45(3) and (4) provide that an HFC quota is allocated by written notice given to the person </w:t>
      </w:r>
      <w:r w:rsidR="00EB6417">
        <w:rPr>
          <w:szCs w:val="24"/>
        </w:rPr>
        <w:t xml:space="preserve">to </w:t>
      </w:r>
      <w:r w:rsidR="00707CF7">
        <w:rPr>
          <w:szCs w:val="24"/>
        </w:rPr>
        <w:t xml:space="preserve">whom it is allocated, and </w:t>
      </w:r>
      <w:r w:rsidR="000936FC">
        <w:rPr>
          <w:szCs w:val="24"/>
        </w:rPr>
        <w:t xml:space="preserve">specify the matters </w:t>
      </w:r>
      <w:r w:rsidR="00707CF7">
        <w:rPr>
          <w:szCs w:val="24"/>
        </w:rPr>
        <w:t>that</w:t>
      </w:r>
      <w:r w:rsidR="000936FC">
        <w:rPr>
          <w:szCs w:val="24"/>
        </w:rPr>
        <w:t xml:space="preserve"> must be included in</w:t>
      </w:r>
      <w:r w:rsidR="00707CF7">
        <w:rPr>
          <w:szCs w:val="24"/>
        </w:rPr>
        <w:t xml:space="preserve"> the notice. </w:t>
      </w:r>
    </w:p>
    <w:p w14:paraId="600488F4" w14:textId="77777777" w:rsidR="00EB378B" w:rsidRDefault="00EB378B">
      <w:pPr>
        <w:rPr>
          <w:rFonts w:ascii="Times New Roman" w:hAnsi="Times New Roman"/>
          <w:b/>
          <w:i/>
          <w:sz w:val="24"/>
          <w:szCs w:val="24"/>
        </w:rPr>
      </w:pPr>
      <w:r>
        <w:rPr>
          <w:rFonts w:ascii="Times New Roman" w:hAnsi="Times New Roman"/>
          <w:b/>
          <w:i/>
          <w:sz w:val="24"/>
          <w:szCs w:val="24"/>
        </w:rPr>
        <w:br w:type="page"/>
      </w:r>
    </w:p>
    <w:p w14:paraId="7FB58568" w14:textId="0BA55041" w:rsidR="000936FC" w:rsidRDefault="000936FC" w:rsidP="00707CF7">
      <w:pPr>
        <w:rPr>
          <w:rFonts w:ascii="Times New Roman" w:hAnsi="Times New Roman"/>
          <w:b/>
          <w:i/>
          <w:sz w:val="24"/>
          <w:szCs w:val="24"/>
        </w:rPr>
      </w:pPr>
      <w:r>
        <w:rPr>
          <w:rFonts w:ascii="Times New Roman" w:hAnsi="Times New Roman"/>
          <w:b/>
          <w:i/>
          <w:sz w:val="24"/>
          <w:szCs w:val="24"/>
        </w:rPr>
        <w:lastRenderedPageBreak/>
        <w:t>Entitlement to, and size of, HFC quotas</w:t>
      </w:r>
    </w:p>
    <w:p w14:paraId="71CBE5C8" w14:textId="77777777" w:rsidR="00F526AF" w:rsidRDefault="00F526AF" w:rsidP="00707CF7">
      <w:pPr>
        <w:rPr>
          <w:rFonts w:ascii="Times New Roman" w:hAnsi="Times New Roman"/>
          <w:b/>
          <w:i/>
          <w:sz w:val="24"/>
          <w:szCs w:val="24"/>
        </w:rPr>
      </w:pPr>
    </w:p>
    <w:p w14:paraId="363B255D" w14:textId="77777777" w:rsidR="00F526AF" w:rsidRPr="00C010FA" w:rsidRDefault="00F526AF" w:rsidP="00707CF7">
      <w:pPr>
        <w:rPr>
          <w:rFonts w:ascii="Times New Roman" w:hAnsi="Times New Roman"/>
          <w:i/>
          <w:sz w:val="24"/>
          <w:szCs w:val="24"/>
        </w:rPr>
      </w:pPr>
      <w:r>
        <w:rPr>
          <w:rFonts w:ascii="Times New Roman" w:hAnsi="Times New Roman"/>
          <w:i/>
          <w:sz w:val="24"/>
          <w:szCs w:val="24"/>
        </w:rPr>
        <w:t>Size of HFC quotas</w:t>
      </w:r>
    </w:p>
    <w:p w14:paraId="1615366E" w14:textId="77777777" w:rsidR="00847911" w:rsidRDefault="00847911" w:rsidP="00815601">
      <w:pPr>
        <w:rPr>
          <w:rFonts w:ascii="Times New Roman" w:hAnsi="Times New Roman"/>
          <w:sz w:val="24"/>
          <w:szCs w:val="24"/>
        </w:rPr>
      </w:pPr>
    </w:p>
    <w:p w14:paraId="46D5E50A" w14:textId="7A4C3377" w:rsidR="00847911" w:rsidRDefault="00EB378B" w:rsidP="00534DFC">
      <w:pPr>
        <w:pStyle w:val="ListNumber"/>
        <w:numPr>
          <w:ilvl w:val="0"/>
          <w:numId w:val="8"/>
        </w:numPr>
        <w:spacing w:after="240"/>
        <w:ind w:left="567" w:hanging="567"/>
        <w:rPr>
          <w:szCs w:val="24"/>
        </w:rPr>
      </w:pPr>
      <w:r>
        <w:rPr>
          <w:szCs w:val="24"/>
        </w:rPr>
        <w:t>R</w:t>
      </w:r>
      <w:r w:rsidR="00847911">
        <w:rPr>
          <w:szCs w:val="24"/>
        </w:rPr>
        <w:t>egulation 47</w:t>
      </w:r>
      <w:r w:rsidR="00F526AF">
        <w:rPr>
          <w:szCs w:val="24"/>
        </w:rPr>
        <w:t xml:space="preserve"> (Size of HFC quotas) </w:t>
      </w:r>
      <w:r>
        <w:rPr>
          <w:szCs w:val="24"/>
        </w:rPr>
        <w:t>provides</w:t>
      </w:r>
      <w:r w:rsidR="00847911">
        <w:rPr>
          <w:szCs w:val="24"/>
        </w:rPr>
        <w:t xml:space="preserve"> that the size of an HFC quota allocated to a SGG licensee for a calendar year is the total of any amounts of grandfathered quota and non-grandfathered quota to which the person is entitled for the year. Item </w:t>
      </w:r>
      <w:r>
        <w:rPr>
          <w:szCs w:val="24"/>
        </w:rPr>
        <w:t>2</w:t>
      </w:r>
      <w:r w:rsidR="00847911">
        <w:rPr>
          <w:szCs w:val="24"/>
        </w:rPr>
        <w:t xml:space="preserve"> insert</w:t>
      </w:r>
      <w:r>
        <w:rPr>
          <w:szCs w:val="24"/>
        </w:rPr>
        <w:t>s</w:t>
      </w:r>
      <w:r w:rsidR="00847911">
        <w:rPr>
          <w:szCs w:val="24"/>
        </w:rPr>
        <w:t xml:space="preserve"> definitions of </w:t>
      </w:r>
      <w:r w:rsidR="00847911" w:rsidRPr="00EB378B">
        <w:rPr>
          <w:i/>
          <w:szCs w:val="24"/>
        </w:rPr>
        <w:t>grandfathered quota</w:t>
      </w:r>
      <w:r w:rsidR="00847911">
        <w:rPr>
          <w:szCs w:val="24"/>
        </w:rPr>
        <w:t xml:space="preserve"> and </w:t>
      </w:r>
      <w:r w:rsidR="00847911" w:rsidRPr="00EB378B">
        <w:rPr>
          <w:i/>
          <w:szCs w:val="24"/>
        </w:rPr>
        <w:t>non-grandfathered quota</w:t>
      </w:r>
      <w:r w:rsidR="00847911">
        <w:rPr>
          <w:szCs w:val="24"/>
        </w:rPr>
        <w:t xml:space="preserve"> into regulation 2 as meaning ‘an amount to which a person is entitled under regulation 48, 49 or 50 (as affected by Subdivision 4A.3.5</w:t>
      </w:r>
      <w:r w:rsidR="009443C6">
        <w:rPr>
          <w:szCs w:val="24"/>
        </w:rPr>
        <w:t>)</w:t>
      </w:r>
      <w:r w:rsidR="00847911">
        <w:rPr>
          <w:szCs w:val="24"/>
        </w:rPr>
        <w:t>’ and ‘an amount to which a person is entitled under regulation 51’</w:t>
      </w:r>
      <w:r w:rsidR="00EB6417" w:rsidRPr="00EB6417">
        <w:rPr>
          <w:szCs w:val="24"/>
        </w:rPr>
        <w:t xml:space="preserve"> </w:t>
      </w:r>
      <w:r w:rsidR="00EB6417">
        <w:rPr>
          <w:szCs w:val="24"/>
        </w:rPr>
        <w:t>respectively.</w:t>
      </w:r>
    </w:p>
    <w:p w14:paraId="7392D55E" w14:textId="4C2FCC2D" w:rsidR="00707CF7" w:rsidRDefault="00EB378B" w:rsidP="00534DFC">
      <w:pPr>
        <w:pStyle w:val="ListNumber"/>
        <w:numPr>
          <w:ilvl w:val="0"/>
          <w:numId w:val="8"/>
        </w:numPr>
        <w:spacing w:after="240"/>
        <w:ind w:left="567" w:hanging="567"/>
        <w:rPr>
          <w:szCs w:val="24"/>
        </w:rPr>
      </w:pPr>
      <w:proofErr w:type="spellStart"/>
      <w:r>
        <w:rPr>
          <w:szCs w:val="24"/>
        </w:rPr>
        <w:t>S</w:t>
      </w:r>
      <w:r w:rsidR="00D97050">
        <w:rPr>
          <w:szCs w:val="24"/>
        </w:rPr>
        <w:t>ubregulation</w:t>
      </w:r>
      <w:proofErr w:type="spellEnd"/>
      <w:r w:rsidR="00D97050">
        <w:rPr>
          <w:szCs w:val="24"/>
        </w:rPr>
        <w:t xml:space="preserve"> 46 set</w:t>
      </w:r>
      <w:r>
        <w:rPr>
          <w:szCs w:val="24"/>
        </w:rPr>
        <w:t>s</w:t>
      </w:r>
      <w:r w:rsidR="00D97050">
        <w:rPr>
          <w:szCs w:val="24"/>
        </w:rPr>
        <w:t xml:space="preserve"> out a table that defines the </w:t>
      </w:r>
      <w:r w:rsidR="00D97050" w:rsidRPr="002F5DD1">
        <w:rPr>
          <w:szCs w:val="24"/>
        </w:rPr>
        <w:t>base period</w:t>
      </w:r>
      <w:r w:rsidR="00D97050">
        <w:rPr>
          <w:szCs w:val="24"/>
        </w:rPr>
        <w:t xml:space="preserve">, </w:t>
      </w:r>
      <w:r w:rsidR="00D97050" w:rsidRPr="002F5DD1">
        <w:rPr>
          <w:szCs w:val="24"/>
        </w:rPr>
        <w:t>grandfathered percentage</w:t>
      </w:r>
      <w:r w:rsidR="00D97050">
        <w:rPr>
          <w:szCs w:val="24"/>
        </w:rPr>
        <w:t xml:space="preserve">, and </w:t>
      </w:r>
      <w:r w:rsidR="00D97050" w:rsidRPr="002F5DD1">
        <w:rPr>
          <w:szCs w:val="24"/>
        </w:rPr>
        <w:t>non-grandfathered percentage</w:t>
      </w:r>
      <w:r w:rsidR="00D97050">
        <w:rPr>
          <w:szCs w:val="24"/>
        </w:rPr>
        <w:t xml:space="preserve"> for the first HFC quota allocation period (beginning </w:t>
      </w:r>
      <w:r>
        <w:rPr>
          <w:szCs w:val="24"/>
        </w:rPr>
        <w:br/>
      </w:r>
      <w:r w:rsidR="00D97050">
        <w:rPr>
          <w:szCs w:val="24"/>
        </w:rPr>
        <w:t xml:space="preserve">1 January 2018), the second HFC quota allocation period (beginning 1 January 2020), and any other subsequent quota allocation period (i.e. any period </w:t>
      </w:r>
      <w:r w:rsidR="00F526AF">
        <w:rPr>
          <w:szCs w:val="24"/>
        </w:rPr>
        <w:t xml:space="preserve">commencing </w:t>
      </w:r>
      <w:r w:rsidR="00D97050">
        <w:rPr>
          <w:szCs w:val="24"/>
        </w:rPr>
        <w:t xml:space="preserve">after </w:t>
      </w:r>
      <w:r>
        <w:rPr>
          <w:szCs w:val="24"/>
        </w:rPr>
        <w:br/>
      </w:r>
      <w:r w:rsidR="00D97050">
        <w:rPr>
          <w:szCs w:val="24"/>
        </w:rPr>
        <w:t xml:space="preserve">1 January 2022). </w:t>
      </w:r>
    </w:p>
    <w:p w14:paraId="08721873" w14:textId="29EAFB58" w:rsidR="00846B99" w:rsidRDefault="00846B99" w:rsidP="00534DFC">
      <w:pPr>
        <w:pStyle w:val="ListNumber"/>
        <w:numPr>
          <w:ilvl w:val="0"/>
          <w:numId w:val="8"/>
        </w:numPr>
        <w:spacing w:after="240"/>
        <w:ind w:left="567" w:hanging="567"/>
        <w:rPr>
          <w:szCs w:val="24"/>
        </w:rPr>
      </w:pPr>
      <w:r>
        <w:rPr>
          <w:szCs w:val="24"/>
        </w:rPr>
        <w:t xml:space="preserve">The division of total allowable imports of HFC </w:t>
      </w:r>
      <w:r w:rsidR="00A05186">
        <w:rPr>
          <w:szCs w:val="24"/>
        </w:rPr>
        <w:t xml:space="preserve">under the HFC phase-down </w:t>
      </w:r>
      <w:r w:rsidR="00480C94">
        <w:rPr>
          <w:szCs w:val="24"/>
        </w:rPr>
        <w:t>into a grandfathered percentage and a non-grandfathered percentage</w:t>
      </w:r>
      <w:r w:rsidR="00EB6417">
        <w:rPr>
          <w:szCs w:val="24"/>
        </w:rPr>
        <w:t xml:space="preserve"> </w:t>
      </w:r>
      <w:r w:rsidR="00480C94">
        <w:rPr>
          <w:szCs w:val="24"/>
        </w:rPr>
        <w:t>recognise</w:t>
      </w:r>
      <w:r w:rsidR="00EB378B">
        <w:rPr>
          <w:szCs w:val="24"/>
        </w:rPr>
        <w:t>s</w:t>
      </w:r>
      <w:r w:rsidR="00480C94">
        <w:rPr>
          <w:szCs w:val="24"/>
        </w:rPr>
        <w:t xml:space="preserve"> established market participants, as well as providing opportunities for new market entrants</w:t>
      </w:r>
      <w:r w:rsidR="008D7DC0">
        <w:rPr>
          <w:szCs w:val="24"/>
        </w:rPr>
        <w:t xml:space="preserve"> and market variations</w:t>
      </w:r>
      <w:r w:rsidR="00480C94">
        <w:rPr>
          <w:szCs w:val="24"/>
        </w:rPr>
        <w:t xml:space="preserve">, whilst still facilitating emissions reductions. </w:t>
      </w:r>
    </w:p>
    <w:p w14:paraId="299DF2BB" w14:textId="2E948C4D" w:rsidR="00A05186" w:rsidRPr="002F5DD1" w:rsidRDefault="00A05186" w:rsidP="00534DFC">
      <w:pPr>
        <w:pStyle w:val="ListNumber"/>
        <w:numPr>
          <w:ilvl w:val="0"/>
          <w:numId w:val="8"/>
        </w:numPr>
        <w:spacing w:after="240"/>
        <w:ind w:left="567" w:hanging="567"/>
        <w:rPr>
          <w:szCs w:val="24"/>
        </w:rPr>
      </w:pPr>
      <w:r w:rsidRPr="002F5DD1">
        <w:rPr>
          <w:szCs w:val="24"/>
        </w:rPr>
        <w:t xml:space="preserve">The grandfathered percentage </w:t>
      </w:r>
      <w:r w:rsidR="00EB378B">
        <w:rPr>
          <w:szCs w:val="24"/>
        </w:rPr>
        <w:t>is</w:t>
      </w:r>
      <w:r w:rsidRPr="002F5DD1">
        <w:rPr>
          <w:szCs w:val="24"/>
        </w:rPr>
        <w:t xml:space="preserve"> the total share of the HFC industry limit for the HFC quota allocation period in question that is available to be allocated to persons who are entitled to grandfathered quota allocations during that period. The non-grandfathered percentage </w:t>
      </w:r>
      <w:r w:rsidR="00EB378B">
        <w:rPr>
          <w:szCs w:val="24"/>
        </w:rPr>
        <w:t>is</w:t>
      </w:r>
      <w:r w:rsidRPr="002F5DD1">
        <w:rPr>
          <w:szCs w:val="24"/>
        </w:rPr>
        <w:t xml:space="preserve"> the total share of the HFC industry limit for the HFC quota allocation period in question that is available to be allocated to persons who are entitled to non-grandfathered quota allocations during that period</w:t>
      </w:r>
      <w:r w:rsidR="00480C94" w:rsidRPr="002F5DD1">
        <w:rPr>
          <w:szCs w:val="24"/>
        </w:rPr>
        <w:t>.</w:t>
      </w:r>
      <w:r w:rsidRPr="002F5DD1">
        <w:rPr>
          <w:szCs w:val="24"/>
        </w:rPr>
        <w:t xml:space="preserve"> </w:t>
      </w:r>
    </w:p>
    <w:p w14:paraId="5CB7118C" w14:textId="3BB23BEF" w:rsidR="00480C94" w:rsidRPr="002F5DD1" w:rsidRDefault="00480C94" w:rsidP="00534DFC">
      <w:pPr>
        <w:pStyle w:val="ListNumber"/>
        <w:numPr>
          <w:ilvl w:val="0"/>
          <w:numId w:val="8"/>
        </w:numPr>
        <w:spacing w:after="240"/>
        <w:ind w:left="567" w:hanging="567"/>
        <w:rPr>
          <w:szCs w:val="24"/>
        </w:rPr>
      </w:pPr>
      <w:r w:rsidRPr="002F5DD1">
        <w:rPr>
          <w:szCs w:val="24"/>
        </w:rPr>
        <w:t>The split between the grandfathered percentage and the non-grandfathered percentage change</w:t>
      </w:r>
      <w:r w:rsidR="00EB378B">
        <w:rPr>
          <w:szCs w:val="24"/>
        </w:rPr>
        <w:t>s</w:t>
      </w:r>
      <w:r w:rsidRPr="002F5DD1">
        <w:rPr>
          <w:szCs w:val="24"/>
        </w:rPr>
        <w:t xml:space="preserve"> over the first </w:t>
      </w:r>
      <w:r w:rsidR="009807C8" w:rsidRPr="002F5DD1">
        <w:rPr>
          <w:szCs w:val="24"/>
        </w:rPr>
        <w:t xml:space="preserve">two </w:t>
      </w:r>
      <w:r w:rsidRPr="002F5DD1">
        <w:rPr>
          <w:szCs w:val="24"/>
        </w:rPr>
        <w:t xml:space="preserve">HFC quota allocation periods. In the first HFC quota allocation period, there </w:t>
      </w:r>
      <w:r w:rsidR="00EB378B">
        <w:rPr>
          <w:szCs w:val="24"/>
        </w:rPr>
        <w:t>is</w:t>
      </w:r>
      <w:r w:rsidRPr="002F5DD1">
        <w:rPr>
          <w:szCs w:val="24"/>
        </w:rPr>
        <w:t xml:space="preserve"> a 90% / 10% split between the grandfathered percentage and the non-grandfathered percentage. This will move to a 95% / 5% split from the second HFC quota allocation period, and it will remain at this ratio in every subsequent HFC quota allocation period. </w:t>
      </w:r>
      <w:r w:rsidR="00032392" w:rsidRPr="002F5DD1">
        <w:rPr>
          <w:szCs w:val="24"/>
        </w:rPr>
        <w:t>The intent</w:t>
      </w:r>
      <w:r w:rsidR="00D95B03" w:rsidRPr="002F5DD1">
        <w:rPr>
          <w:szCs w:val="24"/>
        </w:rPr>
        <w:t xml:space="preserve"> behind the division of HFC quota into the grandfathered percentage and non-grandfathered percentage </w:t>
      </w:r>
      <w:r w:rsidR="00EB378B">
        <w:rPr>
          <w:szCs w:val="24"/>
        </w:rPr>
        <w:t>is</w:t>
      </w:r>
      <w:r w:rsidR="00032392" w:rsidRPr="002F5DD1">
        <w:rPr>
          <w:szCs w:val="24"/>
        </w:rPr>
        <w:t xml:space="preserve"> to achieve recognition for established </w:t>
      </w:r>
      <w:r w:rsidR="00D95B03" w:rsidRPr="002F5DD1">
        <w:rPr>
          <w:szCs w:val="24"/>
        </w:rPr>
        <w:t xml:space="preserve">market </w:t>
      </w:r>
      <w:r w:rsidR="00032392" w:rsidRPr="002F5DD1">
        <w:rPr>
          <w:szCs w:val="24"/>
        </w:rPr>
        <w:t xml:space="preserve">participants and </w:t>
      </w:r>
      <w:r w:rsidR="00D95B03" w:rsidRPr="002F5DD1">
        <w:rPr>
          <w:szCs w:val="24"/>
        </w:rPr>
        <w:t xml:space="preserve">whilst also </w:t>
      </w:r>
      <w:r w:rsidR="00F66A86" w:rsidRPr="002F5DD1">
        <w:rPr>
          <w:szCs w:val="24"/>
        </w:rPr>
        <w:t>allow</w:t>
      </w:r>
      <w:r w:rsidR="00D95B03" w:rsidRPr="002F5DD1">
        <w:rPr>
          <w:szCs w:val="24"/>
        </w:rPr>
        <w:t>ing</w:t>
      </w:r>
      <w:r w:rsidR="00F66A86" w:rsidRPr="002F5DD1">
        <w:rPr>
          <w:szCs w:val="24"/>
        </w:rPr>
        <w:t xml:space="preserve"> </w:t>
      </w:r>
      <w:r w:rsidR="00032392" w:rsidRPr="002F5DD1">
        <w:rPr>
          <w:szCs w:val="24"/>
        </w:rPr>
        <w:t>competitive fairness for all established and potential</w:t>
      </w:r>
      <w:r w:rsidR="00F66A86" w:rsidRPr="002F5DD1">
        <w:rPr>
          <w:szCs w:val="24"/>
        </w:rPr>
        <w:t xml:space="preserve"> market participants in accordance with the </w:t>
      </w:r>
      <w:r w:rsidR="00F526AF" w:rsidRPr="002F5DD1">
        <w:rPr>
          <w:szCs w:val="24"/>
        </w:rPr>
        <w:t xml:space="preserve">Australian </w:t>
      </w:r>
      <w:r w:rsidR="00F66A86" w:rsidRPr="002F5DD1">
        <w:rPr>
          <w:szCs w:val="24"/>
        </w:rPr>
        <w:t xml:space="preserve">Government’s competition policies. </w:t>
      </w:r>
    </w:p>
    <w:p w14:paraId="1E1922DE" w14:textId="6B6FEF97" w:rsidR="00480C94" w:rsidRDefault="00BE5AA4" w:rsidP="00534DFC">
      <w:pPr>
        <w:pStyle w:val="ListNumber"/>
        <w:numPr>
          <w:ilvl w:val="0"/>
          <w:numId w:val="8"/>
        </w:numPr>
        <w:spacing w:after="240"/>
        <w:ind w:left="567" w:hanging="567"/>
        <w:rPr>
          <w:color w:val="000000"/>
          <w:szCs w:val="24"/>
        </w:rPr>
      </w:pPr>
      <w:r w:rsidRPr="002F5DD1">
        <w:rPr>
          <w:szCs w:val="24"/>
        </w:rPr>
        <w:t>The table in regulation 46 also set</w:t>
      </w:r>
      <w:r w:rsidR="00EB378B">
        <w:rPr>
          <w:szCs w:val="24"/>
        </w:rPr>
        <w:t>s</w:t>
      </w:r>
      <w:r w:rsidRPr="002F5DD1">
        <w:rPr>
          <w:szCs w:val="24"/>
        </w:rPr>
        <w:t xml:space="preserve"> out the base periods for the first, second, and subsequent HFC quota allocation periods respectively. </w:t>
      </w:r>
      <w:r w:rsidR="00AD78D9" w:rsidRPr="002F5DD1">
        <w:rPr>
          <w:szCs w:val="24"/>
        </w:rPr>
        <w:t xml:space="preserve">The base period is the relevant period for calculating amounts of </w:t>
      </w:r>
      <w:r w:rsidR="000F1E0F" w:rsidRPr="002F5DD1">
        <w:rPr>
          <w:szCs w:val="24"/>
        </w:rPr>
        <w:t>licensed</w:t>
      </w:r>
      <w:r w:rsidR="00AD78D9" w:rsidRPr="002F5DD1">
        <w:rPr>
          <w:szCs w:val="24"/>
        </w:rPr>
        <w:t xml:space="preserve"> activities for the purposes of calculating a person’s grandfathered quota allocation in respect of the corresponding HFC quota allocation period in the table. </w:t>
      </w:r>
      <w:r w:rsidR="00184E40" w:rsidRPr="002F5DD1">
        <w:rPr>
          <w:szCs w:val="24"/>
        </w:rPr>
        <w:t xml:space="preserve">A person must use their total grandfathered HFC quota allocation in the relevant base period to retain their full share of grandfathered HFC quota in the next HFC quota allocation. Unused grandfathered quota </w:t>
      </w:r>
      <w:r w:rsidR="006D2168" w:rsidRPr="002F5DD1">
        <w:rPr>
          <w:szCs w:val="24"/>
        </w:rPr>
        <w:t>would be</w:t>
      </w:r>
      <w:r w:rsidR="00184E40" w:rsidRPr="002F5DD1">
        <w:rPr>
          <w:szCs w:val="24"/>
        </w:rPr>
        <w:t xml:space="preserve"> forfeited and distributed equally to </w:t>
      </w:r>
      <w:r w:rsidR="00184E40" w:rsidRPr="00843C93">
        <w:rPr>
          <w:color w:val="000000"/>
          <w:szCs w:val="24"/>
        </w:rPr>
        <w:t>remaining</w:t>
      </w:r>
      <w:r w:rsidR="00184E40" w:rsidRPr="002F5DD1">
        <w:rPr>
          <w:szCs w:val="24"/>
        </w:rPr>
        <w:t xml:space="preserve"> grandfathered quota holders so that</w:t>
      </w:r>
      <w:r w:rsidR="006D2168" w:rsidRPr="002F5DD1">
        <w:rPr>
          <w:szCs w:val="24"/>
        </w:rPr>
        <w:t xml:space="preserve"> the total HFC industry limit would not be </w:t>
      </w:r>
      <w:r w:rsidR="00184E40" w:rsidRPr="002F5DD1">
        <w:rPr>
          <w:szCs w:val="24"/>
        </w:rPr>
        <w:t>reduced.</w:t>
      </w:r>
      <w:r w:rsidR="00184E40">
        <w:rPr>
          <w:color w:val="000000"/>
          <w:szCs w:val="24"/>
        </w:rPr>
        <w:t xml:space="preserve"> </w:t>
      </w:r>
    </w:p>
    <w:p w14:paraId="0C84BFEE" w14:textId="77777777" w:rsidR="00EB378B" w:rsidRDefault="00EB378B">
      <w:pPr>
        <w:rPr>
          <w:rFonts w:ascii="Times New Roman" w:hAnsi="Times New Roman"/>
          <w:i/>
          <w:color w:val="000000"/>
          <w:sz w:val="24"/>
          <w:szCs w:val="24"/>
        </w:rPr>
      </w:pPr>
      <w:r>
        <w:rPr>
          <w:rFonts w:ascii="Times New Roman" w:hAnsi="Times New Roman"/>
          <w:i/>
          <w:color w:val="000000"/>
          <w:sz w:val="24"/>
          <w:szCs w:val="24"/>
        </w:rPr>
        <w:br w:type="page"/>
      </w:r>
    </w:p>
    <w:p w14:paraId="70EFF1C3" w14:textId="40475B42" w:rsidR="00D30817" w:rsidRDefault="00D30817" w:rsidP="00386AA2">
      <w:pPr>
        <w:rPr>
          <w:rFonts w:ascii="Times New Roman" w:hAnsi="Times New Roman"/>
          <w:i/>
          <w:color w:val="000000"/>
          <w:sz w:val="24"/>
          <w:szCs w:val="24"/>
        </w:rPr>
      </w:pPr>
      <w:r>
        <w:rPr>
          <w:rFonts w:ascii="Times New Roman" w:hAnsi="Times New Roman"/>
          <w:i/>
          <w:color w:val="000000"/>
          <w:sz w:val="24"/>
          <w:szCs w:val="24"/>
        </w:rPr>
        <w:lastRenderedPageBreak/>
        <w:t>Grandfathered quota – first HFC quota allocation period</w:t>
      </w:r>
    </w:p>
    <w:p w14:paraId="401AB8B5" w14:textId="77777777" w:rsidR="00D30817" w:rsidRDefault="00D30817" w:rsidP="00386AA2">
      <w:pPr>
        <w:rPr>
          <w:rFonts w:ascii="Times New Roman" w:hAnsi="Times New Roman"/>
          <w:i/>
          <w:color w:val="000000"/>
          <w:sz w:val="24"/>
          <w:szCs w:val="24"/>
        </w:rPr>
      </w:pPr>
    </w:p>
    <w:p w14:paraId="62A9486A" w14:textId="39C5A0CF" w:rsidR="002F5DD1" w:rsidRPr="000D1163" w:rsidRDefault="002F3BBC" w:rsidP="00534DFC">
      <w:pPr>
        <w:pStyle w:val="ListNumber"/>
        <w:numPr>
          <w:ilvl w:val="0"/>
          <w:numId w:val="8"/>
        </w:numPr>
        <w:spacing w:after="240"/>
        <w:ind w:left="567" w:hanging="567"/>
        <w:rPr>
          <w:szCs w:val="24"/>
        </w:rPr>
      </w:pPr>
      <w:r w:rsidRPr="002F5DD1">
        <w:rPr>
          <w:color w:val="000000"/>
          <w:szCs w:val="24"/>
        </w:rPr>
        <w:t xml:space="preserve">The base period for the first HFC quota allocation period (2018-19) </w:t>
      </w:r>
      <w:r w:rsidR="00EB378B">
        <w:rPr>
          <w:color w:val="000000"/>
          <w:szCs w:val="24"/>
        </w:rPr>
        <w:t>is</w:t>
      </w:r>
      <w:r w:rsidRPr="002F5DD1">
        <w:rPr>
          <w:color w:val="000000"/>
          <w:szCs w:val="24"/>
        </w:rPr>
        <w:t xml:space="preserve"> the period between 1 January 2009 and 31 December 2014. The period 2009 to 2014 was chosen as it accounts for distortions to the market that resulted from the carbon tax that was in place from 2012 to 2014, as well as for technological advancements and international market developments during this period. A later period was not selected, as the market was open to manipulation after the Review commenced in 2014. Stakeholders were consulted on the potential introduction of an HFC phase-down as part of the Review. Consequently, importers could have attempted to artificially inflate their potential future quota share by over-importing in anticipation of an HFC phase-down being introduced.</w:t>
      </w:r>
    </w:p>
    <w:p w14:paraId="2042E4DA" w14:textId="1DCC49DD" w:rsidR="002F5DD1" w:rsidRPr="002F5DD1" w:rsidRDefault="00AD78D9" w:rsidP="00534DFC">
      <w:pPr>
        <w:pStyle w:val="ListNumber"/>
        <w:numPr>
          <w:ilvl w:val="0"/>
          <w:numId w:val="8"/>
        </w:numPr>
        <w:spacing w:after="240"/>
        <w:ind w:left="567" w:hanging="567"/>
        <w:rPr>
          <w:rFonts w:eastAsia="Times New Roman"/>
          <w:color w:val="444444"/>
        </w:rPr>
      </w:pPr>
      <w:r w:rsidRPr="002F5DD1">
        <w:rPr>
          <w:color w:val="000000"/>
          <w:szCs w:val="24"/>
        </w:rPr>
        <w:t xml:space="preserve">Grandfathered quota for the first HFC quota allocation period (beginning 1 January 2018) </w:t>
      </w:r>
      <w:r w:rsidR="00EB378B">
        <w:rPr>
          <w:color w:val="000000"/>
          <w:szCs w:val="24"/>
        </w:rPr>
        <w:t xml:space="preserve">will </w:t>
      </w:r>
      <w:r w:rsidRPr="002F5DD1">
        <w:rPr>
          <w:color w:val="000000"/>
          <w:szCs w:val="24"/>
        </w:rPr>
        <w:t xml:space="preserve">be calculated under </w:t>
      </w:r>
      <w:r w:rsidR="00D30817" w:rsidRPr="002F5DD1">
        <w:rPr>
          <w:color w:val="000000"/>
          <w:szCs w:val="24"/>
        </w:rPr>
        <w:t xml:space="preserve">regulation </w:t>
      </w:r>
      <w:r w:rsidRPr="002F5DD1">
        <w:rPr>
          <w:color w:val="000000"/>
          <w:szCs w:val="24"/>
        </w:rPr>
        <w:t xml:space="preserve">48. </w:t>
      </w:r>
      <w:proofErr w:type="spellStart"/>
      <w:r w:rsidR="00EB378B">
        <w:rPr>
          <w:color w:val="000000"/>
          <w:szCs w:val="24"/>
        </w:rPr>
        <w:t>S</w:t>
      </w:r>
      <w:r w:rsidR="00D30817" w:rsidRPr="002F5DD1">
        <w:rPr>
          <w:color w:val="000000"/>
          <w:szCs w:val="24"/>
        </w:rPr>
        <w:t>ubregulation</w:t>
      </w:r>
      <w:proofErr w:type="spellEnd"/>
      <w:r w:rsidR="00D30817" w:rsidRPr="002F5DD1">
        <w:rPr>
          <w:color w:val="000000"/>
          <w:szCs w:val="24"/>
        </w:rPr>
        <w:t xml:space="preserve"> </w:t>
      </w:r>
      <w:r w:rsidR="00090F9E" w:rsidRPr="002F5DD1">
        <w:rPr>
          <w:color w:val="000000"/>
          <w:szCs w:val="24"/>
        </w:rPr>
        <w:t>48(1) provide</w:t>
      </w:r>
      <w:r w:rsidR="00EB378B">
        <w:rPr>
          <w:color w:val="000000"/>
          <w:szCs w:val="24"/>
        </w:rPr>
        <w:t>s</w:t>
      </w:r>
      <w:r w:rsidR="00090F9E" w:rsidRPr="002F5DD1">
        <w:rPr>
          <w:color w:val="000000"/>
          <w:szCs w:val="24"/>
        </w:rPr>
        <w:t xml:space="preserve"> that a person </w:t>
      </w:r>
      <w:r w:rsidR="00EB378B">
        <w:rPr>
          <w:color w:val="000000"/>
          <w:szCs w:val="24"/>
        </w:rPr>
        <w:t>is</w:t>
      </w:r>
      <w:r w:rsidR="00090F9E" w:rsidRPr="002F5DD1">
        <w:rPr>
          <w:color w:val="000000"/>
          <w:szCs w:val="24"/>
        </w:rPr>
        <w:t xml:space="preserve"> entitled to </w:t>
      </w:r>
      <w:r w:rsidR="003041AA" w:rsidRPr="002F5DD1">
        <w:rPr>
          <w:color w:val="000000"/>
          <w:szCs w:val="24"/>
        </w:rPr>
        <w:t xml:space="preserve">an allocation of </w:t>
      </w:r>
      <w:r w:rsidR="00AA370E" w:rsidRPr="002F5DD1">
        <w:rPr>
          <w:color w:val="000000"/>
          <w:szCs w:val="24"/>
        </w:rPr>
        <w:t xml:space="preserve">grandfathered quota for the first HFC quota allocation period </w:t>
      </w:r>
      <w:r w:rsidR="003041AA" w:rsidRPr="002F5DD1">
        <w:rPr>
          <w:color w:val="000000"/>
          <w:szCs w:val="24"/>
        </w:rPr>
        <w:t xml:space="preserve">if they apply in accordance with regulation 44, they hold a SGG licence that </w:t>
      </w:r>
      <w:r w:rsidR="003041AA" w:rsidRPr="002F5DD1">
        <w:rPr>
          <w:szCs w:val="24"/>
        </w:rPr>
        <w:t xml:space="preserve">covers the whole first HFC quota allocation period, and the person engaged in a </w:t>
      </w:r>
      <w:r w:rsidR="007F6594" w:rsidRPr="002F5DD1">
        <w:rPr>
          <w:szCs w:val="24"/>
        </w:rPr>
        <w:t>licen</w:t>
      </w:r>
      <w:r w:rsidR="008D7DC0" w:rsidRPr="002F5DD1">
        <w:rPr>
          <w:szCs w:val="24"/>
        </w:rPr>
        <w:t>s</w:t>
      </w:r>
      <w:r w:rsidR="007F6594" w:rsidRPr="002F5DD1">
        <w:rPr>
          <w:szCs w:val="24"/>
        </w:rPr>
        <w:t>ed regulated HCFC activity or licen</w:t>
      </w:r>
      <w:r w:rsidR="008D7DC0" w:rsidRPr="002F5DD1">
        <w:rPr>
          <w:szCs w:val="24"/>
        </w:rPr>
        <w:t>s</w:t>
      </w:r>
      <w:r w:rsidR="007F6594" w:rsidRPr="002F5DD1">
        <w:rPr>
          <w:szCs w:val="24"/>
        </w:rPr>
        <w:t xml:space="preserve">ed regulated HFC </w:t>
      </w:r>
      <w:r w:rsidR="003041AA" w:rsidRPr="002F5DD1">
        <w:rPr>
          <w:szCs w:val="24"/>
        </w:rPr>
        <w:t>activity at any time during the base period (2009 to 2014).</w:t>
      </w:r>
    </w:p>
    <w:p w14:paraId="1839BB9C" w14:textId="0395587D" w:rsidR="002F5DD1" w:rsidRPr="002F5DD1" w:rsidRDefault="007F6594" w:rsidP="00534DFC">
      <w:pPr>
        <w:pStyle w:val="ListNumber"/>
        <w:numPr>
          <w:ilvl w:val="0"/>
          <w:numId w:val="8"/>
        </w:numPr>
        <w:spacing w:after="240"/>
        <w:ind w:left="567" w:hanging="567"/>
        <w:rPr>
          <w:rFonts w:eastAsia="Times New Roman"/>
          <w:szCs w:val="24"/>
        </w:rPr>
      </w:pPr>
      <w:r w:rsidRPr="002F5DD1">
        <w:rPr>
          <w:i/>
          <w:szCs w:val="24"/>
        </w:rPr>
        <w:t>Licen</w:t>
      </w:r>
      <w:r w:rsidR="008D7DC0" w:rsidRPr="002F5DD1">
        <w:rPr>
          <w:i/>
          <w:szCs w:val="24"/>
        </w:rPr>
        <w:t>s</w:t>
      </w:r>
      <w:r w:rsidRPr="002F5DD1">
        <w:rPr>
          <w:i/>
          <w:szCs w:val="24"/>
        </w:rPr>
        <w:t>ed regulated HCFC activity</w:t>
      </w:r>
      <w:r w:rsidRPr="002F5DD1">
        <w:rPr>
          <w:szCs w:val="24"/>
        </w:rPr>
        <w:t xml:space="preserve"> </w:t>
      </w:r>
      <w:r w:rsidR="00EB378B">
        <w:rPr>
          <w:szCs w:val="24"/>
        </w:rPr>
        <w:t>is</w:t>
      </w:r>
      <w:r w:rsidRPr="002F5DD1">
        <w:rPr>
          <w:szCs w:val="24"/>
        </w:rPr>
        <w:t xml:space="preserve"> defined in regulation 2 as a regulated HCFC activity engaged in under a controlled substances licence.</w:t>
      </w:r>
      <w:r w:rsidR="00386AA2" w:rsidRPr="002F5DD1">
        <w:rPr>
          <w:szCs w:val="24"/>
        </w:rPr>
        <w:t xml:space="preserve"> A </w:t>
      </w:r>
      <w:r w:rsidR="00386AA2" w:rsidRPr="002F5DD1">
        <w:rPr>
          <w:rFonts w:eastAsia="Times New Roman"/>
          <w:bCs/>
          <w:i/>
          <w:iCs/>
          <w:szCs w:val="24"/>
        </w:rPr>
        <w:t>regulated HCFC activity</w:t>
      </w:r>
      <w:r w:rsidR="00386AA2" w:rsidRPr="002F5DD1">
        <w:rPr>
          <w:rFonts w:eastAsia="Times New Roman"/>
          <w:szCs w:val="24"/>
        </w:rPr>
        <w:t xml:space="preserve"> is defined in subsection </w:t>
      </w:r>
      <w:proofErr w:type="gramStart"/>
      <w:r w:rsidR="00386AA2" w:rsidRPr="002F5DD1">
        <w:rPr>
          <w:rFonts w:eastAsia="Times New Roman"/>
          <w:szCs w:val="24"/>
        </w:rPr>
        <w:t>25A(</w:t>
      </w:r>
      <w:proofErr w:type="gramEnd"/>
      <w:r w:rsidR="00386AA2" w:rsidRPr="002F5DD1">
        <w:rPr>
          <w:rFonts w:eastAsia="Times New Roman"/>
          <w:szCs w:val="24"/>
        </w:rPr>
        <w:t xml:space="preserve">1) of the OPSGGM Act as the manufacture or import of HCFCs. Subsection 25A(2) of the OPSGGM Act provides that, for the purposes of the </w:t>
      </w:r>
      <w:r w:rsidR="00A9498A" w:rsidRPr="002F5DD1">
        <w:rPr>
          <w:rFonts w:eastAsia="Times New Roman"/>
          <w:szCs w:val="24"/>
        </w:rPr>
        <w:t xml:space="preserve">OPSGGM </w:t>
      </w:r>
      <w:r w:rsidR="00386AA2" w:rsidRPr="002F5DD1">
        <w:rPr>
          <w:rFonts w:eastAsia="Times New Roman"/>
          <w:szCs w:val="24"/>
        </w:rPr>
        <w:t xml:space="preserve">Act, the quantity of HCFCs that is taken to be involved in regulated HCFC activities </w:t>
      </w:r>
      <w:r w:rsidR="00386AA2" w:rsidRPr="00843C93">
        <w:rPr>
          <w:szCs w:val="24"/>
        </w:rPr>
        <w:t>engaged</w:t>
      </w:r>
      <w:r w:rsidR="00386AA2" w:rsidRPr="002F5DD1">
        <w:rPr>
          <w:rFonts w:eastAsia="Times New Roman"/>
          <w:szCs w:val="24"/>
        </w:rPr>
        <w:t xml:space="preserve"> in by a licensee in a period is the quantity of HCFCs that is actually involved in regulated HCFC activities engaged in by the licensee in the period reduced by the heel allowance percentage for HCFCs</w:t>
      </w:r>
      <w:r w:rsidR="007E0728" w:rsidRPr="002F5DD1">
        <w:rPr>
          <w:rFonts w:eastAsia="Times New Roman"/>
          <w:szCs w:val="24"/>
        </w:rPr>
        <w:t>.</w:t>
      </w:r>
    </w:p>
    <w:p w14:paraId="2FDC0F07" w14:textId="283EFC71" w:rsidR="002F5DD1" w:rsidRDefault="007F6594" w:rsidP="00534DFC">
      <w:pPr>
        <w:pStyle w:val="ListNumber"/>
        <w:numPr>
          <w:ilvl w:val="0"/>
          <w:numId w:val="8"/>
        </w:numPr>
        <w:spacing w:after="240"/>
        <w:ind w:left="567" w:hanging="567"/>
        <w:rPr>
          <w:rFonts w:eastAsia="Times New Roman"/>
          <w:szCs w:val="24"/>
        </w:rPr>
      </w:pPr>
      <w:r w:rsidRPr="002F5DD1">
        <w:rPr>
          <w:i/>
          <w:szCs w:val="24"/>
        </w:rPr>
        <w:t>Licensed regulated HFC activity</w:t>
      </w:r>
      <w:r w:rsidRPr="002F5DD1">
        <w:rPr>
          <w:szCs w:val="24"/>
        </w:rPr>
        <w:t xml:space="preserve"> </w:t>
      </w:r>
      <w:r w:rsidR="00EB378B">
        <w:rPr>
          <w:szCs w:val="24"/>
        </w:rPr>
        <w:t>is</w:t>
      </w:r>
      <w:r w:rsidRPr="002F5DD1">
        <w:rPr>
          <w:szCs w:val="24"/>
        </w:rPr>
        <w:t xml:space="preserve"> defined in regulation 2 as a regulated HFC activity engaged in under a SGG licence. </w:t>
      </w:r>
      <w:r w:rsidR="00702F96" w:rsidRPr="002F5DD1">
        <w:rPr>
          <w:i/>
          <w:szCs w:val="24"/>
        </w:rPr>
        <w:t>Regulated HFC activity</w:t>
      </w:r>
      <w:r w:rsidR="00702F96" w:rsidRPr="002F5DD1">
        <w:rPr>
          <w:szCs w:val="24"/>
        </w:rPr>
        <w:t xml:space="preserve"> is defined in </w:t>
      </w:r>
      <w:r w:rsidR="002D0EA8" w:rsidRPr="002F5DD1">
        <w:rPr>
          <w:szCs w:val="24"/>
        </w:rPr>
        <w:t>sub</w:t>
      </w:r>
      <w:r w:rsidR="00702F96" w:rsidRPr="002F5DD1">
        <w:rPr>
          <w:szCs w:val="24"/>
        </w:rPr>
        <w:t xml:space="preserve">section </w:t>
      </w:r>
      <w:r w:rsidR="002D0EA8" w:rsidRPr="002F5DD1">
        <w:rPr>
          <w:szCs w:val="24"/>
        </w:rPr>
        <w:t>36B(1)</w:t>
      </w:r>
      <w:r w:rsidR="00702F96" w:rsidRPr="002F5DD1">
        <w:rPr>
          <w:szCs w:val="24"/>
        </w:rPr>
        <w:t xml:space="preserve"> of the OPSGGM Act as </w:t>
      </w:r>
      <w:r w:rsidR="002D0EA8" w:rsidRPr="002F5DD1">
        <w:rPr>
          <w:rFonts w:eastAsia="Times New Roman"/>
          <w:szCs w:val="24"/>
        </w:rPr>
        <w:t>the manufacture or import of HFCs other than:</w:t>
      </w:r>
      <w:r w:rsidR="006651A3" w:rsidRPr="002F5DD1">
        <w:rPr>
          <w:rFonts w:eastAsia="Times New Roman"/>
          <w:szCs w:val="24"/>
        </w:rPr>
        <w:t xml:space="preserve"> </w:t>
      </w:r>
      <w:r w:rsidR="002D0EA8" w:rsidRPr="002F5DD1">
        <w:rPr>
          <w:rFonts w:eastAsia="Times New Roman"/>
          <w:szCs w:val="24"/>
        </w:rPr>
        <w:t>(a)</w:t>
      </w:r>
      <w:r w:rsidR="00911D71" w:rsidRPr="002F5DD1">
        <w:rPr>
          <w:rFonts w:eastAsia="Times New Roman"/>
          <w:szCs w:val="24"/>
        </w:rPr>
        <w:t> the</w:t>
      </w:r>
      <w:r w:rsidR="002D0EA8" w:rsidRPr="002F5DD1">
        <w:rPr>
          <w:rFonts w:eastAsia="Times New Roman"/>
          <w:szCs w:val="24"/>
        </w:rPr>
        <w:t xml:space="preserve"> import of HFCs th</w:t>
      </w:r>
      <w:r w:rsidR="006651A3" w:rsidRPr="002F5DD1">
        <w:rPr>
          <w:rFonts w:eastAsia="Times New Roman"/>
          <w:szCs w:val="24"/>
        </w:rPr>
        <w:t xml:space="preserve">at are recycled or used SGGs; </w:t>
      </w:r>
      <w:r w:rsidR="002D0EA8" w:rsidRPr="002F5DD1">
        <w:rPr>
          <w:rFonts w:eastAsia="Times New Roman"/>
          <w:szCs w:val="24"/>
        </w:rPr>
        <w:t>(b)</w:t>
      </w:r>
      <w:r w:rsidR="00911D71" w:rsidRPr="002F5DD1">
        <w:rPr>
          <w:rFonts w:eastAsia="Times New Roman"/>
          <w:szCs w:val="24"/>
        </w:rPr>
        <w:t> the</w:t>
      </w:r>
      <w:r w:rsidR="002D0EA8" w:rsidRPr="002F5DD1">
        <w:rPr>
          <w:rFonts w:eastAsia="Times New Roman"/>
          <w:szCs w:val="24"/>
        </w:rPr>
        <w:t xml:space="preserve"> import of HFCs in SGG equipment; or</w:t>
      </w:r>
      <w:r w:rsidR="006978E3" w:rsidRPr="002F5DD1">
        <w:rPr>
          <w:rFonts w:eastAsia="Times New Roman"/>
          <w:szCs w:val="24"/>
        </w:rPr>
        <w:t xml:space="preserve"> </w:t>
      </w:r>
      <w:r w:rsidR="002D0EA8" w:rsidRPr="002F5DD1">
        <w:rPr>
          <w:rFonts w:eastAsia="Times New Roman"/>
          <w:szCs w:val="24"/>
        </w:rPr>
        <w:t xml:space="preserve">(c) the manufacture or import of HFCs in circumstances prescribed for the purposes of </w:t>
      </w:r>
      <w:r w:rsidR="002D0EA8" w:rsidRPr="00843C93">
        <w:rPr>
          <w:color w:val="000000"/>
          <w:szCs w:val="24"/>
        </w:rPr>
        <w:t>subsection</w:t>
      </w:r>
      <w:r w:rsidR="002D0EA8" w:rsidRPr="002F5DD1">
        <w:rPr>
          <w:rFonts w:eastAsia="Times New Roman"/>
          <w:szCs w:val="24"/>
        </w:rPr>
        <w:t> 13(3).</w:t>
      </w:r>
    </w:p>
    <w:p w14:paraId="516F9D57" w14:textId="77777777" w:rsidR="002F5DD1" w:rsidRPr="002F5DD1" w:rsidRDefault="002D0EA8" w:rsidP="00534DFC">
      <w:pPr>
        <w:pStyle w:val="ListNumber"/>
        <w:numPr>
          <w:ilvl w:val="0"/>
          <w:numId w:val="8"/>
        </w:numPr>
        <w:spacing w:after="240"/>
        <w:ind w:left="567" w:hanging="567"/>
        <w:rPr>
          <w:color w:val="000000"/>
          <w:szCs w:val="24"/>
        </w:rPr>
      </w:pPr>
      <w:r w:rsidRPr="002F5DD1">
        <w:rPr>
          <w:color w:val="000000"/>
          <w:szCs w:val="24"/>
        </w:rPr>
        <w:t>Subsection 36B(2) of the OPSGGM Act further provides that</w:t>
      </w:r>
      <w:r w:rsidR="006651A3" w:rsidRPr="002F5DD1">
        <w:rPr>
          <w:color w:val="000000"/>
          <w:szCs w:val="24"/>
        </w:rPr>
        <w:t xml:space="preserve"> </w:t>
      </w:r>
      <w:r w:rsidRPr="002F5DD1">
        <w:rPr>
          <w:color w:val="000000"/>
          <w:szCs w:val="24"/>
        </w:rPr>
        <w:t>the quantity of HFCs that is taken to be involved in regulated HFC activities engaged in by a SGG licensee in a period is the greater of the amount worked out using the</w:t>
      </w:r>
      <w:r w:rsidR="006651A3" w:rsidRPr="002F5DD1">
        <w:rPr>
          <w:color w:val="000000"/>
          <w:szCs w:val="24"/>
        </w:rPr>
        <w:t xml:space="preserve"> formula</w:t>
      </w:r>
      <w:r w:rsidRPr="002F5DD1">
        <w:rPr>
          <w:color w:val="000000"/>
          <w:szCs w:val="24"/>
        </w:rPr>
        <w:t xml:space="preserve"> </w:t>
      </w:r>
      <w:r w:rsidR="00170800" w:rsidRPr="002F5DD1">
        <w:rPr>
          <w:color w:val="000000"/>
          <w:szCs w:val="24"/>
        </w:rPr>
        <w:t>set out in that provision</w:t>
      </w:r>
      <w:r w:rsidRPr="002F5DD1">
        <w:rPr>
          <w:color w:val="000000"/>
          <w:szCs w:val="24"/>
        </w:rPr>
        <w:t xml:space="preserve"> and nil</w:t>
      </w:r>
      <w:r w:rsidR="00170800" w:rsidRPr="002F5DD1">
        <w:rPr>
          <w:color w:val="000000"/>
          <w:szCs w:val="24"/>
        </w:rPr>
        <w:t>.</w:t>
      </w:r>
    </w:p>
    <w:p w14:paraId="7C797707" w14:textId="13675052" w:rsidR="009928DF" w:rsidRPr="009928DF" w:rsidRDefault="00BD56BF" w:rsidP="00534DFC">
      <w:pPr>
        <w:pStyle w:val="ListNumber"/>
        <w:numPr>
          <w:ilvl w:val="0"/>
          <w:numId w:val="8"/>
        </w:numPr>
        <w:spacing w:after="240"/>
        <w:ind w:left="567" w:hanging="567"/>
        <w:rPr>
          <w:color w:val="000000"/>
          <w:szCs w:val="24"/>
        </w:rPr>
      </w:pPr>
      <w:bookmarkStart w:id="1" w:name="BKCheck15B_2"/>
      <w:bookmarkEnd w:id="1"/>
      <w:r w:rsidRPr="002F5DD1">
        <w:rPr>
          <w:color w:val="000000"/>
          <w:szCs w:val="24"/>
        </w:rPr>
        <w:t xml:space="preserve">If a person meets all of these criteria and so is entitled to a grandfathered quota allocation, the amount of quota to which the person was entitled would be calculated using the formula set out in </w:t>
      </w:r>
      <w:proofErr w:type="spellStart"/>
      <w:r w:rsidR="001D28E7" w:rsidRPr="002F5DD1">
        <w:rPr>
          <w:color w:val="000000"/>
          <w:szCs w:val="24"/>
        </w:rPr>
        <w:t>subregulation</w:t>
      </w:r>
      <w:proofErr w:type="spellEnd"/>
      <w:r w:rsidR="001D28E7" w:rsidRPr="002F5DD1">
        <w:rPr>
          <w:color w:val="000000"/>
          <w:szCs w:val="24"/>
        </w:rPr>
        <w:t xml:space="preserve"> </w:t>
      </w:r>
      <w:r w:rsidRPr="002F5DD1">
        <w:rPr>
          <w:color w:val="000000"/>
          <w:szCs w:val="24"/>
        </w:rPr>
        <w:t>48(2)</w:t>
      </w:r>
      <w:r w:rsidR="006651A3" w:rsidRPr="002F5DD1">
        <w:rPr>
          <w:color w:val="000000"/>
          <w:szCs w:val="24"/>
        </w:rPr>
        <w:t>.</w:t>
      </w:r>
    </w:p>
    <w:p w14:paraId="10D07965" w14:textId="5040E7AF" w:rsidR="002F5DD1" w:rsidRDefault="00982AE2" w:rsidP="00534DFC">
      <w:pPr>
        <w:pStyle w:val="ListNumber"/>
        <w:numPr>
          <w:ilvl w:val="0"/>
          <w:numId w:val="8"/>
        </w:numPr>
        <w:spacing w:after="240"/>
        <w:ind w:left="567" w:hanging="567"/>
        <w:rPr>
          <w:color w:val="000000"/>
          <w:szCs w:val="24"/>
        </w:rPr>
      </w:pPr>
      <w:r w:rsidRPr="002F5DD1">
        <w:rPr>
          <w:color w:val="000000"/>
          <w:szCs w:val="24"/>
        </w:rPr>
        <w:t xml:space="preserve">In this calculation, the </w:t>
      </w:r>
      <w:r w:rsidRPr="002F5DD1">
        <w:rPr>
          <w:i/>
          <w:color w:val="000000"/>
          <w:szCs w:val="24"/>
        </w:rPr>
        <w:t>amount of licensed activities</w:t>
      </w:r>
      <w:r w:rsidRPr="002F5DD1">
        <w:rPr>
          <w:color w:val="000000"/>
          <w:szCs w:val="24"/>
        </w:rPr>
        <w:t xml:space="preserve"> for a person </w:t>
      </w:r>
      <w:r w:rsidR="00EB378B">
        <w:rPr>
          <w:color w:val="000000"/>
          <w:szCs w:val="24"/>
        </w:rPr>
        <w:t>is</w:t>
      </w:r>
      <w:r w:rsidRPr="002F5DD1">
        <w:rPr>
          <w:color w:val="000000"/>
          <w:szCs w:val="24"/>
        </w:rPr>
        <w:t xml:space="preserve"> </w:t>
      </w:r>
      <w:r w:rsidR="00E4210E" w:rsidRPr="002F5DD1">
        <w:rPr>
          <w:color w:val="000000"/>
          <w:szCs w:val="24"/>
        </w:rPr>
        <w:t>worked out</w:t>
      </w:r>
      <w:r w:rsidR="00E65835" w:rsidRPr="002F5DD1">
        <w:rPr>
          <w:color w:val="000000"/>
          <w:szCs w:val="24"/>
        </w:rPr>
        <w:t xml:space="preserve"> </w:t>
      </w:r>
      <w:r w:rsidR="006978E3" w:rsidRPr="002F5DD1">
        <w:rPr>
          <w:color w:val="000000"/>
          <w:szCs w:val="24"/>
        </w:rPr>
        <w:t xml:space="preserve">by </w:t>
      </w:r>
      <w:r w:rsidR="003D2AD9" w:rsidRPr="002F5DD1">
        <w:rPr>
          <w:color w:val="000000"/>
          <w:szCs w:val="24"/>
        </w:rPr>
        <w:t>undertaking two steps.</w:t>
      </w:r>
      <w:r w:rsidR="002F5DD1" w:rsidRPr="002F5DD1">
        <w:rPr>
          <w:color w:val="000000"/>
          <w:szCs w:val="24"/>
        </w:rPr>
        <w:t xml:space="preserve"> </w:t>
      </w:r>
    </w:p>
    <w:p w14:paraId="0EFEDB00" w14:textId="4F81DE66" w:rsidR="00E65835" w:rsidRPr="002F5DD1" w:rsidRDefault="003D2AD9" w:rsidP="00534DFC">
      <w:pPr>
        <w:pStyle w:val="ListNumber"/>
        <w:numPr>
          <w:ilvl w:val="0"/>
          <w:numId w:val="8"/>
        </w:numPr>
        <w:spacing w:after="240"/>
        <w:ind w:left="567" w:hanging="567"/>
        <w:rPr>
          <w:color w:val="000000"/>
          <w:szCs w:val="24"/>
        </w:rPr>
      </w:pPr>
      <w:r w:rsidRPr="002F5DD1">
        <w:rPr>
          <w:color w:val="000000"/>
          <w:szCs w:val="24"/>
        </w:rPr>
        <w:t xml:space="preserve">The first step </w:t>
      </w:r>
      <w:r w:rsidR="00EB378B">
        <w:rPr>
          <w:color w:val="000000"/>
          <w:szCs w:val="24"/>
        </w:rPr>
        <w:t>is</w:t>
      </w:r>
      <w:r w:rsidRPr="002F5DD1">
        <w:rPr>
          <w:color w:val="000000"/>
          <w:szCs w:val="24"/>
        </w:rPr>
        <w:t xml:space="preserve"> to </w:t>
      </w:r>
      <w:r w:rsidR="00E65835" w:rsidRPr="002F5DD1">
        <w:rPr>
          <w:color w:val="000000"/>
          <w:szCs w:val="24"/>
        </w:rPr>
        <w:t>calculat</w:t>
      </w:r>
      <w:r w:rsidRPr="002F5DD1">
        <w:rPr>
          <w:color w:val="000000"/>
          <w:szCs w:val="24"/>
        </w:rPr>
        <w:t>e</w:t>
      </w:r>
      <w:r w:rsidR="00E65835" w:rsidRPr="002F5DD1">
        <w:rPr>
          <w:color w:val="000000"/>
          <w:szCs w:val="24"/>
        </w:rPr>
        <w:t xml:space="preserve"> </w:t>
      </w:r>
      <w:r w:rsidR="00982AE2" w:rsidRPr="002F5DD1">
        <w:rPr>
          <w:color w:val="000000"/>
          <w:szCs w:val="24"/>
        </w:rPr>
        <w:t xml:space="preserve">the total quantities of HFCs </w:t>
      </w:r>
      <w:r w:rsidR="006978E3" w:rsidRPr="002F5DD1">
        <w:rPr>
          <w:color w:val="000000"/>
          <w:szCs w:val="24"/>
        </w:rPr>
        <w:t xml:space="preserve">expressed in CO2e </w:t>
      </w:r>
      <w:proofErr w:type="spellStart"/>
      <w:r w:rsidR="006978E3" w:rsidRPr="002F5DD1">
        <w:rPr>
          <w:color w:val="000000"/>
          <w:szCs w:val="24"/>
        </w:rPr>
        <w:t>megatonnes</w:t>
      </w:r>
      <w:proofErr w:type="spellEnd"/>
      <w:r w:rsidR="006978E3" w:rsidRPr="002F5DD1">
        <w:rPr>
          <w:color w:val="000000"/>
          <w:szCs w:val="24"/>
        </w:rPr>
        <w:t xml:space="preserve"> </w:t>
      </w:r>
      <w:r w:rsidR="00982AE2" w:rsidRPr="002F5DD1">
        <w:rPr>
          <w:color w:val="000000"/>
          <w:szCs w:val="24"/>
        </w:rPr>
        <w:t>(including nil</w:t>
      </w:r>
      <w:r w:rsidR="00CA7C99" w:rsidRPr="002F5DD1">
        <w:rPr>
          <w:color w:val="000000"/>
          <w:szCs w:val="24"/>
        </w:rPr>
        <w:t xml:space="preserve">, meaning that </w:t>
      </w:r>
      <w:r w:rsidR="006978E3" w:rsidRPr="002F5DD1">
        <w:rPr>
          <w:color w:val="000000"/>
          <w:szCs w:val="24"/>
        </w:rPr>
        <w:t xml:space="preserve">if </w:t>
      </w:r>
      <w:r w:rsidR="00B07FA8" w:rsidRPr="002F5DD1">
        <w:rPr>
          <w:color w:val="000000"/>
          <w:szCs w:val="24"/>
        </w:rPr>
        <w:t>no licen</w:t>
      </w:r>
      <w:r w:rsidR="000F1E0F" w:rsidRPr="002F5DD1">
        <w:rPr>
          <w:color w:val="000000"/>
          <w:szCs w:val="24"/>
        </w:rPr>
        <w:t>s</w:t>
      </w:r>
      <w:r w:rsidR="00B07FA8" w:rsidRPr="002F5DD1">
        <w:rPr>
          <w:color w:val="000000"/>
          <w:szCs w:val="24"/>
        </w:rPr>
        <w:t xml:space="preserve">ed regulated </w:t>
      </w:r>
      <w:r w:rsidR="006978E3" w:rsidRPr="002F5DD1">
        <w:rPr>
          <w:color w:val="000000"/>
          <w:szCs w:val="24"/>
        </w:rPr>
        <w:t xml:space="preserve">HFC </w:t>
      </w:r>
      <w:r w:rsidR="00B07FA8" w:rsidRPr="002F5DD1">
        <w:rPr>
          <w:color w:val="000000"/>
          <w:szCs w:val="24"/>
        </w:rPr>
        <w:t>activities</w:t>
      </w:r>
      <w:r w:rsidR="006978E3" w:rsidRPr="002F5DD1">
        <w:rPr>
          <w:color w:val="000000"/>
          <w:szCs w:val="24"/>
        </w:rPr>
        <w:t xml:space="preserve"> were undertaken</w:t>
      </w:r>
      <w:r w:rsidR="00B07FA8" w:rsidRPr="002F5DD1">
        <w:rPr>
          <w:color w:val="000000"/>
          <w:szCs w:val="24"/>
        </w:rPr>
        <w:t xml:space="preserve"> in </w:t>
      </w:r>
      <w:r w:rsidR="006978E3" w:rsidRPr="002F5DD1">
        <w:rPr>
          <w:color w:val="000000"/>
          <w:szCs w:val="24"/>
        </w:rPr>
        <w:t>the base</w:t>
      </w:r>
      <w:r w:rsidR="00B07FA8" w:rsidRPr="002F5DD1">
        <w:rPr>
          <w:color w:val="000000"/>
          <w:szCs w:val="24"/>
        </w:rPr>
        <w:t xml:space="preserve"> period</w:t>
      </w:r>
      <w:r w:rsidR="00F96DD8" w:rsidRPr="002F5DD1">
        <w:rPr>
          <w:color w:val="000000"/>
          <w:szCs w:val="24"/>
        </w:rPr>
        <w:t xml:space="preserve"> of 2009 to 2014</w:t>
      </w:r>
      <w:r w:rsidR="00B07FA8" w:rsidRPr="002F5DD1">
        <w:rPr>
          <w:color w:val="000000"/>
          <w:szCs w:val="24"/>
        </w:rPr>
        <w:t>, this should be reflected as zero</w:t>
      </w:r>
      <w:r w:rsidR="006978E3" w:rsidRPr="002F5DD1">
        <w:rPr>
          <w:color w:val="000000"/>
          <w:szCs w:val="24"/>
        </w:rPr>
        <w:t xml:space="preserve">), </w:t>
      </w:r>
      <w:r w:rsidR="00982AE2" w:rsidRPr="002F5DD1">
        <w:rPr>
          <w:color w:val="000000"/>
          <w:szCs w:val="24"/>
        </w:rPr>
        <w:t>invol</w:t>
      </w:r>
      <w:r w:rsidR="00B07FA8" w:rsidRPr="002F5DD1">
        <w:rPr>
          <w:color w:val="000000"/>
          <w:szCs w:val="24"/>
        </w:rPr>
        <w:t>ved</w:t>
      </w:r>
      <w:r w:rsidR="00982AE2" w:rsidRPr="002F5DD1">
        <w:rPr>
          <w:color w:val="000000"/>
          <w:szCs w:val="24"/>
        </w:rPr>
        <w:t xml:space="preserve"> in licen</w:t>
      </w:r>
      <w:r w:rsidR="000F1E0F" w:rsidRPr="002F5DD1">
        <w:rPr>
          <w:color w:val="000000"/>
          <w:szCs w:val="24"/>
        </w:rPr>
        <w:t>s</w:t>
      </w:r>
      <w:r w:rsidR="00982AE2" w:rsidRPr="002F5DD1">
        <w:rPr>
          <w:color w:val="000000"/>
          <w:szCs w:val="24"/>
        </w:rPr>
        <w:t>ed reg</w:t>
      </w:r>
      <w:r w:rsidR="00B07FA8" w:rsidRPr="002F5DD1">
        <w:rPr>
          <w:color w:val="000000"/>
          <w:szCs w:val="24"/>
        </w:rPr>
        <w:t xml:space="preserve">ulated activities engaged in by the person during 2009 to 2014. </w:t>
      </w:r>
      <w:proofErr w:type="spellStart"/>
      <w:r w:rsidR="00EB378B">
        <w:rPr>
          <w:color w:val="000000"/>
          <w:szCs w:val="24"/>
        </w:rPr>
        <w:t>S</w:t>
      </w:r>
      <w:r w:rsidR="00E65835" w:rsidRPr="002F5DD1">
        <w:rPr>
          <w:color w:val="000000"/>
          <w:szCs w:val="24"/>
        </w:rPr>
        <w:t>ubregulation</w:t>
      </w:r>
      <w:proofErr w:type="spellEnd"/>
      <w:r w:rsidR="00E65835" w:rsidRPr="002F5DD1">
        <w:rPr>
          <w:color w:val="000000"/>
          <w:szCs w:val="24"/>
        </w:rPr>
        <w:t xml:space="preserve"> 48(</w:t>
      </w:r>
      <w:r w:rsidR="00063894" w:rsidRPr="002F5DD1">
        <w:rPr>
          <w:color w:val="000000"/>
          <w:szCs w:val="24"/>
        </w:rPr>
        <w:t>4</w:t>
      </w:r>
      <w:r w:rsidR="00E65835" w:rsidRPr="002F5DD1">
        <w:rPr>
          <w:color w:val="000000"/>
          <w:szCs w:val="24"/>
        </w:rPr>
        <w:t xml:space="preserve">) </w:t>
      </w:r>
      <w:r w:rsidR="00EB378B">
        <w:rPr>
          <w:color w:val="000000"/>
          <w:szCs w:val="24"/>
        </w:rPr>
        <w:t>provides</w:t>
      </w:r>
      <w:r w:rsidR="00E65835" w:rsidRPr="002F5DD1">
        <w:rPr>
          <w:color w:val="000000"/>
          <w:szCs w:val="24"/>
        </w:rPr>
        <w:t xml:space="preserve"> that any HFCs exported by the person during 2009 to 2014 should </w:t>
      </w:r>
      <w:r w:rsidR="007201B6" w:rsidRPr="002F5DD1">
        <w:rPr>
          <w:color w:val="000000"/>
          <w:szCs w:val="24"/>
        </w:rPr>
        <w:t>be disregarded for these purposes.</w:t>
      </w:r>
      <w:r w:rsidR="00E65835" w:rsidRPr="002F5DD1">
        <w:rPr>
          <w:color w:val="000000"/>
          <w:szCs w:val="24"/>
        </w:rPr>
        <w:t xml:space="preserve"> </w:t>
      </w:r>
    </w:p>
    <w:p w14:paraId="23F1B5AD" w14:textId="3FF11059" w:rsidR="00F5501D" w:rsidRPr="002F5DD1" w:rsidRDefault="003D2AD9" w:rsidP="00534DFC">
      <w:pPr>
        <w:pStyle w:val="ListNumber"/>
        <w:numPr>
          <w:ilvl w:val="0"/>
          <w:numId w:val="8"/>
        </w:numPr>
        <w:spacing w:after="240"/>
        <w:ind w:left="567" w:hanging="567"/>
        <w:rPr>
          <w:color w:val="000000"/>
          <w:szCs w:val="24"/>
        </w:rPr>
      </w:pPr>
      <w:r w:rsidRPr="000B3272">
        <w:rPr>
          <w:color w:val="000000"/>
          <w:szCs w:val="24"/>
        </w:rPr>
        <w:lastRenderedPageBreak/>
        <w:t xml:space="preserve">The second step </w:t>
      </w:r>
      <w:r w:rsidR="00EB378B">
        <w:rPr>
          <w:color w:val="000000"/>
          <w:szCs w:val="24"/>
        </w:rPr>
        <w:t>is</w:t>
      </w:r>
      <w:r w:rsidRPr="000B3272">
        <w:rPr>
          <w:color w:val="000000"/>
          <w:szCs w:val="24"/>
        </w:rPr>
        <w:t xml:space="preserve"> to calculate</w:t>
      </w:r>
      <w:r>
        <w:rPr>
          <w:color w:val="000000"/>
          <w:szCs w:val="24"/>
        </w:rPr>
        <w:t xml:space="preserve"> 75</w:t>
      </w:r>
      <w:r w:rsidR="00F96DD8">
        <w:rPr>
          <w:color w:val="000000"/>
          <w:szCs w:val="24"/>
        </w:rPr>
        <w:t xml:space="preserve"> per cent </w:t>
      </w:r>
      <w:r>
        <w:rPr>
          <w:color w:val="000000"/>
          <w:szCs w:val="24"/>
        </w:rPr>
        <w:t>of the total qua</w:t>
      </w:r>
      <w:r w:rsidR="00386AA2">
        <w:rPr>
          <w:color w:val="000000"/>
          <w:szCs w:val="24"/>
        </w:rPr>
        <w:t>n</w:t>
      </w:r>
      <w:r>
        <w:rPr>
          <w:color w:val="000000"/>
          <w:szCs w:val="24"/>
        </w:rPr>
        <w:t>tity (including nil) of HCFCs expressed in CO</w:t>
      </w:r>
      <w:r w:rsidRPr="002F5DD1">
        <w:rPr>
          <w:color w:val="000000"/>
          <w:szCs w:val="24"/>
        </w:rPr>
        <w:t>2</w:t>
      </w:r>
      <w:r>
        <w:rPr>
          <w:color w:val="000000"/>
          <w:szCs w:val="24"/>
        </w:rPr>
        <w:t xml:space="preserve">e </w:t>
      </w:r>
      <w:proofErr w:type="spellStart"/>
      <w:r>
        <w:rPr>
          <w:color w:val="000000"/>
          <w:szCs w:val="24"/>
        </w:rPr>
        <w:t>megatonnes</w:t>
      </w:r>
      <w:proofErr w:type="spellEnd"/>
      <w:r>
        <w:rPr>
          <w:color w:val="000000"/>
          <w:szCs w:val="24"/>
        </w:rPr>
        <w:t>, involved in licen</w:t>
      </w:r>
      <w:r w:rsidR="000F1E0F">
        <w:rPr>
          <w:color w:val="000000"/>
          <w:szCs w:val="24"/>
        </w:rPr>
        <w:t>s</w:t>
      </w:r>
      <w:r>
        <w:rPr>
          <w:color w:val="000000"/>
          <w:szCs w:val="24"/>
        </w:rPr>
        <w:t>ed regulated HCFC activities engaged in by the person during 2009 to 2014</w:t>
      </w:r>
      <w:r w:rsidR="00386AA2">
        <w:rPr>
          <w:color w:val="000000"/>
          <w:szCs w:val="24"/>
        </w:rPr>
        <w:t xml:space="preserve"> (the base period)</w:t>
      </w:r>
      <w:r>
        <w:rPr>
          <w:color w:val="000000"/>
          <w:szCs w:val="24"/>
        </w:rPr>
        <w:t xml:space="preserve">. </w:t>
      </w:r>
      <w:r w:rsidR="000F1E0F">
        <w:rPr>
          <w:color w:val="000000"/>
          <w:szCs w:val="24"/>
        </w:rPr>
        <w:t>It is necessary to convert HCFCs imports</w:t>
      </w:r>
      <w:r w:rsidR="00F5501D">
        <w:rPr>
          <w:color w:val="000000"/>
          <w:szCs w:val="24"/>
        </w:rPr>
        <w:t xml:space="preserve"> (which are expressed in ODP tonnes)</w:t>
      </w:r>
      <w:r w:rsidR="000F1E0F">
        <w:rPr>
          <w:color w:val="000000"/>
          <w:szCs w:val="24"/>
        </w:rPr>
        <w:t xml:space="preserve"> to CO</w:t>
      </w:r>
      <w:r w:rsidR="000F1E0F" w:rsidRPr="002F5DD1">
        <w:rPr>
          <w:color w:val="000000"/>
          <w:szCs w:val="24"/>
        </w:rPr>
        <w:t>2</w:t>
      </w:r>
      <w:r w:rsidR="000F1E0F">
        <w:rPr>
          <w:color w:val="000000"/>
          <w:szCs w:val="24"/>
        </w:rPr>
        <w:t xml:space="preserve">e </w:t>
      </w:r>
      <w:proofErr w:type="spellStart"/>
      <w:r w:rsidR="00F5501D">
        <w:rPr>
          <w:color w:val="000000"/>
          <w:szCs w:val="24"/>
        </w:rPr>
        <w:t>megatonnes</w:t>
      </w:r>
      <w:proofErr w:type="spellEnd"/>
      <w:r w:rsidR="000F1E0F">
        <w:rPr>
          <w:color w:val="000000"/>
          <w:szCs w:val="24"/>
        </w:rPr>
        <w:t xml:space="preserve"> to be consistent with the HFC calculation</w:t>
      </w:r>
      <w:r w:rsidR="00F5501D">
        <w:rPr>
          <w:color w:val="000000"/>
          <w:szCs w:val="24"/>
        </w:rPr>
        <w:t>,</w:t>
      </w:r>
      <w:r w:rsidR="000F1E0F">
        <w:rPr>
          <w:color w:val="000000"/>
          <w:szCs w:val="24"/>
        </w:rPr>
        <w:t xml:space="preserve"> as Australia’s obligations under the Montreal Protocol are expressed in CO</w:t>
      </w:r>
      <w:r w:rsidR="000F1E0F" w:rsidRPr="002F5DD1">
        <w:rPr>
          <w:color w:val="000000"/>
          <w:szCs w:val="24"/>
        </w:rPr>
        <w:t>2</w:t>
      </w:r>
      <w:r w:rsidR="000F1E0F">
        <w:rPr>
          <w:color w:val="000000"/>
          <w:szCs w:val="24"/>
        </w:rPr>
        <w:t xml:space="preserve">e </w:t>
      </w:r>
      <w:proofErr w:type="spellStart"/>
      <w:r w:rsidR="000F1E0F">
        <w:rPr>
          <w:color w:val="000000"/>
          <w:szCs w:val="24"/>
        </w:rPr>
        <w:t>megatonnes</w:t>
      </w:r>
      <w:proofErr w:type="spellEnd"/>
      <w:r w:rsidR="000F1E0F">
        <w:rPr>
          <w:color w:val="000000"/>
          <w:szCs w:val="24"/>
        </w:rPr>
        <w:t>.</w:t>
      </w:r>
      <w:r w:rsidR="00F5501D" w:rsidRPr="002F5DD1">
        <w:rPr>
          <w:color w:val="000000"/>
          <w:szCs w:val="24"/>
        </w:rPr>
        <w:t xml:space="preserve"> </w:t>
      </w:r>
    </w:p>
    <w:p w14:paraId="6C7FC558" w14:textId="77777777" w:rsidR="00A62BA0" w:rsidRDefault="00F5501D" w:rsidP="00534DFC">
      <w:pPr>
        <w:pStyle w:val="ListNumber"/>
        <w:numPr>
          <w:ilvl w:val="0"/>
          <w:numId w:val="8"/>
        </w:numPr>
        <w:spacing w:after="240"/>
        <w:ind w:left="567" w:hanging="567"/>
        <w:rPr>
          <w:color w:val="000000"/>
          <w:szCs w:val="24"/>
        </w:rPr>
      </w:pPr>
      <w:r w:rsidRPr="002F5DD1">
        <w:rPr>
          <w:color w:val="000000"/>
          <w:szCs w:val="24"/>
        </w:rPr>
        <w:t xml:space="preserve">To convert ODP tonnes to CO2e </w:t>
      </w:r>
      <w:proofErr w:type="spellStart"/>
      <w:r w:rsidRPr="002F5DD1">
        <w:rPr>
          <w:color w:val="000000"/>
          <w:szCs w:val="24"/>
        </w:rPr>
        <w:t>megatonnes</w:t>
      </w:r>
      <w:proofErr w:type="spellEnd"/>
      <w:r w:rsidRPr="002F5DD1">
        <w:rPr>
          <w:color w:val="000000"/>
          <w:szCs w:val="24"/>
        </w:rPr>
        <w:t xml:space="preserve">, the ODP tonne amount should be divided by the ODP factor for the substance (listed in Column 2 of Schedule 1 Part V of the OPSGGM Act).  This will give the metric tonnage of the substance, which should then be multiplied by the global warming potential (GWP) in Column 3 of Schedule 1 Part V of the OPSGGM Act. This amount will then need to be converted from tonnes to </w:t>
      </w:r>
      <w:proofErr w:type="spellStart"/>
      <w:r w:rsidRPr="002F5DD1">
        <w:rPr>
          <w:color w:val="000000"/>
          <w:szCs w:val="24"/>
        </w:rPr>
        <w:t>megatonnes</w:t>
      </w:r>
      <w:proofErr w:type="spellEnd"/>
      <w:r w:rsidRPr="002F5DD1">
        <w:rPr>
          <w:color w:val="000000"/>
          <w:szCs w:val="24"/>
        </w:rPr>
        <w:t>, by dividing it by a million.</w:t>
      </w:r>
    </w:p>
    <w:p w14:paraId="5579B251" w14:textId="489D74E9" w:rsidR="002D78D3" w:rsidRPr="00E53327" w:rsidRDefault="00EB378B" w:rsidP="00534DFC">
      <w:pPr>
        <w:pStyle w:val="ListNumber"/>
        <w:numPr>
          <w:ilvl w:val="0"/>
          <w:numId w:val="8"/>
        </w:numPr>
        <w:spacing w:after="240"/>
        <w:ind w:left="567" w:hanging="567"/>
        <w:rPr>
          <w:color w:val="000000"/>
          <w:szCs w:val="24"/>
        </w:rPr>
      </w:pPr>
      <w:proofErr w:type="spellStart"/>
      <w:r>
        <w:rPr>
          <w:color w:val="000000"/>
          <w:szCs w:val="24"/>
        </w:rPr>
        <w:t>S</w:t>
      </w:r>
      <w:r w:rsidR="003D2AD9" w:rsidRPr="008E420B">
        <w:rPr>
          <w:color w:val="000000"/>
          <w:szCs w:val="24"/>
        </w:rPr>
        <w:t>ubregulation</w:t>
      </w:r>
      <w:proofErr w:type="spellEnd"/>
      <w:r w:rsidR="003D2AD9" w:rsidRPr="008E420B">
        <w:rPr>
          <w:color w:val="000000"/>
          <w:szCs w:val="24"/>
        </w:rPr>
        <w:t xml:space="preserve"> 48(</w:t>
      </w:r>
      <w:r w:rsidR="00063894">
        <w:rPr>
          <w:color w:val="000000"/>
          <w:szCs w:val="24"/>
        </w:rPr>
        <w:t>3</w:t>
      </w:r>
      <w:r w:rsidR="003D2AD9" w:rsidRPr="008E420B">
        <w:rPr>
          <w:color w:val="000000"/>
          <w:szCs w:val="24"/>
        </w:rPr>
        <w:t>) provide</w:t>
      </w:r>
      <w:r>
        <w:rPr>
          <w:color w:val="000000"/>
          <w:szCs w:val="24"/>
        </w:rPr>
        <w:t>s</w:t>
      </w:r>
      <w:r w:rsidR="003D2AD9" w:rsidRPr="008E420B">
        <w:rPr>
          <w:color w:val="000000"/>
          <w:szCs w:val="24"/>
        </w:rPr>
        <w:t xml:space="preserve"> </w:t>
      </w:r>
      <w:r w:rsidR="00F96DD8">
        <w:rPr>
          <w:color w:val="000000"/>
          <w:szCs w:val="24"/>
        </w:rPr>
        <w:t xml:space="preserve">a formula </w:t>
      </w:r>
      <w:r w:rsidR="00E53327">
        <w:rPr>
          <w:color w:val="000000"/>
          <w:szCs w:val="24"/>
        </w:rPr>
        <w:t>that must be used for</w:t>
      </w:r>
      <w:r w:rsidR="00F96DD8">
        <w:rPr>
          <w:color w:val="000000"/>
          <w:szCs w:val="24"/>
        </w:rPr>
        <w:t xml:space="preserve"> calculating the second step </w:t>
      </w:r>
      <w:r w:rsidR="003D2AD9" w:rsidRPr="008E420B">
        <w:rPr>
          <w:color w:val="000000"/>
          <w:szCs w:val="24"/>
        </w:rPr>
        <w:t>if</w:t>
      </w:r>
      <w:r w:rsidR="00E53327">
        <w:rPr>
          <w:color w:val="000000"/>
          <w:szCs w:val="24"/>
        </w:rPr>
        <w:t>,</w:t>
      </w:r>
      <w:r w:rsidR="003D2AD9" w:rsidRPr="008E420B">
        <w:rPr>
          <w:color w:val="000000"/>
          <w:szCs w:val="24"/>
        </w:rPr>
        <w:t xml:space="preserve"> </w:t>
      </w:r>
      <w:r w:rsidR="00E53327">
        <w:rPr>
          <w:color w:val="000000"/>
          <w:szCs w:val="24"/>
        </w:rPr>
        <w:t xml:space="preserve">during </w:t>
      </w:r>
      <w:r w:rsidR="00A62BA0" w:rsidRPr="008E420B">
        <w:rPr>
          <w:color w:val="000000"/>
          <w:szCs w:val="24"/>
        </w:rPr>
        <w:t>a calendar year</w:t>
      </w:r>
      <w:r w:rsidR="00F96DD8">
        <w:rPr>
          <w:color w:val="000000"/>
          <w:szCs w:val="24"/>
        </w:rPr>
        <w:t xml:space="preserve"> </w:t>
      </w:r>
      <w:r w:rsidR="00E53327">
        <w:rPr>
          <w:color w:val="000000"/>
          <w:szCs w:val="24"/>
        </w:rPr>
        <w:t xml:space="preserve">between 2009 and 2014, </w:t>
      </w:r>
      <w:r w:rsidR="00E53327" w:rsidRPr="008E420B">
        <w:rPr>
          <w:color w:val="000000"/>
          <w:szCs w:val="24"/>
        </w:rPr>
        <w:t xml:space="preserve">the total quantity of HCFCs </w:t>
      </w:r>
      <w:r w:rsidR="00E53327">
        <w:rPr>
          <w:color w:val="000000"/>
          <w:szCs w:val="24"/>
        </w:rPr>
        <w:t xml:space="preserve">(expressed </w:t>
      </w:r>
      <w:r w:rsidR="00E53327" w:rsidRPr="008E420B">
        <w:rPr>
          <w:color w:val="000000"/>
          <w:szCs w:val="24"/>
        </w:rPr>
        <w:t>in ODP tonnes</w:t>
      </w:r>
      <w:r w:rsidR="00E53327">
        <w:rPr>
          <w:color w:val="000000"/>
          <w:szCs w:val="24"/>
        </w:rPr>
        <w:t>)</w:t>
      </w:r>
      <w:r w:rsidR="00E53327" w:rsidRPr="008E420B">
        <w:rPr>
          <w:color w:val="000000"/>
          <w:szCs w:val="24"/>
        </w:rPr>
        <w:t xml:space="preserve"> involved in licensed regulated HCFC activities engaged in by </w:t>
      </w:r>
      <w:r w:rsidR="00E53327">
        <w:rPr>
          <w:color w:val="000000"/>
          <w:szCs w:val="24"/>
        </w:rPr>
        <w:t>a</w:t>
      </w:r>
      <w:r w:rsidR="00E53327" w:rsidRPr="008E420B">
        <w:rPr>
          <w:color w:val="000000"/>
          <w:szCs w:val="24"/>
        </w:rPr>
        <w:t xml:space="preserve"> person</w:t>
      </w:r>
      <w:r w:rsidR="00E53327">
        <w:rPr>
          <w:color w:val="000000"/>
          <w:szCs w:val="24"/>
        </w:rPr>
        <w:t xml:space="preserve"> exceeded a threshold amount. The threshold amount would be </w:t>
      </w:r>
      <w:r w:rsidR="00A62BA0" w:rsidRPr="008E420B">
        <w:rPr>
          <w:color w:val="000000"/>
          <w:szCs w:val="24"/>
        </w:rPr>
        <w:t xml:space="preserve">half of the HCFC quota allocated to the person in </w:t>
      </w:r>
      <w:r w:rsidR="00E53327">
        <w:rPr>
          <w:color w:val="000000"/>
          <w:szCs w:val="24"/>
        </w:rPr>
        <w:t>the HCFC</w:t>
      </w:r>
      <w:r w:rsidR="00A62BA0" w:rsidRPr="008E420B">
        <w:rPr>
          <w:color w:val="000000"/>
          <w:szCs w:val="24"/>
        </w:rPr>
        <w:t xml:space="preserve"> quota period</w:t>
      </w:r>
      <w:r w:rsidR="00E53327">
        <w:rPr>
          <w:color w:val="000000"/>
          <w:szCs w:val="24"/>
        </w:rPr>
        <w:t xml:space="preserve"> that the year was part of</w:t>
      </w:r>
      <w:r w:rsidR="00A62BA0" w:rsidRPr="008E420B">
        <w:rPr>
          <w:color w:val="000000"/>
          <w:szCs w:val="24"/>
        </w:rPr>
        <w:t>. The amount calculated using th</w:t>
      </w:r>
      <w:r w:rsidR="00E53327">
        <w:rPr>
          <w:color w:val="000000"/>
          <w:szCs w:val="24"/>
        </w:rPr>
        <w:t>is</w:t>
      </w:r>
      <w:r w:rsidR="00A62BA0" w:rsidRPr="008E420B">
        <w:rPr>
          <w:color w:val="000000"/>
          <w:szCs w:val="24"/>
        </w:rPr>
        <w:t xml:space="preserve"> formula would then need to be converted from OPD tonnes to CO</w:t>
      </w:r>
      <w:r w:rsidR="00A62BA0" w:rsidRPr="002F5DD1">
        <w:rPr>
          <w:color w:val="000000"/>
          <w:szCs w:val="24"/>
        </w:rPr>
        <w:t>2</w:t>
      </w:r>
      <w:r w:rsidR="00A62BA0" w:rsidRPr="008E420B">
        <w:rPr>
          <w:color w:val="000000"/>
          <w:szCs w:val="24"/>
        </w:rPr>
        <w:t xml:space="preserve">e </w:t>
      </w:r>
      <w:proofErr w:type="spellStart"/>
      <w:r w:rsidR="00A62BA0" w:rsidRPr="008E420B">
        <w:rPr>
          <w:color w:val="000000"/>
          <w:szCs w:val="24"/>
        </w:rPr>
        <w:t>megatonnes</w:t>
      </w:r>
      <w:proofErr w:type="spellEnd"/>
      <w:r w:rsidR="00A62BA0" w:rsidRPr="008E420B">
        <w:rPr>
          <w:color w:val="000000"/>
          <w:szCs w:val="24"/>
        </w:rPr>
        <w:t>.</w:t>
      </w:r>
      <w:r w:rsidR="008E420B" w:rsidRPr="008E420B">
        <w:rPr>
          <w:color w:val="000000"/>
          <w:szCs w:val="24"/>
        </w:rPr>
        <w:t xml:space="preserve"> </w:t>
      </w:r>
    </w:p>
    <w:p w14:paraId="6B313310" w14:textId="43B5328B" w:rsidR="003D2AD9" w:rsidRDefault="003D2AD9" w:rsidP="00534DFC">
      <w:pPr>
        <w:pStyle w:val="ListNumber"/>
        <w:numPr>
          <w:ilvl w:val="0"/>
          <w:numId w:val="8"/>
        </w:numPr>
        <w:spacing w:after="240"/>
        <w:ind w:left="567" w:hanging="567"/>
        <w:rPr>
          <w:color w:val="000000"/>
          <w:szCs w:val="24"/>
        </w:rPr>
      </w:pPr>
      <w:r>
        <w:rPr>
          <w:color w:val="000000"/>
          <w:szCs w:val="24"/>
        </w:rPr>
        <w:t xml:space="preserve">The sum of the amounts reached by following the first step and the second step </w:t>
      </w:r>
      <w:r w:rsidR="00EB378B">
        <w:rPr>
          <w:color w:val="000000"/>
          <w:szCs w:val="24"/>
        </w:rPr>
        <w:t>is</w:t>
      </w:r>
      <w:r>
        <w:rPr>
          <w:color w:val="000000"/>
          <w:szCs w:val="24"/>
        </w:rPr>
        <w:t xml:space="preserve"> the amount of licen</w:t>
      </w:r>
      <w:r w:rsidR="000F1E0F">
        <w:rPr>
          <w:color w:val="000000"/>
          <w:szCs w:val="24"/>
        </w:rPr>
        <w:t>s</w:t>
      </w:r>
      <w:r>
        <w:rPr>
          <w:color w:val="000000"/>
          <w:szCs w:val="24"/>
        </w:rPr>
        <w:t xml:space="preserve">ed activities of the person. </w:t>
      </w:r>
    </w:p>
    <w:p w14:paraId="1086504D" w14:textId="77777777" w:rsidR="00F91885" w:rsidRDefault="00144677" w:rsidP="00534DFC">
      <w:pPr>
        <w:pStyle w:val="ListNumber"/>
        <w:numPr>
          <w:ilvl w:val="0"/>
          <w:numId w:val="8"/>
        </w:numPr>
        <w:spacing w:after="240"/>
        <w:ind w:left="567" w:hanging="567"/>
        <w:rPr>
          <w:color w:val="000000"/>
          <w:szCs w:val="24"/>
        </w:rPr>
      </w:pPr>
      <w:r w:rsidRPr="00F91885">
        <w:rPr>
          <w:color w:val="000000"/>
          <w:szCs w:val="24"/>
        </w:rPr>
        <w:t xml:space="preserve">The total HFC and 75 per cent of HCFC imports in </w:t>
      </w:r>
      <w:proofErr w:type="spellStart"/>
      <w:r w:rsidRPr="00F91885">
        <w:rPr>
          <w:color w:val="000000"/>
          <w:szCs w:val="24"/>
        </w:rPr>
        <w:t>megatonnes</w:t>
      </w:r>
      <w:proofErr w:type="spellEnd"/>
      <w:r w:rsidRPr="00F91885">
        <w:rPr>
          <w:color w:val="000000"/>
          <w:szCs w:val="24"/>
        </w:rPr>
        <w:t xml:space="preserve"> of CO2</w:t>
      </w:r>
      <w:r w:rsidR="00B07FA8" w:rsidRPr="00F91885">
        <w:rPr>
          <w:color w:val="000000"/>
          <w:szCs w:val="24"/>
        </w:rPr>
        <w:t>e during the base period (2009 to 2014)</w:t>
      </w:r>
      <w:r w:rsidRPr="00F91885">
        <w:rPr>
          <w:color w:val="000000"/>
          <w:szCs w:val="24"/>
        </w:rPr>
        <w:t xml:space="preserve"> </w:t>
      </w:r>
      <w:r w:rsidR="00B07FA8" w:rsidRPr="00F91885">
        <w:rPr>
          <w:color w:val="000000"/>
          <w:szCs w:val="24"/>
        </w:rPr>
        <w:t>is being used as a b</w:t>
      </w:r>
      <w:r w:rsidRPr="00F91885">
        <w:rPr>
          <w:color w:val="000000"/>
          <w:szCs w:val="24"/>
        </w:rPr>
        <w:t>asis for quota allocation</w:t>
      </w:r>
      <w:r w:rsidR="00B07FA8" w:rsidRPr="00F91885">
        <w:rPr>
          <w:color w:val="000000"/>
          <w:szCs w:val="24"/>
        </w:rPr>
        <w:t xml:space="preserve"> in the first HFC quota allocation period, as </w:t>
      </w:r>
      <w:r w:rsidRPr="00F91885">
        <w:rPr>
          <w:color w:val="000000"/>
          <w:szCs w:val="24"/>
        </w:rPr>
        <w:t>75 per cent of HCFC imports are included to represent the whole fluorocarbon market in Australia (recognising that HFCs generally replace HCFCs).</w:t>
      </w:r>
      <w:r w:rsidR="00F91885" w:rsidRPr="00F91885">
        <w:rPr>
          <w:color w:val="000000"/>
          <w:szCs w:val="24"/>
        </w:rPr>
        <w:t xml:space="preserve"> </w:t>
      </w:r>
    </w:p>
    <w:p w14:paraId="15A98C77" w14:textId="33160FE4" w:rsidR="00F91885" w:rsidRPr="00F91885" w:rsidRDefault="00CD5B7E" w:rsidP="00534DFC">
      <w:pPr>
        <w:pStyle w:val="ListNumber"/>
        <w:numPr>
          <w:ilvl w:val="0"/>
          <w:numId w:val="8"/>
        </w:numPr>
        <w:spacing w:after="240"/>
        <w:ind w:left="567" w:hanging="567"/>
        <w:rPr>
          <w:szCs w:val="24"/>
        </w:rPr>
      </w:pPr>
      <w:r w:rsidRPr="00F91885">
        <w:rPr>
          <w:color w:val="000000"/>
          <w:szCs w:val="24"/>
        </w:rPr>
        <w:t xml:space="preserve">For the purposes of </w:t>
      </w:r>
      <w:r w:rsidR="00DD777F" w:rsidRPr="00F91885">
        <w:rPr>
          <w:color w:val="000000"/>
          <w:szCs w:val="24"/>
        </w:rPr>
        <w:t xml:space="preserve">the formula set out in </w:t>
      </w:r>
      <w:proofErr w:type="spellStart"/>
      <w:r w:rsidR="001D28E7" w:rsidRPr="00F91885">
        <w:rPr>
          <w:color w:val="000000"/>
          <w:szCs w:val="24"/>
        </w:rPr>
        <w:t>subregulation</w:t>
      </w:r>
      <w:proofErr w:type="spellEnd"/>
      <w:r w:rsidR="001D28E7" w:rsidRPr="00F91885">
        <w:rPr>
          <w:color w:val="000000"/>
          <w:szCs w:val="24"/>
        </w:rPr>
        <w:t xml:space="preserve"> </w:t>
      </w:r>
      <w:r w:rsidRPr="00F91885">
        <w:rPr>
          <w:color w:val="000000"/>
          <w:szCs w:val="24"/>
        </w:rPr>
        <w:t xml:space="preserve">48(2), the </w:t>
      </w:r>
      <w:r w:rsidRPr="00F91885">
        <w:rPr>
          <w:i/>
          <w:color w:val="000000"/>
          <w:szCs w:val="24"/>
        </w:rPr>
        <w:t>total amount of licen</w:t>
      </w:r>
      <w:r w:rsidR="000F1E0F" w:rsidRPr="00F91885">
        <w:rPr>
          <w:i/>
          <w:color w:val="000000"/>
          <w:szCs w:val="24"/>
        </w:rPr>
        <w:t>s</w:t>
      </w:r>
      <w:r w:rsidRPr="00F91885">
        <w:rPr>
          <w:i/>
          <w:color w:val="000000"/>
          <w:szCs w:val="24"/>
        </w:rPr>
        <w:t>ed activities</w:t>
      </w:r>
      <w:r w:rsidRPr="00F91885">
        <w:rPr>
          <w:color w:val="000000"/>
          <w:szCs w:val="24"/>
        </w:rPr>
        <w:t xml:space="preserve"> means the sum of the amounts of </w:t>
      </w:r>
      <w:r w:rsidR="000F1E0F" w:rsidRPr="00F91885">
        <w:rPr>
          <w:color w:val="000000"/>
          <w:szCs w:val="24"/>
        </w:rPr>
        <w:t>licensed</w:t>
      </w:r>
      <w:r w:rsidRPr="00F91885">
        <w:rPr>
          <w:color w:val="000000"/>
          <w:szCs w:val="24"/>
        </w:rPr>
        <w:t xml:space="preserve"> activities of each person who is entitled to grandfathered quota for the allocation year. That is, the sum of the amount of </w:t>
      </w:r>
      <w:r w:rsidR="000F1E0F" w:rsidRPr="00F91885">
        <w:rPr>
          <w:color w:val="000000"/>
          <w:szCs w:val="24"/>
        </w:rPr>
        <w:t>licensed</w:t>
      </w:r>
      <w:r w:rsidRPr="00F91885">
        <w:rPr>
          <w:color w:val="000000"/>
          <w:szCs w:val="24"/>
        </w:rPr>
        <w:t xml:space="preserve"> activities as calculated under this </w:t>
      </w:r>
      <w:proofErr w:type="spellStart"/>
      <w:r w:rsidRPr="00F91885">
        <w:rPr>
          <w:color w:val="000000"/>
          <w:szCs w:val="24"/>
        </w:rPr>
        <w:t>subregulation</w:t>
      </w:r>
      <w:proofErr w:type="spellEnd"/>
      <w:r w:rsidRPr="00F91885">
        <w:rPr>
          <w:color w:val="000000"/>
          <w:szCs w:val="24"/>
        </w:rPr>
        <w:t xml:space="preserve"> for all persons who are entitled to grandfathered quota under </w:t>
      </w:r>
      <w:proofErr w:type="spellStart"/>
      <w:r w:rsidRPr="00F91885">
        <w:rPr>
          <w:color w:val="000000"/>
          <w:szCs w:val="24"/>
        </w:rPr>
        <w:t>subregulation</w:t>
      </w:r>
      <w:proofErr w:type="spellEnd"/>
      <w:r w:rsidRPr="00F91885">
        <w:rPr>
          <w:color w:val="000000"/>
          <w:szCs w:val="24"/>
        </w:rPr>
        <w:t xml:space="preserve"> 48(1).  </w:t>
      </w:r>
    </w:p>
    <w:p w14:paraId="40CD00BD" w14:textId="631F2F5F" w:rsidR="00BB162E" w:rsidRPr="00F91885" w:rsidRDefault="00CD5B7E" w:rsidP="00534DFC">
      <w:pPr>
        <w:pStyle w:val="ListNumber"/>
        <w:numPr>
          <w:ilvl w:val="0"/>
          <w:numId w:val="8"/>
        </w:numPr>
        <w:spacing w:after="240"/>
        <w:ind w:left="567" w:hanging="567"/>
        <w:rPr>
          <w:szCs w:val="24"/>
        </w:rPr>
      </w:pPr>
      <w:r w:rsidRPr="00F91885">
        <w:rPr>
          <w:szCs w:val="24"/>
        </w:rPr>
        <w:t xml:space="preserve">The </w:t>
      </w:r>
      <w:r w:rsidRPr="00F91885">
        <w:rPr>
          <w:i/>
          <w:szCs w:val="24"/>
        </w:rPr>
        <w:t>HFC industry limit for the allocation year</w:t>
      </w:r>
      <w:r w:rsidRPr="00F91885">
        <w:rPr>
          <w:szCs w:val="24"/>
        </w:rPr>
        <w:t xml:space="preserve"> referred to in the formula specified in </w:t>
      </w:r>
      <w:proofErr w:type="spellStart"/>
      <w:r w:rsidRPr="00F91885">
        <w:rPr>
          <w:szCs w:val="24"/>
        </w:rPr>
        <w:t>subregulation</w:t>
      </w:r>
      <w:proofErr w:type="spellEnd"/>
      <w:r w:rsidRPr="00F91885">
        <w:rPr>
          <w:szCs w:val="24"/>
        </w:rPr>
        <w:t xml:space="preserve"> 48(2) refers to the HFC industry limits for HFC allocation periods specified in regulation 42. The HFC industry limit for a calendar year in an HFC quota allocation period included in the table in regulation 42 is the quantity of HFCs, expressed </w:t>
      </w:r>
      <w:r w:rsidRPr="00F91885">
        <w:rPr>
          <w:color w:val="000000"/>
          <w:szCs w:val="24"/>
        </w:rPr>
        <w:t>in CO</w:t>
      </w:r>
      <w:r w:rsidRPr="00F91885">
        <w:rPr>
          <w:color w:val="000000"/>
          <w:szCs w:val="24"/>
          <w:vertAlign w:val="subscript"/>
        </w:rPr>
        <w:t>2</w:t>
      </w:r>
      <w:r w:rsidRPr="00F91885">
        <w:rPr>
          <w:color w:val="000000"/>
          <w:szCs w:val="24"/>
        </w:rPr>
        <w:t xml:space="preserve">e </w:t>
      </w:r>
      <w:proofErr w:type="spellStart"/>
      <w:r w:rsidRPr="00F91885">
        <w:rPr>
          <w:color w:val="000000"/>
          <w:szCs w:val="24"/>
        </w:rPr>
        <w:t>megatonnes</w:t>
      </w:r>
      <w:proofErr w:type="spellEnd"/>
      <w:r w:rsidRPr="00F91885">
        <w:rPr>
          <w:color w:val="000000"/>
          <w:szCs w:val="24"/>
        </w:rPr>
        <w:t xml:space="preserve">, specified in Column 2 of that table in respect of the relevant HFC quota allocation period (specified in Column 1). </w:t>
      </w:r>
    </w:p>
    <w:p w14:paraId="4CCBFC1D" w14:textId="77777777" w:rsidR="003245E4" w:rsidRDefault="003245E4" w:rsidP="00815601">
      <w:pPr>
        <w:rPr>
          <w:rFonts w:ascii="Times New Roman" w:hAnsi="Times New Roman"/>
          <w:i/>
          <w:sz w:val="24"/>
          <w:szCs w:val="24"/>
        </w:rPr>
      </w:pPr>
      <w:r>
        <w:rPr>
          <w:rFonts w:ascii="Times New Roman" w:hAnsi="Times New Roman"/>
          <w:i/>
          <w:sz w:val="24"/>
          <w:szCs w:val="24"/>
        </w:rPr>
        <w:t>Grandfathered quota – second HFC quota allocation period</w:t>
      </w:r>
    </w:p>
    <w:p w14:paraId="1609D79F" w14:textId="77777777" w:rsidR="002F3BBC" w:rsidRDefault="002F3BBC" w:rsidP="00815601">
      <w:pPr>
        <w:rPr>
          <w:rFonts w:ascii="Times New Roman" w:hAnsi="Times New Roman"/>
          <w:sz w:val="24"/>
          <w:szCs w:val="24"/>
        </w:rPr>
      </w:pPr>
    </w:p>
    <w:p w14:paraId="69FAB804" w14:textId="3C47EB64" w:rsidR="00097CED" w:rsidRPr="00F91885" w:rsidRDefault="00EB378B" w:rsidP="00534DFC">
      <w:pPr>
        <w:pStyle w:val="ListNumber"/>
        <w:numPr>
          <w:ilvl w:val="0"/>
          <w:numId w:val="8"/>
        </w:numPr>
        <w:spacing w:after="240"/>
        <w:ind w:left="567" w:hanging="567"/>
        <w:rPr>
          <w:color w:val="000000"/>
          <w:szCs w:val="24"/>
        </w:rPr>
      </w:pPr>
      <w:r>
        <w:rPr>
          <w:color w:val="000000"/>
          <w:szCs w:val="24"/>
        </w:rPr>
        <w:t>R</w:t>
      </w:r>
      <w:r w:rsidR="00097CED" w:rsidRPr="00F91885">
        <w:rPr>
          <w:color w:val="000000"/>
          <w:szCs w:val="24"/>
        </w:rPr>
        <w:t>egulation</w:t>
      </w:r>
      <w:r w:rsidR="00366AC1" w:rsidRPr="00F91885">
        <w:rPr>
          <w:color w:val="000000"/>
          <w:szCs w:val="24"/>
        </w:rPr>
        <w:t xml:space="preserve"> 49 provide</w:t>
      </w:r>
      <w:r w:rsidR="00555F73">
        <w:rPr>
          <w:color w:val="000000"/>
          <w:szCs w:val="24"/>
        </w:rPr>
        <w:t>s</w:t>
      </w:r>
      <w:r w:rsidR="00366AC1" w:rsidRPr="00F91885">
        <w:rPr>
          <w:color w:val="000000"/>
          <w:szCs w:val="24"/>
        </w:rPr>
        <w:t xml:space="preserve"> for </w:t>
      </w:r>
      <w:r w:rsidR="003C326A" w:rsidRPr="00F91885">
        <w:rPr>
          <w:color w:val="000000"/>
          <w:szCs w:val="24"/>
        </w:rPr>
        <w:t>the calculation of</w:t>
      </w:r>
      <w:r w:rsidR="00366AC1" w:rsidRPr="00F91885">
        <w:rPr>
          <w:color w:val="000000"/>
          <w:szCs w:val="24"/>
        </w:rPr>
        <w:t xml:space="preserve"> grandfathered quota in the second HFC quota allocation period, beginning 1 January 2020. </w:t>
      </w:r>
    </w:p>
    <w:p w14:paraId="0782999E" w14:textId="5C0E781D" w:rsidR="00366AC1" w:rsidRPr="00F91885" w:rsidRDefault="00555F73" w:rsidP="00534DFC">
      <w:pPr>
        <w:pStyle w:val="ListNumber"/>
        <w:numPr>
          <w:ilvl w:val="0"/>
          <w:numId w:val="8"/>
        </w:numPr>
        <w:spacing w:after="240"/>
        <w:ind w:left="567" w:hanging="567"/>
        <w:rPr>
          <w:color w:val="000000"/>
          <w:szCs w:val="24"/>
        </w:rPr>
      </w:pPr>
      <w:proofErr w:type="spellStart"/>
      <w:r>
        <w:rPr>
          <w:color w:val="000000"/>
          <w:szCs w:val="24"/>
        </w:rPr>
        <w:t>S</w:t>
      </w:r>
      <w:r w:rsidR="00097CED" w:rsidRPr="00F91885">
        <w:rPr>
          <w:color w:val="000000"/>
          <w:szCs w:val="24"/>
        </w:rPr>
        <w:t>ubregulation</w:t>
      </w:r>
      <w:proofErr w:type="spellEnd"/>
      <w:r w:rsidR="00097CED" w:rsidRPr="00F91885">
        <w:rPr>
          <w:color w:val="000000"/>
          <w:szCs w:val="24"/>
        </w:rPr>
        <w:t xml:space="preserve"> 49(1) provide</w:t>
      </w:r>
      <w:r>
        <w:rPr>
          <w:color w:val="000000"/>
          <w:szCs w:val="24"/>
        </w:rPr>
        <w:t>s</w:t>
      </w:r>
      <w:r w:rsidR="00097CED" w:rsidRPr="00F91885">
        <w:rPr>
          <w:color w:val="000000"/>
          <w:szCs w:val="24"/>
        </w:rPr>
        <w:t xml:space="preserve"> that in order for a person to be entitled to grandfathered quota in the second HFC quota allocation period, a person </w:t>
      </w:r>
      <w:r w:rsidR="00D35533" w:rsidRPr="00F91885">
        <w:rPr>
          <w:color w:val="000000"/>
          <w:szCs w:val="24"/>
        </w:rPr>
        <w:t xml:space="preserve">must </w:t>
      </w:r>
      <w:r w:rsidR="00097CED" w:rsidRPr="00F91885">
        <w:rPr>
          <w:color w:val="000000"/>
          <w:szCs w:val="24"/>
        </w:rPr>
        <w:t xml:space="preserve">have applied in accordance with regulation 44, hold a SGG licence that covers the whole second HFC quota allocation period, and HFC quotas would have to have been allocated to the person for the calendar years in the first HFC quota allocation period. </w:t>
      </w:r>
    </w:p>
    <w:p w14:paraId="04D88670" w14:textId="5444C74E" w:rsidR="00F91885" w:rsidRPr="00F91885" w:rsidRDefault="00555F73" w:rsidP="00534DFC">
      <w:pPr>
        <w:pStyle w:val="ListNumber"/>
        <w:numPr>
          <w:ilvl w:val="0"/>
          <w:numId w:val="8"/>
        </w:numPr>
        <w:spacing w:after="240"/>
        <w:ind w:left="567" w:hanging="567"/>
        <w:rPr>
          <w:szCs w:val="24"/>
        </w:rPr>
      </w:pPr>
      <w:r>
        <w:rPr>
          <w:color w:val="000000"/>
          <w:szCs w:val="24"/>
        </w:rPr>
        <w:lastRenderedPageBreak/>
        <w:t>R</w:t>
      </w:r>
      <w:r w:rsidR="0074781C" w:rsidRPr="00F91885">
        <w:rPr>
          <w:color w:val="000000"/>
          <w:szCs w:val="24"/>
        </w:rPr>
        <w:t>egulation 46 provide</w:t>
      </w:r>
      <w:r>
        <w:rPr>
          <w:color w:val="000000"/>
          <w:szCs w:val="24"/>
        </w:rPr>
        <w:t>s</w:t>
      </w:r>
      <w:r w:rsidR="0074781C" w:rsidRPr="00F91885">
        <w:rPr>
          <w:color w:val="000000"/>
          <w:szCs w:val="24"/>
        </w:rPr>
        <w:t xml:space="preserve"> that the base period for the second HFC quota allocation period </w:t>
      </w:r>
      <w:r>
        <w:rPr>
          <w:color w:val="000000"/>
          <w:szCs w:val="24"/>
        </w:rPr>
        <w:t>is</w:t>
      </w:r>
      <w:r w:rsidR="0074781C" w:rsidRPr="00F91885">
        <w:rPr>
          <w:color w:val="000000"/>
          <w:szCs w:val="24"/>
        </w:rPr>
        <w:t xml:space="preserve"> 2018 (the first year of the first quota allocation period). A single year </w:t>
      </w:r>
      <w:r>
        <w:rPr>
          <w:color w:val="000000"/>
          <w:szCs w:val="24"/>
        </w:rPr>
        <w:t>is</w:t>
      </w:r>
      <w:r w:rsidR="0074781C" w:rsidRPr="00F91885">
        <w:rPr>
          <w:color w:val="000000"/>
          <w:szCs w:val="24"/>
        </w:rPr>
        <w:t xml:space="preserve"> used, as applications for the second HFC quota allocation period </w:t>
      </w:r>
      <w:r>
        <w:rPr>
          <w:color w:val="000000"/>
          <w:szCs w:val="24"/>
        </w:rPr>
        <w:t>will</w:t>
      </w:r>
      <w:r w:rsidR="0074781C" w:rsidRPr="00F91885">
        <w:rPr>
          <w:color w:val="000000"/>
          <w:szCs w:val="24"/>
        </w:rPr>
        <w:t xml:space="preserve"> be received in August of that year. This would mean that reporting on imports and verification of imports would not be possible for the purposes of allocating quota for the second HFC quota allocation period. </w:t>
      </w:r>
    </w:p>
    <w:p w14:paraId="55D97BE6" w14:textId="77D3F4A6" w:rsidR="00097CED" w:rsidRPr="00F91885" w:rsidRDefault="00555F73" w:rsidP="00534DFC">
      <w:pPr>
        <w:pStyle w:val="ListNumber"/>
        <w:numPr>
          <w:ilvl w:val="0"/>
          <w:numId w:val="8"/>
        </w:numPr>
        <w:spacing w:after="240"/>
        <w:ind w:left="567" w:hanging="567"/>
        <w:rPr>
          <w:szCs w:val="24"/>
        </w:rPr>
      </w:pPr>
      <w:proofErr w:type="spellStart"/>
      <w:r>
        <w:rPr>
          <w:szCs w:val="24"/>
        </w:rPr>
        <w:t>S</w:t>
      </w:r>
      <w:r w:rsidR="00097CED" w:rsidRPr="00F91885">
        <w:rPr>
          <w:szCs w:val="24"/>
        </w:rPr>
        <w:t>ubregulation</w:t>
      </w:r>
      <w:proofErr w:type="spellEnd"/>
      <w:r w:rsidR="00097CED" w:rsidRPr="00F91885">
        <w:rPr>
          <w:szCs w:val="24"/>
        </w:rPr>
        <w:t xml:space="preserve"> 49(2) provide</w:t>
      </w:r>
      <w:r>
        <w:rPr>
          <w:szCs w:val="24"/>
        </w:rPr>
        <w:t>s</w:t>
      </w:r>
      <w:r w:rsidR="00097CED" w:rsidRPr="00F91885">
        <w:rPr>
          <w:szCs w:val="24"/>
        </w:rPr>
        <w:t xml:space="preserve"> the formula for calculating the amount of grandfathered quota to which a person is entitled in the second HFC quota allocation period. </w:t>
      </w:r>
      <w:r w:rsidR="0074781C" w:rsidRPr="00F91885">
        <w:rPr>
          <w:szCs w:val="24"/>
        </w:rPr>
        <w:t>T</w:t>
      </w:r>
      <w:r w:rsidR="002F78A2" w:rsidRPr="00F91885">
        <w:rPr>
          <w:szCs w:val="24"/>
        </w:rPr>
        <w:t xml:space="preserve">he </w:t>
      </w:r>
      <w:r w:rsidR="002F78A2" w:rsidRPr="00F91885">
        <w:rPr>
          <w:i/>
          <w:szCs w:val="24"/>
        </w:rPr>
        <w:t xml:space="preserve">amount of </w:t>
      </w:r>
      <w:r w:rsidR="000F1E0F" w:rsidRPr="00F91885">
        <w:rPr>
          <w:i/>
          <w:szCs w:val="24"/>
        </w:rPr>
        <w:t>licensed</w:t>
      </w:r>
      <w:r w:rsidR="002F78A2" w:rsidRPr="00F91885">
        <w:rPr>
          <w:i/>
          <w:szCs w:val="24"/>
        </w:rPr>
        <w:t xml:space="preserve"> activities (grandfathered)</w:t>
      </w:r>
      <w:r w:rsidR="002F78A2" w:rsidRPr="00F91885">
        <w:rPr>
          <w:szCs w:val="24"/>
        </w:rPr>
        <w:t xml:space="preserve"> and the </w:t>
      </w:r>
      <w:r w:rsidR="002F78A2" w:rsidRPr="00F91885">
        <w:rPr>
          <w:i/>
          <w:szCs w:val="24"/>
        </w:rPr>
        <w:t xml:space="preserve">amount of </w:t>
      </w:r>
      <w:r w:rsidR="000F1E0F" w:rsidRPr="00F91885">
        <w:rPr>
          <w:i/>
          <w:szCs w:val="24"/>
        </w:rPr>
        <w:t>licensed</w:t>
      </w:r>
      <w:r w:rsidR="002F78A2" w:rsidRPr="00F91885">
        <w:rPr>
          <w:i/>
          <w:szCs w:val="24"/>
        </w:rPr>
        <w:t xml:space="preserve"> activities (non-</w:t>
      </w:r>
      <w:r w:rsidR="002F78A2" w:rsidRPr="00843C93">
        <w:rPr>
          <w:color w:val="000000"/>
          <w:szCs w:val="24"/>
        </w:rPr>
        <w:t>grandfathered</w:t>
      </w:r>
      <w:r w:rsidR="002F78A2" w:rsidRPr="00F91885">
        <w:rPr>
          <w:i/>
          <w:szCs w:val="24"/>
        </w:rPr>
        <w:t>)</w:t>
      </w:r>
      <w:r w:rsidR="002F78A2" w:rsidRPr="00F91885">
        <w:rPr>
          <w:szCs w:val="24"/>
        </w:rPr>
        <w:t xml:space="preserve"> for the purposes of the formula in </w:t>
      </w:r>
      <w:proofErr w:type="spellStart"/>
      <w:r w:rsidR="002F78A2" w:rsidRPr="00F91885">
        <w:rPr>
          <w:szCs w:val="24"/>
        </w:rPr>
        <w:t>sub</w:t>
      </w:r>
      <w:r w:rsidR="003C326A" w:rsidRPr="00F91885">
        <w:rPr>
          <w:szCs w:val="24"/>
        </w:rPr>
        <w:t>regulation</w:t>
      </w:r>
      <w:proofErr w:type="spellEnd"/>
      <w:r w:rsidR="002F78A2" w:rsidRPr="00F91885">
        <w:rPr>
          <w:szCs w:val="24"/>
        </w:rPr>
        <w:t xml:space="preserve"> 49(2) are based on total quantities of HFCs involved in </w:t>
      </w:r>
      <w:r w:rsidR="000F1E0F" w:rsidRPr="00F91885">
        <w:rPr>
          <w:szCs w:val="24"/>
        </w:rPr>
        <w:t>licensed</w:t>
      </w:r>
      <w:r w:rsidR="002F78A2" w:rsidRPr="00F91885">
        <w:rPr>
          <w:szCs w:val="24"/>
        </w:rPr>
        <w:t xml:space="preserve"> regulated HFC activities engaged in by the person during 2018, or the amount of quota allocated to the person for 2018, whichever is the lesser. The lesser amount is </w:t>
      </w:r>
      <w:r w:rsidR="009807C8" w:rsidRPr="00F91885">
        <w:rPr>
          <w:szCs w:val="24"/>
        </w:rPr>
        <w:t xml:space="preserve">specified </w:t>
      </w:r>
      <w:r w:rsidR="002F78A2" w:rsidRPr="00F91885">
        <w:rPr>
          <w:szCs w:val="24"/>
        </w:rPr>
        <w:t xml:space="preserve">to ensure that persons </w:t>
      </w:r>
      <w:r w:rsidR="009807C8" w:rsidRPr="00F91885">
        <w:rPr>
          <w:szCs w:val="24"/>
        </w:rPr>
        <w:t>cannot artificially increase their quota share by over-importing.</w:t>
      </w:r>
      <w:r w:rsidR="002F78A2" w:rsidRPr="00F91885">
        <w:rPr>
          <w:szCs w:val="24"/>
        </w:rPr>
        <w:t xml:space="preserve"> </w:t>
      </w:r>
    </w:p>
    <w:p w14:paraId="3F27C5C0" w14:textId="77777777" w:rsidR="003245E4" w:rsidRDefault="003245E4" w:rsidP="00815601">
      <w:pPr>
        <w:rPr>
          <w:rFonts w:ascii="Times New Roman" w:hAnsi="Times New Roman"/>
          <w:i/>
          <w:sz w:val="24"/>
          <w:szCs w:val="24"/>
        </w:rPr>
      </w:pPr>
      <w:r>
        <w:rPr>
          <w:rFonts w:ascii="Times New Roman" w:hAnsi="Times New Roman"/>
          <w:i/>
          <w:sz w:val="24"/>
          <w:szCs w:val="24"/>
        </w:rPr>
        <w:t>Grandfathered quota – later HFC quota allocation periods</w:t>
      </w:r>
    </w:p>
    <w:p w14:paraId="73DA2AD1" w14:textId="77777777" w:rsidR="003245E4" w:rsidRDefault="003245E4" w:rsidP="00815601">
      <w:pPr>
        <w:rPr>
          <w:rFonts w:ascii="Times New Roman" w:hAnsi="Times New Roman"/>
          <w:i/>
          <w:sz w:val="24"/>
          <w:szCs w:val="24"/>
        </w:rPr>
      </w:pPr>
    </w:p>
    <w:p w14:paraId="3D40080C" w14:textId="1C7C0AC2" w:rsidR="007E756C" w:rsidRDefault="00261B10" w:rsidP="00534DFC">
      <w:pPr>
        <w:pStyle w:val="ListNumber"/>
        <w:numPr>
          <w:ilvl w:val="0"/>
          <w:numId w:val="8"/>
        </w:numPr>
        <w:spacing w:after="240"/>
        <w:ind w:left="567" w:hanging="567"/>
        <w:rPr>
          <w:color w:val="000000"/>
          <w:szCs w:val="24"/>
        </w:rPr>
      </w:pPr>
      <w:r>
        <w:rPr>
          <w:color w:val="000000"/>
          <w:szCs w:val="24"/>
        </w:rPr>
        <w:t>R</w:t>
      </w:r>
      <w:r w:rsidR="00567C54">
        <w:rPr>
          <w:color w:val="000000"/>
          <w:szCs w:val="24"/>
        </w:rPr>
        <w:t>egulation 46 provide</w:t>
      </w:r>
      <w:r>
        <w:rPr>
          <w:color w:val="000000"/>
          <w:szCs w:val="24"/>
        </w:rPr>
        <w:t>s</w:t>
      </w:r>
      <w:r w:rsidR="00567C54">
        <w:rPr>
          <w:color w:val="000000"/>
          <w:szCs w:val="24"/>
        </w:rPr>
        <w:t xml:space="preserve"> that the</w:t>
      </w:r>
      <w:r w:rsidR="002F3BBC">
        <w:rPr>
          <w:color w:val="000000"/>
          <w:szCs w:val="24"/>
        </w:rPr>
        <w:t xml:space="preserve"> </w:t>
      </w:r>
      <w:r w:rsidR="00D0611B">
        <w:rPr>
          <w:color w:val="000000"/>
          <w:szCs w:val="24"/>
        </w:rPr>
        <w:t xml:space="preserve">base periods for the third HFC quota allocation period and all subsequent HFC quota allocation periods </w:t>
      </w:r>
      <w:r>
        <w:rPr>
          <w:color w:val="000000"/>
          <w:szCs w:val="24"/>
        </w:rPr>
        <w:t>are</w:t>
      </w:r>
      <w:r w:rsidR="00D0611B">
        <w:rPr>
          <w:color w:val="000000"/>
          <w:szCs w:val="24"/>
        </w:rPr>
        <w:t xml:space="preserve"> based on the second year of the HFC quota allocation period before the HFC quota allocation period in which the application for is made (the current period), and the first year of the current period. </w:t>
      </w:r>
      <w:r w:rsidR="00D0611B" w:rsidRPr="00F91885">
        <w:rPr>
          <w:color w:val="000000"/>
          <w:szCs w:val="24"/>
        </w:rPr>
        <w:t xml:space="preserve">For example, the third HFC quota allocation period would start on 1 January 2022. Therefore, the base period for the third HFC quota allocation period would be 1 January 2019 to </w:t>
      </w:r>
      <w:r>
        <w:rPr>
          <w:color w:val="000000"/>
          <w:szCs w:val="24"/>
        </w:rPr>
        <w:br/>
      </w:r>
      <w:r w:rsidR="00D0611B" w:rsidRPr="00F91885">
        <w:rPr>
          <w:color w:val="000000"/>
          <w:szCs w:val="24"/>
        </w:rPr>
        <w:t>31 December 2020.</w:t>
      </w:r>
    </w:p>
    <w:p w14:paraId="31E9E6CF" w14:textId="3E693D95" w:rsidR="003C326A" w:rsidRPr="00F91885" w:rsidRDefault="00261B10" w:rsidP="00534DFC">
      <w:pPr>
        <w:pStyle w:val="ListNumber"/>
        <w:numPr>
          <w:ilvl w:val="0"/>
          <w:numId w:val="8"/>
        </w:numPr>
        <w:spacing w:after="240"/>
        <w:ind w:left="567" w:hanging="567"/>
        <w:rPr>
          <w:color w:val="000000"/>
          <w:szCs w:val="24"/>
        </w:rPr>
      </w:pPr>
      <w:proofErr w:type="spellStart"/>
      <w:r>
        <w:rPr>
          <w:color w:val="000000"/>
          <w:szCs w:val="24"/>
        </w:rPr>
        <w:t>S</w:t>
      </w:r>
      <w:r w:rsidR="003C326A" w:rsidRPr="00F91885">
        <w:rPr>
          <w:color w:val="000000"/>
          <w:szCs w:val="24"/>
        </w:rPr>
        <w:t>ubregulation</w:t>
      </w:r>
      <w:proofErr w:type="spellEnd"/>
      <w:r w:rsidR="003C326A" w:rsidRPr="00F91885">
        <w:rPr>
          <w:color w:val="000000"/>
          <w:szCs w:val="24"/>
        </w:rPr>
        <w:t xml:space="preserve"> 50(1) provide</w:t>
      </w:r>
      <w:r>
        <w:rPr>
          <w:color w:val="000000"/>
          <w:szCs w:val="24"/>
        </w:rPr>
        <w:t>s</w:t>
      </w:r>
      <w:r w:rsidR="003C326A" w:rsidRPr="00F91885">
        <w:rPr>
          <w:color w:val="000000"/>
          <w:szCs w:val="24"/>
        </w:rPr>
        <w:t xml:space="preserve"> for entitlement to and the calculation of grandfathered quota allocations in the third and subsequent quota allocation periods. </w:t>
      </w:r>
      <w:r w:rsidR="00CF19E5" w:rsidRPr="00F91885">
        <w:rPr>
          <w:color w:val="000000"/>
          <w:szCs w:val="24"/>
        </w:rPr>
        <w:t xml:space="preserve">A person </w:t>
      </w:r>
      <w:r w:rsidR="00F40B3F">
        <w:rPr>
          <w:color w:val="000000"/>
          <w:szCs w:val="24"/>
        </w:rPr>
        <w:t>is</w:t>
      </w:r>
      <w:r w:rsidR="00CF19E5" w:rsidRPr="00F91885">
        <w:rPr>
          <w:color w:val="000000"/>
          <w:szCs w:val="24"/>
        </w:rPr>
        <w:t xml:space="preserve"> entitled to a quota allocation in a HFC quota allocation period if the person applied in accordance with regulation 44, they held a SGG licence that covered the whole of the HFC quota allocation period, </w:t>
      </w:r>
      <w:r w:rsidR="004C2066" w:rsidRPr="00F91885">
        <w:rPr>
          <w:color w:val="000000"/>
          <w:szCs w:val="24"/>
        </w:rPr>
        <w:t>and grandfathered</w:t>
      </w:r>
      <w:r w:rsidR="00CF19E5" w:rsidRPr="00F91885">
        <w:rPr>
          <w:color w:val="000000"/>
          <w:szCs w:val="24"/>
        </w:rPr>
        <w:t xml:space="preserve"> HFC quota was allocated to the person in the previous HFC quota allocation period.  </w:t>
      </w:r>
    </w:p>
    <w:p w14:paraId="72944F3B" w14:textId="25D808C0" w:rsidR="00F91885" w:rsidRPr="00F91885" w:rsidRDefault="00F40B3F" w:rsidP="00534DFC">
      <w:pPr>
        <w:pStyle w:val="ListNumber"/>
        <w:numPr>
          <w:ilvl w:val="0"/>
          <w:numId w:val="8"/>
        </w:numPr>
        <w:spacing w:after="240"/>
        <w:ind w:left="567" w:hanging="567"/>
        <w:rPr>
          <w:szCs w:val="24"/>
        </w:rPr>
      </w:pPr>
      <w:proofErr w:type="spellStart"/>
      <w:r>
        <w:rPr>
          <w:color w:val="000000"/>
          <w:szCs w:val="24"/>
        </w:rPr>
        <w:t>S</w:t>
      </w:r>
      <w:r w:rsidR="00CF19E5" w:rsidRPr="00F91885">
        <w:rPr>
          <w:color w:val="000000"/>
          <w:szCs w:val="24"/>
        </w:rPr>
        <w:t>ubregulation</w:t>
      </w:r>
      <w:proofErr w:type="spellEnd"/>
      <w:r w:rsidR="00CF19E5" w:rsidRPr="00F91885">
        <w:rPr>
          <w:color w:val="000000"/>
          <w:szCs w:val="24"/>
        </w:rPr>
        <w:t xml:space="preserve"> 50(2) provide</w:t>
      </w:r>
      <w:r>
        <w:rPr>
          <w:color w:val="000000"/>
          <w:szCs w:val="24"/>
        </w:rPr>
        <w:t>s</w:t>
      </w:r>
      <w:r w:rsidR="00CF19E5" w:rsidRPr="00F91885">
        <w:rPr>
          <w:color w:val="000000"/>
          <w:szCs w:val="24"/>
        </w:rPr>
        <w:t xml:space="preserve"> the formula for calculating the amount of grandfathered quota to which a person is entitled in the third HFC quota allocation period or any subsequent HFC quota allocation period. </w:t>
      </w:r>
    </w:p>
    <w:p w14:paraId="6A10ED04" w14:textId="7E201A68" w:rsidR="002F78A2" w:rsidRPr="00F91885" w:rsidRDefault="00A17B6F" w:rsidP="00534DFC">
      <w:pPr>
        <w:pStyle w:val="ListNumber"/>
        <w:numPr>
          <w:ilvl w:val="0"/>
          <w:numId w:val="8"/>
        </w:numPr>
        <w:spacing w:after="240"/>
        <w:ind w:left="567" w:hanging="567"/>
        <w:rPr>
          <w:szCs w:val="24"/>
        </w:rPr>
      </w:pPr>
      <w:r w:rsidRPr="00F91885">
        <w:rPr>
          <w:szCs w:val="24"/>
        </w:rPr>
        <w:t xml:space="preserve">The base period </w:t>
      </w:r>
      <w:r w:rsidR="00F40B3F">
        <w:rPr>
          <w:szCs w:val="24"/>
        </w:rPr>
        <w:t>is</w:t>
      </w:r>
      <w:r w:rsidRPr="00F91885">
        <w:rPr>
          <w:szCs w:val="24"/>
        </w:rPr>
        <w:t xml:space="preserve"> used for calculating the </w:t>
      </w:r>
      <w:r w:rsidRPr="00F91885">
        <w:rPr>
          <w:i/>
          <w:szCs w:val="24"/>
        </w:rPr>
        <w:t xml:space="preserve">amount of </w:t>
      </w:r>
      <w:r w:rsidR="000F1E0F" w:rsidRPr="00F91885">
        <w:rPr>
          <w:i/>
          <w:szCs w:val="24"/>
        </w:rPr>
        <w:t>licensed</w:t>
      </w:r>
      <w:r w:rsidRPr="00F91885">
        <w:rPr>
          <w:i/>
          <w:szCs w:val="24"/>
        </w:rPr>
        <w:t xml:space="preserve"> activities</w:t>
      </w:r>
      <w:r w:rsidRPr="00F91885">
        <w:rPr>
          <w:szCs w:val="24"/>
        </w:rPr>
        <w:t xml:space="preserve"> for the </w:t>
      </w:r>
      <w:r w:rsidRPr="00843C93">
        <w:rPr>
          <w:color w:val="000000"/>
          <w:szCs w:val="24"/>
        </w:rPr>
        <w:t>purposes</w:t>
      </w:r>
      <w:r w:rsidRPr="00F91885">
        <w:rPr>
          <w:szCs w:val="24"/>
        </w:rPr>
        <w:t xml:space="preserve"> of the formula in </w:t>
      </w:r>
      <w:proofErr w:type="spellStart"/>
      <w:r w:rsidRPr="00F91885">
        <w:rPr>
          <w:szCs w:val="24"/>
        </w:rPr>
        <w:t>subregulation</w:t>
      </w:r>
      <w:proofErr w:type="spellEnd"/>
      <w:r w:rsidRPr="00F91885">
        <w:rPr>
          <w:szCs w:val="24"/>
        </w:rPr>
        <w:t xml:space="preserve"> 50(2). Similarly to </w:t>
      </w:r>
      <w:r w:rsidR="00F40B3F">
        <w:rPr>
          <w:szCs w:val="24"/>
        </w:rPr>
        <w:t>r</w:t>
      </w:r>
      <w:r w:rsidRPr="00F91885">
        <w:rPr>
          <w:szCs w:val="24"/>
        </w:rPr>
        <w:t xml:space="preserve">egulation 49, the amount of </w:t>
      </w:r>
      <w:r w:rsidR="000F1E0F" w:rsidRPr="00F91885">
        <w:rPr>
          <w:szCs w:val="24"/>
        </w:rPr>
        <w:t>licensed</w:t>
      </w:r>
      <w:r w:rsidRPr="00F91885">
        <w:rPr>
          <w:szCs w:val="24"/>
        </w:rPr>
        <w:t xml:space="preserve"> activities </w:t>
      </w:r>
      <w:r w:rsidR="00F40B3F">
        <w:rPr>
          <w:szCs w:val="24"/>
        </w:rPr>
        <w:t>is</w:t>
      </w:r>
      <w:r w:rsidRPr="00F91885">
        <w:rPr>
          <w:szCs w:val="24"/>
        </w:rPr>
        <w:t xml:space="preserve"> based on total quantities of HFCs involved in </w:t>
      </w:r>
      <w:r w:rsidR="000F1E0F" w:rsidRPr="00F91885">
        <w:rPr>
          <w:szCs w:val="24"/>
        </w:rPr>
        <w:t>licensed</w:t>
      </w:r>
      <w:r w:rsidRPr="00F91885">
        <w:rPr>
          <w:szCs w:val="24"/>
        </w:rPr>
        <w:t xml:space="preserve"> regulated HFC activities engaged in by the person during the base period, or the amount of grandfathered quota allocated to the person for the base period, whichever is the lesser.</w:t>
      </w:r>
    </w:p>
    <w:p w14:paraId="0C381268" w14:textId="77777777" w:rsidR="003245E4" w:rsidRDefault="003245E4" w:rsidP="00815601">
      <w:pPr>
        <w:rPr>
          <w:rFonts w:ascii="Times New Roman" w:hAnsi="Times New Roman"/>
          <w:i/>
          <w:sz w:val="24"/>
          <w:szCs w:val="24"/>
        </w:rPr>
      </w:pPr>
      <w:r>
        <w:rPr>
          <w:rFonts w:ascii="Times New Roman" w:hAnsi="Times New Roman"/>
          <w:i/>
          <w:sz w:val="24"/>
          <w:szCs w:val="24"/>
        </w:rPr>
        <w:t>Non-grandfathered quota</w:t>
      </w:r>
    </w:p>
    <w:p w14:paraId="5E26D4FB" w14:textId="77777777" w:rsidR="003245E4" w:rsidRDefault="003245E4" w:rsidP="00815601">
      <w:pPr>
        <w:rPr>
          <w:rFonts w:ascii="Times New Roman" w:hAnsi="Times New Roman"/>
          <w:i/>
          <w:sz w:val="24"/>
          <w:szCs w:val="24"/>
        </w:rPr>
      </w:pPr>
    </w:p>
    <w:p w14:paraId="12C579AD" w14:textId="3315B590" w:rsidR="00491694" w:rsidRPr="000D1163" w:rsidRDefault="00F40B3F" w:rsidP="00534DFC">
      <w:pPr>
        <w:pStyle w:val="ListNumber"/>
        <w:numPr>
          <w:ilvl w:val="0"/>
          <w:numId w:val="8"/>
        </w:numPr>
        <w:spacing w:after="240"/>
        <w:ind w:left="567" w:hanging="567"/>
        <w:rPr>
          <w:color w:val="000000"/>
          <w:szCs w:val="24"/>
        </w:rPr>
      </w:pPr>
      <w:r>
        <w:rPr>
          <w:color w:val="000000"/>
          <w:szCs w:val="24"/>
        </w:rPr>
        <w:t>R</w:t>
      </w:r>
      <w:r w:rsidR="00491694" w:rsidRPr="000D1163">
        <w:rPr>
          <w:color w:val="000000"/>
          <w:szCs w:val="24"/>
        </w:rPr>
        <w:t>egulation 51 provide</w:t>
      </w:r>
      <w:r>
        <w:rPr>
          <w:color w:val="000000"/>
          <w:szCs w:val="24"/>
        </w:rPr>
        <w:t>s</w:t>
      </w:r>
      <w:r w:rsidR="00491694" w:rsidRPr="000D1163">
        <w:rPr>
          <w:color w:val="000000"/>
          <w:szCs w:val="24"/>
        </w:rPr>
        <w:t xml:space="preserve"> for entitlement to, and allocation of, non-grandfathered quota. </w:t>
      </w:r>
    </w:p>
    <w:p w14:paraId="053C208F" w14:textId="286D96F6" w:rsidR="00491694" w:rsidRPr="00F91885" w:rsidRDefault="00F40B3F" w:rsidP="00534DFC">
      <w:pPr>
        <w:pStyle w:val="ListNumber"/>
        <w:numPr>
          <w:ilvl w:val="0"/>
          <w:numId w:val="8"/>
        </w:numPr>
        <w:spacing w:after="240"/>
        <w:ind w:left="567" w:hanging="567"/>
        <w:rPr>
          <w:color w:val="000000"/>
          <w:szCs w:val="24"/>
        </w:rPr>
      </w:pPr>
      <w:proofErr w:type="spellStart"/>
      <w:r>
        <w:rPr>
          <w:color w:val="000000"/>
          <w:szCs w:val="24"/>
        </w:rPr>
        <w:t>S</w:t>
      </w:r>
      <w:r w:rsidR="00491694" w:rsidRPr="00F91885">
        <w:rPr>
          <w:color w:val="000000"/>
          <w:szCs w:val="24"/>
        </w:rPr>
        <w:t>ubregulation</w:t>
      </w:r>
      <w:proofErr w:type="spellEnd"/>
      <w:r w:rsidR="00491694" w:rsidRPr="00F91885">
        <w:rPr>
          <w:color w:val="000000"/>
          <w:szCs w:val="24"/>
        </w:rPr>
        <w:t xml:space="preserve"> 51(1) provide</w:t>
      </w:r>
      <w:r>
        <w:rPr>
          <w:color w:val="000000"/>
          <w:szCs w:val="24"/>
        </w:rPr>
        <w:t>s</w:t>
      </w:r>
      <w:r w:rsidR="00491694" w:rsidRPr="00F91885">
        <w:rPr>
          <w:color w:val="000000"/>
          <w:szCs w:val="24"/>
        </w:rPr>
        <w:t xml:space="preserve"> that a person </w:t>
      </w:r>
      <w:r>
        <w:rPr>
          <w:color w:val="000000"/>
          <w:szCs w:val="24"/>
        </w:rPr>
        <w:t>is</w:t>
      </w:r>
      <w:r w:rsidR="00491694" w:rsidRPr="00F91885">
        <w:rPr>
          <w:color w:val="000000"/>
          <w:szCs w:val="24"/>
        </w:rPr>
        <w:t xml:space="preserve"> entitled to an amount of non-grandfathered quota if the person applies in accordance with regulation 44, the application states that the person wishes to be allocated non-grandfathered quota (in accordance with </w:t>
      </w:r>
      <w:r>
        <w:rPr>
          <w:color w:val="000000"/>
          <w:szCs w:val="24"/>
        </w:rPr>
        <w:br/>
      </w:r>
      <w:r w:rsidR="00491694" w:rsidRPr="00F91885">
        <w:rPr>
          <w:color w:val="000000"/>
          <w:szCs w:val="24"/>
        </w:rPr>
        <w:t xml:space="preserve">paragraph 44(2)(d)), the person holds a SGG licence that covers the whole of the HFC quota allocation period, a determination under </w:t>
      </w:r>
      <w:proofErr w:type="spellStart"/>
      <w:r w:rsidR="00491694" w:rsidRPr="00F91885">
        <w:rPr>
          <w:color w:val="000000"/>
          <w:szCs w:val="24"/>
        </w:rPr>
        <w:t>subregulation</w:t>
      </w:r>
      <w:proofErr w:type="spellEnd"/>
      <w:r w:rsidR="00491694" w:rsidRPr="00F91885">
        <w:rPr>
          <w:color w:val="000000"/>
          <w:szCs w:val="24"/>
        </w:rPr>
        <w:t xml:space="preserve"> 51(4) is in force in relation to the period, and the person meets the re</w:t>
      </w:r>
      <w:r w:rsidR="00AE0765" w:rsidRPr="00F91885">
        <w:rPr>
          <w:color w:val="000000"/>
          <w:szCs w:val="24"/>
        </w:rPr>
        <w:t>quirements prescribed by the</w:t>
      </w:r>
      <w:r w:rsidR="00491694" w:rsidRPr="00F91885">
        <w:rPr>
          <w:color w:val="000000"/>
          <w:szCs w:val="24"/>
        </w:rPr>
        <w:t xml:space="preserve"> determination in relation to the year. </w:t>
      </w:r>
    </w:p>
    <w:p w14:paraId="647E03F4" w14:textId="666C5072" w:rsidR="00491694" w:rsidRPr="00F91885" w:rsidRDefault="00F40B3F" w:rsidP="00534DFC">
      <w:pPr>
        <w:pStyle w:val="ListNumber"/>
        <w:numPr>
          <w:ilvl w:val="0"/>
          <w:numId w:val="8"/>
        </w:numPr>
        <w:spacing w:after="240"/>
        <w:ind w:left="567" w:hanging="567"/>
        <w:rPr>
          <w:color w:val="000000"/>
          <w:szCs w:val="24"/>
        </w:rPr>
      </w:pPr>
      <w:proofErr w:type="spellStart"/>
      <w:r>
        <w:rPr>
          <w:color w:val="000000"/>
          <w:szCs w:val="24"/>
        </w:rPr>
        <w:lastRenderedPageBreak/>
        <w:t>S</w:t>
      </w:r>
      <w:r w:rsidR="00DA4EFB" w:rsidRPr="00F91885">
        <w:rPr>
          <w:color w:val="000000"/>
          <w:szCs w:val="24"/>
        </w:rPr>
        <w:t>ubregulation</w:t>
      </w:r>
      <w:proofErr w:type="spellEnd"/>
      <w:r w:rsidR="00DA4EFB" w:rsidRPr="00F91885">
        <w:rPr>
          <w:color w:val="000000"/>
          <w:szCs w:val="24"/>
        </w:rPr>
        <w:t xml:space="preserve"> 51(2) provide</w:t>
      </w:r>
      <w:r>
        <w:rPr>
          <w:color w:val="000000"/>
          <w:szCs w:val="24"/>
        </w:rPr>
        <w:t>s</w:t>
      </w:r>
      <w:r w:rsidR="00DA4EFB" w:rsidRPr="00F91885">
        <w:rPr>
          <w:color w:val="000000"/>
          <w:szCs w:val="24"/>
        </w:rPr>
        <w:t xml:space="preserve"> that the amount of non-grandfathered quota to which a person is entitled for a calendar year in an HFC quota allocation period is the amount worked out under a determination under </w:t>
      </w:r>
      <w:proofErr w:type="spellStart"/>
      <w:r w:rsidR="00DA4EFB" w:rsidRPr="00F91885">
        <w:rPr>
          <w:color w:val="000000"/>
          <w:szCs w:val="24"/>
        </w:rPr>
        <w:t>subregulation</w:t>
      </w:r>
      <w:proofErr w:type="spellEnd"/>
      <w:r w:rsidR="00DA4EFB" w:rsidRPr="00F91885">
        <w:rPr>
          <w:color w:val="000000"/>
          <w:szCs w:val="24"/>
        </w:rPr>
        <w:t xml:space="preserve"> 51(4).</w:t>
      </w:r>
    </w:p>
    <w:p w14:paraId="7FBC48EB" w14:textId="054F2F37" w:rsidR="00DA4EFB" w:rsidRPr="00F91885" w:rsidRDefault="00F40B3F" w:rsidP="00534DFC">
      <w:pPr>
        <w:pStyle w:val="ListNumber"/>
        <w:numPr>
          <w:ilvl w:val="0"/>
          <w:numId w:val="8"/>
        </w:numPr>
        <w:spacing w:after="240"/>
        <w:ind w:left="567" w:hanging="567"/>
        <w:rPr>
          <w:color w:val="000000"/>
          <w:szCs w:val="24"/>
        </w:rPr>
      </w:pPr>
      <w:proofErr w:type="spellStart"/>
      <w:r>
        <w:rPr>
          <w:color w:val="000000"/>
          <w:szCs w:val="24"/>
        </w:rPr>
        <w:t>S</w:t>
      </w:r>
      <w:r w:rsidR="00DA4EFB" w:rsidRPr="00F91885">
        <w:rPr>
          <w:color w:val="000000"/>
          <w:szCs w:val="24"/>
        </w:rPr>
        <w:t>ubregulation</w:t>
      </w:r>
      <w:proofErr w:type="spellEnd"/>
      <w:r w:rsidR="00DA4EFB" w:rsidRPr="00F91885">
        <w:rPr>
          <w:color w:val="000000"/>
          <w:szCs w:val="24"/>
        </w:rPr>
        <w:t xml:space="preserve"> 5</w:t>
      </w:r>
      <w:r w:rsidR="006416C8" w:rsidRPr="00F91885">
        <w:rPr>
          <w:color w:val="000000"/>
          <w:szCs w:val="24"/>
        </w:rPr>
        <w:t>1(</w:t>
      </w:r>
      <w:r w:rsidR="00DA4EFB" w:rsidRPr="00F91885">
        <w:rPr>
          <w:color w:val="000000"/>
          <w:szCs w:val="24"/>
        </w:rPr>
        <w:t>3) provide</w:t>
      </w:r>
      <w:r>
        <w:rPr>
          <w:color w:val="000000"/>
          <w:szCs w:val="24"/>
        </w:rPr>
        <w:t>s</w:t>
      </w:r>
      <w:r w:rsidR="00DA4EFB" w:rsidRPr="00F91885">
        <w:rPr>
          <w:color w:val="000000"/>
          <w:szCs w:val="24"/>
        </w:rPr>
        <w:t xml:space="preserve"> that the sum of all the amounts of non-grandfathered quota to which persons are entitled for a calendar year in an HFC quota allocation period must not exceed the amount resulting from applying the formula included in that </w:t>
      </w:r>
      <w:proofErr w:type="spellStart"/>
      <w:r w:rsidR="001D28E7" w:rsidRPr="00F91885">
        <w:rPr>
          <w:color w:val="000000"/>
          <w:szCs w:val="24"/>
        </w:rPr>
        <w:t>subregulation</w:t>
      </w:r>
      <w:proofErr w:type="spellEnd"/>
      <w:r w:rsidR="00DA4EFB" w:rsidRPr="00F91885">
        <w:rPr>
          <w:color w:val="000000"/>
          <w:szCs w:val="24"/>
        </w:rPr>
        <w:t xml:space="preserve">. This would effectively ensure that </w:t>
      </w:r>
      <w:r w:rsidR="00C3528B" w:rsidRPr="00F91885">
        <w:rPr>
          <w:color w:val="000000"/>
          <w:szCs w:val="24"/>
        </w:rPr>
        <w:t xml:space="preserve">total </w:t>
      </w:r>
      <w:r w:rsidR="00DA4EFB" w:rsidRPr="00F91885">
        <w:rPr>
          <w:color w:val="000000"/>
          <w:szCs w:val="24"/>
        </w:rPr>
        <w:t xml:space="preserve">non-grandfathered quota allocations </w:t>
      </w:r>
      <w:r w:rsidR="00C3528B" w:rsidRPr="00F91885">
        <w:rPr>
          <w:color w:val="000000"/>
          <w:szCs w:val="24"/>
        </w:rPr>
        <w:t xml:space="preserve">for a calendar year could not exceed the non-grandfathered percentage (specified in </w:t>
      </w:r>
      <w:r w:rsidR="007B5D8D" w:rsidRPr="00F91885">
        <w:rPr>
          <w:color w:val="000000"/>
          <w:szCs w:val="24"/>
        </w:rPr>
        <w:t xml:space="preserve">the table to </w:t>
      </w:r>
      <w:r w:rsidR="00C3528B" w:rsidRPr="00F91885">
        <w:rPr>
          <w:color w:val="000000"/>
          <w:szCs w:val="24"/>
        </w:rPr>
        <w:t xml:space="preserve">regulation 46) of the HFC industry limit (specified in </w:t>
      </w:r>
      <w:r w:rsidR="007B5D8D" w:rsidRPr="00F91885">
        <w:rPr>
          <w:color w:val="000000"/>
          <w:szCs w:val="24"/>
        </w:rPr>
        <w:t xml:space="preserve">the table to </w:t>
      </w:r>
      <w:r w:rsidR="00C3528B" w:rsidRPr="00F91885">
        <w:rPr>
          <w:color w:val="000000"/>
          <w:szCs w:val="24"/>
        </w:rPr>
        <w:t xml:space="preserve">regulation 42) for the relevant calendar year of </w:t>
      </w:r>
      <w:r w:rsidR="000311D7" w:rsidRPr="00F91885">
        <w:rPr>
          <w:color w:val="000000"/>
          <w:szCs w:val="24"/>
        </w:rPr>
        <w:t xml:space="preserve">an </w:t>
      </w:r>
      <w:r w:rsidR="00C3528B" w:rsidRPr="00F91885">
        <w:rPr>
          <w:color w:val="000000"/>
          <w:szCs w:val="24"/>
        </w:rPr>
        <w:t xml:space="preserve">HFC allocation period. </w:t>
      </w:r>
      <w:r w:rsidR="00DA4EFB" w:rsidRPr="00F91885">
        <w:rPr>
          <w:color w:val="000000"/>
          <w:szCs w:val="24"/>
        </w:rPr>
        <w:t xml:space="preserve"> </w:t>
      </w:r>
    </w:p>
    <w:p w14:paraId="27E45B1E" w14:textId="68A28762" w:rsidR="00491694" w:rsidRPr="00F91885" w:rsidRDefault="00F40B3F" w:rsidP="00534DFC">
      <w:pPr>
        <w:pStyle w:val="ListNumber"/>
        <w:numPr>
          <w:ilvl w:val="0"/>
          <w:numId w:val="8"/>
        </w:numPr>
        <w:spacing w:after="240"/>
        <w:ind w:left="567" w:hanging="567"/>
        <w:rPr>
          <w:color w:val="000000"/>
          <w:szCs w:val="24"/>
        </w:rPr>
      </w:pPr>
      <w:proofErr w:type="spellStart"/>
      <w:r>
        <w:rPr>
          <w:color w:val="000000"/>
          <w:szCs w:val="24"/>
        </w:rPr>
        <w:t>S</w:t>
      </w:r>
      <w:r w:rsidR="00DA4EFB" w:rsidRPr="00F91885">
        <w:rPr>
          <w:color w:val="000000"/>
          <w:szCs w:val="24"/>
        </w:rPr>
        <w:t>ubregulation</w:t>
      </w:r>
      <w:proofErr w:type="spellEnd"/>
      <w:r w:rsidR="00D46C08" w:rsidRPr="00F91885">
        <w:rPr>
          <w:color w:val="000000"/>
          <w:szCs w:val="24"/>
        </w:rPr>
        <w:t xml:space="preserve"> 51(4) provides that the Minister may, by legislative instrument, </w:t>
      </w:r>
      <w:r w:rsidR="00DA4EFB" w:rsidRPr="00F91885">
        <w:rPr>
          <w:color w:val="000000"/>
          <w:szCs w:val="24"/>
        </w:rPr>
        <w:t xml:space="preserve">determine requirements for a person to be entitled to an amount of non-grandfathered quota, and the amount, or method for working out the amount, of non-grandfathered quota to which a person is entitled for each of the years in an HFC quota allocation period. </w:t>
      </w:r>
      <w:r w:rsidR="007B5D8D" w:rsidRPr="00F91885">
        <w:rPr>
          <w:color w:val="000000"/>
          <w:szCs w:val="24"/>
        </w:rPr>
        <w:t>In making a determination, the Minister must have regard to Australia’s international obligations, and the policies of the Commonwealth Government in relation to the manufacture, importation, or consumption of scheduled substances (paragraph 51(5)(a)</w:t>
      </w:r>
      <w:r w:rsidR="006416C8" w:rsidRPr="00F91885">
        <w:rPr>
          <w:color w:val="000000"/>
          <w:szCs w:val="24"/>
        </w:rPr>
        <w:t>)</w:t>
      </w:r>
      <w:r w:rsidR="007B5D8D" w:rsidRPr="00F91885">
        <w:rPr>
          <w:color w:val="000000"/>
          <w:szCs w:val="24"/>
        </w:rPr>
        <w:t xml:space="preserve"> and any other matters the Minister thinks relevant (paragraph 51(5)(b)).</w:t>
      </w:r>
    </w:p>
    <w:p w14:paraId="4E0CBCDB" w14:textId="77777777" w:rsidR="0098750B" w:rsidRPr="00F91885" w:rsidRDefault="00AB36F7" w:rsidP="00534DFC">
      <w:pPr>
        <w:pStyle w:val="ListNumber"/>
        <w:numPr>
          <w:ilvl w:val="0"/>
          <w:numId w:val="8"/>
        </w:numPr>
        <w:spacing w:after="240"/>
        <w:ind w:left="567" w:hanging="567"/>
        <w:rPr>
          <w:color w:val="000000"/>
          <w:szCs w:val="24"/>
        </w:rPr>
      </w:pPr>
      <w:r w:rsidRPr="00F91885">
        <w:rPr>
          <w:color w:val="000000"/>
          <w:szCs w:val="24"/>
        </w:rPr>
        <w:t>The use of a legislative instrument to set the rules for non-grandfathered quota</w:t>
      </w:r>
      <w:r w:rsidR="008463FF" w:rsidRPr="00F91885">
        <w:rPr>
          <w:color w:val="000000"/>
          <w:szCs w:val="24"/>
        </w:rPr>
        <w:t xml:space="preserve"> for every quota allocation period individually</w:t>
      </w:r>
      <w:r w:rsidRPr="00F91885">
        <w:rPr>
          <w:color w:val="000000"/>
          <w:szCs w:val="24"/>
        </w:rPr>
        <w:t xml:space="preserve"> is necessary as </w:t>
      </w:r>
      <w:r w:rsidR="008463FF" w:rsidRPr="00F91885">
        <w:rPr>
          <w:color w:val="000000"/>
          <w:szCs w:val="24"/>
        </w:rPr>
        <w:t xml:space="preserve">those interested in non-grandfathered quota and </w:t>
      </w:r>
      <w:r w:rsidRPr="00F91885">
        <w:rPr>
          <w:color w:val="000000"/>
          <w:szCs w:val="24"/>
        </w:rPr>
        <w:t>the quota packages and amounts may change</w:t>
      </w:r>
      <w:r w:rsidR="008463FF" w:rsidRPr="00F91885">
        <w:rPr>
          <w:color w:val="000000"/>
          <w:szCs w:val="24"/>
        </w:rPr>
        <w:t xml:space="preserve"> as the HFC phase-down progresses. </w:t>
      </w:r>
      <w:r w:rsidRPr="00F91885">
        <w:rPr>
          <w:color w:val="000000"/>
          <w:szCs w:val="24"/>
        </w:rPr>
        <w:t>The legislative instrument allows the rules for non-grandfathered quota to be set quickly</w:t>
      </w:r>
      <w:r w:rsidR="008463FF" w:rsidRPr="00F91885">
        <w:rPr>
          <w:color w:val="000000"/>
          <w:szCs w:val="24"/>
        </w:rPr>
        <w:t xml:space="preserve"> and appropriately for the market at that point in time. </w:t>
      </w:r>
    </w:p>
    <w:p w14:paraId="27456C51" w14:textId="77777777" w:rsidR="00310C8A" w:rsidRDefault="00310C8A" w:rsidP="00815601">
      <w:pPr>
        <w:rPr>
          <w:rFonts w:ascii="Times New Roman" w:hAnsi="Times New Roman"/>
          <w:i/>
          <w:sz w:val="24"/>
          <w:szCs w:val="24"/>
        </w:rPr>
      </w:pPr>
      <w:r>
        <w:rPr>
          <w:rFonts w:ascii="Times New Roman" w:hAnsi="Times New Roman"/>
          <w:i/>
          <w:sz w:val="24"/>
          <w:szCs w:val="24"/>
        </w:rPr>
        <w:t>Business Succession</w:t>
      </w:r>
    </w:p>
    <w:p w14:paraId="2D593213" w14:textId="77777777" w:rsidR="00310C8A" w:rsidRDefault="00310C8A" w:rsidP="00815601">
      <w:pPr>
        <w:rPr>
          <w:rFonts w:ascii="Times New Roman" w:hAnsi="Times New Roman"/>
          <w:i/>
          <w:sz w:val="24"/>
          <w:szCs w:val="24"/>
        </w:rPr>
      </w:pPr>
    </w:p>
    <w:p w14:paraId="51E2C3CA" w14:textId="6FFFE73A" w:rsidR="00491694" w:rsidRPr="00F91885" w:rsidRDefault="00F40B3F" w:rsidP="00534DFC">
      <w:pPr>
        <w:pStyle w:val="ListNumber"/>
        <w:numPr>
          <w:ilvl w:val="0"/>
          <w:numId w:val="8"/>
        </w:numPr>
        <w:spacing w:after="240"/>
        <w:ind w:left="567" w:hanging="567"/>
        <w:rPr>
          <w:color w:val="000000"/>
          <w:szCs w:val="24"/>
        </w:rPr>
      </w:pPr>
      <w:r>
        <w:rPr>
          <w:color w:val="000000"/>
          <w:szCs w:val="24"/>
        </w:rPr>
        <w:t>R</w:t>
      </w:r>
      <w:r w:rsidR="000528DC" w:rsidRPr="00F91885">
        <w:rPr>
          <w:color w:val="000000"/>
          <w:szCs w:val="24"/>
        </w:rPr>
        <w:t>egulation 52</w:t>
      </w:r>
      <w:r w:rsidR="00310C8A" w:rsidRPr="00F91885">
        <w:rPr>
          <w:color w:val="000000"/>
          <w:szCs w:val="24"/>
        </w:rPr>
        <w:t xml:space="preserve"> (Business succession) determine</w:t>
      </w:r>
      <w:r>
        <w:rPr>
          <w:color w:val="000000"/>
          <w:szCs w:val="24"/>
        </w:rPr>
        <w:t>s</w:t>
      </w:r>
      <w:r w:rsidR="00310C8A" w:rsidRPr="00F91885">
        <w:rPr>
          <w:color w:val="000000"/>
          <w:szCs w:val="24"/>
        </w:rPr>
        <w:t xml:space="preserve"> how </w:t>
      </w:r>
      <w:r w:rsidR="00527C82" w:rsidRPr="00F91885">
        <w:rPr>
          <w:color w:val="000000"/>
          <w:szCs w:val="24"/>
        </w:rPr>
        <w:t xml:space="preserve">the licenced </w:t>
      </w:r>
      <w:r w:rsidR="00310C8A" w:rsidRPr="00F91885">
        <w:rPr>
          <w:color w:val="000000"/>
          <w:szCs w:val="24"/>
        </w:rPr>
        <w:t>regulated HFC activities</w:t>
      </w:r>
      <w:r w:rsidR="00527C82" w:rsidRPr="00F91885">
        <w:rPr>
          <w:color w:val="000000"/>
          <w:szCs w:val="24"/>
        </w:rPr>
        <w:t xml:space="preserve"> or licenced regulated HCFC activities</w:t>
      </w:r>
      <w:r w:rsidR="00310C8A" w:rsidRPr="00F91885">
        <w:rPr>
          <w:color w:val="000000"/>
          <w:szCs w:val="24"/>
        </w:rPr>
        <w:t xml:space="preserve"> of one person </w:t>
      </w:r>
      <w:r w:rsidR="00B2573D" w:rsidRPr="00F91885">
        <w:rPr>
          <w:color w:val="000000"/>
          <w:szCs w:val="24"/>
        </w:rPr>
        <w:t xml:space="preserve">can be attributed to </w:t>
      </w:r>
      <w:r w:rsidR="00310C8A" w:rsidRPr="00F91885">
        <w:rPr>
          <w:color w:val="000000"/>
          <w:szCs w:val="24"/>
        </w:rPr>
        <w:t xml:space="preserve">another </w:t>
      </w:r>
      <w:r w:rsidR="00400F4D" w:rsidRPr="00F91885">
        <w:rPr>
          <w:color w:val="000000"/>
          <w:szCs w:val="24"/>
        </w:rPr>
        <w:t xml:space="preserve">person </w:t>
      </w:r>
      <w:r w:rsidR="00310C8A" w:rsidRPr="00F91885">
        <w:rPr>
          <w:color w:val="000000"/>
          <w:szCs w:val="24"/>
        </w:rPr>
        <w:t xml:space="preserve">for the purposes of allocating </w:t>
      </w:r>
      <w:r w:rsidR="00527C82" w:rsidRPr="00F91885">
        <w:rPr>
          <w:color w:val="000000"/>
          <w:szCs w:val="24"/>
        </w:rPr>
        <w:t>grandfathered</w:t>
      </w:r>
      <w:r w:rsidR="00310C8A" w:rsidRPr="00F91885">
        <w:rPr>
          <w:color w:val="000000"/>
          <w:szCs w:val="24"/>
        </w:rPr>
        <w:t xml:space="preserve"> quota</w:t>
      </w:r>
      <w:r w:rsidR="00527C82" w:rsidRPr="00F91885">
        <w:rPr>
          <w:color w:val="000000"/>
          <w:szCs w:val="24"/>
        </w:rPr>
        <w:t>.</w:t>
      </w:r>
      <w:r w:rsidR="000528DC" w:rsidRPr="00F91885">
        <w:rPr>
          <w:color w:val="000000"/>
          <w:szCs w:val="24"/>
        </w:rPr>
        <w:t xml:space="preserve"> </w:t>
      </w:r>
    </w:p>
    <w:p w14:paraId="55E72DDB" w14:textId="106B3AA8" w:rsidR="00EC7537" w:rsidRPr="00F91885" w:rsidRDefault="00F40B3F" w:rsidP="00534DFC">
      <w:pPr>
        <w:pStyle w:val="ListNumber"/>
        <w:numPr>
          <w:ilvl w:val="0"/>
          <w:numId w:val="8"/>
        </w:numPr>
        <w:spacing w:after="240"/>
        <w:ind w:left="567" w:hanging="567"/>
        <w:rPr>
          <w:color w:val="000000"/>
          <w:szCs w:val="24"/>
        </w:rPr>
      </w:pPr>
      <w:proofErr w:type="spellStart"/>
      <w:r>
        <w:rPr>
          <w:color w:val="000000"/>
          <w:szCs w:val="24"/>
        </w:rPr>
        <w:t>S</w:t>
      </w:r>
      <w:r w:rsidR="00EC7537" w:rsidRPr="00F91885">
        <w:rPr>
          <w:color w:val="000000"/>
          <w:szCs w:val="24"/>
        </w:rPr>
        <w:t>ubregulation</w:t>
      </w:r>
      <w:proofErr w:type="spellEnd"/>
      <w:r w:rsidR="00EC7537" w:rsidRPr="00F91885">
        <w:rPr>
          <w:color w:val="000000"/>
          <w:szCs w:val="24"/>
        </w:rPr>
        <w:t xml:space="preserve"> 52(1) </w:t>
      </w:r>
      <w:r>
        <w:rPr>
          <w:color w:val="000000"/>
          <w:szCs w:val="24"/>
        </w:rPr>
        <w:t>applies</w:t>
      </w:r>
      <w:r w:rsidR="00EC7537" w:rsidRPr="00F91885">
        <w:rPr>
          <w:color w:val="000000"/>
          <w:szCs w:val="24"/>
        </w:rPr>
        <w:t xml:space="preserve"> where a person (the first person) engaged in licensed regulated HCFC activity during 2009 to 2014 (the base period for the first HFC quota allocation period) and so was entitled to grandfathered quota in the first HFC quota allocation period as a result.  Under </w:t>
      </w:r>
      <w:proofErr w:type="spellStart"/>
      <w:r w:rsidR="00EC7537" w:rsidRPr="00F91885">
        <w:rPr>
          <w:color w:val="000000"/>
          <w:szCs w:val="24"/>
        </w:rPr>
        <w:t>subregulation</w:t>
      </w:r>
      <w:proofErr w:type="spellEnd"/>
      <w:r w:rsidR="00EC7537" w:rsidRPr="00F91885">
        <w:rPr>
          <w:color w:val="000000"/>
          <w:szCs w:val="24"/>
        </w:rPr>
        <w:t xml:space="preserve"> 52(1), the first person could request that the activity be taken to have been engaged in by another specified person (the second person) and that all or part of an HCFC quota allocated to the first person be taken to have been allocated to the second person.  This provision would effectively allow a person who is entitled to grandfathered quota in the first HFC quota allocation period to transfer some or all of that quota allocation to another person. This provision </w:t>
      </w:r>
      <w:r>
        <w:rPr>
          <w:color w:val="000000"/>
          <w:szCs w:val="24"/>
        </w:rPr>
        <w:t>is</w:t>
      </w:r>
      <w:r w:rsidR="00EC7537" w:rsidRPr="00F91885">
        <w:rPr>
          <w:color w:val="000000"/>
          <w:szCs w:val="24"/>
        </w:rPr>
        <w:t xml:space="preserve"> only relevant to the first HFC quota allocation period, as licensed regulated HCFC activity is not used in determining grandfathered quota allocations in the second HFC quota allocation period or any subsequent HFC quota allocation period. </w:t>
      </w:r>
    </w:p>
    <w:p w14:paraId="14166677" w14:textId="1CEA6D5B" w:rsidR="000528DC" w:rsidRPr="00F91885" w:rsidRDefault="00F40B3F" w:rsidP="00534DFC">
      <w:pPr>
        <w:pStyle w:val="ListNumber"/>
        <w:numPr>
          <w:ilvl w:val="0"/>
          <w:numId w:val="8"/>
        </w:numPr>
        <w:spacing w:after="240"/>
        <w:ind w:left="567" w:hanging="567"/>
        <w:rPr>
          <w:color w:val="000000"/>
          <w:szCs w:val="24"/>
        </w:rPr>
      </w:pPr>
      <w:proofErr w:type="spellStart"/>
      <w:r>
        <w:rPr>
          <w:color w:val="000000"/>
          <w:szCs w:val="24"/>
        </w:rPr>
        <w:t>S</w:t>
      </w:r>
      <w:r w:rsidR="000738A6" w:rsidRPr="00F91885">
        <w:rPr>
          <w:color w:val="000000"/>
          <w:szCs w:val="24"/>
        </w:rPr>
        <w:t>ubregulation</w:t>
      </w:r>
      <w:proofErr w:type="spellEnd"/>
      <w:r w:rsidR="00400F4D" w:rsidRPr="00F91885">
        <w:rPr>
          <w:color w:val="000000"/>
          <w:szCs w:val="24"/>
        </w:rPr>
        <w:t xml:space="preserve"> 52(</w:t>
      </w:r>
      <w:r w:rsidR="00EC7537" w:rsidRPr="00F91885">
        <w:rPr>
          <w:color w:val="000000"/>
          <w:szCs w:val="24"/>
        </w:rPr>
        <w:t>2</w:t>
      </w:r>
      <w:r w:rsidR="00400F4D" w:rsidRPr="00F91885">
        <w:rPr>
          <w:color w:val="000000"/>
          <w:szCs w:val="24"/>
        </w:rPr>
        <w:t xml:space="preserve">) </w:t>
      </w:r>
      <w:r>
        <w:rPr>
          <w:color w:val="000000"/>
          <w:szCs w:val="24"/>
        </w:rPr>
        <w:t>applies</w:t>
      </w:r>
      <w:r w:rsidR="00400F4D" w:rsidRPr="00F91885">
        <w:rPr>
          <w:color w:val="000000"/>
          <w:szCs w:val="24"/>
        </w:rPr>
        <w:t xml:space="preserve"> where</w:t>
      </w:r>
      <w:r w:rsidR="000528DC" w:rsidRPr="00F91885">
        <w:rPr>
          <w:color w:val="000000"/>
          <w:szCs w:val="24"/>
        </w:rPr>
        <w:t xml:space="preserve"> a person</w:t>
      </w:r>
      <w:r w:rsidR="00400F4D" w:rsidRPr="00F91885">
        <w:rPr>
          <w:color w:val="000000"/>
          <w:szCs w:val="24"/>
        </w:rPr>
        <w:t xml:space="preserve"> (the first person)</w:t>
      </w:r>
      <w:r w:rsidR="000528DC" w:rsidRPr="00F91885">
        <w:rPr>
          <w:color w:val="000000"/>
          <w:szCs w:val="24"/>
        </w:rPr>
        <w:t xml:space="preserve"> engaged in licensed regulated HFC activity during the base period for an HFC quota allocation </w:t>
      </w:r>
      <w:r w:rsidR="00400F4D" w:rsidRPr="00F91885">
        <w:rPr>
          <w:color w:val="000000"/>
          <w:szCs w:val="24"/>
        </w:rPr>
        <w:t xml:space="preserve">period and so is entitled to grandfathered quota as a result. Under </w:t>
      </w:r>
      <w:proofErr w:type="spellStart"/>
      <w:r w:rsidR="00400F4D" w:rsidRPr="00F91885">
        <w:rPr>
          <w:color w:val="000000"/>
          <w:szCs w:val="24"/>
        </w:rPr>
        <w:t>subregulation</w:t>
      </w:r>
      <w:proofErr w:type="spellEnd"/>
      <w:r w:rsidR="00400F4D" w:rsidRPr="00F91885">
        <w:rPr>
          <w:color w:val="000000"/>
          <w:szCs w:val="24"/>
        </w:rPr>
        <w:t xml:space="preserve"> 52(</w:t>
      </w:r>
      <w:r w:rsidR="00EC7537" w:rsidRPr="00F91885">
        <w:rPr>
          <w:color w:val="000000"/>
          <w:szCs w:val="24"/>
        </w:rPr>
        <w:t>2</w:t>
      </w:r>
      <w:r w:rsidR="00400F4D" w:rsidRPr="00F91885">
        <w:rPr>
          <w:color w:val="000000"/>
          <w:szCs w:val="24"/>
        </w:rPr>
        <w:t xml:space="preserve">), the first person </w:t>
      </w:r>
      <w:r w:rsidR="007459F3" w:rsidRPr="00F91885">
        <w:rPr>
          <w:color w:val="000000"/>
          <w:szCs w:val="24"/>
        </w:rPr>
        <w:t>could</w:t>
      </w:r>
      <w:r w:rsidR="000528DC" w:rsidRPr="00F91885">
        <w:rPr>
          <w:color w:val="000000"/>
          <w:szCs w:val="24"/>
        </w:rPr>
        <w:t xml:space="preserve"> request that the </w:t>
      </w:r>
      <w:r w:rsidR="00400F4D" w:rsidRPr="00F91885">
        <w:rPr>
          <w:color w:val="000000"/>
          <w:szCs w:val="24"/>
        </w:rPr>
        <w:t xml:space="preserve">regulated HFC </w:t>
      </w:r>
      <w:r w:rsidR="000528DC" w:rsidRPr="00F91885">
        <w:rPr>
          <w:color w:val="000000"/>
          <w:szCs w:val="24"/>
        </w:rPr>
        <w:t>activity be taken to have been engaged in by another specified person</w:t>
      </w:r>
      <w:r w:rsidR="00400F4D" w:rsidRPr="00F91885">
        <w:rPr>
          <w:color w:val="000000"/>
          <w:szCs w:val="24"/>
        </w:rPr>
        <w:t xml:space="preserve"> (the second person)</w:t>
      </w:r>
      <w:r w:rsidR="007459F3" w:rsidRPr="00F91885">
        <w:rPr>
          <w:color w:val="000000"/>
          <w:szCs w:val="24"/>
        </w:rPr>
        <w:t xml:space="preserve"> and that</w:t>
      </w:r>
      <w:r w:rsidR="00400F4D" w:rsidRPr="00F91885">
        <w:rPr>
          <w:color w:val="000000"/>
          <w:szCs w:val="24"/>
        </w:rPr>
        <w:t xml:space="preserve"> </w:t>
      </w:r>
      <w:r w:rsidR="000528DC" w:rsidRPr="00F91885">
        <w:rPr>
          <w:color w:val="000000"/>
          <w:szCs w:val="24"/>
        </w:rPr>
        <w:t xml:space="preserve">all or part of an HFC quota allocated to </w:t>
      </w:r>
      <w:r w:rsidR="00400F4D" w:rsidRPr="00F91885">
        <w:rPr>
          <w:color w:val="000000"/>
          <w:szCs w:val="24"/>
        </w:rPr>
        <w:t xml:space="preserve">the first person </w:t>
      </w:r>
      <w:r w:rsidR="005861F5" w:rsidRPr="00F91885">
        <w:rPr>
          <w:color w:val="000000"/>
          <w:szCs w:val="24"/>
        </w:rPr>
        <w:t xml:space="preserve">be taken to have been allocated to the </w:t>
      </w:r>
      <w:r w:rsidR="00400F4D" w:rsidRPr="00F91885">
        <w:rPr>
          <w:color w:val="000000"/>
          <w:szCs w:val="24"/>
        </w:rPr>
        <w:t>second</w:t>
      </w:r>
      <w:r w:rsidR="005861F5" w:rsidRPr="00F91885">
        <w:rPr>
          <w:color w:val="000000"/>
          <w:szCs w:val="24"/>
        </w:rPr>
        <w:t xml:space="preserve"> person. This provision would effectively allow </w:t>
      </w:r>
      <w:r w:rsidR="007459F3" w:rsidRPr="00F91885">
        <w:rPr>
          <w:color w:val="000000"/>
          <w:szCs w:val="24"/>
        </w:rPr>
        <w:t xml:space="preserve">a </w:t>
      </w:r>
      <w:r w:rsidR="005861F5" w:rsidRPr="00F91885">
        <w:rPr>
          <w:color w:val="000000"/>
          <w:szCs w:val="24"/>
        </w:rPr>
        <w:t xml:space="preserve">person who </w:t>
      </w:r>
      <w:r w:rsidR="007459F3" w:rsidRPr="00F91885">
        <w:rPr>
          <w:color w:val="000000"/>
          <w:szCs w:val="24"/>
        </w:rPr>
        <w:t>is</w:t>
      </w:r>
      <w:r w:rsidR="005861F5" w:rsidRPr="00F91885">
        <w:rPr>
          <w:color w:val="000000"/>
          <w:szCs w:val="24"/>
        </w:rPr>
        <w:t xml:space="preserve"> entitled to HFC quota allocations to request that they be </w:t>
      </w:r>
      <w:r w:rsidR="005861F5" w:rsidRPr="00F91885">
        <w:rPr>
          <w:color w:val="000000"/>
          <w:szCs w:val="24"/>
        </w:rPr>
        <w:lastRenderedPageBreak/>
        <w:t xml:space="preserve">transferred to another person. This could be done in any year of any HFC quota allocation period. </w:t>
      </w:r>
    </w:p>
    <w:p w14:paraId="7B0D035D" w14:textId="03D3F958" w:rsidR="002257C1" w:rsidRPr="000A78C2" w:rsidRDefault="00717557" w:rsidP="00534DFC">
      <w:pPr>
        <w:pStyle w:val="ListNumber"/>
        <w:numPr>
          <w:ilvl w:val="0"/>
          <w:numId w:val="8"/>
        </w:numPr>
        <w:spacing w:after="240"/>
        <w:ind w:left="567" w:hanging="567"/>
        <w:rPr>
          <w:color w:val="000000"/>
          <w:szCs w:val="24"/>
        </w:rPr>
      </w:pPr>
      <w:proofErr w:type="spellStart"/>
      <w:r w:rsidRPr="000A78C2">
        <w:rPr>
          <w:color w:val="000000"/>
          <w:szCs w:val="24"/>
        </w:rPr>
        <w:t>S</w:t>
      </w:r>
      <w:r w:rsidR="000738A6" w:rsidRPr="000A78C2">
        <w:rPr>
          <w:color w:val="000000"/>
          <w:szCs w:val="24"/>
        </w:rPr>
        <w:t>ubregulation</w:t>
      </w:r>
      <w:proofErr w:type="spellEnd"/>
      <w:r w:rsidR="000738A6" w:rsidRPr="000A78C2">
        <w:rPr>
          <w:color w:val="000000"/>
          <w:szCs w:val="24"/>
        </w:rPr>
        <w:t xml:space="preserve"> </w:t>
      </w:r>
      <w:r w:rsidR="002257C1" w:rsidRPr="000A78C2">
        <w:rPr>
          <w:color w:val="000000"/>
          <w:szCs w:val="24"/>
        </w:rPr>
        <w:t>52(3) provide</w:t>
      </w:r>
      <w:r w:rsidRPr="000A78C2">
        <w:rPr>
          <w:color w:val="000000"/>
          <w:szCs w:val="24"/>
        </w:rPr>
        <w:t>s</w:t>
      </w:r>
      <w:r w:rsidR="002257C1" w:rsidRPr="000A78C2">
        <w:rPr>
          <w:color w:val="000000"/>
          <w:szCs w:val="24"/>
        </w:rPr>
        <w:t xml:space="preserve"> that a request under </w:t>
      </w:r>
      <w:proofErr w:type="spellStart"/>
      <w:r w:rsidR="002257C1" w:rsidRPr="000A78C2">
        <w:rPr>
          <w:color w:val="000000"/>
          <w:szCs w:val="24"/>
        </w:rPr>
        <w:t>subregulations</w:t>
      </w:r>
      <w:proofErr w:type="spellEnd"/>
      <w:r w:rsidR="002257C1" w:rsidRPr="000A78C2">
        <w:rPr>
          <w:color w:val="000000"/>
          <w:szCs w:val="24"/>
        </w:rPr>
        <w:t xml:space="preserve"> 52(</w:t>
      </w:r>
      <w:r w:rsidR="007459F3" w:rsidRPr="000A78C2">
        <w:rPr>
          <w:color w:val="000000"/>
          <w:szCs w:val="24"/>
        </w:rPr>
        <w:t>1</w:t>
      </w:r>
      <w:r w:rsidR="002257C1" w:rsidRPr="000A78C2">
        <w:rPr>
          <w:color w:val="000000"/>
          <w:szCs w:val="24"/>
        </w:rPr>
        <w:t>) or (</w:t>
      </w:r>
      <w:r w:rsidR="007459F3" w:rsidRPr="000A78C2">
        <w:rPr>
          <w:color w:val="000000"/>
          <w:szCs w:val="24"/>
        </w:rPr>
        <w:t>2</w:t>
      </w:r>
      <w:r w:rsidR="002257C1" w:rsidRPr="000A78C2">
        <w:rPr>
          <w:color w:val="000000"/>
          <w:szCs w:val="24"/>
        </w:rPr>
        <w:t>) must be in the form approved and provided to the Minister before the day on which application</w:t>
      </w:r>
      <w:r w:rsidR="007B5D8D" w:rsidRPr="000A78C2">
        <w:rPr>
          <w:color w:val="000000"/>
          <w:szCs w:val="24"/>
        </w:rPr>
        <w:t>s</w:t>
      </w:r>
      <w:r w:rsidR="002257C1" w:rsidRPr="000A78C2">
        <w:rPr>
          <w:color w:val="000000"/>
          <w:szCs w:val="24"/>
        </w:rPr>
        <w:t xml:space="preserve"> for HFC quotas for the calendar years in the HFC quota application period must be made under paragraph 44(2)(b). For the first HFC quota allocation period, </w:t>
      </w:r>
      <w:r w:rsidR="002164A1" w:rsidRPr="000A78C2">
        <w:rPr>
          <w:color w:val="000000"/>
          <w:szCs w:val="24"/>
        </w:rPr>
        <w:t>applications must be received by a date to be determined by the Minister.</w:t>
      </w:r>
      <w:r w:rsidR="002257C1" w:rsidRPr="000A78C2">
        <w:rPr>
          <w:color w:val="000000"/>
          <w:szCs w:val="24"/>
        </w:rPr>
        <w:t xml:space="preserve"> </w:t>
      </w:r>
      <w:r w:rsidR="000A78C2" w:rsidRPr="000A78C2">
        <w:rPr>
          <w:color w:val="000000"/>
          <w:szCs w:val="24"/>
        </w:rPr>
        <w:t xml:space="preserve">A determination of the Minister will be a legislative instrument. </w:t>
      </w:r>
      <w:r w:rsidR="002257C1" w:rsidRPr="000A78C2">
        <w:rPr>
          <w:color w:val="000000"/>
          <w:szCs w:val="24"/>
        </w:rPr>
        <w:t xml:space="preserve">For every subsequent HFC quota allocation period, </w:t>
      </w:r>
      <w:r w:rsidR="007B5D8D" w:rsidRPr="000A78C2">
        <w:rPr>
          <w:color w:val="000000"/>
          <w:szCs w:val="24"/>
        </w:rPr>
        <w:t xml:space="preserve">this </w:t>
      </w:r>
      <w:r w:rsidRPr="000A78C2">
        <w:rPr>
          <w:color w:val="000000"/>
          <w:szCs w:val="24"/>
        </w:rPr>
        <w:t>is</w:t>
      </w:r>
      <w:r w:rsidR="002257C1" w:rsidRPr="000A78C2">
        <w:rPr>
          <w:color w:val="000000"/>
          <w:szCs w:val="24"/>
        </w:rPr>
        <w:t xml:space="preserve"> </w:t>
      </w:r>
      <w:r w:rsidR="000A78C2" w:rsidRPr="000A78C2">
        <w:rPr>
          <w:color w:val="000000"/>
          <w:szCs w:val="24"/>
        </w:rPr>
        <w:br/>
      </w:r>
      <w:r w:rsidR="002257C1" w:rsidRPr="000A78C2">
        <w:rPr>
          <w:color w:val="000000"/>
          <w:szCs w:val="24"/>
        </w:rPr>
        <w:t xml:space="preserve">31 August in the last year before the start of the HFC quota allocation period. </w:t>
      </w:r>
    </w:p>
    <w:p w14:paraId="672EFD50" w14:textId="3C325BAA" w:rsidR="005861F5" w:rsidRPr="000A78C2" w:rsidRDefault="00717557" w:rsidP="00534DFC">
      <w:pPr>
        <w:pStyle w:val="ListNumber"/>
        <w:numPr>
          <w:ilvl w:val="0"/>
          <w:numId w:val="8"/>
        </w:numPr>
        <w:spacing w:after="240"/>
        <w:ind w:left="567" w:hanging="567"/>
        <w:rPr>
          <w:color w:val="000000"/>
          <w:szCs w:val="24"/>
        </w:rPr>
      </w:pPr>
      <w:proofErr w:type="spellStart"/>
      <w:r w:rsidRPr="000A78C2">
        <w:rPr>
          <w:color w:val="000000"/>
          <w:szCs w:val="24"/>
        </w:rPr>
        <w:t>S</w:t>
      </w:r>
      <w:r w:rsidR="00352255" w:rsidRPr="000A78C2">
        <w:rPr>
          <w:color w:val="000000"/>
          <w:szCs w:val="24"/>
        </w:rPr>
        <w:t>ubregulation</w:t>
      </w:r>
      <w:proofErr w:type="spellEnd"/>
      <w:r w:rsidR="00352255" w:rsidRPr="000A78C2">
        <w:rPr>
          <w:color w:val="000000"/>
          <w:szCs w:val="24"/>
        </w:rPr>
        <w:t xml:space="preserve"> 52(4) provide</w:t>
      </w:r>
      <w:r w:rsidRPr="000A78C2">
        <w:rPr>
          <w:color w:val="000000"/>
          <w:szCs w:val="24"/>
        </w:rPr>
        <w:t>s</w:t>
      </w:r>
      <w:r w:rsidR="00F51F67" w:rsidRPr="000A78C2">
        <w:rPr>
          <w:color w:val="000000"/>
          <w:szCs w:val="24"/>
        </w:rPr>
        <w:t xml:space="preserve"> that where a request is made under </w:t>
      </w:r>
      <w:proofErr w:type="spellStart"/>
      <w:r w:rsidR="00F51F67" w:rsidRPr="000A78C2">
        <w:rPr>
          <w:color w:val="000000"/>
          <w:szCs w:val="24"/>
        </w:rPr>
        <w:t>subregulation</w:t>
      </w:r>
      <w:proofErr w:type="spellEnd"/>
      <w:r w:rsidR="00F51F67" w:rsidRPr="000A78C2">
        <w:rPr>
          <w:color w:val="000000"/>
          <w:szCs w:val="24"/>
        </w:rPr>
        <w:t xml:space="preserve"> 52(1) or (2) in accordance with </w:t>
      </w:r>
      <w:proofErr w:type="spellStart"/>
      <w:r w:rsidR="00F51F67" w:rsidRPr="000A78C2">
        <w:rPr>
          <w:color w:val="000000"/>
          <w:szCs w:val="24"/>
        </w:rPr>
        <w:t>subregulation</w:t>
      </w:r>
      <w:proofErr w:type="spellEnd"/>
      <w:r w:rsidR="00F51F67" w:rsidRPr="000A78C2">
        <w:rPr>
          <w:color w:val="000000"/>
          <w:szCs w:val="24"/>
        </w:rPr>
        <w:t xml:space="preserve"> 52(3), then the activity specified in the request is taken to have been engaged in by the person specified in the request (rather than by the person who originally engaged in the activity and made the request) and all or part of the HFC quota or the HCFC quota (as the case may be) specified in the request is taken to have been allocated to the person specified in the request. This would apply to the HFC quota allocation period mentioned in </w:t>
      </w:r>
      <w:proofErr w:type="spellStart"/>
      <w:r w:rsidR="001D28E7" w:rsidRPr="000A78C2">
        <w:rPr>
          <w:color w:val="000000"/>
          <w:szCs w:val="24"/>
        </w:rPr>
        <w:t>subregulation</w:t>
      </w:r>
      <w:proofErr w:type="spellEnd"/>
      <w:r w:rsidR="001D28E7" w:rsidRPr="000A78C2">
        <w:rPr>
          <w:color w:val="000000"/>
          <w:szCs w:val="24"/>
        </w:rPr>
        <w:t xml:space="preserve"> </w:t>
      </w:r>
      <w:r w:rsidR="00F51F67" w:rsidRPr="000A78C2">
        <w:rPr>
          <w:color w:val="000000"/>
          <w:szCs w:val="24"/>
        </w:rPr>
        <w:t xml:space="preserve">52(1) or (2) (whichever is applicable) and to any future HFC quota allocation periods. </w:t>
      </w:r>
      <w:r w:rsidR="00165D04" w:rsidRPr="000A78C2">
        <w:rPr>
          <w:color w:val="000000"/>
          <w:szCs w:val="24"/>
        </w:rPr>
        <w:t xml:space="preserve">This provision would </w:t>
      </w:r>
      <w:r w:rsidR="00630AD5" w:rsidRPr="000A78C2">
        <w:rPr>
          <w:color w:val="000000"/>
          <w:szCs w:val="24"/>
        </w:rPr>
        <w:t>mean</w:t>
      </w:r>
      <w:r w:rsidR="00165D04" w:rsidRPr="000A78C2">
        <w:rPr>
          <w:color w:val="000000"/>
          <w:szCs w:val="24"/>
        </w:rPr>
        <w:t xml:space="preserve"> </w:t>
      </w:r>
      <w:r w:rsidR="007F1F8B" w:rsidRPr="000A78C2">
        <w:rPr>
          <w:color w:val="000000"/>
          <w:szCs w:val="24"/>
        </w:rPr>
        <w:t>that if a</w:t>
      </w:r>
      <w:r w:rsidR="00F51F67" w:rsidRPr="000A78C2">
        <w:rPr>
          <w:color w:val="000000"/>
          <w:szCs w:val="24"/>
        </w:rPr>
        <w:t xml:space="preserve"> </w:t>
      </w:r>
      <w:r w:rsidR="002F3BBC" w:rsidRPr="000A78C2">
        <w:rPr>
          <w:color w:val="000000"/>
          <w:szCs w:val="24"/>
        </w:rPr>
        <w:t>person attributed</w:t>
      </w:r>
      <w:r w:rsidR="00B2573D" w:rsidRPr="000A78C2">
        <w:rPr>
          <w:color w:val="000000"/>
          <w:szCs w:val="24"/>
        </w:rPr>
        <w:t xml:space="preserve"> their activities to another person </w:t>
      </w:r>
      <w:r w:rsidR="00F51F67" w:rsidRPr="000A78C2">
        <w:rPr>
          <w:color w:val="000000"/>
          <w:szCs w:val="24"/>
        </w:rPr>
        <w:t xml:space="preserve">under this provision, then all future (grandfathered) </w:t>
      </w:r>
      <w:r w:rsidR="004030A7" w:rsidRPr="000A78C2">
        <w:rPr>
          <w:color w:val="000000"/>
          <w:szCs w:val="24"/>
        </w:rPr>
        <w:t xml:space="preserve">HFC </w:t>
      </w:r>
      <w:r w:rsidR="00F51F67" w:rsidRPr="000A78C2">
        <w:rPr>
          <w:color w:val="000000"/>
          <w:szCs w:val="24"/>
        </w:rPr>
        <w:t xml:space="preserve">quota allocations would also be transferred to that person; future grandfathered allocations would not “revert” back to the person who made a request under </w:t>
      </w:r>
      <w:proofErr w:type="spellStart"/>
      <w:r w:rsidR="00F51F67" w:rsidRPr="000A78C2">
        <w:rPr>
          <w:color w:val="000000"/>
          <w:szCs w:val="24"/>
        </w:rPr>
        <w:t>subregulation</w:t>
      </w:r>
      <w:proofErr w:type="spellEnd"/>
      <w:r w:rsidR="00F51F67" w:rsidRPr="000A78C2">
        <w:rPr>
          <w:color w:val="000000"/>
          <w:szCs w:val="24"/>
        </w:rPr>
        <w:t xml:space="preserve"> 52(1) or (2), but would </w:t>
      </w:r>
      <w:r w:rsidR="004030A7" w:rsidRPr="000A78C2">
        <w:rPr>
          <w:color w:val="000000"/>
          <w:szCs w:val="24"/>
        </w:rPr>
        <w:t xml:space="preserve">continue to </w:t>
      </w:r>
      <w:r w:rsidR="00F51F67" w:rsidRPr="000A78C2">
        <w:rPr>
          <w:color w:val="000000"/>
          <w:szCs w:val="24"/>
        </w:rPr>
        <w:t xml:space="preserve">be allocated to the person specified in the request. </w:t>
      </w:r>
    </w:p>
    <w:p w14:paraId="1D83D19D" w14:textId="158185D4" w:rsidR="00FF359A" w:rsidRPr="000A78C2" w:rsidRDefault="00717557" w:rsidP="00534DFC">
      <w:pPr>
        <w:pStyle w:val="ListNumber"/>
        <w:numPr>
          <w:ilvl w:val="0"/>
          <w:numId w:val="8"/>
        </w:numPr>
        <w:spacing w:after="240"/>
        <w:ind w:left="567" w:hanging="567"/>
        <w:rPr>
          <w:color w:val="000000"/>
          <w:szCs w:val="24"/>
        </w:rPr>
      </w:pPr>
      <w:proofErr w:type="spellStart"/>
      <w:r w:rsidRPr="000A78C2">
        <w:rPr>
          <w:color w:val="000000"/>
          <w:szCs w:val="24"/>
        </w:rPr>
        <w:t>S</w:t>
      </w:r>
      <w:r w:rsidR="00FF359A" w:rsidRPr="000A78C2">
        <w:rPr>
          <w:color w:val="000000"/>
          <w:szCs w:val="24"/>
        </w:rPr>
        <w:t>ubregulation</w:t>
      </w:r>
      <w:proofErr w:type="spellEnd"/>
      <w:r w:rsidR="00FF359A" w:rsidRPr="000A78C2">
        <w:rPr>
          <w:color w:val="000000"/>
          <w:szCs w:val="24"/>
        </w:rPr>
        <w:t xml:space="preserve"> 52(</w:t>
      </w:r>
      <w:r w:rsidR="00076CC3" w:rsidRPr="000A78C2">
        <w:rPr>
          <w:color w:val="000000"/>
          <w:szCs w:val="24"/>
        </w:rPr>
        <w:t>7</w:t>
      </w:r>
      <w:r w:rsidR="00FF359A" w:rsidRPr="000A78C2">
        <w:rPr>
          <w:color w:val="000000"/>
          <w:szCs w:val="24"/>
        </w:rPr>
        <w:t>)</w:t>
      </w:r>
      <w:r w:rsidR="00076CC3" w:rsidRPr="000A78C2">
        <w:rPr>
          <w:color w:val="000000"/>
          <w:szCs w:val="24"/>
        </w:rPr>
        <w:t xml:space="preserve"> clarifies that for the purposes of Subdivision</w:t>
      </w:r>
      <w:r w:rsidR="00230B53" w:rsidRPr="000A78C2">
        <w:rPr>
          <w:color w:val="000000"/>
          <w:szCs w:val="24"/>
        </w:rPr>
        <w:t xml:space="preserve"> 4A.3.3</w:t>
      </w:r>
      <w:r w:rsidR="00076CC3" w:rsidRPr="000A78C2">
        <w:rPr>
          <w:color w:val="000000"/>
          <w:szCs w:val="24"/>
        </w:rPr>
        <w:t xml:space="preserve">, the person specified in a request made under </w:t>
      </w:r>
      <w:proofErr w:type="spellStart"/>
      <w:r w:rsidRPr="000A78C2">
        <w:rPr>
          <w:color w:val="000000"/>
          <w:szCs w:val="24"/>
        </w:rPr>
        <w:t>subregulation</w:t>
      </w:r>
      <w:proofErr w:type="spellEnd"/>
      <w:r w:rsidRPr="000A78C2">
        <w:rPr>
          <w:color w:val="000000"/>
          <w:szCs w:val="24"/>
        </w:rPr>
        <w:t xml:space="preserve"> </w:t>
      </w:r>
      <w:r w:rsidR="00076CC3" w:rsidRPr="000A78C2">
        <w:rPr>
          <w:color w:val="000000"/>
          <w:szCs w:val="24"/>
        </w:rPr>
        <w:t xml:space="preserve">52(1) or (2) will be taken to have engaged in a </w:t>
      </w:r>
      <w:r w:rsidR="000F1E0F" w:rsidRPr="000A78C2">
        <w:rPr>
          <w:color w:val="000000"/>
          <w:szCs w:val="24"/>
        </w:rPr>
        <w:t>licensed</w:t>
      </w:r>
      <w:r w:rsidR="00076CC3" w:rsidRPr="000A78C2">
        <w:rPr>
          <w:color w:val="000000"/>
          <w:szCs w:val="24"/>
        </w:rPr>
        <w:t xml:space="preserve"> regulated HFC activity or </w:t>
      </w:r>
      <w:r w:rsidR="000F1E0F" w:rsidRPr="000A78C2">
        <w:rPr>
          <w:color w:val="000000"/>
          <w:szCs w:val="24"/>
        </w:rPr>
        <w:t>licensed</w:t>
      </w:r>
      <w:r w:rsidR="00076CC3" w:rsidRPr="000A78C2">
        <w:rPr>
          <w:color w:val="000000"/>
          <w:szCs w:val="24"/>
        </w:rPr>
        <w:t xml:space="preserve"> HCFC activity under </w:t>
      </w:r>
      <w:proofErr w:type="spellStart"/>
      <w:r w:rsidRPr="000A78C2">
        <w:rPr>
          <w:color w:val="000000"/>
          <w:szCs w:val="24"/>
        </w:rPr>
        <w:t>subregulation</w:t>
      </w:r>
      <w:proofErr w:type="spellEnd"/>
      <w:r w:rsidRPr="000A78C2">
        <w:rPr>
          <w:color w:val="000000"/>
          <w:szCs w:val="24"/>
        </w:rPr>
        <w:t xml:space="preserve"> </w:t>
      </w:r>
      <w:r w:rsidR="00076CC3" w:rsidRPr="000A78C2">
        <w:rPr>
          <w:color w:val="000000"/>
          <w:szCs w:val="24"/>
        </w:rPr>
        <w:t xml:space="preserve">52(4) even if the person specified in the request did not actually hold a SGG licence or controlled substances licence that allowed the activity at the time. </w:t>
      </w:r>
      <w:r w:rsidR="00382BB8" w:rsidRPr="000A78C2">
        <w:rPr>
          <w:color w:val="000000"/>
          <w:szCs w:val="24"/>
        </w:rPr>
        <w:t xml:space="preserve">This would mean that any licensed regulated HFC activity or licensed HCFC activity </w:t>
      </w:r>
      <w:r w:rsidR="0007697C" w:rsidRPr="000A78C2">
        <w:rPr>
          <w:color w:val="000000"/>
          <w:szCs w:val="24"/>
        </w:rPr>
        <w:t xml:space="preserve">undertaken in </w:t>
      </w:r>
      <w:r w:rsidR="00382BB8" w:rsidRPr="000A78C2">
        <w:rPr>
          <w:color w:val="000000"/>
          <w:szCs w:val="24"/>
        </w:rPr>
        <w:t>any</w:t>
      </w:r>
      <w:r w:rsidR="0007697C" w:rsidRPr="000A78C2">
        <w:rPr>
          <w:color w:val="000000"/>
          <w:szCs w:val="24"/>
        </w:rPr>
        <w:t xml:space="preserve"> base period</w:t>
      </w:r>
      <w:r w:rsidR="00382BB8" w:rsidRPr="000A78C2">
        <w:rPr>
          <w:color w:val="000000"/>
          <w:szCs w:val="24"/>
        </w:rPr>
        <w:t>s</w:t>
      </w:r>
      <w:r w:rsidR="0007697C" w:rsidRPr="000A78C2">
        <w:rPr>
          <w:color w:val="000000"/>
          <w:szCs w:val="24"/>
        </w:rPr>
        <w:t xml:space="preserve"> preceding the </w:t>
      </w:r>
      <w:r w:rsidR="00382BB8" w:rsidRPr="000A78C2">
        <w:rPr>
          <w:color w:val="000000"/>
          <w:szCs w:val="24"/>
        </w:rPr>
        <w:t>request</w:t>
      </w:r>
      <w:r w:rsidR="0007697C" w:rsidRPr="000A78C2">
        <w:rPr>
          <w:color w:val="000000"/>
          <w:szCs w:val="24"/>
        </w:rPr>
        <w:t xml:space="preserve"> would be taken to have been undertaken by the person </w:t>
      </w:r>
      <w:r w:rsidR="00382BB8" w:rsidRPr="000A78C2">
        <w:rPr>
          <w:color w:val="000000"/>
          <w:szCs w:val="24"/>
        </w:rPr>
        <w:t>specified in the request for the purposes of future HFC quota allocations</w:t>
      </w:r>
      <w:r w:rsidR="0007697C" w:rsidRPr="000A78C2">
        <w:rPr>
          <w:color w:val="000000"/>
          <w:szCs w:val="24"/>
        </w:rPr>
        <w:t>.</w:t>
      </w:r>
    </w:p>
    <w:p w14:paraId="481E56D1" w14:textId="183AB9AC" w:rsidR="00AA51FA" w:rsidRPr="000A78C2" w:rsidRDefault="00717557" w:rsidP="00534DFC">
      <w:pPr>
        <w:pStyle w:val="ListNumber"/>
        <w:numPr>
          <w:ilvl w:val="0"/>
          <w:numId w:val="8"/>
        </w:numPr>
        <w:spacing w:after="240"/>
        <w:ind w:left="567" w:hanging="567"/>
        <w:rPr>
          <w:color w:val="000000"/>
          <w:szCs w:val="24"/>
        </w:rPr>
      </w:pPr>
      <w:proofErr w:type="spellStart"/>
      <w:r w:rsidRPr="000A78C2">
        <w:rPr>
          <w:color w:val="000000"/>
          <w:szCs w:val="24"/>
        </w:rPr>
        <w:t>S</w:t>
      </w:r>
      <w:r w:rsidR="00AA51FA" w:rsidRPr="000A78C2">
        <w:rPr>
          <w:color w:val="000000"/>
          <w:szCs w:val="24"/>
        </w:rPr>
        <w:t>ubregulations</w:t>
      </w:r>
      <w:proofErr w:type="spellEnd"/>
      <w:r w:rsidR="00AA51FA" w:rsidRPr="000A78C2">
        <w:rPr>
          <w:color w:val="000000"/>
          <w:szCs w:val="24"/>
        </w:rPr>
        <w:t xml:space="preserve"> 52(5) and (6) provide for variations or withdrawals of requests</w:t>
      </w:r>
      <w:r w:rsidR="00213F73" w:rsidRPr="000A78C2">
        <w:rPr>
          <w:color w:val="000000"/>
          <w:szCs w:val="24"/>
        </w:rPr>
        <w:t xml:space="preserve"> </w:t>
      </w:r>
      <w:r w:rsidR="00AA51FA" w:rsidRPr="000A78C2">
        <w:rPr>
          <w:color w:val="000000"/>
          <w:szCs w:val="24"/>
        </w:rPr>
        <w:t xml:space="preserve">made under </w:t>
      </w:r>
      <w:proofErr w:type="spellStart"/>
      <w:r w:rsidR="00AA51FA" w:rsidRPr="000A78C2">
        <w:rPr>
          <w:color w:val="000000"/>
          <w:szCs w:val="24"/>
        </w:rPr>
        <w:t>subregulation</w:t>
      </w:r>
      <w:proofErr w:type="spellEnd"/>
      <w:r w:rsidR="00AA51FA" w:rsidRPr="000A78C2">
        <w:rPr>
          <w:color w:val="000000"/>
          <w:szCs w:val="24"/>
        </w:rPr>
        <w:t xml:space="preserve"> 52(1) or (2). A</w:t>
      </w:r>
      <w:r w:rsidR="00230B53" w:rsidRPr="000A78C2">
        <w:rPr>
          <w:color w:val="000000"/>
          <w:szCs w:val="24"/>
        </w:rPr>
        <w:t xml:space="preserve">n application for a </w:t>
      </w:r>
      <w:r w:rsidR="00AA51FA" w:rsidRPr="000A78C2">
        <w:rPr>
          <w:color w:val="000000"/>
          <w:szCs w:val="24"/>
        </w:rPr>
        <w:t xml:space="preserve">variation or withdrawal </w:t>
      </w:r>
      <w:r w:rsidR="00230B53" w:rsidRPr="000A78C2">
        <w:rPr>
          <w:color w:val="000000"/>
          <w:szCs w:val="24"/>
        </w:rPr>
        <w:t>must</w:t>
      </w:r>
      <w:r w:rsidR="00AA51FA" w:rsidRPr="000A78C2">
        <w:rPr>
          <w:color w:val="000000"/>
          <w:szCs w:val="24"/>
        </w:rPr>
        <w:t xml:space="preserve"> be made in the approved form, and be provided to the Minister no later than 30 days after the day mentioned in </w:t>
      </w:r>
      <w:r w:rsidR="00FF359A" w:rsidRPr="000A78C2">
        <w:rPr>
          <w:color w:val="000000"/>
          <w:szCs w:val="24"/>
        </w:rPr>
        <w:t>paragraph</w:t>
      </w:r>
      <w:r w:rsidR="00AA51FA" w:rsidRPr="000A78C2">
        <w:rPr>
          <w:color w:val="000000"/>
          <w:szCs w:val="24"/>
        </w:rPr>
        <w:t xml:space="preserve"> 52(3)(b)</w:t>
      </w:r>
      <w:r w:rsidR="00FF359A" w:rsidRPr="000A78C2">
        <w:rPr>
          <w:color w:val="000000"/>
          <w:szCs w:val="24"/>
        </w:rPr>
        <w:t xml:space="preserve">. </w:t>
      </w:r>
      <w:r w:rsidR="002164A1" w:rsidRPr="000A78C2">
        <w:rPr>
          <w:color w:val="000000"/>
          <w:szCs w:val="24"/>
        </w:rPr>
        <w:t>In respect of the first HFC quota period, an application for a variation or a withdrawal must be provided 30 days after the date determined by the Minister for receipt of applications for HFC quota</w:t>
      </w:r>
      <w:r w:rsidR="000A78C2" w:rsidRPr="000A78C2">
        <w:rPr>
          <w:color w:val="000000"/>
          <w:szCs w:val="24"/>
        </w:rPr>
        <w:t xml:space="preserve"> pursuant to paragraph 44(2)(b)</w:t>
      </w:r>
      <w:r w:rsidR="002164A1" w:rsidRPr="000A78C2">
        <w:rPr>
          <w:color w:val="000000"/>
          <w:szCs w:val="24"/>
        </w:rPr>
        <w:t>. In respect of every subsequent quota application period, applications must be made 30 days after 31 August in the last year before the start of the HFC quota allocation period in respect of every subsequent quota allocation period.</w:t>
      </w:r>
    </w:p>
    <w:p w14:paraId="3931E701" w14:textId="77777777" w:rsidR="00310C8A" w:rsidRDefault="00310C8A" w:rsidP="00815601">
      <w:pPr>
        <w:rPr>
          <w:rFonts w:ascii="Times New Roman" w:hAnsi="Times New Roman"/>
          <w:i/>
          <w:sz w:val="24"/>
          <w:szCs w:val="24"/>
        </w:rPr>
      </w:pPr>
      <w:r>
        <w:rPr>
          <w:rFonts w:ascii="Times New Roman" w:hAnsi="Times New Roman"/>
          <w:i/>
          <w:sz w:val="24"/>
          <w:szCs w:val="24"/>
        </w:rPr>
        <w:t>Transfer of HFC quotas</w:t>
      </w:r>
    </w:p>
    <w:p w14:paraId="4A77DD31" w14:textId="77777777" w:rsidR="00310C8A" w:rsidRDefault="00310C8A" w:rsidP="00815601">
      <w:pPr>
        <w:rPr>
          <w:rFonts w:ascii="Times New Roman" w:hAnsi="Times New Roman"/>
          <w:i/>
          <w:sz w:val="24"/>
          <w:szCs w:val="24"/>
        </w:rPr>
      </w:pPr>
    </w:p>
    <w:p w14:paraId="736D73BE" w14:textId="10F853F2" w:rsidR="004030A7" w:rsidRPr="00F91885" w:rsidRDefault="00717557" w:rsidP="00534DFC">
      <w:pPr>
        <w:pStyle w:val="ListNumber"/>
        <w:numPr>
          <w:ilvl w:val="0"/>
          <w:numId w:val="8"/>
        </w:numPr>
        <w:spacing w:after="240"/>
        <w:ind w:left="567" w:hanging="567"/>
        <w:rPr>
          <w:color w:val="000000"/>
          <w:szCs w:val="24"/>
        </w:rPr>
      </w:pPr>
      <w:r>
        <w:rPr>
          <w:color w:val="000000"/>
          <w:szCs w:val="24"/>
        </w:rPr>
        <w:t>R</w:t>
      </w:r>
      <w:r w:rsidR="004030A7" w:rsidRPr="00F91885">
        <w:rPr>
          <w:color w:val="000000"/>
          <w:szCs w:val="24"/>
        </w:rPr>
        <w:t>egulation 53</w:t>
      </w:r>
      <w:r w:rsidR="0018152C" w:rsidRPr="00F91885">
        <w:rPr>
          <w:color w:val="000000"/>
          <w:szCs w:val="24"/>
        </w:rPr>
        <w:t xml:space="preserve"> </w:t>
      </w:r>
      <w:r w:rsidR="004030A7" w:rsidRPr="00F91885">
        <w:rPr>
          <w:color w:val="000000"/>
          <w:szCs w:val="24"/>
        </w:rPr>
        <w:t>provide</w:t>
      </w:r>
      <w:r>
        <w:rPr>
          <w:color w:val="000000"/>
          <w:szCs w:val="24"/>
        </w:rPr>
        <w:t>s</w:t>
      </w:r>
      <w:r w:rsidR="004030A7" w:rsidRPr="00F91885">
        <w:rPr>
          <w:color w:val="000000"/>
          <w:szCs w:val="24"/>
        </w:rPr>
        <w:t xml:space="preserve"> that a transfer of HFC quota under section 36F of the </w:t>
      </w:r>
      <w:r w:rsidR="001D28E7" w:rsidRPr="00F91885">
        <w:rPr>
          <w:color w:val="000000"/>
          <w:szCs w:val="24"/>
        </w:rPr>
        <w:t xml:space="preserve">OPSGGM </w:t>
      </w:r>
      <w:r w:rsidR="004030A7" w:rsidRPr="00F91885">
        <w:rPr>
          <w:color w:val="000000"/>
          <w:szCs w:val="24"/>
        </w:rPr>
        <w:t xml:space="preserve">Act would not affect the relative proportions of any amounts of grandfathered quota and non-grandfathered quota included in the HFC quota. These ratios would remain the same. </w:t>
      </w:r>
    </w:p>
    <w:p w14:paraId="6FC345F3" w14:textId="77777777" w:rsidR="000E15BE" w:rsidRDefault="000E15BE">
      <w:pPr>
        <w:rPr>
          <w:rFonts w:ascii="Times New Roman" w:hAnsi="Times New Roman"/>
          <w:i/>
          <w:sz w:val="24"/>
          <w:szCs w:val="24"/>
        </w:rPr>
      </w:pPr>
      <w:r>
        <w:rPr>
          <w:rFonts w:ascii="Times New Roman" w:hAnsi="Times New Roman"/>
          <w:i/>
          <w:sz w:val="24"/>
          <w:szCs w:val="24"/>
        </w:rPr>
        <w:br w:type="page"/>
      </w:r>
    </w:p>
    <w:p w14:paraId="5D62DDD9" w14:textId="39C5AE7A" w:rsidR="00310C8A" w:rsidRPr="00C010FA" w:rsidRDefault="00310C8A" w:rsidP="00815601">
      <w:pPr>
        <w:rPr>
          <w:rFonts w:ascii="Times New Roman" w:hAnsi="Times New Roman"/>
          <w:i/>
          <w:sz w:val="24"/>
          <w:szCs w:val="24"/>
        </w:rPr>
      </w:pPr>
      <w:r>
        <w:rPr>
          <w:rFonts w:ascii="Times New Roman" w:hAnsi="Times New Roman"/>
          <w:i/>
          <w:sz w:val="24"/>
          <w:szCs w:val="24"/>
        </w:rPr>
        <w:lastRenderedPageBreak/>
        <w:t>Correcting HFC quotas</w:t>
      </w:r>
    </w:p>
    <w:p w14:paraId="34E5ADE4" w14:textId="77777777" w:rsidR="00707CF7" w:rsidRDefault="00707CF7" w:rsidP="00815601">
      <w:pPr>
        <w:rPr>
          <w:rFonts w:ascii="Times New Roman" w:hAnsi="Times New Roman"/>
          <w:sz w:val="24"/>
          <w:szCs w:val="24"/>
        </w:rPr>
      </w:pPr>
    </w:p>
    <w:p w14:paraId="6A4CD86B" w14:textId="60B5D6A7" w:rsidR="00847911" w:rsidRPr="00F91885" w:rsidRDefault="00717557" w:rsidP="00534DFC">
      <w:pPr>
        <w:pStyle w:val="ListNumber"/>
        <w:numPr>
          <w:ilvl w:val="0"/>
          <w:numId w:val="8"/>
        </w:numPr>
        <w:spacing w:after="240"/>
        <w:ind w:left="567" w:hanging="567"/>
        <w:rPr>
          <w:color w:val="000000"/>
          <w:szCs w:val="24"/>
        </w:rPr>
      </w:pPr>
      <w:r>
        <w:rPr>
          <w:color w:val="000000"/>
          <w:szCs w:val="24"/>
        </w:rPr>
        <w:t>R</w:t>
      </w:r>
      <w:r w:rsidR="0018152C" w:rsidRPr="00F91885">
        <w:rPr>
          <w:color w:val="000000"/>
          <w:szCs w:val="24"/>
        </w:rPr>
        <w:t>egulation 54 provide</w:t>
      </w:r>
      <w:r>
        <w:rPr>
          <w:color w:val="000000"/>
          <w:szCs w:val="24"/>
        </w:rPr>
        <w:t>s</w:t>
      </w:r>
      <w:r w:rsidR="0018152C" w:rsidRPr="00F91885">
        <w:rPr>
          <w:color w:val="000000"/>
          <w:szCs w:val="24"/>
        </w:rPr>
        <w:t xml:space="preserve"> for the correction of HFC quotas. </w:t>
      </w:r>
      <w:proofErr w:type="spellStart"/>
      <w:r>
        <w:rPr>
          <w:color w:val="000000"/>
          <w:szCs w:val="24"/>
        </w:rPr>
        <w:t>S</w:t>
      </w:r>
      <w:r w:rsidR="0018152C" w:rsidRPr="00F91885">
        <w:rPr>
          <w:color w:val="000000"/>
          <w:szCs w:val="24"/>
        </w:rPr>
        <w:t>ubregulation</w:t>
      </w:r>
      <w:proofErr w:type="spellEnd"/>
      <w:r w:rsidR="0018152C" w:rsidRPr="00F91885">
        <w:rPr>
          <w:color w:val="000000"/>
          <w:szCs w:val="24"/>
        </w:rPr>
        <w:t xml:space="preserve"> 54(1) provide</w:t>
      </w:r>
      <w:r>
        <w:rPr>
          <w:color w:val="000000"/>
          <w:szCs w:val="24"/>
        </w:rPr>
        <w:t>s</w:t>
      </w:r>
      <w:r w:rsidR="0018152C" w:rsidRPr="00F91885">
        <w:rPr>
          <w:color w:val="000000"/>
          <w:szCs w:val="24"/>
        </w:rPr>
        <w:t xml:space="preserve"> that if after an HFC quota is allocated to a person for a calendar year, the Minister becomes sati</w:t>
      </w:r>
      <w:r w:rsidR="004F3EAC" w:rsidRPr="00F91885">
        <w:rPr>
          <w:color w:val="000000"/>
          <w:szCs w:val="24"/>
        </w:rPr>
        <w:t>s</w:t>
      </w:r>
      <w:r w:rsidR="00F33B0E" w:rsidRPr="00F91885">
        <w:rPr>
          <w:color w:val="000000"/>
          <w:szCs w:val="24"/>
        </w:rPr>
        <w:t>f</w:t>
      </w:r>
      <w:r w:rsidR="0018152C" w:rsidRPr="00F91885">
        <w:rPr>
          <w:color w:val="000000"/>
          <w:szCs w:val="24"/>
        </w:rPr>
        <w:t xml:space="preserve">ied that the size of an HFC quota is incorrect, the Minister must amend the size of the HFC quota to the correct amount. </w:t>
      </w:r>
      <w:proofErr w:type="spellStart"/>
      <w:r w:rsidR="00874CF4">
        <w:rPr>
          <w:color w:val="000000"/>
          <w:szCs w:val="24"/>
        </w:rPr>
        <w:t>S</w:t>
      </w:r>
      <w:r w:rsidR="0018152C" w:rsidRPr="00F91885">
        <w:rPr>
          <w:color w:val="000000"/>
          <w:szCs w:val="24"/>
        </w:rPr>
        <w:t>ubregulation</w:t>
      </w:r>
      <w:proofErr w:type="spellEnd"/>
      <w:r w:rsidR="0018152C" w:rsidRPr="00F91885">
        <w:rPr>
          <w:color w:val="000000"/>
          <w:szCs w:val="24"/>
        </w:rPr>
        <w:t xml:space="preserve"> 54(2) would provide that such an amendment would have effect from the start of the calendar year for which the quota was allocated. This would be the case even if that calendar year had already commenced, as the corre</w:t>
      </w:r>
      <w:r w:rsidR="00426415" w:rsidRPr="00F91885">
        <w:rPr>
          <w:color w:val="000000"/>
          <w:szCs w:val="24"/>
        </w:rPr>
        <w:t xml:space="preserve">ction would be necessary to ensure the continuing integrity of the scheme. </w:t>
      </w:r>
    </w:p>
    <w:p w14:paraId="1E29E2CB" w14:textId="6444D48A" w:rsidR="00426415" w:rsidRPr="00F91885" w:rsidRDefault="00874CF4" w:rsidP="00534DFC">
      <w:pPr>
        <w:pStyle w:val="ListNumber"/>
        <w:numPr>
          <w:ilvl w:val="0"/>
          <w:numId w:val="8"/>
        </w:numPr>
        <w:spacing w:after="240"/>
        <w:ind w:left="567" w:hanging="567"/>
        <w:rPr>
          <w:color w:val="000000"/>
          <w:szCs w:val="24"/>
        </w:rPr>
      </w:pPr>
      <w:proofErr w:type="spellStart"/>
      <w:r>
        <w:rPr>
          <w:color w:val="000000"/>
          <w:szCs w:val="24"/>
        </w:rPr>
        <w:t>S</w:t>
      </w:r>
      <w:r w:rsidR="00426415" w:rsidRPr="00F91885">
        <w:rPr>
          <w:color w:val="000000"/>
          <w:szCs w:val="24"/>
        </w:rPr>
        <w:t>ubregulation</w:t>
      </w:r>
      <w:proofErr w:type="spellEnd"/>
      <w:r w:rsidR="00426415" w:rsidRPr="00F91885">
        <w:rPr>
          <w:color w:val="000000"/>
          <w:szCs w:val="24"/>
        </w:rPr>
        <w:t xml:space="preserve"> 54(3) </w:t>
      </w:r>
      <w:r>
        <w:rPr>
          <w:color w:val="000000"/>
          <w:szCs w:val="24"/>
        </w:rPr>
        <w:t>provides</w:t>
      </w:r>
      <w:r w:rsidR="00426415" w:rsidRPr="00F91885">
        <w:rPr>
          <w:color w:val="000000"/>
          <w:szCs w:val="24"/>
        </w:rPr>
        <w:t xml:space="preserve"> that if after an HFC quota was allocated to a person for a calendar year, the Minister becomes satisfied that the person was not entitled to such a quota, the Minister must cancel the quota. </w:t>
      </w:r>
      <w:proofErr w:type="spellStart"/>
      <w:r>
        <w:rPr>
          <w:color w:val="000000"/>
          <w:szCs w:val="24"/>
        </w:rPr>
        <w:t>S</w:t>
      </w:r>
      <w:r w:rsidR="00426415" w:rsidRPr="00F91885">
        <w:rPr>
          <w:color w:val="000000"/>
          <w:szCs w:val="24"/>
        </w:rPr>
        <w:t>ubregulation</w:t>
      </w:r>
      <w:proofErr w:type="spellEnd"/>
      <w:r w:rsidR="00426415" w:rsidRPr="00F91885">
        <w:rPr>
          <w:color w:val="000000"/>
          <w:szCs w:val="24"/>
        </w:rPr>
        <w:t xml:space="preserve"> 54(4) provide</w:t>
      </w:r>
      <w:r>
        <w:rPr>
          <w:color w:val="000000"/>
          <w:szCs w:val="24"/>
        </w:rPr>
        <w:t>s</w:t>
      </w:r>
      <w:r w:rsidR="00426415" w:rsidRPr="00F91885">
        <w:rPr>
          <w:color w:val="000000"/>
          <w:szCs w:val="24"/>
        </w:rPr>
        <w:t xml:space="preserve"> that an HFC quota that was so cancelled would be taken never to have been in force and never to have been allocated. As with the preceding </w:t>
      </w:r>
      <w:proofErr w:type="spellStart"/>
      <w:r w:rsidR="00426415" w:rsidRPr="00F91885">
        <w:rPr>
          <w:color w:val="000000"/>
          <w:szCs w:val="24"/>
        </w:rPr>
        <w:t>subregulations</w:t>
      </w:r>
      <w:proofErr w:type="spellEnd"/>
      <w:r w:rsidR="00426415" w:rsidRPr="00F91885">
        <w:rPr>
          <w:color w:val="000000"/>
          <w:szCs w:val="24"/>
        </w:rPr>
        <w:t xml:space="preserve">, this measure would be necessary to ensure the continuing integrity of the HFC phase-down. </w:t>
      </w:r>
    </w:p>
    <w:p w14:paraId="192A307A" w14:textId="77777777" w:rsidR="00310C8A" w:rsidRDefault="00310C8A" w:rsidP="00815601">
      <w:pPr>
        <w:rPr>
          <w:rFonts w:ascii="Times New Roman" w:hAnsi="Times New Roman"/>
          <w:b/>
          <w:i/>
          <w:sz w:val="24"/>
          <w:szCs w:val="24"/>
        </w:rPr>
      </w:pPr>
      <w:r>
        <w:rPr>
          <w:rFonts w:ascii="Times New Roman" w:hAnsi="Times New Roman"/>
          <w:b/>
          <w:i/>
          <w:sz w:val="24"/>
          <w:szCs w:val="24"/>
        </w:rPr>
        <w:t>Retiring HFC quota entitlements</w:t>
      </w:r>
    </w:p>
    <w:p w14:paraId="029274DE" w14:textId="77777777" w:rsidR="00310C8A" w:rsidRDefault="00310C8A" w:rsidP="00815601">
      <w:pPr>
        <w:rPr>
          <w:rFonts w:ascii="Times New Roman" w:hAnsi="Times New Roman"/>
          <w:b/>
          <w:i/>
          <w:sz w:val="24"/>
          <w:szCs w:val="24"/>
        </w:rPr>
      </w:pPr>
    </w:p>
    <w:p w14:paraId="3F76B61F" w14:textId="65710841" w:rsidR="00426415" w:rsidRDefault="00874CF4" w:rsidP="00534DFC">
      <w:pPr>
        <w:pStyle w:val="ListNumber"/>
        <w:numPr>
          <w:ilvl w:val="0"/>
          <w:numId w:val="8"/>
        </w:numPr>
        <w:spacing w:after="240"/>
        <w:ind w:left="567" w:hanging="567"/>
        <w:rPr>
          <w:szCs w:val="24"/>
        </w:rPr>
      </w:pPr>
      <w:r>
        <w:rPr>
          <w:color w:val="000000"/>
          <w:szCs w:val="24"/>
        </w:rPr>
        <w:t>R</w:t>
      </w:r>
      <w:r w:rsidR="00CF24C3" w:rsidRPr="00F91885">
        <w:rPr>
          <w:color w:val="000000"/>
          <w:szCs w:val="24"/>
        </w:rPr>
        <w:t>egulations 55 to 58</w:t>
      </w:r>
      <w:r w:rsidR="00EE5902" w:rsidRPr="00F91885">
        <w:rPr>
          <w:color w:val="000000"/>
          <w:szCs w:val="24"/>
        </w:rPr>
        <w:t xml:space="preserve"> </w:t>
      </w:r>
      <w:r w:rsidR="00CF24C3" w:rsidRPr="00F91885">
        <w:rPr>
          <w:color w:val="000000"/>
          <w:szCs w:val="24"/>
        </w:rPr>
        <w:t xml:space="preserve">relate to the retirement of HFC quota entitlements. </w:t>
      </w:r>
      <w:r w:rsidR="004F3EAC" w:rsidRPr="00F91885">
        <w:rPr>
          <w:color w:val="000000"/>
          <w:szCs w:val="24"/>
        </w:rPr>
        <w:t xml:space="preserve">Industry stakeholders </w:t>
      </w:r>
      <w:r w:rsidR="00175890" w:rsidRPr="00F91885">
        <w:rPr>
          <w:color w:val="000000"/>
          <w:szCs w:val="24"/>
        </w:rPr>
        <w:t>requested</w:t>
      </w:r>
      <w:r w:rsidR="004F3EAC" w:rsidRPr="00F91885">
        <w:rPr>
          <w:color w:val="000000"/>
          <w:szCs w:val="24"/>
        </w:rPr>
        <w:t xml:space="preserve"> a mechanism to retire excess import quota where an industry sector has transitioned </w:t>
      </w:r>
      <w:r w:rsidR="00C448BF" w:rsidRPr="00F91885">
        <w:rPr>
          <w:color w:val="000000"/>
          <w:szCs w:val="24"/>
        </w:rPr>
        <w:t xml:space="preserve">to alternative gases </w:t>
      </w:r>
      <w:r w:rsidR="004F3EAC" w:rsidRPr="00F91885">
        <w:rPr>
          <w:color w:val="000000"/>
          <w:szCs w:val="24"/>
        </w:rPr>
        <w:t xml:space="preserve">faster than projected and import quota holders consider their quota is in excess of future requirements. </w:t>
      </w:r>
      <w:r w:rsidR="00F33B0E" w:rsidRPr="00F91885">
        <w:rPr>
          <w:color w:val="000000"/>
          <w:szCs w:val="24"/>
        </w:rPr>
        <w:t xml:space="preserve">Quota retirement would impact only the importer who had retired a </w:t>
      </w:r>
      <w:r w:rsidR="00175890" w:rsidRPr="00F91885">
        <w:rPr>
          <w:color w:val="000000"/>
          <w:szCs w:val="24"/>
        </w:rPr>
        <w:t xml:space="preserve">percentage, </w:t>
      </w:r>
      <w:r w:rsidR="00F33B0E" w:rsidRPr="00F91885">
        <w:rPr>
          <w:color w:val="000000"/>
          <w:szCs w:val="24"/>
        </w:rPr>
        <w:t>or all of</w:t>
      </w:r>
      <w:r w:rsidR="00230B53" w:rsidRPr="00F91885">
        <w:rPr>
          <w:color w:val="000000"/>
          <w:szCs w:val="24"/>
        </w:rPr>
        <w:t>,</w:t>
      </w:r>
      <w:r w:rsidR="00F33B0E" w:rsidRPr="00F91885">
        <w:rPr>
          <w:color w:val="000000"/>
          <w:szCs w:val="24"/>
        </w:rPr>
        <w:t xml:space="preserve"> their quota</w:t>
      </w:r>
      <w:r w:rsidR="00175890" w:rsidRPr="00F91885">
        <w:rPr>
          <w:color w:val="000000"/>
          <w:szCs w:val="24"/>
        </w:rPr>
        <w:t xml:space="preserve"> entitlements. The entitlements of other HFC quota holders</w:t>
      </w:r>
      <w:r w:rsidR="00F33B0E" w:rsidRPr="00F91885">
        <w:rPr>
          <w:color w:val="000000"/>
          <w:szCs w:val="24"/>
        </w:rPr>
        <w:t xml:space="preserve"> would not be affected. The overall industry limit would reduce by the retired amount on an ongoing basis. </w:t>
      </w:r>
    </w:p>
    <w:p w14:paraId="4D822CFA" w14:textId="77777777" w:rsidR="00310C8A" w:rsidRPr="00C010FA" w:rsidRDefault="00310C8A" w:rsidP="00815601">
      <w:pPr>
        <w:rPr>
          <w:rFonts w:ascii="Times New Roman" w:hAnsi="Times New Roman"/>
          <w:i/>
          <w:sz w:val="24"/>
          <w:szCs w:val="24"/>
        </w:rPr>
      </w:pPr>
      <w:r>
        <w:rPr>
          <w:rFonts w:ascii="Times New Roman" w:hAnsi="Times New Roman"/>
          <w:i/>
          <w:sz w:val="24"/>
          <w:szCs w:val="24"/>
        </w:rPr>
        <w:t>Applying to retire quota entitlements</w:t>
      </w:r>
    </w:p>
    <w:p w14:paraId="1604501C" w14:textId="77777777" w:rsidR="006B79F0" w:rsidRDefault="006B79F0" w:rsidP="00815601">
      <w:pPr>
        <w:rPr>
          <w:rFonts w:ascii="Times New Roman" w:hAnsi="Times New Roman"/>
          <w:sz w:val="24"/>
          <w:szCs w:val="24"/>
        </w:rPr>
      </w:pPr>
    </w:p>
    <w:p w14:paraId="3E81FB1E" w14:textId="7E8CB1A0" w:rsidR="00EE5902" w:rsidRPr="00F91885" w:rsidRDefault="00874CF4" w:rsidP="00534DFC">
      <w:pPr>
        <w:pStyle w:val="ListNumber"/>
        <w:numPr>
          <w:ilvl w:val="0"/>
          <w:numId w:val="8"/>
        </w:numPr>
        <w:spacing w:after="240"/>
        <w:ind w:left="567" w:hanging="567"/>
        <w:rPr>
          <w:color w:val="000000"/>
          <w:szCs w:val="24"/>
        </w:rPr>
      </w:pPr>
      <w:r>
        <w:rPr>
          <w:color w:val="000000"/>
          <w:szCs w:val="24"/>
        </w:rPr>
        <w:t>R</w:t>
      </w:r>
      <w:r w:rsidR="00EE5902" w:rsidRPr="00F91885">
        <w:rPr>
          <w:color w:val="000000"/>
          <w:szCs w:val="24"/>
        </w:rPr>
        <w:t xml:space="preserve">egulation 55 </w:t>
      </w:r>
      <w:r w:rsidR="00230B53" w:rsidRPr="00F91885">
        <w:rPr>
          <w:color w:val="000000"/>
          <w:szCs w:val="24"/>
        </w:rPr>
        <w:t>enable</w:t>
      </w:r>
      <w:r>
        <w:rPr>
          <w:color w:val="000000"/>
          <w:szCs w:val="24"/>
        </w:rPr>
        <w:t>s</w:t>
      </w:r>
      <w:r w:rsidR="00EE5902" w:rsidRPr="00F91885">
        <w:rPr>
          <w:color w:val="000000"/>
          <w:szCs w:val="24"/>
        </w:rPr>
        <w:t xml:space="preserve"> applications to be made to retire entitlement to HFC quota allocations. Applications to retire entitlements to HFC quota could not be made in respect of the first or second HFC quota allocation period. </w:t>
      </w:r>
      <w:r>
        <w:rPr>
          <w:color w:val="000000"/>
          <w:szCs w:val="24"/>
        </w:rPr>
        <w:t>Applications can o</w:t>
      </w:r>
      <w:r w:rsidR="00EE5902" w:rsidRPr="00F91885">
        <w:rPr>
          <w:color w:val="000000"/>
          <w:szCs w:val="24"/>
        </w:rPr>
        <w:t xml:space="preserve">nly be made in respect of the third or subsequent HFC quota allocation periods, and </w:t>
      </w:r>
      <w:r>
        <w:rPr>
          <w:color w:val="000000"/>
          <w:szCs w:val="24"/>
        </w:rPr>
        <w:t>can</w:t>
      </w:r>
      <w:r w:rsidR="00EE5902" w:rsidRPr="00F91885">
        <w:rPr>
          <w:color w:val="000000"/>
          <w:szCs w:val="24"/>
        </w:rPr>
        <w:t xml:space="preserve"> only be made in respect of entitlements that the person would have to grandfathered quota. </w:t>
      </w:r>
    </w:p>
    <w:p w14:paraId="473596A5" w14:textId="5B853C50" w:rsidR="00EE5902" w:rsidRPr="00F91885" w:rsidRDefault="00EE5902" w:rsidP="00534DFC">
      <w:pPr>
        <w:pStyle w:val="ListNumber"/>
        <w:numPr>
          <w:ilvl w:val="0"/>
          <w:numId w:val="8"/>
        </w:numPr>
        <w:spacing w:after="240"/>
        <w:ind w:left="567" w:hanging="567"/>
        <w:rPr>
          <w:color w:val="000000"/>
          <w:szCs w:val="24"/>
        </w:rPr>
      </w:pPr>
      <w:r w:rsidRPr="00F91885">
        <w:rPr>
          <w:color w:val="000000"/>
          <w:szCs w:val="24"/>
        </w:rPr>
        <w:t>A SGG licen</w:t>
      </w:r>
      <w:r w:rsidR="004F3EAC" w:rsidRPr="00F91885">
        <w:rPr>
          <w:color w:val="000000"/>
          <w:szCs w:val="24"/>
        </w:rPr>
        <w:t>s</w:t>
      </w:r>
      <w:r w:rsidRPr="00F91885">
        <w:rPr>
          <w:color w:val="000000"/>
          <w:szCs w:val="24"/>
        </w:rPr>
        <w:t>ee may apply for the retirement of all or a percentage of their entitlement to HFC quotas for calendar years in or after a specified HFC quota allocation period (the retirement period), provided the licen</w:t>
      </w:r>
      <w:r w:rsidR="004F3EAC" w:rsidRPr="00F91885">
        <w:rPr>
          <w:color w:val="000000"/>
          <w:szCs w:val="24"/>
        </w:rPr>
        <w:t>s</w:t>
      </w:r>
      <w:r w:rsidRPr="00F91885">
        <w:rPr>
          <w:color w:val="000000"/>
          <w:szCs w:val="24"/>
        </w:rPr>
        <w:t xml:space="preserve">ee has been allocated HFC quotas in the calendar years in the HFC quota allocation period immediately preceding the retirement period, and the retirement period occurs after the second HFC quota allocation period. </w:t>
      </w:r>
    </w:p>
    <w:p w14:paraId="6DE10F28" w14:textId="77777777" w:rsidR="00EE5902" w:rsidRPr="00F91885" w:rsidRDefault="00EE5902" w:rsidP="00534DFC">
      <w:pPr>
        <w:pStyle w:val="ListNumber"/>
        <w:numPr>
          <w:ilvl w:val="0"/>
          <w:numId w:val="8"/>
        </w:numPr>
        <w:spacing w:after="240"/>
        <w:ind w:left="567" w:hanging="567"/>
        <w:rPr>
          <w:color w:val="000000"/>
          <w:szCs w:val="24"/>
        </w:rPr>
      </w:pPr>
      <w:r w:rsidRPr="00F91885">
        <w:rPr>
          <w:color w:val="000000"/>
          <w:szCs w:val="24"/>
        </w:rPr>
        <w:t xml:space="preserve">The application must be in writing and be given to the Minister no later than 30 June of the last calendar year before the start of the retirement period.  </w:t>
      </w:r>
    </w:p>
    <w:p w14:paraId="5E43B0CE" w14:textId="77777777" w:rsidR="00310C8A" w:rsidRPr="00C010FA" w:rsidRDefault="00310C8A" w:rsidP="00815601">
      <w:pPr>
        <w:rPr>
          <w:rFonts w:ascii="Times New Roman" w:hAnsi="Times New Roman"/>
          <w:i/>
          <w:sz w:val="24"/>
          <w:szCs w:val="24"/>
        </w:rPr>
      </w:pPr>
      <w:r>
        <w:rPr>
          <w:rFonts w:ascii="Times New Roman" w:hAnsi="Times New Roman"/>
          <w:i/>
          <w:sz w:val="24"/>
          <w:szCs w:val="24"/>
        </w:rPr>
        <w:t>Consultation before retiring quota entitlements</w:t>
      </w:r>
    </w:p>
    <w:p w14:paraId="65E2BD5A" w14:textId="77777777" w:rsidR="0018152C" w:rsidRDefault="0018152C" w:rsidP="00815601">
      <w:pPr>
        <w:rPr>
          <w:rFonts w:ascii="Times New Roman" w:hAnsi="Times New Roman"/>
          <w:sz w:val="24"/>
          <w:szCs w:val="24"/>
        </w:rPr>
      </w:pPr>
    </w:p>
    <w:p w14:paraId="468722D3" w14:textId="5F6E85C7" w:rsidR="0018152C" w:rsidRPr="00F91885" w:rsidRDefault="00874CF4" w:rsidP="00534DFC">
      <w:pPr>
        <w:pStyle w:val="ListNumber"/>
        <w:numPr>
          <w:ilvl w:val="0"/>
          <w:numId w:val="8"/>
        </w:numPr>
        <w:spacing w:after="240"/>
        <w:ind w:left="567" w:hanging="567"/>
        <w:rPr>
          <w:color w:val="000000"/>
          <w:szCs w:val="24"/>
        </w:rPr>
      </w:pPr>
      <w:proofErr w:type="spellStart"/>
      <w:r>
        <w:rPr>
          <w:color w:val="000000"/>
          <w:szCs w:val="24"/>
        </w:rPr>
        <w:t>S</w:t>
      </w:r>
      <w:r w:rsidR="00F64A75" w:rsidRPr="00F91885">
        <w:rPr>
          <w:color w:val="000000"/>
          <w:szCs w:val="24"/>
        </w:rPr>
        <w:t>ubregulation</w:t>
      </w:r>
      <w:proofErr w:type="spellEnd"/>
      <w:r w:rsidR="00F64A75" w:rsidRPr="00F91885">
        <w:rPr>
          <w:color w:val="000000"/>
          <w:szCs w:val="24"/>
        </w:rPr>
        <w:t xml:space="preserve"> 56(1) provide</w:t>
      </w:r>
      <w:r>
        <w:rPr>
          <w:color w:val="000000"/>
          <w:szCs w:val="24"/>
        </w:rPr>
        <w:t>s</w:t>
      </w:r>
      <w:r w:rsidR="00F64A75" w:rsidRPr="00F91885">
        <w:rPr>
          <w:color w:val="000000"/>
          <w:szCs w:val="24"/>
        </w:rPr>
        <w:t xml:space="preserve"> that before the Minister makes a decision on an application under regulation 55 to retire a percentage of a SGG licen</w:t>
      </w:r>
      <w:r w:rsidR="004F3EAC" w:rsidRPr="00F91885">
        <w:rPr>
          <w:color w:val="000000"/>
          <w:szCs w:val="24"/>
        </w:rPr>
        <w:t>s</w:t>
      </w:r>
      <w:r w:rsidR="00F64A75" w:rsidRPr="00F91885">
        <w:rPr>
          <w:color w:val="000000"/>
          <w:szCs w:val="24"/>
        </w:rPr>
        <w:t>ee’s entitlement to HFC quotas for c</w:t>
      </w:r>
      <w:r w:rsidR="004F3EAC" w:rsidRPr="00F91885">
        <w:rPr>
          <w:color w:val="000000"/>
          <w:szCs w:val="24"/>
        </w:rPr>
        <w:t>al</w:t>
      </w:r>
      <w:r w:rsidR="00F64A75" w:rsidRPr="00F91885">
        <w:rPr>
          <w:color w:val="000000"/>
          <w:szCs w:val="24"/>
        </w:rPr>
        <w:t>e</w:t>
      </w:r>
      <w:r w:rsidR="004F3EAC" w:rsidRPr="00F91885">
        <w:rPr>
          <w:color w:val="000000"/>
          <w:szCs w:val="24"/>
        </w:rPr>
        <w:t>n</w:t>
      </w:r>
      <w:r w:rsidR="00F64A75" w:rsidRPr="00F91885">
        <w:rPr>
          <w:color w:val="000000"/>
          <w:szCs w:val="24"/>
        </w:rPr>
        <w:t xml:space="preserve">dar years occurring in or after the retirement period, the Minister must consult the industry and the public about the application. </w:t>
      </w:r>
    </w:p>
    <w:p w14:paraId="183F26F2" w14:textId="2CDF9BC2" w:rsidR="00F64A75" w:rsidRPr="00F91885" w:rsidRDefault="00F64A75" w:rsidP="00534DFC">
      <w:pPr>
        <w:pStyle w:val="ListNumber"/>
        <w:numPr>
          <w:ilvl w:val="0"/>
          <w:numId w:val="8"/>
        </w:numPr>
        <w:spacing w:after="240"/>
        <w:ind w:left="567" w:hanging="567"/>
        <w:rPr>
          <w:color w:val="000000"/>
          <w:szCs w:val="24"/>
        </w:rPr>
      </w:pPr>
      <w:r w:rsidRPr="00F91885">
        <w:rPr>
          <w:color w:val="000000"/>
          <w:szCs w:val="24"/>
        </w:rPr>
        <w:t xml:space="preserve">Without limiting the ways in which the Minister may comply with the obligation in </w:t>
      </w:r>
      <w:proofErr w:type="spellStart"/>
      <w:r w:rsidRPr="00F91885">
        <w:rPr>
          <w:color w:val="000000"/>
          <w:szCs w:val="24"/>
        </w:rPr>
        <w:t>subregulation</w:t>
      </w:r>
      <w:proofErr w:type="spellEnd"/>
      <w:r w:rsidRPr="00F91885">
        <w:rPr>
          <w:color w:val="000000"/>
          <w:szCs w:val="24"/>
        </w:rPr>
        <w:t xml:space="preserve"> 56(1), </w:t>
      </w:r>
      <w:proofErr w:type="spellStart"/>
      <w:r w:rsidRPr="00F91885">
        <w:rPr>
          <w:color w:val="000000"/>
          <w:szCs w:val="24"/>
        </w:rPr>
        <w:t>subregulation</w:t>
      </w:r>
      <w:proofErr w:type="spellEnd"/>
      <w:r w:rsidRPr="00F91885">
        <w:rPr>
          <w:color w:val="000000"/>
          <w:szCs w:val="24"/>
        </w:rPr>
        <w:t xml:space="preserve"> 56(2) specif</w:t>
      </w:r>
      <w:r w:rsidR="00874CF4">
        <w:rPr>
          <w:color w:val="000000"/>
          <w:szCs w:val="24"/>
        </w:rPr>
        <w:t>ies the</w:t>
      </w:r>
      <w:r w:rsidRPr="00F91885">
        <w:rPr>
          <w:color w:val="000000"/>
          <w:szCs w:val="24"/>
        </w:rPr>
        <w:t xml:space="preserve"> circumstances in which the Minister would be taken to have complied with that obligation. </w:t>
      </w:r>
    </w:p>
    <w:p w14:paraId="44E74B58" w14:textId="77FA066C" w:rsidR="00F64A75" w:rsidRPr="00F91885" w:rsidRDefault="00874CF4" w:rsidP="00534DFC">
      <w:pPr>
        <w:pStyle w:val="ListNumber"/>
        <w:numPr>
          <w:ilvl w:val="0"/>
          <w:numId w:val="8"/>
        </w:numPr>
        <w:spacing w:after="240"/>
        <w:ind w:left="567" w:hanging="567"/>
        <w:rPr>
          <w:color w:val="000000"/>
          <w:szCs w:val="24"/>
        </w:rPr>
      </w:pPr>
      <w:proofErr w:type="spellStart"/>
      <w:r>
        <w:rPr>
          <w:color w:val="000000"/>
          <w:szCs w:val="24"/>
        </w:rPr>
        <w:lastRenderedPageBreak/>
        <w:t>S</w:t>
      </w:r>
      <w:r w:rsidR="00F64A75" w:rsidRPr="00F91885">
        <w:rPr>
          <w:color w:val="000000"/>
          <w:szCs w:val="24"/>
        </w:rPr>
        <w:t>ubregulation</w:t>
      </w:r>
      <w:proofErr w:type="spellEnd"/>
      <w:r w:rsidR="00F64A75" w:rsidRPr="00F91885">
        <w:rPr>
          <w:color w:val="000000"/>
          <w:szCs w:val="24"/>
        </w:rPr>
        <w:t xml:space="preserve"> 56(3) </w:t>
      </w:r>
      <w:r>
        <w:rPr>
          <w:color w:val="000000"/>
          <w:szCs w:val="24"/>
        </w:rPr>
        <w:t>clarifies</w:t>
      </w:r>
      <w:r w:rsidR="00F64A75" w:rsidRPr="00F91885">
        <w:rPr>
          <w:color w:val="000000"/>
          <w:szCs w:val="24"/>
        </w:rPr>
        <w:t xml:space="preserve"> that a failure to consult as required by </w:t>
      </w:r>
      <w:proofErr w:type="spellStart"/>
      <w:r w:rsidR="00F64A75" w:rsidRPr="00F91885">
        <w:rPr>
          <w:color w:val="000000"/>
          <w:szCs w:val="24"/>
        </w:rPr>
        <w:t>subregulation</w:t>
      </w:r>
      <w:proofErr w:type="spellEnd"/>
      <w:r w:rsidR="00F64A75" w:rsidRPr="00F91885">
        <w:rPr>
          <w:color w:val="000000"/>
          <w:szCs w:val="24"/>
        </w:rPr>
        <w:t xml:space="preserve"> 56(1) would not invalidate a decision made under Division</w:t>
      </w:r>
      <w:r w:rsidR="00230B53" w:rsidRPr="00F91885">
        <w:rPr>
          <w:color w:val="000000"/>
          <w:szCs w:val="24"/>
        </w:rPr>
        <w:t xml:space="preserve"> 4A.</w:t>
      </w:r>
      <w:r w:rsidR="00226B6F" w:rsidRPr="00F91885">
        <w:rPr>
          <w:color w:val="000000"/>
          <w:szCs w:val="24"/>
        </w:rPr>
        <w:t>3</w:t>
      </w:r>
      <w:r w:rsidR="00F64A75" w:rsidRPr="00F91885">
        <w:rPr>
          <w:color w:val="000000"/>
          <w:szCs w:val="24"/>
        </w:rPr>
        <w:t xml:space="preserve">. </w:t>
      </w:r>
    </w:p>
    <w:p w14:paraId="1FFBD560" w14:textId="350B86B6" w:rsidR="00230B53" w:rsidRDefault="00230B53" w:rsidP="00230B53">
      <w:pPr>
        <w:rPr>
          <w:rFonts w:ascii="Times New Roman" w:hAnsi="Times New Roman"/>
          <w:i/>
          <w:sz w:val="24"/>
          <w:szCs w:val="24"/>
        </w:rPr>
      </w:pPr>
      <w:r>
        <w:rPr>
          <w:rFonts w:ascii="Times New Roman" w:hAnsi="Times New Roman"/>
          <w:i/>
          <w:sz w:val="24"/>
          <w:szCs w:val="24"/>
        </w:rPr>
        <w:t>Retiring quota entitlements</w:t>
      </w:r>
    </w:p>
    <w:p w14:paraId="1B35916E" w14:textId="77777777" w:rsidR="00230B53" w:rsidRDefault="00230B53" w:rsidP="00230B53">
      <w:pPr>
        <w:rPr>
          <w:rFonts w:ascii="Times New Roman" w:hAnsi="Times New Roman"/>
          <w:i/>
          <w:sz w:val="24"/>
          <w:szCs w:val="24"/>
        </w:rPr>
      </w:pPr>
    </w:p>
    <w:p w14:paraId="7118DC5C" w14:textId="1C944549" w:rsidR="00922BC9" w:rsidRPr="00934FD7" w:rsidRDefault="00874CF4" w:rsidP="00534DFC">
      <w:pPr>
        <w:pStyle w:val="ListNumber"/>
        <w:numPr>
          <w:ilvl w:val="0"/>
          <w:numId w:val="8"/>
        </w:numPr>
        <w:spacing w:after="240"/>
        <w:ind w:left="567" w:hanging="567"/>
        <w:rPr>
          <w:color w:val="000000"/>
          <w:szCs w:val="24"/>
        </w:rPr>
      </w:pPr>
      <w:proofErr w:type="spellStart"/>
      <w:r>
        <w:rPr>
          <w:color w:val="000000"/>
          <w:szCs w:val="24"/>
        </w:rPr>
        <w:t>S</w:t>
      </w:r>
      <w:r w:rsidR="00922BC9" w:rsidRPr="00934FD7">
        <w:rPr>
          <w:color w:val="000000"/>
          <w:szCs w:val="24"/>
        </w:rPr>
        <w:t>ubregulation</w:t>
      </w:r>
      <w:proofErr w:type="spellEnd"/>
      <w:r w:rsidR="00922BC9" w:rsidRPr="00934FD7">
        <w:rPr>
          <w:color w:val="000000"/>
          <w:szCs w:val="24"/>
        </w:rPr>
        <w:t xml:space="preserve"> 57(1) </w:t>
      </w:r>
      <w:r>
        <w:rPr>
          <w:color w:val="000000"/>
          <w:szCs w:val="24"/>
        </w:rPr>
        <w:t>provides</w:t>
      </w:r>
      <w:r w:rsidR="00922BC9" w:rsidRPr="00934FD7">
        <w:rPr>
          <w:color w:val="000000"/>
          <w:szCs w:val="24"/>
        </w:rPr>
        <w:t xml:space="preserve"> that if an SGG licen</w:t>
      </w:r>
      <w:r w:rsidR="004F3EAC" w:rsidRPr="00934FD7">
        <w:rPr>
          <w:color w:val="000000"/>
          <w:szCs w:val="24"/>
        </w:rPr>
        <w:t>s</w:t>
      </w:r>
      <w:r w:rsidR="00922BC9" w:rsidRPr="00934FD7">
        <w:rPr>
          <w:color w:val="000000"/>
          <w:szCs w:val="24"/>
        </w:rPr>
        <w:t xml:space="preserve">ee made an application under </w:t>
      </w:r>
      <w:r w:rsidR="00922BC9" w:rsidRPr="00843C93">
        <w:rPr>
          <w:szCs w:val="24"/>
        </w:rPr>
        <w:t>regulation</w:t>
      </w:r>
      <w:r w:rsidR="00922BC9" w:rsidRPr="00934FD7">
        <w:rPr>
          <w:color w:val="000000"/>
          <w:szCs w:val="24"/>
        </w:rPr>
        <w:t xml:space="preserve"> 55, the Minister must either refuse the application by written notice to the applicant, or retire a specified percentage of the licensee’s entitle</w:t>
      </w:r>
      <w:r w:rsidR="004F3EAC" w:rsidRPr="00934FD7">
        <w:rPr>
          <w:color w:val="000000"/>
          <w:szCs w:val="24"/>
        </w:rPr>
        <w:t>me</w:t>
      </w:r>
      <w:r w:rsidR="00922BC9" w:rsidRPr="00934FD7">
        <w:rPr>
          <w:color w:val="000000"/>
          <w:szCs w:val="24"/>
        </w:rPr>
        <w:t xml:space="preserve">nt to HFC quotas by notifiable instrument. The specified percentage must either be the same percentage specified in the application, or a lesser percentage. </w:t>
      </w:r>
    </w:p>
    <w:p w14:paraId="3661E6FF" w14:textId="7F78F160" w:rsidR="00F64A75" w:rsidRDefault="00874CF4" w:rsidP="00534DFC">
      <w:pPr>
        <w:pStyle w:val="ListNumber"/>
        <w:numPr>
          <w:ilvl w:val="0"/>
          <w:numId w:val="8"/>
        </w:numPr>
        <w:spacing w:after="240"/>
        <w:ind w:left="567" w:hanging="567"/>
        <w:rPr>
          <w:color w:val="000000"/>
          <w:szCs w:val="24"/>
        </w:rPr>
      </w:pPr>
      <w:proofErr w:type="spellStart"/>
      <w:r>
        <w:rPr>
          <w:color w:val="000000"/>
          <w:szCs w:val="24"/>
        </w:rPr>
        <w:t>S</w:t>
      </w:r>
      <w:r w:rsidR="00922BC9" w:rsidRPr="00934FD7">
        <w:rPr>
          <w:color w:val="000000"/>
          <w:szCs w:val="24"/>
        </w:rPr>
        <w:t>ubregulation</w:t>
      </w:r>
      <w:proofErr w:type="spellEnd"/>
      <w:r w:rsidR="00922BC9" w:rsidRPr="00934FD7">
        <w:rPr>
          <w:color w:val="000000"/>
          <w:szCs w:val="24"/>
        </w:rPr>
        <w:t xml:space="preserve"> 57(3) provide</w:t>
      </w:r>
      <w:r>
        <w:rPr>
          <w:color w:val="000000"/>
          <w:szCs w:val="24"/>
        </w:rPr>
        <w:t>s</w:t>
      </w:r>
      <w:r w:rsidR="00922BC9" w:rsidRPr="00934FD7">
        <w:rPr>
          <w:color w:val="000000"/>
          <w:szCs w:val="24"/>
        </w:rPr>
        <w:t xml:space="preserve"> that in deciding an application, the Minister must have regard </w:t>
      </w:r>
      <w:r w:rsidR="0083288F" w:rsidRPr="00934FD7">
        <w:rPr>
          <w:color w:val="000000"/>
          <w:szCs w:val="24"/>
        </w:rPr>
        <w:t xml:space="preserve">to </w:t>
      </w:r>
      <w:r w:rsidR="0083288F" w:rsidRPr="00843C93">
        <w:rPr>
          <w:szCs w:val="24"/>
        </w:rPr>
        <w:t>the</w:t>
      </w:r>
      <w:r w:rsidR="0083288F" w:rsidRPr="00934FD7">
        <w:rPr>
          <w:color w:val="000000"/>
          <w:szCs w:val="24"/>
        </w:rPr>
        <w:t xml:space="preserve"> likely demand for HFC in Australia in those years, and have regard to Australia’s international obligations, and the policies of the Commonwealth Government, in relation to the manufacture, importation, or consumption of scheduled substances. </w:t>
      </w:r>
    </w:p>
    <w:p w14:paraId="55A33586" w14:textId="5DD0DC12" w:rsidR="0088056D" w:rsidRDefault="0088056D" w:rsidP="00534DFC">
      <w:pPr>
        <w:pStyle w:val="ListNumber"/>
        <w:numPr>
          <w:ilvl w:val="0"/>
          <w:numId w:val="8"/>
        </w:numPr>
        <w:spacing w:after="240"/>
        <w:ind w:left="567" w:hanging="567"/>
        <w:rPr>
          <w:szCs w:val="24"/>
        </w:rPr>
      </w:pPr>
      <w:r w:rsidRPr="0088056D">
        <w:rPr>
          <w:szCs w:val="24"/>
        </w:rPr>
        <w:t>A decision made by the Minister not to retire HFC quota under subsection 57</w:t>
      </w:r>
      <w:r>
        <w:rPr>
          <w:szCs w:val="24"/>
        </w:rPr>
        <w:t>(1)</w:t>
      </w:r>
      <w:r w:rsidRPr="0088056D">
        <w:rPr>
          <w:szCs w:val="24"/>
        </w:rPr>
        <w:t xml:space="preserve"> would </w:t>
      </w:r>
      <w:r>
        <w:rPr>
          <w:szCs w:val="24"/>
        </w:rPr>
        <w:t xml:space="preserve">not be subject to merits review </w:t>
      </w:r>
      <w:r w:rsidRPr="0088056D">
        <w:rPr>
          <w:szCs w:val="24"/>
        </w:rPr>
        <w:t xml:space="preserve">because </w:t>
      </w:r>
      <w:r>
        <w:rPr>
          <w:szCs w:val="24"/>
        </w:rPr>
        <w:t>it would</w:t>
      </w:r>
      <w:r w:rsidRPr="0088056D">
        <w:rPr>
          <w:szCs w:val="24"/>
        </w:rPr>
        <w:t xml:space="preserve"> not</w:t>
      </w:r>
      <w:r>
        <w:rPr>
          <w:szCs w:val="24"/>
        </w:rPr>
        <w:t xml:space="preserve"> be</w:t>
      </w:r>
      <w:r w:rsidRPr="0088056D">
        <w:rPr>
          <w:szCs w:val="24"/>
        </w:rPr>
        <w:t xml:space="preserve"> an administrative decision that would affect the interests of the applicant</w:t>
      </w:r>
      <w:r>
        <w:rPr>
          <w:szCs w:val="24"/>
        </w:rPr>
        <w:t xml:space="preserve"> or any other person</w:t>
      </w:r>
      <w:r w:rsidRPr="0088056D">
        <w:rPr>
          <w:szCs w:val="24"/>
        </w:rPr>
        <w:t>.</w:t>
      </w:r>
    </w:p>
    <w:p w14:paraId="21ECCF99" w14:textId="2C78F706" w:rsidR="0088056D" w:rsidRDefault="0088056D" w:rsidP="00534DFC">
      <w:pPr>
        <w:pStyle w:val="ListNumber"/>
        <w:numPr>
          <w:ilvl w:val="0"/>
          <w:numId w:val="8"/>
        </w:numPr>
        <w:spacing w:after="240"/>
        <w:ind w:left="567" w:hanging="567"/>
        <w:rPr>
          <w:szCs w:val="24"/>
        </w:rPr>
      </w:pPr>
      <w:r w:rsidRPr="0088056D">
        <w:rPr>
          <w:szCs w:val="24"/>
        </w:rPr>
        <w:t xml:space="preserve">There would be no obligation imposed on the applicant if their application for the retirement of HFC quota were refused, or any obligation that was imposed would be so minor that it could not be considered to be an extra obligation. This is because the applicant </w:t>
      </w:r>
      <w:r>
        <w:rPr>
          <w:szCs w:val="24"/>
        </w:rPr>
        <w:t>could simply</w:t>
      </w:r>
      <w:r w:rsidRPr="0088056D">
        <w:rPr>
          <w:szCs w:val="24"/>
        </w:rPr>
        <w:t xml:space="preserve"> refrain from action</w:t>
      </w:r>
      <w:r>
        <w:rPr>
          <w:szCs w:val="24"/>
        </w:rPr>
        <w:t xml:space="preserve"> </w:t>
      </w:r>
      <w:r w:rsidRPr="0088056D">
        <w:rPr>
          <w:szCs w:val="24"/>
        </w:rPr>
        <w:t xml:space="preserve">in order to achieve results that would in effect be the same for the applicant as the retirement of all or a percentage of their HFC quota allocation. </w:t>
      </w:r>
    </w:p>
    <w:p w14:paraId="14E4EE96" w14:textId="1EB764C5" w:rsidR="0088056D" w:rsidRPr="0088056D" w:rsidRDefault="0088056D" w:rsidP="00534DFC">
      <w:pPr>
        <w:pStyle w:val="ListNumber"/>
        <w:numPr>
          <w:ilvl w:val="0"/>
          <w:numId w:val="8"/>
        </w:numPr>
        <w:spacing w:after="240"/>
        <w:ind w:left="567" w:hanging="567"/>
        <w:rPr>
          <w:szCs w:val="24"/>
        </w:rPr>
      </w:pPr>
      <w:r w:rsidRPr="0088056D">
        <w:rPr>
          <w:szCs w:val="24"/>
        </w:rPr>
        <w:t xml:space="preserve">If the applicant wished to retire their whole HFC quota allocation, it would be open to the applicant </w:t>
      </w:r>
      <w:r>
        <w:rPr>
          <w:szCs w:val="24"/>
        </w:rPr>
        <w:t>not to</w:t>
      </w:r>
      <w:r w:rsidRPr="0088056D">
        <w:rPr>
          <w:szCs w:val="24"/>
        </w:rPr>
        <w:t xml:space="preserve"> apply for a quota allocation in the next HFC quota allocation period. The result would be the same for the applicant in the next HFC quota allocation period as if they had retired their whole HFC quota allocation, as they would receive no HFC quota. </w:t>
      </w:r>
    </w:p>
    <w:p w14:paraId="2DA1A757" w14:textId="77777777" w:rsidR="0088056D" w:rsidRDefault="0088056D" w:rsidP="00534DFC">
      <w:pPr>
        <w:pStyle w:val="ListNumber"/>
        <w:numPr>
          <w:ilvl w:val="0"/>
          <w:numId w:val="8"/>
        </w:numPr>
        <w:spacing w:after="240"/>
        <w:ind w:left="567" w:hanging="567"/>
        <w:rPr>
          <w:szCs w:val="24"/>
        </w:rPr>
      </w:pPr>
      <w:r w:rsidRPr="0088056D">
        <w:rPr>
          <w:szCs w:val="24"/>
        </w:rPr>
        <w:t xml:space="preserve">If the applicant wished to retire a percentage of their HFC quota allocation, it would be open to the applicant to not import an amount of HFCs equivalent to the amount of HFCs that the applicant wished to retire in the base period for the next HFC allocation period. The applicant’s HFC quota allocation would then be reduced by the same percentage that they had sought to retire in the next HFC quota allocation period. </w:t>
      </w:r>
    </w:p>
    <w:p w14:paraId="2D9D8CF3" w14:textId="3F9B5FC5" w:rsidR="0088056D" w:rsidRPr="0088056D" w:rsidRDefault="0088056D" w:rsidP="00534DFC">
      <w:pPr>
        <w:pStyle w:val="ListNumber"/>
        <w:numPr>
          <w:ilvl w:val="0"/>
          <w:numId w:val="8"/>
        </w:numPr>
        <w:spacing w:after="240"/>
        <w:ind w:left="567" w:hanging="567"/>
        <w:rPr>
          <w:szCs w:val="24"/>
        </w:rPr>
      </w:pPr>
      <w:r>
        <w:rPr>
          <w:szCs w:val="24"/>
        </w:rPr>
        <w:t xml:space="preserve">A decision by the Minister to refuse the application to retire HFC quota </w:t>
      </w:r>
      <w:r w:rsidRPr="0088056D">
        <w:rPr>
          <w:szCs w:val="24"/>
        </w:rPr>
        <w:t>would not affect the interests of other HFC quota holders</w:t>
      </w:r>
      <w:r>
        <w:rPr>
          <w:szCs w:val="24"/>
        </w:rPr>
        <w:t>.</w:t>
      </w:r>
      <w:r w:rsidRPr="0088056D">
        <w:rPr>
          <w:szCs w:val="24"/>
        </w:rPr>
        <w:t xml:space="preserve"> </w:t>
      </w:r>
      <w:r>
        <w:rPr>
          <w:szCs w:val="24"/>
          <w:lang w:eastAsia="en-US"/>
        </w:rPr>
        <w:t xml:space="preserve">The other quota holders would not have incurred any benefit if the application had been granted, and would not suffer any detriment if the application to retire HFC quota were refused. </w:t>
      </w:r>
      <w:proofErr w:type="spellStart"/>
      <w:r w:rsidR="00874CF4">
        <w:rPr>
          <w:szCs w:val="24"/>
        </w:rPr>
        <w:t>S</w:t>
      </w:r>
      <w:r w:rsidRPr="0088056D">
        <w:rPr>
          <w:szCs w:val="24"/>
        </w:rPr>
        <w:t>ub</w:t>
      </w:r>
      <w:r w:rsidRPr="0088056D">
        <w:rPr>
          <w:szCs w:val="24"/>
          <w:lang w:eastAsia="en-US"/>
        </w:rPr>
        <w:t>regulation</w:t>
      </w:r>
      <w:proofErr w:type="spellEnd"/>
      <w:r w:rsidRPr="0088056D">
        <w:rPr>
          <w:szCs w:val="24"/>
          <w:lang w:eastAsia="en-US"/>
        </w:rPr>
        <w:t xml:space="preserve"> 58</w:t>
      </w:r>
      <w:r w:rsidRPr="0088056D">
        <w:rPr>
          <w:szCs w:val="24"/>
        </w:rPr>
        <w:t>(2)</w:t>
      </w:r>
      <w:r w:rsidRPr="0088056D">
        <w:rPr>
          <w:szCs w:val="24"/>
          <w:lang w:eastAsia="en-US"/>
        </w:rPr>
        <w:t xml:space="preserve"> </w:t>
      </w:r>
      <w:r w:rsidRPr="0088056D">
        <w:rPr>
          <w:szCs w:val="24"/>
        </w:rPr>
        <w:t>would</w:t>
      </w:r>
      <w:r w:rsidRPr="0088056D">
        <w:rPr>
          <w:szCs w:val="24"/>
          <w:lang w:eastAsia="en-US"/>
        </w:rPr>
        <w:t xml:space="preserve"> </w:t>
      </w:r>
      <w:r w:rsidRPr="0088056D">
        <w:rPr>
          <w:szCs w:val="24"/>
        </w:rPr>
        <w:t>operate to ensure</w:t>
      </w:r>
      <w:r w:rsidRPr="0088056D">
        <w:rPr>
          <w:szCs w:val="24"/>
          <w:lang w:eastAsia="en-US"/>
        </w:rPr>
        <w:t xml:space="preserve"> that a retirement of some or all of one HFC quota holder’s quota allocation </w:t>
      </w:r>
      <w:r w:rsidRPr="0088056D">
        <w:rPr>
          <w:szCs w:val="24"/>
        </w:rPr>
        <w:t>would</w:t>
      </w:r>
      <w:r w:rsidRPr="0088056D">
        <w:rPr>
          <w:szCs w:val="24"/>
          <w:lang w:eastAsia="en-US"/>
        </w:rPr>
        <w:t xml:space="preserve"> not affect the size of the quota allocation of any other HFC quota holders in the current HFC quota allocation period or any future HFC quota allocation period.</w:t>
      </w:r>
      <w:r>
        <w:rPr>
          <w:szCs w:val="24"/>
          <w:lang w:eastAsia="en-US"/>
        </w:rPr>
        <w:t xml:space="preserve"> </w:t>
      </w:r>
      <w:r>
        <w:rPr>
          <w:szCs w:val="24"/>
        </w:rPr>
        <w:t xml:space="preserve">If the application to retire had been granted, there would have been no beneficial impact for other HFC quota holders, as the size of their quota allocations would have remained the same. </w:t>
      </w:r>
    </w:p>
    <w:p w14:paraId="23F6E8A9" w14:textId="77777777" w:rsidR="00310C8A" w:rsidRPr="00C010FA" w:rsidRDefault="00310C8A" w:rsidP="00815601">
      <w:pPr>
        <w:rPr>
          <w:rFonts w:ascii="Times New Roman" w:hAnsi="Times New Roman"/>
          <w:i/>
          <w:sz w:val="24"/>
          <w:szCs w:val="24"/>
        </w:rPr>
      </w:pPr>
      <w:r>
        <w:rPr>
          <w:rFonts w:ascii="Times New Roman" w:hAnsi="Times New Roman"/>
          <w:i/>
          <w:sz w:val="24"/>
          <w:szCs w:val="24"/>
        </w:rPr>
        <w:t>Retiring quota entitlements - effects</w:t>
      </w:r>
    </w:p>
    <w:p w14:paraId="524855FD" w14:textId="77777777" w:rsidR="00310C8A" w:rsidRDefault="00310C8A" w:rsidP="00815601">
      <w:pPr>
        <w:rPr>
          <w:rFonts w:ascii="Times New Roman" w:hAnsi="Times New Roman"/>
          <w:sz w:val="24"/>
          <w:szCs w:val="24"/>
        </w:rPr>
      </w:pPr>
    </w:p>
    <w:p w14:paraId="67C133E1" w14:textId="55581F11" w:rsidR="00934FD7" w:rsidRPr="00934FD7" w:rsidRDefault="00874CF4" w:rsidP="00534DFC">
      <w:pPr>
        <w:pStyle w:val="ListNumber"/>
        <w:numPr>
          <w:ilvl w:val="0"/>
          <w:numId w:val="8"/>
        </w:numPr>
        <w:spacing w:after="240"/>
        <w:ind w:left="567" w:hanging="567"/>
        <w:rPr>
          <w:szCs w:val="24"/>
        </w:rPr>
      </w:pPr>
      <w:proofErr w:type="spellStart"/>
      <w:r>
        <w:rPr>
          <w:color w:val="000000"/>
          <w:szCs w:val="24"/>
        </w:rPr>
        <w:t>S</w:t>
      </w:r>
      <w:r w:rsidR="00192BFE" w:rsidRPr="00934FD7">
        <w:rPr>
          <w:color w:val="000000"/>
          <w:szCs w:val="24"/>
        </w:rPr>
        <w:t>ubregulation</w:t>
      </w:r>
      <w:proofErr w:type="spellEnd"/>
      <w:r w:rsidR="00192BFE" w:rsidRPr="00934FD7">
        <w:rPr>
          <w:color w:val="000000"/>
          <w:szCs w:val="24"/>
        </w:rPr>
        <w:t xml:space="preserve"> 58(2) </w:t>
      </w:r>
      <w:r>
        <w:rPr>
          <w:color w:val="000000"/>
          <w:szCs w:val="24"/>
        </w:rPr>
        <w:t>relates</w:t>
      </w:r>
      <w:r w:rsidR="00192BFE" w:rsidRPr="00934FD7">
        <w:rPr>
          <w:color w:val="000000"/>
          <w:szCs w:val="24"/>
        </w:rPr>
        <w:t xml:space="preserve"> to the effect </w:t>
      </w:r>
      <w:r w:rsidR="00F12842" w:rsidRPr="00934FD7">
        <w:rPr>
          <w:color w:val="000000"/>
          <w:szCs w:val="24"/>
        </w:rPr>
        <w:t xml:space="preserve">of the retirement </w:t>
      </w:r>
      <w:r w:rsidR="00192BFE" w:rsidRPr="00934FD7">
        <w:rPr>
          <w:color w:val="000000"/>
          <w:szCs w:val="24"/>
        </w:rPr>
        <w:t xml:space="preserve">on the applicant’s HFC quotas. </w:t>
      </w:r>
      <w:r>
        <w:rPr>
          <w:color w:val="000000"/>
          <w:szCs w:val="24"/>
        </w:rPr>
        <w:t>P</w:t>
      </w:r>
      <w:r w:rsidR="00645C7E" w:rsidRPr="00934FD7">
        <w:rPr>
          <w:color w:val="000000"/>
          <w:szCs w:val="24"/>
        </w:rPr>
        <w:t>aragraph 58(2</w:t>
      </w:r>
      <w:proofErr w:type="gramStart"/>
      <w:r w:rsidR="00645C7E" w:rsidRPr="00934FD7">
        <w:rPr>
          <w:color w:val="000000"/>
          <w:szCs w:val="24"/>
        </w:rPr>
        <w:t>)(</w:t>
      </w:r>
      <w:proofErr w:type="gramEnd"/>
      <w:r w:rsidR="00645C7E" w:rsidRPr="00934FD7">
        <w:rPr>
          <w:color w:val="000000"/>
          <w:szCs w:val="24"/>
        </w:rPr>
        <w:t xml:space="preserve">a) </w:t>
      </w:r>
      <w:r>
        <w:rPr>
          <w:color w:val="000000"/>
          <w:szCs w:val="24"/>
        </w:rPr>
        <w:t>provides</w:t>
      </w:r>
      <w:r w:rsidR="00645C7E" w:rsidRPr="00934FD7">
        <w:rPr>
          <w:color w:val="000000"/>
          <w:szCs w:val="24"/>
        </w:rPr>
        <w:t xml:space="preserve"> that t</w:t>
      </w:r>
      <w:r w:rsidR="00192BFE" w:rsidRPr="00934FD7">
        <w:rPr>
          <w:color w:val="000000"/>
          <w:szCs w:val="24"/>
        </w:rPr>
        <w:t xml:space="preserve">he amount of grandfathered </w:t>
      </w:r>
      <w:r w:rsidR="00192BFE" w:rsidRPr="00843C93">
        <w:rPr>
          <w:szCs w:val="24"/>
        </w:rPr>
        <w:t>quota</w:t>
      </w:r>
      <w:r w:rsidR="00192BFE" w:rsidRPr="00934FD7">
        <w:rPr>
          <w:color w:val="000000"/>
          <w:szCs w:val="24"/>
        </w:rPr>
        <w:t xml:space="preserve"> (if any) to which the </w:t>
      </w:r>
      <w:r w:rsidR="00192BFE" w:rsidRPr="00934FD7">
        <w:rPr>
          <w:color w:val="000000"/>
          <w:szCs w:val="24"/>
        </w:rPr>
        <w:lastRenderedPageBreak/>
        <w:t xml:space="preserve">applicant is entitled </w:t>
      </w:r>
      <w:r w:rsidR="00645C7E" w:rsidRPr="00934FD7">
        <w:rPr>
          <w:color w:val="000000"/>
          <w:szCs w:val="24"/>
        </w:rPr>
        <w:t xml:space="preserve">in the years in the retirement period </w:t>
      </w:r>
      <w:r w:rsidR="00192BFE" w:rsidRPr="00934FD7">
        <w:rPr>
          <w:color w:val="000000"/>
          <w:szCs w:val="24"/>
        </w:rPr>
        <w:t xml:space="preserve">would be reduced by the </w:t>
      </w:r>
      <w:r w:rsidR="00473C45" w:rsidRPr="00934FD7">
        <w:rPr>
          <w:color w:val="000000"/>
          <w:szCs w:val="24"/>
        </w:rPr>
        <w:t xml:space="preserve">percentage that the Minister has retired (the </w:t>
      </w:r>
      <w:r w:rsidR="00473C45" w:rsidRPr="00934FD7">
        <w:rPr>
          <w:i/>
          <w:color w:val="000000"/>
          <w:szCs w:val="24"/>
        </w:rPr>
        <w:t>retirement percentage</w:t>
      </w:r>
      <w:r w:rsidR="00473C45" w:rsidRPr="00934FD7">
        <w:rPr>
          <w:color w:val="000000"/>
          <w:szCs w:val="24"/>
        </w:rPr>
        <w:t xml:space="preserve">). </w:t>
      </w:r>
    </w:p>
    <w:p w14:paraId="2031EB84" w14:textId="1E39E8E6" w:rsidR="00934FD7" w:rsidRDefault="00874CF4" w:rsidP="00534DFC">
      <w:pPr>
        <w:pStyle w:val="ListNumber"/>
        <w:numPr>
          <w:ilvl w:val="0"/>
          <w:numId w:val="8"/>
        </w:numPr>
        <w:spacing w:after="240"/>
        <w:ind w:left="567" w:hanging="567"/>
        <w:rPr>
          <w:szCs w:val="24"/>
        </w:rPr>
      </w:pPr>
      <w:r>
        <w:rPr>
          <w:szCs w:val="24"/>
        </w:rPr>
        <w:t>P</w:t>
      </w:r>
      <w:r w:rsidR="00645C7E" w:rsidRPr="00934FD7">
        <w:rPr>
          <w:szCs w:val="24"/>
        </w:rPr>
        <w:t xml:space="preserve">aragraph </w:t>
      </w:r>
      <w:r w:rsidR="00FE4F77" w:rsidRPr="00934FD7">
        <w:rPr>
          <w:szCs w:val="24"/>
        </w:rPr>
        <w:t>58(2</w:t>
      </w:r>
      <w:proofErr w:type="gramStart"/>
      <w:r w:rsidR="00FE4F77" w:rsidRPr="00934FD7">
        <w:rPr>
          <w:szCs w:val="24"/>
        </w:rPr>
        <w:t>)(</w:t>
      </w:r>
      <w:proofErr w:type="gramEnd"/>
      <w:r w:rsidR="00FE4F77" w:rsidRPr="00934FD7">
        <w:rPr>
          <w:szCs w:val="24"/>
        </w:rPr>
        <w:t xml:space="preserve">b) </w:t>
      </w:r>
      <w:r>
        <w:rPr>
          <w:szCs w:val="24"/>
        </w:rPr>
        <w:t>provides</w:t>
      </w:r>
      <w:r w:rsidR="00FE4F77" w:rsidRPr="00934FD7">
        <w:rPr>
          <w:szCs w:val="24"/>
        </w:rPr>
        <w:t xml:space="preserve"> that the amount of grandfathered quota (if any) to which the applicant is entitled</w:t>
      </w:r>
      <w:r w:rsidR="009677D2" w:rsidRPr="00934FD7">
        <w:rPr>
          <w:szCs w:val="24"/>
        </w:rPr>
        <w:t xml:space="preserve"> in a year after the retirement period </w:t>
      </w:r>
      <w:r>
        <w:rPr>
          <w:szCs w:val="24"/>
        </w:rPr>
        <w:t>can</w:t>
      </w:r>
      <w:r w:rsidR="002A55B4" w:rsidRPr="00934FD7">
        <w:rPr>
          <w:szCs w:val="24"/>
        </w:rPr>
        <w:t xml:space="preserve">not be greater than </w:t>
      </w:r>
      <w:r w:rsidR="00911D71" w:rsidRPr="00934FD7">
        <w:rPr>
          <w:szCs w:val="24"/>
        </w:rPr>
        <w:t>the amount</w:t>
      </w:r>
      <w:r w:rsidR="009677D2" w:rsidRPr="00934FD7">
        <w:rPr>
          <w:szCs w:val="24"/>
        </w:rPr>
        <w:t xml:space="preserve"> worked out by reducing the </w:t>
      </w:r>
      <w:r w:rsidR="009677D2" w:rsidRPr="00934FD7">
        <w:rPr>
          <w:i/>
          <w:szCs w:val="24"/>
        </w:rPr>
        <w:t>maximum grandfathered quota</w:t>
      </w:r>
      <w:r w:rsidR="009677D2" w:rsidRPr="00934FD7">
        <w:rPr>
          <w:szCs w:val="24"/>
        </w:rPr>
        <w:t xml:space="preserve"> for the yea</w:t>
      </w:r>
      <w:r w:rsidR="002A55B4" w:rsidRPr="00934FD7">
        <w:rPr>
          <w:szCs w:val="24"/>
        </w:rPr>
        <w:t>r by the retirement percentage (</w:t>
      </w:r>
      <w:proofErr w:type="spellStart"/>
      <w:r w:rsidR="009677D2" w:rsidRPr="00934FD7">
        <w:rPr>
          <w:szCs w:val="24"/>
        </w:rPr>
        <w:t>subregulation</w:t>
      </w:r>
      <w:proofErr w:type="spellEnd"/>
      <w:r w:rsidR="009677D2" w:rsidRPr="00934FD7">
        <w:rPr>
          <w:szCs w:val="24"/>
        </w:rPr>
        <w:t xml:space="preserve"> 58(4) </w:t>
      </w:r>
      <w:r w:rsidR="001A6BB4" w:rsidRPr="00934FD7">
        <w:rPr>
          <w:szCs w:val="24"/>
        </w:rPr>
        <w:t>provide</w:t>
      </w:r>
      <w:r>
        <w:rPr>
          <w:szCs w:val="24"/>
        </w:rPr>
        <w:t>s</w:t>
      </w:r>
      <w:r w:rsidR="001A6BB4" w:rsidRPr="00934FD7">
        <w:rPr>
          <w:szCs w:val="24"/>
        </w:rPr>
        <w:t xml:space="preserve"> the method for calculating the </w:t>
      </w:r>
      <w:r w:rsidR="001A6BB4" w:rsidRPr="00934FD7">
        <w:rPr>
          <w:i/>
          <w:szCs w:val="24"/>
        </w:rPr>
        <w:t>maximum grandfathered quota</w:t>
      </w:r>
      <w:r w:rsidR="001A6BB4" w:rsidRPr="00934FD7">
        <w:rPr>
          <w:szCs w:val="24"/>
        </w:rPr>
        <w:t xml:space="preserve"> for a calendar year</w:t>
      </w:r>
      <w:r w:rsidR="002A55B4" w:rsidRPr="00934FD7">
        <w:rPr>
          <w:szCs w:val="24"/>
        </w:rPr>
        <w:t>)</w:t>
      </w:r>
      <w:r w:rsidR="001A6BB4" w:rsidRPr="00934FD7">
        <w:rPr>
          <w:szCs w:val="24"/>
        </w:rPr>
        <w:t xml:space="preserve">. </w:t>
      </w:r>
    </w:p>
    <w:p w14:paraId="350DA687" w14:textId="379232E7" w:rsidR="00C448BF" w:rsidRPr="00934FD7" w:rsidRDefault="00874CF4" w:rsidP="00534DFC">
      <w:pPr>
        <w:pStyle w:val="ListNumber"/>
        <w:numPr>
          <w:ilvl w:val="0"/>
          <w:numId w:val="8"/>
        </w:numPr>
        <w:spacing w:after="240"/>
        <w:ind w:left="567" w:hanging="567"/>
        <w:rPr>
          <w:szCs w:val="24"/>
        </w:rPr>
      </w:pPr>
      <w:proofErr w:type="spellStart"/>
      <w:r>
        <w:rPr>
          <w:szCs w:val="24"/>
        </w:rPr>
        <w:t>S</w:t>
      </w:r>
      <w:r w:rsidR="00E12CB9" w:rsidRPr="00934FD7">
        <w:rPr>
          <w:szCs w:val="24"/>
        </w:rPr>
        <w:t>ubregulation</w:t>
      </w:r>
      <w:proofErr w:type="spellEnd"/>
      <w:r w:rsidR="00E12CB9" w:rsidRPr="00934FD7">
        <w:rPr>
          <w:szCs w:val="24"/>
        </w:rPr>
        <w:t xml:space="preserve"> 58(</w:t>
      </w:r>
      <w:r w:rsidR="004B67E8" w:rsidRPr="00934FD7">
        <w:rPr>
          <w:szCs w:val="24"/>
        </w:rPr>
        <w:t>3</w:t>
      </w:r>
      <w:r w:rsidR="00E12CB9" w:rsidRPr="00934FD7">
        <w:rPr>
          <w:szCs w:val="24"/>
        </w:rPr>
        <w:t xml:space="preserve">) </w:t>
      </w:r>
      <w:r>
        <w:rPr>
          <w:szCs w:val="24"/>
        </w:rPr>
        <w:t>has</w:t>
      </w:r>
      <w:r w:rsidR="00C928ED" w:rsidRPr="00934FD7">
        <w:rPr>
          <w:szCs w:val="24"/>
        </w:rPr>
        <w:t xml:space="preserve"> the effect of ensuring</w:t>
      </w:r>
      <w:r w:rsidR="00E12CB9" w:rsidRPr="00934FD7">
        <w:rPr>
          <w:szCs w:val="24"/>
        </w:rPr>
        <w:t xml:space="preserve"> that the</w:t>
      </w:r>
      <w:r w:rsidR="004B67E8" w:rsidRPr="00934FD7">
        <w:rPr>
          <w:szCs w:val="24"/>
        </w:rPr>
        <w:t>r</w:t>
      </w:r>
      <w:r w:rsidR="00E12CB9" w:rsidRPr="00934FD7">
        <w:rPr>
          <w:szCs w:val="24"/>
        </w:rPr>
        <w:t xml:space="preserve">e </w:t>
      </w:r>
      <w:r w:rsidR="004B67E8" w:rsidRPr="00934FD7">
        <w:rPr>
          <w:szCs w:val="24"/>
        </w:rPr>
        <w:t>w</w:t>
      </w:r>
      <w:r w:rsidR="00E12CB9" w:rsidRPr="00934FD7">
        <w:rPr>
          <w:szCs w:val="24"/>
        </w:rPr>
        <w:t xml:space="preserve">ould be no </w:t>
      </w:r>
      <w:r w:rsidR="004B67E8" w:rsidRPr="00934FD7">
        <w:rPr>
          <w:szCs w:val="24"/>
        </w:rPr>
        <w:t>e</w:t>
      </w:r>
      <w:r w:rsidR="00E12CB9" w:rsidRPr="00934FD7">
        <w:rPr>
          <w:szCs w:val="24"/>
        </w:rPr>
        <w:t>ffect on the quota entitlements on other SGG licen</w:t>
      </w:r>
      <w:r w:rsidR="004F3EAC" w:rsidRPr="00934FD7">
        <w:rPr>
          <w:szCs w:val="24"/>
        </w:rPr>
        <w:t>s</w:t>
      </w:r>
      <w:r w:rsidR="00E12CB9" w:rsidRPr="00934FD7">
        <w:rPr>
          <w:szCs w:val="24"/>
        </w:rPr>
        <w:t>ees</w:t>
      </w:r>
      <w:r w:rsidR="00C928ED" w:rsidRPr="00934FD7">
        <w:rPr>
          <w:szCs w:val="24"/>
        </w:rPr>
        <w:t xml:space="preserve"> resulting from the</w:t>
      </w:r>
      <w:r w:rsidR="00E12CB9" w:rsidRPr="00934FD7">
        <w:rPr>
          <w:szCs w:val="24"/>
        </w:rPr>
        <w:t xml:space="preserve"> retirement of</w:t>
      </w:r>
      <w:r w:rsidR="00C928ED" w:rsidRPr="00934FD7">
        <w:rPr>
          <w:szCs w:val="24"/>
        </w:rPr>
        <w:t xml:space="preserve"> </w:t>
      </w:r>
      <w:r w:rsidR="00D82EBA" w:rsidRPr="00934FD7">
        <w:rPr>
          <w:szCs w:val="24"/>
        </w:rPr>
        <w:t xml:space="preserve">some or all of another </w:t>
      </w:r>
      <w:r w:rsidR="00C928ED" w:rsidRPr="00934FD7">
        <w:rPr>
          <w:szCs w:val="24"/>
        </w:rPr>
        <w:t>SGG licen</w:t>
      </w:r>
      <w:r w:rsidR="004F3EAC" w:rsidRPr="00934FD7">
        <w:rPr>
          <w:szCs w:val="24"/>
        </w:rPr>
        <w:t>s</w:t>
      </w:r>
      <w:r w:rsidR="00C928ED" w:rsidRPr="00934FD7">
        <w:rPr>
          <w:szCs w:val="24"/>
        </w:rPr>
        <w:t>ee’s</w:t>
      </w:r>
      <w:r w:rsidR="00E12CB9" w:rsidRPr="00934FD7">
        <w:rPr>
          <w:szCs w:val="24"/>
        </w:rPr>
        <w:t xml:space="preserve"> HFC quota entitlement</w:t>
      </w:r>
      <w:r w:rsidR="00C928ED" w:rsidRPr="00934FD7">
        <w:rPr>
          <w:szCs w:val="24"/>
        </w:rPr>
        <w:t>s</w:t>
      </w:r>
      <w:r w:rsidR="00E12CB9" w:rsidRPr="00934FD7">
        <w:rPr>
          <w:szCs w:val="24"/>
        </w:rPr>
        <w:t>.</w:t>
      </w:r>
      <w:r w:rsidR="00D82EBA" w:rsidRPr="00934FD7">
        <w:rPr>
          <w:szCs w:val="24"/>
        </w:rPr>
        <w:t xml:space="preserve"> </w:t>
      </w:r>
    </w:p>
    <w:p w14:paraId="72BB5D6E" w14:textId="6244897F" w:rsidR="00C448BF" w:rsidRDefault="00C448BF" w:rsidP="00534DFC">
      <w:pPr>
        <w:pStyle w:val="ListNumber"/>
        <w:numPr>
          <w:ilvl w:val="0"/>
          <w:numId w:val="8"/>
        </w:numPr>
        <w:spacing w:after="240"/>
        <w:ind w:left="567" w:hanging="567"/>
        <w:rPr>
          <w:szCs w:val="24"/>
        </w:rPr>
      </w:pPr>
      <w:r>
        <w:rPr>
          <w:szCs w:val="24"/>
        </w:rPr>
        <w:t>I</w:t>
      </w:r>
      <w:r w:rsidR="00D82EBA">
        <w:rPr>
          <w:szCs w:val="24"/>
        </w:rPr>
        <w:t xml:space="preserve">n applying the definitions of the total amount of licensed activities (grandfathered) and total amount of licensed activities (non-grandfathered) in </w:t>
      </w:r>
      <w:proofErr w:type="spellStart"/>
      <w:r w:rsidR="00D82EBA">
        <w:rPr>
          <w:szCs w:val="24"/>
        </w:rPr>
        <w:t>subregulation</w:t>
      </w:r>
      <w:proofErr w:type="spellEnd"/>
      <w:r w:rsidR="00D82EBA">
        <w:rPr>
          <w:szCs w:val="24"/>
        </w:rPr>
        <w:t xml:space="preserve"> 49(2) and the definition of total amount of licensed activities in </w:t>
      </w:r>
      <w:proofErr w:type="spellStart"/>
      <w:r w:rsidR="00D82EBA">
        <w:rPr>
          <w:szCs w:val="24"/>
        </w:rPr>
        <w:t>subregulation</w:t>
      </w:r>
      <w:proofErr w:type="spellEnd"/>
      <w:r w:rsidR="00D82EBA">
        <w:rPr>
          <w:szCs w:val="24"/>
        </w:rPr>
        <w:t xml:space="preserve"> 50(2) for the purposes of allocating HFC quotas for calendar years in an HFC quota allocation period occurring after the retirement period, these definitions should be applied as though the retirement had never happened and as though the applicant had used all of the HFC quota that they would have been allocated, bu</w:t>
      </w:r>
      <w:r w:rsidR="00A43C02">
        <w:rPr>
          <w:szCs w:val="24"/>
        </w:rPr>
        <w:t xml:space="preserve">t for the retirement. </w:t>
      </w:r>
    </w:p>
    <w:p w14:paraId="3CC07170" w14:textId="081AC4E4" w:rsidR="00D82EBA" w:rsidRDefault="00A43C02" w:rsidP="00534DFC">
      <w:pPr>
        <w:pStyle w:val="ListNumber"/>
        <w:numPr>
          <w:ilvl w:val="0"/>
          <w:numId w:val="8"/>
        </w:numPr>
        <w:spacing w:after="240"/>
        <w:ind w:left="567" w:hanging="567"/>
        <w:rPr>
          <w:szCs w:val="24"/>
        </w:rPr>
      </w:pPr>
      <w:r>
        <w:rPr>
          <w:szCs w:val="24"/>
        </w:rPr>
        <w:t xml:space="preserve">This ensures that the amount of the quota allocations of all other quota holders would be unaffected by the retirement. However, for the person who has retired some or all of their quota entitlement, </w:t>
      </w:r>
      <w:proofErr w:type="spellStart"/>
      <w:r w:rsidR="001D28E7">
        <w:rPr>
          <w:szCs w:val="24"/>
        </w:rPr>
        <w:t>subregulation</w:t>
      </w:r>
      <w:proofErr w:type="spellEnd"/>
      <w:r w:rsidR="001D28E7">
        <w:rPr>
          <w:szCs w:val="24"/>
        </w:rPr>
        <w:t xml:space="preserve"> </w:t>
      </w:r>
      <w:r>
        <w:rPr>
          <w:szCs w:val="24"/>
        </w:rPr>
        <w:t xml:space="preserve">58(3) is subject to </w:t>
      </w:r>
      <w:proofErr w:type="spellStart"/>
      <w:r w:rsidR="001D28E7">
        <w:rPr>
          <w:szCs w:val="24"/>
        </w:rPr>
        <w:t>subregulation</w:t>
      </w:r>
      <w:proofErr w:type="spellEnd"/>
      <w:r w:rsidR="001D28E7">
        <w:rPr>
          <w:szCs w:val="24"/>
        </w:rPr>
        <w:t xml:space="preserve"> </w:t>
      </w:r>
      <w:r>
        <w:rPr>
          <w:szCs w:val="24"/>
        </w:rPr>
        <w:t xml:space="preserve">58(2), which provides that they cannot receive an HFC quota allocation for an HFC quota allocation period that is greater than the amount that they would have received but for the retirement (the maximum grandfathered percentage for the year, calculated under </w:t>
      </w:r>
      <w:proofErr w:type="spellStart"/>
      <w:r w:rsidR="001D28E7">
        <w:rPr>
          <w:szCs w:val="24"/>
        </w:rPr>
        <w:t>subregulation</w:t>
      </w:r>
      <w:proofErr w:type="spellEnd"/>
      <w:r w:rsidR="001D28E7">
        <w:rPr>
          <w:szCs w:val="24"/>
        </w:rPr>
        <w:t xml:space="preserve"> </w:t>
      </w:r>
      <w:r>
        <w:rPr>
          <w:szCs w:val="24"/>
        </w:rPr>
        <w:t xml:space="preserve">58(4)) reduced by the percentage of their quota entitlement that has been retired. </w:t>
      </w:r>
    </w:p>
    <w:p w14:paraId="3E041D02" w14:textId="20F89E1F" w:rsidR="00D47A15" w:rsidRPr="005431DB" w:rsidRDefault="00D47A15" w:rsidP="00D47A15">
      <w:pPr>
        <w:rPr>
          <w:rFonts w:ascii="Times New Roman" w:hAnsi="Times New Roman"/>
          <w:b/>
          <w:sz w:val="24"/>
          <w:szCs w:val="24"/>
        </w:rPr>
      </w:pPr>
      <w:r w:rsidRPr="005431DB">
        <w:rPr>
          <w:rFonts w:ascii="Times New Roman" w:hAnsi="Times New Roman"/>
          <w:b/>
          <w:sz w:val="24"/>
          <w:szCs w:val="24"/>
        </w:rPr>
        <w:t xml:space="preserve">Item </w:t>
      </w:r>
      <w:r w:rsidR="002E5249">
        <w:rPr>
          <w:rFonts w:ascii="Times New Roman" w:hAnsi="Times New Roman"/>
          <w:b/>
          <w:sz w:val="24"/>
          <w:szCs w:val="24"/>
        </w:rPr>
        <w:t>1</w:t>
      </w:r>
      <w:r w:rsidRPr="005431DB">
        <w:rPr>
          <w:rFonts w:ascii="Times New Roman" w:hAnsi="Times New Roman"/>
          <w:b/>
          <w:sz w:val="24"/>
          <w:szCs w:val="24"/>
        </w:rPr>
        <w:t xml:space="preserve"> – Regulations 3 and 5</w:t>
      </w:r>
    </w:p>
    <w:p w14:paraId="3ED999B0" w14:textId="77777777" w:rsidR="00D47A15" w:rsidRDefault="00D47A15" w:rsidP="00D47A15">
      <w:pPr>
        <w:rPr>
          <w:rFonts w:ascii="Times New Roman" w:hAnsi="Times New Roman"/>
          <w:sz w:val="24"/>
          <w:szCs w:val="24"/>
        </w:rPr>
      </w:pPr>
    </w:p>
    <w:p w14:paraId="3CE9C51C" w14:textId="1CE0F1F9" w:rsidR="00D47A15" w:rsidRDefault="00D47A15" w:rsidP="00534DFC">
      <w:pPr>
        <w:pStyle w:val="ListNumber"/>
        <w:numPr>
          <w:ilvl w:val="0"/>
          <w:numId w:val="8"/>
        </w:numPr>
        <w:spacing w:after="240"/>
        <w:ind w:left="567" w:hanging="567"/>
        <w:rPr>
          <w:szCs w:val="24"/>
        </w:rPr>
      </w:pPr>
      <w:r>
        <w:rPr>
          <w:szCs w:val="24"/>
        </w:rPr>
        <w:t xml:space="preserve">Item </w:t>
      </w:r>
      <w:r w:rsidR="002E5249">
        <w:rPr>
          <w:szCs w:val="24"/>
        </w:rPr>
        <w:t>1</w:t>
      </w:r>
      <w:r>
        <w:rPr>
          <w:szCs w:val="24"/>
        </w:rPr>
        <w:t xml:space="preserve"> repeal</w:t>
      </w:r>
      <w:r w:rsidR="00924F1E">
        <w:rPr>
          <w:szCs w:val="24"/>
        </w:rPr>
        <w:t>s</w:t>
      </w:r>
      <w:r>
        <w:rPr>
          <w:szCs w:val="24"/>
        </w:rPr>
        <w:t xml:space="preserve"> regulations 3 and 5 of the Import Levy Regulations, as they are no longer required. </w:t>
      </w:r>
    </w:p>
    <w:p w14:paraId="6ED2F298" w14:textId="781C8536" w:rsidR="00E27E73" w:rsidRPr="00E27E73" w:rsidRDefault="00E27E73" w:rsidP="00815601">
      <w:pPr>
        <w:rPr>
          <w:rFonts w:ascii="Times New Roman" w:hAnsi="Times New Roman"/>
          <w:b/>
          <w:sz w:val="24"/>
          <w:szCs w:val="24"/>
        </w:rPr>
      </w:pPr>
      <w:r w:rsidRPr="00E27E73">
        <w:rPr>
          <w:rFonts w:ascii="Times New Roman" w:hAnsi="Times New Roman"/>
          <w:b/>
          <w:sz w:val="24"/>
          <w:szCs w:val="24"/>
        </w:rPr>
        <w:t xml:space="preserve">Items </w:t>
      </w:r>
      <w:r w:rsidR="00D156E9">
        <w:rPr>
          <w:rFonts w:ascii="Times New Roman" w:hAnsi="Times New Roman"/>
          <w:b/>
          <w:sz w:val="24"/>
          <w:szCs w:val="24"/>
        </w:rPr>
        <w:t>3</w:t>
      </w:r>
      <w:r w:rsidRPr="00E27E73">
        <w:rPr>
          <w:rFonts w:ascii="Times New Roman" w:hAnsi="Times New Roman"/>
          <w:b/>
          <w:sz w:val="24"/>
          <w:szCs w:val="24"/>
        </w:rPr>
        <w:t xml:space="preserve">, </w:t>
      </w:r>
      <w:r w:rsidR="00D156E9">
        <w:rPr>
          <w:rFonts w:ascii="Times New Roman" w:hAnsi="Times New Roman"/>
          <w:b/>
          <w:sz w:val="24"/>
          <w:szCs w:val="24"/>
        </w:rPr>
        <w:t>4</w:t>
      </w:r>
      <w:r w:rsidRPr="00E27E73">
        <w:rPr>
          <w:rFonts w:ascii="Times New Roman" w:hAnsi="Times New Roman"/>
          <w:b/>
          <w:sz w:val="24"/>
          <w:szCs w:val="24"/>
        </w:rPr>
        <w:t xml:space="preserve">, </w:t>
      </w:r>
      <w:r w:rsidR="00D156E9">
        <w:rPr>
          <w:rFonts w:ascii="Times New Roman" w:hAnsi="Times New Roman"/>
          <w:b/>
          <w:sz w:val="24"/>
          <w:szCs w:val="24"/>
        </w:rPr>
        <w:t>5</w:t>
      </w:r>
      <w:r w:rsidR="008C0AE4">
        <w:rPr>
          <w:rFonts w:ascii="Times New Roman" w:hAnsi="Times New Roman"/>
          <w:b/>
          <w:sz w:val="24"/>
          <w:szCs w:val="24"/>
        </w:rPr>
        <w:t xml:space="preserve">, </w:t>
      </w:r>
      <w:r w:rsidR="00D156E9">
        <w:rPr>
          <w:rFonts w:ascii="Times New Roman" w:hAnsi="Times New Roman"/>
          <w:b/>
          <w:sz w:val="24"/>
          <w:szCs w:val="24"/>
        </w:rPr>
        <w:t>6</w:t>
      </w:r>
      <w:r w:rsidRPr="00E27E73">
        <w:rPr>
          <w:rFonts w:ascii="Times New Roman" w:hAnsi="Times New Roman"/>
          <w:b/>
          <w:sz w:val="24"/>
          <w:szCs w:val="24"/>
        </w:rPr>
        <w:t xml:space="preserve"> and </w:t>
      </w:r>
      <w:r w:rsidR="00D156E9">
        <w:rPr>
          <w:rFonts w:ascii="Times New Roman" w:hAnsi="Times New Roman"/>
          <w:b/>
          <w:sz w:val="24"/>
          <w:szCs w:val="24"/>
        </w:rPr>
        <w:t>10</w:t>
      </w:r>
      <w:r w:rsidRPr="00E27E73">
        <w:rPr>
          <w:rFonts w:ascii="Times New Roman" w:hAnsi="Times New Roman"/>
          <w:b/>
          <w:sz w:val="24"/>
          <w:szCs w:val="24"/>
        </w:rPr>
        <w:t xml:space="preserve"> – Low-volume import thresholds</w:t>
      </w:r>
    </w:p>
    <w:p w14:paraId="2DB1A4D6" w14:textId="77777777" w:rsidR="00E27E73" w:rsidRDefault="00E27E73" w:rsidP="00815601">
      <w:pPr>
        <w:rPr>
          <w:rFonts w:ascii="Times New Roman" w:hAnsi="Times New Roman"/>
          <w:sz w:val="24"/>
          <w:szCs w:val="24"/>
        </w:rPr>
      </w:pPr>
    </w:p>
    <w:p w14:paraId="130D63B6" w14:textId="7A7B6A62" w:rsidR="00FB7E06" w:rsidRDefault="00AB749F" w:rsidP="00534DFC">
      <w:pPr>
        <w:pStyle w:val="ListNumber"/>
        <w:numPr>
          <w:ilvl w:val="0"/>
          <w:numId w:val="8"/>
        </w:numPr>
        <w:spacing w:after="240"/>
        <w:ind w:left="567" w:hanging="567"/>
        <w:rPr>
          <w:szCs w:val="24"/>
        </w:rPr>
      </w:pPr>
      <w:r>
        <w:rPr>
          <w:szCs w:val="24"/>
        </w:rPr>
        <w:t xml:space="preserve">Items </w:t>
      </w:r>
      <w:r w:rsidR="00D156E9">
        <w:rPr>
          <w:szCs w:val="24"/>
        </w:rPr>
        <w:t>3</w:t>
      </w:r>
      <w:r>
        <w:rPr>
          <w:szCs w:val="24"/>
        </w:rPr>
        <w:t xml:space="preserve">, </w:t>
      </w:r>
      <w:r w:rsidR="00D156E9">
        <w:rPr>
          <w:szCs w:val="24"/>
        </w:rPr>
        <w:t>4</w:t>
      </w:r>
      <w:r>
        <w:rPr>
          <w:szCs w:val="24"/>
        </w:rPr>
        <w:t>,</w:t>
      </w:r>
      <w:r w:rsidR="008C0AE4">
        <w:rPr>
          <w:szCs w:val="24"/>
        </w:rPr>
        <w:t xml:space="preserve"> 5</w:t>
      </w:r>
      <w:r>
        <w:rPr>
          <w:szCs w:val="24"/>
        </w:rPr>
        <w:t xml:space="preserve"> and </w:t>
      </w:r>
      <w:r w:rsidR="00D156E9">
        <w:rPr>
          <w:szCs w:val="24"/>
        </w:rPr>
        <w:t>10</w:t>
      </w:r>
      <w:r>
        <w:rPr>
          <w:szCs w:val="24"/>
        </w:rPr>
        <w:t xml:space="preserve"> are consequential amendments required to </w:t>
      </w:r>
      <w:r w:rsidR="00FB7E06">
        <w:rPr>
          <w:szCs w:val="24"/>
        </w:rPr>
        <w:t>update</w:t>
      </w:r>
      <w:r w:rsidR="00D47A15">
        <w:rPr>
          <w:szCs w:val="24"/>
        </w:rPr>
        <w:t xml:space="preserve"> section </w:t>
      </w:r>
      <w:r w:rsidR="00FB7E06">
        <w:rPr>
          <w:szCs w:val="24"/>
        </w:rPr>
        <w:t xml:space="preserve">references to </w:t>
      </w:r>
      <w:r w:rsidRPr="007524D2">
        <w:rPr>
          <w:szCs w:val="24"/>
        </w:rPr>
        <w:t>reflect changes to the OPSGGM Act as a result of the Amendment Act.</w:t>
      </w:r>
      <w:r>
        <w:rPr>
          <w:szCs w:val="24"/>
        </w:rPr>
        <w:t xml:space="preserve"> </w:t>
      </w:r>
    </w:p>
    <w:p w14:paraId="1D77DA8A" w14:textId="167C9FDF" w:rsidR="00FB7E06" w:rsidRDefault="00AB749F" w:rsidP="00534DFC">
      <w:pPr>
        <w:pStyle w:val="ListNumber"/>
        <w:numPr>
          <w:ilvl w:val="0"/>
          <w:numId w:val="8"/>
        </w:numPr>
        <w:spacing w:after="240"/>
        <w:ind w:left="567" w:hanging="567"/>
        <w:rPr>
          <w:szCs w:val="24"/>
        </w:rPr>
      </w:pPr>
      <w:r>
        <w:rPr>
          <w:szCs w:val="24"/>
        </w:rPr>
        <w:t xml:space="preserve">Item </w:t>
      </w:r>
      <w:r w:rsidR="00D156E9">
        <w:rPr>
          <w:szCs w:val="24"/>
        </w:rPr>
        <w:t>6</w:t>
      </w:r>
      <w:r>
        <w:rPr>
          <w:szCs w:val="24"/>
        </w:rPr>
        <w:t xml:space="preserve"> repeal</w:t>
      </w:r>
      <w:r w:rsidR="00924F1E">
        <w:rPr>
          <w:szCs w:val="24"/>
        </w:rPr>
        <w:t>s</w:t>
      </w:r>
      <w:r>
        <w:rPr>
          <w:szCs w:val="24"/>
        </w:rPr>
        <w:t xml:space="preserve"> and replace</w:t>
      </w:r>
      <w:r w:rsidR="00924F1E">
        <w:rPr>
          <w:szCs w:val="24"/>
        </w:rPr>
        <w:t>s</w:t>
      </w:r>
      <w:r>
        <w:rPr>
          <w:szCs w:val="24"/>
        </w:rPr>
        <w:t xml:space="preserve"> </w:t>
      </w:r>
      <w:proofErr w:type="spellStart"/>
      <w:r>
        <w:rPr>
          <w:szCs w:val="24"/>
        </w:rPr>
        <w:t>subregulations</w:t>
      </w:r>
      <w:proofErr w:type="spellEnd"/>
      <w:r>
        <w:rPr>
          <w:szCs w:val="24"/>
        </w:rPr>
        <w:t xml:space="preserve"> 3(5) and (6) and insert</w:t>
      </w:r>
      <w:r w:rsidR="00924F1E">
        <w:rPr>
          <w:szCs w:val="24"/>
        </w:rPr>
        <w:t>s</w:t>
      </w:r>
      <w:r>
        <w:rPr>
          <w:szCs w:val="24"/>
        </w:rPr>
        <w:t xml:space="preserve"> a new </w:t>
      </w:r>
      <w:r w:rsidR="00924F1E">
        <w:rPr>
          <w:szCs w:val="24"/>
        </w:rPr>
        <w:br/>
      </w:r>
      <w:proofErr w:type="spellStart"/>
      <w:r>
        <w:rPr>
          <w:szCs w:val="24"/>
        </w:rPr>
        <w:t>subregulation</w:t>
      </w:r>
      <w:proofErr w:type="spellEnd"/>
      <w:r>
        <w:rPr>
          <w:szCs w:val="24"/>
        </w:rPr>
        <w:t xml:space="preserve"> </w:t>
      </w:r>
      <w:r w:rsidR="00924F1E">
        <w:rPr>
          <w:szCs w:val="24"/>
        </w:rPr>
        <w:t>3</w:t>
      </w:r>
      <w:r>
        <w:rPr>
          <w:szCs w:val="24"/>
        </w:rPr>
        <w:t xml:space="preserve">(7). </w:t>
      </w:r>
    </w:p>
    <w:p w14:paraId="30157514" w14:textId="7B80DA11" w:rsidR="00940BDC" w:rsidRDefault="00FB7E06" w:rsidP="00534DFC">
      <w:pPr>
        <w:pStyle w:val="ListNumber"/>
        <w:numPr>
          <w:ilvl w:val="0"/>
          <w:numId w:val="8"/>
        </w:numPr>
        <w:spacing w:after="240"/>
        <w:ind w:left="567" w:hanging="567"/>
        <w:rPr>
          <w:szCs w:val="24"/>
        </w:rPr>
      </w:pPr>
      <w:r>
        <w:rPr>
          <w:szCs w:val="24"/>
        </w:rPr>
        <w:t xml:space="preserve">Paragraph 13(6)(a) of the OPSGGM Act provides that </w:t>
      </w:r>
      <w:r w:rsidR="00940BDC">
        <w:rPr>
          <w:szCs w:val="24"/>
        </w:rPr>
        <w:t xml:space="preserve">the </w:t>
      </w:r>
      <w:r>
        <w:rPr>
          <w:szCs w:val="24"/>
        </w:rPr>
        <w:t xml:space="preserve">prohibition set out in </w:t>
      </w:r>
      <w:r w:rsidR="00924F1E">
        <w:rPr>
          <w:szCs w:val="24"/>
        </w:rPr>
        <w:br/>
      </w:r>
      <w:r>
        <w:rPr>
          <w:szCs w:val="24"/>
        </w:rPr>
        <w:t>paragraph 13(1)(b) on importing ODS equipment or SGG equipment</w:t>
      </w:r>
      <w:r w:rsidR="00940BDC">
        <w:rPr>
          <w:szCs w:val="24"/>
        </w:rPr>
        <w:t xml:space="preserve"> does</w:t>
      </w:r>
      <w:r>
        <w:rPr>
          <w:szCs w:val="24"/>
        </w:rPr>
        <w:t xml:space="preserve"> not apply to a person </w:t>
      </w:r>
      <w:r w:rsidR="00940BDC">
        <w:rPr>
          <w:szCs w:val="24"/>
        </w:rPr>
        <w:t>importing ODS or SGG equipment if</w:t>
      </w:r>
      <w:r>
        <w:rPr>
          <w:szCs w:val="24"/>
        </w:rPr>
        <w:t xml:space="preserve">: (a) </w:t>
      </w:r>
      <w:r w:rsidR="00940BDC">
        <w:rPr>
          <w:szCs w:val="24"/>
        </w:rPr>
        <w:t>in the case of ODS equipment – the total amount of HCFC contained in ODS equipment in th</w:t>
      </w:r>
      <w:r w:rsidR="0049353C">
        <w:rPr>
          <w:szCs w:val="24"/>
        </w:rPr>
        <w:t>e</w:t>
      </w:r>
      <w:r w:rsidR="00940BDC">
        <w:rPr>
          <w:szCs w:val="24"/>
        </w:rPr>
        <w:t xml:space="preserve"> importation is not greater than the amount (if any) prescribed by the regulations</w:t>
      </w:r>
      <w:r>
        <w:rPr>
          <w:szCs w:val="24"/>
        </w:rPr>
        <w:t xml:space="preserve">; (b) </w:t>
      </w:r>
      <w:r w:rsidR="00940BDC">
        <w:rPr>
          <w:szCs w:val="24"/>
        </w:rPr>
        <w:t xml:space="preserve">in the case of SGG equipment the total amount of a SGG in SGG equipment in the importation is not greater than the amount (if any) prescribed by the regulations in relation to the SGG; and </w:t>
      </w:r>
      <w:r>
        <w:rPr>
          <w:szCs w:val="24"/>
        </w:rPr>
        <w:t xml:space="preserve">(c) </w:t>
      </w:r>
      <w:r w:rsidR="00940BDC">
        <w:rPr>
          <w:szCs w:val="24"/>
        </w:rPr>
        <w:t xml:space="preserve">in any case </w:t>
      </w:r>
      <w:r>
        <w:rPr>
          <w:szCs w:val="24"/>
        </w:rPr>
        <w:t>any</w:t>
      </w:r>
      <w:r w:rsidR="00940BDC">
        <w:rPr>
          <w:szCs w:val="24"/>
        </w:rPr>
        <w:t xml:space="preserve"> other </w:t>
      </w:r>
      <w:r>
        <w:rPr>
          <w:szCs w:val="24"/>
        </w:rPr>
        <w:t xml:space="preserve">conditions prescribed by the regulations </w:t>
      </w:r>
      <w:r w:rsidR="006F64D2">
        <w:rPr>
          <w:szCs w:val="24"/>
        </w:rPr>
        <w:t xml:space="preserve">in relation to the person, the equipment, and the importation </w:t>
      </w:r>
      <w:r>
        <w:rPr>
          <w:szCs w:val="24"/>
        </w:rPr>
        <w:t xml:space="preserve">are satisfied.  </w:t>
      </w:r>
    </w:p>
    <w:p w14:paraId="2A0F5457" w14:textId="028F2A4F" w:rsidR="00AB749F" w:rsidRDefault="00924F1E" w:rsidP="00534DFC">
      <w:pPr>
        <w:pStyle w:val="ListNumber"/>
        <w:numPr>
          <w:ilvl w:val="0"/>
          <w:numId w:val="8"/>
        </w:numPr>
        <w:spacing w:after="240"/>
        <w:ind w:left="567" w:hanging="567"/>
        <w:rPr>
          <w:szCs w:val="24"/>
        </w:rPr>
      </w:pPr>
      <w:proofErr w:type="spellStart"/>
      <w:r>
        <w:rPr>
          <w:szCs w:val="24"/>
        </w:rPr>
        <w:t>S</w:t>
      </w:r>
      <w:r w:rsidR="00FB7E06">
        <w:rPr>
          <w:szCs w:val="24"/>
        </w:rPr>
        <w:t>ubregulation</w:t>
      </w:r>
      <w:proofErr w:type="spellEnd"/>
      <w:r w:rsidR="00FB7E06">
        <w:rPr>
          <w:szCs w:val="24"/>
        </w:rPr>
        <w:t xml:space="preserve"> 3(5) prescribe</w:t>
      </w:r>
      <w:r>
        <w:rPr>
          <w:szCs w:val="24"/>
        </w:rPr>
        <w:t>s</w:t>
      </w:r>
      <w:r w:rsidR="00FB7E06">
        <w:rPr>
          <w:szCs w:val="24"/>
        </w:rPr>
        <w:t xml:space="preserve"> 10 kilograms for the purposes of paragra</w:t>
      </w:r>
      <w:r>
        <w:rPr>
          <w:szCs w:val="24"/>
        </w:rPr>
        <w:t>ph 13(6</w:t>
      </w:r>
      <w:proofErr w:type="gramStart"/>
      <w:r>
        <w:rPr>
          <w:szCs w:val="24"/>
        </w:rPr>
        <w:t>)(</w:t>
      </w:r>
      <w:proofErr w:type="gramEnd"/>
      <w:r>
        <w:rPr>
          <w:szCs w:val="24"/>
        </w:rPr>
        <w:t xml:space="preserve">a) of the OPSGGM Act. </w:t>
      </w:r>
      <w:proofErr w:type="spellStart"/>
      <w:r>
        <w:rPr>
          <w:szCs w:val="24"/>
        </w:rPr>
        <w:t>S</w:t>
      </w:r>
      <w:r w:rsidR="00FB7E06">
        <w:rPr>
          <w:szCs w:val="24"/>
        </w:rPr>
        <w:t>ubregulation</w:t>
      </w:r>
      <w:proofErr w:type="spellEnd"/>
      <w:r w:rsidR="00FB7E06">
        <w:rPr>
          <w:szCs w:val="24"/>
        </w:rPr>
        <w:t xml:space="preserve"> 3(6) prescribe</w:t>
      </w:r>
      <w:r>
        <w:rPr>
          <w:szCs w:val="24"/>
        </w:rPr>
        <w:t>s</w:t>
      </w:r>
      <w:r w:rsidR="00FB7E06">
        <w:rPr>
          <w:szCs w:val="24"/>
        </w:rPr>
        <w:t>, for the purposes of paragraph 13(6</w:t>
      </w:r>
      <w:proofErr w:type="gramStart"/>
      <w:r w:rsidR="00FB7E06">
        <w:rPr>
          <w:szCs w:val="24"/>
        </w:rPr>
        <w:t>)(</w:t>
      </w:r>
      <w:proofErr w:type="gramEnd"/>
      <w:r w:rsidR="00FB7E06">
        <w:rPr>
          <w:szCs w:val="24"/>
        </w:rPr>
        <w:t xml:space="preserve">c), a </w:t>
      </w:r>
      <w:r w:rsidR="00FB7E06">
        <w:rPr>
          <w:szCs w:val="24"/>
        </w:rPr>
        <w:lastRenderedPageBreak/>
        <w:t xml:space="preserve">condition in relation to the importation of SGG equipment by a person at a time in a calendar year, that the total amount of </w:t>
      </w:r>
      <w:r w:rsidR="00F33B0E">
        <w:rPr>
          <w:szCs w:val="24"/>
        </w:rPr>
        <w:t xml:space="preserve">all </w:t>
      </w:r>
      <w:r w:rsidR="00FB7E06">
        <w:rPr>
          <w:szCs w:val="24"/>
        </w:rPr>
        <w:t>SGG</w:t>
      </w:r>
      <w:r w:rsidR="00F33B0E">
        <w:rPr>
          <w:szCs w:val="24"/>
        </w:rPr>
        <w:t>s</w:t>
      </w:r>
      <w:r w:rsidR="00FB7E06">
        <w:rPr>
          <w:szCs w:val="24"/>
        </w:rPr>
        <w:t xml:space="preserve"> contained in SGG equipment in the importation and in any other SGG equipment the person imported during the calendar year up until that time is not greater than 25 k</w:t>
      </w:r>
      <w:r w:rsidR="00940BDC">
        <w:rPr>
          <w:szCs w:val="24"/>
        </w:rPr>
        <w:t>ilograms</w:t>
      </w:r>
      <w:r w:rsidR="00FB7E06">
        <w:rPr>
          <w:szCs w:val="24"/>
        </w:rPr>
        <w:t xml:space="preserve">. That is, in order to </w:t>
      </w:r>
      <w:r w:rsidR="00940BDC">
        <w:rPr>
          <w:szCs w:val="24"/>
        </w:rPr>
        <w:t xml:space="preserve">meet the low-volume import threshold, the person must not have imported more than 25 kilograms of SGGs contained in SGG equipment in that calendar year. If they have exceeded the </w:t>
      </w:r>
      <w:r>
        <w:rPr>
          <w:szCs w:val="24"/>
        </w:rPr>
        <w:br/>
      </w:r>
      <w:r w:rsidR="00940BDC">
        <w:rPr>
          <w:szCs w:val="24"/>
        </w:rPr>
        <w:t>25 kilogram th</w:t>
      </w:r>
      <w:r w:rsidR="006F64D2">
        <w:rPr>
          <w:szCs w:val="24"/>
        </w:rPr>
        <w:t>reshold, then the exemption set out in subsection 13(6) of the OPSGGM Act would no longer apply</w:t>
      </w:r>
      <w:r w:rsidR="005260AF">
        <w:rPr>
          <w:szCs w:val="24"/>
        </w:rPr>
        <w:t xml:space="preserve"> and they would need to apply for </w:t>
      </w:r>
      <w:r w:rsidR="000E296C">
        <w:rPr>
          <w:szCs w:val="24"/>
        </w:rPr>
        <w:t xml:space="preserve">an ODS/SGG equipment </w:t>
      </w:r>
      <w:r w:rsidR="005260AF">
        <w:rPr>
          <w:szCs w:val="24"/>
        </w:rPr>
        <w:t>licence to undertake the imports.</w:t>
      </w:r>
    </w:p>
    <w:p w14:paraId="4BFCCC57" w14:textId="27FF854A" w:rsidR="006F64D2" w:rsidRDefault="00924F1E" w:rsidP="00534DFC">
      <w:pPr>
        <w:pStyle w:val="ListNumber"/>
        <w:numPr>
          <w:ilvl w:val="0"/>
          <w:numId w:val="8"/>
        </w:numPr>
        <w:spacing w:after="240"/>
        <w:ind w:left="567" w:hanging="567"/>
        <w:rPr>
          <w:szCs w:val="24"/>
        </w:rPr>
      </w:pPr>
      <w:proofErr w:type="spellStart"/>
      <w:r>
        <w:rPr>
          <w:szCs w:val="24"/>
        </w:rPr>
        <w:t>S</w:t>
      </w:r>
      <w:r w:rsidR="006F64D2">
        <w:rPr>
          <w:szCs w:val="24"/>
        </w:rPr>
        <w:t>ubregulation</w:t>
      </w:r>
      <w:proofErr w:type="spellEnd"/>
      <w:r w:rsidR="006F64D2">
        <w:rPr>
          <w:szCs w:val="24"/>
        </w:rPr>
        <w:t xml:space="preserve"> 3(7) prescribe</w:t>
      </w:r>
      <w:r>
        <w:rPr>
          <w:szCs w:val="24"/>
        </w:rPr>
        <w:t>s</w:t>
      </w:r>
      <w:r w:rsidR="006F64D2">
        <w:rPr>
          <w:szCs w:val="24"/>
        </w:rPr>
        <w:t xml:space="preserve"> conditions for the purposes of paragraph 13(6</w:t>
      </w:r>
      <w:proofErr w:type="gramStart"/>
      <w:r w:rsidR="006F64D2">
        <w:rPr>
          <w:szCs w:val="24"/>
        </w:rPr>
        <w:t>)(</w:t>
      </w:r>
      <w:proofErr w:type="gramEnd"/>
      <w:r w:rsidR="006F64D2">
        <w:rPr>
          <w:szCs w:val="24"/>
        </w:rPr>
        <w:t>c) of the OPSGGM Act in relation to the import of ODS equipment. These conditions would be that there are no more than 5 units of ODS equipment in the importation, and that the importation is the first imp</w:t>
      </w:r>
      <w:r w:rsidR="0049353C">
        <w:rPr>
          <w:szCs w:val="24"/>
        </w:rPr>
        <w:t>o</w:t>
      </w:r>
      <w:r w:rsidR="006F64D2">
        <w:rPr>
          <w:szCs w:val="24"/>
        </w:rPr>
        <w:t xml:space="preserve">rtation of ODS equipment by the person in the 2 years ending on the day that the importation occurs. </w:t>
      </w:r>
    </w:p>
    <w:p w14:paraId="4A21B7AA" w14:textId="5E548E68" w:rsidR="007524D2" w:rsidRPr="007524D2" w:rsidRDefault="007524D2" w:rsidP="00815601">
      <w:pPr>
        <w:rPr>
          <w:rFonts w:ascii="Times New Roman" w:hAnsi="Times New Roman"/>
          <w:b/>
          <w:sz w:val="24"/>
          <w:szCs w:val="24"/>
        </w:rPr>
      </w:pPr>
      <w:r w:rsidRPr="007524D2">
        <w:rPr>
          <w:rFonts w:ascii="Times New Roman" w:hAnsi="Times New Roman"/>
          <w:b/>
          <w:sz w:val="24"/>
          <w:szCs w:val="24"/>
        </w:rPr>
        <w:t xml:space="preserve">Items </w:t>
      </w:r>
      <w:r w:rsidR="00FF666D">
        <w:rPr>
          <w:rFonts w:ascii="Times New Roman" w:hAnsi="Times New Roman"/>
          <w:b/>
          <w:sz w:val="24"/>
          <w:szCs w:val="24"/>
        </w:rPr>
        <w:t>9</w:t>
      </w:r>
      <w:r w:rsidRPr="007524D2">
        <w:rPr>
          <w:rFonts w:ascii="Times New Roman" w:hAnsi="Times New Roman"/>
          <w:b/>
          <w:sz w:val="24"/>
          <w:szCs w:val="24"/>
        </w:rPr>
        <w:t xml:space="preserve">, </w:t>
      </w:r>
      <w:r w:rsidR="00FF666D">
        <w:rPr>
          <w:rFonts w:ascii="Times New Roman" w:hAnsi="Times New Roman"/>
          <w:b/>
          <w:sz w:val="24"/>
          <w:szCs w:val="24"/>
        </w:rPr>
        <w:t>11</w:t>
      </w:r>
      <w:r w:rsidRPr="007524D2">
        <w:rPr>
          <w:rFonts w:ascii="Times New Roman" w:hAnsi="Times New Roman"/>
          <w:b/>
          <w:sz w:val="24"/>
          <w:szCs w:val="24"/>
        </w:rPr>
        <w:t xml:space="preserve">, </w:t>
      </w:r>
      <w:r w:rsidR="00FF666D">
        <w:rPr>
          <w:rFonts w:ascii="Times New Roman" w:hAnsi="Times New Roman"/>
          <w:b/>
          <w:sz w:val="24"/>
          <w:szCs w:val="24"/>
        </w:rPr>
        <w:t>12</w:t>
      </w:r>
      <w:r w:rsidRPr="007524D2">
        <w:rPr>
          <w:rFonts w:ascii="Times New Roman" w:hAnsi="Times New Roman"/>
          <w:b/>
          <w:sz w:val="24"/>
          <w:szCs w:val="24"/>
        </w:rPr>
        <w:t xml:space="preserve">, </w:t>
      </w:r>
      <w:r w:rsidR="00FF666D">
        <w:rPr>
          <w:rFonts w:ascii="Times New Roman" w:hAnsi="Times New Roman"/>
          <w:b/>
          <w:sz w:val="24"/>
          <w:szCs w:val="24"/>
        </w:rPr>
        <w:t>13</w:t>
      </w:r>
      <w:r w:rsidRPr="007524D2">
        <w:rPr>
          <w:rFonts w:ascii="Times New Roman" w:hAnsi="Times New Roman"/>
          <w:b/>
          <w:sz w:val="24"/>
          <w:szCs w:val="24"/>
        </w:rPr>
        <w:t xml:space="preserve"> and </w:t>
      </w:r>
      <w:r w:rsidR="00FF666D">
        <w:rPr>
          <w:rFonts w:ascii="Times New Roman" w:hAnsi="Times New Roman"/>
          <w:b/>
          <w:sz w:val="24"/>
          <w:szCs w:val="24"/>
        </w:rPr>
        <w:t>14</w:t>
      </w:r>
      <w:r w:rsidRPr="007524D2">
        <w:rPr>
          <w:rFonts w:ascii="Times New Roman" w:hAnsi="Times New Roman"/>
          <w:b/>
          <w:sz w:val="24"/>
          <w:szCs w:val="24"/>
        </w:rPr>
        <w:t xml:space="preserve"> – Minor consequential amendments</w:t>
      </w:r>
    </w:p>
    <w:p w14:paraId="0A8FD8DE" w14:textId="77777777" w:rsidR="007524D2" w:rsidRPr="007524D2" w:rsidRDefault="007524D2" w:rsidP="00815601">
      <w:pPr>
        <w:rPr>
          <w:rFonts w:ascii="Times New Roman" w:hAnsi="Times New Roman"/>
          <w:sz w:val="24"/>
          <w:szCs w:val="24"/>
        </w:rPr>
      </w:pPr>
    </w:p>
    <w:p w14:paraId="4B7F6389" w14:textId="565B2D63" w:rsidR="007524D2" w:rsidRDefault="005431DB" w:rsidP="00534DFC">
      <w:pPr>
        <w:pStyle w:val="ListNumber"/>
        <w:numPr>
          <w:ilvl w:val="0"/>
          <w:numId w:val="8"/>
        </w:numPr>
        <w:spacing w:after="240"/>
        <w:ind w:left="567" w:hanging="567"/>
        <w:rPr>
          <w:szCs w:val="24"/>
        </w:rPr>
      </w:pPr>
      <w:r>
        <w:rPr>
          <w:szCs w:val="24"/>
        </w:rPr>
        <w:t xml:space="preserve">Items </w:t>
      </w:r>
      <w:r w:rsidR="00FF666D">
        <w:rPr>
          <w:szCs w:val="24"/>
        </w:rPr>
        <w:t>9</w:t>
      </w:r>
      <w:r>
        <w:rPr>
          <w:szCs w:val="24"/>
        </w:rPr>
        <w:t xml:space="preserve">, </w:t>
      </w:r>
      <w:r w:rsidR="00FF666D">
        <w:rPr>
          <w:szCs w:val="24"/>
        </w:rPr>
        <w:t>11</w:t>
      </w:r>
      <w:r>
        <w:rPr>
          <w:szCs w:val="24"/>
        </w:rPr>
        <w:t xml:space="preserve">, </w:t>
      </w:r>
      <w:r w:rsidR="00FF666D">
        <w:rPr>
          <w:szCs w:val="24"/>
        </w:rPr>
        <w:t>12</w:t>
      </w:r>
      <w:r>
        <w:rPr>
          <w:szCs w:val="24"/>
        </w:rPr>
        <w:t xml:space="preserve">, </w:t>
      </w:r>
      <w:r w:rsidR="00FF666D">
        <w:rPr>
          <w:szCs w:val="24"/>
        </w:rPr>
        <w:t>13</w:t>
      </w:r>
      <w:r>
        <w:rPr>
          <w:szCs w:val="24"/>
        </w:rPr>
        <w:t xml:space="preserve"> and </w:t>
      </w:r>
      <w:r w:rsidR="00FF666D">
        <w:rPr>
          <w:szCs w:val="24"/>
        </w:rPr>
        <w:t>14</w:t>
      </w:r>
      <w:r>
        <w:rPr>
          <w:szCs w:val="24"/>
        </w:rPr>
        <w:t xml:space="preserve"> </w:t>
      </w:r>
      <w:r w:rsidR="00962F77">
        <w:rPr>
          <w:szCs w:val="24"/>
        </w:rPr>
        <w:t>are</w:t>
      </w:r>
      <w:r>
        <w:rPr>
          <w:szCs w:val="24"/>
        </w:rPr>
        <w:t xml:space="preserve"> m</w:t>
      </w:r>
      <w:r w:rsidR="007524D2" w:rsidRPr="007524D2">
        <w:rPr>
          <w:szCs w:val="24"/>
        </w:rPr>
        <w:t xml:space="preserve">inor consequential amendments required to reflect changes to the OPSGGM Act </w:t>
      </w:r>
      <w:r>
        <w:rPr>
          <w:szCs w:val="24"/>
        </w:rPr>
        <w:t>resulting from</w:t>
      </w:r>
      <w:r w:rsidR="007524D2" w:rsidRPr="007524D2">
        <w:rPr>
          <w:szCs w:val="24"/>
        </w:rPr>
        <w:t xml:space="preserve"> the Amendment Act.</w:t>
      </w:r>
      <w:r w:rsidR="008C0AE4">
        <w:rPr>
          <w:szCs w:val="24"/>
        </w:rPr>
        <w:t xml:space="preserve"> </w:t>
      </w:r>
      <w:r w:rsidR="007524D2" w:rsidRPr="007524D2">
        <w:rPr>
          <w:szCs w:val="24"/>
        </w:rPr>
        <w:t xml:space="preserve"> </w:t>
      </w:r>
    </w:p>
    <w:p w14:paraId="1C55B85F" w14:textId="34D13492" w:rsidR="008C0AE4" w:rsidRPr="005431DB" w:rsidRDefault="005431DB" w:rsidP="00815601">
      <w:pPr>
        <w:rPr>
          <w:rFonts w:ascii="Times New Roman" w:hAnsi="Times New Roman"/>
          <w:b/>
          <w:sz w:val="24"/>
          <w:szCs w:val="24"/>
        </w:rPr>
      </w:pPr>
      <w:r w:rsidRPr="005431DB">
        <w:rPr>
          <w:rFonts w:ascii="Times New Roman" w:hAnsi="Times New Roman"/>
          <w:b/>
          <w:sz w:val="24"/>
          <w:szCs w:val="24"/>
        </w:rPr>
        <w:t xml:space="preserve">Item </w:t>
      </w:r>
      <w:r w:rsidR="00EA747A">
        <w:rPr>
          <w:rFonts w:ascii="Times New Roman" w:hAnsi="Times New Roman"/>
          <w:b/>
          <w:sz w:val="24"/>
          <w:szCs w:val="24"/>
        </w:rPr>
        <w:t>1</w:t>
      </w:r>
      <w:r w:rsidRPr="005431DB">
        <w:rPr>
          <w:rFonts w:ascii="Times New Roman" w:hAnsi="Times New Roman"/>
          <w:b/>
          <w:sz w:val="24"/>
          <w:szCs w:val="24"/>
        </w:rPr>
        <w:t>5 – Regulations 3 and 5</w:t>
      </w:r>
    </w:p>
    <w:p w14:paraId="1F8ECA3D" w14:textId="77777777" w:rsidR="008C0AE4" w:rsidRDefault="008C0AE4" w:rsidP="00815601">
      <w:pPr>
        <w:rPr>
          <w:rFonts w:ascii="Times New Roman" w:hAnsi="Times New Roman"/>
          <w:sz w:val="24"/>
          <w:szCs w:val="24"/>
        </w:rPr>
      </w:pPr>
    </w:p>
    <w:p w14:paraId="43F142B4" w14:textId="480BEAB9" w:rsidR="005431DB" w:rsidRDefault="005431DB" w:rsidP="00534DFC">
      <w:pPr>
        <w:pStyle w:val="ListNumber"/>
        <w:numPr>
          <w:ilvl w:val="0"/>
          <w:numId w:val="8"/>
        </w:numPr>
        <w:spacing w:after="240"/>
        <w:ind w:left="567" w:hanging="567"/>
        <w:rPr>
          <w:szCs w:val="24"/>
        </w:rPr>
      </w:pPr>
      <w:r>
        <w:rPr>
          <w:szCs w:val="24"/>
        </w:rPr>
        <w:t xml:space="preserve">Item </w:t>
      </w:r>
      <w:r w:rsidR="00EA747A">
        <w:rPr>
          <w:szCs w:val="24"/>
        </w:rPr>
        <w:t>1</w:t>
      </w:r>
      <w:r>
        <w:rPr>
          <w:szCs w:val="24"/>
        </w:rPr>
        <w:t>5 repeal</w:t>
      </w:r>
      <w:r w:rsidR="00924F1E">
        <w:rPr>
          <w:szCs w:val="24"/>
        </w:rPr>
        <w:t>s</w:t>
      </w:r>
      <w:r>
        <w:rPr>
          <w:szCs w:val="24"/>
        </w:rPr>
        <w:t xml:space="preserve"> regulations 3 and 5 of the Manufacture Levy Regulations, as they are no longer required. </w:t>
      </w:r>
    </w:p>
    <w:p w14:paraId="14AD31A1" w14:textId="77777777" w:rsidR="008C0AE4" w:rsidRPr="00C010FA" w:rsidRDefault="008C0AE4" w:rsidP="008C0AE4">
      <w:pPr>
        <w:rPr>
          <w:rFonts w:ascii="Times New Roman" w:hAnsi="Times New Roman"/>
          <w:b/>
          <w:sz w:val="24"/>
          <w:szCs w:val="24"/>
        </w:rPr>
      </w:pPr>
      <w:r w:rsidRPr="00C010FA">
        <w:rPr>
          <w:rFonts w:ascii="Times New Roman" w:hAnsi="Times New Roman"/>
          <w:b/>
          <w:sz w:val="24"/>
          <w:szCs w:val="24"/>
        </w:rPr>
        <w:t xml:space="preserve">Part 2 – </w:t>
      </w:r>
      <w:r w:rsidR="005431DB" w:rsidRPr="00C010FA">
        <w:rPr>
          <w:rFonts w:ascii="Times New Roman" w:hAnsi="Times New Roman"/>
          <w:b/>
          <w:sz w:val="24"/>
          <w:szCs w:val="24"/>
        </w:rPr>
        <w:t>References to equipment and products</w:t>
      </w:r>
    </w:p>
    <w:p w14:paraId="53559C51" w14:textId="77777777" w:rsidR="00BE5B45" w:rsidRDefault="00BE5B45" w:rsidP="00815601">
      <w:pPr>
        <w:rPr>
          <w:rFonts w:ascii="Times New Roman" w:hAnsi="Times New Roman"/>
          <w:sz w:val="24"/>
          <w:szCs w:val="24"/>
        </w:rPr>
      </w:pPr>
    </w:p>
    <w:p w14:paraId="165ABD6C" w14:textId="0245E969" w:rsidR="00BE5B45" w:rsidRDefault="009256AB" w:rsidP="00534DFC">
      <w:pPr>
        <w:pStyle w:val="ListNumber"/>
        <w:numPr>
          <w:ilvl w:val="0"/>
          <w:numId w:val="8"/>
        </w:numPr>
        <w:spacing w:after="240"/>
        <w:ind w:left="567" w:hanging="567"/>
        <w:rPr>
          <w:szCs w:val="24"/>
        </w:rPr>
      </w:pPr>
      <w:r>
        <w:rPr>
          <w:szCs w:val="24"/>
        </w:rPr>
        <w:t xml:space="preserve">Items </w:t>
      </w:r>
      <w:r w:rsidR="007D160A">
        <w:rPr>
          <w:szCs w:val="24"/>
        </w:rPr>
        <w:t>16</w:t>
      </w:r>
      <w:r w:rsidR="001747BF">
        <w:rPr>
          <w:szCs w:val="24"/>
        </w:rPr>
        <w:t xml:space="preserve">, </w:t>
      </w:r>
      <w:r w:rsidR="007D160A">
        <w:rPr>
          <w:szCs w:val="24"/>
        </w:rPr>
        <w:t>17</w:t>
      </w:r>
      <w:r w:rsidR="001747BF">
        <w:rPr>
          <w:szCs w:val="24"/>
        </w:rPr>
        <w:t xml:space="preserve">, </w:t>
      </w:r>
      <w:r w:rsidR="007D160A">
        <w:rPr>
          <w:szCs w:val="24"/>
        </w:rPr>
        <w:t>20</w:t>
      </w:r>
      <w:r w:rsidR="001747BF">
        <w:rPr>
          <w:szCs w:val="24"/>
        </w:rPr>
        <w:t xml:space="preserve">, </w:t>
      </w:r>
      <w:r w:rsidR="007D160A">
        <w:rPr>
          <w:szCs w:val="24"/>
        </w:rPr>
        <w:t>21</w:t>
      </w:r>
      <w:r w:rsidR="001747BF">
        <w:rPr>
          <w:szCs w:val="24"/>
        </w:rPr>
        <w:t xml:space="preserve">, </w:t>
      </w:r>
      <w:r w:rsidR="007D160A">
        <w:rPr>
          <w:szCs w:val="24"/>
        </w:rPr>
        <w:t>23</w:t>
      </w:r>
      <w:r w:rsidR="001747BF">
        <w:rPr>
          <w:szCs w:val="24"/>
        </w:rPr>
        <w:t xml:space="preserve">, </w:t>
      </w:r>
      <w:r w:rsidR="007D160A">
        <w:rPr>
          <w:szCs w:val="24"/>
        </w:rPr>
        <w:t>24</w:t>
      </w:r>
      <w:r w:rsidR="001747BF">
        <w:rPr>
          <w:szCs w:val="24"/>
        </w:rPr>
        <w:t xml:space="preserve">, </w:t>
      </w:r>
      <w:r w:rsidR="007D160A">
        <w:rPr>
          <w:szCs w:val="24"/>
        </w:rPr>
        <w:t>25</w:t>
      </w:r>
      <w:r w:rsidR="001747BF">
        <w:rPr>
          <w:szCs w:val="24"/>
        </w:rPr>
        <w:t xml:space="preserve">, </w:t>
      </w:r>
      <w:r w:rsidR="007D160A">
        <w:rPr>
          <w:szCs w:val="24"/>
        </w:rPr>
        <w:t>26</w:t>
      </w:r>
      <w:r w:rsidR="001747BF">
        <w:rPr>
          <w:szCs w:val="24"/>
        </w:rPr>
        <w:t xml:space="preserve">, and </w:t>
      </w:r>
      <w:r w:rsidR="007D160A">
        <w:rPr>
          <w:szCs w:val="24"/>
        </w:rPr>
        <w:t>27</w:t>
      </w:r>
      <w:r w:rsidR="001747BF">
        <w:rPr>
          <w:szCs w:val="24"/>
        </w:rPr>
        <w:t xml:space="preserve"> </w:t>
      </w:r>
      <w:r w:rsidR="00924F1E">
        <w:rPr>
          <w:szCs w:val="24"/>
        </w:rPr>
        <w:t>are</w:t>
      </w:r>
      <w:r w:rsidR="001747BF">
        <w:rPr>
          <w:szCs w:val="24"/>
        </w:rPr>
        <w:t xml:space="preserve"> consequential amendments required as a result of the Amendment Act to change references to “product” to equipment. </w:t>
      </w:r>
    </w:p>
    <w:p w14:paraId="4FB3EBDA" w14:textId="77777777" w:rsidR="001747BF" w:rsidRDefault="001747BF" w:rsidP="00534DFC">
      <w:pPr>
        <w:pStyle w:val="ListNumber"/>
        <w:numPr>
          <w:ilvl w:val="0"/>
          <w:numId w:val="8"/>
        </w:numPr>
        <w:spacing w:after="240"/>
        <w:ind w:left="567" w:hanging="567"/>
        <w:rPr>
          <w:szCs w:val="24"/>
        </w:rPr>
      </w:pPr>
      <w:r>
        <w:rPr>
          <w:szCs w:val="24"/>
        </w:rPr>
        <w:t xml:space="preserve">Subsection 9(6) of the OPSGGM Act states that the regulations may provide that, in prescribed circumstances, a scheduled substance: (a) is a bulk scheduled substance, or is not a bulk scheduled substance; or (b) is taken to be contained in equipment, or is taken not to be contained in equipment; or (c) is taken to be used in the operation of equipment, or is taken not to be used in the operation of equipment.   </w:t>
      </w:r>
    </w:p>
    <w:p w14:paraId="7BF52978" w14:textId="6B88362A" w:rsidR="001747BF" w:rsidRDefault="001747BF" w:rsidP="00534DFC">
      <w:pPr>
        <w:pStyle w:val="ListNumber"/>
        <w:numPr>
          <w:ilvl w:val="0"/>
          <w:numId w:val="8"/>
        </w:numPr>
        <w:spacing w:after="240"/>
        <w:ind w:left="567" w:hanging="567"/>
        <w:rPr>
          <w:szCs w:val="24"/>
        </w:rPr>
      </w:pPr>
      <w:r>
        <w:rPr>
          <w:szCs w:val="24"/>
        </w:rPr>
        <w:t xml:space="preserve">Item </w:t>
      </w:r>
      <w:r w:rsidR="0062541E">
        <w:rPr>
          <w:szCs w:val="24"/>
        </w:rPr>
        <w:t>18</w:t>
      </w:r>
      <w:r>
        <w:rPr>
          <w:szCs w:val="24"/>
        </w:rPr>
        <w:t xml:space="preserve"> provide</w:t>
      </w:r>
      <w:r w:rsidR="00924F1E">
        <w:rPr>
          <w:szCs w:val="24"/>
        </w:rPr>
        <w:t>s</w:t>
      </w:r>
      <w:r>
        <w:rPr>
          <w:szCs w:val="24"/>
        </w:rPr>
        <w:t xml:space="preserve"> that, for the purposes of subsection 9(6) of the OPSGGM Act, an HFC or HCFC that is in a polyol blend is taken to be a bulk scheduled substance, is taken not to be contained in equipment, and is taken not to be used in equipment. </w:t>
      </w:r>
    </w:p>
    <w:p w14:paraId="7956B982" w14:textId="13AC014B" w:rsidR="001747BF" w:rsidRDefault="001747BF" w:rsidP="00534DFC">
      <w:pPr>
        <w:pStyle w:val="ListNumber"/>
        <w:numPr>
          <w:ilvl w:val="0"/>
          <w:numId w:val="8"/>
        </w:numPr>
        <w:spacing w:after="240"/>
        <w:ind w:left="567" w:hanging="567"/>
        <w:rPr>
          <w:szCs w:val="24"/>
        </w:rPr>
      </w:pPr>
      <w:r>
        <w:rPr>
          <w:szCs w:val="24"/>
        </w:rPr>
        <w:t xml:space="preserve">Item </w:t>
      </w:r>
      <w:r w:rsidR="0062541E">
        <w:rPr>
          <w:szCs w:val="24"/>
        </w:rPr>
        <w:t>19</w:t>
      </w:r>
      <w:r>
        <w:rPr>
          <w:szCs w:val="24"/>
        </w:rPr>
        <w:t xml:space="preserve"> insert</w:t>
      </w:r>
      <w:r w:rsidR="00924F1E">
        <w:rPr>
          <w:szCs w:val="24"/>
        </w:rPr>
        <w:t>s</w:t>
      </w:r>
      <w:r>
        <w:rPr>
          <w:szCs w:val="24"/>
        </w:rPr>
        <w:t xml:space="preserve"> two explanatory notes at the end of </w:t>
      </w:r>
      <w:proofErr w:type="spellStart"/>
      <w:r>
        <w:rPr>
          <w:szCs w:val="24"/>
        </w:rPr>
        <w:t>subregulation</w:t>
      </w:r>
      <w:proofErr w:type="spellEnd"/>
      <w:r>
        <w:rPr>
          <w:szCs w:val="24"/>
        </w:rPr>
        <w:t xml:space="preserve"> 3(1) clarifying that subsection 13(3) of the OPSGGM Act applies to bulk SGGs, and that medical devices, medicine, vet</w:t>
      </w:r>
      <w:r w:rsidR="0049353C">
        <w:rPr>
          <w:szCs w:val="24"/>
        </w:rPr>
        <w:t>erin</w:t>
      </w:r>
      <w:r>
        <w:rPr>
          <w:szCs w:val="24"/>
        </w:rPr>
        <w:t>ary devices and vet</w:t>
      </w:r>
      <w:r w:rsidR="0049353C">
        <w:rPr>
          <w:szCs w:val="24"/>
        </w:rPr>
        <w:t>er</w:t>
      </w:r>
      <w:r>
        <w:rPr>
          <w:szCs w:val="24"/>
        </w:rPr>
        <w:t xml:space="preserve">inary medicines are not SGG equipment and so are not subject to the Act’s restrictions on importing SGG equipment. </w:t>
      </w:r>
    </w:p>
    <w:p w14:paraId="186879D9" w14:textId="77777777" w:rsidR="001747BF" w:rsidRPr="00962F77" w:rsidRDefault="00DA7EF0" w:rsidP="00815601">
      <w:pPr>
        <w:rPr>
          <w:rFonts w:ascii="Times New Roman" w:hAnsi="Times New Roman"/>
          <w:sz w:val="24"/>
          <w:szCs w:val="24"/>
        </w:rPr>
      </w:pPr>
      <w:r w:rsidRPr="00C010FA">
        <w:rPr>
          <w:rFonts w:ascii="Times New Roman" w:hAnsi="Times New Roman"/>
          <w:b/>
          <w:sz w:val="24"/>
          <w:szCs w:val="24"/>
        </w:rPr>
        <w:t>Part 3 – References to the Navigation Act 1912</w:t>
      </w:r>
    </w:p>
    <w:p w14:paraId="7B1746B5" w14:textId="77777777" w:rsidR="005431DB" w:rsidRDefault="005431DB" w:rsidP="00815601">
      <w:pPr>
        <w:rPr>
          <w:rFonts w:ascii="Times New Roman" w:hAnsi="Times New Roman"/>
          <w:sz w:val="24"/>
          <w:szCs w:val="24"/>
        </w:rPr>
      </w:pPr>
    </w:p>
    <w:p w14:paraId="47007588" w14:textId="79CBA945" w:rsidR="00DA7EF0" w:rsidRDefault="00DA7EF0" w:rsidP="00534DFC">
      <w:pPr>
        <w:pStyle w:val="ListNumber"/>
        <w:numPr>
          <w:ilvl w:val="0"/>
          <w:numId w:val="8"/>
        </w:numPr>
        <w:spacing w:after="240"/>
        <w:ind w:left="567" w:hanging="567"/>
        <w:rPr>
          <w:szCs w:val="24"/>
        </w:rPr>
      </w:pPr>
      <w:r>
        <w:rPr>
          <w:szCs w:val="24"/>
        </w:rPr>
        <w:t>Items 2</w:t>
      </w:r>
      <w:r w:rsidR="00BD3B20">
        <w:rPr>
          <w:szCs w:val="24"/>
        </w:rPr>
        <w:t>8</w:t>
      </w:r>
      <w:r>
        <w:rPr>
          <w:szCs w:val="24"/>
        </w:rPr>
        <w:t xml:space="preserve"> and 2</w:t>
      </w:r>
      <w:r w:rsidR="00BD3B20">
        <w:rPr>
          <w:szCs w:val="24"/>
        </w:rPr>
        <w:t>9</w:t>
      </w:r>
      <w:r>
        <w:rPr>
          <w:szCs w:val="24"/>
        </w:rPr>
        <w:t xml:space="preserve"> update references to the </w:t>
      </w:r>
      <w:r w:rsidRPr="00DD2EA6">
        <w:rPr>
          <w:i/>
          <w:szCs w:val="24"/>
        </w:rPr>
        <w:t>Navigation Act 1912</w:t>
      </w:r>
      <w:r>
        <w:rPr>
          <w:szCs w:val="24"/>
        </w:rPr>
        <w:t xml:space="preserve">, following its repeal by the </w:t>
      </w:r>
      <w:r w:rsidRPr="00DD2EA6">
        <w:rPr>
          <w:i/>
          <w:szCs w:val="24"/>
        </w:rPr>
        <w:t>Navigation Act (Consequential Amendments) 2012</w:t>
      </w:r>
      <w:r>
        <w:rPr>
          <w:szCs w:val="24"/>
        </w:rPr>
        <w:t xml:space="preserve">. </w:t>
      </w:r>
      <w:r w:rsidR="0021358B">
        <w:rPr>
          <w:szCs w:val="24"/>
        </w:rPr>
        <w:t xml:space="preserve">The items amend the definitions of </w:t>
      </w:r>
      <w:r w:rsidR="0021358B" w:rsidRPr="00DD2EA6">
        <w:rPr>
          <w:szCs w:val="24"/>
        </w:rPr>
        <w:t>AMSA Certificate</w:t>
      </w:r>
      <w:r w:rsidR="0021358B">
        <w:rPr>
          <w:szCs w:val="24"/>
        </w:rPr>
        <w:t xml:space="preserve"> and </w:t>
      </w:r>
      <w:r w:rsidR="0021358B" w:rsidRPr="00DD2EA6">
        <w:rPr>
          <w:szCs w:val="24"/>
        </w:rPr>
        <w:t>AMSA vessel</w:t>
      </w:r>
      <w:r w:rsidR="0021358B">
        <w:rPr>
          <w:szCs w:val="24"/>
        </w:rPr>
        <w:t xml:space="preserve"> in regulation 110 of the </w:t>
      </w:r>
      <w:r w:rsidR="00BC34DD">
        <w:rPr>
          <w:szCs w:val="24"/>
        </w:rPr>
        <w:t>Principal</w:t>
      </w:r>
      <w:r w:rsidR="0021358B">
        <w:rPr>
          <w:szCs w:val="24"/>
        </w:rPr>
        <w:t xml:space="preserve"> Regulations to refer to the </w:t>
      </w:r>
      <w:r w:rsidR="0021358B" w:rsidRPr="00DD2EA6">
        <w:rPr>
          <w:i/>
          <w:szCs w:val="24"/>
        </w:rPr>
        <w:t>Navigation Act 2012</w:t>
      </w:r>
      <w:r w:rsidR="0021358B">
        <w:rPr>
          <w:szCs w:val="24"/>
        </w:rPr>
        <w:t xml:space="preserve">. </w:t>
      </w:r>
    </w:p>
    <w:p w14:paraId="7A3756B1" w14:textId="77777777" w:rsidR="00924F1E" w:rsidRDefault="00924F1E">
      <w:pPr>
        <w:rPr>
          <w:rFonts w:ascii="Times New Roman" w:hAnsi="Times New Roman"/>
          <w:b/>
          <w:sz w:val="24"/>
          <w:szCs w:val="24"/>
        </w:rPr>
      </w:pPr>
      <w:r>
        <w:rPr>
          <w:rFonts w:ascii="Times New Roman" w:hAnsi="Times New Roman"/>
          <w:b/>
          <w:sz w:val="24"/>
          <w:szCs w:val="24"/>
        </w:rPr>
        <w:br w:type="page"/>
      </w:r>
    </w:p>
    <w:p w14:paraId="4334EAC0" w14:textId="1529A8A4" w:rsidR="004E3A26" w:rsidRPr="00962F77" w:rsidRDefault="004E3A26" w:rsidP="004E3A26">
      <w:pPr>
        <w:rPr>
          <w:rFonts w:ascii="Times New Roman" w:hAnsi="Times New Roman"/>
          <w:sz w:val="24"/>
          <w:szCs w:val="24"/>
        </w:rPr>
      </w:pPr>
      <w:r w:rsidRPr="00C010FA">
        <w:rPr>
          <w:rFonts w:ascii="Times New Roman" w:hAnsi="Times New Roman"/>
          <w:b/>
          <w:sz w:val="24"/>
          <w:szCs w:val="24"/>
        </w:rPr>
        <w:lastRenderedPageBreak/>
        <w:t>Part 4 – Delegations</w:t>
      </w:r>
    </w:p>
    <w:p w14:paraId="601EB12C" w14:textId="77777777" w:rsidR="004E3A26" w:rsidRDefault="004E3A26" w:rsidP="004E3A26">
      <w:pPr>
        <w:rPr>
          <w:rFonts w:ascii="Times New Roman" w:hAnsi="Times New Roman"/>
          <w:sz w:val="24"/>
          <w:szCs w:val="24"/>
        </w:rPr>
      </w:pPr>
    </w:p>
    <w:p w14:paraId="147FD4A1" w14:textId="521F25B6" w:rsidR="00CE3BB0" w:rsidRDefault="00CE3BB0" w:rsidP="00534DFC">
      <w:pPr>
        <w:pStyle w:val="ListNumber"/>
        <w:numPr>
          <w:ilvl w:val="0"/>
          <w:numId w:val="8"/>
        </w:numPr>
        <w:spacing w:after="240"/>
        <w:ind w:left="567" w:hanging="567"/>
        <w:rPr>
          <w:szCs w:val="24"/>
        </w:rPr>
      </w:pPr>
      <w:r>
        <w:rPr>
          <w:szCs w:val="24"/>
        </w:rPr>
        <w:t xml:space="preserve">Items </w:t>
      </w:r>
      <w:r w:rsidR="00E430AC">
        <w:rPr>
          <w:szCs w:val="24"/>
        </w:rPr>
        <w:t>30</w:t>
      </w:r>
      <w:r>
        <w:rPr>
          <w:szCs w:val="24"/>
        </w:rPr>
        <w:t xml:space="preserve">, </w:t>
      </w:r>
      <w:r w:rsidR="00E430AC">
        <w:rPr>
          <w:szCs w:val="24"/>
        </w:rPr>
        <w:t>31</w:t>
      </w:r>
      <w:r>
        <w:rPr>
          <w:szCs w:val="24"/>
        </w:rPr>
        <w:t xml:space="preserve">, </w:t>
      </w:r>
      <w:r w:rsidR="00E430AC">
        <w:rPr>
          <w:szCs w:val="24"/>
        </w:rPr>
        <w:t>32</w:t>
      </w:r>
      <w:r>
        <w:rPr>
          <w:szCs w:val="24"/>
        </w:rPr>
        <w:t xml:space="preserve">, </w:t>
      </w:r>
      <w:r w:rsidR="00E430AC">
        <w:rPr>
          <w:szCs w:val="24"/>
        </w:rPr>
        <w:t>33</w:t>
      </w:r>
      <w:r>
        <w:rPr>
          <w:szCs w:val="24"/>
        </w:rPr>
        <w:t xml:space="preserve">, and </w:t>
      </w:r>
      <w:r w:rsidR="00E430AC">
        <w:rPr>
          <w:szCs w:val="24"/>
        </w:rPr>
        <w:t>34</w:t>
      </w:r>
      <w:r>
        <w:rPr>
          <w:szCs w:val="24"/>
        </w:rPr>
        <w:t xml:space="preserve"> amend provisions</w:t>
      </w:r>
      <w:r w:rsidR="00962F77">
        <w:rPr>
          <w:szCs w:val="24"/>
        </w:rPr>
        <w:t xml:space="preserve"> of the Principal Regulations</w:t>
      </w:r>
      <w:r>
        <w:rPr>
          <w:szCs w:val="24"/>
        </w:rPr>
        <w:t xml:space="preserve"> relating to delegations</w:t>
      </w:r>
      <w:r w:rsidR="00962F77">
        <w:rPr>
          <w:szCs w:val="24"/>
        </w:rPr>
        <w:t>, and ensure the P</w:t>
      </w:r>
      <w:r w:rsidR="00BC34DD">
        <w:rPr>
          <w:szCs w:val="24"/>
        </w:rPr>
        <w:t>rincipal</w:t>
      </w:r>
      <w:r>
        <w:rPr>
          <w:szCs w:val="24"/>
        </w:rPr>
        <w:t xml:space="preserve"> Regulations </w:t>
      </w:r>
      <w:r w:rsidR="00962F77">
        <w:rPr>
          <w:szCs w:val="24"/>
        </w:rPr>
        <w:t>are consistent</w:t>
      </w:r>
      <w:r>
        <w:rPr>
          <w:szCs w:val="24"/>
        </w:rPr>
        <w:t xml:space="preserve"> with the OPSGGM Act.</w:t>
      </w:r>
    </w:p>
    <w:p w14:paraId="167A85BA" w14:textId="6EBD1E31" w:rsidR="00225158" w:rsidRPr="00934FD7" w:rsidRDefault="00CE3BB0" w:rsidP="00534DFC">
      <w:pPr>
        <w:pStyle w:val="ListNumber"/>
        <w:numPr>
          <w:ilvl w:val="0"/>
          <w:numId w:val="8"/>
        </w:numPr>
        <w:spacing w:after="240"/>
        <w:ind w:left="567" w:hanging="567"/>
        <w:rPr>
          <w:szCs w:val="24"/>
        </w:rPr>
      </w:pPr>
      <w:r w:rsidRPr="00934FD7">
        <w:rPr>
          <w:szCs w:val="24"/>
        </w:rPr>
        <w:t xml:space="preserve">Under the OPSGGM Act, the Minister may delegate any or all of his or her functions and powers under the OPSGGM Act or the </w:t>
      </w:r>
      <w:r w:rsidR="00BC34DD" w:rsidRPr="00934FD7">
        <w:rPr>
          <w:szCs w:val="24"/>
        </w:rPr>
        <w:t>Principal</w:t>
      </w:r>
      <w:r w:rsidRPr="00934FD7">
        <w:rPr>
          <w:szCs w:val="24"/>
        </w:rPr>
        <w:t xml:space="preserve"> Regulations to an APS employee who holds or is acting in, an Executive Level 2, or equivalent, position, as well as S</w:t>
      </w:r>
      <w:r w:rsidR="0049353C" w:rsidRPr="00934FD7">
        <w:rPr>
          <w:szCs w:val="24"/>
        </w:rPr>
        <w:t>enior Executive Service (S</w:t>
      </w:r>
      <w:r w:rsidRPr="00934FD7">
        <w:rPr>
          <w:szCs w:val="24"/>
        </w:rPr>
        <w:t>ES</w:t>
      </w:r>
      <w:r w:rsidR="0049353C" w:rsidRPr="00934FD7">
        <w:rPr>
          <w:szCs w:val="24"/>
        </w:rPr>
        <w:t>)</w:t>
      </w:r>
      <w:r w:rsidRPr="00934FD7">
        <w:rPr>
          <w:szCs w:val="24"/>
        </w:rPr>
        <w:t>, or acting SES employees</w:t>
      </w:r>
      <w:r w:rsidR="007A535A" w:rsidRPr="00934FD7">
        <w:rPr>
          <w:szCs w:val="24"/>
        </w:rPr>
        <w:t>.</w:t>
      </w:r>
    </w:p>
    <w:p w14:paraId="571ACE56" w14:textId="05204AC5" w:rsidR="00CE3BB0" w:rsidRDefault="00CE3BB0" w:rsidP="00534DFC">
      <w:pPr>
        <w:pStyle w:val="ListNumber"/>
        <w:numPr>
          <w:ilvl w:val="0"/>
          <w:numId w:val="8"/>
        </w:numPr>
        <w:spacing w:after="240"/>
        <w:ind w:left="567" w:hanging="567"/>
        <w:rPr>
          <w:szCs w:val="24"/>
        </w:rPr>
      </w:pPr>
      <w:r>
        <w:rPr>
          <w:szCs w:val="24"/>
        </w:rPr>
        <w:t xml:space="preserve">Item </w:t>
      </w:r>
      <w:r w:rsidR="00E430AC">
        <w:rPr>
          <w:szCs w:val="24"/>
        </w:rPr>
        <w:t>34</w:t>
      </w:r>
      <w:r>
        <w:rPr>
          <w:szCs w:val="24"/>
        </w:rPr>
        <w:t xml:space="preserve"> allow</w:t>
      </w:r>
      <w:r w:rsidR="00924F1E">
        <w:rPr>
          <w:szCs w:val="24"/>
        </w:rPr>
        <w:t>s</w:t>
      </w:r>
      <w:r>
        <w:rPr>
          <w:szCs w:val="24"/>
        </w:rPr>
        <w:t xml:space="preserve"> the Secretary to delegate </w:t>
      </w:r>
      <w:r w:rsidRPr="00E47F1A">
        <w:rPr>
          <w:szCs w:val="24"/>
        </w:rPr>
        <w:t xml:space="preserve">any or all of </w:t>
      </w:r>
      <w:r>
        <w:rPr>
          <w:szCs w:val="24"/>
        </w:rPr>
        <w:t xml:space="preserve">his or her </w:t>
      </w:r>
      <w:r w:rsidRPr="00E47F1A">
        <w:rPr>
          <w:szCs w:val="24"/>
        </w:rPr>
        <w:t xml:space="preserve">functions and powers under the </w:t>
      </w:r>
      <w:r w:rsidR="00BC34DD">
        <w:rPr>
          <w:szCs w:val="24"/>
        </w:rPr>
        <w:t>Principal</w:t>
      </w:r>
      <w:r w:rsidRPr="00E47F1A">
        <w:rPr>
          <w:szCs w:val="24"/>
        </w:rPr>
        <w:t xml:space="preserve"> Regulations to an APS employee who holds or is acting in, an Executive Level 2, or equivalent, position, as well as SES, or acting SES employees</w:t>
      </w:r>
      <w:r>
        <w:rPr>
          <w:szCs w:val="24"/>
        </w:rPr>
        <w:t xml:space="preserve">. However, in performing a delegated function or exercising a delegated power, the delegate would have to comply with any written directions from the Secretary. </w:t>
      </w:r>
    </w:p>
    <w:p w14:paraId="2793478B" w14:textId="48848FC2" w:rsidR="005F7A66" w:rsidRPr="005F7A66" w:rsidRDefault="005F7A66" w:rsidP="00534DFC">
      <w:pPr>
        <w:pStyle w:val="ListNumber"/>
        <w:numPr>
          <w:ilvl w:val="0"/>
          <w:numId w:val="8"/>
        </w:numPr>
        <w:spacing w:after="240"/>
        <w:ind w:left="567" w:hanging="567"/>
        <w:rPr>
          <w:szCs w:val="24"/>
        </w:rPr>
      </w:pPr>
      <w:r w:rsidRPr="00E47F1A">
        <w:rPr>
          <w:szCs w:val="24"/>
        </w:rPr>
        <w:t xml:space="preserve">While Item </w:t>
      </w:r>
      <w:r w:rsidR="00E430AC">
        <w:rPr>
          <w:szCs w:val="24"/>
        </w:rPr>
        <w:t>34</w:t>
      </w:r>
      <w:r w:rsidRPr="00E47F1A">
        <w:rPr>
          <w:szCs w:val="24"/>
        </w:rPr>
        <w:t xml:space="preserve"> is drafted to refer to an APS employee who holds or performs the duties of an Executive Level 2, or equivalent, position, it is intended that these functions and powers would only be delegated to Executive Level 2 employees in the Department who have day-to-day responsibility for the administration of the OPSGGM Act and the </w:t>
      </w:r>
      <w:r w:rsidR="00BC34DD">
        <w:rPr>
          <w:szCs w:val="24"/>
        </w:rPr>
        <w:t>Principal</w:t>
      </w:r>
      <w:r w:rsidRPr="00E47F1A">
        <w:rPr>
          <w:szCs w:val="24"/>
        </w:rPr>
        <w:t xml:space="preserve"> Regulations. </w:t>
      </w:r>
    </w:p>
    <w:p w14:paraId="37F0A6B3" w14:textId="1B23C6AB" w:rsidR="005F7A66" w:rsidRDefault="005F7A66" w:rsidP="00534DFC">
      <w:pPr>
        <w:pStyle w:val="ListNumber"/>
        <w:numPr>
          <w:ilvl w:val="0"/>
          <w:numId w:val="8"/>
        </w:numPr>
        <w:spacing w:after="240"/>
        <w:ind w:left="567" w:hanging="567"/>
        <w:rPr>
          <w:szCs w:val="24"/>
        </w:rPr>
      </w:pPr>
      <w:r w:rsidRPr="00E47F1A">
        <w:rPr>
          <w:szCs w:val="24"/>
        </w:rPr>
        <w:t xml:space="preserve">The capacity to delegate to Executive Level 2 officers who have day-to-day responsibilities in relation to the OPSGGM Act and the </w:t>
      </w:r>
      <w:r w:rsidR="00BC34DD">
        <w:rPr>
          <w:szCs w:val="24"/>
        </w:rPr>
        <w:t>Principal</w:t>
      </w:r>
      <w:r w:rsidRPr="00E47F1A">
        <w:rPr>
          <w:szCs w:val="24"/>
        </w:rPr>
        <w:t xml:space="preserve"> Regulations is essential to streamline the administration of the OPSSGM legislation. </w:t>
      </w:r>
    </w:p>
    <w:p w14:paraId="499D8AFB" w14:textId="77777777" w:rsidR="00CE3BB0" w:rsidRDefault="005F7A66" w:rsidP="00534DFC">
      <w:pPr>
        <w:pStyle w:val="ListNumber"/>
        <w:numPr>
          <w:ilvl w:val="0"/>
          <w:numId w:val="8"/>
        </w:numPr>
        <w:spacing w:after="240"/>
        <w:ind w:left="567" w:hanging="567"/>
        <w:rPr>
          <w:szCs w:val="24"/>
        </w:rPr>
      </w:pPr>
      <w:r w:rsidRPr="00E47F1A">
        <w:rPr>
          <w:szCs w:val="24"/>
        </w:rPr>
        <w:t>The giving of delegations and the exercise of delegated powers are the subject of fraud control procedures, risk management processes and other protocols. These are designed to ensure delegated decision-making is made at the appropriate level and in a transparent and accountable manner</w:t>
      </w:r>
      <w:r>
        <w:rPr>
          <w:szCs w:val="24"/>
        </w:rPr>
        <w:t>.</w:t>
      </w:r>
    </w:p>
    <w:p w14:paraId="0A589B99" w14:textId="77777777" w:rsidR="00225158" w:rsidRPr="003245E4" w:rsidRDefault="00225158" w:rsidP="00225158">
      <w:pPr>
        <w:rPr>
          <w:rFonts w:ascii="Times New Roman" w:hAnsi="Times New Roman"/>
          <w:sz w:val="24"/>
          <w:szCs w:val="24"/>
        </w:rPr>
      </w:pPr>
      <w:r w:rsidRPr="00C010FA">
        <w:rPr>
          <w:rFonts w:ascii="Times New Roman" w:hAnsi="Times New Roman"/>
          <w:b/>
          <w:sz w:val="24"/>
          <w:szCs w:val="24"/>
        </w:rPr>
        <w:t>Part 5 – Other amendments</w:t>
      </w:r>
    </w:p>
    <w:p w14:paraId="0455F90E" w14:textId="77777777" w:rsidR="00225158" w:rsidRPr="00716572" w:rsidRDefault="00225158" w:rsidP="00225158">
      <w:pPr>
        <w:rPr>
          <w:rFonts w:ascii="Times New Roman" w:hAnsi="Times New Roman"/>
          <w:sz w:val="24"/>
          <w:szCs w:val="24"/>
        </w:rPr>
      </w:pPr>
    </w:p>
    <w:p w14:paraId="71403199" w14:textId="1F1DE1B7" w:rsidR="00716572" w:rsidRDefault="00716572" w:rsidP="00534DFC">
      <w:pPr>
        <w:pStyle w:val="ListNumber"/>
        <w:numPr>
          <w:ilvl w:val="0"/>
          <w:numId w:val="8"/>
        </w:numPr>
        <w:spacing w:after="240"/>
        <w:ind w:left="567" w:hanging="567"/>
        <w:rPr>
          <w:szCs w:val="24"/>
        </w:rPr>
      </w:pPr>
      <w:r w:rsidRPr="00716572">
        <w:rPr>
          <w:szCs w:val="24"/>
        </w:rPr>
        <w:t xml:space="preserve">Items </w:t>
      </w:r>
      <w:r w:rsidR="00AE1FAF">
        <w:rPr>
          <w:szCs w:val="24"/>
        </w:rPr>
        <w:t>35</w:t>
      </w:r>
      <w:r w:rsidRPr="00716572">
        <w:rPr>
          <w:szCs w:val="24"/>
        </w:rPr>
        <w:t xml:space="preserve">, </w:t>
      </w:r>
      <w:r w:rsidR="00AE1FAF">
        <w:rPr>
          <w:szCs w:val="24"/>
        </w:rPr>
        <w:t>36</w:t>
      </w:r>
      <w:r>
        <w:rPr>
          <w:szCs w:val="24"/>
        </w:rPr>
        <w:t xml:space="preserve">, </w:t>
      </w:r>
      <w:r w:rsidR="00AE1FAF">
        <w:rPr>
          <w:szCs w:val="24"/>
        </w:rPr>
        <w:t>37</w:t>
      </w:r>
      <w:r>
        <w:rPr>
          <w:szCs w:val="24"/>
        </w:rPr>
        <w:t xml:space="preserve"> and </w:t>
      </w:r>
      <w:r w:rsidR="00AE1FAF">
        <w:rPr>
          <w:szCs w:val="24"/>
        </w:rPr>
        <w:t>40</w:t>
      </w:r>
      <w:r>
        <w:rPr>
          <w:szCs w:val="24"/>
        </w:rPr>
        <w:t xml:space="preserve"> </w:t>
      </w:r>
      <w:r w:rsidR="00924F1E">
        <w:rPr>
          <w:szCs w:val="24"/>
        </w:rPr>
        <w:t>are</w:t>
      </w:r>
      <w:r w:rsidR="00962F77">
        <w:rPr>
          <w:szCs w:val="24"/>
        </w:rPr>
        <w:t xml:space="preserve"> required to repeal redundant references to temporary licences in the Principal Regulations</w:t>
      </w:r>
      <w:r>
        <w:rPr>
          <w:szCs w:val="24"/>
        </w:rPr>
        <w:t>. Temporary licences are no longer issued (the provisions providing for their issue were repealed in 2009).</w:t>
      </w:r>
    </w:p>
    <w:p w14:paraId="2B893C4D" w14:textId="49BDB701" w:rsidR="00291A87" w:rsidRDefault="00671FC5" w:rsidP="00534DFC">
      <w:pPr>
        <w:pStyle w:val="ListNumber"/>
        <w:numPr>
          <w:ilvl w:val="0"/>
          <w:numId w:val="8"/>
        </w:numPr>
        <w:spacing w:after="240"/>
        <w:ind w:left="567" w:hanging="567"/>
        <w:rPr>
          <w:szCs w:val="24"/>
        </w:rPr>
      </w:pPr>
      <w:r>
        <w:rPr>
          <w:szCs w:val="24"/>
        </w:rPr>
        <w:t xml:space="preserve">Item </w:t>
      </w:r>
      <w:r w:rsidR="00AE1FAF">
        <w:rPr>
          <w:szCs w:val="24"/>
        </w:rPr>
        <w:t>38</w:t>
      </w:r>
      <w:r>
        <w:rPr>
          <w:szCs w:val="24"/>
        </w:rPr>
        <w:t xml:space="preserve"> repeal</w:t>
      </w:r>
      <w:r w:rsidR="00924F1E">
        <w:rPr>
          <w:szCs w:val="24"/>
        </w:rPr>
        <w:t>s</w:t>
      </w:r>
      <w:r>
        <w:rPr>
          <w:szCs w:val="24"/>
        </w:rPr>
        <w:t xml:space="preserve"> paragraph 326(1</w:t>
      </w:r>
      <w:proofErr w:type="gramStart"/>
      <w:r>
        <w:rPr>
          <w:szCs w:val="24"/>
        </w:rPr>
        <w:t>)(</w:t>
      </w:r>
      <w:proofErr w:type="gramEnd"/>
      <w:r>
        <w:rPr>
          <w:szCs w:val="24"/>
        </w:rPr>
        <w:t>c)(ii)</w:t>
      </w:r>
      <w:r w:rsidR="00FC53E7">
        <w:rPr>
          <w:szCs w:val="24"/>
        </w:rPr>
        <w:t xml:space="preserve"> of the Principal Regulations</w:t>
      </w:r>
      <w:r>
        <w:rPr>
          <w:szCs w:val="24"/>
        </w:rPr>
        <w:t xml:space="preserve">. </w:t>
      </w:r>
      <w:r w:rsidR="00962F77">
        <w:rPr>
          <w:szCs w:val="24"/>
        </w:rPr>
        <w:t>T</w:t>
      </w:r>
      <w:r>
        <w:rPr>
          <w:szCs w:val="24"/>
        </w:rPr>
        <w:t xml:space="preserve">his paragraph sets out a licence condition that it is not possible for </w:t>
      </w:r>
      <w:proofErr w:type="spellStart"/>
      <w:r>
        <w:rPr>
          <w:szCs w:val="24"/>
        </w:rPr>
        <w:t>licencees</w:t>
      </w:r>
      <w:proofErr w:type="spellEnd"/>
      <w:r>
        <w:rPr>
          <w:szCs w:val="24"/>
        </w:rPr>
        <w:t xml:space="preserve"> to comply with, as the National Association of Testing Authorities (NATA) is not able to provide accreditations of the kind referred to in this paragraph. As such, it is not possible for </w:t>
      </w:r>
      <w:proofErr w:type="spellStart"/>
      <w:r>
        <w:rPr>
          <w:szCs w:val="24"/>
        </w:rPr>
        <w:t>licencees</w:t>
      </w:r>
      <w:proofErr w:type="spellEnd"/>
      <w:r>
        <w:rPr>
          <w:szCs w:val="24"/>
        </w:rPr>
        <w:t xml:space="preserve"> to have equipment used for the transfer of extinguishing agent from one vessel to another approved as being fit for the transfer of extinguishing agents by a person accredited by NATA. </w:t>
      </w:r>
    </w:p>
    <w:p w14:paraId="549DFD8E" w14:textId="671FBFE3" w:rsidR="00671FC5" w:rsidRDefault="00B44B7F" w:rsidP="00534DFC">
      <w:pPr>
        <w:pStyle w:val="ListNumber"/>
        <w:numPr>
          <w:ilvl w:val="0"/>
          <w:numId w:val="8"/>
        </w:numPr>
        <w:spacing w:after="240"/>
        <w:ind w:left="567" w:hanging="567"/>
        <w:rPr>
          <w:szCs w:val="24"/>
        </w:rPr>
      </w:pPr>
      <w:r>
        <w:rPr>
          <w:szCs w:val="24"/>
        </w:rPr>
        <w:t xml:space="preserve">Item </w:t>
      </w:r>
      <w:r w:rsidR="00242A68">
        <w:rPr>
          <w:szCs w:val="24"/>
        </w:rPr>
        <w:t>39</w:t>
      </w:r>
      <w:r>
        <w:rPr>
          <w:szCs w:val="24"/>
        </w:rPr>
        <w:t xml:space="preserve"> is a consequential amendment required as a result of Item </w:t>
      </w:r>
      <w:r w:rsidR="00924F1E">
        <w:rPr>
          <w:szCs w:val="24"/>
        </w:rPr>
        <w:t>38</w:t>
      </w:r>
      <w:r>
        <w:rPr>
          <w:szCs w:val="24"/>
        </w:rPr>
        <w:t xml:space="preserve">. </w:t>
      </w:r>
    </w:p>
    <w:p w14:paraId="5E8B65C7" w14:textId="0EC43BBE" w:rsidR="00D653C7" w:rsidRPr="003245E4" w:rsidRDefault="00716572" w:rsidP="00D653C7">
      <w:pPr>
        <w:rPr>
          <w:rFonts w:ascii="Times New Roman" w:hAnsi="Times New Roman"/>
          <w:sz w:val="24"/>
          <w:szCs w:val="24"/>
        </w:rPr>
      </w:pPr>
      <w:r>
        <w:rPr>
          <w:rFonts w:ascii="Times New Roman" w:hAnsi="Times New Roman"/>
          <w:sz w:val="24"/>
          <w:szCs w:val="24"/>
        </w:rPr>
        <w:t xml:space="preserve"> </w:t>
      </w:r>
      <w:r w:rsidR="00D653C7" w:rsidRPr="00C010FA">
        <w:rPr>
          <w:rFonts w:ascii="Times New Roman" w:hAnsi="Times New Roman"/>
          <w:b/>
          <w:sz w:val="24"/>
          <w:szCs w:val="24"/>
        </w:rPr>
        <w:t>Part 6 – Transitional provisions</w:t>
      </w:r>
    </w:p>
    <w:p w14:paraId="24CC6081" w14:textId="77777777" w:rsidR="00053B64" w:rsidRDefault="00053B64" w:rsidP="00225158">
      <w:pPr>
        <w:rPr>
          <w:rFonts w:ascii="Times New Roman" w:hAnsi="Times New Roman"/>
          <w:sz w:val="24"/>
          <w:szCs w:val="24"/>
        </w:rPr>
      </w:pPr>
    </w:p>
    <w:p w14:paraId="4F9F0D34" w14:textId="60FED991" w:rsidR="00225158" w:rsidRDefault="00053B64" w:rsidP="00534DFC">
      <w:pPr>
        <w:pStyle w:val="ListNumber"/>
        <w:numPr>
          <w:ilvl w:val="0"/>
          <w:numId w:val="8"/>
        </w:numPr>
        <w:spacing w:after="240"/>
        <w:ind w:left="567" w:hanging="567"/>
        <w:rPr>
          <w:szCs w:val="24"/>
        </w:rPr>
      </w:pPr>
      <w:r>
        <w:rPr>
          <w:szCs w:val="24"/>
        </w:rPr>
        <w:t xml:space="preserve">Item </w:t>
      </w:r>
      <w:r w:rsidR="008B3513">
        <w:rPr>
          <w:szCs w:val="24"/>
        </w:rPr>
        <w:t>41</w:t>
      </w:r>
      <w:r>
        <w:rPr>
          <w:szCs w:val="24"/>
        </w:rPr>
        <w:t xml:space="preserve"> insert</w:t>
      </w:r>
      <w:r w:rsidR="00924F1E">
        <w:rPr>
          <w:szCs w:val="24"/>
        </w:rPr>
        <w:t>s</w:t>
      </w:r>
      <w:r>
        <w:rPr>
          <w:szCs w:val="24"/>
        </w:rPr>
        <w:t xml:space="preserve"> transitional provisions into Part 10 of the </w:t>
      </w:r>
      <w:r w:rsidR="00BC34DD">
        <w:rPr>
          <w:szCs w:val="24"/>
        </w:rPr>
        <w:t>Principal</w:t>
      </w:r>
      <w:r>
        <w:rPr>
          <w:szCs w:val="24"/>
        </w:rPr>
        <w:t xml:space="preserve"> Regulations. These transitional provisions would relate </w:t>
      </w:r>
      <w:r w:rsidRPr="00B35659">
        <w:rPr>
          <w:szCs w:val="24"/>
        </w:rPr>
        <w:t xml:space="preserve">to Item </w:t>
      </w:r>
      <w:r w:rsidR="00B35659">
        <w:rPr>
          <w:szCs w:val="24"/>
        </w:rPr>
        <w:t>6</w:t>
      </w:r>
      <w:r>
        <w:rPr>
          <w:szCs w:val="24"/>
        </w:rPr>
        <w:t xml:space="preserve"> (provisions relating to low-volume import thresholds and associated conditions), approved forms, and delegations. </w:t>
      </w:r>
    </w:p>
    <w:p w14:paraId="51AA53F2" w14:textId="77777777" w:rsidR="00B35659" w:rsidRDefault="00B35659">
      <w:pPr>
        <w:rPr>
          <w:rFonts w:ascii="Times New Roman" w:hAnsi="Times New Roman"/>
          <w:b/>
          <w:sz w:val="24"/>
          <w:szCs w:val="24"/>
        </w:rPr>
      </w:pPr>
      <w:r>
        <w:rPr>
          <w:rFonts w:ascii="Times New Roman" w:hAnsi="Times New Roman"/>
          <w:b/>
          <w:sz w:val="24"/>
          <w:szCs w:val="24"/>
        </w:rPr>
        <w:br w:type="page"/>
      </w:r>
    </w:p>
    <w:p w14:paraId="742AE10F" w14:textId="2BED823E" w:rsidR="00053B64" w:rsidRPr="003245E4" w:rsidRDefault="00053B64" w:rsidP="00225158">
      <w:pPr>
        <w:rPr>
          <w:rFonts w:ascii="Times New Roman" w:hAnsi="Times New Roman"/>
          <w:sz w:val="24"/>
          <w:szCs w:val="24"/>
        </w:rPr>
      </w:pPr>
      <w:r w:rsidRPr="00C010FA">
        <w:rPr>
          <w:rFonts w:ascii="Times New Roman" w:hAnsi="Times New Roman"/>
          <w:b/>
          <w:sz w:val="24"/>
          <w:szCs w:val="24"/>
        </w:rPr>
        <w:lastRenderedPageBreak/>
        <w:t xml:space="preserve">Schedule 2 – Amendments commencing </w:t>
      </w:r>
      <w:r w:rsidR="00B96B7E">
        <w:rPr>
          <w:rFonts w:ascii="Times New Roman" w:hAnsi="Times New Roman"/>
          <w:b/>
          <w:sz w:val="24"/>
          <w:szCs w:val="24"/>
        </w:rPr>
        <w:t>1 January 2018</w:t>
      </w:r>
    </w:p>
    <w:p w14:paraId="2C08E846" w14:textId="77777777" w:rsidR="00053B64" w:rsidRDefault="00053B64" w:rsidP="00225158">
      <w:pPr>
        <w:rPr>
          <w:rFonts w:ascii="Times New Roman" w:hAnsi="Times New Roman"/>
          <w:sz w:val="24"/>
          <w:szCs w:val="24"/>
        </w:rPr>
      </w:pPr>
    </w:p>
    <w:p w14:paraId="6CC38797" w14:textId="77777777" w:rsidR="00053B64" w:rsidRPr="003245E4" w:rsidRDefault="00053B64" w:rsidP="00053B64">
      <w:pPr>
        <w:rPr>
          <w:rFonts w:ascii="Times New Roman" w:hAnsi="Times New Roman"/>
          <w:sz w:val="24"/>
          <w:szCs w:val="24"/>
        </w:rPr>
      </w:pPr>
      <w:r w:rsidRPr="00C010FA">
        <w:rPr>
          <w:rFonts w:ascii="Times New Roman" w:hAnsi="Times New Roman"/>
          <w:b/>
          <w:sz w:val="24"/>
          <w:szCs w:val="24"/>
        </w:rPr>
        <w:t>Part 1 – Licences</w:t>
      </w:r>
    </w:p>
    <w:p w14:paraId="2435949B" w14:textId="77777777" w:rsidR="00053B64" w:rsidRDefault="00053B64" w:rsidP="00225158">
      <w:pPr>
        <w:rPr>
          <w:rFonts w:ascii="Times New Roman" w:hAnsi="Times New Roman"/>
          <w:sz w:val="24"/>
          <w:szCs w:val="24"/>
        </w:rPr>
      </w:pPr>
    </w:p>
    <w:p w14:paraId="3692D5C0" w14:textId="24EF5EFB" w:rsidR="00F73BA6" w:rsidRDefault="00117996" w:rsidP="00534DFC">
      <w:pPr>
        <w:pStyle w:val="ListNumber"/>
        <w:numPr>
          <w:ilvl w:val="0"/>
          <w:numId w:val="8"/>
        </w:numPr>
        <w:spacing w:after="240"/>
        <w:ind w:left="567" w:hanging="567"/>
        <w:rPr>
          <w:szCs w:val="24"/>
        </w:rPr>
      </w:pPr>
      <w:r>
        <w:rPr>
          <w:szCs w:val="24"/>
        </w:rPr>
        <w:t>On 1 January 2018, amendments to the OPSGGM Act will commence which will facilitate the renewal of licences</w:t>
      </w:r>
      <w:r w:rsidR="00085323">
        <w:rPr>
          <w:szCs w:val="24"/>
        </w:rPr>
        <w:t xml:space="preserve"> (see Item 10 of Part 1 of Schedule 2 to the Amend</w:t>
      </w:r>
      <w:r w:rsidR="00C67679">
        <w:rPr>
          <w:szCs w:val="24"/>
        </w:rPr>
        <w:t>ment</w:t>
      </w:r>
      <w:r w:rsidR="00085323">
        <w:rPr>
          <w:szCs w:val="24"/>
        </w:rPr>
        <w:t xml:space="preserve"> Act)</w:t>
      </w:r>
      <w:r>
        <w:rPr>
          <w:szCs w:val="24"/>
        </w:rPr>
        <w:t>. P</w:t>
      </w:r>
      <w:r w:rsidR="00F73BA6">
        <w:rPr>
          <w:szCs w:val="24"/>
        </w:rPr>
        <w:t xml:space="preserve">aragraph 19AA(3)(b) of the OPSGGM Act </w:t>
      </w:r>
      <w:r>
        <w:rPr>
          <w:szCs w:val="24"/>
        </w:rPr>
        <w:t xml:space="preserve">will provide </w:t>
      </w:r>
      <w:r w:rsidR="00F73BA6">
        <w:rPr>
          <w:szCs w:val="24"/>
        </w:rPr>
        <w:t xml:space="preserve">that an application for the renewal of a licence must be accompanied by the fee prescribed by the regulations, unless the fee has been waived in accordance with the regulations.  </w:t>
      </w:r>
    </w:p>
    <w:p w14:paraId="52411435" w14:textId="0611491C" w:rsidR="008B0BDB" w:rsidRPr="00934FD7" w:rsidRDefault="00F73BA6" w:rsidP="00534DFC">
      <w:pPr>
        <w:pStyle w:val="ListNumber"/>
        <w:numPr>
          <w:ilvl w:val="0"/>
          <w:numId w:val="8"/>
        </w:numPr>
        <w:spacing w:after="240"/>
        <w:ind w:left="567" w:hanging="567"/>
        <w:rPr>
          <w:szCs w:val="24"/>
        </w:rPr>
      </w:pPr>
      <w:r>
        <w:rPr>
          <w:szCs w:val="24"/>
        </w:rPr>
        <w:t>Item 1 insert</w:t>
      </w:r>
      <w:r w:rsidR="00B35659">
        <w:rPr>
          <w:szCs w:val="24"/>
        </w:rPr>
        <w:t>s</w:t>
      </w:r>
      <w:r>
        <w:rPr>
          <w:szCs w:val="24"/>
        </w:rPr>
        <w:t xml:space="preserve"> </w:t>
      </w:r>
      <w:r w:rsidR="00117996">
        <w:rPr>
          <w:szCs w:val="24"/>
        </w:rPr>
        <w:t xml:space="preserve">paragraph </w:t>
      </w:r>
      <w:r>
        <w:rPr>
          <w:szCs w:val="24"/>
        </w:rPr>
        <w:t>3D</w:t>
      </w:r>
      <w:r w:rsidR="00117996">
        <w:rPr>
          <w:szCs w:val="24"/>
        </w:rPr>
        <w:t>(a)</w:t>
      </w:r>
      <w:r>
        <w:rPr>
          <w:szCs w:val="24"/>
        </w:rPr>
        <w:t xml:space="preserve"> into the Principal Regulations</w:t>
      </w:r>
      <w:r w:rsidR="00117996">
        <w:rPr>
          <w:szCs w:val="24"/>
        </w:rPr>
        <w:t xml:space="preserve"> which prescribe</w:t>
      </w:r>
      <w:r w:rsidR="00B35659">
        <w:rPr>
          <w:szCs w:val="24"/>
        </w:rPr>
        <w:t>s</w:t>
      </w:r>
      <w:r w:rsidR="00117996">
        <w:rPr>
          <w:szCs w:val="24"/>
        </w:rPr>
        <w:t xml:space="preserve"> the application fee for a licence renewal </w:t>
      </w:r>
      <w:r w:rsidR="008B0BDB">
        <w:rPr>
          <w:szCs w:val="24"/>
        </w:rPr>
        <w:t xml:space="preserve">for the purposes of </w:t>
      </w:r>
      <w:r w:rsidR="00117996">
        <w:rPr>
          <w:szCs w:val="24"/>
        </w:rPr>
        <w:t>paragraph</w:t>
      </w:r>
      <w:r w:rsidR="000F793F">
        <w:rPr>
          <w:szCs w:val="24"/>
        </w:rPr>
        <w:t xml:space="preserve"> </w:t>
      </w:r>
      <w:r w:rsidR="008B0BDB">
        <w:rPr>
          <w:szCs w:val="24"/>
        </w:rPr>
        <w:t>19AA(3)(b)</w:t>
      </w:r>
      <w:r w:rsidR="00117996">
        <w:rPr>
          <w:szCs w:val="24"/>
        </w:rPr>
        <w:t xml:space="preserve"> of the OPSGGM Act.</w:t>
      </w:r>
      <w:r w:rsidR="008B0BDB">
        <w:rPr>
          <w:szCs w:val="24"/>
        </w:rPr>
        <w:t xml:space="preserve"> </w:t>
      </w:r>
      <w:r w:rsidR="00117996">
        <w:rPr>
          <w:szCs w:val="24"/>
        </w:rPr>
        <w:t>T</w:t>
      </w:r>
      <w:r w:rsidR="008B0BDB">
        <w:rPr>
          <w:szCs w:val="24"/>
        </w:rPr>
        <w:t xml:space="preserve">he application fee for a renewal of a licence of a particular type is the same as the application fee for a licence of that type under </w:t>
      </w:r>
      <w:proofErr w:type="spellStart"/>
      <w:r w:rsidR="008B0BDB">
        <w:rPr>
          <w:szCs w:val="24"/>
        </w:rPr>
        <w:t>subregulation</w:t>
      </w:r>
      <w:proofErr w:type="spellEnd"/>
      <w:r w:rsidR="008B0BDB">
        <w:rPr>
          <w:szCs w:val="24"/>
        </w:rPr>
        <w:t xml:space="preserve"> </w:t>
      </w:r>
      <w:proofErr w:type="gramStart"/>
      <w:r w:rsidR="008B0BDB">
        <w:rPr>
          <w:szCs w:val="24"/>
        </w:rPr>
        <w:t>3C(</w:t>
      </w:r>
      <w:proofErr w:type="gramEnd"/>
      <w:r w:rsidR="008B0BDB">
        <w:rPr>
          <w:szCs w:val="24"/>
        </w:rPr>
        <w:t>1).</w:t>
      </w:r>
      <w:r w:rsidR="00346F33">
        <w:rPr>
          <w:szCs w:val="24"/>
        </w:rPr>
        <w:t xml:space="preserve"> The same fee is proposed</w:t>
      </w:r>
      <w:r w:rsidR="007927BC">
        <w:rPr>
          <w:szCs w:val="24"/>
        </w:rPr>
        <w:t>,</w:t>
      </w:r>
      <w:r w:rsidR="00346F33">
        <w:rPr>
          <w:szCs w:val="24"/>
        </w:rPr>
        <w:t xml:space="preserve"> </w:t>
      </w:r>
      <w:r w:rsidR="007927BC">
        <w:rPr>
          <w:szCs w:val="24"/>
        </w:rPr>
        <w:t>because while</w:t>
      </w:r>
      <w:r w:rsidR="00346F33">
        <w:rPr>
          <w:szCs w:val="24"/>
        </w:rPr>
        <w:t xml:space="preserve"> </w:t>
      </w:r>
      <w:r w:rsidR="00117996">
        <w:rPr>
          <w:szCs w:val="24"/>
        </w:rPr>
        <w:t xml:space="preserve">a renewal application </w:t>
      </w:r>
      <w:r w:rsidR="007927BC">
        <w:rPr>
          <w:szCs w:val="24"/>
        </w:rPr>
        <w:t xml:space="preserve">would </w:t>
      </w:r>
      <w:r w:rsidR="00346F33">
        <w:rPr>
          <w:szCs w:val="24"/>
        </w:rPr>
        <w:t>save time</w:t>
      </w:r>
      <w:r w:rsidR="007927BC">
        <w:rPr>
          <w:szCs w:val="24"/>
        </w:rPr>
        <w:t xml:space="preserve"> and reduce administrative burden </w:t>
      </w:r>
      <w:r w:rsidR="00346F33">
        <w:rPr>
          <w:szCs w:val="24"/>
        </w:rPr>
        <w:t>for applicants</w:t>
      </w:r>
      <w:r w:rsidR="007927BC">
        <w:rPr>
          <w:szCs w:val="24"/>
        </w:rPr>
        <w:t xml:space="preserve">, it would not </w:t>
      </w:r>
      <w:r w:rsidR="00346F33">
        <w:rPr>
          <w:szCs w:val="24"/>
        </w:rPr>
        <w:t xml:space="preserve">reduce administration </w:t>
      </w:r>
      <w:r w:rsidR="007927BC">
        <w:rPr>
          <w:szCs w:val="24"/>
        </w:rPr>
        <w:t xml:space="preserve">and processing time </w:t>
      </w:r>
      <w:r w:rsidR="00346F33">
        <w:rPr>
          <w:szCs w:val="24"/>
        </w:rPr>
        <w:t>for the Department of the Environment and Energy</w:t>
      </w:r>
      <w:r w:rsidR="00911D71">
        <w:rPr>
          <w:szCs w:val="24"/>
        </w:rPr>
        <w:t>, as</w:t>
      </w:r>
      <w:r w:rsidR="00346F33">
        <w:rPr>
          <w:szCs w:val="24"/>
        </w:rPr>
        <w:t xml:space="preserve"> identical processes and checks </w:t>
      </w:r>
      <w:r w:rsidR="007927BC">
        <w:rPr>
          <w:szCs w:val="24"/>
        </w:rPr>
        <w:t>would be</w:t>
      </w:r>
      <w:r w:rsidR="00346F33">
        <w:rPr>
          <w:szCs w:val="24"/>
        </w:rPr>
        <w:t xml:space="preserve"> required for a renewal as are </w:t>
      </w:r>
      <w:r w:rsidR="007927BC">
        <w:rPr>
          <w:szCs w:val="24"/>
        </w:rPr>
        <w:t>currently required</w:t>
      </w:r>
      <w:r w:rsidR="00346F33">
        <w:rPr>
          <w:szCs w:val="24"/>
        </w:rPr>
        <w:t xml:space="preserve"> for</w:t>
      </w:r>
      <w:r w:rsidR="007927BC">
        <w:rPr>
          <w:szCs w:val="24"/>
        </w:rPr>
        <w:t xml:space="preserve"> new applications</w:t>
      </w:r>
      <w:r w:rsidR="00346F33">
        <w:rPr>
          <w:szCs w:val="24"/>
        </w:rPr>
        <w:t>.</w:t>
      </w:r>
      <w:r w:rsidR="008B0BDB">
        <w:rPr>
          <w:szCs w:val="24"/>
        </w:rPr>
        <w:t xml:space="preserve"> </w:t>
      </w:r>
    </w:p>
    <w:p w14:paraId="16D323EB" w14:textId="5310A95E" w:rsidR="000334CD" w:rsidRDefault="00B35659" w:rsidP="00534DFC">
      <w:pPr>
        <w:pStyle w:val="ListNumber"/>
        <w:numPr>
          <w:ilvl w:val="0"/>
          <w:numId w:val="8"/>
        </w:numPr>
        <w:spacing w:after="240"/>
        <w:ind w:left="567" w:hanging="567"/>
        <w:rPr>
          <w:szCs w:val="24"/>
        </w:rPr>
      </w:pPr>
      <w:r>
        <w:rPr>
          <w:szCs w:val="24"/>
        </w:rPr>
        <w:t>P</w:t>
      </w:r>
      <w:r w:rsidR="00117996">
        <w:rPr>
          <w:szCs w:val="24"/>
        </w:rPr>
        <w:t xml:space="preserve">aragraph </w:t>
      </w:r>
      <w:proofErr w:type="gramStart"/>
      <w:r w:rsidR="008B0BDB">
        <w:rPr>
          <w:szCs w:val="24"/>
        </w:rPr>
        <w:t>3D(</w:t>
      </w:r>
      <w:proofErr w:type="gramEnd"/>
      <w:r w:rsidR="008B0BDB">
        <w:rPr>
          <w:szCs w:val="24"/>
        </w:rPr>
        <w:t>b) prescribe</w:t>
      </w:r>
      <w:r>
        <w:rPr>
          <w:szCs w:val="24"/>
        </w:rPr>
        <w:t>s</w:t>
      </w:r>
      <w:r w:rsidR="008B0BDB">
        <w:rPr>
          <w:szCs w:val="24"/>
        </w:rPr>
        <w:t xml:space="preserve"> the </w:t>
      </w:r>
      <w:r w:rsidR="00117996">
        <w:rPr>
          <w:szCs w:val="24"/>
        </w:rPr>
        <w:t xml:space="preserve">circumstances </w:t>
      </w:r>
      <w:r w:rsidR="008B0BDB">
        <w:rPr>
          <w:szCs w:val="24"/>
        </w:rPr>
        <w:t>in which fees for the renewal of licences may be waived for the purposes of 19AA(3)(b)</w:t>
      </w:r>
      <w:r w:rsidR="00117996">
        <w:rPr>
          <w:szCs w:val="24"/>
        </w:rPr>
        <w:t xml:space="preserve">. These circumstances will be the same as those under </w:t>
      </w:r>
      <w:r w:rsidR="008B0BDB">
        <w:rPr>
          <w:szCs w:val="24"/>
        </w:rPr>
        <w:t xml:space="preserve">which the Minister </w:t>
      </w:r>
      <w:r w:rsidR="00117996">
        <w:rPr>
          <w:szCs w:val="24"/>
        </w:rPr>
        <w:t xml:space="preserve">may currently </w:t>
      </w:r>
      <w:r w:rsidR="008B0BDB">
        <w:rPr>
          <w:szCs w:val="24"/>
        </w:rPr>
        <w:t xml:space="preserve">waive </w:t>
      </w:r>
      <w:r w:rsidR="00117996">
        <w:rPr>
          <w:szCs w:val="24"/>
        </w:rPr>
        <w:t xml:space="preserve">an </w:t>
      </w:r>
      <w:r w:rsidR="008B0BDB">
        <w:rPr>
          <w:szCs w:val="24"/>
        </w:rPr>
        <w:t xml:space="preserve">application fee for a licence of that type under </w:t>
      </w:r>
      <w:proofErr w:type="spellStart"/>
      <w:r w:rsidR="008B0BDB">
        <w:rPr>
          <w:szCs w:val="24"/>
        </w:rPr>
        <w:t>subregulation</w:t>
      </w:r>
      <w:proofErr w:type="spellEnd"/>
      <w:r w:rsidR="008B0BDB">
        <w:rPr>
          <w:szCs w:val="24"/>
        </w:rPr>
        <w:t xml:space="preserve"> </w:t>
      </w:r>
      <w:proofErr w:type="gramStart"/>
      <w:r w:rsidR="008B0BDB">
        <w:rPr>
          <w:szCs w:val="24"/>
        </w:rPr>
        <w:t>3C(</w:t>
      </w:r>
      <w:proofErr w:type="gramEnd"/>
      <w:r w:rsidR="008B0BDB">
        <w:rPr>
          <w:szCs w:val="24"/>
        </w:rPr>
        <w:t xml:space="preserve">2), (3), or (4). </w:t>
      </w:r>
    </w:p>
    <w:p w14:paraId="00EEFF05" w14:textId="50C6CAB4" w:rsidR="008B0BDB" w:rsidRDefault="00C67679" w:rsidP="00534DFC">
      <w:pPr>
        <w:pStyle w:val="ListNumber"/>
        <w:numPr>
          <w:ilvl w:val="0"/>
          <w:numId w:val="8"/>
        </w:numPr>
        <w:spacing w:after="240"/>
        <w:ind w:left="567" w:hanging="567"/>
        <w:rPr>
          <w:szCs w:val="24"/>
        </w:rPr>
      </w:pPr>
      <w:proofErr w:type="spellStart"/>
      <w:r>
        <w:rPr>
          <w:szCs w:val="24"/>
        </w:rPr>
        <w:t>Subregulation</w:t>
      </w:r>
      <w:proofErr w:type="spellEnd"/>
      <w:r w:rsidR="00085323">
        <w:rPr>
          <w:szCs w:val="24"/>
        </w:rPr>
        <w:t xml:space="preserve"> 44</w:t>
      </w:r>
      <w:r>
        <w:rPr>
          <w:szCs w:val="24"/>
        </w:rPr>
        <w:t>(1)</w:t>
      </w:r>
      <w:r w:rsidR="00085323">
        <w:rPr>
          <w:szCs w:val="24"/>
        </w:rPr>
        <w:t xml:space="preserve"> (to be inserted by Item </w:t>
      </w:r>
      <w:r w:rsidR="001029B8">
        <w:rPr>
          <w:szCs w:val="24"/>
        </w:rPr>
        <w:t>8</w:t>
      </w:r>
      <w:r w:rsidR="00085323">
        <w:rPr>
          <w:szCs w:val="24"/>
        </w:rPr>
        <w:t xml:space="preserve"> of Schedule 1)</w:t>
      </w:r>
      <w:r>
        <w:rPr>
          <w:szCs w:val="24"/>
        </w:rPr>
        <w:t xml:space="preserve"> enables a person to apply for quota if they satisfy the requirements of paragraph 44(1</w:t>
      </w:r>
      <w:proofErr w:type="gramStart"/>
      <w:r>
        <w:rPr>
          <w:szCs w:val="24"/>
        </w:rPr>
        <w:t>)(</w:t>
      </w:r>
      <w:proofErr w:type="gramEnd"/>
      <w:r>
        <w:rPr>
          <w:szCs w:val="24"/>
        </w:rPr>
        <w:t xml:space="preserve">a) or 44(1)(b). </w:t>
      </w:r>
      <w:r w:rsidR="007F6C9D">
        <w:rPr>
          <w:szCs w:val="24"/>
        </w:rPr>
        <w:t xml:space="preserve">Item </w:t>
      </w:r>
      <w:r w:rsidR="001029B8">
        <w:rPr>
          <w:szCs w:val="24"/>
        </w:rPr>
        <w:t>3</w:t>
      </w:r>
      <w:r w:rsidR="007F6C9D">
        <w:rPr>
          <w:szCs w:val="24"/>
        </w:rPr>
        <w:t xml:space="preserve"> insert</w:t>
      </w:r>
      <w:r w:rsidR="00B35659">
        <w:rPr>
          <w:szCs w:val="24"/>
        </w:rPr>
        <w:t>s</w:t>
      </w:r>
      <w:r w:rsidR="007F6C9D">
        <w:rPr>
          <w:szCs w:val="24"/>
        </w:rPr>
        <w:t xml:space="preserve"> a new paragraph into </w:t>
      </w:r>
      <w:proofErr w:type="spellStart"/>
      <w:r w:rsidR="007F6C9D">
        <w:rPr>
          <w:szCs w:val="24"/>
        </w:rPr>
        <w:t>subregulation</w:t>
      </w:r>
      <w:proofErr w:type="spellEnd"/>
      <w:r w:rsidR="007F6C9D">
        <w:rPr>
          <w:szCs w:val="24"/>
        </w:rPr>
        <w:t xml:space="preserve"> 44(1) to allow for applications for HFC quota to be </w:t>
      </w:r>
      <w:r>
        <w:rPr>
          <w:szCs w:val="24"/>
        </w:rPr>
        <w:t xml:space="preserve">by </w:t>
      </w:r>
      <w:r w:rsidR="007F6C9D">
        <w:rPr>
          <w:szCs w:val="24"/>
        </w:rPr>
        <w:t xml:space="preserve">a person </w:t>
      </w:r>
      <w:r>
        <w:rPr>
          <w:szCs w:val="24"/>
        </w:rPr>
        <w:t xml:space="preserve">who </w:t>
      </w:r>
      <w:r w:rsidR="007F6C9D">
        <w:rPr>
          <w:szCs w:val="24"/>
        </w:rPr>
        <w:t>has applied for the renewal of an existing SGG licence (rather than applying for a new SGG licence)</w:t>
      </w:r>
      <w:r w:rsidR="00322407">
        <w:rPr>
          <w:szCs w:val="24"/>
        </w:rPr>
        <w:t xml:space="preserve">. Items </w:t>
      </w:r>
      <w:r w:rsidR="001029B8">
        <w:rPr>
          <w:szCs w:val="24"/>
        </w:rPr>
        <w:t>4</w:t>
      </w:r>
      <w:r w:rsidR="00322407">
        <w:rPr>
          <w:szCs w:val="24"/>
        </w:rPr>
        <w:t xml:space="preserve">, </w:t>
      </w:r>
      <w:r w:rsidR="001029B8">
        <w:rPr>
          <w:szCs w:val="24"/>
        </w:rPr>
        <w:t>5</w:t>
      </w:r>
      <w:r w:rsidR="00322407">
        <w:rPr>
          <w:szCs w:val="24"/>
        </w:rPr>
        <w:t xml:space="preserve">, </w:t>
      </w:r>
      <w:r w:rsidR="001029B8">
        <w:rPr>
          <w:szCs w:val="24"/>
        </w:rPr>
        <w:t>6</w:t>
      </w:r>
      <w:r w:rsidR="00322407">
        <w:rPr>
          <w:szCs w:val="24"/>
        </w:rPr>
        <w:t xml:space="preserve">, </w:t>
      </w:r>
      <w:r w:rsidR="001029B8">
        <w:rPr>
          <w:szCs w:val="24"/>
        </w:rPr>
        <w:t>7</w:t>
      </w:r>
      <w:r w:rsidR="00322407">
        <w:rPr>
          <w:szCs w:val="24"/>
        </w:rPr>
        <w:t xml:space="preserve"> and </w:t>
      </w:r>
      <w:r w:rsidR="001029B8">
        <w:rPr>
          <w:szCs w:val="24"/>
        </w:rPr>
        <w:t>8</w:t>
      </w:r>
      <w:r w:rsidR="00322407">
        <w:rPr>
          <w:szCs w:val="24"/>
        </w:rPr>
        <w:t xml:space="preserve"> </w:t>
      </w:r>
      <w:r w:rsidR="00085323">
        <w:rPr>
          <w:szCs w:val="24"/>
        </w:rPr>
        <w:t>are</w:t>
      </w:r>
      <w:r w:rsidR="00322407">
        <w:rPr>
          <w:szCs w:val="24"/>
        </w:rPr>
        <w:t xml:space="preserve"> required as a </w:t>
      </w:r>
      <w:r w:rsidR="00085323">
        <w:rPr>
          <w:szCs w:val="24"/>
        </w:rPr>
        <w:t xml:space="preserve">consequence </w:t>
      </w:r>
      <w:r w:rsidR="00322407">
        <w:rPr>
          <w:szCs w:val="24"/>
        </w:rPr>
        <w:t xml:space="preserve">of Item </w:t>
      </w:r>
      <w:r w:rsidR="001029B8">
        <w:rPr>
          <w:szCs w:val="24"/>
        </w:rPr>
        <w:t>3</w:t>
      </w:r>
      <w:r w:rsidR="00322407">
        <w:rPr>
          <w:szCs w:val="24"/>
        </w:rPr>
        <w:t xml:space="preserve">. </w:t>
      </w:r>
    </w:p>
    <w:p w14:paraId="468ED150" w14:textId="5D86A252" w:rsidR="00450634" w:rsidRDefault="00744474" w:rsidP="00534DFC">
      <w:pPr>
        <w:pStyle w:val="ListNumber"/>
        <w:numPr>
          <w:ilvl w:val="0"/>
          <w:numId w:val="8"/>
        </w:numPr>
        <w:spacing w:after="240"/>
        <w:ind w:left="567" w:hanging="567"/>
        <w:rPr>
          <w:szCs w:val="24"/>
        </w:rPr>
      </w:pPr>
      <w:r>
        <w:rPr>
          <w:szCs w:val="24"/>
        </w:rPr>
        <w:t>Subsection 16(6A) of the OPSGGM Act provides that the Minister must not grant an equipment licence that allows a Schedule 4 activity or section 69G activity in relation to equipment</w:t>
      </w:r>
      <w:r w:rsidR="00450634">
        <w:rPr>
          <w:szCs w:val="24"/>
        </w:rPr>
        <w:t xml:space="preserve">. </w:t>
      </w:r>
      <w:r w:rsidR="0010375E">
        <w:rPr>
          <w:szCs w:val="24"/>
        </w:rPr>
        <w:t>E</w:t>
      </w:r>
      <w:r w:rsidR="001E3AFE">
        <w:rPr>
          <w:szCs w:val="24"/>
        </w:rPr>
        <w:t>xceptions</w:t>
      </w:r>
      <w:r w:rsidR="0010375E">
        <w:rPr>
          <w:szCs w:val="24"/>
        </w:rPr>
        <w:t xml:space="preserve"> to this prohibition are set out </w:t>
      </w:r>
      <w:r w:rsidR="001E3AFE">
        <w:rPr>
          <w:szCs w:val="24"/>
        </w:rPr>
        <w:t xml:space="preserve">in </w:t>
      </w:r>
      <w:r w:rsidR="00AA4CBB">
        <w:rPr>
          <w:szCs w:val="24"/>
        </w:rPr>
        <w:t>sub</w:t>
      </w:r>
      <w:r w:rsidR="001E3AFE">
        <w:rPr>
          <w:szCs w:val="24"/>
        </w:rPr>
        <w:t xml:space="preserve">paragraph </w:t>
      </w:r>
      <w:r w:rsidR="0010375E">
        <w:rPr>
          <w:szCs w:val="24"/>
        </w:rPr>
        <w:t>16(6A</w:t>
      </w:r>
      <w:proofErr w:type="gramStart"/>
      <w:r w:rsidR="0010375E">
        <w:rPr>
          <w:szCs w:val="24"/>
        </w:rPr>
        <w:t>)(</w:t>
      </w:r>
      <w:proofErr w:type="gramEnd"/>
      <w:r w:rsidR="0010375E">
        <w:rPr>
          <w:szCs w:val="24"/>
        </w:rPr>
        <w:t>a)(ii) and</w:t>
      </w:r>
      <w:r w:rsidR="00AA4CBB">
        <w:rPr>
          <w:szCs w:val="24"/>
        </w:rPr>
        <w:t xml:space="preserve"> paragraph</w:t>
      </w:r>
      <w:r w:rsidR="0010375E">
        <w:rPr>
          <w:szCs w:val="24"/>
        </w:rPr>
        <w:t xml:space="preserve"> 16(6A)(b). </w:t>
      </w:r>
    </w:p>
    <w:p w14:paraId="5A5E0ACB" w14:textId="4E6B0C16" w:rsidR="00372754" w:rsidRDefault="00AA4CBB" w:rsidP="00534DFC">
      <w:pPr>
        <w:pStyle w:val="ListNumber"/>
        <w:numPr>
          <w:ilvl w:val="0"/>
          <w:numId w:val="8"/>
        </w:numPr>
        <w:spacing w:after="240"/>
        <w:ind w:left="567" w:hanging="567"/>
        <w:rPr>
          <w:szCs w:val="24"/>
        </w:rPr>
      </w:pPr>
      <w:r>
        <w:rPr>
          <w:szCs w:val="24"/>
        </w:rPr>
        <w:t>Subp</w:t>
      </w:r>
      <w:r w:rsidR="00450634">
        <w:rPr>
          <w:szCs w:val="24"/>
        </w:rPr>
        <w:t>aragraph 16(6A)(a)(</w:t>
      </w:r>
      <w:r w:rsidR="00744474">
        <w:rPr>
          <w:szCs w:val="24"/>
        </w:rPr>
        <w:t xml:space="preserve">ii) </w:t>
      </w:r>
      <w:r w:rsidR="0010375E">
        <w:rPr>
          <w:szCs w:val="24"/>
        </w:rPr>
        <w:t>applies if a S</w:t>
      </w:r>
      <w:r w:rsidR="00744474">
        <w:rPr>
          <w:szCs w:val="24"/>
        </w:rPr>
        <w:t>chedule 4 activity or section 69G activity is prescribed by the regulations for the purposes of that subparagraph. Paragraph 16(6A</w:t>
      </w:r>
      <w:proofErr w:type="gramStart"/>
      <w:r w:rsidR="00744474">
        <w:rPr>
          <w:szCs w:val="24"/>
        </w:rPr>
        <w:t>)(</w:t>
      </w:r>
      <w:proofErr w:type="gramEnd"/>
      <w:r w:rsidR="00744474">
        <w:rPr>
          <w:szCs w:val="24"/>
        </w:rPr>
        <w:t xml:space="preserve">b) </w:t>
      </w:r>
      <w:r w:rsidR="0010375E">
        <w:rPr>
          <w:szCs w:val="24"/>
        </w:rPr>
        <w:t>applies if</w:t>
      </w:r>
      <w:r w:rsidR="00744474">
        <w:rPr>
          <w:szCs w:val="24"/>
        </w:rPr>
        <w:t xml:space="preserve"> the requirements (if any) prescribed by the regulations for the purposes of that paragraph in relation to the activity and the licence are satisfied.  </w:t>
      </w:r>
    </w:p>
    <w:p w14:paraId="1DE9DC7B" w14:textId="49F8A8DE" w:rsidR="00744474" w:rsidRDefault="00372754" w:rsidP="00534DFC">
      <w:pPr>
        <w:pStyle w:val="ListNumber"/>
        <w:numPr>
          <w:ilvl w:val="0"/>
          <w:numId w:val="8"/>
        </w:numPr>
        <w:spacing w:after="240"/>
        <w:ind w:left="567" w:hanging="567"/>
        <w:rPr>
          <w:szCs w:val="24"/>
        </w:rPr>
      </w:pPr>
      <w:r>
        <w:rPr>
          <w:szCs w:val="24"/>
        </w:rPr>
        <w:t xml:space="preserve">Item </w:t>
      </w:r>
      <w:r w:rsidR="00197472">
        <w:rPr>
          <w:szCs w:val="24"/>
        </w:rPr>
        <w:t>10</w:t>
      </w:r>
      <w:r>
        <w:rPr>
          <w:szCs w:val="24"/>
        </w:rPr>
        <w:t xml:space="preserve"> </w:t>
      </w:r>
      <w:r w:rsidR="00744474">
        <w:rPr>
          <w:szCs w:val="24"/>
        </w:rPr>
        <w:t>prescribe</w:t>
      </w:r>
      <w:r w:rsidR="00B35659">
        <w:rPr>
          <w:szCs w:val="24"/>
        </w:rPr>
        <w:t>s</w:t>
      </w:r>
      <w:r w:rsidR="00744474">
        <w:rPr>
          <w:szCs w:val="24"/>
        </w:rPr>
        <w:t xml:space="preserve"> two Schedule 4 activities for the purposes of paragraph 16(6A</w:t>
      </w:r>
      <w:proofErr w:type="gramStart"/>
      <w:r w:rsidR="00744474">
        <w:rPr>
          <w:szCs w:val="24"/>
        </w:rPr>
        <w:t>)(</w:t>
      </w:r>
      <w:proofErr w:type="gramEnd"/>
      <w:r w:rsidR="00744474">
        <w:rPr>
          <w:szCs w:val="24"/>
        </w:rPr>
        <w:t>a)(ii)</w:t>
      </w:r>
      <w:r w:rsidR="00204D77">
        <w:rPr>
          <w:szCs w:val="24"/>
        </w:rPr>
        <w:t xml:space="preserve">; being the import of </w:t>
      </w:r>
      <w:r w:rsidR="00744474">
        <w:rPr>
          <w:szCs w:val="24"/>
        </w:rPr>
        <w:t>HCFC pre-charged air conditioning equipment, if the importation satisfies the conditions mentioned in subsection 13(6) of the OPSGGM Act</w:t>
      </w:r>
      <w:r w:rsidR="00204D77">
        <w:rPr>
          <w:szCs w:val="24"/>
        </w:rPr>
        <w:t xml:space="preserve"> and the import of </w:t>
      </w:r>
      <w:r w:rsidR="00744474">
        <w:rPr>
          <w:szCs w:val="24"/>
        </w:rPr>
        <w:t xml:space="preserve">HCFC pre-charged refrigeration equipment, if the importation of the equipment satisfies the conditions mentioned in subsection 13(6) of the OPSGGM Act. </w:t>
      </w:r>
    </w:p>
    <w:p w14:paraId="605A9FD1" w14:textId="379172A3" w:rsidR="00A958C2" w:rsidRDefault="00204D77" w:rsidP="00534DFC">
      <w:pPr>
        <w:pStyle w:val="ListNumber"/>
        <w:numPr>
          <w:ilvl w:val="0"/>
          <w:numId w:val="8"/>
        </w:numPr>
        <w:spacing w:after="240"/>
        <w:ind w:left="567" w:hanging="567"/>
        <w:rPr>
          <w:szCs w:val="24"/>
        </w:rPr>
      </w:pPr>
      <w:r>
        <w:rPr>
          <w:szCs w:val="24"/>
        </w:rPr>
        <w:t>The r</w:t>
      </w:r>
      <w:r w:rsidR="00A958C2">
        <w:rPr>
          <w:szCs w:val="24"/>
        </w:rPr>
        <w:t>elevant conditions mentioned in s</w:t>
      </w:r>
      <w:r w:rsidR="00744474">
        <w:rPr>
          <w:szCs w:val="24"/>
        </w:rPr>
        <w:t>ubsection 13(6) of the OPSGGM Act</w:t>
      </w:r>
      <w:r w:rsidR="00A958C2">
        <w:rPr>
          <w:szCs w:val="24"/>
        </w:rPr>
        <w:t xml:space="preserve"> are set out in paragraphs 13(6</w:t>
      </w:r>
      <w:proofErr w:type="gramStart"/>
      <w:r w:rsidR="00A958C2">
        <w:rPr>
          <w:szCs w:val="24"/>
        </w:rPr>
        <w:t>)(</w:t>
      </w:r>
      <w:proofErr w:type="gramEnd"/>
      <w:r w:rsidR="00A958C2">
        <w:rPr>
          <w:szCs w:val="24"/>
        </w:rPr>
        <w:t xml:space="preserve">a) and (c). </w:t>
      </w:r>
      <w:r>
        <w:rPr>
          <w:szCs w:val="24"/>
        </w:rPr>
        <w:t xml:space="preserve">Paragraph </w:t>
      </w:r>
      <w:r w:rsidR="00A958C2">
        <w:rPr>
          <w:szCs w:val="24"/>
        </w:rPr>
        <w:t>13(6</w:t>
      </w:r>
      <w:proofErr w:type="gramStart"/>
      <w:r w:rsidR="00A958C2">
        <w:rPr>
          <w:szCs w:val="24"/>
        </w:rPr>
        <w:t>)(</w:t>
      </w:r>
      <w:proofErr w:type="gramEnd"/>
      <w:r w:rsidR="00A958C2">
        <w:rPr>
          <w:szCs w:val="24"/>
        </w:rPr>
        <w:t xml:space="preserve">a) provides that, in the case of ODS equipment, the total amount of HCFC contained in ODS equipment in the importation is not greater than the amount (if any) prescribed by the regulations. </w:t>
      </w:r>
      <w:r>
        <w:rPr>
          <w:szCs w:val="24"/>
        </w:rPr>
        <w:t xml:space="preserve">Paragraph </w:t>
      </w:r>
      <w:r w:rsidR="00A958C2">
        <w:rPr>
          <w:szCs w:val="24"/>
        </w:rPr>
        <w:t>13(6</w:t>
      </w:r>
      <w:proofErr w:type="gramStart"/>
      <w:r w:rsidR="00A958C2">
        <w:rPr>
          <w:szCs w:val="24"/>
        </w:rPr>
        <w:t>)(</w:t>
      </w:r>
      <w:proofErr w:type="gramEnd"/>
      <w:r w:rsidR="00A958C2">
        <w:rPr>
          <w:szCs w:val="24"/>
        </w:rPr>
        <w:t xml:space="preserve">c) provides that any other conditions prescribed by the regulations in relation to the person, the equipment, and the importation, are satisfied. </w:t>
      </w:r>
    </w:p>
    <w:p w14:paraId="3CD8F08F" w14:textId="34295E4E" w:rsidR="00744474" w:rsidRPr="00491C88" w:rsidRDefault="00322407" w:rsidP="00534DFC">
      <w:pPr>
        <w:pStyle w:val="ListNumber"/>
        <w:numPr>
          <w:ilvl w:val="0"/>
          <w:numId w:val="8"/>
        </w:numPr>
        <w:spacing w:after="240"/>
        <w:ind w:left="567" w:hanging="567"/>
        <w:rPr>
          <w:szCs w:val="24"/>
        </w:rPr>
      </w:pPr>
      <w:r w:rsidRPr="00491C88">
        <w:rPr>
          <w:szCs w:val="24"/>
        </w:rPr>
        <w:lastRenderedPageBreak/>
        <w:t>Items</w:t>
      </w:r>
      <w:r w:rsidR="000334CD" w:rsidRPr="00491C88">
        <w:rPr>
          <w:szCs w:val="24"/>
        </w:rPr>
        <w:t xml:space="preserve"> </w:t>
      </w:r>
      <w:r w:rsidR="00F6737A" w:rsidRPr="00491C88">
        <w:rPr>
          <w:szCs w:val="24"/>
        </w:rPr>
        <w:t>9</w:t>
      </w:r>
      <w:r w:rsidR="00A958C2" w:rsidRPr="00491C88">
        <w:rPr>
          <w:szCs w:val="24"/>
        </w:rPr>
        <w:t xml:space="preserve">, </w:t>
      </w:r>
      <w:r w:rsidR="00F6737A" w:rsidRPr="00491C88">
        <w:rPr>
          <w:szCs w:val="24"/>
        </w:rPr>
        <w:t>11</w:t>
      </w:r>
      <w:r w:rsidR="000334CD" w:rsidRPr="00491C88">
        <w:rPr>
          <w:szCs w:val="24"/>
        </w:rPr>
        <w:t xml:space="preserve">, </w:t>
      </w:r>
      <w:r w:rsidR="00A958C2" w:rsidRPr="00491C88">
        <w:rPr>
          <w:szCs w:val="24"/>
        </w:rPr>
        <w:t>12</w:t>
      </w:r>
      <w:r w:rsidR="000334CD" w:rsidRPr="00491C88">
        <w:rPr>
          <w:szCs w:val="24"/>
        </w:rPr>
        <w:t xml:space="preserve"> and </w:t>
      </w:r>
      <w:r w:rsidR="00F6737A" w:rsidRPr="00491C88">
        <w:rPr>
          <w:szCs w:val="24"/>
        </w:rPr>
        <w:t>13</w:t>
      </w:r>
      <w:r w:rsidR="00A958C2" w:rsidRPr="00491C88">
        <w:rPr>
          <w:szCs w:val="24"/>
        </w:rPr>
        <w:t xml:space="preserve"> </w:t>
      </w:r>
      <w:r w:rsidR="00204D77" w:rsidRPr="00491C88">
        <w:rPr>
          <w:szCs w:val="24"/>
        </w:rPr>
        <w:t>are</w:t>
      </w:r>
      <w:r w:rsidR="00A958C2" w:rsidRPr="00491C88">
        <w:rPr>
          <w:szCs w:val="24"/>
        </w:rPr>
        <w:t xml:space="preserve"> consequential amendments</w:t>
      </w:r>
      <w:r w:rsidR="00204D77" w:rsidRPr="00491C88">
        <w:rPr>
          <w:szCs w:val="24"/>
        </w:rPr>
        <w:t xml:space="preserve"> </w:t>
      </w:r>
      <w:r w:rsidR="00A958C2" w:rsidRPr="00491C88">
        <w:rPr>
          <w:szCs w:val="24"/>
        </w:rPr>
        <w:t xml:space="preserve">required </w:t>
      </w:r>
      <w:r w:rsidRPr="00491C88">
        <w:rPr>
          <w:szCs w:val="24"/>
        </w:rPr>
        <w:t>as a result of</w:t>
      </w:r>
      <w:r w:rsidR="00A958C2" w:rsidRPr="00491C88">
        <w:rPr>
          <w:szCs w:val="24"/>
        </w:rPr>
        <w:t xml:space="preserve"> </w:t>
      </w:r>
      <w:r w:rsidR="000334CD" w:rsidRPr="00491C88">
        <w:rPr>
          <w:szCs w:val="24"/>
        </w:rPr>
        <w:t xml:space="preserve">amendments to </w:t>
      </w:r>
      <w:r w:rsidR="00204D77" w:rsidRPr="00491C88">
        <w:rPr>
          <w:szCs w:val="24"/>
        </w:rPr>
        <w:t xml:space="preserve">the </w:t>
      </w:r>
      <w:r w:rsidR="000334CD" w:rsidRPr="00491C88">
        <w:rPr>
          <w:szCs w:val="24"/>
        </w:rPr>
        <w:t>licence</w:t>
      </w:r>
      <w:r w:rsidRPr="00491C88">
        <w:rPr>
          <w:szCs w:val="24"/>
        </w:rPr>
        <w:t xml:space="preserve"> and exemption</w:t>
      </w:r>
      <w:r w:rsidR="000334CD" w:rsidRPr="00491C88">
        <w:rPr>
          <w:szCs w:val="24"/>
        </w:rPr>
        <w:t xml:space="preserve"> provisions </w:t>
      </w:r>
      <w:r w:rsidR="00204D77" w:rsidRPr="00491C88">
        <w:rPr>
          <w:szCs w:val="24"/>
        </w:rPr>
        <w:t xml:space="preserve">of </w:t>
      </w:r>
      <w:r w:rsidR="000334CD" w:rsidRPr="00491C88">
        <w:rPr>
          <w:szCs w:val="24"/>
        </w:rPr>
        <w:t xml:space="preserve">the OPSGGM Act </w:t>
      </w:r>
      <w:r w:rsidR="00204D77" w:rsidRPr="00491C88">
        <w:rPr>
          <w:szCs w:val="24"/>
        </w:rPr>
        <w:t xml:space="preserve">contained in the </w:t>
      </w:r>
      <w:r w:rsidR="00064B1B" w:rsidRPr="00491C88">
        <w:rPr>
          <w:szCs w:val="24"/>
        </w:rPr>
        <w:t xml:space="preserve">Amendment Act. </w:t>
      </w:r>
      <w:r w:rsidR="00A958C2" w:rsidRPr="00491C88">
        <w:rPr>
          <w:szCs w:val="24"/>
        </w:rPr>
        <w:t xml:space="preserve"> </w:t>
      </w:r>
    </w:p>
    <w:p w14:paraId="0BEF9A98" w14:textId="77777777" w:rsidR="00053B64" w:rsidRPr="003245E4" w:rsidRDefault="00053B64" w:rsidP="00053B64">
      <w:pPr>
        <w:rPr>
          <w:rFonts w:ascii="Times New Roman" w:hAnsi="Times New Roman"/>
          <w:sz w:val="24"/>
          <w:szCs w:val="24"/>
        </w:rPr>
      </w:pPr>
      <w:r w:rsidRPr="00C010FA">
        <w:rPr>
          <w:rFonts w:ascii="Times New Roman" w:hAnsi="Times New Roman"/>
          <w:b/>
          <w:sz w:val="24"/>
          <w:szCs w:val="24"/>
        </w:rPr>
        <w:t>Part 2 – Levy periods, thresholds and penalty interest</w:t>
      </w:r>
    </w:p>
    <w:p w14:paraId="020A6FB2" w14:textId="77777777" w:rsidR="00053B64" w:rsidRDefault="00053B64" w:rsidP="00225158">
      <w:pPr>
        <w:rPr>
          <w:rFonts w:ascii="Times New Roman" w:hAnsi="Times New Roman"/>
          <w:sz w:val="24"/>
          <w:szCs w:val="24"/>
        </w:rPr>
      </w:pPr>
    </w:p>
    <w:p w14:paraId="656BB529" w14:textId="0EFB23B7" w:rsidR="009A6048" w:rsidRPr="009A6048" w:rsidRDefault="009A6048" w:rsidP="00225158">
      <w:pPr>
        <w:rPr>
          <w:rFonts w:ascii="Times New Roman" w:hAnsi="Times New Roman"/>
          <w:b/>
          <w:sz w:val="24"/>
          <w:szCs w:val="24"/>
        </w:rPr>
      </w:pPr>
      <w:r w:rsidRPr="008D3D9A">
        <w:rPr>
          <w:rFonts w:ascii="Times New Roman" w:hAnsi="Times New Roman"/>
          <w:b/>
          <w:sz w:val="24"/>
          <w:szCs w:val="24"/>
        </w:rPr>
        <w:t xml:space="preserve">Items </w:t>
      </w:r>
      <w:r w:rsidR="008D3D9A" w:rsidRPr="008D3D9A">
        <w:rPr>
          <w:rFonts w:ascii="Times New Roman" w:hAnsi="Times New Roman"/>
          <w:b/>
          <w:sz w:val="24"/>
          <w:szCs w:val="24"/>
        </w:rPr>
        <w:t>14</w:t>
      </w:r>
      <w:r w:rsidRPr="008D3D9A">
        <w:rPr>
          <w:rFonts w:ascii="Times New Roman" w:hAnsi="Times New Roman"/>
          <w:b/>
          <w:sz w:val="24"/>
          <w:szCs w:val="24"/>
        </w:rPr>
        <w:t xml:space="preserve">, </w:t>
      </w:r>
      <w:r w:rsidR="008D3D9A" w:rsidRPr="008D3D9A">
        <w:rPr>
          <w:rFonts w:ascii="Times New Roman" w:hAnsi="Times New Roman"/>
          <w:b/>
          <w:sz w:val="24"/>
          <w:szCs w:val="24"/>
        </w:rPr>
        <w:t>15</w:t>
      </w:r>
      <w:r w:rsidRPr="008D3D9A">
        <w:rPr>
          <w:rFonts w:ascii="Times New Roman" w:hAnsi="Times New Roman"/>
          <w:b/>
          <w:sz w:val="24"/>
          <w:szCs w:val="24"/>
        </w:rPr>
        <w:t>, 1</w:t>
      </w:r>
      <w:r w:rsidR="008D3D9A" w:rsidRPr="008D3D9A">
        <w:rPr>
          <w:rFonts w:ascii="Times New Roman" w:hAnsi="Times New Roman"/>
          <w:b/>
          <w:sz w:val="24"/>
          <w:szCs w:val="24"/>
        </w:rPr>
        <w:t>6</w:t>
      </w:r>
      <w:r w:rsidRPr="008D3D9A">
        <w:rPr>
          <w:rFonts w:ascii="Times New Roman" w:hAnsi="Times New Roman"/>
          <w:b/>
          <w:sz w:val="24"/>
          <w:szCs w:val="24"/>
        </w:rPr>
        <w:t xml:space="preserve"> and 1</w:t>
      </w:r>
      <w:r w:rsidR="008D3D9A" w:rsidRPr="008D3D9A">
        <w:rPr>
          <w:rFonts w:ascii="Times New Roman" w:hAnsi="Times New Roman"/>
          <w:b/>
          <w:sz w:val="24"/>
          <w:szCs w:val="24"/>
        </w:rPr>
        <w:t>7</w:t>
      </w:r>
      <w:r w:rsidRPr="008D3D9A">
        <w:rPr>
          <w:rFonts w:ascii="Times New Roman" w:hAnsi="Times New Roman"/>
          <w:b/>
          <w:sz w:val="24"/>
          <w:szCs w:val="24"/>
        </w:rPr>
        <w:t xml:space="preserve"> – Reporting requirements</w:t>
      </w:r>
    </w:p>
    <w:p w14:paraId="7011DA42" w14:textId="77777777" w:rsidR="00CB7492" w:rsidRDefault="00CB7492" w:rsidP="00225158">
      <w:pPr>
        <w:rPr>
          <w:rFonts w:ascii="Times New Roman" w:hAnsi="Times New Roman"/>
          <w:sz w:val="24"/>
          <w:szCs w:val="24"/>
        </w:rPr>
      </w:pPr>
    </w:p>
    <w:p w14:paraId="77EF0A30" w14:textId="55CBC1BC" w:rsidR="00CB7492" w:rsidRDefault="000118CA" w:rsidP="00534DFC">
      <w:pPr>
        <w:pStyle w:val="ListNumber"/>
        <w:numPr>
          <w:ilvl w:val="0"/>
          <w:numId w:val="8"/>
        </w:numPr>
        <w:spacing w:after="240"/>
        <w:ind w:left="567" w:hanging="567"/>
        <w:rPr>
          <w:szCs w:val="24"/>
        </w:rPr>
      </w:pPr>
      <w:r>
        <w:rPr>
          <w:szCs w:val="24"/>
        </w:rPr>
        <w:t xml:space="preserve">The Amendment Act streamlined and simplified the reporting and record keeping requirements set out in Part VII of the OPSGGM Act. The amendments set out in Part 2 of this Schedule reflect and are consequential to those amendments to the OPSGGM Act. </w:t>
      </w:r>
    </w:p>
    <w:p w14:paraId="0A3F9E6F" w14:textId="16FA721D" w:rsidR="00802F68" w:rsidRDefault="00B84C54" w:rsidP="00534DFC">
      <w:pPr>
        <w:pStyle w:val="ListNumber"/>
        <w:numPr>
          <w:ilvl w:val="0"/>
          <w:numId w:val="8"/>
        </w:numPr>
        <w:spacing w:after="240"/>
        <w:ind w:left="567" w:hanging="567"/>
        <w:rPr>
          <w:szCs w:val="24"/>
        </w:rPr>
      </w:pPr>
      <w:r>
        <w:rPr>
          <w:szCs w:val="24"/>
        </w:rPr>
        <w:t xml:space="preserve">Item </w:t>
      </w:r>
      <w:r w:rsidR="008D3D9A">
        <w:rPr>
          <w:szCs w:val="24"/>
        </w:rPr>
        <w:t>16</w:t>
      </w:r>
      <w:r>
        <w:rPr>
          <w:szCs w:val="24"/>
        </w:rPr>
        <w:t xml:space="preserve"> repeal</w:t>
      </w:r>
      <w:r w:rsidR="00B35659">
        <w:rPr>
          <w:szCs w:val="24"/>
        </w:rPr>
        <w:t>s</w:t>
      </w:r>
      <w:r>
        <w:rPr>
          <w:szCs w:val="24"/>
        </w:rPr>
        <w:t xml:space="preserve"> and replace</w:t>
      </w:r>
      <w:r w:rsidR="00B35659">
        <w:rPr>
          <w:szCs w:val="24"/>
        </w:rPr>
        <w:t>s</w:t>
      </w:r>
      <w:r>
        <w:rPr>
          <w:szCs w:val="24"/>
        </w:rPr>
        <w:t xml:space="preserve"> </w:t>
      </w:r>
      <w:proofErr w:type="spellStart"/>
      <w:r>
        <w:rPr>
          <w:szCs w:val="24"/>
        </w:rPr>
        <w:t>subregulation</w:t>
      </w:r>
      <w:proofErr w:type="spellEnd"/>
      <w:r>
        <w:rPr>
          <w:szCs w:val="24"/>
        </w:rPr>
        <w:t xml:space="preserve"> 900(3) </w:t>
      </w:r>
      <w:r w:rsidR="00802F68">
        <w:rPr>
          <w:szCs w:val="24"/>
        </w:rPr>
        <w:t>and insert</w:t>
      </w:r>
      <w:r w:rsidR="00B35659">
        <w:rPr>
          <w:szCs w:val="24"/>
        </w:rPr>
        <w:t>s</w:t>
      </w:r>
      <w:r w:rsidR="00802F68">
        <w:rPr>
          <w:szCs w:val="24"/>
        </w:rPr>
        <w:t xml:space="preserve"> new </w:t>
      </w:r>
      <w:proofErr w:type="spellStart"/>
      <w:r w:rsidR="00802F68">
        <w:rPr>
          <w:szCs w:val="24"/>
        </w:rPr>
        <w:t>subregulations</w:t>
      </w:r>
      <w:proofErr w:type="spellEnd"/>
      <w:r w:rsidR="00802F68">
        <w:rPr>
          <w:szCs w:val="24"/>
        </w:rPr>
        <w:t xml:space="preserve"> 900(4), (5), (6) and (7). These </w:t>
      </w:r>
      <w:proofErr w:type="spellStart"/>
      <w:r w:rsidR="004F6301">
        <w:rPr>
          <w:szCs w:val="24"/>
        </w:rPr>
        <w:t>subregulations</w:t>
      </w:r>
      <w:proofErr w:type="spellEnd"/>
      <w:r w:rsidR="004F6301">
        <w:rPr>
          <w:szCs w:val="24"/>
        </w:rPr>
        <w:t xml:space="preserve"> </w:t>
      </w:r>
      <w:r w:rsidR="00802F68">
        <w:rPr>
          <w:szCs w:val="24"/>
        </w:rPr>
        <w:t>reflect the updated reporting requirement</w:t>
      </w:r>
      <w:r w:rsidR="00713E09">
        <w:rPr>
          <w:szCs w:val="24"/>
        </w:rPr>
        <w:t>s</w:t>
      </w:r>
      <w:r w:rsidR="00B35659">
        <w:rPr>
          <w:szCs w:val="24"/>
        </w:rPr>
        <w:t xml:space="preserve"> </w:t>
      </w:r>
      <w:r w:rsidR="00802F68">
        <w:rPr>
          <w:szCs w:val="24"/>
        </w:rPr>
        <w:t xml:space="preserve">set out in section 46 of the OPSGGM Act. </w:t>
      </w:r>
      <w:r w:rsidR="00B35659">
        <w:rPr>
          <w:szCs w:val="24"/>
        </w:rPr>
        <w:t xml:space="preserve">The reporting requirements of </w:t>
      </w:r>
      <w:r w:rsidR="00DB4970">
        <w:rPr>
          <w:szCs w:val="24"/>
        </w:rPr>
        <w:t xml:space="preserve">regulation 901 </w:t>
      </w:r>
      <w:r w:rsidR="00B35659">
        <w:rPr>
          <w:szCs w:val="24"/>
        </w:rPr>
        <w:t xml:space="preserve">are also incorporated </w:t>
      </w:r>
      <w:r w:rsidR="00DB4970">
        <w:rPr>
          <w:szCs w:val="24"/>
        </w:rPr>
        <w:t xml:space="preserve">into regulation 900. </w:t>
      </w:r>
    </w:p>
    <w:p w14:paraId="363E0B4F" w14:textId="7F6A226D" w:rsidR="00802D8C" w:rsidRDefault="00B35659" w:rsidP="00534DFC">
      <w:pPr>
        <w:pStyle w:val="ListNumber"/>
        <w:numPr>
          <w:ilvl w:val="0"/>
          <w:numId w:val="8"/>
        </w:numPr>
        <w:spacing w:after="240"/>
        <w:ind w:left="567" w:hanging="567"/>
        <w:rPr>
          <w:szCs w:val="24"/>
        </w:rPr>
      </w:pPr>
      <w:r>
        <w:rPr>
          <w:szCs w:val="24"/>
        </w:rPr>
        <w:t>P</w:t>
      </w:r>
      <w:r w:rsidR="00802F68">
        <w:rPr>
          <w:szCs w:val="24"/>
        </w:rPr>
        <w:t>aragraph 900(3</w:t>
      </w:r>
      <w:proofErr w:type="gramStart"/>
      <w:r w:rsidR="00802F68">
        <w:rPr>
          <w:szCs w:val="24"/>
        </w:rPr>
        <w:t>)(</w:t>
      </w:r>
      <w:proofErr w:type="gramEnd"/>
      <w:r w:rsidR="00802F68">
        <w:rPr>
          <w:szCs w:val="24"/>
        </w:rPr>
        <w:t>c) require</w:t>
      </w:r>
      <w:r>
        <w:rPr>
          <w:szCs w:val="24"/>
        </w:rPr>
        <w:t>s</w:t>
      </w:r>
      <w:r w:rsidR="00802F68">
        <w:rPr>
          <w:szCs w:val="24"/>
        </w:rPr>
        <w:t xml:space="preserve"> reports to specify the reporting period to which a report relates. This reflects the requirement in </w:t>
      </w:r>
      <w:r w:rsidR="004F6301">
        <w:rPr>
          <w:szCs w:val="24"/>
        </w:rPr>
        <w:t>sub</w:t>
      </w:r>
      <w:r w:rsidR="00802F68">
        <w:rPr>
          <w:szCs w:val="24"/>
        </w:rPr>
        <w:t>section 46(1A) that reports be provided to the Minister before the 15</w:t>
      </w:r>
      <w:r w:rsidR="00802F68" w:rsidRPr="00934FD7">
        <w:rPr>
          <w:szCs w:val="24"/>
        </w:rPr>
        <w:t>th</w:t>
      </w:r>
      <w:r w:rsidR="00802F68">
        <w:rPr>
          <w:szCs w:val="24"/>
        </w:rPr>
        <w:t xml:space="preserve"> day after the end of the reporting period. </w:t>
      </w:r>
      <w:r w:rsidR="00802F68" w:rsidRPr="00B35659">
        <w:rPr>
          <w:i/>
          <w:szCs w:val="24"/>
        </w:rPr>
        <w:t>Reporting period</w:t>
      </w:r>
      <w:r w:rsidR="00802F68">
        <w:rPr>
          <w:szCs w:val="24"/>
        </w:rPr>
        <w:t xml:space="preserve"> is defined in section 7 of the OPSGGM Act as a period of 6 months starting on 1 January or 1 July. </w:t>
      </w:r>
      <w:r w:rsidR="00802D8C">
        <w:rPr>
          <w:szCs w:val="24"/>
        </w:rPr>
        <w:t>However, s</w:t>
      </w:r>
      <w:r w:rsidR="00204D77">
        <w:rPr>
          <w:szCs w:val="24"/>
        </w:rPr>
        <w:t>ubs</w:t>
      </w:r>
      <w:r w:rsidR="00802D8C">
        <w:rPr>
          <w:szCs w:val="24"/>
        </w:rPr>
        <w:t xml:space="preserve">ection 46(1B) states that a person may also comply with the requirement to submit a report in respect of each reporting period by giving separate reports in relation to each half of the reporting period. </w:t>
      </w:r>
    </w:p>
    <w:p w14:paraId="3426944D" w14:textId="0A485FF3" w:rsidR="00A52A86" w:rsidRDefault="00802D8C" w:rsidP="00534DFC">
      <w:pPr>
        <w:pStyle w:val="ListNumber"/>
        <w:numPr>
          <w:ilvl w:val="0"/>
          <w:numId w:val="8"/>
        </w:numPr>
        <w:spacing w:after="240"/>
        <w:ind w:left="567" w:hanging="567"/>
        <w:rPr>
          <w:szCs w:val="24"/>
        </w:rPr>
      </w:pPr>
      <w:r>
        <w:rPr>
          <w:szCs w:val="24"/>
        </w:rPr>
        <w:t xml:space="preserve">A table </w:t>
      </w:r>
      <w:r w:rsidR="00B35659">
        <w:rPr>
          <w:szCs w:val="24"/>
        </w:rPr>
        <w:t>is</w:t>
      </w:r>
      <w:r>
        <w:rPr>
          <w:szCs w:val="24"/>
        </w:rPr>
        <w:t xml:space="preserve"> inserted after paragraph 900(3</w:t>
      </w:r>
      <w:proofErr w:type="gramStart"/>
      <w:r>
        <w:rPr>
          <w:szCs w:val="24"/>
        </w:rPr>
        <w:t>)(</w:t>
      </w:r>
      <w:proofErr w:type="gramEnd"/>
      <w:r>
        <w:rPr>
          <w:szCs w:val="24"/>
        </w:rPr>
        <w:t>d)</w:t>
      </w:r>
      <w:r w:rsidR="00204D77">
        <w:rPr>
          <w:szCs w:val="24"/>
        </w:rPr>
        <w:t xml:space="preserve"> setting out the information that must be included in each report. </w:t>
      </w:r>
    </w:p>
    <w:p w14:paraId="6A3154C7" w14:textId="3CF0F632" w:rsidR="00A52A86" w:rsidRDefault="00B35659" w:rsidP="00534DFC">
      <w:pPr>
        <w:pStyle w:val="ListNumber"/>
        <w:numPr>
          <w:ilvl w:val="0"/>
          <w:numId w:val="8"/>
        </w:numPr>
        <w:spacing w:after="240"/>
        <w:ind w:left="567" w:hanging="567"/>
        <w:rPr>
          <w:szCs w:val="24"/>
        </w:rPr>
      </w:pPr>
      <w:proofErr w:type="spellStart"/>
      <w:r>
        <w:rPr>
          <w:szCs w:val="24"/>
        </w:rPr>
        <w:t>S</w:t>
      </w:r>
      <w:r w:rsidR="00802D8C">
        <w:rPr>
          <w:szCs w:val="24"/>
        </w:rPr>
        <w:t>ubregulation</w:t>
      </w:r>
      <w:proofErr w:type="spellEnd"/>
      <w:r w:rsidR="00802D8C">
        <w:rPr>
          <w:szCs w:val="24"/>
        </w:rPr>
        <w:t xml:space="preserve"> 900(4) insert</w:t>
      </w:r>
      <w:r>
        <w:rPr>
          <w:szCs w:val="24"/>
        </w:rPr>
        <w:t>s</w:t>
      </w:r>
      <w:r w:rsidR="00802D8C">
        <w:rPr>
          <w:szCs w:val="24"/>
        </w:rPr>
        <w:t xml:space="preserve"> a definition of a </w:t>
      </w:r>
      <w:r w:rsidR="00802D8C" w:rsidRPr="00934FD7">
        <w:rPr>
          <w:szCs w:val="24"/>
        </w:rPr>
        <w:t>scheduled kind</w:t>
      </w:r>
      <w:r w:rsidR="00802D8C">
        <w:rPr>
          <w:szCs w:val="24"/>
        </w:rPr>
        <w:t xml:space="preserve"> of a scheduled substance, as this term is used in the table </w:t>
      </w:r>
      <w:r w:rsidR="003245E4">
        <w:rPr>
          <w:szCs w:val="24"/>
        </w:rPr>
        <w:t>to</w:t>
      </w:r>
      <w:r w:rsidR="00802D8C">
        <w:rPr>
          <w:szCs w:val="24"/>
        </w:rPr>
        <w:t xml:space="preserve"> </w:t>
      </w:r>
      <w:proofErr w:type="spellStart"/>
      <w:r w:rsidR="00802D8C">
        <w:rPr>
          <w:szCs w:val="24"/>
        </w:rPr>
        <w:t>subregulation</w:t>
      </w:r>
      <w:proofErr w:type="spellEnd"/>
      <w:r w:rsidR="00802D8C">
        <w:rPr>
          <w:szCs w:val="24"/>
        </w:rPr>
        <w:t xml:space="preserve"> 900(3). </w:t>
      </w:r>
    </w:p>
    <w:p w14:paraId="49321EFE" w14:textId="4E9DFB3F" w:rsidR="00A52A86" w:rsidRDefault="00B35659" w:rsidP="00534DFC">
      <w:pPr>
        <w:pStyle w:val="ListNumber"/>
        <w:numPr>
          <w:ilvl w:val="0"/>
          <w:numId w:val="8"/>
        </w:numPr>
        <w:spacing w:after="240"/>
        <w:ind w:left="567" w:hanging="567"/>
        <w:rPr>
          <w:szCs w:val="24"/>
        </w:rPr>
      </w:pPr>
      <w:proofErr w:type="spellStart"/>
      <w:r>
        <w:rPr>
          <w:szCs w:val="24"/>
        </w:rPr>
        <w:t>S</w:t>
      </w:r>
      <w:r w:rsidR="00802D8C">
        <w:rPr>
          <w:szCs w:val="24"/>
        </w:rPr>
        <w:t>ubregulation</w:t>
      </w:r>
      <w:proofErr w:type="spellEnd"/>
      <w:r w:rsidR="00802D8C">
        <w:rPr>
          <w:szCs w:val="24"/>
        </w:rPr>
        <w:t xml:space="preserve"> 900(5) </w:t>
      </w:r>
      <w:r>
        <w:rPr>
          <w:szCs w:val="24"/>
        </w:rPr>
        <w:t>specifies</w:t>
      </w:r>
      <w:r w:rsidR="00802D8C">
        <w:rPr>
          <w:szCs w:val="24"/>
        </w:rPr>
        <w:t xml:space="preserve"> categories of ODS equipment or SGG equipment for the purposes of Column 2 of Items 2 and 3 in the table </w:t>
      </w:r>
      <w:r w:rsidR="003245E4">
        <w:rPr>
          <w:szCs w:val="24"/>
        </w:rPr>
        <w:t>to</w:t>
      </w:r>
      <w:r w:rsidR="00802D8C">
        <w:rPr>
          <w:szCs w:val="24"/>
        </w:rPr>
        <w:t xml:space="preserve"> </w:t>
      </w:r>
      <w:proofErr w:type="spellStart"/>
      <w:r w:rsidR="00802D8C">
        <w:rPr>
          <w:szCs w:val="24"/>
        </w:rPr>
        <w:t>subregulation</w:t>
      </w:r>
      <w:proofErr w:type="spellEnd"/>
      <w:r w:rsidR="00802D8C">
        <w:rPr>
          <w:szCs w:val="24"/>
        </w:rPr>
        <w:t xml:space="preserve"> 900(3). </w:t>
      </w:r>
    </w:p>
    <w:p w14:paraId="68E2421B" w14:textId="39815DCC" w:rsidR="00802D8C" w:rsidRDefault="00B35659" w:rsidP="00534DFC">
      <w:pPr>
        <w:pStyle w:val="ListNumber"/>
        <w:numPr>
          <w:ilvl w:val="0"/>
          <w:numId w:val="8"/>
        </w:numPr>
        <w:spacing w:after="240"/>
        <w:ind w:left="567" w:hanging="567"/>
        <w:rPr>
          <w:szCs w:val="24"/>
        </w:rPr>
      </w:pPr>
      <w:proofErr w:type="spellStart"/>
      <w:r>
        <w:rPr>
          <w:szCs w:val="24"/>
        </w:rPr>
        <w:t>S</w:t>
      </w:r>
      <w:r w:rsidR="00802D8C">
        <w:rPr>
          <w:szCs w:val="24"/>
        </w:rPr>
        <w:t>ubregulation</w:t>
      </w:r>
      <w:proofErr w:type="spellEnd"/>
      <w:r w:rsidR="00802D8C">
        <w:rPr>
          <w:szCs w:val="24"/>
        </w:rPr>
        <w:t xml:space="preserve"> 900(</w:t>
      </w:r>
      <w:r w:rsidR="00A52A86">
        <w:rPr>
          <w:szCs w:val="24"/>
        </w:rPr>
        <w:t>6</w:t>
      </w:r>
      <w:r w:rsidR="00802D8C">
        <w:rPr>
          <w:szCs w:val="24"/>
        </w:rPr>
        <w:t xml:space="preserve">) </w:t>
      </w:r>
      <w:r>
        <w:rPr>
          <w:szCs w:val="24"/>
        </w:rPr>
        <w:t xml:space="preserve">specifies </w:t>
      </w:r>
      <w:r w:rsidR="00802D8C">
        <w:rPr>
          <w:szCs w:val="24"/>
        </w:rPr>
        <w:t xml:space="preserve">categories of equipment for the purposes of Column 2 of Item 3 in the table in </w:t>
      </w:r>
      <w:proofErr w:type="spellStart"/>
      <w:r w:rsidR="00802D8C">
        <w:rPr>
          <w:szCs w:val="24"/>
        </w:rPr>
        <w:t>subregulation</w:t>
      </w:r>
      <w:proofErr w:type="spellEnd"/>
      <w:r w:rsidR="00802D8C">
        <w:rPr>
          <w:szCs w:val="24"/>
        </w:rPr>
        <w:t xml:space="preserve"> 900(3).</w:t>
      </w:r>
    </w:p>
    <w:p w14:paraId="16056534" w14:textId="4D6182F6" w:rsidR="00A52A86" w:rsidRDefault="00B35659" w:rsidP="00534DFC">
      <w:pPr>
        <w:pStyle w:val="ListNumber"/>
        <w:numPr>
          <w:ilvl w:val="0"/>
          <w:numId w:val="8"/>
        </w:numPr>
        <w:spacing w:after="240"/>
        <w:ind w:left="567" w:hanging="567"/>
        <w:rPr>
          <w:szCs w:val="24"/>
        </w:rPr>
      </w:pPr>
      <w:proofErr w:type="spellStart"/>
      <w:r>
        <w:rPr>
          <w:szCs w:val="24"/>
        </w:rPr>
        <w:t>S</w:t>
      </w:r>
      <w:r w:rsidR="00A52A86">
        <w:rPr>
          <w:szCs w:val="24"/>
        </w:rPr>
        <w:t>ubregulation</w:t>
      </w:r>
      <w:proofErr w:type="spellEnd"/>
      <w:r w:rsidR="00A52A86">
        <w:rPr>
          <w:szCs w:val="24"/>
        </w:rPr>
        <w:t xml:space="preserve"> 900(7) </w:t>
      </w:r>
      <w:r w:rsidR="003A775A">
        <w:rPr>
          <w:szCs w:val="24"/>
        </w:rPr>
        <w:t>provide</w:t>
      </w:r>
      <w:r>
        <w:rPr>
          <w:szCs w:val="24"/>
        </w:rPr>
        <w:t>s</w:t>
      </w:r>
      <w:r w:rsidR="003A775A">
        <w:rPr>
          <w:szCs w:val="24"/>
        </w:rPr>
        <w:t xml:space="preserve"> that if a permit </w:t>
      </w:r>
      <w:r w:rsidR="00D77788">
        <w:rPr>
          <w:szCs w:val="24"/>
        </w:rPr>
        <w:t xml:space="preserve">or written notice </w:t>
      </w:r>
      <w:r w:rsidR="003A775A">
        <w:rPr>
          <w:szCs w:val="24"/>
        </w:rPr>
        <w:t>granted to the person under regulation 3A</w:t>
      </w:r>
      <w:r w:rsidR="00C96F35">
        <w:rPr>
          <w:szCs w:val="24"/>
        </w:rPr>
        <w:t xml:space="preserve"> </w:t>
      </w:r>
      <w:r w:rsidR="003A775A">
        <w:rPr>
          <w:szCs w:val="24"/>
        </w:rPr>
        <w:t xml:space="preserve">or 3AA was in force at any time during the reporting period, the report </w:t>
      </w:r>
      <w:r w:rsidR="003E21C9">
        <w:rPr>
          <w:szCs w:val="24"/>
        </w:rPr>
        <w:t xml:space="preserve">may </w:t>
      </w:r>
      <w:r w:rsidR="00712AD1">
        <w:rPr>
          <w:szCs w:val="24"/>
        </w:rPr>
        <w:t>also include the kinds of SGGs that the person manufactured under the permit</w:t>
      </w:r>
      <w:r w:rsidR="00D77788">
        <w:rPr>
          <w:szCs w:val="24"/>
        </w:rPr>
        <w:t xml:space="preserve"> or written notice</w:t>
      </w:r>
      <w:r w:rsidR="00712AD1">
        <w:rPr>
          <w:szCs w:val="24"/>
        </w:rPr>
        <w:t xml:space="preserve"> during the reporting period, and for each of those ki</w:t>
      </w:r>
      <w:r w:rsidR="00346F33">
        <w:rPr>
          <w:szCs w:val="24"/>
        </w:rPr>
        <w:t>nd</w:t>
      </w:r>
      <w:r w:rsidR="00712AD1">
        <w:rPr>
          <w:szCs w:val="24"/>
        </w:rPr>
        <w:t xml:space="preserve">s of SGGs, the total amount in metric tonnes of SGGs that the person manufactured or imported under the permit during the reporting period. </w:t>
      </w:r>
    </w:p>
    <w:p w14:paraId="1C618295" w14:textId="080747F8" w:rsidR="00A52A86" w:rsidRDefault="00F369E1" w:rsidP="00534DFC">
      <w:pPr>
        <w:pStyle w:val="ListNumber"/>
        <w:numPr>
          <w:ilvl w:val="0"/>
          <w:numId w:val="8"/>
        </w:numPr>
        <w:spacing w:after="240"/>
        <w:ind w:left="567" w:hanging="567"/>
        <w:rPr>
          <w:szCs w:val="24"/>
        </w:rPr>
      </w:pPr>
      <w:r>
        <w:rPr>
          <w:szCs w:val="24"/>
        </w:rPr>
        <w:t>Item 1</w:t>
      </w:r>
      <w:r w:rsidR="008D3D9A">
        <w:rPr>
          <w:szCs w:val="24"/>
        </w:rPr>
        <w:t>7</w:t>
      </w:r>
      <w:r>
        <w:rPr>
          <w:szCs w:val="24"/>
        </w:rPr>
        <w:t xml:space="preserve"> repeal</w:t>
      </w:r>
      <w:r w:rsidR="006B54EE">
        <w:rPr>
          <w:szCs w:val="24"/>
        </w:rPr>
        <w:t>s</w:t>
      </w:r>
      <w:r>
        <w:rPr>
          <w:szCs w:val="24"/>
        </w:rPr>
        <w:t xml:space="preserve"> regulations 900A to 902. </w:t>
      </w:r>
      <w:r w:rsidR="003245E4">
        <w:rPr>
          <w:szCs w:val="24"/>
        </w:rPr>
        <w:t xml:space="preserve">Regulations </w:t>
      </w:r>
      <w:r>
        <w:rPr>
          <w:szCs w:val="24"/>
        </w:rPr>
        <w:t>900A and 902 include reporting requirement</w:t>
      </w:r>
      <w:r w:rsidR="004776E5">
        <w:rPr>
          <w:szCs w:val="24"/>
        </w:rPr>
        <w:t>s</w:t>
      </w:r>
      <w:r>
        <w:rPr>
          <w:szCs w:val="24"/>
        </w:rPr>
        <w:t xml:space="preserve"> for nil amounts. Their repeal </w:t>
      </w:r>
      <w:r w:rsidR="006B54EE">
        <w:rPr>
          <w:szCs w:val="24"/>
        </w:rPr>
        <w:t>is</w:t>
      </w:r>
      <w:r w:rsidR="003245E4">
        <w:rPr>
          <w:szCs w:val="24"/>
        </w:rPr>
        <w:t xml:space="preserve"> required as a consequence of the Amendment Act which repeals the </w:t>
      </w:r>
      <w:r>
        <w:rPr>
          <w:szCs w:val="24"/>
        </w:rPr>
        <w:t>nil reporting requirement</w:t>
      </w:r>
      <w:r w:rsidR="003245E4">
        <w:rPr>
          <w:szCs w:val="24"/>
        </w:rPr>
        <w:t>s</w:t>
      </w:r>
      <w:r>
        <w:rPr>
          <w:szCs w:val="24"/>
        </w:rPr>
        <w:t xml:space="preserve"> </w:t>
      </w:r>
      <w:r w:rsidR="003245E4">
        <w:rPr>
          <w:szCs w:val="24"/>
        </w:rPr>
        <w:t>currently contained in the OPSGGM Act</w:t>
      </w:r>
      <w:r>
        <w:rPr>
          <w:szCs w:val="24"/>
        </w:rPr>
        <w:t xml:space="preserve">. </w:t>
      </w:r>
      <w:r w:rsidR="008C6CFB">
        <w:rPr>
          <w:szCs w:val="24"/>
        </w:rPr>
        <w:t xml:space="preserve">Regulation 901 </w:t>
      </w:r>
      <w:r w:rsidR="006B54EE">
        <w:rPr>
          <w:szCs w:val="24"/>
        </w:rPr>
        <w:t xml:space="preserve">is </w:t>
      </w:r>
      <w:r w:rsidR="008C6CFB">
        <w:rPr>
          <w:szCs w:val="24"/>
        </w:rPr>
        <w:t xml:space="preserve">repealed </w:t>
      </w:r>
      <w:r w:rsidR="003245E4">
        <w:rPr>
          <w:szCs w:val="24"/>
        </w:rPr>
        <w:t>as its requirements are i</w:t>
      </w:r>
      <w:r w:rsidR="008C6CFB">
        <w:rPr>
          <w:szCs w:val="24"/>
        </w:rPr>
        <w:t xml:space="preserve">ncorporated into regulation 900. </w:t>
      </w:r>
    </w:p>
    <w:p w14:paraId="6FEECC44" w14:textId="646D37B7" w:rsidR="008C6CFB" w:rsidRPr="002A17D6" w:rsidRDefault="002A17D6" w:rsidP="00225158">
      <w:pPr>
        <w:rPr>
          <w:rFonts w:ascii="Times New Roman" w:hAnsi="Times New Roman"/>
          <w:b/>
          <w:sz w:val="24"/>
          <w:szCs w:val="24"/>
        </w:rPr>
      </w:pPr>
      <w:r w:rsidRPr="002A17D6">
        <w:rPr>
          <w:rFonts w:ascii="Times New Roman" w:hAnsi="Times New Roman"/>
          <w:b/>
          <w:sz w:val="24"/>
          <w:szCs w:val="24"/>
        </w:rPr>
        <w:t>Item 1</w:t>
      </w:r>
      <w:r w:rsidR="006B54EE">
        <w:rPr>
          <w:rFonts w:ascii="Times New Roman" w:hAnsi="Times New Roman"/>
          <w:b/>
          <w:sz w:val="24"/>
          <w:szCs w:val="24"/>
        </w:rPr>
        <w:t>8</w:t>
      </w:r>
      <w:r w:rsidRPr="002A17D6">
        <w:rPr>
          <w:rFonts w:ascii="Times New Roman" w:hAnsi="Times New Roman"/>
          <w:b/>
          <w:sz w:val="24"/>
          <w:szCs w:val="24"/>
        </w:rPr>
        <w:t xml:space="preserve"> – Licence levy threshold</w:t>
      </w:r>
    </w:p>
    <w:p w14:paraId="371F524D" w14:textId="77777777" w:rsidR="00802D8C" w:rsidRDefault="00802D8C" w:rsidP="00225158">
      <w:pPr>
        <w:rPr>
          <w:rFonts w:ascii="Times New Roman" w:hAnsi="Times New Roman"/>
          <w:sz w:val="24"/>
          <w:szCs w:val="24"/>
        </w:rPr>
      </w:pPr>
    </w:p>
    <w:p w14:paraId="47A528B7" w14:textId="4D8E4EE9" w:rsidR="00DC5BFF" w:rsidRDefault="006B3816" w:rsidP="00534DFC">
      <w:pPr>
        <w:pStyle w:val="ListNumber"/>
        <w:numPr>
          <w:ilvl w:val="0"/>
          <w:numId w:val="8"/>
        </w:numPr>
        <w:spacing w:after="240"/>
        <w:ind w:left="567" w:hanging="567"/>
        <w:rPr>
          <w:szCs w:val="24"/>
        </w:rPr>
      </w:pPr>
      <w:r>
        <w:rPr>
          <w:szCs w:val="24"/>
        </w:rPr>
        <w:t xml:space="preserve">Subsection 69(3) of the OPSGGM Act </w:t>
      </w:r>
      <w:r w:rsidR="00951807">
        <w:rPr>
          <w:szCs w:val="24"/>
        </w:rPr>
        <w:t>states that a licence levy in relation to a reporting period is not payable by a licen</w:t>
      </w:r>
      <w:r w:rsidR="00346F33">
        <w:rPr>
          <w:szCs w:val="24"/>
        </w:rPr>
        <w:t>s</w:t>
      </w:r>
      <w:r w:rsidR="00951807">
        <w:rPr>
          <w:szCs w:val="24"/>
        </w:rPr>
        <w:t xml:space="preserve">ee if the total of the licence levies that would be payable </w:t>
      </w:r>
      <w:r w:rsidR="00951807">
        <w:rPr>
          <w:szCs w:val="24"/>
        </w:rPr>
        <w:lastRenderedPageBreak/>
        <w:t>by the licen</w:t>
      </w:r>
      <w:r w:rsidR="00346F33">
        <w:rPr>
          <w:szCs w:val="24"/>
        </w:rPr>
        <w:t>s</w:t>
      </w:r>
      <w:r w:rsidR="00951807">
        <w:rPr>
          <w:szCs w:val="24"/>
        </w:rPr>
        <w:t xml:space="preserve">ee in relation to the reporting period, but for subsection 69(3), </w:t>
      </w:r>
      <w:r w:rsidR="003245E4">
        <w:rPr>
          <w:szCs w:val="24"/>
        </w:rPr>
        <w:t xml:space="preserve">is </w:t>
      </w:r>
      <w:r w:rsidR="00951807">
        <w:rPr>
          <w:szCs w:val="24"/>
        </w:rPr>
        <w:t>less than or equal to the amount (if any) prescribed by the regulations for the purposes of subsection</w:t>
      </w:r>
      <w:r w:rsidR="003245E4">
        <w:rPr>
          <w:szCs w:val="24"/>
        </w:rPr>
        <w:t xml:space="preserve"> 69(3)</w:t>
      </w:r>
      <w:r w:rsidR="00951807">
        <w:rPr>
          <w:szCs w:val="24"/>
        </w:rPr>
        <w:t xml:space="preserve">. </w:t>
      </w:r>
    </w:p>
    <w:p w14:paraId="7CD3F49E" w14:textId="2BBC88AF" w:rsidR="00DC5BFF" w:rsidRDefault="00951807" w:rsidP="00534DFC">
      <w:pPr>
        <w:pStyle w:val="ListNumber"/>
        <w:numPr>
          <w:ilvl w:val="0"/>
          <w:numId w:val="8"/>
        </w:numPr>
        <w:spacing w:after="240"/>
        <w:ind w:left="567" w:hanging="567"/>
        <w:rPr>
          <w:szCs w:val="24"/>
        </w:rPr>
      </w:pPr>
      <w:r>
        <w:rPr>
          <w:szCs w:val="24"/>
        </w:rPr>
        <w:t>Item 1</w:t>
      </w:r>
      <w:r w:rsidR="007D1879">
        <w:rPr>
          <w:szCs w:val="24"/>
        </w:rPr>
        <w:t>8</w:t>
      </w:r>
      <w:r>
        <w:rPr>
          <w:szCs w:val="24"/>
        </w:rPr>
        <w:t xml:space="preserve"> insert</w:t>
      </w:r>
      <w:r w:rsidR="006B54EE">
        <w:rPr>
          <w:szCs w:val="24"/>
        </w:rPr>
        <w:t>s</w:t>
      </w:r>
      <w:r>
        <w:rPr>
          <w:szCs w:val="24"/>
        </w:rPr>
        <w:t xml:space="preserve"> a new regulation 918 </w:t>
      </w:r>
      <w:r w:rsidR="003245E4">
        <w:rPr>
          <w:szCs w:val="24"/>
        </w:rPr>
        <w:t xml:space="preserve">into the Principal Regulations </w:t>
      </w:r>
      <w:r>
        <w:rPr>
          <w:szCs w:val="24"/>
        </w:rPr>
        <w:t>that prescribe</w:t>
      </w:r>
      <w:r w:rsidR="006B54EE">
        <w:rPr>
          <w:szCs w:val="24"/>
        </w:rPr>
        <w:t>s</w:t>
      </w:r>
      <w:r>
        <w:rPr>
          <w:szCs w:val="24"/>
        </w:rPr>
        <w:t xml:space="preserve"> an amount of $330 for the purposes of subsection 69(3) of the OPSGGM Act. </w:t>
      </w:r>
      <w:r w:rsidR="00DC5BFF">
        <w:rPr>
          <w:szCs w:val="24"/>
        </w:rPr>
        <w:t>This mean</w:t>
      </w:r>
      <w:r w:rsidR="006B54EE">
        <w:rPr>
          <w:szCs w:val="24"/>
        </w:rPr>
        <w:t>s</w:t>
      </w:r>
      <w:r w:rsidR="00DC5BFF">
        <w:rPr>
          <w:szCs w:val="24"/>
        </w:rPr>
        <w:t xml:space="preserve"> that if </w:t>
      </w:r>
      <w:r w:rsidR="00DC5BFF" w:rsidRPr="00DC5BFF">
        <w:rPr>
          <w:szCs w:val="24"/>
        </w:rPr>
        <w:t xml:space="preserve">the total of the </w:t>
      </w:r>
      <w:r w:rsidR="003245E4">
        <w:rPr>
          <w:szCs w:val="24"/>
        </w:rPr>
        <w:t>licence levies</w:t>
      </w:r>
      <w:r w:rsidR="003245E4" w:rsidRPr="00DC5BFF">
        <w:rPr>
          <w:szCs w:val="24"/>
        </w:rPr>
        <w:t xml:space="preserve"> </w:t>
      </w:r>
      <w:r w:rsidR="00DC5BFF" w:rsidRPr="00DC5BFF">
        <w:rPr>
          <w:szCs w:val="24"/>
        </w:rPr>
        <w:t xml:space="preserve">due and payable by a </w:t>
      </w:r>
      <w:r w:rsidR="00DC5BFF">
        <w:rPr>
          <w:szCs w:val="24"/>
        </w:rPr>
        <w:t>person</w:t>
      </w:r>
      <w:r w:rsidR="00DC5BFF" w:rsidRPr="00DC5BFF">
        <w:rPr>
          <w:szCs w:val="24"/>
        </w:rPr>
        <w:t xml:space="preserve"> under section 69 is equal to or less than $330, </w:t>
      </w:r>
      <w:r w:rsidR="006B54EE">
        <w:rPr>
          <w:szCs w:val="24"/>
        </w:rPr>
        <w:t xml:space="preserve">the person’s liability to pay the levy is waived. </w:t>
      </w:r>
      <w:r w:rsidR="00DC5BFF" w:rsidRPr="00DC5BFF">
        <w:rPr>
          <w:szCs w:val="24"/>
        </w:rPr>
        <w:t xml:space="preserve"> </w:t>
      </w:r>
    </w:p>
    <w:p w14:paraId="72E4306A" w14:textId="19473914" w:rsidR="00967D8E" w:rsidRDefault="00967D8E" w:rsidP="00DC5BFF">
      <w:pPr>
        <w:rPr>
          <w:rFonts w:ascii="Times New Roman" w:hAnsi="Times New Roman"/>
          <w:b/>
          <w:sz w:val="24"/>
          <w:szCs w:val="24"/>
        </w:rPr>
      </w:pPr>
      <w:r>
        <w:rPr>
          <w:rFonts w:ascii="Times New Roman" w:hAnsi="Times New Roman"/>
          <w:b/>
          <w:sz w:val="24"/>
          <w:szCs w:val="24"/>
        </w:rPr>
        <w:t xml:space="preserve">Part 3 – Synthetic Greenhouse </w:t>
      </w:r>
      <w:r w:rsidR="00637424">
        <w:rPr>
          <w:rFonts w:ascii="Times New Roman" w:hAnsi="Times New Roman"/>
          <w:b/>
          <w:sz w:val="24"/>
          <w:szCs w:val="24"/>
        </w:rPr>
        <w:t>G</w:t>
      </w:r>
      <w:r>
        <w:rPr>
          <w:rFonts w:ascii="Times New Roman" w:hAnsi="Times New Roman"/>
          <w:b/>
          <w:sz w:val="24"/>
          <w:szCs w:val="24"/>
        </w:rPr>
        <w:t>ases</w:t>
      </w:r>
    </w:p>
    <w:p w14:paraId="372258EE" w14:textId="77777777" w:rsidR="00967D8E" w:rsidRPr="00C010FA" w:rsidRDefault="00967D8E" w:rsidP="00DC5BFF">
      <w:pPr>
        <w:rPr>
          <w:rFonts w:ascii="Times New Roman" w:hAnsi="Times New Roman"/>
          <w:b/>
          <w:sz w:val="24"/>
          <w:szCs w:val="24"/>
        </w:rPr>
      </w:pPr>
    </w:p>
    <w:p w14:paraId="56C25B07" w14:textId="13C7A45B" w:rsidR="00346F48" w:rsidRDefault="00346F48" w:rsidP="00534DFC">
      <w:pPr>
        <w:pStyle w:val="ListNumber"/>
        <w:numPr>
          <w:ilvl w:val="0"/>
          <w:numId w:val="8"/>
        </w:numPr>
        <w:spacing w:after="240"/>
        <w:ind w:left="567" w:hanging="567"/>
        <w:rPr>
          <w:szCs w:val="24"/>
        </w:rPr>
      </w:pPr>
      <w:r>
        <w:rPr>
          <w:szCs w:val="24"/>
        </w:rPr>
        <w:t>Item 1</w:t>
      </w:r>
      <w:r w:rsidR="00AB3DF8">
        <w:rPr>
          <w:szCs w:val="24"/>
        </w:rPr>
        <w:t>9</w:t>
      </w:r>
      <w:r>
        <w:rPr>
          <w:szCs w:val="24"/>
        </w:rPr>
        <w:t xml:space="preserve"> include</w:t>
      </w:r>
      <w:r w:rsidR="006B54EE">
        <w:rPr>
          <w:szCs w:val="24"/>
        </w:rPr>
        <w:t>s</w:t>
      </w:r>
      <w:r>
        <w:rPr>
          <w:szCs w:val="24"/>
        </w:rPr>
        <w:t xml:space="preserve"> nitrogen trifluoride in the SGGs listed in subsection 3(6). </w:t>
      </w:r>
      <w:r w:rsidR="006B54EE">
        <w:rPr>
          <w:szCs w:val="24"/>
        </w:rPr>
        <w:t>S</w:t>
      </w:r>
      <w:r>
        <w:rPr>
          <w:szCs w:val="24"/>
        </w:rPr>
        <w:t xml:space="preserve">ubsection 3(6) would prescribe, for the purposes of paragraph 13(6)(c), that the total amount of all SGGs contained in SGG equipment in the importation and in any other SGG equipment the person imported during the calendar year up until that time is not greater than </w:t>
      </w:r>
      <w:r w:rsidR="006B54EE">
        <w:rPr>
          <w:szCs w:val="24"/>
        </w:rPr>
        <w:br/>
      </w:r>
      <w:r>
        <w:rPr>
          <w:szCs w:val="24"/>
        </w:rPr>
        <w:t xml:space="preserve">25 kilograms. </w:t>
      </w:r>
    </w:p>
    <w:p w14:paraId="7991D1E6" w14:textId="1A0A2F5C" w:rsidR="00346F48" w:rsidRDefault="005661AD" w:rsidP="00534DFC">
      <w:pPr>
        <w:pStyle w:val="ListNumber"/>
        <w:numPr>
          <w:ilvl w:val="0"/>
          <w:numId w:val="8"/>
        </w:numPr>
        <w:spacing w:after="240"/>
        <w:ind w:left="567" w:hanging="567"/>
        <w:rPr>
          <w:szCs w:val="24"/>
        </w:rPr>
      </w:pPr>
      <w:r>
        <w:rPr>
          <w:szCs w:val="24"/>
        </w:rPr>
        <w:t xml:space="preserve">In order to meet the low-volume import threshold, a person must not have imported more than 25 kilograms of SGGs contained in SGG equipment in that calendar year. </w:t>
      </w:r>
      <w:r w:rsidR="00346F48">
        <w:rPr>
          <w:szCs w:val="24"/>
        </w:rPr>
        <w:t>The effect of this Item would be that, from 1 January 2018 (when this Item commence</w:t>
      </w:r>
      <w:r w:rsidR="006B54EE">
        <w:rPr>
          <w:szCs w:val="24"/>
        </w:rPr>
        <w:t>s</w:t>
      </w:r>
      <w:r w:rsidR="00346F48">
        <w:rPr>
          <w:szCs w:val="24"/>
        </w:rPr>
        <w:t xml:space="preserve">), any nitrogen trifluoride </w:t>
      </w:r>
      <w:r w:rsidR="00FA2F43">
        <w:rPr>
          <w:szCs w:val="24"/>
        </w:rPr>
        <w:t>contained in SGG equipment that a person imported would count towards the low-volume import threshold of 25 k</w:t>
      </w:r>
      <w:r w:rsidR="00011E6B">
        <w:rPr>
          <w:szCs w:val="24"/>
        </w:rPr>
        <w:t>ilo</w:t>
      </w:r>
      <w:r w:rsidR="00FA2F43">
        <w:rPr>
          <w:szCs w:val="24"/>
        </w:rPr>
        <w:t>g</w:t>
      </w:r>
      <w:r w:rsidR="00011E6B">
        <w:rPr>
          <w:szCs w:val="24"/>
        </w:rPr>
        <w:t>rams</w:t>
      </w:r>
      <w:r w:rsidR="00FA2F43">
        <w:rPr>
          <w:szCs w:val="24"/>
        </w:rPr>
        <w:t xml:space="preserve"> in total of SGGs imported in SGG equipment in a calendar year. Before the commencement of this item, any nitrogen trifluoride contained in SGG equipment would not count towards this threshold. </w:t>
      </w:r>
    </w:p>
    <w:p w14:paraId="58BC388B" w14:textId="0ED54997" w:rsidR="00053B64" w:rsidRPr="003245E4" w:rsidRDefault="00053B64" w:rsidP="00053B64">
      <w:pPr>
        <w:rPr>
          <w:rFonts w:ascii="Times New Roman" w:hAnsi="Times New Roman"/>
          <w:sz w:val="24"/>
          <w:szCs w:val="24"/>
        </w:rPr>
      </w:pPr>
      <w:r w:rsidRPr="00C010FA">
        <w:rPr>
          <w:rFonts w:ascii="Times New Roman" w:hAnsi="Times New Roman"/>
          <w:b/>
          <w:sz w:val="24"/>
          <w:szCs w:val="24"/>
        </w:rPr>
        <w:t xml:space="preserve">Schedule 3 – Amendments commencing </w:t>
      </w:r>
      <w:r w:rsidR="00255CBB">
        <w:rPr>
          <w:rFonts w:ascii="Times New Roman" w:hAnsi="Times New Roman"/>
          <w:b/>
          <w:sz w:val="24"/>
          <w:szCs w:val="24"/>
        </w:rPr>
        <w:t>1 January 2020</w:t>
      </w:r>
    </w:p>
    <w:p w14:paraId="47D20177" w14:textId="77777777" w:rsidR="00053B64" w:rsidRDefault="00053B64" w:rsidP="00225158">
      <w:pPr>
        <w:rPr>
          <w:rFonts w:ascii="Times New Roman" w:hAnsi="Times New Roman"/>
          <w:sz w:val="24"/>
          <w:szCs w:val="24"/>
        </w:rPr>
      </w:pPr>
    </w:p>
    <w:p w14:paraId="5E8F0B52" w14:textId="77777777" w:rsidR="00496EBA" w:rsidRPr="00334EE0" w:rsidRDefault="00496EBA" w:rsidP="00534DFC">
      <w:pPr>
        <w:pStyle w:val="ListNumber"/>
        <w:numPr>
          <w:ilvl w:val="0"/>
          <w:numId w:val="8"/>
        </w:numPr>
        <w:spacing w:after="240"/>
        <w:ind w:left="567" w:hanging="567"/>
        <w:rPr>
          <w:szCs w:val="24"/>
        </w:rPr>
      </w:pPr>
      <w:r w:rsidRPr="00334EE0">
        <w:rPr>
          <w:szCs w:val="24"/>
        </w:rPr>
        <w:t xml:space="preserve">From 1 January 2020, the Montreal Protocol will restrict the use of HCFCs </w:t>
      </w:r>
      <w:r w:rsidR="00346F33" w:rsidRPr="00334EE0">
        <w:rPr>
          <w:szCs w:val="24"/>
        </w:rPr>
        <w:t xml:space="preserve">imported after 1 January 2020 </w:t>
      </w:r>
      <w:r w:rsidRPr="00334EE0">
        <w:rPr>
          <w:szCs w:val="24"/>
        </w:rPr>
        <w:t xml:space="preserve">(other than HCFCs contained in pre-charged equipment). Article 2F </w:t>
      </w:r>
      <w:r w:rsidR="00310C8A" w:rsidRPr="00334EE0">
        <w:rPr>
          <w:szCs w:val="24"/>
        </w:rPr>
        <w:br/>
      </w:r>
      <w:r w:rsidRPr="00334EE0">
        <w:rPr>
          <w:szCs w:val="24"/>
        </w:rPr>
        <w:t xml:space="preserve">paragraph 6(a) of the Montreal Protocol states that use of HCFCs imported or manufactured from </w:t>
      </w:r>
      <w:r w:rsidR="00346F33" w:rsidRPr="00334EE0">
        <w:rPr>
          <w:szCs w:val="24"/>
        </w:rPr>
        <w:t>1 </w:t>
      </w:r>
      <w:r w:rsidRPr="00334EE0">
        <w:rPr>
          <w:szCs w:val="24"/>
        </w:rPr>
        <w:t>January 2020 must be restricted to the servicing of existing refrigeration and air conditioning equipment. However, the allowable uses for HCFCs under the Montreal Protocol may be changed or updated before the obligation comes into effect in 2020.</w:t>
      </w:r>
    </w:p>
    <w:p w14:paraId="30B22181" w14:textId="77777777" w:rsidR="00FF6E6E" w:rsidRPr="00334EE0" w:rsidRDefault="00496EBA" w:rsidP="00534DFC">
      <w:pPr>
        <w:pStyle w:val="ListNumber"/>
        <w:numPr>
          <w:ilvl w:val="0"/>
          <w:numId w:val="8"/>
        </w:numPr>
        <w:spacing w:after="240"/>
        <w:ind w:left="567" w:hanging="567"/>
        <w:rPr>
          <w:szCs w:val="24"/>
        </w:rPr>
      </w:pPr>
      <w:r w:rsidRPr="00334EE0">
        <w:rPr>
          <w:szCs w:val="24"/>
        </w:rPr>
        <w:t xml:space="preserve">As a part of Australia’s phase-out of HCFCs under the Montreal Protocol, equipment bans for the manufacture and import of refrigeration and air conditioning equipment using HCFCs have already been instituted to assist in reducing the demand for </w:t>
      </w:r>
      <w:r w:rsidR="00346F33" w:rsidRPr="00334EE0">
        <w:rPr>
          <w:szCs w:val="24"/>
        </w:rPr>
        <w:t>HCFCs</w:t>
      </w:r>
      <w:r w:rsidRPr="00334EE0">
        <w:rPr>
          <w:szCs w:val="24"/>
        </w:rPr>
        <w:t>. The use of HCFCs in most other equipment has already reduced to minimal levels.</w:t>
      </w:r>
      <w:r w:rsidR="00FF6E6E" w:rsidRPr="00334EE0">
        <w:rPr>
          <w:szCs w:val="24"/>
        </w:rPr>
        <w:t xml:space="preserve"> </w:t>
      </w:r>
    </w:p>
    <w:p w14:paraId="3CBC2E1A" w14:textId="2271BEF3" w:rsidR="007F1E99" w:rsidRPr="00334EE0" w:rsidRDefault="00496EBA" w:rsidP="00534DFC">
      <w:pPr>
        <w:pStyle w:val="ListNumber"/>
        <w:numPr>
          <w:ilvl w:val="0"/>
          <w:numId w:val="8"/>
        </w:numPr>
        <w:spacing w:after="240"/>
        <w:ind w:left="567" w:hanging="567"/>
        <w:rPr>
          <w:szCs w:val="24"/>
        </w:rPr>
      </w:pPr>
      <w:r w:rsidRPr="00334EE0">
        <w:rPr>
          <w:szCs w:val="24"/>
        </w:rPr>
        <w:t xml:space="preserve">Schedule </w:t>
      </w:r>
      <w:r w:rsidR="007F1E99" w:rsidRPr="00334EE0">
        <w:rPr>
          <w:szCs w:val="24"/>
        </w:rPr>
        <w:t xml:space="preserve">3 to the Amendment Act </w:t>
      </w:r>
      <w:r w:rsidR="006B54EE">
        <w:rPr>
          <w:szCs w:val="24"/>
        </w:rPr>
        <w:t>will amend</w:t>
      </w:r>
      <w:r w:rsidR="007F1E99" w:rsidRPr="00334EE0">
        <w:rPr>
          <w:szCs w:val="24"/>
        </w:rPr>
        <w:t xml:space="preserve"> the OPSGGM Act to</w:t>
      </w:r>
      <w:r w:rsidRPr="00334EE0">
        <w:rPr>
          <w:szCs w:val="24"/>
        </w:rPr>
        <w:t xml:space="preserve"> implement Australia’s obligations under the Montreal Protocol regarding the use of H</w:t>
      </w:r>
      <w:r w:rsidR="00346F33" w:rsidRPr="00334EE0">
        <w:rPr>
          <w:szCs w:val="24"/>
        </w:rPr>
        <w:t>CFC</w:t>
      </w:r>
      <w:r w:rsidRPr="00334EE0">
        <w:rPr>
          <w:szCs w:val="24"/>
        </w:rPr>
        <w:t>s.</w:t>
      </w:r>
      <w:r w:rsidR="007F1E99" w:rsidRPr="00334EE0">
        <w:rPr>
          <w:szCs w:val="24"/>
        </w:rPr>
        <w:t xml:space="preserve"> </w:t>
      </w:r>
      <w:r w:rsidR="00FF6E6E" w:rsidRPr="00334EE0">
        <w:rPr>
          <w:szCs w:val="24"/>
        </w:rPr>
        <w:t>Commencing</w:t>
      </w:r>
      <w:r w:rsidR="007F1E99" w:rsidRPr="00334EE0">
        <w:rPr>
          <w:szCs w:val="24"/>
        </w:rPr>
        <w:t xml:space="preserve"> on 1 January 2020</w:t>
      </w:r>
      <w:r w:rsidR="00FF6E6E" w:rsidRPr="00334EE0">
        <w:rPr>
          <w:szCs w:val="24"/>
        </w:rPr>
        <w:t xml:space="preserve">, it will introduce a ban on the use of HCFCs imported or manufactured on or after 1 January 2020. However, the prohibition will not apply if the use is for a purpose prescribed by the regulations.  </w:t>
      </w:r>
    </w:p>
    <w:p w14:paraId="1A4165ED" w14:textId="4472148B" w:rsidR="00FB669F" w:rsidRDefault="00FB669F" w:rsidP="00534DFC">
      <w:pPr>
        <w:pStyle w:val="ListNumber"/>
        <w:numPr>
          <w:ilvl w:val="0"/>
          <w:numId w:val="8"/>
        </w:numPr>
        <w:spacing w:after="240"/>
        <w:ind w:left="567" w:hanging="567"/>
        <w:rPr>
          <w:szCs w:val="24"/>
        </w:rPr>
      </w:pPr>
      <w:r>
        <w:rPr>
          <w:szCs w:val="24"/>
        </w:rPr>
        <w:t xml:space="preserve">The import and manufacture of most refrigeration and air conditioning equipment containing a HCFC has been banned in Australia </w:t>
      </w:r>
      <w:r w:rsidRPr="00DB4216">
        <w:rPr>
          <w:szCs w:val="24"/>
        </w:rPr>
        <w:t>since 2010 to</w:t>
      </w:r>
      <w:r>
        <w:rPr>
          <w:szCs w:val="24"/>
        </w:rPr>
        <w:t xml:space="preserve"> assist Australia </w:t>
      </w:r>
      <w:r w:rsidR="002607BD">
        <w:rPr>
          <w:szCs w:val="24"/>
        </w:rPr>
        <w:t xml:space="preserve">to </w:t>
      </w:r>
      <w:r>
        <w:rPr>
          <w:szCs w:val="24"/>
        </w:rPr>
        <w:t xml:space="preserve">meet its Montreal Protocol obligations to phase-out the import of HCFCs. </w:t>
      </w:r>
      <w:r w:rsidR="00DB4216">
        <w:rPr>
          <w:szCs w:val="24"/>
        </w:rPr>
        <w:t>The Regulation</w:t>
      </w:r>
      <w:r w:rsidR="006B54EE">
        <w:rPr>
          <w:szCs w:val="24"/>
        </w:rPr>
        <w:t>s</w:t>
      </w:r>
      <w:r w:rsidR="00DB4216">
        <w:rPr>
          <w:szCs w:val="24"/>
        </w:rPr>
        <w:t xml:space="preserve"> would </w:t>
      </w:r>
      <w:r w:rsidR="006B54EE">
        <w:rPr>
          <w:szCs w:val="24"/>
        </w:rPr>
        <w:t>insert</w:t>
      </w:r>
      <w:r w:rsidR="00DB4216">
        <w:rPr>
          <w:szCs w:val="24"/>
        </w:rPr>
        <w:t xml:space="preserve"> s</w:t>
      </w:r>
      <w:r>
        <w:rPr>
          <w:szCs w:val="24"/>
        </w:rPr>
        <w:t>ome time</w:t>
      </w:r>
      <w:r w:rsidR="00DB4216">
        <w:rPr>
          <w:szCs w:val="24"/>
        </w:rPr>
        <w:t>-</w:t>
      </w:r>
      <w:r>
        <w:rPr>
          <w:szCs w:val="24"/>
        </w:rPr>
        <w:t>limited exempt</w:t>
      </w:r>
      <w:r w:rsidR="00855987">
        <w:rPr>
          <w:szCs w:val="24"/>
        </w:rPr>
        <w:t>ions</w:t>
      </w:r>
      <w:r>
        <w:rPr>
          <w:szCs w:val="24"/>
        </w:rPr>
        <w:t xml:space="preserve"> in the</w:t>
      </w:r>
      <w:r w:rsidR="00DB4216">
        <w:rPr>
          <w:szCs w:val="24"/>
        </w:rPr>
        <w:t xml:space="preserve"> Principal</w:t>
      </w:r>
      <w:r>
        <w:rPr>
          <w:szCs w:val="24"/>
        </w:rPr>
        <w:t xml:space="preserve"> Regulations to allow import in specified circumstances, including where it </w:t>
      </w:r>
      <w:r w:rsidR="00DB4216">
        <w:rPr>
          <w:szCs w:val="24"/>
        </w:rPr>
        <w:t>would be</w:t>
      </w:r>
      <w:r>
        <w:rPr>
          <w:szCs w:val="24"/>
        </w:rPr>
        <w:t xml:space="preserve"> impractical to comply with a ban, </w:t>
      </w:r>
      <w:r w:rsidR="00B31D38">
        <w:rPr>
          <w:szCs w:val="24"/>
        </w:rPr>
        <w:t xml:space="preserve">and to allow </w:t>
      </w:r>
      <w:r w:rsidR="00DB4216">
        <w:rPr>
          <w:szCs w:val="24"/>
        </w:rPr>
        <w:t xml:space="preserve">the </w:t>
      </w:r>
      <w:r w:rsidR="00B31D38">
        <w:rPr>
          <w:szCs w:val="24"/>
        </w:rPr>
        <w:t>import of parts to maintain existing equipment.</w:t>
      </w:r>
    </w:p>
    <w:p w14:paraId="58DFFC9C" w14:textId="29B56CCE" w:rsidR="004302A9" w:rsidRDefault="006B54EE" w:rsidP="00534DFC">
      <w:pPr>
        <w:pStyle w:val="ListNumber"/>
        <w:numPr>
          <w:ilvl w:val="0"/>
          <w:numId w:val="8"/>
        </w:numPr>
        <w:spacing w:after="240"/>
        <w:ind w:left="567" w:hanging="567"/>
        <w:rPr>
          <w:szCs w:val="24"/>
        </w:rPr>
      </w:pPr>
      <w:r>
        <w:rPr>
          <w:szCs w:val="24"/>
        </w:rPr>
        <w:lastRenderedPageBreak/>
        <w:t>R</w:t>
      </w:r>
      <w:r w:rsidR="00B83CC9" w:rsidRPr="00B01C42">
        <w:rPr>
          <w:szCs w:val="24"/>
        </w:rPr>
        <w:t>egulation 3E (</w:t>
      </w:r>
      <w:r w:rsidR="00967D8E">
        <w:rPr>
          <w:szCs w:val="24"/>
        </w:rPr>
        <w:t>to</w:t>
      </w:r>
      <w:r w:rsidR="00B83CC9" w:rsidRPr="00B01C42">
        <w:rPr>
          <w:szCs w:val="24"/>
        </w:rPr>
        <w:t xml:space="preserve"> be </w:t>
      </w:r>
      <w:r w:rsidR="00967D8E">
        <w:rPr>
          <w:szCs w:val="24"/>
        </w:rPr>
        <w:t>inserted</w:t>
      </w:r>
      <w:r w:rsidR="00967D8E" w:rsidRPr="00B01C42">
        <w:rPr>
          <w:szCs w:val="24"/>
        </w:rPr>
        <w:t xml:space="preserve"> </w:t>
      </w:r>
      <w:r w:rsidR="00B83CC9" w:rsidRPr="00B01C42">
        <w:rPr>
          <w:szCs w:val="24"/>
        </w:rPr>
        <w:t xml:space="preserve">by Item </w:t>
      </w:r>
      <w:r w:rsidR="0038047B">
        <w:rPr>
          <w:szCs w:val="24"/>
        </w:rPr>
        <w:t>10</w:t>
      </w:r>
      <w:r w:rsidR="00B83CC9" w:rsidRPr="00B01C42">
        <w:rPr>
          <w:szCs w:val="24"/>
        </w:rPr>
        <w:t xml:space="preserve"> of Schedule 2 of</w:t>
      </w:r>
      <w:r w:rsidR="00B83CC9">
        <w:rPr>
          <w:szCs w:val="24"/>
        </w:rPr>
        <w:t xml:space="preserve"> the Regulations)</w:t>
      </w:r>
      <w:r w:rsidR="006E7AA2">
        <w:rPr>
          <w:szCs w:val="24"/>
        </w:rPr>
        <w:t>, prescribe</w:t>
      </w:r>
      <w:r>
        <w:rPr>
          <w:szCs w:val="24"/>
        </w:rPr>
        <w:t>s</w:t>
      </w:r>
      <w:r w:rsidR="006E7AA2">
        <w:rPr>
          <w:szCs w:val="24"/>
        </w:rPr>
        <w:t xml:space="preserve"> two Schedule 4 activities for the purposes of paragraph 16(6A</w:t>
      </w:r>
      <w:proofErr w:type="gramStart"/>
      <w:r w:rsidR="006E7AA2">
        <w:rPr>
          <w:szCs w:val="24"/>
        </w:rPr>
        <w:t>)(</w:t>
      </w:r>
      <w:proofErr w:type="gramEnd"/>
      <w:r w:rsidR="006E7AA2">
        <w:rPr>
          <w:szCs w:val="24"/>
        </w:rPr>
        <w:t>a)(ii)</w:t>
      </w:r>
      <w:r w:rsidR="00967D8E">
        <w:rPr>
          <w:szCs w:val="24"/>
        </w:rPr>
        <w:t xml:space="preserve">, commencing on </w:t>
      </w:r>
      <w:r w:rsidR="008532A5">
        <w:rPr>
          <w:szCs w:val="24"/>
        </w:rPr>
        <w:br/>
      </w:r>
      <w:r w:rsidR="00967D8E">
        <w:rPr>
          <w:szCs w:val="24"/>
        </w:rPr>
        <w:t xml:space="preserve">1 January 2018. </w:t>
      </w:r>
      <w:r w:rsidR="006E7AA2">
        <w:rPr>
          <w:szCs w:val="24"/>
        </w:rPr>
        <w:t>Item 3</w:t>
      </w:r>
      <w:r w:rsidR="00967D8E">
        <w:rPr>
          <w:szCs w:val="24"/>
        </w:rPr>
        <w:t xml:space="preserve"> of Schedule 3</w:t>
      </w:r>
      <w:r w:rsidR="006E7AA2">
        <w:rPr>
          <w:szCs w:val="24"/>
        </w:rPr>
        <w:t xml:space="preserve"> prescribe</w:t>
      </w:r>
      <w:r>
        <w:rPr>
          <w:szCs w:val="24"/>
        </w:rPr>
        <w:t>s</w:t>
      </w:r>
      <w:r w:rsidR="006E7AA2">
        <w:rPr>
          <w:szCs w:val="24"/>
        </w:rPr>
        <w:t xml:space="preserve"> additional activities for the purposes of paragraph 16(6A</w:t>
      </w:r>
      <w:proofErr w:type="gramStart"/>
      <w:r w:rsidR="006E7AA2">
        <w:rPr>
          <w:szCs w:val="24"/>
        </w:rPr>
        <w:t>)(</w:t>
      </w:r>
      <w:proofErr w:type="gramEnd"/>
      <w:r w:rsidR="006E7AA2">
        <w:rPr>
          <w:szCs w:val="24"/>
        </w:rPr>
        <w:t xml:space="preserve">a)(ii) in regulation 3E. </w:t>
      </w:r>
    </w:p>
    <w:p w14:paraId="1177C171" w14:textId="511A13EF" w:rsidR="004302A9" w:rsidRDefault="004302A9" w:rsidP="00534DFC">
      <w:pPr>
        <w:pStyle w:val="ListNumber"/>
        <w:numPr>
          <w:ilvl w:val="0"/>
          <w:numId w:val="8"/>
        </w:numPr>
        <w:spacing w:after="240"/>
        <w:ind w:left="567" w:hanging="567"/>
        <w:rPr>
          <w:szCs w:val="24"/>
        </w:rPr>
      </w:pPr>
      <w:r>
        <w:rPr>
          <w:szCs w:val="24"/>
        </w:rPr>
        <w:t>Sub</w:t>
      </w:r>
      <w:r w:rsidR="004455AF">
        <w:rPr>
          <w:szCs w:val="24"/>
        </w:rPr>
        <w:t>paragraph</w:t>
      </w:r>
      <w:r>
        <w:rPr>
          <w:szCs w:val="24"/>
        </w:rPr>
        <w:t xml:space="preserve"> 16(6A)</w:t>
      </w:r>
      <w:r w:rsidR="004455AF">
        <w:rPr>
          <w:szCs w:val="24"/>
        </w:rPr>
        <w:t>(a)</w:t>
      </w:r>
      <w:r>
        <w:rPr>
          <w:szCs w:val="24"/>
        </w:rPr>
        <w:t xml:space="preserve">(ii) has the effect that the Minister must not grant an equipment licence that allows a Schedule 4 activity or section 69G activity in relation to equipment unless the </w:t>
      </w:r>
      <w:r w:rsidR="004455AF">
        <w:rPr>
          <w:szCs w:val="24"/>
        </w:rPr>
        <w:t xml:space="preserve">activity is prescribed by the Principal Regulations. The prescription of the activities in regulation 3E in the Principal Regulations would allow </w:t>
      </w:r>
      <w:r w:rsidR="00E13682">
        <w:rPr>
          <w:szCs w:val="24"/>
        </w:rPr>
        <w:t xml:space="preserve">the Minister to grant equipment licences that allow these activities in relation to equipment. </w:t>
      </w:r>
    </w:p>
    <w:p w14:paraId="3CC8F7A7" w14:textId="5A5E9B55" w:rsidR="00AC2263" w:rsidRPr="006E7AA2" w:rsidRDefault="00E13682" w:rsidP="00534DFC">
      <w:pPr>
        <w:pStyle w:val="ListNumber"/>
        <w:numPr>
          <w:ilvl w:val="0"/>
          <w:numId w:val="8"/>
        </w:numPr>
        <w:spacing w:after="240"/>
        <w:ind w:left="567" w:hanging="567"/>
        <w:rPr>
          <w:szCs w:val="24"/>
        </w:rPr>
      </w:pPr>
      <w:r>
        <w:rPr>
          <w:szCs w:val="24"/>
        </w:rPr>
        <w:t>I</w:t>
      </w:r>
      <w:r w:rsidR="006E7AA2">
        <w:rPr>
          <w:szCs w:val="24"/>
        </w:rPr>
        <w:t>tem 1 insert</w:t>
      </w:r>
      <w:r w:rsidR="006B54EE">
        <w:rPr>
          <w:szCs w:val="24"/>
        </w:rPr>
        <w:t>s</w:t>
      </w:r>
      <w:r w:rsidR="006E7AA2">
        <w:rPr>
          <w:szCs w:val="24"/>
        </w:rPr>
        <w:t xml:space="preserve"> a definition of the term </w:t>
      </w:r>
      <w:r w:rsidR="006E7AA2" w:rsidRPr="00334EE0">
        <w:rPr>
          <w:szCs w:val="24"/>
        </w:rPr>
        <w:t>replacement part</w:t>
      </w:r>
      <w:r w:rsidR="006E7AA2">
        <w:rPr>
          <w:szCs w:val="24"/>
        </w:rPr>
        <w:t xml:space="preserve"> </w:t>
      </w:r>
      <w:r w:rsidR="00AC2263">
        <w:rPr>
          <w:szCs w:val="24"/>
        </w:rPr>
        <w:t xml:space="preserve">into regulation 2. It </w:t>
      </w:r>
      <w:r w:rsidR="006B54EE">
        <w:rPr>
          <w:szCs w:val="24"/>
        </w:rPr>
        <w:t>is</w:t>
      </w:r>
      <w:r w:rsidR="00AC2263">
        <w:rPr>
          <w:szCs w:val="24"/>
        </w:rPr>
        <w:t xml:space="preserve"> defined as excluding a complete, or substantially complete, indoor or outdoor unit of a split system air conditioning unit. </w:t>
      </w:r>
      <w:r w:rsidR="00967D8E">
        <w:rPr>
          <w:szCs w:val="24"/>
        </w:rPr>
        <w:t>Without t</w:t>
      </w:r>
      <w:r w:rsidR="00B31D38">
        <w:rPr>
          <w:szCs w:val="24"/>
        </w:rPr>
        <w:t>his definition</w:t>
      </w:r>
      <w:r w:rsidR="00967D8E">
        <w:rPr>
          <w:szCs w:val="24"/>
        </w:rPr>
        <w:t>,</w:t>
      </w:r>
      <w:r w:rsidR="00DB4216">
        <w:rPr>
          <w:szCs w:val="24"/>
        </w:rPr>
        <w:t xml:space="preserve"> </w:t>
      </w:r>
      <w:r w:rsidR="00B31D38">
        <w:rPr>
          <w:szCs w:val="24"/>
        </w:rPr>
        <w:t xml:space="preserve">the </w:t>
      </w:r>
      <w:r>
        <w:rPr>
          <w:szCs w:val="24"/>
        </w:rPr>
        <w:t>prescription of</w:t>
      </w:r>
      <w:r w:rsidR="00B31D38">
        <w:rPr>
          <w:szCs w:val="24"/>
        </w:rPr>
        <w:t xml:space="preserve"> </w:t>
      </w:r>
      <w:r>
        <w:rPr>
          <w:szCs w:val="24"/>
        </w:rPr>
        <w:t xml:space="preserve">importing replacement parts for existing refrigeration or HCFC refrigeration or air conditioning equipment in regulation 3E </w:t>
      </w:r>
      <w:r w:rsidR="00B31D38">
        <w:rPr>
          <w:szCs w:val="24"/>
        </w:rPr>
        <w:t xml:space="preserve">could be used to </w:t>
      </w:r>
      <w:r w:rsidR="00DB4216">
        <w:rPr>
          <w:szCs w:val="24"/>
        </w:rPr>
        <w:t xml:space="preserve">import equipment in its component parts that could easily be reassembled into a complete piece of equipment after it had been imported. For example, separately importing </w:t>
      </w:r>
      <w:r w:rsidR="00B31D38">
        <w:rPr>
          <w:szCs w:val="24"/>
        </w:rPr>
        <w:t xml:space="preserve">the indoor and outdoor units of a split system air conditioner </w:t>
      </w:r>
      <w:r w:rsidR="00DB4216">
        <w:rPr>
          <w:szCs w:val="24"/>
        </w:rPr>
        <w:t xml:space="preserve">as replacement parts, then connecting them after import to form a complete air conditioning unit. </w:t>
      </w:r>
    </w:p>
    <w:p w14:paraId="76D7AC73" w14:textId="51AE9E89" w:rsidR="00BE5B45" w:rsidRPr="007524D2" w:rsidRDefault="00FF6E6E" w:rsidP="00534DFC">
      <w:pPr>
        <w:pStyle w:val="ListNumber"/>
        <w:numPr>
          <w:ilvl w:val="0"/>
          <w:numId w:val="8"/>
        </w:numPr>
        <w:spacing w:after="240"/>
        <w:ind w:left="567" w:hanging="567"/>
        <w:rPr>
          <w:szCs w:val="24"/>
        </w:rPr>
      </w:pPr>
      <w:r>
        <w:rPr>
          <w:szCs w:val="24"/>
        </w:rPr>
        <w:t xml:space="preserve">Items 2, 4, 5, </w:t>
      </w:r>
      <w:r w:rsidR="0038047B">
        <w:rPr>
          <w:szCs w:val="24"/>
        </w:rPr>
        <w:t>6</w:t>
      </w:r>
      <w:r>
        <w:rPr>
          <w:szCs w:val="24"/>
        </w:rPr>
        <w:t xml:space="preserve">, and </w:t>
      </w:r>
      <w:r w:rsidR="0038047B">
        <w:rPr>
          <w:szCs w:val="24"/>
        </w:rPr>
        <w:t>7</w:t>
      </w:r>
      <w:r>
        <w:rPr>
          <w:szCs w:val="24"/>
        </w:rPr>
        <w:t xml:space="preserve"> </w:t>
      </w:r>
      <w:r w:rsidR="006B54EE">
        <w:rPr>
          <w:szCs w:val="24"/>
        </w:rPr>
        <w:t>are</w:t>
      </w:r>
      <w:r>
        <w:rPr>
          <w:szCs w:val="24"/>
        </w:rPr>
        <w:t xml:space="preserve"> consequential amendments necessitated by the ban on the use of HCFCs imported or manufactured after 1 January 2020</w:t>
      </w:r>
      <w:r w:rsidR="00D37D3D">
        <w:rPr>
          <w:szCs w:val="24"/>
        </w:rPr>
        <w:t>.</w:t>
      </w:r>
      <w:r w:rsidR="00DB4216">
        <w:rPr>
          <w:szCs w:val="24"/>
        </w:rPr>
        <w:t xml:space="preserve"> </w:t>
      </w:r>
    </w:p>
    <w:sectPr w:rsidR="00BE5B45" w:rsidRPr="007524D2" w:rsidSect="00FA4CF0">
      <w:footerReference w:type="default" r:id="rId7"/>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608EF" w14:textId="77777777" w:rsidR="00F40B3F" w:rsidRDefault="00F40B3F" w:rsidP="00A60185">
      <w:r>
        <w:separator/>
      </w:r>
    </w:p>
  </w:endnote>
  <w:endnote w:type="continuationSeparator" w:id="0">
    <w:p w14:paraId="7C568301" w14:textId="77777777" w:rsidR="00F40B3F" w:rsidRDefault="00F40B3F"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1FBB03A2" w14:textId="2556D682" w:rsidR="00F40B3F" w:rsidRDefault="00F40B3F">
        <w:pPr>
          <w:pStyle w:val="Footer"/>
          <w:jc w:val="center"/>
        </w:pPr>
        <w:r w:rsidRPr="00507CB8">
          <w:rPr>
            <w:rFonts w:ascii="Times New Roman" w:hAnsi="Times New Roman"/>
            <w:sz w:val="24"/>
            <w:szCs w:val="24"/>
          </w:rPr>
          <w:fldChar w:fldCharType="begin"/>
        </w:r>
        <w:r w:rsidRPr="00507CB8">
          <w:rPr>
            <w:rFonts w:ascii="Times New Roman" w:hAnsi="Times New Roman"/>
            <w:sz w:val="24"/>
            <w:szCs w:val="24"/>
          </w:rPr>
          <w:instrText xml:space="preserve"> PAGE   \* MERGEFORMAT </w:instrText>
        </w:r>
        <w:r w:rsidRPr="00507CB8">
          <w:rPr>
            <w:rFonts w:ascii="Times New Roman" w:hAnsi="Times New Roman"/>
            <w:sz w:val="24"/>
            <w:szCs w:val="24"/>
          </w:rPr>
          <w:fldChar w:fldCharType="separate"/>
        </w:r>
        <w:r w:rsidR="00CD7BEC">
          <w:rPr>
            <w:rFonts w:ascii="Times New Roman" w:hAnsi="Times New Roman"/>
            <w:noProof/>
            <w:sz w:val="24"/>
            <w:szCs w:val="24"/>
          </w:rPr>
          <w:t>21</w:t>
        </w:r>
        <w:r w:rsidRPr="00507CB8">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E0288" w14:textId="77777777" w:rsidR="00F40B3F" w:rsidRDefault="00F40B3F" w:rsidP="00A60185">
      <w:r>
        <w:separator/>
      </w:r>
    </w:p>
  </w:footnote>
  <w:footnote w:type="continuationSeparator" w:id="0">
    <w:p w14:paraId="6E353650" w14:textId="77777777" w:rsidR="00F40B3F" w:rsidRDefault="00F40B3F" w:rsidP="00A60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4DF21A5"/>
    <w:multiLevelType w:val="hybridMultilevel"/>
    <w:tmpl w:val="60145B3A"/>
    <w:lvl w:ilvl="0" w:tplc="223CC914">
      <w:start w:val="1"/>
      <w:numFmt w:val="lowerLetter"/>
      <w:lvlText w:val="(%1)"/>
      <w:lvlJc w:val="left"/>
      <w:pPr>
        <w:ind w:left="360" w:hanging="360"/>
      </w:pPr>
      <w:rPr>
        <w:rFonts w:ascii="Times New Roman" w:hAnsi="Times New Roman" w:cs="Times New Roman"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18694E"/>
    <w:multiLevelType w:val="multilevel"/>
    <w:tmpl w:val="4526169A"/>
    <w:lvl w:ilvl="0">
      <w:start w:val="1"/>
      <w:numFmt w:val="decimal"/>
      <w:lvlText w:val="%1."/>
      <w:lvlJc w:val="left"/>
      <w:pPr>
        <w:ind w:left="369" w:hanging="369"/>
      </w:pPr>
      <w:rPr>
        <w:rFonts w:ascii="Times New Roman" w:hAnsi="Times New Roman" w:hint="default"/>
        <w:b w:val="0"/>
        <w:i w:val="0"/>
        <w:sz w:val="24"/>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456429"/>
    <w:multiLevelType w:val="multilevel"/>
    <w:tmpl w:val="0456C774"/>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7" w15:restartNumberingAfterBreak="0">
    <w:nsid w:val="72BF512B"/>
    <w:multiLevelType w:val="hybridMultilevel"/>
    <w:tmpl w:val="60145B3A"/>
    <w:lvl w:ilvl="0" w:tplc="223CC914">
      <w:start w:val="1"/>
      <w:numFmt w:val="lowerLetter"/>
      <w:lvlText w:val="(%1)"/>
      <w:lvlJc w:val="left"/>
      <w:pPr>
        <w:ind w:left="360" w:hanging="360"/>
      </w:pPr>
      <w:rPr>
        <w:rFonts w:ascii="Times New Roman" w:hAnsi="Times New Roman" w:cs="Times New Roman"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8"/>
  </w:num>
  <w:num w:numId="2">
    <w:abstractNumId w:val="0"/>
  </w:num>
  <w:num w:numId="3">
    <w:abstractNumId w:val="5"/>
  </w:num>
  <w:num w:numId="4">
    <w:abstractNumId w:val="4"/>
  </w:num>
  <w:num w:numId="5">
    <w:abstractNumId w:val="6"/>
  </w:num>
  <w:num w:numId="6">
    <w:abstractNumId w:val="3"/>
    <w:lvlOverride w:ilvl="0">
      <w:lvl w:ilvl="0">
        <w:start w:val="1"/>
        <w:numFmt w:val="bullet"/>
        <w:pStyle w:val="ListBullet"/>
        <w:lvlText w:val=""/>
        <w:lvlJc w:val="left"/>
        <w:pPr>
          <w:ind w:left="369" w:hanging="369"/>
        </w:pPr>
        <w:rPr>
          <w:rFonts w:ascii="Symbol" w:hAnsi="Symbol" w:hint="default"/>
        </w:rPr>
      </w:lvl>
    </w:lvlOverride>
  </w:num>
  <w:num w:numId="7">
    <w:abstractNumId w:val="7"/>
  </w:num>
  <w:num w:numId="8">
    <w:abstractNumId w:val="2"/>
  </w:num>
  <w:num w:numId="9">
    <w:abstractNumId w:val="4"/>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77"/>
    <w:rsid w:val="00004485"/>
    <w:rsid w:val="00004AEE"/>
    <w:rsid w:val="00005CAA"/>
    <w:rsid w:val="00010210"/>
    <w:rsid w:val="000118CA"/>
    <w:rsid w:val="00011E6B"/>
    <w:rsid w:val="00012D66"/>
    <w:rsid w:val="00013BE4"/>
    <w:rsid w:val="000140DF"/>
    <w:rsid w:val="00015344"/>
    <w:rsid w:val="00015ADA"/>
    <w:rsid w:val="00016E1A"/>
    <w:rsid w:val="000177E2"/>
    <w:rsid w:val="000208CE"/>
    <w:rsid w:val="00020C99"/>
    <w:rsid w:val="00021864"/>
    <w:rsid w:val="0002707B"/>
    <w:rsid w:val="00027550"/>
    <w:rsid w:val="00030BCF"/>
    <w:rsid w:val="00030D2B"/>
    <w:rsid w:val="000311D7"/>
    <w:rsid w:val="000320B2"/>
    <w:rsid w:val="00032392"/>
    <w:rsid w:val="0003302D"/>
    <w:rsid w:val="000334CD"/>
    <w:rsid w:val="00040283"/>
    <w:rsid w:val="00040864"/>
    <w:rsid w:val="0005148E"/>
    <w:rsid w:val="00052731"/>
    <w:rsid w:val="000528DC"/>
    <w:rsid w:val="0005343C"/>
    <w:rsid w:val="000537C5"/>
    <w:rsid w:val="00053B64"/>
    <w:rsid w:val="000577FA"/>
    <w:rsid w:val="00063894"/>
    <w:rsid w:val="00064B1B"/>
    <w:rsid w:val="00066CA4"/>
    <w:rsid w:val="00072C5A"/>
    <w:rsid w:val="000738A6"/>
    <w:rsid w:val="00073DC4"/>
    <w:rsid w:val="00074425"/>
    <w:rsid w:val="00074DC6"/>
    <w:rsid w:val="000759E5"/>
    <w:rsid w:val="00075D05"/>
    <w:rsid w:val="0007697C"/>
    <w:rsid w:val="00076CC3"/>
    <w:rsid w:val="00077DC2"/>
    <w:rsid w:val="0008393C"/>
    <w:rsid w:val="00084AC6"/>
    <w:rsid w:val="00085323"/>
    <w:rsid w:val="00086390"/>
    <w:rsid w:val="000868B8"/>
    <w:rsid w:val="00090F9E"/>
    <w:rsid w:val="00091608"/>
    <w:rsid w:val="0009333C"/>
    <w:rsid w:val="000936FC"/>
    <w:rsid w:val="00094063"/>
    <w:rsid w:val="00094619"/>
    <w:rsid w:val="0009704F"/>
    <w:rsid w:val="00097CED"/>
    <w:rsid w:val="00097E42"/>
    <w:rsid w:val="000A0F11"/>
    <w:rsid w:val="000A125A"/>
    <w:rsid w:val="000A1519"/>
    <w:rsid w:val="000A57CD"/>
    <w:rsid w:val="000A78C2"/>
    <w:rsid w:val="000B23B3"/>
    <w:rsid w:val="000B3272"/>
    <w:rsid w:val="000B3758"/>
    <w:rsid w:val="000B4CBA"/>
    <w:rsid w:val="000B7681"/>
    <w:rsid w:val="000B7B42"/>
    <w:rsid w:val="000C02B7"/>
    <w:rsid w:val="000C02D7"/>
    <w:rsid w:val="000C4E17"/>
    <w:rsid w:val="000C5100"/>
    <w:rsid w:val="000C5342"/>
    <w:rsid w:val="000C706A"/>
    <w:rsid w:val="000D1163"/>
    <w:rsid w:val="000D2887"/>
    <w:rsid w:val="000D2A3B"/>
    <w:rsid w:val="000D5DE1"/>
    <w:rsid w:val="000D6D63"/>
    <w:rsid w:val="000D761A"/>
    <w:rsid w:val="000E0081"/>
    <w:rsid w:val="000E07CF"/>
    <w:rsid w:val="000E15BE"/>
    <w:rsid w:val="000E27EE"/>
    <w:rsid w:val="000E296C"/>
    <w:rsid w:val="000E31C1"/>
    <w:rsid w:val="000E7D9B"/>
    <w:rsid w:val="000F0D34"/>
    <w:rsid w:val="000F0EAD"/>
    <w:rsid w:val="000F1E0F"/>
    <w:rsid w:val="000F2CF2"/>
    <w:rsid w:val="000F3DEC"/>
    <w:rsid w:val="000F793F"/>
    <w:rsid w:val="00100BD1"/>
    <w:rsid w:val="00100BEF"/>
    <w:rsid w:val="001029B8"/>
    <w:rsid w:val="0010375E"/>
    <w:rsid w:val="00111326"/>
    <w:rsid w:val="00113ECE"/>
    <w:rsid w:val="0011498E"/>
    <w:rsid w:val="00115E67"/>
    <w:rsid w:val="001162DC"/>
    <w:rsid w:val="00117996"/>
    <w:rsid w:val="00117A45"/>
    <w:rsid w:val="00121081"/>
    <w:rsid w:val="001224AE"/>
    <w:rsid w:val="001247AC"/>
    <w:rsid w:val="00132576"/>
    <w:rsid w:val="00133226"/>
    <w:rsid w:val="001337D4"/>
    <w:rsid w:val="0013517E"/>
    <w:rsid w:val="00135D9D"/>
    <w:rsid w:val="00137725"/>
    <w:rsid w:val="001445EA"/>
    <w:rsid w:val="00144677"/>
    <w:rsid w:val="00144A70"/>
    <w:rsid w:val="00146954"/>
    <w:rsid w:val="00147C12"/>
    <w:rsid w:val="00151FA3"/>
    <w:rsid w:val="001527A1"/>
    <w:rsid w:val="001530DC"/>
    <w:rsid w:val="0015345A"/>
    <w:rsid w:val="00154989"/>
    <w:rsid w:val="00155A9F"/>
    <w:rsid w:val="00160262"/>
    <w:rsid w:val="001627F1"/>
    <w:rsid w:val="00164914"/>
    <w:rsid w:val="00165D04"/>
    <w:rsid w:val="0016780A"/>
    <w:rsid w:val="00170800"/>
    <w:rsid w:val="001713FA"/>
    <w:rsid w:val="00173EBF"/>
    <w:rsid w:val="001747BF"/>
    <w:rsid w:val="00174F9D"/>
    <w:rsid w:val="00175890"/>
    <w:rsid w:val="00175ED3"/>
    <w:rsid w:val="001813B9"/>
    <w:rsid w:val="0018152C"/>
    <w:rsid w:val="001842A2"/>
    <w:rsid w:val="001849B8"/>
    <w:rsid w:val="00184E40"/>
    <w:rsid w:val="001864B1"/>
    <w:rsid w:val="00187FA8"/>
    <w:rsid w:val="001907FF"/>
    <w:rsid w:val="00192BFE"/>
    <w:rsid w:val="00192F5E"/>
    <w:rsid w:val="00194F36"/>
    <w:rsid w:val="00195825"/>
    <w:rsid w:val="00197472"/>
    <w:rsid w:val="00197772"/>
    <w:rsid w:val="001A3A78"/>
    <w:rsid w:val="001A4B71"/>
    <w:rsid w:val="001A51C8"/>
    <w:rsid w:val="001A6BB4"/>
    <w:rsid w:val="001A7331"/>
    <w:rsid w:val="001A7ED3"/>
    <w:rsid w:val="001B4CA8"/>
    <w:rsid w:val="001B5668"/>
    <w:rsid w:val="001B5E10"/>
    <w:rsid w:val="001B5EA1"/>
    <w:rsid w:val="001C4331"/>
    <w:rsid w:val="001C4F3D"/>
    <w:rsid w:val="001C75FB"/>
    <w:rsid w:val="001C776A"/>
    <w:rsid w:val="001D0C15"/>
    <w:rsid w:val="001D0CDC"/>
    <w:rsid w:val="001D1D82"/>
    <w:rsid w:val="001D28E7"/>
    <w:rsid w:val="001D43E7"/>
    <w:rsid w:val="001D73E8"/>
    <w:rsid w:val="001E1182"/>
    <w:rsid w:val="001E3806"/>
    <w:rsid w:val="001E3AFE"/>
    <w:rsid w:val="001E41BF"/>
    <w:rsid w:val="001F04D8"/>
    <w:rsid w:val="001F1431"/>
    <w:rsid w:val="001F23C8"/>
    <w:rsid w:val="00202C90"/>
    <w:rsid w:val="00203FFB"/>
    <w:rsid w:val="00204D77"/>
    <w:rsid w:val="0021358B"/>
    <w:rsid w:val="00213DE8"/>
    <w:rsid w:val="00213F73"/>
    <w:rsid w:val="00216118"/>
    <w:rsid w:val="002164A1"/>
    <w:rsid w:val="00216DEE"/>
    <w:rsid w:val="002209AB"/>
    <w:rsid w:val="0022287A"/>
    <w:rsid w:val="00224959"/>
    <w:rsid w:val="00225158"/>
    <w:rsid w:val="002251E3"/>
    <w:rsid w:val="002257C1"/>
    <w:rsid w:val="00225F43"/>
    <w:rsid w:val="00226B6F"/>
    <w:rsid w:val="00227A95"/>
    <w:rsid w:val="00230B53"/>
    <w:rsid w:val="002316BD"/>
    <w:rsid w:val="00242A68"/>
    <w:rsid w:val="002473FC"/>
    <w:rsid w:val="00250DCF"/>
    <w:rsid w:val="002526CB"/>
    <w:rsid w:val="00252D58"/>
    <w:rsid w:val="00252E3C"/>
    <w:rsid w:val="00252F21"/>
    <w:rsid w:val="00255CBB"/>
    <w:rsid w:val="00260296"/>
    <w:rsid w:val="002607BD"/>
    <w:rsid w:val="00260D92"/>
    <w:rsid w:val="00261B10"/>
    <w:rsid w:val="00262198"/>
    <w:rsid w:val="00262B77"/>
    <w:rsid w:val="00262E30"/>
    <w:rsid w:val="00272970"/>
    <w:rsid w:val="00273559"/>
    <w:rsid w:val="00275F8F"/>
    <w:rsid w:val="00276F34"/>
    <w:rsid w:val="00283DE0"/>
    <w:rsid w:val="0028554F"/>
    <w:rsid w:val="00285832"/>
    <w:rsid w:val="00285857"/>
    <w:rsid w:val="00285F1B"/>
    <w:rsid w:val="00287CA6"/>
    <w:rsid w:val="00291A87"/>
    <w:rsid w:val="00292B81"/>
    <w:rsid w:val="00295B42"/>
    <w:rsid w:val="002A17D6"/>
    <w:rsid w:val="002A46C9"/>
    <w:rsid w:val="002A4D0A"/>
    <w:rsid w:val="002A55B4"/>
    <w:rsid w:val="002A7013"/>
    <w:rsid w:val="002B0661"/>
    <w:rsid w:val="002B18AE"/>
    <w:rsid w:val="002B224B"/>
    <w:rsid w:val="002B687A"/>
    <w:rsid w:val="002C1968"/>
    <w:rsid w:val="002C1C93"/>
    <w:rsid w:val="002C5066"/>
    <w:rsid w:val="002C5813"/>
    <w:rsid w:val="002C7AB8"/>
    <w:rsid w:val="002D0EA8"/>
    <w:rsid w:val="002D36A7"/>
    <w:rsid w:val="002D407D"/>
    <w:rsid w:val="002D499A"/>
    <w:rsid w:val="002D4AAC"/>
    <w:rsid w:val="002D5098"/>
    <w:rsid w:val="002D76B5"/>
    <w:rsid w:val="002D78D3"/>
    <w:rsid w:val="002E108B"/>
    <w:rsid w:val="002E11D2"/>
    <w:rsid w:val="002E1FD8"/>
    <w:rsid w:val="002E5249"/>
    <w:rsid w:val="002E5777"/>
    <w:rsid w:val="002E5EC0"/>
    <w:rsid w:val="002E7C87"/>
    <w:rsid w:val="002E7FF3"/>
    <w:rsid w:val="002F045A"/>
    <w:rsid w:val="002F3190"/>
    <w:rsid w:val="002F3BBC"/>
    <w:rsid w:val="002F3C9A"/>
    <w:rsid w:val="002F5DD1"/>
    <w:rsid w:val="002F78A2"/>
    <w:rsid w:val="0030003C"/>
    <w:rsid w:val="0030039D"/>
    <w:rsid w:val="00300F63"/>
    <w:rsid w:val="00303120"/>
    <w:rsid w:val="00303143"/>
    <w:rsid w:val="0030326F"/>
    <w:rsid w:val="003041AA"/>
    <w:rsid w:val="00305388"/>
    <w:rsid w:val="00305FC2"/>
    <w:rsid w:val="00306305"/>
    <w:rsid w:val="00310701"/>
    <w:rsid w:val="00310C8A"/>
    <w:rsid w:val="003140B5"/>
    <w:rsid w:val="00315980"/>
    <w:rsid w:val="00316F7F"/>
    <w:rsid w:val="003218E8"/>
    <w:rsid w:val="00322407"/>
    <w:rsid w:val="00322479"/>
    <w:rsid w:val="003238C7"/>
    <w:rsid w:val="003245E4"/>
    <w:rsid w:val="00325E34"/>
    <w:rsid w:val="00330DCE"/>
    <w:rsid w:val="00331E11"/>
    <w:rsid w:val="00334761"/>
    <w:rsid w:val="00334EE0"/>
    <w:rsid w:val="00337EBC"/>
    <w:rsid w:val="00341DCD"/>
    <w:rsid w:val="00343D0B"/>
    <w:rsid w:val="0034563E"/>
    <w:rsid w:val="0034623C"/>
    <w:rsid w:val="00346F33"/>
    <w:rsid w:val="00346F48"/>
    <w:rsid w:val="003518D2"/>
    <w:rsid w:val="003518D6"/>
    <w:rsid w:val="00352255"/>
    <w:rsid w:val="0035460C"/>
    <w:rsid w:val="003556BD"/>
    <w:rsid w:val="00357CA8"/>
    <w:rsid w:val="00365147"/>
    <w:rsid w:val="00366AC1"/>
    <w:rsid w:val="003672A5"/>
    <w:rsid w:val="0037016E"/>
    <w:rsid w:val="00371672"/>
    <w:rsid w:val="00371D54"/>
    <w:rsid w:val="00372754"/>
    <w:rsid w:val="00372908"/>
    <w:rsid w:val="00372E18"/>
    <w:rsid w:val="00373868"/>
    <w:rsid w:val="0037770C"/>
    <w:rsid w:val="0038047B"/>
    <w:rsid w:val="00382902"/>
    <w:rsid w:val="00382BB8"/>
    <w:rsid w:val="00383020"/>
    <w:rsid w:val="00383801"/>
    <w:rsid w:val="00384032"/>
    <w:rsid w:val="003840AB"/>
    <w:rsid w:val="00384304"/>
    <w:rsid w:val="00386AA2"/>
    <w:rsid w:val="00394D7E"/>
    <w:rsid w:val="003973AC"/>
    <w:rsid w:val="003975FD"/>
    <w:rsid w:val="003A018E"/>
    <w:rsid w:val="003A60C4"/>
    <w:rsid w:val="003A775A"/>
    <w:rsid w:val="003B057D"/>
    <w:rsid w:val="003B09D4"/>
    <w:rsid w:val="003B1D76"/>
    <w:rsid w:val="003B60CC"/>
    <w:rsid w:val="003B6945"/>
    <w:rsid w:val="003C10D3"/>
    <w:rsid w:val="003C1280"/>
    <w:rsid w:val="003C1B25"/>
    <w:rsid w:val="003C2443"/>
    <w:rsid w:val="003C326A"/>
    <w:rsid w:val="003C5DA3"/>
    <w:rsid w:val="003D2AD9"/>
    <w:rsid w:val="003D460B"/>
    <w:rsid w:val="003D4BCD"/>
    <w:rsid w:val="003D6C2B"/>
    <w:rsid w:val="003E01D8"/>
    <w:rsid w:val="003E0452"/>
    <w:rsid w:val="003E0FD4"/>
    <w:rsid w:val="003E2100"/>
    <w:rsid w:val="003E21C9"/>
    <w:rsid w:val="003E56DD"/>
    <w:rsid w:val="003F6F5B"/>
    <w:rsid w:val="00400F4D"/>
    <w:rsid w:val="004023DA"/>
    <w:rsid w:val="00402FCE"/>
    <w:rsid w:val="004030A7"/>
    <w:rsid w:val="0040342D"/>
    <w:rsid w:val="00411571"/>
    <w:rsid w:val="0041192D"/>
    <w:rsid w:val="00411E9C"/>
    <w:rsid w:val="00413EE1"/>
    <w:rsid w:val="0042128E"/>
    <w:rsid w:val="00426415"/>
    <w:rsid w:val="00426F88"/>
    <w:rsid w:val="00430240"/>
    <w:rsid w:val="004302A9"/>
    <w:rsid w:val="00432B60"/>
    <w:rsid w:val="00437287"/>
    <w:rsid w:val="004403B2"/>
    <w:rsid w:val="00440698"/>
    <w:rsid w:val="0044116E"/>
    <w:rsid w:val="00442A95"/>
    <w:rsid w:val="004455AF"/>
    <w:rsid w:val="00450634"/>
    <w:rsid w:val="004540E2"/>
    <w:rsid w:val="00454454"/>
    <w:rsid w:val="004561EE"/>
    <w:rsid w:val="00461201"/>
    <w:rsid w:val="0046345D"/>
    <w:rsid w:val="00467735"/>
    <w:rsid w:val="00467924"/>
    <w:rsid w:val="004701E6"/>
    <w:rsid w:val="004712A5"/>
    <w:rsid w:val="00471658"/>
    <w:rsid w:val="0047266F"/>
    <w:rsid w:val="00472EF0"/>
    <w:rsid w:val="00473C45"/>
    <w:rsid w:val="00475DB6"/>
    <w:rsid w:val="00476D6B"/>
    <w:rsid w:val="004776E5"/>
    <w:rsid w:val="00480C94"/>
    <w:rsid w:val="00480D0A"/>
    <w:rsid w:val="00481FE5"/>
    <w:rsid w:val="00487C17"/>
    <w:rsid w:val="00491694"/>
    <w:rsid w:val="00491C88"/>
    <w:rsid w:val="00492C16"/>
    <w:rsid w:val="00493305"/>
    <w:rsid w:val="0049353C"/>
    <w:rsid w:val="00496EBA"/>
    <w:rsid w:val="00497CBF"/>
    <w:rsid w:val="004A0678"/>
    <w:rsid w:val="004A48A3"/>
    <w:rsid w:val="004B0D92"/>
    <w:rsid w:val="004B0EC0"/>
    <w:rsid w:val="004B33A7"/>
    <w:rsid w:val="004B66F1"/>
    <w:rsid w:val="004B67E8"/>
    <w:rsid w:val="004C2066"/>
    <w:rsid w:val="004C3C88"/>
    <w:rsid w:val="004C3EA0"/>
    <w:rsid w:val="004C66D4"/>
    <w:rsid w:val="004C739F"/>
    <w:rsid w:val="004D00DC"/>
    <w:rsid w:val="004D1F02"/>
    <w:rsid w:val="004D5C3C"/>
    <w:rsid w:val="004E3A26"/>
    <w:rsid w:val="004E6B6B"/>
    <w:rsid w:val="004E7370"/>
    <w:rsid w:val="004E7BE3"/>
    <w:rsid w:val="004F04C6"/>
    <w:rsid w:val="004F3EAC"/>
    <w:rsid w:val="004F42E6"/>
    <w:rsid w:val="004F5427"/>
    <w:rsid w:val="004F6301"/>
    <w:rsid w:val="004F7169"/>
    <w:rsid w:val="00500D66"/>
    <w:rsid w:val="00507CB8"/>
    <w:rsid w:val="00511BC0"/>
    <w:rsid w:val="00513DB2"/>
    <w:rsid w:val="0051464B"/>
    <w:rsid w:val="00514C88"/>
    <w:rsid w:val="00514C8E"/>
    <w:rsid w:val="00523171"/>
    <w:rsid w:val="005257B7"/>
    <w:rsid w:val="005260AF"/>
    <w:rsid w:val="00527C82"/>
    <w:rsid w:val="00531DBF"/>
    <w:rsid w:val="00534DFC"/>
    <w:rsid w:val="0053552C"/>
    <w:rsid w:val="00535A98"/>
    <w:rsid w:val="00536EF9"/>
    <w:rsid w:val="00537CD2"/>
    <w:rsid w:val="005431DB"/>
    <w:rsid w:val="00543395"/>
    <w:rsid w:val="00543420"/>
    <w:rsid w:val="00545759"/>
    <w:rsid w:val="00545BE0"/>
    <w:rsid w:val="00546930"/>
    <w:rsid w:val="00547887"/>
    <w:rsid w:val="00547E3E"/>
    <w:rsid w:val="00550B91"/>
    <w:rsid w:val="00550E02"/>
    <w:rsid w:val="00551E0E"/>
    <w:rsid w:val="005535E1"/>
    <w:rsid w:val="00554C6A"/>
    <w:rsid w:val="00555F73"/>
    <w:rsid w:val="0056168A"/>
    <w:rsid w:val="00562282"/>
    <w:rsid w:val="00562312"/>
    <w:rsid w:val="0056287E"/>
    <w:rsid w:val="00562E85"/>
    <w:rsid w:val="0056332F"/>
    <w:rsid w:val="00563BCA"/>
    <w:rsid w:val="005661AD"/>
    <w:rsid w:val="00567C54"/>
    <w:rsid w:val="005719B3"/>
    <w:rsid w:val="0057295E"/>
    <w:rsid w:val="00572C4D"/>
    <w:rsid w:val="0057368D"/>
    <w:rsid w:val="00576432"/>
    <w:rsid w:val="00577B25"/>
    <w:rsid w:val="00581C39"/>
    <w:rsid w:val="00582E26"/>
    <w:rsid w:val="005830A6"/>
    <w:rsid w:val="005861F5"/>
    <w:rsid w:val="0058784B"/>
    <w:rsid w:val="005902FA"/>
    <w:rsid w:val="005903B6"/>
    <w:rsid w:val="0059677A"/>
    <w:rsid w:val="005A0247"/>
    <w:rsid w:val="005A0CE8"/>
    <w:rsid w:val="005A126E"/>
    <w:rsid w:val="005A1CFB"/>
    <w:rsid w:val="005A452F"/>
    <w:rsid w:val="005A4DB4"/>
    <w:rsid w:val="005B140D"/>
    <w:rsid w:val="005B3AEF"/>
    <w:rsid w:val="005B69C4"/>
    <w:rsid w:val="005B6A4B"/>
    <w:rsid w:val="005B6AFC"/>
    <w:rsid w:val="005C1FEA"/>
    <w:rsid w:val="005C3495"/>
    <w:rsid w:val="005D167C"/>
    <w:rsid w:val="005E3DFC"/>
    <w:rsid w:val="005E5942"/>
    <w:rsid w:val="005E60AF"/>
    <w:rsid w:val="005E7CE5"/>
    <w:rsid w:val="005F115B"/>
    <w:rsid w:val="005F1DEA"/>
    <w:rsid w:val="005F2055"/>
    <w:rsid w:val="005F2339"/>
    <w:rsid w:val="005F2705"/>
    <w:rsid w:val="005F3517"/>
    <w:rsid w:val="005F7A66"/>
    <w:rsid w:val="0060156E"/>
    <w:rsid w:val="00607FC9"/>
    <w:rsid w:val="00621BF2"/>
    <w:rsid w:val="00621E1F"/>
    <w:rsid w:val="00622FE1"/>
    <w:rsid w:val="0062521C"/>
    <w:rsid w:val="0062541E"/>
    <w:rsid w:val="00630A2B"/>
    <w:rsid w:val="00630AD5"/>
    <w:rsid w:val="00631911"/>
    <w:rsid w:val="00632DC7"/>
    <w:rsid w:val="006357FB"/>
    <w:rsid w:val="00637424"/>
    <w:rsid w:val="006406FC"/>
    <w:rsid w:val="00640E1D"/>
    <w:rsid w:val="00640E57"/>
    <w:rsid w:val="006414BB"/>
    <w:rsid w:val="0064163F"/>
    <w:rsid w:val="006416C8"/>
    <w:rsid w:val="00645C7E"/>
    <w:rsid w:val="00646122"/>
    <w:rsid w:val="00651B2E"/>
    <w:rsid w:val="00653B76"/>
    <w:rsid w:val="00653E16"/>
    <w:rsid w:val="006565CD"/>
    <w:rsid w:val="00657220"/>
    <w:rsid w:val="00657362"/>
    <w:rsid w:val="0066104B"/>
    <w:rsid w:val="006651A3"/>
    <w:rsid w:val="006655EE"/>
    <w:rsid w:val="00667C10"/>
    <w:rsid w:val="00667EF4"/>
    <w:rsid w:val="00671FC5"/>
    <w:rsid w:val="006764FC"/>
    <w:rsid w:val="00676FCA"/>
    <w:rsid w:val="00677177"/>
    <w:rsid w:val="0068612E"/>
    <w:rsid w:val="00686401"/>
    <w:rsid w:val="00687508"/>
    <w:rsid w:val="00687C92"/>
    <w:rsid w:val="0069060F"/>
    <w:rsid w:val="00694647"/>
    <w:rsid w:val="00694A71"/>
    <w:rsid w:val="0069534E"/>
    <w:rsid w:val="006953A7"/>
    <w:rsid w:val="0069669C"/>
    <w:rsid w:val="006978E3"/>
    <w:rsid w:val="006A1200"/>
    <w:rsid w:val="006A4E3F"/>
    <w:rsid w:val="006A4F4E"/>
    <w:rsid w:val="006A6C23"/>
    <w:rsid w:val="006B14DB"/>
    <w:rsid w:val="006B21C4"/>
    <w:rsid w:val="006B3816"/>
    <w:rsid w:val="006B54EE"/>
    <w:rsid w:val="006B6727"/>
    <w:rsid w:val="006B703E"/>
    <w:rsid w:val="006B79F0"/>
    <w:rsid w:val="006B7F1D"/>
    <w:rsid w:val="006C4A1A"/>
    <w:rsid w:val="006C4A31"/>
    <w:rsid w:val="006D0393"/>
    <w:rsid w:val="006D1A83"/>
    <w:rsid w:val="006D2168"/>
    <w:rsid w:val="006D2241"/>
    <w:rsid w:val="006E1CFE"/>
    <w:rsid w:val="006E1DD8"/>
    <w:rsid w:val="006E39F8"/>
    <w:rsid w:val="006E615C"/>
    <w:rsid w:val="006E7AA2"/>
    <w:rsid w:val="006F10C4"/>
    <w:rsid w:val="006F40E9"/>
    <w:rsid w:val="006F5603"/>
    <w:rsid w:val="006F607C"/>
    <w:rsid w:val="006F64D2"/>
    <w:rsid w:val="006F7461"/>
    <w:rsid w:val="006F7B87"/>
    <w:rsid w:val="00701400"/>
    <w:rsid w:val="00702F96"/>
    <w:rsid w:val="007037CF"/>
    <w:rsid w:val="00705034"/>
    <w:rsid w:val="00707CF7"/>
    <w:rsid w:val="00711728"/>
    <w:rsid w:val="00712AD1"/>
    <w:rsid w:val="00713E09"/>
    <w:rsid w:val="00714D16"/>
    <w:rsid w:val="00716572"/>
    <w:rsid w:val="007167C0"/>
    <w:rsid w:val="00717557"/>
    <w:rsid w:val="007201B6"/>
    <w:rsid w:val="00720481"/>
    <w:rsid w:val="007204AF"/>
    <w:rsid w:val="007221EF"/>
    <w:rsid w:val="007233D9"/>
    <w:rsid w:val="00724D96"/>
    <w:rsid w:val="00726D19"/>
    <w:rsid w:val="00726D21"/>
    <w:rsid w:val="00730844"/>
    <w:rsid w:val="00733193"/>
    <w:rsid w:val="00736B0C"/>
    <w:rsid w:val="00744474"/>
    <w:rsid w:val="00744862"/>
    <w:rsid w:val="00744DDA"/>
    <w:rsid w:val="007459F3"/>
    <w:rsid w:val="00745E03"/>
    <w:rsid w:val="0074781C"/>
    <w:rsid w:val="007524D2"/>
    <w:rsid w:val="00753887"/>
    <w:rsid w:val="00755688"/>
    <w:rsid w:val="0075732A"/>
    <w:rsid w:val="0075737F"/>
    <w:rsid w:val="007600F8"/>
    <w:rsid w:val="00760262"/>
    <w:rsid w:val="00762033"/>
    <w:rsid w:val="0076310C"/>
    <w:rsid w:val="0076744F"/>
    <w:rsid w:val="00767BCE"/>
    <w:rsid w:val="00767EFC"/>
    <w:rsid w:val="007707DE"/>
    <w:rsid w:val="00770B5D"/>
    <w:rsid w:val="007752F1"/>
    <w:rsid w:val="00776768"/>
    <w:rsid w:val="00777D2D"/>
    <w:rsid w:val="00780775"/>
    <w:rsid w:val="0078187A"/>
    <w:rsid w:val="00783AFE"/>
    <w:rsid w:val="00787CEC"/>
    <w:rsid w:val="007927BC"/>
    <w:rsid w:val="0079496C"/>
    <w:rsid w:val="00794ED8"/>
    <w:rsid w:val="00795944"/>
    <w:rsid w:val="00795DC2"/>
    <w:rsid w:val="00797855"/>
    <w:rsid w:val="007A2573"/>
    <w:rsid w:val="007A535A"/>
    <w:rsid w:val="007A60CE"/>
    <w:rsid w:val="007B0FFD"/>
    <w:rsid w:val="007B106C"/>
    <w:rsid w:val="007B1A4E"/>
    <w:rsid w:val="007B3D05"/>
    <w:rsid w:val="007B5503"/>
    <w:rsid w:val="007B5D8D"/>
    <w:rsid w:val="007C179C"/>
    <w:rsid w:val="007C6BB3"/>
    <w:rsid w:val="007D14B4"/>
    <w:rsid w:val="007D160A"/>
    <w:rsid w:val="007D1879"/>
    <w:rsid w:val="007D2220"/>
    <w:rsid w:val="007D3AD7"/>
    <w:rsid w:val="007D7155"/>
    <w:rsid w:val="007D7EB9"/>
    <w:rsid w:val="007E0728"/>
    <w:rsid w:val="007E0B47"/>
    <w:rsid w:val="007E24F6"/>
    <w:rsid w:val="007E50C1"/>
    <w:rsid w:val="007E756C"/>
    <w:rsid w:val="007F08E9"/>
    <w:rsid w:val="007F1E99"/>
    <w:rsid w:val="007F1F8B"/>
    <w:rsid w:val="007F496B"/>
    <w:rsid w:val="007F6594"/>
    <w:rsid w:val="007F6C9D"/>
    <w:rsid w:val="00800E1A"/>
    <w:rsid w:val="00800F64"/>
    <w:rsid w:val="00801050"/>
    <w:rsid w:val="00802D8C"/>
    <w:rsid w:val="00802F0B"/>
    <w:rsid w:val="00802F68"/>
    <w:rsid w:val="00810A67"/>
    <w:rsid w:val="00814806"/>
    <w:rsid w:val="00815601"/>
    <w:rsid w:val="0081648B"/>
    <w:rsid w:val="00822AE0"/>
    <w:rsid w:val="0083288F"/>
    <w:rsid w:val="00833CF7"/>
    <w:rsid w:val="00834CDE"/>
    <w:rsid w:val="00835158"/>
    <w:rsid w:val="0083700A"/>
    <w:rsid w:val="00842464"/>
    <w:rsid w:val="00843C93"/>
    <w:rsid w:val="00845601"/>
    <w:rsid w:val="008463FF"/>
    <w:rsid w:val="00846B99"/>
    <w:rsid w:val="00847911"/>
    <w:rsid w:val="008532A5"/>
    <w:rsid w:val="00855987"/>
    <w:rsid w:val="00855C5C"/>
    <w:rsid w:val="00861932"/>
    <w:rsid w:val="00861D86"/>
    <w:rsid w:val="00862EA3"/>
    <w:rsid w:val="008632BA"/>
    <w:rsid w:val="00864F00"/>
    <w:rsid w:val="008662DF"/>
    <w:rsid w:val="0087265C"/>
    <w:rsid w:val="00873CC7"/>
    <w:rsid w:val="00874CF4"/>
    <w:rsid w:val="00880513"/>
    <w:rsid w:val="0088056D"/>
    <w:rsid w:val="008841EF"/>
    <w:rsid w:val="00886668"/>
    <w:rsid w:val="00887C3C"/>
    <w:rsid w:val="008A04CE"/>
    <w:rsid w:val="008A3C96"/>
    <w:rsid w:val="008A55B2"/>
    <w:rsid w:val="008A5662"/>
    <w:rsid w:val="008A6851"/>
    <w:rsid w:val="008A6D30"/>
    <w:rsid w:val="008A71FE"/>
    <w:rsid w:val="008B0BDB"/>
    <w:rsid w:val="008B201F"/>
    <w:rsid w:val="008B3513"/>
    <w:rsid w:val="008B4019"/>
    <w:rsid w:val="008B4116"/>
    <w:rsid w:val="008B5087"/>
    <w:rsid w:val="008B65C9"/>
    <w:rsid w:val="008C0AE4"/>
    <w:rsid w:val="008C0E04"/>
    <w:rsid w:val="008C2D4A"/>
    <w:rsid w:val="008C631E"/>
    <w:rsid w:val="008C68DE"/>
    <w:rsid w:val="008C6CFB"/>
    <w:rsid w:val="008D3900"/>
    <w:rsid w:val="008D3D9A"/>
    <w:rsid w:val="008D450B"/>
    <w:rsid w:val="008D6E1D"/>
    <w:rsid w:val="008D7DC0"/>
    <w:rsid w:val="008E2D4D"/>
    <w:rsid w:val="008E420B"/>
    <w:rsid w:val="008E5360"/>
    <w:rsid w:val="008F0404"/>
    <w:rsid w:val="008F39B4"/>
    <w:rsid w:val="008F4162"/>
    <w:rsid w:val="008F7FEC"/>
    <w:rsid w:val="00901FAF"/>
    <w:rsid w:val="00902F52"/>
    <w:rsid w:val="00903E02"/>
    <w:rsid w:val="00911D71"/>
    <w:rsid w:val="00913175"/>
    <w:rsid w:val="00916EDB"/>
    <w:rsid w:val="00920861"/>
    <w:rsid w:val="00922B13"/>
    <w:rsid w:val="00922BC9"/>
    <w:rsid w:val="009242EF"/>
    <w:rsid w:val="00924655"/>
    <w:rsid w:val="00924F1E"/>
    <w:rsid w:val="009256AB"/>
    <w:rsid w:val="00926DE7"/>
    <w:rsid w:val="00932291"/>
    <w:rsid w:val="00932861"/>
    <w:rsid w:val="00932D18"/>
    <w:rsid w:val="0093348A"/>
    <w:rsid w:val="0093408E"/>
    <w:rsid w:val="00934B5D"/>
    <w:rsid w:val="00934FD7"/>
    <w:rsid w:val="009361AE"/>
    <w:rsid w:val="00937B2F"/>
    <w:rsid w:val="00940BDC"/>
    <w:rsid w:val="00943882"/>
    <w:rsid w:val="009443C6"/>
    <w:rsid w:val="00944650"/>
    <w:rsid w:val="00951807"/>
    <w:rsid w:val="0095273C"/>
    <w:rsid w:val="00952DDF"/>
    <w:rsid w:val="00955646"/>
    <w:rsid w:val="009610A3"/>
    <w:rsid w:val="00962F77"/>
    <w:rsid w:val="00963B6A"/>
    <w:rsid w:val="00964460"/>
    <w:rsid w:val="009673D1"/>
    <w:rsid w:val="009677D2"/>
    <w:rsid w:val="00967D8E"/>
    <w:rsid w:val="00970950"/>
    <w:rsid w:val="00974ED5"/>
    <w:rsid w:val="00976E4C"/>
    <w:rsid w:val="009807C8"/>
    <w:rsid w:val="009812D4"/>
    <w:rsid w:val="009825A4"/>
    <w:rsid w:val="00982AE2"/>
    <w:rsid w:val="009842A7"/>
    <w:rsid w:val="0098750B"/>
    <w:rsid w:val="00990C3A"/>
    <w:rsid w:val="009920D8"/>
    <w:rsid w:val="0099281F"/>
    <w:rsid w:val="009928DF"/>
    <w:rsid w:val="00994090"/>
    <w:rsid w:val="009952F5"/>
    <w:rsid w:val="0099596B"/>
    <w:rsid w:val="009A6048"/>
    <w:rsid w:val="009A6DB7"/>
    <w:rsid w:val="009B38BE"/>
    <w:rsid w:val="009B49D4"/>
    <w:rsid w:val="009B5195"/>
    <w:rsid w:val="009C3D0F"/>
    <w:rsid w:val="009D2FA8"/>
    <w:rsid w:val="009D395E"/>
    <w:rsid w:val="009D4737"/>
    <w:rsid w:val="009D6AC9"/>
    <w:rsid w:val="009D77CB"/>
    <w:rsid w:val="009E1375"/>
    <w:rsid w:val="009E1B19"/>
    <w:rsid w:val="009E200A"/>
    <w:rsid w:val="009E5F81"/>
    <w:rsid w:val="009E7165"/>
    <w:rsid w:val="009F00A8"/>
    <w:rsid w:val="009F2C30"/>
    <w:rsid w:val="009F35E2"/>
    <w:rsid w:val="009F65F9"/>
    <w:rsid w:val="009F68BA"/>
    <w:rsid w:val="009F7450"/>
    <w:rsid w:val="00A00361"/>
    <w:rsid w:val="00A05186"/>
    <w:rsid w:val="00A06277"/>
    <w:rsid w:val="00A079DC"/>
    <w:rsid w:val="00A11039"/>
    <w:rsid w:val="00A111C2"/>
    <w:rsid w:val="00A17B6F"/>
    <w:rsid w:val="00A22FD1"/>
    <w:rsid w:val="00A249EE"/>
    <w:rsid w:val="00A278A6"/>
    <w:rsid w:val="00A31AAF"/>
    <w:rsid w:val="00A31FCC"/>
    <w:rsid w:val="00A33071"/>
    <w:rsid w:val="00A338E7"/>
    <w:rsid w:val="00A35CAA"/>
    <w:rsid w:val="00A35FCB"/>
    <w:rsid w:val="00A36E7F"/>
    <w:rsid w:val="00A40CEA"/>
    <w:rsid w:val="00A411D7"/>
    <w:rsid w:val="00A41E65"/>
    <w:rsid w:val="00A42CF7"/>
    <w:rsid w:val="00A43C02"/>
    <w:rsid w:val="00A43E0A"/>
    <w:rsid w:val="00A44F92"/>
    <w:rsid w:val="00A463EF"/>
    <w:rsid w:val="00A4694D"/>
    <w:rsid w:val="00A50036"/>
    <w:rsid w:val="00A50BC5"/>
    <w:rsid w:val="00A511A0"/>
    <w:rsid w:val="00A52610"/>
    <w:rsid w:val="00A52A86"/>
    <w:rsid w:val="00A530C7"/>
    <w:rsid w:val="00A55F5B"/>
    <w:rsid w:val="00A60185"/>
    <w:rsid w:val="00A62BA0"/>
    <w:rsid w:val="00A661EA"/>
    <w:rsid w:val="00A7538E"/>
    <w:rsid w:val="00A75413"/>
    <w:rsid w:val="00A830E5"/>
    <w:rsid w:val="00A84844"/>
    <w:rsid w:val="00A87135"/>
    <w:rsid w:val="00A93280"/>
    <w:rsid w:val="00A9498A"/>
    <w:rsid w:val="00A951EA"/>
    <w:rsid w:val="00A958C2"/>
    <w:rsid w:val="00AA025F"/>
    <w:rsid w:val="00AA2548"/>
    <w:rsid w:val="00AA370E"/>
    <w:rsid w:val="00AA4CBB"/>
    <w:rsid w:val="00AA51FA"/>
    <w:rsid w:val="00AA58C4"/>
    <w:rsid w:val="00AA5C63"/>
    <w:rsid w:val="00AA6CB9"/>
    <w:rsid w:val="00AA7003"/>
    <w:rsid w:val="00AB0294"/>
    <w:rsid w:val="00AB11C8"/>
    <w:rsid w:val="00AB1621"/>
    <w:rsid w:val="00AB36F7"/>
    <w:rsid w:val="00AB3DF8"/>
    <w:rsid w:val="00AB4541"/>
    <w:rsid w:val="00AB557F"/>
    <w:rsid w:val="00AB749F"/>
    <w:rsid w:val="00AB7D13"/>
    <w:rsid w:val="00AB7D6D"/>
    <w:rsid w:val="00AC06FF"/>
    <w:rsid w:val="00AC08A8"/>
    <w:rsid w:val="00AC0A74"/>
    <w:rsid w:val="00AC0AC1"/>
    <w:rsid w:val="00AC20B4"/>
    <w:rsid w:val="00AC2263"/>
    <w:rsid w:val="00AC250A"/>
    <w:rsid w:val="00AC3C5F"/>
    <w:rsid w:val="00AC3FA0"/>
    <w:rsid w:val="00AC5200"/>
    <w:rsid w:val="00AC5949"/>
    <w:rsid w:val="00AC7689"/>
    <w:rsid w:val="00AC7FF6"/>
    <w:rsid w:val="00AD0D65"/>
    <w:rsid w:val="00AD4CFD"/>
    <w:rsid w:val="00AD56C8"/>
    <w:rsid w:val="00AD58F2"/>
    <w:rsid w:val="00AD7157"/>
    <w:rsid w:val="00AD78D9"/>
    <w:rsid w:val="00AE0765"/>
    <w:rsid w:val="00AE1FAF"/>
    <w:rsid w:val="00AE25A7"/>
    <w:rsid w:val="00AF0231"/>
    <w:rsid w:val="00AF1C42"/>
    <w:rsid w:val="00AF23FE"/>
    <w:rsid w:val="00AF3819"/>
    <w:rsid w:val="00AF4E13"/>
    <w:rsid w:val="00B002E5"/>
    <w:rsid w:val="00B00FF3"/>
    <w:rsid w:val="00B01C42"/>
    <w:rsid w:val="00B0275F"/>
    <w:rsid w:val="00B04A5D"/>
    <w:rsid w:val="00B0512A"/>
    <w:rsid w:val="00B0529F"/>
    <w:rsid w:val="00B05E8D"/>
    <w:rsid w:val="00B07FA8"/>
    <w:rsid w:val="00B137EF"/>
    <w:rsid w:val="00B1418B"/>
    <w:rsid w:val="00B148C0"/>
    <w:rsid w:val="00B21195"/>
    <w:rsid w:val="00B24B22"/>
    <w:rsid w:val="00B24F09"/>
    <w:rsid w:val="00B25310"/>
    <w:rsid w:val="00B2573D"/>
    <w:rsid w:val="00B271C5"/>
    <w:rsid w:val="00B3171E"/>
    <w:rsid w:val="00B31D38"/>
    <w:rsid w:val="00B31E74"/>
    <w:rsid w:val="00B32A40"/>
    <w:rsid w:val="00B32F8F"/>
    <w:rsid w:val="00B333B1"/>
    <w:rsid w:val="00B3492A"/>
    <w:rsid w:val="00B34DB7"/>
    <w:rsid w:val="00B35659"/>
    <w:rsid w:val="00B36636"/>
    <w:rsid w:val="00B40C50"/>
    <w:rsid w:val="00B411F3"/>
    <w:rsid w:val="00B44B7F"/>
    <w:rsid w:val="00B4694D"/>
    <w:rsid w:val="00B46EEA"/>
    <w:rsid w:val="00B51273"/>
    <w:rsid w:val="00B54DE9"/>
    <w:rsid w:val="00B55335"/>
    <w:rsid w:val="00B553EC"/>
    <w:rsid w:val="00B55E3F"/>
    <w:rsid w:val="00B568AD"/>
    <w:rsid w:val="00B63C1E"/>
    <w:rsid w:val="00B640B5"/>
    <w:rsid w:val="00B648F3"/>
    <w:rsid w:val="00B66C7F"/>
    <w:rsid w:val="00B67B4C"/>
    <w:rsid w:val="00B70B6B"/>
    <w:rsid w:val="00B70F42"/>
    <w:rsid w:val="00B7396E"/>
    <w:rsid w:val="00B83CC9"/>
    <w:rsid w:val="00B84C54"/>
    <w:rsid w:val="00B873B6"/>
    <w:rsid w:val="00B92DA0"/>
    <w:rsid w:val="00B93DD0"/>
    <w:rsid w:val="00B94A9F"/>
    <w:rsid w:val="00B96B7E"/>
    <w:rsid w:val="00B97732"/>
    <w:rsid w:val="00B97A20"/>
    <w:rsid w:val="00BA1D6E"/>
    <w:rsid w:val="00BA638E"/>
    <w:rsid w:val="00BA65A8"/>
    <w:rsid w:val="00BA6D19"/>
    <w:rsid w:val="00BA7461"/>
    <w:rsid w:val="00BA7DA9"/>
    <w:rsid w:val="00BB162E"/>
    <w:rsid w:val="00BC2AD7"/>
    <w:rsid w:val="00BC34DD"/>
    <w:rsid w:val="00BC4215"/>
    <w:rsid w:val="00BD05E4"/>
    <w:rsid w:val="00BD1A6F"/>
    <w:rsid w:val="00BD3B20"/>
    <w:rsid w:val="00BD423F"/>
    <w:rsid w:val="00BD4561"/>
    <w:rsid w:val="00BD56BF"/>
    <w:rsid w:val="00BD6676"/>
    <w:rsid w:val="00BE46D4"/>
    <w:rsid w:val="00BE5AA4"/>
    <w:rsid w:val="00BE5B45"/>
    <w:rsid w:val="00BE6D3C"/>
    <w:rsid w:val="00BE6FD0"/>
    <w:rsid w:val="00BE7852"/>
    <w:rsid w:val="00BF3458"/>
    <w:rsid w:val="00BF4714"/>
    <w:rsid w:val="00BF7CEE"/>
    <w:rsid w:val="00C007F4"/>
    <w:rsid w:val="00C010FA"/>
    <w:rsid w:val="00C03880"/>
    <w:rsid w:val="00C0402F"/>
    <w:rsid w:val="00C07919"/>
    <w:rsid w:val="00C11A37"/>
    <w:rsid w:val="00C12636"/>
    <w:rsid w:val="00C13497"/>
    <w:rsid w:val="00C135CF"/>
    <w:rsid w:val="00C147F3"/>
    <w:rsid w:val="00C15E24"/>
    <w:rsid w:val="00C169BC"/>
    <w:rsid w:val="00C2215C"/>
    <w:rsid w:val="00C2683F"/>
    <w:rsid w:val="00C27046"/>
    <w:rsid w:val="00C27BDE"/>
    <w:rsid w:val="00C3032C"/>
    <w:rsid w:val="00C3184D"/>
    <w:rsid w:val="00C3300D"/>
    <w:rsid w:val="00C3528B"/>
    <w:rsid w:val="00C448BF"/>
    <w:rsid w:val="00C460C7"/>
    <w:rsid w:val="00C461DB"/>
    <w:rsid w:val="00C4714E"/>
    <w:rsid w:val="00C51CCA"/>
    <w:rsid w:val="00C54602"/>
    <w:rsid w:val="00C5504F"/>
    <w:rsid w:val="00C57B55"/>
    <w:rsid w:val="00C63376"/>
    <w:rsid w:val="00C6644A"/>
    <w:rsid w:val="00C67679"/>
    <w:rsid w:val="00C679F2"/>
    <w:rsid w:val="00C67D2A"/>
    <w:rsid w:val="00C71550"/>
    <w:rsid w:val="00C74F97"/>
    <w:rsid w:val="00C7683B"/>
    <w:rsid w:val="00C80EA6"/>
    <w:rsid w:val="00C8276E"/>
    <w:rsid w:val="00C842AC"/>
    <w:rsid w:val="00C902EC"/>
    <w:rsid w:val="00C928ED"/>
    <w:rsid w:val="00C95858"/>
    <w:rsid w:val="00C96111"/>
    <w:rsid w:val="00C96688"/>
    <w:rsid w:val="00C96F35"/>
    <w:rsid w:val="00CA0723"/>
    <w:rsid w:val="00CA7C99"/>
    <w:rsid w:val="00CB1690"/>
    <w:rsid w:val="00CB7492"/>
    <w:rsid w:val="00CC21B2"/>
    <w:rsid w:val="00CC4365"/>
    <w:rsid w:val="00CC4E4B"/>
    <w:rsid w:val="00CC7013"/>
    <w:rsid w:val="00CD11B0"/>
    <w:rsid w:val="00CD2316"/>
    <w:rsid w:val="00CD2DBF"/>
    <w:rsid w:val="00CD3904"/>
    <w:rsid w:val="00CD5B7E"/>
    <w:rsid w:val="00CD7BEC"/>
    <w:rsid w:val="00CE1B23"/>
    <w:rsid w:val="00CE3BB0"/>
    <w:rsid w:val="00CE3FFA"/>
    <w:rsid w:val="00CE71C2"/>
    <w:rsid w:val="00CF0266"/>
    <w:rsid w:val="00CF0F34"/>
    <w:rsid w:val="00CF19E5"/>
    <w:rsid w:val="00CF24C3"/>
    <w:rsid w:val="00CF2DE9"/>
    <w:rsid w:val="00CF34E9"/>
    <w:rsid w:val="00CF3700"/>
    <w:rsid w:val="00CF42D5"/>
    <w:rsid w:val="00CF4EDA"/>
    <w:rsid w:val="00CF5AF2"/>
    <w:rsid w:val="00CF659F"/>
    <w:rsid w:val="00CF6952"/>
    <w:rsid w:val="00D021CB"/>
    <w:rsid w:val="00D03E3D"/>
    <w:rsid w:val="00D0611B"/>
    <w:rsid w:val="00D10F1A"/>
    <w:rsid w:val="00D116F8"/>
    <w:rsid w:val="00D1385E"/>
    <w:rsid w:val="00D156E9"/>
    <w:rsid w:val="00D1747C"/>
    <w:rsid w:val="00D17596"/>
    <w:rsid w:val="00D21D54"/>
    <w:rsid w:val="00D22640"/>
    <w:rsid w:val="00D26D3A"/>
    <w:rsid w:val="00D30817"/>
    <w:rsid w:val="00D332D8"/>
    <w:rsid w:val="00D35533"/>
    <w:rsid w:val="00D37B86"/>
    <w:rsid w:val="00D37D3D"/>
    <w:rsid w:val="00D44E70"/>
    <w:rsid w:val="00D45D99"/>
    <w:rsid w:val="00D45EE3"/>
    <w:rsid w:val="00D46C08"/>
    <w:rsid w:val="00D47A15"/>
    <w:rsid w:val="00D50618"/>
    <w:rsid w:val="00D509E9"/>
    <w:rsid w:val="00D526EB"/>
    <w:rsid w:val="00D53B1C"/>
    <w:rsid w:val="00D54F8B"/>
    <w:rsid w:val="00D552C8"/>
    <w:rsid w:val="00D63E79"/>
    <w:rsid w:val="00D65132"/>
    <w:rsid w:val="00D653C7"/>
    <w:rsid w:val="00D77788"/>
    <w:rsid w:val="00D82A19"/>
    <w:rsid w:val="00D82EBA"/>
    <w:rsid w:val="00D8455C"/>
    <w:rsid w:val="00D95B03"/>
    <w:rsid w:val="00D96C0E"/>
    <w:rsid w:val="00D97050"/>
    <w:rsid w:val="00DA1B12"/>
    <w:rsid w:val="00DA1EB7"/>
    <w:rsid w:val="00DA4EFB"/>
    <w:rsid w:val="00DA54C9"/>
    <w:rsid w:val="00DA6739"/>
    <w:rsid w:val="00DA6CAE"/>
    <w:rsid w:val="00DA7EF0"/>
    <w:rsid w:val="00DB134D"/>
    <w:rsid w:val="00DB1A9E"/>
    <w:rsid w:val="00DB2B73"/>
    <w:rsid w:val="00DB31D6"/>
    <w:rsid w:val="00DB3886"/>
    <w:rsid w:val="00DB4005"/>
    <w:rsid w:val="00DB4216"/>
    <w:rsid w:val="00DB4970"/>
    <w:rsid w:val="00DB4B0E"/>
    <w:rsid w:val="00DC1E73"/>
    <w:rsid w:val="00DC34EB"/>
    <w:rsid w:val="00DC5BFF"/>
    <w:rsid w:val="00DD02B2"/>
    <w:rsid w:val="00DD1D46"/>
    <w:rsid w:val="00DD2EA6"/>
    <w:rsid w:val="00DD5558"/>
    <w:rsid w:val="00DD673C"/>
    <w:rsid w:val="00DD70ED"/>
    <w:rsid w:val="00DD777F"/>
    <w:rsid w:val="00DE0FF0"/>
    <w:rsid w:val="00DF1E5B"/>
    <w:rsid w:val="00DF2275"/>
    <w:rsid w:val="00DF3F5E"/>
    <w:rsid w:val="00DF41E5"/>
    <w:rsid w:val="00DF5653"/>
    <w:rsid w:val="00DF5F8B"/>
    <w:rsid w:val="00E0596E"/>
    <w:rsid w:val="00E06F66"/>
    <w:rsid w:val="00E12CB9"/>
    <w:rsid w:val="00E12E18"/>
    <w:rsid w:val="00E13682"/>
    <w:rsid w:val="00E13BE8"/>
    <w:rsid w:val="00E14E4B"/>
    <w:rsid w:val="00E17457"/>
    <w:rsid w:val="00E27E73"/>
    <w:rsid w:val="00E3140B"/>
    <w:rsid w:val="00E32F61"/>
    <w:rsid w:val="00E336B2"/>
    <w:rsid w:val="00E356E5"/>
    <w:rsid w:val="00E36F81"/>
    <w:rsid w:val="00E3785E"/>
    <w:rsid w:val="00E42077"/>
    <w:rsid w:val="00E4210E"/>
    <w:rsid w:val="00E430AC"/>
    <w:rsid w:val="00E45765"/>
    <w:rsid w:val="00E5098C"/>
    <w:rsid w:val="00E53327"/>
    <w:rsid w:val="00E60213"/>
    <w:rsid w:val="00E6258B"/>
    <w:rsid w:val="00E64BE8"/>
    <w:rsid w:val="00E65835"/>
    <w:rsid w:val="00E661B2"/>
    <w:rsid w:val="00E67864"/>
    <w:rsid w:val="00E72CB4"/>
    <w:rsid w:val="00E73722"/>
    <w:rsid w:val="00E74D29"/>
    <w:rsid w:val="00E80022"/>
    <w:rsid w:val="00E81AD1"/>
    <w:rsid w:val="00E82F62"/>
    <w:rsid w:val="00E83C74"/>
    <w:rsid w:val="00E83CEE"/>
    <w:rsid w:val="00E87E40"/>
    <w:rsid w:val="00E91F18"/>
    <w:rsid w:val="00E9226D"/>
    <w:rsid w:val="00E94C41"/>
    <w:rsid w:val="00E950A9"/>
    <w:rsid w:val="00E95C64"/>
    <w:rsid w:val="00E962D8"/>
    <w:rsid w:val="00EA416C"/>
    <w:rsid w:val="00EA5941"/>
    <w:rsid w:val="00EA747A"/>
    <w:rsid w:val="00EB378B"/>
    <w:rsid w:val="00EB60CE"/>
    <w:rsid w:val="00EB6417"/>
    <w:rsid w:val="00EB7962"/>
    <w:rsid w:val="00EB7D53"/>
    <w:rsid w:val="00EC13F1"/>
    <w:rsid w:val="00EC2F35"/>
    <w:rsid w:val="00EC7537"/>
    <w:rsid w:val="00ED287E"/>
    <w:rsid w:val="00ED452F"/>
    <w:rsid w:val="00ED564F"/>
    <w:rsid w:val="00ED6CAB"/>
    <w:rsid w:val="00EE208B"/>
    <w:rsid w:val="00EE3146"/>
    <w:rsid w:val="00EE3B54"/>
    <w:rsid w:val="00EE41A6"/>
    <w:rsid w:val="00EE5902"/>
    <w:rsid w:val="00EF2D7C"/>
    <w:rsid w:val="00EF33EC"/>
    <w:rsid w:val="00EF50BB"/>
    <w:rsid w:val="00EF53FF"/>
    <w:rsid w:val="00F00192"/>
    <w:rsid w:val="00F01DF6"/>
    <w:rsid w:val="00F0340D"/>
    <w:rsid w:val="00F059A6"/>
    <w:rsid w:val="00F05AC9"/>
    <w:rsid w:val="00F07723"/>
    <w:rsid w:val="00F12842"/>
    <w:rsid w:val="00F16554"/>
    <w:rsid w:val="00F17107"/>
    <w:rsid w:val="00F23756"/>
    <w:rsid w:val="00F2523A"/>
    <w:rsid w:val="00F25FFA"/>
    <w:rsid w:val="00F310D2"/>
    <w:rsid w:val="00F336A1"/>
    <w:rsid w:val="00F33B0E"/>
    <w:rsid w:val="00F369E1"/>
    <w:rsid w:val="00F36F3D"/>
    <w:rsid w:val="00F40B3F"/>
    <w:rsid w:val="00F4746A"/>
    <w:rsid w:val="00F477BD"/>
    <w:rsid w:val="00F50452"/>
    <w:rsid w:val="00F51F67"/>
    <w:rsid w:val="00F52647"/>
    <w:rsid w:val="00F526AF"/>
    <w:rsid w:val="00F53491"/>
    <w:rsid w:val="00F5501D"/>
    <w:rsid w:val="00F63D56"/>
    <w:rsid w:val="00F64A75"/>
    <w:rsid w:val="00F65A1C"/>
    <w:rsid w:val="00F66A86"/>
    <w:rsid w:val="00F66F50"/>
    <w:rsid w:val="00F6737A"/>
    <w:rsid w:val="00F71D2C"/>
    <w:rsid w:val="00F71FDF"/>
    <w:rsid w:val="00F73BA6"/>
    <w:rsid w:val="00F8239D"/>
    <w:rsid w:val="00F825D6"/>
    <w:rsid w:val="00F82E37"/>
    <w:rsid w:val="00F82FF8"/>
    <w:rsid w:val="00F8330D"/>
    <w:rsid w:val="00F83A47"/>
    <w:rsid w:val="00F84305"/>
    <w:rsid w:val="00F8449E"/>
    <w:rsid w:val="00F8485C"/>
    <w:rsid w:val="00F848A4"/>
    <w:rsid w:val="00F87149"/>
    <w:rsid w:val="00F876AF"/>
    <w:rsid w:val="00F87FFE"/>
    <w:rsid w:val="00F90477"/>
    <w:rsid w:val="00F90A6A"/>
    <w:rsid w:val="00F91885"/>
    <w:rsid w:val="00F954C9"/>
    <w:rsid w:val="00F96DD8"/>
    <w:rsid w:val="00FA1E56"/>
    <w:rsid w:val="00FA1F66"/>
    <w:rsid w:val="00FA2C25"/>
    <w:rsid w:val="00FA2F43"/>
    <w:rsid w:val="00FA3109"/>
    <w:rsid w:val="00FA4614"/>
    <w:rsid w:val="00FA4CF0"/>
    <w:rsid w:val="00FA61AA"/>
    <w:rsid w:val="00FA69A4"/>
    <w:rsid w:val="00FB1279"/>
    <w:rsid w:val="00FB1495"/>
    <w:rsid w:val="00FB4D07"/>
    <w:rsid w:val="00FB5806"/>
    <w:rsid w:val="00FB669F"/>
    <w:rsid w:val="00FB7E06"/>
    <w:rsid w:val="00FC1AC3"/>
    <w:rsid w:val="00FC53E7"/>
    <w:rsid w:val="00FC6A66"/>
    <w:rsid w:val="00FD1431"/>
    <w:rsid w:val="00FD1694"/>
    <w:rsid w:val="00FD3584"/>
    <w:rsid w:val="00FD64B9"/>
    <w:rsid w:val="00FD7636"/>
    <w:rsid w:val="00FE3229"/>
    <w:rsid w:val="00FE4F77"/>
    <w:rsid w:val="00FE5FB1"/>
    <w:rsid w:val="00FE6E46"/>
    <w:rsid w:val="00FE74C3"/>
    <w:rsid w:val="00FE77FA"/>
    <w:rsid w:val="00FF0AAC"/>
    <w:rsid w:val="00FF1623"/>
    <w:rsid w:val="00FF215C"/>
    <w:rsid w:val="00FF359A"/>
    <w:rsid w:val="00FF49E8"/>
    <w:rsid w:val="00FF666D"/>
    <w:rsid w:val="00FF672F"/>
    <w:rsid w:val="00FF6E6E"/>
    <w:rsid w:val="00FF7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F3AF"/>
  <w15:docId w15:val="{C23CDA26-58B4-4AC8-860A-626C3D9B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B2"/>
    <w:rPr>
      <w:rFonts w:ascii="Calibri" w:eastAsiaTheme="minorHAnsi" w:hAnsi="Calibri"/>
      <w:sz w:val="22"/>
      <w:szCs w:val="22"/>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rPr>
      <w:rFonts w:eastAsia="Times New Roman"/>
      <w:szCs w:val="20"/>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932D18"/>
    <w:pPr>
      <w:numPr>
        <w:numId w:val="5"/>
      </w:numPr>
    </w:pPr>
    <w:rPr>
      <w:rFonts w:ascii="Times New Roman" w:hAnsi="Times New Roman"/>
      <w:sz w:val="24"/>
    </w:r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style>
  <w:style w:type="paragraph" w:customStyle="1" w:styleId="Classificationsensitivity">
    <w:name w:val="Classification sensitivity"/>
    <w:basedOn w:val="Classification"/>
    <w:rsid w:val="002C5813"/>
    <w:rPr>
      <w:sz w:val="22"/>
    </w:rPr>
  </w:style>
  <w:style w:type="paragraph" w:customStyle="1" w:styleId="Default">
    <w:name w:val="Default"/>
    <w:rsid w:val="00976E4C"/>
    <w:pPr>
      <w:autoSpaceDE w:val="0"/>
      <w:autoSpaceDN w:val="0"/>
      <w:adjustRightInd w:val="0"/>
    </w:pPr>
    <w:rPr>
      <w:rFonts w:ascii="Times New Roman" w:hAnsi="Times New Roman"/>
      <w:color w:val="000000"/>
      <w:sz w:val="24"/>
      <w:szCs w:val="24"/>
    </w:rPr>
  </w:style>
  <w:style w:type="paragraph" w:customStyle="1" w:styleId="subsection">
    <w:name w:val="subsection"/>
    <w:aliases w:val="ss"/>
    <w:basedOn w:val="Normal"/>
    <w:rsid w:val="00CF6952"/>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F23FE"/>
    <w:rPr>
      <w:sz w:val="16"/>
      <w:szCs w:val="16"/>
    </w:rPr>
  </w:style>
  <w:style w:type="paragraph" w:styleId="CommentText">
    <w:name w:val="annotation text"/>
    <w:basedOn w:val="Normal"/>
    <w:link w:val="CommentTextChar"/>
    <w:uiPriority w:val="99"/>
    <w:unhideWhenUsed/>
    <w:rsid w:val="00AF23FE"/>
    <w:rPr>
      <w:sz w:val="20"/>
      <w:szCs w:val="20"/>
    </w:rPr>
  </w:style>
  <w:style w:type="character" w:customStyle="1" w:styleId="CommentTextChar">
    <w:name w:val="Comment Text Char"/>
    <w:basedOn w:val="DefaultParagraphFont"/>
    <w:link w:val="CommentText"/>
    <w:uiPriority w:val="99"/>
    <w:rsid w:val="00AF23FE"/>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AF23FE"/>
    <w:rPr>
      <w:b/>
      <w:bCs/>
    </w:rPr>
  </w:style>
  <w:style w:type="character" w:customStyle="1" w:styleId="CommentSubjectChar">
    <w:name w:val="Comment Subject Char"/>
    <w:basedOn w:val="CommentTextChar"/>
    <w:link w:val="CommentSubject"/>
    <w:uiPriority w:val="99"/>
    <w:semiHidden/>
    <w:rsid w:val="00AF23FE"/>
    <w:rPr>
      <w:rFonts w:ascii="Calibri" w:eastAsiaTheme="minorHAnsi" w:hAnsi="Calibri"/>
      <w:b/>
      <w:bCs/>
    </w:rPr>
  </w:style>
  <w:style w:type="paragraph" w:styleId="FootnoteText">
    <w:name w:val="footnote text"/>
    <w:basedOn w:val="Normal"/>
    <w:link w:val="FootnoteTextChar"/>
    <w:uiPriority w:val="99"/>
    <w:semiHidden/>
    <w:unhideWhenUsed/>
    <w:rsid w:val="00461201"/>
    <w:rPr>
      <w:sz w:val="20"/>
      <w:szCs w:val="20"/>
    </w:rPr>
  </w:style>
  <w:style w:type="character" w:customStyle="1" w:styleId="FootnoteTextChar">
    <w:name w:val="Footnote Text Char"/>
    <w:basedOn w:val="DefaultParagraphFont"/>
    <w:link w:val="FootnoteText"/>
    <w:uiPriority w:val="99"/>
    <w:semiHidden/>
    <w:rsid w:val="00461201"/>
    <w:rPr>
      <w:rFonts w:ascii="Calibri" w:eastAsiaTheme="minorHAnsi" w:hAnsi="Calibri"/>
    </w:rPr>
  </w:style>
  <w:style w:type="character" w:styleId="FootnoteReference">
    <w:name w:val="footnote reference"/>
    <w:basedOn w:val="DefaultParagraphFont"/>
    <w:uiPriority w:val="99"/>
    <w:semiHidden/>
    <w:unhideWhenUsed/>
    <w:rsid w:val="00461201"/>
    <w:rPr>
      <w:vertAlign w:val="superscript"/>
    </w:rPr>
  </w:style>
  <w:style w:type="numbering" w:customStyle="1" w:styleId="KeyPoints1">
    <w:name w:val="Key Points1"/>
    <w:basedOn w:val="NoList"/>
    <w:uiPriority w:val="99"/>
    <w:rsid w:val="00815601"/>
  </w:style>
  <w:style w:type="character" w:customStyle="1" w:styleId="apple-converted-space">
    <w:name w:val="apple-converted-space"/>
    <w:basedOn w:val="DefaultParagraphFont"/>
    <w:rsid w:val="00AF3819"/>
  </w:style>
  <w:style w:type="paragraph" w:customStyle="1" w:styleId="emclauseheading">
    <w:name w:val="emclauseheading"/>
    <w:basedOn w:val="Normal"/>
    <w:rsid w:val="002B224B"/>
    <w:pPr>
      <w:spacing w:before="100" w:beforeAutospacing="1" w:after="100" w:afterAutospacing="1"/>
    </w:pPr>
    <w:rPr>
      <w:rFonts w:ascii="Times New Roman" w:eastAsia="Times New Roman" w:hAnsi="Times New Roman"/>
      <w:sz w:val="24"/>
      <w:szCs w:val="24"/>
    </w:rPr>
  </w:style>
  <w:style w:type="paragraph" w:customStyle="1" w:styleId="paragraph">
    <w:name w:val="paragraph"/>
    <w:basedOn w:val="Normal"/>
    <w:rsid w:val="00BF3458"/>
    <w:pPr>
      <w:spacing w:before="100" w:beforeAutospacing="1" w:after="100" w:afterAutospacing="1"/>
    </w:pPr>
    <w:rPr>
      <w:rFonts w:ascii="Times New Roman" w:eastAsia="Times New Roman" w:hAnsi="Times New Roman"/>
      <w:sz w:val="24"/>
      <w:szCs w:val="24"/>
    </w:rPr>
  </w:style>
  <w:style w:type="paragraph" w:customStyle="1" w:styleId="subsection2">
    <w:name w:val="subsection2"/>
    <w:basedOn w:val="Normal"/>
    <w:rsid w:val="00BF3458"/>
    <w:pPr>
      <w:spacing w:before="100" w:beforeAutospacing="1" w:after="100" w:afterAutospacing="1"/>
    </w:pPr>
    <w:rPr>
      <w:rFonts w:ascii="Times New Roman" w:eastAsia="Times New Roman" w:hAnsi="Times New Roman"/>
      <w:sz w:val="24"/>
      <w:szCs w:val="24"/>
    </w:rPr>
  </w:style>
  <w:style w:type="paragraph" w:customStyle="1" w:styleId="notetext">
    <w:name w:val="notetext"/>
    <w:basedOn w:val="Normal"/>
    <w:rsid w:val="00BF3458"/>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BB162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B162E"/>
    <w:rPr>
      <w:b/>
      <w:bCs/>
    </w:rPr>
  </w:style>
  <w:style w:type="paragraph" w:customStyle="1" w:styleId="EMclauseheading0">
    <w:name w:val="EM clause heading"/>
    <w:basedOn w:val="Normal"/>
    <w:qFormat/>
    <w:rsid w:val="005F7A66"/>
    <w:pPr>
      <w:spacing w:after="200" w:line="276" w:lineRule="auto"/>
    </w:pPr>
    <w:rPr>
      <w:rFonts w:ascii="Arial" w:hAnsi="Arial" w:cs="Arial"/>
      <w:b/>
      <w:lang w:eastAsia="en-US"/>
    </w:rPr>
  </w:style>
  <w:style w:type="paragraph" w:customStyle="1" w:styleId="subsectionhead">
    <w:name w:val="subsectionhead"/>
    <w:basedOn w:val="Normal"/>
    <w:rsid w:val="00FF6E6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8F0404"/>
    <w:rPr>
      <w:color w:val="0000FF" w:themeColor="hyperlink"/>
      <w:u w:val="single"/>
    </w:rPr>
  </w:style>
  <w:style w:type="paragraph" w:customStyle="1" w:styleId="paragraphsub">
    <w:name w:val="paragraphsub"/>
    <w:basedOn w:val="Normal"/>
    <w:rsid w:val="00450634"/>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1B5E10"/>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555">
      <w:bodyDiv w:val="1"/>
      <w:marLeft w:val="0"/>
      <w:marRight w:val="0"/>
      <w:marTop w:val="0"/>
      <w:marBottom w:val="0"/>
      <w:divBdr>
        <w:top w:val="none" w:sz="0" w:space="0" w:color="auto"/>
        <w:left w:val="none" w:sz="0" w:space="0" w:color="auto"/>
        <w:bottom w:val="none" w:sz="0" w:space="0" w:color="auto"/>
        <w:right w:val="none" w:sz="0" w:space="0" w:color="auto"/>
      </w:divBdr>
    </w:div>
    <w:div w:id="74401263">
      <w:bodyDiv w:val="1"/>
      <w:marLeft w:val="0"/>
      <w:marRight w:val="0"/>
      <w:marTop w:val="0"/>
      <w:marBottom w:val="0"/>
      <w:divBdr>
        <w:top w:val="none" w:sz="0" w:space="0" w:color="auto"/>
        <w:left w:val="none" w:sz="0" w:space="0" w:color="auto"/>
        <w:bottom w:val="none" w:sz="0" w:space="0" w:color="auto"/>
        <w:right w:val="none" w:sz="0" w:space="0" w:color="auto"/>
      </w:divBdr>
    </w:div>
    <w:div w:id="84038457">
      <w:bodyDiv w:val="1"/>
      <w:marLeft w:val="0"/>
      <w:marRight w:val="0"/>
      <w:marTop w:val="0"/>
      <w:marBottom w:val="0"/>
      <w:divBdr>
        <w:top w:val="none" w:sz="0" w:space="0" w:color="auto"/>
        <w:left w:val="none" w:sz="0" w:space="0" w:color="auto"/>
        <w:bottom w:val="none" w:sz="0" w:space="0" w:color="auto"/>
        <w:right w:val="none" w:sz="0" w:space="0" w:color="auto"/>
      </w:divBdr>
    </w:div>
    <w:div w:id="196165853">
      <w:bodyDiv w:val="1"/>
      <w:marLeft w:val="0"/>
      <w:marRight w:val="0"/>
      <w:marTop w:val="0"/>
      <w:marBottom w:val="0"/>
      <w:divBdr>
        <w:top w:val="none" w:sz="0" w:space="0" w:color="auto"/>
        <w:left w:val="none" w:sz="0" w:space="0" w:color="auto"/>
        <w:bottom w:val="none" w:sz="0" w:space="0" w:color="auto"/>
        <w:right w:val="none" w:sz="0" w:space="0" w:color="auto"/>
      </w:divBdr>
    </w:div>
    <w:div w:id="231618847">
      <w:bodyDiv w:val="1"/>
      <w:marLeft w:val="0"/>
      <w:marRight w:val="0"/>
      <w:marTop w:val="0"/>
      <w:marBottom w:val="0"/>
      <w:divBdr>
        <w:top w:val="none" w:sz="0" w:space="0" w:color="auto"/>
        <w:left w:val="none" w:sz="0" w:space="0" w:color="auto"/>
        <w:bottom w:val="none" w:sz="0" w:space="0" w:color="auto"/>
        <w:right w:val="none" w:sz="0" w:space="0" w:color="auto"/>
      </w:divBdr>
    </w:div>
    <w:div w:id="260374857">
      <w:bodyDiv w:val="1"/>
      <w:marLeft w:val="0"/>
      <w:marRight w:val="0"/>
      <w:marTop w:val="0"/>
      <w:marBottom w:val="0"/>
      <w:divBdr>
        <w:top w:val="none" w:sz="0" w:space="0" w:color="auto"/>
        <w:left w:val="none" w:sz="0" w:space="0" w:color="auto"/>
        <w:bottom w:val="none" w:sz="0" w:space="0" w:color="auto"/>
        <w:right w:val="none" w:sz="0" w:space="0" w:color="auto"/>
      </w:divBdr>
    </w:div>
    <w:div w:id="320043567">
      <w:bodyDiv w:val="1"/>
      <w:marLeft w:val="0"/>
      <w:marRight w:val="0"/>
      <w:marTop w:val="0"/>
      <w:marBottom w:val="0"/>
      <w:divBdr>
        <w:top w:val="none" w:sz="0" w:space="0" w:color="auto"/>
        <w:left w:val="none" w:sz="0" w:space="0" w:color="auto"/>
        <w:bottom w:val="none" w:sz="0" w:space="0" w:color="auto"/>
        <w:right w:val="none" w:sz="0" w:space="0" w:color="auto"/>
      </w:divBdr>
    </w:div>
    <w:div w:id="336883975">
      <w:bodyDiv w:val="1"/>
      <w:marLeft w:val="0"/>
      <w:marRight w:val="0"/>
      <w:marTop w:val="0"/>
      <w:marBottom w:val="0"/>
      <w:divBdr>
        <w:top w:val="none" w:sz="0" w:space="0" w:color="auto"/>
        <w:left w:val="none" w:sz="0" w:space="0" w:color="auto"/>
        <w:bottom w:val="none" w:sz="0" w:space="0" w:color="auto"/>
        <w:right w:val="none" w:sz="0" w:space="0" w:color="auto"/>
      </w:divBdr>
    </w:div>
    <w:div w:id="354385784">
      <w:bodyDiv w:val="1"/>
      <w:marLeft w:val="0"/>
      <w:marRight w:val="0"/>
      <w:marTop w:val="0"/>
      <w:marBottom w:val="0"/>
      <w:divBdr>
        <w:top w:val="none" w:sz="0" w:space="0" w:color="auto"/>
        <w:left w:val="none" w:sz="0" w:space="0" w:color="auto"/>
        <w:bottom w:val="none" w:sz="0" w:space="0" w:color="auto"/>
        <w:right w:val="none" w:sz="0" w:space="0" w:color="auto"/>
      </w:divBdr>
    </w:div>
    <w:div w:id="546181853">
      <w:bodyDiv w:val="1"/>
      <w:marLeft w:val="0"/>
      <w:marRight w:val="0"/>
      <w:marTop w:val="0"/>
      <w:marBottom w:val="0"/>
      <w:divBdr>
        <w:top w:val="none" w:sz="0" w:space="0" w:color="auto"/>
        <w:left w:val="none" w:sz="0" w:space="0" w:color="auto"/>
        <w:bottom w:val="none" w:sz="0" w:space="0" w:color="auto"/>
        <w:right w:val="none" w:sz="0" w:space="0" w:color="auto"/>
      </w:divBdr>
    </w:div>
    <w:div w:id="708997001">
      <w:bodyDiv w:val="1"/>
      <w:marLeft w:val="0"/>
      <w:marRight w:val="0"/>
      <w:marTop w:val="0"/>
      <w:marBottom w:val="0"/>
      <w:divBdr>
        <w:top w:val="none" w:sz="0" w:space="0" w:color="auto"/>
        <w:left w:val="none" w:sz="0" w:space="0" w:color="auto"/>
        <w:bottom w:val="none" w:sz="0" w:space="0" w:color="auto"/>
        <w:right w:val="none" w:sz="0" w:space="0" w:color="auto"/>
      </w:divBdr>
    </w:div>
    <w:div w:id="764153032">
      <w:bodyDiv w:val="1"/>
      <w:marLeft w:val="0"/>
      <w:marRight w:val="0"/>
      <w:marTop w:val="0"/>
      <w:marBottom w:val="0"/>
      <w:divBdr>
        <w:top w:val="none" w:sz="0" w:space="0" w:color="auto"/>
        <w:left w:val="none" w:sz="0" w:space="0" w:color="auto"/>
        <w:bottom w:val="none" w:sz="0" w:space="0" w:color="auto"/>
        <w:right w:val="none" w:sz="0" w:space="0" w:color="auto"/>
      </w:divBdr>
    </w:div>
    <w:div w:id="1114984503">
      <w:bodyDiv w:val="1"/>
      <w:marLeft w:val="0"/>
      <w:marRight w:val="0"/>
      <w:marTop w:val="0"/>
      <w:marBottom w:val="0"/>
      <w:divBdr>
        <w:top w:val="none" w:sz="0" w:space="0" w:color="auto"/>
        <w:left w:val="none" w:sz="0" w:space="0" w:color="auto"/>
        <w:bottom w:val="none" w:sz="0" w:space="0" w:color="auto"/>
        <w:right w:val="none" w:sz="0" w:space="0" w:color="auto"/>
      </w:divBdr>
    </w:div>
    <w:div w:id="1182430515">
      <w:bodyDiv w:val="1"/>
      <w:marLeft w:val="0"/>
      <w:marRight w:val="0"/>
      <w:marTop w:val="0"/>
      <w:marBottom w:val="0"/>
      <w:divBdr>
        <w:top w:val="none" w:sz="0" w:space="0" w:color="auto"/>
        <w:left w:val="none" w:sz="0" w:space="0" w:color="auto"/>
        <w:bottom w:val="none" w:sz="0" w:space="0" w:color="auto"/>
        <w:right w:val="none" w:sz="0" w:space="0" w:color="auto"/>
      </w:divBdr>
    </w:div>
    <w:div w:id="1304460491">
      <w:bodyDiv w:val="1"/>
      <w:marLeft w:val="0"/>
      <w:marRight w:val="0"/>
      <w:marTop w:val="0"/>
      <w:marBottom w:val="0"/>
      <w:divBdr>
        <w:top w:val="none" w:sz="0" w:space="0" w:color="auto"/>
        <w:left w:val="none" w:sz="0" w:space="0" w:color="auto"/>
        <w:bottom w:val="none" w:sz="0" w:space="0" w:color="auto"/>
        <w:right w:val="none" w:sz="0" w:space="0" w:color="auto"/>
      </w:divBdr>
    </w:div>
    <w:div w:id="1338656071">
      <w:bodyDiv w:val="1"/>
      <w:marLeft w:val="0"/>
      <w:marRight w:val="0"/>
      <w:marTop w:val="0"/>
      <w:marBottom w:val="0"/>
      <w:divBdr>
        <w:top w:val="none" w:sz="0" w:space="0" w:color="auto"/>
        <w:left w:val="none" w:sz="0" w:space="0" w:color="auto"/>
        <w:bottom w:val="none" w:sz="0" w:space="0" w:color="auto"/>
        <w:right w:val="none" w:sz="0" w:space="0" w:color="auto"/>
      </w:divBdr>
    </w:div>
    <w:div w:id="1343095032">
      <w:bodyDiv w:val="1"/>
      <w:marLeft w:val="0"/>
      <w:marRight w:val="0"/>
      <w:marTop w:val="0"/>
      <w:marBottom w:val="0"/>
      <w:divBdr>
        <w:top w:val="none" w:sz="0" w:space="0" w:color="auto"/>
        <w:left w:val="none" w:sz="0" w:space="0" w:color="auto"/>
        <w:bottom w:val="none" w:sz="0" w:space="0" w:color="auto"/>
        <w:right w:val="none" w:sz="0" w:space="0" w:color="auto"/>
      </w:divBdr>
    </w:div>
    <w:div w:id="1429621941">
      <w:bodyDiv w:val="1"/>
      <w:marLeft w:val="0"/>
      <w:marRight w:val="0"/>
      <w:marTop w:val="0"/>
      <w:marBottom w:val="0"/>
      <w:divBdr>
        <w:top w:val="none" w:sz="0" w:space="0" w:color="auto"/>
        <w:left w:val="none" w:sz="0" w:space="0" w:color="auto"/>
        <w:bottom w:val="none" w:sz="0" w:space="0" w:color="auto"/>
        <w:right w:val="none" w:sz="0" w:space="0" w:color="auto"/>
      </w:divBdr>
    </w:div>
    <w:div w:id="1600142508">
      <w:bodyDiv w:val="1"/>
      <w:marLeft w:val="0"/>
      <w:marRight w:val="0"/>
      <w:marTop w:val="0"/>
      <w:marBottom w:val="0"/>
      <w:divBdr>
        <w:top w:val="none" w:sz="0" w:space="0" w:color="auto"/>
        <w:left w:val="none" w:sz="0" w:space="0" w:color="auto"/>
        <w:bottom w:val="none" w:sz="0" w:space="0" w:color="auto"/>
        <w:right w:val="none" w:sz="0" w:space="0" w:color="auto"/>
      </w:divBdr>
    </w:div>
    <w:div w:id="1639988333">
      <w:bodyDiv w:val="1"/>
      <w:marLeft w:val="0"/>
      <w:marRight w:val="0"/>
      <w:marTop w:val="0"/>
      <w:marBottom w:val="0"/>
      <w:divBdr>
        <w:top w:val="none" w:sz="0" w:space="0" w:color="auto"/>
        <w:left w:val="none" w:sz="0" w:space="0" w:color="auto"/>
        <w:bottom w:val="none" w:sz="0" w:space="0" w:color="auto"/>
        <w:right w:val="none" w:sz="0" w:space="0" w:color="auto"/>
      </w:divBdr>
    </w:div>
    <w:div w:id="1752847634">
      <w:bodyDiv w:val="1"/>
      <w:marLeft w:val="0"/>
      <w:marRight w:val="0"/>
      <w:marTop w:val="0"/>
      <w:marBottom w:val="0"/>
      <w:divBdr>
        <w:top w:val="none" w:sz="0" w:space="0" w:color="auto"/>
        <w:left w:val="none" w:sz="0" w:space="0" w:color="auto"/>
        <w:bottom w:val="none" w:sz="0" w:space="0" w:color="auto"/>
        <w:right w:val="none" w:sz="0" w:space="0" w:color="auto"/>
      </w:divBdr>
    </w:div>
    <w:div w:id="1826050366">
      <w:bodyDiv w:val="1"/>
      <w:marLeft w:val="0"/>
      <w:marRight w:val="0"/>
      <w:marTop w:val="0"/>
      <w:marBottom w:val="0"/>
      <w:divBdr>
        <w:top w:val="none" w:sz="0" w:space="0" w:color="auto"/>
        <w:left w:val="none" w:sz="0" w:space="0" w:color="auto"/>
        <w:bottom w:val="none" w:sz="0" w:space="0" w:color="auto"/>
        <w:right w:val="none" w:sz="0" w:space="0" w:color="auto"/>
      </w:divBdr>
    </w:div>
    <w:div w:id="1849295837">
      <w:bodyDiv w:val="1"/>
      <w:marLeft w:val="0"/>
      <w:marRight w:val="0"/>
      <w:marTop w:val="0"/>
      <w:marBottom w:val="0"/>
      <w:divBdr>
        <w:top w:val="none" w:sz="0" w:space="0" w:color="auto"/>
        <w:left w:val="none" w:sz="0" w:space="0" w:color="auto"/>
        <w:bottom w:val="none" w:sz="0" w:space="0" w:color="auto"/>
        <w:right w:val="none" w:sz="0" w:space="0" w:color="auto"/>
      </w:divBdr>
    </w:div>
    <w:div w:id="1862431668">
      <w:bodyDiv w:val="1"/>
      <w:marLeft w:val="0"/>
      <w:marRight w:val="0"/>
      <w:marTop w:val="0"/>
      <w:marBottom w:val="0"/>
      <w:divBdr>
        <w:top w:val="none" w:sz="0" w:space="0" w:color="auto"/>
        <w:left w:val="none" w:sz="0" w:space="0" w:color="auto"/>
        <w:bottom w:val="none" w:sz="0" w:space="0" w:color="auto"/>
        <w:right w:val="none" w:sz="0" w:space="0" w:color="auto"/>
      </w:divBdr>
    </w:div>
    <w:div w:id="1906529334">
      <w:bodyDiv w:val="1"/>
      <w:marLeft w:val="0"/>
      <w:marRight w:val="0"/>
      <w:marTop w:val="0"/>
      <w:marBottom w:val="0"/>
      <w:divBdr>
        <w:top w:val="none" w:sz="0" w:space="0" w:color="auto"/>
        <w:left w:val="none" w:sz="0" w:space="0" w:color="auto"/>
        <w:bottom w:val="none" w:sz="0" w:space="0" w:color="auto"/>
        <w:right w:val="none" w:sz="0" w:space="0" w:color="auto"/>
      </w:divBdr>
    </w:div>
    <w:div w:id="1920214798">
      <w:bodyDiv w:val="1"/>
      <w:marLeft w:val="0"/>
      <w:marRight w:val="0"/>
      <w:marTop w:val="0"/>
      <w:marBottom w:val="0"/>
      <w:divBdr>
        <w:top w:val="none" w:sz="0" w:space="0" w:color="auto"/>
        <w:left w:val="none" w:sz="0" w:space="0" w:color="auto"/>
        <w:bottom w:val="none" w:sz="0" w:space="0" w:color="auto"/>
        <w:right w:val="none" w:sz="0" w:space="0" w:color="auto"/>
      </w:divBdr>
    </w:div>
    <w:div w:id="19534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BB2CA5D4910ACE4AADB481B488BD147400FA829B4AF55F244EAE47CDC9BD732406" ma:contentTypeVersion="9" ma:contentTypeDescription="SPIRE Document" ma:contentTypeScope="" ma:versionID="0190754519eefa10b0f2e0b56d655d48">
  <xsd:schema xmlns:xsd="http://www.w3.org/2001/XMLSchema" xmlns:xs="http://www.w3.org/2001/XMLSchema" xmlns:p="http://schemas.microsoft.com/office/2006/metadata/properties" xmlns:ns2="7d1753f3-b6db-484b-93d6-b74f5ca30d2d" xmlns:ns3="http://schemas.microsoft.com/sharepoint/v4" targetNamespace="http://schemas.microsoft.com/office/2006/metadata/properties" ma:root="true" ma:fieldsID="b2ec096d03561c45652c1a9423b4ccb8" ns2:_="" ns3:_="">
    <xsd:import namespace="7d1753f3-b6db-484b-93d6-b74f5ca30d2d"/>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753f3-b6db-484b-93d6-b74f5ca30d2d"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unction xmlns="7d1753f3-b6db-484b-93d6-b74f5ca30d2d">Administration</Function>
    <DocumentDescription xmlns="7d1753f3-b6db-484b-93d6-b74f5ca30d2d" xsi:nil="true"/>
    <RecordNumber xmlns="7d1753f3-b6db-484b-93d6-b74f5ca30d2d" xsi:nil="true"/>
    <Approval xmlns="7d1753f3-b6db-484b-93d6-b74f5ca30d2d" xsi:nil="true"/>
  </documentManagement>
</p:properties>
</file>

<file path=customXml/itemProps1.xml><?xml version="1.0" encoding="utf-8"?>
<ds:datastoreItem xmlns:ds="http://schemas.openxmlformats.org/officeDocument/2006/customXml" ds:itemID="{CB023BEE-A991-46D7-9CA7-A4D961E6E04A}"/>
</file>

<file path=customXml/itemProps2.xml><?xml version="1.0" encoding="utf-8"?>
<ds:datastoreItem xmlns:ds="http://schemas.openxmlformats.org/officeDocument/2006/customXml" ds:itemID="{8C20CD91-B8EE-42FD-A5BC-F27B9810FE40}"/>
</file>

<file path=customXml/itemProps3.xml><?xml version="1.0" encoding="utf-8"?>
<ds:datastoreItem xmlns:ds="http://schemas.openxmlformats.org/officeDocument/2006/customXml" ds:itemID="{FFDEE69B-153D-442A-9EF5-AD36B6B0AA39}"/>
</file>

<file path=customXml/itemProps4.xml><?xml version="1.0" encoding="utf-8"?>
<ds:datastoreItem xmlns:ds="http://schemas.openxmlformats.org/officeDocument/2006/customXml" ds:itemID="{4EC57808-1C1D-4F71-AC7D-DDD88E220E05}"/>
</file>

<file path=customXml/itemProps5.xml><?xml version="1.0" encoding="utf-8"?>
<ds:datastoreItem xmlns:ds="http://schemas.openxmlformats.org/officeDocument/2006/customXml" ds:itemID="{36A0D4FD-B862-488C-925F-AA4C72ACF964}"/>
</file>

<file path=docProps/app.xml><?xml version="1.0" encoding="utf-8"?>
<Properties xmlns="http://schemas.openxmlformats.org/officeDocument/2006/extended-properties" xmlns:vt="http://schemas.openxmlformats.org/officeDocument/2006/docPropsVTypes">
  <Template>91A4694.dotm</Template>
  <TotalTime>123</TotalTime>
  <Pages>22</Pages>
  <Words>10413</Words>
  <Characters>59356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Thomson, Rowena</dc:creator>
  <cp:lastModifiedBy>Kim, Clare</cp:lastModifiedBy>
  <cp:revision>10</cp:revision>
  <dcterms:created xsi:type="dcterms:W3CDTF">2017-07-12T03:09:00Z</dcterms:created>
  <dcterms:modified xsi:type="dcterms:W3CDTF">2017-07-21T05:38:00Z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0x010100BB2CA5D4910ACE4AADB481B488BD147400FA829B4AF55F244EAE47CDC9BD732406</vt:lpwstr>
  </property>
</Properties>
</file>