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F2655" w:rsidRDefault="00193461" w:rsidP="00C63713">
      <w:pPr>
        <w:rPr>
          <w:sz w:val="28"/>
        </w:rPr>
      </w:pPr>
      <w:r w:rsidRPr="00FF2655">
        <w:rPr>
          <w:noProof/>
          <w:lang w:eastAsia="en-AU"/>
        </w:rPr>
        <w:drawing>
          <wp:inline distT="0" distB="0" distL="0" distR="0" wp14:anchorId="7D5FDA9A" wp14:editId="61524DDD">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FF2655" w:rsidRDefault="0048364F" w:rsidP="0048364F">
      <w:pPr>
        <w:rPr>
          <w:sz w:val="19"/>
        </w:rPr>
      </w:pPr>
    </w:p>
    <w:p w:rsidR="0048364F" w:rsidRPr="00FF2655" w:rsidRDefault="006919A2" w:rsidP="0048364F">
      <w:pPr>
        <w:pStyle w:val="ShortT"/>
      </w:pPr>
      <w:r w:rsidRPr="00FF2655">
        <w:t xml:space="preserve">Ozone Protection and Synthetic Greenhouse Gas </w:t>
      </w:r>
      <w:r w:rsidR="00B76247" w:rsidRPr="00FF2655">
        <w:t xml:space="preserve">Management </w:t>
      </w:r>
      <w:r w:rsidR="00980493" w:rsidRPr="00FF2655">
        <w:t xml:space="preserve">Legislation </w:t>
      </w:r>
      <w:r w:rsidRPr="00FF2655">
        <w:t xml:space="preserve">Amendment </w:t>
      </w:r>
      <w:r w:rsidR="001F4DBC" w:rsidRPr="00FF2655">
        <w:t>(2017 Measures No</w:t>
      </w:r>
      <w:r w:rsidR="00740597" w:rsidRPr="00FF2655">
        <w:t>.</w:t>
      </w:r>
      <w:r w:rsidR="00FF2655" w:rsidRPr="00FF2655">
        <w:t> </w:t>
      </w:r>
      <w:r w:rsidR="001F4DBC" w:rsidRPr="00FF2655">
        <w:t xml:space="preserve">1) </w:t>
      </w:r>
      <w:r w:rsidRPr="00FF2655">
        <w:t>Regulations</w:t>
      </w:r>
      <w:r w:rsidR="00FF2655" w:rsidRPr="00FF2655">
        <w:t> </w:t>
      </w:r>
      <w:r w:rsidRPr="00FF2655">
        <w:t>2017</w:t>
      </w:r>
    </w:p>
    <w:p w:rsidR="006919A2" w:rsidRPr="00FF2655" w:rsidRDefault="006919A2" w:rsidP="006E45B5">
      <w:pPr>
        <w:pStyle w:val="SignCoverPageStart"/>
        <w:spacing w:before="240"/>
        <w:rPr>
          <w:szCs w:val="22"/>
        </w:rPr>
      </w:pPr>
      <w:r w:rsidRPr="00FF2655">
        <w:rPr>
          <w:szCs w:val="22"/>
        </w:rPr>
        <w:t>I, General the Honourable Sir Peter Cosgrove AK MC (</w:t>
      </w:r>
      <w:proofErr w:type="spellStart"/>
      <w:r w:rsidRPr="00FF2655">
        <w:rPr>
          <w:szCs w:val="22"/>
        </w:rPr>
        <w:t>Ret</w:t>
      </w:r>
      <w:r w:rsidR="006360F9" w:rsidRPr="00FF2655">
        <w:rPr>
          <w:szCs w:val="22"/>
        </w:rPr>
        <w:t>’</w:t>
      </w:r>
      <w:r w:rsidRPr="00FF2655">
        <w:rPr>
          <w:szCs w:val="22"/>
        </w:rPr>
        <w:t>d</w:t>
      </w:r>
      <w:proofErr w:type="spellEnd"/>
      <w:r w:rsidRPr="00FF2655">
        <w:rPr>
          <w:szCs w:val="22"/>
        </w:rPr>
        <w:t xml:space="preserve">), </w:t>
      </w:r>
      <w:r w:rsidR="00FF2655" w:rsidRPr="00FF2655">
        <w:rPr>
          <w:szCs w:val="22"/>
        </w:rPr>
        <w:t>Governor</w:t>
      </w:r>
      <w:r w:rsidR="00FF2655">
        <w:rPr>
          <w:szCs w:val="22"/>
        </w:rPr>
        <w:noBreakHyphen/>
      </w:r>
      <w:r w:rsidR="00FF2655" w:rsidRPr="00FF2655">
        <w:rPr>
          <w:szCs w:val="22"/>
        </w:rPr>
        <w:t>General</w:t>
      </w:r>
      <w:r w:rsidRPr="00FF2655">
        <w:rPr>
          <w:szCs w:val="22"/>
        </w:rPr>
        <w:t xml:space="preserve"> of the Commonwealth of Australia, acting with the advice of the Federal Executive Council, make the following regulation</w:t>
      </w:r>
      <w:r w:rsidR="009F3096" w:rsidRPr="00FF2655">
        <w:rPr>
          <w:szCs w:val="22"/>
        </w:rPr>
        <w:t>s</w:t>
      </w:r>
      <w:r w:rsidR="00740597" w:rsidRPr="00FF2655">
        <w:rPr>
          <w:szCs w:val="22"/>
        </w:rPr>
        <w:t>.</w:t>
      </w:r>
    </w:p>
    <w:p w:rsidR="006919A2" w:rsidRPr="00FF2655" w:rsidRDefault="006919A2" w:rsidP="006E45B5">
      <w:pPr>
        <w:keepNext/>
        <w:spacing w:before="720" w:line="240" w:lineRule="atLeast"/>
        <w:ind w:right="397"/>
        <w:jc w:val="both"/>
        <w:rPr>
          <w:szCs w:val="22"/>
        </w:rPr>
      </w:pPr>
      <w:r w:rsidRPr="00FF2655">
        <w:rPr>
          <w:szCs w:val="22"/>
        </w:rPr>
        <w:t xml:space="preserve">Dated </w:t>
      </w:r>
      <w:bookmarkStart w:id="0" w:name="BKCheck15B_1"/>
      <w:bookmarkEnd w:id="0"/>
      <w:r w:rsidRPr="00FF2655">
        <w:rPr>
          <w:szCs w:val="22"/>
        </w:rPr>
        <w:fldChar w:fldCharType="begin"/>
      </w:r>
      <w:r w:rsidRPr="00FF2655">
        <w:rPr>
          <w:szCs w:val="22"/>
        </w:rPr>
        <w:instrText xml:space="preserve"> DOCPROPERTY  DateMade </w:instrText>
      </w:r>
      <w:r w:rsidRPr="00FF2655">
        <w:rPr>
          <w:szCs w:val="22"/>
        </w:rPr>
        <w:fldChar w:fldCharType="separate"/>
      </w:r>
      <w:r w:rsidR="009B59E4">
        <w:rPr>
          <w:szCs w:val="22"/>
        </w:rPr>
        <w:t>27 July 2017</w:t>
      </w:r>
      <w:r w:rsidRPr="00FF2655">
        <w:rPr>
          <w:szCs w:val="22"/>
        </w:rPr>
        <w:fldChar w:fldCharType="end"/>
      </w:r>
    </w:p>
    <w:p w:rsidR="006919A2" w:rsidRPr="00FF2655" w:rsidRDefault="006919A2" w:rsidP="006E45B5">
      <w:pPr>
        <w:keepNext/>
        <w:tabs>
          <w:tab w:val="left" w:pos="3402"/>
        </w:tabs>
        <w:spacing w:before="1080" w:line="300" w:lineRule="atLeast"/>
        <w:ind w:left="397" w:right="397"/>
        <w:jc w:val="right"/>
        <w:rPr>
          <w:szCs w:val="22"/>
        </w:rPr>
      </w:pPr>
      <w:r w:rsidRPr="00FF2655">
        <w:rPr>
          <w:szCs w:val="22"/>
        </w:rPr>
        <w:t>Peter Cosgrove</w:t>
      </w:r>
    </w:p>
    <w:p w:rsidR="006919A2" w:rsidRPr="00FF2655" w:rsidRDefault="00FF2655" w:rsidP="006E45B5">
      <w:pPr>
        <w:keepNext/>
        <w:tabs>
          <w:tab w:val="left" w:pos="3402"/>
        </w:tabs>
        <w:spacing w:line="300" w:lineRule="atLeast"/>
        <w:ind w:left="397" w:right="397"/>
        <w:jc w:val="right"/>
        <w:rPr>
          <w:szCs w:val="22"/>
        </w:rPr>
      </w:pPr>
      <w:r w:rsidRPr="00FF2655">
        <w:rPr>
          <w:szCs w:val="22"/>
        </w:rPr>
        <w:t>Governor</w:t>
      </w:r>
      <w:r>
        <w:rPr>
          <w:szCs w:val="22"/>
        </w:rPr>
        <w:noBreakHyphen/>
      </w:r>
      <w:r w:rsidRPr="00FF2655">
        <w:rPr>
          <w:szCs w:val="22"/>
        </w:rPr>
        <w:t>General</w:t>
      </w:r>
    </w:p>
    <w:p w:rsidR="006919A2" w:rsidRPr="00FF2655" w:rsidRDefault="006919A2" w:rsidP="006E45B5">
      <w:pPr>
        <w:keepNext/>
        <w:tabs>
          <w:tab w:val="left" w:pos="3402"/>
        </w:tabs>
        <w:spacing w:before="840" w:after="1080" w:line="300" w:lineRule="atLeast"/>
        <w:ind w:right="397"/>
        <w:rPr>
          <w:szCs w:val="22"/>
        </w:rPr>
      </w:pPr>
      <w:r w:rsidRPr="00FF2655">
        <w:rPr>
          <w:szCs w:val="22"/>
        </w:rPr>
        <w:t>By His Excellency</w:t>
      </w:r>
      <w:r w:rsidR="006360F9" w:rsidRPr="00FF2655">
        <w:rPr>
          <w:szCs w:val="22"/>
        </w:rPr>
        <w:t>’</w:t>
      </w:r>
      <w:r w:rsidRPr="00FF2655">
        <w:rPr>
          <w:szCs w:val="22"/>
        </w:rPr>
        <w:t>s Command</w:t>
      </w:r>
    </w:p>
    <w:p w:rsidR="006919A2" w:rsidRPr="00FF2655" w:rsidRDefault="006919A2" w:rsidP="006E45B5">
      <w:pPr>
        <w:keepNext/>
        <w:tabs>
          <w:tab w:val="left" w:pos="3402"/>
        </w:tabs>
        <w:spacing w:before="480" w:line="300" w:lineRule="atLeast"/>
        <w:ind w:right="397"/>
        <w:rPr>
          <w:szCs w:val="22"/>
        </w:rPr>
      </w:pPr>
      <w:r w:rsidRPr="00FF2655">
        <w:rPr>
          <w:szCs w:val="22"/>
        </w:rPr>
        <w:t xml:space="preserve">Josh </w:t>
      </w:r>
      <w:proofErr w:type="spellStart"/>
      <w:r w:rsidRPr="00FF2655">
        <w:rPr>
          <w:szCs w:val="22"/>
        </w:rPr>
        <w:t>Frydenberg</w:t>
      </w:r>
      <w:proofErr w:type="spellEnd"/>
    </w:p>
    <w:p w:rsidR="006919A2" w:rsidRPr="00FF2655" w:rsidRDefault="006919A2" w:rsidP="006E45B5">
      <w:pPr>
        <w:pStyle w:val="SignCoverPageEnd"/>
        <w:rPr>
          <w:szCs w:val="22"/>
        </w:rPr>
      </w:pPr>
      <w:r w:rsidRPr="00FF2655">
        <w:rPr>
          <w:szCs w:val="22"/>
        </w:rPr>
        <w:t>Minister for the Environment and Energy</w:t>
      </w:r>
    </w:p>
    <w:p w:rsidR="006919A2" w:rsidRPr="00FF2655" w:rsidRDefault="006919A2" w:rsidP="006E45B5"/>
    <w:p w:rsidR="006919A2" w:rsidRPr="00FF2655" w:rsidRDefault="006919A2" w:rsidP="006E45B5"/>
    <w:p w:rsidR="006919A2" w:rsidRPr="00FF2655" w:rsidRDefault="006919A2" w:rsidP="006E45B5"/>
    <w:p w:rsidR="006919A2" w:rsidRPr="00FF2655" w:rsidRDefault="006919A2" w:rsidP="006919A2"/>
    <w:p w:rsidR="0048364F" w:rsidRPr="00FF2655" w:rsidRDefault="0048364F" w:rsidP="0048364F">
      <w:pPr>
        <w:pStyle w:val="Header"/>
        <w:tabs>
          <w:tab w:val="clear" w:pos="4150"/>
          <w:tab w:val="clear" w:pos="8307"/>
        </w:tabs>
      </w:pPr>
      <w:r w:rsidRPr="00FF2655">
        <w:rPr>
          <w:rStyle w:val="CharAmSchNo"/>
        </w:rPr>
        <w:t xml:space="preserve"> </w:t>
      </w:r>
      <w:r w:rsidRPr="00FF2655">
        <w:rPr>
          <w:rStyle w:val="CharAmSchText"/>
        </w:rPr>
        <w:t xml:space="preserve"> </w:t>
      </w:r>
    </w:p>
    <w:p w:rsidR="0048364F" w:rsidRPr="00FF2655" w:rsidRDefault="0048364F" w:rsidP="0048364F">
      <w:pPr>
        <w:pStyle w:val="Header"/>
        <w:tabs>
          <w:tab w:val="clear" w:pos="4150"/>
          <w:tab w:val="clear" w:pos="8307"/>
        </w:tabs>
      </w:pPr>
      <w:r w:rsidRPr="00FF2655">
        <w:rPr>
          <w:rStyle w:val="CharAmPartNo"/>
        </w:rPr>
        <w:t xml:space="preserve"> </w:t>
      </w:r>
      <w:r w:rsidRPr="00FF2655">
        <w:rPr>
          <w:rStyle w:val="CharAmPartText"/>
        </w:rPr>
        <w:t xml:space="preserve"> </w:t>
      </w:r>
    </w:p>
    <w:p w:rsidR="0048364F" w:rsidRPr="00FF2655" w:rsidRDefault="0048364F" w:rsidP="0048364F">
      <w:pPr>
        <w:sectPr w:rsidR="0048364F" w:rsidRPr="00FF2655" w:rsidSect="00655AC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48364F" w:rsidRPr="00FF2655" w:rsidRDefault="0048364F" w:rsidP="00AE4736">
      <w:pPr>
        <w:rPr>
          <w:sz w:val="36"/>
        </w:rPr>
      </w:pPr>
      <w:r w:rsidRPr="00FF2655">
        <w:rPr>
          <w:sz w:val="36"/>
        </w:rPr>
        <w:lastRenderedPageBreak/>
        <w:t>Contents</w:t>
      </w:r>
    </w:p>
    <w:bookmarkStart w:id="1" w:name="BKCheck15B_2"/>
    <w:bookmarkEnd w:id="1"/>
    <w:p w:rsidR="00C91200" w:rsidRPr="00FF2655" w:rsidRDefault="00C91200">
      <w:pPr>
        <w:pStyle w:val="TOC5"/>
        <w:rPr>
          <w:rFonts w:asciiTheme="minorHAnsi" w:eastAsiaTheme="minorEastAsia" w:hAnsiTheme="minorHAnsi" w:cstheme="minorBidi"/>
          <w:noProof/>
          <w:kern w:val="0"/>
          <w:sz w:val="22"/>
          <w:szCs w:val="22"/>
        </w:rPr>
      </w:pPr>
      <w:r w:rsidRPr="00FF2655">
        <w:fldChar w:fldCharType="begin"/>
      </w:r>
      <w:r w:rsidRPr="00FF2655">
        <w:instrText xml:space="preserve"> TOC \o "1-9" </w:instrText>
      </w:r>
      <w:r w:rsidRPr="00FF2655">
        <w:fldChar w:fldCharType="separate"/>
      </w:r>
      <w:r w:rsidRPr="00FF2655">
        <w:rPr>
          <w:noProof/>
        </w:rPr>
        <w:t>1</w:t>
      </w:r>
      <w:r w:rsidRPr="00FF2655">
        <w:rPr>
          <w:noProof/>
        </w:rPr>
        <w:tab/>
        <w:t>Name</w:t>
      </w:r>
      <w:r w:rsidRPr="00FF2655">
        <w:rPr>
          <w:noProof/>
        </w:rPr>
        <w:tab/>
      </w:r>
      <w:r w:rsidRPr="00FF2655">
        <w:rPr>
          <w:noProof/>
        </w:rPr>
        <w:fldChar w:fldCharType="begin"/>
      </w:r>
      <w:r w:rsidRPr="00FF2655">
        <w:rPr>
          <w:noProof/>
        </w:rPr>
        <w:instrText xml:space="preserve"> PAGEREF _Toc487631686 \h </w:instrText>
      </w:r>
      <w:r w:rsidRPr="00FF2655">
        <w:rPr>
          <w:noProof/>
        </w:rPr>
      </w:r>
      <w:r w:rsidRPr="00FF2655">
        <w:rPr>
          <w:noProof/>
        </w:rPr>
        <w:fldChar w:fldCharType="separate"/>
      </w:r>
      <w:r w:rsidR="009B59E4">
        <w:rPr>
          <w:noProof/>
        </w:rPr>
        <w:t>1</w:t>
      </w:r>
      <w:r w:rsidRPr="00FF2655">
        <w:rPr>
          <w:noProof/>
        </w:rPr>
        <w:fldChar w:fldCharType="end"/>
      </w:r>
    </w:p>
    <w:p w:rsidR="00C91200" w:rsidRPr="00FF2655" w:rsidRDefault="00C91200">
      <w:pPr>
        <w:pStyle w:val="TOC5"/>
        <w:rPr>
          <w:rFonts w:asciiTheme="minorHAnsi" w:eastAsiaTheme="minorEastAsia" w:hAnsiTheme="minorHAnsi" w:cstheme="minorBidi"/>
          <w:noProof/>
          <w:kern w:val="0"/>
          <w:sz w:val="22"/>
          <w:szCs w:val="22"/>
        </w:rPr>
      </w:pPr>
      <w:r w:rsidRPr="00FF2655">
        <w:rPr>
          <w:noProof/>
        </w:rPr>
        <w:t>2</w:t>
      </w:r>
      <w:r w:rsidRPr="00FF2655">
        <w:rPr>
          <w:noProof/>
        </w:rPr>
        <w:tab/>
        <w:t>Commencement</w:t>
      </w:r>
      <w:r w:rsidRPr="00FF2655">
        <w:rPr>
          <w:noProof/>
        </w:rPr>
        <w:tab/>
      </w:r>
      <w:r w:rsidRPr="00FF2655">
        <w:rPr>
          <w:noProof/>
        </w:rPr>
        <w:fldChar w:fldCharType="begin"/>
      </w:r>
      <w:r w:rsidRPr="00FF2655">
        <w:rPr>
          <w:noProof/>
        </w:rPr>
        <w:instrText xml:space="preserve"> PAGEREF _Toc487631687 \h </w:instrText>
      </w:r>
      <w:r w:rsidRPr="00FF2655">
        <w:rPr>
          <w:noProof/>
        </w:rPr>
      </w:r>
      <w:r w:rsidRPr="00FF2655">
        <w:rPr>
          <w:noProof/>
        </w:rPr>
        <w:fldChar w:fldCharType="separate"/>
      </w:r>
      <w:r w:rsidR="009B59E4">
        <w:rPr>
          <w:noProof/>
        </w:rPr>
        <w:t>1</w:t>
      </w:r>
      <w:r w:rsidRPr="00FF2655">
        <w:rPr>
          <w:noProof/>
        </w:rPr>
        <w:fldChar w:fldCharType="end"/>
      </w:r>
    </w:p>
    <w:p w:rsidR="00C91200" w:rsidRPr="00FF2655" w:rsidRDefault="00C91200">
      <w:pPr>
        <w:pStyle w:val="TOC5"/>
        <w:rPr>
          <w:rFonts w:asciiTheme="minorHAnsi" w:eastAsiaTheme="minorEastAsia" w:hAnsiTheme="minorHAnsi" w:cstheme="minorBidi"/>
          <w:noProof/>
          <w:kern w:val="0"/>
          <w:sz w:val="22"/>
          <w:szCs w:val="22"/>
        </w:rPr>
      </w:pPr>
      <w:r w:rsidRPr="00FF2655">
        <w:rPr>
          <w:noProof/>
        </w:rPr>
        <w:t>3</w:t>
      </w:r>
      <w:r w:rsidRPr="00FF2655">
        <w:rPr>
          <w:noProof/>
        </w:rPr>
        <w:tab/>
        <w:t>Authority</w:t>
      </w:r>
      <w:r w:rsidRPr="00FF2655">
        <w:rPr>
          <w:noProof/>
        </w:rPr>
        <w:tab/>
      </w:r>
      <w:r w:rsidRPr="00FF2655">
        <w:rPr>
          <w:noProof/>
        </w:rPr>
        <w:fldChar w:fldCharType="begin"/>
      </w:r>
      <w:r w:rsidRPr="00FF2655">
        <w:rPr>
          <w:noProof/>
        </w:rPr>
        <w:instrText xml:space="preserve"> PAGEREF _Toc487631688 \h </w:instrText>
      </w:r>
      <w:r w:rsidRPr="00FF2655">
        <w:rPr>
          <w:noProof/>
        </w:rPr>
      </w:r>
      <w:r w:rsidRPr="00FF2655">
        <w:rPr>
          <w:noProof/>
        </w:rPr>
        <w:fldChar w:fldCharType="separate"/>
      </w:r>
      <w:r w:rsidR="009B59E4">
        <w:rPr>
          <w:noProof/>
        </w:rPr>
        <w:t>1</w:t>
      </w:r>
      <w:r w:rsidRPr="00FF2655">
        <w:rPr>
          <w:noProof/>
        </w:rPr>
        <w:fldChar w:fldCharType="end"/>
      </w:r>
    </w:p>
    <w:p w:rsidR="00C91200" w:rsidRPr="00FF2655" w:rsidRDefault="00C91200">
      <w:pPr>
        <w:pStyle w:val="TOC5"/>
        <w:rPr>
          <w:rFonts w:asciiTheme="minorHAnsi" w:eastAsiaTheme="minorEastAsia" w:hAnsiTheme="minorHAnsi" w:cstheme="minorBidi"/>
          <w:noProof/>
          <w:kern w:val="0"/>
          <w:sz w:val="22"/>
          <w:szCs w:val="22"/>
        </w:rPr>
      </w:pPr>
      <w:r w:rsidRPr="00FF2655">
        <w:rPr>
          <w:noProof/>
        </w:rPr>
        <w:t>4</w:t>
      </w:r>
      <w:r w:rsidRPr="00FF2655">
        <w:rPr>
          <w:noProof/>
        </w:rPr>
        <w:tab/>
        <w:t>Schedules</w:t>
      </w:r>
      <w:r w:rsidRPr="00FF2655">
        <w:rPr>
          <w:noProof/>
        </w:rPr>
        <w:tab/>
      </w:r>
      <w:r w:rsidRPr="00FF2655">
        <w:rPr>
          <w:noProof/>
        </w:rPr>
        <w:fldChar w:fldCharType="begin"/>
      </w:r>
      <w:r w:rsidRPr="00FF2655">
        <w:rPr>
          <w:noProof/>
        </w:rPr>
        <w:instrText xml:space="preserve"> PAGEREF _Toc487631689 \h </w:instrText>
      </w:r>
      <w:r w:rsidRPr="00FF2655">
        <w:rPr>
          <w:noProof/>
        </w:rPr>
      </w:r>
      <w:r w:rsidRPr="00FF2655">
        <w:rPr>
          <w:noProof/>
        </w:rPr>
        <w:fldChar w:fldCharType="separate"/>
      </w:r>
      <w:r w:rsidR="009B59E4">
        <w:rPr>
          <w:noProof/>
        </w:rPr>
        <w:t>1</w:t>
      </w:r>
      <w:r w:rsidRPr="00FF2655">
        <w:rPr>
          <w:noProof/>
        </w:rPr>
        <w:fldChar w:fldCharType="end"/>
      </w:r>
    </w:p>
    <w:p w:rsidR="00C91200" w:rsidRPr="00FF2655" w:rsidRDefault="00C91200">
      <w:pPr>
        <w:pStyle w:val="TOC6"/>
        <w:rPr>
          <w:rFonts w:asciiTheme="minorHAnsi" w:eastAsiaTheme="minorEastAsia" w:hAnsiTheme="minorHAnsi" w:cstheme="minorBidi"/>
          <w:b w:val="0"/>
          <w:noProof/>
          <w:kern w:val="0"/>
          <w:sz w:val="22"/>
          <w:szCs w:val="22"/>
        </w:rPr>
      </w:pPr>
      <w:r w:rsidRPr="00FF2655">
        <w:rPr>
          <w:noProof/>
        </w:rPr>
        <w:t>Schedule</w:t>
      </w:r>
      <w:r w:rsidR="00FF2655" w:rsidRPr="00FF2655">
        <w:rPr>
          <w:noProof/>
        </w:rPr>
        <w:t> </w:t>
      </w:r>
      <w:r w:rsidRPr="00FF2655">
        <w:rPr>
          <w:noProof/>
        </w:rPr>
        <w:t>1—Amendments commencing 1</w:t>
      </w:r>
      <w:r w:rsidR="00FF2655" w:rsidRPr="00FF2655">
        <w:rPr>
          <w:noProof/>
        </w:rPr>
        <w:t> </w:t>
      </w:r>
      <w:r w:rsidRPr="00FF2655">
        <w:rPr>
          <w:noProof/>
        </w:rPr>
        <w:t>August 2017</w:t>
      </w:r>
      <w:r w:rsidRPr="00FF2655">
        <w:rPr>
          <w:b w:val="0"/>
          <w:noProof/>
          <w:sz w:val="18"/>
        </w:rPr>
        <w:tab/>
      </w:r>
      <w:r w:rsidRPr="00FF2655">
        <w:rPr>
          <w:b w:val="0"/>
          <w:noProof/>
          <w:sz w:val="18"/>
        </w:rPr>
        <w:fldChar w:fldCharType="begin"/>
      </w:r>
      <w:r w:rsidRPr="00FF2655">
        <w:rPr>
          <w:b w:val="0"/>
          <w:noProof/>
          <w:sz w:val="18"/>
        </w:rPr>
        <w:instrText xml:space="preserve"> PAGEREF _Toc487631690 \h </w:instrText>
      </w:r>
      <w:r w:rsidRPr="00FF2655">
        <w:rPr>
          <w:b w:val="0"/>
          <w:noProof/>
          <w:sz w:val="18"/>
        </w:rPr>
      </w:r>
      <w:r w:rsidRPr="00FF2655">
        <w:rPr>
          <w:b w:val="0"/>
          <w:noProof/>
          <w:sz w:val="18"/>
        </w:rPr>
        <w:fldChar w:fldCharType="separate"/>
      </w:r>
      <w:r w:rsidR="009B59E4">
        <w:rPr>
          <w:b w:val="0"/>
          <w:noProof/>
          <w:sz w:val="18"/>
        </w:rPr>
        <w:t>2</w:t>
      </w:r>
      <w:r w:rsidRPr="00FF2655">
        <w:rPr>
          <w:b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1—HFCs</w:t>
      </w:r>
      <w:r w:rsidRPr="00FF2655">
        <w:rPr>
          <w:noProof/>
          <w:sz w:val="18"/>
        </w:rPr>
        <w:tab/>
      </w:r>
      <w:r w:rsidRPr="00FF2655">
        <w:rPr>
          <w:noProof/>
          <w:sz w:val="18"/>
        </w:rPr>
        <w:fldChar w:fldCharType="begin"/>
      </w:r>
      <w:r w:rsidRPr="00FF2655">
        <w:rPr>
          <w:noProof/>
          <w:sz w:val="18"/>
        </w:rPr>
        <w:instrText xml:space="preserve"> PAGEREF _Toc487631691 \h </w:instrText>
      </w:r>
      <w:r w:rsidRPr="00FF2655">
        <w:rPr>
          <w:noProof/>
          <w:sz w:val="18"/>
        </w:rPr>
      </w:r>
      <w:r w:rsidRPr="00FF2655">
        <w:rPr>
          <w:noProof/>
          <w:sz w:val="18"/>
        </w:rPr>
        <w:fldChar w:fldCharType="separate"/>
      </w:r>
      <w:r w:rsidR="009B59E4">
        <w:rPr>
          <w:noProof/>
          <w:sz w:val="18"/>
        </w:rPr>
        <w:t>2</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(Import Levy) Regulations</w:t>
      </w:r>
      <w:r w:rsidR="00FF2655" w:rsidRPr="00FF2655">
        <w:rPr>
          <w:noProof/>
        </w:rPr>
        <w:t> </w:t>
      </w:r>
      <w:r w:rsidRPr="00FF2655">
        <w:rPr>
          <w:noProof/>
        </w:rPr>
        <w:t>2004</w:t>
      </w:r>
      <w:r w:rsidRPr="00FF2655">
        <w:rPr>
          <w:i w:val="0"/>
          <w:noProof/>
          <w:sz w:val="18"/>
        </w:rPr>
        <w:tab/>
      </w:r>
      <w:r w:rsidRPr="00FF2655">
        <w:rPr>
          <w:i w:val="0"/>
          <w:noProof/>
          <w:sz w:val="18"/>
        </w:rPr>
        <w:fldChar w:fldCharType="begin"/>
      </w:r>
      <w:r w:rsidRPr="00FF2655">
        <w:rPr>
          <w:i w:val="0"/>
          <w:noProof/>
          <w:sz w:val="18"/>
        </w:rPr>
        <w:instrText xml:space="preserve"> PAGEREF _Toc487631692 \h </w:instrText>
      </w:r>
      <w:r w:rsidRPr="00FF2655">
        <w:rPr>
          <w:i w:val="0"/>
          <w:noProof/>
          <w:sz w:val="18"/>
        </w:rPr>
      </w:r>
      <w:r w:rsidRPr="00FF2655">
        <w:rPr>
          <w:i w:val="0"/>
          <w:noProof/>
          <w:sz w:val="18"/>
        </w:rPr>
        <w:fldChar w:fldCharType="separate"/>
      </w:r>
      <w:r w:rsidR="009B59E4">
        <w:rPr>
          <w:i w:val="0"/>
          <w:noProof/>
          <w:sz w:val="18"/>
        </w:rPr>
        <w:t>2</w:t>
      </w:r>
      <w:r w:rsidRPr="00FF2655">
        <w:rPr>
          <w:i w:val="0"/>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_Toc487631693 \h </w:instrText>
      </w:r>
      <w:r w:rsidRPr="00FF2655">
        <w:rPr>
          <w:i w:val="0"/>
          <w:noProof/>
          <w:sz w:val="18"/>
        </w:rPr>
      </w:r>
      <w:r w:rsidRPr="00FF2655">
        <w:rPr>
          <w:i w:val="0"/>
          <w:noProof/>
          <w:sz w:val="18"/>
        </w:rPr>
        <w:fldChar w:fldCharType="separate"/>
      </w:r>
      <w:r w:rsidR="009B59E4">
        <w:rPr>
          <w:i w:val="0"/>
          <w:noProof/>
          <w:sz w:val="18"/>
        </w:rPr>
        <w:t>2</w:t>
      </w:r>
      <w:r w:rsidRPr="00FF2655">
        <w:rPr>
          <w:i w:val="0"/>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(Manufacture Levy) Regulations</w:t>
      </w:r>
      <w:r w:rsidR="00FF2655" w:rsidRPr="00FF2655">
        <w:rPr>
          <w:noProof/>
        </w:rPr>
        <w:t> </w:t>
      </w:r>
      <w:r w:rsidRPr="00FF2655">
        <w:rPr>
          <w:noProof/>
        </w:rPr>
        <w:t>2004</w:t>
      </w:r>
      <w:r w:rsidRPr="00FF2655">
        <w:rPr>
          <w:i w:val="0"/>
          <w:noProof/>
          <w:sz w:val="18"/>
        </w:rPr>
        <w:tab/>
      </w:r>
      <w:r w:rsidRPr="00FF2655">
        <w:rPr>
          <w:i w:val="0"/>
          <w:noProof/>
          <w:sz w:val="18"/>
        </w:rPr>
        <w:fldChar w:fldCharType="begin"/>
      </w:r>
      <w:r w:rsidRPr="00FF2655">
        <w:rPr>
          <w:i w:val="0"/>
          <w:noProof/>
          <w:sz w:val="18"/>
        </w:rPr>
        <w:instrText xml:space="preserve"> PAGEREF _Toc487631722 \h </w:instrText>
      </w:r>
      <w:r w:rsidRPr="00FF2655">
        <w:rPr>
          <w:i w:val="0"/>
          <w:noProof/>
          <w:sz w:val="18"/>
        </w:rPr>
      </w:r>
      <w:r w:rsidRPr="00FF2655">
        <w:rPr>
          <w:i w:val="0"/>
          <w:noProof/>
          <w:sz w:val="18"/>
        </w:rPr>
        <w:fldChar w:fldCharType="separate"/>
      </w:r>
      <w:r w:rsidR="009B59E4">
        <w:rPr>
          <w:i w:val="0"/>
          <w:noProof/>
          <w:sz w:val="18"/>
        </w:rPr>
        <w:t>16</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2—References to equipment and products</w:t>
      </w:r>
      <w:r w:rsidRPr="00FF2655">
        <w:rPr>
          <w:noProof/>
          <w:sz w:val="18"/>
        </w:rPr>
        <w:tab/>
      </w:r>
      <w:r w:rsidRPr="00FF2655">
        <w:rPr>
          <w:noProof/>
          <w:sz w:val="18"/>
        </w:rPr>
        <w:fldChar w:fldCharType="begin"/>
      </w:r>
      <w:r w:rsidRPr="00FF2655">
        <w:rPr>
          <w:noProof/>
          <w:sz w:val="18"/>
        </w:rPr>
        <w:instrText xml:space="preserve"> PAGEREF _Toc487631723 \h </w:instrText>
      </w:r>
      <w:r w:rsidRPr="00FF2655">
        <w:rPr>
          <w:noProof/>
          <w:sz w:val="18"/>
        </w:rPr>
      </w:r>
      <w:r w:rsidRPr="00FF2655">
        <w:rPr>
          <w:noProof/>
          <w:sz w:val="18"/>
        </w:rPr>
        <w:fldChar w:fldCharType="separate"/>
      </w:r>
      <w:r w:rsidR="009B59E4">
        <w:rPr>
          <w:noProof/>
          <w:sz w:val="18"/>
        </w:rPr>
        <w:t>17</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_Toc487631724 \h </w:instrText>
      </w:r>
      <w:r w:rsidRPr="00FF2655">
        <w:rPr>
          <w:i w:val="0"/>
          <w:noProof/>
          <w:sz w:val="18"/>
        </w:rPr>
      </w:r>
      <w:r w:rsidRPr="00FF2655">
        <w:rPr>
          <w:i w:val="0"/>
          <w:noProof/>
          <w:sz w:val="18"/>
        </w:rPr>
        <w:fldChar w:fldCharType="separate"/>
      </w:r>
      <w:r w:rsidR="009B59E4">
        <w:rPr>
          <w:i w:val="0"/>
          <w:noProof/>
          <w:sz w:val="18"/>
        </w:rPr>
        <w:t>17</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3—References to the Navigation Act 1912</w:t>
      </w:r>
      <w:r w:rsidRPr="00FF2655">
        <w:rPr>
          <w:noProof/>
          <w:sz w:val="18"/>
        </w:rPr>
        <w:tab/>
      </w:r>
      <w:r w:rsidRPr="00FF2655">
        <w:rPr>
          <w:noProof/>
          <w:sz w:val="18"/>
        </w:rPr>
        <w:fldChar w:fldCharType="begin"/>
      </w:r>
      <w:r w:rsidRPr="00FF2655">
        <w:rPr>
          <w:noProof/>
          <w:sz w:val="18"/>
        </w:rPr>
        <w:instrText xml:space="preserve"> PAGEREF _Toc487631727 \h </w:instrText>
      </w:r>
      <w:r w:rsidRPr="00FF2655">
        <w:rPr>
          <w:noProof/>
          <w:sz w:val="18"/>
        </w:rPr>
      </w:r>
      <w:r w:rsidRPr="00FF2655">
        <w:rPr>
          <w:noProof/>
          <w:sz w:val="18"/>
        </w:rPr>
        <w:fldChar w:fldCharType="separate"/>
      </w:r>
      <w:r w:rsidR="009B59E4">
        <w:rPr>
          <w:noProof/>
          <w:sz w:val="18"/>
        </w:rPr>
        <w:t>19</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_Toc487631728 \h </w:instrText>
      </w:r>
      <w:r w:rsidRPr="00FF2655">
        <w:rPr>
          <w:i w:val="0"/>
          <w:noProof/>
          <w:sz w:val="18"/>
        </w:rPr>
      </w:r>
      <w:r w:rsidRPr="00FF2655">
        <w:rPr>
          <w:i w:val="0"/>
          <w:noProof/>
          <w:sz w:val="18"/>
        </w:rPr>
        <w:fldChar w:fldCharType="separate"/>
      </w:r>
      <w:r w:rsidR="009B59E4">
        <w:rPr>
          <w:i w:val="0"/>
          <w:noProof/>
          <w:sz w:val="18"/>
        </w:rPr>
        <w:t>19</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4—Delegations</w:t>
      </w:r>
      <w:r w:rsidRPr="00FF2655">
        <w:rPr>
          <w:noProof/>
          <w:sz w:val="18"/>
        </w:rPr>
        <w:tab/>
      </w:r>
      <w:r w:rsidRPr="00FF2655">
        <w:rPr>
          <w:noProof/>
          <w:sz w:val="18"/>
        </w:rPr>
        <w:fldChar w:fldCharType="begin"/>
      </w:r>
      <w:r w:rsidRPr="00FF2655">
        <w:rPr>
          <w:noProof/>
          <w:sz w:val="18"/>
        </w:rPr>
        <w:instrText xml:space="preserve"> PAGEREF _Toc487631729 \h </w:instrText>
      </w:r>
      <w:r w:rsidRPr="00FF2655">
        <w:rPr>
          <w:noProof/>
          <w:sz w:val="18"/>
        </w:rPr>
      </w:r>
      <w:r w:rsidRPr="00FF2655">
        <w:rPr>
          <w:noProof/>
          <w:sz w:val="18"/>
        </w:rPr>
        <w:fldChar w:fldCharType="separate"/>
      </w:r>
      <w:r w:rsidR="009B59E4">
        <w:rPr>
          <w:noProof/>
          <w:sz w:val="18"/>
        </w:rPr>
        <w:t>20</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_Toc487631730 \h </w:instrText>
      </w:r>
      <w:r w:rsidRPr="00FF2655">
        <w:rPr>
          <w:i w:val="0"/>
          <w:noProof/>
          <w:sz w:val="18"/>
        </w:rPr>
      </w:r>
      <w:r w:rsidRPr="00FF2655">
        <w:rPr>
          <w:i w:val="0"/>
          <w:noProof/>
          <w:sz w:val="18"/>
        </w:rPr>
        <w:fldChar w:fldCharType="separate"/>
      </w:r>
      <w:r w:rsidR="009B59E4">
        <w:rPr>
          <w:i w:val="0"/>
          <w:noProof/>
          <w:sz w:val="18"/>
        </w:rPr>
        <w:t>20</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5—Other amendments</w:t>
      </w:r>
      <w:r w:rsidRPr="00FF2655">
        <w:rPr>
          <w:noProof/>
          <w:sz w:val="18"/>
        </w:rPr>
        <w:tab/>
      </w:r>
      <w:r w:rsidRPr="00FF2655">
        <w:rPr>
          <w:noProof/>
          <w:sz w:val="18"/>
        </w:rPr>
        <w:fldChar w:fldCharType="begin"/>
      </w:r>
      <w:r w:rsidRPr="00FF2655">
        <w:rPr>
          <w:noProof/>
          <w:sz w:val="18"/>
        </w:rPr>
        <w:instrText xml:space="preserve"> PAGEREF _Toc487631732 \h </w:instrText>
      </w:r>
      <w:r w:rsidRPr="00FF2655">
        <w:rPr>
          <w:noProof/>
          <w:sz w:val="18"/>
        </w:rPr>
      </w:r>
      <w:r w:rsidRPr="00FF2655">
        <w:rPr>
          <w:noProof/>
          <w:sz w:val="18"/>
        </w:rPr>
        <w:fldChar w:fldCharType="separate"/>
      </w:r>
      <w:r w:rsidR="009B59E4">
        <w:rPr>
          <w:noProof/>
          <w:sz w:val="18"/>
        </w:rPr>
        <w:t>21</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_Toc487631733 \h </w:instrText>
      </w:r>
      <w:r w:rsidRPr="00FF2655">
        <w:rPr>
          <w:i w:val="0"/>
          <w:noProof/>
          <w:sz w:val="18"/>
        </w:rPr>
      </w:r>
      <w:r w:rsidRPr="00FF2655">
        <w:rPr>
          <w:i w:val="0"/>
          <w:noProof/>
          <w:sz w:val="18"/>
        </w:rPr>
        <w:fldChar w:fldCharType="separate"/>
      </w:r>
      <w:r w:rsidR="009B59E4">
        <w:rPr>
          <w:i w:val="0"/>
          <w:noProof/>
          <w:sz w:val="18"/>
        </w:rPr>
        <w:t>21</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6—Transitional provisions</w:t>
      </w:r>
      <w:r w:rsidRPr="00FF2655">
        <w:rPr>
          <w:noProof/>
          <w:sz w:val="18"/>
        </w:rPr>
        <w:tab/>
      </w:r>
      <w:r w:rsidRPr="00FF2655">
        <w:rPr>
          <w:noProof/>
          <w:sz w:val="18"/>
        </w:rPr>
        <w:fldChar w:fldCharType="begin"/>
      </w:r>
      <w:r w:rsidRPr="00FF2655">
        <w:rPr>
          <w:noProof/>
          <w:sz w:val="18"/>
        </w:rPr>
        <w:instrText xml:space="preserve"> PAGEREF _Toc487631734 \h </w:instrText>
      </w:r>
      <w:r w:rsidRPr="00FF2655">
        <w:rPr>
          <w:noProof/>
          <w:sz w:val="18"/>
        </w:rPr>
      </w:r>
      <w:r w:rsidRPr="00FF2655">
        <w:rPr>
          <w:noProof/>
          <w:sz w:val="18"/>
        </w:rPr>
        <w:fldChar w:fldCharType="separate"/>
      </w:r>
      <w:r w:rsidR="009B59E4">
        <w:rPr>
          <w:noProof/>
          <w:sz w:val="18"/>
        </w:rPr>
        <w:t>22</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_Toc487631735 \h </w:instrText>
      </w:r>
      <w:r w:rsidRPr="00FF2655">
        <w:rPr>
          <w:i w:val="0"/>
          <w:noProof/>
          <w:sz w:val="18"/>
        </w:rPr>
      </w:r>
      <w:r w:rsidRPr="00FF2655">
        <w:rPr>
          <w:i w:val="0"/>
          <w:noProof/>
          <w:sz w:val="18"/>
        </w:rPr>
        <w:fldChar w:fldCharType="separate"/>
      </w:r>
      <w:r w:rsidR="009B59E4">
        <w:rPr>
          <w:i w:val="0"/>
          <w:noProof/>
          <w:sz w:val="18"/>
        </w:rPr>
        <w:t>22</w:t>
      </w:r>
      <w:r w:rsidRPr="00FF2655">
        <w:rPr>
          <w:i w:val="0"/>
          <w:noProof/>
          <w:sz w:val="18"/>
        </w:rPr>
        <w:fldChar w:fldCharType="end"/>
      </w:r>
    </w:p>
    <w:p w:rsidR="00C91200" w:rsidRPr="00FF2655" w:rsidRDefault="00C91200">
      <w:pPr>
        <w:pStyle w:val="TOC6"/>
        <w:rPr>
          <w:rFonts w:asciiTheme="minorHAnsi" w:eastAsiaTheme="minorEastAsia" w:hAnsiTheme="minorHAnsi" w:cstheme="minorBidi"/>
          <w:b w:val="0"/>
          <w:noProof/>
          <w:kern w:val="0"/>
          <w:sz w:val="22"/>
          <w:szCs w:val="22"/>
        </w:rPr>
      </w:pPr>
      <w:r w:rsidRPr="00FF2655">
        <w:rPr>
          <w:noProof/>
        </w:rPr>
        <w:t>Schedule</w:t>
      </w:r>
      <w:r w:rsidR="00FF2655" w:rsidRPr="00FF2655">
        <w:rPr>
          <w:noProof/>
        </w:rPr>
        <w:t> </w:t>
      </w:r>
      <w:r w:rsidRPr="00FF2655">
        <w:rPr>
          <w:noProof/>
        </w:rPr>
        <w:t>2—Amendments commencing 1</w:t>
      </w:r>
      <w:r w:rsidR="00FF2655" w:rsidRPr="00FF2655">
        <w:rPr>
          <w:noProof/>
        </w:rPr>
        <w:t> </w:t>
      </w:r>
      <w:r w:rsidRPr="00FF2655">
        <w:rPr>
          <w:noProof/>
        </w:rPr>
        <w:t>January 2018</w:t>
      </w:r>
      <w:r w:rsidRPr="00FF2655">
        <w:rPr>
          <w:b w:val="0"/>
          <w:noProof/>
          <w:sz w:val="18"/>
        </w:rPr>
        <w:tab/>
      </w:r>
      <w:r w:rsidRPr="00FF2655">
        <w:rPr>
          <w:b w:val="0"/>
          <w:noProof/>
          <w:sz w:val="18"/>
        </w:rPr>
        <w:fldChar w:fldCharType="begin"/>
      </w:r>
      <w:r w:rsidRPr="00FF2655">
        <w:rPr>
          <w:b w:val="0"/>
          <w:noProof/>
          <w:sz w:val="18"/>
        </w:rPr>
        <w:instrText xml:space="preserve"> PAGEREF _Toc487631740 \h </w:instrText>
      </w:r>
      <w:r w:rsidRPr="00FF2655">
        <w:rPr>
          <w:b w:val="0"/>
          <w:noProof/>
          <w:sz w:val="18"/>
        </w:rPr>
      </w:r>
      <w:r w:rsidRPr="00FF2655">
        <w:rPr>
          <w:b w:val="0"/>
          <w:noProof/>
          <w:sz w:val="18"/>
        </w:rPr>
        <w:fldChar w:fldCharType="separate"/>
      </w:r>
      <w:r w:rsidR="009B59E4">
        <w:rPr>
          <w:b w:val="0"/>
          <w:noProof/>
          <w:sz w:val="18"/>
        </w:rPr>
        <w:t>23</w:t>
      </w:r>
      <w:r w:rsidRPr="00FF2655">
        <w:rPr>
          <w:b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1—Licences</w:t>
      </w:r>
      <w:r w:rsidRPr="00FF2655">
        <w:rPr>
          <w:noProof/>
          <w:sz w:val="18"/>
        </w:rPr>
        <w:tab/>
      </w:r>
      <w:r w:rsidRPr="00FF2655">
        <w:rPr>
          <w:noProof/>
          <w:sz w:val="18"/>
        </w:rPr>
        <w:fldChar w:fldCharType="begin"/>
      </w:r>
      <w:r w:rsidRPr="00FF2655">
        <w:rPr>
          <w:noProof/>
          <w:sz w:val="18"/>
        </w:rPr>
        <w:instrText xml:space="preserve"> PAGEREF _Toc487631741 \h </w:instrText>
      </w:r>
      <w:r w:rsidRPr="00FF2655">
        <w:rPr>
          <w:noProof/>
          <w:sz w:val="18"/>
        </w:rPr>
      </w:r>
      <w:r w:rsidRPr="00FF2655">
        <w:rPr>
          <w:noProof/>
          <w:sz w:val="18"/>
        </w:rPr>
        <w:fldChar w:fldCharType="separate"/>
      </w:r>
      <w:r w:rsidR="009B59E4">
        <w:rPr>
          <w:noProof/>
          <w:sz w:val="18"/>
        </w:rPr>
        <w:t>23</w:t>
      </w:r>
      <w:r w:rsidRPr="00FF2655">
        <w:rPr>
          <w:noProof/>
          <w:sz w:val="18"/>
        </w:rPr>
        <w:fldChar w:fldCharType="end"/>
      </w:r>
    </w:p>
    <w:p w:rsidR="00C91200" w:rsidRPr="00FF2655" w:rsidRDefault="00C91200">
      <w:pPr>
        <w:pStyle w:val="TOC8"/>
        <w:rPr>
          <w:rFonts w:asciiTheme="minorHAnsi" w:eastAsiaTheme="minorEastAsia" w:hAnsiTheme="minorHAnsi" w:cstheme="minorBidi"/>
          <w:noProof/>
          <w:kern w:val="0"/>
          <w:sz w:val="22"/>
          <w:szCs w:val="22"/>
        </w:rPr>
      </w:pPr>
      <w:r w:rsidRPr="00FF2655">
        <w:rPr>
          <w:noProof/>
        </w:rPr>
        <w:t>Division</w:t>
      </w:r>
      <w:r w:rsidR="00FF2655" w:rsidRPr="00FF2655">
        <w:rPr>
          <w:noProof/>
        </w:rPr>
        <w:t> </w:t>
      </w:r>
      <w:r w:rsidRPr="00FF2655">
        <w:rPr>
          <w:noProof/>
        </w:rPr>
        <w:t>1—Renewing licences</w:t>
      </w:r>
      <w:r w:rsidRPr="00FF2655">
        <w:rPr>
          <w:noProof/>
          <w:sz w:val="18"/>
        </w:rPr>
        <w:tab/>
      </w:r>
      <w:r w:rsidRPr="00FF2655">
        <w:rPr>
          <w:noProof/>
          <w:sz w:val="18"/>
        </w:rPr>
        <w:fldChar w:fldCharType="begin"/>
      </w:r>
      <w:r w:rsidRPr="00FF2655">
        <w:rPr>
          <w:noProof/>
          <w:sz w:val="18"/>
        </w:rPr>
        <w:instrText xml:space="preserve"> PAGEREF _Toc487631742 \h </w:instrText>
      </w:r>
      <w:r w:rsidRPr="00FF2655">
        <w:rPr>
          <w:noProof/>
          <w:sz w:val="18"/>
        </w:rPr>
      </w:r>
      <w:r w:rsidRPr="00FF2655">
        <w:rPr>
          <w:noProof/>
          <w:sz w:val="18"/>
        </w:rPr>
        <w:fldChar w:fldCharType="separate"/>
      </w:r>
      <w:r w:rsidR="009B59E4">
        <w:rPr>
          <w:noProof/>
          <w:sz w:val="18"/>
        </w:rPr>
        <w:t>23</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_Toc487631743 \h </w:instrText>
      </w:r>
      <w:r w:rsidRPr="00FF2655">
        <w:rPr>
          <w:i w:val="0"/>
          <w:noProof/>
          <w:sz w:val="18"/>
        </w:rPr>
      </w:r>
      <w:r w:rsidRPr="00FF2655">
        <w:rPr>
          <w:i w:val="0"/>
          <w:noProof/>
          <w:sz w:val="18"/>
        </w:rPr>
        <w:fldChar w:fldCharType="separate"/>
      </w:r>
      <w:r w:rsidR="009B59E4">
        <w:rPr>
          <w:i w:val="0"/>
          <w:noProof/>
          <w:sz w:val="18"/>
        </w:rPr>
        <w:t>23</w:t>
      </w:r>
      <w:r w:rsidRPr="00FF2655">
        <w:rPr>
          <w:i w:val="0"/>
          <w:noProof/>
          <w:sz w:val="18"/>
        </w:rPr>
        <w:fldChar w:fldCharType="end"/>
      </w:r>
    </w:p>
    <w:p w:rsidR="00C91200" w:rsidRPr="00FF2655" w:rsidRDefault="00C91200">
      <w:pPr>
        <w:pStyle w:val="TOC8"/>
        <w:rPr>
          <w:rFonts w:asciiTheme="minorHAnsi" w:eastAsiaTheme="minorEastAsia" w:hAnsiTheme="minorHAnsi" w:cstheme="minorBidi"/>
          <w:noProof/>
          <w:kern w:val="0"/>
          <w:sz w:val="22"/>
          <w:szCs w:val="22"/>
        </w:rPr>
      </w:pPr>
      <w:r w:rsidRPr="00FF2655">
        <w:rPr>
          <w:noProof/>
        </w:rPr>
        <w:t>Division</w:t>
      </w:r>
      <w:r w:rsidR="00FF2655" w:rsidRPr="00FF2655">
        <w:rPr>
          <w:noProof/>
        </w:rPr>
        <w:t> </w:t>
      </w:r>
      <w:r w:rsidRPr="00FF2655">
        <w:rPr>
          <w:noProof/>
        </w:rPr>
        <w:t>2—Equipment licences</w:t>
      </w:r>
      <w:r w:rsidRPr="00FF2655">
        <w:rPr>
          <w:noProof/>
          <w:sz w:val="18"/>
        </w:rPr>
        <w:tab/>
      </w:r>
      <w:r w:rsidRPr="00FF2655">
        <w:rPr>
          <w:noProof/>
          <w:sz w:val="18"/>
        </w:rPr>
        <w:fldChar w:fldCharType="begin"/>
      </w:r>
      <w:r w:rsidRPr="00FF2655">
        <w:rPr>
          <w:noProof/>
          <w:sz w:val="18"/>
        </w:rPr>
        <w:instrText xml:space="preserve"> PAGEREF _Toc487631745 \h </w:instrText>
      </w:r>
      <w:r w:rsidRPr="00FF2655">
        <w:rPr>
          <w:noProof/>
          <w:sz w:val="18"/>
        </w:rPr>
      </w:r>
      <w:r w:rsidRPr="00FF2655">
        <w:rPr>
          <w:noProof/>
          <w:sz w:val="18"/>
        </w:rPr>
        <w:fldChar w:fldCharType="separate"/>
      </w:r>
      <w:r w:rsidR="009B59E4">
        <w:rPr>
          <w:noProof/>
          <w:sz w:val="18"/>
        </w:rPr>
        <w:t>24</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_Toc487631746 \h </w:instrText>
      </w:r>
      <w:r w:rsidRPr="00FF2655">
        <w:rPr>
          <w:i w:val="0"/>
          <w:noProof/>
          <w:sz w:val="18"/>
        </w:rPr>
      </w:r>
      <w:r w:rsidRPr="00FF2655">
        <w:rPr>
          <w:i w:val="0"/>
          <w:noProof/>
          <w:sz w:val="18"/>
        </w:rPr>
        <w:fldChar w:fldCharType="separate"/>
      </w:r>
      <w:r w:rsidR="009B59E4">
        <w:rPr>
          <w:i w:val="0"/>
          <w:noProof/>
          <w:sz w:val="18"/>
        </w:rPr>
        <w:t>24</w:t>
      </w:r>
      <w:r w:rsidRPr="00FF2655">
        <w:rPr>
          <w:i w:val="0"/>
          <w:noProof/>
          <w:sz w:val="18"/>
        </w:rPr>
        <w:fldChar w:fldCharType="end"/>
      </w:r>
    </w:p>
    <w:p w:rsidR="00C91200" w:rsidRPr="00FF2655" w:rsidRDefault="00C91200">
      <w:pPr>
        <w:pStyle w:val="TOC8"/>
        <w:rPr>
          <w:rFonts w:asciiTheme="minorHAnsi" w:eastAsiaTheme="minorEastAsia" w:hAnsiTheme="minorHAnsi" w:cstheme="minorBidi"/>
          <w:noProof/>
          <w:kern w:val="0"/>
          <w:sz w:val="22"/>
          <w:szCs w:val="22"/>
        </w:rPr>
      </w:pPr>
      <w:r w:rsidRPr="00FF2655">
        <w:rPr>
          <w:noProof/>
        </w:rPr>
        <w:t>Division</w:t>
      </w:r>
      <w:r w:rsidR="00FF2655" w:rsidRPr="00FF2655">
        <w:rPr>
          <w:noProof/>
        </w:rPr>
        <w:t> </w:t>
      </w:r>
      <w:r w:rsidRPr="00FF2655">
        <w:rPr>
          <w:noProof/>
        </w:rPr>
        <w:t>3—Unlicensed manufacture or import of HFCs</w:t>
      </w:r>
      <w:r w:rsidRPr="00FF2655">
        <w:rPr>
          <w:noProof/>
          <w:sz w:val="18"/>
        </w:rPr>
        <w:tab/>
      </w:r>
      <w:r w:rsidRPr="00FF2655">
        <w:rPr>
          <w:noProof/>
          <w:sz w:val="18"/>
        </w:rPr>
        <w:fldChar w:fldCharType="begin"/>
      </w:r>
      <w:r w:rsidRPr="00FF2655">
        <w:rPr>
          <w:noProof/>
          <w:sz w:val="18"/>
        </w:rPr>
        <w:instrText xml:space="preserve"> PAGEREF _Toc487631748 \h </w:instrText>
      </w:r>
      <w:r w:rsidRPr="00FF2655">
        <w:rPr>
          <w:noProof/>
          <w:sz w:val="18"/>
        </w:rPr>
      </w:r>
      <w:r w:rsidRPr="00FF2655">
        <w:rPr>
          <w:noProof/>
          <w:sz w:val="18"/>
        </w:rPr>
        <w:fldChar w:fldCharType="separate"/>
      </w:r>
      <w:r w:rsidR="009B59E4">
        <w:rPr>
          <w:noProof/>
          <w:sz w:val="18"/>
        </w:rPr>
        <w:t>24</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_Toc487631749 \h </w:instrText>
      </w:r>
      <w:r w:rsidRPr="00FF2655">
        <w:rPr>
          <w:i w:val="0"/>
          <w:noProof/>
          <w:sz w:val="18"/>
        </w:rPr>
      </w:r>
      <w:r w:rsidRPr="00FF2655">
        <w:rPr>
          <w:i w:val="0"/>
          <w:noProof/>
          <w:sz w:val="18"/>
        </w:rPr>
        <w:fldChar w:fldCharType="separate"/>
      </w:r>
      <w:r w:rsidR="009B59E4">
        <w:rPr>
          <w:i w:val="0"/>
          <w:noProof/>
          <w:sz w:val="18"/>
        </w:rPr>
        <w:t>24</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2—Levy periods, thresholds and penalty interest</w:t>
      </w:r>
      <w:r w:rsidRPr="00FF2655">
        <w:rPr>
          <w:noProof/>
          <w:sz w:val="18"/>
        </w:rPr>
        <w:tab/>
      </w:r>
      <w:r w:rsidRPr="00FF2655">
        <w:rPr>
          <w:noProof/>
          <w:sz w:val="18"/>
        </w:rPr>
        <w:fldChar w:fldCharType="begin"/>
      </w:r>
      <w:r w:rsidRPr="00FF2655">
        <w:rPr>
          <w:noProof/>
          <w:sz w:val="18"/>
        </w:rPr>
        <w:instrText xml:space="preserve"> PAGEREF _Toc487631750 \h </w:instrText>
      </w:r>
      <w:r w:rsidRPr="00FF2655">
        <w:rPr>
          <w:noProof/>
          <w:sz w:val="18"/>
        </w:rPr>
      </w:r>
      <w:r w:rsidRPr="00FF2655">
        <w:rPr>
          <w:noProof/>
          <w:sz w:val="18"/>
        </w:rPr>
        <w:fldChar w:fldCharType="separate"/>
      </w:r>
      <w:r w:rsidR="009B59E4">
        <w:rPr>
          <w:noProof/>
          <w:sz w:val="18"/>
        </w:rPr>
        <w:t>25</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_Toc487631751 \h </w:instrText>
      </w:r>
      <w:r w:rsidRPr="00FF2655">
        <w:rPr>
          <w:i w:val="0"/>
          <w:noProof/>
          <w:sz w:val="18"/>
        </w:rPr>
      </w:r>
      <w:r w:rsidRPr="00FF2655">
        <w:rPr>
          <w:i w:val="0"/>
          <w:noProof/>
          <w:sz w:val="18"/>
        </w:rPr>
        <w:fldChar w:fldCharType="separate"/>
      </w:r>
      <w:r w:rsidR="009B59E4">
        <w:rPr>
          <w:i w:val="0"/>
          <w:noProof/>
          <w:sz w:val="18"/>
        </w:rPr>
        <w:t>25</w:t>
      </w:r>
      <w:r w:rsidRPr="00FF2655">
        <w:rPr>
          <w:i w:val="0"/>
          <w:noProof/>
          <w:sz w:val="18"/>
        </w:rPr>
        <w:fldChar w:fldCharType="end"/>
      </w:r>
    </w:p>
    <w:p w:rsidR="00C91200" w:rsidRPr="00FF2655" w:rsidRDefault="00C91200">
      <w:pPr>
        <w:pStyle w:val="TOC7"/>
        <w:rPr>
          <w:rFonts w:asciiTheme="minorHAnsi" w:eastAsiaTheme="minorEastAsia" w:hAnsiTheme="minorHAnsi" w:cstheme="minorBidi"/>
          <w:noProof/>
          <w:kern w:val="0"/>
          <w:sz w:val="22"/>
          <w:szCs w:val="22"/>
        </w:rPr>
      </w:pPr>
      <w:r w:rsidRPr="00FF2655">
        <w:rPr>
          <w:noProof/>
        </w:rPr>
        <w:t>Part</w:t>
      </w:r>
      <w:r w:rsidR="00FF2655" w:rsidRPr="00FF2655">
        <w:rPr>
          <w:noProof/>
        </w:rPr>
        <w:t> </w:t>
      </w:r>
      <w:r w:rsidRPr="00FF2655">
        <w:rPr>
          <w:noProof/>
        </w:rPr>
        <w:t>3—Synthetic greenhouse gases</w:t>
      </w:r>
      <w:r w:rsidRPr="00FF2655">
        <w:rPr>
          <w:noProof/>
          <w:sz w:val="18"/>
        </w:rPr>
        <w:tab/>
      </w:r>
      <w:r w:rsidRPr="00FF2655">
        <w:rPr>
          <w:noProof/>
          <w:sz w:val="18"/>
        </w:rPr>
        <w:fldChar w:fldCharType="begin"/>
      </w:r>
      <w:r w:rsidRPr="00FF2655">
        <w:rPr>
          <w:noProof/>
          <w:sz w:val="18"/>
        </w:rPr>
        <w:instrText xml:space="preserve"> PAGEREF _Toc487631754 \h </w:instrText>
      </w:r>
      <w:r w:rsidRPr="00FF2655">
        <w:rPr>
          <w:noProof/>
          <w:sz w:val="18"/>
        </w:rPr>
      </w:r>
      <w:r w:rsidRPr="00FF2655">
        <w:rPr>
          <w:noProof/>
          <w:sz w:val="18"/>
        </w:rPr>
        <w:fldChar w:fldCharType="separate"/>
      </w:r>
      <w:r w:rsidR="009B59E4">
        <w:rPr>
          <w:noProof/>
          <w:sz w:val="18"/>
        </w:rPr>
        <w:t>28</w:t>
      </w:r>
      <w:r w:rsidRPr="00FF2655">
        <w:rPr>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_Toc487631755 \h </w:instrText>
      </w:r>
      <w:r w:rsidRPr="00FF2655">
        <w:rPr>
          <w:i w:val="0"/>
          <w:noProof/>
          <w:sz w:val="18"/>
        </w:rPr>
      </w:r>
      <w:r w:rsidRPr="00FF2655">
        <w:rPr>
          <w:i w:val="0"/>
          <w:noProof/>
          <w:sz w:val="18"/>
        </w:rPr>
        <w:fldChar w:fldCharType="separate"/>
      </w:r>
      <w:r w:rsidR="009B59E4">
        <w:rPr>
          <w:i w:val="0"/>
          <w:noProof/>
          <w:sz w:val="18"/>
        </w:rPr>
        <w:t>28</w:t>
      </w:r>
      <w:r w:rsidRPr="00FF2655">
        <w:rPr>
          <w:i w:val="0"/>
          <w:noProof/>
          <w:sz w:val="18"/>
        </w:rPr>
        <w:fldChar w:fldCharType="end"/>
      </w:r>
    </w:p>
    <w:p w:rsidR="00C91200" w:rsidRPr="00FF2655" w:rsidRDefault="00C91200">
      <w:pPr>
        <w:pStyle w:val="TOC6"/>
        <w:rPr>
          <w:rFonts w:asciiTheme="minorHAnsi" w:eastAsiaTheme="minorEastAsia" w:hAnsiTheme="minorHAnsi" w:cstheme="minorBidi"/>
          <w:b w:val="0"/>
          <w:noProof/>
          <w:kern w:val="0"/>
          <w:sz w:val="22"/>
          <w:szCs w:val="22"/>
        </w:rPr>
      </w:pPr>
      <w:r w:rsidRPr="00FF2655">
        <w:rPr>
          <w:noProof/>
        </w:rPr>
        <w:t>Schedule</w:t>
      </w:r>
      <w:r w:rsidR="00FF2655" w:rsidRPr="00FF2655">
        <w:rPr>
          <w:noProof/>
        </w:rPr>
        <w:t> </w:t>
      </w:r>
      <w:r w:rsidRPr="00FF2655">
        <w:rPr>
          <w:noProof/>
        </w:rPr>
        <w:t>3—Amendments commencing 1</w:t>
      </w:r>
      <w:r w:rsidR="00FF2655" w:rsidRPr="00FF2655">
        <w:rPr>
          <w:noProof/>
        </w:rPr>
        <w:t> </w:t>
      </w:r>
      <w:r w:rsidRPr="00FF2655">
        <w:rPr>
          <w:noProof/>
        </w:rPr>
        <w:t>January 2020</w:t>
      </w:r>
      <w:r w:rsidRPr="00FF2655">
        <w:rPr>
          <w:b w:val="0"/>
          <w:noProof/>
          <w:sz w:val="18"/>
        </w:rPr>
        <w:tab/>
      </w:r>
      <w:r w:rsidRPr="00FF2655">
        <w:rPr>
          <w:b w:val="0"/>
          <w:noProof/>
          <w:sz w:val="18"/>
        </w:rPr>
        <w:fldChar w:fldCharType="begin"/>
      </w:r>
      <w:r w:rsidRPr="00FF2655">
        <w:rPr>
          <w:b w:val="0"/>
          <w:noProof/>
          <w:sz w:val="18"/>
        </w:rPr>
        <w:instrText xml:space="preserve"> PAGEREF _Toc487631756 \h </w:instrText>
      </w:r>
      <w:r w:rsidRPr="00FF2655">
        <w:rPr>
          <w:b w:val="0"/>
          <w:noProof/>
          <w:sz w:val="18"/>
        </w:rPr>
      </w:r>
      <w:r w:rsidRPr="00FF2655">
        <w:rPr>
          <w:b w:val="0"/>
          <w:noProof/>
          <w:sz w:val="18"/>
        </w:rPr>
        <w:fldChar w:fldCharType="separate"/>
      </w:r>
      <w:r w:rsidR="009B59E4">
        <w:rPr>
          <w:b w:val="0"/>
          <w:noProof/>
          <w:sz w:val="18"/>
        </w:rPr>
        <w:t>29</w:t>
      </w:r>
      <w:r w:rsidRPr="00FF2655">
        <w:rPr>
          <w:b w:val="0"/>
          <w:noProof/>
          <w:sz w:val="18"/>
        </w:rPr>
        <w:fldChar w:fldCharType="end"/>
      </w:r>
    </w:p>
    <w:p w:rsidR="00C91200" w:rsidRPr="00FF2655" w:rsidRDefault="00C91200">
      <w:pPr>
        <w:pStyle w:val="TOC9"/>
        <w:rPr>
          <w:rFonts w:asciiTheme="minorHAnsi" w:eastAsiaTheme="minorEastAsia" w:hAnsiTheme="minorHAnsi" w:cstheme="minorBidi"/>
          <w:i w:val="0"/>
          <w:noProof/>
          <w:kern w:val="0"/>
          <w:sz w:val="22"/>
          <w:szCs w:val="22"/>
        </w:rPr>
      </w:pPr>
      <w:r w:rsidRPr="00FF2655">
        <w:rPr>
          <w:noProof/>
        </w:rPr>
        <w:t>Ozone Protection and Synthetic Greenhouse Gas Management Regulations</w:t>
      </w:r>
      <w:r w:rsidR="00FF2655" w:rsidRPr="00FF2655">
        <w:rPr>
          <w:noProof/>
        </w:rPr>
        <w:t> </w:t>
      </w:r>
      <w:r w:rsidRPr="00FF2655">
        <w:rPr>
          <w:noProof/>
        </w:rPr>
        <w:t>1995</w:t>
      </w:r>
      <w:r w:rsidRPr="00FF2655">
        <w:rPr>
          <w:i w:val="0"/>
          <w:noProof/>
          <w:sz w:val="18"/>
        </w:rPr>
        <w:tab/>
      </w:r>
      <w:r w:rsidRPr="00FF2655">
        <w:rPr>
          <w:i w:val="0"/>
          <w:noProof/>
          <w:sz w:val="18"/>
        </w:rPr>
        <w:fldChar w:fldCharType="begin"/>
      </w:r>
      <w:r w:rsidRPr="00FF2655">
        <w:rPr>
          <w:i w:val="0"/>
          <w:noProof/>
          <w:sz w:val="18"/>
        </w:rPr>
        <w:instrText xml:space="preserve"> PAGEREF _Toc487631757 \h </w:instrText>
      </w:r>
      <w:r w:rsidRPr="00FF2655">
        <w:rPr>
          <w:i w:val="0"/>
          <w:noProof/>
          <w:sz w:val="18"/>
        </w:rPr>
      </w:r>
      <w:r w:rsidRPr="00FF2655">
        <w:rPr>
          <w:i w:val="0"/>
          <w:noProof/>
          <w:sz w:val="18"/>
        </w:rPr>
        <w:fldChar w:fldCharType="separate"/>
      </w:r>
      <w:r w:rsidR="009B59E4">
        <w:rPr>
          <w:i w:val="0"/>
          <w:noProof/>
          <w:sz w:val="18"/>
        </w:rPr>
        <w:t>29</w:t>
      </w:r>
      <w:r w:rsidRPr="00FF2655">
        <w:rPr>
          <w:i w:val="0"/>
          <w:noProof/>
          <w:sz w:val="18"/>
        </w:rPr>
        <w:fldChar w:fldCharType="end"/>
      </w:r>
    </w:p>
    <w:p w:rsidR="00833416" w:rsidRPr="00FF2655" w:rsidRDefault="00C91200" w:rsidP="0048364F">
      <w:r w:rsidRPr="00FF2655">
        <w:fldChar w:fldCharType="end"/>
      </w:r>
    </w:p>
    <w:p w:rsidR="00722023" w:rsidRPr="00FF2655" w:rsidRDefault="00722023" w:rsidP="0048364F">
      <w:pPr>
        <w:sectPr w:rsidR="00722023" w:rsidRPr="00FF2655" w:rsidSect="00655ACD">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FF2655" w:rsidRDefault="0048364F" w:rsidP="0048364F">
      <w:pPr>
        <w:pStyle w:val="ActHead5"/>
      </w:pPr>
      <w:bookmarkStart w:id="2" w:name="_Toc487631686"/>
      <w:r w:rsidRPr="00FF2655">
        <w:rPr>
          <w:rStyle w:val="CharSectno"/>
        </w:rPr>
        <w:lastRenderedPageBreak/>
        <w:t>1</w:t>
      </w:r>
      <w:r w:rsidRPr="00FF2655">
        <w:t xml:space="preserve">  </w:t>
      </w:r>
      <w:r w:rsidR="004F676E" w:rsidRPr="00FF2655">
        <w:t>Name</w:t>
      </w:r>
      <w:bookmarkEnd w:id="2"/>
    </w:p>
    <w:p w:rsidR="0048364F" w:rsidRPr="00FF2655" w:rsidRDefault="0048364F" w:rsidP="0048364F">
      <w:pPr>
        <w:pStyle w:val="subsection"/>
      </w:pPr>
      <w:r w:rsidRPr="00FF2655">
        <w:tab/>
      </w:r>
      <w:r w:rsidRPr="00FF2655">
        <w:tab/>
        <w:t>Th</w:t>
      </w:r>
      <w:r w:rsidR="00F24C35" w:rsidRPr="00FF2655">
        <w:t>is</w:t>
      </w:r>
      <w:r w:rsidR="009F3096" w:rsidRPr="00FF2655">
        <w:t xml:space="preserve"> instrument</w:t>
      </w:r>
      <w:r w:rsidRPr="00FF2655">
        <w:t xml:space="preserve"> </w:t>
      </w:r>
      <w:r w:rsidR="00F24C35" w:rsidRPr="00FF2655">
        <w:t>is</w:t>
      </w:r>
      <w:r w:rsidR="003801D0" w:rsidRPr="00FF2655">
        <w:t xml:space="preserve"> the</w:t>
      </w:r>
      <w:r w:rsidRPr="00FF2655">
        <w:t xml:space="preserve"> </w:t>
      </w:r>
      <w:bookmarkStart w:id="3" w:name="BKCheck15B_3"/>
      <w:bookmarkEnd w:id="3"/>
      <w:r w:rsidR="00CB0180" w:rsidRPr="00FF2655">
        <w:rPr>
          <w:i/>
        </w:rPr>
        <w:fldChar w:fldCharType="begin"/>
      </w:r>
      <w:r w:rsidR="00CB0180" w:rsidRPr="00FF2655">
        <w:rPr>
          <w:i/>
        </w:rPr>
        <w:instrText xml:space="preserve"> STYLEREF  ShortT </w:instrText>
      </w:r>
      <w:r w:rsidR="00CB0180" w:rsidRPr="00FF2655">
        <w:rPr>
          <w:i/>
        </w:rPr>
        <w:fldChar w:fldCharType="separate"/>
      </w:r>
      <w:r w:rsidR="009B59E4">
        <w:rPr>
          <w:i/>
          <w:noProof/>
        </w:rPr>
        <w:t>Ozone Protection and Synthetic Greenhouse Gas Management Legislation Amendment (2017 Measures No. 1) Regulations 2017</w:t>
      </w:r>
      <w:r w:rsidR="00CB0180" w:rsidRPr="00FF2655">
        <w:rPr>
          <w:i/>
        </w:rPr>
        <w:fldChar w:fldCharType="end"/>
      </w:r>
      <w:r w:rsidR="00740597" w:rsidRPr="00FF2655">
        <w:t>.</w:t>
      </w:r>
    </w:p>
    <w:p w:rsidR="006919A2" w:rsidRPr="00FF2655" w:rsidRDefault="006919A2" w:rsidP="006919A2">
      <w:pPr>
        <w:pStyle w:val="ActHead5"/>
      </w:pPr>
      <w:bookmarkStart w:id="4" w:name="_Toc487631687"/>
      <w:r w:rsidRPr="00FF2655">
        <w:rPr>
          <w:rStyle w:val="CharSectno"/>
        </w:rPr>
        <w:t>2</w:t>
      </w:r>
      <w:r w:rsidRPr="00FF2655">
        <w:t xml:space="preserve">  Commencement</w:t>
      </w:r>
      <w:bookmarkEnd w:id="4"/>
    </w:p>
    <w:p w:rsidR="006919A2" w:rsidRPr="00FF2655" w:rsidRDefault="006919A2" w:rsidP="006E45B5">
      <w:pPr>
        <w:pStyle w:val="subsection"/>
      </w:pPr>
      <w:r w:rsidRPr="00FF2655">
        <w:tab/>
        <w:t>(1)</w:t>
      </w:r>
      <w:r w:rsidRPr="00FF2655">
        <w:tab/>
        <w:t>Each provision of this instrument specified in column 1 of the table commences, or is taken to have commenced, in accordance with column 2 of the table</w:t>
      </w:r>
      <w:r w:rsidR="00740597" w:rsidRPr="00FF2655">
        <w:t>.</w:t>
      </w:r>
      <w:r w:rsidRPr="00FF2655">
        <w:t xml:space="preserve"> Any other statement in column 2 has effect according to its terms</w:t>
      </w:r>
      <w:r w:rsidR="00740597" w:rsidRPr="00FF2655">
        <w:t>.</w:t>
      </w:r>
    </w:p>
    <w:p w:rsidR="006919A2" w:rsidRPr="00FF2655" w:rsidRDefault="006919A2" w:rsidP="006E45B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919A2" w:rsidRPr="00FF2655" w:rsidTr="006919A2">
        <w:trPr>
          <w:tblHeader/>
        </w:trPr>
        <w:tc>
          <w:tcPr>
            <w:tcW w:w="8364" w:type="dxa"/>
            <w:gridSpan w:val="3"/>
            <w:tcBorders>
              <w:top w:val="single" w:sz="12" w:space="0" w:color="auto"/>
              <w:bottom w:val="single" w:sz="6" w:space="0" w:color="auto"/>
            </w:tcBorders>
            <w:shd w:val="clear" w:color="auto" w:fill="auto"/>
            <w:hideMark/>
          </w:tcPr>
          <w:p w:rsidR="006919A2" w:rsidRPr="00FF2655" w:rsidRDefault="006919A2" w:rsidP="006E45B5">
            <w:pPr>
              <w:pStyle w:val="TableHeading"/>
            </w:pPr>
            <w:r w:rsidRPr="00FF2655">
              <w:t>Commencement information</w:t>
            </w:r>
          </w:p>
        </w:tc>
      </w:tr>
      <w:tr w:rsidR="006919A2" w:rsidRPr="00FF2655" w:rsidTr="006919A2">
        <w:trPr>
          <w:tblHeader/>
        </w:trPr>
        <w:tc>
          <w:tcPr>
            <w:tcW w:w="2127" w:type="dxa"/>
            <w:tcBorders>
              <w:top w:val="single" w:sz="6" w:space="0" w:color="auto"/>
              <w:bottom w:val="single" w:sz="6" w:space="0" w:color="auto"/>
            </w:tcBorders>
            <w:shd w:val="clear" w:color="auto" w:fill="auto"/>
            <w:hideMark/>
          </w:tcPr>
          <w:p w:rsidR="006919A2" w:rsidRPr="00FF2655" w:rsidRDefault="006919A2" w:rsidP="006E45B5">
            <w:pPr>
              <w:pStyle w:val="TableHeading"/>
            </w:pPr>
            <w:r w:rsidRPr="00FF2655">
              <w:t>Column 1</w:t>
            </w:r>
          </w:p>
        </w:tc>
        <w:tc>
          <w:tcPr>
            <w:tcW w:w="4394" w:type="dxa"/>
            <w:tcBorders>
              <w:top w:val="single" w:sz="6" w:space="0" w:color="auto"/>
              <w:bottom w:val="single" w:sz="6" w:space="0" w:color="auto"/>
            </w:tcBorders>
            <w:shd w:val="clear" w:color="auto" w:fill="auto"/>
            <w:hideMark/>
          </w:tcPr>
          <w:p w:rsidR="006919A2" w:rsidRPr="00FF2655" w:rsidRDefault="006919A2" w:rsidP="006E45B5">
            <w:pPr>
              <w:pStyle w:val="TableHeading"/>
            </w:pPr>
            <w:r w:rsidRPr="00FF2655">
              <w:t>Column 2</w:t>
            </w:r>
          </w:p>
        </w:tc>
        <w:tc>
          <w:tcPr>
            <w:tcW w:w="1843" w:type="dxa"/>
            <w:tcBorders>
              <w:top w:val="single" w:sz="6" w:space="0" w:color="auto"/>
              <w:bottom w:val="single" w:sz="6" w:space="0" w:color="auto"/>
            </w:tcBorders>
            <w:shd w:val="clear" w:color="auto" w:fill="auto"/>
            <w:hideMark/>
          </w:tcPr>
          <w:p w:rsidR="006919A2" w:rsidRPr="00FF2655" w:rsidRDefault="006919A2" w:rsidP="006E45B5">
            <w:pPr>
              <w:pStyle w:val="TableHeading"/>
            </w:pPr>
            <w:r w:rsidRPr="00FF2655">
              <w:t>Column 3</w:t>
            </w:r>
          </w:p>
        </w:tc>
      </w:tr>
      <w:tr w:rsidR="006919A2" w:rsidRPr="00FF2655" w:rsidTr="006919A2">
        <w:trPr>
          <w:tblHeader/>
        </w:trPr>
        <w:tc>
          <w:tcPr>
            <w:tcW w:w="2127" w:type="dxa"/>
            <w:tcBorders>
              <w:top w:val="single" w:sz="6" w:space="0" w:color="auto"/>
              <w:bottom w:val="single" w:sz="12" w:space="0" w:color="auto"/>
            </w:tcBorders>
            <w:shd w:val="clear" w:color="auto" w:fill="auto"/>
            <w:hideMark/>
          </w:tcPr>
          <w:p w:rsidR="006919A2" w:rsidRPr="00FF2655" w:rsidRDefault="006919A2" w:rsidP="006E45B5">
            <w:pPr>
              <w:pStyle w:val="TableHeading"/>
            </w:pPr>
            <w:r w:rsidRPr="00FF2655">
              <w:t>Provisions</w:t>
            </w:r>
          </w:p>
        </w:tc>
        <w:tc>
          <w:tcPr>
            <w:tcW w:w="4394" w:type="dxa"/>
            <w:tcBorders>
              <w:top w:val="single" w:sz="6" w:space="0" w:color="auto"/>
              <w:bottom w:val="single" w:sz="12" w:space="0" w:color="auto"/>
            </w:tcBorders>
            <w:shd w:val="clear" w:color="auto" w:fill="auto"/>
            <w:hideMark/>
          </w:tcPr>
          <w:p w:rsidR="006919A2" w:rsidRPr="00FF2655" w:rsidRDefault="006919A2" w:rsidP="006E45B5">
            <w:pPr>
              <w:pStyle w:val="TableHeading"/>
            </w:pPr>
            <w:r w:rsidRPr="00FF2655">
              <w:t>Commencement</w:t>
            </w:r>
          </w:p>
        </w:tc>
        <w:tc>
          <w:tcPr>
            <w:tcW w:w="1843" w:type="dxa"/>
            <w:tcBorders>
              <w:top w:val="single" w:sz="6" w:space="0" w:color="auto"/>
              <w:bottom w:val="single" w:sz="12" w:space="0" w:color="auto"/>
            </w:tcBorders>
            <w:shd w:val="clear" w:color="auto" w:fill="auto"/>
            <w:hideMark/>
          </w:tcPr>
          <w:p w:rsidR="006919A2" w:rsidRPr="00FF2655" w:rsidRDefault="006919A2" w:rsidP="006E45B5">
            <w:pPr>
              <w:pStyle w:val="TableHeading"/>
            </w:pPr>
            <w:r w:rsidRPr="00FF2655">
              <w:t>Date/Details</w:t>
            </w:r>
          </w:p>
        </w:tc>
      </w:tr>
      <w:tr w:rsidR="006919A2" w:rsidRPr="00FF2655" w:rsidTr="006919A2">
        <w:tc>
          <w:tcPr>
            <w:tcW w:w="2127" w:type="dxa"/>
            <w:tcBorders>
              <w:top w:val="single" w:sz="12" w:space="0" w:color="auto"/>
            </w:tcBorders>
            <w:shd w:val="clear" w:color="auto" w:fill="auto"/>
            <w:hideMark/>
          </w:tcPr>
          <w:p w:rsidR="006919A2" w:rsidRPr="00FF2655" w:rsidRDefault="006919A2" w:rsidP="006E45B5">
            <w:pPr>
              <w:pStyle w:val="Tabletext"/>
            </w:pPr>
            <w:r w:rsidRPr="00FF2655">
              <w:t>1</w:t>
            </w:r>
            <w:r w:rsidR="00740597" w:rsidRPr="00FF2655">
              <w:t>.</w:t>
            </w:r>
            <w:r w:rsidRPr="00FF2655">
              <w:t xml:space="preserve">  Sections</w:t>
            </w:r>
            <w:r w:rsidR="00FF2655" w:rsidRPr="00FF2655">
              <w:t> </w:t>
            </w:r>
            <w:r w:rsidRPr="00FF2655">
              <w:t>1 to 4 and anything in this instrument not elsewhere covered by this table</w:t>
            </w:r>
          </w:p>
        </w:tc>
        <w:tc>
          <w:tcPr>
            <w:tcW w:w="4394" w:type="dxa"/>
            <w:tcBorders>
              <w:top w:val="single" w:sz="12" w:space="0" w:color="auto"/>
            </w:tcBorders>
            <w:shd w:val="clear" w:color="auto" w:fill="auto"/>
            <w:hideMark/>
          </w:tcPr>
          <w:p w:rsidR="006919A2" w:rsidRPr="00FF2655" w:rsidRDefault="006919A2" w:rsidP="006E45B5">
            <w:pPr>
              <w:pStyle w:val="Tabletext"/>
            </w:pPr>
            <w:r w:rsidRPr="00FF2655">
              <w:t>The day after this instrument is registered</w:t>
            </w:r>
            <w:r w:rsidR="00740597" w:rsidRPr="00FF2655">
              <w:t>.</w:t>
            </w:r>
          </w:p>
        </w:tc>
        <w:tc>
          <w:tcPr>
            <w:tcW w:w="1843" w:type="dxa"/>
            <w:tcBorders>
              <w:top w:val="single" w:sz="12" w:space="0" w:color="auto"/>
            </w:tcBorders>
            <w:shd w:val="clear" w:color="auto" w:fill="auto"/>
          </w:tcPr>
          <w:p w:rsidR="006919A2" w:rsidRPr="00FF2655" w:rsidRDefault="003949D6">
            <w:pPr>
              <w:pStyle w:val="Tabletext"/>
            </w:pPr>
            <w:r>
              <w:t>29 July 2017</w:t>
            </w:r>
            <w:bookmarkStart w:id="5" w:name="_GoBack"/>
            <w:bookmarkEnd w:id="5"/>
          </w:p>
        </w:tc>
      </w:tr>
      <w:tr w:rsidR="006919A2" w:rsidRPr="00FF2655" w:rsidTr="006919A2">
        <w:tc>
          <w:tcPr>
            <w:tcW w:w="2127" w:type="dxa"/>
            <w:shd w:val="clear" w:color="auto" w:fill="auto"/>
            <w:hideMark/>
          </w:tcPr>
          <w:p w:rsidR="006919A2" w:rsidRPr="00FF2655" w:rsidRDefault="006919A2">
            <w:pPr>
              <w:pStyle w:val="Tabletext"/>
            </w:pPr>
            <w:r w:rsidRPr="00FF2655">
              <w:t>2</w:t>
            </w:r>
            <w:r w:rsidR="00740597" w:rsidRPr="00FF2655">
              <w:t>.</w:t>
            </w:r>
            <w:r w:rsidRPr="00FF2655">
              <w:t xml:space="preserve">  Schedule</w:t>
            </w:r>
            <w:r w:rsidR="00FF2655" w:rsidRPr="00FF2655">
              <w:t> </w:t>
            </w:r>
            <w:r w:rsidRPr="00FF2655">
              <w:t>1</w:t>
            </w:r>
          </w:p>
        </w:tc>
        <w:tc>
          <w:tcPr>
            <w:tcW w:w="4394" w:type="dxa"/>
            <w:shd w:val="clear" w:color="auto" w:fill="auto"/>
          </w:tcPr>
          <w:p w:rsidR="006919A2" w:rsidRPr="00FF2655" w:rsidRDefault="002C4452">
            <w:pPr>
              <w:pStyle w:val="Tabletext"/>
            </w:pPr>
            <w:r w:rsidRPr="00FF2655">
              <w:t>1</w:t>
            </w:r>
            <w:r w:rsidR="00FF2655" w:rsidRPr="00FF2655">
              <w:t> </w:t>
            </w:r>
            <w:r w:rsidRPr="00FF2655">
              <w:t>August 2017.</w:t>
            </w:r>
          </w:p>
        </w:tc>
        <w:tc>
          <w:tcPr>
            <w:tcW w:w="1843" w:type="dxa"/>
            <w:shd w:val="clear" w:color="auto" w:fill="auto"/>
          </w:tcPr>
          <w:p w:rsidR="006919A2" w:rsidRPr="00FF2655" w:rsidRDefault="00EF2665">
            <w:pPr>
              <w:pStyle w:val="Tabletext"/>
            </w:pPr>
            <w:r w:rsidRPr="00FF2655">
              <w:t>1</w:t>
            </w:r>
            <w:r w:rsidR="00FF2655" w:rsidRPr="00FF2655">
              <w:t> </w:t>
            </w:r>
            <w:r w:rsidRPr="00FF2655">
              <w:t>August 2017</w:t>
            </w:r>
          </w:p>
        </w:tc>
      </w:tr>
      <w:tr w:rsidR="006919A2" w:rsidRPr="00FF2655" w:rsidTr="006919A2">
        <w:tc>
          <w:tcPr>
            <w:tcW w:w="2127" w:type="dxa"/>
            <w:tcBorders>
              <w:bottom w:val="single" w:sz="2" w:space="0" w:color="auto"/>
            </w:tcBorders>
            <w:shd w:val="clear" w:color="auto" w:fill="auto"/>
            <w:hideMark/>
          </w:tcPr>
          <w:p w:rsidR="006919A2" w:rsidRPr="00FF2655" w:rsidRDefault="006919A2">
            <w:pPr>
              <w:pStyle w:val="Tabletext"/>
            </w:pPr>
            <w:r w:rsidRPr="00FF2655">
              <w:t>3</w:t>
            </w:r>
            <w:r w:rsidR="00740597" w:rsidRPr="00FF2655">
              <w:t>.</w:t>
            </w:r>
            <w:r w:rsidRPr="00FF2655">
              <w:t xml:space="preserve">  Schedule</w:t>
            </w:r>
            <w:r w:rsidR="00FF2655" w:rsidRPr="00FF2655">
              <w:t> </w:t>
            </w:r>
            <w:r w:rsidRPr="00FF2655">
              <w:t>2</w:t>
            </w:r>
          </w:p>
        </w:tc>
        <w:tc>
          <w:tcPr>
            <w:tcW w:w="4394" w:type="dxa"/>
            <w:tcBorders>
              <w:bottom w:val="single" w:sz="2" w:space="0" w:color="auto"/>
            </w:tcBorders>
            <w:shd w:val="clear" w:color="auto" w:fill="auto"/>
          </w:tcPr>
          <w:p w:rsidR="006919A2" w:rsidRPr="00FF2655" w:rsidRDefault="002C4452" w:rsidP="006919A2">
            <w:pPr>
              <w:pStyle w:val="Tabletext"/>
            </w:pPr>
            <w:r w:rsidRPr="00FF2655">
              <w:t>1</w:t>
            </w:r>
            <w:r w:rsidR="00FF2655" w:rsidRPr="00FF2655">
              <w:t> </w:t>
            </w:r>
            <w:r w:rsidRPr="00FF2655">
              <w:t>January 2018.</w:t>
            </w:r>
          </w:p>
        </w:tc>
        <w:tc>
          <w:tcPr>
            <w:tcW w:w="1843" w:type="dxa"/>
            <w:tcBorders>
              <w:bottom w:val="single" w:sz="2" w:space="0" w:color="auto"/>
            </w:tcBorders>
            <w:shd w:val="clear" w:color="auto" w:fill="auto"/>
          </w:tcPr>
          <w:p w:rsidR="006919A2" w:rsidRPr="00FF2655" w:rsidRDefault="0091623F">
            <w:pPr>
              <w:pStyle w:val="Tabletext"/>
            </w:pPr>
            <w:r w:rsidRPr="00FF2655">
              <w:t>1</w:t>
            </w:r>
            <w:r w:rsidR="00FF2655" w:rsidRPr="00FF2655">
              <w:t> </w:t>
            </w:r>
            <w:r w:rsidRPr="00FF2655">
              <w:t>January 2018</w:t>
            </w:r>
          </w:p>
        </w:tc>
      </w:tr>
      <w:tr w:rsidR="006919A2" w:rsidRPr="00FF2655" w:rsidTr="006919A2">
        <w:tc>
          <w:tcPr>
            <w:tcW w:w="2127" w:type="dxa"/>
            <w:tcBorders>
              <w:top w:val="single" w:sz="2" w:space="0" w:color="auto"/>
              <w:bottom w:val="single" w:sz="12" w:space="0" w:color="auto"/>
            </w:tcBorders>
            <w:shd w:val="clear" w:color="auto" w:fill="auto"/>
            <w:hideMark/>
          </w:tcPr>
          <w:p w:rsidR="006919A2" w:rsidRPr="00FF2655" w:rsidRDefault="006919A2">
            <w:pPr>
              <w:pStyle w:val="Tabletext"/>
            </w:pPr>
            <w:r w:rsidRPr="00FF2655">
              <w:t>4</w:t>
            </w:r>
            <w:r w:rsidR="00740597" w:rsidRPr="00FF2655">
              <w:t>.</w:t>
            </w:r>
            <w:r w:rsidRPr="00FF2655">
              <w:t xml:space="preserve">  Schedule</w:t>
            </w:r>
            <w:r w:rsidR="00FF2655" w:rsidRPr="00FF2655">
              <w:t> </w:t>
            </w:r>
            <w:r w:rsidRPr="00FF2655">
              <w:t>3</w:t>
            </w:r>
          </w:p>
        </w:tc>
        <w:tc>
          <w:tcPr>
            <w:tcW w:w="4394" w:type="dxa"/>
            <w:tcBorders>
              <w:top w:val="single" w:sz="2" w:space="0" w:color="auto"/>
              <w:bottom w:val="single" w:sz="12" w:space="0" w:color="auto"/>
            </w:tcBorders>
            <w:shd w:val="clear" w:color="auto" w:fill="auto"/>
          </w:tcPr>
          <w:p w:rsidR="006919A2" w:rsidRPr="00FF2655" w:rsidRDefault="002C4452" w:rsidP="006919A2">
            <w:pPr>
              <w:pStyle w:val="Tabletext"/>
            </w:pPr>
            <w:r w:rsidRPr="00FF2655">
              <w:t>1</w:t>
            </w:r>
            <w:r w:rsidR="00FF2655" w:rsidRPr="00FF2655">
              <w:t> </w:t>
            </w:r>
            <w:r w:rsidRPr="00FF2655">
              <w:t>January 2020.</w:t>
            </w:r>
          </w:p>
        </w:tc>
        <w:tc>
          <w:tcPr>
            <w:tcW w:w="1843" w:type="dxa"/>
            <w:tcBorders>
              <w:top w:val="single" w:sz="2" w:space="0" w:color="auto"/>
              <w:bottom w:val="single" w:sz="12" w:space="0" w:color="auto"/>
            </w:tcBorders>
            <w:shd w:val="clear" w:color="auto" w:fill="auto"/>
          </w:tcPr>
          <w:p w:rsidR="006919A2" w:rsidRPr="00FF2655" w:rsidRDefault="006919A2">
            <w:pPr>
              <w:pStyle w:val="Tabletext"/>
            </w:pPr>
            <w:r w:rsidRPr="00FF2655">
              <w:t>1</w:t>
            </w:r>
            <w:r w:rsidR="00FF2655" w:rsidRPr="00FF2655">
              <w:t> </w:t>
            </w:r>
            <w:r w:rsidRPr="00FF2655">
              <w:t>January 2020</w:t>
            </w:r>
          </w:p>
        </w:tc>
      </w:tr>
    </w:tbl>
    <w:p w:rsidR="006919A2" w:rsidRPr="00FF2655" w:rsidRDefault="006919A2" w:rsidP="006E45B5">
      <w:pPr>
        <w:pStyle w:val="notetext"/>
      </w:pPr>
      <w:r w:rsidRPr="00FF2655">
        <w:rPr>
          <w:snapToGrid w:val="0"/>
          <w:lang w:eastAsia="en-US"/>
        </w:rPr>
        <w:t>Note:</w:t>
      </w:r>
      <w:r w:rsidRPr="00FF2655">
        <w:rPr>
          <w:snapToGrid w:val="0"/>
          <w:lang w:eastAsia="en-US"/>
        </w:rPr>
        <w:tab/>
        <w:t xml:space="preserve">This table relates only to the provisions of this </w:t>
      </w:r>
      <w:r w:rsidRPr="00FF2655">
        <w:t xml:space="preserve">instrument </w:t>
      </w:r>
      <w:r w:rsidRPr="00FF2655">
        <w:rPr>
          <w:snapToGrid w:val="0"/>
          <w:lang w:eastAsia="en-US"/>
        </w:rPr>
        <w:t>as originally made</w:t>
      </w:r>
      <w:r w:rsidR="00740597" w:rsidRPr="00FF2655">
        <w:rPr>
          <w:snapToGrid w:val="0"/>
          <w:lang w:eastAsia="en-US"/>
        </w:rPr>
        <w:t>.</w:t>
      </w:r>
      <w:r w:rsidRPr="00FF2655">
        <w:rPr>
          <w:snapToGrid w:val="0"/>
          <w:lang w:eastAsia="en-US"/>
        </w:rPr>
        <w:t xml:space="preserve"> It will not be amended to deal with any later amendments of this </w:t>
      </w:r>
      <w:r w:rsidRPr="00FF2655">
        <w:t>instrument</w:t>
      </w:r>
      <w:r w:rsidR="00740597" w:rsidRPr="00FF2655">
        <w:rPr>
          <w:snapToGrid w:val="0"/>
          <w:lang w:eastAsia="en-US"/>
        </w:rPr>
        <w:t>.</w:t>
      </w:r>
    </w:p>
    <w:p w:rsidR="006919A2" w:rsidRPr="00FF2655" w:rsidRDefault="006919A2" w:rsidP="006E45B5">
      <w:pPr>
        <w:pStyle w:val="subsection"/>
      </w:pPr>
      <w:r w:rsidRPr="00FF2655">
        <w:tab/>
        <w:t>(2)</w:t>
      </w:r>
      <w:r w:rsidRPr="00FF2655">
        <w:tab/>
        <w:t>Any information in column 3 of the table is not part of this instrument</w:t>
      </w:r>
      <w:r w:rsidR="00740597" w:rsidRPr="00FF2655">
        <w:t>.</w:t>
      </w:r>
      <w:r w:rsidRPr="00FF2655">
        <w:t xml:space="preserve"> Information may be inserted in this column, or information in it may be edited, in any published version of this instrument</w:t>
      </w:r>
      <w:r w:rsidR="00740597" w:rsidRPr="00FF2655">
        <w:t>.</w:t>
      </w:r>
    </w:p>
    <w:p w:rsidR="007769D4" w:rsidRPr="00FF2655" w:rsidRDefault="007769D4" w:rsidP="007769D4">
      <w:pPr>
        <w:pStyle w:val="ActHead5"/>
      </w:pPr>
      <w:bookmarkStart w:id="6" w:name="_Toc487631688"/>
      <w:r w:rsidRPr="00FF2655">
        <w:rPr>
          <w:rStyle w:val="CharSectno"/>
        </w:rPr>
        <w:t>3</w:t>
      </w:r>
      <w:r w:rsidRPr="00FF2655">
        <w:t xml:space="preserve">  Authority</w:t>
      </w:r>
      <w:bookmarkEnd w:id="6"/>
    </w:p>
    <w:p w:rsidR="006919A2" w:rsidRPr="00FF2655" w:rsidRDefault="007769D4" w:rsidP="007769D4">
      <w:pPr>
        <w:pStyle w:val="subsection"/>
      </w:pPr>
      <w:r w:rsidRPr="00FF2655">
        <w:tab/>
      </w:r>
      <w:r w:rsidRPr="00FF2655">
        <w:tab/>
      </w:r>
      <w:r w:rsidR="00AF0336" w:rsidRPr="00FF2655">
        <w:t xml:space="preserve">This </w:t>
      </w:r>
      <w:r w:rsidR="006919A2" w:rsidRPr="00FF2655">
        <w:t>instrument</w:t>
      </w:r>
      <w:r w:rsidR="00AF0336" w:rsidRPr="00FF2655">
        <w:t xml:space="preserve"> is made under</w:t>
      </w:r>
      <w:r w:rsidR="006919A2" w:rsidRPr="00FF2655">
        <w:t>:</w:t>
      </w:r>
    </w:p>
    <w:p w:rsidR="006919A2" w:rsidRPr="00FF2655" w:rsidRDefault="006919A2" w:rsidP="006919A2">
      <w:pPr>
        <w:pStyle w:val="paragraph"/>
      </w:pPr>
      <w:r w:rsidRPr="00FF2655">
        <w:tab/>
        <w:t>(a)</w:t>
      </w:r>
      <w:r w:rsidRPr="00FF2655">
        <w:tab/>
        <w:t xml:space="preserve">the </w:t>
      </w:r>
      <w:r w:rsidRPr="00FF2655">
        <w:rPr>
          <w:i/>
        </w:rPr>
        <w:t>Ozone Protection and Synthetic Greenhouse Gas (Import Levy) Act 1995</w:t>
      </w:r>
      <w:r w:rsidRPr="00FF2655">
        <w:t>; and</w:t>
      </w:r>
    </w:p>
    <w:p w:rsidR="007769D4" w:rsidRPr="00FF2655" w:rsidRDefault="006919A2" w:rsidP="006919A2">
      <w:pPr>
        <w:pStyle w:val="paragraph"/>
      </w:pPr>
      <w:r w:rsidRPr="00FF2655">
        <w:tab/>
        <w:t>(b)</w:t>
      </w:r>
      <w:r w:rsidRPr="00FF2655">
        <w:tab/>
      </w:r>
      <w:r w:rsidR="00AF0336" w:rsidRPr="00FF2655">
        <w:t xml:space="preserve">the </w:t>
      </w:r>
      <w:r w:rsidRPr="00FF2655">
        <w:rPr>
          <w:i/>
        </w:rPr>
        <w:t>Ozone Protection and Synthetic Gr</w:t>
      </w:r>
      <w:r w:rsidR="00507194" w:rsidRPr="00FF2655">
        <w:rPr>
          <w:i/>
        </w:rPr>
        <w:t>eenhouse Gas Management Act 1989</w:t>
      </w:r>
      <w:r w:rsidRPr="00FF2655">
        <w:t>; and</w:t>
      </w:r>
    </w:p>
    <w:p w:rsidR="006919A2" w:rsidRPr="00FF2655" w:rsidRDefault="006919A2" w:rsidP="006919A2">
      <w:pPr>
        <w:pStyle w:val="paragraph"/>
      </w:pPr>
      <w:r w:rsidRPr="00FF2655">
        <w:tab/>
        <w:t>(c)</w:t>
      </w:r>
      <w:r w:rsidRPr="00FF2655">
        <w:tab/>
      </w:r>
      <w:r w:rsidR="00D0701C" w:rsidRPr="00FF2655">
        <w:t xml:space="preserve">the </w:t>
      </w:r>
      <w:r w:rsidRPr="00FF2655">
        <w:rPr>
          <w:i/>
        </w:rPr>
        <w:t>Ozone Protection and Synthetic Greenhouse Gas (Manufacture Levy) Act 1995</w:t>
      </w:r>
      <w:r w:rsidR="00740597" w:rsidRPr="00FF2655">
        <w:t>.</w:t>
      </w:r>
    </w:p>
    <w:p w:rsidR="00557C7A" w:rsidRPr="00FF2655" w:rsidRDefault="007769D4" w:rsidP="00557C7A">
      <w:pPr>
        <w:pStyle w:val="ActHead5"/>
      </w:pPr>
      <w:bookmarkStart w:id="7" w:name="_Toc487631689"/>
      <w:r w:rsidRPr="00FF2655">
        <w:rPr>
          <w:rStyle w:val="CharSectno"/>
        </w:rPr>
        <w:t>4</w:t>
      </w:r>
      <w:r w:rsidR="00557C7A" w:rsidRPr="00FF2655">
        <w:t xml:space="preserve">  </w:t>
      </w:r>
      <w:r w:rsidR="00B332B8" w:rsidRPr="00FF2655">
        <w:t>Schedules</w:t>
      </w:r>
      <w:bookmarkEnd w:id="7"/>
    </w:p>
    <w:p w:rsidR="000F6B02" w:rsidRPr="00FF2655" w:rsidRDefault="00557C7A" w:rsidP="000F6B02">
      <w:pPr>
        <w:pStyle w:val="subsection"/>
      </w:pPr>
      <w:r w:rsidRPr="00FF2655">
        <w:tab/>
      </w:r>
      <w:r w:rsidRPr="00FF2655">
        <w:tab/>
      </w:r>
      <w:r w:rsidR="000F6B02" w:rsidRPr="00FF2655">
        <w:t xml:space="preserve">Each instrument that is specified in a Schedule to </w:t>
      </w:r>
      <w:r w:rsidR="006919A2" w:rsidRPr="00FF2655">
        <w:t>this instrument</w:t>
      </w:r>
      <w:r w:rsidR="000F6B02" w:rsidRPr="00FF2655">
        <w:t xml:space="preserve"> is amended or repealed as set out in the applicable items in the Schedule concerned, and any other item in a Schedule to </w:t>
      </w:r>
      <w:r w:rsidR="006919A2" w:rsidRPr="00FF2655">
        <w:t>this instrument</w:t>
      </w:r>
      <w:r w:rsidR="000F6B02" w:rsidRPr="00FF2655">
        <w:t xml:space="preserve"> has effect according to its terms</w:t>
      </w:r>
      <w:r w:rsidR="00740597" w:rsidRPr="00FF2655">
        <w:t>.</w:t>
      </w:r>
    </w:p>
    <w:p w:rsidR="006919A2" w:rsidRPr="00FF2655" w:rsidRDefault="006919A2" w:rsidP="006919A2">
      <w:pPr>
        <w:pStyle w:val="ActHead6"/>
        <w:pageBreakBefore/>
      </w:pPr>
      <w:bookmarkStart w:id="8" w:name="_Toc487631690"/>
      <w:bookmarkStart w:id="9" w:name="opcAmSched"/>
      <w:r w:rsidRPr="00FF2655">
        <w:rPr>
          <w:rStyle w:val="CharAmSchNo"/>
        </w:rPr>
        <w:t>Schedule</w:t>
      </w:r>
      <w:r w:rsidR="00FF2655" w:rsidRPr="00FF2655">
        <w:rPr>
          <w:rStyle w:val="CharAmSchNo"/>
        </w:rPr>
        <w:t> </w:t>
      </w:r>
      <w:r w:rsidRPr="00FF2655">
        <w:rPr>
          <w:rStyle w:val="CharAmSchNo"/>
        </w:rPr>
        <w:t>1</w:t>
      </w:r>
      <w:r w:rsidRPr="00FF2655">
        <w:t>—</w:t>
      </w:r>
      <w:r w:rsidRPr="00FF2655">
        <w:rPr>
          <w:rStyle w:val="CharAmSchText"/>
        </w:rPr>
        <w:t xml:space="preserve">Amendments commencing </w:t>
      </w:r>
      <w:r w:rsidR="002C4452" w:rsidRPr="00FF2655">
        <w:rPr>
          <w:rStyle w:val="CharAmSchText"/>
        </w:rPr>
        <w:t>1</w:t>
      </w:r>
      <w:r w:rsidR="00FF2655" w:rsidRPr="00FF2655">
        <w:rPr>
          <w:rStyle w:val="CharAmSchText"/>
        </w:rPr>
        <w:t> </w:t>
      </w:r>
      <w:r w:rsidR="002C4452" w:rsidRPr="00FF2655">
        <w:rPr>
          <w:rStyle w:val="CharAmSchText"/>
        </w:rPr>
        <w:t>August 2017</w:t>
      </w:r>
      <w:bookmarkEnd w:id="8"/>
    </w:p>
    <w:p w:rsidR="006919A2" w:rsidRPr="00FF2655" w:rsidRDefault="006919A2" w:rsidP="006919A2">
      <w:pPr>
        <w:pStyle w:val="ActHead7"/>
      </w:pPr>
      <w:bookmarkStart w:id="10" w:name="_Toc487631691"/>
      <w:bookmarkEnd w:id="9"/>
      <w:r w:rsidRPr="00FF2655">
        <w:rPr>
          <w:rStyle w:val="CharAmPartNo"/>
        </w:rPr>
        <w:t>Part</w:t>
      </w:r>
      <w:r w:rsidR="00FF2655" w:rsidRPr="00FF2655">
        <w:rPr>
          <w:rStyle w:val="CharAmPartNo"/>
        </w:rPr>
        <w:t> </w:t>
      </w:r>
      <w:r w:rsidRPr="00FF2655">
        <w:rPr>
          <w:rStyle w:val="CharAmPartNo"/>
        </w:rPr>
        <w:t>1</w:t>
      </w:r>
      <w:r w:rsidRPr="00FF2655">
        <w:t>—</w:t>
      </w:r>
      <w:proofErr w:type="spellStart"/>
      <w:r w:rsidRPr="00FF2655">
        <w:rPr>
          <w:rStyle w:val="CharAmPartText"/>
        </w:rPr>
        <w:t>HFC</w:t>
      </w:r>
      <w:r w:rsidR="00142B0B" w:rsidRPr="00FF2655">
        <w:rPr>
          <w:rStyle w:val="CharAmPartText"/>
        </w:rPr>
        <w:t>s</w:t>
      </w:r>
      <w:bookmarkEnd w:id="10"/>
      <w:proofErr w:type="spellEnd"/>
    </w:p>
    <w:p w:rsidR="00D031CF" w:rsidRPr="00FF2655" w:rsidRDefault="00D031CF" w:rsidP="006919A2">
      <w:pPr>
        <w:pStyle w:val="ActHead9"/>
      </w:pPr>
      <w:bookmarkStart w:id="11" w:name="_Toc487631692"/>
      <w:r w:rsidRPr="00FF2655">
        <w:t>Ozone Protection and Synthetic Greenhouse Gas (Import Levy) Regulations</w:t>
      </w:r>
      <w:r w:rsidR="00FF2655" w:rsidRPr="00FF2655">
        <w:t> </w:t>
      </w:r>
      <w:r w:rsidRPr="00FF2655">
        <w:t>2004</w:t>
      </w:r>
      <w:bookmarkEnd w:id="11"/>
    </w:p>
    <w:p w:rsidR="00D031CF" w:rsidRPr="00FF2655" w:rsidRDefault="00206A09" w:rsidP="00D031CF">
      <w:pPr>
        <w:pStyle w:val="ItemHead"/>
      </w:pPr>
      <w:r w:rsidRPr="00FF2655">
        <w:t>1</w:t>
      </w:r>
      <w:r w:rsidR="00D031CF" w:rsidRPr="00FF2655">
        <w:t xml:space="preserve">  Regulations</w:t>
      </w:r>
      <w:r w:rsidR="00FF2655" w:rsidRPr="00FF2655">
        <w:t> </w:t>
      </w:r>
      <w:r w:rsidR="00D031CF" w:rsidRPr="00FF2655">
        <w:t>3 and 5</w:t>
      </w:r>
    </w:p>
    <w:p w:rsidR="00D031CF" w:rsidRPr="00FF2655" w:rsidRDefault="00D031CF" w:rsidP="00D031CF">
      <w:pPr>
        <w:pStyle w:val="Item"/>
      </w:pPr>
      <w:r w:rsidRPr="00FF2655">
        <w:t>Repeal the regulations</w:t>
      </w:r>
      <w:r w:rsidR="00740597" w:rsidRPr="00FF2655">
        <w:t>.</w:t>
      </w:r>
    </w:p>
    <w:p w:rsidR="006919A2" w:rsidRPr="00FF2655" w:rsidRDefault="006919A2" w:rsidP="006919A2">
      <w:pPr>
        <w:pStyle w:val="ActHead9"/>
      </w:pPr>
      <w:bookmarkStart w:id="12" w:name="_Toc487631693"/>
      <w:r w:rsidRPr="00FF2655">
        <w:t>Ozone Protection and Synthetic Greenhouse Gas Management Regulations</w:t>
      </w:r>
      <w:r w:rsidR="00FF2655" w:rsidRPr="00FF2655">
        <w:t> </w:t>
      </w:r>
      <w:r w:rsidRPr="00FF2655">
        <w:t>1995</w:t>
      </w:r>
      <w:bookmarkEnd w:id="12"/>
    </w:p>
    <w:p w:rsidR="006919A2" w:rsidRPr="00FF2655" w:rsidRDefault="00206A09" w:rsidP="006919A2">
      <w:pPr>
        <w:pStyle w:val="ItemHead"/>
      </w:pPr>
      <w:r w:rsidRPr="00FF2655">
        <w:t>2</w:t>
      </w:r>
      <w:r w:rsidR="006919A2" w:rsidRPr="00FF2655">
        <w:t xml:space="preserve">  Regulation</w:t>
      </w:r>
      <w:r w:rsidR="00FF2655" w:rsidRPr="00FF2655">
        <w:t> </w:t>
      </w:r>
      <w:r w:rsidR="006919A2" w:rsidRPr="00FF2655">
        <w:t>2</w:t>
      </w:r>
    </w:p>
    <w:p w:rsidR="006919A2" w:rsidRPr="00FF2655" w:rsidRDefault="006919A2" w:rsidP="006919A2">
      <w:pPr>
        <w:pStyle w:val="Item"/>
      </w:pPr>
      <w:r w:rsidRPr="00FF2655">
        <w:t>Insert:</w:t>
      </w:r>
    </w:p>
    <w:p w:rsidR="006919A2" w:rsidRPr="00FF2655" w:rsidRDefault="006919A2" w:rsidP="006919A2">
      <w:pPr>
        <w:pStyle w:val="Definition"/>
      </w:pPr>
      <w:r w:rsidRPr="00FF2655">
        <w:rPr>
          <w:b/>
          <w:i/>
        </w:rPr>
        <w:t>base period</w:t>
      </w:r>
      <w:r w:rsidRPr="00FF2655">
        <w:t xml:space="preserve"> for an </w:t>
      </w:r>
      <w:proofErr w:type="spellStart"/>
      <w:r w:rsidRPr="00FF2655">
        <w:t>HFC</w:t>
      </w:r>
      <w:proofErr w:type="spellEnd"/>
      <w:r w:rsidRPr="00FF2655">
        <w:t xml:space="preserve"> quota allocation period has the meaning given by regulation</w:t>
      </w:r>
      <w:r w:rsidR="00FF2655" w:rsidRPr="00FF2655">
        <w:t> </w:t>
      </w:r>
      <w:r w:rsidR="00740597" w:rsidRPr="00FF2655">
        <w:t>46.</w:t>
      </w:r>
    </w:p>
    <w:p w:rsidR="006919A2" w:rsidRPr="00FF2655" w:rsidRDefault="006919A2" w:rsidP="006919A2">
      <w:pPr>
        <w:pStyle w:val="Definition"/>
      </w:pPr>
      <w:r w:rsidRPr="00FF2655">
        <w:rPr>
          <w:b/>
          <w:i/>
        </w:rPr>
        <w:t>covers</w:t>
      </w:r>
      <w:r w:rsidRPr="00FF2655">
        <w:t xml:space="preserve">: an </w:t>
      </w:r>
      <w:proofErr w:type="spellStart"/>
      <w:r w:rsidRPr="00FF2655">
        <w:t>SGG</w:t>
      </w:r>
      <w:proofErr w:type="spellEnd"/>
      <w:r w:rsidRPr="00FF2655">
        <w:t xml:space="preserve"> licence </w:t>
      </w:r>
      <w:r w:rsidRPr="00FF2655">
        <w:rPr>
          <w:b/>
          <w:i/>
        </w:rPr>
        <w:t>covers</w:t>
      </w:r>
      <w:r w:rsidRPr="00FF2655">
        <w:t xml:space="preserve"> a period if the licence is in force for the whole of the period</w:t>
      </w:r>
      <w:r w:rsidR="00740597" w:rsidRPr="00FF2655">
        <w:t>.</w:t>
      </w:r>
    </w:p>
    <w:p w:rsidR="006919A2" w:rsidRPr="00FF2655" w:rsidRDefault="006919A2" w:rsidP="006919A2">
      <w:pPr>
        <w:pStyle w:val="notetext"/>
      </w:pPr>
      <w:r w:rsidRPr="00FF2655">
        <w:t>Note:</w:t>
      </w:r>
      <w:r w:rsidRPr="00FF2655">
        <w:tab/>
        <w:t>For when a licence is in force, see section</w:t>
      </w:r>
      <w:r w:rsidR="00FF2655" w:rsidRPr="00FF2655">
        <w:t> </w:t>
      </w:r>
      <w:r w:rsidRPr="00FF2655">
        <w:t>19 of the Act</w:t>
      </w:r>
      <w:r w:rsidR="00740597" w:rsidRPr="00FF2655">
        <w:t>.</w:t>
      </w:r>
    </w:p>
    <w:p w:rsidR="006919A2" w:rsidRPr="00FF2655" w:rsidRDefault="006919A2" w:rsidP="006919A2">
      <w:pPr>
        <w:pStyle w:val="Definition"/>
      </w:pPr>
      <w:r w:rsidRPr="00FF2655">
        <w:rPr>
          <w:b/>
          <w:i/>
        </w:rPr>
        <w:t xml:space="preserve">first </w:t>
      </w:r>
      <w:proofErr w:type="spellStart"/>
      <w:r w:rsidRPr="00FF2655">
        <w:rPr>
          <w:b/>
          <w:i/>
        </w:rPr>
        <w:t>HFC</w:t>
      </w:r>
      <w:proofErr w:type="spellEnd"/>
      <w:r w:rsidRPr="00FF2655">
        <w:rPr>
          <w:b/>
          <w:i/>
        </w:rPr>
        <w:t xml:space="preserve"> quota allocation period</w:t>
      </w:r>
      <w:r w:rsidRPr="00FF2655">
        <w:t xml:space="preserve"> means the </w:t>
      </w:r>
      <w:proofErr w:type="spellStart"/>
      <w:r w:rsidR="00A73B06" w:rsidRPr="00FF2655">
        <w:t>HFC</w:t>
      </w:r>
      <w:proofErr w:type="spellEnd"/>
      <w:r w:rsidR="00A73B06" w:rsidRPr="00FF2655">
        <w:t xml:space="preserve"> quota allocation period </w:t>
      </w:r>
      <w:r w:rsidR="00A57246" w:rsidRPr="00FF2655">
        <w:t xml:space="preserve">mentioned in </w:t>
      </w:r>
      <w:proofErr w:type="spellStart"/>
      <w:r w:rsidR="00A57246" w:rsidRPr="00FF2655">
        <w:t>subregulation</w:t>
      </w:r>
      <w:proofErr w:type="spellEnd"/>
      <w:r w:rsidR="00FF2655" w:rsidRPr="00FF2655">
        <w:t> </w:t>
      </w:r>
      <w:r w:rsidR="00A57246" w:rsidRPr="00FF2655">
        <w:t>4</w:t>
      </w:r>
      <w:r w:rsidR="001C1528" w:rsidRPr="00FF2655">
        <w:t>1</w:t>
      </w:r>
      <w:r w:rsidR="00A57246" w:rsidRPr="00FF2655">
        <w:t>(2)</w:t>
      </w:r>
      <w:r w:rsidR="00740597" w:rsidRPr="00FF2655">
        <w:t>.</w:t>
      </w:r>
    </w:p>
    <w:p w:rsidR="00A57246" w:rsidRPr="00FF2655" w:rsidRDefault="00A57246" w:rsidP="00A57246">
      <w:pPr>
        <w:pStyle w:val="notetext"/>
      </w:pPr>
      <w:r w:rsidRPr="00FF2655">
        <w:t>Note:</w:t>
      </w:r>
      <w:r w:rsidRPr="00FF2655">
        <w:tab/>
        <w:t xml:space="preserve">The first </w:t>
      </w:r>
      <w:proofErr w:type="spellStart"/>
      <w:r w:rsidRPr="00FF2655">
        <w:t>HFC</w:t>
      </w:r>
      <w:proofErr w:type="spellEnd"/>
      <w:r w:rsidRPr="00FF2655">
        <w:t xml:space="preserve"> quota allocation period start</w:t>
      </w:r>
      <w:r w:rsidR="00C84854" w:rsidRPr="00FF2655">
        <w:t>s</w:t>
      </w:r>
      <w:r w:rsidRPr="00FF2655">
        <w:t xml:space="preserve"> on 1</w:t>
      </w:r>
      <w:r w:rsidR="00FF2655" w:rsidRPr="00FF2655">
        <w:t> </w:t>
      </w:r>
      <w:r w:rsidRPr="00FF2655">
        <w:t>January 2018</w:t>
      </w:r>
      <w:r w:rsidR="00740597" w:rsidRPr="00FF2655">
        <w:t>.</w:t>
      </w:r>
    </w:p>
    <w:p w:rsidR="0087272A" w:rsidRPr="00FF2655" w:rsidRDefault="0087272A" w:rsidP="0087272A">
      <w:pPr>
        <w:pStyle w:val="Definition"/>
      </w:pPr>
      <w:r w:rsidRPr="00FF2655">
        <w:rPr>
          <w:b/>
          <w:i/>
        </w:rPr>
        <w:t>grandfathered percentage</w:t>
      </w:r>
      <w:r w:rsidRPr="00FF2655">
        <w:t xml:space="preserve"> for an </w:t>
      </w:r>
      <w:proofErr w:type="spellStart"/>
      <w:r w:rsidRPr="00FF2655">
        <w:t>HFC</w:t>
      </w:r>
      <w:proofErr w:type="spellEnd"/>
      <w:r w:rsidRPr="00FF2655">
        <w:t xml:space="preserve"> quota allocation period has the meaning given by regulation</w:t>
      </w:r>
      <w:r w:rsidR="00FF2655" w:rsidRPr="00FF2655">
        <w:t> </w:t>
      </w:r>
      <w:r w:rsidR="00740597" w:rsidRPr="00FF2655">
        <w:t>46.</w:t>
      </w:r>
    </w:p>
    <w:p w:rsidR="0087272A" w:rsidRPr="00FF2655" w:rsidRDefault="0087272A" w:rsidP="0087272A">
      <w:pPr>
        <w:pStyle w:val="Definition"/>
      </w:pPr>
      <w:r w:rsidRPr="00FF2655">
        <w:rPr>
          <w:b/>
          <w:i/>
        </w:rPr>
        <w:t>grandfathered quota</w:t>
      </w:r>
      <w:r w:rsidRPr="00FF2655">
        <w:t xml:space="preserve"> means an amount to which a person is entitled under regulation</w:t>
      </w:r>
      <w:r w:rsidR="00FF2655" w:rsidRPr="00FF2655">
        <w:t> </w:t>
      </w:r>
      <w:r w:rsidR="00740597" w:rsidRPr="00FF2655">
        <w:t>48</w:t>
      </w:r>
      <w:r w:rsidR="007653C4" w:rsidRPr="00FF2655">
        <w:t xml:space="preserve">, </w:t>
      </w:r>
      <w:r w:rsidR="00740597" w:rsidRPr="00FF2655">
        <w:t>49</w:t>
      </w:r>
      <w:r w:rsidR="007653C4" w:rsidRPr="00FF2655">
        <w:t xml:space="preserve"> or </w:t>
      </w:r>
      <w:r w:rsidR="00740597" w:rsidRPr="00FF2655">
        <w:t>50</w:t>
      </w:r>
      <w:r w:rsidR="00D71979" w:rsidRPr="00FF2655">
        <w:t xml:space="preserve"> (as affected by Subdivision</w:t>
      </w:r>
      <w:r w:rsidR="00FF2655" w:rsidRPr="00FF2655">
        <w:t> </w:t>
      </w:r>
      <w:r w:rsidR="00D71979" w:rsidRPr="00FF2655">
        <w:t>4A</w:t>
      </w:r>
      <w:r w:rsidR="00740597" w:rsidRPr="00FF2655">
        <w:t>.</w:t>
      </w:r>
      <w:r w:rsidR="00521715" w:rsidRPr="00FF2655">
        <w:t>3</w:t>
      </w:r>
      <w:r w:rsidR="00740597" w:rsidRPr="00FF2655">
        <w:t>.</w:t>
      </w:r>
      <w:r w:rsidR="00D71979" w:rsidRPr="00FF2655">
        <w:t>5)</w:t>
      </w:r>
      <w:r w:rsidR="00740597" w:rsidRPr="00FF2655">
        <w:t>.</w:t>
      </w:r>
    </w:p>
    <w:p w:rsidR="00A73B06" w:rsidRPr="00FF2655" w:rsidRDefault="006919A2" w:rsidP="006919A2">
      <w:pPr>
        <w:pStyle w:val="Definition"/>
      </w:pPr>
      <w:proofErr w:type="spellStart"/>
      <w:r w:rsidRPr="00FF2655">
        <w:rPr>
          <w:b/>
          <w:i/>
        </w:rPr>
        <w:t>HFC</w:t>
      </w:r>
      <w:proofErr w:type="spellEnd"/>
      <w:r w:rsidRPr="00FF2655">
        <w:rPr>
          <w:b/>
          <w:i/>
        </w:rPr>
        <w:t xml:space="preserve"> quota allocation period</w:t>
      </w:r>
      <w:r w:rsidRPr="00FF2655">
        <w:t xml:space="preserve"> </w:t>
      </w:r>
      <w:r w:rsidR="00A73B06" w:rsidRPr="00FF2655">
        <w:t>has the meaning given by regulation</w:t>
      </w:r>
      <w:r w:rsidR="00FF2655" w:rsidRPr="00FF2655">
        <w:t> </w:t>
      </w:r>
      <w:r w:rsidR="00740597" w:rsidRPr="00FF2655">
        <w:t>41.</w:t>
      </w:r>
    </w:p>
    <w:p w:rsidR="006919A2" w:rsidRPr="00FF2655" w:rsidRDefault="006919A2" w:rsidP="006919A2">
      <w:pPr>
        <w:pStyle w:val="Definition"/>
      </w:pPr>
      <w:r w:rsidRPr="00FF2655">
        <w:rPr>
          <w:b/>
          <w:i/>
        </w:rPr>
        <w:t xml:space="preserve">licensed </w:t>
      </w:r>
      <w:r w:rsidR="004E4870" w:rsidRPr="00FF2655">
        <w:rPr>
          <w:b/>
          <w:i/>
        </w:rPr>
        <w:t xml:space="preserve">regulated </w:t>
      </w:r>
      <w:proofErr w:type="spellStart"/>
      <w:r w:rsidRPr="00FF2655">
        <w:rPr>
          <w:b/>
          <w:i/>
        </w:rPr>
        <w:t>HCFC</w:t>
      </w:r>
      <w:proofErr w:type="spellEnd"/>
      <w:r w:rsidRPr="00FF2655">
        <w:rPr>
          <w:b/>
          <w:i/>
        </w:rPr>
        <w:t xml:space="preserve"> activity</w:t>
      </w:r>
      <w:r w:rsidRPr="00FF2655">
        <w:t xml:space="preserve"> means a regulated </w:t>
      </w:r>
      <w:proofErr w:type="spellStart"/>
      <w:r w:rsidRPr="00FF2655">
        <w:t>HCFC</w:t>
      </w:r>
      <w:proofErr w:type="spellEnd"/>
      <w:r w:rsidRPr="00FF2655">
        <w:t xml:space="preserve"> activity engaged in under a controlled substances licence</w:t>
      </w:r>
      <w:r w:rsidR="00740597" w:rsidRPr="00FF2655">
        <w:t>.</w:t>
      </w:r>
    </w:p>
    <w:p w:rsidR="006919A2" w:rsidRPr="00FF2655" w:rsidRDefault="006919A2" w:rsidP="006919A2">
      <w:pPr>
        <w:pStyle w:val="Definition"/>
      </w:pPr>
      <w:r w:rsidRPr="00FF2655">
        <w:rPr>
          <w:b/>
          <w:i/>
        </w:rPr>
        <w:t xml:space="preserve">licensed </w:t>
      </w:r>
      <w:r w:rsidR="004E4870" w:rsidRPr="00FF2655">
        <w:rPr>
          <w:b/>
          <w:i/>
        </w:rPr>
        <w:t xml:space="preserve">regulated </w:t>
      </w:r>
      <w:proofErr w:type="spellStart"/>
      <w:r w:rsidRPr="00FF2655">
        <w:rPr>
          <w:b/>
          <w:i/>
        </w:rPr>
        <w:t>HFC</w:t>
      </w:r>
      <w:proofErr w:type="spellEnd"/>
      <w:r w:rsidRPr="00FF2655">
        <w:rPr>
          <w:b/>
          <w:i/>
        </w:rPr>
        <w:t xml:space="preserve"> activity</w:t>
      </w:r>
      <w:r w:rsidRPr="00FF2655">
        <w:t xml:space="preserve"> means a regulated </w:t>
      </w:r>
      <w:proofErr w:type="spellStart"/>
      <w:r w:rsidRPr="00FF2655">
        <w:t>HFC</w:t>
      </w:r>
      <w:proofErr w:type="spellEnd"/>
      <w:r w:rsidRPr="00FF2655">
        <w:t xml:space="preserve"> activity engaged in under an </w:t>
      </w:r>
      <w:proofErr w:type="spellStart"/>
      <w:r w:rsidRPr="00FF2655">
        <w:t>SGG</w:t>
      </w:r>
      <w:proofErr w:type="spellEnd"/>
      <w:r w:rsidRPr="00FF2655">
        <w:t xml:space="preserve"> licence</w:t>
      </w:r>
      <w:r w:rsidR="00740597" w:rsidRPr="00FF2655">
        <w:t>.</w:t>
      </w:r>
    </w:p>
    <w:p w:rsidR="00E00891" w:rsidRPr="00FF2655" w:rsidRDefault="00E00891" w:rsidP="00E00891">
      <w:pPr>
        <w:pStyle w:val="Definition"/>
      </w:pPr>
      <w:r w:rsidRPr="00FF2655">
        <w:rPr>
          <w:b/>
          <w:i/>
        </w:rPr>
        <w:t>maximum grandfathered quota</w:t>
      </w:r>
      <w:r w:rsidRPr="00FF2655">
        <w:t xml:space="preserve"> has the meaning given by </w:t>
      </w:r>
      <w:proofErr w:type="spellStart"/>
      <w:r w:rsidRPr="00FF2655">
        <w:t>sub</w:t>
      </w:r>
      <w:r w:rsidR="00E661A8" w:rsidRPr="00FF2655">
        <w:t>regulation</w:t>
      </w:r>
      <w:proofErr w:type="spellEnd"/>
      <w:r w:rsidR="00FF2655" w:rsidRPr="00FF2655">
        <w:t> </w:t>
      </w:r>
      <w:r w:rsidR="00740597" w:rsidRPr="00FF2655">
        <w:t>58</w:t>
      </w:r>
      <w:r w:rsidRPr="00FF2655">
        <w:t>(4)</w:t>
      </w:r>
      <w:r w:rsidR="00740597" w:rsidRPr="00FF2655">
        <w:t>.</w:t>
      </w:r>
    </w:p>
    <w:p w:rsidR="006919A2" w:rsidRPr="00FF2655" w:rsidRDefault="006919A2" w:rsidP="006919A2">
      <w:pPr>
        <w:pStyle w:val="Definition"/>
      </w:pPr>
      <w:r w:rsidRPr="00FF2655">
        <w:rPr>
          <w:b/>
          <w:i/>
        </w:rPr>
        <w:t>non</w:t>
      </w:r>
      <w:r w:rsidR="00FF2655">
        <w:rPr>
          <w:b/>
          <w:i/>
        </w:rPr>
        <w:noBreakHyphen/>
      </w:r>
      <w:r w:rsidRPr="00FF2655">
        <w:rPr>
          <w:b/>
          <w:i/>
        </w:rPr>
        <w:t>grandfathered percentage</w:t>
      </w:r>
      <w:r w:rsidRPr="00FF2655">
        <w:t xml:space="preserve"> for an </w:t>
      </w:r>
      <w:proofErr w:type="spellStart"/>
      <w:r w:rsidRPr="00FF2655">
        <w:t>HFC</w:t>
      </w:r>
      <w:proofErr w:type="spellEnd"/>
      <w:r w:rsidRPr="00FF2655">
        <w:t xml:space="preserve"> quota allocation period has the meaning given by regulation</w:t>
      </w:r>
      <w:r w:rsidR="00FF2655" w:rsidRPr="00FF2655">
        <w:t> </w:t>
      </w:r>
      <w:r w:rsidR="00740597" w:rsidRPr="00FF2655">
        <w:t>46.</w:t>
      </w:r>
    </w:p>
    <w:p w:rsidR="006919A2" w:rsidRPr="00FF2655" w:rsidRDefault="006919A2" w:rsidP="006919A2">
      <w:pPr>
        <w:pStyle w:val="Definition"/>
      </w:pPr>
      <w:r w:rsidRPr="00FF2655">
        <w:rPr>
          <w:b/>
          <w:i/>
        </w:rPr>
        <w:t>non</w:t>
      </w:r>
      <w:r w:rsidR="00FF2655">
        <w:rPr>
          <w:b/>
          <w:i/>
        </w:rPr>
        <w:noBreakHyphen/>
      </w:r>
      <w:r w:rsidRPr="00FF2655">
        <w:rPr>
          <w:b/>
          <w:i/>
        </w:rPr>
        <w:t>grandfathered quota</w:t>
      </w:r>
      <w:r w:rsidRPr="00FF2655">
        <w:t xml:space="preserve"> means an amount to which a person is entitled under regulation</w:t>
      </w:r>
      <w:r w:rsidR="00FF2655" w:rsidRPr="00FF2655">
        <w:t> </w:t>
      </w:r>
      <w:r w:rsidR="00740597" w:rsidRPr="00FF2655">
        <w:t>51.</w:t>
      </w:r>
    </w:p>
    <w:p w:rsidR="006919A2" w:rsidRPr="00FF2655" w:rsidRDefault="006919A2" w:rsidP="006919A2">
      <w:pPr>
        <w:pStyle w:val="Definition"/>
      </w:pPr>
      <w:r w:rsidRPr="00FF2655">
        <w:rPr>
          <w:b/>
          <w:i/>
        </w:rPr>
        <w:t xml:space="preserve">second </w:t>
      </w:r>
      <w:proofErr w:type="spellStart"/>
      <w:r w:rsidRPr="00FF2655">
        <w:rPr>
          <w:b/>
          <w:i/>
        </w:rPr>
        <w:t>HFC</w:t>
      </w:r>
      <w:proofErr w:type="spellEnd"/>
      <w:r w:rsidRPr="00FF2655">
        <w:rPr>
          <w:b/>
          <w:i/>
        </w:rPr>
        <w:t xml:space="preserve"> quota allocation period</w:t>
      </w:r>
      <w:r w:rsidRPr="00FF2655">
        <w:t xml:space="preserve"> means the </w:t>
      </w:r>
      <w:proofErr w:type="spellStart"/>
      <w:r w:rsidR="00A73B06" w:rsidRPr="00FF2655">
        <w:t>HFC</w:t>
      </w:r>
      <w:proofErr w:type="spellEnd"/>
      <w:r w:rsidR="00A73B06" w:rsidRPr="00FF2655">
        <w:t xml:space="preserve"> quota allocation </w:t>
      </w:r>
      <w:r w:rsidRPr="00FF2655">
        <w:t>period</w:t>
      </w:r>
      <w:r w:rsidR="00A73B06" w:rsidRPr="00FF2655">
        <w:t xml:space="preserve"> </w:t>
      </w:r>
      <w:r w:rsidRPr="00FF2655">
        <w:t>starting on 1</w:t>
      </w:r>
      <w:r w:rsidR="00FF2655" w:rsidRPr="00FF2655">
        <w:t> </w:t>
      </w:r>
      <w:r w:rsidRPr="00FF2655">
        <w:t>January 2020</w:t>
      </w:r>
      <w:r w:rsidR="00740597" w:rsidRPr="00FF2655">
        <w:t>.</w:t>
      </w:r>
    </w:p>
    <w:p w:rsidR="006919A2" w:rsidRPr="00FF2655" w:rsidRDefault="00206A09" w:rsidP="006919A2">
      <w:pPr>
        <w:pStyle w:val="ItemHead"/>
      </w:pPr>
      <w:r w:rsidRPr="00FF2655">
        <w:t>3</w:t>
      </w:r>
      <w:r w:rsidR="006919A2" w:rsidRPr="00FF2655">
        <w:t xml:space="preserve">  </w:t>
      </w:r>
      <w:proofErr w:type="spellStart"/>
      <w:r w:rsidR="006919A2" w:rsidRPr="00FF2655">
        <w:t>Subregulation</w:t>
      </w:r>
      <w:proofErr w:type="spellEnd"/>
      <w:r w:rsidR="00FF2655" w:rsidRPr="00FF2655">
        <w:t> </w:t>
      </w:r>
      <w:r w:rsidR="006919A2" w:rsidRPr="00FF2655">
        <w:t>3(1)</w:t>
      </w:r>
    </w:p>
    <w:p w:rsidR="006919A2" w:rsidRPr="00FF2655" w:rsidRDefault="006919A2" w:rsidP="006919A2">
      <w:pPr>
        <w:pStyle w:val="Item"/>
      </w:pPr>
      <w:r w:rsidRPr="00FF2655">
        <w:t xml:space="preserve">Omit </w:t>
      </w:r>
      <w:r w:rsidR="006360F9" w:rsidRPr="00FF2655">
        <w:t>“</w:t>
      </w:r>
      <w:r w:rsidRPr="00FF2655">
        <w:t>subsection</w:t>
      </w:r>
      <w:r w:rsidR="00FF2655" w:rsidRPr="00FF2655">
        <w:t> </w:t>
      </w:r>
      <w:r w:rsidRPr="00FF2655">
        <w:t>13(1A)</w:t>
      </w:r>
      <w:r w:rsidR="006360F9" w:rsidRPr="00FF2655">
        <w:t>”</w:t>
      </w:r>
      <w:r w:rsidRPr="00FF2655">
        <w:t xml:space="preserve">, substitute </w:t>
      </w:r>
      <w:r w:rsidR="006360F9" w:rsidRPr="00FF2655">
        <w:t>“</w:t>
      </w:r>
      <w:r w:rsidRPr="00FF2655">
        <w:t>the purposes of subsection</w:t>
      </w:r>
      <w:r w:rsidR="00FF2655" w:rsidRPr="00FF2655">
        <w:t> </w:t>
      </w:r>
      <w:r w:rsidRPr="00FF2655">
        <w:t>13(3)</w:t>
      </w:r>
      <w:r w:rsidR="006360F9" w:rsidRPr="00FF2655">
        <w:t>”</w:t>
      </w:r>
      <w:r w:rsidR="00740597" w:rsidRPr="00FF2655">
        <w:t>.</w:t>
      </w:r>
    </w:p>
    <w:p w:rsidR="006919A2" w:rsidRPr="00FF2655" w:rsidRDefault="00206A09" w:rsidP="006919A2">
      <w:pPr>
        <w:pStyle w:val="ItemHead"/>
      </w:pPr>
      <w:r w:rsidRPr="00FF2655">
        <w:t>4</w:t>
      </w:r>
      <w:r w:rsidR="006919A2" w:rsidRPr="00FF2655">
        <w:t xml:space="preserve">  </w:t>
      </w:r>
      <w:proofErr w:type="spellStart"/>
      <w:r w:rsidR="006919A2" w:rsidRPr="00FF2655">
        <w:t>Subregulation</w:t>
      </w:r>
      <w:proofErr w:type="spellEnd"/>
      <w:r w:rsidR="00FF2655" w:rsidRPr="00FF2655">
        <w:t> </w:t>
      </w:r>
      <w:r w:rsidR="006919A2" w:rsidRPr="00FF2655">
        <w:t>3(2)</w:t>
      </w:r>
    </w:p>
    <w:p w:rsidR="006919A2" w:rsidRPr="00FF2655" w:rsidRDefault="006919A2" w:rsidP="006919A2">
      <w:pPr>
        <w:pStyle w:val="Item"/>
      </w:pPr>
      <w:r w:rsidRPr="00FF2655">
        <w:t xml:space="preserve">Omit </w:t>
      </w:r>
      <w:r w:rsidR="006360F9" w:rsidRPr="00FF2655">
        <w:t>“</w:t>
      </w:r>
      <w:r w:rsidRPr="00FF2655">
        <w:t>subparagraph</w:t>
      </w:r>
      <w:r w:rsidR="00FF2655" w:rsidRPr="00FF2655">
        <w:t> </w:t>
      </w:r>
      <w:r w:rsidRPr="00FF2655">
        <w:t>13(6A)(b)(ii)</w:t>
      </w:r>
      <w:r w:rsidR="006360F9" w:rsidRPr="00FF2655">
        <w:t>”</w:t>
      </w:r>
      <w:r w:rsidRPr="00FF2655">
        <w:t xml:space="preserve">, substitute </w:t>
      </w:r>
      <w:r w:rsidR="006360F9" w:rsidRPr="00FF2655">
        <w:t>“</w:t>
      </w:r>
      <w:r w:rsidRPr="00FF2655">
        <w:t>the purposes of paragraph</w:t>
      </w:r>
      <w:r w:rsidR="00FF2655" w:rsidRPr="00FF2655">
        <w:t> </w:t>
      </w:r>
      <w:r w:rsidRPr="00FF2655">
        <w:t>13(</w:t>
      </w:r>
      <w:r w:rsidR="00A52D2C" w:rsidRPr="00FF2655">
        <w:t>5</w:t>
      </w:r>
      <w:r w:rsidRPr="00FF2655">
        <w:t>)(b)</w:t>
      </w:r>
      <w:r w:rsidR="006360F9" w:rsidRPr="00FF2655">
        <w:t>”</w:t>
      </w:r>
      <w:r w:rsidR="00740597" w:rsidRPr="00FF2655">
        <w:t>.</w:t>
      </w:r>
    </w:p>
    <w:p w:rsidR="006919A2" w:rsidRPr="00FF2655" w:rsidRDefault="00206A09" w:rsidP="006919A2">
      <w:pPr>
        <w:pStyle w:val="ItemHead"/>
      </w:pPr>
      <w:r w:rsidRPr="00FF2655">
        <w:t>5</w:t>
      </w:r>
      <w:r w:rsidR="006919A2" w:rsidRPr="00FF2655">
        <w:t xml:space="preserve">  </w:t>
      </w:r>
      <w:proofErr w:type="spellStart"/>
      <w:r w:rsidR="006919A2" w:rsidRPr="00FF2655">
        <w:t>Subregulation</w:t>
      </w:r>
      <w:proofErr w:type="spellEnd"/>
      <w:r w:rsidR="00FF2655" w:rsidRPr="00FF2655">
        <w:t> </w:t>
      </w:r>
      <w:r w:rsidR="006919A2" w:rsidRPr="00FF2655">
        <w:t>3(3)</w:t>
      </w:r>
    </w:p>
    <w:p w:rsidR="006919A2" w:rsidRPr="00FF2655" w:rsidRDefault="006919A2" w:rsidP="006919A2">
      <w:pPr>
        <w:pStyle w:val="Item"/>
      </w:pPr>
      <w:r w:rsidRPr="00FF2655">
        <w:t xml:space="preserve">Omit </w:t>
      </w:r>
      <w:r w:rsidR="006360F9" w:rsidRPr="00FF2655">
        <w:t>“</w:t>
      </w:r>
      <w:r w:rsidRPr="00FF2655">
        <w:t>subparagraph</w:t>
      </w:r>
      <w:r w:rsidR="00FF2655" w:rsidRPr="00FF2655">
        <w:t> </w:t>
      </w:r>
      <w:r w:rsidRPr="00FF2655">
        <w:t>13(6A)(b)(iii)</w:t>
      </w:r>
      <w:r w:rsidR="006360F9" w:rsidRPr="00FF2655">
        <w:t>”</w:t>
      </w:r>
      <w:r w:rsidRPr="00FF2655">
        <w:t xml:space="preserve">, substitute </w:t>
      </w:r>
      <w:r w:rsidR="006360F9" w:rsidRPr="00FF2655">
        <w:t>“</w:t>
      </w:r>
      <w:r w:rsidRPr="00FF2655">
        <w:t>the purposes of paragraph</w:t>
      </w:r>
      <w:r w:rsidR="00FF2655" w:rsidRPr="00FF2655">
        <w:t> </w:t>
      </w:r>
      <w:r w:rsidRPr="00FF2655">
        <w:t>13(</w:t>
      </w:r>
      <w:r w:rsidR="00A52D2C" w:rsidRPr="00FF2655">
        <w:t>5</w:t>
      </w:r>
      <w:r w:rsidRPr="00FF2655">
        <w:t>)(c)</w:t>
      </w:r>
      <w:r w:rsidR="006360F9" w:rsidRPr="00FF2655">
        <w:t>”</w:t>
      </w:r>
      <w:r w:rsidR="00740597" w:rsidRPr="00FF2655">
        <w:t>.</w:t>
      </w:r>
    </w:p>
    <w:p w:rsidR="006919A2" w:rsidRPr="00FF2655" w:rsidRDefault="00206A09" w:rsidP="006919A2">
      <w:pPr>
        <w:pStyle w:val="ItemHead"/>
      </w:pPr>
      <w:r w:rsidRPr="00FF2655">
        <w:t>6</w:t>
      </w:r>
      <w:r w:rsidR="006919A2" w:rsidRPr="00FF2655">
        <w:t xml:space="preserve">  </w:t>
      </w:r>
      <w:proofErr w:type="spellStart"/>
      <w:r w:rsidR="006919A2" w:rsidRPr="00FF2655">
        <w:t>Subregulations</w:t>
      </w:r>
      <w:proofErr w:type="spellEnd"/>
      <w:r w:rsidR="00FF2655" w:rsidRPr="00FF2655">
        <w:t> </w:t>
      </w:r>
      <w:r w:rsidR="006919A2" w:rsidRPr="00FF2655">
        <w:t>3(5) and (6)</w:t>
      </w:r>
    </w:p>
    <w:p w:rsidR="006919A2" w:rsidRPr="00FF2655" w:rsidRDefault="006919A2" w:rsidP="006919A2">
      <w:pPr>
        <w:pStyle w:val="Item"/>
      </w:pPr>
      <w:r w:rsidRPr="00FF2655">
        <w:t xml:space="preserve">Repeal the </w:t>
      </w:r>
      <w:proofErr w:type="spellStart"/>
      <w:r w:rsidRPr="00FF2655">
        <w:t>subregulations</w:t>
      </w:r>
      <w:proofErr w:type="spellEnd"/>
      <w:r w:rsidRPr="00FF2655">
        <w:t>, substitute:</w:t>
      </w:r>
    </w:p>
    <w:p w:rsidR="006919A2" w:rsidRPr="00FF2655" w:rsidRDefault="006919A2" w:rsidP="006919A2">
      <w:pPr>
        <w:pStyle w:val="SubsectionHead"/>
      </w:pPr>
      <w:r w:rsidRPr="00FF2655">
        <w:t>Low</w:t>
      </w:r>
      <w:r w:rsidR="00FF2655">
        <w:noBreakHyphen/>
      </w:r>
      <w:r w:rsidRPr="00FF2655">
        <w:t>volume thresholds</w:t>
      </w:r>
    </w:p>
    <w:p w:rsidR="006919A2" w:rsidRPr="00FF2655" w:rsidRDefault="006919A2" w:rsidP="006919A2">
      <w:pPr>
        <w:pStyle w:val="subsection"/>
      </w:pPr>
      <w:r w:rsidRPr="00FF2655">
        <w:tab/>
        <w:t>(5)</w:t>
      </w:r>
      <w:r w:rsidRPr="00FF2655">
        <w:tab/>
        <w:t>For the purposes of paragraph</w:t>
      </w:r>
      <w:r w:rsidR="00FF2655" w:rsidRPr="00FF2655">
        <w:t> </w:t>
      </w:r>
      <w:r w:rsidR="00A52D2C" w:rsidRPr="00FF2655">
        <w:t>13(6</w:t>
      </w:r>
      <w:r w:rsidRPr="00FF2655">
        <w:t>)(a) of the Act, 10 kilograms is prescribed</w:t>
      </w:r>
      <w:r w:rsidR="00740597" w:rsidRPr="00FF2655">
        <w:t>.</w:t>
      </w:r>
    </w:p>
    <w:p w:rsidR="00006F4F" w:rsidRPr="00FF2655" w:rsidRDefault="00006F4F" w:rsidP="00006F4F">
      <w:pPr>
        <w:pStyle w:val="subsection"/>
      </w:pPr>
      <w:r w:rsidRPr="00FF2655">
        <w:tab/>
        <w:t>(6)</w:t>
      </w:r>
      <w:r w:rsidRPr="00FF2655">
        <w:tab/>
        <w:t>For the purposes of paragraph</w:t>
      </w:r>
      <w:r w:rsidR="00FF2655" w:rsidRPr="00FF2655">
        <w:t> </w:t>
      </w:r>
      <w:r w:rsidRPr="00FF2655">
        <w:t xml:space="preserve">13(6)(b) of the Act, 25 kilograms is prescribed in relation to each of the following </w:t>
      </w:r>
      <w:proofErr w:type="spellStart"/>
      <w:r w:rsidRPr="00FF2655">
        <w:t>SGGs</w:t>
      </w:r>
      <w:proofErr w:type="spellEnd"/>
      <w:r w:rsidRPr="00FF2655">
        <w:t>:</w:t>
      </w:r>
    </w:p>
    <w:p w:rsidR="00006F4F" w:rsidRPr="00FF2655" w:rsidRDefault="00006F4F" w:rsidP="00006F4F">
      <w:pPr>
        <w:pStyle w:val="paragraph"/>
      </w:pPr>
      <w:r w:rsidRPr="00FF2655">
        <w:tab/>
        <w:t>(a)</w:t>
      </w:r>
      <w:r w:rsidRPr="00FF2655">
        <w:tab/>
      </w:r>
      <w:proofErr w:type="spellStart"/>
      <w:r w:rsidRPr="00FF2655">
        <w:t>HFC</w:t>
      </w:r>
      <w:proofErr w:type="spellEnd"/>
      <w:r w:rsidRPr="00FF2655">
        <w:t>;</w:t>
      </w:r>
    </w:p>
    <w:p w:rsidR="00006F4F" w:rsidRPr="00FF2655" w:rsidRDefault="00006F4F" w:rsidP="00006F4F">
      <w:pPr>
        <w:pStyle w:val="paragraph"/>
      </w:pPr>
      <w:r w:rsidRPr="00FF2655">
        <w:tab/>
        <w:t>(b)</w:t>
      </w:r>
      <w:r w:rsidRPr="00FF2655">
        <w:tab/>
        <w:t>PFC;</w:t>
      </w:r>
    </w:p>
    <w:p w:rsidR="00006F4F" w:rsidRPr="00FF2655" w:rsidRDefault="00006F4F" w:rsidP="00006F4F">
      <w:pPr>
        <w:pStyle w:val="paragraph"/>
      </w:pPr>
      <w:r w:rsidRPr="00FF2655">
        <w:tab/>
        <w:t>(c)</w:t>
      </w:r>
      <w:r w:rsidRPr="00FF2655">
        <w:tab/>
      </w:r>
      <w:proofErr w:type="spellStart"/>
      <w:r w:rsidRPr="00FF2655">
        <w:t>sulfur</w:t>
      </w:r>
      <w:proofErr w:type="spellEnd"/>
      <w:r w:rsidRPr="00FF2655">
        <w:t xml:space="preserve"> hexafluoride.</w:t>
      </w:r>
    </w:p>
    <w:p w:rsidR="00715CC8" w:rsidRPr="00FF2655" w:rsidRDefault="006919A2" w:rsidP="005B3FD9">
      <w:pPr>
        <w:pStyle w:val="subsection"/>
      </w:pPr>
      <w:r w:rsidRPr="00FF2655">
        <w:tab/>
        <w:t>(</w:t>
      </w:r>
      <w:r w:rsidR="00006F4F" w:rsidRPr="00FF2655">
        <w:t>7</w:t>
      </w:r>
      <w:r w:rsidRPr="00FF2655">
        <w:t>)</w:t>
      </w:r>
      <w:r w:rsidRPr="00FF2655">
        <w:tab/>
        <w:t>For the purposes of paragraph</w:t>
      </w:r>
      <w:r w:rsidR="00FF2655" w:rsidRPr="00FF2655">
        <w:t> </w:t>
      </w:r>
      <w:r w:rsidR="00A52D2C" w:rsidRPr="00FF2655">
        <w:t>13(6</w:t>
      </w:r>
      <w:r w:rsidRPr="00FF2655">
        <w:t>)(</w:t>
      </w:r>
      <w:r w:rsidR="002079F1" w:rsidRPr="00FF2655">
        <w:t>c</w:t>
      </w:r>
      <w:r w:rsidRPr="00FF2655">
        <w:t>)</w:t>
      </w:r>
      <w:r w:rsidR="005B3FD9" w:rsidRPr="00FF2655">
        <w:t xml:space="preserve"> of the Act, </w:t>
      </w:r>
      <w:r w:rsidR="00715CC8" w:rsidRPr="00FF2655">
        <w:t xml:space="preserve">it is a condition, in relation to an importation of </w:t>
      </w:r>
      <w:proofErr w:type="spellStart"/>
      <w:r w:rsidR="00715CC8" w:rsidRPr="00FF2655">
        <w:t>SGG</w:t>
      </w:r>
      <w:proofErr w:type="spellEnd"/>
      <w:r w:rsidR="00715CC8" w:rsidRPr="00FF2655">
        <w:t xml:space="preserve"> equipment by a person at a time in a calendar year, that the total amount of </w:t>
      </w:r>
      <w:proofErr w:type="spellStart"/>
      <w:r w:rsidR="00715CC8" w:rsidRPr="00FF2655">
        <w:t>SGG</w:t>
      </w:r>
      <w:proofErr w:type="spellEnd"/>
      <w:r w:rsidR="00715CC8" w:rsidRPr="00FF2655">
        <w:t xml:space="preserve"> contained in:</w:t>
      </w:r>
    </w:p>
    <w:p w:rsidR="00715CC8" w:rsidRPr="00FF2655" w:rsidRDefault="00715CC8" w:rsidP="00715CC8">
      <w:pPr>
        <w:pStyle w:val="paragraph"/>
      </w:pPr>
      <w:r w:rsidRPr="00FF2655">
        <w:tab/>
        <w:t>(a)</w:t>
      </w:r>
      <w:r w:rsidRPr="00FF2655">
        <w:tab/>
      </w:r>
      <w:proofErr w:type="spellStart"/>
      <w:r w:rsidRPr="00FF2655">
        <w:t>SGG</w:t>
      </w:r>
      <w:proofErr w:type="spellEnd"/>
      <w:r w:rsidRPr="00FF2655">
        <w:t xml:space="preserve"> equipment in the importation; and</w:t>
      </w:r>
    </w:p>
    <w:p w:rsidR="00715CC8" w:rsidRPr="00FF2655" w:rsidRDefault="00715CC8" w:rsidP="00715CC8">
      <w:pPr>
        <w:pStyle w:val="paragraph"/>
      </w:pPr>
      <w:r w:rsidRPr="00FF2655">
        <w:tab/>
        <w:t>(b)</w:t>
      </w:r>
      <w:r w:rsidRPr="00FF2655">
        <w:tab/>
        <w:t xml:space="preserve">any other </w:t>
      </w:r>
      <w:proofErr w:type="spellStart"/>
      <w:r w:rsidRPr="00FF2655">
        <w:t>SGG</w:t>
      </w:r>
      <w:proofErr w:type="spellEnd"/>
      <w:r w:rsidRPr="00FF2655">
        <w:t xml:space="preserve"> equipment the person import</w:t>
      </w:r>
      <w:r w:rsidR="007C4EAE" w:rsidRPr="00FF2655">
        <w:t>ed</w:t>
      </w:r>
      <w:r w:rsidRPr="00FF2655">
        <w:t xml:space="preserve"> during the calendar year at or before that time;</w:t>
      </w:r>
    </w:p>
    <w:p w:rsidR="00715CC8" w:rsidRPr="00FF2655" w:rsidRDefault="00715CC8" w:rsidP="00715CC8">
      <w:pPr>
        <w:pStyle w:val="subsection2"/>
      </w:pPr>
      <w:r w:rsidRPr="00FF2655">
        <w:t>is not greater than 25 kg.</w:t>
      </w:r>
    </w:p>
    <w:p w:rsidR="006919A2" w:rsidRPr="00FF2655" w:rsidRDefault="006919A2" w:rsidP="006919A2">
      <w:pPr>
        <w:pStyle w:val="subsection"/>
      </w:pPr>
      <w:r w:rsidRPr="00FF2655">
        <w:tab/>
        <w:t>(</w:t>
      </w:r>
      <w:r w:rsidR="00A1702D" w:rsidRPr="00FF2655">
        <w:t>8</w:t>
      </w:r>
      <w:r w:rsidRPr="00FF2655">
        <w:t>)</w:t>
      </w:r>
      <w:r w:rsidRPr="00FF2655">
        <w:tab/>
        <w:t>For the purposes of paragraph</w:t>
      </w:r>
      <w:r w:rsidR="00FF2655" w:rsidRPr="00FF2655">
        <w:t> </w:t>
      </w:r>
      <w:r w:rsidR="00A52D2C" w:rsidRPr="00FF2655">
        <w:t>13(6</w:t>
      </w:r>
      <w:r w:rsidRPr="00FF2655">
        <w:t>)(c) of the Act, the following conditions are prescribed in relation to an importation of ODS equipment by a person:</w:t>
      </w:r>
    </w:p>
    <w:p w:rsidR="006919A2" w:rsidRPr="00FF2655" w:rsidRDefault="006919A2" w:rsidP="006919A2">
      <w:pPr>
        <w:pStyle w:val="paragraph"/>
      </w:pPr>
      <w:r w:rsidRPr="00FF2655">
        <w:tab/>
        <w:t>(a)</w:t>
      </w:r>
      <w:r w:rsidRPr="00FF2655">
        <w:tab/>
        <w:t>there are no more than 5 units of ODS equipment in the importation;</w:t>
      </w:r>
    </w:p>
    <w:p w:rsidR="006919A2" w:rsidRPr="00FF2655" w:rsidRDefault="006919A2" w:rsidP="006919A2">
      <w:pPr>
        <w:pStyle w:val="paragraph"/>
      </w:pPr>
      <w:r w:rsidRPr="00FF2655">
        <w:tab/>
        <w:t>(b)</w:t>
      </w:r>
      <w:r w:rsidRPr="00FF2655">
        <w:tab/>
        <w:t>the importation is the first importation of ODS equipment by the person in the</w:t>
      </w:r>
      <w:r w:rsidR="008302B3" w:rsidRPr="00FF2655">
        <w:t xml:space="preserve"> </w:t>
      </w:r>
      <w:r w:rsidRPr="00FF2655">
        <w:t>2 years ending on the day the importation occurs</w:t>
      </w:r>
      <w:r w:rsidR="00740597" w:rsidRPr="00FF2655">
        <w:t>.</w:t>
      </w:r>
    </w:p>
    <w:p w:rsidR="00142B0B" w:rsidRPr="00FF2655" w:rsidRDefault="00206A09" w:rsidP="00142B0B">
      <w:pPr>
        <w:pStyle w:val="ItemHead"/>
      </w:pPr>
      <w:r w:rsidRPr="00FF2655">
        <w:t>7</w:t>
      </w:r>
      <w:r w:rsidR="00142B0B" w:rsidRPr="00FF2655">
        <w:t xml:space="preserve">  Subparagraph 5(1)(b)(vii)</w:t>
      </w:r>
    </w:p>
    <w:p w:rsidR="00142B0B" w:rsidRPr="00FF2655" w:rsidRDefault="00142B0B" w:rsidP="00142B0B">
      <w:pPr>
        <w:pStyle w:val="Item"/>
      </w:pPr>
      <w:r w:rsidRPr="00FF2655">
        <w:t xml:space="preserve">Omit </w:t>
      </w:r>
      <w:r w:rsidR="006360F9" w:rsidRPr="00FF2655">
        <w:t>“</w:t>
      </w:r>
      <w:r w:rsidRPr="00FF2655">
        <w:t>schedule</w:t>
      </w:r>
      <w:r w:rsidR="006360F9" w:rsidRPr="00FF2655">
        <w:t>”</w:t>
      </w:r>
      <w:r w:rsidRPr="00FF2655">
        <w:t xml:space="preserve">, substitute </w:t>
      </w:r>
      <w:r w:rsidR="006360F9" w:rsidRPr="00FF2655">
        <w:t>“</w:t>
      </w:r>
      <w:r w:rsidRPr="00FF2655">
        <w:t>scheduled</w:t>
      </w:r>
      <w:r w:rsidR="006360F9" w:rsidRPr="00FF2655">
        <w:t>”</w:t>
      </w:r>
      <w:r w:rsidR="00740597" w:rsidRPr="00FF2655">
        <w:t>.</w:t>
      </w:r>
    </w:p>
    <w:p w:rsidR="00142B0B" w:rsidRPr="00FF2655" w:rsidRDefault="00142B0B" w:rsidP="00142B0B">
      <w:pPr>
        <w:pStyle w:val="notemargin"/>
      </w:pPr>
      <w:r w:rsidRPr="00FF2655">
        <w:t>Note:</w:t>
      </w:r>
      <w:r w:rsidRPr="00FF2655">
        <w:tab/>
        <w:t>This item fixes a spelling error</w:t>
      </w:r>
      <w:r w:rsidR="00740597" w:rsidRPr="00FF2655">
        <w:t>.</w:t>
      </w:r>
    </w:p>
    <w:p w:rsidR="006919A2" w:rsidRPr="00FF2655" w:rsidRDefault="00206A09" w:rsidP="006919A2">
      <w:pPr>
        <w:pStyle w:val="ItemHead"/>
      </w:pPr>
      <w:r w:rsidRPr="00FF2655">
        <w:t>8</w:t>
      </w:r>
      <w:r w:rsidR="006919A2" w:rsidRPr="00FF2655">
        <w:t xml:space="preserve">  After Part</w:t>
      </w:r>
      <w:r w:rsidR="00FF2655" w:rsidRPr="00FF2655">
        <w:t> </w:t>
      </w:r>
      <w:r w:rsidR="006919A2" w:rsidRPr="00FF2655">
        <w:t>3</w:t>
      </w:r>
    </w:p>
    <w:p w:rsidR="006919A2" w:rsidRPr="00FF2655" w:rsidRDefault="006919A2" w:rsidP="006919A2">
      <w:pPr>
        <w:pStyle w:val="Item"/>
      </w:pPr>
      <w:r w:rsidRPr="00FF2655">
        <w:t>Insert:</w:t>
      </w:r>
    </w:p>
    <w:p w:rsidR="006919A2" w:rsidRPr="00FF2655" w:rsidRDefault="006919A2" w:rsidP="006919A2">
      <w:pPr>
        <w:pStyle w:val="ActHead2"/>
      </w:pPr>
      <w:bookmarkStart w:id="13" w:name="_Toc487631694"/>
      <w:r w:rsidRPr="00FF2655">
        <w:rPr>
          <w:rStyle w:val="CharPartNo"/>
        </w:rPr>
        <w:t>Part</w:t>
      </w:r>
      <w:r w:rsidR="00FF2655" w:rsidRPr="00FF2655">
        <w:rPr>
          <w:rStyle w:val="CharPartNo"/>
        </w:rPr>
        <w:t> </w:t>
      </w:r>
      <w:r w:rsidRPr="00FF2655">
        <w:rPr>
          <w:rStyle w:val="CharPartNo"/>
        </w:rPr>
        <w:t>4A</w:t>
      </w:r>
      <w:r w:rsidRPr="00FF2655">
        <w:t>—</w:t>
      </w:r>
      <w:proofErr w:type="spellStart"/>
      <w:r w:rsidRPr="00FF2655">
        <w:rPr>
          <w:rStyle w:val="CharPartText"/>
        </w:rPr>
        <w:t>HFC</w:t>
      </w:r>
      <w:proofErr w:type="spellEnd"/>
      <w:r w:rsidRPr="00FF2655">
        <w:rPr>
          <w:rStyle w:val="CharPartText"/>
        </w:rPr>
        <w:t xml:space="preserve"> quotas</w:t>
      </w:r>
      <w:bookmarkEnd w:id="13"/>
    </w:p>
    <w:p w:rsidR="006919A2" w:rsidRPr="00FF2655" w:rsidRDefault="006919A2" w:rsidP="006919A2">
      <w:pPr>
        <w:pStyle w:val="ActHead3"/>
      </w:pPr>
      <w:bookmarkStart w:id="14" w:name="_Toc487631695"/>
      <w:r w:rsidRPr="00FF2655">
        <w:rPr>
          <w:rStyle w:val="CharDivNo"/>
        </w:rPr>
        <w:t>Division</w:t>
      </w:r>
      <w:r w:rsidR="00FF2655" w:rsidRPr="00FF2655">
        <w:rPr>
          <w:rStyle w:val="CharDivNo"/>
        </w:rPr>
        <w:t> </w:t>
      </w:r>
      <w:r w:rsidRPr="00FF2655">
        <w:rPr>
          <w:rStyle w:val="CharDivNo"/>
        </w:rPr>
        <w:t>4A</w:t>
      </w:r>
      <w:r w:rsidR="00740597" w:rsidRPr="00FF2655">
        <w:rPr>
          <w:rStyle w:val="CharDivNo"/>
        </w:rPr>
        <w:t>.</w:t>
      </w:r>
      <w:r w:rsidRPr="00FF2655">
        <w:rPr>
          <w:rStyle w:val="CharDivNo"/>
        </w:rPr>
        <w:t>1</w:t>
      </w:r>
      <w:r w:rsidRPr="00FF2655">
        <w:t>—</w:t>
      </w:r>
      <w:r w:rsidRPr="00FF2655">
        <w:rPr>
          <w:rStyle w:val="CharDivText"/>
        </w:rPr>
        <w:t>Preliminary</w:t>
      </w:r>
      <w:bookmarkEnd w:id="14"/>
    </w:p>
    <w:p w:rsidR="006919A2" w:rsidRPr="00FF2655" w:rsidRDefault="00740597" w:rsidP="006919A2">
      <w:pPr>
        <w:pStyle w:val="ActHead5"/>
      </w:pPr>
      <w:bookmarkStart w:id="15" w:name="_Toc487631696"/>
      <w:r w:rsidRPr="00FF2655">
        <w:rPr>
          <w:rStyle w:val="CharSectno"/>
        </w:rPr>
        <w:t>40</w:t>
      </w:r>
      <w:r w:rsidR="006919A2" w:rsidRPr="00FF2655">
        <w:t xml:space="preserve">  Simplified outline of this Part</w:t>
      </w:r>
      <w:bookmarkEnd w:id="15"/>
    </w:p>
    <w:p w:rsidR="002E7219" w:rsidRPr="00FF2655" w:rsidRDefault="002E7219" w:rsidP="002E7219">
      <w:pPr>
        <w:pStyle w:val="SOText"/>
      </w:pPr>
      <w:proofErr w:type="spellStart"/>
      <w:r w:rsidRPr="00FF2655">
        <w:t>HFC</w:t>
      </w:r>
      <w:proofErr w:type="spellEnd"/>
      <w:r w:rsidRPr="00FF2655">
        <w:t xml:space="preserve"> quotas are allocated for </w:t>
      </w:r>
      <w:r w:rsidR="00AB1399" w:rsidRPr="00FF2655">
        <w:t xml:space="preserve">each of </w:t>
      </w:r>
      <w:r w:rsidRPr="00FF2655">
        <w:t>2 consecutive years at a time</w:t>
      </w:r>
      <w:r w:rsidR="00740597" w:rsidRPr="00FF2655">
        <w:t>.</w:t>
      </w:r>
      <w:r w:rsidRPr="00FF2655">
        <w:t xml:space="preserve"> A person is eligible for </w:t>
      </w:r>
      <w:proofErr w:type="spellStart"/>
      <w:r w:rsidRPr="00FF2655">
        <w:t>HFC</w:t>
      </w:r>
      <w:proofErr w:type="spellEnd"/>
      <w:r w:rsidRPr="00FF2655">
        <w:t xml:space="preserve"> quota</w:t>
      </w:r>
      <w:r w:rsidR="001F4DBC" w:rsidRPr="00FF2655">
        <w:t>s</w:t>
      </w:r>
      <w:r w:rsidRPr="00FF2655">
        <w:t xml:space="preserve"> for the years if the person:</w:t>
      </w:r>
    </w:p>
    <w:p w:rsidR="002E7219" w:rsidRPr="00FF2655" w:rsidRDefault="002E7219" w:rsidP="002E7219">
      <w:pPr>
        <w:pStyle w:val="SOPara"/>
      </w:pPr>
      <w:r w:rsidRPr="00FF2655">
        <w:tab/>
        <w:t>(a)</w:t>
      </w:r>
      <w:r w:rsidRPr="00FF2655">
        <w:tab/>
        <w:t>applies for quota</w:t>
      </w:r>
      <w:r w:rsidR="001F4DBC" w:rsidRPr="00FF2655">
        <w:t>s</w:t>
      </w:r>
      <w:r w:rsidRPr="00FF2655">
        <w:t>; and</w:t>
      </w:r>
    </w:p>
    <w:p w:rsidR="002E7219" w:rsidRPr="00FF2655" w:rsidRDefault="002E7219" w:rsidP="002E7219">
      <w:pPr>
        <w:pStyle w:val="SOPara"/>
      </w:pPr>
      <w:r w:rsidRPr="00FF2655">
        <w:tab/>
        <w:t>(b)</w:t>
      </w:r>
      <w:r w:rsidRPr="00FF2655">
        <w:tab/>
        <w:t xml:space="preserve">holds an </w:t>
      </w:r>
      <w:proofErr w:type="spellStart"/>
      <w:r w:rsidRPr="00FF2655">
        <w:t>SGG</w:t>
      </w:r>
      <w:proofErr w:type="spellEnd"/>
      <w:r w:rsidRPr="00FF2655">
        <w:t xml:space="preserve"> licence for the years</w:t>
      </w:r>
      <w:r w:rsidR="00740597" w:rsidRPr="00FF2655">
        <w:t>.</w:t>
      </w:r>
    </w:p>
    <w:p w:rsidR="00AA32CF" w:rsidRPr="00FF2655" w:rsidRDefault="00AA32CF" w:rsidP="002E7219">
      <w:pPr>
        <w:pStyle w:val="SOPara"/>
      </w:pPr>
      <w:r w:rsidRPr="00FF2655">
        <w:t>The quotas allocated for the 2 years are identical</w:t>
      </w:r>
      <w:r w:rsidR="00740597" w:rsidRPr="00FF2655">
        <w:t>.</w:t>
      </w:r>
    </w:p>
    <w:p w:rsidR="002E7219" w:rsidRPr="00FF2655" w:rsidRDefault="001F4DBC" w:rsidP="002E7219">
      <w:pPr>
        <w:pStyle w:val="SOText"/>
      </w:pPr>
      <w:r w:rsidRPr="00FF2655">
        <w:t xml:space="preserve">An </w:t>
      </w:r>
      <w:proofErr w:type="spellStart"/>
      <w:r w:rsidRPr="00FF2655">
        <w:t>HFC</w:t>
      </w:r>
      <w:proofErr w:type="spellEnd"/>
      <w:r w:rsidRPr="00FF2655">
        <w:t xml:space="preserve"> q</w:t>
      </w:r>
      <w:r w:rsidR="002E7219" w:rsidRPr="00FF2655">
        <w:t>uota consists of grandfathered and non</w:t>
      </w:r>
      <w:r w:rsidR="00FF2655">
        <w:noBreakHyphen/>
      </w:r>
      <w:r w:rsidR="002E7219" w:rsidRPr="00FF2655">
        <w:t>grandfathered quota</w:t>
      </w:r>
      <w:r w:rsidR="00740597" w:rsidRPr="00FF2655">
        <w:t>.</w:t>
      </w:r>
      <w:r w:rsidR="002E7219" w:rsidRPr="00FF2655">
        <w:t xml:space="preserve"> Grandfathered quota is allocated:</w:t>
      </w:r>
    </w:p>
    <w:p w:rsidR="002E7219" w:rsidRPr="00FF2655" w:rsidRDefault="002E7219" w:rsidP="002E7219">
      <w:pPr>
        <w:pStyle w:val="SOPara"/>
      </w:pPr>
      <w:r w:rsidRPr="00FF2655">
        <w:tab/>
        <w:t>(a)</w:t>
      </w:r>
      <w:r w:rsidRPr="00FF2655">
        <w:tab/>
        <w:t>for 2018 and 20</w:t>
      </w:r>
      <w:r w:rsidR="00AA32CF" w:rsidRPr="00FF2655">
        <w:t>1</w:t>
      </w:r>
      <w:r w:rsidRPr="00FF2655">
        <w:t xml:space="preserve">9—to applicants who engaged in licensed regulated </w:t>
      </w:r>
      <w:proofErr w:type="spellStart"/>
      <w:r w:rsidR="0035539A" w:rsidRPr="00FF2655">
        <w:t>HCFC</w:t>
      </w:r>
      <w:proofErr w:type="spellEnd"/>
      <w:r w:rsidR="0035539A" w:rsidRPr="00FF2655">
        <w:t xml:space="preserve"> or </w:t>
      </w:r>
      <w:proofErr w:type="spellStart"/>
      <w:r w:rsidRPr="00FF2655">
        <w:t>HFC</w:t>
      </w:r>
      <w:proofErr w:type="spellEnd"/>
      <w:r w:rsidR="00AB1399" w:rsidRPr="00FF2655">
        <w:t xml:space="preserve"> </w:t>
      </w:r>
      <w:r w:rsidRPr="00FF2655">
        <w:t>activities during 2009</w:t>
      </w:r>
      <w:r w:rsidR="00162836" w:rsidRPr="00FF2655">
        <w:t xml:space="preserve"> to </w:t>
      </w:r>
      <w:r w:rsidRPr="00FF2655">
        <w:t>2014; and</w:t>
      </w:r>
    </w:p>
    <w:p w:rsidR="00AA32CF" w:rsidRPr="00FF2655" w:rsidRDefault="00AA32CF" w:rsidP="002E7219">
      <w:pPr>
        <w:pStyle w:val="SOPara"/>
      </w:pPr>
      <w:r w:rsidRPr="00FF2655">
        <w:tab/>
        <w:t>(b)</w:t>
      </w:r>
      <w:r w:rsidRPr="00FF2655">
        <w:tab/>
        <w:t xml:space="preserve">for 2020 and 2021—to applicants who were allocated </w:t>
      </w:r>
      <w:proofErr w:type="spellStart"/>
      <w:r w:rsidR="001F4DBC" w:rsidRPr="00FF2655">
        <w:t>HFC</w:t>
      </w:r>
      <w:proofErr w:type="spellEnd"/>
      <w:r w:rsidR="001F4DBC" w:rsidRPr="00FF2655">
        <w:t xml:space="preserve"> </w:t>
      </w:r>
      <w:r w:rsidRPr="00FF2655">
        <w:t>quota</w:t>
      </w:r>
      <w:r w:rsidR="001F4DBC" w:rsidRPr="00FF2655">
        <w:t>s</w:t>
      </w:r>
      <w:r w:rsidRPr="00FF2655">
        <w:t xml:space="preserve"> for 2018</w:t>
      </w:r>
      <w:r w:rsidR="00162836" w:rsidRPr="00FF2655">
        <w:t xml:space="preserve"> and 2019</w:t>
      </w:r>
      <w:r w:rsidRPr="00FF2655">
        <w:t>; and</w:t>
      </w:r>
    </w:p>
    <w:p w:rsidR="002E7219" w:rsidRPr="00FF2655" w:rsidRDefault="002E7219" w:rsidP="002E7219">
      <w:pPr>
        <w:pStyle w:val="SOPara"/>
      </w:pPr>
      <w:r w:rsidRPr="00FF2655">
        <w:tab/>
        <w:t>(</w:t>
      </w:r>
      <w:r w:rsidR="00AA32CF" w:rsidRPr="00FF2655">
        <w:t>c</w:t>
      </w:r>
      <w:r w:rsidRPr="00FF2655">
        <w:t>)</w:t>
      </w:r>
      <w:r w:rsidRPr="00FF2655">
        <w:tab/>
        <w:t>for later years—to applicants who were allocated grandfathered quota for earlier years</w:t>
      </w:r>
      <w:r w:rsidR="00740597" w:rsidRPr="00FF2655">
        <w:t>.</w:t>
      </w:r>
    </w:p>
    <w:p w:rsidR="005A6B17" w:rsidRPr="00FF2655" w:rsidRDefault="00AB1399" w:rsidP="005A6B17">
      <w:pPr>
        <w:pStyle w:val="SOText"/>
      </w:pPr>
      <w:r w:rsidRPr="00FF2655">
        <w:t>The sizes of grandfathered quotas</w:t>
      </w:r>
      <w:r w:rsidR="005A6B17" w:rsidRPr="00FF2655">
        <w:t xml:space="preserve"> </w:t>
      </w:r>
      <w:r w:rsidRPr="00FF2655">
        <w:t>are</w:t>
      </w:r>
      <w:r w:rsidR="005A6B17" w:rsidRPr="00FF2655">
        <w:t xml:space="preserve"> </w:t>
      </w:r>
      <w:r w:rsidRPr="00FF2655">
        <w:t xml:space="preserve">worked out on the basis </w:t>
      </w:r>
      <w:r w:rsidR="005A6B17" w:rsidRPr="00FF2655">
        <w:t xml:space="preserve">of </w:t>
      </w:r>
      <w:r w:rsidR="00162836" w:rsidRPr="00FF2655">
        <w:t xml:space="preserve">the </w:t>
      </w:r>
      <w:r w:rsidR="005A6B17" w:rsidRPr="00FF2655">
        <w:t>applicants</w:t>
      </w:r>
      <w:r w:rsidR="006360F9" w:rsidRPr="00FF2655">
        <w:t>’</w:t>
      </w:r>
      <w:r w:rsidR="005A6B17" w:rsidRPr="00FF2655">
        <w:t xml:space="preserve"> past regulated </w:t>
      </w:r>
      <w:proofErr w:type="spellStart"/>
      <w:r w:rsidR="0035539A" w:rsidRPr="00FF2655">
        <w:t>HCFC</w:t>
      </w:r>
      <w:proofErr w:type="spellEnd"/>
      <w:r w:rsidR="0035539A" w:rsidRPr="00FF2655">
        <w:t xml:space="preserve"> and </w:t>
      </w:r>
      <w:proofErr w:type="spellStart"/>
      <w:r w:rsidR="005A6B17" w:rsidRPr="00FF2655">
        <w:t>HFC</w:t>
      </w:r>
      <w:proofErr w:type="spellEnd"/>
      <w:r w:rsidR="005A6B17" w:rsidRPr="00FF2655">
        <w:t xml:space="preserve"> activities</w:t>
      </w:r>
      <w:r w:rsidRPr="00FF2655">
        <w:t xml:space="preserve"> and quotas</w:t>
      </w:r>
      <w:r w:rsidR="00740597" w:rsidRPr="00FF2655">
        <w:t>.</w:t>
      </w:r>
    </w:p>
    <w:p w:rsidR="00AA32CF" w:rsidRPr="00FF2655" w:rsidRDefault="00AA32CF" w:rsidP="00AA32CF">
      <w:pPr>
        <w:pStyle w:val="SOText"/>
      </w:pPr>
      <w:r w:rsidRPr="00FF2655">
        <w:t>Non</w:t>
      </w:r>
      <w:r w:rsidR="00FF2655">
        <w:noBreakHyphen/>
      </w:r>
      <w:r w:rsidRPr="00FF2655">
        <w:t>grandfathered quota is allocated in accordance with a legislative instrument made by the Minister</w:t>
      </w:r>
      <w:r w:rsidR="00740597" w:rsidRPr="00FF2655">
        <w:t>.</w:t>
      </w:r>
    </w:p>
    <w:p w:rsidR="00AC6937" w:rsidRPr="00FF2655" w:rsidRDefault="001F4DBC" w:rsidP="002E7219">
      <w:pPr>
        <w:pStyle w:val="SOText"/>
      </w:pPr>
      <w:r w:rsidRPr="00FF2655">
        <w:t>A</w:t>
      </w:r>
      <w:r w:rsidR="00AC6937" w:rsidRPr="00FF2655">
        <w:t xml:space="preserve"> holder of grandfathered quota may apply to retire some of the holder</w:t>
      </w:r>
      <w:r w:rsidR="006360F9" w:rsidRPr="00FF2655">
        <w:t>’</w:t>
      </w:r>
      <w:r w:rsidR="00AC6937" w:rsidRPr="00FF2655">
        <w:t>s future entitlement to grandfathered quota</w:t>
      </w:r>
      <w:r w:rsidR="00740597" w:rsidRPr="00FF2655">
        <w:t>.</w:t>
      </w:r>
      <w:r w:rsidR="00AC6937" w:rsidRPr="00FF2655">
        <w:t xml:space="preserve"> </w:t>
      </w:r>
      <w:r w:rsidR="005A6B17" w:rsidRPr="00FF2655">
        <w:t>R</w:t>
      </w:r>
      <w:r w:rsidR="00AC6937" w:rsidRPr="00FF2655">
        <w:t>etirement does not affect the amount of quota to which other licensees are entitled</w:t>
      </w:r>
      <w:r w:rsidR="00740597" w:rsidRPr="00FF2655">
        <w:t>.</w:t>
      </w:r>
    </w:p>
    <w:p w:rsidR="00A73B06" w:rsidRPr="00FF2655" w:rsidRDefault="00740597" w:rsidP="00D40CA4">
      <w:pPr>
        <w:pStyle w:val="ActHead5"/>
      </w:pPr>
      <w:bookmarkStart w:id="16" w:name="_Toc487631697"/>
      <w:r w:rsidRPr="00FF2655">
        <w:rPr>
          <w:rStyle w:val="CharSectno"/>
        </w:rPr>
        <w:t>41</w:t>
      </w:r>
      <w:r w:rsidR="00A73B06" w:rsidRPr="00FF2655">
        <w:t xml:space="preserve">  </w:t>
      </w:r>
      <w:proofErr w:type="spellStart"/>
      <w:r w:rsidR="00A73B06" w:rsidRPr="00FF2655">
        <w:t>HFC</w:t>
      </w:r>
      <w:proofErr w:type="spellEnd"/>
      <w:r w:rsidR="00A73B06" w:rsidRPr="00FF2655">
        <w:t xml:space="preserve"> quota allocation periods</w:t>
      </w:r>
      <w:bookmarkEnd w:id="16"/>
    </w:p>
    <w:p w:rsidR="00A73B06" w:rsidRPr="00FF2655" w:rsidRDefault="00A73B06" w:rsidP="00A73B06">
      <w:pPr>
        <w:pStyle w:val="subsection"/>
      </w:pPr>
      <w:r w:rsidRPr="00FF2655">
        <w:tab/>
        <w:t>(1)</w:t>
      </w:r>
      <w:r w:rsidRPr="00FF2655">
        <w:tab/>
        <w:t xml:space="preserve">An </w:t>
      </w:r>
      <w:proofErr w:type="spellStart"/>
      <w:r w:rsidRPr="00FF2655">
        <w:rPr>
          <w:b/>
          <w:i/>
        </w:rPr>
        <w:t>HFC</w:t>
      </w:r>
      <w:proofErr w:type="spellEnd"/>
      <w:r w:rsidRPr="00FF2655">
        <w:rPr>
          <w:b/>
          <w:i/>
        </w:rPr>
        <w:t xml:space="preserve"> quota allocation period</w:t>
      </w:r>
      <w:r w:rsidRPr="00FF2655">
        <w:t xml:space="preserve"> is 2 years</w:t>
      </w:r>
      <w:r w:rsidR="00740597" w:rsidRPr="00FF2655">
        <w:t>.</w:t>
      </w:r>
    </w:p>
    <w:p w:rsidR="00A73B06" w:rsidRPr="00FF2655" w:rsidRDefault="00A73B06" w:rsidP="00A73B06">
      <w:pPr>
        <w:pStyle w:val="subsection"/>
      </w:pPr>
      <w:r w:rsidRPr="00FF2655">
        <w:tab/>
        <w:t>(2)</w:t>
      </w:r>
      <w:r w:rsidRPr="00FF2655">
        <w:tab/>
        <w:t xml:space="preserve">The first </w:t>
      </w:r>
      <w:proofErr w:type="spellStart"/>
      <w:r w:rsidRPr="00FF2655">
        <w:t>HFC</w:t>
      </w:r>
      <w:proofErr w:type="spellEnd"/>
      <w:r w:rsidRPr="00FF2655">
        <w:t xml:space="preserve"> quota allocation period </w:t>
      </w:r>
      <w:r w:rsidR="009F3096" w:rsidRPr="00FF2655">
        <w:t xml:space="preserve">starts on </w:t>
      </w:r>
      <w:r w:rsidRPr="00FF2655">
        <w:t>1</w:t>
      </w:r>
      <w:r w:rsidR="00FF2655" w:rsidRPr="00FF2655">
        <w:t> </w:t>
      </w:r>
      <w:r w:rsidRPr="00FF2655">
        <w:t>January 2018</w:t>
      </w:r>
      <w:r w:rsidR="00740597" w:rsidRPr="00FF2655">
        <w:t>.</w:t>
      </w:r>
    </w:p>
    <w:p w:rsidR="00A73B06" w:rsidRPr="00FF2655" w:rsidRDefault="00A73B06" w:rsidP="00A73B06">
      <w:pPr>
        <w:pStyle w:val="subsection"/>
      </w:pPr>
      <w:r w:rsidRPr="00FF2655">
        <w:tab/>
        <w:t>(3)</w:t>
      </w:r>
      <w:r w:rsidRPr="00FF2655">
        <w:tab/>
        <w:t xml:space="preserve">Each </w:t>
      </w:r>
      <w:proofErr w:type="spellStart"/>
      <w:r w:rsidRPr="00FF2655">
        <w:t>HFC</w:t>
      </w:r>
      <w:proofErr w:type="spellEnd"/>
      <w:r w:rsidRPr="00FF2655">
        <w:t xml:space="preserve"> quota allocation period, except the first, starts at the end of the last preceding one</w:t>
      </w:r>
      <w:r w:rsidR="00740597" w:rsidRPr="00FF2655">
        <w:t>.</w:t>
      </w:r>
    </w:p>
    <w:p w:rsidR="006919A2" w:rsidRPr="00FF2655" w:rsidRDefault="006919A2" w:rsidP="00A73B06">
      <w:pPr>
        <w:pStyle w:val="ActHead3"/>
      </w:pPr>
      <w:bookmarkStart w:id="17" w:name="_Toc487631698"/>
      <w:r w:rsidRPr="00FF2655">
        <w:rPr>
          <w:rStyle w:val="CharDivNo"/>
        </w:rPr>
        <w:t>Division</w:t>
      </w:r>
      <w:r w:rsidR="00FF2655" w:rsidRPr="00FF2655">
        <w:rPr>
          <w:rStyle w:val="CharDivNo"/>
        </w:rPr>
        <w:t> </w:t>
      </w:r>
      <w:r w:rsidRPr="00FF2655">
        <w:rPr>
          <w:rStyle w:val="CharDivNo"/>
        </w:rPr>
        <w:t>4A</w:t>
      </w:r>
      <w:r w:rsidR="00740597" w:rsidRPr="00FF2655">
        <w:rPr>
          <w:rStyle w:val="CharDivNo"/>
        </w:rPr>
        <w:t>.</w:t>
      </w:r>
      <w:r w:rsidRPr="00FF2655">
        <w:rPr>
          <w:rStyle w:val="CharDivNo"/>
        </w:rPr>
        <w:t>2</w:t>
      </w:r>
      <w:r w:rsidRPr="00FF2655">
        <w:t>—</w:t>
      </w:r>
      <w:proofErr w:type="spellStart"/>
      <w:r w:rsidRPr="00FF2655">
        <w:rPr>
          <w:rStyle w:val="CharDivText"/>
        </w:rPr>
        <w:t>HFC</w:t>
      </w:r>
      <w:proofErr w:type="spellEnd"/>
      <w:r w:rsidRPr="00FF2655">
        <w:rPr>
          <w:rStyle w:val="CharDivText"/>
        </w:rPr>
        <w:t xml:space="preserve"> industry limit</w:t>
      </w:r>
      <w:bookmarkEnd w:id="17"/>
    </w:p>
    <w:p w:rsidR="006919A2" w:rsidRPr="00FF2655" w:rsidRDefault="00740597" w:rsidP="006919A2">
      <w:pPr>
        <w:pStyle w:val="ActHead5"/>
      </w:pPr>
      <w:bookmarkStart w:id="18" w:name="_Toc487631699"/>
      <w:r w:rsidRPr="00FF2655">
        <w:rPr>
          <w:rStyle w:val="CharSectno"/>
        </w:rPr>
        <w:t>42</w:t>
      </w:r>
      <w:r w:rsidR="006919A2" w:rsidRPr="00FF2655">
        <w:t xml:space="preserve">  </w:t>
      </w:r>
      <w:proofErr w:type="spellStart"/>
      <w:r w:rsidR="006919A2" w:rsidRPr="00FF2655">
        <w:t>HFC</w:t>
      </w:r>
      <w:proofErr w:type="spellEnd"/>
      <w:r w:rsidR="006919A2" w:rsidRPr="00FF2655">
        <w:t xml:space="preserve"> industry limit</w:t>
      </w:r>
      <w:bookmarkEnd w:id="18"/>
    </w:p>
    <w:p w:rsidR="006919A2" w:rsidRPr="00FF2655" w:rsidRDefault="00A73B06" w:rsidP="006919A2">
      <w:pPr>
        <w:pStyle w:val="subsection"/>
      </w:pPr>
      <w:r w:rsidRPr="00FF2655">
        <w:tab/>
      </w:r>
      <w:r w:rsidR="006919A2" w:rsidRPr="00FF2655">
        <w:tab/>
        <w:t>For the purposes of subsection</w:t>
      </w:r>
      <w:r w:rsidR="00FF2655" w:rsidRPr="00FF2655">
        <w:t> </w:t>
      </w:r>
      <w:r w:rsidR="006919A2" w:rsidRPr="00FF2655">
        <w:t>36</w:t>
      </w:r>
      <w:r w:rsidR="00307700" w:rsidRPr="00FF2655">
        <w:t>A</w:t>
      </w:r>
      <w:r w:rsidR="006919A2" w:rsidRPr="00FF2655">
        <w:t xml:space="preserve">(1) of the Act, the </w:t>
      </w:r>
      <w:proofErr w:type="spellStart"/>
      <w:r w:rsidR="006919A2" w:rsidRPr="00FF2655">
        <w:rPr>
          <w:b/>
          <w:i/>
        </w:rPr>
        <w:t>HFC</w:t>
      </w:r>
      <w:proofErr w:type="spellEnd"/>
      <w:r w:rsidR="006919A2" w:rsidRPr="00FF2655">
        <w:rPr>
          <w:b/>
          <w:i/>
        </w:rPr>
        <w:t xml:space="preserve"> industry limit</w:t>
      </w:r>
      <w:r w:rsidR="006919A2" w:rsidRPr="00FF2655">
        <w:t xml:space="preserve"> for a calendar year in an </w:t>
      </w:r>
      <w:proofErr w:type="spellStart"/>
      <w:r w:rsidR="006919A2" w:rsidRPr="00FF2655">
        <w:t>HFC</w:t>
      </w:r>
      <w:proofErr w:type="spellEnd"/>
      <w:r w:rsidR="006919A2" w:rsidRPr="00FF2655">
        <w:t xml:space="preserve"> quota allocation period mentioned in an item of the following table is the quantity of </w:t>
      </w:r>
      <w:proofErr w:type="spellStart"/>
      <w:r w:rsidR="006919A2" w:rsidRPr="00FF2655">
        <w:t>HFCs</w:t>
      </w:r>
      <w:proofErr w:type="spellEnd"/>
      <w:r w:rsidR="006919A2" w:rsidRPr="00FF2655">
        <w:t>, expressed in CO</w:t>
      </w:r>
      <w:r w:rsidR="006919A2" w:rsidRPr="00FF2655">
        <w:rPr>
          <w:vertAlign w:val="subscript"/>
        </w:rPr>
        <w:t>2</w:t>
      </w:r>
      <w:r w:rsidR="006919A2" w:rsidRPr="00FF2655">
        <w:t xml:space="preserve">e </w:t>
      </w:r>
      <w:proofErr w:type="spellStart"/>
      <w:r w:rsidR="006919A2" w:rsidRPr="00FF2655">
        <w:t>megatonnes</w:t>
      </w:r>
      <w:proofErr w:type="spellEnd"/>
      <w:r w:rsidR="006919A2" w:rsidRPr="00FF2655">
        <w:t>, specified in that item</w:t>
      </w:r>
      <w:r w:rsidR="00740597" w:rsidRPr="00FF2655">
        <w:t>.</w:t>
      </w:r>
    </w:p>
    <w:p w:rsidR="006919A2" w:rsidRPr="00FF2655" w:rsidRDefault="006919A2" w:rsidP="006919A2">
      <w:pPr>
        <w:pStyle w:val="Tabletext"/>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8"/>
        <w:gridCol w:w="2835"/>
      </w:tblGrid>
      <w:tr w:rsidR="006919A2" w:rsidRPr="00FF2655" w:rsidTr="006E45B5">
        <w:trPr>
          <w:tblHeader/>
        </w:trPr>
        <w:tc>
          <w:tcPr>
            <w:tcW w:w="6237" w:type="dxa"/>
            <w:gridSpan w:val="3"/>
            <w:tcBorders>
              <w:top w:val="single" w:sz="12" w:space="0" w:color="auto"/>
              <w:bottom w:val="single" w:sz="6" w:space="0" w:color="auto"/>
            </w:tcBorders>
            <w:shd w:val="clear" w:color="auto" w:fill="auto"/>
          </w:tcPr>
          <w:p w:rsidR="006919A2" w:rsidRPr="00FF2655" w:rsidRDefault="006919A2" w:rsidP="006E45B5">
            <w:pPr>
              <w:pStyle w:val="TableHeading"/>
            </w:pPr>
            <w:r w:rsidRPr="00FF2655">
              <w:t xml:space="preserve">Base </w:t>
            </w:r>
            <w:proofErr w:type="spellStart"/>
            <w:r w:rsidRPr="00FF2655">
              <w:t>HFC</w:t>
            </w:r>
            <w:proofErr w:type="spellEnd"/>
            <w:r w:rsidRPr="00FF2655">
              <w:t xml:space="preserve"> industry limits</w:t>
            </w:r>
          </w:p>
        </w:tc>
      </w:tr>
      <w:tr w:rsidR="006919A2" w:rsidRPr="00FF2655" w:rsidTr="006E45B5">
        <w:trPr>
          <w:tblHeader/>
        </w:trPr>
        <w:tc>
          <w:tcPr>
            <w:tcW w:w="714" w:type="dxa"/>
            <w:tcBorders>
              <w:top w:val="single" w:sz="6" w:space="0" w:color="auto"/>
              <w:bottom w:val="single" w:sz="12" w:space="0" w:color="auto"/>
            </w:tcBorders>
            <w:shd w:val="clear" w:color="auto" w:fill="auto"/>
          </w:tcPr>
          <w:p w:rsidR="006919A2" w:rsidRPr="00FF2655" w:rsidRDefault="006919A2" w:rsidP="006E45B5">
            <w:pPr>
              <w:pStyle w:val="TableHeading"/>
            </w:pPr>
            <w:r w:rsidRPr="00FF2655">
              <w:t>Item</w:t>
            </w:r>
          </w:p>
        </w:tc>
        <w:tc>
          <w:tcPr>
            <w:tcW w:w="2688" w:type="dxa"/>
            <w:tcBorders>
              <w:top w:val="single" w:sz="6" w:space="0" w:color="auto"/>
              <w:bottom w:val="single" w:sz="12" w:space="0" w:color="auto"/>
            </w:tcBorders>
            <w:shd w:val="clear" w:color="auto" w:fill="auto"/>
          </w:tcPr>
          <w:p w:rsidR="006919A2" w:rsidRPr="00FF2655" w:rsidRDefault="006919A2" w:rsidP="006E45B5">
            <w:pPr>
              <w:pStyle w:val="TableHeading"/>
            </w:pPr>
            <w:r w:rsidRPr="00FF2655">
              <w:t>Column 1</w:t>
            </w:r>
          </w:p>
          <w:p w:rsidR="006919A2" w:rsidRPr="00FF2655" w:rsidRDefault="006919A2" w:rsidP="006E45B5">
            <w:pPr>
              <w:pStyle w:val="TableHeading"/>
            </w:pPr>
            <w:proofErr w:type="spellStart"/>
            <w:r w:rsidRPr="00FF2655">
              <w:t>HFC</w:t>
            </w:r>
            <w:proofErr w:type="spellEnd"/>
            <w:r w:rsidRPr="00FF2655">
              <w:t xml:space="preserve"> quota allocation period starting on 1</w:t>
            </w:r>
            <w:r w:rsidR="00FF2655" w:rsidRPr="00FF2655">
              <w:t> </w:t>
            </w:r>
            <w:r w:rsidRPr="00FF2655">
              <w:t>January …</w:t>
            </w:r>
          </w:p>
        </w:tc>
        <w:tc>
          <w:tcPr>
            <w:tcW w:w="2835" w:type="dxa"/>
            <w:tcBorders>
              <w:top w:val="single" w:sz="6" w:space="0" w:color="auto"/>
              <w:bottom w:val="single" w:sz="12" w:space="0" w:color="auto"/>
            </w:tcBorders>
            <w:shd w:val="clear" w:color="auto" w:fill="auto"/>
          </w:tcPr>
          <w:p w:rsidR="006919A2" w:rsidRPr="00FF2655" w:rsidRDefault="006919A2" w:rsidP="006E45B5">
            <w:pPr>
              <w:pStyle w:val="TableHeading"/>
            </w:pPr>
            <w:r w:rsidRPr="00FF2655">
              <w:t>Column 2</w:t>
            </w:r>
          </w:p>
          <w:p w:rsidR="006919A2" w:rsidRPr="00FF2655" w:rsidRDefault="006919A2" w:rsidP="006E45B5">
            <w:pPr>
              <w:pStyle w:val="TableHeading"/>
            </w:pPr>
            <w:r w:rsidRPr="00FF2655">
              <w:t xml:space="preserve">Quantity of </w:t>
            </w:r>
            <w:proofErr w:type="spellStart"/>
            <w:r w:rsidRPr="00FF2655">
              <w:t>HFCs</w:t>
            </w:r>
            <w:proofErr w:type="spellEnd"/>
            <w:r w:rsidRPr="00FF2655">
              <w:t>, expressed in CO</w:t>
            </w:r>
            <w:r w:rsidRPr="00FF2655">
              <w:rPr>
                <w:vertAlign w:val="subscript"/>
              </w:rPr>
              <w:t>2</w:t>
            </w:r>
            <w:r w:rsidRPr="00FF2655">
              <w:t xml:space="preserve">e </w:t>
            </w:r>
            <w:proofErr w:type="spellStart"/>
            <w:r w:rsidRPr="00FF2655">
              <w:t>megatonnes</w:t>
            </w:r>
            <w:proofErr w:type="spellEnd"/>
          </w:p>
        </w:tc>
      </w:tr>
      <w:tr w:rsidR="006919A2" w:rsidRPr="00FF2655" w:rsidTr="006E45B5">
        <w:tc>
          <w:tcPr>
            <w:tcW w:w="714" w:type="dxa"/>
            <w:tcBorders>
              <w:top w:val="single" w:sz="12" w:space="0" w:color="auto"/>
            </w:tcBorders>
            <w:shd w:val="clear" w:color="auto" w:fill="auto"/>
          </w:tcPr>
          <w:p w:rsidR="006919A2" w:rsidRPr="00FF2655" w:rsidRDefault="006919A2" w:rsidP="006E45B5">
            <w:pPr>
              <w:pStyle w:val="Tabletext"/>
            </w:pPr>
            <w:r w:rsidRPr="00FF2655">
              <w:t>1</w:t>
            </w:r>
          </w:p>
        </w:tc>
        <w:tc>
          <w:tcPr>
            <w:tcW w:w="2688" w:type="dxa"/>
            <w:tcBorders>
              <w:top w:val="single" w:sz="12" w:space="0" w:color="auto"/>
            </w:tcBorders>
            <w:shd w:val="clear" w:color="auto" w:fill="auto"/>
            <w:vAlign w:val="center"/>
          </w:tcPr>
          <w:p w:rsidR="006919A2" w:rsidRPr="00FF2655" w:rsidRDefault="006919A2" w:rsidP="006E45B5">
            <w:pPr>
              <w:pStyle w:val="Tabletext"/>
            </w:pPr>
            <w:r w:rsidRPr="00FF2655">
              <w:t>2018</w:t>
            </w:r>
          </w:p>
        </w:tc>
        <w:tc>
          <w:tcPr>
            <w:tcW w:w="2835" w:type="dxa"/>
            <w:tcBorders>
              <w:top w:val="single" w:sz="12" w:space="0" w:color="auto"/>
            </w:tcBorders>
            <w:shd w:val="clear" w:color="auto" w:fill="auto"/>
            <w:vAlign w:val="center"/>
          </w:tcPr>
          <w:p w:rsidR="006919A2" w:rsidRPr="00FF2655" w:rsidRDefault="006919A2" w:rsidP="006E45B5">
            <w:pPr>
              <w:pStyle w:val="Tabletext"/>
            </w:pPr>
            <w:r w:rsidRPr="00FF2655">
              <w:t>8</w:t>
            </w:r>
            <w:r w:rsidR="00740597" w:rsidRPr="00FF2655">
              <w:t>.</w:t>
            </w:r>
            <w:r w:rsidRPr="00FF2655">
              <w:t>000</w:t>
            </w:r>
          </w:p>
        </w:tc>
      </w:tr>
      <w:tr w:rsidR="00022A9B" w:rsidRPr="00FF2655" w:rsidTr="006E45B5">
        <w:tc>
          <w:tcPr>
            <w:tcW w:w="714" w:type="dxa"/>
            <w:shd w:val="clear" w:color="auto" w:fill="auto"/>
          </w:tcPr>
          <w:p w:rsidR="00022A9B" w:rsidRPr="00FF2655" w:rsidRDefault="00022A9B" w:rsidP="00022A9B">
            <w:pPr>
              <w:pStyle w:val="Tabletext"/>
            </w:pPr>
            <w:r w:rsidRPr="00FF2655">
              <w:t>2</w:t>
            </w:r>
          </w:p>
        </w:tc>
        <w:tc>
          <w:tcPr>
            <w:tcW w:w="2688" w:type="dxa"/>
            <w:shd w:val="clear" w:color="auto" w:fill="auto"/>
            <w:vAlign w:val="center"/>
          </w:tcPr>
          <w:p w:rsidR="00022A9B" w:rsidRPr="00FF2655" w:rsidRDefault="00022A9B" w:rsidP="00022A9B">
            <w:pPr>
              <w:pStyle w:val="Tabletext"/>
            </w:pPr>
            <w:r w:rsidRPr="00FF2655">
              <w:t>2020</w:t>
            </w:r>
          </w:p>
        </w:tc>
        <w:tc>
          <w:tcPr>
            <w:tcW w:w="2835" w:type="dxa"/>
            <w:shd w:val="clear" w:color="auto" w:fill="auto"/>
            <w:vAlign w:val="center"/>
          </w:tcPr>
          <w:p w:rsidR="00022A9B" w:rsidRPr="00FF2655" w:rsidRDefault="00022A9B" w:rsidP="00022A9B">
            <w:pPr>
              <w:pStyle w:val="Tabletext"/>
            </w:pPr>
            <w:r w:rsidRPr="00FF2655">
              <w:t>7.250</w:t>
            </w:r>
          </w:p>
        </w:tc>
      </w:tr>
      <w:tr w:rsidR="00022A9B" w:rsidRPr="00FF2655" w:rsidTr="006E45B5">
        <w:tc>
          <w:tcPr>
            <w:tcW w:w="714" w:type="dxa"/>
            <w:shd w:val="clear" w:color="auto" w:fill="auto"/>
          </w:tcPr>
          <w:p w:rsidR="00022A9B" w:rsidRPr="00FF2655" w:rsidRDefault="00022A9B" w:rsidP="00022A9B">
            <w:pPr>
              <w:pStyle w:val="Tabletext"/>
            </w:pPr>
            <w:r w:rsidRPr="00FF2655">
              <w:t>3</w:t>
            </w:r>
          </w:p>
        </w:tc>
        <w:tc>
          <w:tcPr>
            <w:tcW w:w="2688" w:type="dxa"/>
            <w:shd w:val="clear" w:color="auto" w:fill="auto"/>
            <w:vAlign w:val="center"/>
          </w:tcPr>
          <w:p w:rsidR="00022A9B" w:rsidRPr="00FF2655" w:rsidRDefault="00022A9B" w:rsidP="00022A9B">
            <w:pPr>
              <w:pStyle w:val="Tabletext"/>
            </w:pPr>
            <w:r w:rsidRPr="00FF2655">
              <w:t>2022</w:t>
            </w:r>
          </w:p>
        </w:tc>
        <w:tc>
          <w:tcPr>
            <w:tcW w:w="2835" w:type="dxa"/>
            <w:shd w:val="clear" w:color="auto" w:fill="auto"/>
            <w:vAlign w:val="center"/>
          </w:tcPr>
          <w:p w:rsidR="00022A9B" w:rsidRPr="00FF2655" w:rsidRDefault="00022A9B" w:rsidP="00022A9B">
            <w:pPr>
              <w:pStyle w:val="Tabletext"/>
            </w:pPr>
            <w:r w:rsidRPr="00FF2655">
              <w:t>6.250</w:t>
            </w:r>
          </w:p>
        </w:tc>
      </w:tr>
      <w:tr w:rsidR="00022A9B" w:rsidRPr="00FF2655" w:rsidTr="006E45B5">
        <w:tc>
          <w:tcPr>
            <w:tcW w:w="714" w:type="dxa"/>
            <w:shd w:val="clear" w:color="auto" w:fill="auto"/>
          </w:tcPr>
          <w:p w:rsidR="00022A9B" w:rsidRPr="00FF2655" w:rsidRDefault="00022A9B" w:rsidP="00022A9B">
            <w:pPr>
              <w:pStyle w:val="Tabletext"/>
            </w:pPr>
            <w:r w:rsidRPr="00FF2655">
              <w:t>4</w:t>
            </w:r>
          </w:p>
        </w:tc>
        <w:tc>
          <w:tcPr>
            <w:tcW w:w="2688" w:type="dxa"/>
            <w:shd w:val="clear" w:color="auto" w:fill="auto"/>
            <w:vAlign w:val="center"/>
          </w:tcPr>
          <w:p w:rsidR="00022A9B" w:rsidRPr="00FF2655" w:rsidRDefault="00022A9B" w:rsidP="00022A9B">
            <w:pPr>
              <w:pStyle w:val="Tabletext"/>
            </w:pPr>
            <w:r w:rsidRPr="00FF2655">
              <w:t>2024</w:t>
            </w:r>
          </w:p>
        </w:tc>
        <w:tc>
          <w:tcPr>
            <w:tcW w:w="2835" w:type="dxa"/>
            <w:shd w:val="clear" w:color="auto" w:fill="auto"/>
            <w:vAlign w:val="center"/>
          </w:tcPr>
          <w:p w:rsidR="00022A9B" w:rsidRPr="00FF2655" w:rsidRDefault="00022A9B" w:rsidP="00022A9B">
            <w:pPr>
              <w:pStyle w:val="Tabletext"/>
            </w:pPr>
            <w:r w:rsidRPr="00FF2655">
              <w:t>5.250</w:t>
            </w:r>
          </w:p>
        </w:tc>
      </w:tr>
      <w:tr w:rsidR="00022A9B" w:rsidRPr="00FF2655" w:rsidTr="006E45B5">
        <w:tc>
          <w:tcPr>
            <w:tcW w:w="714" w:type="dxa"/>
            <w:shd w:val="clear" w:color="auto" w:fill="auto"/>
          </w:tcPr>
          <w:p w:rsidR="00022A9B" w:rsidRPr="00FF2655" w:rsidRDefault="00022A9B" w:rsidP="00022A9B">
            <w:pPr>
              <w:pStyle w:val="Tabletext"/>
            </w:pPr>
            <w:r w:rsidRPr="00FF2655">
              <w:t>5</w:t>
            </w:r>
          </w:p>
        </w:tc>
        <w:tc>
          <w:tcPr>
            <w:tcW w:w="2688" w:type="dxa"/>
            <w:shd w:val="clear" w:color="auto" w:fill="auto"/>
            <w:vAlign w:val="center"/>
          </w:tcPr>
          <w:p w:rsidR="00022A9B" w:rsidRPr="00FF2655" w:rsidRDefault="00022A9B" w:rsidP="00022A9B">
            <w:pPr>
              <w:pStyle w:val="Tabletext"/>
            </w:pPr>
            <w:r w:rsidRPr="00FF2655">
              <w:t>2026</w:t>
            </w:r>
          </w:p>
        </w:tc>
        <w:tc>
          <w:tcPr>
            <w:tcW w:w="2835" w:type="dxa"/>
            <w:shd w:val="clear" w:color="auto" w:fill="auto"/>
            <w:vAlign w:val="center"/>
          </w:tcPr>
          <w:p w:rsidR="00022A9B" w:rsidRPr="00FF2655" w:rsidRDefault="00022A9B" w:rsidP="00022A9B">
            <w:pPr>
              <w:pStyle w:val="Tabletext"/>
            </w:pPr>
            <w:r w:rsidRPr="00FF2655">
              <w:t>4.250</w:t>
            </w:r>
          </w:p>
        </w:tc>
      </w:tr>
      <w:tr w:rsidR="00022A9B" w:rsidRPr="00FF2655" w:rsidTr="006E45B5">
        <w:tc>
          <w:tcPr>
            <w:tcW w:w="714" w:type="dxa"/>
            <w:shd w:val="clear" w:color="auto" w:fill="auto"/>
          </w:tcPr>
          <w:p w:rsidR="00022A9B" w:rsidRPr="00FF2655" w:rsidRDefault="00022A9B" w:rsidP="00022A9B">
            <w:pPr>
              <w:pStyle w:val="Tabletext"/>
            </w:pPr>
            <w:r w:rsidRPr="00FF2655">
              <w:t>6</w:t>
            </w:r>
          </w:p>
        </w:tc>
        <w:tc>
          <w:tcPr>
            <w:tcW w:w="2688" w:type="dxa"/>
            <w:shd w:val="clear" w:color="auto" w:fill="auto"/>
            <w:vAlign w:val="center"/>
          </w:tcPr>
          <w:p w:rsidR="00022A9B" w:rsidRPr="00FF2655" w:rsidRDefault="00022A9B" w:rsidP="00022A9B">
            <w:pPr>
              <w:pStyle w:val="Tabletext"/>
            </w:pPr>
            <w:r w:rsidRPr="00FF2655">
              <w:t>2028</w:t>
            </w:r>
          </w:p>
        </w:tc>
        <w:tc>
          <w:tcPr>
            <w:tcW w:w="2835" w:type="dxa"/>
            <w:shd w:val="clear" w:color="auto" w:fill="auto"/>
            <w:vAlign w:val="center"/>
          </w:tcPr>
          <w:p w:rsidR="00022A9B" w:rsidRPr="00FF2655" w:rsidRDefault="00022A9B" w:rsidP="00022A9B">
            <w:pPr>
              <w:pStyle w:val="Tabletext"/>
            </w:pPr>
            <w:r w:rsidRPr="00FF2655">
              <w:t>3.200</w:t>
            </w:r>
          </w:p>
        </w:tc>
      </w:tr>
      <w:tr w:rsidR="00022A9B" w:rsidRPr="00FF2655" w:rsidTr="006E45B5">
        <w:tc>
          <w:tcPr>
            <w:tcW w:w="714" w:type="dxa"/>
            <w:shd w:val="clear" w:color="auto" w:fill="auto"/>
          </w:tcPr>
          <w:p w:rsidR="00022A9B" w:rsidRPr="00FF2655" w:rsidRDefault="00022A9B" w:rsidP="00022A9B">
            <w:pPr>
              <w:pStyle w:val="Tabletext"/>
            </w:pPr>
            <w:r w:rsidRPr="00FF2655">
              <w:t>7</w:t>
            </w:r>
          </w:p>
        </w:tc>
        <w:tc>
          <w:tcPr>
            <w:tcW w:w="2688" w:type="dxa"/>
            <w:shd w:val="clear" w:color="auto" w:fill="auto"/>
            <w:vAlign w:val="center"/>
          </w:tcPr>
          <w:p w:rsidR="00022A9B" w:rsidRPr="00FF2655" w:rsidRDefault="00022A9B" w:rsidP="00022A9B">
            <w:pPr>
              <w:pStyle w:val="Tabletext"/>
            </w:pPr>
            <w:r w:rsidRPr="00FF2655">
              <w:t>2030</w:t>
            </w:r>
          </w:p>
        </w:tc>
        <w:tc>
          <w:tcPr>
            <w:tcW w:w="2835" w:type="dxa"/>
            <w:shd w:val="clear" w:color="auto" w:fill="auto"/>
            <w:vAlign w:val="center"/>
          </w:tcPr>
          <w:p w:rsidR="00022A9B" w:rsidRPr="00FF2655" w:rsidRDefault="00022A9B" w:rsidP="00022A9B">
            <w:pPr>
              <w:pStyle w:val="Tabletext"/>
            </w:pPr>
            <w:r w:rsidRPr="00FF2655">
              <w:t>2.900</w:t>
            </w:r>
          </w:p>
        </w:tc>
      </w:tr>
      <w:tr w:rsidR="00022A9B" w:rsidRPr="00FF2655" w:rsidTr="006E45B5">
        <w:tc>
          <w:tcPr>
            <w:tcW w:w="714" w:type="dxa"/>
            <w:shd w:val="clear" w:color="auto" w:fill="auto"/>
          </w:tcPr>
          <w:p w:rsidR="00022A9B" w:rsidRPr="00FF2655" w:rsidRDefault="00022A9B" w:rsidP="00022A9B">
            <w:pPr>
              <w:pStyle w:val="Tabletext"/>
            </w:pPr>
            <w:r w:rsidRPr="00FF2655">
              <w:t>8</w:t>
            </w:r>
          </w:p>
        </w:tc>
        <w:tc>
          <w:tcPr>
            <w:tcW w:w="2688" w:type="dxa"/>
            <w:shd w:val="clear" w:color="auto" w:fill="auto"/>
            <w:vAlign w:val="center"/>
          </w:tcPr>
          <w:p w:rsidR="00022A9B" w:rsidRPr="00FF2655" w:rsidRDefault="00022A9B" w:rsidP="00022A9B">
            <w:pPr>
              <w:pStyle w:val="Tabletext"/>
            </w:pPr>
            <w:r w:rsidRPr="00FF2655">
              <w:t>2032</w:t>
            </w:r>
          </w:p>
        </w:tc>
        <w:tc>
          <w:tcPr>
            <w:tcW w:w="2835" w:type="dxa"/>
            <w:shd w:val="clear" w:color="auto" w:fill="auto"/>
            <w:vAlign w:val="center"/>
          </w:tcPr>
          <w:p w:rsidR="00022A9B" w:rsidRPr="00FF2655" w:rsidRDefault="001D5A3A" w:rsidP="00022A9B">
            <w:pPr>
              <w:pStyle w:val="Tabletext"/>
            </w:pPr>
            <w:r w:rsidRPr="00FF2655">
              <w:t>2</w:t>
            </w:r>
            <w:r w:rsidR="00022A9B" w:rsidRPr="00FF2655">
              <w:t>.650</w:t>
            </w:r>
          </w:p>
        </w:tc>
      </w:tr>
      <w:tr w:rsidR="00022A9B" w:rsidRPr="00FF2655" w:rsidTr="006E45B5">
        <w:tc>
          <w:tcPr>
            <w:tcW w:w="714" w:type="dxa"/>
            <w:tcBorders>
              <w:bottom w:val="single" w:sz="2" w:space="0" w:color="auto"/>
            </w:tcBorders>
            <w:shd w:val="clear" w:color="auto" w:fill="auto"/>
          </w:tcPr>
          <w:p w:rsidR="00022A9B" w:rsidRPr="00FF2655" w:rsidRDefault="00022A9B" w:rsidP="00022A9B">
            <w:pPr>
              <w:pStyle w:val="Tabletext"/>
            </w:pPr>
            <w:r w:rsidRPr="00FF2655">
              <w:t>9</w:t>
            </w:r>
          </w:p>
        </w:tc>
        <w:tc>
          <w:tcPr>
            <w:tcW w:w="2688" w:type="dxa"/>
            <w:tcBorders>
              <w:bottom w:val="single" w:sz="2" w:space="0" w:color="auto"/>
            </w:tcBorders>
            <w:shd w:val="clear" w:color="auto" w:fill="auto"/>
            <w:vAlign w:val="center"/>
          </w:tcPr>
          <w:p w:rsidR="00022A9B" w:rsidRPr="00FF2655" w:rsidRDefault="00022A9B" w:rsidP="00022A9B">
            <w:pPr>
              <w:pStyle w:val="Tabletext"/>
            </w:pPr>
            <w:r w:rsidRPr="00FF2655">
              <w:t>2034</w:t>
            </w:r>
          </w:p>
        </w:tc>
        <w:tc>
          <w:tcPr>
            <w:tcW w:w="2835" w:type="dxa"/>
            <w:tcBorders>
              <w:bottom w:val="single" w:sz="2" w:space="0" w:color="auto"/>
            </w:tcBorders>
            <w:shd w:val="clear" w:color="auto" w:fill="auto"/>
            <w:vAlign w:val="center"/>
          </w:tcPr>
          <w:p w:rsidR="00022A9B" w:rsidRPr="00FF2655" w:rsidRDefault="00022A9B" w:rsidP="00022A9B">
            <w:pPr>
              <w:pStyle w:val="Tabletext"/>
            </w:pPr>
            <w:r w:rsidRPr="00FF2655">
              <w:t>2.100</w:t>
            </w:r>
          </w:p>
        </w:tc>
      </w:tr>
      <w:tr w:rsidR="00022A9B" w:rsidRPr="00FF2655" w:rsidTr="006E45B5">
        <w:tc>
          <w:tcPr>
            <w:tcW w:w="714" w:type="dxa"/>
            <w:tcBorders>
              <w:top w:val="single" w:sz="2" w:space="0" w:color="auto"/>
              <w:bottom w:val="single" w:sz="12" w:space="0" w:color="auto"/>
            </w:tcBorders>
            <w:shd w:val="clear" w:color="auto" w:fill="auto"/>
          </w:tcPr>
          <w:p w:rsidR="00022A9B" w:rsidRPr="00FF2655" w:rsidRDefault="00022A9B" w:rsidP="00022A9B">
            <w:pPr>
              <w:pStyle w:val="Tabletext"/>
            </w:pPr>
            <w:r w:rsidRPr="00FF2655">
              <w:t>10</w:t>
            </w:r>
          </w:p>
        </w:tc>
        <w:tc>
          <w:tcPr>
            <w:tcW w:w="2688" w:type="dxa"/>
            <w:tcBorders>
              <w:top w:val="single" w:sz="2" w:space="0" w:color="auto"/>
              <w:bottom w:val="single" w:sz="12" w:space="0" w:color="auto"/>
            </w:tcBorders>
            <w:shd w:val="clear" w:color="auto" w:fill="auto"/>
            <w:vAlign w:val="center"/>
          </w:tcPr>
          <w:p w:rsidR="00022A9B" w:rsidRPr="00FF2655" w:rsidRDefault="00022A9B" w:rsidP="00022A9B">
            <w:pPr>
              <w:pStyle w:val="Tabletext"/>
            </w:pPr>
            <w:r w:rsidRPr="00FF2655">
              <w:t>in 2036 or a later year</w:t>
            </w:r>
          </w:p>
        </w:tc>
        <w:tc>
          <w:tcPr>
            <w:tcW w:w="2835" w:type="dxa"/>
            <w:tcBorders>
              <w:top w:val="single" w:sz="2" w:space="0" w:color="auto"/>
              <w:bottom w:val="single" w:sz="12" w:space="0" w:color="auto"/>
            </w:tcBorders>
            <w:shd w:val="clear" w:color="auto" w:fill="auto"/>
            <w:vAlign w:val="center"/>
          </w:tcPr>
          <w:p w:rsidR="00022A9B" w:rsidRPr="00FF2655" w:rsidRDefault="00022A9B" w:rsidP="00022A9B">
            <w:pPr>
              <w:pStyle w:val="Tabletext"/>
            </w:pPr>
            <w:r w:rsidRPr="00FF2655">
              <w:t>1.607</w:t>
            </w:r>
          </w:p>
        </w:tc>
      </w:tr>
    </w:tbl>
    <w:p w:rsidR="006919A2" w:rsidRPr="00FF2655" w:rsidRDefault="006919A2" w:rsidP="006919A2">
      <w:pPr>
        <w:pStyle w:val="ActHead3"/>
      </w:pPr>
      <w:bookmarkStart w:id="19" w:name="_Toc487631700"/>
      <w:r w:rsidRPr="00FF2655">
        <w:rPr>
          <w:rStyle w:val="CharDivNo"/>
        </w:rPr>
        <w:t>Division</w:t>
      </w:r>
      <w:r w:rsidR="00FF2655" w:rsidRPr="00FF2655">
        <w:rPr>
          <w:rStyle w:val="CharDivNo"/>
        </w:rPr>
        <w:t> </w:t>
      </w:r>
      <w:r w:rsidRPr="00FF2655">
        <w:rPr>
          <w:rStyle w:val="CharDivNo"/>
        </w:rPr>
        <w:t>4A</w:t>
      </w:r>
      <w:r w:rsidR="00740597" w:rsidRPr="00FF2655">
        <w:rPr>
          <w:rStyle w:val="CharDivNo"/>
        </w:rPr>
        <w:t>.</w:t>
      </w:r>
      <w:r w:rsidRPr="00FF2655">
        <w:rPr>
          <w:rStyle w:val="CharDivNo"/>
        </w:rPr>
        <w:t>3</w:t>
      </w:r>
      <w:r w:rsidRPr="00FF2655">
        <w:t>—</w:t>
      </w:r>
      <w:r w:rsidRPr="00FF2655">
        <w:rPr>
          <w:rStyle w:val="CharDivText"/>
        </w:rPr>
        <w:t xml:space="preserve">Applications, allocation and size of </w:t>
      </w:r>
      <w:proofErr w:type="spellStart"/>
      <w:r w:rsidRPr="00FF2655">
        <w:rPr>
          <w:rStyle w:val="CharDivText"/>
        </w:rPr>
        <w:t>HFC</w:t>
      </w:r>
      <w:proofErr w:type="spellEnd"/>
      <w:r w:rsidRPr="00FF2655">
        <w:rPr>
          <w:rStyle w:val="CharDivText"/>
        </w:rPr>
        <w:t xml:space="preserve"> quotas</w:t>
      </w:r>
      <w:bookmarkEnd w:id="19"/>
    </w:p>
    <w:p w:rsidR="006919A2" w:rsidRPr="00FF2655" w:rsidRDefault="006919A2" w:rsidP="006919A2">
      <w:pPr>
        <w:pStyle w:val="ActHead4"/>
      </w:pPr>
      <w:bookmarkStart w:id="20" w:name="_Toc487631701"/>
      <w:r w:rsidRPr="00FF2655">
        <w:rPr>
          <w:rStyle w:val="CharSubdNo"/>
        </w:rPr>
        <w:t>Subdivision</w:t>
      </w:r>
      <w:r w:rsidR="00FF2655" w:rsidRPr="00FF2655">
        <w:rPr>
          <w:rStyle w:val="CharSubdNo"/>
        </w:rPr>
        <w:t> </w:t>
      </w:r>
      <w:r w:rsidRPr="00FF2655">
        <w:rPr>
          <w:rStyle w:val="CharSubdNo"/>
        </w:rPr>
        <w:t>4A</w:t>
      </w:r>
      <w:r w:rsidR="00740597" w:rsidRPr="00FF2655">
        <w:rPr>
          <w:rStyle w:val="CharSubdNo"/>
        </w:rPr>
        <w:t>.</w:t>
      </w:r>
      <w:r w:rsidR="00521715" w:rsidRPr="00FF2655">
        <w:rPr>
          <w:rStyle w:val="CharSubdNo"/>
        </w:rPr>
        <w:t>3</w:t>
      </w:r>
      <w:r w:rsidR="00740597" w:rsidRPr="00FF2655">
        <w:rPr>
          <w:rStyle w:val="CharSubdNo"/>
        </w:rPr>
        <w:t>.</w:t>
      </w:r>
      <w:r w:rsidRPr="00FF2655">
        <w:rPr>
          <w:rStyle w:val="CharSubdNo"/>
        </w:rPr>
        <w:t>1</w:t>
      </w:r>
      <w:r w:rsidRPr="00FF2655">
        <w:t>—</w:t>
      </w:r>
      <w:r w:rsidRPr="00FF2655">
        <w:rPr>
          <w:rStyle w:val="CharSubdText"/>
        </w:rPr>
        <w:t>Purpose of this Division</w:t>
      </w:r>
      <w:bookmarkEnd w:id="20"/>
    </w:p>
    <w:p w:rsidR="006919A2" w:rsidRPr="00FF2655" w:rsidRDefault="00740597" w:rsidP="006919A2">
      <w:pPr>
        <w:pStyle w:val="ActHead5"/>
      </w:pPr>
      <w:bookmarkStart w:id="21" w:name="_Toc487631702"/>
      <w:r w:rsidRPr="00FF2655">
        <w:rPr>
          <w:rStyle w:val="CharSectno"/>
        </w:rPr>
        <w:t>43</w:t>
      </w:r>
      <w:r w:rsidR="006919A2" w:rsidRPr="00FF2655">
        <w:t xml:space="preserve">  Purpose of this Division</w:t>
      </w:r>
      <w:bookmarkEnd w:id="21"/>
    </w:p>
    <w:p w:rsidR="006919A2" w:rsidRPr="00FF2655" w:rsidRDefault="006919A2" w:rsidP="006919A2">
      <w:pPr>
        <w:pStyle w:val="subsection"/>
      </w:pPr>
      <w:r w:rsidRPr="00FF2655">
        <w:tab/>
      </w:r>
      <w:r w:rsidRPr="00FF2655">
        <w:tab/>
        <w:t xml:space="preserve">For the purposes of </w:t>
      </w:r>
      <w:r w:rsidR="002605A5" w:rsidRPr="00FF2655">
        <w:t>sub</w:t>
      </w:r>
      <w:r w:rsidRPr="00FF2655">
        <w:t>section</w:t>
      </w:r>
      <w:r w:rsidR="00FF2655" w:rsidRPr="00FF2655">
        <w:t> </w:t>
      </w:r>
      <w:r w:rsidRPr="00FF2655">
        <w:t>36</w:t>
      </w:r>
      <w:r w:rsidR="00307700" w:rsidRPr="00FF2655">
        <w:t>C</w:t>
      </w:r>
      <w:r w:rsidR="002605A5" w:rsidRPr="00FF2655">
        <w:t>(1)</w:t>
      </w:r>
      <w:r w:rsidRPr="00FF2655">
        <w:t xml:space="preserve"> of the Act, this Division provides in relation to:</w:t>
      </w:r>
    </w:p>
    <w:p w:rsidR="006919A2" w:rsidRPr="00FF2655" w:rsidRDefault="006919A2" w:rsidP="006919A2">
      <w:pPr>
        <w:pStyle w:val="paragraph"/>
      </w:pPr>
      <w:r w:rsidRPr="00FF2655">
        <w:tab/>
        <w:t>(a)</w:t>
      </w:r>
      <w:r w:rsidRPr="00FF2655">
        <w:tab/>
        <w:t xml:space="preserve">a process for applying for </w:t>
      </w:r>
      <w:proofErr w:type="spellStart"/>
      <w:r w:rsidRPr="00FF2655">
        <w:t>HFC</w:t>
      </w:r>
      <w:proofErr w:type="spellEnd"/>
      <w:r w:rsidRPr="00FF2655">
        <w:t xml:space="preserve"> quotas, including who may apply; and</w:t>
      </w:r>
    </w:p>
    <w:p w:rsidR="006919A2" w:rsidRPr="00FF2655" w:rsidRDefault="006919A2" w:rsidP="006919A2">
      <w:pPr>
        <w:pStyle w:val="paragraph"/>
      </w:pPr>
      <w:r w:rsidRPr="00FF2655">
        <w:tab/>
        <w:t>(b)</w:t>
      </w:r>
      <w:r w:rsidRPr="00FF2655">
        <w:tab/>
        <w:t xml:space="preserve">a process for the Minister to allocate </w:t>
      </w:r>
      <w:proofErr w:type="spellStart"/>
      <w:r w:rsidRPr="00FF2655">
        <w:t>HFC</w:t>
      </w:r>
      <w:proofErr w:type="spellEnd"/>
      <w:r w:rsidRPr="00FF2655">
        <w:t xml:space="preserve"> quotas for calendar years to </w:t>
      </w:r>
      <w:proofErr w:type="spellStart"/>
      <w:r w:rsidRPr="00FF2655">
        <w:t>SGG</w:t>
      </w:r>
      <w:proofErr w:type="spellEnd"/>
      <w:r w:rsidRPr="00FF2655">
        <w:t xml:space="preserve"> licensees; and</w:t>
      </w:r>
    </w:p>
    <w:p w:rsidR="006919A2" w:rsidRPr="00FF2655" w:rsidRDefault="006919A2" w:rsidP="006919A2">
      <w:pPr>
        <w:pStyle w:val="paragraph"/>
      </w:pPr>
      <w:r w:rsidRPr="00FF2655">
        <w:tab/>
        <w:t>(c)</w:t>
      </w:r>
      <w:r w:rsidRPr="00FF2655">
        <w:tab/>
        <w:t>a process for the Minister to:</w:t>
      </w:r>
    </w:p>
    <w:p w:rsidR="006919A2" w:rsidRPr="00FF2655" w:rsidRDefault="006919A2" w:rsidP="006919A2">
      <w:pPr>
        <w:pStyle w:val="paragraphsub"/>
      </w:pPr>
      <w:r w:rsidRPr="00FF2655">
        <w:tab/>
        <w:t>(</w:t>
      </w:r>
      <w:proofErr w:type="spellStart"/>
      <w:r w:rsidRPr="00FF2655">
        <w:t>i</w:t>
      </w:r>
      <w:proofErr w:type="spellEnd"/>
      <w:r w:rsidRPr="00FF2655">
        <w:t>)</w:t>
      </w:r>
      <w:r w:rsidRPr="00FF2655">
        <w:tab/>
        <w:t xml:space="preserve">vary the size of </w:t>
      </w:r>
      <w:proofErr w:type="spellStart"/>
      <w:r w:rsidRPr="00FF2655">
        <w:t>HFC</w:t>
      </w:r>
      <w:proofErr w:type="spellEnd"/>
      <w:r w:rsidRPr="00FF2655">
        <w:t xml:space="preserve"> quotas; or</w:t>
      </w:r>
    </w:p>
    <w:p w:rsidR="006919A2" w:rsidRPr="00FF2655" w:rsidRDefault="006919A2" w:rsidP="006919A2">
      <w:pPr>
        <w:pStyle w:val="paragraphsub"/>
      </w:pPr>
      <w:r w:rsidRPr="00FF2655">
        <w:tab/>
        <w:t>(ii)</w:t>
      </w:r>
      <w:r w:rsidRPr="00FF2655">
        <w:tab/>
        <w:t xml:space="preserve">cancel </w:t>
      </w:r>
      <w:proofErr w:type="spellStart"/>
      <w:r w:rsidRPr="00FF2655">
        <w:t>HFC</w:t>
      </w:r>
      <w:proofErr w:type="spellEnd"/>
      <w:r w:rsidRPr="00FF2655">
        <w:t xml:space="preserve"> quotas; and</w:t>
      </w:r>
    </w:p>
    <w:p w:rsidR="006919A2" w:rsidRPr="00FF2655" w:rsidRDefault="006919A2" w:rsidP="006919A2">
      <w:pPr>
        <w:pStyle w:val="paragraph"/>
      </w:pPr>
      <w:r w:rsidRPr="00FF2655">
        <w:tab/>
        <w:t>(</w:t>
      </w:r>
      <w:r w:rsidR="00521715" w:rsidRPr="00FF2655">
        <w:t>d</w:t>
      </w:r>
      <w:r w:rsidRPr="00FF2655">
        <w:t>)</w:t>
      </w:r>
      <w:r w:rsidRPr="00FF2655">
        <w:tab/>
        <w:t xml:space="preserve">the method for working out the size of </w:t>
      </w:r>
      <w:proofErr w:type="spellStart"/>
      <w:r w:rsidRPr="00FF2655">
        <w:t>HFC</w:t>
      </w:r>
      <w:proofErr w:type="spellEnd"/>
      <w:r w:rsidRPr="00FF2655">
        <w:t xml:space="preserve"> quotas</w:t>
      </w:r>
      <w:r w:rsidR="00740597" w:rsidRPr="00FF2655">
        <w:t>.</w:t>
      </w:r>
    </w:p>
    <w:p w:rsidR="006919A2" w:rsidRPr="00FF2655" w:rsidRDefault="006919A2" w:rsidP="006919A2">
      <w:pPr>
        <w:pStyle w:val="ActHead4"/>
      </w:pPr>
      <w:bookmarkStart w:id="22" w:name="_Toc487631703"/>
      <w:r w:rsidRPr="00FF2655">
        <w:rPr>
          <w:rStyle w:val="CharSubdNo"/>
        </w:rPr>
        <w:t>Subdivision</w:t>
      </w:r>
      <w:r w:rsidR="00FF2655" w:rsidRPr="00FF2655">
        <w:rPr>
          <w:rStyle w:val="CharSubdNo"/>
        </w:rPr>
        <w:t> </w:t>
      </w:r>
      <w:r w:rsidRPr="00FF2655">
        <w:rPr>
          <w:rStyle w:val="CharSubdNo"/>
        </w:rPr>
        <w:t>4A</w:t>
      </w:r>
      <w:r w:rsidR="00740597" w:rsidRPr="00FF2655">
        <w:rPr>
          <w:rStyle w:val="CharSubdNo"/>
        </w:rPr>
        <w:t>.</w:t>
      </w:r>
      <w:r w:rsidR="00521715" w:rsidRPr="00FF2655">
        <w:rPr>
          <w:rStyle w:val="CharSubdNo"/>
        </w:rPr>
        <w:t>3</w:t>
      </w:r>
      <w:r w:rsidR="00740597" w:rsidRPr="00FF2655">
        <w:rPr>
          <w:rStyle w:val="CharSubdNo"/>
        </w:rPr>
        <w:t>.</w:t>
      </w:r>
      <w:r w:rsidRPr="00FF2655">
        <w:rPr>
          <w:rStyle w:val="CharSubdNo"/>
        </w:rPr>
        <w:t>2</w:t>
      </w:r>
      <w:r w:rsidRPr="00FF2655">
        <w:t>—</w:t>
      </w:r>
      <w:r w:rsidRPr="00FF2655">
        <w:rPr>
          <w:rStyle w:val="CharSubdText"/>
        </w:rPr>
        <w:t>Applications and allocation</w:t>
      </w:r>
      <w:bookmarkEnd w:id="22"/>
    </w:p>
    <w:p w:rsidR="006919A2" w:rsidRPr="00FF2655" w:rsidRDefault="00740597" w:rsidP="006919A2">
      <w:pPr>
        <w:pStyle w:val="ActHead5"/>
      </w:pPr>
      <w:bookmarkStart w:id="23" w:name="_Toc487631704"/>
      <w:r w:rsidRPr="00FF2655">
        <w:rPr>
          <w:rStyle w:val="CharSectno"/>
        </w:rPr>
        <w:t>44</w:t>
      </w:r>
      <w:r w:rsidR="006919A2" w:rsidRPr="00FF2655">
        <w:t xml:space="preserve">  Applying for </w:t>
      </w:r>
      <w:proofErr w:type="spellStart"/>
      <w:r w:rsidR="006919A2" w:rsidRPr="00FF2655">
        <w:t>HFC</w:t>
      </w:r>
      <w:proofErr w:type="spellEnd"/>
      <w:r w:rsidR="006919A2" w:rsidRPr="00FF2655">
        <w:t xml:space="preserve"> quotas</w:t>
      </w:r>
      <w:bookmarkEnd w:id="23"/>
    </w:p>
    <w:p w:rsidR="006919A2" w:rsidRPr="00FF2655" w:rsidRDefault="006919A2" w:rsidP="006919A2">
      <w:pPr>
        <w:pStyle w:val="subsection"/>
      </w:pPr>
      <w:r w:rsidRPr="00FF2655">
        <w:tab/>
        <w:t>(1)</w:t>
      </w:r>
      <w:r w:rsidRPr="00FF2655">
        <w:tab/>
        <w:t xml:space="preserve">A person may apply for </w:t>
      </w:r>
      <w:proofErr w:type="spellStart"/>
      <w:r w:rsidRPr="00FF2655">
        <w:t>HFC</w:t>
      </w:r>
      <w:proofErr w:type="spellEnd"/>
      <w:r w:rsidRPr="00FF2655">
        <w:t xml:space="preserve"> quotas for both of the calendar years in an </w:t>
      </w:r>
      <w:proofErr w:type="spellStart"/>
      <w:r w:rsidRPr="00FF2655">
        <w:t>HFC</w:t>
      </w:r>
      <w:proofErr w:type="spellEnd"/>
      <w:r w:rsidRPr="00FF2655">
        <w:t xml:space="preserve"> quota allocation period if:</w:t>
      </w:r>
    </w:p>
    <w:p w:rsidR="006919A2" w:rsidRPr="00FF2655" w:rsidRDefault="006919A2" w:rsidP="006919A2">
      <w:pPr>
        <w:pStyle w:val="paragraph"/>
      </w:pPr>
      <w:r w:rsidRPr="00FF2655">
        <w:tab/>
        <w:t>(a)</w:t>
      </w:r>
      <w:r w:rsidRPr="00FF2655">
        <w:tab/>
        <w:t xml:space="preserve">the person holds an </w:t>
      </w:r>
      <w:proofErr w:type="spellStart"/>
      <w:r w:rsidRPr="00FF2655">
        <w:t>SGG</w:t>
      </w:r>
      <w:proofErr w:type="spellEnd"/>
      <w:r w:rsidRPr="00FF2655">
        <w:t xml:space="preserve"> licence that covers the period; or</w:t>
      </w:r>
    </w:p>
    <w:p w:rsidR="006919A2" w:rsidRPr="00FF2655" w:rsidRDefault="006919A2" w:rsidP="006919A2">
      <w:pPr>
        <w:pStyle w:val="paragraph"/>
      </w:pPr>
      <w:r w:rsidRPr="00FF2655">
        <w:tab/>
        <w:t>(b)</w:t>
      </w:r>
      <w:r w:rsidRPr="00FF2655">
        <w:tab/>
        <w:t>both:</w:t>
      </w:r>
    </w:p>
    <w:p w:rsidR="006919A2" w:rsidRPr="00FF2655" w:rsidRDefault="006919A2" w:rsidP="006919A2">
      <w:pPr>
        <w:pStyle w:val="paragraphsub"/>
      </w:pPr>
      <w:r w:rsidRPr="00FF2655">
        <w:tab/>
        <w:t>(</w:t>
      </w:r>
      <w:proofErr w:type="spellStart"/>
      <w:r w:rsidRPr="00FF2655">
        <w:t>i</w:t>
      </w:r>
      <w:proofErr w:type="spellEnd"/>
      <w:r w:rsidRPr="00FF2655">
        <w:t>)</w:t>
      </w:r>
      <w:r w:rsidRPr="00FF2655">
        <w:tab/>
        <w:t>the person has applied for such a licence; and</w:t>
      </w:r>
    </w:p>
    <w:p w:rsidR="006919A2" w:rsidRPr="00FF2655" w:rsidRDefault="006919A2" w:rsidP="006919A2">
      <w:pPr>
        <w:pStyle w:val="paragraphsub"/>
      </w:pPr>
      <w:r w:rsidRPr="00FF2655">
        <w:tab/>
        <w:t>(ii)</w:t>
      </w:r>
      <w:r w:rsidRPr="00FF2655">
        <w:tab/>
        <w:t>the application has not been refused</w:t>
      </w:r>
      <w:r w:rsidR="00740597" w:rsidRPr="00FF2655">
        <w:t>.</w:t>
      </w:r>
    </w:p>
    <w:p w:rsidR="006919A2" w:rsidRPr="00FF2655" w:rsidRDefault="006919A2" w:rsidP="006919A2">
      <w:pPr>
        <w:pStyle w:val="notetext"/>
      </w:pPr>
      <w:r w:rsidRPr="00FF2655">
        <w:t>Note:</w:t>
      </w:r>
      <w:r w:rsidRPr="00FF2655">
        <w:tab/>
        <w:t xml:space="preserve">The Minister must consider the applications mentioned in </w:t>
      </w:r>
      <w:r w:rsidR="00FF2655" w:rsidRPr="00FF2655">
        <w:t>paragraph (</w:t>
      </w:r>
      <w:r w:rsidRPr="00FF2655">
        <w:t xml:space="preserve">b) before allocating </w:t>
      </w:r>
      <w:proofErr w:type="spellStart"/>
      <w:r w:rsidRPr="00FF2655">
        <w:t>HFC</w:t>
      </w:r>
      <w:proofErr w:type="spellEnd"/>
      <w:r w:rsidRPr="00FF2655">
        <w:t xml:space="preserve"> quotas: see </w:t>
      </w:r>
      <w:proofErr w:type="spellStart"/>
      <w:r w:rsidRPr="00FF2655">
        <w:t>subregulation</w:t>
      </w:r>
      <w:proofErr w:type="spellEnd"/>
      <w:r w:rsidR="00FF2655" w:rsidRPr="00FF2655">
        <w:t> </w:t>
      </w:r>
      <w:r w:rsidRPr="00FF2655">
        <w:t>(</w:t>
      </w:r>
      <w:r w:rsidR="00BE2168" w:rsidRPr="00FF2655">
        <w:t>4</w:t>
      </w:r>
      <w:r w:rsidRPr="00FF2655">
        <w:t>)</w:t>
      </w:r>
      <w:r w:rsidR="00740597" w:rsidRPr="00FF2655">
        <w:t>.</w:t>
      </w:r>
      <w:r w:rsidRPr="00FF2655">
        <w:t xml:space="preserve"> A person who does not hold an </w:t>
      </w:r>
      <w:proofErr w:type="spellStart"/>
      <w:r w:rsidRPr="00FF2655">
        <w:t>SGG</w:t>
      </w:r>
      <w:proofErr w:type="spellEnd"/>
      <w:r w:rsidRPr="00FF2655">
        <w:t xml:space="preserve"> licence that covers an </w:t>
      </w:r>
      <w:proofErr w:type="spellStart"/>
      <w:r w:rsidRPr="00FF2655">
        <w:t>HFC</w:t>
      </w:r>
      <w:proofErr w:type="spellEnd"/>
      <w:r w:rsidRPr="00FF2655">
        <w:t xml:space="preserve"> quota allocation period is not entitled to an amount of </w:t>
      </w:r>
      <w:proofErr w:type="spellStart"/>
      <w:r w:rsidRPr="00FF2655">
        <w:t>HFC</w:t>
      </w:r>
      <w:proofErr w:type="spellEnd"/>
      <w:r w:rsidRPr="00FF2655">
        <w:t xml:space="preserve"> quota for a year in that period: see Subdivision</w:t>
      </w:r>
      <w:r w:rsidR="00FF2655" w:rsidRPr="00FF2655">
        <w:t> </w:t>
      </w:r>
      <w:r w:rsidRPr="00FF2655">
        <w:t>4A</w:t>
      </w:r>
      <w:r w:rsidR="00740597" w:rsidRPr="00FF2655">
        <w:t>.</w:t>
      </w:r>
      <w:r w:rsidR="00521715" w:rsidRPr="00FF2655">
        <w:t>3</w:t>
      </w:r>
      <w:r w:rsidR="00740597" w:rsidRPr="00FF2655">
        <w:t>.</w:t>
      </w:r>
      <w:r w:rsidRPr="00FF2655">
        <w:t>3</w:t>
      </w:r>
      <w:r w:rsidR="00740597" w:rsidRPr="00FF2655">
        <w:t>.</w:t>
      </w:r>
    </w:p>
    <w:p w:rsidR="006919A2" w:rsidRPr="00FF2655" w:rsidRDefault="006919A2" w:rsidP="006919A2">
      <w:pPr>
        <w:pStyle w:val="subsection"/>
      </w:pPr>
      <w:r w:rsidRPr="00FF2655">
        <w:tab/>
        <w:t>(2)</w:t>
      </w:r>
      <w:r w:rsidRPr="00FF2655">
        <w:tab/>
        <w:t>The application must:</w:t>
      </w:r>
    </w:p>
    <w:p w:rsidR="006919A2" w:rsidRPr="00FF2655" w:rsidRDefault="006919A2" w:rsidP="006919A2">
      <w:pPr>
        <w:pStyle w:val="paragraph"/>
      </w:pPr>
      <w:r w:rsidRPr="00FF2655">
        <w:tab/>
        <w:t>(a)</w:t>
      </w:r>
      <w:r w:rsidRPr="00FF2655">
        <w:tab/>
        <w:t>be in the approved form; and</w:t>
      </w:r>
    </w:p>
    <w:p w:rsidR="006919A2" w:rsidRPr="00FF2655" w:rsidRDefault="006919A2" w:rsidP="006919A2">
      <w:pPr>
        <w:pStyle w:val="paragraph"/>
      </w:pPr>
      <w:r w:rsidRPr="00FF2655">
        <w:tab/>
        <w:t>(b)</w:t>
      </w:r>
      <w:r w:rsidRPr="00FF2655">
        <w:tab/>
        <w:t>be given to the Minister on or before:</w:t>
      </w:r>
    </w:p>
    <w:p w:rsidR="006919A2" w:rsidRPr="00FF2655" w:rsidRDefault="006919A2" w:rsidP="00774A0D">
      <w:pPr>
        <w:pStyle w:val="paragraphsub"/>
      </w:pPr>
      <w:r w:rsidRPr="00FF2655">
        <w:tab/>
        <w:t>(</w:t>
      </w:r>
      <w:proofErr w:type="spellStart"/>
      <w:r w:rsidRPr="00FF2655">
        <w:t>i</w:t>
      </w:r>
      <w:proofErr w:type="spellEnd"/>
      <w:r w:rsidRPr="00FF2655">
        <w:t>)</w:t>
      </w:r>
      <w:r w:rsidRPr="00FF2655">
        <w:tab/>
        <w:t xml:space="preserve">if the </w:t>
      </w:r>
      <w:proofErr w:type="spellStart"/>
      <w:r w:rsidRPr="00FF2655">
        <w:t>HFC</w:t>
      </w:r>
      <w:proofErr w:type="spellEnd"/>
      <w:r w:rsidRPr="00FF2655">
        <w:t xml:space="preserve"> quota allocation period is the first </w:t>
      </w:r>
      <w:proofErr w:type="spellStart"/>
      <w:r w:rsidRPr="00FF2655">
        <w:t>HFC</w:t>
      </w:r>
      <w:proofErr w:type="spellEnd"/>
      <w:r w:rsidRPr="00FF2655">
        <w:t xml:space="preserve"> quota allocation period—</w:t>
      </w:r>
      <w:r w:rsidR="00774A0D" w:rsidRPr="00FF2655">
        <w:t>the da</w:t>
      </w:r>
      <w:r w:rsidR="00BE2168" w:rsidRPr="00FF2655">
        <w:t>y</w:t>
      </w:r>
      <w:r w:rsidR="00774A0D" w:rsidRPr="00FF2655">
        <w:t xml:space="preserve"> </w:t>
      </w:r>
      <w:r w:rsidR="00BE2168" w:rsidRPr="00FF2655">
        <w:t xml:space="preserve">determined under </w:t>
      </w:r>
      <w:proofErr w:type="spellStart"/>
      <w:r w:rsidR="00BE2168" w:rsidRPr="00FF2655">
        <w:t>subregulation</w:t>
      </w:r>
      <w:proofErr w:type="spellEnd"/>
      <w:r w:rsidR="00FF2655" w:rsidRPr="00FF2655">
        <w:t> </w:t>
      </w:r>
      <w:r w:rsidR="00BE2168" w:rsidRPr="00FF2655">
        <w:t>(3)</w:t>
      </w:r>
      <w:r w:rsidR="00774A0D" w:rsidRPr="00FF2655">
        <w:t>;</w:t>
      </w:r>
      <w:r w:rsidRPr="00FF2655">
        <w:t xml:space="preserve"> or</w:t>
      </w:r>
    </w:p>
    <w:p w:rsidR="006919A2" w:rsidRPr="00FF2655" w:rsidRDefault="006919A2" w:rsidP="006919A2">
      <w:pPr>
        <w:pStyle w:val="paragraphsub"/>
      </w:pPr>
      <w:r w:rsidRPr="00FF2655">
        <w:tab/>
        <w:t>(ii)</w:t>
      </w:r>
      <w:r w:rsidRPr="00FF2655">
        <w:tab/>
        <w:t>otherwise—31</w:t>
      </w:r>
      <w:r w:rsidR="00FF2655" w:rsidRPr="00FF2655">
        <w:t> </w:t>
      </w:r>
      <w:r w:rsidRPr="00FF2655">
        <w:t xml:space="preserve">August in the last year before the start of the </w:t>
      </w:r>
      <w:proofErr w:type="spellStart"/>
      <w:r w:rsidRPr="00FF2655">
        <w:t>HFC</w:t>
      </w:r>
      <w:proofErr w:type="spellEnd"/>
      <w:r w:rsidRPr="00FF2655">
        <w:t xml:space="preserve"> quota allocation period; and</w:t>
      </w:r>
    </w:p>
    <w:p w:rsidR="006919A2" w:rsidRPr="00FF2655" w:rsidRDefault="006919A2" w:rsidP="006919A2">
      <w:pPr>
        <w:pStyle w:val="paragraph"/>
      </w:pPr>
      <w:r w:rsidRPr="00FF2655">
        <w:tab/>
        <w:t>(c)</w:t>
      </w:r>
      <w:r w:rsidRPr="00FF2655">
        <w:tab/>
        <w:t>specify the calendar years to wh</w:t>
      </w:r>
      <w:r w:rsidR="00A73B06" w:rsidRPr="00FF2655">
        <w:t>ich the application relates; and</w:t>
      </w:r>
    </w:p>
    <w:p w:rsidR="00A73B06" w:rsidRPr="00FF2655" w:rsidRDefault="00A73B06" w:rsidP="006919A2">
      <w:pPr>
        <w:pStyle w:val="paragraph"/>
      </w:pPr>
      <w:r w:rsidRPr="00FF2655">
        <w:tab/>
        <w:t>(d)</w:t>
      </w:r>
      <w:r w:rsidRPr="00FF2655">
        <w:tab/>
        <w:t>state whether the applicant wishes to be allocated non</w:t>
      </w:r>
      <w:r w:rsidR="00FF2655">
        <w:noBreakHyphen/>
      </w:r>
      <w:r w:rsidRPr="00FF2655">
        <w:t>grandfathered quota for the years</w:t>
      </w:r>
      <w:r w:rsidR="00740597" w:rsidRPr="00FF2655">
        <w:t>.</w:t>
      </w:r>
    </w:p>
    <w:p w:rsidR="00BE2168" w:rsidRPr="00FF2655" w:rsidRDefault="00BE2168" w:rsidP="00BE2168">
      <w:pPr>
        <w:pStyle w:val="subsection"/>
      </w:pPr>
      <w:r w:rsidRPr="00FF2655">
        <w:tab/>
        <w:t>(3)</w:t>
      </w:r>
      <w:r w:rsidRPr="00FF2655">
        <w:tab/>
      </w:r>
      <w:r w:rsidR="002C2E4A" w:rsidRPr="00FF2655">
        <w:t>T</w:t>
      </w:r>
      <w:r w:rsidRPr="00FF2655">
        <w:t xml:space="preserve">he Minister must, by legislative instrument, determine the day on or before which applications for </w:t>
      </w:r>
      <w:proofErr w:type="spellStart"/>
      <w:r w:rsidRPr="00FF2655">
        <w:t>HFC</w:t>
      </w:r>
      <w:proofErr w:type="spellEnd"/>
      <w:r w:rsidRPr="00FF2655">
        <w:t xml:space="preserve"> quotas for the calendar years in the first </w:t>
      </w:r>
      <w:proofErr w:type="spellStart"/>
      <w:r w:rsidRPr="00FF2655">
        <w:t>HFC</w:t>
      </w:r>
      <w:proofErr w:type="spellEnd"/>
      <w:r w:rsidRPr="00FF2655">
        <w:t xml:space="preserve"> quota allocation period must be given.</w:t>
      </w:r>
    </w:p>
    <w:p w:rsidR="006919A2" w:rsidRPr="00FF2655" w:rsidRDefault="006919A2" w:rsidP="006919A2">
      <w:pPr>
        <w:pStyle w:val="SubsectionHead"/>
      </w:pPr>
      <w:r w:rsidRPr="00FF2655">
        <w:t>Minister must determine licence applications before allocating quotas</w:t>
      </w:r>
    </w:p>
    <w:p w:rsidR="006919A2" w:rsidRPr="00FF2655" w:rsidRDefault="006919A2" w:rsidP="006919A2">
      <w:pPr>
        <w:pStyle w:val="subsection"/>
      </w:pPr>
      <w:r w:rsidRPr="00FF2655">
        <w:tab/>
        <w:t>(</w:t>
      </w:r>
      <w:r w:rsidR="00BE2168" w:rsidRPr="00FF2655">
        <w:t>4</w:t>
      </w:r>
      <w:r w:rsidRPr="00FF2655">
        <w:t>)</w:t>
      </w:r>
      <w:r w:rsidRPr="00FF2655">
        <w:tab/>
        <w:t xml:space="preserve">If </w:t>
      </w:r>
      <w:r w:rsidR="00FF2655" w:rsidRPr="00FF2655">
        <w:t>paragraph (</w:t>
      </w:r>
      <w:r w:rsidRPr="00FF2655">
        <w:t xml:space="preserve">1)(b) applies to any of the applicants for </w:t>
      </w:r>
      <w:proofErr w:type="spellStart"/>
      <w:r w:rsidRPr="00FF2655">
        <w:t>HFC</w:t>
      </w:r>
      <w:proofErr w:type="spellEnd"/>
      <w:r w:rsidRPr="00FF2655">
        <w:t xml:space="preserve"> quotas for the years in an </w:t>
      </w:r>
      <w:proofErr w:type="spellStart"/>
      <w:r w:rsidRPr="00FF2655">
        <w:t>HFC</w:t>
      </w:r>
      <w:proofErr w:type="spellEnd"/>
      <w:r w:rsidRPr="00FF2655">
        <w:t xml:space="preserve"> quota allocation period because the applicants have applied for </w:t>
      </w:r>
      <w:proofErr w:type="spellStart"/>
      <w:r w:rsidRPr="00FF2655">
        <w:t>SGG</w:t>
      </w:r>
      <w:proofErr w:type="spellEnd"/>
      <w:r w:rsidRPr="00FF2655">
        <w:t xml:space="preserve"> licen</w:t>
      </w:r>
      <w:r w:rsidR="009E7B32" w:rsidRPr="00FF2655">
        <w:t>c</w:t>
      </w:r>
      <w:r w:rsidRPr="00FF2655">
        <w:t>es, the Minister must determine each of those applications under Part</w:t>
      </w:r>
      <w:r w:rsidR="00FF2655" w:rsidRPr="00FF2655">
        <w:t> </w:t>
      </w:r>
      <w:r w:rsidRPr="00FF2655">
        <w:t>III of the Act by:</w:t>
      </w:r>
    </w:p>
    <w:p w:rsidR="006919A2" w:rsidRPr="00FF2655" w:rsidRDefault="006919A2" w:rsidP="006919A2">
      <w:pPr>
        <w:pStyle w:val="paragraph"/>
      </w:pPr>
      <w:r w:rsidRPr="00FF2655">
        <w:tab/>
        <w:t>(a)</w:t>
      </w:r>
      <w:r w:rsidRPr="00FF2655">
        <w:tab/>
        <w:t xml:space="preserve">issuing an </w:t>
      </w:r>
      <w:proofErr w:type="spellStart"/>
      <w:r w:rsidRPr="00FF2655">
        <w:t>SGG</w:t>
      </w:r>
      <w:proofErr w:type="spellEnd"/>
      <w:r w:rsidRPr="00FF2655">
        <w:t xml:space="preserve"> licence; or</w:t>
      </w:r>
    </w:p>
    <w:p w:rsidR="006919A2" w:rsidRPr="00FF2655" w:rsidRDefault="006919A2" w:rsidP="006919A2">
      <w:pPr>
        <w:pStyle w:val="paragraph"/>
      </w:pPr>
      <w:r w:rsidRPr="00FF2655">
        <w:tab/>
        <w:t>(b)</w:t>
      </w:r>
      <w:r w:rsidRPr="00FF2655">
        <w:tab/>
        <w:t>refusing the application;</w:t>
      </w:r>
    </w:p>
    <w:p w:rsidR="006919A2" w:rsidRPr="00FF2655" w:rsidRDefault="006919A2" w:rsidP="006919A2">
      <w:pPr>
        <w:pStyle w:val="subsection2"/>
      </w:pPr>
      <w:r w:rsidRPr="00FF2655">
        <w:t xml:space="preserve">before the Minister allocates any </w:t>
      </w:r>
      <w:proofErr w:type="spellStart"/>
      <w:r w:rsidRPr="00FF2655">
        <w:t>HFC</w:t>
      </w:r>
      <w:proofErr w:type="spellEnd"/>
      <w:r w:rsidRPr="00FF2655">
        <w:t xml:space="preserve"> quotas for the years</w:t>
      </w:r>
      <w:r w:rsidR="00740597" w:rsidRPr="00FF2655">
        <w:t>.</w:t>
      </w:r>
    </w:p>
    <w:p w:rsidR="006919A2" w:rsidRPr="00FF2655" w:rsidRDefault="00BE2168" w:rsidP="006919A2">
      <w:pPr>
        <w:pStyle w:val="subsection"/>
      </w:pPr>
      <w:r w:rsidRPr="00FF2655">
        <w:tab/>
        <w:t>(5</w:t>
      </w:r>
      <w:r w:rsidR="006919A2" w:rsidRPr="00FF2655">
        <w:t>)</w:t>
      </w:r>
      <w:r w:rsidR="006919A2" w:rsidRPr="00FF2655">
        <w:tab/>
      </w:r>
      <w:proofErr w:type="spellStart"/>
      <w:r w:rsidR="006919A2" w:rsidRPr="00FF2655">
        <w:t>Subregulation</w:t>
      </w:r>
      <w:proofErr w:type="spellEnd"/>
      <w:r w:rsidR="006919A2" w:rsidRPr="00FF2655">
        <w:t xml:space="preserve"> (</w:t>
      </w:r>
      <w:r w:rsidRPr="00FF2655">
        <w:t>4</w:t>
      </w:r>
      <w:r w:rsidR="006919A2" w:rsidRPr="00FF2655">
        <w:t>) has effect as if a reference in section</w:t>
      </w:r>
      <w:r w:rsidR="00FF2655" w:rsidRPr="00FF2655">
        <w:t> </w:t>
      </w:r>
      <w:r w:rsidR="006919A2" w:rsidRPr="00FF2655">
        <w:t>17 of the Act to section</w:t>
      </w:r>
      <w:r w:rsidR="00FF2655" w:rsidRPr="00FF2655">
        <w:t> </w:t>
      </w:r>
      <w:r w:rsidR="006919A2" w:rsidRPr="00FF2655">
        <w:t xml:space="preserve">66 included a reference to that </w:t>
      </w:r>
      <w:proofErr w:type="spellStart"/>
      <w:r w:rsidR="006919A2" w:rsidRPr="00FF2655">
        <w:t>subregulation</w:t>
      </w:r>
      <w:proofErr w:type="spellEnd"/>
      <w:r w:rsidR="00740597" w:rsidRPr="00FF2655">
        <w:t>.</w:t>
      </w:r>
    </w:p>
    <w:p w:rsidR="006919A2" w:rsidRPr="00FF2655" w:rsidRDefault="00740597" w:rsidP="006919A2">
      <w:pPr>
        <w:pStyle w:val="ActHead5"/>
      </w:pPr>
      <w:bookmarkStart w:id="24" w:name="_Toc487631705"/>
      <w:r w:rsidRPr="00FF2655">
        <w:rPr>
          <w:rStyle w:val="CharSectno"/>
        </w:rPr>
        <w:t>45</w:t>
      </w:r>
      <w:r w:rsidR="006919A2" w:rsidRPr="00FF2655">
        <w:t xml:space="preserve">  Allocating </w:t>
      </w:r>
      <w:proofErr w:type="spellStart"/>
      <w:r w:rsidR="006919A2" w:rsidRPr="00FF2655">
        <w:t>HFC</w:t>
      </w:r>
      <w:proofErr w:type="spellEnd"/>
      <w:r w:rsidR="006919A2" w:rsidRPr="00FF2655">
        <w:t xml:space="preserve"> quotas for </w:t>
      </w:r>
      <w:proofErr w:type="spellStart"/>
      <w:r w:rsidR="006919A2" w:rsidRPr="00FF2655">
        <w:t>HFC</w:t>
      </w:r>
      <w:proofErr w:type="spellEnd"/>
      <w:r w:rsidR="006919A2" w:rsidRPr="00FF2655">
        <w:t xml:space="preserve"> quota periods</w:t>
      </w:r>
      <w:bookmarkEnd w:id="24"/>
    </w:p>
    <w:p w:rsidR="006919A2" w:rsidRPr="00FF2655" w:rsidRDefault="006919A2" w:rsidP="006919A2">
      <w:pPr>
        <w:pStyle w:val="subsection"/>
      </w:pPr>
      <w:r w:rsidRPr="00FF2655">
        <w:tab/>
        <w:t>(1)</w:t>
      </w:r>
      <w:r w:rsidRPr="00FF2655">
        <w:tab/>
        <w:t xml:space="preserve">The Minister must, subject to </w:t>
      </w:r>
      <w:proofErr w:type="spellStart"/>
      <w:r w:rsidRPr="00FF2655">
        <w:t>subregulation</w:t>
      </w:r>
      <w:proofErr w:type="spellEnd"/>
      <w:r w:rsidR="00FF2655" w:rsidRPr="00FF2655">
        <w:t> </w:t>
      </w:r>
      <w:r w:rsidR="00740597" w:rsidRPr="00FF2655">
        <w:t>44</w:t>
      </w:r>
      <w:r w:rsidRPr="00FF2655">
        <w:t>(</w:t>
      </w:r>
      <w:r w:rsidR="005D42AA" w:rsidRPr="00FF2655">
        <w:t>4</w:t>
      </w:r>
      <w:r w:rsidRPr="00FF2655">
        <w:t xml:space="preserve">), allocate an </w:t>
      </w:r>
      <w:proofErr w:type="spellStart"/>
      <w:r w:rsidRPr="00FF2655">
        <w:t>HFC</w:t>
      </w:r>
      <w:proofErr w:type="spellEnd"/>
      <w:r w:rsidRPr="00FF2655">
        <w:t xml:space="preserve"> quota for each of the calendar years in an </w:t>
      </w:r>
      <w:proofErr w:type="spellStart"/>
      <w:r w:rsidRPr="00FF2655">
        <w:t>HFC</w:t>
      </w:r>
      <w:proofErr w:type="spellEnd"/>
      <w:r w:rsidRPr="00FF2655">
        <w:t xml:space="preserve"> quota allocation period to a person if the person is entitled to amounts of grandfathered quota or non</w:t>
      </w:r>
      <w:r w:rsidR="00FF2655">
        <w:noBreakHyphen/>
      </w:r>
      <w:r w:rsidRPr="00FF2655">
        <w:t>grandfathered quota for the years</w:t>
      </w:r>
      <w:r w:rsidR="00740597" w:rsidRPr="00FF2655">
        <w:t>.</w:t>
      </w:r>
    </w:p>
    <w:p w:rsidR="006919A2" w:rsidRPr="00FF2655" w:rsidRDefault="006919A2" w:rsidP="006919A2">
      <w:pPr>
        <w:pStyle w:val="notetext"/>
      </w:pPr>
      <w:r w:rsidRPr="00FF2655">
        <w:t>Note:</w:t>
      </w:r>
      <w:r w:rsidRPr="00FF2655">
        <w:tab/>
        <w:t>For when a person is entitled to amounts of grandfathered quota or non</w:t>
      </w:r>
      <w:r w:rsidR="00FF2655">
        <w:noBreakHyphen/>
      </w:r>
      <w:r w:rsidRPr="00FF2655">
        <w:t>grandfathered quota, see Subdivision</w:t>
      </w:r>
      <w:r w:rsidR="00FF2655" w:rsidRPr="00FF2655">
        <w:t> </w:t>
      </w:r>
      <w:r w:rsidRPr="00FF2655">
        <w:t>4A</w:t>
      </w:r>
      <w:r w:rsidR="00740597" w:rsidRPr="00FF2655">
        <w:t>.</w:t>
      </w:r>
      <w:r w:rsidR="00521715" w:rsidRPr="00FF2655">
        <w:t>3</w:t>
      </w:r>
      <w:r w:rsidR="00740597" w:rsidRPr="00FF2655">
        <w:t>.</w:t>
      </w:r>
      <w:r w:rsidRPr="00FF2655">
        <w:t>3</w:t>
      </w:r>
      <w:r w:rsidR="00740597" w:rsidRPr="00FF2655">
        <w:t>.</w:t>
      </w:r>
    </w:p>
    <w:p w:rsidR="006919A2" w:rsidRPr="00FF2655" w:rsidRDefault="006919A2" w:rsidP="006919A2">
      <w:pPr>
        <w:pStyle w:val="subsection"/>
      </w:pPr>
      <w:r w:rsidRPr="00FF2655">
        <w:tab/>
        <w:t>(2)</w:t>
      </w:r>
      <w:r w:rsidRPr="00FF2655">
        <w:tab/>
        <w:t xml:space="preserve">The Minister must determine the size of each </w:t>
      </w:r>
      <w:proofErr w:type="spellStart"/>
      <w:r w:rsidRPr="00FF2655">
        <w:t>HFC</w:t>
      </w:r>
      <w:proofErr w:type="spellEnd"/>
      <w:r w:rsidRPr="00FF2655">
        <w:t xml:space="preserve"> quota in accordance with regulation</w:t>
      </w:r>
      <w:r w:rsidR="00FF2655" w:rsidRPr="00FF2655">
        <w:t> </w:t>
      </w:r>
      <w:r w:rsidR="00740597" w:rsidRPr="00FF2655">
        <w:t>47.</w:t>
      </w:r>
    </w:p>
    <w:p w:rsidR="006919A2" w:rsidRPr="00FF2655" w:rsidRDefault="006919A2" w:rsidP="006919A2">
      <w:pPr>
        <w:pStyle w:val="subsection"/>
      </w:pPr>
      <w:r w:rsidRPr="00FF2655">
        <w:tab/>
        <w:t>(3)</w:t>
      </w:r>
      <w:r w:rsidRPr="00FF2655">
        <w:tab/>
        <w:t xml:space="preserve">An </w:t>
      </w:r>
      <w:proofErr w:type="spellStart"/>
      <w:r w:rsidRPr="00FF2655">
        <w:t>HFC</w:t>
      </w:r>
      <w:proofErr w:type="spellEnd"/>
      <w:r w:rsidRPr="00FF2655">
        <w:t xml:space="preserve"> quota is allocated by written notice given to the person</w:t>
      </w:r>
      <w:r w:rsidR="00740597" w:rsidRPr="00FF2655">
        <w:t>.</w:t>
      </w:r>
    </w:p>
    <w:p w:rsidR="006919A2" w:rsidRPr="00FF2655" w:rsidRDefault="006919A2" w:rsidP="006919A2">
      <w:pPr>
        <w:pStyle w:val="subsection"/>
      </w:pPr>
      <w:r w:rsidRPr="00FF2655">
        <w:tab/>
        <w:t>(4)</w:t>
      </w:r>
      <w:r w:rsidRPr="00FF2655">
        <w:tab/>
        <w:t>The notice must:</w:t>
      </w:r>
    </w:p>
    <w:p w:rsidR="006919A2" w:rsidRPr="00FF2655" w:rsidRDefault="006919A2" w:rsidP="006919A2">
      <w:pPr>
        <w:pStyle w:val="paragraph"/>
      </w:pPr>
      <w:r w:rsidRPr="00FF2655">
        <w:tab/>
        <w:t>(a)</w:t>
      </w:r>
      <w:r w:rsidRPr="00FF2655">
        <w:tab/>
        <w:t xml:space="preserve">specify the size of the </w:t>
      </w:r>
      <w:proofErr w:type="spellStart"/>
      <w:r w:rsidRPr="00FF2655">
        <w:t>HFC</w:t>
      </w:r>
      <w:proofErr w:type="spellEnd"/>
      <w:r w:rsidRPr="00FF2655">
        <w:t xml:space="preserve"> quota; and</w:t>
      </w:r>
    </w:p>
    <w:p w:rsidR="006919A2" w:rsidRPr="00FF2655" w:rsidRDefault="006919A2" w:rsidP="006919A2">
      <w:pPr>
        <w:pStyle w:val="paragraph"/>
      </w:pPr>
      <w:r w:rsidRPr="00FF2655">
        <w:tab/>
        <w:t>(b)</w:t>
      </w:r>
      <w:r w:rsidRPr="00FF2655">
        <w:tab/>
        <w:t>specify:</w:t>
      </w:r>
    </w:p>
    <w:p w:rsidR="006919A2" w:rsidRPr="00FF2655" w:rsidRDefault="006919A2" w:rsidP="006919A2">
      <w:pPr>
        <w:pStyle w:val="paragraphsub"/>
      </w:pPr>
      <w:r w:rsidRPr="00FF2655">
        <w:tab/>
        <w:t>(</w:t>
      </w:r>
      <w:proofErr w:type="spellStart"/>
      <w:r w:rsidRPr="00FF2655">
        <w:t>i</w:t>
      </w:r>
      <w:proofErr w:type="spellEnd"/>
      <w:r w:rsidRPr="00FF2655">
        <w:t>)</w:t>
      </w:r>
      <w:r w:rsidRPr="00FF2655">
        <w:tab/>
        <w:t>how much of the quota is an amount of grandfathered quota; and</w:t>
      </w:r>
    </w:p>
    <w:p w:rsidR="006919A2" w:rsidRPr="00FF2655" w:rsidRDefault="006919A2" w:rsidP="006919A2">
      <w:pPr>
        <w:pStyle w:val="paragraphsub"/>
      </w:pPr>
      <w:r w:rsidRPr="00FF2655">
        <w:tab/>
        <w:t>(ii)</w:t>
      </w:r>
      <w:r w:rsidRPr="00FF2655">
        <w:tab/>
        <w:t>how much of the quota is an amount of non</w:t>
      </w:r>
      <w:r w:rsidR="00FF2655">
        <w:noBreakHyphen/>
      </w:r>
      <w:r w:rsidRPr="00FF2655">
        <w:t>grandfathered quota; and</w:t>
      </w:r>
    </w:p>
    <w:p w:rsidR="006919A2" w:rsidRPr="00FF2655" w:rsidRDefault="006919A2" w:rsidP="006919A2">
      <w:pPr>
        <w:pStyle w:val="paragraph"/>
      </w:pPr>
      <w:r w:rsidRPr="00FF2655">
        <w:tab/>
        <w:t>(c)</w:t>
      </w:r>
      <w:r w:rsidRPr="00FF2655">
        <w:tab/>
        <w:t>specify the calendar year for which the quota is allocated</w:t>
      </w:r>
      <w:r w:rsidR="00740597" w:rsidRPr="00FF2655">
        <w:t>.</w:t>
      </w:r>
    </w:p>
    <w:p w:rsidR="006919A2" w:rsidRPr="00FF2655" w:rsidRDefault="006919A2" w:rsidP="006919A2">
      <w:pPr>
        <w:pStyle w:val="ActHead4"/>
      </w:pPr>
      <w:bookmarkStart w:id="25" w:name="_Toc487631706"/>
      <w:r w:rsidRPr="00FF2655">
        <w:rPr>
          <w:rStyle w:val="CharSubdNo"/>
        </w:rPr>
        <w:t>Subdivision</w:t>
      </w:r>
      <w:r w:rsidR="00FF2655" w:rsidRPr="00FF2655">
        <w:rPr>
          <w:rStyle w:val="CharSubdNo"/>
        </w:rPr>
        <w:t> </w:t>
      </w:r>
      <w:r w:rsidRPr="00FF2655">
        <w:rPr>
          <w:rStyle w:val="CharSubdNo"/>
        </w:rPr>
        <w:t>4A</w:t>
      </w:r>
      <w:r w:rsidR="00740597" w:rsidRPr="00FF2655">
        <w:rPr>
          <w:rStyle w:val="CharSubdNo"/>
        </w:rPr>
        <w:t>.</w:t>
      </w:r>
      <w:r w:rsidR="00521715" w:rsidRPr="00FF2655">
        <w:rPr>
          <w:rStyle w:val="CharSubdNo"/>
        </w:rPr>
        <w:t>3</w:t>
      </w:r>
      <w:r w:rsidR="00740597" w:rsidRPr="00FF2655">
        <w:rPr>
          <w:rStyle w:val="CharSubdNo"/>
        </w:rPr>
        <w:t>.</w:t>
      </w:r>
      <w:r w:rsidRPr="00FF2655">
        <w:rPr>
          <w:rStyle w:val="CharSubdNo"/>
        </w:rPr>
        <w:t>3</w:t>
      </w:r>
      <w:r w:rsidRPr="00FF2655">
        <w:t>—</w:t>
      </w:r>
      <w:r w:rsidRPr="00FF2655">
        <w:rPr>
          <w:rStyle w:val="CharSubdText"/>
        </w:rPr>
        <w:t xml:space="preserve">Entitlement to, and size of, </w:t>
      </w:r>
      <w:proofErr w:type="spellStart"/>
      <w:r w:rsidRPr="00FF2655">
        <w:rPr>
          <w:rStyle w:val="CharSubdText"/>
        </w:rPr>
        <w:t>HFC</w:t>
      </w:r>
      <w:proofErr w:type="spellEnd"/>
      <w:r w:rsidRPr="00FF2655">
        <w:rPr>
          <w:rStyle w:val="CharSubdText"/>
        </w:rPr>
        <w:t xml:space="preserve"> quotas</w:t>
      </w:r>
      <w:bookmarkEnd w:id="25"/>
    </w:p>
    <w:p w:rsidR="006919A2" w:rsidRPr="00FF2655" w:rsidRDefault="00740597" w:rsidP="006919A2">
      <w:pPr>
        <w:pStyle w:val="ActHead5"/>
      </w:pPr>
      <w:bookmarkStart w:id="26" w:name="_Toc487631707"/>
      <w:r w:rsidRPr="00FF2655">
        <w:rPr>
          <w:rStyle w:val="CharSectno"/>
        </w:rPr>
        <w:t>46</w:t>
      </w:r>
      <w:r w:rsidR="006919A2" w:rsidRPr="00FF2655">
        <w:t xml:space="preserve">  Definitions</w:t>
      </w:r>
      <w:bookmarkEnd w:id="26"/>
    </w:p>
    <w:p w:rsidR="006919A2" w:rsidRPr="00FF2655" w:rsidRDefault="006919A2" w:rsidP="006919A2">
      <w:pPr>
        <w:pStyle w:val="subsection"/>
      </w:pPr>
      <w:r w:rsidRPr="00FF2655">
        <w:tab/>
      </w:r>
      <w:r w:rsidRPr="00FF2655">
        <w:tab/>
        <w:t xml:space="preserve">The following table defines the </w:t>
      </w:r>
      <w:r w:rsidRPr="00FF2655">
        <w:rPr>
          <w:b/>
          <w:i/>
        </w:rPr>
        <w:t>base period</w:t>
      </w:r>
      <w:r w:rsidRPr="00FF2655">
        <w:t xml:space="preserve">, </w:t>
      </w:r>
      <w:r w:rsidRPr="00FF2655">
        <w:rPr>
          <w:b/>
          <w:i/>
        </w:rPr>
        <w:t>grandfathered percentage</w:t>
      </w:r>
      <w:r w:rsidRPr="00FF2655">
        <w:t xml:space="preserve"> and </w:t>
      </w:r>
      <w:r w:rsidRPr="00FF2655">
        <w:rPr>
          <w:b/>
          <w:i/>
        </w:rPr>
        <w:t>non</w:t>
      </w:r>
      <w:r w:rsidR="00FF2655">
        <w:rPr>
          <w:b/>
          <w:i/>
        </w:rPr>
        <w:noBreakHyphen/>
      </w:r>
      <w:r w:rsidRPr="00FF2655">
        <w:rPr>
          <w:b/>
          <w:i/>
        </w:rPr>
        <w:t>grandfathered percentage</w:t>
      </w:r>
      <w:r w:rsidRPr="00FF2655">
        <w:t xml:space="preserve"> for an </w:t>
      </w:r>
      <w:proofErr w:type="spellStart"/>
      <w:r w:rsidRPr="00FF2655">
        <w:t>HFC</w:t>
      </w:r>
      <w:proofErr w:type="spellEnd"/>
      <w:r w:rsidRPr="00FF2655">
        <w:t xml:space="preserve"> quota allocation period</w:t>
      </w:r>
      <w:r w:rsidR="00740597" w:rsidRPr="00FF2655">
        <w:t>.</w:t>
      </w:r>
    </w:p>
    <w:p w:rsidR="006919A2" w:rsidRPr="00FF2655" w:rsidRDefault="006919A2" w:rsidP="006919A2">
      <w:pPr>
        <w:pStyle w:val="Tabletext"/>
      </w:pPr>
    </w:p>
    <w:tbl>
      <w:tblPr>
        <w:tblW w:w="793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691"/>
        <w:gridCol w:w="1985"/>
        <w:gridCol w:w="1559"/>
        <w:gridCol w:w="1985"/>
      </w:tblGrid>
      <w:tr w:rsidR="006919A2" w:rsidRPr="00FF2655" w:rsidTr="0087272A">
        <w:trPr>
          <w:tblHeader/>
        </w:trPr>
        <w:tc>
          <w:tcPr>
            <w:tcW w:w="7934" w:type="dxa"/>
            <w:gridSpan w:val="5"/>
            <w:tcBorders>
              <w:top w:val="single" w:sz="12" w:space="0" w:color="auto"/>
              <w:bottom w:val="single" w:sz="6" w:space="0" w:color="auto"/>
            </w:tcBorders>
            <w:shd w:val="clear" w:color="auto" w:fill="auto"/>
          </w:tcPr>
          <w:p w:rsidR="006919A2" w:rsidRPr="00FF2655" w:rsidRDefault="006919A2" w:rsidP="006E45B5">
            <w:pPr>
              <w:pStyle w:val="TableHeading"/>
            </w:pPr>
            <w:r w:rsidRPr="00FF2655">
              <w:t xml:space="preserve">Definitions relating to </w:t>
            </w:r>
            <w:proofErr w:type="spellStart"/>
            <w:r w:rsidRPr="00FF2655">
              <w:t>HFC</w:t>
            </w:r>
            <w:proofErr w:type="spellEnd"/>
            <w:r w:rsidRPr="00FF2655">
              <w:t xml:space="preserve"> quota allocation periods</w:t>
            </w:r>
          </w:p>
        </w:tc>
      </w:tr>
      <w:tr w:rsidR="0087272A" w:rsidRPr="00FF2655" w:rsidTr="0087272A">
        <w:trPr>
          <w:tblHeader/>
        </w:trPr>
        <w:tc>
          <w:tcPr>
            <w:tcW w:w="714" w:type="dxa"/>
            <w:tcBorders>
              <w:top w:val="single" w:sz="6" w:space="0" w:color="auto"/>
              <w:bottom w:val="single" w:sz="12" w:space="0" w:color="auto"/>
            </w:tcBorders>
            <w:shd w:val="clear" w:color="auto" w:fill="auto"/>
          </w:tcPr>
          <w:p w:rsidR="0087272A" w:rsidRPr="00FF2655" w:rsidRDefault="0087272A" w:rsidP="006E45B5">
            <w:pPr>
              <w:pStyle w:val="TableHeading"/>
            </w:pPr>
            <w:r w:rsidRPr="00FF2655">
              <w:t>Item</w:t>
            </w:r>
          </w:p>
        </w:tc>
        <w:tc>
          <w:tcPr>
            <w:tcW w:w="1691" w:type="dxa"/>
            <w:tcBorders>
              <w:top w:val="single" w:sz="6" w:space="0" w:color="auto"/>
              <w:bottom w:val="single" w:sz="12" w:space="0" w:color="auto"/>
            </w:tcBorders>
            <w:shd w:val="clear" w:color="auto" w:fill="auto"/>
          </w:tcPr>
          <w:p w:rsidR="0087272A" w:rsidRPr="00FF2655" w:rsidRDefault="0087272A" w:rsidP="006E45B5">
            <w:pPr>
              <w:pStyle w:val="TableHeading"/>
            </w:pPr>
            <w:r w:rsidRPr="00FF2655">
              <w:t>Column 1</w:t>
            </w:r>
          </w:p>
          <w:p w:rsidR="0087272A" w:rsidRPr="00FF2655" w:rsidRDefault="0087272A" w:rsidP="006E45B5">
            <w:pPr>
              <w:pStyle w:val="TableHeading"/>
            </w:pPr>
            <w:proofErr w:type="spellStart"/>
            <w:r w:rsidRPr="00FF2655">
              <w:t>HFC</w:t>
            </w:r>
            <w:proofErr w:type="spellEnd"/>
            <w:r w:rsidRPr="00FF2655">
              <w:t xml:space="preserve"> quota allocation period</w:t>
            </w:r>
          </w:p>
        </w:tc>
        <w:tc>
          <w:tcPr>
            <w:tcW w:w="1985" w:type="dxa"/>
            <w:tcBorders>
              <w:top w:val="single" w:sz="6" w:space="0" w:color="auto"/>
              <w:bottom w:val="single" w:sz="12" w:space="0" w:color="auto"/>
            </w:tcBorders>
            <w:shd w:val="clear" w:color="auto" w:fill="auto"/>
          </w:tcPr>
          <w:p w:rsidR="0087272A" w:rsidRPr="00FF2655" w:rsidRDefault="0087272A" w:rsidP="006E45B5">
            <w:pPr>
              <w:pStyle w:val="TableHeading"/>
            </w:pPr>
            <w:r w:rsidRPr="00FF2655">
              <w:t>Column 2</w:t>
            </w:r>
          </w:p>
          <w:p w:rsidR="0087272A" w:rsidRPr="00FF2655" w:rsidRDefault="0087272A" w:rsidP="006E45B5">
            <w:pPr>
              <w:pStyle w:val="TableHeading"/>
            </w:pPr>
            <w:r w:rsidRPr="00FF2655">
              <w:t>Base period</w:t>
            </w:r>
          </w:p>
        </w:tc>
        <w:tc>
          <w:tcPr>
            <w:tcW w:w="1559" w:type="dxa"/>
            <w:tcBorders>
              <w:top w:val="single" w:sz="6" w:space="0" w:color="auto"/>
              <w:bottom w:val="single" w:sz="12" w:space="0" w:color="auto"/>
            </w:tcBorders>
            <w:shd w:val="clear" w:color="auto" w:fill="auto"/>
          </w:tcPr>
          <w:p w:rsidR="0087272A" w:rsidRPr="00FF2655" w:rsidRDefault="0087272A" w:rsidP="006E45B5">
            <w:pPr>
              <w:pStyle w:val="TableHeading"/>
            </w:pPr>
            <w:r w:rsidRPr="00FF2655">
              <w:t>Column 3</w:t>
            </w:r>
          </w:p>
          <w:p w:rsidR="0087272A" w:rsidRPr="00FF2655" w:rsidRDefault="0087272A" w:rsidP="006E45B5">
            <w:pPr>
              <w:pStyle w:val="TableHeading"/>
            </w:pPr>
            <w:r w:rsidRPr="00FF2655">
              <w:t>Grandfathered percentage</w:t>
            </w:r>
          </w:p>
        </w:tc>
        <w:tc>
          <w:tcPr>
            <w:tcW w:w="1985" w:type="dxa"/>
            <w:tcBorders>
              <w:top w:val="single" w:sz="6" w:space="0" w:color="auto"/>
              <w:bottom w:val="single" w:sz="12" w:space="0" w:color="auto"/>
            </w:tcBorders>
            <w:shd w:val="clear" w:color="auto" w:fill="auto"/>
          </w:tcPr>
          <w:p w:rsidR="0087272A" w:rsidRPr="00FF2655" w:rsidRDefault="0087272A" w:rsidP="006E45B5">
            <w:pPr>
              <w:pStyle w:val="TableHeading"/>
            </w:pPr>
            <w:r w:rsidRPr="00FF2655">
              <w:t>Column 4</w:t>
            </w:r>
          </w:p>
          <w:p w:rsidR="0087272A" w:rsidRPr="00FF2655" w:rsidRDefault="0087272A" w:rsidP="006E45B5">
            <w:pPr>
              <w:pStyle w:val="TableHeading"/>
            </w:pPr>
            <w:r w:rsidRPr="00FF2655">
              <w:t>Non</w:t>
            </w:r>
            <w:r w:rsidR="00FF2655">
              <w:noBreakHyphen/>
            </w:r>
            <w:r w:rsidRPr="00FF2655">
              <w:t>grandfathered percentage</w:t>
            </w:r>
          </w:p>
        </w:tc>
      </w:tr>
      <w:tr w:rsidR="0087272A" w:rsidRPr="00FF2655" w:rsidTr="0087272A">
        <w:tc>
          <w:tcPr>
            <w:tcW w:w="714" w:type="dxa"/>
            <w:tcBorders>
              <w:top w:val="single" w:sz="12" w:space="0" w:color="auto"/>
            </w:tcBorders>
            <w:shd w:val="clear" w:color="auto" w:fill="auto"/>
          </w:tcPr>
          <w:p w:rsidR="0087272A" w:rsidRPr="00FF2655" w:rsidRDefault="0087272A" w:rsidP="006E45B5">
            <w:pPr>
              <w:pStyle w:val="Tabletext"/>
            </w:pPr>
            <w:r w:rsidRPr="00FF2655">
              <w:t>1</w:t>
            </w:r>
          </w:p>
        </w:tc>
        <w:tc>
          <w:tcPr>
            <w:tcW w:w="1691" w:type="dxa"/>
            <w:tcBorders>
              <w:top w:val="single" w:sz="12" w:space="0" w:color="auto"/>
            </w:tcBorders>
            <w:shd w:val="clear" w:color="auto" w:fill="auto"/>
          </w:tcPr>
          <w:p w:rsidR="0087272A" w:rsidRPr="00FF2655" w:rsidRDefault="0087272A" w:rsidP="006E45B5">
            <w:pPr>
              <w:pStyle w:val="Tabletext"/>
            </w:pPr>
            <w:r w:rsidRPr="00FF2655">
              <w:t xml:space="preserve">the first </w:t>
            </w:r>
            <w:proofErr w:type="spellStart"/>
            <w:r w:rsidRPr="00FF2655">
              <w:t>HFC</w:t>
            </w:r>
            <w:proofErr w:type="spellEnd"/>
            <w:r w:rsidRPr="00FF2655">
              <w:t xml:space="preserve"> quota allocation period</w:t>
            </w:r>
          </w:p>
        </w:tc>
        <w:tc>
          <w:tcPr>
            <w:tcW w:w="1985" w:type="dxa"/>
            <w:tcBorders>
              <w:top w:val="single" w:sz="12" w:space="0" w:color="auto"/>
            </w:tcBorders>
            <w:shd w:val="clear" w:color="auto" w:fill="auto"/>
          </w:tcPr>
          <w:p w:rsidR="0087272A" w:rsidRPr="00FF2655" w:rsidRDefault="0087272A" w:rsidP="008302B3">
            <w:pPr>
              <w:pStyle w:val="Tabletext"/>
            </w:pPr>
            <w:r w:rsidRPr="00FF2655">
              <w:t>the 6 years starting on 1</w:t>
            </w:r>
            <w:r w:rsidR="00FF2655" w:rsidRPr="00FF2655">
              <w:t> </w:t>
            </w:r>
            <w:r w:rsidRPr="00FF2655">
              <w:t>January 2009</w:t>
            </w:r>
          </w:p>
        </w:tc>
        <w:tc>
          <w:tcPr>
            <w:tcW w:w="1559" w:type="dxa"/>
            <w:tcBorders>
              <w:top w:val="single" w:sz="12" w:space="0" w:color="auto"/>
            </w:tcBorders>
            <w:shd w:val="clear" w:color="auto" w:fill="auto"/>
          </w:tcPr>
          <w:p w:rsidR="0087272A" w:rsidRPr="00FF2655" w:rsidRDefault="0087272A" w:rsidP="006E45B5">
            <w:pPr>
              <w:pStyle w:val="Tabletext"/>
            </w:pPr>
            <w:r w:rsidRPr="00FF2655">
              <w:t>90%</w:t>
            </w:r>
          </w:p>
        </w:tc>
        <w:tc>
          <w:tcPr>
            <w:tcW w:w="1985" w:type="dxa"/>
            <w:tcBorders>
              <w:top w:val="single" w:sz="12" w:space="0" w:color="auto"/>
            </w:tcBorders>
            <w:shd w:val="clear" w:color="auto" w:fill="auto"/>
          </w:tcPr>
          <w:p w:rsidR="0087272A" w:rsidRPr="00FF2655" w:rsidRDefault="0087272A" w:rsidP="006E45B5">
            <w:pPr>
              <w:pStyle w:val="Tabletext"/>
            </w:pPr>
            <w:r w:rsidRPr="00FF2655">
              <w:t>10%</w:t>
            </w:r>
          </w:p>
        </w:tc>
      </w:tr>
      <w:tr w:rsidR="0087272A" w:rsidRPr="00FF2655" w:rsidTr="0087272A">
        <w:tc>
          <w:tcPr>
            <w:tcW w:w="714" w:type="dxa"/>
            <w:tcBorders>
              <w:bottom w:val="single" w:sz="2" w:space="0" w:color="auto"/>
            </w:tcBorders>
            <w:shd w:val="clear" w:color="auto" w:fill="auto"/>
          </w:tcPr>
          <w:p w:rsidR="0087272A" w:rsidRPr="00FF2655" w:rsidRDefault="0087272A" w:rsidP="006E45B5">
            <w:pPr>
              <w:pStyle w:val="Tabletext"/>
            </w:pPr>
            <w:r w:rsidRPr="00FF2655">
              <w:t>2</w:t>
            </w:r>
          </w:p>
        </w:tc>
        <w:tc>
          <w:tcPr>
            <w:tcW w:w="1691" w:type="dxa"/>
            <w:tcBorders>
              <w:bottom w:val="single" w:sz="2" w:space="0" w:color="auto"/>
            </w:tcBorders>
            <w:shd w:val="clear" w:color="auto" w:fill="auto"/>
          </w:tcPr>
          <w:p w:rsidR="0087272A" w:rsidRPr="00FF2655" w:rsidRDefault="0087272A" w:rsidP="006E45B5">
            <w:pPr>
              <w:pStyle w:val="Tabletext"/>
            </w:pPr>
            <w:r w:rsidRPr="00FF2655">
              <w:t xml:space="preserve">the second </w:t>
            </w:r>
            <w:proofErr w:type="spellStart"/>
            <w:r w:rsidRPr="00FF2655">
              <w:t>HFC</w:t>
            </w:r>
            <w:proofErr w:type="spellEnd"/>
            <w:r w:rsidRPr="00FF2655">
              <w:t xml:space="preserve"> quota allocation period</w:t>
            </w:r>
          </w:p>
        </w:tc>
        <w:tc>
          <w:tcPr>
            <w:tcW w:w="1985" w:type="dxa"/>
            <w:tcBorders>
              <w:bottom w:val="single" w:sz="2" w:space="0" w:color="auto"/>
            </w:tcBorders>
            <w:shd w:val="clear" w:color="auto" w:fill="auto"/>
          </w:tcPr>
          <w:p w:rsidR="0087272A" w:rsidRPr="00FF2655" w:rsidRDefault="0087272A" w:rsidP="008302B3">
            <w:pPr>
              <w:pStyle w:val="Tabletext"/>
            </w:pPr>
            <w:r w:rsidRPr="00FF2655">
              <w:t>the 12 months starting on 1</w:t>
            </w:r>
            <w:r w:rsidR="00FF2655" w:rsidRPr="00FF2655">
              <w:t> </w:t>
            </w:r>
            <w:r w:rsidRPr="00FF2655">
              <w:t>January 2018</w:t>
            </w:r>
          </w:p>
        </w:tc>
        <w:tc>
          <w:tcPr>
            <w:tcW w:w="1559" w:type="dxa"/>
            <w:tcBorders>
              <w:bottom w:val="single" w:sz="2" w:space="0" w:color="auto"/>
            </w:tcBorders>
            <w:shd w:val="clear" w:color="auto" w:fill="auto"/>
          </w:tcPr>
          <w:p w:rsidR="0087272A" w:rsidRPr="00FF2655" w:rsidRDefault="0087272A" w:rsidP="0087272A">
            <w:pPr>
              <w:pStyle w:val="Tabletext"/>
            </w:pPr>
            <w:r w:rsidRPr="00FF2655">
              <w:t>95%</w:t>
            </w:r>
          </w:p>
        </w:tc>
        <w:tc>
          <w:tcPr>
            <w:tcW w:w="1985" w:type="dxa"/>
            <w:tcBorders>
              <w:bottom w:val="single" w:sz="2" w:space="0" w:color="auto"/>
            </w:tcBorders>
            <w:shd w:val="clear" w:color="auto" w:fill="auto"/>
          </w:tcPr>
          <w:p w:rsidR="0087272A" w:rsidRPr="00FF2655" w:rsidRDefault="0087272A" w:rsidP="006E45B5">
            <w:pPr>
              <w:pStyle w:val="Tabletext"/>
            </w:pPr>
            <w:r w:rsidRPr="00FF2655">
              <w:t>5%</w:t>
            </w:r>
          </w:p>
        </w:tc>
      </w:tr>
      <w:tr w:rsidR="0087272A" w:rsidRPr="00FF2655" w:rsidTr="0087272A">
        <w:tc>
          <w:tcPr>
            <w:tcW w:w="714" w:type="dxa"/>
            <w:tcBorders>
              <w:top w:val="single" w:sz="2" w:space="0" w:color="auto"/>
              <w:bottom w:val="single" w:sz="12" w:space="0" w:color="auto"/>
            </w:tcBorders>
            <w:shd w:val="clear" w:color="auto" w:fill="auto"/>
          </w:tcPr>
          <w:p w:rsidR="0087272A" w:rsidRPr="00FF2655" w:rsidRDefault="0087272A" w:rsidP="006E45B5">
            <w:pPr>
              <w:pStyle w:val="Tabletext"/>
            </w:pPr>
            <w:r w:rsidRPr="00FF2655">
              <w:t>3</w:t>
            </w:r>
          </w:p>
        </w:tc>
        <w:tc>
          <w:tcPr>
            <w:tcW w:w="1691" w:type="dxa"/>
            <w:tcBorders>
              <w:top w:val="single" w:sz="2" w:space="0" w:color="auto"/>
              <w:bottom w:val="single" w:sz="12" w:space="0" w:color="auto"/>
            </w:tcBorders>
            <w:shd w:val="clear" w:color="auto" w:fill="auto"/>
          </w:tcPr>
          <w:p w:rsidR="0087272A" w:rsidRPr="00FF2655" w:rsidRDefault="0087272A" w:rsidP="006E45B5">
            <w:pPr>
              <w:pStyle w:val="Tabletext"/>
            </w:pPr>
            <w:r w:rsidRPr="00FF2655">
              <w:t xml:space="preserve">any other </w:t>
            </w:r>
            <w:proofErr w:type="spellStart"/>
            <w:r w:rsidRPr="00FF2655">
              <w:t>HFC</w:t>
            </w:r>
            <w:proofErr w:type="spellEnd"/>
            <w:r w:rsidRPr="00FF2655">
              <w:t xml:space="preserve"> quota allocation period</w:t>
            </w:r>
          </w:p>
        </w:tc>
        <w:tc>
          <w:tcPr>
            <w:tcW w:w="1985" w:type="dxa"/>
            <w:tcBorders>
              <w:top w:val="single" w:sz="2" w:space="0" w:color="auto"/>
              <w:bottom w:val="single" w:sz="12" w:space="0" w:color="auto"/>
            </w:tcBorders>
            <w:shd w:val="clear" w:color="auto" w:fill="auto"/>
          </w:tcPr>
          <w:p w:rsidR="0087272A" w:rsidRPr="00FF2655" w:rsidRDefault="0087272A" w:rsidP="008302B3">
            <w:pPr>
              <w:pStyle w:val="Tabletext"/>
            </w:pPr>
            <w:r w:rsidRPr="00FF2655">
              <w:t xml:space="preserve">the 2 years starting 3 years before the start of the </w:t>
            </w:r>
            <w:proofErr w:type="spellStart"/>
            <w:r w:rsidRPr="00FF2655">
              <w:t>HFC</w:t>
            </w:r>
            <w:proofErr w:type="spellEnd"/>
            <w:r w:rsidRPr="00FF2655">
              <w:t xml:space="preserve"> quota allocation period</w:t>
            </w:r>
          </w:p>
        </w:tc>
        <w:tc>
          <w:tcPr>
            <w:tcW w:w="1559" w:type="dxa"/>
            <w:tcBorders>
              <w:top w:val="single" w:sz="2" w:space="0" w:color="auto"/>
              <w:bottom w:val="single" w:sz="12" w:space="0" w:color="auto"/>
            </w:tcBorders>
            <w:shd w:val="clear" w:color="auto" w:fill="auto"/>
          </w:tcPr>
          <w:p w:rsidR="0087272A" w:rsidRPr="00FF2655" w:rsidRDefault="0087272A" w:rsidP="0087272A">
            <w:pPr>
              <w:pStyle w:val="Tabletext"/>
            </w:pPr>
            <w:r w:rsidRPr="00FF2655">
              <w:t>95%</w:t>
            </w:r>
          </w:p>
        </w:tc>
        <w:tc>
          <w:tcPr>
            <w:tcW w:w="1985" w:type="dxa"/>
            <w:tcBorders>
              <w:top w:val="single" w:sz="2" w:space="0" w:color="auto"/>
              <w:bottom w:val="single" w:sz="12" w:space="0" w:color="auto"/>
            </w:tcBorders>
            <w:shd w:val="clear" w:color="auto" w:fill="auto"/>
          </w:tcPr>
          <w:p w:rsidR="0087272A" w:rsidRPr="00FF2655" w:rsidRDefault="0087272A" w:rsidP="006E45B5">
            <w:pPr>
              <w:pStyle w:val="Tabletext"/>
            </w:pPr>
            <w:r w:rsidRPr="00FF2655">
              <w:t>5%</w:t>
            </w:r>
          </w:p>
        </w:tc>
      </w:tr>
    </w:tbl>
    <w:p w:rsidR="006919A2" w:rsidRPr="00FF2655" w:rsidRDefault="00740597" w:rsidP="006919A2">
      <w:pPr>
        <w:pStyle w:val="ActHead5"/>
      </w:pPr>
      <w:bookmarkStart w:id="27" w:name="_Toc487631708"/>
      <w:r w:rsidRPr="00FF2655">
        <w:rPr>
          <w:rStyle w:val="CharSectno"/>
        </w:rPr>
        <w:t>47</w:t>
      </w:r>
      <w:r w:rsidR="006919A2" w:rsidRPr="00FF2655">
        <w:t xml:space="preserve">  Size of </w:t>
      </w:r>
      <w:proofErr w:type="spellStart"/>
      <w:r w:rsidR="006919A2" w:rsidRPr="00FF2655">
        <w:t>HFC</w:t>
      </w:r>
      <w:proofErr w:type="spellEnd"/>
      <w:r w:rsidR="006919A2" w:rsidRPr="00FF2655">
        <w:t xml:space="preserve"> quotas</w:t>
      </w:r>
      <w:bookmarkEnd w:id="27"/>
    </w:p>
    <w:p w:rsidR="006919A2" w:rsidRPr="00FF2655" w:rsidRDefault="006919A2" w:rsidP="006919A2">
      <w:pPr>
        <w:pStyle w:val="subsection"/>
      </w:pPr>
      <w:r w:rsidRPr="00FF2655">
        <w:tab/>
      </w:r>
      <w:r w:rsidRPr="00FF2655">
        <w:tab/>
        <w:t xml:space="preserve">The size of an </w:t>
      </w:r>
      <w:proofErr w:type="spellStart"/>
      <w:r w:rsidRPr="00FF2655">
        <w:t>HFC</w:t>
      </w:r>
      <w:proofErr w:type="spellEnd"/>
      <w:r w:rsidRPr="00FF2655">
        <w:t xml:space="preserve"> quota allocated to an </w:t>
      </w:r>
      <w:proofErr w:type="spellStart"/>
      <w:r w:rsidRPr="00FF2655">
        <w:t>SGG</w:t>
      </w:r>
      <w:proofErr w:type="spellEnd"/>
      <w:r w:rsidRPr="00FF2655">
        <w:t xml:space="preserve"> licensee for a calendar year is the total of any amounts of grandfathered quota and non</w:t>
      </w:r>
      <w:r w:rsidR="00FF2655">
        <w:noBreakHyphen/>
      </w:r>
      <w:r w:rsidRPr="00FF2655">
        <w:t>grandfathered quota to which the person is entitled for the year</w:t>
      </w:r>
      <w:r w:rsidR="00740597" w:rsidRPr="00FF2655">
        <w:t>.</w:t>
      </w:r>
    </w:p>
    <w:p w:rsidR="006919A2" w:rsidRPr="00FF2655" w:rsidRDefault="00740597" w:rsidP="006919A2">
      <w:pPr>
        <w:pStyle w:val="ActHead5"/>
      </w:pPr>
      <w:bookmarkStart w:id="28" w:name="_Toc487631709"/>
      <w:r w:rsidRPr="00FF2655">
        <w:rPr>
          <w:rStyle w:val="CharSectno"/>
        </w:rPr>
        <w:t>48</w:t>
      </w:r>
      <w:r w:rsidR="006919A2" w:rsidRPr="00FF2655">
        <w:t xml:space="preserve">  </w:t>
      </w:r>
      <w:r w:rsidR="00A73B06" w:rsidRPr="00FF2655">
        <w:t>G</w:t>
      </w:r>
      <w:r w:rsidR="006919A2" w:rsidRPr="00FF2655">
        <w:t>randfathered quota</w:t>
      </w:r>
      <w:r w:rsidR="00A65677" w:rsidRPr="00FF2655">
        <w:t xml:space="preserve">—first </w:t>
      </w:r>
      <w:proofErr w:type="spellStart"/>
      <w:r w:rsidR="00A65677" w:rsidRPr="00FF2655">
        <w:t>HFC</w:t>
      </w:r>
      <w:proofErr w:type="spellEnd"/>
      <w:r w:rsidR="00A65677" w:rsidRPr="00FF2655">
        <w:t xml:space="preserve"> quota allocation period</w:t>
      </w:r>
      <w:bookmarkEnd w:id="28"/>
    </w:p>
    <w:p w:rsidR="006919A2" w:rsidRPr="00FF2655" w:rsidRDefault="006919A2" w:rsidP="006919A2">
      <w:pPr>
        <w:pStyle w:val="SubsectionHead"/>
      </w:pPr>
      <w:r w:rsidRPr="00FF2655">
        <w:t>Entitlement</w:t>
      </w:r>
    </w:p>
    <w:p w:rsidR="006919A2" w:rsidRPr="00FF2655" w:rsidRDefault="006919A2" w:rsidP="006919A2">
      <w:pPr>
        <w:pStyle w:val="subsection"/>
      </w:pPr>
      <w:r w:rsidRPr="00FF2655">
        <w:tab/>
        <w:t>(1)</w:t>
      </w:r>
      <w:r w:rsidRPr="00FF2655">
        <w:tab/>
        <w:t xml:space="preserve">A person is entitled to an amount of grandfathered quota for </w:t>
      </w:r>
      <w:r w:rsidR="004310C5" w:rsidRPr="00FF2655">
        <w:t>each of 2018 and 2019</w:t>
      </w:r>
      <w:r w:rsidRPr="00FF2655">
        <w:t xml:space="preserve"> if:</w:t>
      </w:r>
    </w:p>
    <w:p w:rsidR="006919A2" w:rsidRPr="00FF2655" w:rsidRDefault="006919A2" w:rsidP="006919A2">
      <w:pPr>
        <w:pStyle w:val="paragraph"/>
      </w:pPr>
      <w:r w:rsidRPr="00FF2655">
        <w:tab/>
        <w:t>(a)</w:t>
      </w:r>
      <w:r w:rsidRPr="00FF2655">
        <w:tab/>
        <w:t>the person applies in accordance with regulation</w:t>
      </w:r>
      <w:r w:rsidR="00FF2655" w:rsidRPr="00FF2655">
        <w:t> </w:t>
      </w:r>
      <w:r w:rsidR="00740597" w:rsidRPr="00FF2655">
        <w:t>44</w:t>
      </w:r>
      <w:r w:rsidRPr="00FF2655">
        <w:t xml:space="preserve"> for </w:t>
      </w:r>
      <w:proofErr w:type="spellStart"/>
      <w:r w:rsidR="00A73B06" w:rsidRPr="00FF2655">
        <w:t>HFC</w:t>
      </w:r>
      <w:proofErr w:type="spellEnd"/>
      <w:r w:rsidR="00A73B06" w:rsidRPr="00FF2655">
        <w:t xml:space="preserve"> </w:t>
      </w:r>
      <w:r w:rsidRPr="00FF2655">
        <w:t>quota</w:t>
      </w:r>
      <w:r w:rsidR="001F4DBC" w:rsidRPr="00FF2655">
        <w:t>s</w:t>
      </w:r>
      <w:r w:rsidRPr="00FF2655">
        <w:t xml:space="preserve"> for the years; and</w:t>
      </w:r>
    </w:p>
    <w:p w:rsidR="006919A2" w:rsidRPr="00FF2655" w:rsidRDefault="006919A2" w:rsidP="006919A2">
      <w:pPr>
        <w:pStyle w:val="paragraph"/>
      </w:pPr>
      <w:r w:rsidRPr="00FF2655">
        <w:tab/>
        <w:t>(b)</w:t>
      </w:r>
      <w:r w:rsidRPr="00FF2655">
        <w:tab/>
        <w:t xml:space="preserve">the person holds an </w:t>
      </w:r>
      <w:proofErr w:type="spellStart"/>
      <w:r w:rsidRPr="00FF2655">
        <w:t>SGG</w:t>
      </w:r>
      <w:proofErr w:type="spellEnd"/>
      <w:r w:rsidRPr="00FF2655">
        <w:t xml:space="preserve"> licence that covers the whole of the </w:t>
      </w:r>
      <w:r w:rsidR="004310C5" w:rsidRPr="00FF2655">
        <w:t xml:space="preserve">first </w:t>
      </w:r>
      <w:proofErr w:type="spellStart"/>
      <w:r w:rsidR="004310C5" w:rsidRPr="00FF2655">
        <w:t>HFC</w:t>
      </w:r>
      <w:proofErr w:type="spellEnd"/>
      <w:r w:rsidR="004310C5" w:rsidRPr="00FF2655">
        <w:t xml:space="preserve"> quota allocation period</w:t>
      </w:r>
      <w:r w:rsidRPr="00FF2655">
        <w:t>; and</w:t>
      </w:r>
    </w:p>
    <w:p w:rsidR="00A65677" w:rsidRPr="00FF2655" w:rsidRDefault="00A65677" w:rsidP="006919A2">
      <w:pPr>
        <w:pStyle w:val="paragraph"/>
      </w:pPr>
      <w:r w:rsidRPr="00FF2655">
        <w:tab/>
        <w:t>(c)</w:t>
      </w:r>
      <w:r w:rsidRPr="00FF2655">
        <w:tab/>
        <w:t xml:space="preserve">the person engaged in a licensed regulated </w:t>
      </w:r>
      <w:proofErr w:type="spellStart"/>
      <w:r w:rsidRPr="00FF2655">
        <w:t>HCFC</w:t>
      </w:r>
      <w:proofErr w:type="spellEnd"/>
      <w:r w:rsidRPr="00FF2655">
        <w:t xml:space="preserve"> activity or licensed regulated </w:t>
      </w:r>
      <w:proofErr w:type="spellStart"/>
      <w:r w:rsidRPr="00FF2655">
        <w:t>HFC</w:t>
      </w:r>
      <w:proofErr w:type="spellEnd"/>
      <w:r w:rsidRPr="00FF2655">
        <w:t xml:space="preserve"> activity at any time during </w:t>
      </w:r>
      <w:r w:rsidR="004310C5" w:rsidRPr="00FF2655">
        <w:t>2009 to 2014</w:t>
      </w:r>
      <w:r w:rsidR="00740597" w:rsidRPr="00FF2655">
        <w:t>.</w:t>
      </w:r>
    </w:p>
    <w:p w:rsidR="003B483D" w:rsidRPr="00FF2655" w:rsidRDefault="003B483D" w:rsidP="006919A2">
      <w:pPr>
        <w:pStyle w:val="SubsectionHead"/>
      </w:pPr>
      <w:r w:rsidRPr="00FF2655">
        <w:t>Amount</w:t>
      </w:r>
    </w:p>
    <w:p w:rsidR="003B483D" w:rsidRPr="00FF2655" w:rsidRDefault="003B483D" w:rsidP="003B483D">
      <w:pPr>
        <w:pStyle w:val="subsection"/>
      </w:pPr>
      <w:r w:rsidRPr="00FF2655">
        <w:tab/>
        <w:t>(2)</w:t>
      </w:r>
      <w:r w:rsidRPr="00FF2655">
        <w:tab/>
        <w:t xml:space="preserve">The amount of grandfathered quota to which a person is entitled for </w:t>
      </w:r>
      <w:r w:rsidR="004310C5" w:rsidRPr="00FF2655">
        <w:t>2018 or 2019</w:t>
      </w:r>
      <w:r w:rsidRPr="00FF2655">
        <w:t xml:space="preserve"> (the </w:t>
      </w:r>
      <w:r w:rsidRPr="00FF2655">
        <w:rPr>
          <w:b/>
          <w:i/>
        </w:rPr>
        <w:t>allocation year</w:t>
      </w:r>
      <w:r w:rsidRPr="00FF2655">
        <w:t>) is the amount worked out using the following formula:</w:t>
      </w:r>
    </w:p>
    <w:bookmarkStart w:id="29" w:name="BKCheck15B_4"/>
    <w:bookmarkEnd w:id="29"/>
    <w:p w:rsidR="003B483D" w:rsidRPr="00FF2655" w:rsidRDefault="007653C4" w:rsidP="003B483D">
      <w:pPr>
        <w:pStyle w:val="subsection2"/>
      </w:pPr>
      <w:r w:rsidRPr="00FF2655">
        <w:rPr>
          <w:position w:val="-32"/>
        </w:rPr>
        <w:object w:dxaOrig="6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38.05pt" o:ole="">
            <v:imagedata r:id="rId21" o:title=""/>
          </v:shape>
          <o:OLEObject Type="Embed" ProgID="Equation.DSMT4" ShapeID="_x0000_i1025" DrawAspect="Content" ObjectID="_1562751188" r:id="rId22"/>
        </w:object>
      </w:r>
    </w:p>
    <w:p w:rsidR="003B483D" w:rsidRPr="00FF2655" w:rsidRDefault="003B483D" w:rsidP="003B483D">
      <w:pPr>
        <w:pStyle w:val="subsection2"/>
      </w:pPr>
      <w:r w:rsidRPr="00FF2655">
        <w:t>where:</w:t>
      </w:r>
    </w:p>
    <w:p w:rsidR="003B483D" w:rsidRPr="00FF2655" w:rsidRDefault="003B483D" w:rsidP="003B483D">
      <w:pPr>
        <w:pStyle w:val="Definition"/>
      </w:pPr>
      <w:r w:rsidRPr="00FF2655">
        <w:rPr>
          <w:b/>
          <w:i/>
        </w:rPr>
        <w:t>amount of licensed activities</w:t>
      </w:r>
      <w:r w:rsidRPr="00FF2655">
        <w:t xml:space="preserve"> of </w:t>
      </w:r>
      <w:r w:rsidR="007A174D" w:rsidRPr="00FF2655">
        <w:t>a</w:t>
      </w:r>
      <w:r w:rsidRPr="00FF2655">
        <w:t xml:space="preserve"> person means the sum of:</w:t>
      </w:r>
    </w:p>
    <w:p w:rsidR="0035539A" w:rsidRPr="00FF2655" w:rsidRDefault="0035539A" w:rsidP="0035539A">
      <w:pPr>
        <w:pStyle w:val="paragraph"/>
      </w:pPr>
      <w:r w:rsidRPr="00FF2655">
        <w:tab/>
        <w:t>(a)</w:t>
      </w:r>
      <w:r w:rsidRPr="00FF2655">
        <w:tab/>
        <w:t>75% of the total quantity (including nil) of HCFCs, expressed in CO</w:t>
      </w:r>
      <w:r w:rsidRPr="00FF2655">
        <w:rPr>
          <w:vertAlign w:val="subscript"/>
        </w:rPr>
        <w:t>2</w:t>
      </w:r>
      <w:r w:rsidRPr="00FF2655">
        <w:t>e megatonnes, involved in licensed regulated HCFC activities engaged in by the person during 2009 to 2014; and</w:t>
      </w:r>
    </w:p>
    <w:p w:rsidR="003B483D" w:rsidRPr="00FF2655" w:rsidRDefault="0035539A" w:rsidP="003B483D">
      <w:pPr>
        <w:pStyle w:val="paragraph"/>
      </w:pPr>
      <w:r w:rsidRPr="00FF2655">
        <w:tab/>
        <w:t>(b</w:t>
      </w:r>
      <w:r w:rsidR="003B483D" w:rsidRPr="00FF2655">
        <w:t>)</w:t>
      </w:r>
      <w:r w:rsidR="003B483D" w:rsidRPr="00FF2655">
        <w:tab/>
        <w:t>the total quantity (including nil) of HFCs, expressed in CO</w:t>
      </w:r>
      <w:r w:rsidR="003B483D" w:rsidRPr="00FF2655">
        <w:rPr>
          <w:vertAlign w:val="subscript"/>
        </w:rPr>
        <w:t>2</w:t>
      </w:r>
      <w:r w:rsidR="003B483D" w:rsidRPr="00FF2655">
        <w:t xml:space="preserve">e megatonnes, involved in licensed regulated HFC activities engaged in by the person during </w:t>
      </w:r>
      <w:r w:rsidR="004706E9" w:rsidRPr="00FF2655">
        <w:t>2009 to 2014</w:t>
      </w:r>
      <w:r w:rsidRPr="00FF2655">
        <w:t>.</w:t>
      </w:r>
    </w:p>
    <w:p w:rsidR="003B483D" w:rsidRPr="00FF2655" w:rsidRDefault="003B483D" w:rsidP="003B483D">
      <w:pPr>
        <w:pStyle w:val="Definition"/>
      </w:pPr>
      <w:r w:rsidRPr="00FF2655">
        <w:rPr>
          <w:b/>
          <w:i/>
        </w:rPr>
        <w:t>total amount of licensed activities</w:t>
      </w:r>
      <w:r w:rsidRPr="00FF2655">
        <w:t xml:space="preserve"> means the sum of the amounts of licensed activities of each person who is entitled to grandfathered quota for the allocation year</w:t>
      </w:r>
      <w:r w:rsidR="00740597" w:rsidRPr="00FF2655">
        <w:t>.</w:t>
      </w:r>
    </w:p>
    <w:p w:rsidR="007653C4" w:rsidRPr="00FF2655" w:rsidRDefault="007653C4" w:rsidP="007653C4">
      <w:pPr>
        <w:pStyle w:val="SubsectionHead"/>
      </w:pPr>
      <w:r w:rsidRPr="00FF2655">
        <w:t>Importations of HCFCs in excess of HCFC quota disregarded</w:t>
      </w:r>
    </w:p>
    <w:p w:rsidR="003357FA" w:rsidRPr="00FF2655" w:rsidRDefault="003357FA" w:rsidP="00A65677">
      <w:pPr>
        <w:pStyle w:val="subsection"/>
      </w:pPr>
      <w:r w:rsidRPr="00FF2655">
        <w:tab/>
        <w:t>(</w:t>
      </w:r>
      <w:r w:rsidR="0035539A" w:rsidRPr="00FF2655">
        <w:t>3</w:t>
      </w:r>
      <w:r w:rsidRPr="00FF2655">
        <w:t>)</w:t>
      </w:r>
      <w:r w:rsidRPr="00FF2655">
        <w:tab/>
      </w:r>
      <w:r w:rsidR="00FF2655" w:rsidRPr="00FF2655">
        <w:t>Subsection (</w:t>
      </w:r>
      <w:r w:rsidR="0035539A" w:rsidRPr="00FF2655">
        <w:t>4</w:t>
      </w:r>
      <w:r w:rsidRPr="00FF2655">
        <w:t>) applies if:</w:t>
      </w:r>
    </w:p>
    <w:p w:rsidR="003357FA" w:rsidRPr="00FF2655" w:rsidRDefault="003357FA" w:rsidP="003357FA">
      <w:pPr>
        <w:pStyle w:val="paragraph"/>
      </w:pPr>
      <w:r w:rsidRPr="00FF2655">
        <w:tab/>
        <w:t>(a)</w:t>
      </w:r>
      <w:r w:rsidRPr="00FF2655">
        <w:tab/>
        <w:t xml:space="preserve">the total quantity (the </w:t>
      </w:r>
      <w:r w:rsidRPr="00FF2655">
        <w:rPr>
          <w:b/>
          <w:i/>
        </w:rPr>
        <w:t>year</w:t>
      </w:r>
      <w:r w:rsidR="006360F9" w:rsidRPr="00FF2655">
        <w:rPr>
          <w:b/>
          <w:i/>
        </w:rPr>
        <w:t>’</w:t>
      </w:r>
      <w:r w:rsidRPr="00FF2655">
        <w:rPr>
          <w:b/>
          <w:i/>
        </w:rPr>
        <w:t>s total</w:t>
      </w:r>
      <w:r w:rsidRPr="00FF2655">
        <w:t>) of HCFCs, expressed in ODP tonnes, involved in licenced regulated HCFC activities engaged in by a person during a calendar year in a quota period (within the meaning of section</w:t>
      </w:r>
      <w:r w:rsidR="00FF2655" w:rsidRPr="00FF2655">
        <w:t> </w:t>
      </w:r>
      <w:r w:rsidRPr="00FF2655">
        <w:t>23A of the Act); exceeds</w:t>
      </w:r>
    </w:p>
    <w:p w:rsidR="003357FA" w:rsidRPr="00FF2655" w:rsidRDefault="003357FA" w:rsidP="003357FA">
      <w:pPr>
        <w:pStyle w:val="paragraph"/>
      </w:pPr>
      <w:r w:rsidRPr="00FF2655">
        <w:tab/>
        <w:t>(b)</w:t>
      </w:r>
      <w:r w:rsidRPr="00FF2655">
        <w:tab/>
        <w:t>half of the HCFC quota allocated to the person for the quota period.</w:t>
      </w:r>
    </w:p>
    <w:p w:rsidR="00A65677" w:rsidRPr="00FF2655" w:rsidRDefault="0035539A" w:rsidP="003357FA">
      <w:pPr>
        <w:pStyle w:val="subsection"/>
      </w:pPr>
      <w:r w:rsidRPr="00FF2655">
        <w:tab/>
        <w:t>(4</w:t>
      </w:r>
      <w:r w:rsidR="003357FA" w:rsidRPr="00FF2655">
        <w:t>)</w:t>
      </w:r>
      <w:r w:rsidR="003357FA" w:rsidRPr="00FF2655">
        <w:tab/>
      </w:r>
      <w:r w:rsidR="00A65677" w:rsidRPr="00FF2655">
        <w:t xml:space="preserve">For the purposes of </w:t>
      </w:r>
      <w:r w:rsidR="00FF2655" w:rsidRPr="00FF2655">
        <w:t>paragraph (</w:t>
      </w:r>
      <w:r w:rsidRPr="00FF2655">
        <w:t>a</w:t>
      </w:r>
      <w:r w:rsidR="00A65677" w:rsidRPr="00FF2655">
        <w:t xml:space="preserve">) of the definition of </w:t>
      </w:r>
      <w:r w:rsidR="00A65677" w:rsidRPr="00FF2655">
        <w:rPr>
          <w:b/>
          <w:i/>
        </w:rPr>
        <w:t>amount of licensed activities</w:t>
      </w:r>
      <w:r w:rsidR="00A65677" w:rsidRPr="00FF2655">
        <w:t xml:space="preserve"> in subregulation</w:t>
      </w:r>
      <w:r w:rsidR="00FF2655" w:rsidRPr="00FF2655">
        <w:t> </w:t>
      </w:r>
      <w:r w:rsidR="00A65677" w:rsidRPr="00FF2655">
        <w:t xml:space="preserve">(2), the quantity of HCFCs, expressed in ODP tonnes, involved in a particular licensed regulated HCFC activity engaged in by </w:t>
      </w:r>
      <w:r w:rsidR="003357FA" w:rsidRPr="00FF2655">
        <w:t>the</w:t>
      </w:r>
      <w:r w:rsidR="00A65677" w:rsidRPr="00FF2655">
        <w:t xml:space="preserve"> person during </w:t>
      </w:r>
      <w:r w:rsidR="003357FA" w:rsidRPr="00FF2655">
        <w:t>the year</w:t>
      </w:r>
      <w:r w:rsidR="00A65677" w:rsidRPr="00FF2655">
        <w:t xml:space="preserve"> is taken to be the amount worked out using the following formula</w:t>
      </w:r>
      <w:r w:rsidR="003357FA" w:rsidRPr="00FF2655">
        <w:t>:</w:t>
      </w:r>
    </w:p>
    <w:bookmarkStart w:id="30" w:name="BKCheck15B_5"/>
    <w:bookmarkEnd w:id="30"/>
    <w:p w:rsidR="00A65677" w:rsidRPr="00FF2655" w:rsidRDefault="008E2F40" w:rsidP="00A65677">
      <w:pPr>
        <w:pStyle w:val="subsection2"/>
      </w:pPr>
      <w:r w:rsidRPr="00FF2655">
        <w:rPr>
          <w:position w:val="-36"/>
        </w:rPr>
        <w:object w:dxaOrig="5160" w:dyaOrig="880">
          <v:shape id="_x0000_i1026" type="#_x0000_t75" style="width:257.45pt;height:44.15pt" o:ole="">
            <v:imagedata r:id="rId23" o:title=""/>
          </v:shape>
          <o:OLEObject Type="Embed" ProgID="Equation.DSMT4" ShapeID="_x0000_i1026" DrawAspect="Content" ObjectID="_1562751189" r:id="rId24"/>
        </w:object>
      </w:r>
    </w:p>
    <w:p w:rsidR="0035539A" w:rsidRPr="00FF2655" w:rsidRDefault="0035539A" w:rsidP="0035539A">
      <w:pPr>
        <w:pStyle w:val="SubsectionHead"/>
      </w:pPr>
      <w:r w:rsidRPr="00FF2655">
        <w:t>Exports of HFCs disregarded</w:t>
      </w:r>
    </w:p>
    <w:p w:rsidR="0035539A" w:rsidRPr="00FF2655" w:rsidRDefault="0035539A" w:rsidP="0035539A">
      <w:pPr>
        <w:pStyle w:val="subsection"/>
      </w:pPr>
      <w:r w:rsidRPr="00FF2655">
        <w:tab/>
        <w:t>(</w:t>
      </w:r>
      <w:r w:rsidR="00092852" w:rsidRPr="00FF2655">
        <w:t>5</w:t>
      </w:r>
      <w:r w:rsidRPr="00FF2655">
        <w:t>)</w:t>
      </w:r>
      <w:r w:rsidRPr="00FF2655">
        <w:tab/>
        <w:t xml:space="preserve">For the purposes of </w:t>
      </w:r>
      <w:r w:rsidR="00FF2655" w:rsidRPr="00FF2655">
        <w:t>paragraph (</w:t>
      </w:r>
      <w:r w:rsidRPr="00FF2655">
        <w:t xml:space="preserve">b) of the definition of </w:t>
      </w:r>
      <w:r w:rsidRPr="00FF2655">
        <w:rPr>
          <w:b/>
          <w:i/>
        </w:rPr>
        <w:t>amount of licensed activities</w:t>
      </w:r>
      <w:r w:rsidRPr="00FF2655">
        <w:t xml:space="preserve"> in subregulation</w:t>
      </w:r>
      <w:r w:rsidR="00FF2655" w:rsidRPr="00FF2655">
        <w:t> </w:t>
      </w:r>
      <w:r w:rsidRPr="00FF2655">
        <w:t>(2), any quantities of HFCs exported by a person during 2009 to 2014 are disregarded.</w:t>
      </w:r>
    </w:p>
    <w:p w:rsidR="0035539A" w:rsidRPr="00FF2655" w:rsidRDefault="0035539A" w:rsidP="0035539A">
      <w:pPr>
        <w:pStyle w:val="notetext"/>
      </w:pPr>
      <w:r w:rsidRPr="00FF2655">
        <w:t>Note:</w:t>
      </w:r>
      <w:r w:rsidRPr="00FF2655">
        <w:tab/>
        <w:t>Subsection</w:t>
      </w:r>
      <w:r w:rsidR="00FF2655" w:rsidRPr="00FF2655">
        <w:t> </w:t>
      </w:r>
      <w:r w:rsidRPr="00FF2655">
        <w:t>36B(2) of the Act reduces the quantity of HFCs that is taken to be involved in regulated HFC activities engaged in by an SGG licensee in a period by the quantity of HFCs exported by the licensee in the period.</w:t>
      </w:r>
    </w:p>
    <w:p w:rsidR="00A65677" w:rsidRPr="00FF2655" w:rsidRDefault="00740597" w:rsidP="00A65677">
      <w:pPr>
        <w:pStyle w:val="ActHead5"/>
      </w:pPr>
      <w:bookmarkStart w:id="31" w:name="_Toc487631710"/>
      <w:r w:rsidRPr="00FF2655">
        <w:rPr>
          <w:rStyle w:val="CharSectno"/>
        </w:rPr>
        <w:t>49</w:t>
      </w:r>
      <w:r w:rsidR="00A65677" w:rsidRPr="00FF2655">
        <w:t xml:space="preserve">  Grandfathered quota—second HFC quota allocation period</w:t>
      </w:r>
      <w:bookmarkEnd w:id="31"/>
    </w:p>
    <w:p w:rsidR="00A65677" w:rsidRPr="00FF2655" w:rsidRDefault="00A65677" w:rsidP="00A65677">
      <w:pPr>
        <w:pStyle w:val="SubsectionHead"/>
      </w:pPr>
      <w:r w:rsidRPr="00FF2655">
        <w:t>Entitlement</w:t>
      </w:r>
    </w:p>
    <w:p w:rsidR="00A65677" w:rsidRPr="00FF2655" w:rsidRDefault="00A65677" w:rsidP="00A65677">
      <w:pPr>
        <w:pStyle w:val="subsection"/>
      </w:pPr>
      <w:r w:rsidRPr="00FF2655">
        <w:tab/>
        <w:t>(1)</w:t>
      </w:r>
      <w:r w:rsidRPr="00FF2655">
        <w:tab/>
        <w:t xml:space="preserve">A person is entitled to an amount of grandfathered quota for each of </w:t>
      </w:r>
      <w:r w:rsidR="0030639D" w:rsidRPr="00FF2655">
        <w:t>2020 and 2021</w:t>
      </w:r>
      <w:r w:rsidRPr="00FF2655">
        <w:t xml:space="preserve"> if:</w:t>
      </w:r>
    </w:p>
    <w:p w:rsidR="00A65677" w:rsidRPr="00FF2655" w:rsidRDefault="00A65677" w:rsidP="00A65677">
      <w:pPr>
        <w:pStyle w:val="paragraph"/>
      </w:pPr>
      <w:r w:rsidRPr="00FF2655">
        <w:tab/>
        <w:t>(a)</w:t>
      </w:r>
      <w:r w:rsidRPr="00FF2655">
        <w:tab/>
        <w:t>the person applies in accordance with regulation</w:t>
      </w:r>
      <w:r w:rsidR="00FF2655" w:rsidRPr="00FF2655">
        <w:t> </w:t>
      </w:r>
      <w:r w:rsidR="00740597" w:rsidRPr="00FF2655">
        <w:t>44</w:t>
      </w:r>
      <w:r w:rsidRPr="00FF2655">
        <w:t xml:space="preserve"> for HFC quota</w:t>
      </w:r>
      <w:r w:rsidR="001F4DBC" w:rsidRPr="00FF2655">
        <w:t>s</w:t>
      </w:r>
      <w:r w:rsidRPr="00FF2655">
        <w:t xml:space="preserve"> for the years; and</w:t>
      </w:r>
    </w:p>
    <w:p w:rsidR="00A65677" w:rsidRPr="00FF2655" w:rsidRDefault="00A65677" w:rsidP="00A65677">
      <w:pPr>
        <w:pStyle w:val="paragraph"/>
      </w:pPr>
      <w:r w:rsidRPr="00FF2655">
        <w:tab/>
        <w:t>(b)</w:t>
      </w:r>
      <w:r w:rsidRPr="00FF2655">
        <w:tab/>
        <w:t xml:space="preserve">the person holds an SGG licence that covers the whole of the </w:t>
      </w:r>
      <w:r w:rsidR="0030639D" w:rsidRPr="00FF2655">
        <w:t xml:space="preserve">second HFC quota allocation </w:t>
      </w:r>
      <w:r w:rsidRPr="00FF2655">
        <w:t>period; and</w:t>
      </w:r>
    </w:p>
    <w:p w:rsidR="00A65677" w:rsidRPr="00FF2655" w:rsidRDefault="00A65677" w:rsidP="00A65677">
      <w:pPr>
        <w:pStyle w:val="paragraph"/>
      </w:pPr>
      <w:r w:rsidRPr="00FF2655">
        <w:tab/>
        <w:t>(c)</w:t>
      </w:r>
      <w:r w:rsidRPr="00FF2655">
        <w:tab/>
        <w:t>HFC quotas were allocated to the person for the calendar years in the first HFC quota allocation period</w:t>
      </w:r>
      <w:r w:rsidR="00740597" w:rsidRPr="00FF2655">
        <w:t>.</w:t>
      </w:r>
    </w:p>
    <w:p w:rsidR="00742D9B" w:rsidRPr="00FF2655" w:rsidRDefault="00742D9B" w:rsidP="00742D9B">
      <w:pPr>
        <w:pStyle w:val="SubsectionHead"/>
      </w:pPr>
      <w:r w:rsidRPr="00FF2655">
        <w:t>Amount</w:t>
      </w:r>
    </w:p>
    <w:p w:rsidR="00742D9B" w:rsidRPr="00FF2655" w:rsidRDefault="00742D9B" w:rsidP="00742D9B">
      <w:pPr>
        <w:pStyle w:val="subsection"/>
      </w:pPr>
      <w:r w:rsidRPr="00FF2655">
        <w:tab/>
        <w:t>(</w:t>
      </w:r>
      <w:r w:rsidR="00A65677" w:rsidRPr="00FF2655">
        <w:t>2</w:t>
      </w:r>
      <w:r w:rsidRPr="00FF2655">
        <w:t>)</w:t>
      </w:r>
      <w:r w:rsidRPr="00FF2655">
        <w:tab/>
        <w:t xml:space="preserve">The amount of grandfathered quota to which a person is entitled for </w:t>
      </w:r>
      <w:r w:rsidR="0030639D" w:rsidRPr="00FF2655">
        <w:t>2020 or 2021</w:t>
      </w:r>
      <w:r w:rsidRPr="00FF2655">
        <w:t xml:space="preserve"> </w:t>
      </w:r>
      <w:r w:rsidR="003B483D" w:rsidRPr="00FF2655">
        <w:t xml:space="preserve">(the </w:t>
      </w:r>
      <w:r w:rsidR="003B483D" w:rsidRPr="00FF2655">
        <w:rPr>
          <w:b/>
          <w:i/>
        </w:rPr>
        <w:t>allocation year</w:t>
      </w:r>
      <w:r w:rsidR="003B483D" w:rsidRPr="00FF2655">
        <w:t xml:space="preserve">) </w:t>
      </w:r>
      <w:r w:rsidRPr="00FF2655">
        <w:t>is the amount worked out using the following formula:</w:t>
      </w:r>
    </w:p>
    <w:bookmarkStart w:id="32" w:name="BKCheck15B_6"/>
    <w:bookmarkEnd w:id="32"/>
    <w:p w:rsidR="003B483D" w:rsidRPr="00FF2655" w:rsidRDefault="003B483D" w:rsidP="00742D9B">
      <w:pPr>
        <w:pStyle w:val="subsection2"/>
      </w:pPr>
      <w:r w:rsidRPr="00FF2655">
        <w:rPr>
          <w:position w:val="-116"/>
        </w:rPr>
        <w:object w:dxaOrig="6840" w:dyaOrig="2420">
          <v:shape id="_x0000_i1027" type="#_x0000_t75" style="width:342.35pt;height:119.55pt" o:ole="">
            <v:imagedata r:id="rId25" o:title=""/>
          </v:shape>
          <o:OLEObject Type="Embed" ProgID="Equation.DSMT4" ShapeID="_x0000_i1027" DrawAspect="Content" ObjectID="_1562751190" r:id="rId26"/>
        </w:object>
      </w:r>
    </w:p>
    <w:p w:rsidR="00742D9B" w:rsidRPr="00FF2655" w:rsidRDefault="00742D9B" w:rsidP="00742D9B">
      <w:pPr>
        <w:pStyle w:val="subsection2"/>
      </w:pPr>
      <w:r w:rsidRPr="00FF2655">
        <w:t>where:</w:t>
      </w:r>
    </w:p>
    <w:p w:rsidR="00742D9B" w:rsidRPr="00FF2655" w:rsidRDefault="00742D9B" w:rsidP="003B483D">
      <w:pPr>
        <w:pStyle w:val="Definition"/>
      </w:pPr>
      <w:r w:rsidRPr="00FF2655">
        <w:rPr>
          <w:b/>
          <w:i/>
        </w:rPr>
        <w:t xml:space="preserve">amount of </w:t>
      </w:r>
      <w:r w:rsidR="004E4870" w:rsidRPr="00FF2655">
        <w:rPr>
          <w:b/>
          <w:i/>
        </w:rPr>
        <w:t>licensed</w:t>
      </w:r>
      <w:r w:rsidRPr="00FF2655">
        <w:rPr>
          <w:b/>
          <w:i/>
        </w:rPr>
        <w:t xml:space="preserve"> activities (grandfathered)</w:t>
      </w:r>
      <w:r w:rsidRPr="00FF2655">
        <w:t xml:space="preserve"> of a person means the lesser of:</w:t>
      </w:r>
    </w:p>
    <w:p w:rsidR="00742D9B" w:rsidRPr="00FF2655" w:rsidRDefault="00742D9B" w:rsidP="003B483D">
      <w:pPr>
        <w:pStyle w:val="paragraph"/>
      </w:pPr>
      <w:r w:rsidRPr="00FF2655">
        <w:tab/>
        <w:t>(</w:t>
      </w:r>
      <w:r w:rsidR="003B483D" w:rsidRPr="00FF2655">
        <w:t>a</w:t>
      </w:r>
      <w:r w:rsidRPr="00FF2655">
        <w:t>)</w:t>
      </w:r>
      <w:r w:rsidRPr="00FF2655">
        <w:tab/>
        <w:t xml:space="preserve">the total quantity (including nil) of HFCs, expressed in CO2e megatonnes, involved in </w:t>
      </w:r>
      <w:r w:rsidR="004E4870" w:rsidRPr="00FF2655">
        <w:t>licensed regulated</w:t>
      </w:r>
      <w:r w:rsidRPr="00FF2655">
        <w:t xml:space="preserve"> HFC activities engaged in by the person during 2018; and</w:t>
      </w:r>
    </w:p>
    <w:p w:rsidR="00742D9B" w:rsidRPr="00FF2655" w:rsidRDefault="00742D9B" w:rsidP="003B483D">
      <w:pPr>
        <w:pStyle w:val="paragraph"/>
      </w:pPr>
      <w:r w:rsidRPr="00FF2655">
        <w:tab/>
        <w:t>(</w:t>
      </w:r>
      <w:r w:rsidR="003B483D" w:rsidRPr="00FF2655">
        <w:t>b</w:t>
      </w:r>
      <w:r w:rsidRPr="00FF2655">
        <w:t>)</w:t>
      </w:r>
      <w:r w:rsidRPr="00FF2655">
        <w:tab/>
        <w:t>the amount</w:t>
      </w:r>
      <w:r w:rsidR="00D71979" w:rsidRPr="00FF2655">
        <w:t xml:space="preserve"> (including nil)</w:t>
      </w:r>
      <w:r w:rsidRPr="00FF2655">
        <w:t xml:space="preserve"> of grandfathered quota included in the HFC quota a</w:t>
      </w:r>
      <w:r w:rsidR="003B483D" w:rsidRPr="00FF2655">
        <w:t>llocated to the person for 2018</w:t>
      </w:r>
      <w:r w:rsidR="00740597" w:rsidRPr="00FF2655">
        <w:t>.</w:t>
      </w:r>
    </w:p>
    <w:p w:rsidR="00742D9B" w:rsidRPr="00FF2655" w:rsidRDefault="00742D9B" w:rsidP="003B483D">
      <w:pPr>
        <w:pStyle w:val="Definition"/>
      </w:pPr>
      <w:r w:rsidRPr="00FF2655">
        <w:rPr>
          <w:b/>
          <w:i/>
        </w:rPr>
        <w:t xml:space="preserve">amount of </w:t>
      </w:r>
      <w:r w:rsidR="004E4870" w:rsidRPr="00FF2655">
        <w:rPr>
          <w:b/>
          <w:i/>
        </w:rPr>
        <w:t>licensed</w:t>
      </w:r>
      <w:r w:rsidRPr="00FF2655">
        <w:rPr>
          <w:b/>
          <w:i/>
        </w:rPr>
        <w:t xml:space="preserve"> activities (non</w:t>
      </w:r>
      <w:r w:rsidR="00FF2655">
        <w:rPr>
          <w:b/>
          <w:i/>
        </w:rPr>
        <w:noBreakHyphen/>
      </w:r>
      <w:r w:rsidRPr="00FF2655">
        <w:rPr>
          <w:b/>
          <w:i/>
        </w:rPr>
        <w:t>grandfathered)</w:t>
      </w:r>
      <w:r w:rsidRPr="00FF2655">
        <w:t xml:space="preserve"> of a person means the lesser of:</w:t>
      </w:r>
    </w:p>
    <w:p w:rsidR="00742D9B" w:rsidRPr="00FF2655" w:rsidRDefault="00742D9B" w:rsidP="0030639D">
      <w:pPr>
        <w:pStyle w:val="paragraph"/>
      </w:pPr>
      <w:r w:rsidRPr="00FF2655">
        <w:tab/>
        <w:t>(</w:t>
      </w:r>
      <w:r w:rsidR="003B483D" w:rsidRPr="00FF2655">
        <w:t>a</w:t>
      </w:r>
      <w:r w:rsidRPr="00FF2655">
        <w:t>)</w:t>
      </w:r>
      <w:r w:rsidRPr="00FF2655">
        <w:tab/>
        <w:t xml:space="preserve">the total quantity (including nil) of HFCs, expressed in CO2e megatonnes, involved in </w:t>
      </w:r>
      <w:r w:rsidR="004E4870" w:rsidRPr="00FF2655">
        <w:t>licensed regulated</w:t>
      </w:r>
      <w:r w:rsidRPr="00FF2655">
        <w:t xml:space="preserve"> HFC activities engaged in by the person during 2018, reduced (but not below nil) by </w:t>
      </w:r>
      <w:r w:rsidR="00010540" w:rsidRPr="00FF2655">
        <w:t xml:space="preserve">the </w:t>
      </w:r>
      <w:r w:rsidR="0030639D" w:rsidRPr="00FF2655">
        <w:t>amount of licensed activities (grandfathered) of the person</w:t>
      </w:r>
      <w:r w:rsidRPr="00FF2655">
        <w:t>; and</w:t>
      </w:r>
    </w:p>
    <w:p w:rsidR="00742D9B" w:rsidRPr="00FF2655" w:rsidRDefault="003B483D" w:rsidP="003B483D">
      <w:pPr>
        <w:pStyle w:val="paragraph"/>
      </w:pPr>
      <w:r w:rsidRPr="00FF2655">
        <w:tab/>
        <w:t>(b</w:t>
      </w:r>
      <w:r w:rsidR="00742D9B" w:rsidRPr="00FF2655">
        <w:t>)</w:t>
      </w:r>
      <w:r w:rsidR="00742D9B" w:rsidRPr="00FF2655">
        <w:tab/>
        <w:t xml:space="preserve">the amount </w:t>
      </w:r>
      <w:r w:rsidR="00D71979" w:rsidRPr="00FF2655">
        <w:t xml:space="preserve">(including nil) </w:t>
      </w:r>
      <w:r w:rsidR="00742D9B" w:rsidRPr="00FF2655">
        <w:t>of non</w:t>
      </w:r>
      <w:r w:rsidR="00FF2655">
        <w:noBreakHyphen/>
      </w:r>
      <w:r w:rsidR="00742D9B" w:rsidRPr="00FF2655">
        <w:t xml:space="preserve">grandfathered quota included in the HFC quota allocated to the person for </w:t>
      </w:r>
      <w:r w:rsidRPr="00FF2655">
        <w:t>2018</w:t>
      </w:r>
      <w:r w:rsidR="00740597" w:rsidRPr="00FF2655">
        <w:t>.</w:t>
      </w:r>
    </w:p>
    <w:p w:rsidR="00742D9B" w:rsidRPr="00FF2655" w:rsidRDefault="00742D9B" w:rsidP="00742D9B">
      <w:pPr>
        <w:pStyle w:val="Definition"/>
      </w:pPr>
      <w:r w:rsidRPr="00FF2655">
        <w:rPr>
          <w:b/>
          <w:i/>
        </w:rPr>
        <w:t xml:space="preserve">total amount of </w:t>
      </w:r>
      <w:r w:rsidR="004E4870" w:rsidRPr="00FF2655">
        <w:rPr>
          <w:b/>
          <w:i/>
        </w:rPr>
        <w:t>licensed</w:t>
      </w:r>
      <w:r w:rsidRPr="00FF2655">
        <w:rPr>
          <w:b/>
          <w:i/>
        </w:rPr>
        <w:t xml:space="preserve"> activities (grandfathered)</w:t>
      </w:r>
      <w:r w:rsidRPr="00FF2655">
        <w:t xml:space="preserve"> means the sum of the amounts of </w:t>
      </w:r>
      <w:r w:rsidR="004E4870" w:rsidRPr="00FF2655">
        <w:t>licensed</w:t>
      </w:r>
      <w:r w:rsidRPr="00FF2655">
        <w:t xml:space="preserve"> activities (grandfathered) of each person who is entitled to grandfathered quota </w:t>
      </w:r>
      <w:r w:rsidR="00773166" w:rsidRPr="00FF2655">
        <w:t>for</w:t>
      </w:r>
      <w:r w:rsidR="003B483D" w:rsidRPr="00FF2655">
        <w:t xml:space="preserve"> the allocation year</w:t>
      </w:r>
      <w:r w:rsidR="00740597" w:rsidRPr="00FF2655">
        <w:t>.</w:t>
      </w:r>
    </w:p>
    <w:p w:rsidR="00742D9B" w:rsidRPr="00FF2655" w:rsidRDefault="00742D9B" w:rsidP="00742D9B">
      <w:pPr>
        <w:pStyle w:val="Definition"/>
      </w:pPr>
      <w:r w:rsidRPr="00FF2655">
        <w:rPr>
          <w:b/>
          <w:i/>
        </w:rPr>
        <w:t xml:space="preserve">total amount of </w:t>
      </w:r>
      <w:r w:rsidR="004E4870" w:rsidRPr="00FF2655">
        <w:rPr>
          <w:b/>
          <w:i/>
        </w:rPr>
        <w:t>licensed</w:t>
      </w:r>
      <w:r w:rsidRPr="00FF2655">
        <w:rPr>
          <w:b/>
          <w:i/>
        </w:rPr>
        <w:t xml:space="preserve"> activities (non</w:t>
      </w:r>
      <w:r w:rsidR="00FF2655">
        <w:rPr>
          <w:b/>
          <w:i/>
        </w:rPr>
        <w:noBreakHyphen/>
      </w:r>
      <w:r w:rsidRPr="00FF2655">
        <w:rPr>
          <w:b/>
          <w:i/>
        </w:rPr>
        <w:t>grandfathered)</w:t>
      </w:r>
      <w:r w:rsidRPr="00FF2655">
        <w:t xml:space="preserve"> means the sum of the amounts of </w:t>
      </w:r>
      <w:r w:rsidR="004E4870" w:rsidRPr="00FF2655">
        <w:t>licensed</w:t>
      </w:r>
      <w:r w:rsidRPr="00FF2655">
        <w:t xml:space="preserve"> activities (non</w:t>
      </w:r>
      <w:r w:rsidR="00FF2655">
        <w:noBreakHyphen/>
      </w:r>
      <w:r w:rsidRPr="00FF2655">
        <w:t xml:space="preserve">grandfathered) of each person who is entitled to grandfathered quota for </w:t>
      </w:r>
      <w:r w:rsidR="003B483D" w:rsidRPr="00FF2655">
        <w:t xml:space="preserve">the allocation </w:t>
      </w:r>
      <w:r w:rsidRPr="00FF2655">
        <w:t>year</w:t>
      </w:r>
      <w:r w:rsidR="00740597" w:rsidRPr="00FF2655">
        <w:t>.</w:t>
      </w:r>
    </w:p>
    <w:p w:rsidR="00A65677" w:rsidRPr="00FF2655" w:rsidRDefault="00740597" w:rsidP="00A65677">
      <w:pPr>
        <w:pStyle w:val="ActHead5"/>
      </w:pPr>
      <w:bookmarkStart w:id="33" w:name="_Toc487631711"/>
      <w:r w:rsidRPr="00FF2655">
        <w:rPr>
          <w:rStyle w:val="CharSectno"/>
        </w:rPr>
        <w:t>50</w:t>
      </w:r>
      <w:r w:rsidR="00A65677" w:rsidRPr="00FF2655">
        <w:t xml:space="preserve">  Grandfathered quota—later HFC quota allocation periods</w:t>
      </w:r>
      <w:bookmarkEnd w:id="33"/>
    </w:p>
    <w:p w:rsidR="00A65677" w:rsidRPr="00FF2655" w:rsidRDefault="00A65677" w:rsidP="00A65677">
      <w:pPr>
        <w:pStyle w:val="SubsectionHead"/>
      </w:pPr>
      <w:r w:rsidRPr="00FF2655">
        <w:t>Entitlement</w:t>
      </w:r>
    </w:p>
    <w:p w:rsidR="00A65677" w:rsidRPr="00FF2655" w:rsidRDefault="00A65677" w:rsidP="00A65677">
      <w:pPr>
        <w:pStyle w:val="subsection"/>
      </w:pPr>
      <w:r w:rsidRPr="00FF2655">
        <w:tab/>
        <w:t>(1)</w:t>
      </w:r>
      <w:r w:rsidRPr="00FF2655">
        <w:tab/>
        <w:t>A person is entitled to an amount of grandfathered quota for each of the calendar years in an HFC quota allocation period, other than the first or second HFC quota allocation period, if:</w:t>
      </w:r>
    </w:p>
    <w:p w:rsidR="00A65677" w:rsidRPr="00FF2655" w:rsidRDefault="00A65677" w:rsidP="00A65677">
      <w:pPr>
        <w:pStyle w:val="paragraph"/>
      </w:pPr>
      <w:r w:rsidRPr="00FF2655">
        <w:tab/>
        <w:t>(a)</w:t>
      </w:r>
      <w:r w:rsidRPr="00FF2655">
        <w:tab/>
        <w:t>the person applies in accordance with regulation</w:t>
      </w:r>
      <w:r w:rsidR="00FF2655" w:rsidRPr="00FF2655">
        <w:t> </w:t>
      </w:r>
      <w:r w:rsidR="00740597" w:rsidRPr="00FF2655">
        <w:t>44</w:t>
      </w:r>
      <w:r w:rsidRPr="00FF2655">
        <w:t xml:space="preserve"> for HFC quota</w:t>
      </w:r>
      <w:r w:rsidR="001F4DBC" w:rsidRPr="00FF2655">
        <w:t>s</w:t>
      </w:r>
      <w:r w:rsidRPr="00FF2655">
        <w:t xml:space="preserve"> for the years; and</w:t>
      </w:r>
    </w:p>
    <w:p w:rsidR="00A65677" w:rsidRPr="00FF2655" w:rsidRDefault="00A65677" w:rsidP="00A65677">
      <w:pPr>
        <w:pStyle w:val="paragraph"/>
      </w:pPr>
      <w:r w:rsidRPr="00FF2655">
        <w:tab/>
        <w:t>(b)</w:t>
      </w:r>
      <w:r w:rsidRPr="00FF2655">
        <w:tab/>
        <w:t>the person holds an SGG licence that covers the whole of the period; and</w:t>
      </w:r>
    </w:p>
    <w:p w:rsidR="00A65677" w:rsidRPr="00FF2655" w:rsidRDefault="00A65677" w:rsidP="00A65677">
      <w:pPr>
        <w:pStyle w:val="paragraph"/>
      </w:pPr>
      <w:r w:rsidRPr="00FF2655">
        <w:tab/>
        <w:t>(c)</w:t>
      </w:r>
      <w:r w:rsidRPr="00FF2655">
        <w:tab/>
        <w:t>HFC quotas were allocated to the person for the calendar years in the previous HFC quota allocation period; and</w:t>
      </w:r>
    </w:p>
    <w:p w:rsidR="00A65677" w:rsidRPr="00FF2655" w:rsidRDefault="00A65677" w:rsidP="00A65677">
      <w:pPr>
        <w:pStyle w:val="paragraph"/>
      </w:pPr>
      <w:r w:rsidRPr="00FF2655">
        <w:tab/>
        <w:t>(d)</w:t>
      </w:r>
      <w:r w:rsidRPr="00FF2655">
        <w:tab/>
        <w:t>those quotas included amounts of grandfathered quota</w:t>
      </w:r>
      <w:r w:rsidR="00740597" w:rsidRPr="00FF2655">
        <w:t>.</w:t>
      </w:r>
    </w:p>
    <w:p w:rsidR="003B483D" w:rsidRPr="00FF2655" w:rsidRDefault="003B483D" w:rsidP="003B483D">
      <w:pPr>
        <w:pStyle w:val="SubsectionHead"/>
      </w:pPr>
      <w:r w:rsidRPr="00FF2655">
        <w:t>Amount</w:t>
      </w:r>
    </w:p>
    <w:p w:rsidR="003B483D" w:rsidRPr="00FF2655" w:rsidRDefault="003B483D" w:rsidP="003B483D">
      <w:pPr>
        <w:pStyle w:val="subsection"/>
      </w:pPr>
      <w:r w:rsidRPr="00FF2655">
        <w:tab/>
        <w:t>(</w:t>
      </w:r>
      <w:r w:rsidR="00A65677" w:rsidRPr="00FF2655">
        <w:t>2</w:t>
      </w:r>
      <w:r w:rsidRPr="00FF2655">
        <w:t>)</w:t>
      </w:r>
      <w:r w:rsidRPr="00FF2655">
        <w:tab/>
        <w:t xml:space="preserve">The amount of grandfathered quota to which a person is entitled for a year (the </w:t>
      </w:r>
      <w:r w:rsidRPr="00FF2655">
        <w:rPr>
          <w:b/>
          <w:i/>
        </w:rPr>
        <w:t>allocation year</w:t>
      </w:r>
      <w:r w:rsidRPr="00FF2655">
        <w:t>) in an HFC quota allocation period, other than the first or second HFC quota allocation period, is the amount worked out using the following formula:</w:t>
      </w:r>
    </w:p>
    <w:bookmarkStart w:id="34" w:name="BKCheck15B_7"/>
    <w:bookmarkEnd w:id="34"/>
    <w:p w:rsidR="003B483D" w:rsidRPr="00FF2655" w:rsidRDefault="003B483D" w:rsidP="003B483D">
      <w:pPr>
        <w:pStyle w:val="subsection2"/>
      </w:pPr>
      <w:r w:rsidRPr="00FF2655">
        <w:rPr>
          <w:position w:val="-54"/>
        </w:rPr>
        <w:object w:dxaOrig="6940" w:dyaOrig="1180">
          <v:shape id="_x0000_i1028" type="#_x0000_t75" style="width:347.1pt;height:58.4pt" o:ole="">
            <v:imagedata r:id="rId27" o:title=""/>
          </v:shape>
          <o:OLEObject Type="Embed" ProgID="Equation.DSMT4" ShapeID="_x0000_i1028" DrawAspect="Content" ObjectID="_1562751191" r:id="rId28"/>
        </w:object>
      </w:r>
    </w:p>
    <w:p w:rsidR="003B483D" w:rsidRPr="00FF2655" w:rsidRDefault="003B483D" w:rsidP="003B483D">
      <w:pPr>
        <w:pStyle w:val="subsection2"/>
      </w:pPr>
      <w:r w:rsidRPr="00FF2655">
        <w:t>where:</w:t>
      </w:r>
    </w:p>
    <w:p w:rsidR="006360F9" w:rsidRPr="00FF2655" w:rsidRDefault="003B483D" w:rsidP="006360F9">
      <w:pPr>
        <w:pStyle w:val="Definition"/>
      </w:pPr>
      <w:r w:rsidRPr="00FF2655">
        <w:rPr>
          <w:b/>
          <w:i/>
        </w:rPr>
        <w:t>amount of licensed activities</w:t>
      </w:r>
      <w:r w:rsidRPr="00FF2655">
        <w:t xml:space="preserve"> of a person means the sum of</w:t>
      </w:r>
      <w:r w:rsidR="006360F9" w:rsidRPr="00FF2655">
        <w:t xml:space="preserve"> the </w:t>
      </w:r>
      <w:r w:rsidR="004B75E6" w:rsidRPr="00FF2655">
        <w:t>annual</w:t>
      </w:r>
      <w:r w:rsidR="006360F9" w:rsidRPr="00FF2655">
        <w:t xml:space="preserve"> amounts of licenced activities of the person for the </w:t>
      </w:r>
      <w:r w:rsidR="006C4010" w:rsidRPr="00FF2655">
        <w:t>calendar year</w:t>
      </w:r>
      <w:r w:rsidR="002721CE" w:rsidRPr="00FF2655">
        <w:t>s</w:t>
      </w:r>
      <w:r w:rsidR="006C4010" w:rsidRPr="00FF2655">
        <w:t xml:space="preserve"> in the base period for the HFC quota allocation period</w:t>
      </w:r>
      <w:r w:rsidR="006360F9" w:rsidRPr="00FF2655">
        <w:t>.</w:t>
      </w:r>
    </w:p>
    <w:p w:rsidR="004B75E6" w:rsidRPr="00FF2655" w:rsidRDefault="004B75E6" w:rsidP="004B75E6">
      <w:pPr>
        <w:pStyle w:val="Definition"/>
      </w:pPr>
      <w:r w:rsidRPr="00FF2655">
        <w:rPr>
          <w:b/>
          <w:i/>
        </w:rPr>
        <w:t>annual amount of licenced activities</w:t>
      </w:r>
      <w:r w:rsidRPr="00FF2655">
        <w:t xml:space="preserve"> of a person for a calendar year means the lesser of:</w:t>
      </w:r>
    </w:p>
    <w:p w:rsidR="004B75E6" w:rsidRPr="00FF2655" w:rsidRDefault="004B75E6" w:rsidP="004B75E6">
      <w:pPr>
        <w:pStyle w:val="paragraph"/>
      </w:pPr>
      <w:r w:rsidRPr="00FF2655">
        <w:tab/>
        <w:t>(a)</w:t>
      </w:r>
      <w:r w:rsidRPr="00FF2655">
        <w:tab/>
        <w:t>the total quantity (including nil) of HFCs, expressed in CO2e megatonnes, involved in licensed regulated HFC activities engaged in by the person during the year; and</w:t>
      </w:r>
    </w:p>
    <w:p w:rsidR="004B75E6" w:rsidRPr="00FF2655" w:rsidRDefault="004B75E6" w:rsidP="004B75E6">
      <w:pPr>
        <w:pStyle w:val="paragraph"/>
      </w:pPr>
      <w:r w:rsidRPr="00FF2655">
        <w:tab/>
        <w:t>(b)</w:t>
      </w:r>
      <w:r w:rsidRPr="00FF2655">
        <w:tab/>
        <w:t>the amount of grandfathered quota included in the HFC quota allocated to the person for the year.</w:t>
      </w:r>
    </w:p>
    <w:p w:rsidR="003B483D" w:rsidRPr="00FF2655" w:rsidRDefault="003B483D" w:rsidP="003B483D">
      <w:pPr>
        <w:pStyle w:val="Definition"/>
      </w:pPr>
      <w:r w:rsidRPr="00FF2655">
        <w:rPr>
          <w:b/>
          <w:i/>
        </w:rPr>
        <w:t>total amount of licensed activities</w:t>
      </w:r>
      <w:r w:rsidRPr="00FF2655">
        <w:t xml:space="preserve"> means the sum of the amounts of licensed activities of each person who is entitled to grandfathered quota for the </w:t>
      </w:r>
      <w:r w:rsidR="00A65677" w:rsidRPr="00FF2655">
        <w:t xml:space="preserve">allocation </w:t>
      </w:r>
      <w:r w:rsidRPr="00FF2655">
        <w:t>year</w:t>
      </w:r>
      <w:r w:rsidR="00740597" w:rsidRPr="00FF2655">
        <w:t>.</w:t>
      </w:r>
    </w:p>
    <w:p w:rsidR="006919A2" w:rsidRPr="00FF2655" w:rsidRDefault="00740597" w:rsidP="006919A2">
      <w:pPr>
        <w:pStyle w:val="ActHead5"/>
      </w:pPr>
      <w:bookmarkStart w:id="35" w:name="_Toc487631712"/>
      <w:r w:rsidRPr="00FF2655">
        <w:rPr>
          <w:rStyle w:val="CharSectno"/>
        </w:rPr>
        <w:t>51</w:t>
      </w:r>
      <w:r w:rsidR="006919A2" w:rsidRPr="00FF2655">
        <w:t xml:space="preserve">  Non</w:t>
      </w:r>
      <w:r w:rsidR="00FF2655">
        <w:noBreakHyphen/>
      </w:r>
      <w:r w:rsidR="006919A2" w:rsidRPr="00FF2655">
        <w:t>grandfathered quota</w:t>
      </w:r>
      <w:bookmarkEnd w:id="35"/>
    </w:p>
    <w:p w:rsidR="006919A2" w:rsidRPr="00FF2655" w:rsidRDefault="006919A2" w:rsidP="006919A2">
      <w:pPr>
        <w:pStyle w:val="SubsectionHead"/>
      </w:pPr>
      <w:r w:rsidRPr="00FF2655">
        <w:t>Entitlement</w:t>
      </w:r>
    </w:p>
    <w:p w:rsidR="006919A2" w:rsidRPr="00FF2655" w:rsidRDefault="006919A2" w:rsidP="006919A2">
      <w:pPr>
        <w:pStyle w:val="subsection"/>
      </w:pPr>
      <w:r w:rsidRPr="00FF2655">
        <w:tab/>
        <w:t>(1)</w:t>
      </w:r>
      <w:r w:rsidRPr="00FF2655">
        <w:tab/>
        <w:t>A person is entitled to an amount of non</w:t>
      </w:r>
      <w:r w:rsidR="00FF2655">
        <w:noBreakHyphen/>
      </w:r>
      <w:r w:rsidRPr="00FF2655">
        <w:t>grandfathered quota for each of the calendar years in an HFC quota allocation period if:</w:t>
      </w:r>
    </w:p>
    <w:p w:rsidR="006919A2" w:rsidRPr="00FF2655" w:rsidRDefault="006919A2" w:rsidP="006919A2">
      <w:pPr>
        <w:pStyle w:val="paragraph"/>
      </w:pPr>
      <w:r w:rsidRPr="00FF2655">
        <w:tab/>
        <w:t>(a)</w:t>
      </w:r>
      <w:r w:rsidRPr="00FF2655">
        <w:tab/>
        <w:t>the person applies in accordance with regulation</w:t>
      </w:r>
      <w:r w:rsidR="00FF2655" w:rsidRPr="00FF2655">
        <w:t> </w:t>
      </w:r>
      <w:r w:rsidR="00740597" w:rsidRPr="00FF2655">
        <w:t>44</w:t>
      </w:r>
      <w:r w:rsidRPr="00FF2655">
        <w:t xml:space="preserve"> for </w:t>
      </w:r>
      <w:r w:rsidR="00742D9B" w:rsidRPr="00FF2655">
        <w:t xml:space="preserve">HFC </w:t>
      </w:r>
      <w:r w:rsidRPr="00FF2655">
        <w:t>quota</w:t>
      </w:r>
      <w:r w:rsidR="001F4DBC" w:rsidRPr="00FF2655">
        <w:t>s</w:t>
      </w:r>
      <w:r w:rsidRPr="00FF2655">
        <w:t xml:space="preserve"> for the years; and</w:t>
      </w:r>
    </w:p>
    <w:p w:rsidR="00742D9B" w:rsidRPr="00FF2655" w:rsidRDefault="00742D9B" w:rsidP="00742D9B">
      <w:pPr>
        <w:pStyle w:val="paragraph"/>
      </w:pPr>
      <w:r w:rsidRPr="00FF2655">
        <w:tab/>
        <w:t>(</w:t>
      </w:r>
      <w:r w:rsidR="00E00891" w:rsidRPr="00FF2655">
        <w:t>b</w:t>
      </w:r>
      <w:r w:rsidRPr="00FF2655">
        <w:t>)</w:t>
      </w:r>
      <w:r w:rsidRPr="00FF2655">
        <w:tab/>
        <w:t>the application states</w:t>
      </w:r>
      <w:r w:rsidR="00D71979" w:rsidRPr="00FF2655">
        <w:t>, under paragraph</w:t>
      </w:r>
      <w:r w:rsidR="00FF2655" w:rsidRPr="00FF2655">
        <w:t> </w:t>
      </w:r>
      <w:r w:rsidR="00740597" w:rsidRPr="00FF2655">
        <w:t>44</w:t>
      </w:r>
      <w:r w:rsidR="00D71979" w:rsidRPr="00FF2655">
        <w:t>(2)(d),</w:t>
      </w:r>
      <w:r w:rsidRPr="00FF2655">
        <w:t xml:space="preserve"> that the person wishes to be allocated non</w:t>
      </w:r>
      <w:r w:rsidR="00FF2655">
        <w:noBreakHyphen/>
      </w:r>
      <w:r w:rsidRPr="00FF2655">
        <w:t>gr</w:t>
      </w:r>
      <w:r w:rsidR="0084433F" w:rsidRPr="00FF2655">
        <w:t>andfathered quota for the years; and</w:t>
      </w:r>
    </w:p>
    <w:p w:rsidR="006919A2" w:rsidRPr="00FF2655" w:rsidRDefault="00E00891" w:rsidP="006919A2">
      <w:pPr>
        <w:pStyle w:val="paragraph"/>
      </w:pPr>
      <w:r w:rsidRPr="00FF2655">
        <w:tab/>
        <w:t>(c</w:t>
      </w:r>
      <w:r w:rsidR="006919A2" w:rsidRPr="00FF2655">
        <w:t>)</w:t>
      </w:r>
      <w:r w:rsidR="006919A2" w:rsidRPr="00FF2655">
        <w:tab/>
        <w:t>the person holds an SGG licence that covers the whole of the period; and</w:t>
      </w:r>
    </w:p>
    <w:p w:rsidR="006919A2" w:rsidRPr="00FF2655" w:rsidRDefault="00E00891" w:rsidP="006919A2">
      <w:pPr>
        <w:pStyle w:val="paragraph"/>
      </w:pPr>
      <w:r w:rsidRPr="00FF2655">
        <w:tab/>
        <w:t>(d</w:t>
      </w:r>
      <w:r w:rsidR="006919A2" w:rsidRPr="00FF2655">
        <w:t>)</w:t>
      </w:r>
      <w:r w:rsidR="006919A2" w:rsidRPr="00FF2655">
        <w:tab/>
        <w:t xml:space="preserve">a determination under </w:t>
      </w:r>
      <w:r w:rsidR="005C7E65" w:rsidRPr="00FF2655">
        <w:t>sub</w:t>
      </w:r>
      <w:r w:rsidR="00D71979" w:rsidRPr="00FF2655">
        <w:t>regulation</w:t>
      </w:r>
      <w:r w:rsidR="00FF2655" w:rsidRPr="00FF2655">
        <w:t> </w:t>
      </w:r>
      <w:r w:rsidR="005C7E65" w:rsidRPr="00FF2655">
        <w:t>(</w:t>
      </w:r>
      <w:r w:rsidR="006919A2" w:rsidRPr="00FF2655">
        <w:t>4)</w:t>
      </w:r>
      <w:r w:rsidR="00D71979" w:rsidRPr="00FF2655">
        <w:t xml:space="preserve"> of this regulation</w:t>
      </w:r>
      <w:r w:rsidR="006919A2" w:rsidRPr="00FF2655">
        <w:t xml:space="preserve"> is in force in relation to the period; and</w:t>
      </w:r>
    </w:p>
    <w:p w:rsidR="006919A2" w:rsidRPr="00FF2655" w:rsidRDefault="00E00891" w:rsidP="006919A2">
      <w:pPr>
        <w:pStyle w:val="paragraph"/>
      </w:pPr>
      <w:r w:rsidRPr="00FF2655">
        <w:tab/>
        <w:t>(e</w:t>
      </w:r>
      <w:r w:rsidR="006919A2" w:rsidRPr="00FF2655">
        <w:t>)</w:t>
      </w:r>
      <w:r w:rsidR="006919A2" w:rsidRPr="00FF2655">
        <w:tab/>
        <w:t>the person meets the requirements prescribed by the determination in relation to the year</w:t>
      </w:r>
      <w:r w:rsidR="00740597" w:rsidRPr="00FF2655">
        <w:t>.</w:t>
      </w:r>
    </w:p>
    <w:p w:rsidR="006919A2" w:rsidRPr="00FF2655" w:rsidRDefault="006919A2" w:rsidP="006919A2">
      <w:pPr>
        <w:pStyle w:val="SubsectionHead"/>
      </w:pPr>
      <w:r w:rsidRPr="00FF2655">
        <w:t>Amount</w:t>
      </w:r>
    </w:p>
    <w:p w:rsidR="006919A2" w:rsidRPr="00FF2655" w:rsidRDefault="0091623F" w:rsidP="006919A2">
      <w:pPr>
        <w:pStyle w:val="subsection"/>
      </w:pPr>
      <w:r w:rsidRPr="00FF2655">
        <w:tab/>
        <w:t>(2</w:t>
      </w:r>
      <w:r w:rsidR="006919A2" w:rsidRPr="00FF2655">
        <w:t>)</w:t>
      </w:r>
      <w:r w:rsidR="006919A2" w:rsidRPr="00FF2655">
        <w:tab/>
        <w:t>The amount of non</w:t>
      </w:r>
      <w:r w:rsidR="00FF2655">
        <w:noBreakHyphen/>
      </w:r>
      <w:r w:rsidR="006919A2" w:rsidRPr="00FF2655">
        <w:t xml:space="preserve">grandfathered quota to which a person is entitled for a calendar year in an HFC quota allocation period is the amount worked out under the determination made under </w:t>
      </w:r>
      <w:r w:rsidR="005C7E65" w:rsidRPr="00FF2655">
        <w:t>sub</w:t>
      </w:r>
      <w:r w:rsidR="003F63BD" w:rsidRPr="00FF2655">
        <w:t>regulation</w:t>
      </w:r>
      <w:r w:rsidR="00FF2655" w:rsidRPr="00FF2655">
        <w:t> </w:t>
      </w:r>
      <w:r w:rsidR="005C7E65" w:rsidRPr="00FF2655">
        <w:t>(</w:t>
      </w:r>
      <w:r w:rsidR="006919A2" w:rsidRPr="00FF2655">
        <w:t>4)</w:t>
      </w:r>
      <w:r w:rsidR="00740597" w:rsidRPr="00FF2655">
        <w:t>.</w:t>
      </w:r>
    </w:p>
    <w:p w:rsidR="006919A2" w:rsidRPr="00FF2655" w:rsidRDefault="006919A2" w:rsidP="006919A2">
      <w:pPr>
        <w:pStyle w:val="subsection"/>
      </w:pPr>
      <w:r w:rsidRPr="00FF2655">
        <w:tab/>
        <w:t>(3)</w:t>
      </w:r>
      <w:r w:rsidRPr="00FF2655">
        <w:tab/>
        <w:t>The sum of all the amounts of non</w:t>
      </w:r>
      <w:r w:rsidR="00FF2655">
        <w:noBreakHyphen/>
      </w:r>
      <w:r w:rsidRPr="00FF2655">
        <w:t>grandfathered quota to which persons are entitled for a calendar year in an HFC quota allocation period must not exceed the amount worked out using the following formula:</w:t>
      </w:r>
    </w:p>
    <w:p w:rsidR="006919A2" w:rsidRPr="00FF2655" w:rsidRDefault="006919A2" w:rsidP="006919A2">
      <w:pPr>
        <w:pStyle w:val="subsection"/>
      </w:pPr>
      <w:r w:rsidRPr="00FF2655">
        <w:tab/>
      </w:r>
      <w:r w:rsidRPr="00FF2655">
        <w:tab/>
      </w:r>
      <w:bookmarkStart w:id="36" w:name="BKCheck15B_8"/>
      <w:bookmarkEnd w:id="36"/>
      <w:r w:rsidR="00882C38" w:rsidRPr="00FF2655">
        <w:rPr>
          <w:position w:val="-10"/>
        </w:rPr>
        <w:object w:dxaOrig="6420" w:dyaOrig="420">
          <v:shape id="_x0000_i1029" type="#_x0000_t75" style="width:320.6pt;height:21.75pt" o:ole="">
            <v:imagedata r:id="rId29" o:title=""/>
          </v:shape>
          <o:OLEObject Type="Embed" ProgID="Equation.DSMT4" ShapeID="_x0000_i1029" DrawAspect="Content" ObjectID="_1562751192" r:id="rId30"/>
        </w:object>
      </w:r>
    </w:p>
    <w:p w:rsidR="006919A2" w:rsidRPr="00FF2655" w:rsidRDefault="006919A2" w:rsidP="006919A2">
      <w:pPr>
        <w:pStyle w:val="SubsectionHead"/>
      </w:pPr>
      <w:r w:rsidRPr="00FF2655">
        <w:t>Determination</w:t>
      </w:r>
    </w:p>
    <w:p w:rsidR="006919A2" w:rsidRPr="00FF2655" w:rsidRDefault="006919A2" w:rsidP="006919A2">
      <w:pPr>
        <w:pStyle w:val="subsection"/>
      </w:pPr>
      <w:r w:rsidRPr="00FF2655">
        <w:tab/>
        <w:t>(4)</w:t>
      </w:r>
      <w:r w:rsidRPr="00FF2655">
        <w:tab/>
        <w:t>The Minister may, by legislative instrument, determine the following in relation to an HFC quota allocation period:</w:t>
      </w:r>
    </w:p>
    <w:p w:rsidR="006919A2" w:rsidRPr="00FF2655" w:rsidRDefault="006919A2" w:rsidP="006919A2">
      <w:pPr>
        <w:pStyle w:val="paragraph"/>
      </w:pPr>
      <w:r w:rsidRPr="00FF2655">
        <w:tab/>
        <w:t>(a)</w:t>
      </w:r>
      <w:r w:rsidRPr="00FF2655">
        <w:tab/>
        <w:t>requirements for a person to be entitled to an amount of non</w:t>
      </w:r>
      <w:r w:rsidR="00FF2655">
        <w:noBreakHyphen/>
      </w:r>
      <w:r w:rsidRPr="00FF2655">
        <w:t>grandfathered quota for each of the calendar years in the period;</w:t>
      </w:r>
    </w:p>
    <w:p w:rsidR="006919A2" w:rsidRPr="00FF2655" w:rsidRDefault="006919A2" w:rsidP="006919A2">
      <w:pPr>
        <w:pStyle w:val="paragraph"/>
      </w:pPr>
      <w:r w:rsidRPr="00FF2655">
        <w:tab/>
        <w:t>(b)</w:t>
      </w:r>
      <w:r w:rsidRPr="00FF2655">
        <w:tab/>
        <w:t>the amount, or the method for working out the amount, of non</w:t>
      </w:r>
      <w:r w:rsidR="00FF2655">
        <w:noBreakHyphen/>
      </w:r>
      <w:r w:rsidRPr="00FF2655">
        <w:t>grandfathered quota to which a person is entitled for each of the years</w:t>
      </w:r>
      <w:r w:rsidR="00740597" w:rsidRPr="00FF2655">
        <w:t>.</w:t>
      </w:r>
    </w:p>
    <w:p w:rsidR="006919A2" w:rsidRPr="00FF2655" w:rsidRDefault="006919A2" w:rsidP="006919A2">
      <w:pPr>
        <w:pStyle w:val="subsection"/>
      </w:pPr>
      <w:r w:rsidRPr="00FF2655">
        <w:tab/>
        <w:t>(5)</w:t>
      </w:r>
      <w:r w:rsidRPr="00FF2655">
        <w:tab/>
        <w:t xml:space="preserve">In making a determination under </w:t>
      </w:r>
      <w:r w:rsidR="005C7E65" w:rsidRPr="00FF2655">
        <w:t>sub</w:t>
      </w:r>
      <w:r w:rsidR="00D71979" w:rsidRPr="00FF2655">
        <w:t>regulation</w:t>
      </w:r>
      <w:r w:rsidR="00FF2655" w:rsidRPr="00FF2655">
        <w:t> </w:t>
      </w:r>
      <w:r w:rsidR="005C7E65" w:rsidRPr="00FF2655">
        <w:t>(</w:t>
      </w:r>
      <w:r w:rsidRPr="00FF2655">
        <w:t>4), the Minister:</w:t>
      </w:r>
    </w:p>
    <w:p w:rsidR="006919A2" w:rsidRPr="00FF2655" w:rsidRDefault="006919A2" w:rsidP="006919A2">
      <w:pPr>
        <w:pStyle w:val="paragraph"/>
      </w:pPr>
      <w:r w:rsidRPr="00FF2655">
        <w:tab/>
        <w:t>(a)</w:t>
      </w:r>
      <w:r w:rsidRPr="00FF2655">
        <w:tab/>
        <w:t>must have regard to Australia</w:t>
      </w:r>
      <w:r w:rsidR="006360F9" w:rsidRPr="00FF2655">
        <w:t>’</w:t>
      </w:r>
      <w:r w:rsidRPr="00FF2655">
        <w:t>s international obligations, and the policies of the Commonwealth Government, in relation to the manufacture, importation or consumption of scheduled substances; and</w:t>
      </w:r>
    </w:p>
    <w:p w:rsidR="006919A2" w:rsidRPr="00FF2655" w:rsidRDefault="006919A2" w:rsidP="006919A2">
      <w:pPr>
        <w:pStyle w:val="paragraph"/>
      </w:pPr>
      <w:r w:rsidRPr="00FF2655">
        <w:tab/>
        <w:t>(b)</w:t>
      </w:r>
      <w:r w:rsidRPr="00FF2655">
        <w:tab/>
        <w:t>may have regard to any other matters he or she thinks relevant</w:t>
      </w:r>
      <w:r w:rsidR="00740597" w:rsidRPr="00FF2655">
        <w:t>.</w:t>
      </w:r>
    </w:p>
    <w:p w:rsidR="002817B9" w:rsidRPr="00FF2655" w:rsidRDefault="002817B9" w:rsidP="002817B9">
      <w:pPr>
        <w:pStyle w:val="subsection"/>
      </w:pPr>
      <w:r w:rsidRPr="00FF2655">
        <w:tab/>
        <w:t>(6)</w:t>
      </w:r>
      <w:r w:rsidRPr="00FF2655">
        <w:tab/>
        <w:t>A determination made under subregulation</w:t>
      </w:r>
      <w:r w:rsidR="00FF2655" w:rsidRPr="00FF2655">
        <w:t> </w:t>
      </w:r>
      <w:r w:rsidRPr="00FF2655">
        <w:t>(4) may provide in relation to review of decisions made under the determination</w:t>
      </w:r>
      <w:r w:rsidR="00740597" w:rsidRPr="00FF2655">
        <w:t>.</w:t>
      </w:r>
    </w:p>
    <w:p w:rsidR="006919A2" w:rsidRPr="00FF2655" w:rsidRDefault="00740597" w:rsidP="006919A2">
      <w:pPr>
        <w:pStyle w:val="ActHead5"/>
      </w:pPr>
      <w:bookmarkStart w:id="37" w:name="_Toc487631713"/>
      <w:r w:rsidRPr="00FF2655">
        <w:rPr>
          <w:rStyle w:val="CharSectno"/>
        </w:rPr>
        <w:t>52</w:t>
      </w:r>
      <w:r w:rsidR="006919A2" w:rsidRPr="00FF2655">
        <w:t xml:space="preserve">  Business succession</w:t>
      </w:r>
      <w:bookmarkEnd w:id="37"/>
    </w:p>
    <w:p w:rsidR="006919A2" w:rsidRPr="00FF2655" w:rsidRDefault="006919A2" w:rsidP="006919A2">
      <w:pPr>
        <w:pStyle w:val="SubsectionHead"/>
      </w:pPr>
      <w:r w:rsidRPr="00FF2655">
        <w:t>Requests</w:t>
      </w:r>
    </w:p>
    <w:p w:rsidR="0035539A" w:rsidRPr="00FF2655" w:rsidRDefault="0035539A" w:rsidP="0035539A">
      <w:pPr>
        <w:pStyle w:val="subsection"/>
      </w:pPr>
      <w:r w:rsidRPr="00FF2655">
        <w:tab/>
        <w:t>(1)</w:t>
      </w:r>
      <w:r w:rsidRPr="00FF2655">
        <w:tab/>
        <w:t>A person who engaged in a licensed regulated HCFC activity in the base period for the first HFC quota allocation period may request that:</w:t>
      </w:r>
    </w:p>
    <w:p w:rsidR="0035539A" w:rsidRPr="00FF2655" w:rsidRDefault="0035539A" w:rsidP="0035539A">
      <w:pPr>
        <w:pStyle w:val="paragraph"/>
      </w:pPr>
      <w:r w:rsidRPr="00FF2655">
        <w:tab/>
        <w:t>(a)</w:t>
      </w:r>
      <w:r w:rsidRPr="00FF2655">
        <w:tab/>
        <w:t>the activity be taken to have been engaged in by another specified person; and</w:t>
      </w:r>
    </w:p>
    <w:p w:rsidR="0035539A" w:rsidRPr="00FF2655" w:rsidRDefault="0035539A" w:rsidP="0035539A">
      <w:pPr>
        <w:pStyle w:val="paragraph"/>
      </w:pPr>
      <w:r w:rsidRPr="00FF2655">
        <w:tab/>
        <w:t>(b)</w:t>
      </w:r>
      <w:r w:rsidRPr="00FF2655">
        <w:tab/>
        <w:t>all or part of an HCFC quota allocated to the first person for the quota period (within the meaning of section</w:t>
      </w:r>
      <w:r w:rsidR="00FF2655" w:rsidRPr="00FF2655">
        <w:t> </w:t>
      </w:r>
      <w:r w:rsidRPr="00FF2655">
        <w:t xml:space="preserve">23A of the Act) in which the </w:t>
      </w:r>
      <w:r w:rsidR="005F05D3" w:rsidRPr="00FF2655">
        <w:t>licens</w:t>
      </w:r>
      <w:r w:rsidR="006360F9" w:rsidRPr="00FF2655">
        <w:t xml:space="preserve">ed </w:t>
      </w:r>
      <w:r w:rsidRPr="00FF2655">
        <w:t>regulated HCFC activity was engaged in be taken to have been:</w:t>
      </w:r>
    </w:p>
    <w:p w:rsidR="0035539A" w:rsidRPr="00FF2655" w:rsidRDefault="0035539A" w:rsidP="0035539A">
      <w:pPr>
        <w:pStyle w:val="paragraphsub"/>
      </w:pPr>
      <w:r w:rsidRPr="00FF2655">
        <w:tab/>
        <w:t>(i)</w:t>
      </w:r>
      <w:r w:rsidRPr="00FF2655">
        <w:tab/>
        <w:t>allocated to the other person; and</w:t>
      </w:r>
    </w:p>
    <w:p w:rsidR="0035539A" w:rsidRPr="00FF2655" w:rsidRDefault="0035539A" w:rsidP="0035539A">
      <w:pPr>
        <w:pStyle w:val="paragraphsub"/>
      </w:pPr>
      <w:r w:rsidRPr="00FF2655">
        <w:tab/>
        <w:t>(ii)</w:t>
      </w:r>
      <w:r w:rsidRPr="00FF2655">
        <w:tab/>
        <w:t>not allocated to the first person.</w:t>
      </w:r>
    </w:p>
    <w:p w:rsidR="00882C38" w:rsidRPr="00FF2655" w:rsidRDefault="0035539A" w:rsidP="006919A2">
      <w:pPr>
        <w:pStyle w:val="subsection"/>
      </w:pPr>
      <w:r w:rsidRPr="00FF2655">
        <w:tab/>
        <w:t>(2</w:t>
      </w:r>
      <w:r w:rsidR="006919A2" w:rsidRPr="00FF2655">
        <w:t>)</w:t>
      </w:r>
      <w:r w:rsidR="006919A2" w:rsidRPr="00FF2655">
        <w:tab/>
        <w:t xml:space="preserve">A person who engaged in a </w:t>
      </w:r>
      <w:r w:rsidR="004E4870" w:rsidRPr="00FF2655">
        <w:t>licensed regulated</w:t>
      </w:r>
      <w:r w:rsidR="006919A2" w:rsidRPr="00FF2655">
        <w:t xml:space="preserve"> HFC activity</w:t>
      </w:r>
      <w:r w:rsidR="00DD1D84" w:rsidRPr="00FF2655">
        <w:t xml:space="preserve"> </w:t>
      </w:r>
      <w:r w:rsidR="00D71979" w:rsidRPr="00FF2655">
        <w:t xml:space="preserve">in </w:t>
      </w:r>
      <w:r w:rsidR="006919A2" w:rsidRPr="00FF2655">
        <w:t xml:space="preserve">the base period for </w:t>
      </w:r>
      <w:r w:rsidR="00882C38" w:rsidRPr="00FF2655">
        <w:t xml:space="preserve">an HFC quota allocation period </w:t>
      </w:r>
      <w:r w:rsidR="006919A2" w:rsidRPr="00FF2655">
        <w:t>may</w:t>
      </w:r>
      <w:r w:rsidR="001068EA" w:rsidRPr="00FF2655">
        <w:t xml:space="preserve"> </w:t>
      </w:r>
      <w:r w:rsidR="006919A2" w:rsidRPr="00FF2655">
        <w:t>request that</w:t>
      </w:r>
      <w:r w:rsidR="00882C38" w:rsidRPr="00FF2655">
        <w:t>:</w:t>
      </w:r>
    </w:p>
    <w:p w:rsidR="006919A2" w:rsidRPr="00FF2655" w:rsidRDefault="00882C38" w:rsidP="00882C38">
      <w:pPr>
        <w:pStyle w:val="paragraph"/>
      </w:pPr>
      <w:r w:rsidRPr="00FF2655">
        <w:tab/>
        <w:t>(a)</w:t>
      </w:r>
      <w:r w:rsidRPr="00FF2655">
        <w:tab/>
      </w:r>
      <w:r w:rsidR="006919A2" w:rsidRPr="00FF2655">
        <w:t>the activity be taken to have been engaged in by another specified person</w:t>
      </w:r>
      <w:r w:rsidRPr="00FF2655">
        <w:t>; and</w:t>
      </w:r>
    </w:p>
    <w:p w:rsidR="00B52484" w:rsidRPr="00FF2655" w:rsidRDefault="00882C38" w:rsidP="00B52484">
      <w:pPr>
        <w:pStyle w:val="paragraph"/>
      </w:pPr>
      <w:r w:rsidRPr="00FF2655">
        <w:tab/>
        <w:t>(b)</w:t>
      </w:r>
      <w:r w:rsidRPr="00FF2655">
        <w:tab/>
        <w:t>all or part of</w:t>
      </w:r>
      <w:r w:rsidR="007653C4" w:rsidRPr="00FF2655">
        <w:t xml:space="preserve"> </w:t>
      </w:r>
      <w:r w:rsidRPr="00FF2655">
        <w:t>an HFC quota</w:t>
      </w:r>
      <w:r w:rsidR="00D71979" w:rsidRPr="00FF2655">
        <w:t xml:space="preserve"> allocated to the </w:t>
      </w:r>
      <w:r w:rsidR="003F63BD" w:rsidRPr="00FF2655">
        <w:t xml:space="preserve">first </w:t>
      </w:r>
      <w:r w:rsidR="00D71979" w:rsidRPr="00FF2655">
        <w:t xml:space="preserve">person for the </w:t>
      </w:r>
      <w:r w:rsidR="007653C4" w:rsidRPr="00FF2655">
        <w:t xml:space="preserve">calendar </w:t>
      </w:r>
      <w:r w:rsidR="00D71979" w:rsidRPr="00FF2655">
        <w:t>year</w:t>
      </w:r>
      <w:r w:rsidR="007653C4" w:rsidRPr="00FF2655">
        <w:t xml:space="preserve"> in which the </w:t>
      </w:r>
      <w:r w:rsidR="005F05D3" w:rsidRPr="00FF2655">
        <w:t xml:space="preserve">licensed </w:t>
      </w:r>
      <w:r w:rsidR="007653C4" w:rsidRPr="00FF2655">
        <w:t>regulated HFC activity was engaged</w:t>
      </w:r>
      <w:r w:rsidR="00B52484" w:rsidRPr="00FF2655">
        <w:t xml:space="preserve"> </w:t>
      </w:r>
      <w:r w:rsidR="0041038E" w:rsidRPr="00FF2655">
        <w:t xml:space="preserve">in </w:t>
      </w:r>
      <w:r w:rsidR="00B52484" w:rsidRPr="00FF2655">
        <w:t>b</w:t>
      </w:r>
      <w:r w:rsidRPr="00FF2655">
        <w:t>e take</w:t>
      </w:r>
      <w:r w:rsidR="00DD1D84" w:rsidRPr="00FF2655">
        <w:t>n</w:t>
      </w:r>
      <w:r w:rsidR="00B52484" w:rsidRPr="00FF2655">
        <w:t xml:space="preserve"> to have been:</w:t>
      </w:r>
    </w:p>
    <w:p w:rsidR="00B52484" w:rsidRPr="00FF2655" w:rsidRDefault="00B52484" w:rsidP="00B52484">
      <w:pPr>
        <w:pStyle w:val="paragraphsub"/>
      </w:pPr>
      <w:r w:rsidRPr="00FF2655">
        <w:tab/>
        <w:t>(i)</w:t>
      </w:r>
      <w:r w:rsidRPr="00FF2655">
        <w:tab/>
      </w:r>
      <w:r w:rsidR="00DD1D84" w:rsidRPr="00FF2655">
        <w:t>allocated to the other person</w:t>
      </w:r>
      <w:r w:rsidRPr="00FF2655">
        <w:t>;</w:t>
      </w:r>
      <w:r w:rsidR="00DD1D84" w:rsidRPr="00FF2655">
        <w:t xml:space="preserve"> and</w:t>
      </w:r>
    </w:p>
    <w:p w:rsidR="00882C38" w:rsidRPr="00FF2655" w:rsidRDefault="00B52484" w:rsidP="00B52484">
      <w:pPr>
        <w:pStyle w:val="paragraphsub"/>
      </w:pPr>
      <w:r w:rsidRPr="00FF2655">
        <w:tab/>
        <w:t>(ii)</w:t>
      </w:r>
      <w:r w:rsidRPr="00FF2655">
        <w:tab/>
      </w:r>
      <w:r w:rsidR="00DD1D84" w:rsidRPr="00FF2655">
        <w:t>not allocated to the first person</w:t>
      </w:r>
      <w:r w:rsidR="00740597" w:rsidRPr="00FF2655">
        <w:t>.</w:t>
      </w:r>
    </w:p>
    <w:p w:rsidR="001068EA" w:rsidRPr="00FF2655" w:rsidRDefault="00B52484" w:rsidP="00DD1D84">
      <w:pPr>
        <w:pStyle w:val="subsection"/>
      </w:pPr>
      <w:r w:rsidRPr="00FF2655">
        <w:tab/>
        <w:t>(3</w:t>
      </w:r>
      <w:r w:rsidR="006919A2" w:rsidRPr="00FF2655">
        <w:t>)</w:t>
      </w:r>
      <w:r w:rsidR="006919A2" w:rsidRPr="00FF2655">
        <w:tab/>
      </w:r>
      <w:r w:rsidRPr="00FF2655">
        <w:t>A request under subregulation</w:t>
      </w:r>
      <w:r w:rsidR="00FF2655" w:rsidRPr="00FF2655">
        <w:t> </w:t>
      </w:r>
      <w:r w:rsidRPr="00FF2655">
        <w:t xml:space="preserve">(1) or (2) </w:t>
      </w:r>
      <w:r w:rsidR="006919A2" w:rsidRPr="00FF2655">
        <w:t>must</w:t>
      </w:r>
      <w:r w:rsidR="00DD1D84" w:rsidRPr="00FF2655">
        <w:t xml:space="preserve"> </w:t>
      </w:r>
      <w:r w:rsidR="006919A2" w:rsidRPr="00FF2655">
        <w:t>be</w:t>
      </w:r>
      <w:r w:rsidR="001068EA" w:rsidRPr="00FF2655">
        <w:t>:</w:t>
      </w:r>
    </w:p>
    <w:p w:rsidR="00DD1D84" w:rsidRPr="00FF2655" w:rsidRDefault="001068EA" w:rsidP="001068EA">
      <w:pPr>
        <w:pStyle w:val="paragraph"/>
      </w:pPr>
      <w:r w:rsidRPr="00FF2655">
        <w:tab/>
        <w:t>(a)</w:t>
      </w:r>
      <w:r w:rsidRPr="00FF2655">
        <w:tab/>
      </w:r>
      <w:r w:rsidR="006919A2" w:rsidRPr="00FF2655">
        <w:t>in the approved form</w:t>
      </w:r>
      <w:r w:rsidRPr="00FF2655">
        <w:t>; and</w:t>
      </w:r>
    </w:p>
    <w:p w:rsidR="001068EA" w:rsidRPr="00FF2655" w:rsidRDefault="001068EA" w:rsidP="001068EA">
      <w:pPr>
        <w:pStyle w:val="paragraph"/>
      </w:pPr>
      <w:r w:rsidRPr="00FF2655">
        <w:tab/>
        <w:t>(b)</w:t>
      </w:r>
      <w:r w:rsidRPr="00FF2655">
        <w:tab/>
        <w:t>given to the Minister before the day on or before which, under paragraph</w:t>
      </w:r>
      <w:r w:rsidR="00FF2655" w:rsidRPr="00FF2655">
        <w:t> </w:t>
      </w:r>
      <w:r w:rsidR="00740597" w:rsidRPr="00FF2655">
        <w:t>44</w:t>
      </w:r>
      <w:r w:rsidRPr="00FF2655">
        <w:t>(2)(b), applications for HFC quotas for the calendar years in the HFC quota allocation period must be made</w:t>
      </w:r>
      <w:r w:rsidR="00740597" w:rsidRPr="00FF2655">
        <w:t>.</w:t>
      </w:r>
    </w:p>
    <w:p w:rsidR="00DD1D84" w:rsidRPr="00FF2655" w:rsidRDefault="006919A2" w:rsidP="001068EA">
      <w:pPr>
        <w:pStyle w:val="subsection"/>
      </w:pPr>
      <w:r w:rsidRPr="00FF2655">
        <w:tab/>
        <w:t>(</w:t>
      </w:r>
      <w:r w:rsidR="00B52484" w:rsidRPr="00FF2655">
        <w:t>4</w:t>
      </w:r>
      <w:r w:rsidRPr="00FF2655">
        <w:t>)</w:t>
      </w:r>
      <w:r w:rsidRPr="00FF2655">
        <w:tab/>
        <w:t>If the Minister receives</w:t>
      </w:r>
      <w:r w:rsidR="00DD1D84" w:rsidRPr="00FF2655">
        <w:t xml:space="preserve"> a request</w:t>
      </w:r>
      <w:r w:rsidR="00C26D3B" w:rsidRPr="00FF2655">
        <w:t xml:space="preserve"> under subregulation</w:t>
      </w:r>
      <w:r w:rsidR="00FF2655" w:rsidRPr="00FF2655">
        <w:t> </w:t>
      </w:r>
      <w:r w:rsidR="00C26D3B" w:rsidRPr="00FF2655">
        <w:t xml:space="preserve">(1) or (2) </w:t>
      </w:r>
      <w:r w:rsidRPr="00FF2655">
        <w:t>in accordance with subregulation</w:t>
      </w:r>
      <w:r w:rsidR="00FF2655" w:rsidRPr="00FF2655">
        <w:t> </w:t>
      </w:r>
      <w:r w:rsidR="00B52484" w:rsidRPr="00FF2655">
        <w:t>(3)</w:t>
      </w:r>
      <w:r w:rsidR="001068EA" w:rsidRPr="00FF2655">
        <w:t xml:space="preserve">, </w:t>
      </w:r>
      <w:r w:rsidR="003F63BD" w:rsidRPr="00FF2655">
        <w:t xml:space="preserve">then, </w:t>
      </w:r>
      <w:r w:rsidR="001068EA" w:rsidRPr="00FF2655">
        <w:t xml:space="preserve">for the purposes of applying this </w:t>
      </w:r>
      <w:r w:rsidR="00DD1D84" w:rsidRPr="00FF2655">
        <w:t xml:space="preserve">Subdivision </w:t>
      </w:r>
      <w:r w:rsidR="001068EA" w:rsidRPr="00FF2655">
        <w:t xml:space="preserve">in allocating </w:t>
      </w:r>
      <w:r w:rsidR="00DD1D84" w:rsidRPr="00FF2655">
        <w:t>HFC quotas for th</w:t>
      </w:r>
      <w:r w:rsidR="001068EA" w:rsidRPr="00FF2655">
        <w:t>e HFC quota allocation period mentioned in sub</w:t>
      </w:r>
      <w:r w:rsidR="000B785E" w:rsidRPr="00FF2655">
        <w:t>regulation</w:t>
      </w:r>
      <w:r w:rsidR="00FF2655" w:rsidRPr="00FF2655">
        <w:t> </w:t>
      </w:r>
      <w:r w:rsidR="001068EA" w:rsidRPr="00FF2655">
        <w:t>(1)</w:t>
      </w:r>
      <w:r w:rsidR="00B52484" w:rsidRPr="00FF2655">
        <w:t xml:space="preserve"> or (2) (whichever is applicable)</w:t>
      </w:r>
      <w:r w:rsidR="001068EA" w:rsidRPr="00FF2655">
        <w:t xml:space="preserve"> and later HFC quota allocation periods</w:t>
      </w:r>
      <w:r w:rsidR="00DD1D84" w:rsidRPr="00FF2655">
        <w:t>:</w:t>
      </w:r>
    </w:p>
    <w:p w:rsidR="00DD1D84" w:rsidRPr="00FF2655" w:rsidRDefault="00DD1D84" w:rsidP="00DD1D84">
      <w:pPr>
        <w:pStyle w:val="paragraph"/>
      </w:pPr>
      <w:r w:rsidRPr="00FF2655">
        <w:tab/>
        <w:t>(</w:t>
      </w:r>
      <w:r w:rsidR="00886111" w:rsidRPr="00FF2655">
        <w:t>a</w:t>
      </w:r>
      <w:r w:rsidRPr="00FF2655">
        <w:t>)</w:t>
      </w:r>
      <w:r w:rsidRPr="00FF2655">
        <w:tab/>
        <w:t xml:space="preserve">the activity specified in the request </w:t>
      </w:r>
      <w:r w:rsidR="001068EA" w:rsidRPr="00FF2655">
        <w:t xml:space="preserve">is taken to have been </w:t>
      </w:r>
      <w:r w:rsidRPr="00FF2655">
        <w:t>engaged in by the person specified in the request, rather than by the person who makes the request; and</w:t>
      </w:r>
    </w:p>
    <w:p w:rsidR="00DD1D84" w:rsidRPr="00FF2655" w:rsidRDefault="00DD1D84" w:rsidP="00DD1D84">
      <w:pPr>
        <w:pStyle w:val="paragraph"/>
      </w:pPr>
      <w:r w:rsidRPr="00FF2655">
        <w:tab/>
        <w:t>(</w:t>
      </w:r>
      <w:r w:rsidR="00886111" w:rsidRPr="00FF2655">
        <w:t>b</w:t>
      </w:r>
      <w:r w:rsidRPr="00FF2655">
        <w:t>)</w:t>
      </w:r>
      <w:r w:rsidRPr="00FF2655">
        <w:tab/>
        <w:t>all or part of the HCFC quota</w:t>
      </w:r>
      <w:r w:rsidR="0035539A" w:rsidRPr="00FF2655">
        <w:t xml:space="preserve"> or HFC quota</w:t>
      </w:r>
      <w:r w:rsidRPr="00FF2655">
        <w:t xml:space="preserve"> specified in the request </w:t>
      </w:r>
      <w:r w:rsidR="001068EA" w:rsidRPr="00FF2655">
        <w:t xml:space="preserve">is taken to have been </w:t>
      </w:r>
      <w:r w:rsidRPr="00FF2655">
        <w:t xml:space="preserve">allocated to the person specified in the request, rather than to the </w:t>
      </w:r>
      <w:r w:rsidR="003F63BD" w:rsidRPr="00FF2655">
        <w:t>person who makes the request</w:t>
      </w:r>
      <w:r w:rsidR="00740597" w:rsidRPr="00FF2655">
        <w:t>.</w:t>
      </w:r>
    </w:p>
    <w:p w:rsidR="001068EA" w:rsidRPr="00FF2655" w:rsidRDefault="001068EA" w:rsidP="001068EA">
      <w:pPr>
        <w:pStyle w:val="SubsectionHead"/>
      </w:pPr>
      <w:r w:rsidRPr="00FF2655">
        <w:t>Variations and withdrawals</w:t>
      </w:r>
    </w:p>
    <w:p w:rsidR="001068EA" w:rsidRPr="00FF2655" w:rsidRDefault="001068EA" w:rsidP="001068EA">
      <w:pPr>
        <w:pStyle w:val="subsection"/>
      </w:pPr>
      <w:r w:rsidRPr="00FF2655">
        <w:tab/>
        <w:t>(</w:t>
      </w:r>
      <w:r w:rsidR="00B52484" w:rsidRPr="00FF2655">
        <w:t>5</w:t>
      </w:r>
      <w:r w:rsidRPr="00FF2655">
        <w:t>)</w:t>
      </w:r>
      <w:r w:rsidRPr="00FF2655">
        <w:tab/>
        <w:t xml:space="preserve">A </w:t>
      </w:r>
      <w:r w:rsidR="003F63BD" w:rsidRPr="00FF2655">
        <w:t>person who makes a request under subregulation</w:t>
      </w:r>
      <w:r w:rsidR="00FF2655" w:rsidRPr="00FF2655">
        <w:t> </w:t>
      </w:r>
      <w:r w:rsidR="003F63BD" w:rsidRPr="00FF2655">
        <w:t>(1)</w:t>
      </w:r>
      <w:r w:rsidR="00B52484" w:rsidRPr="00FF2655">
        <w:t xml:space="preserve"> or (2)</w:t>
      </w:r>
      <w:r w:rsidR="003F63BD" w:rsidRPr="00FF2655">
        <w:t xml:space="preserve"> may vary or withdraw it</w:t>
      </w:r>
      <w:r w:rsidR="00740597" w:rsidRPr="00FF2655">
        <w:t>.</w:t>
      </w:r>
    </w:p>
    <w:p w:rsidR="001068EA" w:rsidRPr="00FF2655" w:rsidRDefault="001068EA" w:rsidP="001068EA">
      <w:pPr>
        <w:pStyle w:val="subsection"/>
      </w:pPr>
      <w:r w:rsidRPr="00FF2655">
        <w:tab/>
        <w:t>(</w:t>
      </w:r>
      <w:r w:rsidR="00B52484" w:rsidRPr="00FF2655">
        <w:t>6</w:t>
      </w:r>
      <w:r w:rsidRPr="00FF2655">
        <w:t>)</w:t>
      </w:r>
      <w:r w:rsidRPr="00FF2655">
        <w:tab/>
        <w:t>The variation or withdrawal must be:</w:t>
      </w:r>
    </w:p>
    <w:p w:rsidR="001068EA" w:rsidRPr="00FF2655" w:rsidRDefault="001068EA" w:rsidP="001068EA">
      <w:pPr>
        <w:pStyle w:val="paragraph"/>
      </w:pPr>
      <w:r w:rsidRPr="00FF2655">
        <w:tab/>
        <w:t>(a)</w:t>
      </w:r>
      <w:r w:rsidRPr="00FF2655">
        <w:tab/>
        <w:t>in the approved form; and</w:t>
      </w:r>
    </w:p>
    <w:p w:rsidR="001068EA" w:rsidRPr="00FF2655" w:rsidRDefault="001068EA" w:rsidP="001068EA">
      <w:pPr>
        <w:pStyle w:val="paragraph"/>
      </w:pPr>
      <w:r w:rsidRPr="00FF2655">
        <w:tab/>
        <w:t>(b)</w:t>
      </w:r>
      <w:r w:rsidRPr="00FF2655">
        <w:tab/>
        <w:t xml:space="preserve">given to the Minister no later than 30 days after the day mentioned in </w:t>
      </w:r>
      <w:r w:rsidR="00FF2655" w:rsidRPr="00FF2655">
        <w:t>paragraph (</w:t>
      </w:r>
      <w:r w:rsidR="00B52484" w:rsidRPr="00FF2655">
        <w:t>3</w:t>
      </w:r>
      <w:r w:rsidRPr="00FF2655">
        <w:t>)(b)</w:t>
      </w:r>
      <w:r w:rsidR="00740597" w:rsidRPr="00FF2655">
        <w:t>.</w:t>
      </w:r>
    </w:p>
    <w:p w:rsidR="006919A2" w:rsidRPr="00FF2655" w:rsidRDefault="006919A2" w:rsidP="006919A2">
      <w:pPr>
        <w:pStyle w:val="SubsectionHead"/>
      </w:pPr>
      <w:r w:rsidRPr="00FF2655">
        <w:t>Licence requirements</w:t>
      </w:r>
    </w:p>
    <w:p w:rsidR="006919A2" w:rsidRPr="00FF2655" w:rsidRDefault="001068EA" w:rsidP="006919A2">
      <w:pPr>
        <w:pStyle w:val="subsection"/>
      </w:pPr>
      <w:r w:rsidRPr="00FF2655">
        <w:tab/>
        <w:t>(</w:t>
      </w:r>
      <w:r w:rsidR="00B52484" w:rsidRPr="00FF2655">
        <w:t>7</w:t>
      </w:r>
      <w:r w:rsidR="006919A2" w:rsidRPr="00FF2655">
        <w:t>)</w:t>
      </w:r>
      <w:r w:rsidR="006919A2" w:rsidRPr="00FF2655">
        <w:tab/>
        <w:t>To avoid doubt, for the purposes of this Subdivision, a</w:t>
      </w:r>
      <w:r w:rsidR="003F63BD" w:rsidRPr="00FF2655">
        <w:t xml:space="preserve">n </w:t>
      </w:r>
      <w:r w:rsidR="00D71979" w:rsidRPr="00FF2655">
        <w:t>activity</w:t>
      </w:r>
      <w:r w:rsidR="006919A2" w:rsidRPr="00FF2655">
        <w:t xml:space="preserve"> that a person is taken under </w:t>
      </w:r>
      <w:r w:rsidR="005309F0" w:rsidRPr="00FF2655">
        <w:t>sub</w:t>
      </w:r>
      <w:r w:rsidR="006919A2" w:rsidRPr="00FF2655">
        <w:t>regulation</w:t>
      </w:r>
      <w:r w:rsidR="00FF2655" w:rsidRPr="00FF2655">
        <w:t> </w:t>
      </w:r>
      <w:r w:rsidR="003F63BD" w:rsidRPr="00FF2655">
        <w:t>(</w:t>
      </w:r>
      <w:r w:rsidR="00C26D3B" w:rsidRPr="00FF2655">
        <w:t>4</w:t>
      </w:r>
      <w:r w:rsidR="003F63BD" w:rsidRPr="00FF2655">
        <w:t>)</w:t>
      </w:r>
      <w:r w:rsidR="006919A2" w:rsidRPr="00FF2655">
        <w:t xml:space="preserve"> to have engaged in at a time is a</w:t>
      </w:r>
      <w:r w:rsidR="0035539A" w:rsidRPr="00FF2655">
        <w:t xml:space="preserve"> licensed regulated HCFC activity or</w:t>
      </w:r>
      <w:r w:rsidR="006919A2" w:rsidRPr="00FF2655">
        <w:t xml:space="preserve"> </w:t>
      </w:r>
      <w:r w:rsidR="004E4870" w:rsidRPr="00FF2655">
        <w:t>licensed regulated</w:t>
      </w:r>
      <w:r w:rsidR="006919A2" w:rsidRPr="00FF2655">
        <w:t xml:space="preserve"> HFC activity even if the person did not actually hold at that time a</w:t>
      </w:r>
      <w:r w:rsidR="00D71979" w:rsidRPr="00FF2655">
        <w:t xml:space="preserve"> controlled substances licence</w:t>
      </w:r>
      <w:r w:rsidR="0035539A" w:rsidRPr="00FF2655">
        <w:t xml:space="preserve"> or SGG licence</w:t>
      </w:r>
      <w:r w:rsidR="00D71979" w:rsidRPr="00FF2655">
        <w:t xml:space="preserve"> </w:t>
      </w:r>
      <w:r w:rsidR="006919A2" w:rsidRPr="00FF2655">
        <w:t>that allowed the activity</w:t>
      </w:r>
      <w:r w:rsidR="00740597" w:rsidRPr="00FF2655">
        <w:t>.</w:t>
      </w:r>
    </w:p>
    <w:p w:rsidR="001068EA" w:rsidRPr="00FF2655" w:rsidRDefault="00740597" w:rsidP="001068EA">
      <w:pPr>
        <w:pStyle w:val="ActHead5"/>
      </w:pPr>
      <w:bookmarkStart w:id="38" w:name="_Toc487631714"/>
      <w:r w:rsidRPr="00FF2655">
        <w:rPr>
          <w:rStyle w:val="CharSectno"/>
        </w:rPr>
        <w:t>53</w:t>
      </w:r>
      <w:r w:rsidR="001068EA" w:rsidRPr="00FF2655">
        <w:t xml:space="preserve">  Transfer of HFC quotas</w:t>
      </w:r>
      <w:bookmarkEnd w:id="38"/>
    </w:p>
    <w:p w:rsidR="001068EA" w:rsidRPr="00FF2655" w:rsidRDefault="001068EA" w:rsidP="001068EA">
      <w:pPr>
        <w:pStyle w:val="subsection"/>
      </w:pPr>
      <w:r w:rsidRPr="00FF2655">
        <w:tab/>
      </w:r>
      <w:r w:rsidRPr="00FF2655">
        <w:tab/>
        <w:t>A transfer of an HFC quota under section</w:t>
      </w:r>
      <w:r w:rsidR="00FF2655" w:rsidRPr="00FF2655">
        <w:t> </w:t>
      </w:r>
      <w:r w:rsidRPr="00FF2655">
        <w:t>36</w:t>
      </w:r>
      <w:r w:rsidR="00307700" w:rsidRPr="00FF2655">
        <w:t>F</w:t>
      </w:r>
      <w:r w:rsidRPr="00FF2655">
        <w:t xml:space="preserve"> of the Act does not affect the </w:t>
      </w:r>
      <w:r w:rsidR="00AD5438" w:rsidRPr="00FF2655">
        <w:t xml:space="preserve">relative </w:t>
      </w:r>
      <w:r w:rsidRPr="00FF2655">
        <w:t>proportions of any amounts of grandfathered quota and non</w:t>
      </w:r>
      <w:r w:rsidR="00FF2655">
        <w:noBreakHyphen/>
      </w:r>
      <w:r w:rsidRPr="00FF2655">
        <w:t>grandfathered quota included in the HFC quota</w:t>
      </w:r>
      <w:r w:rsidR="00740597" w:rsidRPr="00FF2655">
        <w:t>.</w:t>
      </w:r>
    </w:p>
    <w:p w:rsidR="006919A2" w:rsidRPr="00FF2655" w:rsidRDefault="006919A2" w:rsidP="002B2481">
      <w:pPr>
        <w:pStyle w:val="ActHead4"/>
      </w:pPr>
      <w:bookmarkStart w:id="39" w:name="_Toc487631715"/>
      <w:r w:rsidRPr="00FF2655">
        <w:rPr>
          <w:rStyle w:val="CharSubdNo"/>
        </w:rPr>
        <w:t>Subdivision</w:t>
      </w:r>
      <w:r w:rsidR="00FF2655" w:rsidRPr="00FF2655">
        <w:rPr>
          <w:rStyle w:val="CharSubdNo"/>
        </w:rPr>
        <w:t> </w:t>
      </w:r>
      <w:r w:rsidRPr="00FF2655">
        <w:rPr>
          <w:rStyle w:val="CharSubdNo"/>
        </w:rPr>
        <w:t>4A</w:t>
      </w:r>
      <w:r w:rsidR="00740597" w:rsidRPr="00FF2655">
        <w:rPr>
          <w:rStyle w:val="CharSubdNo"/>
        </w:rPr>
        <w:t>.</w:t>
      </w:r>
      <w:r w:rsidR="00521715" w:rsidRPr="00FF2655">
        <w:rPr>
          <w:rStyle w:val="CharSubdNo"/>
        </w:rPr>
        <w:t>3</w:t>
      </w:r>
      <w:r w:rsidR="00740597" w:rsidRPr="00FF2655">
        <w:rPr>
          <w:rStyle w:val="CharSubdNo"/>
        </w:rPr>
        <w:t>.</w:t>
      </w:r>
      <w:r w:rsidRPr="00FF2655">
        <w:rPr>
          <w:rStyle w:val="CharSubdNo"/>
        </w:rPr>
        <w:t>4</w:t>
      </w:r>
      <w:r w:rsidRPr="00FF2655">
        <w:t>—</w:t>
      </w:r>
      <w:r w:rsidRPr="00FF2655">
        <w:rPr>
          <w:rStyle w:val="CharSubdText"/>
        </w:rPr>
        <w:t>Correcting HFC quotas</w:t>
      </w:r>
      <w:bookmarkEnd w:id="39"/>
    </w:p>
    <w:p w:rsidR="006919A2" w:rsidRPr="00FF2655" w:rsidRDefault="00740597" w:rsidP="004A725C">
      <w:pPr>
        <w:pStyle w:val="ActHead5"/>
      </w:pPr>
      <w:bookmarkStart w:id="40" w:name="_Toc487631716"/>
      <w:r w:rsidRPr="00FF2655">
        <w:rPr>
          <w:rStyle w:val="CharSectno"/>
        </w:rPr>
        <w:t>54</w:t>
      </w:r>
      <w:r w:rsidR="006919A2" w:rsidRPr="00FF2655">
        <w:t xml:space="preserve">  Correcting HFC quotas</w:t>
      </w:r>
      <w:bookmarkEnd w:id="40"/>
    </w:p>
    <w:p w:rsidR="006919A2" w:rsidRPr="00FF2655" w:rsidRDefault="006919A2" w:rsidP="006919A2">
      <w:pPr>
        <w:pStyle w:val="SubsectionHead"/>
      </w:pPr>
      <w:r w:rsidRPr="00FF2655">
        <w:t>Varying size of HFC quotas</w:t>
      </w:r>
    </w:p>
    <w:p w:rsidR="006919A2" w:rsidRPr="00FF2655" w:rsidRDefault="006E45B5" w:rsidP="006E45B5">
      <w:pPr>
        <w:pStyle w:val="subsection"/>
      </w:pPr>
      <w:r w:rsidRPr="00FF2655">
        <w:tab/>
        <w:t>(1)</w:t>
      </w:r>
      <w:r w:rsidRPr="00FF2655">
        <w:tab/>
        <w:t xml:space="preserve">If, after an HFC quota is allocated to a person for a calendar year, the Minister becomes satisfied that the size of the quota is incorrect, </w:t>
      </w:r>
      <w:r w:rsidR="006919A2" w:rsidRPr="00FF2655">
        <w:t xml:space="preserve">the Minister must, by </w:t>
      </w:r>
      <w:r w:rsidR="004048EB" w:rsidRPr="00FF2655">
        <w:t xml:space="preserve">written </w:t>
      </w:r>
      <w:r w:rsidR="006919A2" w:rsidRPr="00FF2655">
        <w:t>notice given to the person, amend the size of the HFC quota to be the correct amount</w:t>
      </w:r>
      <w:r w:rsidR="00740597" w:rsidRPr="00FF2655">
        <w:t>.</w:t>
      </w:r>
    </w:p>
    <w:p w:rsidR="006E45B5" w:rsidRPr="00FF2655" w:rsidRDefault="006E45B5" w:rsidP="006919A2">
      <w:pPr>
        <w:pStyle w:val="notetext"/>
      </w:pPr>
      <w:r w:rsidRPr="00FF2655">
        <w:t>Note:</w:t>
      </w:r>
      <w:r w:rsidRPr="00FF2655">
        <w:tab/>
        <w:t>For the correct size of an HFC quota, see regulation</w:t>
      </w:r>
      <w:r w:rsidR="00FF2655" w:rsidRPr="00FF2655">
        <w:t> </w:t>
      </w:r>
      <w:r w:rsidR="00740597" w:rsidRPr="00FF2655">
        <w:t>47.</w:t>
      </w:r>
    </w:p>
    <w:p w:rsidR="006919A2" w:rsidRPr="00FF2655" w:rsidRDefault="006919A2" w:rsidP="006919A2">
      <w:pPr>
        <w:pStyle w:val="notetext"/>
      </w:pPr>
      <w:r w:rsidRPr="00FF2655">
        <w:t>Example:</w:t>
      </w:r>
      <w:r w:rsidRPr="00FF2655">
        <w:tab/>
        <w:t>The size of an HFC quota allocated to an SGG licensee for a year could be incorrect because another SGG licensee was incorrectly taken to be, or not to be, entitled to an amount of grandfathered quota or non</w:t>
      </w:r>
      <w:r w:rsidR="00FF2655">
        <w:noBreakHyphen/>
      </w:r>
      <w:r w:rsidRPr="00FF2655">
        <w:t>grandfathered quota for the year</w:t>
      </w:r>
      <w:r w:rsidR="00740597" w:rsidRPr="00FF2655">
        <w:t>.</w:t>
      </w:r>
    </w:p>
    <w:p w:rsidR="006919A2" w:rsidRPr="00FF2655" w:rsidRDefault="006919A2" w:rsidP="006919A2">
      <w:pPr>
        <w:pStyle w:val="subsection"/>
      </w:pPr>
      <w:r w:rsidRPr="00FF2655">
        <w:tab/>
        <w:t>(2)</w:t>
      </w:r>
      <w:r w:rsidRPr="00FF2655">
        <w:tab/>
        <w:t>An amendment of an HFC quota under subregulation</w:t>
      </w:r>
      <w:r w:rsidR="00FF2655" w:rsidRPr="00FF2655">
        <w:t> </w:t>
      </w:r>
      <w:r w:rsidRPr="00FF2655">
        <w:t>(1) has effect from the start of the calendar year for which the quota was allocated</w:t>
      </w:r>
      <w:r w:rsidR="00740597" w:rsidRPr="00FF2655">
        <w:t>.</w:t>
      </w:r>
    </w:p>
    <w:p w:rsidR="006919A2" w:rsidRPr="00FF2655" w:rsidRDefault="006919A2" w:rsidP="006919A2">
      <w:pPr>
        <w:pStyle w:val="SubsectionHead"/>
      </w:pPr>
      <w:r w:rsidRPr="00FF2655">
        <w:t>Cancelling HFC quotas</w:t>
      </w:r>
    </w:p>
    <w:p w:rsidR="006919A2" w:rsidRPr="00FF2655" w:rsidRDefault="006919A2" w:rsidP="006E45B5">
      <w:pPr>
        <w:pStyle w:val="subsection"/>
      </w:pPr>
      <w:r w:rsidRPr="00FF2655">
        <w:tab/>
        <w:t>(3)</w:t>
      </w:r>
      <w:r w:rsidRPr="00FF2655">
        <w:tab/>
      </w:r>
      <w:r w:rsidR="006E45B5" w:rsidRPr="00FF2655">
        <w:t xml:space="preserve">If, after an HFC quota is allocated to a person for a calendar year, the Minister becomes satisfied that the person was not entitled to such a quota, the Minister </w:t>
      </w:r>
      <w:r w:rsidRPr="00FF2655">
        <w:t xml:space="preserve">must, by </w:t>
      </w:r>
      <w:r w:rsidR="004048EB" w:rsidRPr="00FF2655">
        <w:t xml:space="preserve">written </w:t>
      </w:r>
      <w:r w:rsidRPr="00FF2655">
        <w:t>notice given to the person, cancel the quota</w:t>
      </w:r>
      <w:r w:rsidR="00740597" w:rsidRPr="00FF2655">
        <w:t>.</w:t>
      </w:r>
    </w:p>
    <w:p w:rsidR="006E45B5" w:rsidRPr="00FF2655" w:rsidRDefault="006E45B5" w:rsidP="006E45B5">
      <w:pPr>
        <w:pStyle w:val="notetext"/>
      </w:pPr>
      <w:r w:rsidRPr="00FF2655">
        <w:t>Note:</w:t>
      </w:r>
      <w:r w:rsidRPr="00FF2655">
        <w:tab/>
        <w:t>For when a person is entitled to an HFC quota, see subregulation</w:t>
      </w:r>
      <w:r w:rsidR="00FF2655" w:rsidRPr="00FF2655">
        <w:t> </w:t>
      </w:r>
      <w:r w:rsidR="00740597" w:rsidRPr="00FF2655">
        <w:t>45</w:t>
      </w:r>
      <w:r w:rsidRPr="00FF2655">
        <w:t>(1)</w:t>
      </w:r>
      <w:r w:rsidR="00740597" w:rsidRPr="00FF2655">
        <w:t>.</w:t>
      </w:r>
    </w:p>
    <w:p w:rsidR="001068EA" w:rsidRPr="00FF2655" w:rsidRDefault="006919A2" w:rsidP="006919A2">
      <w:pPr>
        <w:pStyle w:val="subsection"/>
      </w:pPr>
      <w:r w:rsidRPr="00FF2655">
        <w:tab/>
        <w:t>(4)</w:t>
      </w:r>
      <w:r w:rsidRPr="00FF2655">
        <w:tab/>
        <w:t>An HFC quota cancelled under subregulation</w:t>
      </w:r>
      <w:r w:rsidR="00FF2655" w:rsidRPr="00FF2655">
        <w:t> </w:t>
      </w:r>
      <w:r w:rsidRPr="00FF2655">
        <w:t>(3) is taken never to have been in force</w:t>
      </w:r>
      <w:r w:rsidR="001068EA" w:rsidRPr="00FF2655">
        <w:t xml:space="preserve"> and never to have been allocated</w:t>
      </w:r>
      <w:r w:rsidR="00740597" w:rsidRPr="00FF2655">
        <w:t>.</w:t>
      </w:r>
    </w:p>
    <w:p w:rsidR="006919A2" w:rsidRPr="00FF2655" w:rsidRDefault="00AD5438" w:rsidP="00AD5438">
      <w:pPr>
        <w:pStyle w:val="ActHead4"/>
      </w:pPr>
      <w:bookmarkStart w:id="41" w:name="_Toc487631717"/>
      <w:r w:rsidRPr="00FF2655">
        <w:rPr>
          <w:rStyle w:val="CharSubdNo"/>
        </w:rPr>
        <w:t>Subd</w:t>
      </w:r>
      <w:r w:rsidR="006919A2" w:rsidRPr="00FF2655">
        <w:rPr>
          <w:rStyle w:val="CharSubdNo"/>
        </w:rPr>
        <w:t>ivision</w:t>
      </w:r>
      <w:r w:rsidR="00FF2655" w:rsidRPr="00FF2655">
        <w:rPr>
          <w:rStyle w:val="CharSubdNo"/>
        </w:rPr>
        <w:t> </w:t>
      </w:r>
      <w:r w:rsidR="006919A2" w:rsidRPr="00FF2655">
        <w:rPr>
          <w:rStyle w:val="CharSubdNo"/>
        </w:rPr>
        <w:t>4A</w:t>
      </w:r>
      <w:r w:rsidR="00740597" w:rsidRPr="00FF2655">
        <w:rPr>
          <w:rStyle w:val="CharSubdNo"/>
        </w:rPr>
        <w:t>.</w:t>
      </w:r>
      <w:r w:rsidR="00521715" w:rsidRPr="00FF2655">
        <w:rPr>
          <w:rStyle w:val="CharSubdNo"/>
        </w:rPr>
        <w:t>3</w:t>
      </w:r>
      <w:r w:rsidR="00740597" w:rsidRPr="00FF2655">
        <w:rPr>
          <w:rStyle w:val="CharSubdNo"/>
        </w:rPr>
        <w:t>.</w:t>
      </w:r>
      <w:r w:rsidRPr="00FF2655">
        <w:rPr>
          <w:rStyle w:val="CharSubdNo"/>
        </w:rPr>
        <w:t>5</w:t>
      </w:r>
      <w:r w:rsidR="006919A2" w:rsidRPr="00FF2655">
        <w:t>—</w:t>
      </w:r>
      <w:r w:rsidR="006919A2" w:rsidRPr="00FF2655">
        <w:rPr>
          <w:rStyle w:val="CharSubdText"/>
        </w:rPr>
        <w:t>Retiring HFC quota</w:t>
      </w:r>
      <w:r w:rsidR="00276C98" w:rsidRPr="00FF2655">
        <w:rPr>
          <w:rStyle w:val="CharSubdText"/>
        </w:rPr>
        <w:t xml:space="preserve"> entitlements</w:t>
      </w:r>
      <w:bookmarkEnd w:id="41"/>
    </w:p>
    <w:p w:rsidR="006919A2" w:rsidRPr="00FF2655" w:rsidRDefault="00740597" w:rsidP="004A725C">
      <w:pPr>
        <w:pStyle w:val="ActHead5"/>
      </w:pPr>
      <w:bookmarkStart w:id="42" w:name="_Toc487631718"/>
      <w:r w:rsidRPr="00FF2655">
        <w:rPr>
          <w:rStyle w:val="CharSectno"/>
        </w:rPr>
        <w:t>55</w:t>
      </w:r>
      <w:r w:rsidR="006919A2" w:rsidRPr="00FF2655">
        <w:t xml:space="preserve">  Applying to retire quota</w:t>
      </w:r>
      <w:r w:rsidR="00276C98" w:rsidRPr="00FF2655">
        <w:t xml:space="preserve"> entitlements</w:t>
      </w:r>
      <w:bookmarkEnd w:id="42"/>
    </w:p>
    <w:p w:rsidR="00DB07CC" w:rsidRPr="00FF2655" w:rsidRDefault="006919A2" w:rsidP="0050781B">
      <w:pPr>
        <w:pStyle w:val="subsection"/>
      </w:pPr>
      <w:r w:rsidRPr="00FF2655">
        <w:tab/>
        <w:t>(1)</w:t>
      </w:r>
      <w:r w:rsidRPr="00FF2655">
        <w:tab/>
        <w:t xml:space="preserve">An SGG licensee </w:t>
      </w:r>
      <w:r w:rsidR="00E76CBA" w:rsidRPr="00FF2655">
        <w:t>may</w:t>
      </w:r>
      <w:r w:rsidR="00DB07CC" w:rsidRPr="00FF2655">
        <w:t xml:space="preserve"> apply for the retirement of </w:t>
      </w:r>
      <w:r w:rsidR="00276C98" w:rsidRPr="00FF2655">
        <w:t>a specified percentage of the licensee</w:t>
      </w:r>
      <w:r w:rsidR="006360F9" w:rsidRPr="00FF2655">
        <w:t>’</w:t>
      </w:r>
      <w:r w:rsidR="00276C98" w:rsidRPr="00FF2655">
        <w:t>s entitlement to HFC quota</w:t>
      </w:r>
      <w:r w:rsidR="00382A89" w:rsidRPr="00FF2655">
        <w:t xml:space="preserve">s for </w:t>
      </w:r>
      <w:r w:rsidR="0050781B" w:rsidRPr="00FF2655">
        <w:t xml:space="preserve">calendar years occurring in or after a </w:t>
      </w:r>
      <w:r w:rsidR="00DB07CC" w:rsidRPr="00FF2655">
        <w:t xml:space="preserve">specified HFC quota allocation period (the </w:t>
      </w:r>
      <w:r w:rsidR="00DB07CC" w:rsidRPr="00FF2655">
        <w:rPr>
          <w:b/>
          <w:i/>
        </w:rPr>
        <w:t>retirement period</w:t>
      </w:r>
      <w:r w:rsidR="00DB07CC" w:rsidRPr="00FF2655">
        <w:t>) (other than the first HFC quota allocation period)</w:t>
      </w:r>
      <w:r w:rsidR="00AD5438" w:rsidRPr="00FF2655">
        <w:t xml:space="preserve"> if</w:t>
      </w:r>
      <w:r w:rsidR="00DB07CC" w:rsidRPr="00FF2655">
        <w:t>:</w:t>
      </w:r>
    </w:p>
    <w:p w:rsidR="00DB07CC" w:rsidRPr="00FF2655" w:rsidRDefault="00DB07CC" w:rsidP="00DB07CC">
      <w:pPr>
        <w:pStyle w:val="paragraph"/>
      </w:pPr>
      <w:r w:rsidRPr="00FF2655">
        <w:tab/>
        <w:t>(a)</w:t>
      </w:r>
      <w:r w:rsidRPr="00FF2655">
        <w:tab/>
        <w:t>the licensee has been allocated HFC quotas for the calendar years in the HFC quota allocation period</w:t>
      </w:r>
      <w:r w:rsidR="00382A89" w:rsidRPr="00FF2655">
        <w:t xml:space="preserve"> occurring immediately before the retirement period</w:t>
      </w:r>
      <w:r w:rsidRPr="00FF2655">
        <w:t>; and</w:t>
      </w:r>
    </w:p>
    <w:p w:rsidR="00DB07CC" w:rsidRPr="00FF2655" w:rsidRDefault="00DB07CC" w:rsidP="00DB07CC">
      <w:pPr>
        <w:pStyle w:val="paragraph"/>
      </w:pPr>
      <w:r w:rsidRPr="00FF2655">
        <w:tab/>
        <w:t>(b)</w:t>
      </w:r>
      <w:r w:rsidRPr="00FF2655">
        <w:tab/>
        <w:t xml:space="preserve">if the retirement period </w:t>
      </w:r>
      <w:r w:rsidR="00AD5438" w:rsidRPr="00FF2655">
        <w:t xml:space="preserve">occurs after the second </w:t>
      </w:r>
      <w:r w:rsidRPr="00FF2655">
        <w:t xml:space="preserve">HFC quota allocation period—the quotas mentioned in </w:t>
      </w:r>
      <w:r w:rsidR="00FF2655" w:rsidRPr="00FF2655">
        <w:t>paragraph (</w:t>
      </w:r>
      <w:r w:rsidRPr="00FF2655">
        <w:t>a) include amounts of grandfathered quota</w:t>
      </w:r>
      <w:r w:rsidR="00740597" w:rsidRPr="00FF2655">
        <w:t>.</w:t>
      </w:r>
    </w:p>
    <w:p w:rsidR="006919A2" w:rsidRPr="00FF2655" w:rsidRDefault="006919A2" w:rsidP="006919A2">
      <w:pPr>
        <w:pStyle w:val="subsection"/>
      </w:pPr>
      <w:r w:rsidRPr="00FF2655">
        <w:tab/>
        <w:t>(2)</w:t>
      </w:r>
      <w:r w:rsidRPr="00FF2655">
        <w:tab/>
        <w:t>The application must:</w:t>
      </w:r>
    </w:p>
    <w:p w:rsidR="006919A2" w:rsidRPr="00FF2655" w:rsidRDefault="006919A2" w:rsidP="006919A2">
      <w:pPr>
        <w:pStyle w:val="paragraph"/>
      </w:pPr>
      <w:r w:rsidRPr="00FF2655">
        <w:tab/>
        <w:t>(a)</w:t>
      </w:r>
      <w:r w:rsidRPr="00FF2655">
        <w:tab/>
        <w:t>be in writing; and</w:t>
      </w:r>
    </w:p>
    <w:p w:rsidR="00DB07CC" w:rsidRPr="00FF2655" w:rsidRDefault="006919A2" w:rsidP="006919A2">
      <w:pPr>
        <w:pStyle w:val="paragraph"/>
      </w:pPr>
      <w:r w:rsidRPr="00FF2655">
        <w:tab/>
        <w:t>(</w:t>
      </w:r>
      <w:r w:rsidR="00276C98" w:rsidRPr="00FF2655">
        <w:t>b</w:t>
      </w:r>
      <w:r w:rsidRPr="00FF2655">
        <w:t>)</w:t>
      </w:r>
      <w:r w:rsidRPr="00FF2655">
        <w:tab/>
        <w:t>be given to the Minister no later than</w:t>
      </w:r>
      <w:r w:rsidR="0005000D" w:rsidRPr="00FF2655">
        <w:t xml:space="preserve"> </w:t>
      </w:r>
      <w:r w:rsidR="00DB07CC" w:rsidRPr="00FF2655">
        <w:t>3</w:t>
      </w:r>
      <w:r w:rsidR="007653C4" w:rsidRPr="00FF2655">
        <w:t>0</w:t>
      </w:r>
      <w:r w:rsidR="00FF2655" w:rsidRPr="00FF2655">
        <w:t> </w:t>
      </w:r>
      <w:r w:rsidR="00DB07CC" w:rsidRPr="00FF2655">
        <w:t>June before the start of the retirement period</w:t>
      </w:r>
      <w:r w:rsidR="00740597" w:rsidRPr="00FF2655">
        <w:t>.</w:t>
      </w:r>
    </w:p>
    <w:p w:rsidR="006919A2" w:rsidRPr="00FF2655" w:rsidRDefault="00740597" w:rsidP="006919A2">
      <w:pPr>
        <w:pStyle w:val="ActHead5"/>
      </w:pPr>
      <w:bookmarkStart w:id="43" w:name="_Toc487631719"/>
      <w:r w:rsidRPr="00FF2655">
        <w:rPr>
          <w:rStyle w:val="CharSectno"/>
        </w:rPr>
        <w:t>56</w:t>
      </w:r>
      <w:r w:rsidR="006919A2" w:rsidRPr="00FF2655">
        <w:t xml:space="preserve">  Consultation before retiring quota</w:t>
      </w:r>
      <w:r w:rsidR="00276C98" w:rsidRPr="00FF2655">
        <w:t xml:space="preserve"> entitlements</w:t>
      </w:r>
      <w:bookmarkEnd w:id="43"/>
    </w:p>
    <w:p w:rsidR="006919A2" w:rsidRPr="00FF2655" w:rsidRDefault="006919A2" w:rsidP="006919A2">
      <w:pPr>
        <w:pStyle w:val="subsection"/>
      </w:pPr>
      <w:r w:rsidRPr="00FF2655">
        <w:tab/>
        <w:t>(1)</w:t>
      </w:r>
      <w:r w:rsidRPr="00FF2655">
        <w:tab/>
        <w:t>Before the Minister makes a decision on an application</w:t>
      </w:r>
      <w:r w:rsidR="00276C98" w:rsidRPr="00FF2655">
        <w:t xml:space="preserve"> under regulation</w:t>
      </w:r>
      <w:r w:rsidR="00FF2655" w:rsidRPr="00FF2655">
        <w:t> </w:t>
      </w:r>
      <w:r w:rsidR="00740597" w:rsidRPr="00FF2655">
        <w:t>55</w:t>
      </w:r>
      <w:r w:rsidRPr="00FF2655">
        <w:t xml:space="preserve"> to retire a</w:t>
      </w:r>
      <w:r w:rsidR="00276C98" w:rsidRPr="00FF2655">
        <w:t xml:space="preserve"> percentage of </w:t>
      </w:r>
      <w:r w:rsidR="00382A89" w:rsidRPr="00FF2655">
        <w:t>an SGG licensee</w:t>
      </w:r>
      <w:r w:rsidR="006360F9" w:rsidRPr="00FF2655">
        <w:t>’</w:t>
      </w:r>
      <w:r w:rsidR="00382A89" w:rsidRPr="00FF2655">
        <w:t xml:space="preserve">s entitlement to HFC </w:t>
      </w:r>
      <w:r w:rsidR="00276C98" w:rsidRPr="00FF2655">
        <w:t>quota</w:t>
      </w:r>
      <w:r w:rsidR="00382A89" w:rsidRPr="00FF2655">
        <w:t>s</w:t>
      </w:r>
      <w:r w:rsidR="00897B80" w:rsidRPr="00FF2655">
        <w:t xml:space="preserve"> for calendar years occurring in or after a specified HFC quota allocation period</w:t>
      </w:r>
      <w:r w:rsidR="00D12036" w:rsidRPr="00FF2655">
        <w:t xml:space="preserve"> (the </w:t>
      </w:r>
      <w:r w:rsidR="00D12036" w:rsidRPr="00FF2655">
        <w:rPr>
          <w:b/>
          <w:i/>
        </w:rPr>
        <w:t>retirement period</w:t>
      </w:r>
      <w:r w:rsidR="00D12036" w:rsidRPr="00FF2655">
        <w:t>)</w:t>
      </w:r>
      <w:r w:rsidR="0050781B" w:rsidRPr="00FF2655">
        <w:t>,</w:t>
      </w:r>
      <w:r w:rsidR="00382A89" w:rsidRPr="00FF2655">
        <w:t xml:space="preserve"> </w:t>
      </w:r>
      <w:r w:rsidRPr="00FF2655">
        <w:t>the Minister must consult industry and the public about the application</w:t>
      </w:r>
      <w:r w:rsidR="00740597" w:rsidRPr="00FF2655">
        <w:t>.</w:t>
      </w:r>
    </w:p>
    <w:p w:rsidR="006919A2" w:rsidRPr="00FF2655" w:rsidRDefault="006919A2" w:rsidP="006919A2">
      <w:pPr>
        <w:pStyle w:val="subsection"/>
      </w:pPr>
      <w:r w:rsidRPr="00FF2655">
        <w:tab/>
        <w:t>(2)</w:t>
      </w:r>
      <w:r w:rsidRPr="00FF2655">
        <w:tab/>
        <w:t>Without limiting the ways in which the Minister may comply with the obligation in subregulation</w:t>
      </w:r>
      <w:r w:rsidR="00FF2655" w:rsidRPr="00FF2655">
        <w:t> </w:t>
      </w:r>
      <w:r w:rsidRPr="00FF2655">
        <w:t>(1), the Minister is taken to comply with that obligation if the Minister:</w:t>
      </w:r>
    </w:p>
    <w:p w:rsidR="006919A2" w:rsidRPr="00FF2655" w:rsidRDefault="006919A2" w:rsidP="006919A2">
      <w:pPr>
        <w:pStyle w:val="paragraph"/>
      </w:pPr>
      <w:r w:rsidRPr="00FF2655">
        <w:tab/>
        <w:t>(a)</w:t>
      </w:r>
      <w:r w:rsidRPr="00FF2655">
        <w:tab/>
        <w:t>on the Department</w:t>
      </w:r>
      <w:r w:rsidR="006360F9" w:rsidRPr="00FF2655">
        <w:t>’</w:t>
      </w:r>
      <w:r w:rsidRPr="00FF2655">
        <w:t>s website:</w:t>
      </w:r>
    </w:p>
    <w:p w:rsidR="006919A2" w:rsidRPr="00FF2655" w:rsidRDefault="006919A2" w:rsidP="006919A2">
      <w:pPr>
        <w:pStyle w:val="paragraphsub"/>
      </w:pPr>
      <w:r w:rsidRPr="00FF2655">
        <w:tab/>
        <w:t>(i)</w:t>
      </w:r>
      <w:r w:rsidRPr="00FF2655">
        <w:tab/>
        <w:t>makes</w:t>
      </w:r>
      <w:r w:rsidR="00B35EEC" w:rsidRPr="00FF2655">
        <w:t xml:space="preserve"> available</w:t>
      </w:r>
      <w:r w:rsidRPr="00FF2655">
        <w:t xml:space="preserve"> the application for the retirement, or a description of the proposed retirement; and</w:t>
      </w:r>
    </w:p>
    <w:p w:rsidR="006919A2" w:rsidRPr="00FF2655" w:rsidRDefault="006919A2" w:rsidP="006919A2">
      <w:pPr>
        <w:pStyle w:val="paragraphsub"/>
      </w:pPr>
      <w:r w:rsidRPr="00FF2655">
        <w:tab/>
        <w:t>(ii)</w:t>
      </w:r>
      <w:r w:rsidRPr="00FF2655">
        <w:tab/>
        <w:t>invites the public to comment on the proposed retirement; and</w:t>
      </w:r>
    </w:p>
    <w:p w:rsidR="006919A2" w:rsidRPr="00FF2655" w:rsidRDefault="006919A2" w:rsidP="00D12036">
      <w:pPr>
        <w:pStyle w:val="paragraph"/>
      </w:pPr>
      <w:r w:rsidRPr="00FF2655">
        <w:tab/>
        <w:t>(b)</w:t>
      </w:r>
      <w:r w:rsidRPr="00FF2655">
        <w:tab/>
        <w:t>notifies each SGG licensee (other than the applicant) to whom HFC quota</w:t>
      </w:r>
      <w:r w:rsidR="003F63BD" w:rsidRPr="00FF2655">
        <w:t>s have been allocated</w:t>
      </w:r>
      <w:r w:rsidRPr="00FF2655">
        <w:t xml:space="preserve"> for </w:t>
      </w:r>
      <w:r w:rsidR="00897B80" w:rsidRPr="00FF2655">
        <w:t>the</w:t>
      </w:r>
      <w:r w:rsidR="00276C98" w:rsidRPr="00FF2655">
        <w:t xml:space="preserve"> </w:t>
      </w:r>
      <w:r w:rsidR="0050781B" w:rsidRPr="00FF2655">
        <w:t xml:space="preserve">calendar </w:t>
      </w:r>
      <w:r w:rsidR="00276C98" w:rsidRPr="00FF2655">
        <w:t>year</w:t>
      </w:r>
      <w:r w:rsidR="00897B80" w:rsidRPr="00FF2655">
        <w:t>s</w:t>
      </w:r>
      <w:r w:rsidR="00276C98" w:rsidRPr="00FF2655">
        <w:t xml:space="preserve"> </w:t>
      </w:r>
      <w:r w:rsidR="00897B80" w:rsidRPr="00FF2655">
        <w:t>in the</w:t>
      </w:r>
      <w:r w:rsidR="001E4CE4" w:rsidRPr="00FF2655">
        <w:t xml:space="preserve"> </w:t>
      </w:r>
      <w:r w:rsidR="00897B80" w:rsidRPr="00FF2655">
        <w:t>HFC quota allocation</w:t>
      </w:r>
      <w:r w:rsidR="00D12036" w:rsidRPr="00FF2655">
        <w:t xml:space="preserve"> occurring immediately before the retirement period</w:t>
      </w:r>
      <w:r w:rsidRPr="00FF2655">
        <w:t>:</w:t>
      </w:r>
    </w:p>
    <w:p w:rsidR="006919A2" w:rsidRPr="00FF2655" w:rsidRDefault="006919A2" w:rsidP="006919A2">
      <w:pPr>
        <w:pStyle w:val="paragraphsub"/>
      </w:pPr>
      <w:r w:rsidRPr="00FF2655">
        <w:tab/>
        <w:t>(i)</w:t>
      </w:r>
      <w:r w:rsidRPr="00FF2655">
        <w:tab/>
        <w:t>that the application or description is available on the Department</w:t>
      </w:r>
      <w:r w:rsidR="006360F9" w:rsidRPr="00FF2655">
        <w:t>’</w:t>
      </w:r>
      <w:r w:rsidRPr="00FF2655">
        <w:t>s website; and</w:t>
      </w:r>
    </w:p>
    <w:p w:rsidR="006919A2" w:rsidRPr="00FF2655" w:rsidRDefault="006919A2" w:rsidP="006919A2">
      <w:pPr>
        <w:pStyle w:val="paragraphsub"/>
      </w:pPr>
      <w:r w:rsidRPr="00FF2655">
        <w:tab/>
        <w:t>(ii)</w:t>
      </w:r>
      <w:r w:rsidRPr="00FF2655">
        <w:tab/>
        <w:t>that the SGG licensee is invited to comment on the proposed retirement; and</w:t>
      </w:r>
    </w:p>
    <w:p w:rsidR="006919A2" w:rsidRPr="00FF2655" w:rsidRDefault="006919A2" w:rsidP="006919A2">
      <w:pPr>
        <w:pStyle w:val="paragraph"/>
      </w:pPr>
      <w:r w:rsidRPr="00FF2655">
        <w:tab/>
        <w:t>(c)</w:t>
      </w:r>
      <w:r w:rsidRPr="00FF2655">
        <w:tab/>
        <w:t xml:space="preserve">does not </w:t>
      </w:r>
      <w:r w:rsidR="00DB07CC" w:rsidRPr="00FF2655">
        <w:t xml:space="preserve">make a decision on the application </w:t>
      </w:r>
      <w:r w:rsidRPr="00FF2655">
        <w:t xml:space="preserve">before the end of the 20 days starting on the day the Minister makes the application or description available under </w:t>
      </w:r>
      <w:r w:rsidR="00FF2655" w:rsidRPr="00FF2655">
        <w:t>paragraph (</w:t>
      </w:r>
      <w:r w:rsidRPr="00FF2655">
        <w:t>a)</w:t>
      </w:r>
      <w:r w:rsidR="00740597" w:rsidRPr="00FF2655">
        <w:t>.</w:t>
      </w:r>
    </w:p>
    <w:p w:rsidR="006919A2" w:rsidRPr="00FF2655" w:rsidRDefault="006919A2" w:rsidP="006919A2">
      <w:pPr>
        <w:pStyle w:val="subsection"/>
      </w:pPr>
      <w:r w:rsidRPr="00FF2655">
        <w:tab/>
        <w:t>(3)</w:t>
      </w:r>
      <w:r w:rsidRPr="00FF2655">
        <w:tab/>
        <w:t>A failure to consult as required by subregulation</w:t>
      </w:r>
      <w:r w:rsidR="00FF2655" w:rsidRPr="00FF2655">
        <w:t> </w:t>
      </w:r>
      <w:r w:rsidRPr="00FF2655">
        <w:t>(1) does not invalidate a decision under this Division</w:t>
      </w:r>
      <w:r w:rsidR="00740597" w:rsidRPr="00FF2655">
        <w:t>.</w:t>
      </w:r>
    </w:p>
    <w:p w:rsidR="006919A2" w:rsidRPr="00FF2655" w:rsidRDefault="00740597" w:rsidP="006919A2">
      <w:pPr>
        <w:pStyle w:val="ActHead5"/>
      </w:pPr>
      <w:bookmarkStart w:id="44" w:name="_Toc487631720"/>
      <w:r w:rsidRPr="00FF2655">
        <w:rPr>
          <w:rStyle w:val="CharSectno"/>
        </w:rPr>
        <w:t>57</w:t>
      </w:r>
      <w:r w:rsidR="006919A2" w:rsidRPr="00FF2655">
        <w:t xml:space="preserve">  Retiring quota</w:t>
      </w:r>
      <w:r w:rsidR="00382A89" w:rsidRPr="00FF2655">
        <w:t xml:space="preserve"> entitlements</w:t>
      </w:r>
      <w:bookmarkEnd w:id="44"/>
    </w:p>
    <w:p w:rsidR="006919A2" w:rsidRPr="00FF2655" w:rsidRDefault="006919A2" w:rsidP="0050781B">
      <w:pPr>
        <w:pStyle w:val="subsection"/>
      </w:pPr>
      <w:r w:rsidRPr="00FF2655">
        <w:tab/>
        <w:t>(1)</w:t>
      </w:r>
      <w:r w:rsidRPr="00FF2655">
        <w:tab/>
        <w:t>If an SGG licensee applies under regulation</w:t>
      </w:r>
      <w:r w:rsidR="00FF2655" w:rsidRPr="00FF2655">
        <w:t> </w:t>
      </w:r>
      <w:r w:rsidR="00740597" w:rsidRPr="00FF2655">
        <w:t>55</w:t>
      </w:r>
      <w:r w:rsidRPr="00FF2655">
        <w:t xml:space="preserve"> to retire a</w:t>
      </w:r>
      <w:r w:rsidR="00382A89" w:rsidRPr="00FF2655">
        <w:t xml:space="preserve"> percentage of the licensee</w:t>
      </w:r>
      <w:r w:rsidR="006360F9" w:rsidRPr="00FF2655">
        <w:t>’</w:t>
      </w:r>
      <w:r w:rsidR="00382A89" w:rsidRPr="00FF2655">
        <w:t>s entitlement to HFC quotas</w:t>
      </w:r>
      <w:r w:rsidR="0050781B" w:rsidRPr="00FF2655">
        <w:t xml:space="preserve"> for calendar years occurring in or after a </w:t>
      </w:r>
      <w:r w:rsidR="00382A89" w:rsidRPr="00FF2655">
        <w:t xml:space="preserve">specified </w:t>
      </w:r>
      <w:r w:rsidR="00DB07CC" w:rsidRPr="00FF2655">
        <w:t>HFC quota allocation period</w:t>
      </w:r>
      <w:r w:rsidRPr="00FF2655">
        <w:t>, the Minister must:</w:t>
      </w:r>
    </w:p>
    <w:p w:rsidR="006919A2" w:rsidRPr="00FF2655" w:rsidRDefault="006919A2" w:rsidP="006919A2">
      <w:pPr>
        <w:pStyle w:val="paragraph"/>
      </w:pPr>
      <w:r w:rsidRPr="00FF2655">
        <w:tab/>
        <w:t>(a)</w:t>
      </w:r>
      <w:r w:rsidRPr="00FF2655">
        <w:tab/>
      </w:r>
      <w:r w:rsidR="00382A89" w:rsidRPr="00FF2655">
        <w:t xml:space="preserve">by notifiable instrument, </w:t>
      </w:r>
      <w:r w:rsidRPr="00FF2655">
        <w:t xml:space="preserve">retire a specified </w:t>
      </w:r>
      <w:r w:rsidR="00295D1F" w:rsidRPr="00FF2655">
        <w:t>percentage</w:t>
      </w:r>
      <w:r w:rsidRPr="00FF2655">
        <w:t xml:space="preserve"> of </w:t>
      </w:r>
      <w:r w:rsidR="00382A89" w:rsidRPr="00FF2655">
        <w:t>the licensee</w:t>
      </w:r>
      <w:r w:rsidR="006360F9" w:rsidRPr="00FF2655">
        <w:t>’</w:t>
      </w:r>
      <w:r w:rsidR="00382A89" w:rsidRPr="00FF2655">
        <w:t xml:space="preserve">s entitlement to HFC </w:t>
      </w:r>
      <w:r w:rsidRPr="00FF2655">
        <w:t>quota</w:t>
      </w:r>
      <w:r w:rsidR="00382A89" w:rsidRPr="00FF2655">
        <w:t>s</w:t>
      </w:r>
      <w:r w:rsidR="0050781B" w:rsidRPr="00FF2655">
        <w:t xml:space="preserve"> for those years</w:t>
      </w:r>
      <w:r w:rsidRPr="00FF2655">
        <w:t>; or</w:t>
      </w:r>
    </w:p>
    <w:p w:rsidR="006919A2" w:rsidRPr="00FF2655" w:rsidRDefault="006919A2" w:rsidP="006919A2">
      <w:pPr>
        <w:pStyle w:val="paragraph"/>
      </w:pPr>
      <w:r w:rsidRPr="00FF2655">
        <w:tab/>
        <w:t>(b)</w:t>
      </w:r>
      <w:r w:rsidRPr="00FF2655">
        <w:tab/>
        <w:t xml:space="preserve">refuse the application by </w:t>
      </w:r>
      <w:r w:rsidR="004048EB" w:rsidRPr="00FF2655">
        <w:t xml:space="preserve">written </w:t>
      </w:r>
      <w:r w:rsidRPr="00FF2655">
        <w:t>notice given to the applicant</w:t>
      </w:r>
      <w:r w:rsidR="00740597" w:rsidRPr="00FF2655">
        <w:t>.</w:t>
      </w:r>
    </w:p>
    <w:p w:rsidR="006919A2" w:rsidRPr="00FF2655" w:rsidRDefault="00295D1F" w:rsidP="006919A2">
      <w:pPr>
        <w:pStyle w:val="subsection"/>
      </w:pPr>
      <w:r w:rsidRPr="00FF2655">
        <w:tab/>
        <w:t>(2)</w:t>
      </w:r>
      <w:r w:rsidRPr="00FF2655">
        <w:tab/>
        <w:t>The percentage</w:t>
      </w:r>
      <w:r w:rsidR="006919A2" w:rsidRPr="00FF2655">
        <w:t xml:space="preserve"> specified under </w:t>
      </w:r>
      <w:r w:rsidR="00FF2655" w:rsidRPr="00FF2655">
        <w:t>paragraph (</w:t>
      </w:r>
      <w:r w:rsidR="006919A2" w:rsidRPr="00FF2655">
        <w:t>1)(a) must be:</w:t>
      </w:r>
    </w:p>
    <w:p w:rsidR="006919A2" w:rsidRPr="00FF2655" w:rsidRDefault="00295D1F" w:rsidP="006919A2">
      <w:pPr>
        <w:pStyle w:val="paragraph"/>
      </w:pPr>
      <w:r w:rsidRPr="00FF2655">
        <w:tab/>
        <w:t>(a)</w:t>
      </w:r>
      <w:r w:rsidRPr="00FF2655">
        <w:tab/>
        <w:t>the percentage</w:t>
      </w:r>
      <w:r w:rsidR="006919A2" w:rsidRPr="00FF2655">
        <w:t xml:space="preserve"> specified in the application; or</w:t>
      </w:r>
    </w:p>
    <w:p w:rsidR="006919A2" w:rsidRPr="00FF2655" w:rsidRDefault="006919A2" w:rsidP="006919A2">
      <w:pPr>
        <w:pStyle w:val="paragraph"/>
      </w:pPr>
      <w:r w:rsidRPr="00FF2655">
        <w:tab/>
        <w:t>(b)</w:t>
      </w:r>
      <w:r w:rsidRPr="00FF2655">
        <w:tab/>
        <w:t xml:space="preserve">a lesser </w:t>
      </w:r>
      <w:r w:rsidR="00295D1F" w:rsidRPr="00FF2655">
        <w:t>percentage</w:t>
      </w:r>
      <w:r w:rsidR="00740597" w:rsidRPr="00FF2655">
        <w:t>.</w:t>
      </w:r>
    </w:p>
    <w:p w:rsidR="006919A2" w:rsidRPr="00FF2655" w:rsidRDefault="006919A2" w:rsidP="006919A2">
      <w:pPr>
        <w:pStyle w:val="subsection"/>
      </w:pPr>
      <w:r w:rsidRPr="00FF2655">
        <w:tab/>
        <w:t>(3)</w:t>
      </w:r>
      <w:r w:rsidRPr="00FF2655">
        <w:tab/>
        <w:t xml:space="preserve">In deciding </w:t>
      </w:r>
      <w:r w:rsidR="00382A89" w:rsidRPr="00FF2655">
        <w:t xml:space="preserve">the application, </w:t>
      </w:r>
      <w:r w:rsidRPr="00FF2655">
        <w:t>the Minister:</w:t>
      </w:r>
    </w:p>
    <w:p w:rsidR="006919A2" w:rsidRPr="00FF2655" w:rsidRDefault="006919A2" w:rsidP="006919A2">
      <w:pPr>
        <w:pStyle w:val="paragraph"/>
      </w:pPr>
      <w:r w:rsidRPr="00FF2655">
        <w:tab/>
        <w:t>(a)</w:t>
      </w:r>
      <w:r w:rsidRPr="00FF2655">
        <w:tab/>
        <w:t>must have regard to the likely demand for HFC in Australia in th</w:t>
      </w:r>
      <w:r w:rsidR="0050781B" w:rsidRPr="00FF2655">
        <w:t>ose years</w:t>
      </w:r>
      <w:r w:rsidRPr="00FF2655">
        <w:t>; and</w:t>
      </w:r>
    </w:p>
    <w:p w:rsidR="006919A2" w:rsidRPr="00FF2655" w:rsidRDefault="006919A2" w:rsidP="006919A2">
      <w:pPr>
        <w:pStyle w:val="paragraph"/>
      </w:pPr>
      <w:r w:rsidRPr="00FF2655">
        <w:tab/>
        <w:t>(b)</w:t>
      </w:r>
      <w:r w:rsidRPr="00FF2655">
        <w:tab/>
        <w:t>must have regard to Australia</w:t>
      </w:r>
      <w:r w:rsidR="006360F9" w:rsidRPr="00FF2655">
        <w:t>’</w:t>
      </w:r>
      <w:r w:rsidRPr="00FF2655">
        <w:t>s international obligations, and the policies of the Commonwealth Government, in relation to the manufacture, importation or consumption of scheduled substances; and</w:t>
      </w:r>
    </w:p>
    <w:p w:rsidR="006919A2" w:rsidRPr="00FF2655" w:rsidRDefault="006919A2" w:rsidP="006919A2">
      <w:pPr>
        <w:pStyle w:val="paragraph"/>
      </w:pPr>
      <w:r w:rsidRPr="00FF2655">
        <w:tab/>
        <w:t>(c)</w:t>
      </w:r>
      <w:r w:rsidRPr="00FF2655">
        <w:tab/>
        <w:t>may have regard to any other matters he or she thinks relevant</w:t>
      </w:r>
      <w:r w:rsidR="00740597" w:rsidRPr="00FF2655">
        <w:t>.</w:t>
      </w:r>
    </w:p>
    <w:p w:rsidR="006919A2" w:rsidRPr="00FF2655" w:rsidRDefault="00740597" w:rsidP="006919A2">
      <w:pPr>
        <w:pStyle w:val="ActHead5"/>
      </w:pPr>
      <w:bookmarkStart w:id="45" w:name="_Toc487631721"/>
      <w:r w:rsidRPr="00FF2655">
        <w:rPr>
          <w:rStyle w:val="CharSectno"/>
        </w:rPr>
        <w:t>58</w:t>
      </w:r>
      <w:r w:rsidR="006919A2" w:rsidRPr="00FF2655">
        <w:t xml:space="preserve">  Retiring quota</w:t>
      </w:r>
      <w:r w:rsidR="00382A89" w:rsidRPr="00FF2655">
        <w:t xml:space="preserve"> entitlement</w:t>
      </w:r>
      <w:r w:rsidR="006919A2" w:rsidRPr="00FF2655">
        <w:t>s—effects</w:t>
      </w:r>
      <w:bookmarkEnd w:id="45"/>
    </w:p>
    <w:p w:rsidR="006919A2" w:rsidRPr="00FF2655" w:rsidRDefault="006919A2" w:rsidP="0050781B">
      <w:pPr>
        <w:pStyle w:val="subsection"/>
      </w:pPr>
      <w:r w:rsidRPr="00FF2655">
        <w:tab/>
        <w:t>(1)</w:t>
      </w:r>
      <w:r w:rsidRPr="00FF2655">
        <w:tab/>
        <w:t>This section app</w:t>
      </w:r>
      <w:r w:rsidR="00A36986" w:rsidRPr="00FF2655">
        <w:t>lies if</w:t>
      </w:r>
      <w:r w:rsidR="00382A89" w:rsidRPr="00FF2655">
        <w:t>, under regulation</w:t>
      </w:r>
      <w:r w:rsidR="00FF2655" w:rsidRPr="00FF2655">
        <w:t> </w:t>
      </w:r>
      <w:r w:rsidR="00740597" w:rsidRPr="00FF2655">
        <w:t>57</w:t>
      </w:r>
      <w:r w:rsidR="00382A89" w:rsidRPr="00FF2655">
        <w:t>,</w:t>
      </w:r>
      <w:r w:rsidR="00A36986" w:rsidRPr="00FF2655">
        <w:t xml:space="preserve"> the Minister retires a percentage </w:t>
      </w:r>
      <w:r w:rsidR="0018707E" w:rsidRPr="00FF2655">
        <w:t xml:space="preserve">(the </w:t>
      </w:r>
      <w:r w:rsidR="0018707E" w:rsidRPr="00FF2655">
        <w:rPr>
          <w:b/>
          <w:i/>
        </w:rPr>
        <w:t>retirement percentage</w:t>
      </w:r>
      <w:r w:rsidR="0018707E" w:rsidRPr="00FF2655">
        <w:t xml:space="preserve">) </w:t>
      </w:r>
      <w:r w:rsidRPr="00FF2655">
        <w:t xml:space="preserve">of </w:t>
      </w:r>
      <w:r w:rsidR="00382A89" w:rsidRPr="00FF2655">
        <w:t xml:space="preserve">the entitlement of an SGG licensee (the </w:t>
      </w:r>
      <w:r w:rsidR="00382A89" w:rsidRPr="00FF2655">
        <w:rPr>
          <w:b/>
          <w:i/>
        </w:rPr>
        <w:t>applicant</w:t>
      </w:r>
      <w:r w:rsidR="00382A89" w:rsidRPr="00FF2655">
        <w:t xml:space="preserve">) </w:t>
      </w:r>
      <w:r w:rsidR="0050781B" w:rsidRPr="00FF2655">
        <w:t xml:space="preserve">to HFC quotas for calendar years occurring in or after a particular HFC quota allocation period (the </w:t>
      </w:r>
      <w:r w:rsidR="0050781B" w:rsidRPr="00FF2655">
        <w:rPr>
          <w:b/>
          <w:i/>
        </w:rPr>
        <w:t>retirement period</w:t>
      </w:r>
      <w:r w:rsidR="0050781B" w:rsidRPr="00FF2655">
        <w:t>)</w:t>
      </w:r>
      <w:r w:rsidR="00740597" w:rsidRPr="00FF2655">
        <w:t>.</w:t>
      </w:r>
    </w:p>
    <w:p w:rsidR="00CE293D" w:rsidRPr="00FF2655" w:rsidRDefault="00CE293D" w:rsidP="00CE293D">
      <w:pPr>
        <w:pStyle w:val="SubsectionHead"/>
      </w:pPr>
      <w:r w:rsidRPr="00FF2655">
        <w:t>Reduction in applicant</w:t>
      </w:r>
      <w:r w:rsidR="006360F9" w:rsidRPr="00FF2655">
        <w:t>’</w:t>
      </w:r>
      <w:r w:rsidRPr="00FF2655">
        <w:t>s HFC quotas</w:t>
      </w:r>
    </w:p>
    <w:p w:rsidR="00CE7A98" w:rsidRPr="00FF2655" w:rsidRDefault="00F3245E" w:rsidP="00F3245E">
      <w:pPr>
        <w:pStyle w:val="subsection"/>
      </w:pPr>
      <w:r w:rsidRPr="00FF2655">
        <w:tab/>
        <w:t>(2)</w:t>
      </w:r>
      <w:r w:rsidRPr="00FF2655">
        <w:tab/>
        <w:t>The amount of grandfathered qu</w:t>
      </w:r>
      <w:r w:rsidR="00C86AE0" w:rsidRPr="00FF2655">
        <w:t>ota (if any) to which the applicant</w:t>
      </w:r>
      <w:r w:rsidRPr="00FF2655">
        <w:t xml:space="preserve"> is entitled for </w:t>
      </w:r>
      <w:r w:rsidR="0050781B" w:rsidRPr="00FF2655">
        <w:t>each of those years is</w:t>
      </w:r>
      <w:r w:rsidR="00CE7A98" w:rsidRPr="00FF2655">
        <w:t>:</w:t>
      </w:r>
    </w:p>
    <w:p w:rsidR="002C344C" w:rsidRPr="00FF2655" w:rsidRDefault="002C344C" w:rsidP="002C344C">
      <w:pPr>
        <w:pStyle w:val="paragraph"/>
      </w:pPr>
      <w:r w:rsidRPr="00FF2655">
        <w:tab/>
        <w:t>(a)</w:t>
      </w:r>
      <w:r w:rsidRPr="00FF2655">
        <w:tab/>
        <w:t xml:space="preserve">if the year </w:t>
      </w:r>
      <w:r w:rsidR="0050781B" w:rsidRPr="00FF2655">
        <w:t>occurs</w:t>
      </w:r>
      <w:r w:rsidRPr="00FF2655">
        <w:t xml:space="preserve"> in the retirement period—</w:t>
      </w:r>
      <w:r w:rsidR="00D12036" w:rsidRPr="00FF2655">
        <w:t xml:space="preserve">reduced </w:t>
      </w:r>
      <w:r w:rsidR="0091623F" w:rsidRPr="00FF2655">
        <w:t xml:space="preserve">by </w:t>
      </w:r>
      <w:r w:rsidRPr="00FF2655">
        <w:t>th</w:t>
      </w:r>
      <w:r w:rsidR="0018707E" w:rsidRPr="00FF2655">
        <w:t>e retirement</w:t>
      </w:r>
      <w:r w:rsidRPr="00FF2655">
        <w:t xml:space="preserve"> percentage; or</w:t>
      </w:r>
    </w:p>
    <w:p w:rsidR="002C344C" w:rsidRPr="00FF2655" w:rsidRDefault="002C344C" w:rsidP="00D12036">
      <w:pPr>
        <w:pStyle w:val="paragraph"/>
      </w:pPr>
      <w:r w:rsidRPr="00FF2655">
        <w:tab/>
        <w:t>(b)</w:t>
      </w:r>
      <w:r w:rsidRPr="00FF2655">
        <w:tab/>
      </w:r>
      <w:r w:rsidR="00A36986" w:rsidRPr="00FF2655">
        <w:t>if</w:t>
      </w:r>
      <w:r w:rsidR="00A64672" w:rsidRPr="00FF2655">
        <w:t xml:space="preserve"> </w:t>
      </w:r>
      <w:r w:rsidRPr="00FF2655">
        <w:t>t</w:t>
      </w:r>
      <w:r w:rsidR="00CE7A98" w:rsidRPr="00FF2655">
        <w:t xml:space="preserve">he year </w:t>
      </w:r>
      <w:r w:rsidR="0050781B" w:rsidRPr="00FF2655">
        <w:t>occurs</w:t>
      </w:r>
      <w:r w:rsidR="00CE7A98" w:rsidRPr="00FF2655">
        <w:t xml:space="preserve"> after the retirement period</w:t>
      </w:r>
      <w:r w:rsidR="00A64672" w:rsidRPr="00FF2655">
        <w:t xml:space="preserve">—reduced to equal the amount (the </w:t>
      </w:r>
      <w:r w:rsidR="00A64672" w:rsidRPr="00FF2655">
        <w:rPr>
          <w:b/>
          <w:i/>
        </w:rPr>
        <w:t>reduced maximum</w:t>
      </w:r>
      <w:r w:rsidR="00A64672" w:rsidRPr="00FF2655">
        <w:t xml:space="preserve">) worked out by reducing the maximum grandfathered quota for the year by the retirement percentage (if the </w:t>
      </w:r>
      <w:r w:rsidR="00D12036" w:rsidRPr="00FF2655">
        <w:t xml:space="preserve">amount of grandfathered quota would otherwise exceed the </w:t>
      </w:r>
      <w:r w:rsidR="00A64672" w:rsidRPr="00FF2655">
        <w:t>reduced maximum)</w:t>
      </w:r>
      <w:r w:rsidR="00740597" w:rsidRPr="00FF2655">
        <w:t>.</w:t>
      </w:r>
    </w:p>
    <w:p w:rsidR="00D12036" w:rsidRPr="00FF2655" w:rsidRDefault="00D12036" w:rsidP="002C344C">
      <w:pPr>
        <w:pStyle w:val="notetext"/>
      </w:pPr>
      <w:r w:rsidRPr="00FF2655">
        <w:t>Note 1:</w:t>
      </w:r>
      <w:r w:rsidRPr="00FF2655">
        <w:tab/>
        <w:t>For the maximum grandfathered quota, see subregulation</w:t>
      </w:r>
      <w:r w:rsidR="00FF2655" w:rsidRPr="00FF2655">
        <w:t> </w:t>
      </w:r>
      <w:r w:rsidRPr="00FF2655">
        <w:t>(4)</w:t>
      </w:r>
      <w:r w:rsidR="00740597" w:rsidRPr="00FF2655">
        <w:t>.</w:t>
      </w:r>
    </w:p>
    <w:p w:rsidR="002C344C" w:rsidRPr="00FF2655" w:rsidRDefault="002C344C" w:rsidP="002C344C">
      <w:pPr>
        <w:pStyle w:val="notetext"/>
      </w:pPr>
      <w:r w:rsidRPr="00FF2655">
        <w:t>Note</w:t>
      </w:r>
      <w:r w:rsidR="00D12036" w:rsidRPr="00FF2655">
        <w:t xml:space="preserve"> 2</w:t>
      </w:r>
      <w:r w:rsidRPr="00FF2655">
        <w:t>:</w:t>
      </w:r>
      <w:r w:rsidRPr="00FF2655">
        <w:tab/>
        <w:t xml:space="preserve">An amount of </w:t>
      </w:r>
      <w:r w:rsidR="005320D7" w:rsidRPr="00FF2655">
        <w:t xml:space="preserve">grandfathered </w:t>
      </w:r>
      <w:r w:rsidRPr="00FF2655">
        <w:t>quota that is reduced under this subregulation</w:t>
      </w:r>
      <w:r w:rsidR="00FF2655" w:rsidRPr="00FF2655">
        <w:t> </w:t>
      </w:r>
      <w:r w:rsidRPr="00FF2655">
        <w:t>is not reallocated to another SGG licensee</w:t>
      </w:r>
      <w:r w:rsidR="00740597" w:rsidRPr="00FF2655">
        <w:t>.</w:t>
      </w:r>
    </w:p>
    <w:p w:rsidR="00CE293D" w:rsidRPr="00FF2655" w:rsidRDefault="00CE293D" w:rsidP="00CE293D">
      <w:pPr>
        <w:pStyle w:val="SubsectionHead"/>
      </w:pPr>
      <w:r w:rsidRPr="00FF2655">
        <w:t>Retirement does not affect entitlements of other SGG licensees</w:t>
      </w:r>
    </w:p>
    <w:p w:rsidR="00C26D3B" w:rsidRPr="00FF2655" w:rsidRDefault="00F3245E" w:rsidP="00C86AE0">
      <w:pPr>
        <w:pStyle w:val="subsection"/>
      </w:pPr>
      <w:r w:rsidRPr="00FF2655">
        <w:tab/>
        <w:t>(</w:t>
      </w:r>
      <w:r w:rsidR="00DC63EE" w:rsidRPr="00FF2655">
        <w:t>3</w:t>
      </w:r>
      <w:r w:rsidRPr="00FF2655">
        <w:t>)</w:t>
      </w:r>
      <w:r w:rsidRPr="00FF2655">
        <w:tab/>
      </w:r>
      <w:r w:rsidR="00C86AE0" w:rsidRPr="00FF2655">
        <w:t>In applying</w:t>
      </w:r>
      <w:r w:rsidR="00C26D3B" w:rsidRPr="00FF2655">
        <w:t>:</w:t>
      </w:r>
    </w:p>
    <w:p w:rsidR="00C26D3B" w:rsidRPr="00FF2655" w:rsidRDefault="00C26D3B" w:rsidP="00C26D3B">
      <w:pPr>
        <w:pStyle w:val="paragraph"/>
      </w:pPr>
      <w:r w:rsidRPr="00FF2655">
        <w:tab/>
        <w:t>(a)</w:t>
      </w:r>
      <w:r w:rsidRPr="00FF2655">
        <w:tab/>
      </w:r>
      <w:r w:rsidR="00C86AE0" w:rsidRPr="00FF2655">
        <w:t>the definition</w:t>
      </w:r>
      <w:r w:rsidRPr="00FF2655">
        <w:t>s</w:t>
      </w:r>
      <w:r w:rsidR="00C86AE0" w:rsidRPr="00FF2655">
        <w:t xml:space="preserve"> of </w:t>
      </w:r>
      <w:r w:rsidR="00C86AE0" w:rsidRPr="00FF2655">
        <w:rPr>
          <w:b/>
          <w:i/>
        </w:rPr>
        <w:t xml:space="preserve">total amount of </w:t>
      </w:r>
      <w:r w:rsidR="004E4870" w:rsidRPr="00FF2655">
        <w:rPr>
          <w:b/>
          <w:i/>
        </w:rPr>
        <w:t>licensed</w:t>
      </w:r>
      <w:r w:rsidR="00C86AE0" w:rsidRPr="00FF2655">
        <w:rPr>
          <w:b/>
          <w:i/>
        </w:rPr>
        <w:t xml:space="preserve"> activities (grandfathered)</w:t>
      </w:r>
      <w:r w:rsidR="00C86AE0" w:rsidRPr="00FF2655">
        <w:t xml:space="preserve"> and </w:t>
      </w:r>
      <w:r w:rsidR="00C86AE0" w:rsidRPr="00FF2655">
        <w:rPr>
          <w:b/>
          <w:i/>
        </w:rPr>
        <w:t xml:space="preserve">total amount of </w:t>
      </w:r>
      <w:r w:rsidR="004E4870" w:rsidRPr="00FF2655">
        <w:rPr>
          <w:b/>
          <w:i/>
        </w:rPr>
        <w:t>licensed</w:t>
      </w:r>
      <w:r w:rsidR="00C86AE0" w:rsidRPr="00FF2655">
        <w:rPr>
          <w:b/>
          <w:i/>
        </w:rPr>
        <w:t xml:space="preserve"> activities (non</w:t>
      </w:r>
      <w:r w:rsidR="00FF2655">
        <w:rPr>
          <w:b/>
          <w:i/>
        </w:rPr>
        <w:noBreakHyphen/>
      </w:r>
      <w:r w:rsidR="00C86AE0" w:rsidRPr="00FF2655">
        <w:rPr>
          <w:b/>
          <w:i/>
        </w:rPr>
        <w:t>grandfathered)</w:t>
      </w:r>
      <w:r w:rsidR="00C86AE0" w:rsidRPr="00FF2655">
        <w:t xml:space="preserve"> in sub</w:t>
      </w:r>
      <w:r w:rsidR="002817B9" w:rsidRPr="00FF2655">
        <w:t>regulation</w:t>
      </w:r>
      <w:r w:rsidR="00FF2655" w:rsidRPr="00FF2655">
        <w:t> </w:t>
      </w:r>
      <w:r w:rsidR="00740597" w:rsidRPr="00FF2655">
        <w:t>49</w:t>
      </w:r>
      <w:r w:rsidRPr="00FF2655">
        <w:t>(2); and</w:t>
      </w:r>
    </w:p>
    <w:p w:rsidR="00C26D3B" w:rsidRPr="00FF2655" w:rsidRDefault="00C26D3B" w:rsidP="00C26D3B">
      <w:pPr>
        <w:pStyle w:val="paragraph"/>
      </w:pPr>
      <w:r w:rsidRPr="00FF2655">
        <w:tab/>
        <w:t>(b)</w:t>
      </w:r>
      <w:r w:rsidRPr="00FF2655">
        <w:tab/>
        <w:t xml:space="preserve">the definition of </w:t>
      </w:r>
      <w:r w:rsidRPr="00FF2655">
        <w:rPr>
          <w:b/>
          <w:i/>
        </w:rPr>
        <w:t>total amount of licensed activities</w:t>
      </w:r>
      <w:r w:rsidRPr="00FF2655">
        <w:t xml:space="preserve"> in subregulation</w:t>
      </w:r>
      <w:r w:rsidR="00FF2655" w:rsidRPr="00FF2655">
        <w:t> </w:t>
      </w:r>
      <w:r w:rsidR="00740597" w:rsidRPr="00FF2655">
        <w:t>50</w:t>
      </w:r>
      <w:r w:rsidRPr="00FF2655">
        <w:t>(2);</w:t>
      </w:r>
    </w:p>
    <w:p w:rsidR="000738BC" w:rsidRPr="00FF2655" w:rsidRDefault="00C86AE0" w:rsidP="00C26D3B">
      <w:pPr>
        <w:pStyle w:val="subsection2"/>
      </w:pPr>
      <w:r w:rsidRPr="00FF2655">
        <w:t xml:space="preserve">for the purposes of </w:t>
      </w:r>
      <w:r w:rsidR="000738BC" w:rsidRPr="00FF2655">
        <w:t xml:space="preserve">allocating HFC quotas for calendar years </w:t>
      </w:r>
      <w:r w:rsidR="006745A9" w:rsidRPr="00FF2655">
        <w:t xml:space="preserve">in an HFC quota allocation period (the </w:t>
      </w:r>
      <w:r w:rsidR="006745A9" w:rsidRPr="00FF2655">
        <w:rPr>
          <w:b/>
          <w:i/>
        </w:rPr>
        <w:t>current period</w:t>
      </w:r>
      <w:r w:rsidR="006745A9" w:rsidRPr="00FF2655">
        <w:t xml:space="preserve">) </w:t>
      </w:r>
      <w:r w:rsidR="00F3245E" w:rsidRPr="00FF2655">
        <w:t>occurring after the retirement</w:t>
      </w:r>
      <w:r w:rsidR="000738BC" w:rsidRPr="00FF2655">
        <w:t xml:space="preserve"> period:</w:t>
      </w:r>
    </w:p>
    <w:p w:rsidR="000000BB" w:rsidRPr="00FF2655" w:rsidRDefault="000000BB" w:rsidP="000000BB">
      <w:pPr>
        <w:pStyle w:val="paragraph"/>
      </w:pPr>
      <w:r w:rsidRPr="00FF2655">
        <w:tab/>
        <w:t>(</w:t>
      </w:r>
      <w:r w:rsidR="00C26D3B" w:rsidRPr="00FF2655">
        <w:t>c</w:t>
      </w:r>
      <w:r w:rsidRPr="00FF2655">
        <w:t>)</w:t>
      </w:r>
      <w:r w:rsidRPr="00FF2655">
        <w:tab/>
        <w:t xml:space="preserve">the applicant is taken to have been allocated an HFC quota for </w:t>
      </w:r>
      <w:r w:rsidR="006745A9" w:rsidRPr="00FF2655">
        <w:t xml:space="preserve">each </w:t>
      </w:r>
      <w:r w:rsidR="0091623F" w:rsidRPr="00FF2655">
        <w:t xml:space="preserve">calendar </w:t>
      </w:r>
      <w:r w:rsidR="006745A9" w:rsidRPr="00FF2655">
        <w:t>year occurring in or after the retirement period</w:t>
      </w:r>
      <w:r w:rsidRPr="00FF2655">
        <w:t xml:space="preserve"> (if the applicant was not actually allocated a quota for the year); and</w:t>
      </w:r>
    </w:p>
    <w:p w:rsidR="000000BB" w:rsidRPr="00FF2655" w:rsidRDefault="00C26D3B" w:rsidP="0091623F">
      <w:pPr>
        <w:pStyle w:val="paragraph"/>
      </w:pPr>
      <w:r w:rsidRPr="00FF2655">
        <w:tab/>
        <w:t>(d</w:t>
      </w:r>
      <w:r w:rsidR="000000BB" w:rsidRPr="00FF2655">
        <w:t>)</w:t>
      </w:r>
      <w:r w:rsidR="000000BB" w:rsidRPr="00FF2655">
        <w:tab/>
        <w:t xml:space="preserve">the applicant is taken to have been entitled to grandfathered quota for </w:t>
      </w:r>
      <w:r w:rsidR="006745A9" w:rsidRPr="00FF2655">
        <w:t xml:space="preserve">each </w:t>
      </w:r>
      <w:r w:rsidR="0091623F" w:rsidRPr="00FF2655">
        <w:t>calendar</w:t>
      </w:r>
      <w:r w:rsidR="006745A9" w:rsidRPr="00FF2655">
        <w:t xml:space="preserve"> </w:t>
      </w:r>
      <w:r w:rsidR="0091623F" w:rsidRPr="00FF2655">
        <w:t xml:space="preserve">year occurring in or after the retirement period </w:t>
      </w:r>
      <w:r w:rsidR="000000BB" w:rsidRPr="00FF2655">
        <w:t xml:space="preserve">(if the applicant was not </w:t>
      </w:r>
      <w:r w:rsidR="00967568" w:rsidRPr="00FF2655">
        <w:t>actually</w:t>
      </w:r>
      <w:r w:rsidR="000000BB" w:rsidRPr="00FF2655">
        <w:t xml:space="preserve"> so entitled); and</w:t>
      </w:r>
    </w:p>
    <w:p w:rsidR="00020203" w:rsidRPr="00FF2655" w:rsidRDefault="00C26D3B" w:rsidP="00D12036">
      <w:pPr>
        <w:pStyle w:val="paragraph"/>
      </w:pPr>
      <w:r w:rsidRPr="00FF2655">
        <w:tab/>
        <w:t>(e</w:t>
      </w:r>
      <w:r w:rsidR="0091623F" w:rsidRPr="00FF2655">
        <w:t>)</w:t>
      </w:r>
      <w:r w:rsidR="0091623F" w:rsidRPr="00FF2655">
        <w:tab/>
      </w:r>
      <w:r w:rsidR="00D12036" w:rsidRPr="00FF2655">
        <w:t xml:space="preserve">for each calendar year (the </w:t>
      </w:r>
      <w:r w:rsidR="00D12036" w:rsidRPr="00FF2655">
        <w:rPr>
          <w:b/>
          <w:i/>
        </w:rPr>
        <w:t>earlier year</w:t>
      </w:r>
      <w:r w:rsidR="00D12036" w:rsidRPr="00FF2655">
        <w:t xml:space="preserve">) occurring in or after the retirement period and in or before the base period for the current period, </w:t>
      </w:r>
      <w:r w:rsidR="00020203" w:rsidRPr="00FF2655">
        <w:t>both:</w:t>
      </w:r>
    </w:p>
    <w:p w:rsidR="00020203" w:rsidRPr="00FF2655" w:rsidRDefault="00020203" w:rsidP="00020203">
      <w:pPr>
        <w:pStyle w:val="paragraphsub"/>
      </w:pPr>
      <w:r w:rsidRPr="00FF2655">
        <w:tab/>
        <w:t>(i)</w:t>
      </w:r>
      <w:r w:rsidRPr="00FF2655">
        <w:tab/>
        <w:t>the amount of grandfathered quota to which the applicant was entitled for the earlier year; and</w:t>
      </w:r>
    </w:p>
    <w:p w:rsidR="00020203" w:rsidRPr="00FF2655" w:rsidRDefault="00020203" w:rsidP="00020203">
      <w:pPr>
        <w:pStyle w:val="paragraphsub"/>
      </w:pPr>
      <w:r w:rsidRPr="00FF2655">
        <w:tab/>
        <w:t>(ii)</w:t>
      </w:r>
      <w:r w:rsidRPr="00FF2655">
        <w:tab/>
        <w:t>the total quantity of HFCs, expressed in CO</w:t>
      </w:r>
      <w:r w:rsidRPr="00FF2655">
        <w:rPr>
          <w:vertAlign w:val="subscript"/>
        </w:rPr>
        <w:t>2</w:t>
      </w:r>
      <w:r w:rsidRPr="00FF2655">
        <w:t>e megatonnes, involved in licensed regulated HFC activities engaged in by the applicant during the earlier year;</w:t>
      </w:r>
    </w:p>
    <w:p w:rsidR="00D12036" w:rsidRPr="00FF2655" w:rsidRDefault="00020203" w:rsidP="00020203">
      <w:pPr>
        <w:pStyle w:val="paragraph"/>
      </w:pPr>
      <w:r w:rsidRPr="00FF2655">
        <w:tab/>
      </w:r>
      <w:r w:rsidRPr="00FF2655">
        <w:tab/>
      </w:r>
      <w:r w:rsidR="00D12036" w:rsidRPr="00FF2655">
        <w:t>are taken to equal the maximum grandfath</w:t>
      </w:r>
      <w:r w:rsidRPr="00FF2655">
        <w:t>ered quota for the earlier year</w:t>
      </w:r>
      <w:r w:rsidR="00740597" w:rsidRPr="00FF2655">
        <w:t>.</w:t>
      </w:r>
    </w:p>
    <w:p w:rsidR="00DC63EE" w:rsidRPr="00FF2655" w:rsidRDefault="00DC63EE" w:rsidP="00DC63EE">
      <w:pPr>
        <w:pStyle w:val="subsection"/>
      </w:pPr>
      <w:r w:rsidRPr="00FF2655">
        <w:tab/>
        <w:t>(4)</w:t>
      </w:r>
      <w:r w:rsidRPr="00FF2655">
        <w:tab/>
        <w:t xml:space="preserve">The </w:t>
      </w:r>
      <w:r w:rsidRPr="00FF2655">
        <w:rPr>
          <w:b/>
          <w:i/>
        </w:rPr>
        <w:t>maximum grandfathered quota</w:t>
      </w:r>
      <w:r w:rsidRPr="00FF2655">
        <w:t xml:space="preserve"> for a calendar year </w:t>
      </w:r>
      <w:r w:rsidR="00CE70F6" w:rsidRPr="00FF2655">
        <w:t xml:space="preserve">(the </w:t>
      </w:r>
      <w:r w:rsidR="00CE70F6" w:rsidRPr="00FF2655">
        <w:rPr>
          <w:b/>
          <w:i/>
        </w:rPr>
        <w:t>current year</w:t>
      </w:r>
      <w:r w:rsidR="00CE70F6" w:rsidRPr="00FF2655">
        <w:t xml:space="preserve">) </w:t>
      </w:r>
      <w:r w:rsidRPr="00FF2655">
        <w:t xml:space="preserve">is the amount of grandfathered quota to which the applicant would be entitled for the </w:t>
      </w:r>
      <w:r w:rsidR="00CE70F6" w:rsidRPr="00FF2655">
        <w:t xml:space="preserve">current </w:t>
      </w:r>
      <w:r w:rsidRPr="00FF2655">
        <w:t>year if:</w:t>
      </w:r>
    </w:p>
    <w:p w:rsidR="000000BB" w:rsidRPr="00FF2655" w:rsidRDefault="000000BB" w:rsidP="000000BB">
      <w:pPr>
        <w:pStyle w:val="paragraph"/>
      </w:pPr>
      <w:r w:rsidRPr="00FF2655">
        <w:tab/>
        <w:t>(a)</w:t>
      </w:r>
      <w:r w:rsidRPr="00FF2655">
        <w:tab/>
        <w:t xml:space="preserve">the applicant </w:t>
      </w:r>
      <w:r w:rsidR="00CE70F6" w:rsidRPr="00FF2655">
        <w:t xml:space="preserve">were </w:t>
      </w:r>
      <w:r w:rsidRPr="00FF2655">
        <w:t>allocated an HFC quota each calendar year occurring in or after the retirement period; and</w:t>
      </w:r>
    </w:p>
    <w:p w:rsidR="00DC63EE" w:rsidRPr="00FF2655" w:rsidRDefault="00DC63EE" w:rsidP="000000BB">
      <w:pPr>
        <w:pStyle w:val="paragraph"/>
      </w:pPr>
      <w:r w:rsidRPr="00FF2655">
        <w:tab/>
        <w:t>(</w:t>
      </w:r>
      <w:r w:rsidR="000000BB" w:rsidRPr="00FF2655">
        <w:t>b</w:t>
      </w:r>
      <w:r w:rsidRPr="00FF2655">
        <w:t>)</w:t>
      </w:r>
      <w:r w:rsidRPr="00FF2655">
        <w:tab/>
        <w:t xml:space="preserve">the applicant </w:t>
      </w:r>
      <w:r w:rsidR="00CE70F6" w:rsidRPr="00FF2655">
        <w:t>were</w:t>
      </w:r>
      <w:r w:rsidRPr="00FF2655">
        <w:t xml:space="preserve"> entitled to grandfathered quota for each calendar year occurring in or after the retirement period; and</w:t>
      </w:r>
    </w:p>
    <w:p w:rsidR="00EF2F2E" w:rsidRPr="00FF2655" w:rsidRDefault="00EF2F2E" w:rsidP="00EF2F2E">
      <w:pPr>
        <w:pStyle w:val="paragraph"/>
      </w:pPr>
      <w:r w:rsidRPr="00FF2655">
        <w:tab/>
        <w:t>(c)</w:t>
      </w:r>
      <w:r w:rsidRPr="00FF2655">
        <w:tab/>
        <w:t>the amount of the grandfathered quota to which the applicant was entitled for each calendar year occurring in the retirement period were equal to the grandfathered quota to which the applicant would have been entitled for th</w:t>
      </w:r>
      <w:r w:rsidR="00007145" w:rsidRPr="00FF2655">
        <w:t>at</w:t>
      </w:r>
      <w:r w:rsidRPr="00FF2655">
        <w:t xml:space="preserve"> year apart from </w:t>
      </w:r>
      <w:r w:rsidR="00FF2655" w:rsidRPr="00FF2655">
        <w:t>paragraph (</w:t>
      </w:r>
      <w:r w:rsidR="00EC7527" w:rsidRPr="00FF2655">
        <w:t>2)(a)</w:t>
      </w:r>
      <w:r w:rsidRPr="00FF2655">
        <w:t>; and</w:t>
      </w:r>
    </w:p>
    <w:p w:rsidR="00D12036" w:rsidRPr="00FF2655" w:rsidRDefault="00D12036" w:rsidP="00D12036">
      <w:pPr>
        <w:pStyle w:val="paragraph"/>
      </w:pPr>
      <w:r w:rsidRPr="00FF2655">
        <w:tab/>
        <w:t>(d)</w:t>
      </w:r>
      <w:r w:rsidRPr="00FF2655">
        <w:tab/>
        <w:t xml:space="preserve">for each calendar year (the </w:t>
      </w:r>
      <w:r w:rsidRPr="00FF2655">
        <w:rPr>
          <w:b/>
          <w:i/>
        </w:rPr>
        <w:t>earlier year</w:t>
      </w:r>
      <w:r w:rsidRPr="00FF2655">
        <w:t>) occurring in or after the retirement period and in or before the base period for the current period, both:</w:t>
      </w:r>
    </w:p>
    <w:p w:rsidR="00D12036" w:rsidRPr="00FF2655" w:rsidRDefault="00D12036" w:rsidP="00D12036">
      <w:pPr>
        <w:pStyle w:val="paragraphsub"/>
      </w:pPr>
      <w:r w:rsidRPr="00FF2655">
        <w:tab/>
        <w:t>(i)</w:t>
      </w:r>
      <w:r w:rsidRPr="00FF2655">
        <w:tab/>
        <w:t>the amount of grandfathered quota to which the applicant was entitled for the earlier year</w:t>
      </w:r>
      <w:r w:rsidR="0041038E" w:rsidRPr="00FF2655">
        <w:t xml:space="preserve"> (</w:t>
      </w:r>
      <w:r w:rsidR="00CD4309" w:rsidRPr="00FF2655">
        <w:t>unless the year occurs in the</w:t>
      </w:r>
      <w:r w:rsidR="0041038E" w:rsidRPr="00FF2655">
        <w:t xml:space="preserve"> retirement period)</w:t>
      </w:r>
      <w:r w:rsidRPr="00FF2655">
        <w:t>; and</w:t>
      </w:r>
    </w:p>
    <w:p w:rsidR="00D12036" w:rsidRPr="00FF2655" w:rsidRDefault="00D12036" w:rsidP="00D12036">
      <w:pPr>
        <w:pStyle w:val="paragraphsub"/>
      </w:pPr>
      <w:r w:rsidRPr="00FF2655">
        <w:tab/>
        <w:t>(ii)</w:t>
      </w:r>
      <w:r w:rsidRPr="00FF2655">
        <w:tab/>
        <w:t>the total quantity of HFCs, expressed in CO</w:t>
      </w:r>
      <w:r w:rsidRPr="00FF2655">
        <w:rPr>
          <w:vertAlign w:val="subscript"/>
        </w:rPr>
        <w:t>2</w:t>
      </w:r>
      <w:r w:rsidRPr="00FF2655">
        <w:t>e megatonnes, involved in licensed regulated HFC activities engaged in by the applicant during the earlier year;</w:t>
      </w:r>
    </w:p>
    <w:p w:rsidR="00D12036" w:rsidRPr="00FF2655" w:rsidRDefault="00D12036" w:rsidP="00D12036">
      <w:pPr>
        <w:pStyle w:val="paragraph"/>
      </w:pPr>
      <w:r w:rsidRPr="00FF2655">
        <w:tab/>
      </w:r>
      <w:r w:rsidRPr="00FF2655">
        <w:tab/>
        <w:t>were equal to the maximum grandfath</w:t>
      </w:r>
      <w:r w:rsidR="00967568" w:rsidRPr="00FF2655">
        <w:t>ered quota for the earlier year</w:t>
      </w:r>
      <w:r w:rsidR="00740597" w:rsidRPr="00FF2655">
        <w:t>.</w:t>
      </w:r>
    </w:p>
    <w:p w:rsidR="006919A2" w:rsidRPr="00FF2655" w:rsidRDefault="00206A09" w:rsidP="006919A2">
      <w:pPr>
        <w:pStyle w:val="ItemHead"/>
      </w:pPr>
      <w:r w:rsidRPr="00FF2655">
        <w:t>9</w:t>
      </w:r>
      <w:r w:rsidR="006919A2" w:rsidRPr="00FF2655">
        <w:t xml:space="preserve">  Part</w:t>
      </w:r>
      <w:r w:rsidR="00FF2655" w:rsidRPr="00FF2655">
        <w:t> </w:t>
      </w:r>
      <w:r w:rsidR="006919A2" w:rsidRPr="00FF2655">
        <w:t>5 (notes 1 and 2 to the heading)</w:t>
      </w:r>
    </w:p>
    <w:p w:rsidR="006919A2" w:rsidRPr="00FF2655" w:rsidRDefault="006919A2" w:rsidP="006919A2">
      <w:pPr>
        <w:pStyle w:val="Item"/>
      </w:pPr>
      <w:r w:rsidRPr="00FF2655">
        <w:t>Repeal the notes</w:t>
      </w:r>
      <w:r w:rsidR="00740597" w:rsidRPr="00FF2655">
        <w:t>.</w:t>
      </w:r>
    </w:p>
    <w:p w:rsidR="006919A2" w:rsidRPr="00FF2655" w:rsidRDefault="00206A09" w:rsidP="006919A2">
      <w:pPr>
        <w:pStyle w:val="ItemHead"/>
      </w:pPr>
      <w:r w:rsidRPr="00FF2655">
        <w:t>10</w:t>
      </w:r>
      <w:r w:rsidR="006919A2" w:rsidRPr="00FF2655">
        <w:t xml:space="preserve">  Paragraphs 73(1)(aa) and (ab)</w:t>
      </w:r>
    </w:p>
    <w:p w:rsidR="006919A2" w:rsidRPr="00FF2655" w:rsidRDefault="006919A2" w:rsidP="006919A2">
      <w:pPr>
        <w:pStyle w:val="Item"/>
      </w:pPr>
      <w:r w:rsidRPr="00FF2655">
        <w:t xml:space="preserve">Omit </w:t>
      </w:r>
      <w:r w:rsidR="006360F9" w:rsidRPr="00FF2655">
        <w:t>“</w:t>
      </w:r>
      <w:r w:rsidRPr="00FF2655">
        <w:t>paragraph</w:t>
      </w:r>
      <w:r w:rsidR="00FF2655" w:rsidRPr="00FF2655">
        <w:t> </w:t>
      </w:r>
      <w:r w:rsidRPr="00FF2655">
        <w:t>13(6A)(c)</w:t>
      </w:r>
      <w:r w:rsidR="006360F9" w:rsidRPr="00FF2655">
        <w:t>”</w:t>
      </w:r>
      <w:r w:rsidRPr="00FF2655">
        <w:t xml:space="preserve">, substitute </w:t>
      </w:r>
      <w:r w:rsidR="006360F9" w:rsidRPr="00FF2655">
        <w:t>“</w:t>
      </w:r>
      <w:r w:rsidRPr="00FF2655">
        <w:t>subsection</w:t>
      </w:r>
      <w:r w:rsidR="00FF2655" w:rsidRPr="00FF2655">
        <w:t> </w:t>
      </w:r>
      <w:r w:rsidR="00A52D2C" w:rsidRPr="00FF2655">
        <w:t>13(6</w:t>
      </w:r>
      <w:r w:rsidRPr="00FF2655">
        <w:t>)</w:t>
      </w:r>
      <w:r w:rsidR="006360F9" w:rsidRPr="00FF2655">
        <w:t>”</w:t>
      </w:r>
      <w:r w:rsidR="00740597" w:rsidRPr="00FF2655">
        <w:t>.</w:t>
      </w:r>
    </w:p>
    <w:p w:rsidR="006919A2" w:rsidRPr="00FF2655" w:rsidRDefault="00206A09" w:rsidP="006919A2">
      <w:pPr>
        <w:pStyle w:val="ItemHead"/>
      </w:pPr>
      <w:r w:rsidRPr="00FF2655">
        <w:t>11</w:t>
      </w:r>
      <w:r w:rsidR="006919A2" w:rsidRPr="00FF2655">
        <w:t xml:space="preserve">  Paragraph 121(1)(b)</w:t>
      </w:r>
    </w:p>
    <w:p w:rsidR="006919A2" w:rsidRPr="00FF2655" w:rsidRDefault="006919A2" w:rsidP="006919A2">
      <w:pPr>
        <w:pStyle w:val="Item"/>
      </w:pPr>
      <w:r w:rsidRPr="00FF2655">
        <w:t>Repeal the paragraph, substitute:</w:t>
      </w:r>
    </w:p>
    <w:p w:rsidR="006919A2" w:rsidRPr="00FF2655" w:rsidRDefault="006919A2" w:rsidP="006919A2">
      <w:pPr>
        <w:pStyle w:val="paragraph"/>
      </w:pPr>
      <w:r w:rsidRPr="00FF2655">
        <w:tab/>
        <w:t>(b)</w:t>
      </w:r>
      <w:r w:rsidRPr="00FF2655">
        <w:tab/>
        <w:t>be in the approved form; and</w:t>
      </w:r>
    </w:p>
    <w:p w:rsidR="006919A2" w:rsidRPr="00FF2655" w:rsidRDefault="00206A09" w:rsidP="006919A2">
      <w:pPr>
        <w:pStyle w:val="ItemHead"/>
      </w:pPr>
      <w:r w:rsidRPr="00FF2655">
        <w:t>12</w:t>
      </w:r>
      <w:r w:rsidR="006919A2" w:rsidRPr="00FF2655">
        <w:t xml:space="preserve">  Section</w:t>
      </w:r>
      <w:r w:rsidR="00FF2655" w:rsidRPr="00FF2655">
        <w:t> </w:t>
      </w:r>
      <w:r w:rsidR="006919A2" w:rsidRPr="00FF2655">
        <w:t xml:space="preserve">200 (definition of </w:t>
      </w:r>
      <w:r w:rsidR="006919A2" w:rsidRPr="00FF2655">
        <w:rPr>
          <w:i/>
        </w:rPr>
        <w:t>approved form</w:t>
      </w:r>
      <w:r w:rsidR="006919A2" w:rsidRPr="00FF2655">
        <w:t>)</w:t>
      </w:r>
    </w:p>
    <w:p w:rsidR="006919A2" w:rsidRPr="00FF2655" w:rsidRDefault="006919A2" w:rsidP="006919A2">
      <w:pPr>
        <w:pStyle w:val="Item"/>
      </w:pPr>
      <w:r w:rsidRPr="00FF2655">
        <w:t>Repeal the definition</w:t>
      </w:r>
      <w:r w:rsidR="00740597" w:rsidRPr="00FF2655">
        <w:t>.</w:t>
      </w:r>
    </w:p>
    <w:p w:rsidR="006919A2" w:rsidRPr="00FF2655" w:rsidRDefault="00206A09" w:rsidP="006919A2">
      <w:pPr>
        <w:pStyle w:val="ItemHead"/>
      </w:pPr>
      <w:r w:rsidRPr="00FF2655">
        <w:t>13</w:t>
      </w:r>
      <w:r w:rsidR="006919A2" w:rsidRPr="00FF2655">
        <w:t xml:space="preserve">  Paragraph 222(1A)(a)</w:t>
      </w:r>
    </w:p>
    <w:p w:rsidR="006919A2" w:rsidRPr="00FF2655" w:rsidRDefault="006919A2" w:rsidP="006919A2">
      <w:pPr>
        <w:pStyle w:val="Item"/>
      </w:pPr>
      <w:r w:rsidRPr="00FF2655">
        <w:t xml:space="preserve">Omit </w:t>
      </w:r>
      <w:r w:rsidR="006360F9" w:rsidRPr="00FF2655">
        <w:t>“</w:t>
      </w:r>
      <w:r w:rsidRPr="00FF2655">
        <w:t>form approved by the Minister</w:t>
      </w:r>
      <w:r w:rsidR="006360F9" w:rsidRPr="00FF2655">
        <w:t>”</w:t>
      </w:r>
      <w:r w:rsidRPr="00FF2655">
        <w:t xml:space="preserve">, substitute </w:t>
      </w:r>
      <w:r w:rsidR="006360F9" w:rsidRPr="00FF2655">
        <w:t>“</w:t>
      </w:r>
      <w:r w:rsidRPr="00FF2655">
        <w:t>approved form</w:t>
      </w:r>
      <w:r w:rsidR="006360F9" w:rsidRPr="00FF2655">
        <w:t>”</w:t>
      </w:r>
      <w:r w:rsidR="00740597" w:rsidRPr="00FF2655">
        <w:t>.</w:t>
      </w:r>
    </w:p>
    <w:p w:rsidR="006919A2" w:rsidRPr="00FF2655" w:rsidRDefault="00206A09" w:rsidP="006919A2">
      <w:pPr>
        <w:pStyle w:val="ItemHead"/>
      </w:pPr>
      <w:r w:rsidRPr="00FF2655">
        <w:t>14</w:t>
      </w:r>
      <w:r w:rsidR="006919A2" w:rsidRPr="00FF2655">
        <w:t xml:space="preserve">  Paragraph 313(1)(a)</w:t>
      </w:r>
    </w:p>
    <w:p w:rsidR="006919A2" w:rsidRPr="00FF2655" w:rsidRDefault="006919A2" w:rsidP="006919A2">
      <w:pPr>
        <w:pStyle w:val="Item"/>
      </w:pPr>
      <w:r w:rsidRPr="00FF2655">
        <w:t xml:space="preserve">Omit </w:t>
      </w:r>
      <w:r w:rsidR="006360F9" w:rsidRPr="00FF2655">
        <w:t>“</w:t>
      </w:r>
      <w:r w:rsidRPr="00FF2655">
        <w:t>a form approved by the Minister</w:t>
      </w:r>
      <w:r w:rsidR="006360F9" w:rsidRPr="00FF2655">
        <w:t>”</w:t>
      </w:r>
      <w:r w:rsidRPr="00FF2655">
        <w:t xml:space="preserve">, substitute </w:t>
      </w:r>
      <w:r w:rsidR="006360F9" w:rsidRPr="00FF2655">
        <w:t>“</w:t>
      </w:r>
      <w:r w:rsidRPr="00FF2655">
        <w:t>an approved form</w:t>
      </w:r>
      <w:r w:rsidR="006360F9" w:rsidRPr="00FF2655">
        <w:t>”</w:t>
      </w:r>
      <w:r w:rsidR="00740597" w:rsidRPr="00FF2655">
        <w:t>.</w:t>
      </w:r>
    </w:p>
    <w:p w:rsidR="00D031CF" w:rsidRPr="00FF2655" w:rsidRDefault="00D031CF" w:rsidP="00D031CF">
      <w:pPr>
        <w:pStyle w:val="ActHead9"/>
      </w:pPr>
      <w:bookmarkStart w:id="46" w:name="_Toc487631722"/>
      <w:r w:rsidRPr="00FF2655">
        <w:t>Ozone Protection and Synthetic Greenhouse Gas (Manufacture Levy) Regulations</w:t>
      </w:r>
      <w:r w:rsidR="00FF2655" w:rsidRPr="00FF2655">
        <w:t> </w:t>
      </w:r>
      <w:r w:rsidRPr="00FF2655">
        <w:t>2004</w:t>
      </w:r>
      <w:bookmarkEnd w:id="46"/>
    </w:p>
    <w:p w:rsidR="00D031CF" w:rsidRPr="00FF2655" w:rsidRDefault="00206A09" w:rsidP="00D031CF">
      <w:pPr>
        <w:pStyle w:val="ItemHead"/>
      </w:pPr>
      <w:r w:rsidRPr="00FF2655">
        <w:t>15</w:t>
      </w:r>
      <w:r w:rsidR="00D031CF" w:rsidRPr="00FF2655">
        <w:t xml:space="preserve">  Regulations</w:t>
      </w:r>
      <w:r w:rsidR="00FF2655" w:rsidRPr="00FF2655">
        <w:t> </w:t>
      </w:r>
      <w:r w:rsidR="00D031CF" w:rsidRPr="00FF2655">
        <w:t>3 and 5</w:t>
      </w:r>
    </w:p>
    <w:p w:rsidR="00D031CF" w:rsidRPr="00FF2655" w:rsidRDefault="00D031CF" w:rsidP="00D031CF">
      <w:pPr>
        <w:pStyle w:val="Item"/>
      </w:pPr>
      <w:r w:rsidRPr="00FF2655">
        <w:t>Repeal the regulations</w:t>
      </w:r>
      <w:r w:rsidR="00740597" w:rsidRPr="00FF2655">
        <w:t>.</w:t>
      </w:r>
    </w:p>
    <w:p w:rsidR="006919A2" w:rsidRPr="00FF2655" w:rsidRDefault="006919A2" w:rsidP="006919A2">
      <w:pPr>
        <w:pStyle w:val="ActHead7"/>
        <w:pageBreakBefore/>
      </w:pPr>
      <w:bookmarkStart w:id="47" w:name="_Toc487631723"/>
      <w:r w:rsidRPr="00FF2655">
        <w:rPr>
          <w:rStyle w:val="CharAmPartNo"/>
        </w:rPr>
        <w:t>Part</w:t>
      </w:r>
      <w:r w:rsidR="00FF2655" w:rsidRPr="00FF2655">
        <w:rPr>
          <w:rStyle w:val="CharAmPartNo"/>
        </w:rPr>
        <w:t> </w:t>
      </w:r>
      <w:r w:rsidRPr="00FF2655">
        <w:rPr>
          <w:rStyle w:val="CharAmPartNo"/>
        </w:rPr>
        <w:t>2</w:t>
      </w:r>
      <w:r w:rsidRPr="00FF2655">
        <w:t>—</w:t>
      </w:r>
      <w:r w:rsidRPr="00FF2655">
        <w:rPr>
          <w:rStyle w:val="CharAmPartText"/>
        </w:rPr>
        <w:t>References to equipment and products</w:t>
      </w:r>
      <w:bookmarkEnd w:id="47"/>
    </w:p>
    <w:p w:rsidR="006919A2" w:rsidRPr="00FF2655" w:rsidRDefault="006919A2" w:rsidP="006919A2">
      <w:pPr>
        <w:pStyle w:val="ActHead9"/>
      </w:pPr>
      <w:bookmarkStart w:id="48" w:name="_Toc487631724"/>
      <w:r w:rsidRPr="00FF2655">
        <w:t>Ozone Protection and Synthetic Greenhouse Gas Management Regulations</w:t>
      </w:r>
      <w:r w:rsidR="00FF2655" w:rsidRPr="00FF2655">
        <w:t> </w:t>
      </w:r>
      <w:r w:rsidRPr="00FF2655">
        <w:t>1995</w:t>
      </w:r>
      <w:bookmarkEnd w:id="48"/>
    </w:p>
    <w:p w:rsidR="006919A2" w:rsidRPr="00FF2655" w:rsidRDefault="00206A09" w:rsidP="006919A2">
      <w:pPr>
        <w:pStyle w:val="ItemHead"/>
      </w:pPr>
      <w:r w:rsidRPr="00FF2655">
        <w:t>16</w:t>
      </w:r>
      <w:r w:rsidR="006919A2" w:rsidRPr="00FF2655">
        <w:t xml:space="preserve">  Paragraphs 2A(a) and (b)</w:t>
      </w:r>
    </w:p>
    <w:p w:rsidR="006919A2" w:rsidRPr="00FF2655" w:rsidRDefault="006919A2" w:rsidP="006919A2">
      <w:pPr>
        <w:pStyle w:val="Item"/>
      </w:pPr>
      <w:r w:rsidRPr="00FF2655">
        <w:t xml:space="preserve">Omit </w:t>
      </w:r>
      <w:r w:rsidR="006360F9" w:rsidRPr="00FF2655">
        <w:t>“</w:t>
      </w:r>
      <w:r w:rsidRPr="00FF2655">
        <w:t>or products</w:t>
      </w:r>
      <w:r w:rsidR="006360F9" w:rsidRPr="00FF2655">
        <w:t>”</w:t>
      </w:r>
      <w:r w:rsidR="00740597" w:rsidRPr="00FF2655">
        <w:t>.</w:t>
      </w:r>
    </w:p>
    <w:p w:rsidR="006919A2" w:rsidRPr="00FF2655" w:rsidRDefault="00206A09" w:rsidP="006919A2">
      <w:pPr>
        <w:pStyle w:val="ItemHead"/>
      </w:pPr>
      <w:r w:rsidRPr="00FF2655">
        <w:t>17</w:t>
      </w:r>
      <w:r w:rsidR="006919A2" w:rsidRPr="00FF2655">
        <w:t xml:space="preserve">  Paragraph 2A(b)</w:t>
      </w:r>
    </w:p>
    <w:p w:rsidR="006919A2" w:rsidRPr="00FF2655" w:rsidRDefault="006919A2" w:rsidP="006919A2">
      <w:pPr>
        <w:pStyle w:val="Item"/>
      </w:pPr>
      <w:r w:rsidRPr="00FF2655">
        <w:t xml:space="preserve">Omit </w:t>
      </w:r>
      <w:r w:rsidR="006360F9" w:rsidRPr="00FF2655">
        <w:t>“</w:t>
      </w:r>
      <w:r w:rsidRPr="00FF2655">
        <w:t>products or</w:t>
      </w:r>
      <w:r w:rsidR="006360F9" w:rsidRPr="00FF2655">
        <w:t>”</w:t>
      </w:r>
      <w:r w:rsidR="00740597" w:rsidRPr="00FF2655">
        <w:t>.</w:t>
      </w:r>
    </w:p>
    <w:p w:rsidR="003838C5" w:rsidRPr="00FF2655" w:rsidRDefault="00206A09" w:rsidP="003838C5">
      <w:pPr>
        <w:pStyle w:val="ItemHead"/>
      </w:pPr>
      <w:r w:rsidRPr="00FF2655">
        <w:t>18</w:t>
      </w:r>
      <w:r w:rsidR="003838C5" w:rsidRPr="00FF2655">
        <w:t xml:space="preserve">  At the end of Part</w:t>
      </w:r>
      <w:r w:rsidR="00FF2655" w:rsidRPr="00FF2655">
        <w:t> </w:t>
      </w:r>
      <w:r w:rsidR="003838C5" w:rsidRPr="00FF2655">
        <w:t>2</w:t>
      </w:r>
    </w:p>
    <w:p w:rsidR="003838C5" w:rsidRPr="00FF2655" w:rsidRDefault="003838C5" w:rsidP="003838C5">
      <w:pPr>
        <w:pStyle w:val="Item"/>
      </w:pPr>
      <w:r w:rsidRPr="00FF2655">
        <w:t>Add:</w:t>
      </w:r>
    </w:p>
    <w:p w:rsidR="003838C5" w:rsidRPr="00FF2655" w:rsidRDefault="003838C5" w:rsidP="003838C5">
      <w:pPr>
        <w:pStyle w:val="ActHead5"/>
      </w:pPr>
      <w:bookmarkStart w:id="49" w:name="_Toc487631725"/>
      <w:r w:rsidRPr="00FF2655">
        <w:rPr>
          <w:rStyle w:val="CharSectno"/>
        </w:rPr>
        <w:t>2B</w:t>
      </w:r>
      <w:r w:rsidRPr="00FF2655">
        <w:t xml:space="preserve">  Bulk scheduled substances and equipment</w:t>
      </w:r>
      <w:bookmarkEnd w:id="49"/>
    </w:p>
    <w:p w:rsidR="003838C5" w:rsidRPr="00FF2655" w:rsidRDefault="003838C5" w:rsidP="003838C5">
      <w:pPr>
        <w:pStyle w:val="subsection"/>
      </w:pPr>
      <w:r w:rsidRPr="00FF2655">
        <w:tab/>
      </w:r>
      <w:r w:rsidRPr="00FF2655">
        <w:tab/>
        <w:t>For the purposes of subsection</w:t>
      </w:r>
      <w:r w:rsidR="00FF2655" w:rsidRPr="00FF2655">
        <w:t> </w:t>
      </w:r>
      <w:r w:rsidRPr="00FF2655">
        <w:t xml:space="preserve">9(6) of the Act, an </w:t>
      </w:r>
      <w:r w:rsidR="0035539A" w:rsidRPr="00FF2655">
        <w:t xml:space="preserve">HCFC or </w:t>
      </w:r>
      <w:r w:rsidRPr="00FF2655">
        <w:t>HFC that is in a polyol blend:</w:t>
      </w:r>
    </w:p>
    <w:p w:rsidR="003838C5" w:rsidRPr="00FF2655" w:rsidRDefault="003838C5" w:rsidP="003838C5">
      <w:pPr>
        <w:pStyle w:val="paragraph"/>
      </w:pPr>
      <w:r w:rsidRPr="00FF2655">
        <w:tab/>
        <w:t>(a)</w:t>
      </w:r>
      <w:r w:rsidRPr="00FF2655">
        <w:tab/>
        <w:t xml:space="preserve">is </w:t>
      </w:r>
      <w:r w:rsidR="00165643" w:rsidRPr="00FF2655">
        <w:t xml:space="preserve">taken to be </w:t>
      </w:r>
      <w:r w:rsidRPr="00FF2655">
        <w:t xml:space="preserve">a </w:t>
      </w:r>
      <w:r w:rsidRPr="00FF2655">
        <w:rPr>
          <w:b/>
          <w:i/>
        </w:rPr>
        <w:t>bulk scheduled substance</w:t>
      </w:r>
      <w:r w:rsidRPr="00FF2655">
        <w:t>; and</w:t>
      </w:r>
    </w:p>
    <w:p w:rsidR="00165643" w:rsidRPr="00FF2655" w:rsidRDefault="00165643" w:rsidP="003838C5">
      <w:pPr>
        <w:pStyle w:val="paragraph"/>
      </w:pPr>
      <w:r w:rsidRPr="00FF2655">
        <w:tab/>
        <w:t>(b)</w:t>
      </w:r>
      <w:r w:rsidRPr="00FF2655">
        <w:tab/>
        <w:t xml:space="preserve">is taken not to be </w:t>
      </w:r>
      <w:r w:rsidRPr="00FF2655">
        <w:rPr>
          <w:b/>
          <w:i/>
        </w:rPr>
        <w:t>contained</w:t>
      </w:r>
      <w:r w:rsidRPr="00FF2655">
        <w:t xml:space="preserve"> in equipment; and</w:t>
      </w:r>
    </w:p>
    <w:p w:rsidR="003838C5" w:rsidRPr="00FF2655" w:rsidRDefault="003838C5" w:rsidP="003838C5">
      <w:pPr>
        <w:pStyle w:val="paragraph"/>
      </w:pPr>
      <w:r w:rsidRPr="00FF2655">
        <w:tab/>
        <w:t>(</w:t>
      </w:r>
      <w:r w:rsidR="00165643" w:rsidRPr="00FF2655">
        <w:t>c</w:t>
      </w:r>
      <w:r w:rsidRPr="00FF2655">
        <w:t>)</w:t>
      </w:r>
      <w:r w:rsidRPr="00FF2655">
        <w:tab/>
        <w:t xml:space="preserve">is </w:t>
      </w:r>
      <w:r w:rsidR="00165643" w:rsidRPr="00FF2655">
        <w:t xml:space="preserve">taken </w:t>
      </w:r>
      <w:r w:rsidRPr="00FF2655">
        <w:t>not</w:t>
      </w:r>
      <w:r w:rsidR="00165643" w:rsidRPr="00FF2655">
        <w:t xml:space="preserve"> to be</w:t>
      </w:r>
      <w:r w:rsidRPr="00FF2655">
        <w:t xml:space="preserve"> </w:t>
      </w:r>
      <w:r w:rsidRPr="00FF2655">
        <w:rPr>
          <w:b/>
          <w:i/>
        </w:rPr>
        <w:t>used</w:t>
      </w:r>
      <w:r w:rsidRPr="00FF2655">
        <w:t xml:space="preserve"> in the operation of equipment</w:t>
      </w:r>
      <w:r w:rsidR="00740597" w:rsidRPr="00FF2655">
        <w:t>.</w:t>
      </w:r>
    </w:p>
    <w:p w:rsidR="0046674F" w:rsidRPr="00FF2655" w:rsidRDefault="00206A09" w:rsidP="0046674F">
      <w:pPr>
        <w:pStyle w:val="ItemHead"/>
      </w:pPr>
      <w:r w:rsidRPr="00FF2655">
        <w:t>19</w:t>
      </w:r>
      <w:r w:rsidR="0046674F" w:rsidRPr="00FF2655">
        <w:t xml:space="preserve">  At the end of subregulation</w:t>
      </w:r>
      <w:r w:rsidR="00FF2655" w:rsidRPr="00FF2655">
        <w:t> </w:t>
      </w:r>
      <w:r w:rsidR="0046674F" w:rsidRPr="00FF2655">
        <w:t>3(1)</w:t>
      </w:r>
    </w:p>
    <w:p w:rsidR="0046674F" w:rsidRPr="00FF2655" w:rsidRDefault="0046674F" w:rsidP="0046674F">
      <w:pPr>
        <w:pStyle w:val="Item"/>
      </w:pPr>
      <w:r w:rsidRPr="00FF2655">
        <w:t>Add:</w:t>
      </w:r>
    </w:p>
    <w:p w:rsidR="0046674F" w:rsidRPr="00FF2655" w:rsidRDefault="0046674F" w:rsidP="0046674F">
      <w:pPr>
        <w:pStyle w:val="notetext"/>
      </w:pPr>
      <w:r w:rsidRPr="00FF2655">
        <w:t>Note 1:</w:t>
      </w:r>
      <w:r w:rsidRPr="00FF2655">
        <w:tab/>
        <w:t>Subsection</w:t>
      </w:r>
      <w:r w:rsidR="00FF2655" w:rsidRPr="00FF2655">
        <w:t> </w:t>
      </w:r>
      <w:r w:rsidRPr="00FF2655">
        <w:t xml:space="preserve">13(3) of the Act applies to bulk </w:t>
      </w:r>
      <w:r w:rsidR="00550C4D" w:rsidRPr="00FF2655">
        <w:t>SGGs</w:t>
      </w:r>
      <w:r w:rsidRPr="00FF2655">
        <w:t>: see subsection</w:t>
      </w:r>
      <w:r w:rsidR="00FF2655" w:rsidRPr="00FF2655">
        <w:t> </w:t>
      </w:r>
      <w:r w:rsidRPr="00FF2655">
        <w:t>9(1) of the Act.</w:t>
      </w:r>
    </w:p>
    <w:p w:rsidR="0046674F" w:rsidRPr="00FF2655" w:rsidRDefault="0046674F" w:rsidP="0046674F">
      <w:pPr>
        <w:pStyle w:val="notetext"/>
      </w:pPr>
      <w:r w:rsidRPr="00FF2655">
        <w:t>Note 2:</w:t>
      </w:r>
      <w:r w:rsidRPr="00FF2655">
        <w:tab/>
        <w:t xml:space="preserve">Medical devices, medicine, veterinary devices and veterinary medicines are not SGG </w:t>
      </w:r>
      <w:r w:rsidR="003C1AB3" w:rsidRPr="00FF2655">
        <w:t>e</w:t>
      </w:r>
      <w:r w:rsidRPr="00FF2655">
        <w:t>quipment (see regulation</w:t>
      </w:r>
      <w:r w:rsidR="00FF2655" w:rsidRPr="00FF2655">
        <w:t> </w:t>
      </w:r>
      <w:r w:rsidRPr="00FF2655">
        <w:t>2A) and so are not covered by</w:t>
      </w:r>
      <w:r w:rsidR="00C02639" w:rsidRPr="00FF2655">
        <w:t xml:space="preserve"> the Act</w:t>
      </w:r>
      <w:r w:rsidR="006360F9" w:rsidRPr="00FF2655">
        <w:t>’</w:t>
      </w:r>
      <w:r w:rsidR="00C02639" w:rsidRPr="00FF2655">
        <w:t>s restrictions on importing SGG equipment</w:t>
      </w:r>
      <w:r w:rsidRPr="00FF2655">
        <w:t>.</w:t>
      </w:r>
    </w:p>
    <w:p w:rsidR="006919A2" w:rsidRPr="00FF2655" w:rsidRDefault="00206A09" w:rsidP="006919A2">
      <w:pPr>
        <w:pStyle w:val="ItemHead"/>
      </w:pPr>
      <w:r w:rsidRPr="00FF2655">
        <w:t>20</w:t>
      </w:r>
      <w:r w:rsidR="006919A2" w:rsidRPr="00FF2655">
        <w:t xml:space="preserve">  Paragraph 3(2)(f)</w:t>
      </w:r>
    </w:p>
    <w:p w:rsidR="006919A2" w:rsidRPr="00FF2655" w:rsidRDefault="006919A2" w:rsidP="006919A2">
      <w:pPr>
        <w:pStyle w:val="Item"/>
      </w:pPr>
      <w:r w:rsidRPr="00FF2655">
        <w:t xml:space="preserve">Omit </w:t>
      </w:r>
      <w:r w:rsidR="006360F9" w:rsidRPr="00FF2655">
        <w:t>“</w:t>
      </w:r>
      <w:r w:rsidRPr="00FF2655">
        <w:t>products</w:t>
      </w:r>
      <w:r w:rsidR="006360F9" w:rsidRPr="00FF2655">
        <w:t>”</w:t>
      </w:r>
      <w:r w:rsidRPr="00FF2655">
        <w:t xml:space="preserve">, substitute </w:t>
      </w:r>
      <w:r w:rsidR="006360F9" w:rsidRPr="00FF2655">
        <w:t>“</w:t>
      </w:r>
      <w:r w:rsidRPr="00FF2655">
        <w:t>equipment</w:t>
      </w:r>
      <w:r w:rsidR="006360F9" w:rsidRPr="00FF2655">
        <w:t>”</w:t>
      </w:r>
      <w:r w:rsidR="00740597" w:rsidRPr="00FF2655">
        <w:t>.</w:t>
      </w:r>
    </w:p>
    <w:p w:rsidR="006919A2" w:rsidRPr="00FF2655" w:rsidRDefault="00206A09" w:rsidP="006919A2">
      <w:pPr>
        <w:pStyle w:val="ItemHead"/>
      </w:pPr>
      <w:r w:rsidRPr="00FF2655">
        <w:t>21</w:t>
      </w:r>
      <w:r w:rsidR="006919A2" w:rsidRPr="00FF2655">
        <w:t xml:space="preserve">  Paragraph 3AA(1)(a)</w:t>
      </w:r>
    </w:p>
    <w:p w:rsidR="006919A2" w:rsidRPr="00FF2655" w:rsidRDefault="006919A2" w:rsidP="006919A2">
      <w:pPr>
        <w:pStyle w:val="Item"/>
      </w:pPr>
      <w:r w:rsidRPr="00FF2655">
        <w:t xml:space="preserve">Omit </w:t>
      </w:r>
      <w:r w:rsidR="006360F9" w:rsidRPr="00FF2655">
        <w:t>“</w:t>
      </w:r>
      <w:r w:rsidRPr="00FF2655">
        <w:t>a product</w:t>
      </w:r>
      <w:r w:rsidR="006360F9" w:rsidRPr="00FF2655">
        <w:t>”</w:t>
      </w:r>
      <w:r w:rsidRPr="00FF2655">
        <w:t xml:space="preserve">, substitute </w:t>
      </w:r>
      <w:r w:rsidR="006360F9" w:rsidRPr="00FF2655">
        <w:t>“</w:t>
      </w:r>
      <w:r w:rsidRPr="00FF2655">
        <w:t>equipment</w:t>
      </w:r>
      <w:r w:rsidR="006360F9" w:rsidRPr="00FF2655">
        <w:t>”</w:t>
      </w:r>
      <w:r w:rsidR="00740597" w:rsidRPr="00FF2655">
        <w:t>.</w:t>
      </w:r>
    </w:p>
    <w:p w:rsidR="002605A5" w:rsidRPr="00FF2655" w:rsidRDefault="00206A09" w:rsidP="002605A5">
      <w:pPr>
        <w:pStyle w:val="ItemHead"/>
      </w:pPr>
      <w:r w:rsidRPr="00FF2655">
        <w:t>22</w:t>
      </w:r>
      <w:r w:rsidR="002605A5" w:rsidRPr="00FF2655">
        <w:t xml:space="preserve">  Before subparagraph</w:t>
      </w:r>
      <w:r w:rsidR="00FF2655" w:rsidRPr="00FF2655">
        <w:t> </w:t>
      </w:r>
      <w:r w:rsidR="002605A5" w:rsidRPr="00FF2655">
        <w:t>3AA(2)(a)(i)</w:t>
      </w:r>
    </w:p>
    <w:p w:rsidR="002605A5" w:rsidRPr="00FF2655" w:rsidRDefault="002605A5" w:rsidP="002605A5">
      <w:pPr>
        <w:pStyle w:val="Item"/>
      </w:pPr>
      <w:r w:rsidRPr="00FF2655">
        <w:t>Insert:</w:t>
      </w:r>
    </w:p>
    <w:p w:rsidR="002605A5" w:rsidRPr="00FF2655" w:rsidRDefault="002605A5" w:rsidP="002605A5">
      <w:pPr>
        <w:pStyle w:val="paragraphsub"/>
      </w:pPr>
      <w:r w:rsidRPr="00FF2655">
        <w:tab/>
        <w:t>(ia)</w:t>
      </w:r>
      <w:r w:rsidRPr="00FF2655">
        <w:tab/>
        <w:t>the Montreal Protocol; and</w:t>
      </w:r>
    </w:p>
    <w:p w:rsidR="00247C58" w:rsidRPr="00FF2655" w:rsidRDefault="00247C58" w:rsidP="00247C58">
      <w:pPr>
        <w:pStyle w:val="ItemHead"/>
      </w:pPr>
      <w:r w:rsidRPr="00FF2655">
        <w:t>2</w:t>
      </w:r>
      <w:r w:rsidR="008F7C51" w:rsidRPr="00FF2655">
        <w:t>3</w:t>
      </w:r>
      <w:r w:rsidRPr="00FF2655">
        <w:t xml:space="preserve">  Paragraph</w:t>
      </w:r>
      <w:r w:rsidR="008F7C51" w:rsidRPr="00FF2655">
        <w:t>s</w:t>
      </w:r>
      <w:r w:rsidRPr="00FF2655">
        <w:t xml:space="preserve"> 3AA(3)(a)</w:t>
      </w:r>
      <w:r w:rsidR="008F7C51" w:rsidRPr="00FF2655">
        <w:t xml:space="preserve"> and (b)</w:t>
      </w:r>
    </w:p>
    <w:p w:rsidR="008F7C51" w:rsidRPr="00FF2655" w:rsidRDefault="008F7C51" w:rsidP="008F7C51">
      <w:pPr>
        <w:pStyle w:val="Item"/>
      </w:pPr>
      <w:r w:rsidRPr="00FF2655">
        <w:t>Repeal the paragraphs, substitute:</w:t>
      </w:r>
    </w:p>
    <w:p w:rsidR="008F7C51" w:rsidRPr="00FF2655" w:rsidRDefault="00851E85" w:rsidP="008F7C51">
      <w:pPr>
        <w:pStyle w:val="paragraph"/>
      </w:pPr>
      <w:r w:rsidRPr="00FF2655">
        <w:tab/>
        <w:t>(a)</w:t>
      </w:r>
      <w:r w:rsidRPr="00FF2655">
        <w:tab/>
        <w:t xml:space="preserve">states </w:t>
      </w:r>
      <w:r w:rsidR="008F7C51" w:rsidRPr="00FF2655">
        <w:t>the person intends to use the SGG in the manufacture of equipment; and</w:t>
      </w:r>
    </w:p>
    <w:p w:rsidR="008F7C51" w:rsidRPr="00FF2655" w:rsidRDefault="008F7C51" w:rsidP="008F7C51">
      <w:pPr>
        <w:pStyle w:val="paragraph"/>
      </w:pPr>
      <w:r w:rsidRPr="00FF2655">
        <w:tab/>
        <w:t>(b)</w:t>
      </w:r>
      <w:r w:rsidRPr="00FF2655">
        <w:tab/>
        <w:t>explains the process to be used to manufacture the equipment; and</w:t>
      </w:r>
    </w:p>
    <w:p w:rsidR="006919A2" w:rsidRPr="00FF2655" w:rsidRDefault="00206A09" w:rsidP="006919A2">
      <w:pPr>
        <w:pStyle w:val="ItemHead"/>
      </w:pPr>
      <w:r w:rsidRPr="00FF2655">
        <w:t>24</w:t>
      </w:r>
      <w:r w:rsidR="006919A2" w:rsidRPr="00FF2655">
        <w:t xml:space="preserve">  Paragraph 3AA(4)(b)</w:t>
      </w:r>
    </w:p>
    <w:p w:rsidR="006919A2" w:rsidRPr="00FF2655" w:rsidRDefault="006919A2" w:rsidP="006919A2">
      <w:pPr>
        <w:pStyle w:val="Item"/>
      </w:pPr>
      <w:r w:rsidRPr="00FF2655">
        <w:t xml:space="preserve">Omit </w:t>
      </w:r>
      <w:r w:rsidR="006360F9" w:rsidRPr="00FF2655">
        <w:t>“</w:t>
      </w:r>
      <w:r w:rsidRPr="00FF2655">
        <w:t>a product</w:t>
      </w:r>
      <w:r w:rsidR="006360F9" w:rsidRPr="00FF2655">
        <w:t>”</w:t>
      </w:r>
      <w:r w:rsidRPr="00FF2655">
        <w:t xml:space="preserve">, substitute </w:t>
      </w:r>
      <w:r w:rsidR="006360F9" w:rsidRPr="00FF2655">
        <w:t>“</w:t>
      </w:r>
      <w:r w:rsidRPr="00FF2655">
        <w:t>equipment</w:t>
      </w:r>
      <w:r w:rsidR="006360F9" w:rsidRPr="00FF2655">
        <w:t>”</w:t>
      </w:r>
      <w:r w:rsidR="00740597" w:rsidRPr="00FF2655">
        <w:t>.</w:t>
      </w:r>
    </w:p>
    <w:p w:rsidR="006919A2" w:rsidRPr="00FF2655" w:rsidRDefault="00206A09" w:rsidP="006919A2">
      <w:pPr>
        <w:pStyle w:val="ItemHead"/>
      </w:pPr>
      <w:r w:rsidRPr="00FF2655">
        <w:t>25</w:t>
      </w:r>
      <w:r w:rsidR="006919A2" w:rsidRPr="00FF2655">
        <w:t xml:space="preserve">  Paragraph 3AA(4)(c)</w:t>
      </w:r>
    </w:p>
    <w:p w:rsidR="006919A2" w:rsidRPr="00FF2655" w:rsidRDefault="006919A2" w:rsidP="006919A2">
      <w:pPr>
        <w:pStyle w:val="Item"/>
      </w:pPr>
      <w:r w:rsidRPr="00FF2655">
        <w:t xml:space="preserve">Omit </w:t>
      </w:r>
      <w:r w:rsidR="006360F9" w:rsidRPr="00FF2655">
        <w:t>“</w:t>
      </w:r>
      <w:r w:rsidRPr="00FF2655">
        <w:t>product</w:t>
      </w:r>
      <w:r w:rsidR="006360F9" w:rsidRPr="00FF2655">
        <w:t>”</w:t>
      </w:r>
      <w:r w:rsidRPr="00FF2655">
        <w:t xml:space="preserve">, substitute </w:t>
      </w:r>
      <w:r w:rsidR="006360F9" w:rsidRPr="00FF2655">
        <w:t>“</w:t>
      </w:r>
      <w:r w:rsidRPr="00FF2655">
        <w:t>equipment</w:t>
      </w:r>
      <w:r w:rsidR="006360F9" w:rsidRPr="00FF2655">
        <w:t>”</w:t>
      </w:r>
      <w:r w:rsidR="00740597" w:rsidRPr="00FF2655">
        <w:t>.</w:t>
      </w:r>
    </w:p>
    <w:p w:rsidR="006919A2" w:rsidRPr="00FF2655" w:rsidRDefault="00206A09" w:rsidP="006919A2">
      <w:pPr>
        <w:pStyle w:val="ItemHead"/>
      </w:pPr>
      <w:r w:rsidRPr="00FF2655">
        <w:t>26</w:t>
      </w:r>
      <w:r w:rsidR="006919A2" w:rsidRPr="00FF2655">
        <w:t xml:space="preserve">  Part</w:t>
      </w:r>
      <w:r w:rsidR="00FF2655" w:rsidRPr="00FF2655">
        <w:t> </w:t>
      </w:r>
      <w:r w:rsidR="006919A2" w:rsidRPr="00FF2655">
        <w:t>5 (heading)</w:t>
      </w:r>
    </w:p>
    <w:p w:rsidR="006919A2" w:rsidRPr="00FF2655" w:rsidRDefault="006919A2" w:rsidP="006919A2">
      <w:pPr>
        <w:pStyle w:val="Item"/>
      </w:pPr>
      <w:r w:rsidRPr="00FF2655">
        <w:t>Repeal the heading, substitute:</w:t>
      </w:r>
    </w:p>
    <w:p w:rsidR="006919A2" w:rsidRPr="00FF2655" w:rsidRDefault="006919A2" w:rsidP="006919A2">
      <w:pPr>
        <w:pStyle w:val="ActHead2"/>
      </w:pPr>
      <w:bookmarkStart w:id="50" w:name="f_Check_Lines_above"/>
      <w:bookmarkStart w:id="51" w:name="_Toc487631726"/>
      <w:bookmarkEnd w:id="50"/>
      <w:r w:rsidRPr="00FF2655">
        <w:rPr>
          <w:rStyle w:val="CharPartNo"/>
        </w:rPr>
        <w:t>Part</w:t>
      </w:r>
      <w:r w:rsidR="00FF2655" w:rsidRPr="00FF2655">
        <w:rPr>
          <w:rStyle w:val="CharPartNo"/>
        </w:rPr>
        <w:t> </w:t>
      </w:r>
      <w:r w:rsidRPr="00FF2655">
        <w:rPr>
          <w:rStyle w:val="CharPartNo"/>
        </w:rPr>
        <w:t>5</w:t>
      </w:r>
      <w:r w:rsidRPr="00FF2655">
        <w:t>—</w:t>
      </w:r>
      <w:r w:rsidRPr="00FF2655">
        <w:rPr>
          <w:rStyle w:val="CharPartText"/>
        </w:rPr>
        <w:t>Manufacture of equipment using scheduled substances</w:t>
      </w:r>
      <w:bookmarkEnd w:id="51"/>
    </w:p>
    <w:p w:rsidR="006919A2" w:rsidRPr="00FF2655" w:rsidRDefault="00206A09" w:rsidP="006919A2">
      <w:pPr>
        <w:pStyle w:val="ItemHead"/>
      </w:pPr>
      <w:r w:rsidRPr="00FF2655">
        <w:t>27</w:t>
      </w:r>
      <w:r w:rsidR="006919A2" w:rsidRPr="00FF2655">
        <w:t xml:space="preserve">  Subregulation</w:t>
      </w:r>
      <w:r w:rsidR="00FF2655" w:rsidRPr="00FF2655">
        <w:t> </w:t>
      </w:r>
      <w:r w:rsidR="006919A2" w:rsidRPr="00FF2655">
        <w:t>80(2)</w:t>
      </w:r>
    </w:p>
    <w:p w:rsidR="006919A2" w:rsidRPr="00FF2655" w:rsidRDefault="006919A2" w:rsidP="006919A2">
      <w:pPr>
        <w:pStyle w:val="Item"/>
      </w:pPr>
      <w:r w:rsidRPr="00FF2655">
        <w:t xml:space="preserve">Omit </w:t>
      </w:r>
      <w:r w:rsidR="006360F9" w:rsidRPr="00FF2655">
        <w:t>“</w:t>
      </w:r>
      <w:r w:rsidRPr="00FF2655">
        <w:t>a product</w:t>
      </w:r>
      <w:r w:rsidR="006360F9" w:rsidRPr="00FF2655">
        <w:t>”</w:t>
      </w:r>
      <w:r w:rsidRPr="00FF2655">
        <w:t xml:space="preserve">, substitute </w:t>
      </w:r>
      <w:r w:rsidR="006360F9" w:rsidRPr="00FF2655">
        <w:t>“</w:t>
      </w:r>
      <w:r w:rsidRPr="00FF2655">
        <w:t>equipment</w:t>
      </w:r>
      <w:r w:rsidR="006360F9" w:rsidRPr="00FF2655">
        <w:t>”</w:t>
      </w:r>
      <w:r w:rsidR="00740597" w:rsidRPr="00FF2655">
        <w:t>.</w:t>
      </w:r>
    </w:p>
    <w:p w:rsidR="009A55A8" w:rsidRPr="00FF2655" w:rsidRDefault="009A55A8" w:rsidP="00D40CA4">
      <w:pPr>
        <w:pStyle w:val="ActHead7"/>
        <w:pageBreakBefore/>
      </w:pPr>
      <w:bookmarkStart w:id="52" w:name="_Toc487631727"/>
      <w:r w:rsidRPr="00FF2655">
        <w:rPr>
          <w:rStyle w:val="CharAmPartNo"/>
        </w:rPr>
        <w:t>Part</w:t>
      </w:r>
      <w:r w:rsidR="00FF2655" w:rsidRPr="00FF2655">
        <w:rPr>
          <w:rStyle w:val="CharAmPartNo"/>
        </w:rPr>
        <w:t> </w:t>
      </w:r>
      <w:r w:rsidRPr="00FF2655">
        <w:rPr>
          <w:rStyle w:val="CharAmPartNo"/>
        </w:rPr>
        <w:t>3</w:t>
      </w:r>
      <w:r w:rsidRPr="00FF2655">
        <w:t>—</w:t>
      </w:r>
      <w:r w:rsidR="009F47A0" w:rsidRPr="00FF2655">
        <w:rPr>
          <w:rStyle w:val="CharAmPartText"/>
        </w:rPr>
        <w:t>References to</w:t>
      </w:r>
      <w:r w:rsidRPr="00FF2655">
        <w:rPr>
          <w:rStyle w:val="CharAmPartText"/>
        </w:rPr>
        <w:t xml:space="preserve"> </w:t>
      </w:r>
      <w:r w:rsidR="00385932" w:rsidRPr="00FF2655">
        <w:rPr>
          <w:rStyle w:val="CharAmPartText"/>
        </w:rPr>
        <w:t xml:space="preserve">the </w:t>
      </w:r>
      <w:r w:rsidR="00C67F61" w:rsidRPr="00FF2655">
        <w:rPr>
          <w:rStyle w:val="CharAmPartText"/>
        </w:rPr>
        <w:t>Navigation Act 1912</w:t>
      </w:r>
      <w:bookmarkEnd w:id="52"/>
    </w:p>
    <w:p w:rsidR="009A55A8" w:rsidRPr="00FF2655" w:rsidRDefault="009A55A8" w:rsidP="009A55A8">
      <w:pPr>
        <w:pStyle w:val="ActHead9"/>
      </w:pPr>
      <w:bookmarkStart w:id="53" w:name="_Toc487631728"/>
      <w:r w:rsidRPr="00FF2655">
        <w:t>Ozone Protection and Synthetic Greenhouse Gas Management Regulations</w:t>
      </w:r>
      <w:r w:rsidR="00FF2655" w:rsidRPr="00FF2655">
        <w:t> </w:t>
      </w:r>
      <w:r w:rsidRPr="00FF2655">
        <w:t>1995</w:t>
      </w:r>
      <w:bookmarkEnd w:id="53"/>
    </w:p>
    <w:p w:rsidR="009A55A8" w:rsidRPr="00FF2655" w:rsidRDefault="00206A09" w:rsidP="009A55A8">
      <w:pPr>
        <w:pStyle w:val="ItemHead"/>
      </w:pPr>
      <w:r w:rsidRPr="00FF2655">
        <w:t>28</w:t>
      </w:r>
      <w:r w:rsidR="009A55A8" w:rsidRPr="00FF2655">
        <w:t xml:space="preserve">  </w:t>
      </w:r>
      <w:r w:rsidR="0047409C" w:rsidRPr="00FF2655">
        <w:t>Regulation</w:t>
      </w:r>
      <w:r w:rsidR="00FF2655" w:rsidRPr="00FF2655">
        <w:t> </w:t>
      </w:r>
      <w:r w:rsidR="009A55A8" w:rsidRPr="00FF2655">
        <w:t xml:space="preserve">110 (definition of </w:t>
      </w:r>
      <w:r w:rsidR="009A55A8" w:rsidRPr="00FF2655">
        <w:rPr>
          <w:i/>
        </w:rPr>
        <w:t>AMSA certificate</w:t>
      </w:r>
      <w:r w:rsidR="009A55A8" w:rsidRPr="00FF2655">
        <w:t>)</w:t>
      </w:r>
    </w:p>
    <w:p w:rsidR="00881BF5" w:rsidRPr="00FF2655" w:rsidRDefault="00881BF5" w:rsidP="00F83A90">
      <w:pPr>
        <w:pStyle w:val="Item"/>
        <w:rPr>
          <w:lang w:eastAsia="en-US"/>
        </w:rPr>
      </w:pPr>
      <w:r w:rsidRPr="00FF2655">
        <w:t xml:space="preserve">Omit </w:t>
      </w:r>
      <w:r w:rsidR="006360F9" w:rsidRPr="00FF2655">
        <w:t>“</w:t>
      </w:r>
      <w:r w:rsidR="00F83A90" w:rsidRPr="00FF2655">
        <w:t xml:space="preserve">the </w:t>
      </w:r>
      <w:r w:rsidRPr="00FF2655">
        <w:rPr>
          <w:i/>
        </w:rPr>
        <w:t>Marine Orders, Part</w:t>
      </w:r>
      <w:r w:rsidR="00FF2655" w:rsidRPr="00FF2655">
        <w:rPr>
          <w:i/>
        </w:rPr>
        <w:t> </w:t>
      </w:r>
      <w:r w:rsidRPr="00FF2655">
        <w:rPr>
          <w:i/>
        </w:rPr>
        <w:t>3: Seagoing Qualifications, Issue</w:t>
      </w:r>
      <w:r w:rsidR="00FB382C" w:rsidRPr="00FF2655">
        <w:rPr>
          <w:i/>
        </w:rPr>
        <w:t xml:space="preserve"> </w:t>
      </w:r>
      <w:r w:rsidRPr="00FF2655">
        <w:rPr>
          <w:i/>
        </w:rPr>
        <w:t>6, Order No</w:t>
      </w:r>
      <w:r w:rsidR="00740597" w:rsidRPr="00FF2655">
        <w:rPr>
          <w:i/>
        </w:rPr>
        <w:t>.</w:t>
      </w:r>
      <w:r w:rsidR="00FF2655" w:rsidRPr="00FF2655">
        <w:rPr>
          <w:i/>
        </w:rPr>
        <w:t> </w:t>
      </w:r>
      <w:r w:rsidRPr="00FF2655">
        <w:rPr>
          <w:i/>
        </w:rPr>
        <w:t>8 of 2004</w:t>
      </w:r>
      <w:r w:rsidRPr="00FF2655">
        <w:t xml:space="preserve"> (made by the Australian Maritime Safety Authority under subsection</w:t>
      </w:r>
      <w:r w:rsidR="00FF2655" w:rsidRPr="00FF2655">
        <w:t> </w:t>
      </w:r>
      <w:r w:rsidRPr="00FF2655">
        <w:t>425(1AA) of th</w:t>
      </w:r>
      <w:r w:rsidRPr="00FF2655">
        <w:rPr>
          <w:lang w:eastAsia="en-US"/>
        </w:rPr>
        <w:t xml:space="preserve">e </w:t>
      </w:r>
      <w:r w:rsidRPr="00FF2655">
        <w:rPr>
          <w:i/>
          <w:lang w:eastAsia="en-US"/>
        </w:rPr>
        <w:t>Navigation Act 1912</w:t>
      </w:r>
      <w:r w:rsidRPr="00FF2655">
        <w:rPr>
          <w:lang w:eastAsia="en-US"/>
        </w:rPr>
        <w:t>)</w:t>
      </w:r>
      <w:r w:rsidR="006360F9" w:rsidRPr="00FF2655">
        <w:rPr>
          <w:lang w:eastAsia="en-US"/>
        </w:rPr>
        <w:t>”</w:t>
      </w:r>
      <w:r w:rsidRPr="00FF2655">
        <w:rPr>
          <w:lang w:eastAsia="en-US"/>
        </w:rPr>
        <w:t xml:space="preserve">, substitute </w:t>
      </w:r>
      <w:r w:rsidR="006360F9" w:rsidRPr="00FF2655">
        <w:rPr>
          <w:lang w:eastAsia="en-US"/>
        </w:rPr>
        <w:t>“</w:t>
      </w:r>
      <w:r w:rsidR="00F83A90" w:rsidRPr="00FF2655">
        <w:rPr>
          <w:lang w:eastAsia="en-US"/>
        </w:rPr>
        <w:t>section</w:t>
      </w:r>
      <w:r w:rsidR="00FF2655" w:rsidRPr="00FF2655">
        <w:rPr>
          <w:lang w:eastAsia="en-US"/>
        </w:rPr>
        <w:t> </w:t>
      </w:r>
      <w:r w:rsidR="00F83A90" w:rsidRPr="00FF2655">
        <w:rPr>
          <w:lang w:eastAsia="en-US"/>
        </w:rPr>
        <w:t xml:space="preserve">31 of the </w:t>
      </w:r>
      <w:r w:rsidR="002E3F3B" w:rsidRPr="00FF2655">
        <w:rPr>
          <w:i/>
        </w:rPr>
        <w:t>Navigation Act 2012</w:t>
      </w:r>
      <w:r w:rsidR="006360F9" w:rsidRPr="00FF2655">
        <w:rPr>
          <w:lang w:eastAsia="en-US"/>
        </w:rPr>
        <w:t>”</w:t>
      </w:r>
      <w:r w:rsidR="00740597" w:rsidRPr="00FF2655">
        <w:rPr>
          <w:lang w:eastAsia="en-US"/>
        </w:rPr>
        <w:t>.</w:t>
      </w:r>
    </w:p>
    <w:p w:rsidR="009A55A8" w:rsidRPr="00FF2655" w:rsidRDefault="00206A09" w:rsidP="009A55A8">
      <w:pPr>
        <w:pStyle w:val="ItemHead"/>
      </w:pPr>
      <w:r w:rsidRPr="00FF2655">
        <w:t>29</w:t>
      </w:r>
      <w:r w:rsidR="009A55A8" w:rsidRPr="00FF2655">
        <w:t xml:space="preserve">  </w:t>
      </w:r>
      <w:r w:rsidR="0047409C" w:rsidRPr="00FF2655">
        <w:t>Regulation</w:t>
      </w:r>
      <w:r w:rsidR="00FF2655" w:rsidRPr="00FF2655">
        <w:t> </w:t>
      </w:r>
      <w:r w:rsidR="009A55A8" w:rsidRPr="00FF2655">
        <w:t xml:space="preserve">110 (definition of </w:t>
      </w:r>
      <w:r w:rsidR="009A55A8" w:rsidRPr="00FF2655">
        <w:rPr>
          <w:i/>
        </w:rPr>
        <w:t>AMSA vessel</w:t>
      </w:r>
      <w:r w:rsidR="009A55A8" w:rsidRPr="00FF2655">
        <w:t>)</w:t>
      </w:r>
    </w:p>
    <w:p w:rsidR="006B3AF4" w:rsidRPr="00FF2655" w:rsidRDefault="006B3AF4" w:rsidP="006B3AF4">
      <w:pPr>
        <w:pStyle w:val="Item"/>
      </w:pPr>
      <w:r w:rsidRPr="00FF2655">
        <w:t>Repeal the definition, substitute:</w:t>
      </w:r>
    </w:p>
    <w:p w:rsidR="006B3AF4" w:rsidRPr="00FF2655" w:rsidRDefault="006B3AF4" w:rsidP="006B3AF4">
      <w:pPr>
        <w:pStyle w:val="Definition"/>
      </w:pPr>
      <w:r w:rsidRPr="00FF2655">
        <w:rPr>
          <w:b/>
          <w:i/>
        </w:rPr>
        <w:t>AMSA vessel</w:t>
      </w:r>
      <w:r w:rsidRPr="00FF2655">
        <w:t xml:space="preserve"> means a vessel:</w:t>
      </w:r>
    </w:p>
    <w:p w:rsidR="006B3AF4" w:rsidRPr="00FF2655" w:rsidRDefault="006B3AF4" w:rsidP="006B3AF4">
      <w:pPr>
        <w:pStyle w:val="paragraph"/>
      </w:pPr>
      <w:r w:rsidRPr="00FF2655">
        <w:tab/>
        <w:t>(a)</w:t>
      </w:r>
      <w:r w:rsidRPr="00FF2655">
        <w:tab/>
        <w:t xml:space="preserve">to which the </w:t>
      </w:r>
      <w:r w:rsidRPr="00FF2655">
        <w:rPr>
          <w:i/>
        </w:rPr>
        <w:t>Navigation Act 2012</w:t>
      </w:r>
      <w:r w:rsidRPr="00FF2655">
        <w:t xml:space="preserve"> applies; or</w:t>
      </w:r>
    </w:p>
    <w:p w:rsidR="006B3AF4" w:rsidRPr="00FF2655" w:rsidRDefault="006B3AF4" w:rsidP="006B3AF4">
      <w:pPr>
        <w:pStyle w:val="paragraph"/>
      </w:pPr>
      <w:r w:rsidRPr="00FF2655">
        <w:rPr>
          <w:lang w:eastAsia="en-US"/>
        </w:rPr>
        <w:tab/>
        <w:t>(b)</w:t>
      </w:r>
      <w:r w:rsidRPr="00FF2655">
        <w:rPr>
          <w:lang w:eastAsia="en-US"/>
        </w:rPr>
        <w:tab/>
      </w:r>
      <w:r w:rsidRPr="00FF2655">
        <w:t>that is taken to be a facility under clause</w:t>
      </w:r>
      <w:r w:rsidR="00FF2655" w:rsidRPr="00FF2655">
        <w:t> </w:t>
      </w:r>
      <w:r w:rsidRPr="00FF2655">
        <w:t>4 of Schedule</w:t>
      </w:r>
      <w:r w:rsidR="00FF2655" w:rsidRPr="00FF2655">
        <w:t> </w:t>
      </w:r>
      <w:r w:rsidRPr="00FF2655">
        <w:t xml:space="preserve">3 to the </w:t>
      </w:r>
      <w:r w:rsidRPr="00FF2655">
        <w:rPr>
          <w:i/>
        </w:rPr>
        <w:t>Offshore Petroleum and Greenhouse Gas Storage Act 2006</w:t>
      </w:r>
      <w:r w:rsidR="00740597" w:rsidRPr="00FF2655">
        <w:t>.</w:t>
      </w:r>
    </w:p>
    <w:p w:rsidR="00580958" w:rsidRPr="00FF2655" w:rsidRDefault="00580958" w:rsidP="00580958">
      <w:pPr>
        <w:pStyle w:val="ActHead7"/>
        <w:pageBreakBefore/>
      </w:pPr>
      <w:bookmarkStart w:id="54" w:name="_Toc487631729"/>
      <w:r w:rsidRPr="00FF2655">
        <w:rPr>
          <w:rStyle w:val="CharAmPartNo"/>
        </w:rPr>
        <w:t>Part</w:t>
      </w:r>
      <w:r w:rsidR="00FF2655" w:rsidRPr="00FF2655">
        <w:rPr>
          <w:rStyle w:val="CharAmPartNo"/>
        </w:rPr>
        <w:t> </w:t>
      </w:r>
      <w:r w:rsidRPr="00FF2655">
        <w:rPr>
          <w:rStyle w:val="CharAmPartNo"/>
        </w:rPr>
        <w:t>4</w:t>
      </w:r>
      <w:r w:rsidRPr="00FF2655">
        <w:t>—</w:t>
      </w:r>
      <w:r w:rsidRPr="00FF2655">
        <w:rPr>
          <w:rStyle w:val="CharAmPartText"/>
        </w:rPr>
        <w:t>Delegations</w:t>
      </w:r>
      <w:bookmarkEnd w:id="54"/>
    </w:p>
    <w:p w:rsidR="00C26D3B" w:rsidRPr="00FF2655" w:rsidRDefault="00C26D3B" w:rsidP="00C26D3B">
      <w:pPr>
        <w:pStyle w:val="ActHead9"/>
      </w:pPr>
      <w:bookmarkStart w:id="55" w:name="_Toc487631730"/>
      <w:r w:rsidRPr="00FF2655">
        <w:t>Ozone Protection and Synthetic Greenhouse Gas Management Regulations</w:t>
      </w:r>
      <w:r w:rsidR="00FF2655" w:rsidRPr="00FF2655">
        <w:t> </w:t>
      </w:r>
      <w:r w:rsidRPr="00FF2655">
        <w:t>1995</w:t>
      </w:r>
      <w:bookmarkEnd w:id="55"/>
    </w:p>
    <w:p w:rsidR="00C26D3B" w:rsidRPr="00FF2655" w:rsidRDefault="00206A09" w:rsidP="00C26D3B">
      <w:pPr>
        <w:pStyle w:val="ItemHead"/>
      </w:pPr>
      <w:r w:rsidRPr="00FF2655">
        <w:t>30</w:t>
      </w:r>
      <w:r w:rsidR="00C26D3B" w:rsidRPr="00FF2655">
        <w:t xml:space="preserve">  Subregulations</w:t>
      </w:r>
      <w:r w:rsidR="00FF2655" w:rsidRPr="00FF2655">
        <w:t> </w:t>
      </w:r>
      <w:r w:rsidR="00C26D3B" w:rsidRPr="00FF2655">
        <w:t>73(2) and (3) and 123(3) and (4)</w:t>
      </w:r>
    </w:p>
    <w:p w:rsidR="00C26D3B" w:rsidRPr="00FF2655" w:rsidRDefault="00C26D3B" w:rsidP="00C26D3B">
      <w:pPr>
        <w:pStyle w:val="Item"/>
      </w:pPr>
      <w:r w:rsidRPr="00FF2655">
        <w:t>Repeal the subregulations</w:t>
      </w:r>
      <w:r w:rsidR="00740597" w:rsidRPr="00FF2655">
        <w:t>.</w:t>
      </w:r>
    </w:p>
    <w:p w:rsidR="00C26D3B" w:rsidRPr="00FF2655" w:rsidRDefault="00206A09" w:rsidP="00C26D3B">
      <w:pPr>
        <w:pStyle w:val="ItemHead"/>
      </w:pPr>
      <w:r w:rsidRPr="00FF2655">
        <w:t>31</w:t>
      </w:r>
      <w:r w:rsidR="00C26D3B" w:rsidRPr="00FF2655">
        <w:t xml:space="preserve">  Regulation</w:t>
      </w:r>
      <w:r w:rsidR="00FF2655" w:rsidRPr="00FF2655">
        <w:t> </w:t>
      </w:r>
      <w:r w:rsidR="00C26D3B" w:rsidRPr="00FF2655">
        <w:t>246</w:t>
      </w:r>
    </w:p>
    <w:p w:rsidR="00C26D3B" w:rsidRPr="00FF2655" w:rsidRDefault="00C26D3B" w:rsidP="00C26D3B">
      <w:pPr>
        <w:pStyle w:val="Item"/>
      </w:pPr>
      <w:r w:rsidRPr="00FF2655">
        <w:t>Repeal the regulation</w:t>
      </w:r>
      <w:r w:rsidR="00E87B19" w:rsidRPr="00FF2655">
        <w:t xml:space="preserve"> (including the note)</w:t>
      </w:r>
      <w:r w:rsidR="00740597" w:rsidRPr="00FF2655">
        <w:t>.</w:t>
      </w:r>
    </w:p>
    <w:p w:rsidR="00C26D3B" w:rsidRPr="00FF2655" w:rsidRDefault="00206A09" w:rsidP="00C26D3B">
      <w:pPr>
        <w:pStyle w:val="ItemHead"/>
      </w:pPr>
      <w:r w:rsidRPr="00FF2655">
        <w:t>32</w:t>
      </w:r>
      <w:r w:rsidR="00C26D3B" w:rsidRPr="00FF2655">
        <w:t xml:space="preserve">  Subregulations</w:t>
      </w:r>
      <w:r w:rsidR="00FF2655" w:rsidRPr="00FF2655">
        <w:t> </w:t>
      </w:r>
      <w:r w:rsidR="00C26D3B" w:rsidRPr="00FF2655">
        <w:t>315(3) and (4)</w:t>
      </w:r>
    </w:p>
    <w:p w:rsidR="00C26D3B" w:rsidRPr="00FF2655" w:rsidRDefault="00C26D3B" w:rsidP="00C26D3B">
      <w:pPr>
        <w:pStyle w:val="Item"/>
      </w:pPr>
      <w:r w:rsidRPr="00FF2655">
        <w:t>Repeal the subregulations</w:t>
      </w:r>
      <w:r w:rsidR="00740597" w:rsidRPr="00FF2655">
        <w:t>.</w:t>
      </w:r>
    </w:p>
    <w:p w:rsidR="00C26D3B" w:rsidRPr="00FF2655" w:rsidRDefault="00206A09" w:rsidP="00C26D3B">
      <w:pPr>
        <w:pStyle w:val="ItemHead"/>
      </w:pPr>
      <w:r w:rsidRPr="00FF2655">
        <w:t>33</w:t>
      </w:r>
      <w:r w:rsidR="00C26D3B" w:rsidRPr="00FF2655">
        <w:t xml:space="preserve">  Regulation</w:t>
      </w:r>
      <w:r w:rsidR="00FF2655" w:rsidRPr="00FF2655">
        <w:t> </w:t>
      </w:r>
      <w:r w:rsidR="00C26D3B" w:rsidRPr="00FF2655">
        <w:t>913</w:t>
      </w:r>
    </w:p>
    <w:p w:rsidR="00C26D3B" w:rsidRPr="00FF2655" w:rsidRDefault="00C26D3B" w:rsidP="00C26D3B">
      <w:pPr>
        <w:pStyle w:val="Item"/>
      </w:pPr>
      <w:r w:rsidRPr="00FF2655">
        <w:t>Repeal the regulation</w:t>
      </w:r>
      <w:r w:rsidR="00740597" w:rsidRPr="00FF2655">
        <w:t>.</w:t>
      </w:r>
    </w:p>
    <w:p w:rsidR="00C26D3B" w:rsidRPr="00FF2655" w:rsidRDefault="00206A09" w:rsidP="00C26D3B">
      <w:pPr>
        <w:pStyle w:val="ItemHead"/>
      </w:pPr>
      <w:r w:rsidRPr="00FF2655">
        <w:t>34</w:t>
      </w:r>
      <w:r w:rsidR="00C26D3B" w:rsidRPr="00FF2655">
        <w:t xml:space="preserve">  Before regulation</w:t>
      </w:r>
      <w:r w:rsidR="00FF2655" w:rsidRPr="00FF2655">
        <w:t> </w:t>
      </w:r>
      <w:r w:rsidR="00C26D3B" w:rsidRPr="00FF2655">
        <w:t>920</w:t>
      </w:r>
    </w:p>
    <w:p w:rsidR="00C26D3B" w:rsidRPr="00FF2655" w:rsidRDefault="00C26D3B" w:rsidP="00C26D3B">
      <w:pPr>
        <w:pStyle w:val="Item"/>
      </w:pPr>
      <w:r w:rsidRPr="00FF2655">
        <w:t>Insert:</w:t>
      </w:r>
    </w:p>
    <w:p w:rsidR="00C26D3B" w:rsidRPr="00FF2655" w:rsidRDefault="00BD20A5" w:rsidP="00C26D3B">
      <w:pPr>
        <w:pStyle w:val="ActHead5"/>
      </w:pPr>
      <w:bookmarkStart w:id="56" w:name="_Toc487631731"/>
      <w:r w:rsidRPr="00FF2655">
        <w:rPr>
          <w:rStyle w:val="CharSectno"/>
        </w:rPr>
        <w:t>91</w:t>
      </w:r>
      <w:r w:rsidR="007B683C" w:rsidRPr="00FF2655">
        <w:rPr>
          <w:rStyle w:val="CharSectno"/>
        </w:rPr>
        <w:t>6</w:t>
      </w:r>
      <w:r w:rsidR="00C26D3B" w:rsidRPr="00FF2655">
        <w:t xml:space="preserve">  Delegation by </w:t>
      </w:r>
      <w:r w:rsidRPr="00FF2655">
        <w:t>Secretary</w:t>
      </w:r>
      <w:bookmarkEnd w:id="56"/>
    </w:p>
    <w:p w:rsidR="00BD20A5" w:rsidRPr="00FF2655" w:rsidRDefault="00C26D3B" w:rsidP="001571EF">
      <w:pPr>
        <w:pStyle w:val="subsection"/>
      </w:pPr>
      <w:r w:rsidRPr="00FF2655">
        <w:tab/>
        <w:t>(1)</w:t>
      </w:r>
      <w:r w:rsidRPr="00FF2655">
        <w:tab/>
        <w:t xml:space="preserve">The </w:t>
      </w:r>
      <w:r w:rsidR="00BD20A5" w:rsidRPr="00FF2655">
        <w:t>Secretary</w:t>
      </w:r>
      <w:r w:rsidRPr="00FF2655">
        <w:t xml:space="preserve"> may, in writing, delegate all or any of his or her functions or powers </w:t>
      </w:r>
      <w:r w:rsidR="00BD20A5" w:rsidRPr="00FF2655">
        <w:t xml:space="preserve">under these </w:t>
      </w:r>
      <w:r w:rsidR="00550C4D" w:rsidRPr="00FF2655">
        <w:t>R</w:t>
      </w:r>
      <w:r w:rsidR="00BD20A5" w:rsidRPr="00FF2655">
        <w:t xml:space="preserve">egulations </w:t>
      </w:r>
      <w:r w:rsidRPr="00FF2655">
        <w:t>to</w:t>
      </w:r>
      <w:r w:rsidR="00BD20A5" w:rsidRPr="00FF2655">
        <w:t>:</w:t>
      </w:r>
    </w:p>
    <w:p w:rsidR="00BD20A5" w:rsidRPr="00FF2655" w:rsidRDefault="00BD20A5" w:rsidP="00BD20A5">
      <w:pPr>
        <w:pStyle w:val="paragraph"/>
      </w:pPr>
      <w:r w:rsidRPr="00FF2655">
        <w:tab/>
        <w:t>(a)</w:t>
      </w:r>
      <w:r w:rsidRPr="00FF2655">
        <w:tab/>
        <w:t>an SES employee or acting SES employee in the Department; or</w:t>
      </w:r>
    </w:p>
    <w:p w:rsidR="00BD20A5" w:rsidRPr="00FF2655" w:rsidRDefault="00BD20A5" w:rsidP="00BD20A5">
      <w:pPr>
        <w:pStyle w:val="paragraph"/>
      </w:pPr>
      <w:r w:rsidRPr="00FF2655">
        <w:tab/>
        <w:t>(b)</w:t>
      </w:r>
      <w:r w:rsidRPr="00FF2655">
        <w:tab/>
        <w:t>an APS employee who holds, or is acting in, an Executive Level 2, or equivalent, position in the Department</w:t>
      </w:r>
      <w:r w:rsidR="00740597" w:rsidRPr="00FF2655">
        <w:t>.</w:t>
      </w:r>
    </w:p>
    <w:p w:rsidR="00C26D3B" w:rsidRPr="00FF2655" w:rsidRDefault="00C26D3B" w:rsidP="001571EF">
      <w:pPr>
        <w:pStyle w:val="notetext"/>
      </w:pPr>
      <w:r w:rsidRPr="00FF2655">
        <w:t>Note:</w:t>
      </w:r>
      <w:r w:rsidRPr="00FF2655">
        <w:tab/>
        <w:t>Sections</w:t>
      </w:r>
      <w:r w:rsidR="00FF2655" w:rsidRPr="00FF2655">
        <w:t> </w:t>
      </w:r>
      <w:r w:rsidRPr="00FF2655">
        <w:t xml:space="preserve">34AA to 34A of the </w:t>
      </w:r>
      <w:r w:rsidRPr="00FF2655">
        <w:rPr>
          <w:i/>
        </w:rPr>
        <w:t>Acts Interpretation Act 1901</w:t>
      </w:r>
      <w:r w:rsidRPr="00FF2655">
        <w:t xml:space="preserve"> contain provisions relating to delegations</w:t>
      </w:r>
      <w:r w:rsidR="00740597" w:rsidRPr="00FF2655">
        <w:t>.</w:t>
      </w:r>
    </w:p>
    <w:p w:rsidR="00C26D3B" w:rsidRPr="00FF2655" w:rsidRDefault="00C26D3B" w:rsidP="001571EF">
      <w:pPr>
        <w:pStyle w:val="subsection"/>
      </w:pPr>
      <w:r w:rsidRPr="00FF2655">
        <w:tab/>
        <w:t>(2)</w:t>
      </w:r>
      <w:r w:rsidRPr="00FF2655">
        <w:tab/>
        <w:t xml:space="preserve">In performing a delegated function or exercising a delegated power, the delegate must comply with any written directions of the </w:t>
      </w:r>
      <w:r w:rsidR="00BD20A5" w:rsidRPr="00FF2655">
        <w:t>Secretary</w:t>
      </w:r>
      <w:r w:rsidR="00740597" w:rsidRPr="00FF2655">
        <w:t>.</w:t>
      </w:r>
    </w:p>
    <w:p w:rsidR="00C62772" w:rsidRPr="00FF2655" w:rsidRDefault="00C62772" w:rsidP="00740597">
      <w:pPr>
        <w:pStyle w:val="ActHead7"/>
        <w:pageBreakBefore/>
      </w:pPr>
      <w:bookmarkStart w:id="57" w:name="_Toc487631732"/>
      <w:r w:rsidRPr="00FF2655">
        <w:rPr>
          <w:rStyle w:val="CharAmPartNo"/>
        </w:rPr>
        <w:t>Part</w:t>
      </w:r>
      <w:r w:rsidR="00FF2655" w:rsidRPr="00FF2655">
        <w:rPr>
          <w:rStyle w:val="CharAmPartNo"/>
        </w:rPr>
        <w:t> </w:t>
      </w:r>
      <w:r w:rsidRPr="00FF2655">
        <w:rPr>
          <w:rStyle w:val="CharAmPartNo"/>
        </w:rPr>
        <w:t>5</w:t>
      </w:r>
      <w:r w:rsidRPr="00FF2655">
        <w:t>—</w:t>
      </w:r>
      <w:r w:rsidR="00E87B19" w:rsidRPr="00FF2655">
        <w:rPr>
          <w:rStyle w:val="CharAmPartText"/>
        </w:rPr>
        <w:t>Other amendments</w:t>
      </w:r>
      <w:bookmarkEnd w:id="57"/>
    </w:p>
    <w:p w:rsidR="00C62772" w:rsidRPr="00FF2655" w:rsidRDefault="00C62772" w:rsidP="00C62772">
      <w:pPr>
        <w:pStyle w:val="ActHead9"/>
      </w:pPr>
      <w:bookmarkStart w:id="58" w:name="_Toc487631733"/>
      <w:r w:rsidRPr="00FF2655">
        <w:t>Ozone Protection and Synthetic Greenhouse Gas Management Regulations</w:t>
      </w:r>
      <w:r w:rsidR="00FF2655" w:rsidRPr="00FF2655">
        <w:t> </w:t>
      </w:r>
      <w:r w:rsidRPr="00FF2655">
        <w:t>1995</w:t>
      </w:r>
      <w:bookmarkEnd w:id="58"/>
    </w:p>
    <w:p w:rsidR="00E87B19" w:rsidRPr="00FF2655" w:rsidRDefault="00206A09" w:rsidP="00C62772">
      <w:pPr>
        <w:pStyle w:val="ItemHead"/>
      </w:pPr>
      <w:r w:rsidRPr="00FF2655">
        <w:t>35</w:t>
      </w:r>
      <w:r w:rsidR="00E87B19" w:rsidRPr="00FF2655">
        <w:t xml:space="preserve">  Regulation</w:t>
      </w:r>
      <w:r w:rsidR="00FF2655" w:rsidRPr="00FF2655">
        <w:t> </w:t>
      </w:r>
      <w:r w:rsidR="00E87B19" w:rsidRPr="00FF2655">
        <w:t xml:space="preserve">110 (definition of </w:t>
      </w:r>
      <w:r w:rsidR="00E87B19" w:rsidRPr="00FF2655">
        <w:rPr>
          <w:i/>
        </w:rPr>
        <w:t>temporary licence</w:t>
      </w:r>
      <w:r w:rsidR="00E87B19" w:rsidRPr="00FF2655">
        <w:t>)</w:t>
      </w:r>
    </w:p>
    <w:p w:rsidR="00E87B19" w:rsidRPr="00FF2655" w:rsidRDefault="00E87B19" w:rsidP="00E87B19">
      <w:pPr>
        <w:pStyle w:val="Item"/>
      </w:pPr>
      <w:r w:rsidRPr="00FF2655">
        <w:t>Repeal the definition</w:t>
      </w:r>
      <w:r w:rsidR="00740597" w:rsidRPr="00FF2655">
        <w:t>.</w:t>
      </w:r>
    </w:p>
    <w:p w:rsidR="00E87B19" w:rsidRPr="00FF2655" w:rsidRDefault="00206A09" w:rsidP="00E87B19">
      <w:pPr>
        <w:pStyle w:val="ItemHead"/>
      </w:pPr>
      <w:r w:rsidRPr="00FF2655">
        <w:t>36</w:t>
      </w:r>
      <w:r w:rsidR="00E87B19" w:rsidRPr="00FF2655">
        <w:t xml:space="preserve">  Subregulation</w:t>
      </w:r>
      <w:r w:rsidR="00FF2655" w:rsidRPr="00FF2655">
        <w:t> </w:t>
      </w:r>
      <w:r w:rsidR="00E87B19" w:rsidRPr="00FF2655">
        <w:t>130(3)</w:t>
      </w:r>
    </w:p>
    <w:p w:rsidR="00E87B19" w:rsidRPr="00FF2655" w:rsidRDefault="00E87B19" w:rsidP="00E87B19">
      <w:pPr>
        <w:pStyle w:val="Item"/>
      </w:pPr>
      <w:r w:rsidRPr="00FF2655">
        <w:t xml:space="preserve">Omit </w:t>
      </w:r>
      <w:r w:rsidR="006360F9" w:rsidRPr="00FF2655">
        <w:t>“</w:t>
      </w:r>
      <w:r w:rsidRPr="00FF2655">
        <w:t>, other than a temporary licence,</w:t>
      </w:r>
      <w:r w:rsidR="006360F9" w:rsidRPr="00FF2655">
        <w:t>”</w:t>
      </w:r>
      <w:r w:rsidR="00740597" w:rsidRPr="00FF2655">
        <w:t>.</w:t>
      </w:r>
    </w:p>
    <w:p w:rsidR="00E87B19" w:rsidRPr="00FF2655" w:rsidRDefault="00206A09" w:rsidP="00E87B19">
      <w:pPr>
        <w:pStyle w:val="ItemHead"/>
      </w:pPr>
      <w:r w:rsidRPr="00FF2655">
        <w:t>37</w:t>
      </w:r>
      <w:r w:rsidR="00E87B19" w:rsidRPr="00FF2655">
        <w:t xml:space="preserve">  Subdivision</w:t>
      </w:r>
      <w:r w:rsidR="00FF2655" w:rsidRPr="00FF2655">
        <w:t> </w:t>
      </w:r>
      <w:r w:rsidR="00E87B19" w:rsidRPr="00FF2655">
        <w:t>6A</w:t>
      </w:r>
      <w:r w:rsidR="00740597" w:rsidRPr="00FF2655">
        <w:t>.</w:t>
      </w:r>
      <w:r w:rsidR="00E87B19" w:rsidRPr="00FF2655">
        <w:t>2</w:t>
      </w:r>
      <w:r w:rsidR="00740597" w:rsidRPr="00FF2655">
        <w:t>.</w:t>
      </w:r>
      <w:r w:rsidR="00E87B19" w:rsidRPr="00FF2655">
        <w:t xml:space="preserve">3 (note to </w:t>
      </w:r>
      <w:r w:rsidR="00550C4D" w:rsidRPr="00FF2655">
        <w:t>Subdivision</w:t>
      </w:r>
      <w:r w:rsidR="00E87B19" w:rsidRPr="00FF2655">
        <w:t xml:space="preserve"> heading)</w:t>
      </w:r>
    </w:p>
    <w:p w:rsidR="00E87B19" w:rsidRPr="00FF2655" w:rsidRDefault="00E87B19" w:rsidP="00E87B19">
      <w:pPr>
        <w:pStyle w:val="Item"/>
      </w:pPr>
      <w:r w:rsidRPr="00FF2655">
        <w:t>Repeal the note</w:t>
      </w:r>
      <w:r w:rsidR="00740597" w:rsidRPr="00FF2655">
        <w:t>.</w:t>
      </w:r>
    </w:p>
    <w:p w:rsidR="00C62772" w:rsidRPr="00FF2655" w:rsidRDefault="00206A09" w:rsidP="00C62772">
      <w:pPr>
        <w:pStyle w:val="ItemHead"/>
      </w:pPr>
      <w:r w:rsidRPr="00FF2655">
        <w:t>38</w:t>
      </w:r>
      <w:r w:rsidR="00C62772" w:rsidRPr="00FF2655">
        <w:t xml:space="preserve">  Subparagraph 326(1)(c)(ii)</w:t>
      </w:r>
    </w:p>
    <w:p w:rsidR="00C62772" w:rsidRPr="00FF2655" w:rsidRDefault="00C62772" w:rsidP="00C62772">
      <w:pPr>
        <w:pStyle w:val="Item"/>
      </w:pPr>
      <w:r w:rsidRPr="00FF2655">
        <w:t>Repeal the subparagraph</w:t>
      </w:r>
      <w:r w:rsidR="00740597" w:rsidRPr="00FF2655">
        <w:t>.</w:t>
      </w:r>
    </w:p>
    <w:p w:rsidR="00310EAC" w:rsidRPr="00FF2655" w:rsidRDefault="00206A09" w:rsidP="00310EAC">
      <w:pPr>
        <w:pStyle w:val="ItemHead"/>
      </w:pPr>
      <w:r w:rsidRPr="00FF2655">
        <w:t>39</w:t>
      </w:r>
      <w:r w:rsidR="00310EAC" w:rsidRPr="00FF2655">
        <w:t xml:space="preserve">  Subparagraph 326(1)(c)(iii)</w:t>
      </w:r>
    </w:p>
    <w:p w:rsidR="00310EAC" w:rsidRPr="00FF2655" w:rsidRDefault="00310EAC" w:rsidP="00310EAC">
      <w:pPr>
        <w:pStyle w:val="Item"/>
      </w:pPr>
      <w:r w:rsidRPr="00FF2655">
        <w:t xml:space="preserve">Omit </w:t>
      </w:r>
      <w:r w:rsidR="006360F9" w:rsidRPr="00FF2655">
        <w:t>“</w:t>
      </w:r>
      <w:r w:rsidRPr="00FF2655">
        <w:t>otherwise</w:t>
      </w:r>
      <w:r w:rsidR="006360F9" w:rsidRPr="00FF2655">
        <w:t>”</w:t>
      </w:r>
      <w:r w:rsidR="00740597" w:rsidRPr="00FF2655">
        <w:t>.</w:t>
      </w:r>
    </w:p>
    <w:p w:rsidR="00E87B19" w:rsidRPr="00FF2655" w:rsidRDefault="00206A09" w:rsidP="00E87B19">
      <w:pPr>
        <w:pStyle w:val="ItemHead"/>
      </w:pPr>
      <w:r w:rsidRPr="00FF2655">
        <w:t>40</w:t>
      </w:r>
      <w:r w:rsidR="00E87B19" w:rsidRPr="00FF2655">
        <w:t xml:space="preserve">  Subparagraph 343(a)(iii)</w:t>
      </w:r>
    </w:p>
    <w:p w:rsidR="00E87B19" w:rsidRPr="00FF2655" w:rsidRDefault="00E87B19" w:rsidP="00E87B19">
      <w:pPr>
        <w:pStyle w:val="Item"/>
      </w:pPr>
      <w:r w:rsidRPr="00FF2655">
        <w:t>Repeal the subparagraph</w:t>
      </w:r>
      <w:r w:rsidR="00740597" w:rsidRPr="00FF2655">
        <w:t>.</w:t>
      </w:r>
    </w:p>
    <w:p w:rsidR="00BD20A5" w:rsidRPr="00FF2655" w:rsidRDefault="00BD20A5" w:rsidP="00BD20A5">
      <w:pPr>
        <w:pStyle w:val="ActHead7"/>
        <w:pageBreakBefore/>
      </w:pPr>
      <w:bookmarkStart w:id="59" w:name="_Toc487631734"/>
      <w:r w:rsidRPr="00FF2655">
        <w:rPr>
          <w:rStyle w:val="CharAmPartNo"/>
        </w:rPr>
        <w:t>Part</w:t>
      </w:r>
      <w:r w:rsidR="00FF2655" w:rsidRPr="00FF2655">
        <w:rPr>
          <w:rStyle w:val="CharAmPartNo"/>
        </w:rPr>
        <w:t> </w:t>
      </w:r>
      <w:r w:rsidR="00C62772" w:rsidRPr="00FF2655">
        <w:rPr>
          <w:rStyle w:val="CharAmPartNo"/>
        </w:rPr>
        <w:t>6</w:t>
      </w:r>
      <w:r w:rsidRPr="00FF2655">
        <w:t>—</w:t>
      </w:r>
      <w:r w:rsidRPr="00FF2655">
        <w:rPr>
          <w:rStyle w:val="CharAmPartText"/>
        </w:rPr>
        <w:t>Transitional provisions</w:t>
      </w:r>
      <w:bookmarkEnd w:id="59"/>
    </w:p>
    <w:p w:rsidR="00BD20A5" w:rsidRPr="00FF2655" w:rsidRDefault="00BD20A5" w:rsidP="00BD20A5">
      <w:pPr>
        <w:pStyle w:val="ActHead9"/>
      </w:pPr>
      <w:bookmarkStart w:id="60" w:name="_Toc487631735"/>
      <w:r w:rsidRPr="00FF2655">
        <w:t>Ozone Protection and Synthetic Greenhouse Gas Management Regulations</w:t>
      </w:r>
      <w:r w:rsidR="00FF2655" w:rsidRPr="00FF2655">
        <w:t> </w:t>
      </w:r>
      <w:r w:rsidRPr="00FF2655">
        <w:t>1995</w:t>
      </w:r>
      <w:bookmarkEnd w:id="60"/>
    </w:p>
    <w:p w:rsidR="00BD20A5" w:rsidRPr="00FF2655" w:rsidRDefault="00206A09" w:rsidP="00BD20A5">
      <w:pPr>
        <w:pStyle w:val="ItemHead"/>
      </w:pPr>
      <w:r w:rsidRPr="00FF2655">
        <w:t>41</w:t>
      </w:r>
      <w:r w:rsidR="00BD20A5" w:rsidRPr="00FF2655">
        <w:t xml:space="preserve">  In the appropriate position in Part</w:t>
      </w:r>
      <w:r w:rsidR="00FF2655" w:rsidRPr="00FF2655">
        <w:t> </w:t>
      </w:r>
      <w:r w:rsidR="00BD20A5" w:rsidRPr="00FF2655">
        <w:t>10</w:t>
      </w:r>
    </w:p>
    <w:p w:rsidR="00BD20A5" w:rsidRPr="00FF2655" w:rsidRDefault="00BD20A5" w:rsidP="00BD20A5">
      <w:pPr>
        <w:pStyle w:val="Item"/>
      </w:pPr>
      <w:r w:rsidRPr="00FF2655">
        <w:t>Insert:</w:t>
      </w:r>
    </w:p>
    <w:p w:rsidR="00BD20A5" w:rsidRPr="00FF2655" w:rsidRDefault="00BD20A5" w:rsidP="00BD20A5">
      <w:pPr>
        <w:pStyle w:val="ActHead3"/>
      </w:pPr>
      <w:bookmarkStart w:id="61" w:name="_Toc487631736"/>
      <w:r w:rsidRPr="00FF2655">
        <w:rPr>
          <w:rStyle w:val="CharDivNo"/>
        </w:rPr>
        <w:t>Division</w:t>
      </w:r>
      <w:r w:rsidR="00FF2655" w:rsidRPr="00FF2655">
        <w:rPr>
          <w:rStyle w:val="CharDivNo"/>
        </w:rPr>
        <w:t> </w:t>
      </w:r>
      <w:r w:rsidRPr="00FF2655">
        <w:rPr>
          <w:rStyle w:val="CharDivNo"/>
        </w:rPr>
        <w:t>2</w:t>
      </w:r>
      <w:r w:rsidRPr="00FF2655">
        <w:t>—</w:t>
      </w:r>
      <w:r w:rsidRPr="00FF2655">
        <w:rPr>
          <w:rStyle w:val="CharDivText"/>
        </w:rPr>
        <w:t xml:space="preserve">Amendments made by the Ozone Protection and Synthetic Greenhouse Gas Management Legislation Amendment </w:t>
      </w:r>
      <w:r w:rsidR="00EB6F3A" w:rsidRPr="00FF2655">
        <w:rPr>
          <w:rStyle w:val="CharDivText"/>
        </w:rPr>
        <w:t>(2017 Measures No</w:t>
      </w:r>
      <w:r w:rsidR="00740597" w:rsidRPr="00FF2655">
        <w:rPr>
          <w:rStyle w:val="CharDivText"/>
        </w:rPr>
        <w:t>.</w:t>
      </w:r>
      <w:r w:rsidR="00FF2655" w:rsidRPr="00FF2655">
        <w:rPr>
          <w:rStyle w:val="CharDivText"/>
        </w:rPr>
        <w:t> </w:t>
      </w:r>
      <w:r w:rsidR="00EB6F3A" w:rsidRPr="00FF2655">
        <w:rPr>
          <w:rStyle w:val="CharDivText"/>
        </w:rPr>
        <w:t xml:space="preserve">1) </w:t>
      </w:r>
      <w:r w:rsidRPr="00FF2655">
        <w:rPr>
          <w:rStyle w:val="CharDivText"/>
        </w:rPr>
        <w:t>Regulations</w:t>
      </w:r>
      <w:r w:rsidR="00FF2655" w:rsidRPr="00FF2655">
        <w:rPr>
          <w:rStyle w:val="CharDivText"/>
        </w:rPr>
        <w:t> </w:t>
      </w:r>
      <w:r w:rsidRPr="00FF2655">
        <w:rPr>
          <w:rStyle w:val="CharDivText"/>
        </w:rPr>
        <w:t>2017</w:t>
      </w:r>
      <w:bookmarkEnd w:id="61"/>
    </w:p>
    <w:p w:rsidR="00BD20A5" w:rsidRPr="00FF2655" w:rsidRDefault="00BD20A5" w:rsidP="00BD20A5">
      <w:pPr>
        <w:pStyle w:val="ActHead5"/>
      </w:pPr>
      <w:bookmarkStart w:id="62" w:name="_Toc487631737"/>
      <w:r w:rsidRPr="00FF2655">
        <w:rPr>
          <w:rStyle w:val="CharSectno"/>
        </w:rPr>
        <w:t>956</w:t>
      </w:r>
      <w:r w:rsidRPr="00FF2655">
        <w:t xml:space="preserve">  Application of amendments made by item</w:t>
      </w:r>
      <w:r w:rsidR="00FF2655" w:rsidRPr="00FF2655">
        <w:t> </w:t>
      </w:r>
      <w:r w:rsidR="00385722" w:rsidRPr="00FF2655">
        <w:t>6</w:t>
      </w:r>
      <w:r w:rsidRPr="00FF2655">
        <w:t xml:space="preserve"> of Schedule</w:t>
      </w:r>
      <w:r w:rsidR="00FF2655" w:rsidRPr="00FF2655">
        <w:t> </w:t>
      </w:r>
      <w:r w:rsidRPr="00FF2655">
        <w:t>1</w:t>
      </w:r>
      <w:bookmarkEnd w:id="62"/>
    </w:p>
    <w:p w:rsidR="00BD20A5" w:rsidRPr="00FF2655" w:rsidRDefault="00BD20A5" w:rsidP="00BD20A5">
      <w:pPr>
        <w:pStyle w:val="subsection"/>
      </w:pPr>
      <w:r w:rsidRPr="00FF2655">
        <w:tab/>
      </w:r>
      <w:r w:rsidRPr="00FF2655">
        <w:tab/>
        <w:t>The amendments made by item</w:t>
      </w:r>
      <w:r w:rsidR="00FF2655" w:rsidRPr="00FF2655">
        <w:t> </w:t>
      </w:r>
      <w:r w:rsidR="00385722" w:rsidRPr="00FF2655">
        <w:t>6</w:t>
      </w:r>
      <w:r w:rsidRPr="00FF2655">
        <w:t xml:space="preserve"> of Schedule</w:t>
      </w:r>
      <w:r w:rsidR="00FF2655" w:rsidRPr="00FF2655">
        <w:t> </w:t>
      </w:r>
      <w:r w:rsidRPr="00FF2655">
        <w:t xml:space="preserve">1 to the </w:t>
      </w:r>
      <w:r w:rsidRPr="00FF2655">
        <w:rPr>
          <w:i/>
        </w:rPr>
        <w:t>Ozone Protection and Synthetic Greenhouse Gas Management Legislation Amendment</w:t>
      </w:r>
      <w:r w:rsidR="00EB6F3A" w:rsidRPr="00FF2655">
        <w:rPr>
          <w:i/>
        </w:rPr>
        <w:t xml:space="preserve"> (2017 Measures No</w:t>
      </w:r>
      <w:r w:rsidR="00740597" w:rsidRPr="00FF2655">
        <w:rPr>
          <w:i/>
        </w:rPr>
        <w:t>.</w:t>
      </w:r>
      <w:r w:rsidR="00FF2655" w:rsidRPr="00FF2655">
        <w:rPr>
          <w:i/>
        </w:rPr>
        <w:t> </w:t>
      </w:r>
      <w:r w:rsidR="00EB6F3A" w:rsidRPr="00FF2655">
        <w:rPr>
          <w:i/>
        </w:rPr>
        <w:t xml:space="preserve">1) </w:t>
      </w:r>
      <w:r w:rsidRPr="00FF2655">
        <w:rPr>
          <w:i/>
        </w:rPr>
        <w:t>Regulations</w:t>
      </w:r>
      <w:r w:rsidR="00FF2655" w:rsidRPr="00FF2655">
        <w:rPr>
          <w:i/>
        </w:rPr>
        <w:t> </w:t>
      </w:r>
      <w:r w:rsidRPr="00FF2655">
        <w:rPr>
          <w:i/>
        </w:rPr>
        <w:t>2017</w:t>
      </w:r>
      <w:r w:rsidRPr="00FF2655">
        <w:t xml:space="preserve"> apply in relation to importing ODS equipment or SGG equipment on or after the commencement of this regulation</w:t>
      </w:r>
      <w:r w:rsidR="00740597" w:rsidRPr="00FF2655">
        <w:t>.</w:t>
      </w:r>
    </w:p>
    <w:p w:rsidR="00BD20A5" w:rsidRPr="00FF2655" w:rsidRDefault="00BD20A5" w:rsidP="00BD20A5">
      <w:pPr>
        <w:pStyle w:val="ActHead5"/>
      </w:pPr>
      <w:bookmarkStart w:id="63" w:name="_Toc487631738"/>
      <w:r w:rsidRPr="00FF2655">
        <w:rPr>
          <w:rStyle w:val="CharSectno"/>
        </w:rPr>
        <w:t>957</w:t>
      </w:r>
      <w:r w:rsidRPr="00FF2655">
        <w:t xml:space="preserve">  Transitional provision—approved forms</w:t>
      </w:r>
      <w:bookmarkEnd w:id="63"/>
    </w:p>
    <w:p w:rsidR="00BD20A5" w:rsidRPr="00FF2655" w:rsidRDefault="00BD20A5" w:rsidP="00BD20A5">
      <w:pPr>
        <w:pStyle w:val="subsection"/>
      </w:pPr>
      <w:r w:rsidRPr="00FF2655">
        <w:tab/>
      </w:r>
      <w:r w:rsidRPr="00FF2655">
        <w:tab/>
        <w:t xml:space="preserve">For the purposes of these </w:t>
      </w:r>
      <w:r w:rsidR="00550C4D" w:rsidRPr="00FF2655">
        <w:t>R</w:t>
      </w:r>
      <w:r w:rsidRPr="00FF2655">
        <w:t>egulations, if:</w:t>
      </w:r>
    </w:p>
    <w:p w:rsidR="00BD20A5" w:rsidRPr="00FF2655" w:rsidRDefault="00BD20A5" w:rsidP="00BD20A5">
      <w:pPr>
        <w:pStyle w:val="paragraph"/>
      </w:pPr>
      <w:r w:rsidRPr="00FF2655">
        <w:tab/>
        <w:t>(a)</w:t>
      </w:r>
      <w:r w:rsidRPr="00FF2655">
        <w:tab/>
        <w:t xml:space="preserve">the Minister approved a form under a provision of these </w:t>
      </w:r>
      <w:r w:rsidR="00550C4D" w:rsidRPr="00FF2655">
        <w:t>R</w:t>
      </w:r>
      <w:r w:rsidRPr="00FF2655">
        <w:t>egulations; and</w:t>
      </w:r>
    </w:p>
    <w:p w:rsidR="00BD20A5" w:rsidRPr="00FF2655" w:rsidRDefault="00BD20A5" w:rsidP="00BD20A5">
      <w:pPr>
        <w:pStyle w:val="paragraph"/>
      </w:pPr>
      <w:r w:rsidRPr="00FF2655">
        <w:tab/>
        <w:t>(b)</w:t>
      </w:r>
      <w:r w:rsidRPr="00FF2655">
        <w:tab/>
        <w:t>the approval was in force immediately before the commencement of this regulation;</w:t>
      </w:r>
    </w:p>
    <w:p w:rsidR="00BD20A5" w:rsidRPr="00FF2655" w:rsidRDefault="00BD20A5" w:rsidP="00BD20A5">
      <w:pPr>
        <w:pStyle w:val="subsection2"/>
      </w:pPr>
      <w:r w:rsidRPr="00FF2655">
        <w:t>the approval has effect from that commencement as if it had been made under section</w:t>
      </w:r>
      <w:r w:rsidR="00FF2655" w:rsidRPr="00FF2655">
        <w:t> </w:t>
      </w:r>
      <w:r w:rsidRPr="00FF2655">
        <w:t>66A of the Act, as amended by Schedule</w:t>
      </w:r>
      <w:r w:rsidR="00FF2655" w:rsidRPr="00FF2655">
        <w:t> </w:t>
      </w:r>
      <w:r w:rsidRPr="00FF2655">
        <w:t xml:space="preserve">1 to the </w:t>
      </w:r>
      <w:r w:rsidRPr="00FF2655">
        <w:rPr>
          <w:i/>
        </w:rPr>
        <w:t>Ozone Protection and Synthetic Greenhouse Gas Management Legislation Amendment Act 2017</w:t>
      </w:r>
      <w:r w:rsidRPr="00FF2655">
        <w:t xml:space="preserve">, for the purposes of the provision mentioned in </w:t>
      </w:r>
      <w:r w:rsidR="00FF2655" w:rsidRPr="00FF2655">
        <w:t>paragraph (</w:t>
      </w:r>
      <w:r w:rsidRPr="00FF2655">
        <w:t>a) of this regulation</w:t>
      </w:r>
      <w:r w:rsidR="00740597" w:rsidRPr="00FF2655">
        <w:t>.</w:t>
      </w:r>
    </w:p>
    <w:p w:rsidR="00BD20A5" w:rsidRPr="00FF2655" w:rsidRDefault="00BD20A5" w:rsidP="00BD20A5">
      <w:pPr>
        <w:pStyle w:val="ActHead5"/>
      </w:pPr>
      <w:bookmarkStart w:id="64" w:name="_Toc487631739"/>
      <w:r w:rsidRPr="00FF2655">
        <w:rPr>
          <w:rStyle w:val="CharSectno"/>
        </w:rPr>
        <w:t>95</w:t>
      </w:r>
      <w:r w:rsidR="008E2A56" w:rsidRPr="00FF2655">
        <w:rPr>
          <w:rStyle w:val="CharSectno"/>
        </w:rPr>
        <w:t>8</w:t>
      </w:r>
      <w:r w:rsidRPr="00FF2655">
        <w:t xml:space="preserve">  Transitional provision—delegations</w:t>
      </w:r>
      <w:bookmarkEnd w:id="64"/>
    </w:p>
    <w:p w:rsidR="00BD20A5" w:rsidRPr="00FF2655" w:rsidRDefault="00BD20A5" w:rsidP="00BD20A5">
      <w:pPr>
        <w:pStyle w:val="subsection"/>
      </w:pPr>
      <w:r w:rsidRPr="00FF2655">
        <w:tab/>
        <w:t>(1)</w:t>
      </w:r>
      <w:r w:rsidRPr="00FF2655">
        <w:tab/>
        <w:t>A delegation:</w:t>
      </w:r>
    </w:p>
    <w:p w:rsidR="00BD20A5" w:rsidRPr="00FF2655" w:rsidRDefault="00BD20A5" w:rsidP="00BD20A5">
      <w:pPr>
        <w:pStyle w:val="paragraph"/>
      </w:pPr>
      <w:r w:rsidRPr="00FF2655">
        <w:tab/>
        <w:t>(a)</w:t>
      </w:r>
      <w:r w:rsidRPr="00FF2655">
        <w:tab/>
        <w:t>made under subregulation</w:t>
      </w:r>
      <w:r w:rsidR="00FF2655" w:rsidRPr="00FF2655">
        <w:t> </w:t>
      </w:r>
      <w:r w:rsidRPr="00FF2655">
        <w:t>9</w:t>
      </w:r>
      <w:r w:rsidR="00EB6F3A" w:rsidRPr="00FF2655">
        <w:t>13</w:t>
      </w:r>
      <w:r w:rsidRPr="00FF2655">
        <w:t>(1); and</w:t>
      </w:r>
    </w:p>
    <w:p w:rsidR="00BD20A5" w:rsidRPr="00FF2655" w:rsidRDefault="00BD20A5" w:rsidP="00BD20A5">
      <w:pPr>
        <w:pStyle w:val="paragraph"/>
      </w:pPr>
      <w:r w:rsidRPr="00FF2655">
        <w:tab/>
        <w:t>(b)</w:t>
      </w:r>
      <w:r w:rsidRPr="00FF2655">
        <w:tab/>
        <w:t>in force immediately before the commencement of this regulation;</w:t>
      </w:r>
    </w:p>
    <w:p w:rsidR="00BD20A5" w:rsidRPr="00FF2655" w:rsidRDefault="00BD20A5" w:rsidP="00BD20A5">
      <w:pPr>
        <w:pStyle w:val="subsection2"/>
      </w:pPr>
      <w:r w:rsidRPr="00FF2655">
        <w:t>has effect, from that commencement, as if it ha</w:t>
      </w:r>
      <w:r w:rsidR="00403750" w:rsidRPr="00FF2655">
        <w:t>d been made under subregulation</w:t>
      </w:r>
      <w:r w:rsidR="00FF2655" w:rsidRPr="00FF2655">
        <w:t> </w:t>
      </w:r>
      <w:r w:rsidRPr="00FF2655">
        <w:t>9</w:t>
      </w:r>
      <w:r w:rsidR="00EB6F3A" w:rsidRPr="00FF2655">
        <w:t>1</w:t>
      </w:r>
      <w:r w:rsidR="007B683C" w:rsidRPr="00FF2655">
        <w:t>6</w:t>
      </w:r>
      <w:r w:rsidRPr="00FF2655">
        <w:t>(1) as inserted by Schedule</w:t>
      </w:r>
      <w:r w:rsidR="00FF2655" w:rsidRPr="00FF2655">
        <w:t> </w:t>
      </w:r>
      <w:r w:rsidRPr="00FF2655">
        <w:t xml:space="preserve">1 to the </w:t>
      </w:r>
      <w:r w:rsidRPr="00FF2655">
        <w:rPr>
          <w:i/>
        </w:rPr>
        <w:t>Ozone Protection and Synthetic Greenhouse Gas Management Legislation Amendment</w:t>
      </w:r>
      <w:r w:rsidR="00EB6F3A" w:rsidRPr="00FF2655">
        <w:rPr>
          <w:i/>
        </w:rPr>
        <w:t xml:space="preserve"> (2017 Measures No</w:t>
      </w:r>
      <w:r w:rsidR="00740597" w:rsidRPr="00FF2655">
        <w:rPr>
          <w:i/>
        </w:rPr>
        <w:t>.</w:t>
      </w:r>
      <w:r w:rsidR="00FF2655" w:rsidRPr="00FF2655">
        <w:rPr>
          <w:i/>
        </w:rPr>
        <w:t> </w:t>
      </w:r>
      <w:r w:rsidR="00EB6F3A" w:rsidRPr="00FF2655">
        <w:rPr>
          <w:i/>
        </w:rPr>
        <w:t>1)</w:t>
      </w:r>
      <w:r w:rsidRPr="00FF2655">
        <w:rPr>
          <w:i/>
        </w:rPr>
        <w:t xml:space="preserve"> </w:t>
      </w:r>
      <w:r w:rsidR="00EB6F3A" w:rsidRPr="00FF2655">
        <w:rPr>
          <w:i/>
        </w:rPr>
        <w:t>Regulations</w:t>
      </w:r>
      <w:r w:rsidR="00FF2655" w:rsidRPr="00FF2655">
        <w:rPr>
          <w:i/>
        </w:rPr>
        <w:t> </w:t>
      </w:r>
      <w:r w:rsidRPr="00FF2655">
        <w:rPr>
          <w:i/>
        </w:rPr>
        <w:t>2017</w:t>
      </w:r>
      <w:r w:rsidR="00740597" w:rsidRPr="00FF2655">
        <w:t>.</w:t>
      </w:r>
    </w:p>
    <w:p w:rsidR="00BD20A5" w:rsidRPr="00FF2655" w:rsidRDefault="00BD20A5" w:rsidP="00BD20A5">
      <w:pPr>
        <w:pStyle w:val="subsection"/>
      </w:pPr>
      <w:r w:rsidRPr="00FF2655">
        <w:tab/>
        <w:t>(2)</w:t>
      </w:r>
      <w:r w:rsidRPr="00FF2655">
        <w:tab/>
        <w:t>A direction:</w:t>
      </w:r>
    </w:p>
    <w:p w:rsidR="00BD20A5" w:rsidRPr="00FF2655" w:rsidRDefault="00BD20A5" w:rsidP="00BD20A5">
      <w:pPr>
        <w:pStyle w:val="paragraph"/>
      </w:pPr>
      <w:r w:rsidRPr="00FF2655">
        <w:tab/>
        <w:t>(a)</w:t>
      </w:r>
      <w:r w:rsidRPr="00FF2655">
        <w:tab/>
        <w:t>given under subregulation</w:t>
      </w:r>
      <w:r w:rsidR="00FF2655" w:rsidRPr="00FF2655">
        <w:t> </w:t>
      </w:r>
      <w:r w:rsidRPr="00FF2655">
        <w:t>9</w:t>
      </w:r>
      <w:r w:rsidR="00EB6F3A" w:rsidRPr="00FF2655">
        <w:t>1</w:t>
      </w:r>
      <w:r w:rsidRPr="00FF2655">
        <w:t>3(2); and</w:t>
      </w:r>
    </w:p>
    <w:p w:rsidR="00BD20A5" w:rsidRPr="00FF2655" w:rsidRDefault="00BD20A5" w:rsidP="00BD20A5">
      <w:pPr>
        <w:pStyle w:val="paragraph"/>
      </w:pPr>
      <w:r w:rsidRPr="00FF2655">
        <w:tab/>
        <w:t>(b)</w:t>
      </w:r>
      <w:r w:rsidRPr="00FF2655">
        <w:tab/>
        <w:t>in force immediately before the commencement of this regulation;</w:t>
      </w:r>
    </w:p>
    <w:p w:rsidR="00BD20A5" w:rsidRPr="00FF2655" w:rsidRDefault="00BD20A5" w:rsidP="00BD20A5">
      <w:pPr>
        <w:pStyle w:val="subsection2"/>
      </w:pPr>
      <w:r w:rsidRPr="00FF2655">
        <w:t>has effect, from that commencement, as if it had been made under sub</w:t>
      </w:r>
      <w:r w:rsidR="00403750" w:rsidRPr="00FF2655">
        <w:t>regulation</w:t>
      </w:r>
      <w:r w:rsidR="00FF2655" w:rsidRPr="00FF2655">
        <w:t> </w:t>
      </w:r>
      <w:r w:rsidRPr="00FF2655">
        <w:t>9</w:t>
      </w:r>
      <w:r w:rsidR="00EB6F3A" w:rsidRPr="00FF2655">
        <w:t>1</w:t>
      </w:r>
      <w:r w:rsidR="007B683C" w:rsidRPr="00FF2655">
        <w:t>6</w:t>
      </w:r>
      <w:r w:rsidRPr="00FF2655">
        <w:t>(2) as inserted by Schedule</w:t>
      </w:r>
      <w:r w:rsidR="00FF2655" w:rsidRPr="00FF2655">
        <w:t> </w:t>
      </w:r>
      <w:r w:rsidRPr="00FF2655">
        <w:t xml:space="preserve">1 to the </w:t>
      </w:r>
      <w:r w:rsidRPr="00FF2655">
        <w:rPr>
          <w:i/>
        </w:rPr>
        <w:t>Ozone Protection and Synthetic Greenhouse Gas Management Legislation Amendment</w:t>
      </w:r>
      <w:r w:rsidR="00EB6F3A" w:rsidRPr="00FF2655">
        <w:rPr>
          <w:i/>
        </w:rPr>
        <w:t xml:space="preserve"> (2017 Measures No</w:t>
      </w:r>
      <w:r w:rsidR="00740597" w:rsidRPr="00FF2655">
        <w:rPr>
          <w:i/>
        </w:rPr>
        <w:t>.</w:t>
      </w:r>
      <w:r w:rsidR="00FF2655" w:rsidRPr="00FF2655">
        <w:rPr>
          <w:i/>
        </w:rPr>
        <w:t> </w:t>
      </w:r>
      <w:r w:rsidR="00EB6F3A" w:rsidRPr="00FF2655">
        <w:rPr>
          <w:i/>
        </w:rPr>
        <w:t>1)</w:t>
      </w:r>
      <w:r w:rsidRPr="00FF2655">
        <w:rPr>
          <w:i/>
        </w:rPr>
        <w:t xml:space="preserve"> </w:t>
      </w:r>
      <w:r w:rsidR="00EB6F3A" w:rsidRPr="00FF2655">
        <w:rPr>
          <w:i/>
        </w:rPr>
        <w:t>Regulations</w:t>
      </w:r>
      <w:r w:rsidR="00FF2655" w:rsidRPr="00FF2655">
        <w:rPr>
          <w:i/>
        </w:rPr>
        <w:t> </w:t>
      </w:r>
      <w:r w:rsidRPr="00FF2655">
        <w:rPr>
          <w:i/>
        </w:rPr>
        <w:t>2017</w:t>
      </w:r>
      <w:r w:rsidR="00740597" w:rsidRPr="00FF2655">
        <w:t>.</w:t>
      </w:r>
    </w:p>
    <w:p w:rsidR="006919A2" w:rsidRPr="00FF2655" w:rsidRDefault="006919A2" w:rsidP="006919A2">
      <w:pPr>
        <w:pStyle w:val="ActHead6"/>
        <w:pageBreakBefore/>
      </w:pPr>
      <w:bookmarkStart w:id="65" w:name="_Toc487631740"/>
      <w:r w:rsidRPr="00FF2655">
        <w:rPr>
          <w:rStyle w:val="CharAmSchNo"/>
        </w:rPr>
        <w:t>Schedule</w:t>
      </w:r>
      <w:r w:rsidR="00FF2655" w:rsidRPr="00FF2655">
        <w:rPr>
          <w:rStyle w:val="CharAmSchNo"/>
        </w:rPr>
        <w:t> </w:t>
      </w:r>
      <w:r w:rsidRPr="00FF2655">
        <w:rPr>
          <w:rStyle w:val="CharAmSchNo"/>
        </w:rPr>
        <w:t>2</w:t>
      </w:r>
      <w:r w:rsidRPr="00FF2655">
        <w:t>—</w:t>
      </w:r>
      <w:r w:rsidRPr="00FF2655">
        <w:rPr>
          <w:rStyle w:val="CharAmSchText"/>
        </w:rPr>
        <w:t xml:space="preserve">Amendments commencing </w:t>
      </w:r>
      <w:r w:rsidR="002C4452" w:rsidRPr="00FF2655">
        <w:rPr>
          <w:rStyle w:val="CharAmSchText"/>
        </w:rPr>
        <w:t>1</w:t>
      </w:r>
      <w:r w:rsidR="00FF2655" w:rsidRPr="00FF2655">
        <w:rPr>
          <w:rStyle w:val="CharAmSchText"/>
        </w:rPr>
        <w:t> </w:t>
      </w:r>
      <w:r w:rsidR="002C4452" w:rsidRPr="00FF2655">
        <w:rPr>
          <w:rStyle w:val="CharAmSchText"/>
        </w:rPr>
        <w:t>January 2018</w:t>
      </w:r>
      <w:bookmarkEnd w:id="65"/>
    </w:p>
    <w:p w:rsidR="006919A2" w:rsidRPr="00FF2655" w:rsidRDefault="006919A2" w:rsidP="006919A2">
      <w:pPr>
        <w:pStyle w:val="ActHead7"/>
      </w:pPr>
      <w:bookmarkStart w:id="66" w:name="_Toc487631741"/>
      <w:r w:rsidRPr="00FF2655">
        <w:rPr>
          <w:rStyle w:val="CharAmPartNo"/>
        </w:rPr>
        <w:t>Part</w:t>
      </w:r>
      <w:r w:rsidR="00FF2655" w:rsidRPr="00FF2655">
        <w:rPr>
          <w:rStyle w:val="CharAmPartNo"/>
        </w:rPr>
        <w:t> </w:t>
      </w:r>
      <w:r w:rsidRPr="00FF2655">
        <w:rPr>
          <w:rStyle w:val="CharAmPartNo"/>
        </w:rPr>
        <w:t>1</w:t>
      </w:r>
      <w:r w:rsidRPr="00FF2655">
        <w:t>—</w:t>
      </w:r>
      <w:r w:rsidRPr="00FF2655">
        <w:rPr>
          <w:rStyle w:val="CharAmPartText"/>
        </w:rPr>
        <w:t>Licences</w:t>
      </w:r>
      <w:bookmarkEnd w:id="66"/>
    </w:p>
    <w:p w:rsidR="006919A2" w:rsidRPr="00FF2655" w:rsidRDefault="006919A2" w:rsidP="006919A2">
      <w:pPr>
        <w:pStyle w:val="ActHead8"/>
      </w:pPr>
      <w:bookmarkStart w:id="67" w:name="_Toc487631742"/>
      <w:r w:rsidRPr="00FF2655">
        <w:t>Division</w:t>
      </w:r>
      <w:r w:rsidR="00FF2655" w:rsidRPr="00FF2655">
        <w:t> </w:t>
      </w:r>
      <w:r w:rsidRPr="00FF2655">
        <w:t>1—Renewing licences</w:t>
      </w:r>
      <w:bookmarkEnd w:id="67"/>
    </w:p>
    <w:p w:rsidR="006919A2" w:rsidRPr="00FF2655" w:rsidRDefault="006919A2" w:rsidP="006919A2">
      <w:pPr>
        <w:pStyle w:val="ActHead9"/>
      </w:pPr>
      <w:bookmarkStart w:id="68" w:name="_Toc487631743"/>
      <w:r w:rsidRPr="00FF2655">
        <w:t>Ozone Protection and Synthetic Greenhouse Gas Management Regulations</w:t>
      </w:r>
      <w:r w:rsidR="00FF2655" w:rsidRPr="00FF2655">
        <w:t> </w:t>
      </w:r>
      <w:r w:rsidRPr="00FF2655">
        <w:t>1995</w:t>
      </w:r>
      <w:bookmarkEnd w:id="68"/>
    </w:p>
    <w:p w:rsidR="006919A2" w:rsidRPr="00FF2655" w:rsidRDefault="00206A09" w:rsidP="006919A2">
      <w:pPr>
        <w:pStyle w:val="ItemHead"/>
      </w:pPr>
      <w:r w:rsidRPr="00FF2655">
        <w:t>1</w:t>
      </w:r>
      <w:r w:rsidR="006919A2" w:rsidRPr="00FF2655">
        <w:t xml:space="preserve">  After regulation</w:t>
      </w:r>
      <w:r w:rsidR="00FF2655" w:rsidRPr="00FF2655">
        <w:t> </w:t>
      </w:r>
      <w:r w:rsidR="006919A2" w:rsidRPr="00FF2655">
        <w:t>3C</w:t>
      </w:r>
    </w:p>
    <w:p w:rsidR="006919A2" w:rsidRPr="00FF2655" w:rsidRDefault="006919A2" w:rsidP="006919A2">
      <w:pPr>
        <w:pStyle w:val="Item"/>
      </w:pPr>
      <w:r w:rsidRPr="00FF2655">
        <w:t>Insert</w:t>
      </w:r>
      <w:r w:rsidR="00A25E36" w:rsidRPr="00FF2655">
        <w:t>:</w:t>
      </w:r>
    </w:p>
    <w:p w:rsidR="006919A2" w:rsidRPr="00FF2655" w:rsidRDefault="006919A2" w:rsidP="006919A2">
      <w:pPr>
        <w:pStyle w:val="ActHead5"/>
      </w:pPr>
      <w:bookmarkStart w:id="69" w:name="_Toc487631744"/>
      <w:r w:rsidRPr="00FF2655">
        <w:rPr>
          <w:rStyle w:val="CharSectno"/>
        </w:rPr>
        <w:t>3D</w:t>
      </w:r>
      <w:r w:rsidR="00D0701C" w:rsidRPr="00FF2655">
        <w:t xml:space="preserve"> </w:t>
      </w:r>
      <w:r w:rsidRPr="00FF2655">
        <w:t xml:space="preserve"> Application fee for renewing licence</w:t>
      </w:r>
      <w:bookmarkEnd w:id="69"/>
    </w:p>
    <w:p w:rsidR="006919A2" w:rsidRPr="00FF2655" w:rsidRDefault="006919A2" w:rsidP="006919A2">
      <w:pPr>
        <w:pStyle w:val="subsection"/>
      </w:pPr>
      <w:r w:rsidRPr="00FF2655">
        <w:tab/>
      </w:r>
      <w:r w:rsidRPr="00FF2655">
        <w:tab/>
        <w:t>For the purposes of paragraph</w:t>
      </w:r>
      <w:r w:rsidR="00FF2655" w:rsidRPr="00FF2655">
        <w:t> </w:t>
      </w:r>
      <w:r w:rsidRPr="00FF2655">
        <w:t>19AA(3)(b) of the Act:</w:t>
      </w:r>
    </w:p>
    <w:p w:rsidR="006919A2" w:rsidRPr="00FF2655" w:rsidRDefault="006919A2" w:rsidP="006919A2">
      <w:pPr>
        <w:pStyle w:val="paragraph"/>
      </w:pPr>
      <w:r w:rsidRPr="00FF2655">
        <w:tab/>
        <w:t>(a)</w:t>
      </w:r>
      <w:r w:rsidRPr="00FF2655">
        <w:tab/>
        <w:t>the application fee for a renewal of a licence of a particular type is the same as the application fee for a licence of that type under subregulation</w:t>
      </w:r>
      <w:r w:rsidR="00FF2655" w:rsidRPr="00FF2655">
        <w:t> </w:t>
      </w:r>
      <w:r w:rsidRPr="00FF2655">
        <w:t>3C(1); and</w:t>
      </w:r>
    </w:p>
    <w:p w:rsidR="006919A2" w:rsidRPr="00FF2655" w:rsidRDefault="006919A2" w:rsidP="006919A2">
      <w:pPr>
        <w:pStyle w:val="paragraph"/>
      </w:pPr>
      <w:r w:rsidRPr="00FF2655">
        <w:tab/>
        <w:t>(b)</w:t>
      </w:r>
      <w:r w:rsidRPr="00FF2655">
        <w:tab/>
        <w:t>the Minister may waive the application fee for a renewal of a licence of a particular type in the circumstances in which the Minister could waive the application fee for a licence of that type under subregulation</w:t>
      </w:r>
      <w:r w:rsidR="00FF2655" w:rsidRPr="00FF2655">
        <w:t> </w:t>
      </w:r>
      <w:r w:rsidRPr="00FF2655">
        <w:t>3C(2), (3) or (4)</w:t>
      </w:r>
      <w:r w:rsidR="00740597" w:rsidRPr="00FF2655">
        <w:t>.</w:t>
      </w:r>
    </w:p>
    <w:p w:rsidR="002605A5" w:rsidRPr="00FF2655" w:rsidRDefault="00206A09" w:rsidP="002605A5">
      <w:pPr>
        <w:pStyle w:val="ItemHead"/>
      </w:pPr>
      <w:r w:rsidRPr="00FF2655">
        <w:t>2</w:t>
      </w:r>
      <w:r w:rsidR="002605A5" w:rsidRPr="00FF2655">
        <w:t xml:space="preserve">  At the end of </w:t>
      </w:r>
      <w:r w:rsidR="00852461" w:rsidRPr="00FF2655">
        <w:t>regulation</w:t>
      </w:r>
      <w:r w:rsidR="00FF2655" w:rsidRPr="00FF2655">
        <w:t> </w:t>
      </w:r>
      <w:r w:rsidR="002605A5" w:rsidRPr="00FF2655">
        <w:t>6A</w:t>
      </w:r>
    </w:p>
    <w:p w:rsidR="002605A5" w:rsidRPr="00FF2655" w:rsidRDefault="002605A5" w:rsidP="002605A5">
      <w:pPr>
        <w:pStyle w:val="Item"/>
      </w:pPr>
      <w:r w:rsidRPr="00FF2655">
        <w:t>Add:</w:t>
      </w:r>
    </w:p>
    <w:p w:rsidR="002605A5" w:rsidRPr="00FF2655" w:rsidRDefault="002605A5" w:rsidP="002605A5">
      <w:pPr>
        <w:pStyle w:val="paragraph"/>
      </w:pPr>
      <w:r w:rsidRPr="00FF2655">
        <w:tab/>
        <w:t>; (d)</w:t>
      </w:r>
      <w:r w:rsidRPr="00FF2655">
        <w:tab/>
        <w:t>a decision under paragraph</w:t>
      </w:r>
      <w:r w:rsidR="00FF2655" w:rsidRPr="00FF2655">
        <w:t> </w:t>
      </w:r>
      <w:r w:rsidRPr="00FF2655">
        <w:t>3D(b) to refuse to waive the fee for a renewal of a licence.</w:t>
      </w:r>
    </w:p>
    <w:p w:rsidR="006919A2" w:rsidRPr="00FF2655" w:rsidRDefault="00206A09" w:rsidP="006919A2">
      <w:pPr>
        <w:pStyle w:val="ItemHead"/>
      </w:pPr>
      <w:r w:rsidRPr="00FF2655">
        <w:t>3</w:t>
      </w:r>
      <w:r w:rsidR="006919A2" w:rsidRPr="00FF2655">
        <w:t xml:space="preserve">  After paragraph</w:t>
      </w:r>
      <w:r w:rsidR="00FF2655" w:rsidRPr="00FF2655">
        <w:t> </w:t>
      </w:r>
      <w:r w:rsidR="00740597" w:rsidRPr="00FF2655">
        <w:t>44</w:t>
      </w:r>
      <w:r w:rsidR="006919A2" w:rsidRPr="00FF2655">
        <w:t>(1)(b)</w:t>
      </w:r>
    </w:p>
    <w:p w:rsidR="006919A2" w:rsidRPr="00FF2655" w:rsidRDefault="006919A2" w:rsidP="006919A2">
      <w:pPr>
        <w:pStyle w:val="Item"/>
      </w:pPr>
      <w:r w:rsidRPr="00FF2655">
        <w:t>Insert:</w:t>
      </w:r>
    </w:p>
    <w:p w:rsidR="006919A2" w:rsidRPr="00FF2655" w:rsidRDefault="006919A2" w:rsidP="006919A2">
      <w:pPr>
        <w:pStyle w:val="paragraph"/>
      </w:pPr>
      <w:r w:rsidRPr="00FF2655">
        <w:tab/>
        <w:t>; or (c)</w:t>
      </w:r>
      <w:r w:rsidRPr="00FF2655">
        <w:tab/>
        <w:t>all of the following subparagraphs apply:</w:t>
      </w:r>
    </w:p>
    <w:p w:rsidR="006919A2" w:rsidRPr="00FF2655" w:rsidRDefault="006919A2" w:rsidP="006919A2">
      <w:pPr>
        <w:pStyle w:val="paragraphsub"/>
      </w:pPr>
      <w:r w:rsidRPr="00FF2655">
        <w:tab/>
        <w:t>(i)</w:t>
      </w:r>
      <w:r w:rsidRPr="00FF2655">
        <w:tab/>
        <w:t>the person has applied for the renewal of an SGG licence;</w:t>
      </w:r>
    </w:p>
    <w:p w:rsidR="006919A2" w:rsidRPr="00FF2655" w:rsidRDefault="006919A2" w:rsidP="006919A2">
      <w:pPr>
        <w:pStyle w:val="paragraphsub"/>
      </w:pPr>
      <w:r w:rsidRPr="00FF2655">
        <w:tab/>
        <w:t>(ii)</w:t>
      </w:r>
      <w:r w:rsidRPr="00FF2655">
        <w:tab/>
        <w:t>the application has not been refused;</w:t>
      </w:r>
    </w:p>
    <w:p w:rsidR="006919A2" w:rsidRPr="00FF2655" w:rsidRDefault="006919A2" w:rsidP="006919A2">
      <w:pPr>
        <w:pStyle w:val="paragraphsub"/>
      </w:pPr>
      <w:r w:rsidRPr="00FF2655">
        <w:tab/>
        <w:t>(iii)</w:t>
      </w:r>
      <w:r w:rsidRPr="00FF2655">
        <w:tab/>
        <w:t>if the licence is renewed, the licence will cover the whole of the period</w:t>
      </w:r>
      <w:r w:rsidR="00740597" w:rsidRPr="00FF2655">
        <w:t>.</w:t>
      </w:r>
    </w:p>
    <w:p w:rsidR="006919A2" w:rsidRPr="00FF2655" w:rsidRDefault="00206A09" w:rsidP="006919A2">
      <w:pPr>
        <w:pStyle w:val="ItemHead"/>
      </w:pPr>
      <w:r w:rsidRPr="00FF2655">
        <w:t>4</w:t>
      </w:r>
      <w:r w:rsidR="006919A2" w:rsidRPr="00FF2655">
        <w:t xml:space="preserve">  Subregulation</w:t>
      </w:r>
      <w:r w:rsidR="00FF2655" w:rsidRPr="00FF2655">
        <w:t> </w:t>
      </w:r>
      <w:r w:rsidR="00740597" w:rsidRPr="00FF2655">
        <w:t>44</w:t>
      </w:r>
      <w:r w:rsidR="006919A2" w:rsidRPr="00FF2655">
        <w:t>(1) (note)</w:t>
      </w:r>
    </w:p>
    <w:p w:rsidR="006919A2" w:rsidRPr="00FF2655" w:rsidRDefault="006919A2" w:rsidP="006919A2">
      <w:pPr>
        <w:pStyle w:val="Item"/>
      </w:pPr>
      <w:r w:rsidRPr="00FF2655">
        <w:t xml:space="preserve">Omit </w:t>
      </w:r>
      <w:r w:rsidR="006360F9" w:rsidRPr="00FF2655">
        <w:t>“</w:t>
      </w:r>
      <w:r w:rsidR="00FF2655" w:rsidRPr="00FF2655">
        <w:t>paragraph (</w:t>
      </w:r>
      <w:r w:rsidRPr="00FF2655">
        <w:t>b)</w:t>
      </w:r>
      <w:r w:rsidR="006360F9" w:rsidRPr="00FF2655">
        <w:t>”</w:t>
      </w:r>
      <w:r w:rsidRPr="00FF2655">
        <w:t xml:space="preserve">, substitute </w:t>
      </w:r>
      <w:r w:rsidR="006360F9" w:rsidRPr="00FF2655">
        <w:t>“</w:t>
      </w:r>
      <w:r w:rsidR="00FF2655" w:rsidRPr="00FF2655">
        <w:t>paragraphs (</w:t>
      </w:r>
      <w:r w:rsidRPr="00FF2655">
        <w:t>b) and (c)</w:t>
      </w:r>
      <w:r w:rsidR="006360F9" w:rsidRPr="00FF2655">
        <w:t>”</w:t>
      </w:r>
      <w:r w:rsidR="00740597" w:rsidRPr="00FF2655">
        <w:t>.</w:t>
      </w:r>
    </w:p>
    <w:p w:rsidR="006919A2" w:rsidRPr="00FF2655" w:rsidRDefault="00206A09" w:rsidP="006919A2">
      <w:pPr>
        <w:pStyle w:val="ItemHead"/>
      </w:pPr>
      <w:r w:rsidRPr="00FF2655">
        <w:t>5</w:t>
      </w:r>
      <w:r w:rsidR="006919A2" w:rsidRPr="00FF2655">
        <w:t xml:space="preserve">  Subregulation</w:t>
      </w:r>
      <w:r w:rsidR="00FF2655" w:rsidRPr="00FF2655">
        <w:t> </w:t>
      </w:r>
      <w:r w:rsidR="00740597" w:rsidRPr="00FF2655">
        <w:t>44</w:t>
      </w:r>
      <w:r w:rsidR="006919A2" w:rsidRPr="00FF2655">
        <w:t>(</w:t>
      </w:r>
      <w:r w:rsidR="005D42AA" w:rsidRPr="00FF2655">
        <w:t>4</w:t>
      </w:r>
      <w:r w:rsidR="006919A2" w:rsidRPr="00FF2655">
        <w:t>)</w:t>
      </w:r>
    </w:p>
    <w:p w:rsidR="006919A2" w:rsidRPr="00FF2655" w:rsidRDefault="006919A2" w:rsidP="006919A2">
      <w:pPr>
        <w:pStyle w:val="Item"/>
      </w:pPr>
      <w:r w:rsidRPr="00FF2655">
        <w:t xml:space="preserve">After </w:t>
      </w:r>
      <w:r w:rsidR="006360F9" w:rsidRPr="00FF2655">
        <w:t>“</w:t>
      </w:r>
      <w:r w:rsidR="00FF2655" w:rsidRPr="00FF2655">
        <w:t>paragraph (</w:t>
      </w:r>
      <w:r w:rsidRPr="00FF2655">
        <w:t>1)(b)</w:t>
      </w:r>
      <w:r w:rsidR="006360F9" w:rsidRPr="00FF2655">
        <w:t>”</w:t>
      </w:r>
      <w:r w:rsidRPr="00FF2655">
        <w:t xml:space="preserve">, insert </w:t>
      </w:r>
      <w:r w:rsidR="006360F9" w:rsidRPr="00FF2655">
        <w:t>“</w:t>
      </w:r>
      <w:r w:rsidRPr="00FF2655">
        <w:t>or (c)</w:t>
      </w:r>
      <w:r w:rsidR="006360F9" w:rsidRPr="00FF2655">
        <w:t>”</w:t>
      </w:r>
      <w:r w:rsidR="00740597" w:rsidRPr="00FF2655">
        <w:t>.</w:t>
      </w:r>
    </w:p>
    <w:p w:rsidR="006919A2" w:rsidRPr="00FF2655" w:rsidRDefault="00206A09" w:rsidP="006919A2">
      <w:pPr>
        <w:pStyle w:val="ItemHead"/>
      </w:pPr>
      <w:r w:rsidRPr="00FF2655">
        <w:t>6</w:t>
      </w:r>
      <w:r w:rsidR="006919A2" w:rsidRPr="00FF2655">
        <w:t xml:space="preserve">  Subregulation</w:t>
      </w:r>
      <w:r w:rsidR="00FF2655" w:rsidRPr="00FF2655">
        <w:t> </w:t>
      </w:r>
      <w:r w:rsidR="00740597" w:rsidRPr="00FF2655">
        <w:t>44</w:t>
      </w:r>
      <w:r w:rsidR="006919A2" w:rsidRPr="00FF2655">
        <w:t>(</w:t>
      </w:r>
      <w:r w:rsidR="005D42AA" w:rsidRPr="00FF2655">
        <w:t>4</w:t>
      </w:r>
      <w:r w:rsidR="006919A2" w:rsidRPr="00FF2655">
        <w:t>)</w:t>
      </w:r>
    </w:p>
    <w:p w:rsidR="006919A2" w:rsidRPr="00FF2655" w:rsidRDefault="006919A2" w:rsidP="006919A2">
      <w:pPr>
        <w:pStyle w:val="Item"/>
      </w:pPr>
      <w:r w:rsidRPr="00FF2655">
        <w:t xml:space="preserve">After </w:t>
      </w:r>
      <w:r w:rsidR="006360F9" w:rsidRPr="00FF2655">
        <w:t>“</w:t>
      </w:r>
      <w:r w:rsidRPr="00FF2655">
        <w:t>for SGG licen</w:t>
      </w:r>
      <w:r w:rsidR="009E7B32" w:rsidRPr="00FF2655">
        <w:t>c</w:t>
      </w:r>
      <w:r w:rsidRPr="00FF2655">
        <w:t>es</w:t>
      </w:r>
      <w:r w:rsidR="006360F9" w:rsidRPr="00FF2655">
        <w:t>”</w:t>
      </w:r>
      <w:r w:rsidRPr="00FF2655">
        <w:t xml:space="preserve">, insert </w:t>
      </w:r>
      <w:r w:rsidR="006360F9" w:rsidRPr="00FF2655">
        <w:t>“</w:t>
      </w:r>
      <w:r w:rsidRPr="00FF2655">
        <w:t>or for the renewal of SGG licences</w:t>
      </w:r>
      <w:r w:rsidR="006360F9" w:rsidRPr="00FF2655">
        <w:t>”</w:t>
      </w:r>
      <w:r w:rsidR="00740597" w:rsidRPr="00FF2655">
        <w:t>.</w:t>
      </w:r>
    </w:p>
    <w:p w:rsidR="006919A2" w:rsidRPr="00FF2655" w:rsidRDefault="00206A09" w:rsidP="006919A2">
      <w:pPr>
        <w:pStyle w:val="ItemHead"/>
      </w:pPr>
      <w:r w:rsidRPr="00FF2655">
        <w:t>7</w:t>
      </w:r>
      <w:r w:rsidR="006919A2" w:rsidRPr="00FF2655">
        <w:t xml:space="preserve">  Paragraph </w:t>
      </w:r>
      <w:r w:rsidR="00740597" w:rsidRPr="00FF2655">
        <w:t>44</w:t>
      </w:r>
      <w:r w:rsidR="006919A2" w:rsidRPr="00FF2655">
        <w:t>(</w:t>
      </w:r>
      <w:r w:rsidR="005D42AA" w:rsidRPr="00FF2655">
        <w:t>4</w:t>
      </w:r>
      <w:r w:rsidR="006919A2" w:rsidRPr="00FF2655">
        <w:t>)(a)</w:t>
      </w:r>
    </w:p>
    <w:p w:rsidR="006919A2" w:rsidRPr="00FF2655" w:rsidRDefault="006919A2" w:rsidP="006919A2">
      <w:pPr>
        <w:pStyle w:val="Item"/>
      </w:pPr>
      <w:r w:rsidRPr="00FF2655">
        <w:t xml:space="preserve">After </w:t>
      </w:r>
      <w:r w:rsidR="006360F9" w:rsidRPr="00FF2655">
        <w:t>“</w:t>
      </w:r>
      <w:r w:rsidRPr="00FF2655">
        <w:t>issuing</w:t>
      </w:r>
      <w:r w:rsidR="006360F9" w:rsidRPr="00FF2655">
        <w:t>”</w:t>
      </w:r>
      <w:r w:rsidRPr="00FF2655">
        <w:t xml:space="preserve">, insert </w:t>
      </w:r>
      <w:r w:rsidR="006360F9" w:rsidRPr="00FF2655">
        <w:t>“</w:t>
      </w:r>
      <w:r w:rsidRPr="00FF2655">
        <w:t>or renewing</w:t>
      </w:r>
      <w:r w:rsidR="006360F9" w:rsidRPr="00FF2655">
        <w:t>”</w:t>
      </w:r>
      <w:r w:rsidR="00740597" w:rsidRPr="00FF2655">
        <w:t>.</w:t>
      </w:r>
    </w:p>
    <w:p w:rsidR="006919A2" w:rsidRPr="00FF2655" w:rsidRDefault="00206A09" w:rsidP="006919A2">
      <w:pPr>
        <w:pStyle w:val="ItemHead"/>
      </w:pPr>
      <w:r w:rsidRPr="00FF2655">
        <w:t>8</w:t>
      </w:r>
      <w:r w:rsidR="006919A2" w:rsidRPr="00FF2655">
        <w:t xml:space="preserve">  Subregulation</w:t>
      </w:r>
      <w:r w:rsidR="00FF2655" w:rsidRPr="00FF2655">
        <w:t> </w:t>
      </w:r>
      <w:r w:rsidR="00740597" w:rsidRPr="00FF2655">
        <w:t>44</w:t>
      </w:r>
      <w:r w:rsidR="006919A2" w:rsidRPr="00FF2655">
        <w:t>(</w:t>
      </w:r>
      <w:r w:rsidR="005D42AA" w:rsidRPr="00FF2655">
        <w:t>5</w:t>
      </w:r>
      <w:r w:rsidR="006919A2" w:rsidRPr="00FF2655">
        <w:t>)</w:t>
      </w:r>
    </w:p>
    <w:p w:rsidR="006919A2" w:rsidRPr="00FF2655" w:rsidRDefault="006919A2" w:rsidP="006919A2">
      <w:pPr>
        <w:pStyle w:val="Item"/>
      </w:pPr>
      <w:r w:rsidRPr="00FF2655">
        <w:t xml:space="preserve">After </w:t>
      </w:r>
      <w:r w:rsidR="006360F9" w:rsidRPr="00FF2655">
        <w:t>“</w:t>
      </w:r>
      <w:r w:rsidRPr="00FF2655">
        <w:t>section</w:t>
      </w:r>
      <w:r w:rsidR="00FF2655" w:rsidRPr="00FF2655">
        <w:t> </w:t>
      </w:r>
      <w:r w:rsidRPr="00FF2655">
        <w:t>17</w:t>
      </w:r>
      <w:r w:rsidR="006360F9" w:rsidRPr="00FF2655">
        <w:t>”</w:t>
      </w:r>
      <w:r w:rsidRPr="00FF2655">
        <w:t xml:space="preserve">, insert </w:t>
      </w:r>
      <w:r w:rsidR="006360F9" w:rsidRPr="00FF2655">
        <w:t>“</w:t>
      </w:r>
      <w:r w:rsidRPr="00FF2655">
        <w:t>or 19AD</w:t>
      </w:r>
      <w:r w:rsidR="006360F9" w:rsidRPr="00FF2655">
        <w:t>”</w:t>
      </w:r>
      <w:r w:rsidR="00740597" w:rsidRPr="00FF2655">
        <w:t>.</w:t>
      </w:r>
    </w:p>
    <w:p w:rsidR="006919A2" w:rsidRPr="00FF2655" w:rsidRDefault="006919A2" w:rsidP="006919A2">
      <w:pPr>
        <w:pStyle w:val="ActHead8"/>
      </w:pPr>
      <w:bookmarkStart w:id="70" w:name="_Toc487631745"/>
      <w:r w:rsidRPr="00FF2655">
        <w:t>Division</w:t>
      </w:r>
      <w:r w:rsidR="00FF2655" w:rsidRPr="00FF2655">
        <w:t> </w:t>
      </w:r>
      <w:r w:rsidRPr="00FF2655">
        <w:t>2—Equipment licences</w:t>
      </w:r>
      <w:bookmarkEnd w:id="70"/>
    </w:p>
    <w:p w:rsidR="006919A2" w:rsidRPr="00FF2655" w:rsidRDefault="006919A2" w:rsidP="006919A2">
      <w:pPr>
        <w:pStyle w:val="ActHead9"/>
      </w:pPr>
      <w:bookmarkStart w:id="71" w:name="ConfidenceBlock"/>
      <w:bookmarkStart w:id="72" w:name="_Toc487631746"/>
      <w:bookmarkEnd w:id="71"/>
      <w:r w:rsidRPr="00FF2655">
        <w:t>Ozone Protection and Synthetic Greenhouse Gas Management Regulations</w:t>
      </w:r>
      <w:r w:rsidR="00FF2655" w:rsidRPr="00FF2655">
        <w:t> </w:t>
      </w:r>
      <w:r w:rsidRPr="00FF2655">
        <w:t>1995</w:t>
      </w:r>
      <w:bookmarkEnd w:id="72"/>
    </w:p>
    <w:p w:rsidR="006919A2" w:rsidRPr="00FF2655" w:rsidRDefault="00206A09" w:rsidP="006919A2">
      <w:pPr>
        <w:pStyle w:val="ItemHead"/>
      </w:pPr>
      <w:r w:rsidRPr="00FF2655">
        <w:t>9</w:t>
      </w:r>
      <w:r w:rsidR="006919A2" w:rsidRPr="00FF2655">
        <w:t xml:space="preserve">  Paragraph 3C(1)(d)</w:t>
      </w:r>
    </w:p>
    <w:p w:rsidR="006919A2" w:rsidRPr="00FF2655" w:rsidRDefault="006919A2" w:rsidP="006919A2">
      <w:pPr>
        <w:pStyle w:val="Item"/>
      </w:pPr>
      <w:r w:rsidRPr="00FF2655">
        <w:t xml:space="preserve">Omit </w:t>
      </w:r>
      <w:r w:rsidR="006360F9" w:rsidRPr="00FF2655">
        <w:t>“</w:t>
      </w:r>
      <w:r w:rsidRPr="00FF2655">
        <w:t>ODS/SGG</w:t>
      </w:r>
      <w:r w:rsidR="006360F9" w:rsidRPr="00FF2655">
        <w:t>”</w:t>
      </w:r>
      <w:r w:rsidR="00740597" w:rsidRPr="00FF2655">
        <w:t>.</w:t>
      </w:r>
    </w:p>
    <w:p w:rsidR="006919A2" w:rsidRPr="00FF2655" w:rsidRDefault="00206A09" w:rsidP="006919A2">
      <w:pPr>
        <w:pStyle w:val="ItemHead"/>
      </w:pPr>
      <w:r w:rsidRPr="00FF2655">
        <w:t>10</w:t>
      </w:r>
      <w:r w:rsidR="006919A2" w:rsidRPr="00FF2655">
        <w:t xml:space="preserve">  Before regulation</w:t>
      </w:r>
      <w:r w:rsidR="00FF2655" w:rsidRPr="00FF2655">
        <w:t> </w:t>
      </w:r>
      <w:r w:rsidR="006919A2" w:rsidRPr="00FF2655">
        <w:t>4</w:t>
      </w:r>
    </w:p>
    <w:p w:rsidR="006919A2" w:rsidRPr="00FF2655" w:rsidRDefault="009E7B32" w:rsidP="006919A2">
      <w:pPr>
        <w:pStyle w:val="Item"/>
      </w:pPr>
      <w:r w:rsidRPr="00FF2655">
        <w:t>Insert</w:t>
      </w:r>
      <w:r w:rsidR="006919A2" w:rsidRPr="00FF2655">
        <w:t>:</w:t>
      </w:r>
    </w:p>
    <w:p w:rsidR="006919A2" w:rsidRPr="00FF2655" w:rsidRDefault="006919A2" w:rsidP="006919A2">
      <w:pPr>
        <w:pStyle w:val="ActHead5"/>
      </w:pPr>
      <w:bookmarkStart w:id="73" w:name="_Toc487631747"/>
      <w:r w:rsidRPr="00FF2655">
        <w:rPr>
          <w:rStyle w:val="CharSectno"/>
        </w:rPr>
        <w:t>3E</w:t>
      </w:r>
      <w:r w:rsidRPr="00FF2655">
        <w:t xml:space="preserve">  Circumstances in which Minister may grant equipment licences that allow Schedule</w:t>
      </w:r>
      <w:r w:rsidR="00FF2655" w:rsidRPr="00FF2655">
        <w:t> </w:t>
      </w:r>
      <w:r w:rsidRPr="00FF2655">
        <w:t>4 activities or section</w:t>
      </w:r>
      <w:r w:rsidR="00FF2655" w:rsidRPr="00FF2655">
        <w:t> </w:t>
      </w:r>
      <w:r w:rsidRPr="00FF2655">
        <w:t>69G activities</w:t>
      </w:r>
      <w:bookmarkEnd w:id="73"/>
    </w:p>
    <w:p w:rsidR="006919A2" w:rsidRPr="00FF2655" w:rsidRDefault="006919A2" w:rsidP="006919A2">
      <w:pPr>
        <w:pStyle w:val="subsection"/>
      </w:pPr>
      <w:r w:rsidRPr="00FF2655">
        <w:tab/>
      </w:r>
      <w:r w:rsidRPr="00FF2655">
        <w:tab/>
        <w:t>For the purposes of paragraph</w:t>
      </w:r>
      <w:r w:rsidR="00FF2655" w:rsidRPr="00FF2655">
        <w:t> </w:t>
      </w:r>
      <w:r w:rsidRPr="00FF2655">
        <w:t>16(6A)(a)(ii) of the Act, the following Schedule</w:t>
      </w:r>
      <w:r w:rsidR="00FF2655" w:rsidRPr="00FF2655">
        <w:t> </w:t>
      </w:r>
      <w:r w:rsidRPr="00FF2655">
        <w:t>4 activities are prescribed:</w:t>
      </w:r>
    </w:p>
    <w:p w:rsidR="006919A2" w:rsidRPr="00FF2655" w:rsidRDefault="006919A2" w:rsidP="006919A2">
      <w:pPr>
        <w:pStyle w:val="paragraph"/>
      </w:pPr>
      <w:r w:rsidRPr="00FF2655">
        <w:tab/>
        <w:t>(a)</w:t>
      </w:r>
      <w:r w:rsidRPr="00FF2655">
        <w:tab/>
        <w:t>importing HCFC pre</w:t>
      </w:r>
      <w:r w:rsidR="00FF2655">
        <w:noBreakHyphen/>
      </w:r>
      <w:r w:rsidRPr="00FF2655">
        <w:t>charged air conditioning equipment, if the importation of the equipment satisfies the conditions mentioned in subsection</w:t>
      </w:r>
      <w:r w:rsidR="00FF2655" w:rsidRPr="00FF2655">
        <w:t> </w:t>
      </w:r>
      <w:r w:rsidRPr="00FF2655">
        <w:t>13(</w:t>
      </w:r>
      <w:r w:rsidR="00A52D2C" w:rsidRPr="00FF2655">
        <w:t>6</w:t>
      </w:r>
      <w:r w:rsidRPr="00FF2655">
        <w:t>) of the Act;</w:t>
      </w:r>
    </w:p>
    <w:p w:rsidR="006919A2" w:rsidRPr="00FF2655" w:rsidRDefault="00A03032" w:rsidP="006919A2">
      <w:pPr>
        <w:pStyle w:val="paragraph"/>
      </w:pPr>
      <w:r w:rsidRPr="00FF2655">
        <w:tab/>
        <w:t>(b)</w:t>
      </w:r>
      <w:r w:rsidRPr="00FF2655">
        <w:tab/>
        <w:t>importing HCFC pre</w:t>
      </w:r>
      <w:r w:rsidR="00FF2655">
        <w:noBreakHyphen/>
      </w:r>
      <w:r w:rsidRPr="00FF2655">
        <w:t xml:space="preserve">charged refrigeration equipment, if the importation of the equipment satisfies the conditions mentioned in </w:t>
      </w:r>
      <w:r w:rsidR="006919A2" w:rsidRPr="00FF2655">
        <w:t>subsection</w:t>
      </w:r>
      <w:r w:rsidR="00FF2655" w:rsidRPr="00FF2655">
        <w:t> </w:t>
      </w:r>
      <w:r w:rsidR="00A52D2C" w:rsidRPr="00FF2655">
        <w:t>13(6</w:t>
      </w:r>
      <w:r w:rsidR="006919A2" w:rsidRPr="00FF2655">
        <w:t>) of the Act</w:t>
      </w:r>
      <w:r w:rsidR="00740597" w:rsidRPr="00FF2655">
        <w:t>.</w:t>
      </w:r>
    </w:p>
    <w:p w:rsidR="006919A2" w:rsidRPr="00FF2655" w:rsidRDefault="00206A09" w:rsidP="006919A2">
      <w:pPr>
        <w:pStyle w:val="ItemHead"/>
      </w:pPr>
      <w:r w:rsidRPr="00FF2655">
        <w:t>11</w:t>
      </w:r>
      <w:r w:rsidR="006919A2" w:rsidRPr="00FF2655">
        <w:t xml:space="preserve">  Paragraphs 73(1)(aa) and (ab)</w:t>
      </w:r>
    </w:p>
    <w:p w:rsidR="006919A2" w:rsidRPr="00FF2655" w:rsidRDefault="006919A2" w:rsidP="006919A2">
      <w:pPr>
        <w:pStyle w:val="Item"/>
      </w:pPr>
      <w:r w:rsidRPr="00FF2655">
        <w:t>Repeal the paragraphs</w:t>
      </w:r>
      <w:r w:rsidR="00740597" w:rsidRPr="00FF2655">
        <w:t>.</w:t>
      </w:r>
    </w:p>
    <w:p w:rsidR="006919A2" w:rsidRPr="00FF2655" w:rsidRDefault="00206A09" w:rsidP="006919A2">
      <w:pPr>
        <w:pStyle w:val="ItemHead"/>
      </w:pPr>
      <w:r w:rsidRPr="00FF2655">
        <w:t>12</w:t>
      </w:r>
      <w:r w:rsidR="006919A2" w:rsidRPr="00FF2655">
        <w:t xml:space="preserve">  Division</w:t>
      </w:r>
      <w:r w:rsidR="00FF2655" w:rsidRPr="00FF2655">
        <w:t> </w:t>
      </w:r>
      <w:r w:rsidR="006919A2" w:rsidRPr="00FF2655">
        <w:t>5</w:t>
      </w:r>
      <w:r w:rsidR="00740597" w:rsidRPr="00FF2655">
        <w:t>.</w:t>
      </w:r>
      <w:r w:rsidR="006919A2" w:rsidRPr="00FF2655">
        <w:t>2</w:t>
      </w:r>
    </w:p>
    <w:p w:rsidR="006919A2" w:rsidRPr="00FF2655" w:rsidRDefault="006919A2" w:rsidP="006919A2">
      <w:pPr>
        <w:pStyle w:val="Item"/>
      </w:pPr>
      <w:r w:rsidRPr="00FF2655">
        <w:t>Repeal the Division</w:t>
      </w:r>
      <w:r w:rsidR="00740597" w:rsidRPr="00FF2655">
        <w:t>.</w:t>
      </w:r>
    </w:p>
    <w:p w:rsidR="00F2059D" w:rsidRPr="00FF2655" w:rsidRDefault="00F2059D" w:rsidP="00F2059D">
      <w:pPr>
        <w:pStyle w:val="ActHead8"/>
      </w:pPr>
      <w:bookmarkStart w:id="74" w:name="_Toc487631748"/>
      <w:r w:rsidRPr="00FF2655">
        <w:t>Division</w:t>
      </w:r>
      <w:r w:rsidR="00FF2655" w:rsidRPr="00FF2655">
        <w:t> </w:t>
      </w:r>
      <w:r w:rsidRPr="00FF2655">
        <w:t xml:space="preserve">3—Unlicensed manufacture or import of </w:t>
      </w:r>
      <w:r w:rsidR="00E75D10" w:rsidRPr="00FF2655">
        <w:t>HFCs</w:t>
      </w:r>
      <w:bookmarkEnd w:id="74"/>
    </w:p>
    <w:p w:rsidR="00F2059D" w:rsidRPr="00FF2655" w:rsidRDefault="00F2059D" w:rsidP="00F2059D">
      <w:pPr>
        <w:pStyle w:val="ActHead9"/>
      </w:pPr>
      <w:bookmarkStart w:id="75" w:name="_Toc487631749"/>
      <w:r w:rsidRPr="00FF2655">
        <w:t>Ozone Protection and Synthetic Greenhouse Gas Management Regulations</w:t>
      </w:r>
      <w:r w:rsidR="00FF2655" w:rsidRPr="00FF2655">
        <w:t> </w:t>
      </w:r>
      <w:r w:rsidRPr="00FF2655">
        <w:t>1995</w:t>
      </w:r>
      <w:bookmarkEnd w:id="75"/>
    </w:p>
    <w:p w:rsidR="00F2059D" w:rsidRPr="00FF2655" w:rsidRDefault="00206A09" w:rsidP="00F2059D">
      <w:pPr>
        <w:pStyle w:val="ItemHead"/>
      </w:pPr>
      <w:r w:rsidRPr="00FF2655">
        <w:t>13</w:t>
      </w:r>
      <w:r w:rsidR="00F2059D" w:rsidRPr="00FF2655">
        <w:t xml:space="preserve">  Subparagraph 3(1)(a)(ii)</w:t>
      </w:r>
    </w:p>
    <w:p w:rsidR="00801D94" w:rsidRPr="00FF2655" w:rsidRDefault="00801D94" w:rsidP="00801D94">
      <w:pPr>
        <w:pStyle w:val="Item"/>
      </w:pPr>
      <w:r w:rsidRPr="00FF2655">
        <w:t xml:space="preserve">After </w:t>
      </w:r>
      <w:r w:rsidR="006360F9" w:rsidRPr="00FF2655">
        <w:t>“</w:t>
      </w:r>
      <w:r w:rsidRPr="00FF2655">
        <w:t>veterinary medicine</w:t>
      </w:r>
      <w:r w:rsidR="006360F9" w:rsidRPr="00FF2655">
        <w:t>”</w:t>
      </w:r>
      <w:r w:rsidRPr="00FF2655">
        <w:t xml:space="preserve">, insert </w:t>
      </w:r>
      <w:r w:rsidR="006360F9" w:rsidRPr="00FF2655">
        <w:t>“</w:t>
      </w:r>
      <w:r w:rsidR="00C476BB" w:rsidRPr="00FF2655">
        <w:t xml:space="preserve">, </w:t>
      </w:r>
      <w:r w:rsidRPr="00FF2655">
        <w:t>and the SGG is not a</w:t>
      </w:r>
      <w:r w:rsidR="00C476BB" w:rsidRPr="00FF2655">
        <w:t>n</w:t>
      </w:r>
      <w:r w:rsidRPr="00FF2655">
        <w:t xml:space="preserve"> HFC</w:t>
      </w:r>
      <w:r w:rsidR="006360F9" w:rsidRPr="00FF2655">
        <w:t>”</w:t>
      </w:r>
      <w:r w:rsidR="00740597" w:rsidRPr="00FF2655">
        <w:t>.</w:t>
      </w:r>
    </w:p>
    <w:p w:rsidR="006919A2" w:rsidRPr="00FF2655" w:rsidRDefault="006919A2" w:rsidP="006919A2">
      <w:pPr>
        <w:pStyle w:val="ActHead7"/>
        <w:pageBreakBefore/>
      </w:pPr>
      <w:bookmarkStart w:id="76" w:name="_Toc487631750"/>
      <w:r w:rsidRPr="00FF2655">
        <w:rPr>
          <w:rStyle w:val="CharAmPartNo"/>
        </w:rPr>
        <w:t>Part</w:t>
      </w:r>
      <w:r w:rsidR="00FF2655" w:rsidRPr="00FF2655">
        <w:rPr>
          <w:rStyle w:val="CharAmPartNo"/>
        </w:rPr>
        <w:t> </w:t>
      </w:r>
      <w:r w:rsidRPr="00FF2655">
        <w:rPr>
          <w:rStyle w:val="CharAmPartNo"/>
        </w:rPr>
        <w:t>2</w:t>
      </w:r>
      <w:r w:rsidRPr="00FF2655">
        <w:t>—</w:t>
      </w:r>
      <w:r w:rsidRPr="00FF2655">
        <w:rPr>
          <w:rStyle w:val="CharAmPartText"/>
        </w:rPr>
        <w:t>Levy periods, thresholds and penalty interest</w:t>
      </w:r>
      <w:bookmarkEnd w:id="76"/>
    </w:p>
    <w:p w:rsidR="006919A2" w:rsidRPr="00FF2655" w:rsidRDefault="006919A2" w:rsidP="006919A2">
      <w:pPr>
        <w:pStyle w:val="ActHead9"/>
      </w:pPr>
      <w:bookmarkStart w:id="77" w:name="_Toc487631751"/>
      <w:r w:rsidRPr="00FF2655">
        <w:t>Ozone Protection and Synthetic Greenhouse Gas Management Regulations</w:t>
      </w:r>
      <w:r w:rsidR="00FF2655" w:rsidRPr="00FF2655">
        <w:t> </w:t>
      </w:r>
      <w:r w:rsidRPr="00FF2655">
        <w:t>1995</w:t>
      </w:r>
      <w:bookmarkEnd w:id="77"/>
    </w:p>
    <w:p w:rsidR="009443D7" w:rsidRPr="00FF2655" w:rsidRDefault="00206A09" w:rsidP="00152950">
      <w:pPr>
        <w:pStyle w:val="ItemHead"/>
      </w:pPr>
      <w:r w:rsidRPr="00FF2655">
        <w:t>14</w:t>
      </w:r>
      <w:r w:rsidR="009443D7" w:rsidRPr="00FF2655">
        <w:t xml:space="preserve">  Regulation</w:t>
      </w:r>
      <w:r w:rsidR="00FF2655" w:rsidRPr="00FF2655">
        <w:t> </w:t>
      </w:r>
      <w:r w:rsidR="009443D7" w:rsidRPr="00FF2655">
        <w:t>2</w:t>
      </w:r>
    </w:p>
    <w:p w:rsidR="009443D7" w:rsidRPr="00FF2655" w:rsidRDefault="009443D7" w:rsidP="009443D7">
      <w:pPr>
        <w:pStyle w:val="Item"/>
      </w:pPr>
      <w:r w:rsidRPr="00FF2655">
        <w:t>Insert:</w:t>
      </w:r>
    </w:p>
    <w:p w:rsidR="009443D7" w:rsidRPr="00FF2655" w:rsidRDefault="009443D7" w:rsidP="009443D7">
      <w:pPr>
        <w:pStyle w:val="Definition"/>
      </w:pPr>
      <w:r w:rsidRPr="00FF2655">
        <w:rPr>
          <w:b/>
          <w:i/>
        </w:rPr>
        <w:t>quarter</w:t>
      </w:r>
      <w:r w:rsidRPr="00FF2655">
        <w:t xml:space="preserve"> means a period of 3 months commencing on 1</w:t>
      </w:r>
      <w:r w:rsidR="00FF2655" w:rsidRPr="00FF2655">
        <w:t> </w:t>
      </w:r>
      <w:r w:rsidRPr="00FF2655">
        <w:t>January, 1</w:t>
      </w:r>
      <w:r w:rsidR="00FF2655" w:rsidRPr="00FF2655">
        <w:t> </w:t>
      </w:r>
      <w:r w:rsidRPr="00FF2655">
        <w:t>April, 1</w:t>
      </w:r>
      <w:r w:rsidR="00FF2655" w:rsidRPr="00FF2655">
        <w:t> </w:t>
      </w:r>
      <w:r w:rsidRPr="00FF2655">
        <w:t>July or 1</w:t>
      </w:r>
      <w:r w:rsidR="00FF2655" w:rsidRPr="00FF2655">
        <w:t> </w:t>
      </w:r>
      <w:r w:rsidRPr="00FF2655">
        <w:t>October.</w:t>
      </w:r>
    </w:p>
    <w:p w:rsidR="00354AB9" w:rsidRPr="00FF2655" w:rsidRDefault="003C11E0" w:rsidP="003C11E0">
      <w:pPr>
        <w:pStyle w:val="Definition"/>
      </w:pPr>
      <w:r w:rsidRPr="00FF2655">
        <w:rPr>
          <w:b/>
          <w:i/>
        </w:rPr>
        <w:t>scheduled kind</w:t>
      </w:r>
      <w:r w:rsidRPr="00FF2655">
        <w:t xml:space="preserve"> of a scheduled substance has the meaning given by subregulation</w:t>
      </w:r>
      <w:r w:rsidR="00FF2655" w:rsidRPr="00FF2655">
        <w:t> </w:t>
      </w:r>
      <w:r w:rsidRPr="00FF2655">
        <w:t>900(4).</w:t>
      </w:r>
    </w:p>
    <w:p w:rsidR="00152950" w:rsidRPr="00FF2655" w:rsidRDefault="00206A09" w:rsidP="00152950">
      <w:pPr>
        <w:pStyle w:val="ItemHead"/>
      </w:pPr>
      <w:r w:rsidRPr="00FF2655">
        <w:t>15</w:t>
      </w:r>
      <w:r w:rsidR="00152950" w:rsidRPr="00FF2655">
        <w:t xml:space="preserve">  Regulation</w:t>
      </w:r>
      <w:r w:rsidR="00FF2655" w:rsidRPr="00FF2655">
        <w:t> </w:t>
      </w:r>
      <w:r w:rsidR="00152950" w:rsidRPr="00FF2655">
        <w:t>900 (heading)</w:t>
      </w:r>
    </w:p>
    <w:p w:rsidR="00152950" w:rsidRPr="00FF2655" w:rsidRDefault="00152950" w:rsidP="00152950">
      <w:pPr>
        <w:pStyle w:val="Item"/>
      </w:pPr>
      <w:r w:rsidRPr="00FF2655">
        <w:t>Repeal the heading, substitute:</w:t>
      </w:r>
    </w:p>
    <w:p w:rsidR="00152950" w:rsidRPr="00FF2655" w:rsidRDefault="00152950" w:rsidP="00152950">
      <w:pPr>
        <w:pStyle w:val="ActHead5"/>
      </w:pPr>
      <w:bookmarkStart w:id="78" w:name="_Toc487631752"/>
      <w:r w:rsidRPr="00FF2655">
        <w:rPr>
          <w:rStyle w:val="CharSectno"/>
        </w:rPr>
        <w:t>900</w:t>
      </w:r>
      <w:r w:rsidRPr="00FF2655">
        <w:t xml:space="preserve">  Periodic reports by manufacturers, importers</w:t>
      </w:r>
      <w:r w:rsidR="00F6190A" w:rsidRPr="00FF2655">
        <w:t>,</w:t>
      </w:r>
      <w:r w:rsidRPr="00FF2655">
        <w:t xml:space="preserve"> exporters</w:t>
      </w:r>
      <w:r w:rsidR="00F6190A" w:rsidRPr="00FF2655">
        <w:t xml:space="preserve"> and destroyers</w:t>
      </w:r>
      <w:r w:rsidRPr="00FF2655">
        <w:t xml:space="preserve"> of scheduled substances and equipment</w:t>
      </w:r>
      <w:bookmarkEnd w:id="78"/>
    </w:p>
    <w:p w:rsidR="00152950" w:rsidRPr="00FF2655" w:rsidRDefault="00206A09" w:rsidP="00152950">
      <w:pPr>
        <w:pStyle w:val="ItemHead"/>
      </w:pPr>
      <w:r w:rsidRPr="00FF2655">
        <w:t>16</w:t>
      </w:r>
      <w:r w:rsidR="00152950" w:rsidRPr="00FF2655">
        <w:t xml:space="preserve">  Subregulation</w:t>
      </w:r>
      <w:r w:rsidR="00FF2655" w:rsidRPr="00FF2655">
        <w:t> </w:t>
      </w:r>
      <w:r w:rsidR="00152950" w:rsidRPr="00FF2655">
        <w:t>900(3)</w:t>
      </w:r>
    </w:p>
    <w:p w:rsidR="00152950" w:rsidRPr="00FF2655" w:rsidRDefault="00152950" w:rsidP="00152950">
      <w:pPr>
        <w:pStyle w:val="Item"/>
      </w:pPr>
      <w:r w:rsidRPr="00FF2655">
        <w:t>Repeal the subregulation, substitute:</w:t>
      </w:r>
    </w:p>
    <w:p w:rsidR="00152950" w:rsidRPr="00FF2655" w:rsidRDefault="00152950" w:rsidP="00152950">
      <w:pPr>
        <w:pStyle w:val="subsection"/>
      </w:pPr>
      <w:r w:rsidRPr="00FF2655">
        <w:tab/>
        <w:t>(3)</w:t>
      </w:r>
      <w:r w:rsidRPr="00FF2655">
        <w:tab/>
        <w:t>The report must state the following:</w:t>
      </w:r>
    </w:p>
    <w:p w:rsidR="00152950" w:rsidRPr="00FF2655" w:rsidRDefault="00152950" w:rsidP="00152950">
      <w:pPr>
        <w:pStyle w:val="paragraph"/>
      </w:pPr>
      <w:r w:rsidRPr="00FF2655">
        <w:tab/>
        <w:t>(a)</w:t>
      </w:r>
      <w:r w:rsidRPr="00FF2655">
        <w:tab/>
        <w:t>the name and address of the person;</w:t>
      </w:r>
    </w:p>
    <w:p w:rsidR="00152950" w:rsidRPr="00FF2655" w:rsidRDefault="00152950" w:rsidP="00152950">
      <w:pPr>
        <w:pStyle w:val="paragraph"/>
      </w:pPr>
      <w:r w:rsidRPr="00FF2655">
        <w:tab/>
        <w:t>(b)</w:t>
      </w:r>
      <w:r w:rsidRPr="00FF2655">
        <w:tab/>
        <w:t xml:space="preserve">the combination of numbers, letters or symbols used to provide a unique identifier for the licence </w:t>
      </w:r>
      <w:r w:rsidR="00382EA5" w:rsidRPr="00FF2655">
        <w:t xml:space="preserve">(if any) </w:t>
      </w:r>
      <w:r w:rsidRPr="00FF2655">
        <w:t>granted to the person under section</w:t>
      </w:r>
      <w:r w:rsidR="00FF2655" w:rsidRPr="00FF2655">
        <w:t> </w:t>
      </w:r>
      <w:r w:rsidRPr="00FF2655">
        <w:t>16 of the Act;</w:t>
      </w:r>
    </w:p>
    <w:p w:rsidR="00152950" w:rsidRPr="00FF2655" w:rsidRDefault="00152950" w:rsidP="00152950">
      <w:pPr>
        <w:pStyle w:val="paragraph"/>
      </w:pPr>
      <w:r w:rsidRPr="00FF2655">
        <w:tab/>
        <w:t>(c)</w:t>
      </w:r>
      <w:r w:rsidRPr="00FF2655">
        <w:tab/>
        <w:t>the reporting period to which the report relates;</w:t>
      </w:r>
    </w:p>
    <w:p w:rsidR="000279AA" w:rsidRPr="00FF2655" w:rsidRDefault="00152950" w:rsidP="000279AA">
      <w:pPr>
        <w:pStyle w:val="paragraph"/>
      </w:pPr>
      <w:r w:rsidRPr="00FF2655">
        <w:tab/>
        <w:t>(d)</w:t>
      </w:r>
      <w:r w:rsidRPr="00FF2655">
        <w:tab/>
        <w:t xml:space="preserve">the information </w:t>
      </w:r>
      <w:r w:rsidR="000279AA" w:rsidRPr="00FF2655">
        <w:t>required by the following table</w:t>
      </w:r>
      <w:r w:rsidR="00740597" w:rsidRPr="00FF2655">
        <w:t>.</w:t>
      </w:r>
    </w:p>
    <w:p w:rsidR="00152950" w:rsidRPr="00FF2655" w:rsidRDefault="00152950" w:rsidP="0015295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152950" w:rsidRPr="00FF2655" w:rsidTr="00EA3DA7">
        <w:trPr>
          <w:tblHeader/>
        </w:trPr>
        <w:tc>
          <w:tcPr>
            <w:tcW w:w="8312" w:type="dxa"/>
            <w:gridSpan w:val="3"/>
            <w:tcBorders>
              <w:top w:val="single" w:sz="12" w:space="0" w:color="auto"/>
              <w:bottom w:val="single" w:sz="6" w:space="0" w:color="auto"/>
            </w:tcBorders>
            <w:shd w:val="clear" w:color="auto" w:fill="auto"/>
          </w:tcPr>
          <w:p w:rsidR="00152950" w:rsidRPr="00FF2655" w:rsidRDefault="00152950" w:rsidP="00152950">
            <w:pPr>
              <w:pStyle w:val="TableHeading"/>
            </w:pPr>
            <w:r w:rsidRPr="00FF2655">
              <w:t>Information to be included in report</w:t>
            </w:r>
          </w:p>
        </w:tc>
      </w:tr>
      <w:tr w:rsidR="00152950" w:rsidRPr="00FF2655" w:rsidTr="00EA3DA7">
        <w:trPr>
          <w:tblHeader/>
        </w:trPr>
        <w:tc>
          <w:tcPr>
            <w:tcW w:w="714" w:type="dxa"/>
            <w:tcBorders>
              <w:top w:val="single" w:sz="6" w:space="0" w:color="auto"/>
              <w:bottom w:val="single" w:sz="12" w:space="0" w:color="auto"/>
            </w:tcBorders>
            <w:shd w:val="clear" w:color="auto" w:fill="auto"/>
          </w:tcPr>
          <w:p w:rsidR="00152950" w:rsidRPr="00FF2655" w:rsidRDefault="00152950" w:rsidP="00152950">
            <w:pPr>
              <w:pStyle w:val="TableHeading"/>
            </w:pPr>
            <w:r w:rsidRPr="00FF2655">
              <w:t>Item</w:t>
            </w:r>
          </w:p>
        </w:tc>
        <w:tc>
          <w:tcPr>
            <w:tcW w:w="3799" w:type="dxa"/>
            <w:tcBorders>
              <w:top w:val="single" w:sz="6" w:space="0" w:color="auto"/>
              <w:bottom w:val="single" w:sz="12" w:space="0" w:color="auto"/>
            </w:tcBorders>
            <w:shd w:val="clear" w:color="auto" w:fill="auto"/>
          </w:tcPr>
          <w:p w:rsidR="00152950" w:rsidRPr="00FF2655" w:rsidRDefault="00152950" w:rsidP="00152950">
            <w:pPr>
              <w:pStyle w:val="TableHeading"/>
            </w:pPr>
            <w:r w:rsidRPr="00FF2655">
              <w:t>Column 1</w:t>
            </w:r>
          </w:p>
          <w:p w:rsidR="00152950" w:rsidRPr="00FF2655" w:rsidRDefault="000279AA" w:rsidP="00BD549A">
            <w:pPr>
              <w:pStyle w:val="TableHeading"/>
            </w:pPr>
            <w:r w:rsidRPr="00FF2655">
              <w:t>If the following</w:t>
            </w:r>
            <w:r w:rsidR="00BD549A" w:rsidRPr="00FF2655">
              <w:t xml:space="preserve"> provision of the Act </w:t>
            </w:r>
            <w:r w:rsidR="00152950" w:rsidRPr="00FF2655">
              <w:t>applies</w:t>
            </w:r>
            <w:r w:rsidRPr="00FF2655">
              <w:t xml:space="preserve"> to the report</w:t>
            </w:r>
            <w:r w:rsidR="00F6190A" w:rsidRPr="00FF2655">
              <w:t xml:space="preserve"> (taking into account the exceptions in that </w:t>
            </w:r>
            <w:r w:rsidR="00BD549A" w:rsidRPr="00FF2655">
              <w:t>provision</w:t>
            </w:r>
            <w:r w:rsidR="00F6190A" w:rsidRPr="00FF2655">
              <w:t>)</w:t>
            </w:r>
            <w:r w:rsidR="003D3226" w:rsidRPr="00FF2655">
              <w:t xml:space="preserve"> …</w:t>
            </w:r>
          </w:p>
        </w:tc>
        <w:tc>
          <w:tcPr>
            <w:tcW w:w="3799" w:type="dxa"/>
            <w:tcBorders>
              <w:top w:val="single" w:sz="6" w:space="0" w:color="auto"/>
              <w:bottom w:val="single" w:sz="12" w:space="0" w:color="auto"/>
            </w:tcBorders>
            <w:shd w:val="clear" w:color="auto" w:fill="auto"/>
          </w:tcPr>
          <w:p w:rsidR="00152950" w:rsidRPr="00FF2655" w:rsidRDefault="00152950" w:rsidP="00152950">
            <w:pPr>
              <w:pStyle w:val="TableHeading"/>
            </w:pPr>
            <w:r w:rsidRPr="00FF2655">
              <w:t>Column 2</w:t>
            </w:r>
          </w:p>
          <w:p w:rsidR="00152950" w:rsidRPr="00FF2655" w:rsidRDefault="000279AA" w:rsidP="00152950">
            <w:pPr>
              <w:pStyle w:val="TableHeading"/>
            </w:pPr>
            <w:r w:rsidRPr="00FF2655">
              <w:t xml:space="preserve">the report </w:t>
            </w:r>
            <w:r w:rsidR="00152950" w:rsidRPr="00FF2655">
              <w:t>must include the following information …</w:t>
            </w:r>
          </w:p>
        </w:tc>
      </w:tr>
      <w:tr w:rsidR="00152950" w:rsidRPr="00FF2655" w:rsidTr="00EA3DA7">
        <w:tc>
          <w:tcPr>
            <w:tcW w:w="714" w:type="dxa"/>
            <w:tcBorders>
              <w:top w:val="single" w:sz="12" w:space="0" w:color="auto"/>
            </w:tcBorders>
            <w:shd w:val="clear" w:color="auto" w:fill="auto"/>
          </w:tcPr>
          <w:p w:rsidR="00152950" w:rsidRPr="00FF2655" w:rsidRDefault="00152950" w:rsidP="00152950">
            <w:pPr>
              <w:pStyle w:val="Tabletext"/>
            </w:pPr>
            <w:r w:rsidRPr="00FF2655">
              <w:t>1</w:t>
            </w:r>
          </w:p>
        </w:tc>
        <w:tc>
          <w:tcPr>
            <w:tcW w:w="3799" w:type="dxa"/>
            <w:tcBorders>
              <w:top w:val="single" w:sz="12" w:space="0" w:color="auto"/>
            </w:tcBorders>
            <w:shd w:val="clear" w:color="auto" w:fill="auto"/>
          </w:tcPr>
          <w:p w:rsidR="00BB00A7" w:rsidRPr="00FF2655" w:rsidRDefault="00152950" w:rsidP="00BB00A7">
            <w:pPr>
              <w:pStyle w:val="Tabletext"/>
            </w:pPr>
            <w:r w:rsidRPr="00FF2655">
              <w:t>item</w:t>
            </w:r>
            <w:r w:rsidR="00FF2655" w:rsidRPr="00FF2655">
              <w:t> </w:t>
            </w:r>
            <w:r w:rsidRPr="00FF2655">
              <w:t>1</w:t>
            </w:r>
            <w:r w:rsidR="00BB00A7" w:rsidRPr="00FF2655">
              <w:t xml:space="preserve"> or 2</w:t>
            </w:r>
            <w:r w:rsidR="00BD549A" w:rsidRPr="00FF2655">
              <w:t xml:space="preserve"> of the table in subsection</w:t>
            </w:r>
            <w:r w:rsidR="00FF2655" w:rsidRPr="00FF2655">
              <w:t> </w:t>
            </w:r>
            <w:r w:rsidR="00BD549A" w:rsidRPr="00FF2655">
              <w:t>46(1) of the Act</w:t>
            </w:r>
            <w:r w:rsidRPr="00FF2655">
              <w:t xml:space="preserve"> (manufacturing, importing, exporting or destroying a scheduled substance</w:t>
            </w:r>
            <w:r w:rsidR="00BB00A7" w:rsidRPr="00FF2655">
              <w:t>, including an SGG</w:t>
            </w:r>
            <w:r w:rsidRPr="00FF2655">
              <w:t>)</w:t>
            </w:r>
          </w:p>
        </w:tc>
        <w:tc>
          <w:tcPr>
            <w:tcW w:w="3799" w:type="dxa"/>
            <w:tcBorders>
              <w:top w:val="single" w:sz="12" w:space="0" w:color="auto"/>
            </w:tcBorders>
            <w:shd w:val="clear" w:color="auto" w:fill="auto"/>
          </w:tcPr>
          <w:p w:rsidR="00152950" w:rsidRPr="00FF2655" w:rsidRDefault="00152950" w:rsidP="00152950">
            <w:pPr>
              <w:pStyle w:val="Tablea"/>
            </w:pPr>
            <w:r w:rsidRPr="00FF2655">
              <w:t xml:space="preserve">(a) </w:t>
            </w:r>
            <w:r w:rsidR="00BD549A" w:rsidRPr="00FF2655">
              <w:t xml:space="preserve">each scheduled kind of </w:t>
            </w:r>
            <w:r w:rsidRPr="00FF2655">
              <w:t>scheduled substance</w:t>
            </w:r>
            <w:r w:rsidR="00BD549A" w:rsidRPr="00FF2655">
              <w:t xml:space="preserve"> </w:t>
            </w:r>
            <w:r w:rsidR="00F6190A" w:rsidRPr="00FF2655">
              <w:t xml:space="preserve">that the person </w:t>
            </w:r>
            <w:r w:rsidRPr="00FF2655">
              <w:t>manufactured, imported</w:t>
            </w:r>
            <w:r w:rsidR="00310EAC" w:rsidRPr="00FF2655">
              <w:t>,</w:t>
            </w:r>
            <w:r w:rsidRPr="00FF2655">
              <w:t xml:space="preserve"> exported or destroyed</w:t>
            </w:r>
            <w:r w:rsidR="00F6190A" w:rsidRPr="00FF2655">
              <w:t xml:space="preserve"> during the reporting period</w:t>
            </w:r>
            <w:r w:rsidRPr="00FF2655">
              <w:t>;</w:t>
            </w:r>
          </w:p>
          <w:p w:rsidR="00EA3DA7" w:rsidRPr="00FF2655" w:rsidRDefault="00152950" w:rsidP="00BD549A">
            <w:pPr>
              <w:pStyle w:val="Tablea"/>
            </w:pPr>
            <w:r w:rsidRPr="00FF2655">
              <w:t xml:space="preserve">(b) </w:t>
            </w:r>
            <w:r w:rsidR="00652991" w:rsidRPr="00FF2655">
              <w:t xml:space="preserve">for each of those </w:t>
            </w:r>
            <w:r w:rsidR="00BD549A" w:rsidRPr="00FF2655">
              <w:t>scheduled kinds</w:t>
            </w:r>
            <w:r w:rsidR="002F48F3" w:rsidRPr="00FF2655">
              <w:t xml:space="preserve"> of scheduled substances</w:t>
            </w:r>
            <w:r w:rsidR="00652991" w:rsidRPr="00FF2655">
              <w:t>—</w:t>
            </w:r>
            <w:r w:rsidRPr="00FF2655">
              <w:t xml:space="preserve">the </w:t>
            </w:r>
            <w:r w:rsidR="00F6190A" w:rsidRPr="00FF2655">
              <w:t xml:space="preserve">total </w:t>
            </w:r>
            <w:r w:rsidRPr="00FF2655">
              <w:t>amount</w:t>
            </w:r>
            <w:r w:rsidR="00872A44" w:rsidRPr="00FF2655">
              <w:t>, in metric tonnes,</w:t>
            </w:r>
            <w:r w:rsidRPr="00FF2655">
              <w:t xml:space="preserve"> of scheduled substance</w:t>
            </w:r>
            <w:r w:rsidR="004023E9" w:rsidRPr="00FF2655">
              <w:t xml:space="preserve"> that the person</w:t>
            </w:r>
            <w:r w:rsidRPr="00FF2655">
              <w:t xml:space="preserve"> manufactured, imported</w:t>
            </w:r>
            <w:r w:rsidR="00872A44" w:rsidRPr="00FF2655">
              <w:t>,</w:t>
            </w:r>
            <w:r w:rsidRPr="00FF2655">
              <w:t xml:space="preserve"> exported or destroyed</w:t>
            </w:r>
            <w:r w:rsidR="00F6190A" w:rsidRPr="00FF2655">
              <w:t xml:space="preserve"> during the reporting period</w:t>
            </w:r>
            <w:r w:rsidR="00740597" w:rsidRPr="00FF2655">
              <w:t>.</w:t>
            </w:r>
          </w:p>
        </w:tc>
      </w:tr>
      <w:tr w:rsidR="00152950" w:rsidRPr="00FF2655" w:rsidTr="00EA3DA7">
        <w:tc>
          <w:tcPr>
            <w:tcW w:w="714" w:type="dxa"/>
            <w:tcBorders>
              <w:bottom w:val="single" w:sz="2" w:space="0" w:color="auto"/>
            </w:tcBorders>
            <w:shd w:val="clear" w:color="auto" w:fill="auto"/>
          </w:tcPr>
          <w:p w:rsidR="00152950" w:rsidRPr="00FF2655" w:rsidRDefault="00BB00A7" w:rsidP="00152950">
            <w:pPr>
              <w:pStyle w:val="Tabletext"/>
            </w:pPr>
            <w:r w:rsidRPr="00FF2655">
              <w:t>2</w:t>
            </w:r>
          </w:p>
        </w:tc>
        <w:tc>
          <w:tcPr>
            <w:tcW w:w="3799" w:type="dxa"/>
            <w:tcBorders>
              <w:bottom w:val="single" w:sz="2" w:space="0" w:color="auto"/>
            </w:tcBorders>
            <w:shd w:val="clear" w:color="auto" w:fill="auto"/>
          </w:tcPr>
          <w:p w:rsidR="00152950" w:rsidRPr="00FF2655" w:rsidRDefault="001571EF" w:rsidP="00152950">
            <w:pPr>
              <w:pStyle w:val="Tabletext"/>
            </w:pPr>
            <w:r w:rsidRPr="00FF2655">
              <w:t>item</w:t>
            </w:r>
            <w:r w:rsidR="00FF2655" w:rsidRPr="00FF2655">
              <w:t> </w:t>
            </w:r>
            <w:r w:rsidRPr="00FF2655">
              <w:t>3</w:t>
            </w:r>
            <w:r w:rsidR="00BD549A" w:rsidRPr="00FF2655">
              <w:t xml:space="preserve"> of the table in subsection</w:t>
            </w:r>
            <w:r w:rsidR="00FF2655" w:rsidRPr="00FF2655">
              <w:t> </w:t>
            </w:r>
            <w:r w:rsidR="00BD549A" w:rsidRPr="00FF2655">
              <w:t>46(1) of the Act</w:t>
            </w:r>
            <w:r w:rsidRPr="00FF2655">
              <w:t xml:space="preserve"> (importing ODS equipment or SGG equipment)</w:t>
            </w:r>
          </w:p>
        </w:tc>
        <w:tc>
          <w:tcPr>
            <w:tcW w:w="3799" w:type="dxa"/>
            <w:tcBorders>
              <w:bottom w:val="single" w:sz="2" w:space="0" w:color="auto"/>
            </w:tcBorders>
            <w:shd w:val="clear" w:color="auto" w:fill="auto"/>
          </w:tcPr>
          <w:p w:rsidR="00EA3DA7" w:rsidRPr="00FF2655" w:rsidRDefault="00EA3DA7" w:rsidP="00152950">
            <w:pPr>
              <w:pStyle w:val="Tablea"/>
            </w:pPr>
            <w:r w:rsidRPr="00FF2655">
              <w:t>(a) the categories of ODS equipment or SGG equipment</w:t>
            </w:r>
            <w:r w:rsidR="003E2FCA" w:rsidRPr="00FF2655">
              <w:t xml:space="preserve"> mentioned in subregulation</w:t>
            </w:r>
            <w:r w:rsidR="00FF2655" w:rsidRPr="00FF2655">
              <w:t> </w:t>
            </w:r>
            <w:r w:rsidR="003E2FCA" w:rsidRPr="00FF2655">
              <w:t>(</w:t>
            </w:r>
            <w:r w:rsidR="00395BDF" w:rsidRPr="00FF2655">
              <w:t>5</w:t>
            </w:r>
            <w:r w:rsidR="003E2FCA" w:rsidRPr="00FF2655">
              <w:t>)</w:t>
            </w:r>
            <w:r w:rsidR="00395BDF" w:rsidRPr="00FF2655">
              <w:t xml:space="preserve"> that the person imported during</w:t>
            </w:r>
            <w:r w:rsidRPr="00FF2655">
              <w:t xml:space="preserve"> the reporting period;</w:t>
            </w:r>
          </w:p>
          <w:p w:rsidR="00152950" w:rsidRPr="00FF2655" w:rsidRDefault="00EA3DA7" w:rsidP="00EA3DA7">
            <w:pPr>
              <w:pStyle w:val="Tablea"/>
            </w:pPr>
            <w:r w:rsidRPr="00FF2655">
              <w:t xml:space="preserve">(b) </w:t>
            </w:r>
            <w:r w:rsidR="00652991" w:rsidRPr="00FF2655">
              <w:t>for each of those categories of equipment—</w:t>
            </w:r>
            <w:r w:rsidR="00152950" w:rsidRPr="00FF2655">
              <w:t xml:space="preserve">the </w:t>
            </w:r>
            <w:r w:rsidRPr="00FF2655">
              <w:t xml:space="preserve">total </w:t>
            </w:r>
            <w:r w:rsidR="00152950" w:rsidRPr="00FF2655">
              <w:t xml:space="preserve">number of units </w:t>
            </w:r>
            <w:r w:rsidR="00652991" w:rsidRPr="00FF2655">
              <w:t xml:space="preserve">of </w:t>
            </w:r>
            <w:r w:rsidR="00BD549A" w:rsidRPr="00FF2655">
              <w:t xml:space="preserve">the </w:t>
            </w:r>
            <w:r w:rsidR="00652991" w:rsidRPr="00FF2655">
              <w:t xml:space="preserve">equipment </w:t>
            </w:r>
            <w:r w:rsidR="00152950" w:rsidRPr="00FF2655">
              <w:t>that the person imported during the reporting period;</w:t>
            </w:r>
          </w:p>
          <w:p w:rsidR="00BD549A" w:rsidRPr="00FF2655" w:rsidRDefault="00152950" w:rsidP="00BD549A">
            <w:pPr>
              <w:pStyle w:val="Tablea"/>
            </w:pPr>
            <w:r w:rsidRPr="00FF2655">
              <w:t>(</w:t>
            </w:r>
            <w:r w:rsidR="00EA3DA7" w:rsidRPr="00FF2655">
              <w:t>c</w:t>
            </w:r>
            <w:r w:rsidRPr="00FF2655">
              <w:t xml:space="preserve">) for </w:t>
            </w:r>
            <w:r w:rsidR="00EA3DA7" w:rsidRPr="00FF2655">
              <w:t xml:space="preserve">each </w:t>
            </w:r>
            <w:r w:rsidR="003E2FCA" w:rsidRPr="00FF2655">
              <w:t>of those categories of equipment</w:t>
            </w:r>
            <w:r w:rsidRPr="00FF2655">
              <w:t>—the total amount</w:t>
            </w:r>
            <w:r w:rsidR="00EA3DA7" w:rsidRPr="00FF2655">
              <w:t>, in metric tonnes,</w:t>
            </w:r>
            <w:r w:rsidRPr="00FF2655">
              <w:t xml:space="preserve"> of </w:t>
            </w:r>
            <w:r w:rsidR="00BD549A" w:rsidRPr="00FF2655">
              <w:t>each scheduled kind of the following scheduled substances contained in the equipment in that category that the person imported during the reporting period:</w:t>
            </w:r>
          </w:p>
          <w:p w:rsidR="00BD549A" w:rsidRPr="00FF2655" w:rsidRDefault="00BD549A" w:rsidP="00BD549A">
            <w:pPr>
              <w:pStyle w:val="Tablei"/>
            </w:pPr>
            <w:r w:rsidRPr="00FF2655">
              <w:t>(i) HCFC;</w:t>
            </w:r>
          </w:p>
          <w:p w:rsidR="00BD549A" w:rsidRPr="00FF2655" w:rsidRDefault="00BD549A" w:rsidP="00BD549A">
            <w:pPr>
              <w:pStyle w:val="Tablei"/>
            </w:pPr>
            <w:r w:rsidRPr="00FF2655">
              <w:t>(ii) HFC;</w:t>
            </w:r>
          </w:p>
          <w:p w:rsidR="00BD549A" w:rsidRPr="00FF2655" w:rsidRDefault="00BD549A" w:rsidP="00BD549A">
            <w:pPr>
              <w:pStyle w:val="Tablei"/>
            </w:pPr>
            <w:r w:rsidRPr="00FF2655">
              <w:t>(iii) nitrogen trifluoride;</w:t>
            </w:r>
          </w:p>
          <w:p w:rsidR="00BD549A" w:rsidRPr="00FF2655" w:rsidRDefault="00BD549A" w:rsidP="00BD549A">
            <w:pPr>
              <w:pStyle w:val="Tablei"/>
            </w:pPr>
            <w:r w:rsidRPr="00FF2655">
              <w:t>(iv) PFC;</w:t>
            </w:r>
          </w:p>
          <w:p w:rsidR="00152950" w:rsidRPr="00FF2655" w:rsidRDefault="00BD549A" w:rsidP="00BD549A">
            <w:pPr>
              <w:pStyle w:val="Tablei"/>
            </w:pPr>
            <w:r w:rsidRPr="00FF2655">
              <w:t>(v)</w:t>
            </w:r>
            <w:r w:rsidR="00AB38CA" w:rsidRPr="00FF2655">
              <w:t xml:space="preserve"> </w:t>
            </w:r>
            <w:r w:rsidRPr="00FF2655">
              <w:t>sulfur hexafluoride.</w:t>
            </w:r>
          </w:p>
        </w:tc>
      </w:tr>
      <w:tr w:rsidR="001571EF" w:rsidRPr="00FF2655" w:rsidTr="00EA3DA7">
        <w:tc>
          <w:tcPr>
            <w:tcW w:w="714" w:type="dxa"/>
            <w:tcBorders>
              <w:top w:val="single" w:sz="2" w:space="0" w:color="auto"/>
              <w:bottom w:val="single" w:sz="12" w:space="0" w:color="auto"/>
            </w:tcBorders>
            <w:shd w:val="clear" w:color="auto" w:fill="auto"/>
          </w:tcPr>
          <w:p w:rsidR="001571EF" w:rsidRPr="00FF2655" w:rsidRDefault="003E2FCA" w:rsidP="00152950">
            <w:pPr>
              <w:pStyle w:val="Tabletext"/>
            </w:pPr>
            <w:r w:rsidRPr="00FF2655">
              <w:t>3</w:t>
            </w:r>
          </w:p>
        </w:tc>
        <w:tc>
          <w:tcPr>
            <w:tcW w:w="3799" w:type="dxa"/>
            <w:tcBorders>
              <w:top w:val="single" w:sz="2" w:space="0" w:color="auto"/>
              <w:bottom w:val="single" w:sz="12" w:space="0" w:color="auto"/>
            </w:tcBorders>
            <w:shd w:val="clear" w:color="auto" w:fill="auto"/>
          </w:tcPr>
          <w:p w:rsidR="001571EF" w:rsidRPr="00FF2655" w:rsidRDefault="001571EF" w:rsidP="00152950">
            <w:pPr>
              <w:pStyle w:val="Tabletext"/>
            </w:pPr>
            <w:r w:rsidRPr="00FF2655">
              <w:t>item</w:t>
            </w:r>
            <w:r w:rsidR="00FF2655" w:rsidRPr="00FF2655">
              <w:t> </w:t>
            </w:r>
            <w:r w:rsidRPr="00FF2655">
              <w:t>4</w:t>
            </w:r>
            <w:r w:rsidR="00BD549A" w:rsidRPr="00FF2655">
              <w:t xml:space="preserve"> of the table in subsection</w:t>
            </w:r>
            <w:r w:rsidR="00FF2655" w:rsidRPr="00FF2655">
              <w:t> </w:t>
            </w:r>
            <w:r w:rsidR="00BD549A" w:rsidRPr="00FF2655">
              <w:t>46(1) of the Act</w:t>
            </w:r>
            <w:r w:rsidRPr="00FF2655">
              <w:t xml:space="preserve"> (</w:t>
            </w:r>
            <w:r w:rsidR="000279AA" w:rsidRPr="00FF2655">
              <w:t>a Schedule</w:t>
            </w:r>
            <w:r w:rsidR="00FF2655" w:rsidRPr="00FF2655">
              <w:t> </w:t>
            </w:r>
            <w:r w:rsidR="000279AA" w:rsidRPr="00FF2655">
              <w:t>4 activity or a section</w:t>
            </w:r>
            <w:r w:rsidR="00FF2655" w:rsidRPr="00FF2655">
              <w:t> </w:t>
            </w:r>
            <w:r w:rsidR="000279AA" w:rsidRPr="00FF2655">
              <w:t>69G activity)</w:t>
            </w:r>
          </w:p>
        </w:tc>
        <w:tc>
          <w:tcPr>
            <w:tcW w:w="3799" w:type="dxa"/>
            <w:tcBorders>
              <w:top w:val="single" w:sz="2" w:space="0" w:color="auto"/>
              <w:bottom w:val="single" w:sz="12" w:space="0" w:color="auto"/>
            </w:tcBorders>
            <w:shd w:val="clear" w:color="auto" w:fill="auto"/>
          </w:tcPr>
          <w:p w:rsidR="002D5D07" w:rsidRPr="00FF2655" w:rsidRDefault="002D5D07" w:rsidP="00EA3DA7">
            <w:pPr>
              <w:pStyle w:val="Tablea"/>
            </w:pPr>
            <w:r w:rsidRPr="00FF2655">
              <w:t xml:space="preserve">(a) the categories of equipment </w:t>
            </w:r>
            <w:r w:rsidR="003E2FCA" w:rsidRPr="00FF2655">
              <w:t>mentioned in subregulation</w:t>
            </w:r>
            <w:r w:rsidR="00FF2655" w:rsidRPr="00FF2655">
              <w:t> </w:t>
            </w:r>
            <w:r w:rsidR="008E2A56" w:rsidRPr="00FF2655">
              <w:t>(</w:t>
            </w:r>
            <w:r w:rsidR="00395BDF" w:rsidRPr="00FF2655">
              <w:t>5</w:t>
            </w:r>
            <w:r w:rsidR="008E2A56" w:rsidRPr="00FF2655">
              <w:t xml:space="preserve">) or </w:t>
            </w:r>
            <w:r w:rsidR="003E2FCA" w:rsidRPr="00FF2655">
              <w:t>(</w:t>
            </w:r>
            <w:r w:rsidR="00395BDF" w:rsidRPr="00FF2655">
              <w:t>6</w:t>
            </w:r>
            <w:r w:rsidR="003E2FCA" w:rsidRPr="00FF2655">
              <w:t xml:space="preserve">) </w:t>
            </w:r>
            <w:r w:rsidRPr="00FF2655">
              <w:t xml:space="preserve">manufactured or imported </w:t>
            </w:r>
            <w:r w:rsidR="004A2C53" w:rsidRPr="00FF2655">
              <w:t xml:space="preserve">as part of the </w:t>
            </w:r>
            <w:r w:rsidRPr="00FF2655">
              <w:t>Schedule</w:t>
            </w:r>
            <w:r w:rsidR="00FF2655" w:rsidRPr="00FF2655">
              <w:t> </w:t>
            </w:r>
            <w:r w:rsidRPr="00FF2655">
              <w:t>4 activities and section</w:t>
            </w:r>
            <w:r w:rsidR="00FF2655" w:rsidRPr="00FF2655">
              <w:t> </w:t>
            </w:r>
            <w:r w:rsidRPr="00FF2655">
              <w:t>69G activities that the person engaged in during the reporting period;</w:t>
            </w:r>
          </w:p>
          <w:p w:rsidR="00EA3DA7" w:rsidRPr="00FF2655" w:rsidRDefault="00EA3DA7" w:rsidP="00EA3DA7">
            <w:pPr>
              <w:pStyle w:val="Tablea"/>
            </w:pPr>
            <w:r w:rsidRPr="00FF2655">
              <w:t>(</w:t>
            </w:r>
            <w:r w:rsidR="002D5D07" w:rsidRPr="00FF2655">
              <w:t>b</w:t>
            </w:r>
            <w:r w:rsidRPr="00FF2655">
              <w:t>) the</w:t>
            </w:r>
            <w:r w:rsidR="00BD549A" w:rsidRPr="00FF2655">
              <w:t xml:space="preserve"> scheduled kinds </w:t>
            </w:r>
            <w:r w:rsidRPr="00FF2655">
              <w:t xml:space="preserve">of scheduled substances </w:t>
            </w:r>
            <w:r w:rsidR="002D5D07" w:rsidRPr="00FF2655">
              <w:t>contained in that equipment</w:t>
            </w:r>
            <w:r w:rsidRPr="00FF2655">
              <w:t>;</w:t>
            </w:r>
          </w:p>
          <w:p w:rsidR="001571EF" w:rsidRPr="00FF2655" w:rsidRDefault="00EA3DA7" w:rsidP="00BD549A">
            <w:pPr>
              <w:pStyle w:val="Tablea"/>
            </w:pPr>
            <w:r w:rsidRPr="00FF2655">
              <w:t>(</w:t>
            </w:r>
            <w:r w:rsidR="002D5D07" w:rsidRPr="00FF2655">
              <w:t>c</w:t>
            </w:r>
            <w:r w:rsidRPr="00FF2655">
              <w:t xml:space="preserve">) </w:t>
            </w:r>
            <w:r w:rsidR="00A3544A" w:rsidRPr="00FF2655">
              <w:t xml:space="preserve">for each of those </w:t>
            </w:r>
            <w:r w:rsidR="00BD549A" w:rsidRPr="00FF2655">
              <w:t>scheduled kinds of scheduled substances</w:t>
            </w:r>
            <w:r w:rsidR="00A3544A" w:rsidRPr="00FF2655">
              <w:t>—</w:t>
            </w:r>
            <w:r w:rsidRPr="00FF2655">
              <w:t xml:space="preserve">the total amount, in metric tonnes, of </w:t>
            </w:r>
            <w:r w:rsidR="00A3544A" w:rsidRPr="00FF2655">
              <w:t>scheduled substance contained in that equipment</w:t>
            </w:r>
            <w:r w:rsidR="00740597" w:rsidRPr="00FF2655">
              <w:t>.</w:t>
            </w:r>
          </w:p>
        </w:tc>
      </w:tr>
    </w:tbl>
    <w:p w:rsidR="00BD549A" w:rsidRPr="00FF2655" w:rsidRDefault="00BD549A" w:rsidP="001571EF">
      <w:pPr>
        <w:pStyle w:val="subsection"/>
      </w:pPr>
      <w:r w:rsidRPr="00FF2655">
        <w:tab/>
        <w:t>(4)</w:t>
      </w:r>
      <w:r w:rsidRPr="00FF2655">
        <w:tab/>
        <w:t xml:space="preserve">A </w:t>
      </w:r>
      <w:r w:rsidRPr="00FF2655">
        <w:rPr>
          <w:b/>
          <w:i/>
        </w:rPr>
        <w:t>scheduled kind</w:t>
      </w:r>
      <w:r w:rsidRPr="00FF2655">
        <w:t xml:space="preserve"> of a scheduled substance is a kind of the scheduled substance specified by an item of the relevant table</w:t>
      </w:r>
      <w:r w:rsidR="00D637C4" w:rsidRPr="00FF2655">
        <w:t xml:space="preserve"> in</w:t>
      </w:r>
      <w:r w:rsidRPr="00FF2655">
        <w:t xml:space="preserve"> Schedule</w:t>
      </w:r>
      <w:r w:rsidR="00FF2655" w:rsidRPr="00FF2655">
        <w:t> </w:t>
      </w:r>
      <w:r w:rsidRPr="00FF2655">
        <w:t>1 to the Act.</w:t>
      </w:r>
    </w:p>
    <w:p w:rsidR="001571EF" w:rsidRPr="00FF2655" w:rsidRDefault="003E2FCA" w:rsidP="001571EF">
      <w:pPr>
        <w:pStyle w:val="subsection"/>
      </w:pPr>
      <w:r w:rsidRPr="00FF2655">
        <w:tab/>
        <w:t>(</w:t>
      </w:r>
      <w:r w:rsidR="00BD549A" w:rsidRPr="00FF2655">
        <w:t>5</w:t>
      </w:r>
      <w:r w:rsidRPr="00FF2655">
        <w:t>)</w:t>
      </w:r>
      <w:r w:rsidRPr="00FF2655">
        <w:tab/>
        <w:t>For the purposes</w:t>
      </w:r>
      <w:r w:rsidR="000279AA" w:rsidRPr="00FF2655">
        <w:t xml:space="preserve"> of </w:t>
      </w:r>
      <w:r w:rsidR="001337CD" w:rsidRPr="00FF2655">
        <w:t xml:space="preserve">column 2 of </w:t>
      </w:r>
      <w:r w:rsidR="000279AA" w:rsidRPr="00FF2655">
        <w:t>item</w:t>
      </w:r>
      <w:r w:rsidR="008E2A56" w:rsidRPr="00FF2655">
        <w:t>s</w:t>
      </w:r>
      <w:r w:rsidR="00FF2655" w:rsidRPr="00FF2655">
        <w:t> </w:t>
      </w:r>
      <w:r w:rsidR="00B171D2" w:rsidRPr="00FF2655">
        <w:t>2</w:t>
      </w:r>
      <w:r w:rsidR="008E2A56" w:rsidRPr="00FF2655">
        <w:t xml:space="preserve"> and 3</w:t>
      </w:r>
      <w:r w:rsidR="000279AA" w:rsidRPr="00FF2655">
        <w:t xml:space="preserve"> of the table in subregulation</w:t>
      </w:r>
      <w:r w:rsidR="00FF2655" w:rsidRPr="00FF2655">
        <w:t> </w:t>
      </w:r>
      <w:r w:rsidR="000279AA" w:rsidRPr="00FF2655">
        <w:t>(</w:t>
      </w:r>
      <w:r w:rsidR="00D637C4" w:rsidRPr="00FF2655">
        <w:t>3</w:t>
      </w:r>
      <w:r w:rsidR="000279AA" w:rsidRPr="00FF2655">
        <w:t>)</w:t>
      </w:r>
      <w:r w:rsidR="001571EF" w:rsidRPr="00FF2655">
        <w:t>, the categories of ODS equipment or SGG equipment are as follows:</w:t>
      </w:r>
    </w:p>
    <w:p w:rsidR="001571EF" w:rsidRPr="00FF2655" w:rsidRDefault="001571EF" w:rsidP="001571EF">
      <w:pPr>
        <w:pStyle w:val="paragraph"/>
      </w:pPr>
      <w:r w:rsidRPr="00FF2655">
        <w:tab/>
        <w:t>(a)</w:t>
      </w:r>
      <w:r w:rsidRPr="00FF2655">
        <w:tab/>
        <w:t>commercial use air</w:t>
      </w:r>
      <w:r w:rsidR="00FF2655">
        <w:noBreakHyphen/>
      </w:r>
      <w:r w:rsidRPr="00FF2655">
        <w:t>conditioning excluding heat pumps;</w:t>
      </w:r>
    </w:p>
    <w:p w:rsidR="001571EF" w:rsidRPr="00FF2655" w:rsidRDefault="001571EF" w:rsidP="001571EF">
      <w:pPr>
        <w:pStyle w:val="paragraph"/>
      </w:pPr>
      <w:r w:rsidRPr="00FF2655">
        <w:tab/>
        <w:t>(b)</w:t>
      </w:r>
      <w:r w:rsidRPr="00FF2655">
        <w:tab/>
        <w:t>domestic use air</w:t>
      </w:r>
      <w:r w:rsidR="00FF2655">
        <w:noBreakHyphen/>
      </w:r>
      <w:r w:rsidRPr="00FF2655">
        <w:t>conditioning excluding heat pumps;</w:t>
      </w:r>
    </w:p>
    <w:p w:rsidR="001571EF" w:rsidRPr="00FF2655" w:rsidRDefault="001571EF" w:rsidP="001571EF">
      <w:pPr>
        <w:pStyle w:val="paragraph"/>
      </w:pPr>
      <w:r w:rsidRPr="00FF2655">
        <w:tab/>
        <w:t>(c)</w:t>
      </w:r>
      <w:r w:rsidRPr="00FF2655">
        <w:tab/>
        <w:t>motor vehicle, watercraft or aircraft air</w:t>
      </w:r>
      <w:r w:rsidR="00FF2655">
        <w:noBreakHyphen/>
      </w:r>
      <w:r w:rsidRPr="00FF2655">
        <w:t>conditioning;</w:t>
      </w:r>
    </w:p>
    <w:p w:rsidR="001571EF" w:rsidRPr="00FF2655" w:rsidRDefault="001571EF" w:rsidP="001571EF">
      <w:pPr>
        <w:pStyle w:val="paragraph"/>
      </w:pPr>
      <w:r w:rsidRPr="00FF2655">
        <w:tab/>
        <w:t>(d)</w:t>
      </w:r>
      <w:r w:rsidRPr="00FF2655">
        <w:tab/>
        <w:t>commercial or domestic use heat pumps;</w:t>
      </w:r>
    </w:p>
    <w:p w:rsidR="001571EF" w:rsidRPr="00FF2655" w:rsidRDefault="001571EF" w:rsidP="001571EF">
      <w:pPr>
        <w:pStyle w:val="paragraph"/>
      </w:pPr>
      <w:r w:rsidRPr="00FF2655">
        <w:tab/>
        <w:t>(e)</w:t>
      </w:r>
      <w:r w:rsidRPr="00FF2655">
        <w:tab/>
        <w:t>commercial use refrigeration;</w:t>
      </w:r>
    </w:p>
    <w:p w:rsidR="001571EF" w:rsidRPr="00FF2655" w:rsidRDefault="001571EF" w:rsidP="001571EF">
      <w:pPr>
        <w:pStyle w:val="paragraph"/>
      </w:pPr>
      <w:r w:rsidRPr="00FF2655">
        <w:tab/>
        <w:t>(f)</w:t>
      </w:r>
      <w:r w:rsidRPr="00FF2655">
        <w:tab/>
        <w:t>domestic use refrigeration;</w:t>
      </w:r>
    </w:p>
    <w:p w:rsidR="001571EF" w:rsidRPr="00FF2655" w:rsidRDefault="001571EF" w:rsidP="001571EF">
      <w:pPr>
        <w:pStyle w:val="paragraph"/>
      </w:pPr>
      <w:r w:rsidRPr="00FF2655">
        <w:tab/>
        <w:t>(g)</w:t>
      </w:r>
      <w:r w:rsidRPr="00FF2655">
        <w:tab/>
        <w:t>motor vehicle, watercraft or aircraft refrigeration;</w:t>
      </w:r>
    </w:p>
    <w:p w:rsidR="001571EF" w:rsidRPr="00FF2655" w:rsidRDefault="001571EF" w:rsidP="001571EF">
      <w:pPr>
        <w:pStyle w:val="paragraph"/>
      </w:pPr>
      <w:r w:rsidRPr="00FF2655">
        <w:tab/>
        <w:t>(h)</w:t>
      </w:r>
      <w:r w:rsidRPr="00FF2655">
        <w:tab/>
        <w:t>expanding polyurethane foam aerosols;</w:t>
      </w:r>
    </w:p>
    <w:p w:rsidR="001571EF" w:rsidRPr="00FF2655" w:rsidRDefault="001571EF" w:rsidP="001571EF">
      <w:pPr>
        <w:pStyle w:val="paragraph"/>
      </w:pPr>
      <w:r w:rsidRPr="00FF2655">
        <w:tab/>
        <w:t>(i)</w:t>
      </w:r>
      <w:r w:rsidRPr="00FF2655">
        <w:tab/>
        <w:t>food, household and personal use aerosols;</w:t>
      </w:r>
    </w:p>
    <w:p w:rsidR="001571EF" w:rsidRPr="00FF2655" w:rsidRDefault="001571EF" w:rsidP="001571EF">
      <w:pPr>
        <w:pStyle w:val="paragraph"/>
      </w:pPr>
      <w:r w:rsidRPr="00FF2655">
        <w:tab/>
        <w:t>(j)</w:t>
      </w:r>
      <w:r w:rsidRPr="00FF2655">
        <w:tab/>
        <w:t xml:space="preserve">industrial, safety or technical use aerosols excluding fire protection equipment mentioned in </w:t>
      </w:r>
      <w:r w:rsidR="00FF2655" w:rsidRPr="00FF2655">
        <w:t>paragraph (</w:t>
      </w:r>
      <w:r w:rsidRPr="00FF2655">
        <w:t>q) or (r);</w:t>
      </w:r>
    </w:p>
    <w:p w:rsidR="001571EF" w:rsidRPr="00FF2655" w:rsidRDefault="001571EF" w:rsidP="001571EF">
      <w:pPr>
        <w:pStyle w:val="paragraph"/>
      </w:pPr>
      <w:r w:rsidRPr="00FF2655">
        <w:tab/>
        <w:t>(k)</w:t>
      </w:r>
      <w:r w:rsidRPr="00FF2655">
        <w:tab/>
        <w:t>metered dose inhalers;</w:t>
      </w:r>
    </w:p>
    <w:p w:rsidR="001571EF" w:rsidRPr="00FF2655" w:rsidRDefault="001571EF" w:rsidP="001571EF">
      <w:pPr>
        <w:pStyle w:val="paragraph"/>
      </w:pPr>
      <w:r w:rsidRPr="00FF2655">
        <w:tab/>
        <w:t>(l)</w:t>
      </w:r>
      <w:r w:rsidRPr="00FF2655">
        <w:tab/>
        <w:t xml:space="preserve">novelty use aerosols or any other aerosol not mentioned in </w:t>
      </w:r>
      <w:r w:rsidR="00FF2655" w:rsidRPr="00FF2655">
        <w:t>paragraphs (</w:t>
      </w:r>
      <w:r w:rsidRPr="00FF2655">
        <w:t>h) to (k);</w:t>
      </w:r>
    </w:p>
    <w:p w:rsidR="001571EF" w:rsidRPr="00FF2655" w:rsidRDefault="001571EF" w:rsidP="001571EF">
      <w:pPr>
        <w:pStyle w:val="paragraph"/>
      </w:pPr>
      <w:r w:rsidRPr="00FF2655">
        <w:tab/>
        <w:t>(m)</w:t>
      </w:r>
      <w:r w:rsidRPr="00FF2655">
        <w:tab/>
        <w:t xml:space="preserve">consumer goods not mentioned in </w:t>
      </w:r>
      <w:r w:rsidR="00FF2655" w:rsidRPr="00FF2655">
        <w:t>paragraphs (</w:t>
      </w:r>
      <w:r w:rsidRPr="00FF2655">
        <w:t>h) to (l);</w:t>
      </w:r>
    </w:p>
    <w:p w:rsidR="001571EF" w:rsidRPr="00FF2655" w:rsidRDefault="001571EF" w:rsidP="001571EF">
      <w:pPr>
        <w:pStyle w:val="paragraph"/>
      </w:pPr>
      <w:r w:rsidRPr="00FF2655">
        <w:tab/>
        <w:t>(n)</w:t>
      </w:r>
      <w:r w:rsidRPr="00FF2655">
        <w:tab/>
        <w:t>electrical switchgear;</w:t>
      </w:r>
    </w:p>
    <w:p w:rsidR="001571EF" w:rsidRPr="00FF2655" w:rsidRDefault="001571EF" w:rsidP="001571EF">
      <w:pPr>
        <w:pStyle w:val="paragraph"/>
      </w:pPr>
      <w:r w:rsidRPr="00FF2655">
        <w:tab/>
        <w:t>(o)</w:t>
      </w:r>
      <w:r w:rsidRPr="00FF2655">
        <w:tab/>
        <w:t>components and parts that contain ODS equipment or SGG equipment;</w:t>
      </w:r>
    </w:p>
    <w:p w:rsidR="001571EF" w:rsidRPr="00FF2655" w:rsidRDefault="001571EF" w:rsidP="001571EF">
      <w:pPr>
        <w:pStyle w:val="paragraph"/>
      </w:pPr>
      <w:r w:rsidRPr="00FF2655">
        <w:tab/>
        <w:t>(p)</w:t>
      </w:r>
      <w:r w:rsidRPr="00FF2655">
        <w:tab/>
        <w:t>medical, scientific, or electrical equipment not mentioned in any other paragraph;</w:t>
      </w:r>
    </w:p>
    <w:p w:rsidR="001571EF" w:rsidRPr="00FF2655" w:rsidRDefault="001571EF" w:rsidP="001571EF">
      <w:pPr>
        <w:pStyle w:val="paragraph"/>
      </w:pPr>
      <w:r w:rsidRPr="00FF2655">
        <w:tab/>
        <w:t>(q)</w:t>
      </w:r>
      <w:r w:rsidRPr="00FF2655">
        <w:tab/>
        <w:t>fixed systems and components for fire protection not mentioned in any other paragraph;</w:t>
      </w:r>
    </w:p>
    <w:p w:rsidR="001571EF" w:rsidRPr="00FF2655" w:rsidRDefault="001571EF" w:rsidP="001571EF">
      <w:pPr>
        <w:pStyle w:val="paragraph"/>
      </w:pPr>
      <w:r w:rsidRPr="00FF2655">
        <w:tab/>
        <w:t>(r)</w:t>
      </w:r>
      <w:r w:rsidRPr="00FF2655">
        <w:tab/>
        <w:t>portable extinguishers for fire protection not mentioned in any other paragraph</w:t>
      </w:r>
      <w:r w:rsidR="00740597" w:rsidRPr="00FF2655">
        <w:t>.</w:t>
      </w:r>
    </w:p>
    <w:p w:rsidR="003E2FCA" w:rsidRPr="00FF2655" w:rsidRDefault="00BD549A" w:rsidP="003E2FCA">
      <w:pPr>
        <w:pStyle w:val="subsection"/>
      </w:pPr>
      <w:r w:rsidRPr="00FF2655">
        <w:tab/>
        <w:t>(6</w:t>
      </w:r>
      <w:r w:rsidR="003E2FCA" w:rsidRPr="00FF2655">
        <w:t>)</w:t>
      </w:r>
      <w:r w:rsidR="003E2FCA" w:rsidRPr="00FF2655">
        <w:tab/>
        <w:t xml:space="preserve">For </w:t>
      </w:r>
      <w:r w:rsidR="00B171D2" w:rsidRPr="00FF2655">
        <w:t xml:space="preserve">the purposes of </w:t>
      </w:r>
      <w:r w:rsidR="003E2FCA" w:rsidRPr="00FF2655">
        <w:t>column 2 of item</w:t>
      </w:r>
      <w:r w:rsidR="00FF2655" w:rsidRPr="00FF2655">
        <w:t> </w:t>
      </w:r>
      <w:r w:rsidR="003E2FCA" w:rsidRPr="00FF2655">
        <w:t>3 of the table in subregulation</w:t>
      </w:r>
      <w:r w:rsidR="00FF2655" w:rsidRPr="00FF2655">
        <w:t> </w:t>
      </w:r>
      <w:r w:rsidR="003E2FCA" w:rsidRPr="00FF2655">
        <w:t>(</w:t>
      </w:r>
      <w:r w:rsidR="00D637C4" w:rsidRPr="00FF2655">
        <w:t>3</w:t>
      </w:r>
      <w:r w:rsidR="003E2FCA" w:rsidRPr="00FF2655">
        <w:t>), the categories of equipment are as follows:</w:t>
      </w:r>
    </w:p>
    <w:p w:rsidR="003E2FCA" w:rsidRPr="00FF2655" w:rsidRDefault="003E2FCA" w:rsidP="003E2FCA">
      <w:pPr>
        <w:pStyle w:val="paragraph"/>
      </w:pPr>
      <w:r w:rsidRPr="00FF2655">
        <w:tab/>
        <w:t>(a)</w:t>
      </w:r>
      <w:r w:rsidRPr="00FF2655">
        <w:tab/>
        <w:t>dry cleaning machinery;</w:t>
      </w:r>
    </w:p>
    <w:p w:rsidR="003E2FCA" w:rsidRPr="00FF2655" w:rsidRDefault="003E2FCA" w:rsidP="003E2FCA">
      <w:pPr>
        <w:pStyle w:val="paragraph"/>
      </w:pPr>
      <w:r w:rsidRPr="00FF2655">
        <w:tab/>
        <w:t>(b)</w:t>
      </w:r>
      <w:r w:rsidRPr="00FF2655">
        <w:tab/>
        <w:t>automotive air</w:t>
      </w:r>
      <w:r w:rsidR="00FF2655">
        <w:noBreakHyphen/>
      </w:r>
      <w:r w:rsidRPr="00FF2655">
        <w:t>conditioning maintenance kits;</w:t>
      </w:r>
    </w:p>
    <w:p w:rsidR="003E2FCA" w:rsidRPr="00FF2655" w:rsidRDefault="003E2FCA" w:rsidP="003E2FCA">
      <w:pPr>
        <w:pStyle w:val="paragraph"/>
      </w:pPr>
      <w:r w:rsidRPr="00FF2655">
        <w:tab/>
        <w:t>(c)</w:t>
      </w:r>
      <w:r w:rsidRPr="00FF2655">
        <w:tab/>
        <w:t>extruded polystyrene packaging and insulation;</w:t>
      </w:r>
    </w:p>
    <w:p w:rsidR="003E2FCA" w:rsidRPr="00FF2655" w:rsidRDefault="003E2FCA" w:rsidP="003E2FCA">
      <w:pPr>
        <w:pStyle w:val="paragraph"/>
      </w:pPr>
      <w:r w:rsidRPr="00FF2655">
        <w:tab/>
        <w:t>(d)</w:t>
      </w:r>
      <w:r w:rsidRPr="00FF2655">
        <w:tab/>
        <w:t>aerosol equipment;</w:t>
      </w:r>
    </w:p>
    <w:p w:rsidR="003E2FCA" w:rsidRPr="00FF2655" w:rsidRDefault="003E2FCA" w:rsidP="003E2FCA">
      <w:pPr>
        <w:pStyle w:val="paragraph"/>
      </w:pPr>
      <w:r w:rsidRPr="00FF2655">
        <w:tab/>
        <w:t>(e)</w:t>
      </w:r>
      <w:r w:rsidRPr="00FF2655">
        <w:tab/>
        <w:t>equipment containing halon;</w:t>
      </w:r>
    </w:p>
    <w:p w:rsidR="003E2FCA" w:rsidRPr="00FF2655" w:rsidRDefault="003E2FCA" w:rsidP="003E2FCA">
      <w:pPr>
        <w:pStyle w:val="paragraph"/>
      </w:pPr>
      <w:r w:rsidRPr="00FF2655">
        <w:tab/>
        <w:t>(f)</w:t>
      </w:r>
      <w:r w:rsidRPr="00FF2655">
        <w:tab/>
        <w:t>rigid polyurethane foam equipment;</w:t>
      </w:r>
    </w:p>
    <w:p w:rsidR="003E2FCA" w:rsidRPr="00FF2655" w:rsidRDefault="003E2FCA" w:rsidP="003E2FCA">
      <w:pPr>
        <w:pStyle w:val="paragraph"/>
      </w:pPr>
      <w:r w:rsidRPr="00FF2655">
        <w:tab/>
        <w:t>(g)</w:t>
      </w:r>
      <w:r w:rsidRPr="00FF2655">
        <w:tab/>
        <w:t>moulded flexible polyurethane foam;</w:t>
      </w:r>
    </w:p>
    <w:p w:rsidR="003E2FCA" w:rsidRPr="00FF2655" w:rsidRDefault="003E2FCA" w:rsidP="003E2FCA">
      <w:pPr>
        <w:pStyle w:val="paragraph"/>
      </w:pPr>
      <w:r w:rsidRPr="00FF2655">
        <w:tab/>
        <w:t>(h)</w:t>
      </w:r>
      <w:r w:rsidRPr="00FF2655">
        <w:tab/>
        <w:t>disposable containers of CFCs;</w:t>
      </w:r>
    </w:p>
    <w:p w:rsidR="003E2FCA" w:rsidRPr="00FF2655" w:rsidRDefault="003E2FCA" w:rsidP="003E2FCA">
      <w:pPr>
        <w:pStyle w:val="paragraph"/>
      </w:pPr>
      <w:r w:rsidRPr="00FF2655">
        <w:tab/>
        <w:t>(i)</w:t>
      </w:r>
      <w:r w:rsidRPr="00FF2655">
        <w:tab/>
        <w:t>refrigeration and air</w:t>
      </w:r>
      <w:r w:rsidR="00FF2655">
        <w:noBreakHyphen/>
      </w:r>
      <w:r w:rsidRPr="00FF2655">
        <w:t>conditioning equipment containing CFCs;</w:t>
      </w:r>
    </w:p>
    <w:p w:rsidR="003E2FCA" w:rsidRPr="00FF2655" w:rsidRDefault="003E2FCA" w:rsidP="003E2FCA">
      <w:pPr>
        <w:pStyle w:val="paragraph"/>
      </w:pPr>
      <w:r w:rsidRPr="00FF2655">
        <w:tab/>
        <w:t>(j)</w:t>
      </w:r>
      <w:r w:rsidRPr="00FF2655">
        <w:tab/>
        <w:t>refrigeration and air</w:t>
      </w:r>
      <w:r w:rsidR="00FF2655">
        <w:noBreakHyphen/>
      </w:r>
      <w:r w:rsidRPr="00FF2655">
        <w:t>conditioning equipment containing HCFCs.</w:t>
      </w:r>
    </w:p>
    <w:p w:rsidR="00D839FF" w:rsidRPr="00FF2655" w:rsidRDefault="00D839FF" w:rsidP="00AA03C2">
      <w:pPr>
        <w:pStyle w:val="subsection"/>
      </w:pPr>
      <w:r w:rsidRPr="00FF2655">
        <w:tab/>
        <w:t>(7)</w:t>
      </w:r>
      <w:r w:rsidRPr="00FF2655">
        <w:tab/>
        <w:t>The report may also include the following information:</w:t>
      </w:r>
    </w:p>
    <w:p w:rsidR="00D839FF" w:rsidRPr="00FF2655" w:rsidRDefault="00D839FF" w:rsidP="00D839FF">
      <w:pPr>
        <w:pStyle w:val="paragraph"/>
      </w:pPr>
      <w:r w:rsidRPr="00FF2655">
        <w:tab/>
        <w:t>(a)</w:t>
      </w:r>
      <w:r w:rsidRPr="00FF2655">
        <w:tab/>
        <w:t>both:</w:t>
      </w:r>
    </w:p>
    <w:p w:rsidR="00AA03C2" w:rsidRPr="00FF2655" w:rsidRDefault="00D839FF" w:rsidP="00D839FF">
      <w:pPr>
        <w:pStyle w:val="paragraphsub"/>
      </w:pPr>
      <w:r w:rsidRPr="00FF2655">
        <w:tab/>
        <w:t>(i)</w:t>
      </w:r>
      <w:r w:rsidRPr="00FF2655">
        <w:tab/>
      </w:r>
      <w:r w:rsidR="00AA03C2" w:rsidRPr="00FF2655">
        <w:t xml:space="preserve">the kinds of SGGs that the person manufactured or imported </w:t>
      </w:r>
      <w:r w:rsidR="004E4A39" w:rsidRPr="00FF2655">
        <w:t xml:space="preserve">during the reporting period </w:t>
      </w:r>
      <w:r w:rsidR="00AA03C2" w:rsidRPr="00FF2655">
        <w:t xml:space="preserve">under </w:t>
      </w:r>
      <w:r w:rsidRPr="00FF2655">
        <w:t>a permit granted to the person under regulation</w:t>
      </w:r>
      <w:r w:rsidR="00FF2655" w:rsidRPr="00FF2655">
        <w:t> </w:t>
      </w:r>
      <w:r w:rsidRPr="00FF2655">
        <w:t>3A</w:t>
      </w:r>
      <w:r w:rsidR="00D0701C" w:rsidRPr="00FF2655">
        <w:t>;</w:t>
      </w:r>
      <w:r w:rsidRPr="00FF2655">
        <w:t xml:space="preserve"> and</w:t>
      </w:r>
    </w:p>
    <w:p w:rsidR="00AA03C2" w:rsidRPr="00FF2655" w:rsidRDefault="00D839FF" w:rsidP="00D839FF">
      <w:pPr>
        <w:pStyle w:val="paragraphsub"/>
      </w:pPr>
      <w:r w:rsidRPr="00FF2655">
        <w:tab/>
        <w:t>(ii)</w:t>
      </w:r>
      <w:r w:rsidRPr="00FF2655">
        <w:tab/>
      </w:r>
      <w:r w:rsidR="00AA03C2" w:rsidRPr="00FF2655">
        <w:t>for each of those kinds of SGGs—the total amount, in metric tonnes, of SGGs of that kind that the person manufactured or imported</w:t>
      </w:r>
      <w:r w:rsidR="004E4A39" w:rsidRPr="00FF2655">
        <w:t xml:space="preserve"> </w:t>
      </w:r>
      <w:r w:rsidR="00AA03C2" w:rsidRPr="00FF2655">
        <w:t>during the reporting period</w:t>
      </w:r>
      <w:r w:rsidR="004E4A39" w:rsidRPr="00FF2655">
        <w:t xml:space="preserve"> under the permit</w:t>
      </w:r>
      <w:r w:rsidRPr="00FF2655">
        <w:t>;</w:t>
      </w:r>
    </w:p>
    <w:p w:rsidR="00D839FF" w:rsidRPr="00FF2655" w:rsidRDefault="00D839FF" w:rsidP="00D839FF">
      <w:pPr>
        <w:pStyle w:val="paragraph"/>
      </w:pPr>
      <w:r w:rsidRPr="00FF2655">
        <w:tab/>
        <w:t>(b)</w:t>
      </w:r>
      <w:r w:rsidRPr="00FF2655">
        <w:tab/>
        <w:t>both:</w:t>
      </w:r>
    </w:p>
    <w:p w:rsidR="00D839FF" w:rsidRPr="00FF2655" w:rsidRDefault="00D839FF" w:rsidP="00D839FF">
      <w:pPr>
        <w:pStyle w:val="paragraphsub"/>
      </w:pPr>
      <w:r w:rsidRPr="00FF2655">
        <w:tab/>
        <w:t>(i)</w:t>
      </w:r>
      <w:r w:rsidRPr="00FF2655">
        <w:tab/>
        <w:t>the kinds of SGGs that the person manufactured or imported</w:t>
      </w:r>
      <w:r w:rsidR="004E4A39" w:rsidRPr="00FF2655">
        <w:t xml:space="preserve"> during the reporting period</w:t>
      </w:r>
      <w:r w:rsidRPr="00FF2655">
        <w:t xml:space="preserve"> in accordance with regulation</w:t>
      </w:r>
      <w:r w:rsidR="00FF2655" w:rsidRPr="00FF2655">
        <w:t> </w:t>
      </w:r>
      <w:r w:rsidRPr="00FF2655">
        <w:t>3AA; and</w:t>
      </w:r>
    </w:p>
    <w:p w:rsidR="00D839FF" w:rsidRPr="00FF2655" w:rsidRDefault="00D839FF" w:rsidP="00D839FF">
      <w:pPr>
        <w:pStyle w:val="paragraphsub"/>
      </w:pPr>
      <w:r w:rsidRPr="00FF2655">
        <w:tab/>
        <w:t>(ii)</w:t>
      </w:r>
      <w:r w:rsidRPr="00FF2655">
        <w:tab/>
        <w:t>for each of those kinds of SGGs—the total amount, in metric tonnes, of SGGs of that kind that the person manufactured or imported</w:t>
      </w:r>
      <w:r w:rsidR="004E4A39" w:rsidRPr="00FF2655">
        <w:t xml:space="preserve"> during the reporting period</w:t>
      </w:r>
      <w:r w:rsidRPr="00FF2655">
        <w:t xml:space="preserve"> </w:t>
      </w:r>
      <w:r w:rsidR="004E4A39" w:rsidRPr="00FF2655">
        <w:t xml:space="preserve">in accordance with that </w:t>
      </w:r>
      <w:r w:rsidRPr="00FF2655">
        <w:t>regulation.</w:t>
      </w:r>
    </w:p>
    <w:p w:rsidR="000279AA" w:rsidRPr="00FF2655" w:rsidRDefault="00206A09" w:rsidP="000279AA">
      <w:pPr>
        <w:pStyle w:val="ItemHead"/>
      </w:pPr>
      <w:r w:rsidRPr="00FF2655">
        <w:t>17</w:t>
      </w:r>
      <w:r w:rsidR="000279AA" w:rsidRPr="00FF2655">
        <w:t xml:space="preserve">  Regulations</w:t>
      </w:r>
      <w:r w:rsidR="00FF2655" w:rsidRPr="00FF2655">
        <w:t> </w:t>
      </w:r>
      <w:r w:rsidR="000279AA" w:rsidRPr="00FF2655">
        <w:t>900A to 902</w:t>
      </w:r>
    </w:p>
    <w:p w:rsidR="000279AA" w:rsidRPr="00FF2655" w:rsidRDefault="000279AA" w:rsidP="000279AA">
      <w:pPr>
        <w:pStyle w:val="Item"/>
      </w:pPr>
      <w:r w:rsidRPr="00FF2655">
        <w:t>Repeal the regulations</w:t>
      </w:r>
      <w:r w:rsidR="00740597" w:rsidRPr="00FF2655">
        <w:t>.</w:t>
      </w:r>
    </w:p>
    <w:p w:rsidR="006919A2" w:rsidRPr="00FF2655" w:rsidRDefault="00206A09" w:rsidP="006919A2">
      <w:pPr>
        <w:pStyle w:val="ItemHead"/>
      </w:pPr>
      <w:r w:rsidRPr="00FF2655">
        <w:t>18</w:t>
      </w:r>
      <w:r w:rsidR="006919A2" w:rsidRPr="00FF2655">
        <w:t xml:space="preserve">  </w:t>
      </w:r>
      <w:r w:rsidR="007B683C" w:rsidRPr="00FF2655">
        <w:t>After</w:t>
      </w:r>
      <w:r w:rsidR="006919A2" w:rsidRPr="00FF2655">
        <w:t xml:space="preserve"> regulation</w:t>
      </w:r>
      <w:r w:rsidR="00FF2655" w:rsidRPr="00FF2655">
        <w:t> </w:t>
      </w:r>
      <w:r w:rsidR="007B683C" w:rsidRPr="00FF2655">
        <w:t>916</w:t>
      </w:r>
    </w:p>
    <w:p w:rsidR="006919A2" w:rsidRPr="00FF2655" w:rsidRDefault="006919A2" w:rsidP="006919A2">
      <w:pPr>
        <w:pStyle w:val="Item"/>
      </w:pPr>
      <w:r w:rsidRPr="00FF2655">
        <w:t>Insert:</w:t>
      </w:r>
    </w:p>
    <w:p w:rsidR="006919A2" w:rsidRPr="00FF2655" w:rsidRDefault="006919A2" w:rsidP="006919A2">
      <w:pPr>
        <w:pStyle w:val="ActHead5"/>
      </w:pPr>
      <w:bookmarkStart w:id="79" w:name="_Toc487631753"/>
      <w:r w:rsidRPr="00FF2655">
        <w:rPr>
          <w:rStyle w:val="CharSectno"/>
        </w:rPr>
        <w:t>91</w:t>
      </w:r>
      <w:r w:rsidR="007B683C" w:rsidRPr="00FF2655">
        <w:rPr>
          <w:rStyle w:val="CharSectno"/>
        </w:rPr>
        <w:t>8</w:t>
      </w:r>
      <w:r w:rsidRPr="00FF2655">
        <w:t xml:space="preserve">  Licence levy threshold</w:t>
      </w:r>
      <w:bookmarkEnd w:id="79"/>
    </w:p>
    <w:p w:rsidR="006919A2" w:rsidRPr="00FF2655" w:rsidRDefault="006919A2" w:rsidP="006919A2">
      <w:pPr>
        <w:pStyle w:val="subsection"/>
      </w:pPr>
      <w:r w:rsidRPr="00FF2655">
        <w:tab/>
      </w:r>
      <w:r w:rsidRPr="00FF2655">
        <w:tab/>
        <w:t>For the purposes of subsection</w:t>
      </w:r>
      <w:r w:rsidR="00FF2655" w:rsidRPr="00FF2655">
        <w:t> </w:t>
      </w:r>
      <w:r w:rsidRPr="00FF2655">
        <w:t>69(3) of the Act, $330 is prescribed</w:t>
      </w:r>
      <w:r w:rsidR="00740597" w:rsidRPr="00FF2655">
        <w:t>.</w:t>
      </w:r>
    </w:p>
    <w:p w:rsidR="00A1702D" w:rsidRPr="00FF2655" w:rsidRDefault="00A1702D" w:rsidP="00A1702D">
      <w:pPr>
        <w:pStyle w:val="ActHead7"/>
        <w:pageBreakBefore/>
      </w:pPr>
      <w:bookmarkStart w:id="80" w:name="_Toc487631754"/>
      <w:r w:rsidRPr="00FF2655">
        <w:rPr>
          <w:rStyle w:val="CharAmPartNo"/>
        </w:rPr>
        <w:t>Part</w:t>
      </w:r>
      <w:r w:rsidR="00FF2655" w:rsidRPr="00FF2655">
        <w:rPr>
          <w:rStyle w:val="CharAmPartNo"/>
        </w:rPr>
        <w:t> </w:t>
      </w:r>
      <w:r w:rsidR="002B74E7" w:rsidRPr="00FF2655">
        <w:rPr>
          <w:rStyle w:val="CharAmPartNo"/>
        </w:rPr>
        <w:t>3</w:t>
      </w:r>
      <w:r w:rsidRPr="00FF2655">
        <w:t>—</w:t>
      </w:r>
      <w:r w:rsidRPr="00FF2655">
        <w:rPr>
          <w:rStyle w:val="CharAmPartText"/>
        </w:rPr>
        <w:t>Synthetic greenhouse gases</w:t>
      </w:r>
      <w:bookmarkEnd w:id="80"/>
    </w:p>
    <w:p w:rsidR="00A1702D" w:rsidRPr="00FF2655" w:rsidRDefault="00A1702D" w:rsidP="00A1702D">
      <w:pPr>
        <w:pStyle w:val="ActHead9"/>
      </w:pPr>
      <w:bookmarkStart w:id="81" w:name="_Toc487631755"/>
      <w:r w:rsidRPr="00FF2655">
        <w:t>Ozone Protection and Synthetic Greenhouse Gas Management Regulations</w:t>
      </w:r>
      <w:r w:rsidR="00FF2655" w:rsidRPr="00FF2655">
        <w:t> </w:t>
      </w:r>
      <w:r w:rsidRPr="00FF2655">
        <w:t>1995</w:t>
      </w:r>
      <w:bookmarkEnd w:id="81"/>
    </w:p>
    <w:p w:rsidR="00A1702D" w:rsidRPr="00FF2655" w:rsidRDefault="00206A09" w:rsidP="00A1702D">
      <w:pPr>
        <w:pStyle w:val="ItemHead"/>
      </w:pPr>
      <w:r w:rsidRPr="00FF2655">
        <w:t>19</w:t>
      </w:r>
      <w:r w:rsidR="00A1702D" w:rsidRPr="00FF2655">
        <w:t xml:space="preserve">  After paragraph</w:t>
      </w:r>
      <w:r w:rsidR="00FF2655" w:rsidRPr="00FF2655">
        <w:t> </w:t>
      </w:r>
      <w:r w:rsidR="00A1702D" w:rsidRPr="00FF2655">
        <w:t>3(6)(a)</w:t>
      </w:r>
    </w:p>
    <w:p w:rsidR="00A1702D" w:rsidRPr="00FF2655" w:rsidRDefault="00A1702D" w:rsidP="00A1702D">
      <w:pPr>
        <w:pStyle w:val="Item"/>
      </w:pPr>
      <w:r w:rsidRPr="00FF2655">
        <w:t>Insert:</w:t>
      </w:r>
    </w:p>
    <w:p w:rsidR="00A1702D" w:rsidRPr="00FF2655" w:rsidRDefault="00A1702D" w:rsidP="00A1702D">
      <w:pPr>
        <w:pStyle w:val="paragraph"/>
      </w:pPr>
      <w:r w:rsidRPr="00FF2655">
        <w:tab/>
        <w:t>(aa)</w:t>
      </w:r>
      <w:r w:rsidRPr="00FF2655">
        <w:tab/>
        <w:t>nitrogen trifluoride;</w:t>
      </w:r>
    </w:p>
    <w:p w:rsidR="006919A2" w:rsidRPr="00FF2655" w:rsidRDefault="006919A2" w:rsidP="006919A2">
      <w:pPr>
        <w:pStyle w:val="ActHead6"/>
        <w:pageBreakBefore/>
      </w:pPr>
      <w:bookmarkStart w:id="82" w:name="_Toc487631756"/>
      <w:bookmarkStart w:id="83" w:name="opcCurrentFind"/>
      <w:r w:rsidRPr="00FF2655">
        <w:rPr>
          <w:rStyle w:val="CharAmSchNo"/>
        </w:rPr>
        <w:t>Schedule</w:t>
      </w:r>
      <w:r w:rsidR="00FF2655" w:rsidRPr="00FF2655">
        <w:rPr>
          <w:rStyle w:val="CharAmSchNo"/>
        </w:rPr>
        <w:t> </w:t>
      </w:r>
      <w:r w:rsidRPr="00FF2655">
        <w:rPr>
          <w:rStyle w:val="CharAmSchNo"/>
        </w:rPr>
        <w:t>3</w:t>
      </w:r>
      <w:r w:rsidRPr="00FF2655">
        <w:t>—</w:t>
      </w:r>
      <w:r w:rsidRPr="00FF2655">
        <w:rPr>
          <w:rStyle w:val="CharAmSchText"/>
        </w:rPr>
        <w:t xml:space="preserve">Amendments commencing </w:t>
      </w:r>
      <w:r w:rsidR="002C4452" w:rsidRPr="00FF2655">
        <w:rPr>
          <w:rStyle w:val="CharAmSchText"/>
        </w:rPr>
        <w:t>1</w:t>
      </w:r>
      <w:r w:rsidR="00FF2655" w:rsidRPr="00FF2655">
        <w:rPr>
          <w:rStyle w:val="CharAmSchText"/>
        </w:rPr>
        <w:t> </w:t>
      </w:r>
      <w:r w:rsidR="002C4452" w:rsidRPr="00FF2655">
        <w:rPr>
          <w:rStyle w:val="CharAmSchText"/>
        </w:rPr>
        <w:t>January 2020</w:t>
      </w:r>
      <w:bookmarkEnd w:id="82"/>
    </w:p>
    <w:bookmarkEnd w:id="83"/>
    <w:p w:rsidR="006919A2" w:rsidRPr="00FF2655" w:rsidRDefault="006919A2" w:rsidP="006919A2">
      <w:pPr>
        <w:pStyle w:val="Header"/>
      </w:pPr>
      <w:r w:rsidRPr="00FF2655">
        <w:rPr>
          <w:rStyle w:val="CharAmPartNo"/>
        </w:rPr>
        <w:t xml:space="preserve"> </w:t>
      </w:r>
      <w:r w:rsidRPr="00FF2655">
        <w:rPr>
          <w:rStyle w:val="CharAmPartText"/>
        </w:rPr>
        <w:t xml:space="preserve"> </w:t>
      </w:r>
    </w:p>
    <w:p w:rsidR="006919A2" w:rsidRPr="00FF2655" w:rsidRDefault="006919A2" w:rsidP="006919A2">
      <w:pPr>
        <w:pStyle w:val="ActHead9"/>
      </w:pPr>
      <w:bookmarkStart w:id="84" w:name="_Toc487631757"/>
      <w:r w:rsidRPr="00FF2655">
        <w:t>Ozone Protection and Synthetic Greenhouse Gas Management Regulations</w:t>
      </w:r>
      <w:r w:rsidR="00FF2655" w:rsidRPr="00FF2655">
        <w:t> </w:t>
      </w:r>
      <w:r w:rsidRPr="00FF2655">
        <w:t>1995</w:t>
      </w:r>
      <w:bookmarkEnd w:id="84"/>
    </w:p>
    <w:p w:rsidR="006919A2" w:rsidRPr="00FF2655" w:rsidRDefault="00597E63" w:rsidP="006919A2">
      <w:pPr>
        <w:pStyle w:val="ItemHead"/>
      </w:pPr>
      <w:r w:rsidRPr="00FF2655">
        <w:t>1</w:t>
      </w:r>
      <w:r w:rsidR="006919A2" w:rsidRPr="00FF2655">
        <w:t xml:space="preserve">  Regulation</w:t>
      </w:r>
      <w:r w:rsidR="00FF2655" w:rsidRPr="00FF2655">
        <w:t> </w:t>
      </w:r>
      <w:r w:rsidR="006919A2" w:rsidRPr="00FF2655">
        <w:t>2</w:t>
      </w:r>
    </w:p>
    <w:p w:rsidR="006919A2" w:rsidRPr="00FF2655" w:rsidRDefault="006919A2" w:rsidP="006919A2">
      <w:pPr>
        <w:pStyle w:val="Item"/>
      </w:pPr>
      <w:r w:rsidRPr="00FF2655">
        <w:t>Insert:</w:t>
      </w:r>
    </w:p>
    <w:p w:rsidR="006919A2" w:rsidRPr="00FF2655" w:rsidRDefault="006919A2" w:rsidP="006919A2">
      <w:pPr>
        <w:pStyle w:val="Definition"/>
      </w:pPr>
      <w:r w:rsidRPr="00FF2655">
        <w:rPr>
          <w:b/>
          <w:i/>
        </w:rPr>
        <w:t>replacement part</w:t>
      </w:r>
      <w:r w:rsidRPr="00FF2655">
        <w:t xml:space="preserve"> does not include a complete, or substantially complete, indoor or outdoor unit of a split system air conditioning unit</w:t>
      </w:r>
      <w:r w:rsidR="00740597" w:rsidRPr="00FF2655">
        <w:t>.</w:t>
      </w:r>
    </w:p>
    <w:p w:rsidR="006919A2" w:rsidRPr="00FF2655" w:rsidRDefault="00597E63" w:rsidP="006919A2">
      <w:pPr>
        <w:pStyle w:val="ItemHead"/>
      </w:pPr>
      <w:r w:rsidRPr="00FF2655">
        <w:t>2</w:t>
      </w:r>
      <w:r w:rsidR="006919A2" w:rsidRPr="00FF2655">
        <w:t xml:space="preserve">  Subregulations</w:t>
      </w:r>
      <w:r w:rsidR="00FF2655" w:rsidRPr="00FF2655">
        <w:t> </w:t>
      </w:r>
      <w:r w:rsidR="00A1702D" w:rsidRPr="00FF2655">
        <w:t>3(5) and (8</w:t>
      </w:r>
      <w:r w:rsidR="006919A2" w:rsidRPr="00FF2655">
        <w:t>)</w:t>
      </w:r>
    </w:p>
    <w:p w:rsidR="006919A2" w:rsidRPr="00FF2655" w:rsidRDefault="006919A2" w:rsidP="006919A2">
      <w:pPr>
        <w:pStyle w:val="Item"/>
      </w:pPr>
      <w:r w:rsidRPr="00FF2655">
        <w:t>Repeal the subregulations</w:t>
      </w:r>
      <w:r w:rsidR="00740597" w:rsidRPr="00FF2655">
        <w:t>.</w:t>
      </w:r>
    </w:p>
    <w:p w:rsidR="006919A2" w:rsidRPr="00FF2655" w:rsidRDefault="00597E63" w:rsidP="006919A2">
      <w:pPr>
        <w:pStyle w:val="ItemHead"/>
      </w:pPr>
      <w:r w:rsidRPr="00FF2655">
        <w:t>3</w:t>
      </w:r>
      <w:r w:rsidR="006919A2" w:rsidRPr="00FF2655">
        <w:t xml:space="preserve">  At the end of regulation</w:t>
      </w:r>
      <w:r w:rsidR="00FF2655" w:rsidRPr="00FF2655">
        <w:t> </w:t>
      </w:r>
      <w:r w:rsidR="006919A2" w:rsidRPr="00FF2655">
        <w:t>3E</w:t>
      </w:r>
    </w:p>
    <w:p w:rsidR="006919A2" w:rsidRPr="00FF2655" w:rsidRDefault="006919A2" w:rsidP="006919A2">
      <w:pPr>
        <w:pStyle w:val="Item"/>
      </w:pPr>
      <w:r w:rsidRPr="00FF2655">
        <w:t>Add:</w:t>
      </w:r>
    </w:p>
    <w:p w:rsidR="006919A2" w:rsidRPr="00FF2655" w:rsidRDefault="006919A2" w:rsidP="006919A2">
      <w:pPr>
        <w:pStyle w:val="paragraph"/>
      </w:pPr>
      <w:r w:rsidRPr="00FF2655">
        <w:tab/>
        <w:t>; (c)</w:t>
      </w:r>
      <w:r w:rsidRPr="00FF2655">
        <w:tab/>
        <w:t>importing replacement parts for existing HCFC refrigeration or air conditioning equipment;</w:t>
      </w:r>
    </w:p>
    <w:p w:rsidR="006919A2" w:rsidRPr="00FF2655" w:rsidRDefault="006919A2" w:rsidP="006919A2">
      <w:pPr>
        <w:pStyle w:val="paragraph"/>
      </w:pPr>
      <w:r w:rsidRPr="00FF2655">
        <w:tab/>
        <w:t>(d)</w:t>
      </w:r>
      <w:r w:rsidRPr="00FF2655">
        <w:tab/>
        <w:t>importing equipment insulated with foam manufactured with HCFC;</w:t>
      </w:r>
    </w:p>
    <w:p w:rsidR="006919A2" w:rsidRPr="00FF2655" w:rsidRDefault="006919A2" w:rsidP="006919A2">
      <w:pPr>
        <w:pStyle w:val="paragraph"/>
      </w:pPr>
      <w:r w:rsidRPr="00FF2655">
        <w:tab/>
        <w:t>(e)</w:t>
      </w:r>
      <w:r w:rsidRPr="00FF2655">
        <w:tab/>
        <w:t>importing equipment for which the Minister considers it would be impracticable:</w:t>
      </w:r>
    </w:p>
    <w:p w:rsidR="006919A2" w:rsidRPr="00FF2655" w:rsidRDefault="006919A2" w:rsidP="006919A2">
      <w:pPr>
        <w:pStyle w:val="paragraphsub"/>
      </w:pPr>
      <w:r w:rsidRPr="00FF2655">
        <w:tab/>
        <w:t>(i)</w:t>
      </w:r>
      <w:r w:rsidRPr="00FF2655">
        <w:tab/>
        <w:t>for the importer or licence holder to comply with the ban in paragraph</w:t>
      </w:r>
      <w:r w:rsidR="00FF2655" w:rsidRPr="00FF2655">
        <w:t> </w:t>
      </w:r>
      <w:r w:rsidRPr="00FF2655">
        <w:t>13(1)(c) of the Act; and</w:t>
      </w:r>
    </w:p>
    <w:p w:rsidR="006919A2" w:rsidRPr="00FF2655" w:rsidRDefault="006919A2" w:rsidP="006919A2">
      <w:pPr>
        <w:pStyle w:val="paragraphsub"/>
      </w:pPr>
      <w:r w:rsidRPr="00FF2655">
        <w:tab/>
        <w:t>(ii)</w:t>
      </w:r>
      <w:r w:rsidRPr="00FF2655">
        <w:tab/>
        <w:t>to remove or retrofit the equipment because it is incidental to the main import</w:t>
      </w:r>
      <w:r w:rsidR="00740597" w:rsidRPr="00FF2655">
        <w:t>.</w:t>
      </w:r>
    </w:p>
    <w:p w:rsidR="006919A2" w:rsidRPr="00FF2655" w:rsidRDefault="006919A2" w:rsidP="006919A2">
      <w:pPr>
        <w:pStyle w:val="notetext"/>
      </w:pPr>
      <w:r w:rsidRPr="00FF2655">
        <w:t>Example:</w:t>
      </w:r>
      <w:r w:rsidRPr="00FF2655">
        <w:tab/>
        <w:t xml:space="preserve">For </w:t>
      </w:r>
      <w:r w:rsidR="00FF2655" w:rsidRPr="00FF2655">
        <w:t>subparagraph (</w:t>
      </w:r>
      <w:r w:rsidRPr="00FF2655">
        <w:t>e)(ii), air conditioning equipment incorporated into a large boat or drilling rig</w:t>
      </w:r>
      <w:r w:rsidR="00740597" w:rsidRPr="00FF2655">
        <w:t>.</w:t>
      </w:r>
    </w:p>
    <w:p w:rsidR="006919A2" w:rsidRPr="00FF2655" w:rsidRDefault="00597E63" w:rsidP="006919A2">
      <w:pPr>
        <w:pStyle w:val="ItemHead"/>
      </w:pPr>
      <w:r w:rsidRPr="00FF2655">
        <w:t>4</w:t>
      </w:r>
      <w:r w:rsidR="006919A2" w:rsidRPr="00FF2655">
        <w:t xml:space="preserve">  Part</w:t>
      </w:r>
      <w:r w:rsidR="00FF2655" w:rsidRPr="00FF2655">
        <w:t> </w:t>
      </w:r>
      <w:r w:rsidR="006919A2" w:rsidRPr="00FF2655">
        <w:t>5</w:t>
      </w:r>
    </w:p>
    <w:p w:rsidR="006919A2" w:rsidRPr="00FF2655" w:rsidRDefault="006919A2" w:rsidP="006919A2">
      <w:pPr>
        <w:pStyle w:val="Item"/>
      </w:pPr>
      <w:r w:rsidRPr="00FF2655">
        <w:t>Repeal the Part</w:t>
      </w:r>
      <w:r w:rsidR="00740597" w:rsidRPr="00FF2655">
        <w:t>.</w:t>
      </w:r>
    </w:p>
    <w:p w:rsidR="00382DC9" w:rsidRPr="00FF2655" w:rsidRDefault="00382DC9" w:rsidP="00382DC9">
      <w:pPr>
        <w:pStyle w:val="ItemHead"/>
      </w:pPr>
      <w:r w:rsidRPr="00FF2655">
        <w:t>5  Subregulation</w:t>
      </w:r>
      <w:r w:rsidR="00FF2655" w:rsidRPr="00FF2655">
        <w:t> </w:t>
      </w:r>
      <w:r w:rsidRPr="00FF2655">
        <w:t>900(3) (</w:t>
      </w:r>
      <w:r w:rsidR="0033267E" w:rsidRPr="00FF2655">
        <w:t>table item</w:t>
      </w:r>
      <w:r w:rsidR="00FF2655" w:rsidRPr="00FF2655">
        <w:t> </w:t>
      </w:r>
      <w:r w:rsidR="0033267E" w:rsidRPr="00FF2655">
        <w:t>2, columns 1 and 2</w:t>
      </w:r>
      <w:r w:rsidRPr="00FF2655">
        <w:t>)</w:t>
      </w:r>
    </w:p>
    <w:p w:rsidR="004B3A94" w:rsidRPr="00FF2655" w:rsidRDefault="00382DC9" w:rsidP="004B3A94">
      <w:pPr>
        <w:pStyle w:val="Item"/>
      </w:pPr>
      <w:r w:rsidRPr="00FF2655">
        <w:t xml:space="preserve">Omit </w:t>
      </w:r>
      <w:r w:rsidR="006360F9" w:rsidRPr="00FF2655">
        <w:t>“</w:t>
      </w:r>
      <w:r w:rsidRPr="00FF2655">
        <w:t>ODS equipment or</w:t>
      </w:r>
      <w:r w:rsidR="006360F9" w:rsidRPr="00FF2655">
        <w:t>”</w:t>
      </w:r>
      <w:r w:rsidR="00740597" w:rsidRPr="00FF2655">
        <w:t>.</w:t>
      </w:r>
    </w:p>
    <w:p w:rsidR="0033267E" w:rsidRPr="00FF2655" w:rsidRDefault="00206A09" w:rsidP="0033267E">
      <w:pPr>
        <w:pStyle w:val="ItemHead"/>
      </w:pPr>
      <w:r w:rsidRPr="00FF2655">
        <w:t>6</w:t>
      </w:r>
      <w:r w:rsidR="0033267E" w:rsidRPr="00FF2655">
        <w:t xml:space="preserve">  Subregulation</w:t>
      </w:r>
      <w:r w:rsidR="00FF2655" w:rsidRPr="00FF2655">
        <w:t> </w:t>
      </w:r>
      <w:r w:rsidR="0033267E" w:rsidRPr="00FF2655">
        <w:t>900(3) (table item</w:t>
      </w:r>
      <w:r w:rsidR="00FF2655" w:rsidRPr="00FF2655">
        <w:t> </w:t>
      </w:r>
      <w:r w:rsidR="0033267E" w:rsidRPr="00FF2655">
        <w:t xml:space="preserve">2, </w:t>
      </w:r>
      <w:r w:rsidR="00FF2655" w:rsidRPr="00FF2655">
        <w:t>subparagraph (</w:t>
      </w:r>
      <w:r w:rsidR="0033267E" w:rsidRPr="00FF2655">
        <w:t>c)(</w:t>
      </w:r>
      <w:r w:rsidR="008E2A56" w:rsidRPr="00FF2655">
        <w:t>i</w:t>
      </w:r>
      <w:r w:rsidR="0033267E" w:rsidRPr="00FF2655">
        <w:t>) of column 2)</w:t>
      </w:r>
    </w:p>
    <w:p w:rsidR="0033267E" w:rsidRPr="00FF2655" w:rsidRDefault="0033267E" w:rsidP="0033267E">
      <w:pPr>
        <w:pStyle w:val="Item"/>
      </w:pPr>
      <w:r w:rsidRPr="00FF2655">
        <w:t>Repeal the subparagraph</w:t>
      </w:r>
      <w:r w:rsidR="00740597" w:rsidRPr="00FF2655">
        <w:t>.</w:t>
      </w:r>
    </w:p>
    <w:p w:rsidR="00FF6175" w:rsidRPr="00FF2655" w:rsidRDefault="00206A09" w:rsidP="00FF6175">
      <w:pPr>
        <w:pStyle w:val="ItemHead"/>
      </w:pPr>
      <w:r w:rsidRPr="00FF2655">
        <w:t>7</w:t>
      </w:r>
      <w:r w:rsidR="00FF6175" w:rsidRPr="00FF2655">
        <w:t xml:space="preserve">  Subregulation</w:t>
      </w:r>
      <w:r w:rsidR="00FF2655" w:rsidRPr="00FF2655">
        <w:t> </w:t>
      </w:r>
      <w:r w:rsidR="00395BDF" w:rsidRPr="00FF2655">
        <w:t>900(5</w:t>
      </w:r>
      <w:r w:rsidR="00FF6175" w:rsidRPr="00FF2655">
        <w:t>)</w:t>
      </w:r>
    </w:p>
    <w:p w:rsidR="003E2FCA" w:rsidRPr="00FF2655" w:rsidRDefault="00FF6175" w:rsidP="003E2FCA">
      <w:pPr>
        <w:pStyle w:val="Item"/>
      </w:pPr>
      <w:r w:rsidRPr="00FF2655">
        <w:t xml:space="preserve">Omit </w:t>
      </w:r>
      <w:r w:rsidR="006360F9" w:rsidRPr="00FF2655">
        <w:t>“</w:t>
      </w:r>
      <w:r w:rsidRPr="00FF2655">
        <w:t>ODS equipment or</w:t>
      </w:r>
      <w:r w:rsidR="006360F9" w:rsidRPr="00FF2655">
        <w:t>”</w:t>
      </w:r>
      <w:r w:rsidRPr="00FF2655">
        <w:t xml:space="preserve"> (wherever occurring)</w:t>
      </w:r>
      <w:r w:rsidR="00740597" w:rsidRPr="00FF2655">
        <w:t>.</w:t>
      </w:r>
    </w:p>
    <w:sectPr w:rsidR="003E2FCA" w:rsidRPr="00FF2655" w:rsidSect="00655ACD">
      <w:headerReference w:type="even" r:id="rId31"/>
      <w:headerReference w:type="default" r:id="rId32"/>
      <w:footerReference w:type="even" r:id="rId33"/>
      <w:footerReference w:type="default" r:id="rId34"/>
      <w:headerReference w:type="first" r:id="rId35"/>
      <w:footerReference w:type="first" r:id="rId3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FA" w:rsidRDefault="003357FA" w:rsidP="0048364F">
      <w:pPr>
        <w:spacing w:line="240" w:lineRule="auto"/>
      </w:pPr>
      <w:r>
        <w:separator/>
      </w:r>
    </w:p>
  </w:endnote>
  <w:endnote w:type="continuationSeparator" w:id="0">
    <w:p w:rsidR="003357FA" w:rsidRDefault="003357F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655ACD" w:rsidRDefault="00655ACD" w:rsidP="00655ACD">
    <w:pPr>
      <w:pStyle w:val="Footer"/>
      <w:tabs>
        <w:tab w:val="clear" w:pos="4153"/>
        <w:tab w:val="clear" w:pos="8306"/>
        <w:tab w:val="center" w:pos="4150"/>
        <w:tab w:val="right" w:pos="8307"/>
      </w:tabs>
      <w:spacing w:before="120"/>
      <w:rPr>
        <w:i/>
        <w:sz w:val="18"/>
      </w:rPr>
    </w:pPr>
    <w:r w:rsidRPr="00655ACD">
      <w:rPr>
        <w:i/>
        <w:sz w:val="18"/>
      </w:rPr>
      <w:t>OPC62319 -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D" w:rsidRPr="00655ACD" w:rsidRDefault="00655ACD" w:rsidP="00655ACD">
    <w:pPr>
      <w:pStyle w:val="Footer"/>
      <w:rPr>
        <w:i/>
        <w:sz w:val="18"/>
      </w:rPr>
    </w:pPr>
    <w:r w:rsidRPr="00655ACD">
      <w:rPr>
        <w:i/>
        <w:sz w:val="18"/>
      </w:rPr>
      <w:t>OPC62319 -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Default="003357FA" w:rsidP="00486382">
    <w:pPr>
      <w:pStyle w:val="Footer"/>
    </w:pPr>
  </w:p>
  <w:p w:rsidR="003357FA" w:rsidRPr="00655ACD" w:rsidRDefault="00655ACD" w:rsidP="00655ACD">
    <w:pPr>
      <w:pStyle w:val="Footer"/>
      <w:rPr>
        <w:i/>
        <w:sz w:val="18"/>
      </w:rPr>
    </w:pPr>
    <w:r w:rsidRPr="00655ACD">
      <w:rPr>
        <w:i/>
        <w:sz w:val="18"/>
      </w:rPr>
      <w:t>OPC62319 -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33C1C" w:rsidRDefault="003357FA"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3357FA" w:rsidTr="006919A2">
      <w:tc>
        <w:tcPr>
          <w:tcW w:w="365" w:type="pct"/>
          <w:tcBorders>
            <w:top w:val="nil"/>
            <w:left w:val="nil"/>
            <w:bottom w:val="nil"/>
            <w:right w:val="nil"/>
          </w:tcBorders>
        </w:tcPr>
        <w:p w:rsidR="003357FA" w:rsidRDefault="003357FA"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7DEE">
            <w:rPr>
              <w:i/>
              <w:noProof/>
              <w:sz w:val="18"/>
            </w:rPr>
            <w:t>xxix</w:t>
          </w:r>
          <w:r w:rsidRPr="00ED79B6">
            <w:rPr>
              <w:i/>
              <w:sz w:val="18"/>
            </w:rPr>
            <w:fldChar w:fldCharType="end"/>
          </w:r>
        </w:p>
      </w:tc>
      <w:tc>
        <w:tcPr>
          <w:tcW w:w="3688" w:type="pct"/>
          <w:tcBorders>
            <w:top w:val="nil"/>
            <w:left w:val="nil"/>
            <w:bottom w:val="nil"/>
            <w:right w:val="nil"/>
          </w:tcBorders>
        </w:tcPr>
        <w:p w:rsidR="003357FA" w:rsidRDefault="003357F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9E4">
            <w:rPr>
              <w:i/>
              <w:sz w:val="18"/>
            </w:rPr>
            <w:t>Ozone Protection and Synthetic Greenhouse Gas Management Legislation Amendment (2017 Measures No. 1) Regulations 2017</w:t>
          </w:r>
          <w:r w:rsidRPr="007A1328">
            <w:rPr>
              <w:i/>
              <w:sz w:val="18"/>
            </w:rPr>
            <w:fldChar w:fldCharType="end"/>
          </w:r>
        </w:p>
      </w:tc>
      <w:tc>
        <w:tcPr>
          <w:tcW w:w="947" w:type="pct"/>
          <w:tcBorders>
            <w:top w:val="nil"/>
            <w:left w:val="nil"/>
            <w:bottom w:val="nil"/>
            <w:right w:val="nil"/>
          </w:tcBorders>
        </w:tcPr>
        <w:p w:rsidR="003357FA" w:rsidRDefault="003357FA" w:rsidP="00E33C1C">
          <w:pPr>
            <w:spacing w:line="0" w:lineRule="atLeast"/>
            <w:jc w:val="right"/>
            <w:rPr>
              <w:sz w:val="18"/>
            </w:rPr>
          </w:pPr>
        </w:p>
      </w:tc>
    </w:tr>
  </w:tbl>
  <w:p w:rsidR="003357FA" w:rsidRPr="00655ACD" w:rsidRDefault="00655ACD" w:rsidP="00655ACD">
    <w:pPr>
      <w:rPr>
        <w:rFonts w:cs="Times New Roman"/>
        <w:i/>
        <w:sz w:val="18"/>
      </w:rPr>
    </w:pPr>
    <w:r w:rsidRPr="00655ACD">
      <w:rPr>
        <w:rFonts w:cs="Times New Roman"/>
        <w:i/>
        <w:sz w:val="18"/>
      </w:rPr>
      <w:t>OPC62319 -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33C1C" w:rsidRDefault="003357F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357FA" w:rsidTr="006919A2">
      <w:tc>
        <w:tcPr>
          <w:tcW w:w="947" w:type="pct"/>
          <w:tcBorders>
            <w:top w:val="nil"/>
            <w:left w:val="nil"/>
            <w:bottom w:val="nil"/>
            <w:right w:val="nil"/>
          </w:tcBorders>
        </w:tcPr>
        <w:p w:rsidR="003357FA" w:rsidRDefault="003357FA" w:rsidP="00E33C1C">
          <w:pPr>
            <w:spacing w:line="0" w:lineRule="atLeast"/>
            <w:rPr>
              <w:sz w:val="18"/>
            </w:rPr>
          </w:pPr>
        </w:p>
      </w:tc>
      <w:tc>
        <w:tcPr>
          <w:tcW w:w="3688" w:type="pct"/>
          <w:tcBorders>
            <w:top w:val="nil"/>
            <w:left w:val="nil"/>
            <w:bottom w:val="nil"/>
            <w:right w:val="nil"/>
          </w:tcBorders>
        </w:tcPr>
        <w:p w:rsidR="003357FA" w:rsidRDefault="003357F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9E4">
            <w:rPr>
              <w:i/>
              <w:sz w:val="18"/>
            </w:rPr>
            <w:t>Ozone Protection and Synthetic Greenhouse Gas Management Legislation Amendment (2017 Measures No. 1) Regulations 2017</w:t>
          </w:r>
          <w:r w:rsidRPr="007A1328">
            <w:rPr>
              <w:i/>
              <w:sz w:val="18"/>
            </w:rPr>
            <w:fldChar w:fldCharType="end"/>
          </w:r>
        </w:p>
      </w:tc>
      <w:tc>
        <w:tcPr>
          <w:tcW w:w="365" w:type="pct"/>
          <w:tcBorders>
            <w:top w:val="nil"/>
            <w:left w:val="nil"/>
            <w:bottom w:val="nil"/>
            <w:right w:val="nil"/>
          </w:tcBorders>
        </w:tcPr>
        <w:p w:rsidR="003357FA" w:rsidRDefault="003357F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49D6">
            <w:rPr>
              <w:i/>
              <w:noProof/>
              <w:sz w:val="18"/>
            </w:rPr>
            <w:t>i</w:t>
          </w:r>
          <w:r w:rsidRPr="00ED79B6">
            <w:rPr>
              <w:i/>
              <w:sz w:val="18"/>
            </w:rPr>
            <w:fldChar w:fldCharType="end"/>
          </w:r>
        </w:p>
      </w:tc>
    </w:tr>
  </w:tbl>
  <w:p w:rsidR="003357FA" w:rsidRPr="00655ACD" w:rsidRDefault="00655ACD" w:rsidP="00655ACD">
    <w:pPr>
      <w:rPr>
        <w:rFonts w:cs="Times New Roman"/>
        <w:i/>
        <w:sz w:val="18"/>
      </w:rPr>
    </w:pPr>
    <w:r w:rsidRPr="00655ACD">
      <w:rPr>
        <w:rFonts w:cs="Times New Roman"/>
        <w:i/>
        <w:sz w:val="18"/>
      </w:rPr>
      <w:t>OPC62319 -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33C1C" w:rsidRDefault="003357F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3357FA" w:rsidTr="006919A2">
      <w:tc>
        <w:tcPr>
          <w:tcW w:w="365" w:type="pct"/>
          <w:tcBorders>
            <w:top w:val="nil"/>
            <w:left w:val="nil"/>
            <w:bottom w:val="nil"/>
            <w:right w:val="nil"/>
          </w:tcBorders>
        </w:tcPr>
        <w:p w:rsidR="003357FA" w:rsidRDefault="003357FA"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49D6">
            <w:rPr>
              <w:i/>
              <w:noProof/>
              <w:sz w:val="18"/>
            </w:rPr>
            <w:t>2</w:t>
          </w:r>
          <w:r w:rsidRPr="00ED79B6">
            <w:rPr>
              <w:i/>
              <w:sz w:val="18"/>
            </w:rPr>
            <w:fldChar w:fldCharType="end"/>
          </w:r>
        </w:p>
      </w:tc>
      <w:tc>
        <w:tcPr>
          <w:tcW w:w="3688" w:type="pct"/>
          <w:tcBorders>
            <w:top w:val="nil"/>
            <w:left w:val="nil"/>
            <w:bottom w:val="nil"/>
            <w:right w:val="nil"/>
          </w:tcBorders>
        </w:tcPr>
        <w:p w:rsidR="003357FA" w:rsidRDefault="003357F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9E4">
            <w:rPr>
              <w:i/>
              <w:sz w:val="18"/>
            </w:rPr>
            <w:t>Ozone Protection and Synthetic Greenhouse Gas Management Legislation Amendment (2017 Measures No. 1) Regulations 2017</w:t>
          </w:r>
          <w:r w:rsidRPr="007A1328">
            <w:rPr>
              <w:i/>
              <w:sz w:val="18"/>
            </w:rPr>
            <w:fldChar w:fldCharType="end"/>
          </w:r>
        </w:p>
      </w:tc>
      <w:tc>
        <w:tcPr>
          <w:tcW w:w="947" w:type="pct"/>
          <w:tcBorders>
            <w:top w:val="nil"/>
            <w:left w:val="nil"/>
            <w:bottom w:val="nil"/>
            <w:right w:val="nil"/>
          </w:tcBorders>
        </w:tcPr>
        <w:p w:rsidR="003357FA" w:rsidRDefault="003357FA" w:rsidP="00E33C1C">
          <w:pPr>
            <w:spacing w:line="0" w:lineRule="atLeast"/>
            <w:jc w:val="right"/>
            <w:rPr>
              <w:sz w:val="18"/>
            </w:rPr>
          </w:pPr>
        </w:p>
      </w:tc>
    </w:tr>
  </w:tbl>
  <w:p w:rsidR="003357FA" w:rsidRPr="00655ACD" w:rsidRDefault="00655ACD" w:rsidP="00655ACD">
    <w:pPr>
      <w:rPr>
        <w:rFonts w:cs="Times New Roman"/>
        <w:i/>
        <w:sz w:val="18"/>
      </w:rPr>
    </w:pPr>
    <w:r w:rsidRPr="00655ACD">
      <w:rPr>
        <w:rFonts w:cs="Times New Roman"/>
        <w:i/>
        <w:sz w:val="18"/>
      </w:rPr>
      <w:t>OPC62319 -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33C1C" w:rsidRDefault="003357F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357FA" w:rsidTr="006919A2">
      <w:tc>
        <w:tcPr>
          <w:tcW w:w="947" w:type="pct"/>
          <w:tcBorders>
            <w:top w:val="nil"/>
            <w:left w:val="nil"/>
            <w:bottom w:val="nil"/>
            <w:right w:val="nil"/>
          </w:tcBorders>
        </w:tcPr>
        <w:p w:rsidR="003357FA" w:rsidRDefault="003357FA" w:rsidP="00E33C1C">
          <w:pPr>
            <w:spacing w:line="0" w:lineRule="atLeast"/>
            <w:rPr>
              <w:sz w:val="18"/>
            </w:rPr>
          </w:pPr>
        </w:p>
      </w:tc>
      <w:tc>
        <w:tcPr>
          <w:tcW w:w="3688" w:type="pct"/>
          <w:tcBorders>
            <w:top w:val="nil"/>
            <w:left w:val="nil"/>
            <w:bottom w:val="nil"/>
            <w:right w:val="nil"/>
          </w:tcBorders>
        </w:tcPr>
        <w:p w:rsidR="003357FA" w:rsidRDefault="003357F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9E4">
            <w:rPr>
              <w:i/>
              <w:sz w:val="18"/>
            </w:rPr>
            <w:t>Ozone Protection and Synthetic Greenhouse Gas Management Legislation Amendment (2017 Measures No. 1) Regulations 2017</w:t>
          </w:r>
          <w:r w:rsidRPr="007A1328">
            <w:rPr>
              <w:i/>
              <w:sz w:val="18"/>
            </w:rPr>
            <w:fldChar w:fldCharType="end"/>
          </w:r>
        </w:p>
      </w:tc>
      <w:tc>
        <w:tcPr>
          <w:tcW w:w="365" w:type="pct"/>
          <w:tcBorders>
            <w:top w:val="nil"/>
            <w:left w:val="nil"/>
            <w:bottom w:val="nil"/>
            <w:right w:val="nil"/>
          </w:tcBorders>
        </w:tcPr>
        <w:p w:rsidR="003357FA" w:rsidRDefault="003357F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49D6">
            <w:rPr>
              <w:i/>
              <w:noProof/>
              <w:sz w:val="18"/>
            </w:rPr>
            <w:t>1</w:t>
          </w:r>
          <w:r w:rsidRPr="00ED79B6">
            <w:rPr>
              <w:i/>
              <w:sz w:val="18"/>
            </w:rPr>
            <w:fldChar w:fldCharType="end"/>
          </w:r>
        </w:p>
      </w:tc>
    </w:tr>
  </w:tbl>
  <w:p w:rsidR="003357FA" w:rsidRPr="00655ACD" w:rsidRDefault="00655ACD" w:rsidP="00655ACD">
    <w:pPr>
      <w:rPr>
        <w:rFonts w:cs="Times New Roman"/>
        <w:i/>
        <w:sz w:val="18"/>
      </w:rPr>
    </w:pPr>
    <w:r w:rsidRPr="00655ACD">
      <w:rPr>
        <w:rFonts w:cs="Times New Roman"/>
        <w:i/>
        <w:sz w:val="18"/>
      </w:rPr>
      <w:t>OPC62319 -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33C1C" w:rsidRDefault="003357FA"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357FA" w:rsidTr="006919A2">
      <w:tc>
        <w:tcPr>
          <w:tcW w:w="947" w:type="pct"/>
          <w:tcBorders>
            <w:top w:val="nil"/>
            <w:left w:val="nil"/>
            <w:bottom w:val="nil"/>
            <w:right w:val="nil"/>
          </w:tcBorders>
        </w:tcPr>
        <w:p w:rsidR="003357FA" w:rsidRDefault="003357FA" w:rsidP="006E45B5">
          <w:pPr>
            <w:spacing w:line="0" w:lineRule="atLeast"/>
            <w:rPr>
              <w:sz w:val="18"/>
            </w:rPr>
          </w:pPr>
        </w:p>
      </w:tc>
      <w:tc>
        <w:tcPr>
          <w:tcW w:w="3688" w:type="pct"/>
          <w:tcBorders>
            <w:top w:val="nil"/>
            <w:left w:val="nil"/>
            <w:bottom w:val="nil"/>
            <w:right w:val="nil"/>
          </w:tcBorders>
        </w:tcPr>
        <w:p w:rsidR="003357FA" w:rsidRDefault="003357FA" w:rsidP="006E45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9E4">
            <w:rPr>
              <w:i/>
              <w:sz w:val="18"/>
            </w:rPr>
            <w:t>Ozone Protection and Synthetic Greenhouse Gas Management Legislation Amendment (2017 Measures No. 1) Regulations 2017</w:t>
          </w:r>
          <w:r w:rsidRPr="007A1328">
            <w:rPr>
              <w:i/>
              <w:sz w:val="18"/>
            </w:rPr>
            <w:fldChar w:fldCharType="end"/>
          </w:r>
        </w:p>
      </w:tc>
      <w:tc>
        <w:tcPr>
          <w:tcW w:w="365" w:type="pct"/>
          <w:tcBorders>
            <w:top w:val="nil"/>
            <w:left w:val="nil"/>
            <w:bottom w:val="nil"/>
            <w:right w:val="nil"/>
          </w:tcBorders>
        </w:tcPr>
        <w:p w:rsidR="003357FA" w:rsidRDefault="003357FA" w:rsidP="006E45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7DEE">
            <w:rPr>
              <w:i/>
              <w:noProof/>
              <w:sz w:val="18"/>
            </w:rPr>
            <w:t>29</w:t>
          </w:r>
          <w:r w:rsidRPr="00ED79B6">
            <w:rPr>
              <w:i/>
              <w:sz w:val="18"/>
            </w:rPr>
            <w:fldChar w:fldCharType="end"/>
          </w:r>
        </w:p>
      </w:tc>
    </w:tr>
  </w:tbl>
  <w:p w:rsidR="003357FA" w:rsidRPr="00655ACD" w:rsidRDefault="00655ACD" w:rsidP="00655ACD">
    <w:pPr>
      <w:rPr>
        <w:rFonts w:cs="Times New Roman"/>
        <w:i/>
        <w:sz w:val="18"/>
      </w:rPr>
    </w:pPr>
    <w:r w:rsidRPr="00655ACD">
      <w:rPr>
        <w:rFonts w:cs="Times New Roman"/>
        <w:i/>
        <w:sz w:val="18"/>
      </w:rPr>
      <w:t>OPC62319 -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FA" w:rsidRDefault="003357FA" w:rsidP="0048364F">
      <w:pPr>
        <w:spacing w:line="240" w:lineRule="auto"/>
      </w:pPr>
      <w:r>
        <w:separator/>
      </w:r>
    </w:p>
  </w:footnote>
  <w:footnote w:type="continuationSeparator" w:id="0">
    <w:p w:rsidR="003357FA" w:rsidRDefault="003357F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5F1388" w:rsidRDefault="003357FA"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5F1388" w:rsidRDefault="003357FA"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5F1388" w:rsidRDefault="003357F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D79B6" w:rsidRDefault="003357FA"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D79B6" w:rsidRDefault="003357FA"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ED79B6" w:rsidRDefault="003357F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A961C4" w:rsidRDefault="003357FA" w:rsidP="00B63BDE">
    <w:pPr>
      <w:rPr>
        <w:b/>
        <w:sz w:val="20"/>
      </w:rPr>
    </w:pPr>
    <w:r>
      <w:rPr>
        <w:b/>
        <w:sz w:val="20"/>
      </w:rPr>
      <w:fldChar w:fldCharType="begin"/>
    </w:r>
    <w:r>
      <w:rPr>
        <w:b/>
        <w:sz w:val="20"/>
      </w:rPr>
      <w:instrText xml:space="preserve"> STYLEREF CharAmSchNo </w:instrText>
    </w:r>
    <w:r>
      <w:rPr>
        <w:b/>
        <w:sz w:val="20"/>
      </w:rPr>
      <w:fldChar w:fldCharType="separate"/>
    </w:r>
    <w:r w:rsidR="003949D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3949D6">
      <w:rPr>
        <w:noProof/>
        <w:sz w:val="20"/>
      </w:rPr>
      <w:t>Amendments commencing 1 August 2017</w:t>
    </w:r>
    <w:r>
      <w:rPr>
        <w:sz w:val="20"/>
      </w:rPr>
      <w:fldChar w:fldCharType="end"/>
    </w:r>
  </w:p>
  <w:p w:rsidR="003357FA" w:rsidRPr="00A961C4" w:rsidRDefault="003357FA" w:rsidP="00B63BDE">
    <w:pPr>
      <w:rPr>
        <w:b/>
        <w:sz w:val="20"/>
      </w:rPr>
    </w:pPr>
    <w:r>
      <w:rPr>
        <w:b/>
        <w:sz w:val="20"/>
      </w:rPr>
      <w:fldChar w:fldCharType="begin"/>
    </w:r>
    <w:r>
      <w:rPr>
        <w:b/>
        <w:sz w:val="20"/>
      </w:rPr>
      <w:instrText xml:space="preserve"> STYLEREF CharAmPartNo </w:instrText>
    </w:r>
    <w:r>
      <w:rPr>
        <w:b/>
        <w:sz w:val="20"/>
      </w:rPr>
      <w:fldChar w:fldCharType="separate"/>
    </w:r>
    <w:r w:rsidR="003949D6">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3949D6">
      <w:rPr>
        <w:noProof/>
        <w:sz w:val="20"/>
      </w:rPr>
      <w:t>HFCs</w:t>
    </w:r>
    <w:r>
      <w:rPr>
        <w:sz w:val="20"/>
      </w:rPr>
      <w:fldChar w:fldCharType="end"/>
    </w:r>
  </w:p>
  <w:p w:rsidR="003357FA" w:rsidRPr="00A961C4" w:rsidRDefault="003357FA"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A961C4" w:rsidRDefault="003357FA"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357FA" w:rsidRPr="00A961C4" w:rsidRDefault="003357FA"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357FA" w:rsidRPr="00A961C4" w:rsidRDefault="003357FA"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A" w:rsidRPr="00A961C4" w:rsidRDefault="003357FA"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2"/>
    <w:rsid w:val="000000BB"/>
    <w:rsid w:val="000041C6"/>
    <w:rsid w:val="00006329"/>
    <w:rsid w:val="000063E4"/>
    <w:rsid w:val="00006F4F"/>
    <w:rsid w:val="00007145"/>
    <w:rsid w:val="00010540"/>
    <w:rsid w:val="00011222"/>
    <w:rsid w:val="000113BC"/>
    <w:rsid w:val="000136AF"/>
    <w:rsid w:val="00020203"/>
    <w:rsid w:val="00022A9B"/>
    <w:rsid w:val="00025060"/>
    <w:rsid w:val="000279AA"/>
    <w:rsid w:val="00031E7B"/>
    <w:rsid w:val="00032016"/>
    <w:rsid w:val="0003733B"/>
    <w:rsid w:val="0004044E"/>
    <w:rsid w:val="0005000D"/>
    <w:rsid w:val="00050AE9"/>
    <w:rsid w:val="000614BF"/>
    <w:rsid w:val="000738BC"/>
    <w:rsid w:val="00074637"/>
    <w:rsid w:val="00081766"/>
    <w:rsid w:val="00092852"/>
    <w:rsid w:val="000A1A5F"/>
    <w:rsid w:val="000B785E"/>
    <w:rsid w:val="000C4E79"/>
    <w:rsid w:val="000C6759"/>
    <w:rsid w:val="000D05EF"/>
    <w:rsid w:val="000F20CD"/>
    <w:rsid w:val="000F21C1"/>
    <w:rsid w:val="000F6B02"/>
    <w:rsid w:val="000F7427"/>
    <w:rsid w:val="000F7ED0"/>
    <w:rsid w:val="001043B8"/>
    <w:rsid w:val="001068EA"/>
    <w:rsid w:val="0010745C"/>
    <w:rsid w:val="00114ACC"/>
    <w:rsid w:val="00116975"/>
    <w:rsid w:val="00126F1A"/>
    <w:rsid w:val="001337CD"/>
    <w:rsid w:val="00133A55"/>
    <w:rsid w:val="00142B0B"/>
    <w:rsid w:val="00152950"/>
    <w:rsid w:val="00154EAC"/>
    <w:rsid w:val="001571EF"/>
    <w:rsid w:val="00162836"/>
    <w:rsid w:val="001643C9"/>
    <w:rsid w:val="00165568"/>
    <w:rsid w:val="00165643"/>
    <w:rsid w:val="00166C2F"/>
    <w:rsid w:val="001716C9"/>
    <w:rsid w:val="00171EAE"/>
    <w:rsid w:val="00183775"/>
    <w:rsid w:val="0018707E"/>
    <w:rsid w:val="00187A5A"/>
    <w:rsid w:val="00191859"/>
    <w:rsid w:val="00193461"/>
    <w:rsid w:val="001939E1"/>
    <w:rsid w:val="00195382"/>
    <w:rsid w:val="001B3097"/>
    <w:rsid w:val="001B4F80"/>
    <w:rsid w:val="001B7A5D"/>
    <w:rsid w:val="001C1528"/>
    <w:rsid w:val="001C15F1"/>
    <w:rsid w:val="001C69C4"/>
    <w:rsid w:val="001D4229"/>
    <w:rsid w:val="001D5A3A"/>
    <w:rsid w:val="001D7F83"/>
    <w:rsid w:val="001E04A3"/>
    <w:rsid w:val="001E16D0"/>
    <w:rsid w:val="001E3590"/>
    <w:rsid w:val="001E4CE4"/>
    <w:rsid w:val="001E562E"/>
    <w:rsid w:val="001E7407"/>
    <w:rsid w:val="001F4DBC"/>
    <w:rsid w:val="001F6905"/>
    <w:rsid w:val="001F6924"/>
    <w:rsid w:val="00201D27"/>
    <w:rsid w:val="00206A09"/>
    <w:rsid w:val="002079F1"/>
    <w:rsid w:val="002156BB"/>
    <w:rsid w:val="00231427"/>
    <w:rsid w:val="00240749"/>
    <w:rsid w:val="00246687"/>
    <w:rsid w:val="00247C58"/>
    <w:rsid w:val="00254354"/>
    <w:rsid w:val="002605A5"/>
    <w:rsid w:val="00265FBC"/>
    <w:rsid w:val="00266D05"/>
    <w:rsid w:val="002721CE"/>
    <w:rsid w:val="00276C98"/>
    <w:rsid w:val="00277148"/>
    <w:rsid w:val="002817B9"/>
    <w:rsid w:val="002823BE"/>
    <w:rsid w:val="002932B1"/>
    <w:rsid w:val="00295408"/>
    <w:rsid w:val="00295D1F"/>
    <w:rsid w:val="00297ECB"/>
    <w:rsid w:val="002A0FFD"/>
    <w:rsid w:val="002A3DDE"/>
    <w:rsid w:val="002B2481"/>
    <w:rsid w:val="002B24B3"/>
    <w:rsid w:val="002B2731"/>
    <w:rsid w:val="002B5B89"/>
    <w:rsid w:val="002B74E7"/>
    <w:rsid w:val="002B7D96"/>
    <w:rsid w:val="002C2E4A"/>
    <w:rsid w:val="002C344C"/>
    <w:rsid w:val="002C36A8"/>
    <w:rsid w:val="002C4452"/>
    <w:rsid w:val="002D043A"/>
    <w:rsid w:val="002D5D07"/>
    <w:rsid w:val="002E3F3B"/>
    <w:rsid w:val="002E64DB"/>
    <w:rsid w:val="002E6A84"/>
    <w:rsid w:val="002E7219"/>
    <w:rsid w:val="002F48F3"/>
    <w:rsid w:val="002F5363"/>
    <w:rsid w:val="00304E75"/>
    <w:rsid w:val="0030639D"/>
    <w:rsid w:val="003072FA"/>
    <w:rsid w:val="00307700"/>
    <w:rsid w:val="00310EAC"/>
    <w:rsid w:val="0031713F"/>
    <w:rsid w:val="0033267E"/>
    <w:rsid w:val="003357FA"/>
    <w:rsid w:val="003415D3"/>
    <w:rsid w:val="00352B0F"/>
    <w:rsid w:val="00354AB9"/>
    <w:rsid w:val="0035539A"/>
    <w:rsid w:val="00361BD9"/>
    <w:rsid w:val="00363549"/>
    <w:rsid w:val="00370C63"/>
    <w:rsid w:val="003801D0"/>
    <w:rsid w:val="00382A89"/>
    <w:rsid w:val="00382DC9"/>
    <w:rsid w:val="00382EA5"/>
    <w:rsid w:val="003838C5"/>
    <w:rsid w:val="00385722"/>
    <w:rsid w:val="00385932"/>
    <w:rsid w:val="0039228E"/>
    <w:rsid w:val="003926B5"/>
    <w:rsid w:val="003949D6"/>
    <w:rsid w:val="00395BDF"/>
    <w:rsid w:val="003A7ED1"/>
    <w:rsid w:val="003B04EC"/>
    <w:rsid w:val="003B483D"/>
    <w:rsid w:val="003B6EA9"/>
    <w:rsid w:val="003C11E0"/>
    <w:rsid w:val="003C1AB3"/>
    <w:rsid w:val="003C5CD4"/>
    <w:rsid w:val="003C5F2B"/>
    <w:rsid w:val="003D0BFE"/>
    <w:rsid w:val="003D1B64"/>
    <w:rsid w:val="003D3226"/>
    <w:rsid w:val="003D5700"/>
    <w:rsid w:val="003E2FCA"/>
    <w:rsid w:val="003E4CBF"/>
    <w:rsid w:val="003E5FF5"/>
    <w:rsid w:val="003F4CA9"/>
    <w:rsid w:val="003F567B"/>
    <w:rsid w:val="003F63BD"/>
    <w:rsid w:val="004010E7"/>
    <w:rsid w:val="00401403"/>
    <w:rsid w:val="004023E9"/>
    <w:rsid w:val="00402CAF"/>
    <w:rsid w:val="00403750"/>
    <w:rsid w:val="004048EB"/>
    <w:rsid w:val="00406145"/>
    <w:rsid w:val="0041038E"/>
    <w:rsid w:val="004116CD"/>
    <w:rsid w:val="00412B83"/>
    <w:rsid w:val="0042041A"/>
    <w:rsid w:val="00424CA9"/>
    <w:rsid w:val="004310C5"/>
    <w:rsid w:val="00433910"/>
    <w:rsid w:val="0044291A"/>
    <w:rsid w:val="004503A5"/>
    <w:rsid w:val="004541B9"/>
    <w:rsid w:val="00460499"/>
    <w:rsid w:val="0046674F"/>
    <w:rsid w:val="004706E9"/>
    <w:rsid w:val="0047409C"/>
    <w:rsid w:val="00480FB9"/>
    <w:rsid w:val="0048364F"/>
    <w:rsid w:val="00486382"/>
    <w:rsid w:val="00496F97"/>
    <w:rsid w:val="004A1BB3"/>
    <w:rsid w:val="004A2484"/>
    <w:rsid w:val="004A2C53"/>
    <w:rsid w:val="004A5CF9"/>
    <w:rsid w:val="004A725C"/>
    <w:rsid w:val="004B20B3"/>
    <w:rsid w:val="004B3A94"/>
    <w:rsid w:val="004B6F14"/>
    <w:rsid w:val="004B75E6"/>
    <w:rsid w:val="004C0255"/>
    <w:rsid w:val="004C5B5A"/>
    <w:rsid w:val="004C6444"/>
    <w:rsid w:val="004C6DE1"/>
    <w:rsid w:val="004D4AF8"/>
    <w:rsid w:val="004E4870"/>
    <w:rsid w:val="004E4A39"/>
    <w:rsid w:val="004F1FAC"/>
    <w:rsid w:val="004F3A90"/>
    <w:rsid w:val="004F676E"/>
    <w:rsid w:val="00507194"/>
    <w:rsid w:val="0050781B"/>
    <w:rsid w:val="00516B8D"/>
    <w:rsid w:val="00517EB1"/>
    <w:rsid w:val="00520A1E"/>
    <w:rsid w:val="00521715"/>
    <w:rsid w:val="00526D79"/>
    <w:rsid w:val="005309F0"/>
    <w:rsid w:val="005320D7"/>
    <w:rsid w:val="0053466C"/>
    <w:rsid w:val="00537FBC"/>
    <w:rsid w:val="00543469"/>
    <w:rsid w:val="00550846"/>
    <w:rsid w:val="00550C4D"/>
    <w:rsid w:val="00557C7A"/>
    <w:rsid w:val="00561752"/>
    <w:rsid w:val="00570264"/>
    <w:rsid w:val="0057134C"/>
    <w:rsid w:val="005713E0"/>
    <w:rsid w:val="0057143E"/>
    <w:rsid w:val="00580958"/>
    <w:rsid w:val="00584811"/>
    <w:rsid w:val="005851A5"/>
    <w:rsid w:val="0058646E"/>
    <w:rsid w:val="00591E07"/>
    <w:rsid w:val="00592EA2"/>
    <w:rsid w:val="00593AA6"/>
    <w:rsid w:val="00594161"/>
    <w:rsid w:val="00594749"/>
    <w:rsid w:val="005963CA"/>
    <w:rsid w:val="00597E63"/>
    <w:rsid w:val="005A6B17"/>
    <w:rsid w:val="005B3FD9"/>
    <w:rsid w:val="005B4067"/>
    <w:rsid w:val="005B7B6B"/>
    <w:rsid w:val="005C12DE"/>
    <w:rsid w:val="005C3F41"/>
    <w:rsid w:val="005C7D54"/>
    <w:rsid w:val="005C7E65"/>
    <w:rsid w:val="005D3A57"/>
    <w:rsid w:val="005D42AA"/>
    <w:rsid w:val="005D7ACC"/>
    <w:rsid w:val="005E552A"/>
    <w:rsid w:val="005F05D3"/>
    <w:rsid w:val="00600219"/>
    <w:rsid w:val="006249E6"/>
    <w:rsid w:val="00630733"/>
    <w:rsid w:val="00632326"/>
    <w:rsid w:val="006360F9"/>
    <w:rsid w:val="00643DF1"/>
    <w:rsid w:val="0064468A"/>
    <w:rsid w:val="00652991"/>
    <w:rsid w:val="0065459D"/>
    <w:rsid w:val="00654CCA"/>
    <w:rsid w:val="00655ACD"/>
    <w:rsid w:val="00655F6E"/>
    <w:rsid w:val="00656DE9"/>
    <w:rsid w:val="00663BDD"/>
    <w:rsid w:val="006745A9"/>
    <w:rsid w:val="00677CC2"/>
    <w:rsid w:val="00680F17"/>
    <w:rsid w:val="00685F42"/>
    <w:rsid w:val="0069048D"/>
    <w:rsid w:val="006919A2"/>
    <w:rsid w:val="0069207B"/>
    <w:rsid w:val="006937E2"/>
    <w:rsid w:val="0069392E"/>
    <w:rsid w:val="006977FB"/>
    <w:rsid w:val="006A4A53"/>
    <w:rsid w:val="006B262A"/>
    <w:rsid w:val="006B3AF4"/>
    <w:rsid w:val="006B548A"/>
    <w:rsid w:val="006B5B3B"/>
    <w:rsid w:val="006C2C12"/>
    <w:rsid w:val="006C3FFF"/>
    <w:rsid w:val="006C4010"/>
    <w:rsid w:val="006C7F8C"/>
    <w:rsid w:val="006D3667"/>
    <w:rsid w:val="006D3BB9"/>
    <w:rsid w:val="006D43AD"/>
    <w:rsid w:val="006D4E91"/>
    <w:rsid w:val="006D5714"/>
    <w:rsid w:val="006E004B"/>
    <w:rsid w:val="006E45B5"/>
    <w:rsid w:val="006E7147"/>
    <w:rsid w:val="006F48FA"/>
    <w:rsid w:val="00700B2C"/>
    <w:rsid w:val="00701E6A"/>
    <w:rsid w:val="00713084"/>
    <w:rsid w:val="00715CC8"/>
    <w:rsid w:val="00722023"/>
    <w:rsid w:val="00731E00"/>
    <w:rsid w:val="00740597"/>
    <w:rsid w:val="00742D9B"/>
    <w:rsid w:val="007440B7"/>
    <w:rsid w:val="007634AD"/>
    <w:rsid w:val="007653C4"/>
    <w:rsid w:val="007715C9"/>
    <w:rsid w:val="00773166"/>
    <w:rsid w:val="00774A0D"/>
    <w:rsid w:val="00774EDD"/>
    <w:rsid w:val="007757EC"/>
    <w:rsid w:val="007769D4"/>
    <w:rsid w:val="00785AFA"/>
    <w:rsid w:val="007903AC"/>
    <w:rsid w:val="00797801"/>
    <w:rsid w:val="007A174D"/>
    <w:rsid w:val="007A7F9F"/>
    <w:rsid w:val="007B683C"/>
    <w:rsid w:val="007B6F80"/>
    <w:rsid w:val="007C4EAE"/>
    <w:rsid w:val="007C5D32"/>
    <w:rsid w:val="007C6539"/>
    <w:rsid w:val="007E7D4A"/>
    <w:rsid w:val="007F65EA"/>
    <w:rsid w:val="008018E0"/>
    <w:rsid w:val="00801D94"/>
    <w:rsid w:val="00812F6C"/>
    <w:rsid w:val="008220D3"/>
    <w:rsid w:val="00826DA5"/>
    <w:rsid w:val="008302B3"/>
    <w:rsid w:val="00831CA1"/>
    <w:rsid w:val="00833416"/>
    <w:rsid w:val="0084433F"/>
    <w:rsid w:val="00851E85"/>
    <w:rsid w:val="00852461"/>
    <w:rsid w:val="00856A31"/>
    <w:rsid w:val="0087272A"/>
    <w:rsid w:val="00872A44"/>
    <w:rsid w:val="00874B69"/>
    <w:rsid w:val="008754D0"/>
    <w:rsid w:val="00877D48"/>
    <w:rsid w:val="00880795"/>
    <w:rsid w:val="00881BF5"/>
    <w:rsid w:val="00882C38"/>
    <w:rsid w:val="00886111"/>
    <w:rsid w:val="0089783B"/>
    <w:rsid w:val="00897B80"/>
    <w:rsid w:val="008A41B4"/>
    <w:rsid w:val="008C5CE4"/>
    <w:rsid w:val="008D0EE0"/>
    <w:rsid w:val="008D1904"/>
    <w:rsid w:val="008D2D67"/>
    <w:rsid w:val="008D392D"/>
    <w:rsid w:val="008E18F9"/>
    <w:rsid w:val="008E2A56"/>
    <w:rsid w:val="008E2F40"/>
    <w:rsid w:val="008F07E3"/>
    <w:rsid w:val="008F42B5"/>
    <w:rsid w:val="008F4F1C"/>
    <w:rsid w:val="008F7C51"/>
    <w:rsid w:val="00907271"/>
    <w:rsid w:val="009124DC"/>
    <w:rsid w:val="0091623F"/>
    <w:rsid w:val="00932377"/>
    <w:rsid w:val="00932A33"/>
    <w:rsid w:val="009364F7"/>
    <w:rsid w:val="009443D7"/>
    <w:rsid w:val="00950828"/>
    <w:rsid w:val="009523B9"/>
    <w:rsid w:val="00967568"/>
    <w:rsid w:val="00972463"/>
    <w:rsid w:val="00980493"/>
    <w:rsid w:val="009848EC"/>
    <w:rsid w:val="009A55A8"/>
    <w:rsid w:val="009B3629"/>
    <w:rsid w:val="009B59E4"/>
    <w:rsid w:val="009C49D8"/>
    <w:rsid w:val="009D7011"/>
    <w:rsid w:val="009E3601"/>
    <w:rsid w:val="009E4212"/>
    <w:rsid w:val="009E745D"/>
    <w:rsid w:val="009E7B32"/>
    <w:rsid w:val="009F2C3B"/>
    <w:rsid w:val="009F3096"/>
    <w:rsid w:val="009F387C"/>
    <w:rsid w:val="009F47A0"/>
    <w:rsid w:val="009F727E"/>
    <w:rsid w:val="009F7A67"/>
    <w:rsid w:val="00A03032"/>
    <w:rsid w:val="00A075EA"/>
    <w:rsid w:val="00A1027A"/>
    <w:rsid w:val="00A13ECF"/>
    <w:rsid w:val="00A1702D"/>
    <w:rsid w:val="00A2057D"/>
    <w:rsid w:val="00A214F4"/>
    <w:rsid w:val="00A231E2"/>
    <w:rsid w:val="00A23F7C"/>
    <w:rsid w:val="00A2550D"/>
    <w:rsid w:val="00A25E36"/>
    <w:rsid w:val="00A26DBE"/>
    <w:rsid w:val="00A326A4"/>
    <w:rsid w:val="00A3544A"/>
    <w:rsid w:val="00A36986"/>
    <w:rsid w:val="00A4169B"/>
    <w:rsid w:val="00A4361F"/>
    <w:rsid w:val="00A5197F"/>
    <w:rsid w:val="00A52D2C"/>
    <w:rsid w:val="00A53D8C"/>
    <w:rsid w:val="00A53F08"/>
    <w:rsid w:val="00A57246"/>
    <w:rsid w:val="00A64672"/>
    <w:rsid w:val="00A64912"/>
    <w:rsid w:val="00A65677"/>
    <w:rsid w:val="00A70A74"/>
    <w:rsid w:val="00A71C4E"/>
    <w:rsid w:val="00A73B06"/>
    <w:rsid w:val="00A87AB9"/>
    <w:rsid w:val="00AA03C2"/>
    <w:rsid w:val="00AA32CF"/>
    <w:rsid w:val="00AA5364"/>
    <w:rsid w:val="00AB1399"/>
    <w:rsid w:val="00AB3315"/>
    <w:rsid w:val="00AB38CA"/>
    <w:rsid w:val="00AB7B41"/>
    <w:rsid w:val="00AC06B3"/>
    <w:rsid w:val="00AC459C"/>
    <w:rsid w:val="00AC6937"/>
    <w:rsid w:val="00AD5438"/>
    <w:rsid w:val="00AD5641"/>
    <w:rsid w:val="00AE4736"/>
    <w:rsid w:val="00AE50A2"/>
    <w:rsid w:val="00AF0336"/>
    <w:rsid w:val="00AF1471"/>
    <w:rsid w:val="00AF6613"/>
    <w:rsid w:val="00B00902"/>
    <w:rsid w:val="00B02B05"/>
    <w:rsid w:val="00B032D8"/>
    <w:rsid w:val="00B171D2"/>
    <w:rsid w:val="00B332B8"/>
    <w:rsid w:val="00B33B3C"/>
    <w:rsid w:val="00B35EEC"/>
    <w:rsid w:val="00B37F5D"/>
    <w:rsid w:val="00B44657"/>
    <w:rsid w:val="00B51679"/>
    <w:rsid w:val="00B52484"/>
    <w:rsid w:val="00B61C32"/>
    <w:rsid w:val="00B61D2C"/>
    <w:rsid w:val="00B63BDE"/>
    <w:rsid w:val="00B655DE"/>
    <w:rsid w:val="00B76247"/>
    <w:rsid w:val="00B84B4C"/>
    <w:rsid w:val="00B903D6"/>
    <w:rsid w:val="00B96CB6"/>
    <w:rsid w:val="00BA5026"/>
    <w:rsid w:val="00BB00A7"/>
    <w:rsid w:val="00BB499B"/>
    <w:rsid w:val="00BB6E79"/>
    <w:rsid w:val="00BC4F91"/>
    <w:rsid w:val="00BD20A5"/>
    <w:rsid w:val="00BD549A"/>
    <w:rsid w:val="00BD60E6"/>
    <w:rsid w:val="00BE2168"/>
    <w:rsid w:val="00BE23A0"/>
    <w:rsid w:val="00BE253A"/>
    <w:rsid w:val="00BE719A"/>
    <w:rsid w:val="00BE720A"/>
    <w:rsid w:val="00BF0B4C"/>
    <w:rsid w:val="00BF388A"/>
    <w:rsid w:val="00BF4533"/>
    <w:rsid w:val="00C02639"/>
    <w:rsid w:val="00C03A5B"/>
    <w:rsid w:val="00C067E5"/>
    <w:rsid w:val="00C15528"/>
    <w:rsid w:val="00C164CA"/>
    <w:rsid w:val="00C1681F"/>
    <w:rsid w:val="00C21B63"/>
    <w:rsid w:val="00C26D3B"/>
    <w:rsid w:val="00C42BF8"/>
    <w:rsid w:val="00C43DB7"/>
    <w:rsid w:val="00C460AE"/>
    <w:rsid w:val="00C476BB"/>
    <w:rsid w:val="00C50043"/>
    <w:rsid w:val="00C60389"/>
    <w:rsid w:val="00C62772"/>
    <w:rsid w:val="00C62889"/>
    <w:rsid w:val="00C63713"/>
    <w:rsid w:val="00C637A1"/>
    <w:rsid w:val="00C67F61"/>
    <w:rsid w:val="00C74111"/>
    <w:rsid w:val="00C7573B"/>
    <w:rsid w:val="00C76CF3"/>
    <w:rsid w:val="00C77E30"/>
    <w:rsid w:val="00C814F5"/>
    <w:rsid w:val="00C84854"/>
    <w:rsid w:val="00C86AE0"/>
    <w:rsid w:val="00C91200"/>
    <w:rsid w:val="00CB0180"/>
    <w:rsid w:val="00CB3470"/>
    <w:rsid w:val="00CC0C28"/>
    <w:rsid w:val="00CD4309"/>
    <w:rsid w:val="00CD606E"/>
    <w:rsid w:val="00CD7ECB"/>
    <w:rsid w:val="00CE293D"/>
    <w:rsid w:val="00CE70F6"/>
    <w:rsid w:val="00CE7A98"/>
    <w:rsid w:val="00CF0BB2"/>
    <w:rsid w:val="00D0104A"/>
    <w:rsid w:val="00D031CF"/>
    <w:rsid w:val="00D0701C"/>
    <w:rsid w:val="00D12036"/>
    <w:rsid w:val="00D13441"/>
    <w:rsid w:val="00D16EBE"/>
    <w:rsid w:val="00D17B17"/>
    <w:rsid w:val="00D243A3"/>
    <w:rsid w:val="00D333D9"/>
    <w:rsid w:val="00D33440"/>
    <w:rsid w:val="00D40403"/>
    <w:rsid w:val="00D40CA4"/>
    <w:rsid w:val="00D52EFE"/>
    <w:rsid w:val="00D637C4"/>
    <w:rsid w:val="00D63EF6"/>
    <w:rsid w:val="00D70DFB"/>
    <w:rsid w:val="00D71979"/>
    <w:rsid w:val="00D766DF"/>
    <w:rsid w:val="00D839FF"/>
    <w:rsid w:val="00D83D21"/>
    <w:rsid w:val="00D84B58"/>
    <w:rsid w:val="00D91BED"/>
    <w:rsid w:val="00D925D1"/>
    <w:rsid w:val="00D94E1B"/>
    <w:rsid w:val="00DA7EBC"/>
    <w:rsid w:val="00DB07CC"/>
    <w:rsid w:val="00DB1A4D"/>
    <w:rsid w:val="00DB6C6F"/>
    <w:rsid w:val="00DC63EE"/>
    <w:rsid w:val="00DD1D84"/>
    <w:rsid w:val="00DE7DEE"/>
    <w:rsid w:val="00E00891"/>
    <w:rsid w:val="00E01E10"/>
    <w:rsid w:val="00E05704"/>
    <w:rsid w:val="00E05C46"/>
    <w:rsid w:val="00E27C6C"/>
    <w:rsid w:val="00E30206"/>
    <w:rsid w:val="00E33C1C"/>
    <w:rsid w:val="00E443FC"/>
    <w:rsid w:val="00E44FCA"/>
    <w:rsid w:val="00E45FE7"/>
    <w:rsid w:val="00E476B8"/>
    <w:rsid w:val="00E54292"/>
    <w:rsid w:val="00E55BCD"/>
    <w:rsid w:val="00E60781"/>
    <w:rsid w:val="00E661A8"/>
    <w:rsid w:val="00E71C41"/>
    <w:rsid w:val="00E73EC4"/>
    <w:rsid w:val="00E74DC7"/>
    <w:rsid w:val="00E75D10"/>
    <w:rsid w:val="00E76CBA"/>
    <w:rsid w:val="00E76FAB"/>
    <w:rsid w:val="00E83E2E"/>
    <w:rsid w:val="00E84B32"/>
    <w:rsid w:val="00E84D99"/>
    <w:rsid w:val="00E86387"/>
    <w:rsid w:val="00E87699"/>
    <w:rsid w:val="00E87B19"/>
    <w:rsid w:val="00E93EA5"/>
    <w:rsid w:val="00E959BD"/>
    <w:rsid w:val="00EA3DA7"/>
    <w:rsid w:val="00EA5572"/>
    <w:rsid w:val="00EB6F3A"/>
    <w:rsid w:val="00EC7527"/>
    <w:rsid w:val="00ED3115"/>
    <w:rsid w:val="00ED3A7D"/>
    <w:rsid w:val="00EF2665"/>
    <w:rsid w:val="00EF2E3A"/>
    <w:rsid w:val="00EF2F2E"/>
    <w:rsid w:val="00F047E2"/>
    <w:rsid w:val="00F06A26"/>
    <w:rsid w:val="00F078DC"/>
    <w:rsid w:val="00F112A8"/>
    <w:rsid w:val="00F13E86"/>
    <w:rsid w:val="00F2059D"/>
    <w:rsid w:val="00F24C35"/>
    <w:rsid w:val="00F3245E"/>
    <w:rsid w:val="00F46BC2"/>
    <w:rsid w:val="00F56759"/>
    <w:rsid w:val="00F6190A"/>
    <w:rsid w:val="00F677A9"/>
    <w:rsid w:val="00F743E5"/>
    <w:rsid w:val="00F83A90"/>
    <w:rsid w:val="00F84CF5"/>
    <w:rsid w:val="00FA420B"/>
    <w:rsid w:val="00FB03B3"/>
    <w:rsid w:val="00FB192C"/>
    <w:rsid w:val="00FB382C"/>
    <w:rsid w:val="00FC200B"/>
    <w:rsid w:val="00FD2FED"/>
    <w:rsid w:val="00FD7CFE"/>
    <w:rsid w:val="00FF2655"/>
    <w:rsid w:val="00FF3089"/>
    <w:rsid w:val="00FF3B04"/>
    <w:rsid w:val="00FF6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655"/>
    <w:pPr>
      <w:spacing w:line="260" w:lineRule="atLeast"/>
    </w:pPr>
    <w:rPr>
      <w:sz w:val="22"/>
    </w:rPr>
  </w:style>
  <w:style w:type="paragraph" w:styleId="Heading1">
    <w:name w:val="heading 1"/>
    <w:basedOn w:val="Normal"/>
    <w:next w:val="Normal"/>
    <w:link w:val="Heading1Char"/>
    <w:uiPriority w:val="9"/>
    <w:qFormat/>
    <w:rsid w:val="00FF2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2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26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26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26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6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26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65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F265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F2655"/>
  </w:style>
  <w:style w:type="paragraph" w:customStyle="1" w:styleId="OPCParaBase">
    <w:name w:val="OPCParaBase"/>
    <w:qFormat/>
    <w:rsid w:val="00FF2655"/>
    <w:pPr>
      <w:spacing w:line="260" w:lineRule="atLeast"/>
    </w:pPr>
    <w:rPr>
      <w:rFonts w:eastAsia="Times New Roman" w:cs="Times New Roman"/>
      <w:sz w:val="22"/>
      <w:lang w:eastAsia="en-AU"/>
    </w:rPr>
  </w:style>
  <w:style w:type="paragraph" w:customStyle="1" w:styleId="ShortT">
    <w:name w:val="ShortT"/>
    <w:basedOn w:val="OPCParaBase"/>
    <w:next w:val="Normal"/>
    <w:qFormat/>
    <w:rsid w:val="00FF2655"/>
    <w:pPr>
      <w:spacing w:line="240" w:lineRule="auto"/>
    </w:pPr>
    <w:rPr>
      <w:b/>
      <w:sz w:val="40"/>
    </w:rPr>
  </w:style>
  <w:style w:type="paragraph" w:customStyle="1" w:styleId="ActHead1">
    <w:name w:val="ActHead 1"/>
    <w:aliases w:val="c"/>
    <w:basedOn w:val="OPCParaBase"/>
    <w:next w:val="Normal"/>
    <w:qFormat/>
    <w:rsid w:val="00FF26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26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26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26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F26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26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26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26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26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2655"/>
  </w:style>
  <w:style w:type="paragraph" w:customStyle="1" w:styleId="Blocks">
    <w:name w:val="Blocks"/>
    <w:aliases w:val="bb"/>
    <w:basedOn w:val="OPCParaBase"/>
    <w:qFormat/>
    <w:rsid w:val="00FF2655"/>
    <w:pPr>
      <w:spacing w:line="240" w:lineRule="auto"/>
    </w:pPr>
    <w:rPr>
      <w:sz w:val="24"/>
    </w:rPr>
  </w:style>
  <w:style w:type="paragraph" w:customStyle="1" w:styleId="BoxText">
    <w:name w:val="BoxText"/>
    <w:aliases w:val="bt"/>
    <w:basedOn w:val="OPCParaBase"/>
    <w:qFormat/>
    <w:rsid w:val="00FF26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2655"/>
    <w:rPr>
      <w:b/>
    </w:rPr>
  </w:style>
  <w:style w:type="paragraph" w:customStyle="1" w:styleId="BoxHeadItalic">
    <w:name w:val="BoxHeadItalic"/>
    <w:aliases w:val="bhi"/>
    <w:basedOn w:val="BoxText"/>
    <w:next w:val="BoxStep"/>
    <w:qFormat/>
    <w:rsid w:val="00FF2655"/>
    <w:rPr>
      <w:i/>
    </w:rPr>
  </w:style>
  <w:style w:type="paragraph" w:customStyle="1" w:styleId="BoxList">
    <w:name w:val="BoxList"/>
    <w:aliases w:val="bl"/>
    <w:basedOn w:val="BoxText"/>
    <w:qFormat/>
    <w:rsid w:val="00FF2655"/>
    <w:pPr>
      <w:ind w:left="1559" w:hanging="425"/>
    </w:pPr>
  </w:style>
  <w:style w:type="paragraph" w:customStyle="1" w:styleId="BoxNote">
    <w:name w:val="BoxNote"/>
    <w:aliases w:val="bn"/>
    <w:basedOn w:val="BoxText"/>
    <w:qFormat/>
    <w:rsid w:val="00FF2655"/>
    <w:pPr>
      <w:tabs>
        <w:tab w:val="left" w:pos="1985"/>
      </w:tabs>
      <w:spacing w:before="122" w:line="198" w:lineRule="exact"/>
      <w:ind w:left="2948" w:hanging="1814"/>
    </w:pPr>
    <w:rPr>
      <w:sz w:val="18"/>
    </w:rPr>
  </w:style>
  <w:style w:type="paragraph" w:customStyle="1" w:styleId="BoxPara">
    <w:name w:val="BoxPara"/>
    <w:aliases w:val="bp"/>
    <w:basedOn w:val="BoxText"/>
    <w:qFormat/>
    <w:rsid w:val="00FF2655"/>
    <w:pPr>
      <w:tabs>
        <w:tab w:val="right" w:pos="2268"/>
      </w:tabs>
      <w:ind w:left="2552" w:hanging="1418"/>
    </w:pPr>
  </w:style>
  <w:style w:type="paragraph" w:customStyle="1" w:styleId="BoxStep">
    <w:name w:val="BoxStep"/>
    <w:aliases w:val="bs"/>
    <w:basedOn w:val="BoxText"/>
    <w:qFormat/>
    <w:rsid w:val="00FF2655"/>
    <w:pPr>
      <w:ind w:left="1985" w:hanging="851"/>
    </w:pPr>
  </w:style>
  <w:style w:type="character" w:customStyle="1" w:styleId="CharAmPartNo">
    <w:name w:val="CharAmPartNo"/>
    <w:basedOn w:val="OPCCharBase"/>
    <w:qFormat/>
    <w:rsid w:val="00FF2655"/>
  </w:style>
  <w:style w:type="character" w:customStyle="1" w:styleId="CharAmPartText">
    <w:name w:val="CharAmPartText"/>
    <w:basedOn w:val="OPCCharBase"/>
    <w:qFormat/>
    <w:rsid w:val="00FF2655"/>
  </w:style>
  <w:style w:type="character" w:customStyle="1" w:styleId="CharAmSchNo">
    <w:name w:val="CharAmSchNo"/>
    <w:basedOn w:val="OPCCharBase"/>
    <w:qFormat/>
    <w:rsid w:val="00FF2655"/>
  </w:style>
  <w:style w:type="character" w:customStyle="1" w:styleId="CharAmSchText">
    <w:name w:val="CharAmSchText"/>
    <w:basedOn w:val="OPCCharBase"/>
    <w:qFormat/>
    <w:rsid w:val="00FF2655"/>
  </w:style>
  <w:style w:type="character" w:customStyle="1" w:styleId="CharBoldItalic">
    <w:name w:val="CharBoldItalic"/>
    <w:basedOn w:val="OPCCharBase"/>
    <w:uiPriority w:val="1"/>
    <w:qFormat/>
    <w:rsid w:val="00FF2655"/>
    <w:rPr>
      <w:b/>
      <w:i/>
    </w:rPr>
  </w:style>
  <w:style w:type="character" w:customStyle="1" w:styleId="CharChapNo">
    <w:name w:val="CharChapNo"/>
    <w:basedOn w:val="OPCCharBase"/>
    <w:uiPriority w:val="1"/>
    <w:qFormat/>
    <w:rsid w:val="00FF2655"/>
  </w:style>
  <w:style w:type="character" w:customStyle="1" w:styleId="CharChapText">
    <w:name w:val="CharChapText"/>
    <w:basedOn w:val="OPCCharBase"/>
    <w:uiPriority w:val="1"/>
    <w:qFormat/>
    <w:rsid w:val="00FF2655"/>
  </w:style>
  <w:style w:type="character" w:customStyle="1" w:styleId="CharDivNo">
    <w:name w:val="CharDivNo"/>
    <w:basedOn w:val="OPCCharBase"/>
    <w:uiPriority w:val="1"/>
    <w:qFormat/>
    <w:rsid w:val="00FF2655"/>
  </w:style>
  <w:style w:type="character" w:customStyle="1" w:styleId="CharDivText">
    <w:name w:val="CharDivText"/>
    <w:basedOn w:val="OPCCharBase"/>
    <w:uiPriority w:val="1"/>
    <w:qFormat/>
    <w:rsid w:val="00FF2655"/>
  </w:style>
  <w:style w:type="character" w:customStyle="1" w:styleId="CharItalic">
    <w:name w:val="CharItalic"/>
    <w:basedOn w:val="OPCCharBase"/>
    <w:uiPriority w:val="1"/>
    <w:qFormat/>
    <w:rsid w:val="00FF2655"/>
    <w:rPr>
      <w:i/>
    </w:rPr>
  </w:style>
  <w:style w:type="character" w:customStyle="1" w:styleId="CharPartNo">
    <w:name w:val="CharPartNo"/>
    <w:basedOn w:val="OPCCharBase"/>
    <w:uiPriority w:val="1"/>
    <w:qFormat/>
    <w:rsid w:val="00FF2655"/>
  </w:style>
  <w:style w:type="character" w:customStyle="1" w:styleId="CharPartText">
    <w:name w:val="CharPartText"/>
    <w:basedOn w:val="OPCCharBase"/>
    <w:uiPriority w:val="1"/>
    <w:qFormat/>
    <w:rsid w:val="00FF2655"/>
  </w:style>
  <w:style w:type="character" w:customStyle="1" w:styleId="CharSectno">
    <w:name w:val="CharSectno"/>
    <w:basedOn w:val="OPCCharBase"/>
    <w:qFormat/>
    <w:rsid w:val="00FF2655"/>
  </w:style>
  <w:style w:type="character" w:customStyle="1" w:styleId="CharSubdNo">
    <w:name w:val="CharSubdNo"/>
    <w:basedOn w:val="OPCCharBase"/>
    <w:uiPriority w:val="1"/>
    <w:qFormat/>
    <w:rsid w:val="00FF2655"/>
  </w:style>
  <w:style w:type="character" w:customStyle="1" w:styleId="CharSubdText">
    <w:name w:val="CharSubdText"/>
    <w:basedOn w:val="OPCCharBase"/>
    <w:uiPriority w:val="1"/>
    <w:qFormat/>
    <w:rsid w:val="00FF2655"/>
  </w:style>
  <w:style w:type="paragraph" w:customStyle="1" w:styleId="CTA--">
    <w:name w:val="CTA --"/>
    <w:basedOn w:val="OPCParaBase"/>
    <w:next w:val="Normal"/>
    <w:rsid w:val="00FF2655"/>
    <w:pPr>
      <w:spacing w:before="60" w:line="240" w:lineRule="atLeast"/>
      <w:ind w:left="142" w:hanging="142"/>
    </w:pPr>
    <w:rPr>
      <w:sz w:val="20"/>
    </w:rPr>
  </w:style>
  <w:style w:type="paragraph" w:customStyle="1" w:styleId="CTA-">
    <w:name w:val="CTA -"/>
    <w:basedOn w:val="OPCParaBase"/>
    <w:rsid w:val="00FF2655"/>
    <w:pPr>
      <w:spacing w:before="60" w:line="240" w:lineRule="atLeast"/>
      <w:ind w:left="85" w:hanging="85"/>
    </w:pPr>
    <w:rPr>
      <w:sz w:val="20"/>
    </w:rPr>
  </w:style>
  <w:style w:type="paragraph" w:customStyle="1" w:styleId="CTA---">
    <w:name w:val="CTA ---"/>
    <w:basedOn w:val="OPCParaBase"/>
    <w:next w:val="Normal"/>
    <w:rsid w:val="00FF2655"/>
    <w:pPr>
      <w:spacing w:before="60" w:line="240" w:lineRule="atLeast"/>
      <w:ind w:left="198" w:hanging="198"/>
    </w:pPr>
    <w:rPr>
      <w:sz w:val="20"/>
    </w:rPr>
  </w:style>
  <w:style w:type="paragraph" w:customStyle="1" w:styleId="CTA----">
    <w:name w:val="CTA ----"/>
    <w:basedOn w:val="OPCParaBase"/>
    <w:next w:val="Normal"/>
    <w:rsid w:val="00FF2655"/>
    <w:pPr>
      <w:spacing w:before="60" w:line="240" w:lineRule="atLeast"/>
      <w:ind w:left="255" w:hanging="255"/>
    </w:pPr>
    <w:rPr>
      <w:sz w:val="20"/>
    </w:rPr>
  </w:style>
  <w:style w:type="paragraph" w:customStyle="1" w:styleId="CTA1a">
    <w:name w:val="CTA 1(a)"/>
    <w:basedOn w:val="OPCParaBase"/>
    <w:rsid w:val="00FF2655"/>
    <w:pPr>
      <w:tabs>
        <w:tab w:val="right" w:pos="414"/>
      </w:tabs>
      <w:spacing w:before="40" w:line="240" w:lineRule="atLeast"/>
      <w:ind w:left="675" w:hanging="675"/>
    </w:pPr>
    <w:rPr>
      <w:sz w:val="20"/>
    </w:rPr>
  </w:style>
  <w:style w:type="paragraph" w:customStyle="1" w:styleId="CTA1ai">
    <w:name w:val="CTA 1(a)(i)"/>
    <w:basedOn w:val="OPCParaBase"/>
    <w:rsid w:val="00FF2655"/>
    <w:pPr>
      <w:tabs>
        <w:tab w:val="right" w:pos="1004"/>
      </w:tabs>
      <w:spacing w:before="40" w:line="240" w:lineRule="atLeast"/>
      <w:ind w:left="1253" w:hanging="1253"/>
    </w:pPr>
    <w:rPr>
      <w:sz w:val="20"/>
    </w:rPr>
  </w:style>
  <w:style w:type="paragraph" w:customStyle="1" w:styleId="CTA2a">
    <w:name w:val="CTA 2(a)"/>
    <w:basedOn w:val="OPCParaBase"/>
    <w:rsid w:val="00FF2655"/>
    <w:pPr>
      <w:tabs>
        <w:tab w:val="right" w:pos="482"/>
      </w:tabs>
      <w:spacing w:before="40" w:line="240" w:lineRule="atLeast"/>
      <w:ind w:left="748" w:hanging="748"/>
    </w:pPr>
    <w:rPr>
      <w:sz w:val="20"/>
    </w:rPr>
  </w:style>
  <w:style w:type="paragraph" w:customStyle="1" w:styleId="CTA2ai">
    <w:name w:val="CTA 2(a)(i)"/>
    <w:basedOn w:val="OPCParaBase"/>
    <w:rsid w:val="00FF2655"/>
    <w:pPr>
      <w:tabs>
        <w:tab w:val="right" w:pos="1089"/>
      </w:tabs>
      <w:spacing w:before="40" w:line="240" w:lineRule="atLeast"/>
      <w:ind w:left="1327" w:hanging="1327"/>
    </w:pPr>
    <w:rPr>
      <w:sz w:val="20"/>
    </w:rPr>
  </w:style>
  <w:style w:type="paragraph" w:customStyle="1" w:styleId="CTA3a">
    <w:name w:val="CTA 3(a)"/>
    <w:basedOn w:val="OPCParaBase"/>
    <w:rsid w:val="00FF2655"/>
    <w:pPr>
      <w:tabs>
        <w:tab w:val="right" w:pos="556"/>
      </w:tabs>
      <w:spacing w:before="40" w:line="240" w:lineRule="atLeast"/>
      <w:ind w:left="805" w:hanging="805"/>
    </w:pPr>
    <w:rPr>
      <w:sz w:val="20"/>
    </w:rPr>
  </w:style>
  <w:style w:type="paragraph" w:customStyle="1" w:styleId="CTA3ai">
    <w:name w:val="CTA 3(a)(i)"/>
    <w:basedOn w:val="OPCParaBase"/>
    <w:rsid w:val="00FF2655"/>
    <w:pPr>
      <w:tabs>
        <w:tab w:val="right" w:pos="1140"/>
      </w:tabs>
      <w:spacing w:before="40" w:line="240" w:lineRule="atLeast"/>
      <w:ind w:left="1361" w:hanging="1361"/>
    </w:pPr>
    <w:rPr>
      <w:sz w:val="20"/>
    </w:rPr>
  </w:style>
  <w:style w:type="paragraph" w:customStyle="1" w:styleId="CTA4a">
    <w:name w:val="CTA 4(a)"/>
    <w:basedOn w:val="OPCParaBase"/>
    <w:rsid w:val="00FF2655"/>
    <w:pPr>
      <w:tabs>
        <w:tab w:val="right" w:pos="624"/>
      </w:tabs>
      <w:spacing w:before="40" w:line="240" w:lineRule="atLeast"/>
      <w:ind w:left="873" w:hanging="873"/>
    </w:pPr>
    <w:rPr>
      <w:sz w:val="20"/>
    </w:rPr>
  </w:style>
  <w:style w:type="paragraph" w:customStyle="1" w:styleId="CTA4ai">
    <w:name w:val="CTA 4(a)(i)"/>
    <w:basedOn w:val="OPCParaBase"/>
    <w:rsid w:val="00FF2655"/>
    <w:pPr>
      <w:tabs>
        <w:tab w:val="right" w:pos="1213"/>
      </w:tabs>
      <w:spacing w:before="40" w:line="240" w:lineRule="atLeast"/>
      <w:ind w:left="1452" w:hanging="1452"/>
    </w:pPr>
    <w:rPr>
      <w:sz w:val="20"/>
    </w:rPr>
  </w:style>
  <w:style w:type="paragraph" w:customStyle="1" w:styleId="CTACAPS">
    <w:name w:val="CTA CAPS"/>
    <w:basedOn w:val="OPCParaBase"/>
    <w:rsid w:val="00FF2655"/>
    <w:pPr>
      <w:spacing w:before="60" w:line="240" w:lineRule="atLeast"/>
    </w:pPr>
    <w:rPr>
      <w:sz w:val="20"/>
    </w:rPr>
  </w:style>
  <w:style w:type="paragraph" w:customStyle="1" w:styleId="CTAright">
    <w:name w:val="CTA right"/>
    <w:basedOn w:val="OPCParaBase"/>
    <w:rsid w:val="00FF2655"/>
    <w:pPr>
      <w:spacing w:before="60" w:line="240" w:lineRule="auto"/>
      <w:jc w:val="right"/>
    </w:pPr>
    <w:rPr>
      <w:sz w:val="20"/>
    </w:rPr>
  </w:style>
  <w:style w:type="paragraph" w:customStyle="1" w:styleId="subsection">
    <w:name w:val="subsection"/>
    <w:aliases w:val="ss"/>
    <w:basedOn w:val="OPCParaBase"/>
    <w:link w:val="subsectionChar"/>
    <w:rsid w:val="00FF2655"/>
    <w:pPr>
      <w:tabs>
        <w:tab w:val="right" w:pos="1021"/>
      </w:tabs>
      <w:spacing w:before="180" w:line="240" w:lineRule="auto"/>
      <w:ind w:left="1134" w:hanging="1134"/>
    </w:pPr>
  </w:style>
  <w:style w:type="paragraph" w:customStyle="1" w:styleId="Definition">
    <w:name w:val="Definition"/>
    <w:aliases w:val="dd"/>
    <w:basedOn w:val="OPCParaBase"/>
    <w:rsid w:val="00FF2655"/>
    <w:pPr>
      <w:spacing w:before="180" w:line="240" w:lineRule="auto"/>
      <w:ind w:left="1134"/>
    </w:pPr>
  </w:style>
  <w:style w:type="paragraph" w:customStyle="1" w:styleId="ETAsubitem">
    <w:name w:val="ETA(subitem)"/>
    <w:basedOn w:val="OPCParaBase"/>
    <w:rsid w:val="00FF2655"/>
    <w:pPr>
      <w:tabs>
        <w:tab w:val="right" w:pos="340"/>
      </w:tabs>
      <w:spacing w:before="60" w:line="240" w:lineRule="auto"/>
      <w:ind w:left="454" w:hanging="454"/>
    </w:pPr>
    <w:rPr>
      <w:sz w:val="20"/>
    </w:rPr>
  </w:style>
  <w:style w:type="paragraph" w:customStyle="1" w:styleId="ETApara">
    <w:name w:val="ETA(para)"/>
    <w:basedOn w:val="OPCParaBase"/>
    <w:rsid w:val="00FF2655"/>
    <w:pPr>
      <w:tabs>
        <w:tab w:val="right" w:pos="754"/>
      </w:tabs>
      <w:spacing w:before="60" w:line="240" w:lineRule="auto"/>
      <w:ind w:left="828" w:hanging="828"/>
    </w:pPr>
    <w:rPr>
      <w:sz w:val="20"/>
    </w:rPr>
  </w:style>
  <w:style w:type="paragraph" w:customStyle="1" w:styleId="ETAsubpara">
    <w:name w:val="ETA(subpara)"/>
    <w:basedOn w:val="OPCParaBase"/>
    <w:rsid w:val="00FF2655"/>
    <w:pPr>
      <w:tabs>
        <w:tab w:val="right" w:pos="1083"/>
      </w:tabs>
      <w:spacing w:before="60" w:line="240" w:lineRule="auto"/>
      <w:ind w:left="1191" w:hanging="1191"/>
    </w:pPr>
    <w:rPr>
      <w:sz w:val="20"/>
    </w:rPr>
  </w:style>
  <w:style w:type="paragraph" w:customStyle="1" w:styleId="ETAsub-subpara">
    <w:name w:val="ETA(sub-subpara)"/>
    <w:basedOn w:val="OPCParaBase"/>
    <w:rsid w:val="00FF2655"/>
    <w:pPr>
      <w:tabs>
        <w:tab w:val="right" w:pos="1412"/>
      </w:tabs>
      <w:spacing w:before="60" w:line="240" w:lineRule="auto"/>
      <w:ind w:left="1525" w:hanging="1525"/>
    </w:pPr>
    <w:rPr>
      <w:sz w:val="20"/>
    </w:rPr>
  </w:style>
  <w:style w:type="paragraph" w:customStyle="1" w:styleId="Formula">
    <w:name w:val="Formula"/>
    <w:basedOn w:val="OPCParaBase"/>
    <w:rsid w:val="00FF2655"/>
    <w:pPr>
      <w:spacing w:line="240" w:lineRule="auto"/>
      <w:ind w:left="1134"/>
    </w:pPr>
    <w:rPr>
      <w:sz w:val="20"/>
    </w:rPr>
  </w:style>
  <w:style w:type="paragraph" w:styleId="Header">
    <w:name w:val="header"/>
    <w:basedOn w:val="OPCParaBase"/>
    <w:link w:val="HeaderChar"/>
    <w:unhideWhenUsed/>
    <w:rsid w:val="00FF26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2655"/>
    <w:rPr>
      <w:rFonts w:eastAsia="Times New Roman" w:cs="Times New Roman"/>
      <w:sz w:val="16"/>
      <w:lang w:eastAsia="en-AU"/>
    </w:rPr>
  </w:style>
  <w:style w:type="paragraph" w:customStyle="1" w:styleId="House">
    <w:name w:val="House"/>
    <w:basedOn w:val="OPCParaBase"/>
    <w:rsid w:val="00FF2655"/>
    <w:pPr>
      <w:spacing w:line="240" w:lineRule="auto"/>
    </w:pPr>
    <w:rPr>
      <w:sz w:val="28"/>
    </w:rPr>
  </w:style>
  <w:style w:type="paragraph" w:customStyle="1" w:styleId="Item">
    <w:name w:val="Item"/>
    <w:aliases w:val="i"/>
    <w:basedOn w:val="OPCParaBase"/>
    <w:next w:val="ItemHead"/>
    <w:rsid w:val="00FF2655"/>
    <w:pPr>
      <w:keepLines/>
      <w:spacing w:before="80" w:line="240" w:lineRule="auto"/>
      <w:ind w:left="709"/>
    </w:pPr>
  </w:style>
  <w:style w:type="paragraph" w:customStyle="1" w:styleId="ItemHead">
    <w:name w:val="ItemHead"/>
    <w:aliases w:val="ih"/>
    <w:basedOn w:val="OPCParaBase"/>
    <w:next w:val="Item"/>
    <w:rsid w:val="00FF265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2655"/>
    <w:pPr>
      <w:spacing w:line="240" w:lineRule="auto"/>
    </w:pPr>
    <w:rPr>
      <w:b/>
      <w:sz w:val="32"/>
    </w:rPr>
  </w:style>
  <w:style w:type="paragraph" w:customStyle="1" w:styleId="notedraft">
    <w:name w:val="note(draft)"/>
    <w:aliases w:val="nd"/>
    <w:basedOn w:val="OPCParaBase"/>
    <w:rsid w:val="00FF2655"/>
    <w:pPr>
      <w:spacing w:before="240" w:line="240" w:lineRule="auto"/>
      <w:ind w:left="284" w:hanging="284"/>
    </w:pPr>
    <w:rPr>
      <w:i/>
      <w:sz w:val="24"/>
    </w:rPr>
  </w:style>
  <w:style w:type="paragraph" w:customStyle="1" w:styleId="notemargin">
    <w:name w:val="note(margin)"/>
    <w:aliases w:val="nm"/>
    <w:basedOn w:val="OPCParaBase"/>
    <w:rsid w:val="00FF2655"/>
    <w:pPr>
      <w:tabs>
        <w:tab w:val="left" w:pos="709"/>
      </w:tabs>
      <w:spacing w:before="122" w:line="198" w:lineRule="exact"/>
      <w:ind w:left="709" w:hanging="709"/>
    </w:pPr>
    <w:rPr>
      <w:sz w:val="18"/>
    </w:rPr>
  </w:style>
  <w:style w:type="paragraph" w:customStyle="1" w:styleId="noteToPara">
    <w:name w:val="noteToPara"/>
    <w:aliases w:val="ntp"/>
    <w:basedOn w:val="OPCParaBase"/>
    <w:rsid w:val="00FF2655"/>
    <w:pPr>
      <w:spacing w:before="122" w:line="198" w:lineRule="exact"/>
      <w:ind w:left="2353" w:hanging="709"/>
    </w:pPr>
    <w:rPr>
      <w:sz w:val="18"/>
    </w:rPr>
  </w:style>
  <w:style w:type="paragraph" w:customStyle="1" w:styleId="noteParlAmend">
    <w:name w:val="note(ParlAmend)"/>
    <w:aliases w:val="npp"/>
    <w:basedOn w:val="OPCParaBase"/>
    <w:next w:val="ParlAmend"/>
    <w:rsid w:val="00FF2655"/>
    <w:pPr>
      <w:spacing w:line="240" w:lineRule="auto"/>
      <w:jc w:val="right"/>
    </w:pPr>
    <w:rPr>
      <w:rFonts w:ascii="Arial" w:hAnsi="Arial"/>
      <w:b/>
      <w:i/>
    </w:rPr>
  </w:style>
  <w:style w:type="paragraph" w:customStyle="1" w:styleId="Page1">
    <w:name w:val="Page1"/>
    <w:basedOn w:val="OPCParaBase"/>
    <w:rsid w:val="00FF2655"/>
    <w:pPr>
      <w:spacing w:before="5600" w:line="240" w:lineRule="auto"/>
    </w:pPr>
    <w:rPr>
      <w:b/>
      <w:sz w:val="32"/>
    </w:rPr>
  </w:style>
  <w:style w:type="paragraph" w:customStyle="1" w:styleId="PageBreak">
    <w:name w:val="PageBreak"/>
    <w:aliases w:val="pb"/>
    <w:basedOn w:val="OPCParaBase"/>
    <w:rsid w:val="00FF2655"/>
    <w:pPr>
      <w:spacing w:line="240" w:lineRule="auto"/>
    </w:pPr>
    <w:rPr>
      <w:sz w:val="20"/>
    </w:rPr>
  </w:style>
  <w:style w:type="paragraph" w:customStyle="1" w:styleId="paragraphsub">
    <w:name w:val="paragraph(sub)"/>
    <w:aliases w:val="aa"/>
    <w:basedOn w:val="OPCParaBase"/>
    <w:rsid w:val="00FF2655"/>
    <w:pPr>
      <w:tabs>
        <w:tab w:val="right" w:pos="1985"/>
      </w:tabs>
      <w:spacing w:before="40" w:line="240" w:lineRule="auto"/>
      <w:ind w:left="2098" w:hanging="2098"/>
    </w:pPr>
  </w:style>
  <w:style w:type="paragraph" w:customStyle="1" w:styleId="paragraphsub-sub">
    <w:name w:val="paragraph(sub-sub)"/>
    <w:aliases w:val="aaa"/>
    <w:basedOn w:val="OPCParaBase"/>
    <w:rsid w:val="00FF2655"/>
    <w:pPr>
      <w:tabs>
        <w:tab w:val="right" w:pos="2722"/>
      </w:tabs>
      <w:spacing w:before="40" w:line="240" w:lineRule="auto"/>
      <w:ind w:left="2835" w:hanging="2835"/>
    </w:pPr>
  </w:style>
  <w:style w:type="paragraph" w:customStyle="1" w:styleId="paragraph">
    <w:name w:val="paragraph"/>
    <w:aliases w:val="a"/>
    <w:basedOn w:val="OPCParaBase"/>
    <w:link w:val="paragraphChar"/>
    <w:rsid w:val="00FF2655"/>
    <w:pPr>
      <w:tabs>
        <w:tab w:val="right" w:pos="1531"/>
      </w:tabs>
      <w:spacing w:before="40" w:line="240" w:lineRule="auto"/>
      <w:ind w:left="1644" w:hanging="1644"/>
    </w:pPr>
  </w:style>
  <w:style w:type="paragraph" w:customStyle="1" w:styleId="ParlAmend">
    <w:name w:val="ParlAmend"/>
    <w:aliases w:val="pp"/>
    <w:basedOn w:val="OPCParaBase"/>
    <w:rsid w:val="00FF2655"/>
    <w:pPr>
      <w:spacing w:before="240" w:line="240" w:lineRule="atLeast"/>
      <w:ind w:hanging="567"/>
    </w:pPr>
    <w:rPr>
      <w:sz w:val="24"/>
    </w:rPr>
  </w:style>
  <w:style w:type="paragraph" w:customStyle="1" w:styleId="Penalty">
    <w:name w:val="Penalty"/>
    <w:basedOn w:val="OPCParaBase"/>
    <w:rsid w:val="00FF2655"/>
    <w:pPr>
      <w:tabs>
        <w:tab w:val="left" w:pos="2977"/>
      </w:tabs>
      <w:spacing w:before="180" w:line="240" w:lineRule="auto"/>
      <w:ind w:left="1985" w:hanging="851"/>
    </w:pPr>
  </w:style>
  <w:style w:type="paragraph" w:customStyle="1" w:styleId="Portfolio">
    <w:name w:val="Portfolio"/>
    <w:basedOn w:val="OPCParaBase"/>
    <w:rsid w:val="00FF2655"/>
    <w:pPr>
      <w:spacing w:line="240" w:lineRule="auto"/>
    </w:pPr>
    <w:rPr>
      <w:i/>
      <w:sz w:val="20"/>
    </w:rPr>
  </w:style>
  <w:style w:type="paragraph" w:customStyle="1" w:styleId="Preamble">
    <w:name w:val="Preamble"/>
    <w:basedOn w:val="OPCParaBase"/>
    <w:next w:val="Normal"/>
    <w:rsid w:val="00FF26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2655"/>
    <w:pPr>
      <w:spacing w:line="240" w:lineRule="auto"/>
    </w:pPr>
    <w:rPr>
      <w:i/>
      <w:sz w:val="20"/>
    </w:rPr>
  </w:style>
  <w:style w:type="paragraph" w:customStyle="1" w:styleId="Session">
    <w:name w:val="Session"/>
    <w:basedOn w:val="OPCParaBase"/>
    <w:rsid w:val="00FF2655"/>
    <w:pPr>
      <w:spacing w:line="240" w:lineRule="auto"/>
    </w:pPr>
    <w:rPr>
      <w:sz w:val="28"/>
    </w:rPr>
  </w:style>
  <w:style w:type="paragraph" w:customStyle="1" w:styleId="Sponsor">
    <w:name w:val="Sponsor"/>
    <w:basedOn w:val="OPCParaBase"/>
    <w:rsid w:val="00FF2655"/>
    <w:pPr>
      <w:spacing w:line="240" w:lineRule="auto"/>
    </w:pPr>
    <w:rPr>
      <w:i/>
    </w:rPr>
  </w:style>
  <w:style w:type="paragraph" w:customStyle="1" w:styleId="Subitem">
    <w:name w:val="Subitem"/>
    <w:aliases w:val="iss"/>
    <w:basedOn w:val="OPCParaBase"/>
    <w:rsid w:val="00FF2655"/>
    <w:pPr>
      <w:spacing w:before="180" w:line="240" w:lineRule="auto"/>
      <w:ind w:left="709" w:hanging="709"/>
    </w:pPr>
  </w:style>
  <w:style w:type="paragraph" w:customStyle="1" w:styleId="SubitemHead">
    <w:name w:val="SubitemHead"/>
    <w:aliases w:val="issh"/>
    <w:basedOn w:val="OPCParaBase"/>
    <w:rsid w:val="00FF26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2655"/>
    <w:pPr>
      <w:spacing w:before="40" w:line="240" w:lineRule="auto"/>
      <w:ind w:left="1134"/>
    </w:pPr>
  </w:style>
  <w:style w:type="paragraph" w:customStyle="1" w:styleId="SubsectionHead">
    <w:name w:val="SubsectionHead"/>
    <w:aliases w:val="ssh"/>
    <w:basedOn w:val="OPCParaBase"/>
    <w:next w:val="subsection"/>
    <w:rsid w:val="00FF2655"/>
    <w:pPr>
      <w:keepNext/>
      <w:keepLines/>
      <w:spacing w:before="240" w:line="240" w:lineRule="auto"/>
      <w:ind w:left="1134"/>
    </w:pPr>
    <w:rPr>
      <w:i/>
    </w:rPr>
  </w:style>
  <w:style w:type="paragraph" w:customStyle="1" w:styleId="Tablea">
    <w:name w:val="Table(a)"/>
    <w:aliases w:val="ta"/>
    <w:basedOn w:val="OPCParaBase"/>
    <w:rsid w:val="00FF2655"/>
    <w:pPr>
      <w:spacing w:before="60" w:line="240" w:lineRule="auto"/>
      <w:ind w:left="284" w:hanging="284"/>
    </w:pPr>
    <w:rPr>
      <w:sz w:val="20"/>
    </w:rPr>
  </w:style>
  <w:style w:type="paragraph" w:customStyle="1" w:styleId="TableAA">
    <w:name w:val="Table(AA)"/>
    <w:aliases w:val="taaa"/>
    <w:basedOn w:val="OPCParaBase"/>
    <w:rsid w:val="00FF26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26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2655"/>
    <w:pPr>
      <w:spacing w:before="60" w:line="240" w:lineRule="atLeast"/>
    </w:pPr>
    <w:rPr>
      <w:sz w:val="20"/>
    </w:rPr>
  </w:style>
  <w:style w:type="paragraph" w:customStyle="1" w:styleId="TLPBoxTextnote">
    <w:name w:val="TLPBoxText(note"/>
    <w:aliases w:val="right)"/>
    <w:basedOn w:val="OPCParaBase"/>
    <w:rsid w:val="00FF26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26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2655"/>
    <w:pPr>
      <w:spacing w:before="122" w:line="198" w:lineRule="exact"/>
      <w:ind w:left="1985" w:hanging="851"/>
      <w:jc w:val="right"/>
    </w:pPr>
    <w:rPr>
      <w:sz w:val="18"/>
    </w:rPr>
  </w:style>
  <w:style w:type="paragraph" w:customStyle="1" w:styleId="TLPTableBullet">
    <w:name w:val="TLPTableBullet"/>
    <w:aliases w:val="ttb"/>
    <w:basedOn w:val="OPCParaBase"/>
    <w:rsid w:val="00FF2655"/>
    <w:pPr>
      <w:spacing w:line="240" w:lineRule="exact"/>
      <w:ind w:left="284" w:hanging="284"/>
    </w:pPr>
    <w:rPr>
      <w:sz w:val="20"/>
    </w:rPr>
  </w:style>
  <w:style w:type="paragraph" w:styleId="TOC1">
    <w:name w:val="toc 1"/>
    <w:basedOn w:val="OPCParaBase"/>
    <w:next w:val="Normal"/>
    <w:uiPriority w:val="39"/>
    <w:semiHidden/>
    <w:unhideWhenUsed/>
    <w:rsid w:val="00FF265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265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F265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F265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F265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F265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265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F265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F265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2655"/>
    <w:pPr>
      <w:keepLines/>
      <w:spacing w:before="240" w:after="120" w:line="240" w:lineRule="auto"/>
      <w:ind w:left="794"/>
    </w:pPr>
    <w:rPr>
      <w:b/>
      <w:kern w:val="28"/>
      <w:sz w:val="20"/>
    </w:rPr>
  </w:style>
  <w:style w:type="paragraph" w:customStyle="1" w:styleId="TofSectsHeading">
    <w:name w:val="TofSects(Heading)"/>
    <w:basedOn w:val="OPCParaBase"/>
    <w:rsid w:val="00FF2655"/>
    <w:pPr>
      <w:spacing w:before="240" w:after="120" w:line="240" w:lineRule="auto"/>
    </w:pPr>
    <w:rPr>
      <w:b/>
      <w:sz w:val="24"/>
    </w:rPr>
  </w:style>
  <w:style w:type="paragraph" w:customStyle="1" w:styleId="TofSectsSection">
    <w:name w:val="TofSects(Section)"/>
    <w:basedOn w:val="OPCParaBase"/>
    <w:rsid w:val="00FF2655"/>
    <w:pPr>
      <w:keepLines/>
      <w:spacing w:before="40" w:line="240" w:lineRule="auto"/>
      <w:ind w:left="1588" w:hanging="794"/>
    </w:pPr>
    <w:rPr>
      <w:kern w:val="28"/>
      <w:sz w:val="18"/>
    </w:rPr>
  </w:style>
  <w:style w:type="paragraph" w:customStyle="1" w:styleId="TofSectsSubdiv">
    <w:name w:val="TofSects(Subdiv)"/>
    <w:basedOn w:val="OPCParaBase"/>
    <w:rsid w:val="00FF2655"/>
    <w:pPr>
      <w:keepLines/>
      <w:spacing w:before="80" w:line="240" w:lineRule="auto"/>
      <w:ind w:left="1588" w:hanging="794"/>
    </w:pPr>
    <w:rPr>
      <w:kern w:val="28"/>
    </w:rPr>
  </w:style>
  <w:style w:type="paragraph" w:customStyle="1" w:styleId="WRStyle">
    <w:name w:val="WR Style"/>
    <w:aliases w:val="WR"/>
    <w:basedOn w:val="OPCParaBase"/>
    <w:rsid w:val="00FF2655"/>
    <w:pPr>
      <w:spacing w:before="240" w:line="240" w:lineRule="auto"/>
      <w:ind w:left="284" w:hanging="284"/>
    </w:pPr>
    <w:rPr>
      <w:b/>
      <w:i/>
      <w:kern w:val="28"/>
      <w:sz w:val="24"/>
    </w:rPr>
  </w:style>
  <w:style w:type="paragraph" w:customStyle="1" w:styleId="notepara">
    <w:name w:val="note(para)"/>
    <w:aliases w:val="na"/>
    <w:basedOn w:val="OPCParaBase"/>
    <w:rsid w:val="00FF2655"/>
    <w:pPr>
      <w:spacing w:before="40" w:line="198" w:lineRule="exact"/>
      <w:ind w:left="2354" w:hanging="369"/>
    </w:pPr>
    <w:rPr>
      <w:sz w:val="18"/>
    </w:rPr>
  </w:style>
  <w:style w:type="paragraph" w:styleId="Footer">
    <w:name w:val="footer"/>
    <w:link w:val="FooterChar"/>
    <w:rsid w:val="00FF265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F2655"/>
    <w:rPr>
      <w:rFonts w:eastAsia="Times New Roman" w:cs="Times New Roman"/>
      <w:sz w:val="22"/>
      <w:szCs w:val="24"/>
      <w:lang w:eastAsia="en-AU"/>
    </w:rPr>
  </w:style>
  <w:style w:type="character" w:styleId="LineNumber">
    <w:name w:val="line number"/>
    <w:basedOn w:val="OPCCharBase"/>
    <w:uiPriority w:val="99"/>
    <w:semiHidden/>
    <w:unhideWhenUsed/>
    <w:rsid w:val="00FF2655"/>
    <w:rPr>
      <w:sz w:val="16"/>
    </w:rPr>
  </w:style>
  <w:style w:type="table" w:customStyle="1" w:styleId="CFlag">
    <w:name w:val="CFlag"/>
    <w:basedOn w:val="TableNormal"/>
    <w:uiPriority w:val="99"/>
    <w:rsid w:val="00FF2655"/>
    <w:rPr>
      <w:rFonts w:eastAsia="Times New Roman" w:cs="Times New Roman"/>
      <w:lang w:eastAsia="en-AU"/>
    </w:rPr>
    <w:tblPr/>
  </w:style>
  <w:style w:type="paragraph" w:styleId="BalloonText">
    <w:name w:val="Balloon Text"/>
    <w:basedOn w:val="Normal"/>
    <w:link w:val="BalloonTextChar"/>
    <w:uiPriority w:val="99"/>
    <w:semiHidden/>
    <w:unhideWhenUsed/>
    <w:rsid w:val="00FF2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55"/>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F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F2655"/>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FF2655"/>
    <w:rPr>
      <w:i/>
      <w:sz w:val="32"/>
      <w:szCs w:val="32"/>
    </w:rPr>
  </w:style>
  <w:style w:type="paragraph" w:customStyle="1" w:styleId="SignCoverPageEnd">
    <w:name w:val="SignCoverPageEnd"/>
    <w:basedOn w:val="OPCParaBase"/>
    <w:next w:val="Normal"/>
    <w:rsid w:val="00FF265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F2655"/>
    <w:pPr>
      <w:pBdr>
        <w:top w:val="single" w:sz="4" w:space="1" w:color="auto"/>
      </w:pBdr>
      <w:spacing w:before="360"/>
      <w:ind w:right="397"/>
      <w:jc w:val="both"/>
    </w:pPr>
  </w:style>
  <w:style w:type="paragraph" w:customStyle="1" w:styleId="NotesHeading1">
    <w:name w:val="NotesHeading 1"/>
    <w:basedOn w:val="OPCParaBase"/>
    <w:next w:val="Normal"/>
    <w:rsid w:val="00FF2655"/>
    <w:rPr>
      <w:b/>
      <w:sz w:val="28"/>
      <w:szCs w:val="28"/>
    </w:rPr>
  </w:style>
  <w:style w:type="paragraph" w:customStyle="1" w:styleId="NotesHeading2">
    <w:name w:val="NotesHeading 2"/>
    <w:basedOn w:val="OPCParaBase"/>
    <w:next w:val="Normal"/>
    <w:rsid w:val="00FF2655"/>
    <w:rPr>
      <w:b/>
      <w:sz w:val="28"/>
      <w:szCs w:val="28"/>
    </w:rPr>
  </w:style>
  <w:style w:type="paragraph" w:customStyle="1" w:styleId="CompiledActNo">
    <w:name w:val="CompiledActNo"/>
    <w:basedOn w:val="OPCParaBase"/>
    <w:next w:val="Normal"/>
    <w:rsid w:val="00FF2655"/>
    <w:rPr>
      <w:b/>
      <w:sz w:val="24"/>
      <w:szCs w:val="24"/>
    </w:rPr>
  </w:style>
  <w:style w:type="paragraph" w:customStyle="1" w:styleId="CompiledMadeUnder">
    <w:name w:val="CompiledMadeUnder"/>
    <w:basedOn w:val="OPCParaBase"/>
    <w:next w:val="Normal"/>
    <w:rsid w:val="00FF2655"/>
    <w:rPr>
      <w:i/>
      <w:sz w:val="24"/>
      <w:szCs w:val="24"/>
    </w:rPr>
  </w:style>
  <w:style w:type="paragraph" w:customStyle="1" w:styleId="Paragraphsub-sub-sub">
    <w:name w:val="Paragraph(sub-sub-sub)"/>
    <w:aliases w:val="aaaa"/>
    <w:basedOn w:val="OPCParaBase"/>
    <w:rsid w:val="00FF2655"/>
    <w:pPr>
      <w:tabs>
        <w:tab w:val="right" w:pos="3402"/>
      </w:tabs>
      <w:spacing w:before="40" w:line="240" w:lineRule="auto"/>
      <w:ind w:left="3402" w:hanging="3402"/>
    </w:pPr>
  </w:style>
  <w:style w:type="paragraph" w:customStyle="1" w:styleId="NoteToSubpara">
    <w:name w:val="NoteToSubpara"/>
    <w:aliases w:val="nts"/>
    <w:basedOn w:val="OPCParaBase"/>
    <w:rsid w:val="00FF2655"/>
    <w:pPr>
      <w:spacing w:before="40" w:line="198" w:lineRule="exact"/>
      <w:ind w:left="2835" w:hanging="709"/>
    </w:pPr>
    <w:rPr>
      <w:sz w:val="18"/>
    </w:rPr>
  </w:style>
  <w:style w:type="paragraph" w:customStyle="1" w:styleId="EndNotespara">
    <w:name w:val="EndNotes(para)"/>
    <w:aliases w:val="eta"/>
    <w:basedOn w:val="OPCParaBase"/>
    <w:next w:val="EndNotessubpara"/>
    <w:rsid w:val="00FF26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26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26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265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F2655"/>
    <w:pPr>
      <w:keepNext/>
      <w:spacing w:before="60" w:line="240" w:lineRule="atLeast"/>
    </w:pPr>
    <w:rPr>
      <w:rFonts w:ascii="Arial" w:hAnsi="Arial"/>
      <w:b/>
      <w:sz w:val="16"/>
    </w:rPr>
  </w:style>
  <w:style w:type="paragraph" w:customStyle="1" w:styleId="ENoteTTi">
    <w:name w:val="ENoteTTi"/>
    <w:aliases w:val="entti"/>
    <w:basedOn w:val="OPCParaBase"/>
    <w:rsid w:val="00FF2655"/>
    <w:pPr>
      <w:keepNext/>
      <w:spacing w:before="60" w:line="240" w:lineRule="atLeast"/>
      <w:ind w:left="170"/>
    </w:pPr>
    <w:rPr>
      <w:sz w:val="16"/>
    </w:rPr>
  </w:style>
  <w:style w:type="paragraph" w:customStyle="1" w:styleId="ENotesHeading1">
    <w:name w:val="ENotesHeading 1"/>
    <w:aliases w:val="Enh1"/>
    <w:basedOn w:val="OPCParaBase"/>
    <w:next w:val="Normal"/>
    <w:rsid w:val="00FF2655"/>
    <w:pPr>
      <w:spacing w:before="120"/>
      <w:outlineLvl w:val="1"/>
    </w:pPr>
    <w:rPr>
      <w:b/>
      <w:sz w:val="28"/>
      <w:szCs w:val="28"/>
    </w:rPr>
  </w:style>
  <w:style w:type="paragraph" w:customStyle="1" w:styleId="ENotesHeading2">
    <w:name w:val="ENotesHeading 2"/>
    <w:aliases w:val="Enh2"/>
    <w:basedOn w:val="OPCParaBase"/>
    <w:next w:val="Normal"/>
    <w:rsid w:val="00FF2655"/>
    <w:pPr>
      <w:spacing w:before="120" w:after="120"/>
      <w:outlineLvl w:val="2"/>
    </w:pPr>
    <w:rPr>
      <w:b/>
      <w:sz w:val="24"/>
      <w:szCs w:val="28"/>
    </w:rPr>
  </w:style>
  <w:style w:type="paragraph" w:customStyle="1" w:styleId="ENoteTTIndentHeading">
    <w:name w:val="ENoteTTIndentHeading"/>
    <w:aliases w:val="enTTHi"/>
    <w:basedOn w:val="OPCParaBase"/>
    <w:rsid w:val="00FF26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2655"/>
    <w:pPr>
      <w:spacing w:before="60" w:line="240" w:lineRule="atLeast"/>
    </w:pPr>
    <w:rPr>
      <w:sz w:val="16"/>
    </w:rPr>
  </w:style>
  <w:style w:type="paragraph" w:customStyle="1" w:styleId="MadeunderText">
    <w:name w:val="MadeunderText"/>
    <w:basedOn w:val="OPCParaBase"/>
    <w:next w:val="CompiledMadeUnder"/>
    <w:rsid w:val="00FF2655"/>
    <w:pPr>
      <w:spacing w:before="240"/>
    </w:pPr>
    <w:rPr>
      <w:sz w:val="24"/>
      <w:szCs w:val="24"/>
    </w:rPr>
  </w:style>
  <w:style w:type="paragraph" w:customStyle="1" w:styleId="ENotesHeading3">
    <w:name w:val="ENotesHeading 3"/>
    <w:aliases w:val="Enh3"/>
    <w:basedOn w:val="OPCParaBase"/>
    <w:next w:val="Normal"/>
    <w:rsid w:val="00FF2655"/>
    <w:pPr>
      <w:keepNext/>
      <w:spacing w:before="120" w:line="240" w:lineRule="auto"/>
      <w:outlineLvl w:val="4"/>
    </w:pPr>
    <w:rPr>
      <w:b/>
      <w:szCs w:val="24"/>
    </w:rPr>
  </w:style>
  <w:style w:type="character" w:customStyle="1" w:styleId="CharSubPartTextCASA">
    <w:name w:val="CharSubPartText(CASA)"/>
    <w:basedOn w:val="OPCCharBase"/>
    <w:uiPriority w:val="1"/>
    <w:rsid w:val="00FF2655"/>
  </w:style>
  <w:style w:type="character" w:customStyle="1" w:styleId="CharSubPartNoCASA">
    <w:name w:val="CharSubPartNo(CASA)"/>
    <w:basedOn w:val="OPCCharBase"/>
    <w:uiPriority w:val="1"/>
    <w:rsid w:val="00FF2655"/>
  </w:style>
  <w:style w:type="paragraph" w:customStyle="1" w:styleId="ENoteTTIndentHeadingSub">
    <w:name w:val="ENoteTTIndentHeadingSub"/>
    <w:aliases w:val="enTTHis"/>
    <w:basedOn w:val="OPCParaBase"/>
    <w:rsid w:val="00FF2655"/>
    <w:pPr>
      <w:keepNext/>
      <w:spacing w:before="60" w:line="240" w:lineRule="atLeast"/>
      <w:ind w:left="340"/>
    </w:pPr>
    <w:rPr>
      <w:b/>
      <w:sz w:val="16"/>
    </w:rPr>
  </w:style>
  <w:style w:type="paragraph" w:customStyle="1" w:styleId="ENoteTTiSub">
    <w:name w:val="ENoteTTiSub"/>
    <w:aliases w:val="enttis"/>
    <w:basedOn w:val="OPCParaBase"/>
    <w:rsid w:val="00FF2655"/>
    <w:pPr>
      <w:keepNext/>
      <w:spacing w:before="60" w:line="240" w:lineRule="atLeast"/>
      <w:ind w:left="340"/>
    </w:pPr>
    <w:rPr>
      <w:sz w:val="16"/>
    </w:rPr>
  </w:style>
  <w:style w:type="paragraph" w:customStyle="1" w:styleId="SubDivisionMigration">
    <w:name w:val="SubDivisionMigration"/>
    <w:aliases w:val="sdm"/>
    <w:basedOn w:val="OPCParaBase"/>
    <w:rsid w:val="00FF26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265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F2655"/>
    <w:pPr>
      <w:spacing w:before="122" w:line="240" w:lineRule="auto"/>
      <w:ind w:left="1985" w:hanging="851"/>
    </w:pPr>
    <w:rPr>
      <w:sz w:val="18"/>
    </w:rPr>
  </w:style>
  <w:style w:type="paragraph" w:customStyle="1" w:styleId="FreeForm">
    <w:name w:val="FreeForm"/>
    <w:rsid w:val="006919A2"/>
    <w:rPr>
      <w:rFonts w:ascii="Arial" w:hAnsi="Arial"/>
      <w:sz w:val="22"/>
    </w:rPr>
  </w:style>
  <w:style w:type="paragraph" w:customStyle="1" w:styleId="SOText">
    <w:name w:val="SO Text"/>
    <w:aliases w:val="sot"/>
    <w:link w:val="SOTextChar"/>
    <w:rsid w:val="00FF265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F2655"/>
    <w:rPr>
      <w:sz w:val="22"/>
    </w:rPr>
  </w:style>
  <w:style w:type="paragraph" w:customStyle="1" w:styleId="SOTextNote">
    <w:name w:val="SO TextNote"/>
    <w:aliases w:val="sont"/>
    <w:basedOn w:val="SOText"/>
    <w:qFormat/>
    <w:rsid w:val="00FF2655"/>
    <w:pPr>
      <w:spacing w:before="122" w:line="198" w:lineRule="exact"/>
      <w:ind w:left="1843" w:hanging="709"/>
    </w:pPr>
    <w:rPr>
      <w:sz w:val="18"/>
    </w:rPr>
  </w:style>
  <w:style w:type="paragraph" w:customStyle="1" w:styleId="SOPara">
    <w:name w:val="SO Para"/>
    <w:aliases w:val="soa"/>
    <w:basedOn w:val="SOText"/>
    <w:link w:val="SOParaChar"/>
    <w:qFormat/>
    <w:rsid w:val="00FF2655"/>
    <w:pPr>
      <w:tabs>
        <w:tab w:val="right" w:pos="1786"/>
      </w:tabs>
      <w:spacing w:before="40"/>
      <w:ind w:left="2070" w:hanging="936"/>
    </w:pPr>
  </w:style>
  <w:style w:type="character" w:customStyle="1" w:styleId="SOParaChar">
    <w:name w:val="SO Para Char"/>
    <w:aliases w:val="soa Char"/>
    <w:basedOn w:val="DefaultParagraphFont"/>
    <w:link w:val="SOPara"/>
    <w:rsid w:val="00FF2655"/>
    <w:rPr>
      <w:sz w:val="22"/>
    </w:rPr>
  </w:style>
  <w:style w:type="paragraph" w:customStyle="1" w:styleId="FileName">
    <w:name w:val="FileName"/>
    <w:basedOn w:val="Normal"/>
    <w:rsid w:val="00FF2655"/>
  </w:style>
  <w:style w:type="paragraph" w:customStyle="1" w:styleId="TableHeading">
    <w:name w:val="TableHeading"/>
    <w:aliases w:val="th"/>
    <w:basedOn w:val="OPCParaBase"/>
    <w:next w:val="Tabletext"/>
    <w:rsid w:val="00FF2655"/>
    <w:pPr>
      <w:keepNext/>
      <w:spacing w:before="60" w:line="240" w:lineRule="atLeast"/>
    </w:pPr>
    <w:rPr>
      <w:b/>
      <w:sz w:val="20"/>
    </w:rPr>
  </w:style>
  <w:style w:type="paragraph" w:customStyle="1" w:styleId="SOHeadBold">
    <w:name w:val="SO HeadBold"/>
    <w:aliases w:val="sohb"/>
    <w:basedOn w:val="SOText"/>
    <w:next w:val="SOText"/>
    <w:link w:val="SOHeadBoldChar"/>
    <w:qFormat/>
    <w:rsid w:val="00FF2655"/>
    <w:rPr>
      <w:b/>
    </w:rPr>
  </w:style>
  <w:style w:type="character" w:customStyle="1" w:styleId="SOHeadBoldChar">
    <w:name w:val="SO HeadBold Char"/>
    <w:aliases w:val="sohb Char"/>
    <w:basedOn w:val="DefaultParagraphFont"/>
    <w:link w:val="SOHeadBold"/>
    <w:rsid w:val="00FF2655"/>
    <w:rPr>
      <w:b/>
      <w:sz w:val="22"/>
    </w:rPr>
  </w:style>
  <w:style w:type="paragraph" w:customStyle="1" w:styleId="SOHeadItalic">
    <w:name w:val="SO HeadItalic"/>
    <w:aliases w:val="sohi"/>
    <w:basedOn w:val="SOText"/>
    <w:next w:val="SOText"/>
    <w:link w:val="SOHeadItalicChar"/>
    <w:qFormat/>
    <w:rsid w:val="00FF2655"/>
    <w:rPr>
      <w:i/>
    </w:rPr>
  </w:style>
  <w:style w:type="character" w:customStyle="1" w:styleId="SOHeadItalicChar">
    <w:name w:val="SO HeadItalic Char"/>
    <w:aliases w:val="sohi Char"/>
    <w:basedOn w:val="DefaultParagraphFont"/>
    <w:link w:val="SOHeadItalic"/>
    <w:rsid w:val="00FF2655"/>
    <w:rPr>
      <w:i/>
      <w:sz w:val="22"/>
    </w:rPr>
  </w:style>
  <w:style w:type="paragraph" w:customStyle="1" w:styleId="SOBullet">
    <w:name w:val="SO Bullet"/>
    <w:aliases w:val="sotb"/>
    <w:basedOn w:val="SOText"/>
    <w:link w:val="SOBulletChar"/>
    <w:qFormat/>
    <w:rsid w:val="00FF2655"/>
    <w:pPr>
      <w:ind w:left="1559" w:hanging="425"/>
    </w:pPr>
  </w:style>
  <w:style w:type="character" w:customStyle="1" w:styleId="SOBulletChar">
    <w:name w:val="SO Bullet Char"/>
    <w:aliases w:val="sotb Char"/>
    <w:basedOn w:val="DefaultParagraphFont"/>
    <w:link w:val="SOBullet"/>
    <w:rsid w:val="00FF2655"/>
    <w:rPr>
      <w:sz w:val="22"/>
    </w:rPr>
  </w:style>
  <w:style w:type="paragraph" w:customStyle="1" w:styleId="SOBulletNote">
    <w:name w:val="SO BulletNote"/>
    <w:aliases w:val="sonb"/>
    <w:basedOn w:val="SOTextNote"/>
    <w:link w:val="SOBulletNoteChar"/>
    <w:qFormat/>
    <w:rsid w:val="00FF2655"/>
    <w:pPr>
      <w:tabs>
        <w:tab w:val="left" w:pos="1560"/>
      </w:tabs>
      <w:ind w:left="2268" w:hanging="1134"/>
    </w:pPr>
  </w:style>
  <w:style w:type="character" w:customStyle="1" w:styleId="SOBulletNoteChar">
    <w:name w:val="SO BulletNote Char"/>
    <w:aliases w:val="sonb Char"/>
    <w:basedOn w:val="DefaultParagraphFont"/>
    <w:link w:val="SOBulletNote"/>
    <w:rsid w:val="00FF2655"/>
    <w:rPr>
      <w:sz w:val="18"/>
    </w:rPr>
  </w:style>
  <w:style w:type="paragraph" w:customStyle="1" w:styleId="SOText2">
    <w:name w:val="SO Text2"/>
    <w:aliases w:val="sot2"/>
    <w:basedOn w:val="Normal"/>
    <w:next w:val="SOText"/>
    <w:link w:val="SOText2Char"/>
    <w:rsid w:val="00FF265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F2655"/>
    <w:rPr>
      <w:sz w:val="22"/>
    </w:rPr>
  </w:style>
  <w:style w:type="paragraph" w:customStyle="1" w:styleId="SubPartCASA">
    <w:name w:val="SubPart(CASA)"/>
    <w:aliases w:val="csp"/>
    <w:basedOn w:val="OPCParaBase"/>
    <w:next w:val="ActHead3"/>
    <w:rsid w:val="00FF265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F2655"/>
    <w:rPr>
      <w:rFonts w:eastAsia="Times New Roman" w:cs="Times New Roman"/>
      <w:sz w:val="22"/>
      <w:lang w:eastAsia="en-AU"/>
    </w:rPr>
  </w:style>
  <w:style w:type="character" w:customStyle="1" w:styleId="notetextChar">
    <w:name w:val="note(text) Char"/>
    <w:aliases w:val="n Char"/>
    <w:basedOn w:val="DefaultParagraphFont"/>
    <w:link w:val="notetext"/>
    <w:rsid w:val="00FF2655"/>
    <w:rPr>
      <w:rFonts w:eastAsia="Times New Roman" w:cs="Times New Roman"/>
      <w:sz w:val="18"/>
      <w:lang w:eastAsia="en-AU"/>
    </w:rPr>
  </w:style>
  <w:style w:type="character" w:customStyle="1" w:styleId="Heading1Char">
    <w:name w:val="Heading 1 Char"/>
    <w:basedOn w:val="DefaultParagraphFont"/>
    <w:link w:val="Heading1"/>
    <w:uiPriority w:val="9"/>
    <w:rsid w:val="00FF2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26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265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F265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F265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F265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F265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F26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655"/>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919A2"/>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655"/>
    <w:pPr>
      <w:spacing w:line="260" w:lineRule="atLeast"/>
    </w:pPr>
    <w:rPr>
      <w:sz w:val="22"/>
    </w:rPr>
  </w:style>
  <w:style w:type="paragraph" w:styleId="Heading1">
    <w:name w:val="heading 1"/>
    <w:basedOn w:val="Normal"/>
    <w:next w:val="Normal"/>
    <w:link w:val="Heading1Char"/>
    <w:uiPriority w:val="9"/>
    <w:qFormat/>
    <w:rsid w:val="00FF2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2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26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26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26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6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26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65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F265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F2655"/>
  </w:style>
  <w:style w:type="paragraph" w:customStyle="1" w:styleId="OPCParaBase">
    <w:name w:val="OPCParaBase"/>
    <w:qFormat/>
    <w:rsid w:val="00FF2655"/>
    <w:pPr>
      <w:spacing w:line="260" w:lineRule="atLeast"/>
    </w:pPr>
    <w:rPr>
      <w:rFonts w:eastAsia="Times New Roman" w:cs="Times New Roman"/>
      <w:sz w:val="22"/>
      <w:lang w:eastAsia="en-AU"/>
    </w:rPr>
  </w:style>
  <w:style w:type="paragraph" w:customStyle="1" w:styleId="ShortT">
    <w:name w:val="ShortT"/>
    <w:basedOn w:val="OPCParaBase"/>
    <w:next w:val="Normal"/>
    <w:qFormat/>
    <w:rsid w:val="00FF2655"/>
    <w:pPr>
      <w:spacing w:line="240" w:lineRule="auto"/>
    </w:pPr>
    <w:rPr>
      <w:b/>
      <w:sz w:val="40"/>
    </w:rPr>
  </w:style>
  <w:style w:type="paragraph" w:customStyle="1" w:styleId="ActHead1">
    <w:name w:val="ActHead 1"/>
    <w:aliases w:val="c"/>
    <w:basedOn w:val="OPCParaBase"/>
    <w:next w:val="Normal"/>
    <w:qFormat/>
    <w:rsid w:val="00FF26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26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26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26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F26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26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26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26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26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2655"/>
  </w:style>
  <w:style w:type="paragraph" w:customStyle="1" w:styleId="Blocks">
    <w:name w:val="Blocks"/>
    <w:aliases w:val="bb"/>
    <w:basedOn w:val="OPCParaBase"/>
    <w:qFormat/>
    <w:rsid w:val="00FF2655"/>
    <w:pPr>
      <w:spacing w:line="240" w:lineRule="auto"/>
    </w:pPr>
    <w:rPr>
      <w:sz w:val="24"/>
    </w:rPr>
  </w:style>
  <w:style w:type="paragraph" w:customStyle="1" w:styleId="BoxText">
    <w:name w:val="BoxText"/>
    <w:aliases w:val="bt"/>
    <w:basedOn w:val="OPCParaBase"/>
    <w:qFormat/>
    <w:rsid w:val="00FF26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2655"/>
    <w:rPr>
      <w:b/>
    </w:rPr>
  </w:style>
  <w:style w:type="paragraph" w:customStyle="1" w:styleId="BoxHeadItalic">
    <w:name w:val="BoxHeadItalic"/>
    <w:aliases w:val="bhi"/>
    <w:basedOn w:val="BoxText"/>
    <w:next w:val="BoxStep"/>
    <w:qFormat/>
    <w:rsid w:val="00FF2655"/>
    <w:rPr>
      <w:i/>
    </w:rPr>
  </w:style>
  <w:style w:type="paragraph" w:customStyle="1" w:styleId="BoxList">
    <w:name w:val="BoxList"/>
    <w:aliases w:val="bl"/>
    <w:basedOn w:val="BoxText"/>
    <w:qFormat/>
    <w:rsid w:val="00FF2655"/>
    <w:pPr>
      <w:ind w:left="1559" w:hanging="425"/>
    </w:pPr>
  </w:style>
  <w:style w:type="paragraph" w:customStyle="1" w:styleId="BoxNote">
    <w:name w:val="BoxNote"/>
    <w:aliases w:val="bn"/>
    <w:basedOn w:val="BoxText"/>
    <w:qFormat/>
    <w:rsid w:val="00FF2655"/>
    <w:pPr>
      <w:tabs>
        <w:tab w:val="left" w:pos="1985"/>
      </w:tabs>
      <w:spacing w:before="122" w:line="198" w:lineRule="exact"/>
      <w:ind w:left="2948" w:hanging="1814"/>
    </w:pPr>
    <w:rPr>
      <w:sz w:val="18"/>
    </w:rPr>
  </w:style>
  <w:style w:type="paragraph" w:customStyle="1" w:styleId="BoxPara">
    <w:name w:val="BoxPara"/>
    <w:aliases w:val="bp"/>
    <w:basedOn w:val="BoxText"/>
    <w:qFormat/>
    <w:rsid w:val="00FF2655"/>
    <w:pPr>
      <w:tabs>
        <w:tab w:val="right" w:pos="2268"/>
      </w:tabs>
      <w:ind w:left="2552" w:hanging="1418"/>
    </w:pPr>
  </w:style>
  <w:style w:type="paragraph" w:customStyle="1" w:styleId="BoxStep">
    <w:name w:val="BoxStep"/>
    <w:aliases w:val="bs"/>
    <w:basedOn w:val="BoxText"/>
    <w:qFormat/>
    <w:rsid w:val="00FF2655"/>
    <w:pPr>
      <w:ind w:left="1985" w:hanging="851"/>
    </w:pPr>
  </w:style>
  <w:style w:type="character" w:customStyle="1" w:styleId="CharAmPartNo">
    <w:name w:val="CharAmPartNo"/>
    <w:basedOn w:val="OPCCharBase"/>
    <w:qFormat/>
    <w:rsid w:val="00FF2655"/>
  </w:style>
  <w:style w:type="character" w:customStyle="1" w:styleId="CharAmPartText">
    <w:name w:val="CharAmPartText"/>
    <w:basedOn w:val="OPCCharBase"/>
    <w:qFormat/>
    <w:rsid w:val="00FF2655"/>
  </w:style>
  <w:style w:type="character" w:customStyle="1" w:styleId="CharAmSchNo">
    <w:name w:val="CharAmSchNo"/>
    <w:basedOn w:val="OPCCharBase"/>
    <w:qFormat/>
    <w:rsid w:val="00FF2655"/>
  </w:style>
  <w:style w:type="character" w:customStyle="1" w:styleId="CharAmSchText">
    <w:name w:val="CharAmSchText"/>
    <w:basedOn w:val="OPCCharBase"/>
    <w:qFormat/>
    <w:rsid w:val="00FF2655"/>
  </w:style>
  <w:style w:type="character" w:customStyle="1" w:styleId="CharBoldItalic">
    <w:name w:val="CharBoldItalic"/>
    <w:basedOn w:val="OPCCharBase"/>
    <w:uiPriority w:val="1"/>
    <w:qFormat/>
    <w:rsid w:val="00FF2655"/>
    <w:rPr>
      <w:b/>
      <w:i/>
    </w:rPr>
  </w:style>
  <w:style w:type="character" w:customStyle="1" w:styleId="CharChapNo">
    <w:name w:val="CharChapNo"/>
    <w:basedOn w:val="OPCCharBase"/>
    <w:uiPriority w:val="1"/>
    <w:qFormat/>
    <w:rsid w:val="00FF2655"/>
  </w:style>
  <w:style w:type="character" w:customStyle="1" w:styleId="CharChapText">
    <w:name w:val="CharChapText"/>
    <w:basedOn w:val="OPCCharBase"/>
    <w:uiPriority w:val="1"/>
    <w:qFormat/>
    <w:rsid w:val="00FF2655"/>
  </w:style>
  <w:style w:type="character" w:customStyle="1" w:styleId="CharDivNo">
    <w:name w:val="CharDivNo"/>
    <w:basedOn w:val="OPCCharBase"/>
    <w:uiPriority w:val="1"/>
    <w:qFormat/>
    <w:rsid w:val="00FF2655"/>
  </w:style>
  <w:style w:type="character" w:customStyle="1" w:styleId="CharDivText">
    <w:name w:val="CharDivText"/>
    <w:basedOn w:val="OPCCharBase"/>
    <w:uiPriority w:val="1"/>
    <w:qFormat/>
    <w:rsid w:val="00FF2655"/>
  </w:style>
  <w:style w:type="character" w:customStyle="1" w:styleId="CharItalic">
    <w:name w:val="CharItalic"/>
    <w:basedOn w:val="OPCCharBase"/>
    <w:uiPriority w:val="1"/>
    <w:qFormat/>
    <w:rsid w:val="00FF2655"/>
    <w:rPr>
      <w:i/>
    </w:rPr>
  </w:style>
  <w:style w:type="character" w:customStyle="1" w:styleId="CharPartNo">
    <w:name w:val="CharPartNo"/>
    <w:basedOn w:val="OPCCharBase"/>
    <w:uiPriority w:val="1"/>
    <w:qFormat/>
    <w:rsid w:val="00FF2655"/>
  </w:style>
  <w:style w:type="character" w:customStyle="1" w:styleId="CharPartText">
    <w:name w:val="CharPartText"/>
    <w:basedOn w:val="OPCCharBase"/>
    <w:uiPriority w:val="1"/>
    <w:qFormat/>
    <w:rsid w:val="00FF2655"/>
  </w:style>
  <w:style w:type="character" w:customStyle="1" w:styleId="CharSectno">
    <w:name w:val="CharSectno"/>
    <w:basedOn w:val="OPCCharBase"/>
    <w:qFormat/>
    <w:rsid w:val="00FF2655"/>
  </w:style>
  <w:style w:type="character" w:customStyle="1" w:styleId="CharSubdNo">
    <w:name w:val="CharSubdNo"/>
    <w:basedOn w:val="OPCCharBase"/>
    <w:uiPriority w:val="1"/>
    <w:qFormat/>
    <w:rsid w:val="00FF2655"/>
  </w:style>
  <w:style w:type="character" w:customStyle="1" w:styleId="CharSubdText">
    <w:name w:val="CharSubdText"/>
    <w:basedOn w:val="OPCCharBase"/>
    <w:uiPriority w:val="1"/>
    <w:qFormat/>
    <w:rsid w:val="00FF2655"/>
  </w:style>
  <w:style w:type="paragraph" w:customStyle="1" w:styleId="CTA--">
    <w:name w:val="CTA --"/>
    <w:basedOn w:val="OPCParaBase"/>
    <w:next w:val="Normal"/>
    <w:rsid w:val="00FF2655"/>
    <w:pPr>
      <w:spacing w:before="60" w:line="240" w:lineRule="atLeast"/>
      <w:ind w:left="142" w:hanging="142"/>
    </w:pPr>
    <w:rPr>
      <w:sz w:val="20"/>
    </w:rPr>
  </w:style>
  <w:style w:type="paragraph" w:customStyle="1" w:styleId="CTA-">
    <w:name w:val="CTA -"/>
    <w:basedOn w:val="OPCParaBase"/>
    <w:rsid w:val="00FF2655"/>
    <w:pPr>
      <w:spacing w:before="60" w:line="240" w:lineRule="atLeast"/>
      <w:ind w:left="85" w:hanging="85"/>
    </w:pPr>
    <w:rPr>
      <w:sz w:val="20"/>
    </w:rPr>
  </w:style>
  <w:style w:type="paragraph" w:customStyle="1" w:styleId="CTA---">
    <w:name w:val="CTA ---"/>
    <w:basedOn w:val="OPCParaBase"/>
    <w:next w:val="Normal"/>
    <w:rsid w:val="00FF2655"/>
    <w:pPr>
      <w:spacing w:before="60" w:line="240" w:lineRule="atLeast"/>
      <w:ind w:left="198" w:hanging="198"/>
    </w:pPr>
    <w:rPr>
      <w:sz w:val="20"/>
    </w:rPr>
  </w:style>
  <w:style w:type="paragraph" w:customStyle="1" w:styleId="CTA----">
    <w:name w:val="CTA ----"/>
    <w:basedOn w:val="OPCParaBase"/>
    <w:next w:val="Normal"/>
    <w:rsid w:val="00FF2655"/>
    <w:pPr>
      <w:spacing w:before="60" w:line="240" w:lineRule="atLeast"/>
      <w:ind w:left="255" w:hanging="255"/>
    </w:pPr>
    <w:rPr>
      <w:sz w:val="20"/>
    </w:rPr>
  </w:style>
  <w:style w:type="paragraph" w:customStyle="1" w:styleId="CTA1a">
    <w:name w:val="CTA 1(a)"/>
    <w:basedOn w:val="OPCParaBase"/>
    <w:rsid w:val="00FF2655"/>
    <w:pPr>
      <w:tabs>
        <w:tab w:val="right" w:pos="414"/>
      </w:tabs>
      <w:spacing w:before="40" w:line="240" w:lineRule="atLeast"/>
      <w:ind w:left="675" w:hanging="675"/>
    </w:pPr>
    <w:rPr>
      <w:sz w:val="20"/>
    </w:rPr>
  </w:style>
  <w:style w:type="paragraph" w:customStyle="1" w:styleId="CTA1ai">
    <w:name w:val="CTA 1(a)(i)"/>
    <w:basedOn w:val="OPCParaBase"/>
    <w:rsid w:val="00FF2655"/>
    <w:pPr>
      <w:tabs>
        <w:tab w:val="right" w:pos="1004"/>
      </w:tabs>
      <w:spacing w:before="40" w:line="240" w:lineRule="atLeast"/>
      <w:ind w:left="1253" w:hanging="1253"/>
    </w:pPr>
    <w:rPr>
      <w:sz w:val="20"/>
    </w:rPr>
  </w:style>
  <w:style w:type="paragraph" w:customStyle="1" w:styleId="CTA2a">
    <w:name w:val="CTA 2(a)"/>
    <w:basedOn w:val="OPCParaBase"/>
    <w:rsid w:val="00FF2655"/>
    <w:pPr>
      <w:tabs>
        <w:tab w:val="right" w:pos="482"/>
      </w:tabs>
      <w:spacing w:before="40" w:line="240" w:lineRule="atLeast"/>
      <w:ind w:left="748" w:hanging="748"/>
    </w:pPr>
    <w:rPr>
      <w:sz w:val="20"/>
    </w:rPr>
  </w:style>
  <w:style w:type="paragraph" w:customStyle="1" w:styleId="CTA2ai">
    <w:name w:val="CTA 2(a)(i)"/>
    <w:basedOn w:val="OPCParaBase"/>
    <w:rsid w:val="00FF2655"/>
    <w:pPr>
      <w:tabs>
        <w:tab w:val="right" w:pos="1089"/>
      </w:tabs>
      <w:spacing w:before="40" w:line="240" w:lineRule="atLeast"/>
      <w:ind w:left="1327" w:hanging="1327"/>
    </w:pPr>
    <w:rPr>
      <w:sz w:val="20"/>
    </w:rPr>
  </w:style>
  <w:style w:type="paragraph" w:customStyle="1" w:styleId="CTA3a">
    <w:name w:val="CTA 3(a)"/>
    <w:basedOn w:val="OPCParaBase"/>
    <w:rsid w:val="00FF2655"/>
    <w:pPr>
      <w:tabs>
        <w:tab w:val="right" w:pos="556"/>
      </w:tabs>
      <w:spacing w:before="40" w:line="240" w:lineRule="atLeast"/>
      <w:ind w:left="805" w:hanging="805"/>
    </w:pPr>
    <w:rPr>
      <w:sz w:val="20"/>
    </w:rPr>
  </w:style>
  <w:style w:type="paragraph" w:customStyle="1" w:styleId="CTA3ai">
    <w:name w:val="CTA 3(a)(i)"/>
    <w:basedOn w:val="OPCParaBase"/>
    <w:rsid w:val="00FF2655"/>
    <w:pPr>
      <w:tabs>
        <w:tab w:val="right" w:pos="1140"/>
      </w:tabs>
      <w:spacing w:before="40" w:line="240" w:lineRule="atLeast"/>
      <w:ind w:left="1361" w:hanging="1361"/>
    </w:pPr>
    <w:rPr>
      <w:sz w:val="20"/>
    </w:rPr>
  </w:style>
  <w:style w:type="paragraph" w:customStyle="1" w:styleId="CTA4a">
    <w:name w:val="CTA 4(a)"/>
    <w:basedOn w:val="OPCParaBase"/>
    <w:rsid w:val="00FF2655"/>
    <w:pPr>
      <w:tabs>
        <w:tab w:val="right" w:pos="624"/>
      </w:tabs>
      <w:spacing w:before="40" w:line="240" w:lineRule="atLeast"/>
      <w:ind w:left="873" w:hanging="873"/>
    </w:pPr>
    <w:rPr>
      <w:sz w:val="20"/>
    </w:rPr>
  </w:style>
  <w:style w:type="paragraph" w:customStyle="1" w:styleId="CTA4ai">
    <w:name w:val="CTA 4(a)(i)"/>
    <w:basedOn w:val="OPCParaBase"/>
    <w:rsid w:val="00FF2655"/>
    <w:pPr>
      <w:tabs>
        <w:tab w:val="right" w:pos="1213"/>
      </w:tabs>
      <w:spacing w:before="40" w:line="240" w:lineRule="atLeast"/>
      <w:ind w:left="1452" w:hanging="1452"/>
    </w:pPr>
    <w:rPr>
      <w:sz w:val="20"/>
    </w:rPr>
  </w:style>
  <w:style w:type="paragraph" w:customStyle="1" w:styleId="CTACAPS">
    <w:name w:val="CTA CAPS"/>
    <w:basedOn w:val="OPCParaBase"/>
    <w:rsid w:val="00FF2655"/>
    <w:pPr>
      <w:spacing w:before="60" w:line="240" w:lineRule="atLeast"/>
    </w:pPr>
    <w:rPr>
      <w:sz w:val="20"/>
    </w:rPr>
  </w:style>
  <w:style w:type="paragraph" w:customStyle="1" w:styleId="CTAright">
    <w:name w:val="CTA right"/>
    <w:basedOn w:val="OPCParaBase"/>
    <w:rsid w:val="00FF2655"/>
    <w:pPr>
      <w:spacing w:before="60" w:line="240" w:lineRule="auto"/>
      <w:jc w:val="right"/>
    </w:pPr>
    <w:rPr>
      <w:sz w:val="20"/>
    </w:rPr>
  </w:style>
  <w:style w:type="paragraph" w:customStyle="1" w:styleId="subsection">
    <w:name w:val="subsection"/>
    <w:aliases w:val="ss"/>
    <w:basedOn w:val="OPCParaBase"/>
    <w:link w:val="subsectionChar"/>
    <w:rsid w:val="00FF2655"/>
    <w:pPr>
      <w:tabs>
        <w:tab w:val="right" w:pos="1021"/>
      </w:tabs>
      <w:spacing w:before="180" w:line="240" w:lineRule="auto"/>
      <w:ind w:left="1134" w:hanging="1134"/>
    </w:pPr>
  </w:style>
  <w:style w:type="paragraph" w:customStyle="1" w:styleId="Definition">
    <w:name w:val="Definition"/>
    <w:aliases w:val="dd"/>
    <w:basedOn w:val="OPCParaBase"/>
    <w:rsid w:val="00FF2655"/>
    <w:pPr>
      <w:spacing w:before="180" w:line="240" w:lineRule="auto"/>
      <w:ind w:left="1134"/>
    </w:pPr>
  </w:style>
  <w:style w:type="paragraph" w:customStyle="1" w:styleId="ETAsubitem">
    <w:name w:val="ETA(subitem)"/>
    <w:basedOn w:val="OPCParaBase"/>
    <w:rsid w:val="00FF2655"/>
    <w:pPr>
      <w:tabs>
        <w:tab w:val="right" w:pos="340"/>
      </w:tabs>
      <w:spacing w:before="60" w:line="240" w:lineRule="auto"/>
      <w:ind w:left="454" w:hanging="454"/>
    </w:pPr>
    <w:rPr>
      <w:sz w:val="20"/>
    </w:rPr>
  </w:style>
  <w:style w:type="paragraph" w:customStyle="1" w:styleId="ETApara">
    <w:name w:val="ETA(para)"/>
    <w:basedOn w:val="OPCParaBase"/>
    <w:rsid w:val="00FF2655"/>
    <w:pPr>
      <w:tabs>
        <w:tab w:val="right" w:pos="754"/>
      </w:tabs>
      <w:spacing w:before="60" w:line="240" w:lineRule="auto"/>
      <w:ind w:left="828" w:hanging="828"/>
    </w:pPr>
    <w:rPr>
      <w:sz w:val="20"/>
    </w:rPr>
  </w:style>
  <w:style w:type="paragraph" w:customStyle="1" w:styleId="ETAsubpara">
    <w:name w:val="ETA(subpara)"/>
    <w:basedOn w:val="OPCParaBase"/>
    <w:rsid w:val="00FF2655"/>
    <w:pPr>
      <w:tabs>
        <w:tab w:val="right" w:pos="1083"/>
      </w:tabs>
      <w:spacing w:before="60" w:line="240" w:lineRule="auto"/>
      <w:ind w:left="1191" w:hanging="1191"/>
    </w:pPr>
    <w:rPr>
      <w:sz w:val="20"/>
    </w:rPr>
  </w:style>
  <w:style w:type="paragraph" w:customStyle="1" w:styleId="ETAsub-subpara">
    <w:name w:val="ETA(sub-subpara)"/>
    <w:basedOn w:val="OPCParaBase"/>
    <w:rsid w:val="00FF2655"/>
    <w:pPr>
      <w:tabs>
        <w:tab w:val="right" w:pos="1412"/>
      </w:tabs>
      <w:spacing w:before="60" w:line="240" w:lineRule="auto"/>
      <w:ind w:left="1525" w:hanging="1525"/>
    </w:pPr>
    <w:rPr>
      <w:sz w:val="20"/>
    </w:rPr>
  </w:style>
  <w:style w:type="paragraph" w:customStyle="1" w:styleId="Formula">
    <w:name w:val="Formula"/>
    <w:basedOn w:val="OPCParaBase"/>
    <w:rsid w:val="00FF2655"/>
    <w:pPr>
      <w:spacing w:line="240" w:lineRule="auto"/>
      <w:ind w:left="1134"/>
    </w:pPr>
    <w:rPr>
      <w:sz w:val="20"/>
    </w:rPr>
  </w:style>
  <w:style w:type="paragraph" w:styleId="Header">
    <w:name w:val="header"/>
    <w:basedOn w:val="OPCParaBase"/>
    <w:link w:val="HeaderChar"/>
    <w:unhideWhenUsed/>
    <w:rsid w:val="00FF26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2655"/>
    <w:rPr>
      <w:rFonts w:eastAsia="Times New Roman" w:cs="Times New Roman"/>
      <w:sz w:val="16"/>
      <w:lang w:eastAsia="en-AU"/>
    </w:rPr>
  </w:style>
  <w:style w:type="paragraph" w:customStyle="1" w:styleId="House">
    <w:name w:val="House"/>
    <w:basedOn w:val="OPCParaBase"/>
    <w:rsid w:val="00FF2655"/>
    <w:pPr>
      <w:spacing w:line="240" w:lineRule="auto"/>
    </w:pPr>
    <w:rPr>
      <w:sz w:val="28"/>
    </w:rPr>
  </w:style>
  <w:style w:type="paragraph" w:customStyle="1" w:styleId="Item">
    <w:name w:val="Item"/>
    <w:aliases w:val="i"/>
    <w:basedOn w:val="OPCParaBase"/>
    <w:next w:val="ItemHead"/>
    <w:rsid w:val="00FF2655"/>
    <w:pPr>
      <w:keepLines/>
      <w:spacing w:before="80" w:line="240" w:lineRule="auto"/>
      <w:ind w:left="709"/>
    </w:pPr>
  </w:style>
  <w:style w:type="paragraph" w:customStyle="1" w:styleId="ItemHead">
    <w:name w:val="ItemHead"/>
    <w:aliases w:val="ih"/>
    <w:basedOn w:val="OPCParaBase"/>
    <w:next w:val="Item"/>
    <w:rsid w:val="00FF265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2655"/>
    <w:pPr>
      <w:spacing w:line="240" w:lineRule="auto"/>
    </w:pPr>
    <w:rPr>
      <w:b/>
      <w:sz w:val="32"/>
    </w:rPr>
  </w:style>
  <w:style w:type="paragraph" w:customStyle="1" w:styleId="notedraft">
    <w:name w:val="note(draft)"/>
    <w:aliases w:val="nd"/>
    <w:basedOn w:val="OPCParaBase"/>
    <w:rsid w:val="00FF2655"/>
    <w:pPr>
      <w:spacing w:before="240" w:line="240" w:lineRule="auto"/>
      <w:ind w:left="284" w:hanging="284"/>
    </w:pPr>
    <w:rPr>
      <w:i/>
      <w:sz w:val="24"/>
    </w:rPr>
  </w:style>
  <w:style w:type="paragraph" w:customStyle="1" w:styleId="notemargin">
    <w:name w:val="note(margin)"/>
    <w:aliases w:val="nm"/>
    <w:basedOn w:val="OPCParaBase"/>
    <w:rsid w:val="00FF2655"/>
    <w:pPr>
      <w:tabs>
        <w:tab w:val="left" w:pos="709"/>
      </w:tabs>
      <w:spacing w:before="122" w:line="198" w:lineRule="exact"/>
      <w:ind w:left="709" w:hanging="709"/>
    </w:pPr>
    <w:rPr>
      <w:sz w:val="18"/>
    </w:rPr>
  </w:style>
  <w:style w:type="paragraph" w:customStyle="1" w:styleId="noteToPara">
    <w:name w:val="noteToPara"/>
    <w:aliases w:val="ntp"/>
    <w:basedOn w:val="OPCParaBase"/>
    <w:rsid w:val="00FF2655"/>
    <w:pPr>
      <w:spacing w:before="122" w:line="198" w:lineRule="exact"/>
      <w:ind w:left="2353" w:hanging="709"/>
    </w:pPr>
    <w:rPr>
      <w:sz w:val="18"/>
    </w:rPr>
  </w:style>
  <w:style w:type="paragraph" w:customStyle="1" w:styleId="noteParlAmend">
    <w:name w:val="note(ParlAmend)"/>
    <w:aliases w:val="npp"/>
    <w:basedOn w:val="OPCParaBase"/>
    <w:next w:val="ParlAmend"/>
    <w:rsid w:val="00FF2655"/>
    <w:pPr>
      <w:spacing w:line="240" w:lineRule="auto"/>
      <w:jc w:val="right"/>
    </w:pPr>
    <w:rPr>
      <w:rFonts w:ascii="Arial" w:hAnsi="Arial"/>
      <w:b/>
      <w:i/>
    </w:rPr>
  </w:style>
  <w:style w:type="paragraph" w:customStyle="1" w:styleId="Page1">
    <w:name w:val="Page1"/>
    <w:basedOn w:val="OPCParaBase"/>
    <w:rsid w:val="00FF2655"/>
    <w:pPr>
      <w:spacing w:before="5600" w:line="240" w:lineRule="auto"/>
    </w:pPr>
    <w:rPr>
      <w:b/>
      <w:sz w:val="32"/>
    </w:rPr>
  </w:style>
  <w:style w:type="paragraph" w:customStyle="1" w:styleId="PageBreak">
    <w:name w:val="PageBreak"/>
    <w:aliases w:val="pb"/>
    <w:basedOn w:val="OPCParaBase"/>
    <w:rsid w:val="00FF2655"/>
    <w:pPr>
      <w:spacing w:line="240" w:lineRule="auto"/>
    </w:pPr>
    <w:rPr>
      <w:sz w:val="20"/>
    </w:rPr>
  </w:style>
  <w:style w:type="paragraph" w:customStyle="1" w:styleId="paragraphsub">
    <w:name w:val="paragraph(sub)"/>
    <w:aliases w:val="aa"/>
    <w:basedOn w:val="OPCParaBase"/>
    <w:rsid w:val="00FF2655"/>
    <w:pPr>
      <w:tabs>
        <w:tab w:val="right" w:pos="1985"/>
      </w:tabs>
      <w:spacing w:before="40" w:line="240" w:lineRule="auto"/>
      <w:ind w:left="2098" w:hanging="2098"/>
    </w:pPr>
  </w:style>
  <w:style w:type="paragraph" w:customStyle="1" w:styleId="paragraphsub-sub">
    <w:name w:val="paragraph(sub-sub)"/>
    <w:aliases w:val="aaa"/>
    <w:basedOn w:val="OPCParaBase"/>
    <w:rsid w:val="00FF2655"/>
    <w:pPr>
      <w:tabs>
        <w:tab w:val="right" w:pos="2722"/>
      </w:tabs>
      <w:spacing w:before="40" w:line="240" w:lineRule="auto"/>
      <w:ind w:left="2835" w:hanging="2835"/>
    </w:pPr>
  </w:style>
  <w:style w:type="paragraph" w:customStyle="1" w:styleId="paragraph">
    <w:name w:val="paragraph"/>
    <w:aliases w:val="a"/>
    <w:basedOn w:val="OPCParaBase"/>
    <w:link w:val="paragraphChar"/>
    <w:rsid w:val="00FF2655"/>
    <w:pPr>
      <w:tabs>
        <w:tab w:val="right" w:pos="1531"/>
      </w:tabs>
      <w:spacing w:before="40" w:line="240" w:lineRule="auto"/>
      <w:ind w:left="1644" w:hanging="1644"/>
    </w:pPr>
  </w:style>
  <w:style w:type="paragraph" w:customStyle="1" w:styleId="ParlAmend">
    <w:name w:val="ParlAmend"/>
    <w:aliases w:val="pp"/>
    <w:basedOn w:val="OPCParaBase"/>
    <w:rsid w:val="00FF2655"/>
    <w:pPr>
      <w:spacing w:before="240" w:line="240" w:lineRule="atLeast"/>
      <w:ind w:hanging="567"/>
    </w:pPr>
    <w:rPr>
      <w:sz w:val="24"/>
    </w:rPr>
  </w:style>
  <w:style w:type="paragraph" w:customStyle="1" w:styleId="Penalty">
    <w:name w:val="Penalty"/>
    <w:basedOn w:val="OPCParaBase"/>
    <w:rsid w:val="00FF2655"/>
    <w:pPr>
      <w:tabs>
        <w:tab w:val="left" w:pos="2977"/>
      </w:tabs>
      <w:spacing w:before="180" w:line="240" w:lineRule="auto"/>
      <w:ind w:left="1985" w:hanging="851"/>
    </w:pPr>
  </w:style>
  <w:style w:type="paragraph" w:customStyle="1" w:styleId="Portfolio">
    <w:name w:val="Portfolio"/>
    <w:basedOn w:val="OPCParaBase"/>
    <w:rsid w:val="00FF2655"/>
    <w:pPr>
      <w:spacing w:line="240" w:lineRule="auto"/>
    </w:pPr>
    <w:rPr>
      <w:i/>
      <w:sz w:val="20"/>
    </w:rPr>
  </w:style>
  <w:style w:type="paragraph" w:customStyle="1" w:styleId="Preamble">
    <w:name w:val="Preamble"/>
    <w:basedOn w:val="OPCParaBase"/>
    <w:next w:val="Normal"/>
    <w:rsid w:val="00FF26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2655"/>
    <w:pPr>
      <w:spacing w:line="240" w:lineRule="auto"/>
    </w:pPr>
    <w:rPr>
      <w:i/>
      <w:sz w:val="20"/>
    </w:rPr>
  </w:style>
  <w:style w:type="paragraph" w:customStyle="1" w:styleId="Session">
    <w:name w:val="Session"/>
    <w:basedOn w:val="OPCParaBase"/>
    <w:rsid w:val="00FF2655"/>
    <w:pPr>
      <w:spacing w:line="240" w:lineRule="auto"/>
    </w:pPr>
    <w:rPr>
      <w:sz w:val="28"/>
    </w:rPr>
  </w:style>
  <w:style w:type="paragraph" w:customStyle="1" w:styleId="Sponsor">
    <w:name w:val="Sponsor"/>
    <w:basedOn w:val="OPCParaBase"/>
    <w:rsid w:val="00FF2655"/>
    <w:pPr>
      <w:spacing w:line="240" w:lineRule="auto"/>
    </w:pPr>
    <w:rPr>
      <w:i/>
    </w:rPr>
  </w:style>
  <w:style w:type="paragraph" w:customStyle="1" w:styleId="Subitem">
    <w:name w:val="Subitem"/>
    <w:aliases w:val="iss"/>
    <w:basedOn w:val="OPCParaBase"/>
    <w:rsid w:val="00FF2655"/>
    <w:pPr>
      <w:spacing w:before="180" w:line="240" w:lineRule="auto"/>
      <w:ind w:left="709" w:hanging="709"/>
    </w:pPr>
  </w:style>
  <w:style w:type="paragraph" w:customStyle="1" w:styleId="SubitemHead">
    <w:name w:val="SubitemHead"/>
    <w:aliases w:val="issh"/>
    <w:basedOn w:val="OPCParaBase"/>
    <w:rsid w:val="00FF26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2655"/>
    <w:pPr>
      <w:spacing w:before="40" w:line="240" w:lineRule="auto"/>
      <w:ind w:left="1134"/>
    </w:pPr>
  </w:style>
  <w:style w:type="paragraph" w:customStyle="1" w:styleId="SubsectionHead">
    <w:name w:val="SubsectionHead"/>
    <w:aliases w:val="ssh"/>
    <w:basedOn w:val="OPCParaBase"/>
    <w:next w:val="subsection"/>
    <w:rsid w:val="00FF2655"/>
    <w:pPr>
      <w:keepNext/>
      <w:keepLines/>
      <w:spacing w:before="240" w:line="240" w:lineRule="auto"/>
      <w:ind w:left="1134"/>
    </w:pPr>
    <w:rPr>
      <w:i/>
    </w:rPr>
  </w:style>
  <w:style w:type="paragraph" w:customStyle="1" w:styleId="Tablea">
    <w:name w:val="Table(a)"/>
    <w:aliases w:val="ta"/>
    <w:basedOn w:val="OPCParaBase"/>
    <w:rsid w:val="00FF2655"/>
    <w:pPr>
      <w:spacing w:before="60" w:line="240" w:lineRule="auto"/>
      <w:ind w:left="284" w:hanging="284"/>
    </w:pPr>
    <w:rPr>
      <w:sz w:val="20"/>
    </w:rPr>
  </w:style>
  <w:style w:type="paragraph" w:customStyle="1" w:styleId="TableAA">
    <w:name w:val="Table(AA)"/>
    <w:aliases w:val="taaa"/>
    <w:basedOn w:val="OPCParaBase"/>
    <w:rsid w:val="00FF26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26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2655"/>
    <w:pPr>
      <w:spacing w:before="60" w:line="240" w:lineRule="atLeast"/>
    </w:pPr>
    <w:rPr>
      <w:sz w:val="20"/>
    </w:rPr>
  </w:style>
  <w:style w:type="paragraph" w:customStyle="1" w:styleId="TLPBoxTextnote">
    <w:name w:val="TLPBoxText(note"/>
    <w:aliases w:val="right)"/>
    <w:basedOn w:val="OPCParaBase"/>
    <w:rsid w:val="00FF26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26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2655"/>
    <w:pPr>
      <w:spacing w:before="122" w:line="198" w:lineRule="exact"/>
      <w:ind w:left="1985" w:hanging="851"/>
      <w:jc w:val="right"/>
    </w:pPr>
    <w:rPr>
      <w:sz w:val="18"/>
    </w:rPr>
  </w:style>
  <w:style w:type="paragraph" w:customStyle="1" w:styleId="TLPTableBullet">
    <w:name w:val="TLPTableBullet"/>
    <w:aliases w:val="ttb"/>
    <w:basedOn w:val="OPCParaBase"/>
    <w:rsid w:val="00FF2655"/>
    <w:pPr>
      <w:spacing w:line="240" w:lineRule="exact"/>
      <w:ind w:left="284" w:hanging="284"/>
    </w:pPr>
    <w:rPr>
      <w:sz w:val="20"/>
    </w:rPr>
  </w:style>
  <w:style w:type="paragraph" w:styleId="TOC1">
    <w:name w:val="toc 1"/>
    <w:basedOn w:val="OPCParaBase"/>
    <w:next w:val="Normal"/>
    <w:uiPriority w:val="39"/>
    <w:semiHidden/>
    <w:unhideWhenUsed/>
    <w:rsid w:val="00FF265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265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F265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F265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F265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F265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265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F265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F265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2655"/>
    <w:pPr>
      <w:keepLines/>
      <w:spacing w:before="240" w:after="120" w:line="240" w:lineRule="auto"/>
      <w:ind w:left="794"/>
    </w:pPr>
    <w:rPr>
      <w:b/>
      <w:kern w:val="28"/>
      <w:sz w:val="20"/>
    </w:rPr>
  </w:style>
  <w:style w:type="paragraph" w:customStyle="1" w:styleId="TofSectsHeading">
    <w:name w:val="TofSects(Heading)"/>
    <w:basedOn w:val="OPCParaBase"/>
    <w:rsid w:val="00FF2655"/>
    <w:pPr>
      <w:spacing w:before="240" w:after="120" w:line="240" w:lineRule="auto"/>
    </w:pPr>
    <w:rPr>
      <w:b/>
      <w:sz w:val="24"/>
    </w:rPr>
  </w:style>
  <w:style w:type="paragraph" w:customStyle="1" w:styleId="TofSectsSection">
    <w:name w:val="TofSects(Section)"/>
    <w:basedOn w:val="OPCParaBase"/>
    <w:rsid w:val="00FF2655"/>
    <w:pPr>
      <w:keepLines/>
      <w:spacing w:before="40" w:line="240" w:lineRule="auto"/>
      <w:ind w:left="1588" w:hanging="794"/>
    </w:pPr>
    <w:rPr>
      <w:kern w:val="28"/>
      <w:sz w:val="18"/>
    </w:rPr>
  </w:style>
  <w:style w:type="paragraph" w:customStyle="1" w:styleId="TofSectsSubdiv">
    <w:name w:val="TofSects(Subdiv)"/>
    <w:basedOn w:val="OPCParaBase"/>
    <w:rsid w:val="00FF2655"/>
    <w:pPr>
      <w:keepLines/>
      <w:spacing w:before="80" w:line="240" w:lineRule="auto"/>
      <w:ind w:left="1588" w:hanging="794"/>
    </w:pPr>
    <w:rPr>
      <w:kern w:val="28"/>
    </w:rPr>
  </w:style>
  <w:style w:type="paragraph" w:customStyle="1" w:styleId="WRStyle">
    <w:name w:val="WR Style"/>
    <w:aliases w:val="WR"/>
    <w:basedOn w:val="OPCParaBase"/>
    <w:rsid w:val="00FF2655"/>
    <w:pPr>
      <w:spacing w:before="240" w:line="240" w:lineRule="auto"/>
      <w:ind w:left="284" w:hanging="284"/>
    </w:pPr>
    <w:rPr>
      <w:b/>
      <w:i/>
      <w:kern w:val="28"/>
      <w:sz w:val="24"/>
    </w:rPr>
  </w:style>
  <w:style w:type="paragraph" w:customStyle="1" w:styleId="notepara">
    <w:name w:val="note(para)"/>
    <w:aliases w:val="na"/>
    <w:basedOn w:val="OPCParaBase"/>
    <w:rsid w:val="00FF2655"/>
    <w:pPr>
      <w:spacing w:before="40" w:line="198" w:lineRule="exact"/>
      <w:ind w:left="2354" w:hanging="369"/>
    </w:pPr>
    <w:rPr>
      <w:sz w:val="18"/>
    </w:rPr>
  </w:style>
  <w:style w:type="paragraph" w:styleId="Footer">
    <w:name w:val="footer"/>
    <w:link w:val="FooterChar"/>
    <w:rsid w:val="00FF265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F2655"/>
    <w:rPr>
      <w:rFonts w:eastAsia="Times New Roman" w:cs="Times New Roman"/>
      <w:sz w:val="22"/>
      <w:szCs w:val="24"/>
      <w:lang w:eastAsia="en-AU"/>
    </w:rPr>
  </w:style>
  <w:style w:type="character" w:styleId="LineNumber">
    <w:name w:val="line number"/>
    <w:basedOn w:val="OPCCharBase"/>
    <w:uiPriority w:val="99"/>
    <w:semiHidden/>
    <w:unhideWhenUsed/>
    <w:rsid w:val="00FF2655"/>
    <w:rPr>
      <w:sz w:val="16"/>
    </w:rPr>
  </w:style>
  <w:style w:type="table" w:customStyle="1" w:styleId="CFlag">
    <w:name w:val="CFlag"/>
    <w:basedOn w:val="TableNormal"/>
    <w:uiPriority w:val="99"/>
    <w:rsid w:val="00FF2655"/>
    <w:rPr>
      <w:rFonts w:eastAsia="Times New Roman" w:cs="Times New Roman"/>
      <w:lang w:eastAsia="en-AU"/>
    </w:rPr>
    <w:tblPr/>
  </w:style>
  <w:style w:type="paragraph" w:styleId="BalloonText">
    <w:name w:val="Balloon Text"/>
    <w:basedOn w:val="Normal"/>
    <w:link w:val="BalloonTextChar"/>
    <w:uiPriority w:val="99"/>
    <w:semiHidden/>
    <w:unhideWhenUsed/>
    <w:rsid w:val="00FF2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55"/>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F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F2655"/>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FF2655"/>
    <w:rPr>
      <w:i/>
      <w:sz w:val="32"/>
      <w:szCs w:val="32"/>
    </w:rPr>
  </w:style>
  <w:style w:type="paragraph" w:customStyle="1" w:styleId="SignCoverPageEnd">
    <w:name w:val="SignCoverPageEnd"/>
    <w:basedOn w:val="OPCParaBase"/>
    <w:next w:val="Normal"/>
    <w:rsid w:val="00FF265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F2655"/>
    <w:pPr>
      <w:pBdr>
        <w:top w:val="single" w:sz="4" w:space="1" w:color="auto"/>
      </w:pBdr>
      <w:spacing w:before="360"/>
      <w:ind w:right="397"/>
      <w:jc w:val="both"/>
    </w:pPr>
  </w:style>
  <w:style w:type="paragraph" w:customStyle="1" w:styleId="NotesHeading1">
    <w:name w:val="NotesHeading 1"/>
    <w:basedOn w:val="OPCParaBase"/>
    <w:next w:val="Normal"/>
    <w:rsid w:val="00FF2655"/>
    <w:rPr>
      <w:b/>
      <w:sz w:val="28"/>
      <w:szCs w:val="28"/>
    </w:rPr>
  </w:style>
  <w:style w:type="paragraph" w:customStyle="1" w:styleId="NotesHeading2">
    <w:name w:val="NotesHeading 2"/>
    <w:basedOn w:val="OPCParaBase"/>
    <w:next w:val="Normal"/>
    <w:rsid w:val="00FF2655"/>
    <w:rPr>
      <w:b/>
      <w:sz w:val="28"/>
      <w:szCs w:val="28"/>
    </w:rPr>
  </w:style>
  <w:style w:type="paragraph" w:customStyle="1" w:styleId="CompiledActNo">
    <w:name w:val="CompiledActNo"/>
    <w:basedOn w:val="OPCParaBase"/>
    <w:next w:val="Normal"/>
    <w:rsid w:val="00FF2655"/>
    <w:rPr>
      <w:b/>
      <w:sz w:val="24"/>
      <w:szCs w:val="24"/>
    </w:rPr>
  </w:style>
  <w:style w:type="paragraph" w:customStyle="1" w:styleId="CompiledMadeUnder">
    <w:name w:val="CompiledMadeUnder"/>
    <w:basedOn w:val="OPCParaBase"/>
    <w:next w:val="Normal"/>
    <w:rsid w:val="00FF2655"/>
    <w:rPr>
      <w:i/>
      <w:sz w:val="24"/>
      <w:szCs w:val="24"/>
    </w:rPr>
  </w:style>
  <w:style w:type="paragraph" w:customStyle="1" w:styleId="Paragraphsub-sub-sub">
    <w:name w:val="Paragraph(sub-sub-sub)"/>
    <w:aliases w:val="aaaa"/>
    <w:basedOn w:val="OPCParaBase"/>
    <w:rsid w:val="00FF2655"/>
    <w:pPr>
      <w:tabs>
        <w:tab w:val="right" w:pos="3402"/>
      </w:tabs>
      <w:spacing w:before="40" w:line="240" w:lineRule="auto"/>
      <w:ind w:left="3402" w:hanging="3402"/>
    </w:pPr>
  </w:style>
  <w:style w:type="paragraph" w:customStyle="1" w:styleId="NoteToSubpara">
    <w:name w:val="NoteToSubpara"/>
    <w:aliases w:val="nts"/>
    <w:basedOn w:val="OPCParaBase"/>
    <w:rsid w:val="00FF2655"/>
    <w:pPr>
      <w:spacing w:before="40" w:line="198" w:lineRule="exact"/>
      <w:ind w:left="2835" w:hanging="709"/>
    </w:pPr>
    <w:rPr>
      <w:sz w:val="18"/>
    </w:rPr>
  </w:style>
  <w:style w:type="paragraph" w:customStyle="1" w:styleId="EndNotespara">
    <w:name w:val="EndNotes(para)"/>
    <w:aliases w:val="eta"/>
    <w:basedOn w:val="OPCParaBase"/>
    <w:next w:val="EndNotessubpara"/>
    <w:rsid w:val="00FF26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26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26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265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F2655"/>
    <w:pPr>
      <w:keepNext/>
      <w:spacing w:before="60" w:line="240" w:lineRule="atLeast"/>
    </w:pPr>
    <w:rPr>
      <w:rFonts w:ascii="Arial" w:hAnsi="Arial"/>
      <w:b/>
      <w:sz w:val="16"/>
    </w:rPr>
  </w:style>
  <w:style w:type="paragraph" w:customStyle="1" w:styleId="ENoteTTi">
    <w:name w:val="ENoteTTi"/>
    <w:aliases w:val="entti"/>
    <w:basedOn w:val="OPCParaBase"/>
    <w:rsid w:val="00FF2655"/>
    <w:pPr>
      <w:keepNext/>
      <w:spacing w:before="60" w:line="240" w:lineRule="atLeast"/>
      <w:ind w:left="170"/>
    </w:pPr>
    <w:rPr>
      <w:sz w:val="16"/>
    </w:rPr>
  </w:style>
  <w:style w:type="paragraph" w:customStyle="1" w:styleId="ENotesHeading1">
    <w:name w:val="ENotesHeading 1"/>
    <w:aliases w:val="Enh1"/>
    <w:basedOn w:val="OPCParaBase"/>
    <w:next w:val="Normal"/>
    <w:rsid w:val="00FF2655"/>
    <w:pPr>
      <w:spacing w:before="120"/>
      <w:outlineLvl w:val="1"/>
    </w:pPr>
    <w:rPr>
      <w:b/>
      <w:sz w:val="28"/>
      <w:szCs w:val="28"/>
    </w:rPr>
  </w:style>
  <w:style w:type="paragraph" w:customStyle="1" w:styleId="ENotesHeading2">
    <w:name w:val="ENotesHeading 2"/>
    <w:aliases w:val="Enh2"/>
    <w:basedOn w:val="OPCParaBase"/>
    <w:next w:val="Normal"/>
    <w:rsid w:val="00FF2655"/>
    <w:pPr>
      <w:spacing w:before="120" w:after="120"/>
      <w:outlineLvl w:val="2"/>
    </w:pPr>
    <w:rPr>
      <w:b/>
      <w:sz w:val="24"/>
      <w:szCs w:val="28"/>
    </w:rPr>
  </w:style>
  <w:style w:type="paragraph" w:customStyle="1" w:styleId="ENoteTTIndentHeading">
    <w:name w:val="ENoteTTIndentHeading"/>
    <w:aliases w:val="enTTHi"/>
    <w:basedOn w:val="OPCParaBase"/>
    <w:rsid w:val="00FF26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2655"/>
    <w:pPr>
      <w:spacing w:before="60" w:line="240" w:lineRule="atLeast"/>
    </w:pPr>
    <w:rPr>
      <w:sz w:val="16"/>
    </w:rPr>
  </w:style>
  <w:style w:type="paragraph" w:customStyle="1" w:styleId="MadeunderText">
    <w:name w:val="MadeunderText"/>
    <w:basedOn w:val="OPCParaBase"/>
    <w:next w:val="CompiledMadeUnder"/>
    <w:rsid w:val="00FF2655"/>
    <w:pPr>
      <w:spacing w:before="240"/>
    </w:pPr>
    <w:rPr>
      <w:sz w:val="24"/>
      <w:szCs w:val="24"/>
    </w:rPr>
  </w:style>
  <w:style w:type="paragraph" w:customStyle="1" w:styleId="ENotesHeading3">
    <w:name w:val="ENotesHeading 3"/>
    <w:aliases w:val="Enh3"/>
    <w:basedOn w:val="OPCParaBase"/>
    <w:next w:val="Normal"/>
    <w:rsid w:val="00FF2655"/>
    <w:pPr>
      <w:keepNext/>
      <w:spacing w:before="120" w:line="240" w:lineRule="auto"/>
      <w:outlineLvl w:val="4"/>
    </w:pPr>
    <w:rPr>
      <w:b/>
      <w:szCs w:val="24"/>
    </w:rPr>
  </w:style>
  <w:style w:type="character" w:customStyle="1" w:styleId="CharSubPartTextCASA">
    <w:name w:val="CharSubPartText(CASA)"/>
    <w:basedOn w:val="OPCCharBase"/>
    <w:uiPriority w:val="1"/>
    <w:rsid w:val="00FF2655"/>
  </w:style>
  <w:style w:type="character" w:customStyle="1" w:styleId="CharSubPartNoCASA">
    <w:name w:val="CharSubPartNo(CASA)"/>
    <w:basedOn w:val="OPCCharBase"/>
    <w:uiPriority w:val="1"/>
    <w:rsid w:val="00FF2655"/>
  </w:style>
  <w:style w:type="paragraph" w:customStyle="1" w:styleId="ENoteTTIndentHeadingSub">
    <w:name w:val="ENoteTTIndentHeadingSub"/>
    <w:aliases w:val="enTTHis"/>
    <w:basedOn w:val="OPCParaBase"/>
    <w:rsid w:val="00FF2655"/>
    <w:pPr>
      <w:keepNext/>
      <w:spacing w:before="60" w:line="240" w:lineRule="atLeast"/>
      <w:ind w:left="340"/>
    </w:pPr>
    <w:rPr>
      <w:b/>
      <w:sz w:val="16"/>
    </w:rPr>
  </w:style>
  <w:style w:type="paragraph" w:customStyle="1" w:styleId="ENoteTTiSub">
    <w:name w:val="ENoteTTiSub"/>
    <w:aliases w:val="enttis"/>
    <w:basedOn w:val="OPCParaBase"/>
    <w:rsid w:val="00FF2655"/>
    <w:pPr>
      <w:keepNext/>
      <w:spacing w:before="60" w:line="240" w:lineRule="atLeast"/>
      <w:ind w:left="340"/>
    </w:pPr>
    <w:rPr>
      <w:sz w:val="16"/>
    </w:rPr>
  </w:style>
  <w:style w:type="paragraph" w:customStyle="1" w:styleId="SubDivisionMigration">
    <w:name w:val="SubDivisionMigration"/>
    <w:aliases w:val="sdm"/>
    <w:basedOn w:val="OPCParaBase"/>
    <w:rsid w:val="00FF26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265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F2655"/>
    <w:pPr>
      <w:spacing w:before="122" w:line="240" w:lineRule="auto"/>
      <w:ind w:left="1985" w:hanging="851"/>
    </w:pPr>
    <w:rPr>
      <w:sz w:val="18"/>
    </w:rPr>
  </w:style>
  <w:style w:type="paragraph" w:customStyle="1" w:styleId="FreeForm">
    <w:name w:val="FreeForm"/>
    <w:rsid w:val="006919A2"/>
    <w:rPr>
      <w:rFonts w:ascii="Arial" w:hAnsi="Arial"/>
      <w:sz w:val="22"/>
    </w:rPr>
  </w:style>
  <w:style w:type="paragraph" w:customStyle="1" w:styleId="SOText">
    <w:name w:val="SO Text"/>
    <w:aliases w:val="sot"/>
    <w:link w:val="SOTextChar"/>
    <w:rsid w:val="00FF265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F2655"/>
    <w:rPr>
      <w:sz w:val="22"/>
    </w:rPr>
  </w:style>
  <w:style w:type="paragraph" w:customStyle="1" w:styleId="SOTextNote">
    <w:name w:val="SO TextNote"/>
    <w:aliases w:val="sont"/>
    <w:basedOn w:val="SOText"/>
    <w:qFormat/>
    <w:rsid w:val="00FF2655"/>
    <w:pPr>
      <w:spacing w:before="122" w:line="198" w:lineRule="exact"/>
      <w:ind w:left="1843" w:hanging="709"/>
    </w:pPr>
    <w:rPr>
      <w:sz w:val="18"/>
    </w:rPr>
  </w:style>
  <w:style w:type="paragraph" w:customStyle="1" w:styleId="SOPara">
    <w:name w:val="SO Para"/>
    <w:aliases w:val="soa"/>
    <w:basedOn w:val="SOText"/>
    <w:link w:val="SOParaChar"/>
    <w:qFormat/>
    <w:rsid w:val="00FF2655"/>
    <w:pPr>
      <w:tabs>
        <w:tab w:val="right" w:pos="1786"/>
      </w:tabs>
      <w:spacing w:before="40"/>
      <w:ind w:left="2070" w:hanging="936"/>
    </w:pPr>
  </w:style>
  <w:style w:type="character" w:customStyle="1" w:styleId="SOParaChar">
    <w:name w:val="SO Para Char"/>
    <w:aliases w:val="soa Char"/>
    <w:basedOn w:val="DefaultParagraphFont"/>
    <w:link w:val="SOPara"/>
    <w:rsid w:val="00FF2655"/>
    <w:rPr>
      <w:sz w:val="22"/>
    </w:rPr>
  </w:style>
  <w:style w:type="paragraph" w:customStyle="1" w:styleId="FileName">
    <w:name w:val="FileName"/>
    <w:basedOn w:val="Normal"/>
    <w:rsid w:val="00FF2655"/>
  </w:style>
  <w:style w:type="paragraph" w:customStyle="1" w:styleId="TableHeading">
    <w:name w:val="TableHeading"/>
    <w:aliases w:val="th"/>
    <w:basedOn w:val="OPCParaBase"/>
    <w:next w:val="Tabletext"/>
    <w:rsid w:val="00FF2655"/>
    <w:pPr>
      <w:keepNext/>
      <w:spacing w:before="60" w:line="240" w:lineRule="atLeast"/>
    </w:pPr>
    <w:rPr>
      <w:b/>
      <w:sz w:val="20"/>
    </w:rPr>
  </w:style>
  <w:style w:type="paragraph" w:customStyle="1" w:styleId="SOHeadBold">
    <w:name w:val="SO HeadBold"/>
    <w:aliases w:val="sohb"/>
    <w:basedOn w:val="SOText"/>
    <w:next w:val="SOText"/>
    <w:link w:val="SOHeadBoldChar"/>
    <w:qFormat/>
    <w:rsid w:val="00FF2655"/>
    <w:rPr>
      <w:b/>
    </w:rPr>
  </w:style>
  <w:style w:type="character" w:customStyle="1" w:styleId="SOHeadBoldChar">
    <w:name w:val="SO HeadBold Char"/>
    <w:aliases w:val="sohb Char"/>
    <w:basedOn w:val="DefaultParagraphFont"/>
    <w:link w:val="SOHeadBold"/>
    <w:rsid w:val="00FF2655"/>
    <w:rPr>
      <w:b/>
      <w:sz w:val="22"/>
    </w:rPr>
  </w:style>
  <w:style w:type="paragraph" w:customStyle="1" w:styleId="SOHeadItalic">
    <w:name w:val="SO HeadItalic"/>
    <w:aliases w:val="sohi"/>
    <w:basedOn w:val="SOText"/>
    <w:next w:val="SOText"/>
    <w:link w:val="SOHeadItalicChar"/>
    <w:qFormat/>
    <w:rsid w:val="00FF2655"/>
    <w:rPr>
      <w:i/>
    </w:rPr>
  </w:style>
  <w:style w:type="character" w:customStyle="1" w:styleId="SOHeadItalicChar">
    <w:name w:val="SO HeadItalic Char"/>
    <w:aliases w:val="sohi Char"/>
    <w:basedOn w:val="DefaultParagraphFont"/>
    <w:link w:val="SOHeadItalic"/>
    <w:rsid w:val="00FF2655"/>
    <w:rPr>
      <w:i/>
      <w:sz w:val="22"/>
    </w:rPr>
  </w:style>
  <w:style w:type="paragraph" w:customStyle="1" w:styleId="SOBullet">
    <w:name w:val="SO Bullet"/>
    <w:aliases w:val="sotb"/>
    <w:basedOn w:val="SOText"/>
    <w:link w:val="SOBulletChar"/>
    <w:qFormat/>
    <w:rsid w:val="00FF2655"/>
    <w:pPr>
      <w:ind w:left="1559" w:hanging="425"/>
    </w:pPr>
  </w:style>
  <w:style w:type="character" w:customStyle="1" w:styleId="SOBulletChar">
    <w:name w:val="SO Bullet Char"/>
    <w:aliases w:val="sotb Char"/>
    <w:basedOn w:val="DefaultParagraphFont"/>
    <w:link w:val="SOBullet"/>
    <w:rsid w:val="00FF2655"/>
    <w:rPr>
      <w:sz w:val="22"/>
    </w:rPr>
  </w:style>
  <w:style w:type="paragraph" w:customStyle="1" w:styleId="SOBulletNote">
    <w:name w:val="SO BulletNote"/>
    <w:aliases w:val="sonb"/>
    <w:basedOn w:val="SOTextNote"/>
    <w:link w:val="SOBulletNoteChar"/>
    <w:qFormat/>
    <w:rsid w:val="00FF2655"/>
    <w:pPr>
      <w:tabs>
        <w:tab w:val="left" w:pos="1560"/>
      </w:tabs>
      <w:ind w:left="2268" w:hanging="1134"/>
    </w:pPr>
  </w:style>
  <w:style w:type="character" w:customStyle="1" w:styleId="SOBulletNoteChar">
    <w:name w:val="SO BulletNote Char"/>
    <w:aliases w:val="sonb Char"/>
    <w:basedOn w:val="DefaultParagraphFont"/>
    <w:link w:val="SOBulletNote"/>
    <w:rsid w:val="00FF2655"/>
    <w:rPr>
      <w:sz w:val="18"/>
    </w:rPr>
  </w:style>
  <w:style w:type="paragraph" w:customStyle="1" w:styleId="SOText2">
    <w:name w:val="SO Text2"/>
    <w:aliases w:val="sot2"/>
    <w:basedOn w:val="Normal"/>
    <w:next w:val="SOText"/>
    <w:link w:val="SOText2Char"/>
    <w:rsid w:val="00FF265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F2655"/>
    <w:rPr>
      <w:sz w:val="22"/>
    </w:rPr>
  </w:style>
  <w:style w:type="paragraph" w:customStyle="1" w:styleId="SubPartCASA">
    <w:name w:val="SubPart(CASA)"/>
    <w:aliases w:val="csp"/>
    <w:basedOn w:val="OPCParaBase"/>
    <w:next w:val="ActHead3"/>
    <w:rsid w:val="00FF265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F2655"/>
    <w:rPr>
      <w:rFonts w:eastAsia="Times New Roman" w:cs="Times New Roman"/>
      <w:sz w:val="22"/>
      <w:lang w:eastAsia="en-AU"/>
    </w:rPr>
  </w:style>
  <w:style w:type="character" w:customStyle="1" w:styleId="notetextChar">
    <w:name w:val="note(text) Char"/>
    <w:aliases w:val="n Char"/>
    <w:basedOn w:val="DefaultParagraphFont"/>
    <w:link w:val="notetext"/>
    <w:rsid w:val="00FF2655"/>
    <w:rPr>
      <w:rFonts w:eastAsia="Times New Roman" w:cs="Times New Roman"/>
      <w:sz w:val="18"/>
      <w:lang w:eastAsia="en-AU"/>
    </w:rPr>
  </w:style>
  <w:style w:type="character" w:customStyle="1" w:styleId="Heading1Char">
    <w:name w:val="Heading 1 Char"/>
    <w:basedOn w:val="DefaultParagraphFont"/>
    <w:link w:val="Heading1"/>
    <w:uiPriority w:val="9"/>
    <w:rsid w:val="00FF2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26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265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F265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F265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F265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F265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F26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655"/>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919A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F706-9353-4604-B797-75E101E1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33</Pages>
  <Words>7387</Words>
  <Characters>42110</Characters>
  <Application>Microsoft Office Word</Application>
  <DocSecurity>4</DocSecurity>
  <PresentationFormat/>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2017-07-07T06:20:00Z</cp:lastPrinted>
  <dcterms:created xsi:type="dcterms:W3CDTF">2017-07-28T02:46:00Z</dcterms:created>
  <dcterms:modified xsi:type="dcterms:W3CDTF">2017-07-28T02:46:00Z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Ozone Protection and Synthetic Greenhouse Gas Management Legislation Amendment (2017 Measures No. 1) Regulations 2017</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27 July 2017</vt:lpwstr>
  </property>
  <property fmtid="{D5CDD505-2E9C-101B-9397-08002B2CF9AE}" pid="10" name="Authority">
    <vt:lpwstr/>
  </property>
  <property fmtid="{D5CDD505-2E9C-101B-9397-08002B2CF9AE}" pid="11" name="ID">
    <vt:lpwstr>OPC62319</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Ozone Protection and Synthetic Greenhouse Gas Management Act 1995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27 July 2017</vt:lpwstr>
  </property>
</Properties>
</file>