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293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2BFC99" wp14:editId="138654F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1632" w14:textId="77777777" w:rsidR="005E317F" w:rsidRDefault="005E317F" w:rsidP="005E317F">
      <w:pPr>
        <w:rPr>
          <w:sz w:val="19"/>
        </w:rPr>
      </w:pPr>
    </w:p>
    <w:p w14:paraId="70E32406" w14:textId="77777777" w:rsidR="005E317F" w:rsidRPr="00E500D4" w:rsidRDefault="008E1783" w:rsidP="005E317F">
      <w:pPr>
        <w:pStyle w:val="ShortT"/>
      </w:pPr>
      <w:bookmarkStart w:id="0" w:name="_GoBack"/>
      <w:r>
        <w:t xml:space="preserve">Autonomous Sanctions (Russia, Crimea and Sevastopol) </w:t>
      </w:r>
      <w:r w:rsidR="005E317F">
        <w:t xml:space="preserve">Amendment </w:t>
      </w:r>
      <w:r>
        <w:t>Specification 2017</w:t>
      </w:r>
    </w:p>
    <w:bookmarkEnd w:id="0"/>
    <w:p w14:paraId="54E9EC4B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E1783">
        <w:rPr>
          <w:szCs w:val="22"/>
        </w:rPr>
        <w:t>JULIE BISHOP</w:t>
      </w:r>
      <w:r w:rsidRPr="00DA182D">
        <w:rPr>
          <w:szCs w:val="22"/>
        </w:rPr>
        <w:t xml:space="preserve">, </w:t>
      </w:r>
      <w:r w:rsidR="008E1783">
        <w:rPr>
          <w:szCs w:val="22"/>
        </w:rPr>
        <w:t>Minister for Foreign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E1783">
        <w:rPr>
          <w:szCs w:val="22"/>
        </w:rPr>
        <w:t>Specification</w:t>
      </w:r>
      <w:r w:rsidRPr="00DA182D">
        <w:rPr>
          <w:szCs w:val="22"/>
        </w:rPr>
        <w:t>.</w:t>
      </w:r>
    </w:p>
    <w:p w14:paraId="2D1AEBAA" w14:textId="0D8E940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97283">
        <w:rPr>
          <w:szCs w:val="22"/>
        </w:rPr>
        <w:t>28 July 2017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CCF9A3E" w14:textId="77777777" w:rsidR="005E317F" w:rsidRDefault="008E178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E1783">
        <w:rPr>
          <w:szCs w:val="22"/>
        </w:rPr>
        <w:t xml:space="preserve">JULIE BISHOP </w:t>
      </w:r>
      <w:r w:rsidR="005E317F" w:rsidRPr="00A75FE9">
        <w:rPr>
          <w:szCs w:val="22"/>
        </w:rPr>
        <w:t xml:space="preserve"> </w:t>
      </w:r>
    </w:p>
    <w:p w14:paraId="435D3349" w14:textId="77777777" w:rsidR="005E317F" w:rsidRPr="000D3FB9" w:rsidRDefault="008E1783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Foreign Affairs</w:t>
      </w:r>
    </w:p>
    <w:p w14:paraId="69854D9C" w14:textId="77777777" w:rsidR="00B20990" w:rsidRDefault="00B20990" w:rsidP="00B20990"/>
    <w:p w14:paraId="39FF4E90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275AB9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7440842" w14:textId="6F183A7B" w:rsidR="009B2E38" w:rsidRPr="00DF149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9F">
        <w:fldChar w:fldCharType="begin"/>
      </w:r>
      <w:r w:rsidRPr="00DF149F">
        <w:instrText xml:space="preserve"> TOC \o "1-9" </w:instrText>
      </w:r>
      <w:r w:rsidRPr="00DF149F">
        <w:fldChar w:fldCharType="separate"/>
      </w:r>
      <w:r w:rsidR="009B2E38" w:rsidRPr="00DF149F">
        <w:rPr>
          <w:noProof/>
        </w:rPr>
        <w:t>1  Name</w:t>
      </w:r>
      <w:r w:rsidR="009B2E38" w:rsidRPr="00DF149F">
        <w:rPr>
          <w:noProof/>
        </w:rPr>
        <w:tab/>
      </w:r>
      <w:r w:rsidR="009B2E38" w:rsidRPr="00DF149F">
        <w:rPr>
          <w:noProof/>
        </w:rPr>
        <w:fldChar w:fldCharType="begin"/>
      </w:r>
      <w:r w:rsidR="009B2E38" w:rsidRPr="00DF149F">
        <w:rPr>
          <w:noProof/>
        </w:rPr>
        <w:instrText xml:space="preserve"> PAGEREF _Toc484438655 \h </w:instrText>
      </w:r>
      <w:r w:rsidR="009B2E38" w:rsidRPr="00DF149F">
        <w:rPr>
          <w:noProof/>
        </w:rPr>
      </w:r>
      <w:r w:rsidR="009B2E38" w:rsidRPr="00DF149F">
        <w:rPr>
          <w:noProof/>
        </w:rPr>
        <w:fldChar w:fldCharType="separate"/>
      </w:r>
      <w:r w:rsidR="00AA699E">
        <w:rPr>
          <w:noProof/>
        </w:rPr>
        <w:t>1</w:t>
      </w:r>
      <w:r w:rsidR="009B2E38" w:rsidRPr="00DF149F">
        <w:rPr>
          <w:noProof/>
        </w:rPr>
        <w:fldChar w:fldCharType="end"/>
      </w:r>
    </w:p>
    <w:p w14:paraId="17FDAE5C" w14:textId="023B5C6C" w:rsidR="009B2E38" w:rsidRPr="00DF149F" w:rsidRDefault="009B2E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9F">
        <w:rPr>
          <w:noProof/>
        </w:rPr>
        <w:t>2  Commencement</w:t>
      </w:r>
      <w:r w:rsidRPr="00DF149F">
        <w:rPr>
          <w:noProof/>
        </w:rPr>
        <w:tab/>
      </w:r>
      <w:r w:rsidRPr="00DF149F">
        <w:rPr>
          <w:noProof/>
        </w:rPr>
        <w:fldChar w:fldCharType="begin"/>
      </w:r>
      <w:r w:rsidRPr="00DF149F">
        <w:rPr>
          <w:noProof/>
        </w:rPr>
        <w:instrText xml:space="preserve"> PAGEREF _Toc484438656 \h </w:instrText>
      </w:r>
      <w:r w:rsidRPr="00DF149F">
        <w:rPr>
          <w:noProof/>
        </w:rPr>
      </w:r>
      <w:r w:rsidRPr="00DF149F">
        <w:rPr>
          <w:noProof/>
        </w:rPr>
        <w:fldChar w:fldCharType="separate"/>
      </w:r>
      <w:r w:rsidR="00AA699E">
        <w:rPr>
          <w:noProof/>
        </w:rPr>
        <w:t>1</w:t>
      </w:r>
      <w:r w:rsidRPr="00DF149F">
        <w:rPr>
          <w:noProof/>
        </w:rPr>
        <w:fldChar w:fldCharType="end"/>
      </w:r>
    </w:p>
    <w:p w14:paraId="7A16C5DA" w14:textId="77997831" w:rsidR="009B2E38" w:rsidRPr="00DF149F" w:rsidRDefault="009B2E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9F">
        <w:rPr>
          <w:noProof/>
        </w:rPr>
        <w:t>3  Authority</w:t>
      </w:r>
      <w:r w:rsidRPr="00DF149F">
        <w:rPr>
          <w:noProof/>
        </w:rPr>
        <w:tab/>
      </w:r>
      <w:r w:rsidRPr="00DF149F">
        <w:rPr>
          <w:noProof/>
        </w:rPr>
        <w:fldChar w:fldCharType="begin"/>
      </w:r>
      <w:r w:rsidRPr="00DF149F">
        <w:rPr>
          <w:noProof/>
        </w:rPr>
        <w:instrText xml:space="preserve"> PAGEREF _Toc484438657 \h </w:instrText>
      </w:r>
      <w:r w:rsidRPr="00DF149F">
        <w:rPr>
          <w:noProof/>
        </w:rPr>
      </w:r>
      <w:r w:rsidRPr="00DF149F">
        <w:rPr>
          <w:noProof/>
        </w:rPr>
        <w:fldChar w:fldCharType="separate"/>
      </w:r>
      <w:r w:rsidR="00AA699E">
        <w:rPr>
          <w:noProof/>
        </w:rPr>
        <w:t>1</w:t>
      </w:r>
      <w:r w:rsidRPr="00DF149F">
        <w:rPr>
          <w:noProof/>
        </w:rPr>
        <w:fldChar w:fldCharType="end"/>
      </w:r>
    </w:p>
    <w:p w14:paraId="56B13282" w14:textId="3192BF64" w:rsidR="009B2E38" w:rsidRPr="00DF149F" w:rsidRDefault="009B2E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149F">
        <w:rPr>
          <w:noProof/>
        </w:rPr>
        <w:t xml:space="preserve">4  </w:t>
      </w:r>
      <w:r w:rsidR="002A5DBA">
        <w:t xml:space="preserve">Amendment of the </w:t>
      </w:r>
      <w:r w:rsidR="002A5DBA">
        <w:rPr>
          <w:i/>
        </w:rPr>
        <w:t>Autonomous Sanctions (Russia, Crimea and Sevastopol) Specification 2015</w:t>
      </w:r>
      <w:r w:rsidRPr="00DF149F">
        <w:rPr>
          <w:noProof/>
        </w:rPr>
        <w:tab/>
      </w:r>
      <w:r w:rsidRPr="00DF149F">
        <w:rPr>
          <w:noProof/>
        </w:rPr>
        <w:fldChar w:fldCharType="begin"/>
      </w:r>
      <w:r w:rsidRPr="00DF149F">
        <w:rPr>
          <w:noProof/>
        </w:rPr>
        <w:instrText xml:space="preserve"> PAGEREF _Toc484438658 \h </w:instrText>
      </w:r>
      <w:r w:rsidRPr="00DF149F">
        <w:rPr>
          <w:noProof/>
        </w:rPr>
      </w:r>
      <w:r w:rsidRPr="00DF149F">
        <w:rPr>
          <w:noProof/>
        </w:rPr>
        <w:fldChar w:fldCharType="separate"/>
      </w:r>
      <w:r w:rsidR="00AA699E">
        <w:rPr>
          <w:noProof/>
        </w:rPr>
        <w:t>1</w:t>
      </w:r>
      <w:r w:rsidRPr="00DF149F">
        <w:rPr>
          <w:noProof/>
        </w:rPr>
        <w:fldChar w:fldCharType="end"/>
      </w:r>
    </w:p>
    <w:p w14:paraId="66EB77DF" w14:textId="5757B903" w:rsidR="009B2E38" w:rsidRPr="00DF149F" w:rsidRDefault="009B2E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149F">
        <w:rPr>
          <w:noProof/>
        </w:rPr>
        <w:t>Schedule 1—Amendments</w:t>
      </w:r>
      <w:r w:rsidRPr="00DF149F">
        <w:rPr>
          <w:noProof/>
        </w:rPr>
        <w:tab/>
      </w:r>
      <w:r w:rsidRPr="00DF149F">
        <w:rPr>
          <w:noProof/>
        </w:rPr>
        <w:fldChar w:fldCharType="begin"/>
      </w:r>
      <w:r w:rsidRPr="00DF149F">
        <w:rPr>
          <w:noProof/>
        </w:rPr>
        <w:instrText xml:space="preserve"> PAGEREF _Toc484438659 \h </w:instrText>
      </w:r>
      <w:r w:rsidRPr="00DF149F">
        <w:rPr>
          <w:noProof/>
        </w:rPr>
      </w:r>
      <w:r w:rsidRPr="00DF149F">
        <w:rPr>
          <w:noProof/>
        </w:rPr>
        <w:fldChar w:fldCharType="separate"/>
      </w:r>
      <w:r w:rsidR="00AA699E">
        <w:rPr>
          <w:noProof/>
        </w:rPr>
        <w:t>2</w:t>
      </w:r>
      <w:r w:rsidRPr="00DF149F">
        <w:rPr>
          <w:noProof/>
        </w:rPr>
        <w:fldChar w:fldCharType="end"/>
      </w:r>
    </w:p>
    <w:p w14:paraId="72628D43" w14:textId="47B6AE24" w:rsidR="009B2E38" w:rsidRPr="00DF149F" w:rsidRDefault="009B2E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149F">
        <w:rPr>
          <w:i w:val="0"/>
          <w:noProof/>
        </w:rPr>
        <w:t>Autonomous Sanctions (Russia, Crimea and Sevastopol) Specification 2015</w:t>
      </w:r>
      <w:r w:rsidRPr="00DF149F">
        <w:rPr>
          <w:i w:val="0"/>
          <w:noProof/>
        </w:rPr>
        <w:tab/>
      </w:r>
      <w:r w:rsidRPr="00DF149F">
        <w:rPr>
          <w:i w:val="0"/>
          <w:noProof/>
        </w:rPr>
        <w:fldChar w:fldCharType="begin"/>
      </w:r>
      <w:r w:rsidRPr="00DF149F">
        <w:rPr>
          <w:i w:val="0"/>
          <w:noProof/>
        </w:rPr>
        <w:instrText xml:space="preserve"> PAGEREF _Toc484438660 \h </w:instrText>
      </w:r>
      <w:r w:rsidRPr="00DF149F">
        <w:rPr>
          <w:i w:val="0"/>
          <w:noProof/>
        </w:rPr>
      </w:r>
      <w:r w:rsidRPr="00DF149F">
        <w:rPr>
          <w:i w:val="0"/>
          <w:noProof/>
        </w:rPr>
        <w:fldChar w:fldCharType="separate"/>
      </w:r>
      <w:r w:rsidR="00AA699E">
        <w:rPr>
          <w:i w:val="0"/>
          <w:noProof/>
        </w:rPr>
        <w:t>2</w:t>
      </w:r>
      <w:r w:rsidRPr="00DF149F">
        <w:rPr>
          <w:i w:val="0"/>
          <w:noProof/>
        </w:rPr>
        <w:fldChar w:fldCharType="end"/>
      </w:r>
    </w:p>
    <w:p w14:paraId="49D228B8" w14:textId="77777777" w:rsidR="00B20990" w:rsidRDefault="00B20990" w:rsidP="005E317F">
      <w:r w:rsidRPr="00DF149F">
        <w:rPr>
          <w:rFonts w:cs="Times New Roman"/>
          <w:sz w:val="20"/>
        </w:rPr>
        <w:fldChar w:fldCharType="end"/>
      </w:r>
    </w:p>
    <w:p w14:paraId="1E70EB8B" w14:textId="77777777" w:rsidR="00B20990" w:rsidRDefault="00B20990" w:rsidP="00B20990"/>
    <w:p w14:paraId="6D08FF05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2C669E" w14:textId="77777777" w:rsidR="005E317F" w:rsidRPr="009C2562" w:rsidRDefault="005E317F" w:rsidP="005E317F">
      <w:pPr>
        <w:pStyle w:val="ActHead5"/>
      </w:pPr>
      <w:bookmarkStart w:id="2" w:name="_Toc48443865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B69825A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8E1783">
        <w:rPr>
          <w:i/>
        </w:rPr>
        <w:t xml:space="preserve">Autonomous Sanctions (Russia, Crimea and Sevastopol) Amendment Specification 2017. </w:t>
      </w:r>
    </w:p>
    <w:p w14:paraId="19BAB76D" w14:textId="77777777" w:rsidR="005E317F" w:rsidRDefault="005E317F" w:rsidP="005E317F">
      <w:pPr>
        <w:pStyle w:val="ActHead5"/>
      </w:pPr>
      <w:bookmarkStart w:id="4" w:name="_Toc48443865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B1B8679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8E1783">
        <w:t>on the day after it is registered.</w:t>
      </w:r>
    </w:p>
    <w:p w14:paraId="5A029A6F" w14:textId="77777777" w:rsidR="005E317F" w:rsidRPr="009C2562" w:rsidRDefault="005E317F" w:rsidP="005E317F">
      <w:pPr>
        <w:pStyle w:val="ActHead5"/>
      </w:pPr>
      <w:bookmarkStart w:id="5" w:name="_Toc48443865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0EB834B" w14:textId="77777777" w:rsidR="005E317F" w:rsidRPr="008E1783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proofErr w:type="spellStart"/>
      <w:r w:rsidR="009B2E38">
        <w:t>sub</w:t>
      </w:r>
      <w:r w:rsidR="008E1783">
        <w:t>regulation</w:t>
      </w:r>
      <w:proofErr w:type="spellEnd"/>
      <w:r w:rsidR="008E1783">
        <w:t xml:space="preserve"> 4</w:t>
      </w:r>
      <w:r w:rsidR="009B2E38">
        <w:t>(2)</w:t>
      </w:r>
      <w:r w:rsidR="008E1783">
        <w:t xml:space="preserve"> of the </w:t>
      </w:r>
      <w:r w:rsidR="008E1783">
        <w:rPr>
          <w:i/>
        </w:rPr>
        <w:t>Autonomous Sanctions Regulations 2011</w:t>
      </w:r>
      <w:r w:rsidR="008E1783">
        <w:t>.</w:t>
      </w:r>
    </w:p>
    <w:p w14:paraId="5618AE75" w14:textId="0172DC78" w:rsidR="005E317F" w:rsidRPr="00EF1875" w:rsidRDefault="005E317F" w:rsidP="00EF1875">
      <w:pPr>
        <w:pStyle w:val="ActHead5"/>
        <w:ind w:left="284" w:hanging="284"/>
        <w:rPr>
          <w:i/>
        </w:rPr>
      </w:pPr>
      <w:bookmarkStart w:id="6" w:name="_Toc484438658"/>
      <w:proofErr w:type="gramStart"/>
      <w:r w:rsidRPr="006065DA">
        <w:t xml:space="preserve">4  </w:t>
      </w:r>
      <w:bookmarkEnd w:id="6"/>
      <w:r w:rsidR="00EF1875">
        <w:t>Amendment</w:t>
      </w:r>
      <w:proofErr w:type="gramEnd"/>
      <w:r w:rsidR="00EF1875">
        <w:t xml:space="preserve"> of the </w:t>
      </w:r>
      <w:r w:rsidR="00EF1875">
        <w:rPr>
          <w:i/>
        </w:rPr>
        <w:t>Autonomous Sanctions (Russia, Crimea and Sevastopol) Specification 2015</w:t>
      </w:r>
    </w:p>
    <w:p w14:paraId="0BE9B305" w14:textId="21C153AD" w:rsidR="005E317F" w:rsidRPr="00EF1875" w:rsidRDefault="00EF1875" w:rsidP="00EF1875">
      <w:pPr>
        <w:pStyle w:val="subsection"/>
        <w:numPr>
          <w:ilvl w:val="0"/>
          <w:numId w:val="17"/>
        </w:numPr>
      </w:pPr>
      <w:r>
        <w:t xml:space="preserve">Schedule 1 amends the </w:t>
      </w:r>
      <w:r>
        <w:rPr>
          <w:i/>
        </w:rPr>
        <w:t>Autonomous Sanctions (Russia, Crimea and Sevastopol) Specification 2015.</w:t>
      </w:r>
    </w:p>
    <w:p w14:paraId="10B3CA79" w14:textId="5C21AFA9" w:rsidR="00EF1875" w:rsidRDefault="0062545C" w:rsidP="0062545C">
      <w:pPr>
        <w:pStyle w:val="subsection"/>
        <w:numPr>
          <w:ilvl w:val="0"/>
          <w:numId w:val="17"/>
        </w:numPr>
      </w:pPr>
      <w:r>
        <w:t xml:space="preserve">For the avoidance of doubt, section 4 of the </w:t>
      </w:r>
      <w:r>
        <w:rPr>
          <w:i/>
        </w:rPr>
        <w:t xml:space="preserve">Autonomous Sanctions (Russia, Crimea and Sevastopol) Specification 2015 </w:t>
      </w:r>
      <w:r>
        <w:t xml:space="preserve">does not apply with respect to this amendment to Schedule 1 of the </w:t>
      </w:r>
      <w:r>
        <w:rPr>
          <w:i/>
        </w:rPr>
        <w:t xml:space="preserve">Autonomous Sanctions (Russia, Crimea and Sevastopol) Specification 2015. </w:t>
      </w:r>
    </w:p>
    <w:p w14:paraId="1F858B9A" w14:textId="77777777" w:rsidR="005E317F" w:rsidRDefault="005E317F" w:rsidP="005E317F">
      <w:pPr>
        <w:pStyle w:val="ActHead6"/>
        <w:pageBreakBefore/>
      </w:pPr>
      <w:bookmarkStart w:id="7" w:name="_Toc484438659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149630B" w14:textId="77777777" w:rsidR="005E317F" w:rsidRDefault="008E1783" w:rsidP="00DF149F">
      <w:pPr>
        <w:pStyle w:val="ActHead9"/>
        <w:ind w:left="0" w:firstLine="0"/>
        <w:jc w:val="both"/>
      </w:pPr>
      <w:bookmarkStart w:id="8" w:name="_Toc484438660"/>
      <w:r>
        <w:t>Autonomous Sanctions (Russia, Crimea and Sevastopol) Specification 2015</w:t>
      </w:r>
      <w:bookmarkEnd w:id="8"/>
      <w:r>
        <w:t xml:space="preserve"> </w:t>
      </w:r>
    </w:p>
    <w:p w14:paraId="57697D81" w14:textId="77777777" w:rsidR="005E317F" w:rsidRDefault="008E1783" w:rsidP="005E317F">
      <w:pPr>
        <w:pStyle w:val="ItemHead"/>
      </w:pPr>
      <w:r>
        <w:t xml:space="preserve">Schedule </w:t>
      </w:r>
      <w:proofErr w:type="gramStart"/>
      <w:r>
        <w:t>1</w:t>
      </w:r>
      <w:proofErr w:type="gramEnd"/>
      <w:r>
        <w:tab/>
        <w:t>List of goods</w:t>
      </w:r>
    </w:p>
    <w:p w14:paraId="1FBDB184" w14:textId="77777777" w:rsidR="00A258E2" w:rsidRDefault="008E1783" w:rsidP="00A258E2">
      <w:pPr>
        <w:pStyle w:val="Item"/>
      </w:pPr>
      <w:proofErr w:type="gramStart"/>
      <w:r>
        <w:t>Repeal Schedule 1</w:t>
      </w:r>
      <w:proofErr w:type="gramEnd"/>
      <w:r>
        <w:t xml:space="preserve">, </w:t>
      </w:r>
      <w:proofErr w:type="gramStart"/>
      <w:r>
        <w:t>substitut</w:t>
      </w:r>
      <w:r w:rsidR="001204BA">
        <w:t>e</w:t>
      </w:r>
      <w:proofErr w:type="gramEnd"/>
      <w:r w:rsidR="001204BA">
        <w:t>:</w:t>
      </w:r>
      <w:bookmarkStart w:id="9" w:name="_Toc332474044"/>
    </w:p>
    <w:p w14:paraId="651C21D8" w14:textId="77777777" w:rsidR="00A258E2" w:rsidRDefault="00A258E2" w:rsidP="00A258E2">
      <w:pPr>
        <w:pStyle w:val="Item"/>
        <w:ind w:left="0"/>
      </w:pPr>
    </w:p>
    <w:p w14:paraId="07B5A963" w14:textId="76563AD6" w:rsidR="00A258E2" w:rsidRPr="00A258E2" w:rsidRDefault="00A258E2" w:rsidP="00A258E2">
      <w:pPr>
        <w:pStyle w:val="Item"/>
        <w:ind w:left="0"/>
        <w:rPr>
          <w:rFonts w:ascii="Arial" w:hAnsi="Arial" w:cs="Arial"/>
          <w:b/>
          <w:sz w:val="32"/>
          <w:szCs w:val="32"/>
        </w:rPr>
      </w:pPr>
      <w:r w:rsidRPr="00A258E2">
        <w:rPr>
          <w:rStyle w:val="CharAmSchNo"/>
          <w:rFonts w:ascii="Arial" w:hAnsi="Arial" w:cs="Arial"/>
          <w:b/>
          <w:sz w:val="32"/>
          <w:szCs w:val="32"/>
        </w:rPr>
        <w:t xml:space="preserve">Schedule </w:t>
      </w:r>
      <w:proofErr w:type="gramStart"/>
      <w:r w:rsidRPr="00A258E2">
        <w:rPr>
          <w:rStyle w:val="CharAmSchNo"/>
          <w:rFonts w:ascii="Arial" w:hAnsi="Arial" w:cs="Arial"/>
          <w:b/>
          <w:sz w:val="32"/>
          <w:szCs w:val="32"/>
        </w:rPr>
        <w:t>1</w:t>
      </w:r>
      <w:proofErr w:type="gramEnd"/>
      <w:r w:rsidRPr="00A258E2">
        <w:rPr>
          <w:rFonts w:ascii="Arial" w:hAnsi="Arial" w:cs="Arial"/>
          <w:b/>
          <w:sz w:val="32"/>
          <w:szCs w:val="32"/>
        </w:rPr>
        <w:tab/>
      </w:r>
      <w:r w:rsidRPr="00A258E2">
        <w:rPr>
          <w:rStyle w:val="CharAmSchText"/>
          <w:rFonts w:ascii="Arial" w:hAnsi="Arial" w:cs="Arial"/>
          <w:b/>
          <w:sz w:val="32"/>
          <w:szCs w:val="32"/>
        </w:rPr>
        <w:t>List of goods</w:t>
      </w:r>
      <w:bookmarkEnd w:id="9"/>
    </w:p>
    <w:p w14:paraId="5F2FEC57" w14:textId="77777777" w:rsidR="00A258E2" w:rsidRPr="007546E1" w:rsidRDefault="00A258E2" w:rsidP="007D1CDA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3</w:t>
      </w:r>
      <w:r w:rsidRPr="007546E1">
        <w:t>)</w:t>
      </w:r>
    </w:p>
    <w:p w14:paraId="4C8ABA58" w14:textId="77777777" w:rsidR="00A258E2" w:rsidRPr="009549C9" w:rsidRDefault="00A258E2" w:rsidP="00A258E2">
      <w:pPr>
        <w:pStyle w:val="Schedulepart"/>
        <w:rPr>
          <w:rStyle w:val="CharSchPTNo"/>
        </w:rPr>
      </w:pPr>
      <w:bookmarkStart w:id="10" w:name="_Toc332474045"/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bookmarkEnd w:id="10"/>
      <w:r>
        <w:rPr>
          <w:rStyle w:val="CharPartText"/>
        </w:rPr>
        <w:t>Russia</w:t>
      </w: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659"/>
        <w:gridCol w:w="6521"/>
        <w:gridCol w:w="2176"/>
      </w:tblGrid>
      <w:tr w:rsidR="001204BA" w:rsidRPr="007546E1" w14:paraId="7884C92F" w14:textId="77777777" w:rsidTr="00E9517F">
        <w:trPr>
          <w:cantSplit/>
          <w:tblHeader/>
        </w:trPr>
        <w:tc>
          <w:tcPr>
            <w:tcW w:w="659" w:type="dxa"/>
            <w:tcBorders>
              <w:bottom w:val="single" w:sz="4" w:space="0" w:color="auto"/>
            </w:tcBorders>
          </w:tcPr>
          <w:p w14:paraId="0FFD9FD4" w14:textId="77777777" w:rsidR="001204BA" w:rsidRPr="007546E1" w:rsidRDefault="001204BA" w:rsidP="00E9517F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FE94D41" w14:textId="77777777" w:rsidR="001204BA" w:rsidRPr="007546E1" w:rsidRDefault="001204BA" w:rsidP="00E9517F">
            <w:pPr>
              <w:pStyle w:val="TableColHead"/>
            </w:pPr>
            <w:r w:rsidRPr="007546E1">
              <w:t>Description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4457ACD" w14:textId="77777777" w:rsidR="001204BA" w:rsidRPr="007546E1" w:rsidRDefault="001204BA" w:rsidP="00E9517F">
            <w:pPr>
              <w:pStyle w:val="TableColHead"/>
            </w:pPr>
            <w:r w:rsidRPr="00996DD8">
              <w:t>Australian Harmonized Export Commodity Classification (AHECC)</w:t>
            </w:r>
            <w:r>
              <w:t xml:space="preserve"> Code</w:t>
            </w:r>
          </w:p>
        </w:tc>
      </w:tr>
    </w:tbl>
    <w:tbl>
      <w:tblPr>
        <w:tblStyle w:val="TableGrid"/>
        <w:tblW w:w="26783" w:type="dxa"/>
        <w:tblLayout w:type="fixed"/>
        <w:tblLook w:val="04A0" w:firstRow="1" w:lastRow="0" w:firstColumn="1" w:lastColumn="0" w:noHBand="0" w:noVBand="1"/>
      </w:tblPr>
      <w:tblGrid>
        <w:gridCol w:w="675"/>
        <w:gridCol w:w="6527"/>
        <w:gridCol w:w="6527"/>
        <w:gridCol w:w="6527"/>
        <w:gridCol w:w="6527"/>
      </w:tblGrid>
      <w:tr w:rsidR="001204BA" w:rsidRPr="00EA4E67" w14:paraId="3C869C25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27118E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AD92345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seamless, of stainless steel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72AC7C3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7304 11 10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F3E586F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5D376F0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5D65A901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2111CF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6B4E7EB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seamless, of iron or steel, of an exte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rnal diameter not exceeding 168.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3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5322BA5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7304 19 90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0C1036D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7AD4610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649523FA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011795C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9698AC6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Line pipe of a kind used for oil or gas pipelines, seamless, of iron or steel, of an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external diameter exceeding 168.3 mm but not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0FDAB4A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7304 19 90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EA11C29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5C22869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0127C237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9213DF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7113AFD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Line pipe of a kind used for oil or gas pipelines, seamless, of iron or steel, of an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external diameter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B10C1BE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7304 19 90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CE57AF4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AAAAFD0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4190F2A0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527100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EC5EF9C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Drill pipe, seamless, of stainless steel, of a kind used in drilling for oil or gas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A85F42F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7304 22 11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FF597F9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BD410AF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08F14D11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0B8B113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86E14A5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Drill pipe, seamless, of a kind used in drilling for oil or gas, of iron or steel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21AE9C4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7304 23 91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D86C65D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674C689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6F5D093A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C2629BE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F1C2A13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Casing and tubing of a kind used for drilling for oil or gas, seamless, of iron or steel, of an exte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rnal diameter not exceeding 168.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3 mm (excl. products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68702C2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7304 29 92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4817684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5AC559B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3D20F069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37E1E4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DE1D05A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Casing and tubing of a kind used for drilling for oil or gas, seamless, of iron or steel, of an external diameter exceeding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168.3 mm, but not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B02F572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7304 29 92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B8EEDDC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547C36C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37A2FBC6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B3AE62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F35AEF6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Casing and tubing of a kind used for drilling for oil or gas, seamless, of iron or steel, of an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external diameter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985C02D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7304 29 92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B2A49A7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0585432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2A1AD34" w14:textId="77777777" w:rsidR="00DF149F" w:rsidRDefault="00DF149F">
      <w:r>
        <w:br w:type="page"/>
      </w:r>
    </w:p>
    <w:tbl>
      <w:tblPr>
        <w:tblStyle w:val="TableGrid"/>
        <w:tblW w:w="28761" w:type="dxa"/>
        <w:tblLayout w:type="fixed"/>
        <w:tblLook w:val="04A0" w:firstRow="1" w:lastRow="0" w:firstColumn="1" w:lastColumn="0" w:noHBand="0" w:noVBand="1"/>
      </w:tblPr>
      <w:tblGrid>
        <w:gridCol w:w="675"/>
        <w:gridCol w:w="6527"/>
        <w:gridCol w:w="6527"/>
        <w:gridCol w:w="6527"/>
        <w:gridCol w:w="6527"/>
        <w:gridCol w:w="1978"/>
      </w:tblGrid>
      <w:tr w:rsidR="001204BA" w:rsidRPr="00EA4E67" w14:paraId="78B7F1E9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7E684E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F742597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having circular cross-sections and an ext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ernal diameter of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mm, of iron or steel, longitudinally submerged arc welded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5D31DF9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7305 11 00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F31A6B6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ED55203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EA4E67" w14:paraId="7496ACF7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C87A05" w14:textId="77777777" w:rsidR="001204BA" w:rsidRPr="00EA4E67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CFDEDC0" w14:textId="77777777" w:rsidR="001204BA" w:rsidRPr="00DF149F" w:rsidRDefault="001204BA" w:rsidP="00DF149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having circular cross-sections and an ext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ernal diameter of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mm, of iron or steel, longitudinally arc welded (excl. products longitudinally submerged arc welded)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496DA15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7305 12 00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A3930DF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F149B4D" w14:textId="77777777" w:rsidR="001204BA" w:rsidRPr="00EA4E67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29036ACF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3767152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1E63EB8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having circular cross-sections and an ext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ernal diameter of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mm, of flat-rolled products of iron or steel (excl. products longitudinally arc welded)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900C9D8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7305 19 00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E4C5BBB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267F3DE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4CE63773" w14:textId="77777777" w:rsidTr="00DF14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32554E7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A36E341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Casing of a kind used in drilling for oil or gas, having circular cross-sections and an ext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ernal diameter of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mm, of flat-rolled products of iron or steel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6B91D71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7305 20 00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6AB46F2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3CDBC62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C0C8DB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204BA" w:rsidRPr="00653BB5" w14:paraId="18DBD357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6EA11F7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CC00CBE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welded, of flat-rolled products of stainless steel, of an external diameter of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not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EB5B0F5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7306 11 13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B52A257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C2A967B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4EC9E1EE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4475E3D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0F71564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welded, of flat-rolled products of iron or steel, of an externa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 diameter of not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1FC5EE4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7306 19 93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9D12832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7FFE391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4AC73C4E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ED4067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5CC7A32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Casing and tubing of a kind used in drilling for oil or gas, welded, of flat-rolled products of stainless steel, of an externa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 diameter of not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078B4A5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7306 21 14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1B6E7BE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0E56102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520D4078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61471D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6F20804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Casing and tubing of a kind used in drilling for oil or gas, welded, of flat-rolled products of iron or steel, of an externa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 diameter of not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E2A4B2F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7306 29 94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79319BA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14EAB44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357169BD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6F2398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FB55C8D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Rock-drilling or earth-boring tools, interchangeable, with working parts of sintered metal carbides or </w:t>
            </w:r>
            <w:proofErr w:type="spellStart"/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cermets</w:t>
            </w:r>
            <w:proofErr w:type="spellEnd"/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BAC815C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8207 13 00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3EB953D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FC937E1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0E54FAE1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F23793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94AD9EC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Rock-drilling or earth-boring tools, interchangeable, with working parts of diamond or agglomerated diamond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796EC34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8207 19 00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3F06CF2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9904286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299D1339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29484D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3C7A583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Reciprocating positive displacement pumps for liquids, power-driven (excl. fuel, lubricating or cooling medium pumps for internal combustion piston engine and concrete pumps)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D257006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8413 50 01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047836D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289C024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496836C2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9F74C26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F310A7E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Rotary positive displacement pumps for liquids, power-driven (excl. fuel, lubricating or cooling medium pumps for internal combustion piston engine)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76C88EC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8413 60 01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9CD9709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F27EAD1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24BCD2EC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E097A5B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CA7D2A6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Liquid elevators (excl. pumps)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D48D8C3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8413 82 00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EB07BFF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391A03C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44BF2BAF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AF47941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FDCA46F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arts of liquid elevators, not elsewhere specified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E9CE681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8413 92 00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443B4D7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47D44A5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21351B27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4FBA5D3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51573E7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Boring or sinking machinery for boring earth or extracting minerals or ores, not self-propelled and not hydraulic (excl. tunnelling machinery and hand-operated tools)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30C669E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8430 49 00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DC9A56D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BDBFAE5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1356DBFE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5F7998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2C86834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Parts of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Pr="004730BB">
              <w:rPr>
                <w:rFonts w:ascii="Times New Roman" w:hAnsi="Times New Roman"/>
                <w:color w:val="000000"/>
                <w:sz w:val="22"/>
                <w:szCs w:val="22"/>
              </w:rPr>
              <w:t>ifting, handling, loading or unloading machinery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not elsewhere specified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D525E44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8431 39 11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BF74C90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94125E0" w14:textId="77777777" w:rsidR="001204BA" w:rsidRPr="00653BB5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6D8FF927" w14:textId="77777777" w:rsidTr="00DF149F">
        <w:trPr>
          <w:gridAfter w:val="1"/>
          <w:wAfter w:w="1978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6425C0B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AD1D163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arts for boring or sinking machinery of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Item 24 not elsewhere specified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E5A9012" w14:textId="77777777" w:rsidR="001204BA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8431 43 00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355B27F" w14:textId="77777777" w:rsidR="001204BA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9AD6F34" w14:textId="77777777" w:rsidR="001204BA" w:rsidRDefault="001204BA" w:rsidP="00E9517F">
            <w:pPr>
              <w:pStyle w:val="CM4"/>
              <w:spacing w:before="60" w:after="60"/>
              <w:ind w:right="444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312A2D04" w14:textId="77777777" w:rsidTr="00DF149F">
        <w:trPr>
          <w:gridAfter w:val="3"/>
          <w:wAfter w:w="15032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563026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081F9B2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Parts of machinery of </w:t>
            </w:r>
          </w:p>
          <w:p w14:paraId="2554FDFA" w14:textId="77777777" w:rsidR="001204BA" w:rsidRDefault="001204BA" w:rsidP="001204BA">
            <w:pPr>
              <w:pStyle w:val="CM4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8B0AA0">
              <w:rPr>
                <w:rFonts w:ascii="Times New Roman" w:hAnsi="Times New Roman"/>
                <w:color w:val="000000"/>
                <w:sz w:val="22"/>
                <w:szCs w:val="22"/>
              </w:rPr>
              <w:t>hips' derricks; cranes, including cable cranes; mobile lifting frames, straddle carriers and 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orks trucks fitted with a crane</w:t>
            </w:r>
          </w:p>
          <w:p w14:paraId="48A03144" w14:textId="77777777" w:rsidR="001204BA" w:rsidRDefault="001204BA" w:rsidP="001204BA">
            <w:pPr>
              <w:pStyle w:val="CM4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self-propelled bulldozers,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angledozers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graders,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levelers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scrapers, mechanical shovels, excavators, shovel loaders, tamping m</w:t>
            </w:r>
            <w:r w:rsidRPr="006C6E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achines and road rollers; and </w:t>
            </w:r>
          </w:p>
          <w:p w14:paraId="448EE88D" w14:textId="77777777" w:rsidR="001204BA" w:rsidRDefault="001204BA" w:rsidP="001204BA">
            <w:pPr>
              <w:pStyle w:val="CM4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6E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Moving, grading, levelling, scraping, excavating, tamping, compacting, extracting or boring machinery, for earth, minerals or ores, pile-drivers and pile-extractors, snowploughs and </w:t>
            </w:r>
            <w:proofErr w:type="spellStart"/>
            <w:r w:rsidRPr="006C6EDB">
              <w:rPr>
                <w:rFonts w:ascii="Times New Roman" w:hAnsi="Times New Roman"/>
                <w:color w:val="000000"/>
                <w:sz w:val="22"/>
                <w:szCs w:val="22"/>
              </w:rPr>
              <w:t>snowblowers</w:t>
            </w:r>
            <w:proofErr w:type="spellEnd"/>
          </w:p>
          <w:p w14:paraId="397C43D0" w14:textId="77777777" w:rsidR="001204BA" w:rsidRPr="006C6EDB" w:rsidRDefault="001204BA" w:rsidP="00E9517F">
            <w:r>
              <w:rPr>
                <w:color w:val="000000"/>
                <w:szCs w:val="22"/>
              </w:rPr>
              <w:t>not elsewhere specified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F424D30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8431 49 50</w:t>
            </w:r>
          </w:p>
          <w:p w14:paraId="5D982757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204BA" w:rsidRPr="00653BB5" w14:paraId="6A5DAE5F" w14:textId="77777777" w:rsidTr="00DF149F">
        <w:trPr>
          <w:gridAfter w:val="3"/>
          <w:wAfter w:w="15032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A0DC852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DCAD1C6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Mobile drilling derricks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8DE668F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8705 20 10</w:t>
            </w:r>
          </w:p>
          <w:p w14:paraId="77113651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A7CF9">
              <w:rPr>
                <w:rFonts w:ascii="Times New Roman" w:hAnsi="Times New Roman"/>
                <w:color w:val="000000"/>
                <w:sz w:val="22"/>
                <w:szCs w:val="22"/>
              </w:rPr>
              <w:t>8705 20 20</w:t>
            </w:r>
          </w:p>
        </w:tc>
      </w:tr>
      <w:tr w:rsidR="001204BA" w:rsidRPr="00653BB5" w14:paraId="2B8794CA" w14:textId="77777777" w:rsidTr="00DF149F">
        <w:trPr>
          <w:gridAfter w:val="3"/>
          <w:wAfter w:w="15032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F7508C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8D9E31F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Floating or submersible drilling or production platforms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9EB1B6A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8905 20 00(a)</w:t>
            </w:r>
          </w:p>
        </w:tc>
      </w:tr>
      <w:tr w:rsidR="001204BA" w:rsidRPr="00653BB5" w14:paraId="65D7E1D9" w14:textId="77777777" w:rsidTr="00DF149F">
        <w:trPr>
          <w:gridAfter w:val="3"/>
          <w:wAfter w:w="15032" w:type="dxa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3D6B6" w14:textId="77777777" w:rsidR="001204BA" w:rsidRPr="00653BB5" w:rsidRDefault="001204BA" w:rsidP="001204BA">
            <w:pPr>
              <w:pStyle w:val="CM4"/>
              <w:numPr>
                <w:ilvl w:val="0"/>
                <w:numId w:val="14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0C8FB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Sea-going light vessels, fire-floats, floating cranes and other vessels, the navigability of which is subsidiary to their main function (excl. dredgers, floating or submersible drilling or production platforms; fishing vessels and warships)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F5E3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8905 90 00(a)</w:t>
            </w:r>
          </w:p>
        </w:tc>
      </w:tr>
    </w:tbl>
    <w:p w14:paraId="2600409D" w14:textId="77777777" w:rsidR="001204BA" w:rsidRPr="00D03439" w:rsidRDefault="001204BA" w:rsidP="001204BA">
      <w:pPr>
        <w:pStyle w:val="Schedulepart"/>
        <w:rPr>
          <w:rStyle w:val="CharPartNo"/>
          <w:sz w:val="20"/>
          <w:szCs w:val="20"/>
        </w:rPr>
      </w:pPr>
    </w:p>
    <w:p w14:paraId="72BB8765" w14:textId="77777777" w:rsidR="001204BA" w:rsidRPr="009549C9" w:rsidRDefault="001204BA" w:rsidP="001204BA">
      <w:pPr>
        <w:pStyle w:val="Schedulepart"/>
        <w:rPr>
          <w:rStyle w:val="CharSchPTNo"/>
        </w:rPr>
      </w:pPr>
      <w:r>
        <w:rPr>
          <w:rStyle w:val="CharPartNo"/>
        </w:rPr>
        <w:t>Part 2</w:t>
      </w:r>
      <w:r w:rsidRPr="009549C9">
        <w:rPr>
          <w:rStyle w:val="CharSchPTNo"/>
        </w:rPr>
        <w:tab/>
      </w:r>
      <w:r>
        <w:rPr>
          <w:rStyle w:val="CharPartText"/>
        </w:rPr>
        <w:t>Crimea and Sevastopol</w:t>
      </w:r>
    </w:p>
    <w:tbl>
      <w:tblPr>
        <w:tblW w:w="9214" w:type="dxa"/>
        <w:tblInd w:w="-34" w:type="dxa"/>
        <w:tblLook w:val="0000" w:firstRow="0" w:lastRow="0" w:firstColumn="0" w:lastColumn="0" w:noHBand="0" w:noVBand="0"/>
      </w:tblPr>
      <w:tblGrid>
        <w:gridCol w:w="659"/>
        <w:gridCol w:w="6521"/>
        <w:gridCol w:w="2034"/>
      </w:tblGrid>
      <w:tr w:rsidR="001204BA" w:rsidRPr="007546E1" w14:paraId="642B8FE5" w14:textId="77777777" w:rsidTr="00E9517F">
        <w:trPr>
          <w:cantSplit/>
          <w:tblHeader/>
        </w:trPr>
        <w:tc>
          <w:tcPr>
            <w:tcW w:w="659" w:type="dxa"/>
            <w:tcBorders>
              <w:bottom w:val="single" w:sz="4" w:space="0" w:color="auto"/>
            </w:tcBorders>
          </w:tcPr>
          <w:p w14:paraId="1F462F05" w14:textId="77777777" w:rsidR="001204BA" w:rsidRPr="007546E1" w:rsidRDefault="001204BA" w:rsidP="00E9517F">
            <w:pPr>
              <w:pStyle w:val="TableColHead"/>
              <w:jc w:val="right"/>
            </w:pPr>
            <w:r w:rsidRPr="007546E1">
              <w:t>Item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2869A12" w14:textId="77777777" w:rsidR="001204BA" w:rsidRPr="007546E1" w:rsidRDefault="001204BA" w:rsidP="00E9517F">
            <w:pPr>
              <w:pStyle w:val="TableColHead"/>
            </w:pPr>
            <w:r w:rsidRPr="007546E1">
              <w:t>Description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60D19AC6" w14:textId="77777777" w:rsidR="001204BA" w:rsidRPr="007546E1" w:rsidRDefault="001204BA" w:rsidP="00E9517F">
            <w:pPr>
              <w:pStyle w:val="TableColHead"/>
            </w:pPr>
            <w:r w:rsidRPr="00996DD8">
              <w:t>Australian Harmonized Export Commodity Classification (AHECC)</w:t>
            </w:r>
            <w:r>
              <w:t xml:space="preserve"> Code</w:t>
            </w:r>
          </w:p>
        </w:tc>
      </w:tr>
    </w:tbl>
    <w:tbl>
      <w:tblPr>
        <w:tblStyle w:val="TableGrid"/>
        <w:tblW w:w="13729" w:type="dxa"/>
        <w:tblLayout w:type="fixed"/>
        <w:tblLook w:val="04A0" w:firstRow="1" w:lastRow="0" w:firstColumn="1" w:lastColumn="0" w:noHBand="0" w:noVBand="1"/>
      </w:tblPr>
      <w:tblGrid>
        <w:gridCol w:w="675"/>
        <w:gridCol w:w="6527"/>
        <w:gridCol w:w="6527"/>
      </w:tblGrid>
      <w:tr w:rsidR="001204BA" w:rsidRPr="00EA4E67" w14:paraId="0E731E4C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3C2898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CEE3857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seamless, of stainless steel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9F45BD0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7304 11 10</w:t>
            </w:r>
          </w:p>
        </w:tc>
      </w:tr>
      <w:tr w:rsidR="001204BA" w:rsidRPr="00EA4E67" w14:paraId="0CCF545F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5DF404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C673650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seamless, of iron or steel, of an exte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rnal diameter not exceeding 168.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3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E9B7473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7304 19 90</w:t>
            </w:r>
          </w:p>
        </w:tc>
      </w:tr>
      <w:tr w:rsidR="001204BA" w:rsidRPr="00EA4E67" w14:paraId="06BD416D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E465E8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D261AE5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Line pipe of a kind used for oil or gas pipelines, seamless, of iron or steel, of an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external diameter exceeding 168.3 mm but not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9E2A412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7304 19 90</w:t>
            </w:r>
          </w:p>
        </w:tc>
      </w:tr>
      <w:tr w:rsidR="001204BA" w:rsidRPr="00EA4E67" w14:paraId="7875C69D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83A1E1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5E5FFD1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Line pipe of a kind used for oil or gas pipelines, seamless, of iron or steel, of an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external diameter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393CEEB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7304 19 90</w:t>
            </w:r>
          </w:p>
        </w:tc>
      </w:tr>
      <w:tr w:rsidR="001204BA" w:rsidRPr="00EA4E67" w14:paraId="2555402A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516C8B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3BE05E9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Drill pipe, seamless, of stainless steel, of a kind used in drilling for oil or gas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BF58752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7304 22 11</w:t>
            </w:r>
          </w:p>
        </w:tc>
      </w:tr>
      <w:tr w:rsidR="001204BA" w:rsidRPr="00EA4E67" w14:paraId="2C47037C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28B49E6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49ED0B3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Drill pipe, seamless, of a kind used in drilling for oil or gas, of iron or steel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BB93C32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7304 23 91</w:t>
            </w:r>
          </w:p>
        </w:tc>
      </w:tr>
      <w:tr w:rsidR="001204BA" w:rsidRPr="00EA4E67" w14:paraId="41D7FC5F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5D842A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DA40A1D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Casing and tubing, </w:t>
            </w:r>
            <w:r w:rsidRPr="0060659B">
              <w:rPr>
                <w:rFonts w:ascii="Times New Roman" w:hAnsi="Times New Roman"/>
                <w:color w:val="000000"/>
                <w:sz w:val="22"/>
                <w:szCs w:val="22"/>
              </w:rPr>
              <w:t>casing and tubing, seamless, of a kind used for drilling for oil or gas, of stainless steel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924BF9E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7304 24 12</w:t>
            </w:r>
          </w:p>
        </w:tc>
      </w:tr>
      <w:tr w:rsidR="001204BA" w:rsidRPr="00EA4E67" w14:paraId="2304ACCC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5F9988A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35D9950" w14:textId="77777777" w:rsidR="001204BA" w:rsidRPr="00D03439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Casing and tubing of a kind used for drilling for oil or gas, seamless, of iron or steel, of an exte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rnal diameter not exceeding 168.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3 mm (excl. products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8CF47DC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7304 29 92</w:t>
            </w:r>
          </w:p>
        </w:tc>
      </w:tr>
      <w:tr w:rsidR="001204BA" w:rsidRPr="00EA4E67" w14:paraId="5E7EC7DC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565DAD7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F891D95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Casing and tubing of a kind used for drilling for oil or gas, seamless, of iron or steel, of an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external diameter exceeding 168.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3 mm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but not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A40AECD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7304 29 92</w:t>
            </w:r>
          </w:p>
        </w:tc>
      </w:tr>
      <w:tr w:rsidR="001204BA" w:rsidRPr="00EA4E67" w14:paraId="52A8FBCC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C63783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F4C6858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Casing and tubing of a kind used for drilling for oil or gas, seamless, of iron or steel, of an external diameter exceeding 406,4 mm (excl. products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14BC3F3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7304 29 92</w:t>
            </w:r>
          </w:p>
        </w:tc>
      </w:tr>
      <w:tr w:rsidR="001204BA" w:rsidRPr="00EA4E67" w14:paraId="7E822538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7D095A1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8092298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having circular cross-sections and an ext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ernal diameter of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mm, of iron or steel, longitudinally submerged arc welded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1810AA4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7305 11 00</w:t>
            </w:r>
          </w:p>
        </w:tc>
      </w:tr>
      <w:tr w:rsidR="001204BA" w:rsidRPr="00EA4E67" w14:paraId="654ACCBA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1DAC80F" w14:textId="77777777" w:rsidR="001204BA" w:rsidRPr="00EA4E67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139C4E3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having circular cross-sections and an external di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ameter of exceeding 406.</w:t>
            </w:r>
            <w:r w:rsidRPr="00EA4E67">
              <w:rPr>
                <w:rFonts w:ascii="Times New Roman" w:hAnsi="Times New Roman"/>
                <w:color w:val="000000"/>
                <w:sz w:val="22"/>
                <w:szCs w:val="22"/>
              </w:rPr>
              <w:t>4 mm, of iron or steel, longitudinally arc welded (excl. products longitudinally submerged arc welded)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042FF59" w14:textId="77777777" w:rsidR="001204BA" w:rsidRPr="00EA4E67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7305 12 00</w:t>
            </w:r>
          </w:p>
        </w:tc>
      </w:tr>
      <w:tr w:rsidR="001204BA" w:rsidRPr="00653BB5" w14:paraId="4ED91B6D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19CDBC8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9A843D2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having circular cross-sections and an ext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ernal diameter of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mm, of flat-rolled products of iron or steel (excl. products longitudinally arc welded)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73ECA06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7305 19 00</w:t>
            </w:r>
          </w:p>
        </w:tc>
      </w:tr>
      <w:tr w:rsidR="001204BA" w:rsidRPr="00653BB5" w14:paraId="5021EF2E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9FDF6DE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EF48D6C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Casing of a kind used in drilling for oil or gas, having circular cross-sections and an ext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ernal diameter of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mm, of flat-rolled products of iron or steel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6E23BEE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7305 20 00</w:t>
            </w:r>
          </w:p>
        </w:tc>
      </w:tr>
      <w:tr w:rsidR="001204BA" w:rsidRPr="00653BB5" w14:paraId="1081A645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0E189C2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76EAD59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welded, of flat-rolled products of stainless steel, of an externa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 diameter of not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BFCE8F3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7306 11 13</w:t>
            </w:r>
          </w:p>
        </w:tc>
      </w:tr>
      <w:tr w:rsidR="001204BA" w:rsidRPr="00653BB5" w14:paraId="257D60F9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8D45F6F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65E1245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Line pipe of a kind used for oil or gas pipelines, welded, of flat-rolled products of iron or steel, of an externa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 diameter of not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1EFBEF4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7306 19 93</w:t>
            </w:r>
          </w:p>
        </w:tc>
      </w:tr>
      <w:tr w:rsidR="001204BA" w:rsidRPr="00653BB5" w14:paraId="2CD07ABC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FDEB20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9320D16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Casing and tubing of a kind used in drilling for oil or gas, welded, of flat-rolled products of stainless steel, of an external diameter of not exc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02CAC07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7306 21 14</w:t>
            </w:r>
          </w:p>
        </w:tc>
      </w:tr>
      <w:tr w:rsidR="001204BA" w:rsidRPr="00653BB5" w14:paraId="257B79A2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01513E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E969449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Casing and tubing of a kind used in drilling for oil or gas, welded, of flat-rolled products of iron or steel, of an externa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 diameter of not exceeding 406.</w:t>
            </w: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4 mm (excl. products of stainless steel or of cast iron)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1C38969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7306 29 94</w:t>
            </w:r>
          </w:p>
        </w:tc>
      </w:tr>
      <w:tr w:rsidR="001204BA" w:rsidRPr="00653BB5" w14:paraId="701D1059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CF5F254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25E3603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Co</w:t>
            </w:r>
            <w:r w:rsidRPr="00135786">
              <w:rPr>
                <w:rFonts w:ascii="Times New Roman" w:hAnsi="Times New Roman"/>
                <w:color w:val="000000"/>
                <w:sz w:val="22"/>
                <w:szCs w:val="22"/>
              </w:rPr>
              <w:t>ntainers of iron or steel, for compressed or liquefied gas (excl. containers specifically constructed or equipped for one or more types of transport)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34B0575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7311 00 25</w:t>
            </w:r>
          </w:p>
        </w:tc>
      </w:tr>
      <w:tr w:rsidR="001204BA" w:rsidRPr="00653BB5" w14:paraId="65DBBCA7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609250A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7DEC108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Rock-drilling or earth-boring tools, interchangeable, with working parts of sintered metal carbides or </w:t>
            </w:r>
            <w:proofErr w:type="spellStart"/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cermets</w:t>
            </w:r>
            <w:proofErr w:type="spellEnd"/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7A025EC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8207 13 00</w:t>
            </w:r>
          </w:p>
        </w:tc>
      </w:tr>
      <w:tr w:rsidR="001204BA" w:rsidRPr="00653BB5" w14:paraId="3DBD8A9A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9E13E6A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12449FE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Rock-drilling or earth-boring tools, interchangeable, with working parts of diamond or agglomerated diamond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83754D0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8207 19 00</w:t>
            </w:r>
          </w:p>
        </w:tc>
      </w:tr>
      <w:tr w:rsidR="001204BA" w:rsidRPr="00653BB5" w14:paraId="4821FBDD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7B0406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95617FF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Reciprocating positive displacement pumps for liquids, power-driven (excl. fuel, lubricating or cooling medium pumps for internal combustion piston engine and concrete pumps)</w:t>
            </w:r>
          </w:p>
          <w:p w14:paraId="66E365DB" w14:textId="77777777" w:rsidR="001204BA" w:rsidRPr="00996DD8" w:rsidRDefault="001204BA" w:rsidP="00E9517F"/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CC762B1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8413 50 01</w:t>
            </w:r>
          </w:p>
        </w:tc>
      </w:tr>
      <w:tr w:rsidR="001204BA" w:rsidRPr="00653BB5" w14:paraId="7EA95B92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C825C6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B5E0AA0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Rotary positive displacement pumps for liquids, power-driven (excl. fuel, lubricating or cooling medium pumps for internal combustion piston engine)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71CA72F7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8413 60 01</w:t>
            </w:r>
          </w:p>
        </w:tc>
      </w:tr>
      <w:tr w:rsidR="001204BA" w:rsidRPr="00653BB5" w14:paraId="6E3324B5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22AFB55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5F8B922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Liquid elevators (excl. pumps)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1E30B3E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8413 82 00</w:t>
            </w:r>
          </w:p>
        </w:tc>
      </w:tr>
      <w:tr w:rsidR="001204BA" w:rsidRPr="00653BB5" w14:paraId="74BDBD43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143621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16D6BEE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arts of liquid elevators, not elsewhere specified.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DD23811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8413 92 00</w:t>
            </w:r>
          </w:p>
        </w:tc>
      </w:tr>
      <w:tr w:rsidR="001204BA" w:rsidRPr="00653BB5" w14:paraId="26E7A246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12B26B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E538F1C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Boring or sinking machinery for boring earth or extracting minerals or ores, not self-propelled and not hydraulic (excl. tunnelling machinery and hand-operated tools)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6A5EFA8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8430 49 00</w:t>
            </w:r>
          </w:p>
        </w:tc>
      </w:tr>
      <w:tr w:rsidR="001204BA" w:rsidRPr="00653BB5" w14:paraId="0975AAF7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4931A5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56025517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Parts of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Pr="004730BB">
              <w:rPr>
                <w:rFonts w:ascii="Times New Roman" w:hAnsi="Times New Roman"/>
                <w:color w:val="000000"/>
                <w:sz w:val="22"/>
                <w:szCs w:val="22"/>
              </w:rPr>
              <w:t>ifting, handling, loading or unloading machinery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not elsewhere specified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32873E81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8431 39 11</w:t>
            </w:r>
          </w:p>
        </w:tc>
      </w:tr>
      <w:tr w:rsidR="001204BA" w:rsidRPr="00653BB5" w14:paraId="27F3FAAE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2C7FE1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00328C6C" w14:textId="77777777" w:rsidR="001204BA" w:rsidRPr="00653BB5" w:rsidRDefault="002A4706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="001204BA"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arts for boring or sinking machinery of </w:t>
            </w:r>
            <w:r w:rsidR="001204BA">
              <w:rPr>
                <w:rFonts w:ascii="Times New Roman" w:hAnsi="Times New Roman"/>
                <w:color w:val="000000"/>
                <w:sz w:val="22"/>
                <w:szCs w:val="22"/>
              </w:rPr>
              <w:t>Item 26 not elsewhere specified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E41A8C3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8431 43 00</w:t>
            </w:r>
          </w:p>
        </w:tc>
      </w:tr>
      <w:tr w:rsidR="001204BA" w:rsidRPr="00653BB5" w14:paraId="5FEB2155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E4B77B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25FD475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Parts of machinery of </w:t>
            </w:r>
          </w:p>
          <w:p w14:paraId="7166601F" w14:textId="77777777" w:rsidR="001204BA" w:rsidRDefault="001204BA" w:rsidP="001204BA">
            <w:pPr>
              <w:pStyle w:val="CM4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8B0AA0">
              <w:rPr>
                <w:rFonts w:ascii="Times New Roman" w:hAnsi="Times New Roman"/>
                <w:color w:val="000000"/>
                <w:sz w:val="22"/>
                <w:szCs w:val="22"/>
              </w:rPr>
              <w:t>hips' derricks; cranes, including cable cranes; mobile lifting frames, straddle carriers and w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orks trucks fitted with a crane</w:t>
            </w:r>
          </w:p>
          <w:p w14:paraId="7F827A5F" w14:textId="77777777" w:rsidR="001204BA" w:rsidRDefault="001204BA" w:rsidP="001204BA">
            <w:pPr>
              <w:pStyle w:val="CM4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self-propelled bulldozers,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angledozers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graders,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levelers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scrapers, mechanical shovels, excavators, shovel loaders, tamping m</w:t>
            </w:r>
            <w:r w:rsidRPr="006C6E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achines and road rollers; and </w:t>
            </w:r>
          </w:p>
          <w:p w14:paraId="4B9D8B1E" w14:textId="77777777" w:rsidR="001204BA" w:rsidRDefault="001204BA" w:rsidP="001204BA">
            <w:pPr>
              <w:pStyle w:val="CM4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6ED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Moving, grading, levelling, scraping, excavating, tamping, compacting, extracting or boring machinery, for earth, minerals or ores, pile-drivers and pile-extractors, snowploughs and </w:t>
            </w:r>
            <w:proofErr w:type="spellStart"/>
            <w:r w:rsidRPr="006C6EDB">
              <w:rPr>
                <w:rFonts w:ascii="Times New Roman" w:hAnsi="Times New Roman"/>
                <w:color w:val="000000"/>
                <w:sz w:val="22"/>
                <w:szCs w:val="22"/>
              </w:rPr>
              <w:t>snowblowers</w:t>
            </w:r>
            <w:proofErr w:type="spellEnd"/>
          </w:p>
          <w:p w14:paraId="75EEDA6F" w14:textId="77777777" w:rsidR="001204BA" w:rsidRPr="00E10239" w:rsidRDefault="001204BA" w:rsidP="00E9517F">
            <w:r>
              <w:rPr>
                <w:color w:val="000000"/>
                <w:szCs w:val="22"/>
              </w:rPr>
              <w:t>not elsewhere specified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673EBAAD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8431 49 50</w:t>
            </w:r>
          </w:p>
          <w:p w14:paraId="6C8C5D7B" w14:textId="77777777" w:rsidR="001204BA" w:rsidRPr="007A7CF9" w:rsidRDefault="001204BA" w:rsidP="00E9517F">
            <w:pPr>
              <w:pStyle w:val="CM4"/>
              <w:spacing w:before="60" w:after="60"/>
            </w:pPr>
          </w:p>
        </w:tc>
      </w:tr>
      <w:tr w:rsidR="001204BA" w:rsidRPr="00653BB5" w14:paraId="73786A0E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A6A9836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65E43C2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Mobile drilling derricks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295A31C9" w14:textId="77777777" w:rsidR="001204BA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8705 20 10</w:t>
            </w:r>
          </w:p>
          <w:p w14:paraId="0434AA5D" w14:textId="77777777" w:rsidR="001204BA" w:rsidRPr="007A7CF9" w:rsidRDefault="001204BA" w:rsidP="00E9517F">
            <w:pPr>
              <w:pStyle w:val="CM4"/>
              <w:spacing w:before="60" w:after="60"/>
            </w:pPr>
            <w:r w:rsidRPr="007A7CF9">
              <w:rPr>
                <w:rFonts w:ascii="Times New Roman" w:hAnsi="Times New Roman"/>
                <w:color w:val="000000"/>
                <w:sz w:val="22"/>
                <w:szCs w:val="22"/>
              </w:rPr>
              <w:t>8705 20 20</w:t>
            </w:r>
          </w:p>
        </w:tc>
      </w:tr>
      <w:tr w:rsidR="001204BA" w:rsidRPr="00653BB5" w14:paraId="6D027AAA" w14:textId="77777777" w:rsidTr="00E951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D8984BB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4FB5FEA2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Floating or submersible drilling or production platforms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14:paraId="13F65AB4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8905 20 00(a)</w:t>
            </w:r>
          </w:p>
        </w:tc>
      </w:tr>
      <w:tr w:rsidR="001204BA" w:rsidRPr="00653BB5" w14:paraId="378D9BBB" w14:textId="77777777" w:rsidTr="00E9517F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8AC58" w14:textId="77777777" w:rsidR="001204BA" w:rsidRPr="00653BB5" w:rsidRDefault="001204BA" w:rsidP="001204BA">
            <w:pPr>
              <w:pStyle w:val="CM4"/>
              <w:numPr>
                <w:ilvl w:val="0"/>
                <w:numId w:val="15"/>
              </w:num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864B1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BB5">
              <w:rPr>
                <w:rFonts w:ascii="Times New Roman" w:hAnsi="Times New Roman"/>
                <w:color w:val="000000"/>
                <w:sz w:val="22"/>
                <w:szCs w:val="22"/>
              </w:rPr>
              <w:t>Sea-going light vessels, fire-floats, floating cranes and other vessels, the navigability of which is subsidiary to their main function (excl. dredgers, floating or submersible drilling or production platforms; fishing vessels and warships)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BA109" w14:textId="77777777" w:rsidR="001204BA" w:rsidRPr="00653BB5" w:rsidRDefault="001204BA" w:rsidP="00E9517F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8905 90 00(a)</w:t>
            </w:r>
          </w:p>
        </w:tc>
      </w:tr>
    </w:tbl>
    <w:p w14:paraId="4E9C1705" w14:textId="77777777" w:rsidR="001204BA" w:rsidRPr="001204BA" w:rsidRDefault="001204BA" w:rsidP="001204BA">
      <w:pPr>
        <w:pStyle w:val="Item"/>
      </w:pPr>
    </w:p>
    <w:sectPr w:rsidR="001204BA" w:rsidRPr="001204BA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73ABC" w14:textId="77777777" w:rsidR="009D19F7" w:rsidRDefault="009D19F7" w:rsidP="0048364F">
      <w:pPr>
        <w:spacing w:line="240" w:lineRule="auto"/>
      </w:pPr>
      <w:r>
        <w:separator/>
      </w:r>
    </w:p>
  </w:endnote>
  <w:endnote w:type="continuationSeparator" w:id="0">
    <w:p w14:paraId="53C1E98D" w14:textId="77777777" w:rsidR="009D19F7" w:rsidRDefault="009D19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4636641" w14:textId="77777777" w:rsidTr="0001176A">
      <w:tc>
        <w:tcPr>
          <w:tcW w:w="5000" w:type="pct"/>
        </w:tcPr>
        <w:p w14:paraId="6C20E0F7" w14:textId="77777777" w:rsidR="009278C1" w:rsidRDefault="009278C1" w:rsidP="0001176A">
          <w:pPr>
            <w:rPr>
              <w:sz w:val="18"/>
            </w:rPr>
          </w:pPr>
        </w:p>
      </w:tc>
    </w:tr>
  </w:tbl>
  <w:p w14:paraId="3456B5A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420C2BE" w14:textId="77777777" w:rsidTr="00C160A1">
      <w:tc>
        <w:tcPr>
          <w:tcW w:w="5000" w:type="pct"/>
        </w:tcPr>
        <w:p w14:paraId="26F87156" w14:textId="77777777" w:rsidR="00B20990" w:rsidRDefault="00B20990" w:rsidP="007946FE">
          <w:pPr>
            <w:rPr>
              <w:sz w:val="18"/>
            </w:rPr>
          </w:pPr>
        </w:p>
      </w:tc>
    </w:tr>
  </w:tbl>
  <w:p w14:paraId="17DBA5F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D9B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8C3738F" w14:textId="77777777" w:rsidTr="00C160A1">
      <w:tc>
        <w:tcPr>
          <w:tcW w:w="5000" w:type="pct"/>
        </w:tcPr>
        <w:p w14:paraId="72322507" w14:textId="77777777" w:rsidR="00B20990" w:rsidRDefault="00B20990" w:rsidP="00465764">
          <w:pPr>
            <w:rPr>
              <w:sz w:val="18"/>
            </w:rPr>
          </w:pPr>
        </w:p>
      </w:tc>
    </w:tr>
  </w:tbl>
  <w:p w14:paraId="4D34EB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1D4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1"/>
      <w:gridCol w:w="1574"/>
    </w:tblGrid>
    <w:tr w:rsidR="00B20990" w14:paraId="6DEBDF7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1A32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4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BBF244" w14:textId="4D8D9E1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A699E">
            <w:rPr>
              <w:i/>
              <w:noProof/>
              <w:sz w:val="18"/>
            </w:rPr>
            <w:t>Autonomous Sanctions (Russia, Crimea and Sevastopol) Amendment Specification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4A0D4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9C143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CE9ACE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DC0F93F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BB0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B9DA44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0F50B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984D67" w14:textId="3814072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7283">
            <w:rPr>
              <w:i/>
              <w:noProof/>
              <w:sz w:val="18"/>
            </w:rPr>
            <w:t>Autonomous Sanctions (Russia, Crimea and Sevastopol) Amendment Specification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5DE48D9" w14:textId="3DC9F9A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2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DE9A8B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B3B313" w14:textId="77777777" w:rsidR="00B20990" w:rsidRDefault="00B20990" w:rsidP="007946FE">
          <w:pPr>
            <w:rPr>
              <w:sz w:val="18"/>
            </w:rPr>
          </w:pPr>
        </w:p>
      </w:tc>
    </w:tr>
  </w:tbl>
  <w:p w14:paraId="17FAFD0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EFF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A1B72F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125E9" w14:textId="37D40B5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28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681831" w14:textId="3D8E62C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7283">
            <w:rPr>
              <w:i/>
              <w:noProof/>
              <w:sz w:val="18"/>
            </w:rPr>
            <w:t>Autonomous Sanctions (Russia, Crimea and Sevastopol) Amendment Specification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74BA4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434E8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7200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CB886A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F40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C7D6CB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D35BD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66D7E" w14:textId="2F88C50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7283">
            <w:rPr>
              <w:i/>
              <w:noProof/>
              <w:sz w:val="18"/>
            </w:rPr>
            <w:t>Autonomous Sanctions (Russia, Crimea and Sevastopol) Amendment Specification 2017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34B52" w14:textId="3FA2470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28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858B18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C19AB4" w14:textId="77777777" w:rsidR="00EE57E8" w:rsidRDefault="00EE57E8" w:rsidP="00EE57E8">
          <w:pPr>
            <w:rPr>
              <w:sz w:val="18"/>
            </w:rPr>
          </w:pPr>
        </w:p>
      </w:tc>
    </w:tr>
  </w:tbl>
  <w:p w14:paraId="6D9F3C1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C89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BC983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D08E9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9F803" w14:textId="188D5BCC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699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AC72C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EB519C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80783" w14:textId="06533F2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A699E">
            <w:rPr>
              <w:i/>
              <w:noProof/>
              <w:sz w:val="18"/>
            </w:rPr>
            <w:t>https://dfat-protected.pws.gov.au/workspaces/01/03/SupportingDocuments/MS/2017/235/MS17-001235/Attachment 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97283">
            <w:rPr>
              <w:i/>
              <w:noProof/>
              <w:sz w:val="18"/>
            </w:rPr>
            <w:t>2/8/2017 4:51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AA1A5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2AA1" w14:textId="77777777" w:rsidR="009D19F7" w:rsidRDefault="009D19F7" w:rsidP="0048364F">
      <w:pPr>
        <w:spacing w:line="240" w:lineRule="auto"/>
      </w:pPr>
      <w:r>
        <w:separator/>
      </w:r>
    </w:p>
  </w:footnote>
  <w:footnote w:type="continuationSeparator" w:id="0">
    <w:p w14:paraId="59D9AA6A" w14:textId="77777777" w:rsidR="009D19F7" w:rsidRDefault="009D19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3A7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A74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E22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B6A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F05E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E4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1E23" w14:textId="77777777" w:rsidR="00EE57E8" w:rsidRPr="00A961C4" w:rsidRDefault="00EE57E8" w:rsidP="0048364F">
    <w:pPr>
      <w:rPr>
        <w:b/>
        <w:sz w:val="20"/>
      </w:rPr>
    </w:pPr>
  </w:p>
  <w:p w14:paraId="72E028BC" w14:textId="77777777" w:rsidR="00EE57E8" w:rsidRPr="00A961C4" w:rsidRDefault="00EE57E8" w:rsidP="0048364F">
    <w:pPr>
      <w:rPr>
        <w:b/>
        <w:sz w:val="20"/>
      </w:rPr>
    </w:pPr>
  </w:p>
  <w:p w14:paraId="1C87B69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3A2F" w14:textId="77777777" w:rsidR="00EE57E8" w:rsidRPr="00A961C4" w:rsidRDefault="00EE57E8" w:rsidP="0048364F">
    <w:pPr>
      <w:jc w:val="right"/>
      <w:rPr>
        <w:sz w:val="20"/>
      </w:rPr>
    </w:pPr>
  </w:p>
  <w:p w14:paraId="79F6F1AA" w14:textId="77777777" w:rsidR="00EE57E8" w:rsidRPr="00A961C4" w:rsidRDefault="00EE57E8" w:rsidP="0048364F">
    <w:pPr>
      <w:jc w:val="right"/>
      <w:rPr>
        <w:b/>
        <w:sz w:val="20"/>
      </w:rPr>
    </w:pPr>
  </w:p>
  <w:p w14:paraId="11A209B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D90AA5"/>
    <w:multiLevelType w:val="hybridMultilevel"/>
    <w:tmpl w:val="6A2A5122"/>
    <w:lvl w:ilvl="0" w:tplc="CF56CE5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38972B45"/>
    <w:multiLevelType w:val="hybridMultilevel"/>
    <w:tmpl w:val="5C98A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8680A13"/>
    <w:multiLevelType w:val="hybridMultilevel"/>
    <w:tmpl w:val="04E413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A93AE4"/>
    <w:multiLevelType w:val="hybridMultilevel"/>
    <w:tmpl w:val="C8C48C48"/>
    <w:lvl w:ilvl="0" w:tplc="DB4A35C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F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04B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4706"/>
    <w:rsid w:val="002A5DBA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3887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545C"/>
    <w:rsid w:val="00640402"/>
    <w:rsid w:val="00640F78"/>
    <w:rsid w:val="00655D6A"/>
    <w:rsid w:val="00656DE9"/>
    <w:rsid w:val="00672876"/>
    <w:rsid w:val="00677CC2"/>
    <w:rsid w:val="00685F42"/>
    <w:rsid w:val="0069207B"/>
    <w:rsid w:val="00697283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1783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2E38"/>
    <w:rsid w:val="009B50E5"/>
    <w:rsid w:val="009C3431"/>
    <w:rsid w:val="009C5989"/>
    <w:rsid w:val="009C6A32"/>
    <w:rsid w:val="009D08DA"/>
    <w:rsid w:val="009D19F7"/>
    <w:rsid w:val="00A06860"/>
    <w:rsid w:val="00A136F5"/>
    <w:rsid w:val="00A231E2"/>
    <w:rsid w:val="00A2550D"/>
    <w:rsid w:val="00A258E2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699E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149F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1875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17F7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1FF613"/>
  <w15:docId w15:val="{F76E75C5-DD62-44D6-9625-850E652F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4">
    <w:name w:val="CM4"/>
    <w:basedOn w:val="Normal"/>
    <w:next w:val="Normal"/>
    <w:uiPriority w:val="99"/>
    <w:rsid w:val="001204B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customStyle="1" w:styleId="Schedulepart">
    <w:name w:val="Schedule part"/>
    <w:basedOn w:val="Normal"/>
    <w:link w:val="SchedulepartChar"/>
    <w:rsid w:val="001204BA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1204BA"/>
  </w:style>
  <w:style w:type="paragraph" w:customStyle="1" w:styleId="TableColHead">
    <w:name w:val="TableColHead"/>
    <w:basedOn w:val="Normal"/>
    <w:rsid w:val="001204B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HeaderBoldOdd">
    <w:name w:val="HeaderBoldOdd"/>
    <w:basedOn w:val="Normal"/>
    <w:rsid w:val="001204BA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1204BA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SchedulepartChar">
    <w:name w:val="Schedule part Char"/>
    <w:basedOn w:val="DefaultParagraphFont"/>
    <w:link w:val="Schedulepart"/>
    <w:rsid w:val="001204BA"/>
    <w:rPr>
      <w:rFonts w:ascii="Arial" w:eastAsia="Times New Roman" w:hAnsi="Arial" w:cs="Times New Roman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A258E2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A258E2"/>
    <w:pPr>
      <w:keepNext/>
      <w:keepLines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B63C06841CD24EA3A8814A95FD39B4" ma:contentTypeVersion="" ma:contentTypeDescription="PDMS Document Site Content Type" ma:contentTypeScope="" ma:versionID="4dd510b513d69091dfabb5092a02ea14">
  <xsd:schema xmlns:xsd="http://www.w3.org/2001/XMLSchema" xmlns:xs="http://www.w3.org/2001/XMLSchema" xmlns:p="http://schemas.microsoft.com/office/2006/metadata/properties" xmlns:ns2="31A7383A-3DB9-42FC-980E-B8E78FF54309" targetNamespace="http://schemas.microsoft.com/office/2006/metadata/properties" ma:root="true" ma:fieldsID="bcda04e83d532269ca61755850b75214" ns2:_="">
    <xsd:import namespace="31A7383A-3DB9-42FC-980E-B8E78FF5430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7383A-3DB9-42FC-980E-B8E78FF5430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1A7383A-3DB9-42FC-980E-B8E78FF543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B5DF-7EA2-471B-BE4B-E2EC9422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0CD91-D6EF-44D8-BD60-E1C364D17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7383A-3DB9-42FC-980E-B8E78FF54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7D1BF-2E45-451C-840D-541191F3D5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A7383A-3DB9-42FC-980E-B8E78FF543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69BCB7-6922-41AF-B238-6E886E37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1848</Words>
  <Characters>10538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Ireland, Jessica</dc:creator>
  <cp:lastModifiedBy>Shipley, Nell</cp:lastModifiedBy>
  <cp:revision>2</cp:revision>
  <cp:lastPrinted>2017-07-11T06:22:00Z</cp:lastPrinted>
  <dcterms:created xsi:type="dcterms:W3CDTF">2017-08-02T06:56:00Z</dcterms:created>
  <dcterms:modified xsi:type="dcterms:W3CDTF">2017-08-02T06:56:00Z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7c70a69d-6e33-4031-98d0-f909f15b30b7</vt:lpwstr>
  </property>
  <property fmtid="{D5CDD505-2E9C-101B-9397-08002B2CF9AE}" pid="3" name="ContentTypeId">
    <vt:lpwstr>0x010100266966F133664895A6EE3632470D45F50074B63C06841CD24EA3A8814A95FD39B4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