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D4" w:rsidRPr="002D16B1" w:rsidRDefault="00815121" w:rsidP="002D16B1">
      <w:pPr>
        <w:pStyle w:val="Heading1"/>
        <w:spacing w:after="360"/>
        <w:rPr>
          <w:rFonts w:ascii="Times New Roman" w:hAnsi="Times New Roman"/>
          <w:u w:val="none"/>
        </w:rPr>
      </w:pPr>
      <w:r w:rsidRPr="002D16B1">
        <w:rPr>
          <w:rFonts w:ascii="Times New Roman" w:hAnsi="Times New Roman"/>
          <w:u w:val="none"/>
        </w:rPr>
        <w:t>EXPLANATORY</w:t>
      </w:r>
      <w:r w:rsidR="00F109D4" w:rsidRPr="002D16B1">
        <w:rPr>
          <w:rFonts w:ascii="Times New Roman" w:hAnsi="Times New Roman"/>
          <w:u w:val="none"/>
        </w:rPr>
        <w:t xml:space="preserve"> STATEMENT</w:t>
      </w:r>
    </w:p>
    <w:p w:rsidR="00F109D4" w:rsidRPr="00503E44" w:rsidRDefault="00F109D4" w:rsidP="002D16B1">
      <w:pPr>
        <w:pStyle w:val="Heading2"/>
        <w:jc w:val="center"/>
      </w:pPr>
      <w:r w:rsidRPr="00503E44">
        <w:t xml:space="preserve">Issued by authority of the </w:t>
      </w:r>
      <w:r w:rsidR="00B151B7">
        <w:t>Minister for Human Services</w:t>
      </w:r>
    </w:p>
    <w:p w:rsidR="00F109D4" w:rsidRPr="00503E44" w:rsidRDefault="00B151B7">
      <w:pPr>
        <w:jc w:val="center"/>
        <w:rPr>
          <w:i/>
        </w:rPr>
      </w:pPr>
      <w:r>
        <w:rPr>
          <w:i/>
        </w:rPr>
        <w:t>Human Services (Medicare) Act 1973</w:t>
      </w:r>
    </w:p>
    <w:p w:rsidR="00F109D4" w:rsidRPr="00503E44" w:rsidRDefault="00B151B7">
      <w:pPr>
        <w:tabs>
          <w:tab w:val="left" w:pos="1418"/>
        </w:tabs>
        <w:spacing w:after="240"/>
        <w:jc w:val="center"/>
        <w:rPr>
          <w:i/>
        </w:rPr>
      </w:pPr>
      <w:r>
        <w:rPr>
          <w:i/>
        </w:rPr>
        <w:t>Human Services (Medicare)</w:t>
      </w:r>
      <w:r w:rsidR="00E0375A">
        <w:rPr>
          <w:i/>
        </w:rPr>
        <w:t xml:space="preserve"> Regulation</w:t>
      </w:r>
      <w:r>
        <w:rPr>
          <w:i/>
        </w:rPr>
        <w:t>s 2017</w:t>
      </w:r>
    </w:p>
    <w:p w:rsidR="0022756C" w:rsidRDefault="0022756C" w:rsidP="00A9348B">
      <w:pPr>
        <w:spacing w:before="240"/>
      </w:pPr>
      <w:r>
        <w:t>T</w:t>
      </w:r>
      <w:r w:rsidRPr="00503E44">
        <w:t xml:space="preserve">he </w:t>
      </w:r>
      <w:r w:rsidRPr="00B151B7">
        <w:rPr>
          <w:i/>
        </w:rPr>
        <w:t>Human Services (Medicare) Act</w:t>
      </w:r>
      <w:r>
        <w:t xml:space="preserve"> </w:t>
      </w:r>
      <w:r w:rsidRPr="00E0375A">
        <w:rPr>
          <w:i/>
        </w:rPr>
        <w:t>19</w:t>
      </w:r>
      <w:r>
        <w:rPr>
          <w:i/>
        </w:rPr>
        <w:t>73</w:t>
      </w:r>
      <w:r w:rsidRPr="00503E44">
        <w:t xml:space="preserve"> (the </w:t>
      </w:r>
      <w:r>
        <w:t>‘</w:t>
      </w:r>
      <w:r w:rsidRPr="00503E44">
        <w:t>Act</w:t>
      </w:r>
      <w:r>
        <w:t>’</w:t>
      </w:r>
      <w:r w:rsidRPr="00503E44">
        <w:t xml:space="preserve">) </w:t>
      </w:r>
      <w:r>
        <w:t>sets out the functions and investigative powers of the Chief Executive Medicare, as well as a number of other miscellaneous provisions, relating to the administration of medicare programs.</w:t>
      </w:r>
    </w:p>
    <w:p w:rsidR="00F109D4" w:rsidRDefault="00C55D29" w:rsidP="00A9348B">
      <w:pPr>
        <w:spacing w:before="240"/>
      </w:pPr>
      <w:r w:rsidRPr="00503E44">
        <w:t xml:space="preserve">Section </w:t>
      </w:r>
      <w:r w:rsidR="00EE425C">
        <w:t>44</w:t>
      </w:r>
      <w:r w:rsidR="00B151B7">
        <w:t xml:space="preserve"> </w:t>
      </w:r>
      <w:r w:rsidR="00F109D4" w:rsidRPr="00503E44">
        <w:t>of the Act provides that the Governor-General may make regulations</w:t>
      </w:r>
      <w:r w:rsidR="00893301">
        <w:t>, not inconsistent with that Act,</w:t>
      </w:r>
      <w:r w:rsidR="00F109D4" w:rsidRPr="00503E44">
        <w:t xml:space="preserve"> prescribing </w:t>
      </w:r>
      <w:r w:rsidR="00893301">
        <w:t xml:space="preserve">all </w:t>
      </w:r>
      <w:r w:rsidR="00F109D4" w:rsidRPr="00503E44">
        <w:t>matters required or permitted by the Act to be prescribed, or necessary or convenient to be prescribed</w:t>
      </w:r>
      <w:r w:rsidR="0056198E">
        <w:t>,</w:t>
      </w:r>
      <w:r w:rsidR="00F109D4" w:rsidRPr="00503E44">
        <w:t xml:space="preserve"> for carrying out or giving effect to t</w:t>
      </w:r>
      <w:r w:rsidR="00893301">
        <w:t>he</w:t>
      </w:r>
      <w:r w:rsidR="00F109D4" w:rsidRPr="00503E44">
        <w:t xml:space="preserve"> Act.</w:t>
      </w:r>
    </w:p>
    <w:p w:rsidR="00C72A21" w:rsidRDefault="00E0375A" w:rsidP="00A9348B">
      <w:pPr>
        <w:spacing w:before="240"/>
      </w:pPr>
      <w:r w:rsidRPr="00E0375A">
        <w:t xml:space="preserve">The purpose of the </w:t>
      </w:r>
      <w:r w:rsidR="00B151B7">
        <w:rPr>
          <w:i/>
        </w:rPr>
        <w:t xml:space="preserve">Human Services (Medicare) </w:t>
      </w:r>
      <w:r w:rsidR="00C80FFC">
        <w:rPr>
          <w:i/>
        </w:rPr>
        <w:t>Regulations 2017</w:t>
      </w:r>
      <w:r w:rsidR="00B151B7">
        <w:rPr>
          <w:i/>
        </w:rPr>
        <w:t xml:space="preserve"> </w:t>
      </w:r>
      <w:r w:rsidRPr="00E0375A">
        <w:t>(</w:t>
      </w:r>
      <w:r w:rsidR="00084DCD">
        <w:t>the ‘</w:t>
      </w:r>
      <w:r w:rsidRPr="00E0375A">
        <w:t>Regulation</w:t>
      </w:r>
      <w:r w:rsidR="00B151B7">
        <w:t>s</w:t>
      </w:r>
      <w:r w:rsidR="00084DCD">
        <w:t>’</w:t>
      </w:r>
      <w:r w:rsidRPr="00E0375A">
        <w:t xml:space="preserve">) is to remake </w:t>
      </w:r>
      <w:r w:rsidR="00EE2DEE">
        <w:t xml:space="preserve">and improve </w:t>
      </w:r>
      <w:r w:rsidRPr="00E0375A">
        <w:t xml:space="preserve">the </w:t>
      </w:r>
      <w:r w:rsidR="00B151B7">
        <w:rPr>
          <w:i/>
        </w:rPr>
        <w:t>Human Services (Medicare)</w:t>
      </w:r>
      <w:r w:rsidRPr="00DC20AE">
        <w:rPr>
          <w:i/>
        </w:rPr>
        <w:t xml:space="preserve"> Regulations </w:t>
      </w:r>
      <w:r w:rsidR="00B151B7">
        <w:rPr>
          <w:i/>
        </w:rPr>
        <w:t>1975</w:t>
      </w:r>
      <w:r w:rsidR="00414846">
        <w:t xml:space="preserve"> prior to their </w:t>
      </w:r>
      <w:r w:rsidR="00135E2C">
        <w:t>‘</w:t>
      </w:r>
      <w:r w:rsidR="00414846">
        <w:t>sunsetting</w:t>
      </w:r>
      <w:r w:rsidR="00135E2C">
        <w:t>’</w:t>
      </w:r>
      <w:r w:rsidR="00414846">
        <w:t>.</w:t>
      </w:r>
      <w:r w:rsidRPr="00E0375A">
        <w:t xml:space="preserve"> The </w:t>
      </w:r>
      <w:r w:rsidRPr="00DC20AE">
        <w:rPr>
          <w:i/>
        </w:rPr>
        <w:t>Legislation</w:t>
      </w:r>
      <w:r w:rsidR="00DC20AE" w:rsidRPr="00DC20AE">
        <w:rPr>
          <w:i/>
        </w:rPr>
        <w:t xml:space="preserve"> Act 2003</w:t>
      </w:r>
      <w:r w:rsidR="00DC20AE">
        <w:t xml:space="preserve"> </w:t>
      </w:r>
      <w:r w:rsidRPr="00E0375A">
        <w:t xml:space="preserve">provides that all legislative instruments, other than exempt instruments, </w:t>
      </w:r>
      <w:r w:rsidR="00135E2C">
        <w:t xml:space="preserve">are automatically </w:t>
      </w:r>
      <w:r w:rsidR="00151086">
        <w:t>repealed</w:t>
      </w:r>
      <w:r w:rsidR="00135E2C">
        <w:t xml:space="preserve"> according to the progressive timetable set out in section 50 of that Act. </w:t>
      </w:r>
      <w:r w:rsidRPr="00E0375A">
        <w:t xml:space="preserve">Legislative instruments made </w:t>
      </w:r>
      <w:r w:rsidR="00DC20AE">
        <w:t>in the 19</w:t>
      </w:r>
      <w:r w:rsidR="00B151B7">
        <w:t>7</w:t>
      </w:r>
      <w:r w:rsidR="00DC20AE">
        <w:t>0s</w:t>
      </w:r>
      <w:r w:rsidRPr="00E0375A">
        <w:t xml:space="preserve"> that were registered on the Federal Register of </w:t>
      </w:r>
      <w:r w:rsidR="00CE1763">
        <w:t>Legislation</w:t>
      </w:r>
      <w:r w:rsidRPr="00E0375A">
        <w:t xml:space="preserve"> on 1 January 2005, such as the </w:t>
      </w:r>
      <w:r w:rsidR="00B151B7">
        <w:rPr>
          <w:i/>
        </w:rPr>
        <w:t>Human Services (Medicare) Regulations 1975</w:t>
      </w:r>
      <w:r w:rsidRPr="00E0375A">
        <w:t xml:space="preserve">, </w:t>
      </w:r>
      <w:r w:rsidR="00151086">
        <w:t>will be</w:t>
      </w:r>
      <w:r w:rsidR="00B353A4">
        <w:t xml:space="preserve"> automatically repealed</w:t>
      </w:r>
      <w:r w:rsidR="00B353A4" w:rsidRPr="00E0375A">
        <w:t xml:space="preserve"> </w:t>
      </w:r>
      <w:r w:rsidRPr="00E0375A">
        <w:t>on 1</w:t>
      </w:r>
      <w:r w:rsidR="00893301">
        <w:t> </w:t>
      </w:r>
      <w:r w:rsidR="00B151B7">
        <w:t>October</w:t>
      </w:r>
      <w:r w:rsidRPr="00E0375A">
        <w:t xml:space="preserve"> 201</w:t>
      </w:r>
      <w:r w:rsidR="00DC20AE">
        <w:t>7</w:t>
      </w:r>
      <w:r w:rsidRPr="00E0375A">
        <w:t xml:space="preserve">. </w:t>
      </w:r>
      <w:r w:rsidR="00B353A4">
        <w:t xml:space="preserve">Legislative instruments generally cease to have effect after a specific date unless further legislative action is taken to extend their operation, </w:t>
      </w:r>
      <w:r w:rsidR="005B4AC1">
        <w:t xml:space="preserve">such as remaking the instrument. </w:t>
      </w:r>
    </w:p>
    <w:p w:rsidR="00F109D4" w:rsidRDefault="00DC20AE" w:rsidP="00A9348B">
      <w:pPr>
        <w:spacing w:before="240"/>
      </w:pPr>
      <w:r w:rsidRPr="00DC20AE">
        <w:t>The Regulation</w:t>
      </w:r>
      <w:r w:rsidR="00E47974">
        <w:t>s</w:t>
      </w:r>
      <w:r w:rsidRPr="00DC20AE">
        <w:t xml:space="preserve"> remake </w:t>
      </w:r>
      <w:r w:rsidR="00E47974">
        <w:t>and improve</w:t>
      </w:r>
      <w:r w:rsidR="007008E2">
        <w:t xml:space="preserve"> </w:t>
      </w:r>
      <w:r w:rsidRPr="00DC20AE">
        <w:t xml:space="preserve">the </w:t>
      </w:r>
      <w:r w:rsidR="00B151B7">
        <w:rPr>
          <w:i/>
        </w:rPr>
        <w:t>Human Services (Medicare)</w:t>
      </w:r>
      <w:r w:rsidR="00B151B7" w:rsidRPr="00DC20AE">
        <w:rPr>
          <w:i/>
        </w:rPr>
        <w:t xml:space="preserve"> Regulations </w:t>
      </w:r>
      <w:r w:rsidR="00B151B7">
        <w:rPr>
          <w:i/>
        </w:rPr>
        <w:t>1975</w:t>
      </w:r>
      <w:r w:rsidRPr="00DC20AE">
        <w:t xml:space="preserve">, by repealing redundant provisions, simplifying language and restructuring provisions </w:t>
      </w:r>
      <w:r w:rsidR="00FC0727">
        <w:t>for ease of navigation</w:t>
      </w:r>
      <w:r>
        <w:t>.</w:t>
      </w:r>
      <w:r w:rsidR="008D0B5E">
        <w:t xml:space="preserve">  The Regulations also include some minor, consequential </w:t>
      </w:r>
      <w:r w:rsidR="00C56539">
        <w:t>amendments</w:t>
      </w:r>
      <w:r w:rsidR="008D0B5E">
        <w:t xml:space="preserve"> to reflect</w:t>
      </w:r>
      <w:r w:rsidR="00A9102E">
        <w:t xml:space="preserve"> </w:t>
      </w:r>
      <w:r w:rsidR="00BE519C">
        <w:t xml:space="preserve">recent </w:t>
      </w:r>
      <w:r w:rsidR="00A9102E">
        <w:t xml:space="preserve">changes made </w:t>
      </w:r>
      <w:r w:rsidR="009551DB">
        <w:t>to the aged care legislation</w:t>
      </w:r>
      <w:r w:rsidR="00C56539">
        <w:t xml:space="preserve">. </w:t>
      </w:r>
      <w:r>
        <w:t>T</w:t>
      </w:r>
      <w:r w:rsidRPr="00DC20AE">
        <w:t>he key changes are:</w:t>
      </w:r>
    </w:p>
    <w:p w:rsidR="007008E2" w:rsidRDefault="004E5344" w:rsidP="00A9348B">
      <w:pPr>
        <w:pStyle w:val="Bullet"/>
      </w:pPr>
      <w:r>
        <w:t>r</w:t>
      </w:r>
      <w:r w:rsidR="00043BE7">
        <w:t xml:space="preserve">epealing </w:t>
      </w:r>
      <w:r w:rsidR="00F71FE9">
        <w:t>redundant provisions</w:t>
      </w:r>
      <w:r w:rsidR="00B94DD6">
        <w:t xml:space="preserve">, such as </w:t>
      </w:r>
      <w:r w:rsidR="00C80FFC">
        <w:t>references to provisions which have now been repealed and therefore have</w:t>
      </w:r>
      <w:r w:rsidR="00B94DD6">
        <w:t xml:space="preserve"> no effect</w:t>
      </w:r>
      <w:r w:rsidR="007008E2">
        <w:t>;</w:t>
      </w:r>
    </w:p>
    <w:p w:rsidR="00043BE7" w:rsidRDefault="004E5344" w:rsidP="00A9348B">
      <w:pPr>
        <w:pStyle w:val="Bullet"/>
      </w:pPr>
      <w:r>
        <w:t>i</w:t>
      </w:r>
      <w:r w:rsidR="00C80FFC">
        <w:t xml:space="preserve">ntroducing new provisions to reflect legislative changes, </w:t>
      </w:r>
      <w:r w:rsidR="0021277C">
        <w:t xml:space="preserve">including changes to home care </w:t>
      </w:r>
      <w:r w:rsidR="00893301">
        <w:t xml:space="preserve">provided through a home care service, </w:t>
      </w:r>
      <w:r w:rsidR="0021277C">
        <w:t>as a result of</w:t>
      </w:r>
      <w:r w:rsidR="0021277C" w:rsidRPr="004E5344">
        <w:rPr>
          <w:szCs w:val="24"/>
        </w:rPr>
        <w:t xml:space="preserve"> the </w:t>
      </w:r>
      <w:r w:rsidR="00C3471E">
        <w:rPr>
          <w:i/>
        </w:rPr>
        <w:t xml:space="preserve">Aged Care Legislation Amendment (Increasing Consumer Choice) Act </w:t>
      </w:r>
      <w:r w:rsidR="00C3471E" w:rsidRPr="00572061">
        <w:rPr>
          <w:i/>
        </w:rPr>
        <w:t>2016</w:t>
      </w:r>
      <w:r w:rsidR="00C3471E">
        <w:t xml:space="preserve"> and the </w:t>
      </w:r>
      <w:r w:rsidR="0021277C" w:rsidRPr="004E5344">
        <w:rPr>
          <w:i/>
          <w:szCs w:val="24"/>
        </w:rPr>
        <w:t>Aged Care Legislation Amendment (Increasing Consumer Choice) Principles 2016</w:t>
      </w:r>
      <w:r w:rsidR="00E47974" w:rsidRPr="00C3471E">
        <w:rPr>
          <w:szCs w:val="24"/>
        </w:rPr>
        <w:t>;</w:t>
      </w:r>
      <w:r w:rsidRPr="00C3471E">
        <w:rPr>
          <w:szCs w:val="24"/>
        </w:rPr>
        <w:t xml:space="preserve"> </w:t>
      </w:r>
      <w:r w:rsidR="00F71FE9">
        <w:t>and</w:t>
      </w:r>
    </w:p>
    <w:p w:rsidR="00B94DD6" w:rsidRDefault="004E5344" w:rsidP="00A9348B">
      <w:pPr>
        <w:pStyle w:val="Bullet"/>
      </w:pPr>
      <w:r>
        <w:t>m</w:t>
      </w:r>
      <w:r w:rsidR="00A0657E">
        <w:t>aking l</w:t>
      </w:r>
      <w:r w:rsidR="00043BE7">
        <w:t xml:space="preserve">anguage and formatting changes to </w:t>
      </w:r>
      <w:r w:rsidR="00B94DD6">
        <w:t xml:space="preserve">reflect contextual changes and </w:t>
      </w:r>
      <w:r w:rsidR="00043BE7">
        <w:t xml:space="preserve">align </w:t>
      </w:r>
      <w:r w:rsidR="00893301">
        <w:t xml:space="preserve">the Regulations </w:t>
      </w:r>
      <w:r w:rsidR="00043BE7">
        <w:t>with current drafting practices</w:t>
      </w:r>
      <w:r>
        <w:t>.</w:t>
      </w:r>
    </w:p>
    <w:p w:rsidR="00C72A21" w:rsidRDefault="00DC20AE" w:rsidP="00A9348B">
      <w:pPr>
        <w:pStyle w:val="Bullet"/>
        <w:numPr>
          <w:ilvl w:val="0"/>
          <w:numId w:val="0"/>
        </w:numPr>
      </w:pPr>
      <w:r w:rsidRPr="00DC20AE">
        <w:t>Further details of the Regulation</w:t>
      </w:r>
      <w:r w:rsidR="00E47974">
        <w:t>s</w:t>
      </w:r>
      <w:r w:rsidRPr="00DC20AE">
        <w:t xml:space="preserve"> are set out in </w:t>
      </w:r>
      <w:r w:rsidRPr="00DC20AE">
        <w:rPr>
          <w:u w:val="single"/>
        </w:rPr>
        <w:t>Attachment</w:t>
      </w:r>
      <w:r w:rsidR="000E56FB">
        <w:rPr>
          <w:u w:val="single"/>
        </w:rPr>
        <w:t xml:space="preserve"> A</w:t>
      </w:r>
      <w:r w:rsidRPr="00DC20AE">
        <w:t>.</w:t>
      </w:r>
    </w:p>
    <w:p w:rsidR="00E41A4B" w:rsidRDefault="00E41A4B" w:rsidP="00A9348B">
      <w:pPr>
        <w:pStyle w:val="Bullet"/>
        <w:numPr>
          <w:ilvl w:val="0"/>
          <w:numId w:val="0"/>
        </w:numPr>
        <w:tabs>
          <w:tab w:val="left" w:pos="720"/>
        </w:tabs>
      </w:pPr>
      <w:r>
        <w:lastRenderedPageBreak/>
        <w:t xml:space="preserve">A finding table, to assist in identifying which provisions in the Regulations correspond to provisions in the </w:t>
      </w:r>
      <w:r>
        <w:rPr>
          <w:i/>
        </w:rPr>
        <w:t>Human Services (Medicare) Regulations 1975,</w:t>
      </w:r>
      <w:r>
        <w:t xml:space="preserve"> is set out in </w:t>
      </w:r>
      <w:r>
        <w:rPr>
          <w:u w:val="single"/>
        </w:rPr>
        <w:t>Attachment B</w:t>
      </w:r>
      <w:r>
        <w:t>.</w:t>
      </w:r>
    </w:p>
    <w:p w:rsidR="00C37E05" w:rsidRDefault="00DC20AE" w:rsidP="00A9348B">
      <w:pPr>
        <w:pStyle w:val="Bullet"/>
        <w:numPr>
          <w:ilvl w:val="0"/>
          <w:numId w:val="0"/>
        </w:numPr>
      </w:pPr>
      <w:r w:rsidRPr="00DC20AE">
        <w:t>The Act does not specify any conditions that need to be met before the power to make the Regulation</w:t>
      </w:r>
      <w:r w:rsidR="00E47974">
        <w:t>s</w:t>
      </w:r>
      <w:r w:rsidRPr="00DC20AE">
        <w:t xml:space="preserve"> may be exercised.</w:t>
      </w:r>
    </w:p>
    <w:p w:rsidR="006E03FB" w:rsidRDefault="00DC20AE" w:rsidP="00A9348B">
      <w:pPr>
        <w:spacing w:before="240"/>
      </w:pPr>
      <w:r w:rsidRPr="00DC20AE">
        <w:t>The Regulation</w:t>
      </w:r>
      <w:r w:rsidR="00E47974">
        <w:t xml:space="preserve">s are </w:t>
      </w:r>
      <w:r w:rsidRPr="00DC20AE">
        <w:t xml:space="preserve">a legislative instrument for the purposes of the </w:t>
      </w:r>
      <w:r w:rsidRPr="00DC20AE">
        <w:rPr>
          <w:i/>
        </w:rPr>
        <w:t>Legislation Act</w:t>
      </w:r>
      <w:r w:rsidR="00893301">
        <w:rPr>
          <w:i/>
        </w:rPr>
        <w:t> </w:t>
      </w:r>
      <w:r w:rsidRPr="00DC20AE">
        <w:rPr>
          <w:i/>
        </w:rPr>
        <w:t>2003</w:t>
      </w:r>
      <w:r w:rsidRPr="00DC20AE">
        <w:t>.</w:t>
      </w:r>
      <w:r w:rsidR="00151086">
        <w:br/>
      </w:r>
      <w:r w:rsidR="006E03FB">
        <w:br/>
      </w:r>
      <w:r w:rsidR="004E5344">
        <w:t>T</w:t>
      </w:r>
      <w:r w:rsidR="00354B7C">
        <w:t xml:space="preserve">he </w:t>
      </w:r>
      <w:r w:rsidR="00893301">
        <w:t>Department of Human Services</w:t>
      </w:r>
      <w:r w:rsidR="004E5344">
        <w:t xml:space="preserve"> undertook consultation with the </w:t>
      </w:r>
      <w:r w:rsidR="00354B7C">
        <w:t>Department of Health and the Department of Veterans’ Affairs</w:t>
      </w:r>
      <w:r w:rsidR="006E03FB" w:rsidRPr="0068132A">
        <w:t>.</w:t>
      </w:r>
      <w:r w:rsidR="004E5344">
        <w:t xml:space="preserve">  Consultation outside the Australian Government was considered unnecessary as the Regulations are of a </w:t>
      </w:r>
      <w:r w:rsidR="008D0B5E">
        <w:t>minor machinery nature and do not substantially alter existing arrangements.</w:t>
      </w:r>
      <w:r w:rsidR="006E03FB" w:rsidRPr="0068132A">
        <w:t xml:space="preserve"> </w:t>
      </w:r>
    </w:p>
    <w:p w:rsidR="00DC20AE" w:rsidRDefault="00DC20AE" w:rsidP="00A9348B">
      <w:pPr>
        <w:spacing w:before="240"/>
      </w:pPr>
      <w:r w:rsidRPr="00CA5DE5">
        <w:t>The Regulation</w:t>
      </w:r>
      <w:r w:rsidR="00E47974">
        <w:t>s</w:t>
      </w:r>
      <w:r w:rsidRPr="00CA5DE5">
        <w:t xml:space="preserve"> </w:t>
      </w:r>
      <w:r w:rsidR="00E47974">
        <w:t>commence on the day after they are</w:t>
      </w:r>
      <w:r w:rsidR="000E56FB">
        <w:t xml:space="preserve"> registered</w:t>
      </w:r>
      <w:r w:rsidR="00CE1763">
        <w:t xml:space="preserve"> on the Federal Register of Legislation</w:t>
      </w:r>
      <w:r w:rsidR="000E56FB">
        <w:t xml:space="preserve">. </w:t>
      </w:r>
    </w:p>
    <w:p w:rsidR="007008E2" w:rsidRDefault="007008E2" w:rsidP="00A9348B"/>
    <w:p w:rsidR="000E56FB" w:rsidRDefault="000E56FB" w:rsidP="00A9348B">
      <w:pPr>
        <w:pStyle w:val="Heading3"/>
      </w:pPr>
      <w:r>
        <w:t>Statement of Compatibility with Human Rights</w:t>
      </w:r>
    </w:p>
    <w:p w:rsidR="000E56FB" w:rsidRDefault="000E56FB" w:rsidP="00A9348B">
      <w:pPr>
        <w:rPr>
          <w:i/>
        </w:rPr>
      </w:pPr>
      <w:r w:rsidRPr="00E4438C">
        <w:rPr>
          <w:i/>
        </w:rPr>
        <w:t xml:space="preserve">Prepared in accordance with Part 3 of the </w:t>
      </w:r>
      <w:r w:rsidR="00893301">
        <w:rPr>
          <w:i/>
        </w:rPr>
        <w:t>H</w:t>
      </w:r>
      <w:r w:rsidRPr="00E4438C">
        <w:rPr>
          <w:i/>
        </w:rPr>
        <w:t>uman</w:t>
      </w:r>
      <w:r w:rsidR="00893301">
        <w:rPr>
          <w:i/>
        </w:rPr>
        <w:t xml:space="preserve"> </w:t>
      </w:r>
      <w:r w:rsidRPr="00E4438C">
        <w:rPr>
          <w:i/>
        </w:rPr>
        <w:t>Rights</w:t>
      </w:r>
      <w:r w:rsidR="00893301">
        <w:rPr>
          <w:i/>
        </w:rPr>
        <w:t xml:space="preserve"> </w:t>
      </w:r>
      <w:r w:rsidRPr="00E4438C">
        <w:rPr>
          <w:i/>
        </w:rPr>
        <w:t>(Parliamentary</w:t>
      </w:r>
      <w:r w:rsidR="00893301">
        <w:rPr>
          <w:i/>
        </w:rPr>
        <w:t> </w:t>
      </w:r>
      <w:r w:rsidRPr="00E4438C">
        <w:rPr>
          <w:i/>
        </w:rPr>
        <w:t>Scrutiny)</w:t>
      </w:r>
      <w:r w:rsidR="00893301">
        <w:rPr>
          <w:i/>
        </w:rPr>
        <w:t> </w:t>
      </w:r>
      <w:r w:rsidRPr="00E4438C">
        <w:rPr>
          <w:i/>
        </w:rPr>
        <w:t>Act 2011</w:t>
      </w:r>
    </w:p>
    <w:p w:rsidR="000E56FB" w:rsidRPr="00E47974" w:rsidRDefault="00C80FFC" w:rsidP="00A9348B">
      <w:pPr>
        <w:rPr>
          <w:b/>
          <w:i/>
        </w:rPr>
      </w:pPr>
      <w:r w:rsidRPr="00E47974">
        <w:rPr>
          <w:b/>
          <w:i/>
        </w:rPr>
        <w:t>Human Services (Medicare) Regulations 2017</w:t>
      </w:r>
    </w:p>
    <w:p w:rsidR="000E56FB" w:rsidRDefault="000E56FB" w:rsidP="00A9348B">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r w:rsidR="0020583C">
        <w:br/>
      </w:r>
    </w:p>
    <w:p w:rsidR="000E56FB" w:rsidRDefault="000E56FB" w:rsidP="00A9348B">
      <w:pPr>
        <w:pStyle w:val="Heading4"/>
      </w:pPr>
      <w:r>
        <w:t xml:space="preserve">Overview of the </w:t>
      </w:r>
      <w:r w:rsidRPr="00E4438C">
        <w:t>Legislative</w:t>
      </w:r>
      <w:r>
        <w:t xml:space="preserve"> Instrument</w:t>
      </w:r>
    </w:p>
    <w:p w:rsidR="0021277C" w:rsidRDefault="00EE2DEE" w:rsidP="00A9348B">
      <w:r>
        <w:t>The Regulation</w:t>
      </w:r>
      <w:r w:rsidR="00C80FFC">
        <w:t>s</w:t>
      </w:r>
      <w:r w:rsidR="00E47974">
        <w:t xml:space="preserve"> remake</w:t>
      </w:r>
      <w:r>
        <w:t xml:space="preserve"> and improve the </w:t>
      </w:r>
      <w:r w:rsidR="00C80FFC" w:rsidRPr="00C80FFC">
        <w:rPr>
          <w:i/>
        </w:rPr>
        <w:t xml:space="preserve">Human Services (Medicare) </w:t>
      </w:r>
      <w:r w:rsidRPr="00C80FFC">
        <w:rPr>
          <w:i/>
        </w:rPr>
        <w:t xml:space="preserve">Regulations </w:t>
      </w:r>
      <w:r w:rsidR="00C80FFC" w:rsidRPr="00C80FFC">
        <w:rPr>
          <w:i/>
        </w:rPr>
        <w:t>1975</w:t>
      </w:r>
      <w:r w:rsidR="00C80FFC">
        <w:t xml:space="preserve"> </w:t>
      </w:r>
      <w:r w:rsidR="00FC0727">
        <w:t xml:space="preserve">by </w:t>
      </w:r>
      <w:r w:rsidR="00FC0727" w:rsidRPr="00DC20AE">
        <w:t xml:space="preserve">repealing redundant provisions, simplifying language and restructuring provisions </w:t>
      </w:r>
      <w:r w:rsidR="00FC0727">
        <w:t xml:space="preserve">for ease of navigation. </w:t>
      </w:r>
    </w:p>
    <w:p w:rsidR="0040260B" w:rsidRDefault="0040260B" w:rsidP="00A9348B">
      <w:r>
        <w:t xml:space="preserve">The Regulations also include some minor, consequential amendments to reflect changes made by the </w:t>
      </w:r>
      <w:r>
        <w:rPr>
          <w:i/>
        </w:rPr>
        <w:t xml:space="preserve">Aged Care Legislation Amendment (Increasing Consumer Choice) Act </w:t>
      </w:r>
      <w:r w:rsidRPr="00572061">
        <w:rPr>
          <w:i/>
        </w:rPr>
        <w:t>2016</w:t>
      </w:r>
      <w:r>
        <w:t xml:space="preserve"> and </w:t>
      </w:r>
      <w:r w:rsidRPr="004E5344">
        <w:rPr>
          <w:i/>
          <w:szCs w:val="24"/>
        </w:rPr>
        <w:t>Aged Care Legislation Amendment (Increasing Consumer Choice) Principles 2016</w:t>
      </w:r>
      <w:r>
        <w:rPr>
          <w:i/>
          <w:szCs w:val="24"/>
        </w:rPr>
        <w:t xml:space="preserve"> </w:t>
      </w:r>
      <w:r w:rsidRPr="00C56539">
        <w:t>to</w:t>
      </w:r>
      <w:r>
        <w:t xml:space="preserve"> the way in which home care is provided under the aged care system.</w:t>
      </w:r>
    </w:p>
    <w:p w:rsidR="00E47974" w:rsidRPr="00E47974" w:rsidRDefault="00E47974" w:rsidP="00A9348B"/>
    <w:p w:rsidR="000E56FB" w:rsidRPr="00151086" w:rsidRDefault="000E56FB" w:rsidP="00A9348B">
      <w:r w:rsidRPr="00CA5DE5">
        <w:rPr>
          <w:b/>
        </w:rPr>
        <w:t>Human rights implications</w:t>
      </w:r>
    </w:p>
    <w:p w:rsidR="000E56FB" w:rsidRDefault="000E56FB" w:rsidP="00A9348B">
      <w:r>
        <w:t>This Legislative Instrument does not engage any of the applicable rights or freedoms.</w:t>
      </w:r>
      <w:r w:rsidR="0020583C">
        <w:br/>
      </w:r>
    </w:p>
    <w:p w:rsidR="000E56FB" w:rsidRDefault="000E56FB" w:rsidP="00A9348B">
      <w:pPr>
        <w:pStyle w:val="Heading4"/>
      </w:pPr>
      <w:r>
        <w:t>Conclusion</w:t>
      </w:r>
    </w:p>
    <w:p w:rsidR="00572061" w:rsidRDefault="000E56FB" w:rsidP="00A9348B">
      <w:pPr>
        <w:spacing w:before="0" w:after="0"/>
      </w:pPr>
      <w:r>
        <w:t>This Legislative Instrument is compatible with human rights as it does not raise any human rights issues.</w:t>
      </w:r>
    </w:p>
    <w:p w:rsidR="0022756C" w:rsidRDefault="0022756C" w:rsidP="00893301">
      <w:pPr>
        <w:spacing w:before="0" w:after="0"/>
        <w:rPr>
          <w:b/>
          <w:bCs/>
          <w:szCs w:val="24"/>
          <w:u w:val="single"/>
        </w:rPr>
      </w:pPr>
    </w:p>
    <w:p w:rsidR="00572061" w:rsidRDefault="00572061" w:rsidP="00893301">
      <w:pPr>
        <w:spacing w:before="0" w:after="0"/>
        <w:rPr>
          <w:b/>
          <w:bCs/>
          <w:szCs w:val="24"/>
          <w:u w:val="single"/>
        </w:rPr>
      </w:pPr>
    </w:p>
    <w:p w:rsidR="00E323CD" w:rsidRPr="00E323CD" w:rsidRDefault="00E323CD" w:rsidP="0022756C">
      <w:pPr>
        <w:spacing w:before="0" w:after="0"/>
        <w:jc w:val="right"/>
        <w:rPr>
          <w:szCs w:val="24"/>
          <w:lang w:val="en-US"/>
        </w:rPr>
      </w:pPr>
      <w:r w:rsidRPr="00E323CD">
        <w:rPr>
          <w:b/>
          <w:bCs/>
          <w:szCs w:val="24"/>
          <w:u w:val="single"/>
        </w:rPr>
        <w:lastRenderedPageBreak/>
        <w:t>ATTACHMENT</w:t>
      </w:r>
      <w:r w:rsidR="00C17B1F">
        <w:rPr>
          <w:b/>
          <w:bCs/>
          <w:szCs w:val="24"/>
          <w:u w:val="single"/>
        </w:rPr>
        <w:t xml:space="preserve"> A</w:t>
      </w:r>
    </w:p>
    <w:p w:rsidR="00E323CD" w:rsidRDefault="00E323CD" w:rsidP="00E323CD">
      <w:pPr>
        <w:shd w:val="clear" w:color="auto" w:fill="FFFFFF"/>
        <w:spacing w:before="100" w:beforeAutospacing="1" w:after="100" w:afterAutospacing="1"/>
        <w:rPr>
          <w:b/>
          <w:bCs/>
          <w:i/>
          <w:iCs/>
          <w:szCs w:val="24"/>
          <w:u w:val="single"/>
        </w:rPr>
      </w:pPr>
      <w:r w:rsidRPr="00E323CD">
        <w:rPr>
          <w:b/>
          <w:bCs/>
          <w:szCs w:val="24"/>
          <w:u w:val="single"/>
        </w:rPr>
        <w:t xml:space="preserve">Details of the </w:t>
      </w:r>
      <w:r w:rsidR="0061597A">
        <w:rPr>
          <w:b/>
          <w:bCs/>
          <w:i/>
          <w:iCs/>
          <w:szCs w:val="24"/>
          <w:u w:val="single"/>
        </w:rPr>
        <w:t>Human Services (Medicare) Regulations 2017</w:t>
      </w:r>
    </w:p>
    <w:p w:rsidR="0020583C" w:rsidRPr="00A43D68" w:rsidRDefault="0020583C" w:rsidP="0020583C">
      <w:pPr>
        <w:shd w:val="clear" w:color="auto" w:fill="FFFFFF"/>
        <w:spacing w:before="100" w:beforeAutospacing="1" w:after="100" w:afterAutospacing="1"/>
        <w:rPr>
          <w:szCs w:val="24"/>
          <w:lang w:val="en-US"/>
        </w:rPr>
      </w:pPr>
      <w:r w:rsidRPr="00A43D68">
        <w:rPr>
          <w:b/>
          <w:bCs/>
          <w:szCs w:val="24"/>
          <w:u w:val="single"/>
        </w:rPr>
        <w:t>Part 1 – Preliminary</w:t>
      </w:r>
    </w:p>
    <w:p w:rsidR="0020583C" w:rsidRPr="00135E2C" w:rsidRDefault="0020583C" w:rsidP="00DA25D0">
      <w:pPr>
        <w:shd w:val="clear" w:color="auto" w:fill="FFFFFF"/>
        <w:spacing w:before="100" w:beforeAutospacing="1" w:after="100" w:afterAutospacing="1"/>
        <w:rPr>
          <w:szCs w:val="24"/>
          <w:lang w:val="en-US"/>
        </w:rPr>
      </w:pPr>
      <w:r w:rsidRPr="00CA5DE5">
        <w:rPr>
          <w:i/>
          <w:iCs/>
          <w:szCs w:val="24"/>
        </w:rPr>
        <w:t>Section 1</w:t>
      </w:r>
      <w:r w:rsidRPr="00135E2C">
        <w:rPr>
          <w:i/>
          <w:iCs/>
          <w:szCs w:val="24"/>
        </w:rPr>
        <w:t xml:space="preserve"> – Name of Regulation</w:t>
      </w:r>
    </w:p>
    <w:p w:rsidR="0020583C" w:rsidRPr="00135E2C" w:rsidRDefault="0020583C" w:rsidP="00DA25D0">
      <w:pPr>
        <w:shd w:val="clear" w:color="auto" w:fill="FFFFFF"/>
        <w:spacing w:before="100" w:beforeAutospacing="1" w:after="100" w:afterAutospacing="1"/>
        <w:rPr>
          <w:szCs w:val="24"/>
          <w:lang w:val="en-US"/>
        </w:rPr>
      </w:pPr>
      <w:r w:rsidRPr="00135E2C">
        <w:rPr>
          <w:szCs w:val="24"/>
        </w:rPr>
        <w:t>This section provides that the title of the Regulation</w:t>
      </w:r>
      <w:r w:rsidR="00C82280">
        <w:rPr>
          <w:szCs w:val="24"/>
        </w:rPr>
        <w:t>s</w:t>
      </w:r>
      <w:r w:rsidRPr="00135E2C">
        <w:rPr>
          <w:szCs w:val="24"/>
        </w:rPr>
        <w:t xml:space="preserve"> is the </w:t>
      </w:r>
      <w:r w:rsidR="00E70D33">
        <w:rPr>
          <w:i/>
          <w:iCs/>
          <w:szCs w:val="24"/>
        </w:rPr>
        <w:t>Human Services (Medicare) Regulations 2017</w:t>
      </w:r>
      <w:r w:rsidRPr="00135E2C">
        <w:rPr>
          <w:szCs w:val="24"/>
        </w:rPr>
        <w:t>.</w:t>
      </w:r>
    </w:p>
    <w:p w:rsidR="0020583C" w:rsidRPr="00135E2C" w:rsidRDefault="0020583C" w:rsidP="00DA25D0">
      <w:pPr>
        <w:shd w:val="clear" w:color="auto" w:fill="FFFFFF"/>
        <w:spacing w:before="100" w:beforeAutospacing="1" w:after="100" w:afterAutospacing="1"/>
        <w:rPr>
          <w:szCs w:val="24"/>
          <w:lang w:val="en-US"/>
        </w:rPr>
      </w:pPr>
      <w:r w:rsidRPr="00CA5DE5">
        <w:rPr>
          <w:i/>
          <w:iCs/>
          <w:szCs w:val="24"/>
        </w:rPr>
        <w:t xml:space="preserve">Section </w:t>
      </w:r>
      <w:r w:rsidR="0059021B">
        <w:rPr>
          <w:i/>
          <w:iCs/>
          <w:szCs w:val="24"/>
        </w:rPr>
        <w:t>2</w:t>
      </w:r>
      <w:r w:rsidRPr="00135E2C">
        <w:rPr>
          <w:i/>
          <w:iCs/>
          <w:szCs w:val="24"/>
        </w:rPr>
        <w:t xml:space="preserve"> – Commencement</w:t>
      </w:r>
    </w:p>
    <w:p w:rsidR="0020583C" w:rsidRPr="00135E2C" w:rsidRDefault="0020583C" w:rsidP="00DA25D0">
      <w:pPr>
        <w:shd w:val="clear" w:color="auto" w:fill="FFFFFF"/>
        <w:spacing w:before="100" w:beforeAutospacing="1" w:after="100" w:afterAutospacing="1"/>
        <w:rPr>
          <w:szCs w:val="24"/>
          <w:lang w:val="en-US"/>
        </w:rPr>
      </w:pPr>
      <w:r w:rsidRPr="00135E2C">
        <w:rPr>
          <w:szCs w:val="24"/>
        </w:rPr>
        <w:t>This section provides that the Regulation</w:t>
      </w:r>
      <w:r w:rsidR="00C82280">
        <w:rPr>
          <w:szCs w:val="24"/>
        </w:rPr>
        <w:t>s commence</w:t>
      </w:r>
      <w:r w:rsidRPr="00135E2C">
        <w:rPr>
          <w:szCs w:val="24"/>
        </w:rPr>
        <w:t xml:space="preserve"> on</w:t>
      </w:r>
      <w:r w:rsidR="0059021B">
        <w:rPr>
          <w:szCs w:val="24"/>
        </w:rPr>
        <w:t xml:space="preserve"> the day after the Regulation</w:t>
      </w:r>
      <w:r w:rsidR="00C82280">
        <w:rPr>
          <w:szCs w:val="24"/>
        </w:rPr>
        <w:t>s are</w:t>
      </w:r>
      <w:r w:rsidR="0059021B">
        <w:rPr>
          <w:szCs w:val="24"/>
        </w:rPr>
        <w:t xml:space="preserve"> registered.</w:t>
      </w:r>
    </w:p>
    <w:p w:rsidR="0020583C" w:rsidRPr="00135E2C" w:rsidRDefault="0020583C" w:rsidP="00DA25D0">
      <w:pPr>
        <w:shd w:val="clear" w:color="auto" w:fill="FFFFFF"/>
        <w:spacing w:before="100" w:beforeAutospacing="1" w:after="100" w:afterAutospacing="1"/>
        <w:rPr>
          <w:szCs w:val="24"/>
          <w:lang w:val="en-US"/>
        </w:rPr>
      </w:pPr>
      <w:r w:rsidRPr="00CA5DE5">
        <w:rPr>
          <w:i/>
          <w:iCs/>
          <w:szCs w:val="24"/>
        </w:rPr>
        <w:t xml:space="preserve">Section </w:t>
      </w:r>
      <w:r w:rsidR="0059021B">
        <w:rPr>
          <w:i/>
          <w:iCs/>
          <w:szCs w:val="24"/>
        </w:rPr>
        <w:t>3</w:t>
      </w:r>
      <w:r w:rsidRPr="00135E2C">
        <w:rPr>
          <w:i/>
          <w:iCs/>
          <w:szCs w:val="24"/>
        </w:rPr>
        <w:t xml:space="preserve"> – Authority</w:t>
      </w:r>
    </w:p>
    <w:p w:rsidR="0020583C" w:rsidRPr="00135E2C" w:rsidRDefault="0020583C" w:rsidP="00DA25D0">
      <w:pPr>
        <w:shd w:val="clear" w:color="auto" w:fill="FFFFFF"/>
        <w:spacing w:before="100" w:beforeAutospacing="1" w:after="100" w:afterAutospacing="1"/>
        <w:rPr>
          <w:szCs w:val="24"/>
          <w:lang w:val="en-US"/>
        </w:rPr>
      </w:pPr>
      <w:r w:rsidRPr="00135E2C">
        <w:rPr>
          <w:szCs w:val="24"/>
        </w:rPr>
        <w:t>This section provides that the Regulation</w:t>
      </w:r>
      <w:r w:rsidR="00C82280">
        <w:rPr>
          <w:szCs w:val="24"/>
        </w:rPr>
        <w:t>s are</w:t>
      </w:r>
      <w:r w:rsidRPr="00135E2C">
        <w:rPr>
          <w:szCs w:val="24"/>
        </w:rPr>
        <w:t xml:space="preserve"> made under the </w:t>
      </w:r>
      <w:r w:rsidR="00C82280" w:rsidRPr="0059761A">
        <w:rPr>
          <w:i/>
        </w:rPr>
        <w:t>Human Services (Medicare) Act 1973</w:t>
      </w:r>
      <w:r w:rsidRPr="00135E2C">
        <w:rPr>
          <w:szCs w:val="24"/>
        </w:rPr>
        <w:t>.</w:t>
      </w:r>
    </w:p>
    <w:p w:rsidR="0020583C" w:rsidRPr="00135E2C" w:rsidRDefault="0020583C" w:rsidP="00DA25D0">
      <w:pPr>
        <w:shd w:val="clear" w:color="auto" w:fill="FFFFFF"/>
        <w:spacing w:before="100" w:beforeAutospacing="1" w:after="100" w:afterAutospacing="1"/>
        <w:rPr>
          <w:szCs w:val="24"/>
          <w:lang w:val="en-US"/>
        </w:rPr>
      </w:pPr>
      <w:r w:rsidRPr="00CA5DE5">
        <w:rPr>
          <w:i/>
          <w:iCs/>
          <w:szCs w:val="24"/>
        </w:rPr>
        <w:t xml:space="preserve">Section </w:t>
      </w:r>
      <w:r w:rsidR="0059021B">
        <w:rPr>
          <w:i/>
          <w:iCs/>
          <w:szCs w:val="24"/>
        </w:rPr>
        <w:t>4</w:t>
      </w:r>
      <w:r w:rsidRPr="00135E2C">
        <w:rPr>
          <w:i/>
          <w:iCs/>
          <w:szCs w:val="24"/>
        </w:rPr>
        <w:t xml:space="preserve"> – Schedules</w:t>
      </w:r>
    </w:p>
    <w:p w:rsidR="007F30F5" w:rsidRDefault="0020583C" w:rsidP="00DA25D0">
      <w:pPr>
        <w:shd w:val="clear" w:color="auto" w:fill="FFFFFF"/>
        <w:spacing w:before="100" w:beforeAutospacing="1" w:after="100" w:afterAutospacing="1"/>
        <w:rPr>
          <w:szCs w:val="24"/>
          <w:lang w:val="en-US"/>
        </w:rPr>
      </w:pPr>
      <w:r w:rsidRPr="00135E2C">
        <w:rPr>
          <w:szCs w:val="24"/>
        </w:rPr>
        <w:t>This section provides that each instrument that is specified in a Schedule to the Regulation</w:t>
      </w:r>
      <w:r w:rsidR="00C82280">
        <w:rPr>
          <w:szCs w:val="24"/>
        </w:rPr>
        <w:t>s</w:t>
      </w:r>
      <w:r w:rsidRPr="00A43D68">
        <w:rPr>
          <w:szCs w:val="24"/>
        </w:rPr>
        <w:t xml:space="preserve"> is amended or repealed as set out in the applicable items in the Schedule concerned, and any other item in a Schedule to the Regulation</w:t>
      </w:r>
      <w:r w:rsidR="00BE519C">
        <w:rPr>
          <w:szCs w:val="24"/>
        </w:rPr>
        <w:t>s</w:t>
      </w:r>
      <w:r w:rsidRPr="00A43D68">
        <w:rPr>
          <w:szCs w:val="24"/>
        </w:rPr>
        <w:t xml:space="preserve"> has effect according to its terms.</w:t>
      </w:r>
    </w:p>
    <w:p w:rsidR="007F30F5" w:rsidRPr="00CA5DE5" w:rsidRDefault="0059021B" w:rsidP="00DA25D0">
      <w:pPr>
        <w:shd w:val="clear" w:color="auto" w:fill="FFFFFF"/>
        <w:spacing w:before="100" w:beforeAutospacing="1" w:after="100" w:afterAutospacing="1"/>
        <w:rPr>
          <w:i/>
          <w:szCs w:val="24"/>
          <w:lang w:val="en-US"/>
        </w:rPr>
      </w:pPr>
      <w:r w:rsidRPr="00135E2C">
        <w:rPr>
          <w:i/>
          <w:szCs w:val="24"/>
          <w:lang w:val="en-US"/>
        </w:rPr>
        <w:t xml:space="preserve">Section </w:t>
      </w:r>
      <w:r>
        <w:rPr>
          <w:i/>
          <w:szCs w:val="24"/>
          <w:lang w:val="en-US"/>
        </w:rPr>
        <w:t>5</w:t>
      </w:r>
      <w:r w:rsidR="007F30F5" w:rsidRPr="00CA5DE5">
        <w:rPr>
          <w:i/>
          <w:szCs w:val="24"/>
          <w:lang w:val="en-US"/>
        </w:rPr>
        <w:t xml:space="preserve"> – Definitions</w:t>
      </w:r>
    </w:p>
    <w:p w:rsidR="00C82280" w:rsidRDefault="003B36CB" w:rsidP="00DA25D0">
      <w:pPr>
        <w:shd w:val="clear" w:color="auto" w:fill="FFFFFF"/>
        <w:spacing w:before="100" w:beforeAutospacing="1" w:after="100" w:afterAutospacing="1"/>
        <w:rPr>
          <w:szCs w:val="24"/>
          <w:lang w:val="en-US"/>
        </w:rPr>
      </w:pPr>
      <w:r>
        <w:rPr>
          <w:szCs w:val="24"/>
          <w:lang w:val="en-US"/>
        </w:rPr>
        <w:t>This section contains defined terms used in the Regulation</w:t>
      </w:r>
      <w:r w:rsidR="00C82280">
        <w:rPr>
          <w:szCs w:val="24"/>
          <w:lang w:val="en-US"/>
        </w:rPr>
        <w:t>s</w:t>
      </w:r>
      <w:r>
        <w:rPr>
          <w:szCs w:val="24"/>
          <w:lang w:val="en-US"/>
        </w:rPr>
        <w:t xml:space="preserve">. </w:t>
      </w:r>
      <w:r w:rsidR="00C82280">
        <w:rPr>
          <w:szCs w:val="24"/>
          <w:lang w:val="en-US"/>
        </w:rPr>
        <w:t xml:space="preserve">Several definitions have been incorporated into this section from the text of other sections of the </w:t>
      </w:r>
      <w:r w:rsidR="00BA2D0D">
        <w:rPr>
          <w:i/>
          <w:szCs w:val="24"/>
          <w:lang w:val="en-US"/>
        </w:rPr>
        <w:t xml:space="preserve">Human Services (Medicare) </w:t>
      </w:r>
      <w:r w:rsidR="00BA2D0D" w:rsidRPr="00CA5DE5">
        <w:rPr>
          <w:i/>
          <w:szCs w:val="24"/>
          <w:lang w:val="en-US"/>
        </w:rPr>
        <w:t xml:space="preserve">Regulations </w:t>
      </w:r>
      <w:r w:rsidR="00BA2D0D">
        <w:rPr>
          <w:i/>
          <w:szCs w:val="24"/>
          <w:lang w:val="en-US"/>
        </w:rPr>
        <w:t>1975</w:t>
      </w:r>
      <w:r w:rsidR="00C82280">
        <w:rPr>
          <w:szCs w:val="24"/>
          <w:lang w:val="en-US"/>
        </w:rPr>
        <w:t xml:space="preserve">. </w:t>
      </w:r>
      <w:r w:rsidR="006B741C">
        <w:rPr>
          <w:szCs w:val="24"/>
          <w:lang w:val="en-US"/>
        </w:rPr>
        <w:t>New definitions have been introduced to provide greater clarity around certain</w:t>
      </w:r>
      <w:r w:rsidR="006A25F2">
        <w:rPr>
          <w:szCs w:val="24"/>
          <w:lang w:val="en-US"/>
        </w:rPr>
        <w:t xml:space="preserve"> prescribed functions.</w:t>
      </w:r>
    </w:p>
    <w:p w:rsidR="00BA2D0D" w:rsidRDefault="00BA2D0D" w:rsidP="00DA25D0">
      <w:pPr>
        <w:shd w:val="clear" w:color="auto" w:fill="FFFFFF"/>
        <w:spacing w:before="100" w:beforeAutospacing="1" w:after="100" w:afterAutospacing="1"/>
        <w:rPr>
          <w:szCs w:val="22"/>
        </w:rPr>
      </w:pPr>
      <w:r>
        <w:rPr>
          <w:szCs w:val="22"/>
        </w:rPr>
        <w:t>The definition of ‘recoverable amount</w:t>
      </w:r>
      <w:r w:rsidR="006A25F2">
        <w:rPr>
          <w:szCs w:val="22"/>
        </w:rPr>
        <w:t>’</w:t>
      </w:r>
      <w:r>
        <w:rPr>
          <w:szCs w:val="22"/>
        </w:rPr>
        <w:t xml:space="preserve"> has been amended to reflect changes made by the </w:t>
      </w:r>
      <w:r w:rsidRPr="000F0436">
        <w:rPr>
          <w:i/>
          <w:szCs w:val="22"/>
        </w:rPr>
        <w:t>Aged Care Legislation Amendment (Increasing Consumer Choice) Act 2016</w:t>
      </w:r>
      <w:r>
        <w:rPr>
          <w:szCs w:val="22"/>
        </w:rPr>
        <w:t xml:space="preserve">.  </w:t>
      </w:r>
      <w:r w:rsidRPr="000F0436">
        <w:rPr>
          <w:szCs w:val="22"/>
        </w:rPr>
        <w:t xml:space="preserve">Section 54 of the </w:t>
      </w:r>
      <w:r w:rsidRPr="000F0436">
        <w:rPr>
          <w:i/>
          <w:szCs w:val="22"/>
        </w:rPr>
        <w:t>Aged Care Legislation Amendment (Increasing Consumer Choice) Act 2016</w:t>
      </w:r>
      <w:r w:rsidRPr="000F0436">
        <w:rPr>
          <w:szCs w:val="22"/>
        </w:rPr>
        <w:t xml:space="preserve"> introduced subsection 95-1(3) into the</w:t>
      </w:r>
      <w:r w:rsidRPr="004E06AE">
        <w:rPr>
          <w:szCs w:val="22"/>
        </w:rPr>
        <w:t xml:space="preserve"> Aged Care Act,</w:t>
      </w:r>
      <w:r>
        <w:rPr>
          <w:i/>
          <w:szCs w:val="22"/>
        </w:rPr>
        <w:t xml:space="preserve"> </w:t>
      </w:r>
      <w:r>
        <w:rPr>
          <w:szCs w:val="22"/>
        </w:rPr>
        <w:t>adding</w:t>
      </w:r>
      <w:r w:rsidRPr="000F0436">
        <w:rPr>
          <w:szCs w:val="22"/>
        </w:rPr>
        <w:t xml:space="preserve"> a new definition of what constitutes a ‘recoverable amount’</w:t>
      </w:r>
      <w:r>
        <w:rPr>
          <w:szCs w:val="22"/>
        </w:rPr>
        <w:t xml:space="preserve"> to the Aged Care Act. This new definition</w:t>
      </w:r>
      <w:r w:rsidRPr="000F0436">
        <w:rPr>
          <w:szCs w:val="22"/>
        </w:rPr>
        <w:t xml:space="preserve"> took effect from 27 February 2017. </w:t>
      </w:r>
    </w:p>
    <w:p w:rsidR="00BA2D0D" w:rsidRPr="00893301" w:rsidRDefault="00BA2D0D" w:rsidP="00DA25D0">
      <w:pPr>
        <w:shd w:val="clear" w:color="auto" w:fill="FFFFFF"/>
        <w:spacing w:before="100" w:beforeAutospacing="1" w:after="100" w:afterAutospacing="1"/>
        <w:rPr>
          <w:szCs w:val="22"/>
        </w:rPr>
      </w:pPr>
      <w:r w:rsidRPr="000F0436">
        <w:rPr>
          <w:szCs w:val="22"/>
        </w:rPr>
        <w:t xml:space="preserve">The definition of ‘recoverable amount’ </w:t>
      </w:r>
      <w:r>
        <w:rPr>
          <w:szCs w:val="22"/>
        </w:rPr>
        <w:t xml:space="preserve">in the </w:t>
      </w:r>
      <w:r w:rsidRPr="004E06AE">
        <w:rPr>
          <w:i/>
          <w:szCs w:val="22"/>
        </w:rPr>
        <w:t>Human Services (Medicare) Regulations 1975</w:t>
      </w:r>
      <w:r>
        <w:rPr>
          <w:szCs w:val="22"/>
        </w:rPr>
        <w:t xml:space="preserve"> was </w:t>
      </w:r>
      <w:r w:rsidRPr="000F0436">
        <w:rPr>
          <w:szCs w:val="22"/>
        </w:rPr>
        <w:t>limited to the meaning given by subsection 95</w:t>
      </w:r>
      <w:r w:rsidRPr="000F0436">
        <w:rPr>
          <w:szCs w:val="22"/>
        </w:rPr>
        <w:noBreakHyphen/>
        <w:t xml:space="preserve">1(1) of the </w:t>
      </w:r>
      <w:r w:rsidRPr="000F0436">
        <w:rPr>
          <w:i/>
          <w:szCs w:val="22"/>
        </w:rPr>
        <w:t>Aged Care Act 1997</w:t>
      </w:r>
      <w:r w:rsidRPr="000F0436">
        <w:rPr>
          <w:szCs w:val="22"/>
        </w:rPr>
        <w:t xml:space="preserve">. </w:t>
      </w:r>
      <w:r>
        <w:rPr>
          <w:szCs w:val="22"/>
        </w:rPr>
        <w:t xml:space="preserve">To ensure that the Regulations cover the new definition of ‘recoverable amount’ contained in subsection </w:t>
      </w:r>
      <w:r w:rsidRPr="000F0436">
        <w:rPr>
          <w:szCs w:val="22"/>
        </w:rPr>
        <w:t xml:space="preserve">95-1(3) </w:t>
      </w:r>
      <w:r>
        <w:rPr>
          <w:szCs w:val="22"/>
        </w:rPr>
        <w:t>of</w:t>
      </w:r>
      <w:r w:rsidRPr="000F0436">
        <w:rPr>
          <w:szCs w:val="22"/>
        </w:rPr>
        <w:t xml:space="preserve"> the</w:t>
      </w:r>
      <w:r w:rsidRPr="004E06AE">
        <w:rPr>
          <w:szCs w:val="22"/>
        </w:rPr>
        <w:t xml:space="preserve"> Aged Care Ac</w:t>
      </w:r>
      <w:r>
        <w:rPr>
          <w:szCs w:val="22"/>
        </w:rPr>
        <w:t>t,</w:t>
      </w:r>
      <w:r w:rsidRPr="000F0436">
        <w:rPr>
          <w:szCs w:val="22"/>
        </w:rPr>
        <w:t xml:space="preserve"> </w:t>
      </w:r>
      <w:r>
        <w:rPr>
          <w:szCs w:val="22"/>
        </w:rPr>
        <w:t>t</w:t>
      </w:r>
      <w:r w:rsidRPr="000F0436">
        <w:rPr>
          <w:szCs w:val="22"/>
        </w:rPr>
        <w:t xml:space="preserve">he definition of ‘recoverable amount’ in section 5 of the Regulations </w:t>
      </w:r>
      <w:r>
        <w:rPr>
          <w:szCs w:val="22"/>
        </w:rPr>
        <w:t xml:space="preserve">now </w:t>
      </w:r>
      <w:r w:rsidRPr="000F0436">
        <w:rPr>
          <w:szCs w:val="22"/>
        </w:rPr>
        <w:t xml:space="preserve">provides that a reference to ‘recoverable amount’ has the meaning given by subsections 95-1(1) and 95-1(3) of the Aged Care Act. </w:t>
      </w:r>
    </w:p>
    <w:p w:rsidR="00893301" w:rsidRDefault="00C82280" w:rsidP="00DA25D0">
      <w:pPr>
        <w:shd w:val="clear" w:color="auto" w:fill="FFFFFF"/>
        <w:spacing w:before="100" w:beforeAutospacing="1" w:after="100" w:afterAutospacing="1"/>
        <w:rPr>
          <w:szCs w:val="24"/>
          <w:lang w:val="en-US"/>
        </w:rPr>
      </w:pPr>
      <w:r>
        <w:rPr>
          <w:szCs w:val="24"/>
          <w:lang w:val="en-US"/>
        </w:rPr>
        <w:lastRenderedPageBreak/>
        <w:t>Subsection 5(2) has been</w:t>
      </w:r>
      <w:r w:rsidR="00BF4051">
        <w:rPr>
          <w:szCs w:val="24"/>
          <w:lang w:val="en-US"/>
        </w:rPr>
        <w:t xml:space="preserve"> added to the </w:t>
      </w:r>
      <w:r>
        <w:rPr>
          <w:szCs w:val="24"/>
          <w:lang w:val="en-US"/>
        </w:rPr>
        <w:t>Regulations</w:t>
      </w:r>
      <w:r w:rsidR="00BF4051">
        <w:rPr>
          <w:szCs w:val="24"/>
          <w:lang w:val="en-US"/>
        </w:rPr>
        <w:t xml:space="preserve"> to provide that certain expressions </w:t>
      </w:r>
      <w:r>
        <w:rPr>
          <w:szCs w:val="24"/>
          <w:lang w:val="en-US"/>
        </w:rPr>
        <w:t xml:space="preserve">(other than recoverable amount) </w:t>
      </w:r>
      <w:r w:rsidR="00BF4051">
        <w:rPr>
          <w:szCs w:val="24"/>
          <w:lang w:val="en-US"/>
        </w:rPr>
        <w:t xml:space="preserve">used in </w:t>
      </w:r>
      <w:r>
        <w:rPr>
          <w:szCs w:val="24"/>
          <w:lang w:val="en-US"/>
        </w:rPr>
        <w:t xml:space="preserve">Part 2 of </w:t>
      </w:r>
      <w:r w:rsidR="00BF4051">
        <w:rPr>
          <w:szCs w:val="24"/>
          <w:lang w:val="en-US"/>
        </w:rPr>
        <w:t>the Regulation</w:t>
      </w:r>
      <w:r>
        <w:rPr>
          <w:szCs w:val="24"/>
          <w:lang w:val="en-US"/>
        </w:rPr>
        <w:t>s</w:t>
      </w:r>
      <w:r w:rsidR="00BF4051">
        <w:rPr>
          <w:szCs w:val="24"/>
          <w:lang w:val="en-US"/>
        </w:rPr>
        <w:t xml:space="preserve"> </w:t>
      </w:r>
      <w:r>
        <w:rPr>
          <w:szCs w:val="24"/>
          <w:lang w:val="en-US"/>
        </w:rPr>
        <w:t xml:space="preserve">have the same meaning in that Part as in the </w:t>
      </w:r>
      <w:r w:rsidRPr="00C82280">
        <w:rPr>
          <w:i/>
          <w:szCs w:val="24"/>
          <w:lang w:val="en-US"/>
        </w:rPr>
        <w:t>Aged Care Act 1997</w:t>
      </w:r>
      <w:r w:rsidR="001E6013" w:rsidRPr="001E6013">
        <w:rPr>
          <w:szCs w:val="24"/>
          <w:lang w:val="en-US"/>
        </w:rPr>
        <w:t xml:space="preserve"> (the Aged Care Act)</w:t>
      </w:r>
      <w:r w:rsidRPr="001E6013">
        <w:rPr>
          <w:szCs w:val="24"/>
          <w:lang w:val="en-US"/>
        </w:rPr>
        <w:t>.</w:t>
      </w:r>
      <w:r w:rsidR="00BF4051" w:rsidRPr="001E6013">
        <w:rPr>
          <w:szCs w:val="24"/>
          <w:lang w:val="en-US"/>
        </w:rPr>
        <w:t xml:space="preserve"> </w:t>
      </w:r>
      <w:r w:rsidR="00BA2D0D">
        <w:rPr>
          <w:szCs w:val="24"/>
          <w:lang w:val="en-US"/>
        </w:rPr>
        <w:t>This subsection replicates</w:t>
      </w:r>
      <w:r>
        <w:rPr>
          <w:szCs w:val="24"/>
          <w:lang w:val="en-US"/>
        </w:rPr>
        <w:t xml:space="preserve"> </w:t>
      </w:r>
      <w:r w:rsidR="001A69BD">
        <w:rPr>
          <w:szCs w:val="24"/>
          <w:lang w:val="en-US"/>
        </w:rPr>
        <w:t xml:space="preserve">corresponding provisions of the </w:t>
      </w:r>
      <w:r w:rsidR="001A69BD" w:rsidRPr="006A25F2">
        <w:rPr>
          <w:i/>
          <w:szCs w:val="24"/>
          <w:lang w:val="en-US"/>
        </w:rPr>
        <w:t>Human Services (Medicare) Regulations 1975</w:t>
      </w:r>
      <w:r w:rsidR="001A69BD">
        <w:rPr>
          <w:szCs w:val="24"/>
          <w:lang w:val="en-US"/>
        </w:rPr>
        <w:t xml:space="preserve"> and, in particular, </w:t>
      </w:r>
      <w:r>
        <w:rPr>
          <w:szCs w:val="24"/>
          <w:lang w:val="en-US"/>
        </w:rPr>
        <w:t xml:space="preserve">section 4 of the </w:t>
      </w:r>
      <w:r w:rsidRPr="00C82280">
        <w:rPr>
          <w:i/>
          <w:szCs w:val="24"/>
          <w:lang w:val="en-US"/>
        </w:rPr>
        <w:t>Human Services (Medicare) Regulations 1975</w:t>
      </w:r>
      <w:r>
        <w:rPr>
          <w:szCs w:val="24"/>
          <w:lang w:val="en-US"/>
        </w:rPr>
        <w:t>.</w:t>
      </w:r>
    </w:p>
    <w:p w:rsidR="003B36CB" w:rsidRPr="00CA5DE5" w:rsidRDefault="0059021B" w:rsidP="00DA25D0">
      <w:pPr>
        <w:shd w:val="clear" w:color="auto" w:fill="FFFFFF"/>
        <w:spacing w:before="100" w:beforeAutospacing="1" w:after="100" w:afterAutospacing="1"/>
        <w:rPr>
          <w:i/>
          <w:szCs w:val="24"/>
          <w:lang w:val="en-US"/>
        </w:rPr>
      </w:pPr>
      <w:r w:rsidRPr="00135E2C">
        <w:rPr>
          <w:i/>
          <w:szCs w:val="24"/>
          <w:lang w:val="en-US"/>
        </w:rPr>
        <w:t xml:space="preserve">Section </w:t>
      </w:r>
      <w:r>
        <w:rPr>
          <w:i/>
          <w:szCs w:val="24"/>
          <w:lang w:val="en-US"/>
        </w:rPr>
        <w:t>6</w:t>
      </w:r>
      <w:r w:rsidR="003B36CB" w:rsidRPr="00CA5DE5">
        <w:rPr>
          <w:i/>
          <w:szCs w:val="24"/>
          <w:lang w:val="en-US"/>
        </w:rPr>
        <w:t xml:space="preserve"> – </w:t>
      </w:r>
      <w:r w:rsidR="006B741C">
        <w:rPr>
          <w:i/>
          <w:szCs w:val="24"/>
          <w:lang w:val="en-US"/>
        </w:rPr>
        <w:t>Person affected by an emergency</w:t>
      </w:r>
    </w:p>
    <w:p w:rsidR="00553C73" w:rsidRDefault="003B36CB" w:rsidP="00DA25D0">
      <w:pPr>
        <w:shd w:val="clear" w:color="auto" w:fill="FFFFFF"/>
        <w:spacing w:before="100" w:beforeAutospacing="1" w:after="100" w:afterAutospacing="1"/>
        <w:rPr>
          <w:szCs w:val="24"/>
          <w:lang w:val="en-US"/>
        </w:rPr>
      </w:pPr>
      <w:r w:rsidRPr="004D44EF">
        <w:rPr>
          <w:szCs w:val="24"/>
          <w:lang w:val="en-US"/>
        </w:rPr>
        <w:t xml:space="preserve">This section </w:t>
      </w:r>
      <w:r w:rsidR="00553C73" w:rsidRPr="004D44EF">
        <w:rPr>
          <w:szCs w:val="24"/>
          <w:lang w:val="en-US"/>
        </w:rPr>
        <w:t xml:space="preserve">replicates the corresponding provision in the </w:t>
      </w:r>
      <w:r w:rsidR="006B741C">
        <w:rPr>
          <w:i/>
          <w:szCs w:val="24"/>
          <w:lang w:val="en-US"/>
        </w:rPr>
        <w:t>Human Services (Medicare)</w:t>
      </w:r>
      <w:r w:rsidR="00553C73" w:rsidRPr="004D44EF">
        <w:rPr>
          <w:i/>
          <w:szCs w:val="24"/>
          <w:lang w:val="en-US"/>
        </w:rPr>
        <w:t xml:space="preserve"> Regulations </w:t>
      </w:r>
      <w:r w:rsidR="001E6013">
        <w:rPr>
          <w:i/>
          <w:szCs w:val="24"/>
          <w:lang w:val="en-US"/>
        </w:rPr>
        <w:t>1975</w:t>
      </w:r>
      <w:r w:rsidR="00553C73" w:rsidRPr="004D44EF">
        <w:rPr>
          <w:szCs w:val="24"/>
          <w:lang w:val="en-US"/>
        </w:rPr>
        <w:t xml:space="preserve">, with some minor changes to </w:t>
      </w:r>
      <w:r w:rsidR="006B741C">
        <w:rPr>
          <w:szCs w:val="24"/>
          <w:lang w:val="en-US"/>
        </w:rPr>
        <w:t>clarify</w:t>
      </w:r>
      <w:r w:rsidR="00553C73" w:rsidRPr="004D44EF">
        <w:rPr>
          <w:szCs w:val="24"/>
          <w:lang w:val="en-US"/>
        </w:rPr>
        <w:t xml:space="preserve"> the </w:t>
      </w:r>
      <w:r w:rsidR="004E06AE">
        <w:rPr>
          <w:szCs w:val="24"/>
          <w:lang w:val="en-US"/>
        </w:rPr>
        <w:t xml:space="preserve">meaning of the </w:t>
      </w:r>
      <w:r w:rsidR="00553C73" w:rsidRPr="004D44EF">
        <w:rPr>
          <w:szCs w:val="24"/>
          <w:lang w:val="en-US"/>
        </w:rPr>
        <w:t xml:space="preserve">section without changing its operation. </w:t>
      </w:r>
    </w:p>
    <w:p w:rsidR="006165E0" w:rsidRPr="00A43D68" w:rsidRDefault="006165E0" w:rsidP="00DA25D0">
      <w:pPr>
        <w:shd w:val="clear" w:color="auto" w:fill="FFFFFF"/>
        <w:spacing w:before="100" w:beforeAutospacing="1" w:after="100" w:afterAutospacing="1"/>
        <w:rPr>
          <w:szCs w:val="24"/>
          <w:lang w:val="en-US"/>
        </w:rPr>
      </w:pPr>
      <w:r>
        <w:rPr>
          <w:b/>
          <w:bCs/>
          <w:szCs w:val="24"/>
          <w:u w:val="single"/>
        </w:rPr>
        <w:t>Part 2</w:t>
      </w:r>
      <w:r w:rsidRPr="00A43D68">
        <w:rPr>
          <w:b/>
          <w:bCs/>
          <w:szCs w:val="24"/>
          <w:u w:val="single"/>
        </w:rPr>
        <w:t xml:space="preserve"> – </w:t>
      </w:r>
      <w:r w:rsidR="006B741C">
        <w:rPr>
          <w:b/>
          <w:bCs/>
          <w:szCs w:val="24"/>
          <w:u w:val="single"/>
        </w:rPr>
        <w:t>Prescribed functions relating to aged care</w:t>
      </w:r>
    </w:p>
    <w:p w:rsidR="00553C73" w:rsidRDefault="006165E0" w:rsidP="00DA25D0">
      <w:pPr>
        <w:shd w:val="clear" w:color="auto" w:fill="FFFFFF"/>
        <w:spacing w:before="100" w:beforeAutospacing="1" w:after="100" w:afterAutospacing="1"/>
        <w:rPr>
          <w:i/>
          <w:iCs/>
          <w:szCs w:val="24"/>
        </w:rPr>
      </w:pPr>
      <w:r w:rsidRPr="00453C86">
        <w:rPr>
          <w:i/>
          <w:iCs/>
          <w:szCs w:val="24"/>
        </w:rPr>
        <w:t>Section</w:t>
      </w:r>
      <w:r w:rsidR="00553C73">
        <w:rPr>
          <w:i/>
          <w:iCs/>
          <w:szCs w:val="24"/>
        </w:rPr>
        <w:t>s</w:t>
      </w:r>
      <w:r w:rsidRPr="00453C86">
        <w:rPr>
          <w:i/>
          <w:iCs/>
          <w:szCs w:val="24"/>
        </w:rPr>
        <w:t xml:space="preserve"> </w:t>
      </w:r>
      <w:r w:rsidR="0059021B">
        <w:rPr>
          <w:i/>
          <w:iCs/>
          <w:szCs w:val="24"/>
        </w:rPr>
        <w:t xml:space="preserve">7 </w:t>
      </w:r>
      <w:r w:rsidR="00C56B06">
        <w:rPr>
          <w:i/>
          <w:iCs/>
          <w:szCs w:val="24"/>
        </w:rPr>
        <w:t>to 9</w:t>
      </w:r>
      <w:r w:rsidR="004E06AE">
        <w:rPr>
          <w:i/>
          <w:iCs/>
          <w:szCs w:val="24"/>
        </w:rPr>
        <w:t xml:space="preserve"> (inclusive)</w:t>
      </w:r>
    </w:p>
    <w:p w:rsidR="00553C73" w:rsidRDefault="00553C73" w:rsidP="00DA25D0">
      <w:pPr>
        <w:pStyle w:val="Bullet"/>
        <w:numPr>
          <w:ilvl w:val="0"/>
          <w:numId w:val="0"/>
        </w:numPr>
        <w:rPr>
          <w:lang w:val="en-US"/>
        </w:rPr>
      </w:pPr>
      <w:r>
        <w:rPr>
          <w:szCs w:val="24"/>
          <w:lang w:val="en-US"/>
        </w:rPr>
        <w:t xml:space="preserve">These sections replicate the corresponding provisions in the </w:t>
      </w:r>
      <w:r w:rsidR="006B741C">
        <w:rPr>
          <w:i/>
          <w:szCs w:val="24"/>
          <w:lang w:val="en-US"/>
        </w:rPr>
        <w:t>Human Services (Medicare) Regulations 1975</w:t>
      </w:r>
      <w:r>
        <w:rPr>
          <w:szCs w:val="24"/>
          <w:lang w:val="en-US"/>
        </w:rPr>
        <w:t>.</w:t>
      </w:r>
      <w:r w:rsidR="00AA662F">
        <w:rPr>
          <w:szCs w:val="24"/>
          <w:lang w:val="en-US"/>
        </w:rPr>
        <w:t xml:space="preserve"> </w:t>
      </w:r>
      <w:r w:rsidR="002B1489">
        <w:rPr>
          <w:lang w:val="en-US"/>
        </w:rPr>
        <w:t>These</w:t>
      </w:r>
      <w:r w:rsidR="002B1489" w:rsidRPr="002B1489">
        <w:rPr>
          <w:lang w:val="en-US"/>
        </w:rPr>
        <w:t xml:space="preserve"> change</w:t>
      </w:r>
      <w:r w:rsidR="002B1489">
        <w:rPr>
          <w:lang w:val="en-US"/>
        </w:rPr>
        <w:t>s do not impact</w:t>
      </w:r>
      <w:r w:rsidR="002B1489" w:rsidRPr="002B1489">
        <w:rPr>
          <w:lang w:val="en-US"/>
        </w:rPr>
        <w:t xml:space="preserve"> the operation of the relevant sections</w:t>
      </w:r>
      <w:r w:rsidR="002B1489">
        <w:rPr>
          <w:lang w:val="en-US"/>
        </w:rPr>
        <w:t>.</w:t>
      </w:r>
    </w:p>
    <w:p w:rsidR="004E06AE" w:rsidRDefault="004E06AE" w:rsidP="00DA25D0">
      <w:pPr>
        <w:pStyle w:val="Bullet"/>
        <w:numPr>
          <w:ilvl w:val="0"/>
          <w:numId w:val="0"/>
        </w:numPr>
        <w:rPr>
          <w:lang w:val="en-US"/>
        </w:rPr>
      </w:pPr>
      <w:r>
        <w:rPr>
          <w:lang w:val="en-US"/>
        </w:rPr>
        <w:t>Subsection 9(2) has been included to make it clear that the Chief Executive Medicare may receive appraisals.</w:t>
      </w:r>
    </w:p>
    <w:p w:rsidR="00553C73" w:rsidRPr="00135E2C" w:rsidRDefault="00C56B06" w:rsidP="00DA25D0">
      <w:pPr>
        <w:shd w:val="clear" w:color="auto" w:fill="FFFFFF"/>
        <w:spacing w:before="100" w:beforeAutospacing="1" w:after="100" w:afterAutospacing="1"/>
        <w:rPr>
          <w:i/>
          <w:iCs/>
          <w:szCs w:val="24"/>
        </w:rPr>
      </w:pPr>
      <w:r>
        <w:rPr>
          <w:i/>
          <w:szCs w:val="24"/>
          <w:lang w:val="en-US"/>
        </w:rPr>
        <w:t>Section 10</w:t>
      </w:r>
      <w:r w:rsidR="00553C73">
        <w:rPr>
          <w:i/>
          <w:szCs w:val="24"/>
          <w:lang w:val="en-US"/>
        </w:rPr>
        <w:t xml:space="preserve"> – </w:t>
      </w:r>
      <w:r>
        <w:rPr>
          <w:i/>
          <w:szCs w:val="24"/>
          <w:lang w:val="en-US"/>
        </w:rPr>
        <w:t>Renewal and change of classifications</w:t>
      </w:r>
    </w:p>
    <w:p w:rsidR="00C56B06" w:rsidRDefault="00FF7C00" w:rsidP="00DA25D0">
      <w:pPr>
        <w:shd w:val="clear" w:color="auto" w:fill="FFFFFF"/>
        <w:spacing w:before="100" w:beforeAutospacing="1" w:after="100" w:afterAutospacing="1"/>
        <w:rPr>
          <w:szCs w:val="24"/>
          <w:lang w:val="en-US"/>
        </w:rPr>
      </w:pPr>
      <w:r>
        <w:rPr>
          <w:szCs w:val="24"/>
          <w:lang w:val="en-US"/>
        </w:rPr>
        <w:t xml:space="preserve">This section has been simplified </w:t>
      </w:r>
      <w:r w:rsidR="00C56B06">
        <w:rPr>
          <w:szCs w:val="24"/>
          <w:lang w:val="en-US"/>
        </w:rPr>
        <w:t>by referring to the relevant sections of the Aged Care Act, rather than attempting to replicate the wording of those provisions.</w:t>
      </w:r>
      <w:r>
        <w:rPr>
          <w:szCs w:val="24"/>
          <w:lang w:val="en-US"/>
        </w:rPr>
        <w:t xml:space="preserve"> </w:t>
      </w:r>
    </w:p>
    <w:p w:rsidR="00601E88" w:rsidRDefault="00601E88" w:rsidP="00DA25D0">
      <w:pPr>
        <w:shd w:val="clear" w:color="auto" w:fill="FFFFFF"/>
        <w:spacing w:before="100" w:beforeAutospacing="1" w:after="100" w:afterAutospacing="1"/>
        <w:rPr>
          <w:i/>
          <w:szCs w:val="24"/>
          <w:lang w:val="en-US"/>
        </w:rPr>
      </w:pPr>
      <w:r>
        <w:rPr>
          <w:i/>
          <w:szCs w:val="24"/>
          <w:lang w:val="en-US"/>
        </w:rPr>
        <w:t>Certification of residential care service</w:t>
      </w:r>
    </w:p>
    <w:p w:rsidR="00601E88" w:rsidRDefault="00601E88" w:rsidP="00DA25D0">
      <w:pPr>
        <w:pStyle w:val="Bullet"/>
        <w:numPr>
          <w:ilvl w:val="0"/>
          <w:numId w:val="0"/>
        </w:numPr>
        <w:rPr>
          <w:szCs w:val="24"/>
          <w:lang w:val="en-US"/>
        </w:rPr>
      </w:pPr>
      <w:r>
        <w:rPr>
          <w:lang w:val="en-US"/>
        </w:rPr>
        <w:t>Section 8 of the</w:t>
      </w:r>
      <w:r w:rsidRPr="008954FB">
        <w:rPr>
          <w:szCs w:val="24"/>
          <w:lang w:val="en-US"/>
        </w:rPr>
        <w:t xml:space="preserve"> </w:t>
      </w:r>
      <w:r>
        <w:rPr>
          <w:i/>
          <w:szCs w:val="24"/>
          <w:lang w:val="en-US"/>
        </w:rPr>
        <w:t>Human Services (Medicare) Regulations 1975</w:t>
      </w:r>
      <w:r>
        <w:rPr>
          <w:lang w:val="en-US"/>
        </w:rPr>
        <w:t xml:space="preserve"> prescribed the function of the Chief Executive Medicare keeping a record of the payment of application fees for certification of a residential care service under paragraph 38-1(2)(b) of the Aged Care Act.  As paragraph 38-1(2)(b) of the Aged Care Act has been repealed, this prescribed function has not been inc</w:t>
      </w:r>
      <w:r w:rsidR="006A25F2">
        <w:rPr>
          <w:lang w:val="en-US"/>
        </w:rPr>
        <w:t>orporated into the Regulations.</w:t>
      </w:r>
    </w:p>
    <w:p w:rsidR="00C56B06" w:rsidRDefault="00C56B06" w:rsidP="00DA25D0">
      <w:pPr>
        <w:shd w:val="clear" w:color="auto" w:fill="FFFFFF"/>
        <w:spacing w:before="100" w:beforeAutospacing="1" w:after="100" w:afterAutospacing="1"/>
        <w:rPr>
          <w:i/>
          <w:szCs w:val="24"/>
          <w:lang w:val="en-US"/>
        </w:rPr>
      </w:pPr>
      <w:r>
        <w:rPr>
          <w:i/>
          <w:szCs w:val="24"/>
          <w:lang w:val="en-US"/>
        </w:rPr>
        <w:t>Section 11 – Payment of subsidies</w:t>
      </w:r>
    </w:p>
    <w:p w:rsidR="00601E88" w:rsidRDefault="00607024" w:rsidP="00DA25D0">
      <w:pPr>
        <w:shd w:val="clear" w:color="auto" w:fill="FFFFFF"/>
        <w:spacing w:before="100" w:beforeAutospacing="1" w:after="100" w:afterAutospacing="1"/>
        <w:rPr>
          <w:szCs w:val="24"/>
        </w:rPr>
      </w:pPr>
      <w:r>
        <w:rPr>
          <w:szCs w:val="24"/>
        </w:rPr>
        <w:t xml:space="preserve">This section replicates the corresponding provision in the </w:t>
      </w:r>
      <w:r>
        <w:rPr>
          <w:i/>
          <w:szCs w:val="24"/>
        </w:rPr>
        <w:t>Human Services (Medicare)</w:t>
      </w:r>
      <w:r w:rsidRPr="00CA5DE5">
        <w:rPr>
          <w:i/>
          <w:szCs w:val="24"/>
        </w:rPr>
        <w:t xml:space="preserve"> Regulations </w:t>
      </w:r>
      <w:r>
        <w:rPr>
          <w:i/>
          <w:szCs w:val="24"/>
        </w:rPr>
        <w:t>1975</w:t>
      </w:r>
      <w:r w:rsidR="00640054">
        <w:rPr>
          <w:szCs w:val="24"/>
        </w:rPr>
        <w:t>.</w:t>
      </w:r>
      <w:r w:rsidR="00601E88">
        <w:rPr>
          <w:szCs w:val="24"/>
        </w:rPr>
        <w:t xml:space="preserve"> </w:t>
      </w:r>
      <w:r w:rsidR="00E10FF1">
        <w:rPr>
          <w:szCs w:val="24"/>
        </w:rPr>
        <w:t xml:space="preserve"> This section also makes some minor changes to update the wording of the section.</w:t>
      </w:r>
    </w:p>
    <w:p w:rsidR="00A168C4" w:rsidRDefault="00607024" w:rsidP="00DA25D0">
      <w:pPr>
        <w:shd w:val="clear" w:color="auto" w:fill="FFFFFF"/>
        <w:spacing w:before="100" w:beforeAutospacing="1" w:after="100" w:afterAutospacing="1"/>
        <w:rPr>
          <w:i/>
          <w:szCs w:val="24"/>
          <w:lang w:val="en-US"/>
        </w:rPr>
      </w:pPr>
      <w:r>
        <w:rPr>
          <w:i/>
          <w:szCs w:val="24"/>
          <w:lang w:val="en-US"/>
        </w:rPr>
        <w:t xml:space="preserve">Section 12 – </w:t>
      </w:r>
      <w:r w:rsidR="00A168C4">
        <w:rPr>
          <w:i/>
          <w:szCs w:val="24"/>
          <w:lang w:val="en-US"/>
        </w:rPr>
        <w:t>Financial hardship</w:t>
      </w:r>
    </w:p>
    <w:p w:rsidR="004E06AE" w:rsidRDefault="004E06AE" w:rsidP="00DA25D0">
      <w:pPr>
        <w:shd w:val="clear" w:color="auto" w:fill="FFFFFF"/>
        <w:spacing w:before="100" w:beforeAutospacing="1" w:after="100" w:afterAutospacing="1"/>
        <w:rPr>
          <w:szCs w:val="24"/>
          <w:lang w:val="en-US"/>
        </w:rPr>
      </w:pPr>
      <w:r w:rsidRPr="004D44EF">
        <w:rPr>
          <w:szCs w:val="24"/>
          <w:lang w:val="en-US"/>
        </w:rPr>
        <w:t xml:space="preserve">This section replicates the corresponding provision in the </w:t>
      </w:r>
      <w:r>
        <w:rPr>
          <w:i/>
          <w:szCs w:val="24"/>
          <w:lang w:val="en-US"/>
        </w:rPr>
        <w:t>Human Services (Medicare)</w:t>
      </w:r>
      <w:r w:rsidRPr="004D44EF">
        <w:rPr>
          <w:i/>
          <w:szCs w:val="24"/>
          <w:lang w:val="en-US"/>
        </w:rPr>
        <w:t xml:space="preserve"> Regulations </w:t>
      </w:r>
      <w:r>
        <w:rPr>
          <w:i/>
          <w:szCs w:val="24"/>
          <w:lang w:val="en-US"/>
        </w:rPr>
        <w:t>1975</w:t>
      </w:r>
      <w:r w:rsidRPr="004D44EF">
        <w:rPr>
          <w:szCs w:val="24"/>
          <w:lang w:val="en-US"/>
        </w:rPr>
        <w:t xml:space="preserve">, with some minor changes to </w:t>
      </w:r>
      <w:r>
        <w:rPr>
          <w:szCs w:val="24"/>
          <w:lang w:val="en-US"/>
        </w:rPr>
        <w:t>clarify</w:t>
      </w:r>
      <w:r w:rsidRPr="004D44EF">
        <w:rPr>
          <w:szCs w:val="24"/>
          <w:lang w:val="en-US"/>
        </w:rPr>
        <w:t xml:space="preserve"> the </w:t>
      </w:r>
      <w:r>
        <w:rPr>
          <w:szCs w:val="24"/>
          <w:lang w:val="en-US"/>
        </w:rPr>
        <w:t xml:space="preserve">meaning of the </w:t>
      </w:r>
      <w:r w:rsidRPr="004D44EF">
        <w:rPr>
          <w:szCs w:val="24"/>
          <w:lang w:val="en-US"/>
        </w:rPr>
        <w:t xml:space="preserve">section without changing its operation. </w:t>
      </w:r>
      <w:r w:rsidR="007E7A63">
        <w:rPr>
          <w:szCs w:val="24"/>
          <w:lang w:val="en-US"/>
        </w:rPr>
        <w:t xml:space="preserve">It is intended that provisions relating to financial hardship in Parts 3.1 and 3.2 of the Aged Care Act (and Aged Care Transitional Act) </w:t>
      </w:r>
      <w:r w:rsidR="007E7A63">
        <w:rPr>
          <w:szCs w:val="24"/>
          <w:lang w:val="en-US"/>
        </w:rPr>
        <w:lastRenderedPageBreak/>
        <w:t>will be covered by section 11 and therefore do not need to be expressly referred to in section 12.</w:t>
      </w:r>
    </w:p>
    <w:p w:rsidR="00A168C4" w:rsidRDefault="00607024" w:rsidP="00DA25D0">
      <w:pPr>
        <w:shd w:val="clear" w:color="auto" w:fill="FFFFFF"/>
        <w:spacing w:before="100" w:beforeAutospacing="1" w:after="100" w:afterAutospacing="1"/>
        <w:rPr>
          <w:i/>
          <w:szCs w:val="24"/>
          <w:lang w:val="en-US"/>
        </w:rPr>
      </w:pPr>
      <w:r>
        <w:rPr>
          <w:i/>
          <w:szCs w:val="24"/>
          <w:lang w:val="en-US"/>
        </w:rPr>
        <w:t xml:space="preserve">Section 13 – </w:t>
      </w:r>
      <w:r w:rsidR="00A168C4">
        <w:rPr>
          <w:i/>
          <w:szCs w:val="24"/>
          <w:lang w:val="en-US"/>
        </w:rPr>
        <w:t>Receiving notifications of start and end of care</w:t>
      </w:r>
    </w:p>
    <w:p w:rsidR="00A168C4" w:rsidRPr="009B3D44" w:rsidRDefault="001B1328" w:rsidP="00DA25D0">
      <w:pPr>
        <w:rPr>
          <w:szCs w:val="24"/>
        </w:rPr>
      </w:pPr>
      <w:r>
        <w:rPr>
          <w:szCs w:val="24"/>
        </w:rPr>
        <w:t xml:space="preserve">This section makes some changes to the </w:t>
      </w:r>
      <w:r w:rsidRPr="004D44EF">
        <w:rPr>
          <w:szCs w:val="24"/>
          <w:lang w:val="en-US"/>
        </w:rPr>
        <w:t xml:space="preserve">corresponding provision in the </w:t>
      </w:r>
      <w:r>
        <w:rPr>
          <w:i/>
          <w:szCs w:val="24"/>
          <w:lang w:val="en-US"/>
        </w:rPr>
        <w:t>Human Services (Medicare)</w:t>
      </w:r>
      <w:r w:rsidRPr="004D44EF">
        <w:rPr>
          <w:i/>
          <w:szCs w:val="24"/>
          <w:lang w:val="en-US"/>
        </w:rPr>
        <w:t xml:space="preserve"> Regulations </w:t>
      </w:r>
      <w:r>
        <w:rPr>
          <w:i/>
          <w:szCs w:val="24"/>
          <w:lang w:val="en-US"/>
        </w:rPr>
        <w:t xml:space="preserve">1975 </w:t>
      </w:r>
      <w:r>
        <w:rPr>
          <w:szCs w:val="24"/>
          <w:lang w:val="en-US"/>
        </w:rPr>
        <w:t>to reflect recent amendments made to the aged care legislation.</w:t>
      </w:r>
    </w:p>
    <w:p w:rsidR="00A168C4" w:rsidRDefault="00A168C4" w:rsidP="00DA25D0">
      <w:pPr>
        <w:rPr>
          <w:szCs w:val="24"/>
        </w:rPr>
      </w:pPr>
      <w:r w:rsidRPr="009B3D44">
        <w:rPr>
          <w:szCs w:val="24"/>
        </w:rPr>
        <w:t xml:space="preserve">Section 7 of Part 2 of the </w:t>
      </w:r>
      <w:r w:rsidRPr="009B3D44">
        <w:rPr>
          <w:i/>
          <w:szCs w:val="24"/>
        </w:rPr>
        <w:t>Aged Care Legislation Amendment (Increasing Consumer Choice) Principles 2016</w:t>
      </w:r>
      <w:r w:rsidRPr="009B3D44">
        <w:rPr>
          <w:szCs w:val="24"/>
        </w:rPr>
        <w:t xml:space="preserve"> also introduced section 30A into the </w:t>
      </w:r>
      <w:r w:rsidRPr="009B3D44">
        <w:rPr>
          <w:i/>
          <w:iCs/>
          <w:szCs w:val="24"/>
        </w:rPr>
        <w:t>Accountability Principles 2014</w:t>
      </w:r>
      <w:r w:rsidRPr="009B3D44">
        <w:rPr>
          <w:szCs w:val="24"/>
        </w:rPr>
        <w:t>, which took effect from 27 February 2017</w:t>
      </w:r>
      <w:r w:rsidR="009B3D44">
        <w:rPr>
          <w:szCs w:val="24"/>
        </w:rPr>
        <w:t>, and provided that an approved provider must notify the Secretary of care recipients who cease to be provided with home care through a home care service on or after 27 February 2017.</w:t>
      </w:r>
      <w:r w:rsidR="004E06AE">
        <w:rPr>
          <w:szCs w:val="24"/>
        </w:rPr>
        <w:t xml:space="preserve"> Section 13 of the Regulations </w:t>
      </w:r>
      <w:r w:rsidR="00095E7B">
        <w:rPr>
          <w:szCs w:val="24"/>
        </w:rPr>
        <w:t xml:space="preserve">now </w:t>
      </w:r>
      <w:r w:rsidR="001B1328">
        <w:rPr>
          <w:szCs w:val="24"/>
        </w:rPr>
        <w:t>includes</w:t>
      </w:r>
      <w:r w:rsidRPr="009B3D44">
        <w:rPr>
          <w:szCs w:val="24"/>
        </w:rPr>
        <w:t xml:space="preserve"> the </w:t>
      </w:r>
      <w:r w:rsidR="009B3D44">
        <w:rPr>
          <w:szCs w:val="24"/>
        </w:rPr>
        <w:t xml:space="preserve">prescribed </w:t>
      </w:r>
      <w:r w:rsidRPr="009B3D44">
        <w:rPr>
          <w:szCs w:val="24"/>
        </w:rPr>
        <w:t xml:space="preserve">function </w:t>
      </w:r>
      <w:r w:rsidR="009B3D44">
        <w:rPr>
          <w:szCs w:val="24"/>
        </w:rPr>
        <w:t>of</w:t>
      </w:r>
      <w:r w:rsidRPr="009B3D44">
        <w:rPr>
          <w:szCs w:val="24"/>
        </w:rPr>
        <w:t xml:space="preserve"> receiv</w:t>
      </w:r>
      <w:r w:rsidR="009B3D44">
        <w:rPr>
          <w:szCs w:val="24"/>
        </w:rPr>
        <w:t>ing</w:t>
      </w:r>
      <w:r w:rsidRPr="009B3D44">
        <w:rPr>
          <w:szCs w:val="24"/>
        </w:rPr>
        <w:t xml:space="preserve"> notices when a care recipient ceases to be provided with home care through a home care service. </w:t>
      </w:r>
      <w:r w:rsidR="00505B96">
        <w:rPr>
          <w:szCs w:val="24"/>
        </w:rPr>
        <w:t xml:space="preserve">Section 13 of the Regulations now refers to </w:t>
      </w:r>
      <w:r w:rsidR="00505B96" w:rsidRPr="009B3D44">
        <w:rPr>
          <w:szCs w:val="24"/>
        </w:rPr>
        <w:t>‘</w:t>
      </w:r>
      <w:r w:rsidR="00505B96">
        <w:rPr>
          <w:szCs w:val="24"/>
        </w:rPr>
        <w:t>Receiving notifications of start and end of care</w:t>
      </w:r>
      <w:r w:rsidR="00505B96" w:rsidRPr="009B3D44">
        <w:rPr>
          <w:szCs w:val="24"/>
        </w:rPr>
        <w:t>’</w:t>
      </w:r>
      <w:r w:rsidR="00505B96">
        <w:rPr>
          <w:szCs w:val="24"/>
        </w:rPr>
        <w:t xml:space="preserve"> in the section title, instead of the previous title ‘Notification of start of care’,</w:t>
      </w:r>
      <w:r w:rsidR="00505B96" w:rsidRPr="009B3D44">
        <w:rPr>
          <w:szCs w:val="24"/>
        </w:rPr>
        <w:t xml:space="preserve"> to </w:t>
      </w:r>
      <w:r w:rsidR="00505B96">
        <w:rPr>
          <w:szCs w:val="24"/>
        </w:rPr>
        <w:t>reflect the inclusion of section 30A in</w:t>
      </w:r>
      <w:r w:rsidR="00505B96" w:rsidRPr="009B3D44">
        <w:rPr>
          <w:szCs w:val="24"/>
        </w:rPr>
        <w:t xml:space="preserve"> the </w:t>
      </w:r>
      <w:r w:rsidR="00505B96" w:rsidRPr="009B3D44">
        <w:rPr>
          <w:i/>
          <w:iCs/>
          <w:szCs w:val="24"/>
        </w:rPr>
        <w:t>Accountability Principles 2014</w:t>
      </w:r>
      <w:r w:rsidR="00505B96" w:rsidRPr="009B3D44">
        <w:rPr>
          <w:szCs w:val="24"/>
        </w:rPr>
        <w:t>.</w:t>
      </w:r>
    </w:p>
    <w:p w:rsidR="000F0436" w:rsidRPr="000F0436" w:rsidRDefault="000F0436" w:rsidP="00DA25D0">
      <w:pPr>
        <w:rPr>
          <w:szCs w:val="24"/>
        </w:rPr>
      </w:pPr>
      <w:r w:rsidRPr="000F0436">
        <w:rPr>
          <w:szCs w:val="24"/>
        </w:rPr>
        <w:t xml:space="preserve">Section 49 of the </w:t>
      </w:r>
      <w:r w:rsidRPr="000F0436">
        <w:rPr>
          <w:i/>
          <w:szCs w:val="24"/>
        </w:rPr>
        <w:t xml:space="preserve">Aged Care Legislation Amendment (Increasing Consumer Choice) Principles 2016 </w:t>
      </w:r>
      <w:r w:rsidRPr="000F0436">
        <w:rPr>
          <w:szCs w:val="24"/>
        </w:rPr>
        <w:t xml:space="preserve">has introduced subsection 21G(3) into the </w:t>
      </w:r>
      <w:r w:rsidRPr="000F0436">
        <w:rPr>
          <w:i/>
          <w:szCs w:val="24"/>
        </w:rPr>
        <w:t>User Rights Principles 2014</w:t>
      </w:r>
      <w:r w:rsidRPr="000F0436">
        <w:rPr>
          <w:szCs w:val="24"/>
        </w:rPr>
        <w:t xml:space="preserve">, which </w:t>
      </w:r>
      <w:r w:rsidR="004E06AE">
        <w:rPr>
          <w:szCs w:val="24"/>
        </w:rPr>
        <w:t>took</w:t>
      </w:r>
      <w:r w:rsidRPr="000F0436">
        <w:rPr>
          <w:szCs w:val="24"/>
        </w:rPr>
        <w:t xml:space="preserve"> effect from 27 February 2017. Subsection 21G(3)</w:t>
      </w:r>
      <w:r w:rsidR="004E06AE">
        <w:rPr>
          <w:szCs w:val="24"/>
        </w:rPr>
        <w:t xml:space="preserve"> of the</w:t>
      </w:r>
      <w:r w:rsidR="004E06AE" w:rsidRPr="004E06AE">
        <w:rPr>
          <w:i/>
          <w:szCs w:val="24"/>
        </w:rPr>
        <w:t xml:space="preserve"> </w:t>
      </w:r>
      <w:r w:rsidR="004E06AE" w:rsidRPr="000F0436">
        <w:rPr>
          <w:i/>
          <w:szCs w:val="24"/>
        </w:rPr>
        <w:t>User Rights Principles 2014</w:t>
      </w:r>
      <w:r w:rsidRPr="000F0436">
        <w:rPr>
          <w:szCs w:val="24"/>
        </w:rPr>
        <w:t xml:space="preserve"> provides that a notice must be provided in relation to certain unspent home care amounts of a care recipient.  </w:t>
      </w:r>
      <w:r w:rsidR="00095E7B">
        <w:rPr>
          <w:szCs w:val="24"/>
        </w:rPr>
        <w:t>S</w:t>
      </w:r>
      <w:r w:rsidRPr="000F0436">
        <w:rPr>
          <w:szCs w:val="24"/>
        </w:rPr>
        <w:t xml:space="preserve">ection </w:t>
      </w:r>
      <w:r w:rsidR="00095E7B">
        <w:rPr>
          <w:szCs w:val="24"/>
        </w:rPr>
        <w:t xml:space="preserve">13 of the Regulations now </w:t>
      </w:r>
      <w:r w:rsidR="001B1328">
        <w:rPr>
          <w:szCs w:val="24"/>
        </w:rPr>
        <w:t>includes</w:t>
      </w:r>
      <w:r w:rsidRPr="000F0436">
        <w:rPr>
          <w:szCs w:val="24"/>
        </w:rPr>
        <w:t xml:space="preserve"> the prescribed function of receiving notices about an unspent home care amount, from providers of the Commonwealth portion of the care recipient’s unspent home care amount, including where the amount is nil. </w:t>
      </w:r>
    </w:p>
    <w:p w:rsidR="009B3D44" w:rsidRDefault="009B3D44" w:rsidP="00DA25D0">
      <w:pPr>
        <w:shd w:val="clear" w:color="auto" w:fill="FFFFFF"/>
        <w:spacing w:before="100" w:beforeAutospacing="1" w:after="100" w:afterAutospacing="1"/>
        <w:rPr>
          <w:i/>
          <w:szCs w:val="24"/>
          <w:lang w:val="en-US"/>
        </w:rPr>
      </w:pPr>
      <w:r>
        <w:rPr>
          <w:i/>
          <w:szCs w:val="24"/>
          <w:lang w:val="en-US"/>
        </w:rPr>
        <w:t>Section 14 – Reconsideration and review of decisions</w:t>
      </w:r>
    </w:p>
    <w:p w:rsidR="005D68E3" w:rsidRPr="00F52562" w:rsidRDefault="009B3D44" w:rsidP="00DA25D0">
      <w:pPr>
        <w:shd w:val="clear" w:color="auto" w:fill="FFFFFF"/>
        <w:spacing w:before="100" w:beforeAutospacing="1" w:after="100" w:afterAutospacing="1"/>
        <w:rPr>
          <w:szCs w:val="24"/>
          <w:lang w:val="en-US"/>
        </w:rPr>
      </w:pPr>
      <w:r w:rsidRPr="00F52562">
        <w:rPr>
          <w:szCs w:val="24"/>
          <w:lang w:val="en-US"/>
        </w:rPr>
        <w:t>This section</w:t>
      </w:r>
      <w:r w:rsidR="005D68E3" w:rsidRPr="00F52562">
        <w:rPr>
          <w:szCs w:val="24"/>
          <w:lang w:val="en-US"/>
        </w:rPr>
        <w:t xml:space="preserve"> replicate</w:t>
      </w:r>
      <w:r w:rsidRPr="00F52562">
        <w:rPr>
          <w:szCs w:val="24"/>
          <w:lang w:val="en-US"/>
        </w:rPr>
        <w:t>s the corresponding provision</w:t>
      </w:r>
      <w:r w:rsidR="00C55DEF">
        <w:rPr>
          <w:szCs w:val="24"/>
          <w:lang w:val="en-US"/>
        </w:rPr>
        <w:t>,</w:t>
      </w:r>
      <w:r w:rsidR="00C55DEF" w:rsidRPr="00C55DEF">
        <w:rPr>
          <w:szCs w:val="24"/>
          <w:lang w:val="en-US"/>
        </w:rPr>
        <w:t xml:space="preserve"> </w:t>
      </w:r>
      <w:r w:rsidR="00C55DEF" w:rsidRPr="004D44EF">
        <w:rPr>
          <w:szCs w:val="24"/>
          <w:lang w:val="en-US"/>
        </w:rPr>
        <w:t xml:space="preserve">with some minor changes to </w:t>
      </w:r>
      <w:r w:rsidR="00C55DEF">
        <w:rPr>
          <w:szCs w:val="24"/>
          <w:lang w:val="en-US"/>
        </w:rPr>
        <w:t>clarify</w:t>
      </w:r>
      <w:r w:rsidR="00C55DEF" w:rsidRPr="004D44EF">
        <w:rPr>
          <w:szCs w:val="24"/>
          <w:lang w:val="en-US"/>
        </w:rPr>
        <w:t xml:space="preserve"> the </w:t>
      </w:r>
      <w:r w:rsidR="00C55DEF">
        <w:rPr>
          <w:szCs w:val="24"/>
          <w:lang w:val="en-US"/>
        </w:rPr>
        <w:t xml:space="preserve">meaning of the </w:t>
      </w:r>
      <w:r w:rsidR="00C55DEF" w:rsidRPr="004D44EF">
        <w:rPr>
          <w:szCs w:val="24"/>
          <w:lang w:val="en-US"/>
        </w:rPr>
        <w:t xml:space="preserve">section without changing its operation. </w:t>
      </w:r>
    </w:p>
    <w:p w:rsidR="00890512" w:rsidRDefault="005D68E3" w:rsidP="00DA25D0">
      <w:pPr>
        <w:shd w:val="clear" w:color="auto" w:fill="FFFFFF"/>
        <w:spacing w:before="100" w:beforeAutospacing="1" w:after="100" w:afterAutospacing="1"/>
        <w:rPr>
          <w:i/>
          <w:szCs w:val="24"/>
          <w:lang w:val="en-US"/>
        </w:rPr>
      </w:pPr>
      <w:r>
        <w:rPr>
          <w:i/>
          <w:szCs w:val="24"/>
          <w:lang w:val="en-US"/>
        </w:rPr>
        <w:t xml:space="preserve">Section 15 </w:t>
      </w:r>
      <w:r w:rsidR="00713D07">
        <w:rPr>
          <w:i/>
          <w:szCs w:val="24"/>
          <w:lang w:val="en-US"/>
        </w:rPr>
        <w:t xml:space="preserve">- </w:t>
      </w:r>
      <w:r>
        <w:rPr>
          <w:i/>
          <w:szCs w:val="24"/>
          <w:lang w:val="en-US"/>
        </w:rPr>
        <w:t xml:space="preserve">Disclosure of </w:t>
      </w:r>
      <w:r w:rsidR="00890512">
        <w:rPr>
          <w:i/>
          <w:szCs w:val="24"/>
          <w:lang w:val="en-US"/>
        </w:rPr>
        <w:t xml:space="preserve">certain </w:t>
      </w:r>
      <w:r>
        <w:rPr>
          <w:i/>
          <w:szCs w:val="24"/>
          <w:lang w:val="en-US"/>
        </w:rPr>
        <w:t xml:space="preserve">information </w:t>
      </w:r>
    </w:p>
    <w:p w:rsidR="00713D07" w:rsidRDefault="00C55DEF" w:rsidP="00DA25D0">
      <w:pPr>
        <w:shd w:val="clear" w:color="auto" w:fill="FFFFFF"/>
        <w:spacing w:before="100" w:beforeAutospacing="1" w:after="100" w:afterAutospacing="1"/>
        <w:rPr>
          <w:szCs w:val="24"/>
          <w:lang w:val="en-US"/>
        </w:rPr>
      </w:pPr>
      <w:r w:rsidRPr="00F52562">
        <w:rPr>
          <w:szCs w:val="24"/>
          <w:lang w:val="en-US"/>
        </w:rPr>
        <w:t>This section replicates the corresponding provision</w:t>
      </w:r>
      <w:r>
        <w:rPr>
          <w:szCs w:val="24"/>
          <w:lang w:val="en-US"/>
        </w:rPr>
        <w:t xml:space="preserve">. </w:t>
      </w:r>
    </w:p>
    <w:p w:rsidR="00713D07" w:rsidRDefault="005D68E3" w:rsidP="00DA25D0">
      <w:pPr>
        <w:shd w:val="clear" w:color="auto" w:fill="FFFFFF"/>
        <w:spacing w:before="100" w:beforeAutospacing="1" w:after="100" w:afterAutospacing="1"/>
        <w:rPr>
          <w:i/>
          <w:szCs w:val="24"/>
          <w:lang w:val="en-US"/>
        </w:rPr>
      </w:pPr>
      <w:r>
        <w:rPr>
          <w:i/>
          <w:szCs w:val="24"/>
          <w:lang w:val="en-US"/>
        </w:rPr>
        <w:t xml:space="preserve">Section 16 – </w:t>
      </w:r>
      <w:r w:rsidR="00713D07">
        <w:rPr>
          <w:i/>
          <w:szCs w:val="24"/>
          <w:lang w:val="en-US"/>
        </w:rPr>
        <w:t>Appointment of authorised officers etc.</w:t>
      </w:r>
    </w:p>
    <w:p w:rsidR="000F0436" w:rsidRDefault="00DD06CB" w:rsidP="00DA25D0">
      <w:pPr>
        <w:shd w:val="clear" w:color="auto" w:fill="FFFFFF"/>
        <w:spacing w:before="100" w:beforeAutospacing="1" w:after="100" w:afterAutospacing="1"/>
        <w:rPr>
          <w:szCs w:val="24"/>
          <w:lang w:val="en-US"/>
        </w:rPr>
      </w:pPr>
      <w:r w:rsidRPr="00F52562">
        <w:rPr>
          <w:szCs w:val="24"/>
          <w:lang w:val="en-US"/>
        </w:rPr>
        <w:t>This section replicates the corresponding provision</w:t>
      </w:r>
      <w:r>
        <w:rPr>
          <w:szCs w:val="24"/>
          <w:lang w:val="en-US"/>
        </w:rPr>
        <w:t xml:space="preserve">, </w:t>
      </w:r>
      <w:r w:rsidR="00AC3270">
        <w:rPr>
          <w:szCs w:val="24"/>
          <w:lang w:val="en-US"/>
        </w:rPr>
        <w:t>with a minor change to clarify</w:t>
      </w:r>
      <w:r>
        <w:rPr>
          <w:szCs w:val="24"/>
          <w:lang w:val="en-US"/>
        </w:rPr>
        <w:t xml:space="preserve"> </w:t>
      </w:r>
      <w:r w:rsidR="005D68E3" w:rsidRPr="00713D07">
        <w:rPr>
          <w:szCs w:val="24"/>
          <w:lang w:val="en-US"/>
        </w:rPr>
        <w:t>that only an officer of the Department of Health can be appointed as an authori</w:t>
      </w:r>
      <w:r w:rsidR="00890512" w:rsidRPr="00713D07">
        <w:rPr>
          <w:szCs w:val="24"/>
          <w:lang w:val="en-US"/>
        </w:rPr>
        <w:t>s</w:t>
      </w:r>
      <w:r w:rsidR="00713D07" w:rsidRPr="00713D07">
        <w:rPr>
          <w:szCs w:val="24"/>
          <w:lang w:val="en-US"/>
        </w:rPr>
        <w:t xml:space="preserve">ed officer. </w:t>
      </w:r>
      <w:r w:rsidR="004307EC">
        <w:rPr>
          <w:szCs w:val="24"/>
          <w:lang w:val="en-US"/>
        </w:rPr>
        <w:t xml:space="preserve">  The clarification is to better reflect the</w:t>
      </w:r>
      <w:r w:rsidR="001321B2">
        <w:rPr>
          <w:szCs w:val="24"/>
          <w:lang w:val="en-US"/>
        </w:rPr>
        <w:t xml:space="preserve"> language of section 90.3 of</w:t>
      </w:r>
      <w:r w:rsidR="004307EC">
        <w:rPr>
          <w:szCs w:val="24"/>
          <w:lang w:val="en-US"/>
        </w:rPr>
        <w:t xml:space="preserve"> Aged Care Act</w:t>
      </w:r>
      <w:r w:rsidR="001321B2">
        <w:rPr>
          <w:szCs w:val="24"/>
          <w:lang w:val="en-US"/>
        </w:rPr>
        <w:t xml:space="preserve"> under which authorised officers are appointed.</w:t>
      </w:r>
      <w:r w:rsidR="004307EC">
        <w:rPr>
          <w:szCs w:val="24"/>
          <w:lang w:val="en-US"/>
        </w:rPr>
        <w:t xml:space="preserve">  </w:t>
      </w:r>
    </w:p>
    <w:p w:rsidR="00711033" w:rsidRPr="00CA5DE5" w:rsidRDefault="00711033" w:rsidP="00DA25D0">
      <w:pPr>
        <w:shd w:val="clear" w:color="auto" w:fill="FFFFFF"/>
        <w:spacing w:before="100" w:beforeAutospacing="1" w:after="100" w:afterAutospacing="1"/>
        <w:rPr>
          <w:i/>
          <w:szCs w:val="24"/>
          <w:lang w:val="en-US"/>
        </w:rPr>
      </w:pPr>
      <w:r w:rsidRPr="00CA5DE5">
        <w:rPr>
          <w:i/>
          <w:szCs w:val="24"/>
          <w:lang w:val="en-US"/>
        </w:rPr>
        <w:t>Section</w:t>
      </w:r>
      <w:r>
        <w:rPr>
          <w:i/>
          <w:szCs w:val="24"/>
          <w:lang w:val="en-US"/>
        </w:rPr>
        <w:t>s</w:t>
      </w:r>
      <w:r w:rsidRPr="00CA5DE5">
        <w:rPr>
          <w:i/>
          <w:szCs w:val="24"/>
          <w:lang w:val="en-US"/>
        </w:rPr>
        <w:t xml:space="preserve"> </w:t>
      </w:r>
      <w:r w:rsidR="00AC3270" w:rsidRPr="00CA5DE5">
        <w:rPr>
          <w:i/>
          <w:szCs w:val="24"/>
          <w:lang w:val="en-US"/>
        </w:rPr>
        <w:t>1</w:t>
      </w:r>
      <w:r w:rsidR="00AC3270">
        <w:rPr>
          <w:i/>
          <w:szCs w:val="24"/>
          <w:lang w:val="en-US"/>
        </w:rPr>
        <w:t>7</w:t>
      </w:r>
      <w:r w:rsidR="00AC3270" w:rsidRPr="00CA5DE5">
        <w:rPr>
          <w:i/>
          <w:szCs w:val="24"/>
          <w:lang w:val="en-US"/>
        </w:rPr>
        <w:t xml:space="preserve"> </w:t>
      </w:r>
      <w:r>
        <w:rPr>
          <w:i/>
          <w:szCs w:val="24"/>
          <w:lang w:val="en-US"/>
        </w:rPr>
        <w:t>to 21 (inclusive)</w:t>
      </w:r>
    </w:p>
    <w:p w:rsidR="00711033" w:rsidRDefault="00711033" w:rsidP="00DA25D0">
      <w:pPr>
        <w:shd w:val="clear" w:color="auto" w:fill="FFFFFF"/>
        <w:spacing w:before="100" w:beforeAutospacing="1" w:after="100" w:afterAutospacing="1"/>
        <w:rPr>
          <w:szCs w:val="24"/>
          <w:lang w:val="en-US"/>
        </w:rPr>
      </w:pPr>
      <w:r>
        <w:rPr>
          <w:szCs w:val="24"/>
          <w:lang w:val="en-US"/>
        </w:rPr>
        <w:t>These sections replicate the corresponding provisions in the</w:t>
      </w:r>
      <w:r w:rsidR="00A221D0">
        <w:rPr>
          <w:szCs w:val="24"/>
          <w:lang w:val="en-US"/>
        </w:rPr>
        <w:t xml:space="preserve"> </w:t>
      </w:r>
      <w:r w:rsidR="00A221D0" w:rsidRPr="00A221D0">
        <w:rPr>
          <w:i/>
          <w:szCs w:val="24"/>
          <w:lang w:val="en-US"/>
        </w:rPr>
        <w:t>Human Services (Medicare) Regulations 1975</w:t>
      </w:r>
      <w:r w:rsidR="00462F4B">
        <w:rPr>
          <w:szCs w:val="24"/>
          <w:lang w:val="en-US"/>
        </w:rPr>
        <w:t>, with minor formatting changes which do not change the operation of the relevant sections.</w:t>
      </w:r>
    </w:p>
    <w:p w:rsidR="005D68E3" w:rsidRPr="001E6013" w:rsidRDefault="001E6013" w:rsidP="00DA25D0">
      <w:pPr>
        <w:shd w:val="clear" w:color="auto" w:fill="FFFFFF"/>
        <w:spacing w:before="100" w:beforeAutospacing="1" w:after="100" w:afterAutospacing="1"/>
        <w:rPr>
          <w:b/>
          <w:bCs/>
          <w:szCs w:val="24"/>
          <w:u w:val="single"/>
        </w:rPr>
      </w:pPr>
      <w:r w:rsidRPr="001E6013">
        <w:rPr>
          <w:b/>
          <w:bCs/>
          <w:szCs w:val="24"/>
          <w:u w:val="single"/>
        </w:rPr>
        <w:lastRenderedPageBreak/>
        <w:t>Part 3—Other prescribed functions</w:t>
      </w:r>
    </w:p>
    <w:p w:rsidR="00553527" w:rsidRPr="00CA5DE5" w:rsidRDefault="00553527" w:rsidP="00DA25D0">
      <w:pPr>
        <w:shd w:val="clear" w:color="auto" w:fill="FFFFFF"/>
        <w:spacing w:before="100" w:beforeAutospacing="1" w:after="100" w:afterAutospacing="1"/>
        <w:rPr>
          <w:i/>
          <w:szCs w:val="24"/>
          <w:lang w:val="en-US"/>
        </w:rPr>
      </w:pPr>
      <w:r w:rsidRPr="00CA5DE5">
        <w:rPr>
          <w:i/>
          <w:szCs w:val="24"/>
          <w:lang w:val="en-US"/>
        </w:rPr>
        <w:t>Section</w:t>
      </w:r>
      <w:r>
        <w:rPr>
          <w:i/>
          <w:szCs w:val="24"/>
          <w:lang w:val="en-US"/>
        </w:rPr>
        <w:t>s 22</w:t>
      </w:r>
      <w:r w:rsidRPr="00CA5DE5">
        <w:rPr>
          <w:i/>
          <w:szCs w:val="24"/>
          <w:lang w:val="en-US"/>
        </w:rPr>
        <w:t xml:space="preserve"> </w:t>
      </w:r>
      <w:r>
        <w:rPr>
          <w:i/>
          <w:szCs w:val="24"/>
          <w:lang w:val="en-US"/>
        </w:rPr>
        <w:t>and 23</w:t>
      </w:r>
    </w:p>
    <w:p w:rsidR="00607024" w:rsidRDefault="00553527" w:rsidP="00DA25D0">
      <w:pPr>
        <w:shd w:val="clear" w:color="auto" w:fill="FFFFFF"/>
        <w:spacing w:before="100" w:beforeAutospacing="1" w:after="100" w:afterAutospacing="1"/>
        <w:rPr>
          <w:szCs w:val="24"/>
          <w:lang w:val="en-US"/>
        </w:rPr>
      </w:pPr>
      <w:r>
        <w:rPr>
          <w:szCs w:val="24"/>
          <w:lang w:val="en-US"/>
        </w:rPr>
        <w:t xml:space="preserve">These sections replicate the corresponding provisions in the </w:t>
      </w:r>
      <w:r w:rsidRPr="00A221D0">
        <w:rPr>
          <w:i/>
          <w:szCs w:val="24"/>
          <w:lang w:val="en-US"/>
        </w:rPr>
        <w:t>Human Services (Medicare) Regulations 1975</w:t>
      </w:r>
      <w:r>
        <w:rPr>
          <w:szCs w:val="24"/>
          <w:lang w:val="en-US"/>
        </w:rPr>
        <w:t>, with minor formatting changes which do not change the operation of the relevant sections.</w:t>
      </w:r>
    </w:p>
    <w:p w:rsidR="00553527" w:rsidRDefault="00553527" w:rsidP="00DA25D0">
      <w:pPr>
        <w:shd w:val="clear" w:color="auto" w:fill="FFFFFF"/>
        <w:spacing w:before="100" w:beforeAutospacing="1" w:after="100" w:afterAutospacing="1"/>
        <w:rPr>
          <w:i/>
          <w:szCs w:val="24"/>
          <w:lang w:val="en-US"/>
        </w:rPr>
      </w:pPr>
      <w:r w:rsidRPr="00CA5DE5">
        <w:rPr>
          <w:i/>
          <w:szCs w:val="24"/>
          <w:lang w:val="en-US"/>
        </w:rPr>
        <w:t>Section</w:t>
      </w:r>
      <w:r>
        <w:rPr>
          <w:i/>
          <w:szCs w:val="24"/>
          <w:lang w:val="en-US"/>
        </w:rPr>
        <w:t xml:space="preserve"> 24 – Prescription shoppers</w:t>
      </w:r>
    </w:p>
    <w:p w:rsidR="00462F4B" w:rsidRPr="00462F4B" w:rsidRDefault="00175A39" w:rsidP="00DA25D0">
      <w:pPr>
        <w:shd w:val="clear" w:color="auto" w:fill="FFFFFF"/>
        <w:spacing w:before="100" w:beforeAutospacing="1" w:after="100" w:afterAutospacing="1"/>
        <w:rPr>
          <w:szCs w:val="24"/>
          <w:lang w:val="en-US"/>
        </w:rPr>
      </w:pPr>
      <w:r>
        <w:rPr>
          <w:szCs w:val="24"/>
          <w:lang w:val="en-US"/>
        </w:rPr>
        <w:t xml:space="preserve">This section replicates the corresponding provision in the </w:t>
      </w:r>
      <w:r w:rsidRPr="00A221D0">
        <w:rPr>
          <w:i/>
          <w:szCs w:val="24"/>
          <w:lang w:val="en-US"/>
        </w:rPr>
        <w:t>Human Services (Medicare) Regulations 1975</w:t>
      </w:r>
      <w:r>
        <w:rPr>
          <w:szCs w:val="24"/>
          <w:lang w:val="en-US"/>
        </w:rPr>
        <w:t xml:space="preserve">, with </w:t>
      </w:r>
      <w:r w:rsidR="00462F4B">
        <w:rPr>
          <w:szCs w:val="24"/>
          <w:lang w:val="en-US"/>
        </w:rPr>
        <w:t>some</w:t>
      </w:r>
      <w:r>
        <w:rPr>
          <w:szCs w:val="24"/>
          <w:lang w:val="en-US"/>
        </w:rPr>
        <w:t xml:space="preserve"> minor changes </w:t>
      </w:r>
      <w:r w:rsidR="00462F4B">
        <w:rPr>
          <w:szCs w:val="24"/>
          <w:lang w:val="en-US"/>
        </w:rPr>
        <w:t xml:space="preserve">to clarify the meaning of section.    The changes include moving the </w:t>
      </w:r>
      <w:r w:rsidR="00462F4B">
        <w:rPr>
          <w:lang w:val="en-US"/>
        </w:rPr>
        <w:t>definitions of ‘nominated prescriber’, ‘prescriber’, ‘prescription shopper’, ‘Prescription Shopping Program’ and ‘target pharmaceutical benefits’ to the definitions section of the Regulations, for ease of reference.</w:t>
      </w:r>
    </w:p>
    <w:p w:rsidR="00553527" w:rsidRPr="00462F4B" w:rsidRDefault="00553527" w:rsidP="00DA25D0">
      <w:pPr>
        <w:shd w:val="clear" w:color="auto" w:fill="FFFFFF"/>
        <w:spacing w:before="100" w:beforeAutospacing="1" w:after="100" w:afterAutospacing="1"/>
        <w:rPr>
          <w:i/>
          <w:szCs w:val="24"/>
          <w:lang w:val="en-US"/>
        </w:rPr>
      </w:pPr>
      <w:r w:rsidRPr="00462F4B">
        <w:rPr>
          <w:i/>
          <w:szCs w:val="24"/>
          <w:lang w:val="en-US"/>
        </w:rPr>
        <w:t>Section 25 – Provision of emergency services</w:t>
      </w:r>
    </w:p>
    <w:p w:rsidR="000C0BAF" w:rsidRPr="000C0BAF" w:rsidRDefault="00800F74" w:rsidP="00DA25D0">
      <w:pPr>
        <w:shd w:val="clear" w:color="auto" w:fill="FFFFFF"/>
        <w:spacing w:before="100" w:beforeAutospacing="1" w:after="100" w:afterAutospacing="1"/>
        <w:rPr>
          <w:szCs w:val="24"/>
          <w:lang w:val="en-US"/>
        </w:rPr>
      </w:pPr>
      <w:r>
        <w:rPr>
          <w:szCs w:val="24"/>
          <w:lang w:val="en-US"/>
        </w:rPr>
        <w:t>This section replicate</w:t>
      </w:r>
      <w:r w:rsidR="00EF0847">
        <w:rPr>
          <w:szCs w:val="24"/>
          <w:lang w:val="en-US"/>
        </w:rPr>
        <w:t>s</w:t>
      </w:r>
      <w:r>
        <w:rPr>
          <w:szCs w:val="24"/>
          <w:lang w:val="en-US"/>
        </w:rPr>
        <w:t xml:space="preserve"> the corresponding provisions in the </w:t>
      </w:r>
      <w:r w:rsidRPr="00A221D0">
        <w:rPr>
          <w:i/>
          <w:szCs w:val="24"/>
          <w:lang w:val="en-US"/>
        </w:rPr>
        <w:t>Human Services (Medicare) Regulations 1975</w:t>
      </w:r>
      <w:r>
        <w:rPr>
          <w:i/>
          <w:szCs w:val="24"/>
          <w:lang w:val="en-US"/>
        </w:rPr>
        <w:t xml:space="preserve">.  </w:t>
      </w:r>
      <w:r w:rsidR="000C0BAF">
        <w:rPr>
          <w:szCs w:val="24"/>
          <w:lang w:val="en-US"/>
        </w:rPr>
        <w:t>Online services have been included as a prescribed function in subsection 25(3) to make it clear that the C</w:t>
      </w:r>
      <w:r w:rsidR="00C56C37">
        <w:rPr>
          <w:szCs w:val="24"/>
          <w:lang w:val="en-US"/>
        </w:rPr>
        <w:t xml:space="preserve">hief Executive Medicare is permitted to </w:t>
      </w:r>
      <w:r w:rsidR="000C0BAF">
        <w:rPr>
          <w:szCs w:val="24"/>
          <w:lang w:val="en-US"/>
        </w:rPr>
        <w:t>operat</w:t>
      </w:r>
      <w:r w:rsidR="00C56C37">
        <w:rPr>
          <w:szCs w:val="24"/>
          <w:lang w:val="en-US"/>
        </w:rPr>
        <w:t>e</w:t>
      </w:r>
      <w:r w:rsidR="000C0BAF">
        <w:rPr>
          <w:szCs w:val="24"/>
          <w:lang w:val="en-US"/>
        </w:rPr>
        <w:t xml:space="preserve"> online services in relation to providing a service, benefit, program of facility to a person affected by an emergency.</w:t>
      </w:r>
      <w:r w:rsidR="00FD1CB4">
        <w:rPr>
          <w:szCs w:val="24"/>
          <w:lang w:val="en-US"/>
        </w:rPr>
        <w:t xml:space="preserve">  </w:t>
      </w:r>
      <w:r w:rsidR="00FD1CB4" w:rsidRPr="00572061">
        <w:rPr>
          <w:szCs w:val="24"/>
          <w:lang w:val="en-US"/>
        </w:rPr>
        <w:t xml:space="preserve">This section has also been reworded to make it clear that the use and disclosure of the information is authorised for the purposes of Australian Privacy Principle 6.2(b) under the </w:t>
      </w:r>
      <w:r w:rsidR="00FD1CB4" w:rsidRPr="00572061">
        <w:rPr>
          <w:i/>
          <w:szCs w:val="24"/>
          <w:lang w:val="en-US"/>
        </w:rPr>
        <w:t>Privacy Act 1988</w:t>
      </w:r>
    </w:p>
    <w:p w:rsidR="00BB4F78" w:rsidRDefault="00553527" w:rsidP="00DA25D0">
      <w:pPr>
        <w:shd w:val="clear" w:color="auto" w:fill="FFFFFF"/>
        <w:spacing w:before="100" w:beforeAutospacing="1" w:after="100" w:afterAutospacing="1"/>
        <w:rPr>
          <w:i/>
          <w:szCs w:val="24"/>
          <w:lang w:val="en-US"/>
        </w:rPr>
      </w:pPr>
      <w:r>
        <w:rPr>
          <w:i/>
          <w:szCs w:val="24"/>
          <w:lang w:val="en-US"/>
        </w:rPr>
        <w:t>Section</w:t>
      </w:r>
      <w:r w:rsidR="00BB4F78">
        <w:rPr>
          <w:i/>
          <w:szCs w:val="24"/>
          <w:lang w:val="en-US"/>
        </w:rPr>
        <w:t>s</w:t>
      </w:r>
      <w:r>
        <w:rPr>
          <w:i/>
          <w:szCs w:val="24"/>
          <w:lang w:val="en-US"/>
        </w:rPr>
        <w:t xml:space="preserve"> 26 </w:t>
      </w:r>
      <w:r w:rsidR="008C361F">
        <w:rPr>
          <w:i/>
          <w:szCs w:val="24"/>
          <w:lang w:val="en-US"/>
        </w:rPr>
        <w:t xml:space="preserve">to </w:t>
      </w:r>
      <w:r w:rsidR="00BB4F78">
        <w:rPr>
          <w:i/>
          <w:szCs w:val="24"/>
          <w:lang w:val="en-US"/>
        </w:rPr>
        <w:t>2</w:t>
      </w:r>
      <w:r w:rsidR="008C361F">
        <w:rPr>
          <w:i/>
          <w:szCs w:val="24"/>
          <w:lang w:val="en-US"/>
        </w:rPr>
        <w:t>8 (inclusive)</w:t>
      </w:r>
      <w:r w:rsidR="00BB4F78">
        <w:rPr>
          <w:i/>
          <w:szCs w:val="24"/>
          <w:lang w:val="en-US"/>
        </w:rPr>
        <w:t xml:space="preserve"> </w:t>
      </w:r>
    </w:p>
    <w:p w:rsidR="00BB4F78" w:rsidRDefault="00BB4F78" w:rsidP="00DA25D0">
      <w:pPr>
        <w:shd w:val="clear" w:color="auto" w:fill="FFFFFF"/>
        <w:spacing w:before="100" w:beforeAutospacing="1" w:after="100" w:afterAutospacing="1"/>
        <w:rPr>
          <w:szCs w:val="24"/>
          <w:lang w:val="en-US"/>
        </w:rPr>
      </w:pPr>
      <w:r>
        <w:rPr>
          <w:szCs w:val="24"/>
          <w:lang w:val="en-US"/>
        </w:rPr>
        <w:t xml:space="preserve">These sections replicate the corresponding provisions in the </w:t>
      </w:r>
      <w:r w:rsidRPr="00A221D0">
        <w:rPr>
          <w:i/>
          <w:szCs w:val="24"/>
          <w:lang w:val="en-US"/>
        </w:rPr>
        <w:t>Human Services (Medicare) Regulations 1975</w:t>
      </w:r>
      <w:r>
        <w:rPr>
          <w:szCs w:val="24"/>
          <w:lang w:val="en-US"/>
        </w:rPr>
        <w:t>, with minor formatting changes which do not change the operation of the relevant sections.</w:t>
      </w:r>
    </w:p>
    <w:p w:rsidR="00553527" w:rsidRDefault="00553527" w:rsidP="00DA25D0">
      <w:pPr>
        <w:shd w:val="clear" w:color="auto" w:fill="FFFFFF"/>
        <w:spacing w:before="100" w:beforeAutospacing="1" w:after="100" w:afterAutospacing="1"/>
        <w:rPr>
          <w:i/>
          <w:szCs w:val="24"/>
          <w:lang w:val="en-US"/>
        </w:rPr>
      </w:pPr>
      <w:r>
        <w:rPr>
          <w:i/>
          <w:szCs w:val="24"/>
          <w:lang w:val="en-US"/>
        </w:rPr>
        <w:t>Section 29 – Hearing services</w:t>
      </w:r>
    </w:p>
    <w:p w:rsidR="00553527" w:rsidRDefault="00BC01C1" w:rsidP="00DA25D0">
      <w:pPr>
        <w:shd w:val="clear" w:color="auto" w:fill="FFFFFF"/>
        <w:spacing w:before="100" w:beforeAutospacing="1" w:after="100" w:afterAutospacing="1"/>
        <w:rPr>
          <w:szCs w:val="24"/>
          <w:lang w:val="en-US"/>
        </w:rPr>
      </w:pPr>
      <w:r w:rsidRPr="00BC01C1">
        <w:rPr>
          <w:szCs w:val="24"/>
          <w:lang w:val="en-US"/>
        </w:rPr>
        <w:t xml:space="preserve">This section </w:t>
      </w:r>
      <w:r w:rsidR="00EF0847">
        <w:rPr>
          <w:szCs w:val="24"/>
          <w:lang w:val="en-US"/>
        </w:rPr>
        <w:t xml:space="preserve">replicates the corresponding provisions in the </w:t>
      </w:r>
      <w:r w:rsidR="00EF0847" w:rsidRPr="00A221D0">
        <w:rPr>
          <w:i/>
          <w:szCs w:val="24"/>
          <w:lang w:val="en-US"/>
        </w:rPr>
        <w:t>Human Services (Medicare) Regulations 1975</w:t>
      </w:r>
      <w:r w:rsidR="00FD1CB4" w:rsidRPr="00572061">
        <w:rPr>
          <w:szCs w:val="24"/>
          <w:lang w:val="en-US"/>
        </w:rPr>
        <w:t>, w</w:t>
      </w:r>
      <w:r w:rsidR="00FD1CB4">
        <w:rPr>
          <w:szCs w:val="24"/>
          <w:lang w:val="en-US"/>
        </w:rPr>
        <w:t>ith minor formatting changes which do not change the operation of the relevant sections.</w:t>
      </w:r>
      <w:r w:rsidR="00EF0847">
        <w:rPr>
          <w:i/>
          <w:szCs w:val="24"/>
          <w:lang w:val="en-US"/>
        </w:rPr>
        <w:t xml:space="preserve">  </w:t>
      </w:r>
      <w:r w:rsidR="00EF0847">
        <w:rPr>
          <w:szCs w:val="24"/>
          <w:lang w:val="en-US"/>
        </w:rPr>
        <w:t>T</w:t>
      </w:r>
      <w:r>
        <w:rPr>
          <w:szCs w:val="24"/>
          <w:lang w:val="en-US"/>
        </w:rPr>
        <w:t xml:space="preserve">he Chief Executive Medicare’s functions include recovering a service provider debt under section 24 of the </w:t>
      </w:r>
      <w:r w:rsidRPr="00BC01C1">
        <w:rPr>
          <w:i/>
          <w:szCs w:val="24"/>
          <w:lang w:val="en-US"/>
        </w:rPr>
        <w:t>Hea</w:t>
      </w:r>
      <w:r>
        <w:rPr>
          <w:i/>
          <w:szCs w:val="24"/>
          <w:lang w:val="en-US"/>
        </w:rPr>
        <w:t>r</w:t>
      </w:r>
      <w:r w:rsidRPr="00BC01C1">
        <w:rPr>
          <w:i/>
          <w:szCs w:val="24"/>
          <w:lang w:val="en-US"/>
        </w:rPr>
        <w:t>ing Services Administration Act</w:t>
      </w:r>
      <w:r w:rsidR="00C56C37">
        <w:rPr>
          <w:i/>
          <w:szCs w:val="24"/>
          <w:lang w:val="en-US"/>
        </w:rPr>
        <w:t> </w:t>
      </w:r>
      <w:r w:rsidRPr="00BC01C1">
        <w:rPr>
          <w:i/>
          <w:szCs w:val="24"/>
          <w:lang w:val="en-US"/>
        </w:rPr>
        <w:t>1997</w:t>
      </w:r>
      <w:r w:rsidR="00C56C37" w:rsidRPr="00C56C37">
        <w:rPr>
          <w:szCs w:val="24"/>
          <w:lang w:val="en-US"/>
        </w:rPr>
        <w:t>,</w:t>
      </w:r>
      <w:r>
        <w:rPr>
          <w:szCs w:val="24"/>
          <w:lang w:val="en-US"/>
        </w:rPr>
        <w:t xml:space="preserve"> on behalf of the Commonwealth.</w:t>
      </w:r>
    </w:p>
    <w:p w:rsidR="00553527" w:rsidRDefault="00553527" w:rsidP="00DA25D0">
      <w:pPr>
        <w:shd w:val="clear" w:color="auto" w:fill="FFFFFF"/>
        <w:spacing w:before="100" w:beforeAutospacing="1" w:after="100" w:afterAutospacing="1"/>
        <w:rPr>
          <w:i/>
          <w:szCs w:val="24"/>
          <w:lang w:val="en-US"/>
        </w:rPr>
      </w:pPr>
      <w:r>
        <w:rPr>
          <w:i/>
          <w:szCs w:val="24"/>
          <w:lang w:val="en-US"/>
        </w:rPr>
        <w:t>Section 30 – Military compensation</w:t>
      </w:r>
    </w:p>
    <w:p w:rsidR="00553527" w:rsidRDefault="00FE5B34" w:rsidP="00DA25D0">
      <w:pPr>
        <w:shd w:val="clear" w:color="auto" w:fill="FFFFFF"/>
        <w:spacing w:before="100" w:beforeAutospacing="1" w:after="100" w:afterAutospacing="1"/>
        <w:rPr>
          <w:szCs w:val="24"/>
          <w:lang w:val="en-US"/>
        </w:rPr>
      </w:pPr>
      <w:r>
        <w:rPr>
          <w:szCs w:val="24"/>
          <w:lang w:val="en-US"/>
        </w:rPr>
        <w:t xml:space="preserve">This section replicates the corresponding provision in the </w:t>
      </w:r>
      <w:r w:rsidRPr="00A221D0">
        <w:rPr>
          <w:i/>
          <w:szCs w:val="24"/>
          <w:lang w:val="en-US"/>
        </w:rPr>
        <w:t>Human Services (Medicare) Regulations 1975</w:t>
      </w:r>
      <w:r>
        <w:rPr>
          <w:szCs w:val="24"/>
          <w:lang w:val="en-US"/>
        </w:rPr>
        <w:t>, with minor formatting changes which do not change the operation of the section.</w:t>
      </w:r>
    </w:p>
    <w:p w:rsidR="00124F85" w:rsidRDefault="00124F85" w:rsidP="00DA25D0">
      <w:pPr>
        <w:shd w:val="clear" w:color="auto" w:fill="FFFFFF"/>
        <w:spacing w:before="100" w:beforeAutospacing="1" w:after="100" w:afterAutospacing="1"/>
        <w:rPr>
          <w:szCs w:val="24"/>
          <w:lang w:val="en-US"/>
        </w:rPr>
      </w:pPr>
    </w:p>
    <w:p w:rsidR="00124F85" w:rsidRDefault="00124F85" w:rsidP="00DA25D0">
      <w:pPr>
        <w:shd w:val="clear" w:color="auto" w:fill="FFFFFF"/>
        <w:spacing w:before="100" w:beforeAutospacing="1" w:after="100" w:afterAutospacing="1"/>
        <w:rPr>
          <w:i/>
          <w:szCs w:val="24"/>
          <w:lang w:val="en-US"/>
        </w:rPr>
      </w:pPr>
    </w:p>
    <w:p w:rsidR="00FE5B34" w:rsidRDefault="00553527" w:rsidP="00DA25D0">
      <w:pPr>
        <w:shd w:val="clear" w:color="auto" w:fill="FFFFFF"/>
        <w:spacing w:before="100" w:beforeAutospacing="1" w:after="100" w:afterAutospacing="1"/>
        <w:rPr>
          <w:i/>
          <w:szCs w:val="24"/>
          <w:lang w:val="en-US"/>
        </w:rPr>
      </w:pPr>
      <w:r>
        <w:rPr>
          <w:i/>
          <w:szCs w:val="24"/>
          <w:lang w:val="en-US"/>
        </w:rPr>
        <w:lastRenderedPageBreak/>
        <w:t>Section 3</w:t>
      </w:r>
      <w:r w:rsidR="00912EC4">
        <w:rPr>
          <w:i/>
          <w:szCs w:val="24"/>
          <w:lang w:val="en-US"/>
        </w:rPr>
        <w:t>1</w:t>
      </w:r>
      <w:r>
        <w:rPr>
          <w:i/>
          <w:szCs w:val="24"/>
          <w:lang w:val="en-US"/>
        </w:rPr>
        <w:t xml:space="preserve"> – </w:t>
      </w:r>
      <w:r w:rsidR="00FE5B34">
        <w:rPr>
          <w:i/>
          <w:szCs w:val="24"/>
          <w:lang w:val="en-US"/>
        </w:rPr>
        <w:t xml:space="preserve">34 (inclusive) </w:t>
      </w:r>
    </w:p>
    <w:p w:rsidR="00C56C37" w:rsidRPr="006A25F2" w:rsidRDefault="00FE5B34" w:rsidP="00DA25D0">
      <w:pPr>
        <w:shd w:val="clear" w:color="auto" w:fill="FFFFFF"/>
        <w:spacing w:before="100" w:beforeAutospacing="1" w:after="100" w:afterAutospacing="1"/>
        <w:rPr>
          <w:i/>
          <w:lang w:val="en-US"/>
        </w:rPr>
      </w:pPr>
      <w:r w:rsidRPr="006A25F2">
        <w:rPr>
          <w:lang w:val="en-US"/>
        </w:rPr>
        <w:t xml:space="preserve">These sections replicate the corresponding provisions in the </w:t>
      </w:r>
      <w:r w:rsidRPr="006A25F2">
        <w:rPr>
          <w:i/>
          <w:lang w:val="en-US"/>
        </w:rPr>
        <w:t>Human Services (Medicare) Regulations 1975</w:t>
      </w:r>
      <w:r w:rsidRPr="006A25F2">
        <w:rPr>
          <w:lang w:val="en-US"/>
        </w:rPr>
        <w:t xml:space="preserve">, with </w:t>
      </w:r>
      <w:r w:rsidR="00EF0847" w:rsidRPr="006A25F2">
        <w:rPr>
          <w:lang w:val="en-US"/>
        </w:rPr>
        <w:t>some</w:t>
      </w:r>
      <w:r w:rsidRPr="006A25F2">
        <w:rPr>
          <w:lang w:val="en-US"/>
        </w:rPr>
        <w:t xml:space="preserve"> minor changes</w:t>
      </w:r>
      <w:r w:rsidR="00EF0847" w:rsidRPr="006A25F2">
        <w:rPr>
          <w:lang w:val="en-US"/>
        </w:rPr>
        <w:t xml:space="preserve"> to update and clarify the language of the provisions</w:t>
      </w:r>
      <w:r w:rsidR="006A25F2">
        <w:rPr>
          <w:lang w:val="en-US"/>
        </w:rPr>
        <w:t>.</w:t>
      </w:r>
    </w:p>
    <w:p w:rsidR="00553527" w:rsidRDefault="00553527" w:rsidP="00DA25D0">
      <w:pPr>
        <w:shd w:val="clear" w:color="auto" w:fill="FFFFFF"/>
        <w:spacing w:before="100" w:beforeAutospacing="1" w:after="100" w:afterAutospacing="1"/>
        <w:rPr>
          <w:i/>
          <w:szCs w:val="24"/>
          <w:lang w:val="en-US"/>
        </w:rPr>
      </w:pPr>
      <w:r>
        <w:rPr>
          <w:i/>
          <w:szCs w:val="24"/>
          <w:lang w:val="en-US"/>
        </w:rPr>
        <w:t>Section 35 – Allocation of identification numbers</w:t>
      </w:r>
    </w:p>
    <w:p w:rsidR="00553527" w:rsidRDefault="00423B8E" w:rsidP="00DA25D0">
      <w:pPr>
        <w:shd w:val="clear" w:color="auto" w:fill="FFFFFF"/>
        <w:spacing w:before="100" w:beforeAutospacing="1" w:after="100" w:afterAutospacing="1"/>
        <w:rPr>
          <w:i/>
          <w:szCs w:val="24"/>
          <w:lang w:val="en-US"/>
        </w:rPr>
      </w:pPr>
      <w:r>
        <w:rPr>
          <w:iCs/>
        </w:rPr>
        <w:t xml:space="preserve">The function of </w:t>
      </w:r>
      <w:r>
        <w:rPr>
          <w:sz w:val="22"/>
          <w:szCs w:val="22"/>
        </w:rPr>
        <w:t>allocating identification numbers for the purposes of the National Health Act to medical practitioners and to participating dental practitioners has been removed from the Regulations. This is because r</w:t>
      </w:r>
      <w:r w:rsidRPr="0044308A">
        <w:rPr>
          <w:iCs/>
        </w:rPr>
        <w:t xml:space="preserve">esponsibility for allotting numbers for various types of approvals </w:t>
      </w:r>
      <w:r>
        <w:rPr>
          <w:iCs/>
        </w:rPr>
        <w:t xml:space="preserve">under the National Health Act </w:t>
      </w:r>
      <w:r w:rsidRPr="0044308A">
        <w:rPr>
          <w:iCs/>
        </w:rPr>
        <w:t>is already delegated to the C</w:t>
      </w:r>
      <w:r>
        <w:rPr>
          <w:iCs/>
        </w:rPr>
        <w:t xml:space="preserve">hief </w:t>
      </w:r>
      <w:r w:rsidRPr="0044308A">
        <w:rPr>
          <w:iCs/>
        </w:rPr>
        <w:t>E</w:t>
      </w:r>
      <w:r>
        <w:rPr>
          <w:iCs/>
        </w:rPr>
        <w:t xml:space="preserve">xecutive </w:t>
      </w:r>
      <w:r w:rsidRPr="0044308A">
        <w:rPr>
          <w:iCs/>
        </w:rPr>
        <w:t>M</w:t>
      </w:r>
      <w:r>
        <w:rPr>
          <w:iCs/>
        </w:rPr>
        <w:t>edicare</w:t>
      </w:r>
      <w:r w:rsidRPr="0044308A">
        <w:rPr>
          <w:iCs/>
        </w:rPr>
        <w:t xml:space="preserve"> by the Secretary of the Department of Health</w:t>
      </w:r>
      <w:r>
        <w:rPr>
          <w:iCs/>
        </w:rPr>
        <w:t>, and therefore this legislative basis is no longer required</w:t>
      </w:r>
      <w:r w:rsidRPr="0044308A">
        <w:rPr>
          <w:iCs/>
        </w:rPr>
        <w:t>.</w:t>
      </w:r>
    </w:p>
    <w:p w:rsidR="00607024" w:rsidRPr="001E6013" w:rsidRDefault="001E6013" w:rsidP="00DA25D0">
      <w:pPr>
        <w:shd w:val="clear" w:color="auto" w:fill="FFFFFF"/>
        <w:spacing w:before="100" w:beforeAutospacing="1" w:after="100" w:afterAutospacing="1"/>
        <w:rPr>
          <w:b/>
          <w:bCs/>
          <w:szCs w:val="24"/>
          <w:u w:val="single"/>
        </w:rPr>
      </w:pPr>
      <w:r w:rsidRPr="001E6013">
        <w:rPr>
          <w:b/>
          <w:bCs/>
          <w:szCs w:val="24"/>
          <w:u w:val="single"/>
        </w:rPr>
        <w:t>Part 4—Miscellaneous</w:t>
      </w:r>
    </w:p>
    <w:p w:rsidR="00553527" w:rsidRPr="00CA5DE5" w:rsidRDefault="00553527" w:rsidP="00DA25D0">
      <w:pPr>
        <w:shd w:val="clear" w:color="auto" w:fill="FFFFFF"/>
        <w:spacing w:before="100" w:beforeAutospacing="1" w:after="100" w:afterAutospacing="1"/>
        <w:rPr>
          <w:i/>
          <w:szCs w:val="24"/>
          <w:lang w:val="en-US"/>
        </w:rPr>
      </w:pPr>
      <w:r>
        <w:rPr>
          <w:i/>
          <w:szCs w:val="24"/>
          <w:lang w:val="en-US"/>
        </w:rPr>
        <w:t>Section 36 – Prescribed period</w:t>
      </w:r>
    </w:p>
    <w:p w:rsidR="00423B8E" w:rsidRDefault="00423B8E" w:rsidP="00DA25D0">
      <w:pPr>
        <w:shd w:val="clear" w:color="auto" w:fill="FFFFFF"/>
        <w:spacing w:before="100" w:beforeAutospacing="1" w:after="100" w:afterAutospacing="1"/>
        <w:rPr>
          <w:szCs w:val="24"/>
          <w:lang w:val="en-US"/>
        </w:rPr>
      </w:pPr>
      <w:r>
        <w:rPr>
          <w:szCs w:val="24"/>
          <w:lang w:val="en-US"/>
        </w:rPr>
        <w:t xml:space="preserve">This section replicates the corresponding provision in the </w:t>
      </w:r>
      <w:r w:rsidRPr="00A221D0">
        <w:rPr>
          <w:i/>
          <w:szCs w:val="24"/>
          <w:lang w:val="en-US"/>
        </w:rPr>
        <w:t>Human Services (Medicare) Regulations 1975</w:t>
      </w:r>
      <w:r>
        <w:rPr>
          <w:szCs w:val="24"/>
          <w:lang w:val="en-US"/>
        </w:rPr>
        <w:t>, with minor formatting changes which do not change the operation of the section.</w:t>
      </w:r>
    </w:p>
    <w:p w:rsidR="00FD1CB4" w:rsidRPr="001E6013" w:rsidRDefault="00FD1CB4" w:rsidP="00DA25D0">
      <w:pPr>
        <w:shd w:val="clear" w:color="auto" w:fill="FFFFFF"/>
        <w:spacing w:before="100" w:beforeAutospacing="1" w:after="100" w:afterAutospacing="1"/>
        <w:rPr>
          <w:b/>
          <w:bCs/>
          <w:szCs w:val="24"/>
          <w:u w:val="single"/>
        </w:rPr>
      </w:pPr>
      <w:r>
        <w:rPr>
          <w:b/>
          <w:bCs/>
          <w:szCs w:val="24"/>
          <w:u w:val="single"/>
        </w:rPr>
        <w:t>Part 5</w:t>
      </w:r>
      <w:r w:rsidRPr="001E6013">
        <w:rPr>
          <w:b/>
          <w:bCs/>
          <w:szCs w:val="24"/>
          <w:u w:val="single"/>
        </w:rPr>
        <w:t>—</w:t>
      </w:r>
      <w:r>
        <w:rPr>
          <w:b/>
          <w:bCs/>
          <w:szCs w:val="24"/>
          <w:u w:val="single"/>
        </w:rPr>
        <w:t>Transitional provisions</w:t>
      </w:r>
    </w:p>
    <w:p w:rsidR="00FD1CB4" w:rsidRDefault="00FD1CB4" w:rsidP="00DA25D0">
      <w:pPr>
        <w:shd w:val="clear" w:color="auto" w:fill="FFFFFF"/>
        <w:spacing w:before="100" w:beforeAutospacing="1" w:after="100" w:afterAutospacing="1"/>
        <w:rPr>
          <w:i/>
          <w:szCs w:val="24"/>
          <w:lang w:val="en-US"/>
        </w:rPr>
      </w:pPr>
      <w:r>
        <w:rPr>
          <w:i/>
          <w:szCs w:val="24"/>
          <w:lang w:val="en-US"/>
        </w:rPr>
        <w:t xml:space="preserve">Section 37 – 39 (inclusive) </w:t>
      </w:r>
    </w:p>
    <w:p w:rsidR="00DA25D0" w:rsidRDefault="00157209" w:rsidP="00DA25D0">
      <w:pPr>
        <w:shd w:val="clear" w:color="auto" w:fill="FFFFFF"/>
        <w:spacing w:before="100" w:beforeAutospacing="1" w:after="100" w:afterAutospacing="1"/>
      </w:pPr>
      <w:r>
        <w:t xml:space="preserve">These sections include transitional provisions for things done, or started but not finished, under the </w:t>
      </w:r>
      <w:r w:rsidRPr="00A221D0">
        <w:rPr>
          <w:i/>
          <w:szCs w:val="24"/>
          <w:lang w:val="en-US"/>
        </w:rPr>
        <w:t>Human Services (Medicare) Regulations 1975</w:t>
      </w:r>
      <w:r>
        <w:rPr>
          <w:szCs w:val="24"/>
          <w:lang w:val="en-US"/>
        </w:rPr>
        <w:t xml:space="preserve">.  </w:t>
      </w:r>
      <w:r w:rsidR="00FD1CB4">
        <w:t xml:space="preserve">Together with section 7 of the </w:t>
      </w:r>
      <w:r w:rsidR="00FD1CB4" w:rsidRPr="00572061">
        <w:rPr>
          <w:i/>
        </w:rPr>
        <w:t>Acts Interpretation Act 1901</w:t>
      </w:r>
      <w:r w:rsidR="00FD1CB4">
        <w:t xml:space="preserve">, it is intended that these transitional provisions will cover situations </w:t>
      </w:r>
      <w:r w:rsidR="00A1710D">
        <w:t>which could</w:t>
      </w:r>
      <w:r w:rsidR="00546531">
        <w:t xml:space="preserve"> be affected by</w:t>
      </w:r>
      <w:r w:rsidR="00FD1CB4">
        <w:t xml:space="preserve"> the repeal and remaking of the Regulations. </w:t>
      </w:r>
    </w:p>
    <w:p w:rsidR="00607024" w:rsidRPr="001E6013" w:rsidRDefault="001E6013" w:rsidP="00DA25D0">
      <w:pPr>
        <w:shd w:val="clear" w:color="auto" w:fill="FFFFFF"/>
        <w:spacing w:before="100" w:beforeAutospacing="1" w:after="100" w:afterAutospacing="1"/>
        <w:rPr>
          <w:b/>
          <w:bCs/>
          <w:szCs w:val="24"/>
          <w:u w:val="single"/>
        </w:rPr>
      </w:pPr>
      <w:r w:rsidRPr="001E6013">
        <w:rPr>
          <w:b/>
          <w:bCs/>
          <w:szCs w:val="24"/>
          <w:u w:val="single"/>
        </w:rPr>
        <w:t>Schedule 1—Repeals</w:t>
      </w:r>
    </w:p>
    <w:p w:rsidR="00711033" w:rsidRDefault="00711033" w:rsidP="00DA25D0">
      <w:pPr>
        <w:shd w:val="clear" w:color="auto" w:fill="FFFFFF"/>
        <w:spacing w:before="100" w:beforeAutospacing="1" w:after="100" w:afterAutospacing="1"/>
        <w:rPr>
          <w:bCs/>
          <w:i/>
          <w:szCs w:val="24"/>
        </w:rPr>
      </w:pPr>
      <w:r w:rsidRPr="00CA5DE5">
        <w:rPr>
          <w:bCs/>
          <w:i/>
          <w:szCs w:val="24"/>
        </w:rPr>
        <w:t>Section 1 – Repeal of Regulations</w:t>
      </w:r>
    </w:p>
    <w:p w:rsidR="00711033" w:rsidRPr="00135E2C" w:rsidRDefault="00711033" w:rsidP="00DA25D0">
      <w:pPr>
        <w:shd w:val="clear" w:color="auto" w:fill="FFFFFF"/>
        <w:spacing w:before="100" w:beforeAutospacing="1" w:after="100" w:afterAutospacing="1"/>
        <w:rPr>
          <w:szCs w:val="24"/>
          <w:lang w:val="en-US"/>
        </w:rPr>
      </w:pPr>
      <w:r>
        <w:rPr>
          <w:bCs/>
          <w:szCs w:val="24"/>
        </w:rPr>
        <w:t xml:space="preserve">This section provides for the repeal of </w:t>
      </w:r>
      <w:r w:rsidR="00C56C37">
        <w:rPr>
          <w:bCs/>
          <w:szCs w:val="24"/>
        </w:rPr>
        <w:t xml:space="preserve">the </w:t>
      </w:r>
      <w:r w:rsidR="00C56C37" w:rsidRPr="00C56C37">
        <w:rPr>
          <w:bCs/>
          <w:i/>
          <w:szCs w:val="24"/>
        </w:rPr>
        <w:t xml:space="preserve">Human Services (Medicare) </w:t>
      </w:r>
      <w:r w:rsidRPr="00C56C37">
        <w:rPr>
          <w:bCs/>
          <w:i/>
          <w:szCs w:val="24"/>
        </w:rPr>
        <w:t xml:space="preserve">Regulations </w:t>
      </w:r>
      <w:r w:rsidR="00C56C37" w:rsidRPr="00C56C37">
        <w:rPr>
          <w:bCs/>
          <w:i/>
          <w:szCs w:val="24"/>
        </w:rPr>
        <w:t>1975</w:t>
      </w:r>
      <w:r w:rsidR="00C56C37">
        <w:rPr>
          <w:bCs/>
          <w:szCs w:val="24"/>
        </w:rPr>
        <w:t xml:space="preserve"> that </w:t>
      </w:r>
      <w:r w:rsidR="00C56C37">
        <w:rPr>
          <w:kern w:val="28"/>
        </w:rPr>
        <w:t>are due to sunset on 1 October 2017 and are being remade by the Regulations.</w:t>
      </w:r>
    </w:p>
    <w:p w:rsidR="00C56C37" w:rsidRDefault="00C56C37" w:rsidP="00893301">
      <w:pPr>
        <w:shd w:val="clear" w:color="auto" w:fill="FFFFFF"/>
        <w:spacing w:before="100" w:beforeAutospacing="1" w:after="100" w:afterAutospacing="1"/>
        <w:jc w:val="both"/>
        <w:rPr>
          <w:szCs w:val="24"/>
          <w:lang w:val="en-US"/>
        </w:rPr>
      </w:pPr>
    </w:p>
    <w:p w:rsidR="00DA25D0" w:rsidRDefault="00DA25D0" w:rsidP="00893301">
      <w:pPr>
        <w:shd w:val="clear" w:color="auto" w:fill="FFFFFF"/>
        <w:spacing w:before="100" w:beforeAutospacing="1" w:after="100" w:afterAutospacing="1"/>
        <w:jc w:val="both"/>
        <w:rPr>
          <w:szCs w:val="24"/>
          <w:lang w:val="en-US"/>
        </w:rPr>
      </w:pPr>
    </w:p>
    <w:p w:rsidR="00124F85" w:rsidRDefault="00124F85" w:rsidP="00893301">
      <w:pPr>
        <w:shd w:val="clear" w:color="auto" w:fill="FFFFFF"/>
        <w:spacing w:before="100" w:beforeAutospacing="1" w:after="100" w:afterAutospacing="1"/>
        <w:jc w:val="both"/>
        <w:rPr>
          <w:szCs w:val="24"/>
          <w:lang w:val="en-US"/>
        </w:rPr>
      </w:pPr>
    </w:p>
    <w:p w:rsidR="00E323CD" w:rsidRPr="00203801" w:rsidRDefault="00C17B1F" w:rsidP="00CA5DE5">
      <w:pPr>
        <w:pStyle w:val="Heading3"/>
        <w:jc w:val="right"/>
        <w:rPr>
          <w:rFonts w:ascii="Times New Roman" w:hAnsi="Times New Roman"/>
          <w:u w:val="single"/>
        </w:rPr>
      </w:pPr>
      <w:r w:rsidRPr="00203801">
        <w:rPr>
          <w:rFonts w:ascii="Times New Roman" w:hAnsi="Times New Roman"/>
          <w:u w:val="single"/>
        </w:rPr>
        <w:lastRenderedPageBreak/>
        <w:t>ATTACHMENT B</w:t>
      </w:r>
    </w:p>
    <w:p w:rsidR="00E323CD" w:rsidRDefault="00C17B1F" w:rsidP="00CA5DE5">
      <w:pPr>
        <w:pStyle w:val="Heading3"/>
        <w:rPr>
          <w:rFonts w:ascii="Times New Roman" w:hAnsi="Times New Roman"/>
        </w:rPr>
      </w:pPr>
      <w:r>
        <w:rPr>
          <w:rFonts w:ascii="Times New Roman" w:hAnsi="Times New Roman"/>
        </w:rPr>
        <w:t>FINDING TABLE</w:t>
      </w:r>
    </w:p>
    <w:p w:rsidR="00C17B1F" w:rsidRDefault="00C17B1F" w:rsidP="00CA5DE5">
      <w:pPr>
        <w:pStyle w:val="base-text-paragraph"/>
      </w:pPr>
    </w:p>
    <w:p w:rsidR="00C17B1F" w:rsidRDefault="00C17B1F" w:rsidP="00A9348B">
      <w:pPr>
        <w:pStyle w:val="base-text-paragraph"/>
        <w:ind w:left="0"/>
      </w:pPr>
      <w:r>
        <w:t xml:space="preserve">As a result of some of the changes described above, it </w:t>
      </w:r>
      <w:r w:rsidR="00B05862">
        <w:t>became</w:t>
      </w:r>
      <w:r>
        <w:t xml:space="preserve"> necessary to renumber provisions of the Regulation</w:t>
      </w:r>
      <w:r w:rsidR="00553527">
        <w:t>s</w:t>
      </w:r>
      <w:r>
        <w:t>. This Explanatory Statement includes a finding table to assist in identifying which provision in the Regulation</w:t>
      </w:r>
      <w:r w:rsidR="00553527">
        <w:t>s</w:t>
      </w:r>
      <w:r>
        <w:t xml:space="preserve"> corresponds to a provision in the old law that has been rewritten or consolidated, and vice versa. </w:t>
      </w:r>
    </w:p>
    <w:p w:rsidR="00801B83" w:rsidRPr="00CA5DE5" w:rsidRDefault="000A4A88" w:rsidP="00A9348B">
      <w:pPr>
        <w:pStyle w:val="base-text-paragraph"/>
        <w:ind w:left="0"/>
      </w:pPr>
      <w:r>
        <w:t xml:space="preserve">References to the old law are to the </w:t>
      </w:r>
      <w:r w:rsidR="00EE1E97">
        <w:rPr>
          <w:i/>
        </w:rPr>
        <w:t>Human Services (Medicare) Regulations 1975</w:t>
      </w:r>
      <w:r>
        <w:t xml:space="preserve"> unless otherwise specified. References to the new law are to the </w:t>
      </w:r>
      <w:r w:rsidR="00EE1E97">
        <w:rPr>
          <w:i/>
        </w:rPr>
        <w:t>Human Services (Medicare)</w:t>
      </w:r>
      <w:r w:rsidRPr="00CA5DE5">
        <w:rPr>
          <w:i/>
        </w:rPr>
        <w:t xml:space="preserve"> Regulation</w:t>
      </w:r>
      <w:r w:rsidR="00EE1E97">
        <w:rPr>
          <w:i/>
        </w:rPr>
        <w:t>s</w:t>
      </w:r>
      <w:r w:rsidRPr="00CA5DE5">
        <w:rPr>
          <w:i/>
        </w:rPr>
        <w:t xml:space="preserve"> 201</w:t>
      </w:r>
      <w:r w:rsidR="00EE1E97">
        <w:rPr>
          <w:i/>
        </w:rPr>
        <w:t>7</w:t>
      </w:r>
      <w:r>
        <w:t xml:space="preserve"> unless otherwise specified. </w:t>
      </w:r>
      <w:r w:rsidR="00A0657E">
        <w:t xml:space="preserve">Also, in the finding table, ‘no </w:t>
      </w:r>
      <w:r w:rsidR="00801B83" w:rsidRPr="00CA5DE5">
        <w:t>equivalent</w:t>
      </w:r>
      <w:r w:rsidR="00A0657E" w:rsidRPr="00CA5DE5">
        <w:t>’</w:t>
      </w:r>
      <w:r w:rsidR="00801B83">
        <w:rPr>
          <w:i/>
        </w:rPr>
        <w:t xml:space="preserve"> </w:t>
      </w:r>
      <w:r w:rsidR="00801B83">
        <w:t>means that t</w:t>
      </w:r>
      <w:r w:rsidR="00553527">
        <w:t xml:space="preserve">he </w:t>
      </w:r>
      <w:r w:rsidR="006F76B3">
        <w:t>provision has no equivalent</w:t>
      </w:r>
      <w:r w:rsidR="00801B83">
        <w:t xml:space="preserve">. </w:t>
      </w:r>
    </w:p>
    <w:p w:rsidR="00C17B1F" w:rsidRPr="00CA5DE5" w:rsidRDefault="00EE2DEE" w:rsidP="00CA5DE5">
      <w:pPr>
        <w:pStyle w:val="base-text-paragraph"/>
        <w:ind w:left="0"/>
        <w:jc w:val="both"/>
        <w:rPr>
          <w:i/>
        </w:rPr>
      </w:pPr>
      <w:r w:rsidRPr="00CA5DE5">
        <w:rPr>
          <w:i/>
        </w:rPr>
        <w:t xml:space="preserve">Finding table – </w:t>
      </w:r>
      <w:r>
        <w:rPr>
          <w:i/>
        </w:rPr>
        <w:t>old</w:t>
      </w:r>
      <w:r w:rsidRPr="0020583C">
        <w:rPr>
          <w:i/>
        </w:rPr>
        <w:t xml:space="preserve"> law to </w:t>
      </w:r>
      <w:r>
        <w:rPr>
          <w:i/>
        </w:rPr>
        <w:t>new</w:t>
      </w:r>
      <w:r w:rsidRPr="00CA5DE5">
        <w:rPr>
          <w:i/>
        </w:rPr>
        <w:t xml:space="preserve"> law</w:t>
      </w:r>
    </w:p>
    <w:tbl>
      <w:tblPr>
        <w:tblStyle w:val="TableGrid"/>
        <w:tblW w:w="8522" w:type="dxa"/>
        <w:tblLook w:val="04A0" w:firstRow="1" w:lastRow="0" w:firstColumn="1" w:lastColumn="0" w:noHBand="0" w:noVBand="1"/>
      </w:tblPr>
      <w:tblGrid>
        <w:gridCol w:w="4261"/>
        <w:gridCol w:w="4261"/>
      </w:tblGrid>
      <w:tr w:rsidR="00EE2DEE" w:rsidRPr="000A3571" w:rsidTr="00CA5DE5">
        <w:tc>
          <w:tcPr>
            <w:tcW w:w="4261" w:type="dxa"/>
          </w:tcPr>
          <w:p w:rsidR="00EE2DEE" w:rsidRDefault="00EE2DEE">
            <w:pPr>
              <w:pStyle w:val="base-text-paragraph"/>
              <w:ind w:left="0"/>
              <w:jc w:val="center"/>
              <w:rPr>
                <w:b/>
                <w:i/>
                <w:sz w:val="22"/>
                <w:szCs w:val="22"/>
              </w:rPr>
            </w:pPr>
            <w:r w:rsidRPr="00CA5DE5">
              <w:rPr>
                <w:b/>
                <w:i/>
                <w:sz w:val="22"/>
                <w:szCs w:val="22"/>
              </w:rPr>
              <w:t>Old law</w:t>
            </w:r>
          </w:p>
        </w:tc>
        <w:tc>
          <w:tcPr>
            <w:tcW w:w="4261" w:type="dxa"/>
          </w:tcPr>
          <w:p w:rsidR="00EE2DEE" w:rsidRPr="000A3571" w:rsidRDefault="00EE2DEE">
            <w:pPr>
              <w:pStyle w:val="base-text-paragraph"/>
              <w:ind w:left="0"/>
              <w:jc w:val="center"/>
              <w:rPr>
                <w:b/>
                <w:i/>
                <w:sz w:val="22"/>
                <w:szCs w:val="22"/>
              </w:rPr>
            </w:pPr>
            <w:r w:rsidRPr="004546A7">
              <w:rPr>
                <w:b/>
                <w:i/>
                <w:sz w:val="22"/>
                <w:szCs w:val="22"/>
              </w:rPr>
              <w:t>New law</w:t>
            </w:r>
          </w:p>
        </w:tc>
      </w:tr>
      <w:tr w:rsidR="00EE2DEE" w:rsidRPr="000A3571" w:rsidTr="00CA5DE5">
        <w:tc>
          <w:tcPr>
            <w:tcW w:w="4261" w:type="dxa"/>
          </w:tcPr>
          <w:p w:rsidR="00EE2DEE" w:rsidRDefault="00EE1E97" w:rsidP="00EE1E97">
            <w:pPr>
              <w:pStyle w:val="base-text-paragraph"/>
              <w:ind w:left="0"/>
              <w:jc w:val="center"/>
              <w:rPr>
                <w:i/>
                <w:sz w:val="22"/>
                <w:szCs w:val="22"/>
              </w:rPr>
            </w:pPr>
            <w:r w:rsidRPr="00EE1E97">
              <w:rPr>
                <w:i/>
                <w:sz w:val="22"/>
              </w:rPr>
              <w:t>Human Services (Medicare) Regulations</w:t>
            </w:r>
            <w:r>
              <w:rPr>
                <w:i/>
                <w:sz w:val="22"/>
              </w:rPr>
              <w:t> </w:t>
            </w:r>
            <w:r w:rsidRPr="00EE1E97">
              <w:rPr>
                <w:i/>
                <w:sz w:val="22"/>
              </w:rPr>
              <w:t>1975</w:t>
            </w:r>
          </w:p>
        </w:tc>
        <w:tc>
          <w:tcPr>
            <w:tcW w:w="4261" w:type="dxa"/>
          </w:tcPr>
          <w:p w:rsidR="00EE2DEE" w:rsidRPr="000A3571" w:rsidRDefault="00EE1E97" w:rsidP="00801B83">
            <w:pPr>
              <w:pStyle w:val="base-text-paragraph"/>
              <w:ind w:left="0"/>
              <w:jc w:val="center"/>
              <w:rPr>
                <w:i/>
                <w:sz w:val="22"/>
                <w:szCs w:val="22"/>
              </w:rPr>
            </w:pPr>
            <w:r>
              <w:rPr>
                <w:i/>
              </w:rPr>
              <w:t>Human Services (Medicare)</w:t>
            </w:r>
            <w:r w:rsidRPr="00CA5DE5">
              <w:rPr>
                <w:i/>
              </w:rPr>
              <w:t xml:space="preserve"> Regulation</w:t>
            </w:r>
            <w:r>
              <w:rPr>
                <w:i/>
              </w:rPr>
              <w:t>s </w:t>
            </w:r>
            <w:r w:rsidRPr="00CA5DE5">
              <w:rPr>
                <w:i/>
              </w:rPr>
              <w:t>201</w:t>
            </w:r>
            <w:r>
              <w:rPr>
                <w:i/>
              </w:rPr>
              <w:t>7</w:t>
            </w:r>
          </w:p>
        </w:tc>
      </w:tr>
      <w:tr w:rsidR="00EE2DEE" w:rsidRPr="000A3571" w:rsidTr="00CA5DE5">
        <w:tc>
          <w:tcPr>
            <w:tcW w:w="4261" w:type="dxa"/>
          </w:tcPr>
          <w:p w:rsidR="00EE2DEE" w:rsidRDefault="00EE2DEE" w:rsidP="00C17B1F">
            <w:pPr>
              <w:pStyle w:val="base-text-paragraph"/>
              <w:ind w:left="0"/>
              <w:jc w:val="both"/>
              <w:rPr>
                <w:sz w:val="22"/>
                <w:szCs w:val="22"/>
              </w:rPr>
            </w:pPr>
            <w:r w:rsidRPr="00CA5DE5">
              <w:rPr>
                <w:sz w:val="22"/>
                <w:szCs w:val="22"/>
              </w:rPr>
              <w:t>1</w:t>
            </w:r>
          </w:p>
        </w:tc>
        <w:tc>
          <w:tcPr>
            <w:tcW w:w="4261" w:type="dxa"/>
          </w:tcPr>
          <w:p w:rsidR="00EE2DEE" w:rsidRPr="000A3571" w:rsidRDefault="00EE2DEE" w:rsidP="00C17B1F">
            <w:pPr>
              <w:pStyle w:val="base-text-paragraph"/>
              <w:ind w:left="0"/>
              <w:jc w:val="both"/>
              <w:rPr>
                <w:sz w:val="22"/>
                <w:szCs w:val="22"/>
              </w:rPr>
            </w:pPr>
            <w:r w:rsidRPr="004546A7">
              <w:rPr>
                <w:sz w:val="22"/>
                <w:szCs w:val="22"/>
              </w:rPr>
              <w:t>1</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2</w:t>
            </w:r>
          </w:p>
        </w:tc>
        <w:tc>
          <w:tcPr>
            <w:tcW w:w="4261" w:type="dxa"/>
          </w:tcPr>
          <w:p w:rsidR="00EE2DEE" w:rsidRPr="000A3571" w:rsidRDefault="001E4EED" w:rsidP="00C17B1F">
            <w:pPr>
              <w:pStyle w:val="base-text-paragraph"/>
              <w:ind w:left="0"/>
              <w:jc w:val="both"/>
              <w:rPr>
                <w:sz w:val="22"/>
                <w:szCs w:val="22"/>
              </w:rPr>
            </w:pPr>
            <w:r>
              <w:rPr>
                <w:sz w:val="22"/>
                <w:szCs w:val="22"/>
              </w:rPr>
              <w:t>2</w:t>
            </w:r>
          </w:p>
        </w:tc>
      </w:tr>
      <w:tr w:rsidR="00EE2DEE" w:rsidRPr="000A3571" w:rsidTr="00CA5DE5">
        <w:tc>
          <w:tcPr>
            <w:tcW w:w="4261" w:type="dxa"/>
          </w:tcPr>
          <w:p w:rsidR="00EE2DEE" w:rsidRDefault="00EE2DEE" w:rsidP="00C17B1F">
            <w:pPr>
              <w:pStyle w:val="base-text-paragraph"/>
              <w:ind w:left="0"/>
              <w:jc w:val="both"/>
              <w:rPr>
                <w:sz w:val="22"/>
                <w:szCs w:val="22"/>
              </w:rPr>
            </w:pPr>
            <w:r w:rsidRPr="00CA5DE5">
              <w:rPr>
                <w:sz w:val="22"/>
                <w:szCs w:val="22"/>
              </w:rPr>
              <w:t>No equivalent</w:t>
            </w:r>
          </w:p>
        </w:tc>
        <w:tc>
          <w:tcPr>
            <w:tcW w:w="4261" w:type="dxa"/>
          </w:tcPr>
          <w:p w:rsidR="00EE2DEE" w:rsidRPr="000A3571" w:rsidRDefault="001E4EED" w:rsidP="00C17B1F">
            <w:pPr>
              <w:pStyle w:val="base-text-paragraph"/>
              <w:ind w:left="0"/>
              <w:jc w:val="both"/>
              <w:rPr>
                <w:sz w:val="22"/>
                <w:szCs w:val="22"/>
              </w:rPr>
            </w:pPr>
            <w:r>
              <w:rPr>
                <w:sz w:val="22"/>
                <w:szCs w:val="22"/>
              </w:rPr>
              <w:t>3</w:t>
            </w:r>
          </w:p>
        </w:tc>
      </w:tr>
      <w:tr w:rsidR="00EE2DEE" w:rsidRPr="000A3571" w:rsidTr="00CA5DE5">
        <w:tc>
          <w:tcPr>
            <w:tcW w:w="4261" w:type="dxa"/>
          </w:tcPr>
          <w:p w:rsidR="00EE2DEE" w:rsidRDefault="00EE2DEE" w:rsidP="00C17B1F">
            <w:pPr>
              <w:pStyle w:val="base-text-paragraph"/>
              <w:ind w:left="0"/>
              <w:jc w:val="both"/>
              <w:rPr>
                <w:sz w:val="22"/>
                <w:szCs w:val="22"/>
              </w:rPr>
            </w:pPr>
            <w:r w:rsidRPr="00CA5DE5">
              <w:rPr>
                <w:sz w:val="22"/>
                <w:szCs w:val="22"/>
              </w:rPr>
              <w:t>No equivalent</w:t>
            </w:r>
          </w:p>
        </w:tc>
        <w:tc>
          <w:tcPr>
            <w:tcW w:w="4261" w:type="dxa"/>
          </w:tcPr>
          <w:p w:rsidR="00EE2DEE" w:rsidRPr="000A3571" w:rsidRDefault="001E4EED" w:rsidP="00C17B1F">
            <w:pPr>
              <w:pStyle w:val="base-text-paragraph"/>
              <w:ind w:left="0"/>
              <w:jc w:val="both"/>
              <w:rPr>
                <w:sz w:val="22"/>
                <w:szCs w:val="22"/>
              </w:rPr>
            </w:pPr>
            <w:r>
              <w:rPr>
                <w:sz w:val="22"/>
                <w:szCs w:val="22"/>
              </w:rPr>
              <w:t>4</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3</w:t>
            </w:r>
          </w:p>
        </w:tc>
        <w:tc>
          <w:tcPr>
            <w:tcW w:w="4261" w:type="dxa"/>
          </w:tcPr>
          <w:p w:rsidR="00EE2DEE" w:rsidRPr="000A3571" w:rsidRDefault="001E4EED" w:rsidP="00C17B1F">
            <w:pPr>
              <w:pStyle w:val="base-text-paragraph"/>
              <w:ind w:left="0"/>
              <w:jc w:val="both"/>
              <w:rPr>
                <w:sz w:val="22"/>
                <w:szCs w:val="22"/>
              </w:rPr>
            </w:pPr>
            <w:r>
              <w:rPr>
                <w:sz w:val="22"/>
                <w:szCs w:val="22"/>
              </w:rPr>
              <w:t>5</w:t>
            </w:r>
          </w:p>
        </w:tc>
      </w:tr>
      <w:tr w:rsidR="00EE2DEE" w:rsidRPr="000A3571" w:rsidTr="00CA5DE5">
        <w:tc>
          <w:tcPr>
            <w:tcW w:w="4261" w:type="dxa"/>
          </w:tcPr>
          <w:p w:rsidR="00EE2DEE" w:rsidRDefault="00EE2DEE" w:rsidP="00C17B1F">
            <w:pPr>
              <w:pStyle w:val="base-text-paragraph"/>
              <w:ind w:left="0"/>
              <w:jc w:val="both"/>
              <w:rPr>
                <w:sz w:val="22"/>
                <w:szCs w:val="22"/>
              </w:rPr>
            </w:pPr>
            <w:r w:rsidRPr="00CA5DE5">
              <w:rPr>
                <w:sz w:val="22"/>
                <w:szCs w:val="22"/>
              </w:rPr>
              <w:t>3</w:t>
            </w:r>
            <w:r w:rsidR="00EE1E97">
              <w:rPr>
                <w:sz w:val="22"/>
                <w:szCs w:val="22"/>
              </w:rPr>
              <w:t>A</w:t>
            </w:r>
          </w:p>
        </w:tc>
        <w:tc>
          <w:tcPr>
            <w:tcW w:w="4261" w:type="dxa"/>
          </w:tcPr>
          <w:p w:rsidR="00EE2DEE" w:rsidRPr="000A3571" w:rsidRDefault="001E4EED" w:rsidP="00C17B1F">
            <w:pPr>
              <w:pStyle w:val="base-text-paragraph"/>
              <w:ind w:left="0"/>
              <w:jc w:val="both"/>
              <w:rPr>
                <w:sz w:val="22"/>
                <w:szCs w:val="22"/>
              </w:rPr>
            </w:pPr>
            <w:r>
              <w:rPr>
                <w:sz w:val="22"/>
                <w:szCs w:val="22"/>
              </w:rPr>
              <w:t>6</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4</w:t>
            </w:r>
          </w:p>
        </w:tc>
        <w:tc>
          <w:tcPr>
            <w:tcW w:w="4261" w:type="dxa"/>
          </w:tcPr>
          <w:p w:rsidR="00EE2DEE" w:rsidRPr="000A3571" w:rsidRDefault="00EE1E97" w:rsidP="00C17B1F">
            <w:pPr>
              <w:pStyle w:val="base-text-paragraph"/>
              <w:ind w:left="0"/>
              <w:jc w:val="both"/>
              <w:rPr>
                <w:sz w:val="22"/>
                <w:szCs w:val="22"/>
              </w:rPr>
            </w:pPr>
            <w:r w:rsidRPr="00CA5DE5">
              <w:rPr>
                <w:sz w:val="22"/>
                <w:szCs w:val="22"/>
              </w:rPr>
              <w:t>No equivalent</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4A</w:t>
            </w:r>
          </w:p>
        </w:tc>
        <w:tc>
          <w:tcPr>
            <w:tcW w:w="4261" w:type="dxa"/>
          </w:tcPr>
          <w:p w:rsidR="00EE2DEE" w:rsidRPr="000A3571" w:rsidRDefault="00EE1E97" w:rsidP="00C17B1F">
            <w:pPr>
              <w:pStyle w:val="base-text-paragraph"/>
              <w:ind w:left="0"/>
              <w:jc w:val="both"/>
              <w:rPr>
                <w:sz w:val="22"/>
                <w:szCs w:val="22"/>
              </w:rPr>
            </w:pPr>
            <w:r>
              <w:rPr>
                <w:sz w:val="22"/>
                <w:szCs w:val="22"/>
              </w:rPr>
              <w:t>7</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5</w:t>
            </w:r>
          </w:p>
        </w:tc>
        <w:tc>
          <w:tcPr>
            <w:tcW w:w="4261" w:type="dxa"/>
          </w:tcPr>
          <w:p w:rsidR="00EE2DEE" w:rsidRPr="000A3571" w:rsidRDefault="00EE1E97" w:rsidP="00C17B1F">
            <w:pPr>
              <w:pStyle w:val="base-text-paragraph"/>
              <w:ind w:left="0"/>
              <w:jc w:val="both"/>
              <w:rPr>
                <w:sz w:val="22"/>
                <w:szCs w:val="22"/>
              </w:rPr>
            </w:pPr>
            <w:r>
              <w:rPr>
                <w:sz w:val="22"/>
                <w:szCs w:val="22"/>
              </w:rPr>
              <w:t>8</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6</w:t>
            </w:r>
          </w:p>
        </w:tc>
        <w:tc>
          <w:tcPr>
            <w:tcW w:w="4261" w:type="dxa"/>
          </w:tcPr>
          <w:p w:rsidR="00EE2DEE" w:rsidRPr="000A3571" w:rsidRDefault="00EE1E97" w:rsidP="00C17B1F">
            <w:pPr>
              <w:pStyle w:val="base-text-paragraph"/>
              <w:ind w:left="0"/>
              <w:jc w:val="both"/>
              <w:rPr>
                <w:sz w:val="22"/>
                <w:szCs w:val="22"/>
              </w:rPr>
            </w:pPr>
            <w:r>
              <w:rPr>
                <w:sz w:val="22"/>
                <w:szCs w:val="22"/>
              </w:rPr>
              <w:t>9</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7</w:t>
            </w:r>
          </w:p>
        </w:tc>
        <w:tc>
          <w:tcPr>
            <w:tcW w:w="4261" w:type="dxa"/>
          </w:tcPr>
          <w:p w:rsidR="00EE2DEE" w:rsidRPr="000A3571" w:rsidRDefault="00EE1E97" w:rsidP="00C17B1F">
            <w:pPr>
              <w:pStyle w:val="base-text-paragraph"/>
              <w:ind w:left="0"/>
              <w:jc w:val="both"/>
              <w:rPr>
                <w:sz w:val="22"/>
                <w:szCs w:val="22"/>
              </w:rPr>
            </w:pPr>
            <w:r>
              <w:rPr>
                <w:sz w:val="22"/>
                <w:szCs w:val="22"/>
              </w:rPr>
              <w:t>10</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8</w:t>
            </w:r>
          </w:p>
        </w:tc>
        <w:tc>
          <w:tcPr>
            <w:tcW w:w="4261" w:type="dxa"/>
          </w:tcPr>
          <w:p w:rsidR="00EE2DEE" w:rsidRPr="000A3571" w:rsidRDefault="00EE1E97" w:rsidP="00C17B1F">
            <w:pPr>
              <w:pStyle w:val="base-text-paragraph"/>
              <w:ind w:left="0"/>
              <w:jc w:val="both"/>
              <w:rPr>
                <w:sz w:val="22"/>
                <w:szCs w:val="22"/>
              </w:rPr>
            </w:pPr>
            <w:r w:rsidRPr="00CA5DE5">
              <w:rPr>
                <w:sz w:val="22"/>
                <w:szCs w:val="22"/>
              </w:rPr>
              <w:t>No equivalent</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9</w:t>
            </w:r>
          </w:p>
        </w:tc>
        <w:tc>
          <w:tcPr>
            <w:tcW w:w="4261" w:type="dxa"/>
          </w:tcPr>
          <w:p w:rsidR="00EE2DEE" w:rsidRPr="000A3571" w:rsidRDefault="00EE1E97" w:rsidP="00C17B1F">
            <w:pPr>
              <w:pStyle w:val="base-text-paragraph"/>
              <w:ind w:left="0"/>
              <w:jc w:val="both"/>
              <w:rPr>
                <w:sz w:val="22"/>
                <w:szCs w:val="22"/>
              </w:rPr>
            </w:pPr>
            <w:r>
              <w:rPr>
                <w:sz w:val="22"/>
                <w:szCs w:val="22"/>
              </w:rPr>
              <w:t>11</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9A</w:t>
            </w:r>
          </w:p>
        </w:tc>
        <w:tc>
          <w:tcPr>
            <w:tcW w:w="4261" w:type="dxa"/>
          </w:tcPr>
          <w:p w:rsidR="00EE2DEE" w:rsidRPr="000A3571" w:rsidRDefault="00EE1E97" w:rsidP="00C17B1F">
            <w:pPr>
              <w:pStyle w:val="base-text-paragraph"/>
              <w:ind w:left="0"/>
              <w:jc w:val="both"/>
              <w:rPr>
                <w:sz w:val="22"/>
                <w:szCs w:val="22"/>
              </w:rPr>
            </w:pPr>
            <w:r>
              <w:rPr>
                <w:sz w:val="22"/>
                <w:szCs w:val="22"/>
              </w:rPr>
              <w:t>12</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10</w:t>
            </w:r>
          </w:p>
        </w:tc>
        <w:tc>
          <w:tcPr>
            <w:tcW w:w="4261" w:type="dxa"/>
          </w:tcPr>
          <w:p w:rsidR="00EE2DEE" w:rsidRPr="000A3571" w:rsidRDefault="00EE1E97" w:rsidP="00C17B1F">
            <w:pPr>
              <w:pStyle w:val="base-text-paragraph"/>
              <w:ind w:left="0"/>
              <w:jc w:val="both"/>
              <w:rPr>
                <w:sz w:val="22"/>
                <w:szCs w:val="22"/>
              </w:rPr>
            </w:pPr>
            <w:r>
              <w:rPr>
                <w:sz w:val="22"/>
                <w:szCs w:val="22"/>
              </w:rPr>
              <w:t>13</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11</w:t>
            </w:r>
          </w:p>
        </w:tc>
        <w:tc>
          <w:tcPr>
            <w:tcW w:w="4261" w:type="dxa"/>
          </w:tcPr>
          <w:p w:rsidR="00EE2DEE" w:rsidRPr="000A3571" w:rsidRDefault="00EE1E97" w:rsidP="00C17B1F">
            <w:pPr>
              <w:pStyle w:val="base-text-paragraph"/>
              <w:ind w:left="0"/>
              <w:jc w:val="both"/>
              <w:rPr>
                <w:sz w:val="22"/>
                <w:szCs w:val="22"/>
              </w:rPr>
            </w:pPr>
            <w:r>
              <w:rPr>
                <w:sz w:val="22"/>
                <w:szCs w:val="22"/>
              </w:rPr>
              <w:t>14</w:t>
            </w:r>
          </w:p>
        </w:tc>
      </w:tr>
      <w:tr w:rsidR="00EE2DEE" w:rsidRPr="000A3571" w:rsidTr="00CA5DE5">
        <w:tc>
          <w:tcPr>
            <w:tcW w:w="4261" w:type="dxa"/>
          </w:tcPr>
          <w:p w:rsidR="00EE2DEE" w:rsidRDefault="00EE1E97" w:rsidP="008744E2">
            <w:pPr>
              <w:pStyle w:val="base-text-paragraph"/>
              <w:ind w:left="0"/>
              <w:jc w:val="both"/>
              <w:rPr>
                <w:sz w:val="22"/>
                <w:szCs w:val="22"/>
              </w:rPr>
            </w:pPr>
            <w:r>
              <w:rPr>
                <w:sz w:val="22"/>
                <w:szCs w:val="22"/>
              </w:rPr>
              <w:lastRenderedPageBreak/>
              <w:t>12</w:t>
            </w:r>
          </w:p>
        </w:tc>
        <w:tc>
          <w:tcPr>
            <w:tcW w:w="4261" w:type="dxa"/>
          </w:tcPr>
          <w:p w:rsidR="00EE2DEE" w:rsidRPr="000A3571" w:rsidRDefault="00EE1E97" w:rsidP="008744E2">
            <w:pPr>
              <w:pStyle w:val="base-text-paragraph"/>
              <w:ind w:left="0"/>
              <w:jc w:val="both"/>
              <w:rPr>
                <w:sz w:val="22"/>
                <w:szCs w:val="22"/>
              </w:rPr>
            </w:pPr>
            <w:r>
              <w:rPr>
                <w:sz w:val="22"/>
                <w:szCs w:val="22"/>
              </w:rPr>
              <w:t>15</w:t>
            </w:r>
          </w:p>
        </w:tc>
      </w:tr>
      <w:tr w:rsidR="001E4EED" w:rsidRPr="000A3571" w:rsidTr="00EE2DEE">
        <w:tc>
          <w:tcPr>
            <w:tcW w:w="4261" w:type="dxa"/>
          </w:tcPr>
          <w:p w:rsidR="001E4EED" w:rsidRPr="00135E2C" w:rsidRDefault="00EE1E97" w:rsidP="00C17B1F">
            <w:pPr>
              <w:pStyle w:val="base-text-paragraph"/>
              <w:ind w:left="0"/>
              <w:jc w:val="both"/>
              <w:rPr>
                <w:sz w:val="22"/>
                <w:szCs w:val="22"/>
              </w:rPr>
            </w:pPr>
            <w:r>
              <w:rPr>
                <w:sz w:val="22"/>
                <w:szCs w:val="22"/>
              </w:rPr>
              <w:t>13</w:t>
            </w:r>
          </w:p>
        </w:tc>
        <w:tc>
          <w:tcPr>
            <w:tcW w:w="4261" w:type="dxa"/>
          </w:tcPr>
          <w:p w:rsidR="001E4EED" w:rsidRDefault="00EE1E97" w:rsidP="00CA5DE5">
            <w:pPr>
              <w:pStyle w:val="base-text-paragraph"/>
              <w:ind w:left="0"/>
              <w:rPr>
                <w:sz w:val="22"/>
                <w:szCs w:val="22"/>
              </w:rPr>
            </w:pPr>
            <w:r>
              <w:rPr>
                <w:sz w:val="22"/>
                <w:szCs w:val="22"/>
              </w:rPr>
              <w:t>16</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14</w:t>
            </w:r>
            <w:r w:rsidR="006F76B3">
              <w:rPr>
                <w:sz w:val="22"/>
                <w:szCs w:val="22"/>
              </w:rPr>
              <w:t>(1)(a) and (b)</w:t>
            </w:r>
          </w:p>
        </w:tc>
        <w:tc>
          <w:tcPr>
            <w:tcW w:w="4261" w:type="dxa"/>
          </w:tcPr>
          <w:p w:rsidR="00EE2DEE" w:rsidRPr="000A3571" w:rsidRDefault="00EE1E97" w:rsidP="00C17B1F">
            <w:pPr>
              <w:pStyle w:val="base-text-paragraph"/>
              <w:ind w:left="0"/>
              <w:jc w:val="both"/>
              <w:rPr>
                <w:sz w:val="22"/>
                <w:szCs w:val="22"/>
              </w:rPr>
            </w:pPr>
            <w:r>
              <w:rPr>
                <w:sz w:val="22"/>
                <w:szCs w:val="22"/>
              </w:rPr>
              <w:t>17</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15</w:t>
            </w:r>
          </w:p>
        </w:tc>
        <w:tc>
          <w:tcPr>
            <w:tcW w:w="4261" w:type="dxa"/>
          </w:tcPr>
          <w:p w:rsidR="00EE2DEE" w:rsidRPr="000A3571" w:rsidRDefault="00EE1E97" w:rsidP="00C17B1F">
            <w:pPr>
              <w:pStyle w:val="base-text-paragraph"/>
              <w:ind w:left="0"/>
              <w:jc w:val="both"/>
              <w:rPr>
                <w:sz w:val="22"/>
                <w:szCs w:val="22"/>
              </w:rPr>
            </w:pPr>
            <w:r>
              <w:rPr>
                <w:sz w:val="22"/>
                <w:szCs w:val="22"/>
              </w:rPr>
              <w:t>18</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14</w:t>
            </w:r>
            <w:r w:rsidR="006F76B3">
              <w:rPr>
                <w:sz w:val="22"/>
                <w:szCs w:val="22"/>
              </w:rPr>
              <w:t>(1)(c)</w:t>
            </w:r>
          </w:p>
        </w:tc>
        <w:tc>
          <w:tcPr>
            <w:tcW w:w="4261" w:type="dxa"/>
          </w:tcPr>
          <w:p w:rsidR="00EE2DEE" w:rsidRPr="000A3571" w:rsidRDefault="00EE1E97" w:rsidP="00C17B1F">
            <w:pPr>
              <w:pStyle w:val="base-text-paragraph"/>
              <w:ind w:left="0"/>
              <w:jc w:val="both"/>
              <w:rPr>
                <w:sz w:val="22"/>
                <w:szCs w:val="22"/>
              </w:rPr>
            </w:pPr>
            <w:r>
              <w:rPr>
                <w:sz w:val="22"/>
                <w:szCs w:val="22"/>
              </w:rPr>
              <w:t>19</w:t>
            </w:r>
          </w:p>
        </w:tc>
      </w:tr>
      <w:tr w:rsidR="00EE2DEE" w:rsidRPr="000A3571" w:rsidTr="00CA5DE5">
        <w:tc>
          <w:tcPr>
            <w:tcW w:w="4261" w:type="dxa"/>
          </w:tcPr>
          <w:p w:rsidR="00EE2DEE" w:rsidRDefault="00EE1E97" w:rsidP="00C17B1F">
            <w:pPr>
              <w:pStyle w:val="base-text-paragraph"/>
              <w:ind w:left="0"/>
              <w:jc w:val="both"/>
              <w:rPr>
                <w:sz w:val="22"/>
                <w:szCs w:val="22"/>
              </w:rPr>
            </w:pPr>
            <w:r>
              <w:rPr>
                <w:sz w:val="22"/>
                <w:szCs w:val="22"/>
              </w:rPr>
              <w:t>16</w:t>
            </w:r>
          </w:p>
        </w:tc>
        <w:tc>
          <w:tcPr>
            <w:tcW w:w="4261" w:type="dxa"/>
          </w:tcPr>
          <w:p w:rsidR="00EE2DEE" w:rsidRPr="000A3571" w:rsidRDefault="00EE1E97" w:rsidP="00C17B1F">
            <w:pPr>
              <w:pStyle w:val="base-text-paragraph"/>
              <w:ind w:left="0"/>
              <w:jc w:val="both"/>
              <w:rPr>
                <w:sz w:val="22"/>
                <w:szCs w:val="22"/>
              </w:rPr>
            </w:pPr>
            <w:r>
              <w:rPr>
                <w:sz w:val="22"/>
                <w:szCs w:val="22"/>
              </w:rPr>
              <w:t>20</w:t>
            </w:r>
          </w:p>
        </w:tc>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17</w:t>
            </w:r>
          </w:p>
        </w:tc>
        <w:tc>
          <w:tcPr>
            <w:tcW w:w="4261" w:type="dxa"/>
          </w:tcPr>
          <w:p w:rsidR="00EE2DEE" w:rsidRPr="000A3571" w:rsidRDefault="006F76B3" w:rsidP="00C17B1F">
            <w:pPr>
              <w:pStyle w:val="base-text-paragraph"/>
              <w:ind w:left="0"/>
              <w:jc w:val="both"/>
              <w:rPr>
                <w:sz w:val="22"/>
                <w:szCs w:val="22"/>
              </w:rPr>
            </w:pPr>
            <w:r>
              <w:rPr>
                <w:sz w:val="22"/>
                <w:szCs w:val="22"/>
              </w:rPr>
              <w:t>21</w:t>
            </w:r>
          </w:p>
        </w:tc>
      </w:tr>
      <w:tr w:rsidR="00EE2DEE" w:rsidRPr="000A3571" w:rsidTr="00CA5DE5">
        <w:tc>
          <w:tcPr>
            <w:tcW w:w="4261" w:type="dxa"/>
          </w:tcPr>
          <w:p w:rsidR="00EE2DEE" w:rsidRDefault="006F76B3" w:rsidP="001E5988">
            <w:pPr>
              <w:pStyle w:val="base-text-paragraph"/>
              <w:ind w:left="0"/>
              <w:jc w:val="both"/>
              <w:rPr>
                <w:sz w:val="22"/>
                <w:szCs w:val="22"/>
              </w:rPr>
            </w:pPr>
            <w:r>
              <w:rPr>
                <w:sz w:val="22"/>
                <w:szCs w:val="22"/>
              </w:rPr>
              <w:t>18</w:t>
            </w:r>
          </w:p>
        </w:tc>
        <w:tc>
          <w:tcPr>
            <w:tcW w:w="4261" w:type="dxa"/>
          </w:tcPr>
          <w:p w:rsidR="00EE2DEE" w:rsidRPr="000A3571" w:rsidRDefault="006F76B3" w:rsidP="001E5988">
            <w:pPr>
              <w:pStyle w:val="base-text-paragraph"/>
              <w:ind w:left="0"/>
              <w:jc w:val="both"/>
              <w:rPr>
                <w:sz w:val="22"/>
                <w:szCs w:val="22"/>
              </w:rPr>
            </w:pPr>
            <w:r>
              <w:rPr>
                <w:sz w:val="22"/>
                <w:szCs w:val="22"/>
              </w:rPr>
              <w:t>22</w:t>
            </w:r>
          </w:p>
        </w:tc>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19</w:t>
            </w:r>
          </w:p>
        </w:tc>
        <w:tc>
          <w:tcPr>
            <w:tcW w:w="4261" w:type="dxa"/>
          </w:tcPr>
          <w:p w:rsidR="00EE2DEE" w:rsidRPr="000A3571" w:rsidRDefault="006F76B3" w:rsidP="00C17B1F">
            <w:pPr>
              <w:pStyle w:val="base-text-paragraph"/>
              <w:ind w:left="0"/>
              <w:jc w:val="both"/>
              <w:rPr>
                <w:sz w:val="22"/>
                <w:szCs w:val="22"/>
              </w:rPr>
            </w:pPr>
            <w:r>
              <w:rPr>
                <w:sz w:val="22"/>
                <w:szCs w:val="22"/>
              </w:rPr>
              <w:t>23</w:t>
            </w:r>
          </w:p>
        </w:tc>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20</w:t>
            </w:r>
          </w:p>
        </w:tc>
        <w:tc>
          <w:tcPr>
            <w:tcW w:w="4261" w:type="dxa"/>
          </w:tcPr>
          <w:p w:rsidR="00EE2DEE" w:rsidRPr="000A3571" w:rsidRDefault="006F76B3" w:rsidP="00C17B1F">
            <w:pPr>
              <w:pStyle w:val="base-text-paragraph"/>
              <w:ind w:left="0"/>
              <w:jc w:val="both"/>
              <w:rPr>
                <w:sz w:val="22"/>
                <w:szCs w:val="22"/>
              </w:rPr>
            </w:pPr>
            <w:r>
              <w:rPr>
                <w:sz w:val="22"/>
                <w:szCs w:val="22"/>
              </w:rPr>
              <w:t>24</w:t>
            </w:r>
          </w:p>
        </w:tc>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21</w:t>
            </w:r>
          </w:p>
        </w:tc>
        <w:tc>
          <w:tcPr>
            <w:tcW w:w="4261" w:type="dxa"/>
          </w:tcPr>
          <w:p w:rsidR="00EE2DEE" w:rsidRPr="000A3571" w:rsidRDefault="006F76B3" w:rsidP="00C17B1F">
            <w:pPr>
              <w:pStyle w:val="base-text-paragraph"/>
              <w:ind w:left="0"/>
              <w:jc w:val="both"/>
              <w:rPr>
                <w:sz w:val="22"/>
                <w:szCs w:val="22"/>
              </w:rPr>
            </w:pPr>
            <w:r>
              <w:rPr>
                <w:sz w:val="22"/>
                <w:szCs w:val="22"/>
              </w:rPr>
              <w:t>25</w:t>
            </w:r>
          </w:p>
        </w:tc>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23</w:t>
            </w:r>
          </w:p>
        </w:tc>
        <w:tc>
          <w:tcPr>
            <w:tcW w:w="4261" w:type="dxa"/>
          </w:tcPr>
          <w:p w:rsidR="00EE2DEE" w:rsidRPr="000A3571" w:rsidRDefault="006F76B3" w:rsidP="00C17B1F">
            <w:pPr>
              <w:pStyle w:val="base-text-paragraph"/>
              <w:ind w:left="0"/>
              <w:jc w:val="both"/>
              <w:rPr>
                <w:sz w:val="22"/>
                <w:szCs w:val="22"/>
              </w:rPr>
            </w:pPr>
            <w:r>
              <w:rPr>
                <w:sz w:val="22"/>
                <w:szCs w:val="22"/>
              </w:rPr>
              <w:t>26</w:t>
            </w:r>
          </w:p>
        </w:tc>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24</w:t>
            </w:r>
          </w:p>
        </w:tc>
        <w:tc>
          <w:tcPr>
            <w:tcW w:w="4261" w:type="dxa"/>
          </w:tcPr>
          <w:p w:rsidR="00EE2DEE" w:rsidRPr="000A3571" w:rsidRDefault="006F76B3" w:rsidP="00C17B1F">
            <w:pPr>
              <w:pStyle w:val="base-text-paragraph"/>
              <w:ind w:left="0"/>
              <w:jc w:val="both"/>
              <w:rPr>
                <w:sz w:val="22"/>
                <w:szCs w:val="22"/>
              </w:rPr>
            </w:pPr>
            <w:r>
              <w:rPr>
                <w:sz w:val="22"/>
                <w:szCs w:val="22"/>
              </w:rPr>
              <w:t>27</w:t>
            </w:r>
          </w:p>
        </w:tc>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25</w:t>
            </w:r>
          </w:p>
        </w:tc>
        <w:tc>
          <w:tcPr>
            <w:tcW w:w="4261" w:type="dxa"/>
          </w:tcPr>
          <w:p w:rsidR="00EE2DEE" w:rsidRPr="000A3571" w:rsidRDefault="006F76B3" w:rsidP="00C17B1F">
            <w:pPr>
              <w:pStyle w:val="base-text-paragraph"/>
              <w:ind w:left="0"/>
              <w:jc w:val="both"/>
              <w:rPr>
                <w:sz w:val="22"/>
                <w:szCs w:val="22"/>
              </w:rPr>
            </w:pPr>
            <w:r>
              <w:rPr>
                <w:sz w:val="22"/>
                <w:szCs w:val="22"/>
              </w:rPr>
              <w:t>28</w:t>
            </w:r>
          </w:p>
        </w:tc>
        <w:bookmarkStart w:id="0" w:name="_GoBack"/>
        <w:bookmarkEnd w:id="0"/>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26</w:t>
            </w:r>
          </w:p>
        </w:tc>
        <w:tc>
          <w:tcPr>
            <w:tcW w:w="4261" w:type="dxa"/>
          </w:tcPr>
          <w:p w:rsidR="00EE2DEE" w:rsidRPr="000A3571" w:rsidRDefault="006F76B3" w:rsidP="00C17B1F">
            <w:pPr>
              <w:pStyle w:val="base-text-paragraph"/>
              <w:ind w:left="0"/>
              <w:jc w:val="both"/>
              <w:rPr>
                <w:sz w:val="22"/>
                <w:szCs w:val="22"/>
              </w:rPr>
            </w:pPr>
            <w:r>
              <w:rPr>
                <w:sz w:val="22"/>
                <w:szCs w:val="22"/>
              </w:rPr>
              <w:t>29</w:t>
            </w:r>
          </w:p>
        </w:tc>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27</w:t>
            </w:r>
          </w:p>
        </w:tc>
        <w:tc>
          <w:tcPr>
            <w:tcW w:w="4261" w:type="dxa"/>
          </w:tcPr>
          <w:p w:rsidR="00EE2DEE" w:rsidRPr="000A3571" w:rsidRDefault="006F76B3" w:rsidP="00C17B1F">
            <w:pPr>
              <w:pStyle w:val="base-text-paragraph"/>
              <w:ind w:left="0"/>
              <w:jc w:val="both"/>
              <w:rPr>
                <w:sz w:val="22"/>
                <w:szCs w:val="22"/>
              </w:rPr>
            </w:pPr>
            <w:r>
              <w:rPr>
                <w:sz w:val="22"/>
                <w:szCs w:val="22"/>
              </w:rPr>
              <w:t>30</w:t>
            </w:r>
          </w:p>
        </w:tc>
      </w:tr>
      <w:tr w:rsidR="00EE2DEE" w:rsidRPr="000A3571" w:rsidTr="00CA5DE5">
        <w:tc>
          <w:tcPr>
            <w:tcW w:w="4261" w:type="dxa"/>
          </w:tcPr>
          <w:p w:rsidR="00EE2DEE" w:rsidRDefault="006F76B3" w:rsidP="000A4A88">
            <w:pPr>
              <w:pStyle w:val="base-text-paragraph"/>
              <w:ind w:left="0"/>
              <w:jc w:val="both"/>
              <w:rPr>
                <w:sz w:val="22"/>
                <w:szCs w:val="22"/>
              </w:rPr>
            </w:pPr>
            <w:r>
              <w:rPr>
                <w:sz w:val="22"/>
                <w:szCs w:val="22"/>
              </w:rPr>
              <w:t>28</w:t>
            </w:r>
          </w:p>
        </w:tc>
        <w:tc>
          <w:tcPr>
            <w:tcW w:w="4261" w:type="dxa"/>
          </w:tcPr>
          <w:p w:rsidR="00EE2DEE" w:rsidRPr="000A3571" w:rsidRDefault="006F76B3" w:rsidP="000A4A88">
            <w:pPr>
              <w:pStyle w:val="base-text-paragraph"/>
              <w:ind w:left="0"/>
              <w:jc w:val="both"/>
              <w:rPr>
                <w:sz w:val="22"/>
                <w:szCs w:val="22"/>
              </w:rPr>
            </w:pPr>
            <w:r>
              <w:rPr>
                <w:sz w:val="22"/>
                <w:szCs w:val="22"/>
              </w:rPr>
              <w:t>31</w:t>
            </w:r>
          </w:p>
        </w:tc>
      </w:tr>
      <w:tr w:rsidR="00EE2DEE" w:rsidRPr="000A3571" w:rsidTr="00CA5DE5">
        <w:tc>
          <w:tcPr>
            <w:tcW w:w="4261" w:type="dxa"/>
          </w:tcPr>
          <w:p w:rsidR="00EE2DEE" w:rsidRDefault="006F76B3" w:rsidP="000A4A88">
            <w:pPr>
              <w:pStyle w:val="base-text-paragraph"/>
              <w:ind w:left="0"/>
              <w:jc w:val="both"/>
              <w:rPr>
                <w:sz w:val="22"/>
                <w:szCs w:val="22"/>
              </w:rPr>
            </w:pPr>
            <w:r>
              <w:rPr>
                <w:sz w:val="22"/>
                <w:szCs w:val="22"/>
              </w:rPr>
              <w:t>29</w:t>
            </w:r>
          </w:p>
        </w:tc>
        <w:tc>
          <w:tcPr>
            <w:tcW w:w="4261" w:type="dxa"/>
          </w:tcPr>
          <w:p w:rsidR="00EE2DEE" w:rsidRPr="000A3571" w:rsidRDefault="006F76B3" w:rsidP="000A4A88">
            <w:pPr>
              <w:pStyle w:val="base-text-paragraph"/>
              <w:ind w:left="0"/>
              <w:jc w:val="both"/>
              <w:rPr>
                <w:sz w:val="22"/>
                <w:szCs w:val="22"/>
              </w:rPr>
            </w:pPr>
            <w:r>
              <w:rPr>
                <w:sz w:val="22"/>
                <w:szCs w:val="22"/>
              </w:rPr>
              <w:t>32</w:t>
            </w:r>
          </w:p>
        </w:tc>
      </w:tr>
      <w:tr w:rsidR="00081082" w:rsidRPr="000A3571" w:rsidTr="00EE2DEE">
        <w:tc>
          <w:tcPr>
            <w:tcW w:w="4261" w:type="dxa"/>
          </w:tcPr>
          <w:p w:rsidR="00081082" w:rsidRPr="00135E2C" w:rsidRDefault="006F76B3" w:rsidP="000A4A88">
            <w:pPr>
              <w:pStyle w:val="base-text-paragraph"/>
              <w:ind w:left="0"/>
              <w:jc w:val="both"/>
              <w:rPr>
                <w:sz w:val="22"/>
                <w:szCs w:val="22"/>
              </w:rPr>
            </w:pPr>
            <w:r>
              <w:rPr>
                <w:sz w:val="22"/>
                <w:szCs w:val="22"/>
              </w:rPr>
              <w:t>30</w:t>
            </w:r>
          </w:p>
        </w:tc>
        <w:tc>
          <w:tcPr>
            <w:tcW w:w="4261" w:type="dxa"/>
          </w:tcPr>
          <w:p w:rsidR="00081082" w:rsidRDefault="006F76B3" w:rsidP="00CA5DE5">
            <w:pPr>
              <w:pStyle w:val="base-text-paragraph"/>
              <w:ind w:left="0"/>
              <w:rPr>
                <w:sz w:val="22"/>
                <w:szCs w:val="22"/>
              </w:rPr>
            </w:pPr>
            <w:r>
              <w:rPr>
                <w:sz w:val="22"/>
                <w:szCs w:val="22"/>
              </w:rPr>
              <w:t>33</w:t>
            </w:r>
          </w:p>
        </w:tc>
      </w:tr>
      <w:tr w:rsidR="00EE2DEE" w:rsidRPr="000A3571" w:rsidTr="00CA5DE5">
        <w:tc>
          <w:tcPr>
            <w:tcW w:w="4261" w:type="dxa"/>
          </w:tcPr>
          <w:p w:rsidR="00EE2DEE" w:rsidRDefault="006F76B3" w:rsidP="000A4A88">
            <w:pPr>
              <w:pStyle w:val="base-text-paragraph"/>
              <w:ind w:left="0"/>
              <w:jc w:val="both"/>
              <w:rPr>
                <w:sz w:val="22"/>
                <w:szCs w:val="22"/>
              </w:rPr>
            </w:pPr>
            <w:r>
              <w:rPr>
                <w:sz w:val="22"/>
                <w:szCs w:val="22"/>
              </w:rPr>
              <w:t>30A</w:t>
            </w:r>
          </w:p>
        </w:tc>
        <w:tc>
          <w:tcPr>
            <w:tcW w:w="4261" w:type="dxa"/>
          </w:tcPr>
          <w:p w:rsidR="00EE2DEE" w:rsidRPr="000A3571" w:rsidRDefault="006F76B3" w:rsidP="000A4A88">
            <w:pPr>
              <w:pStyle w:val="base-text-paragraph"/>
              <w:ind w:left="0"/>
              <w:jc w:val="both"/>
              <w:rPr>
                <w:sz w:val="22"/>
                <w:szCs w:val="22"/>
              </w:rPr>
            </w:pPr>
            <w:r>
              <w:rPr>
                <w:sz w:val="22"/>
                <w:szCs w:val="22"/>
              </w:rPr>
              <w:t>34</w:t>
            </w:r>
          </w:p>
        </w:tc>
      </w:tr>
      <w:tr w:rsidR="00EE2DEE" w:rsidRPr="000A3571" w:rsidTr="00CA5DE5">
        <w:tc>
          <w:tcPr>
            <w:tcW w:w="4261" w:type="dxa"/>
          </w:tcPr>
          <w:p w:rsidR="00EE2DEE" w:rsidRDefault="006F76B3" w:rsidP="000A4A88">
            <w:pPr>
              <w:pStyle w:val="base-text-paragraph"/>
              <w:ind w:left="0"/>
              <w:jc w:val="both"/>
              <w:rPr>
                <w:sz w:val="22"/>
                <w:szCs w:val="22"/>
              </w:rPr>
            </w:pPr>
            <w:r>
              <w:rPr>
                <w:sz w:val="22"/>
                <w:szCs w:val="22"/>
              </w:rPr>
              <w:t>31</w:t>
            </w:r>
          </w:p>
        </w:tc>
        <w:tc>
          <w:tcPr>
            <w:tcW w:w="4261" w:type="dxa"/>
          </w:tcPr>
          <w:p w:rsidR="00EE2DEE" w:rsidRPr="000A3571" w:rsidRDefault="006F76B3" w:rsidP="000A4A88">
            <w:pPr>
              <w:pStyle w:val="base-text-paragraph"/>
              <w:ind w:left="0"/>
              <w:jc w:val="both"/>
              <w:rPr>
                <w:sz w:val="22"/>
                <w:szCs w:val="22"/>
              </w:rPr>
            </w:pPr>
            <w:r>
              <w:rPr>
                <w:sz w:val="22"/>
                <w:szCs w:val="22"/>
              </w:rPr>
              <w:t>35</w:t>
            </w:r>
          </w:p>
        </w:tc>
      </w:tr>
      <w:tr w:rsidR="00EE2DEE" w:rsidRPr="000A3571" w:rsidTr="00CA5DE5">
        <w:tc>
          <w:tcPr>
            <w:tcW w:w="4261" w:type="dxa"/>
          </w:tcPr>
          <w:p w:rsidR="00EE2DEE" w:rsidRDefault="006F76B3" w:rsidP="00C17B1F">
            <w:pPr>
              <w:pStyle w:val="base-text-paragraph"/>
              <w:ind w:left="0"/>
              <w:jc w:val="both"/>
              <w:rPr>
                <w:sz w:val="22"/>
                <w:szCs w:val="22"/>
              </w:rPr>
            </w:pPr>
            <w:r>
              <w:rPr>
                <w:sz w:val="22"/>
                <w:szCs w:val="22"/>
              </w:rPr>
              <w:t>32</w:t>
            </w:r>
          </w:p>
        </w:tc>
        <w:tc>
          <w:tcPr>
            <w:tcW w:w="4261" w:type="dxa"/>
          </w:tcPr>
          <w:p w:rsidR="00EE2DEE" w:rsidRPr="000A3571" w:rsidRDefault="006F76B3" w:rsidP="00C17B1F">
            <w:pPr>
              <w:pStyle w:val="base-text-paragraph"/>
              <w:ind w:left="0"/>
              <w:jc w:val="both"/>
              <w:rPr>
                <w:sz w:val="22"/>
                <w:szCs w:val="22"/>
              </w:rPr>
            </w:pPr>
            <w:r>
              <w:rPr>
                <w:sz w:val="22"/>
                <w:szCs w:val="22"/>
              </w:rPr>
              <w:t>36</w:t>
            </w:r>
          </w:p>
        </w:tc>
      </w:tr>
      <w:tr w:rsidR="00A1710D" w:rsidRPr="000A3571" w:rsidTr="00CA5DE5">
        <w:tc>
          <w:tcPr>
            <w:tcW w:w="4261" w:type="dxa"/>
          </w:tcPr>
          <w:p w:rsidR="00A1710D" w:rsidRPr="00CA5DE5" w:rsidRDefault="00A1710D" w:rsidP="00A1710D">
            <w:pPr>
              <w:pStyle w:val="base-text-paragraph"/>
              <w:ind w:left="0"/>
              <w:jc w:val="both"/>
              <w:rPr>
                <w:sz w:val="22"/>
                <w:szCs w:val="22"/>
              </w:rPr>
            </w:pPr>
            <w:r w:rsidRPr="00BD774C">
              <w:rPr>
                <w:sz w:val="22"/>
                <w:szCs w:val="22"/>
              </w:rPr>
              <w:t>No equivalent</w:t>
            </w:r>
          </w:p>
        </w:tc>
        <w:tc>
          <w:tcPr>
            <w:tcW w:w="4261" w:type="dxa"/>
          </w:tcPr>
          <w:p w:rsidR="00A1710D" w:rsidRDefault="00A1710D" w:rsidP="00A1710D">
            <w:pPr>
              <w:pStyle w:val="base-text-paragraph"/>
              <w:ind w:left="0"/>
              <w:jc w:val="both"/>
              <w:rPr>
                <w:sz w:val="22"/>
                <w:szCs w:val="22"/>
              </w:rPr>
            </w:pPr>
            <w:r>
              <w:rPr>
                <w:sz w:val="22"/>
                <w:szCs w:val="22"/>
              </w:rPr>
              <w:t>37</w:t>
            </w:r>
          </w:p>
        </w:tc>
      </w:tr>
      <w:tr w:rsidR="00A1710D" w:rsidRPr="000A3571" w:rsidTr="00CA5DE5">
        <w:tc>
          <w:tcPr>
            <w:tcW w:w="4261" w:type="dxa"/>
          </w:tcPr>
          <w:p w:rsidR="00A1710D" w:rsidRPr="00CA5DE5" w:rsidRDefault="00A1710D" w:rsidP="00A1710D">
            <w:pPr>
              <w:pStyle w:val="base-text-paragraph"/>
              <w:ind w:left="0"/>
              <w:jc w:val="both"/>
              <w:rPr>
                <w:sz w:val="22"/>
                <w:szCs w:val="22"/>
              </w:rPr>
            </w:pPr>
            <w:r w:rsidRPr="00BD774C">
              <w:rPr>
                <w:sz w:val="22"/>
                <w:szCs w:val="22"/>
              </w:rPr>
              <w:t>No equivalent</w:t>
            </w:r>
          </w:p>
        </w:tc>
        <w:tc>
          <w:tcPr>
            <w:tcW w:w="4261" w:type="dxa"/>
          </w:tcPr>
          <w:p w:rsidR="00A1710D" w:rsidRDefault="00A1710D" w:rsidP="00A1710D">
            <w:pPr>
              <w:pStyle w:val="base-text-paragraph"/>
              <w:ind w:left="0"/>
              <w:jc w:val="both"/>
              <w:rPr>
                <w:sz w:val="22"/>
                <w:szCs w:val="22"/>
              </w:rPr>
            </w:pPr>
            <w:r>
              <w:rPr>
                <w:sz w:val="22"/>
                <w:szCs w:val="22"/>
              </w:rPr>
              <w:t>38</w:t>
            </w:r>
          </w:p>
        </w:tc>
      </w:tr>
      <w:tr w:rsidR="00A1710D" w:rsidRPr="000A3571" w:rsidTr="00CA5DE5">
        <w:tc>
          <w:tcPr>
            <w:tcW w:w="4261" w:type="dxa"/>
          </w:tcPr>
          <w:p w:rsidR="00A1710D" w:rsidRPr="00CA5DE5" w:rsidRDefault="00A1710D" w:rsidP="00A1710D">
            <w:pPr>
              <w:pStyle w:val="base-text-paragraph"/>
              <w:ind w:left="0"/>
              <w:jc w:val="both"/>
              <w:rPr>
                <w:sz w:val="22"/>
                <w:szCs w:val="22"/>
              </w:rPr>
            </w:pPr>
            <w:r w:rsidRPr="00BD774C">
              <w:rPr>
                <w:sz w:val="22"/>
                <w:szCs w:val="22"/>
              </w:rPr>
              <w:t>No equivalent</w:t>
            </w:r>
          </w:p>
        </w:tc>
        <w:tc>
          <w:tcPr>
            <w:tcW w:w="4261" w:type="dxa"/>
          </w:tcPr>
          <w:p w:rsidR="00A1710D" w:rsidRDefault="00A1710D" w:rsidP="00A1710D">
            <w:pPr>
              <w:pStyle w:val="base-text-paragraph"/>
              <w:ind w:left="0"/>
              <w:jc w:val="both"/>
              <w:rPr>
                <w:sz w:val="22"/>
                <w:szCs w:val="22"/>
              </w:rPr>
            </w:pPr>
            <w:r>
              <w:rPr>
                <w:sz w:val="22"/>
                <w:szCs w:val="22"/>
              </w:rPr>
              <w:t>39</w:t>
            </w:r>
          </w:p>
        </w:tc>
      </w:tr>
      <w:tr w:rsidR="006F76B3" w:rsidRPr="000A3571" w:rsidTr="00CA5DE5">
        <w:tc>
          <w:tcPr>
            <w:tcW w:w="4261" w:type="dxa"/>
          </w:tcPr>
          <w:p w:rsidR="006F76B3" w:rsidRDefault="006F76B3" w:rsidP="00C17B1F">
            <w:pPr>
              <w:pStyle w:val="base-text-paragraph"/>
              <w:ind w:left="0"/>
              <w:jc w:val="both"/>
              <w:rPr>
                <w:sz w:val="22"/>
                <w:szCs w:val="22"/>
              </w:rPr>
            </w:pPr>
            <w:r w:rsidRPr="00CA5DE5">
              <w:rPr>
                <w:sz w:val="22"/>
                <w:szCs w:val="22"/>
              </w:rPr>
              <w:t>No equivalent</w:t>
            </w:r>
          </w:p>
        </w:tc>
        <w:tc>
          <w:tcPr>
            <w:tcW w:w="4261" w:type="dxa"/>
          </w:tcPr>
          <w:p w:rsidR="006F76B3" w:rsidRDefault="006F76B3" w:rsidP="00C17B1F">
            <w:pPr>
              <w:pStyle w:val="base-text-paragraph"/>
              <w:ind w:left="0"/>
              <w:jc w:val="both"/>
              <w:rPr>
                <w:sz w:val="22"/>
                <w:szCs w:val="22"/>
              </w:rPr>
            </w:pPr>
            <w:r>
              <w:rPr>
                <w:sz w:val="22"/>
                <w:szCs w:val="22"/>
              </w:rPr>
              <w:t>Schedule 1</w:t>
            </w:r>
          </w:p>
        </w:tc>
      </w:tr>
    </w:tbl>
    <w:p w:rsidR="00A0657E" w:rsidRDefault="00A0657E">
      <w:pPr>
        <w:spacing w:before="0" w:after="0"/>
        <w:rPr>
          <w:b/>
          <w:u w:val="single"/>
        </w:rPr>
      </w:pPr>
    </w:p>
    <w:sectPr w:rsidR="00A0657E" w:rsidSect="00CA5DE5">
      <w:pgSz w:w="11906" w:h="16838"/>
      <w:pgMar w:top="1440" w:right="1800" w:bottom="15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51" w:rsidRDefault="000E3751" w:rsidP="00C75CAE">
      <w:pPr>
        <w:spacing w:before="0" w:after="0"/>
      </w:pPr>
      <w:r>
        <w:separator/>
      </w:r>
    </w:p>
  </w:endnote>
  <w:endnote w:type="continuationSeparator" w:id="0">
    <w:p w:rsidR="000E3751" w:rsidRDefault="000E3751" w:rsidP="00C75CAE">
      <w:pPr>
        <w:spacing w:before="0" w:after="0"/>
      </w:pPr>
      <w:r>
        <w:continuationSeparator/>
      </w:r>
    </w:p>
  </w:endnote>
  <w:endnote w:type="continuationNotice" w:id="1">
    <w:p w:rsidR="000E3751" w:rsidRDefault="000E37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51" w:rsidRDefault="000E3751" w:rsidP="00C75CAE">
      <w:pPr>
        <w:spacing w:before="0" w:after="0"/>
      </w:pPr>
      <w:r>
        <w:separator/>
      </w:r>
    </w:p>
  </w:footnote>
  <w:footnote w:type="continuationSeparator" w:id="0">
    <w:p w:rsidR="000E3751" w:rsidRDefault="000E3751" w:rsidP="00C75CAE">
      <w:pPr>
        <w:spacing w:before="0" w:after="0"/>
      </w:pPr>
      <w:r>
        <w:continuationSeparator/>
      </w:r>
    </w:p>
  </w:footnote>
  <w:footnote w:type="continuationNotice" w:id="1">
    <w:p w:rsidR="000E3751" w:rsidRDefault="000E3751">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52C5"/>
    <w:multiLevelType w:val="hybridMultilevel"/>
    <w:tmpl w:val="C2549B0E"/>
    <w:lvl w:ilvl="0" w:tplc="AACC01F2">
      <w:start w:val="1"/>
      <w:numFmt w:val="decimal"/>
      <w:lvlText w:val="%1."/>
      <w:lvlJc w:val="left"/>
      <w:pPr>
        <w:ind w:left="720"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42B966B8"/>
    <w:multiLevelType w:val="hybridMultilevel"/>
    <w:tmpl w:val="FBFCB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42F65A1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973792"/>
    <w:rsid w:val="00016EA2"/>
    <w:rsid w:val="000230EC"/>
    <w:rsid w:val="00033BBD"/>
    <w:rsid w:val="00043BE7"/>
    <w:rsid w:val="0004486C"/>
    <w:rsid w:val="00047934"/>
    <w:rsid w:val="00081082"/>
    <w:rsid w:val="00084573"/>
    <w:rsid w:val="00084DCD"/>
    <w:rsid w:val="00095211"/>
    <w:rsid w:val="00095E7B"/>
    <w:rsid w:val="000A3571"/>
    <w:rsid w:val="000A4A88"/>
    <w:rsid w:val="000C0BAF"/>
    <w:rsid w:val="000C10DF"/>
    <w:rsid w:val="000C4310"/>
    <w:rsid w:val="000C48DA"/>
    <w:rsid w:val="000D5989"/>
    <w:rsid w:val="000E3751"/>
    <w:rsid w:val="000E56FB"/>
    <w:rsid w:val="000F0436"/>
    <w:rsid w:val="00113B45"/>
    <w:rsid w:val="00123EDC"/>
    <w:rsid w:val="00124F85"/>
    <w:rsid w:val="001321B2"/>
    <w:rsid w:val="00135E2C"/>
    <w:rsid w:val="00151086"/>
    <w:rsid w:val="00157209"/>
    <w:rsid w:val="00175A39"/>
    <w:rsid w:val="00180002"/>
    <w:rsid w:val="00184432"/>
    <w:rsid w:val="001A69BD"/>
    <w:rsid w:val="001B1328"/>
    <w:rsid w:val="001C0AF1"/>
    <w:rsid w:val="001D58B0"/>
    <w:rsid w:val="001E4EED"/>
    <w:rsid w:val="001E5988"/>
    <w:rsid w:val="001E6013"/>
    <w:rsid w:val="001E6A74"/>
    <w:rsid w:val="001F1B44"/>
    <w:rsid w:val="001F41D0"/>
    <w:rsid w:val="001F5CD3"/>
    <w:rsid w:val="00203801"/>
    <w:rsid w:val="0020583C"/>
    <w:rsid w:val="0021277C"/>
    <w:rsid w:val="00220F16"/>
    <w:rsid w:val="0022756C"/>
    <w:rsid w:val="00254C5B"/>
    <w:rsid w:val="00257502"/>
    <w:rsid w:val="002A4A30"/>
    <w:rsid w:val="002B1489"/>
    <w:rsid w:val="002C22A1"/>
    <w:rsid w:val="002D16B1"/>
    <w:rsid w:val="002E277D"/>
    <w:rsid w:val="003317D0"/>
    <w:rsid w:val="003342CD"/>
    <w:rsid w:val="00335042"/>
    <w:rsid w:val="00354B7C"/>
    <w:rsid w:val="003577CD"/>
    <w:rsid w:val="00392BBA"/>
    <w:rsid w:val="003B36CB"/>
    <w:rsid w:val="003D2686"/>
    <w:rsid w:val="003D37AB"/>
    <w:rsid w:val="0040260B"/>
    <w:rsid w:val="00414846"/>
    <w:rsid w:val="00416F2D"/>
    <w:rsid w:val="004226B1"/>
    <w:rsid w:val="00423B8E"/>
    <w:rsid w:val="004307EC"/>
    <w:rsid w:val="0044651D"/>
    <w:rsid w:val="0045728A"/>
    <w:rsid w:val="00462DB8"/>
    <w:rsid w:val="00462F4B"/>
    <w:rsid w:val="004A4C78"/>
    <w:rsid w:val="004A6664"/>
    <w:rsid w:val="004D44EF"/>
    <w:rsid w:val="004E06AE"/>
    <w:rsid w:val="004E1170"/>
    <w:rsid w:val="004E39E1"/>
    <w:rsid w:val="004E5344"/>
    <w:rsid w:val="004F0489"/>
    <w:rsid w:val="00503E44"/>
    <w:rsid w:val="00505B96"/>
    <w:rsid w:val="00510749"/>
    <w:rsid w:val="00515283"/>
    <w:rsid w:val="00532668"/>
    <w:rsid w:val="00546531"/>
    <w:rsid w:val="00553527"/>
    <w:rsid w:val="00553C73"/>
    <w:rsid w:val="0055675D"/>
    <w:rsid w:val="00556DEF"/>
    <w:rsid w:val="0056198E"/>
    <w:rsid w:val="00572061"/>
    <w:rsid w:val="005833BE"/>
    <w:rsid w:val="0059021B"/>
    <w:rsid w:val="00595B94"/>
    <w:rsid w:val="005B4723"/>
    <w:rsid w:val="005B4AC1"/>
    <w:rsid w:val="005D42B9"/>
    <w:rsid w:val="005D68E3"/>
    <w:rsid w:val="005D7D5A"/>
    <w:rsid w:val="0060130D"/>
    <w:rsid w:val="00601E88"/>
    <w:rsid w:val="00607024"/>
    <w:rsid w:val="0061597A"/>
    <w:rsid w:val="00615D4E"/>
    <w:rsid w:val="006165E0"/>
    <w:rsid w:val="006232B8"/>
    <w:rsid w:val="00640054"/>
    <w:rsid w:val="0064129F"/>
    <w:rsid w:val="00644F58"/>
    <w:rsid w:val="0064552A"/>
    <w:rsid w:val="0068132A"/>
    <w:rsid w:val="00685F8F"/>
    <w:rsid w:val="006A25F2"/>
    <w:rsid w:val="006B741C"/>
    <w:rsid w:val="006E03FB"/>
    <w:rsid w:val="006F76B3"/>
    <w:rsid w:val="006F7AE4"/>
    <w:rsid w:val="007008E2"/>
    <w:rsid w:val="00711033"/>
    <w:rsid w:val="00713D07"/>
    <w:rsid w:val="00736F7E"/>
    <w:rsid w:val="0074100E"/>
    <w:rsid w:val="00774511"/>
    <w:rsid w:val="007B6DD0"/>
    <w:rsid w:val="007E018D"/>
    <w:rsid w:val="007E7A63"/>
    <w:rsid w:val="007F30F5"/>
    <w:rsid w:val="00800F74"/>
    <w:rsid w:val="00801B83"/>
    <w:rsid w:val="00807E7D"/>
    <w:rsid w:val="00815121"/>
    <w:rsid w:val="00815E2D"/>
    <w:rsid w:val="00831675"/>
    <w:rsid w:val="00836C26"/>
    <w:rsid w:val="00857408"/>
    <w:rsid w:val="008744E2"/>
    <w:rsid w:val="0088467C"/>
    <w:rsid w:val="00890512"/>
    <w:rsid w:val="00893301"/>
    <w:rsid w:val="008954FB"/>
    <w:rsid w:val="008B5A53"/>
    <w:rsid w:val="008C361F"/>
    <w:rsid w:val="008D0B5E"/>
    <w:rsid w:val="008D16F7"/>
    <w:rsid w:val="008F65A9"/>
    <w:rsid w:val="00912EC4"/>
    <w:rsid w:val="00917234"/>
    <w:rsid w:val="00921B55"/>
    <w:rsid w:val="009551DB"/>
    <w:rsid w:val="00973792"/>
    <w:rsid w:val="00980E5D"/>
    <w:rsid w:val="009B3D44"/>
    <w:rsid w:val="009E2F86"/>
    <w:rsid w:val="00A0657E"/>
    <w:rsid w:val="00A12209"/>
    <w:rsid w:val="00A12488"/>
    <w:rsid w:val="00A168C4"/>
    <w:rsid w:val="00A1710D"/>
    <w:rsid w:val="00A221D0"/>
    <w:rsid w:val="00A36DF3"/>
    <w:rsid w:val="00A43D68"/>
    <w:rsid w:val="00A532DD"/>
    <w:rsid w:val="00A73E22"/>
    <w:rsid w:val="00A80BCF"/>
    <w:rsid w:val="00A9102E"/>
    <w:rsid w:val="00A9348B"/>
    <w:rsid w:val="00AA662F"/>
    <w:rsid w:val="00AC3270"/>
    <w:rsid w:val="00B05862"/>
    <w:rsid w:val="00B07B0C"/>
    <w:rsid w:val="00B151B7"/>
    <w:rsid w:val="00B26A86"/>
    <w:rsid w:val="00B353A4"/>
    <w:rsid w:val="00B41A2E"/>
    <w:rsid w:val="00B650F0"/>
    <w:rsid w:val="00B70615"/>
    <w:rsid w:val="00B72D8F"/>
    <w:rsid w:val="00B839E2"/>
    <w:rsid w:val="00B91DC2"/>
    <w:rsid w:val="00B94DD6"/>
    <w:rsid w:val="00BA2D0D"/>
    <w:rsid w:val="00BA5CAD"/>
    <w:rsid w:val="00BB4F78"/>
    <w:rsid w:val="00BC01C1"/>
    <w:rsid w:val="00BD25FC"/>
    <w:rsid w:val="00BD3203"/>
    <w:rsid w:val="00BD61A2"/>
    <w:rsid w:val="00BE484D"/>
    <w:rsid w:val="00BE519C"/>
    <w:rsid w:val="00BF0EF4"/>
    <w:rsid w:val="00BF4051"/>
    <w:rsid w:val="00C150B6"/>
    <w:rsid w:val="00C17B1F"/>
    <w:rsid w:val="00C3471E"/>
    <w:rsid w:val="00C37E05"/>
    <w:rsid w:val="00C55D29"/>
    <w:rsid w:val="00C55DEF"/>
    <w:rsid w:val="00C56539"/>
    <w:rsid w:val="00C56B06"/>
    <w:rsid w:val="00C56C37"/>
    <w:rsid w:val="00C65489"/>
    <w:rsid w:val="00C72A21"/>
    <w:rsid w:val="00C75CAE"/>
    <w:rsid w:val="00C75DF7"/>
    <w:rsid w:val="00C80FFC"/>
    <w:rsid w:val="00C82280"/>
    <w:rsid w:val="00C832C6"/>
    <w:rsid w:val="00C979FC"/>
    <w:rsid w:val="00C97CB2"/>
    <w:rsid w:val="00CA5DE5"/>
    <w:rsid w:val="00CD17DE"/>
    <w:rsid w:val="00CE1763"/>
    <w:rsid w:val="00CF2F63"/>
    <w:rsid w:val="00D04251"/>
    <w:rsid w:val="00D04E84"/>
    <w:rsid w:val="00D2416D"/>
    <w:rsid w:val="00D24A16"/>
    <w:rsid w:val="00D31D55"/>
    <w:rsid w:val="00D34626"/>
    <w:rsid w:val="00D4257A"/>
    <w:rsid w:val="00D471ED"/>
    <w:rsid w:val="00DA25D0"/>
    <w:rsid w:val="00DC0CDE"/>
    <w:rsid w:val="00DC20AE"/>
    <w:rsid w:val="00DC5C45"/>
    <w:rsid w:val="00DD06CB"/>
    <w:rsid w:val="00DD43F9"/>
    <w:rsid w:val="00DD640B"/>
    <w:rsid w:val="00E026D1"/>
    <w:rsid w:val="00E0375A"/>
    <w:rsid w:val="00E0624D"/>
    <w:rsid w:val="00E10FF1"/>
    <w:rsid w:val="00E323CD"/>
    <w:rsid w:val="00E41A4B"/>
    <w:rsid w:val="00E4438C"/>
    <w:rsid w:val="00E457F3"/>
    <w:rsid w:val="00E47974"/>
    <w:rsid w:val="00E70D33"/>
    <w:rsid w:val="00E75ADD"/>
    <w:rsid w:val="00E930FD"/>
    <w:rsid w:val="00EB043F"/>
    <w:rsid w:val="00EB295F"/>
    <w:rsid w:val="00EB7E71"/>
    <w:rsid w:val="00ED7CA1"/>
    <w:rsid w:val="00EE1794"/>
    <w:rsid w:val="00EE1E97"/>
    <w:rsid w:val="00EE2DEE"/>
    <w:rsid w:val="00EE425C"/>
    <w:rsid w:val="00EE667D"/>
    <w:rsid w:val="00EF0847"/>
    <w:rsid w:val="00EF3455"/>
    <w:rsid w:val="00F06537"/>
    <w:rsid w:val="00F109D4"/>
    <w:rsid w:val="00F13E88"/>
    <w:rsid w:val="00F164D5"/>
    <w:rsid w:val="00F41455"/>
    <w:rsid w:val="00F52562"/>
    <w:rsid w:val="00F538B3"/>
    <w:rsid w:val="00F71FE9"/>
    <w:rsid w:val="00F751EF"/>
    <w:rsid w:val="00FB2FA5"/>
    <w:rsid w:val="00FC0727"/>
    <w:rsid w:val="00FD164C"/>
    <w:rsid w:val="00FD1CB4"/>
    <w:rsid w:val="00FE1C3D"/>
    <w:rsid w:val="00FE5B34"/>
    <w:rsid w:val="00FF1057"/>
    <w:rsid w:val="00FF7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2E744B-0AF4-4B2B-9504-E115E6FD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table" w:styleId="TableGrid">
    <w:name w:val="Table Grid"/>
    <w:basedOn w:val="TableNormal"/>
    <w:uiPriority w:val="59"/>
    <w:rsid w:val="00C1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E56FB"/>
    <w:rPr>
      <w:b/>
      <w:kern w:val="28"/>
      <w:sz w:val="24"/>
    </w:rPr>
  </w:style>
  <w:style w:type="character" w:styleId="CommentReference">
    <w:name w:val="annotation reference"/>
    <w:basedOn w:val="DefaultParagraphFont"/>
    <w:uiPriority w:val="99"/>
    <w:semiHidden/>
    <w:unhideWhenUsed/>
    <w:rsid w:val="00135E2C"/>
    <w:rPr>
      <w:sz w:val="16"/>
      <w:szCs w:val="16"/>
    </w:rPr>
  </w:style>
  <w:style w:type="paragraph" w:styleId="CommentText">
    <w:name w:val="annotation text"/>
    <w:basedOn w:val="Normal"/>
    <w:link w:val="CommentTextChar"/>
    <w:uiPriority w:val="99"/>
    <w:semiHidden/>
    <w:unhideWhenUsed/>
    <w:rsid w:val="00135E2C"/>
    <w:rPr>
      <w:sz w:val="20"/>
    </w:rPr>
  </w:style>
  <w:style w:type="character" w:customStyle="1" w:styleId="CommentTextChar">
    <w:name w:val="Comment Text Char"/>
    <w:basedOn w:val="DefaultParagraphFont"/>
    <w:link w:val="CommentText"/>
    <w:uiPriority w:val="99"/>
    <w:semiHidden/>
    <w:rsid w:val="00135E2C"/>
  </w:style>
  <w:style w:type="paragraph" w:styleId="CommentSubject">
    <w:name w:val="annotation subject"/>
    <w:basedOn w:val="CommentText"/>
    <w:next w:val="CommentText"/>
    <w:link w:val="CommentSubjectChar"/>
    <w:uiPriority w:val="99"/>
    <w:semiHidden/>
    <w:unhideWhenUsed/>
    <w:rsid w:val="00135E2C"/>
    <w:rPr>
      <w:b/>
      <w:bCs/>
    </w:rPr>
  </w:style>
  <w:style w:type="character" w:customStyle="1" w:styleId="CommentSubjectChar">
    <w:name w:val="Comment Subject Char"/>
    <w:basedOn w:val="CommentTextChar"/>
    <w:link w:val="CommentSubject"/>
    <w:uiPriority w:val="99"/>
    <w:semiHidden/>
    <w:rsid w:val="00135E2C"/>
    <w:rPr>
      <w:b/>
      <w:bCs/>
    </w:rPr>
  </w:style>
  <w:style w:type="paragraph" w:styleId="Revision">
    <w:name w:val="Revision"/>
    <w:hidden/>
    <w:uiPriority w:val="99"/>
    <w:semiHidden/>
    <w:rsid w:val="00135E2C"/>
    <w:rPr>
      <w:sz w:val="24"/>
    </w:rPr>
  </w:style>
  <w:style w:type="paragraph" w:styleId="Header">
    <w:name w:val="header"/>
    <w:basedOn w:val="Normal"/>
    <w:link w:val="HeaderChar"/>
    <w:uiPriority w:val="99"/>
    <w:unhideWhenUsed/>
    <w:rsid w:val="00C75CAE"/>
    <w:pPr>
      <w:tabs>
        <w:tab w:val="center" w:pos="4513"/>
        <w:tab w:val="right" w:pos="9026"/>
      </w:tabs>
      <w:spacing w:before="0" w:after="0"/>
    </w:pPr>
  </w:style>
  <w:style w:type="character" w:customStyle="1" w:styleId="HeaderChar">
    <w:name w:val="Header Char"/>
    <w:basedOn w:val="DefaultParagraphFont"/>
    <w:link w:val="Header"/>
    <w:uiPriority w:val="99"/>
    <w:rsid w:val="00C75CAE"/>
    <w:rPr>
      <w:sz w:val="24"/>
    </w:rPr>
  </w:style>
  <w:style w:type="paragraph" w:styleId="Footer">
    <w:name w:val="footer"/>
    <w:basedOn w:val="Normal"/>
    <w:link w:val="FooterChar"/>
    <w:uiPriority w:val="99"/>
    <w:unhideWhenUsed/>
    <w:rsid w:val="00C75CAE"/>
    <w:pPr>
      <w:tabs>
        <w:tab w:val="center" w:pos="4513"/>
        <w:tab w:val="right" w:pos="9026"/>
      </w:tabs>
      <w:spacing w:before="0" w:after="0"/>
    </w:pPr>
  </w:style>
  <w:style w:type="character" w:customStyle="1" w:styleId="FooterChar">
    <w:name w:val="Footer Char"/>
    <w:basedOn w:val="DefaultParagraphFont"/>
    <w:link w:val="Footer"/>
    <w:uiPriority w:val="99"/>
    <w:rsid w:val="00C75CAE"/>
    <w:rPr>
      <w:sz w:val="24"/>
    </w:rPr>
  </w:style>
  <w:style w:type="paragraph" w:customStyle="1" w:styleId="SecurityClassificationHeader">
    <w:name w:val="Security Classification Header"/>
    <w:link w:val="SecurityClassificationHeaderChar"/>
    <w:rsid w:val="00C75CAE"/>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C75CAE"/>
    <w:rPr>
      <w:b/>
      <w:caps/>
      <w:sz w:val="24"/>
    </w:rPr>
  </w:style>
  <w:style w:type="paragraph" w:customStyle="1" w:styleId="SecurityClassificationFooter">
    <w:name w:val="Security Classification Footer"/>
    <w:link w:val="SecurityClassificationFooterChar"/>
    <w:rsid w:val="00C75CAE"/>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C75CAE"/>
    <w:rPr>
      <w:b/>
      <w:caps/>
      <w:sz w:val="24"/>
    </w:rPr>
  </w:style>
  <w:style w:type="paragraph" w:customStyle="1" w:styleId="DLMSecurityHeader">
    <w:name w:val="DLM Security Header"/>
    <w:link w:val="DLMSecurityHeaderChar"/>
    <w:rsid w:val="00C75CAE"/>
    <w:pPr>
      <w:spacing w:before="60" w:after="240"/>
      <w:jc w:val="center"/>
    </w:pPr>
    <w:rPr>
      <w:b/>
      <w:caps/>
      <w:sz w:val="24"/>
    </w:rPr>
  </w:style>
  <w:style w:type="character" w:customStyle="1" w:styleId="DLMSecurityHeaderChar">
    <w:name w:val="DLM Security Header Char"/>
    <w:basedOn w:val="HeaderChar"/>
    <w:link w:val="DLMSecurityHeader"/>
    <w:rsid w:val="00C75CAE"/>
    <w:rPr>
      <w:b/>
      <w:caps/>
      <w:sz w:val="24"/>
    </w:rPr>
  </w:style>
  <w:style w:type="paragraph" w:customStyle="1" w:styleId="DLMSecurityFooter">
    <w:name w:val="DLM Security Footer"/>
    <w:link w:val="DLMSecurityFooterChar"/>
    <w:rsid w:val="00C75CAE"/>
    <w:pPr>
      <w:spacing w:before="240" w:after="60"/>
      <w:jc w:val="center"/>
    </w:pPr>
    <w:rPr>
      <w:b/>
      <w:caps/>
      <w:sz w:val="24"/>
    </w:rPr>
  </w:style>
  <w:style w:type="character" w:customStyle="1" w:styleId="DLMSecurityFooterChar">
    <w:name w:val="DLM Security Footer Char"/>
    <w:basedOn w:val="HeaderChar"/>
    <w:link w:val="DLMSecurityFooter"/>
    <w:rsid w:val="00C75CAE"/>
    <w:rPr>
      <w:b/>
      <w:caps/>
      <w:sz w:val="24"/>
    </w:rPr>
  </w:style>
  <w:style w:type="paragraph" w:styleId="ListParagraph">
    <w:name w:val="List Paragraph"/>
    <w:basedOn w:val="Normal"/>
    <w:uiPriority w:val="34"/>
    <w:qFormat/>
    <w:rsid w:val="00A168C4"/>
    <w:pPr>
      <w:spacing w:before="0" w:after="0"/>
      <w:ind w:left="720"/>
      <w:contextualSpacing/>
    </w:pPr>
    <w:rPr>
      <w:szCs w:val="24"/>
    </w:rPr>
  </w:style>
  <w:style w:type="paragraph" w:customStyle="1" w:styleId="acthead5">
    <w:name w:val="acthead5"/>
    <w:basedOn w:val="Normal"/>
    <w:rsid w:val="00A168C4"/>
    <w:pPr>
      <w:spacing w:before="100" w:beforeAutospacing="1" w:after="100" w:afterAutospacing="1"/>
    </w:pPr>
    <w:rPr>
      <w:szCs w:val="24"/>
    </w:rPr>
  </w:style>
  <w:style w:type="character" w:customStyle="1" w:styleId="charsectno">
    <w:name w:val="charsectno"/>
    <w:basedOn w:val="DefaultParagraphFont"/>
    <w:rsid w:val="00A168C4"/>
  </w:style>
  <w:style w:type="paragraph" w:customStyle="1" w:styleId="subsection">
    <w:name w:val="subsection"/>
    <w:basedOn w:val="Normal"/>
    <w:rsid w:val="00A168C4"/>
    <w:pPr>
      <w:spacing w:before="100" w:beforeAutospacing="1" w:after="100" w:afterAutospacing="1"/>
    </w:pPr>
    <w:rPr>
      <w:szCs w:val="24"/>
    </w:rPr>
  </w:style>
  <w:style w:type="paragraph" w:customStyle="1" w:styleId="paragraph">
    <w:name w:val="paragraph"/>
    <w:basedOn w:val="Normal"/>
    <w:rsid w:val="00A168C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06660">
      <w:bodyDiv w:val="1"/>
      <w:marLeft w:val="0"/>
      <w:marRight w:val="0"/>
      <w:marTop w:val="0"/>
      <w:marBottom w:val="0"/>
      <w:divBdr>
        <w:top w:val="none" w:sz="0" w:space="0" w:color="auto"/>
        <w:left w:val="none" w:sz="0" w:space="0" w:color="auto"/>
        <w:bottom w:val="none" w:sz="0" w:space="0" w:color="auto"/>
        <w:right w:val="none" w:sz="0" w:space="0" w:color="auto"/>
      </w:divBdr>
      <w:divsChild>
        <w:div w:id="1373267936">
          <w:marLeft w:val="0"/>
          <w:marRight w:val="0"/>
          <w:marTop w:val="0"/>
          <w:marBottom w:val="0"/>
          <w:divBdr>
            <w:top w:val="none" w:sz="0" w:space="0" w:color="auto"/>
            <w:left w:val="none" w:sz="0" w:space="0" w:color="auto"/>
            <w:bottom w:val="none" w:sz="0" w:space="0" w:color="auto"/>
            <w:right w:val="none" w:sz="0" w:space="0" w:color="auto"/>
          </w:divBdr>
          <w:divsChild>
            <w:div w:id="1681077110">
              <w:marLeft w:val="0"/>
              <w:marRight w:val="0"/>
              <w:marTop w:val="0"/>
              <w:marBottom w:val="0"/>
              <w:divBdr>
                <w:top w:val="none" w:sz="0" w:space="0" w:color="auto"/>
                <w:left w:val="none" w:sz="0" w:space="0" w:color="auto"/>
                <w:bottom w:val="none" w:sz="0" w:space="0" w:color="auto"/>
                <w:right w:val="none" w:sz="0" w:space="0" w:color="auto"/>
              </w:divBdr>
              <w:divsChild>
                <w:div w:id="1249385043">
                  <w:marLeft w:val="0"/>
                  <w:marRight w:val="0"/>
                  <w:marTop w:val="0"/>
                  <w:marBottom w:val="0"/>
                  <w:divBdr>
                    <w:top w:val="none" w:sz="0" w:space="0" w:color="auto"/>
                    <w:left w:val="none" w:sz="0" w:space="0" w:color="auto"/>
                    <w:bottom w:val="none" w:sz="0" w:space="0" w:color="auto"/>
                    <w:right w:val="none" w:sz="0" w:space="0" w:color="auto"/>
                  </w:divBdr>
                  <w:divsChild>
                    <w:div w:id="1884366879">
                      <w:marLeft w:val="0"/>
                      <w:marRight w:val="0"/>
                      <w:marTop w:val="0"/>
                      <w:marBottom w:val="0"/>
                      <w:divBdr>
                        <w:top w:val="none" w:sz="0" w:space="0" w:color="auto"/>
                        <w:left w:val="none" w:sz="0" w:space="0" w:color="auto"/>
                        <w:bottom w:val="none" w:sz="0" w:space="0" w:color="auto"/>
                        <w:right w:val="none" w:sz="0" w:space="0" w:color="auto"/>
                      </w:divBdr>
                      <w:divsChild>
                        <w:div w:id="2018775448">
                          <w:marLeft w:val="0"/>
                          <w:marRight w:val="0"/>
                          <w:marTop w:val="0"/>
                          <w:marBottom w:val="0"/>
                          <w:divBdr>
                            <w:top w:val="none" w:sz="0" w:space="0" w:color="auto"/>
                            <w:left w:val="none" w:sz="0" w:space="0" w:color="auto"/>
                            <w:bottom w:val="none" w:sz="0" w:space="0" w:color="auto"/>
                            <w:right w:val="none" w:sz="0" w:space="0" w:color="auto"/>
                          </w:divBdr>
                          <w:divsChild>
                            <w:div w:id="1766220763">
                              <w:marLeft w:val="0"/>
                              <w:marRight w:val="0"/>
                              <w:marTop w:val="0"/>
                              <w:marBottom w:val="0"/>
                              <w:divBdr>
                                <w:top w:val="none" w:sz="0" w:space="0" w:color="auto"/>
                                <w:left w:val="none" w:sz="0" w:space="0" w:color="auto"/>
                                <w:bottom w:val="none" w:sz="0" w:space="0" w:color="auto"/>
                                <w:right w:val="none" w:sz="0" w:space="0" w:color="auto"/>
                              </w:divBdr>
                              <w:divsChild>
                                <w:div w:id="1720469145">
                                  <w:marLeft w:val="0"/>
                                  <w:marRight w:val="0"/>
                                  <w:marTop w:val="0"/>
                                  <w:marBottom w:val="0"/>
                                  <w:divBdr>
                                    <w:top w:val="none" w:sz="0" w:space="0" w:color="auto"/>
                                    <w:left w:val="none" w:sz="0" w:space="0" w:color="auto"/>
                                    <w:bottom w:val="none" w:sz="0" w:space="0" w:color="auto"/>
                                    <w:right w:val="none" w:sz="0" w:space="0" w:color="auto"/>
                                  </w:divBdr>
                                  <w:divsChild>
                                    <w:div w:id="2109807824">
                                      <w:marLeft w:val="0"/>
                                      <w:marRight w:val="0"/>
                                      <w:marTop w:val="0"/>
                                      <w:marBottom w:val="0"/>
                                      <w:divBdr>
                                        <w:top w:val="none" w:sz="0" w:space="0" w:color="auto"/>
                                        <w:left w:val="none" w:sz="0" w:space="0" w:color="auto"/>
                                        <w:bottom w:val="none" w:sz="0" w:space="0" w:color="auto"/>
                                        <w:right w:val="none" w:sz="0" w:space="0" w:color="auto"/>
                                      </w:divBdr>
                                      <w:divsChild>
                                        <w:div w:id="1244267583">
                                          <w:marLeft w:val="0"/>
                                          <w:marRight w:val="0"/>
                                          <w:marTop w:val="0"/>
                                          <w:marBottom w:val="0"/>
                                          <w:divBdr>
                                            <w:top w:val="none" w:sz="0" w:space="0" w:color="auto"/>
                                            <w:left w:val="none" w:sz="0" w:space="0" w:color="auto"/>
                                            <w:bottom w:val="none" w:sz="0" w:space="0" w:color="auto"/>
                                            <w:right w:val="none" w:sz="0" w:space="0" w:color="auto"/>
                                          </w:divBdr>
                                          <w:divsChild>
                                            <w:div w:id="2085376902">
                                              <w:marLeft w:val="0"/>
                                              <w:marRight w:val="0"/>
                                              <w:marTop w:val="0"/>
                                              <w:marBottom w:val="0"/>
                                              <w:divBdr>
                                                <w:top w:val="none" w:sz="0" w:space="0" w:color="auto"/>
                                                <w:left w:val="none" w:sz="0" w:space="0" w:color="auto"/>
                                                <w:bottom w:val="none" w:sz="0" w:space="0" w:color="auto"/>
                                                <w:right w:val="none" w:sz="0" w:space="0" w:color="auto"/>
                                              </w:divBdr>
                                              <w:divsChild>
                                                <w:div w:id="2075615512">
                                                  <w:marLeft w:val="0"/>
                                                  <w:marRight w:val="0"/>
                                                  <w:marTop w:val="0"/>
                                                  <w:marBottom w:val="0"/>
                                                  <w:divBdr>
                                                    <w:top w:val="none" w:sz="0" w:space="0" w:color="auto"/>
                                                    <w:left w:val="none" w:sz="0" w:space="0" w:color="auto"/>
                                                    <w:bottom w:val="none" w:sz="0" w:space="0" w:color="auto"/>
                                                    <w:right w:val="none" w:sz="0" w:space="0" w:color="auto"/>
                                                  </w:divBdr>
                                                  <w:divsChild>
                                                    <w:div w:id="1339849523">
                                                      <w:marLeft w:val="0"/>
                                                      <w:marRight w:val="0"/>
                                                      <w:marTop w:val="0"/>
                                                      <w:marBottom w:val="0"/>
                                                      <w:divBdr>
                                                        <w:top w:val="none" w:sz="0" w:space="0" w:color="auto"/>
                                                        <w:left w:val="none" w:sz="0" w:space="0" w:color="auto"/>
                                                        <w:bottom w:val="none" w:sz="0" w:space="0" w:color="auto"/>
                                                        <w:right w:val="none" w:sz="0" w:space="0" w:color="auto"/>
                                                      </w:divBdr>
                                                      <w:divsChild>
                                                        <w:div w:id="662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3577336">
      <w:bodyDiv w:val="1"/>
      <w:marLeft w:val="0"/>
      <w:marRight w:val="0"/>
      <w:marTop w:val="0"/>
      <w:marBottom w:val="0"/>
      <w:divBdr>
        <w:top w:val="none" w:sz="0" w:space="0" w:color="auto"/>
        <w:left w:val="none" w:sz="0" w:space="0" w:color="auto"/>
        <w:bottom w:val="none" w:sz="0" w:space="0" w:color="auto"/>
        <w:right w:val="none" w:sz="0" w:space="0" w:color="auto"/>
      </w:divBdr>
    </w:div>
    <w:div w:id="865286808">
      <w:bodyDiv w:val="1"/>
      <w:marLeft w:val="0"/>
      <w:marRight w:val="0"/>
      <w:marTop w:val="0"/>
      <w:marBottom w:val="0"/>
      <w:divBdr>
        <w:top w:val="none" w:sz="0" w:space="0" w:color="auto"/>
        <w:left w:val="none" w:sz="0" w:space="0" w:color="auto"/>
        <w:bottom w:val="none" w:sz="0" w:space="0" w:color="auto"/>
        <w:right w:val="none" w:sz="0" w:space="0" w:color="auto"/>
      </w:divBdr>
    </w:div>
    <w:div w:id="1233661893">
      <w:bodyDiv w:val="1"/>
      <w:marLeft w:val="0"/>
      <w:marRight w:val="0"/>
      <w:marTop w:val="0"/>
      <w:marBottom w:val="0"/>
      <w:divBdr>
        <w:top w:val="none" w:sz="0" w:space="0" w:color="auto"/>
        <w:left w:val="none" w:sz="0" w:space="0" w:color="auto"/>
        <w:bottom w:val="none" w:sz="0" w:space="0" w:color="auto"/>
        <w:right w:val="none" w:sz="0" w:space="0" w:color="auto"/>
      </w:divBdr>
      <w:divsChild>
        <w:div w:id="1954821619">
          <w:marLeft w:val="0"/>
          <w:marRight w:val="0"/>
          <w:marTop w:val="0"/>
          <w:marBottom w:val="0"/>
          <w:divBdr>
            <w:top w:val="none" w:sz="0" w:space="0" w:color="auto"/>
            <w:left w:val="none" w:sz="0" w:space="0" w:color="auto"/>
            <w:bottom w:val="none" w:sz="0" w:space="0" w:color="auto"/>
            <w:right w:val="none" w:sz="0" w:space="0" w:color="auto"/>
          </w:divBdr>
          <w:divsChild>
            <w:div w:id="2015330259">
              <w:marLeft w:val="0"/>
              <w:marRight w:val="0"/>
              <w:marTop w:val="0"/>
              <w:marBottom w:val="0"/>
              <w:divBdr>
                <w:top w:val="none" w:sz="0" w:space="0" w:color="auto"/>
                <w:left w:val="none" w:sz="0" w:space="0" w:color="auto"/>
                <w:bottom w:val="none" w:sz="0" w:space="0" w:color="auto"/>
                <w:right w:val="none" w:sz="0" w:space="0" w:color="auto"/>
              </w:divBdr>
              <w:divsChild>
                <w:div w:id="2025743303">
                  <w:marLeft w:val="0"/>
                  <w:marRight w:val="0"/>
                  <w:marTop w:val="0"/>
                  <w:marBottom w:val="0"/>
                  <w:divBdr>
                    <w:top w:val="none" w:sz="0" w:space="0" w:color="auto"/>
                    <w:left w:val="none" w:sz="0" w:space="0" w:color="auto"/>
                    <w:bottom w:val="none" w:sz="0" w:space="0" w:color="auto"/>
                    <w:right w:val="none" w:sz="0" w:space="0" w:color="auto"/>
                  </w:divBdr>
                  <w:divsChild>
                    <w:div w:id="1290552578">
                      <w:marLeft w:val="0"/>
                      <w:marRight w:val="0"/>
                      <w:marTop w:val="0"/>
                      <w:marBottom w:val="0"/>
                      <w:divBdr>
                        <w:top w:val="none" w:sz="0" w:space="0" w:color="auto"/>
                        <w:left w:val="none" w:sz="0" w:space="0" w:color="auto"/>
                        <w:bottom w:val="none" w:sz="0" w:space="0" w:color="auto"/>
                        <w:right w:val="none" w:sz="0" w:space="0" w:color="auto"/>
                      </w:divBdr>
                      <w:divsChild>
                        <w:div w:id="172259765">
                          <w:marLeft w:val="0"/>
                          <w:marRight w:val="0"/>
                          <w:marTop w:val="0"/>
                          <w:marBottom w:val="0"/>
                          <w:divBdr>
                            <w:top w:val="none" w:sz="0" w:space="0" w:color="auto"/>
                            <w:left w:val="none" w:sz="0" w:space="0" w:color="auto"/>
                            <w:bottom w:val="none" w:sz="0" w:space="0" w:color="auto"/>
                            <w:right w:val="none" w:sz="0" w:space="0" w:color="auto"/>
                          </w:divBdr>
                          <w:divsChild>
                            <w:div w:id="337387162">
                              <w:marLeft w:val="0"/>
                              <w:marRight w:val="0"/>
                              <w:marTop w:val="0"/>
                              <w:marBottom w:val="0"/>
                              <w:divBdr>
                                <w:top w:val="none" w:sz="0" w:space="0" w:color="auto"/>
                                <w:left w:val="none" w:sz="0" w:space="0" w:color="auto"/>
                                <w:bottom w:val="none" w:sz="0" w:space="0" w:color="auto"/>
                                <w:right w:val="none" w:sz="0" w:space="0" w:color="auto"/>
                              </w:divBdr>
                              <w:divsChild>
                                <w:div w:id="915895244">
                                  <w:marLeft w:val="0"/>
                                  <w:marRight w:val="0"/>
                                  <w:marTop w:val="0"/>
                                  <w:marBottom w:val="0"/>
                                  <w:divBdr>
                                    <w:top w:val="none" w:sz="0" w:space="0" w:color="auto"/>
                                    <w:left w:val="none" w:sz="0" w:space="0" w:color="auto"/>
                                    <w:bottom w:val="none" w:sz="0" w:space="0" w:color="auto"/>
                                    <w:right w:val="none" w:sz="0" w:space="0" w:color="auto"/>
                                  </w:divBdr>
                                  <w:divsChild>
                                    <w:div w:id="55247593">
                                      <w:marLeft w:val="0"/>
                                      <w:marRight w:val="0"/>
                                      <w:marTop w:val="0"/>
                                      <w:marBottom w:val="0"/>
                                      <w:divBdr>
                                        <w:top w:val="none" w:sz="0" w:space="0" w:color="auto"/>
                                        <w:left w:val="none" w:sz="0" w:space="0" w:color="auto"/>
                                        <w:bottom w:val="none" w:sz="0" w:space="0" w:color="auto"/>
                                        <w:right w:val="none" w:sz="0" w:space="0" w:color="auto"/>
                                      </w:divBdr>
                                      <w:divsChild>
                                        <w:div w:id="473523547">
                                          <w:marLeft w:val="0"/>
                                          <w:marRight w:val="0"/>
                                          <w:marTop w:val="0"/>
                                          <w:marBottom w:val="0"/>
                                          <w:divBdr>
                                            <w:top w:val="none" w:sz="0" w:space="0" w:color="auto"/>
                                            <w:left w:val="none" w:sz="0" w:space="0" w:color="auto"/>
                                            <w:bottom w:val="none" w:sz="0" w:space="0" w:color="auto"/>
                                            <w:right w:val="none" w:sz="0" w:space="0" w:color="auto"/>
                                          </w:divBdr>
                                          <w:divsChild>
                                            <w:div w:id="1350716792">
                                              <w:marLeft w:val="0"/>
                                              <w:marRight w:val="0"/>
                                              <w:marTop w:val="0"/>
                                              <w:marBottom w:val="0"/>
                                              <w:divBdr>
                                                <w:top w:val="none" w:sz="0" w:space="0" w:color="auto"/>
                                                <w:left w:val="none" w:sz="0" w:space="0" w:color="auto"/>
                                                <w:bottom w:val="none" w:sz="0" w:space="0" w:color="auto"/>
                                                <w:right w:val="none" w:sz="0" w:space="0" w:color="auto"/>
                                              </w:divBdr>
                                              <w:divsChild>
                                                <w:div w:id="489710598">
                                                  <w:marLeft w:val="0"/>
                                                  <w:marRight w:val="0"/>
                                                  <w:marTop w:val="0"/>
                                                  <w:marBottom w:val="0"/>
                                                  <w:divBdr>
                                                    <w:top w:val="none" w:sz="0" w:space="0" w:color="auto"/>
                                                    <w:left w:val="none" w:sz="0" w:space="0" w:color="auto"/>
                                                    <w:bottom w:val="none" w:sz="0" w:space="0" w:color="auto"/>
                                                    <w:right w:val="none" w:sz="0" w:space="0" w:color="auto"/>
                                                  </w:divBdr>
                                                  <w:divsChild>
                                                    <w:div w:id="2139762892">
                                                      <w:marLeft w:val="0"/>
                                                      <w:marRight w:val="0"/>
                                                      <w:marTop w:val="0"/>
                                                      <w:marBottom w:val="0"/>
                                                      <w:divBdr>
                                                        <w:top w:val="none" w:sz="0" w:space="0" w:color="auto"/>
                                                        <w:left w:val="none" w:sz="0" w:space="0" w:color="auto"/>
                                                        <w:bottom w:val="none" w:sz="0" w:space="0" w:color="auto"/>
                                                        <w:right w:val="none" w:sz="0" w:space="0" w:color="auto"/>
                                                      </w:divBdr>
                                                      <w:divsChild>
                                                        <w:div w:id="7507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714918">
      <w:bodyDiv w:val="1"/>
      <w:marLeft w:val="0"/>
      <w:marRight w:val="0"/>
      <w:marTop w:val="0"/>
      <w:marBottom w:val="0"/>
      <w:divBdr>
        <w:top w:val="none" w:sz="0" w:space="0" w:color="auto"/>
        <w:left w:val="none" w:sz="0" w:space="0" w:color="auto"/>
        <w:bottom w:val="none" w:sz="0" w:space="0" w:color="auto"/>
        <w:right w:val="none" w:sz="0" w:space="0" w:color="auto"/>
      </w:divBdr>
      <w:divsChild>
        <w:div w:id="641731975">
          <w:marLeft w:val="0"/>
          <w:marRight w:val="0"/>
          <w:marTop w:val="0"/>
          <w:marBottom w:val="0"/>
          <w:divBdr>
            <w:top w:val="none" w:sz="0" w:space="0" w:color="auto"/>
            <w:left w:val="none" w:sz="0" w:space="0" w:color="auto"/>
            <w:bottom w:val="none" w:sz="0" w:space="0" w:color="auto"/>
            <w:right w:val="none" w:sz="0" w:space="0" w:color="auto"/>
          </w:divBdr>
          <w:divsChild>
            <w:div w:id="1883899238">
              <w:marLeft w:val="0"/>
              <w:marRight w:val="0"/>
              <w:marTop w:val="0"/>
              <w:marBottom w:val="0"/>
              <w:divBdr>
                <w:top w:val="none" w:sz="0" w:space="0" w:color="auto"/>
                <w:left w:val="none" w:sz="0" w:space="0" w:color="auto"/>
                <w:bottom w:val="none" w:sz="0" w:space="0" w:color="auto"/>
                <w:right w:val="none" w:sz="0" w:space="0" w:color="auto"/>
              </w:divBdr>
              <w:divsChild>
                <w:div w:id="1269582883">
                  <w:marLeft w:val="0"/>
                  <w:marRight w:val="0"/>
                  <w:marTop w:val="0"/>
                  <w:marBottom w:val="0"/>
                  <w:divBdr>
                    <w:top w:val="none" w:sz="0" w:space="0" w:color="auto"/>
                    <w:left w:val="none" w:sz="0" w:space="0" w:color="auto"/>
                    <w:bottom w:val="none" w:sz="0" w:space="0" w:color="auto"/>
                    <w:right w:val="none" w:sz="0" w:space="0" w:color="auto"/>
                  </w:divBdr>
                  <w:divsChild>
                    <w:div w:id="728380969">
                      <w:marLeft w:val="0"/>
                      <w:marRight w:val="0"/>
                      <w:marTop w:val="0"/>
                      <w:marBottom w:val="0"/>
                      <w:divBdr>
                        <w:top w:val="none" w:sz="0" w:space="0" w:color="auto"/>
                        <w:left w:val="none" w:sz="0" w:space="0" w:color="auto"/>
                        <w:bottom w:val="none" w:sz="0" w:space="0" w:color="auto"/>
                        <w:right w:val="none" w:sz="0" w:space="0" w:color="auto"/>
                      </w:divBdr>
                      <w:divsChild>
                        <w:div w:id="736434649">
                          <w:marLeft w:val="0"/>
                          <w:marRight w:val="0"/>
                          <w:marTop w:val="0"/>
                          <w:marBottom w:val="0"/>
                          <w:divBdr>
                            <w:top w:val="none" w:sz="0" w:space="0" w:color="auto"/>
                            <w:left w:val="none" w:sz="0" w:space="0" w:color="auto"/>
                            <w:bottom w:val="none" w:sz="0" w:space="0" w:color="auto"/>
                            <w:right w:val="none" w:sz="0" w:space="0" w:color="auto"/>
                          </w:divBdr>
                          <w:divsChild>
                            <w:div w:id="1982420802">
                              <w:marLeft w:val="0"/>
                              <w:marRight w:val="0"/>
                              <w:marTop w:val="0"/>
                              <w:marBottom w:val="0"/>
                              <w:divBdr>
                                <w:top w:val="none" w:sz="0" w:space="0" w:color="auto"/>
                                <w:left w:val="none" w:sz="0" w:space="0" w:color="auto"/>
                                <w:bottom w:val="none" w:sz="0" w:space="0" w:color="auto"/>
                                <w:right w:val="none" w:sz="0" w:space="0" w:color="auto"/>
                              </w:divBdr>
                              <w:divsChild>
                                <w:div w:id="1966690232">
                                  <w:marLeft w:val="0"/>
                                  <w:marRight w:val="0"/>
                                  <w:marTop w:val="0"/>
                                  <w:marBottom w:val="0"/>
                                  <w:divBdr>
                                    <w:top w:val="none" w:sz="0" w:space="0" w:color="auto"/>
                                    <w:left w:val="none" w:sz="0" w:space="0" w:color="auto"/>
                                    <w:bottom w:val="none" w:sz="0" w:space="0" w:color="auto"/>
                                    <w:right w:val="none" w:sz="0" w:space="0" w:color="auto"/>
                                  </w:divBdr>
                                  <w:divsChild>
                                    <w:div w:id="970205687">
                                      <w:marLeft w:val="0"/>
                                      <w:marRight w:val="0"/>
                                      <w:marTop w:val="0"/>
                                      <w:marBottom w:val="0"/>
                                      <w:divBdr>
                                        <w:top w:val="none" w:sz="0" w:space="0" w:color="auto"/>
                                        <w:left w:val="none" w:sz="0" w:space="0" w:color="auto"/>
                                        <w:bottom w:val="none" w:sz="0" w:space="0" w:color="auto"/>
                                        <w:right w:val="none" w:sz="0" w:space="0" w:color="auto"/>
                                      </w:divBdr>
                                      <w:divsChild>
                                        <w:div w:id="875123162">
                                          <w:marLeft w:val="0"/>
                                          <w:marRight w:val="0"/>
                                          <w:marTop w:val="0"/>
                                          <w:marBottom w:val="0"/>
                                          <w:divBdr>
                                            <w:top w:val="none" w:sz="0" w:space="0" w:color="auto"/>
                                            <w:left w:val="none" w:sz="0" w:space="0" w:color="auto"/>
                                            <w:bottom w:val="none" w:sz="0" w:space="0" w:color="auto"/>
                                            <w:right w:val="none" w:sz="0" w:space="0" w:color="auto"/>
                                          </w:divBdr>
                                          <w:divsChild>
                                            <w:div w:id="1688602502">
                                              <w:marLeft w:val="0"/>
                                              <w:marRight w:val="0"/>
                                              <w:marTop w:val="0"/>
                                              <w:marBottom w:val="0"/>
                                              <w:divBdr>
                                                <w:top w:val="none" w:sz="0" w:space="0" w:color="auto"/>
                                                <w:left w:val="none" w:sz="0" w:space="0" w:color="auto"/>
                                                <w:bottom w:val="none" w:sz="0" w:space="0" w:color="auto"/>
                                                <w:right w:val="none" w:sz="0" w:space="0" w:color="auto"/>
                                              </w:divBdr>
                                              <w:divsChild>
                                                <w:div w:id="823014126">
                                                  <w:marLeft w:val="0"/>
                                                  <w:marRight w:val="0"/>
                                                  <w:marTop w:val="0"/>
                                                  <w:marBottom w:val="0"/>
                                                  <w:divBdr>
                                                    <w:top w:val="none" w:sz="0" w:space="0" w:color="auto"/>
                                                    <w:left w:val="none" w:sz="0" w:space="0" w:color="auto"/>
                                                    <w:bottom w:val="none" w:sz="0" w:space="0" w:color="auto"/>
                                                    <w:right w:val="none" w:sz="0" w:space="0" w:color="auto"/>
                                                  </w:divBdr>
                                                  <w:divsChild>
                                                    <w:div w:id="1474903289">
                                                      <w:marLeft w:val="0"/>
                                                      <w:marRight w:val="0"/>
                                                      <w:marTop w:val="0"/>
                                                      <w:marBottom w:val="0"/>
                                                      <w:divBdr>
                                                        <w:top w:val="none" w:sz="0" w:space="0" w:color="auto"/>
                                                        <w:left w:val="none" w:sz="0" w:space="0" w:color="auto"/>
                                                        <w:bottom w:val="none" w:sz="0" w:space="0" w:color="auto"/>
                                                        <w:right w:val="none" w:sz="0" w:space="0" w:color="auto"/>
                                                      </w:divBdr>
                                                      <w:divsChild>
                                                        <w:div w:id="1096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910189">
      <w:bodyDiv w:val="1"/>
      <w:marLeft w:val="0"/>
      <w:marRight w:val="0"/>
      <w:marTop w:val="0"/>
      <w:marBottom w:val="0"/>
      <w:divBdr>
        <w:top w:val="none" w:sz="0" w:space="0" w:color="auto"/>
        <w:left w:val="none" w:sz="0" w:space="0" w:color="auto"/>
        <w:bottom w:val="none" w:sz="0" w:space="0" w:color="auto"/>
        <w:right w:val="none" w:sz="0" w:space="0" w:color="auto"/>
      </w:divBdr>
      <w:divsChild>
        <w:div w:id="434062491">
          <w:marLeft w:val="0"/>
          <w:marRight w:val="0"/>
          <w:marTop w:val="0"/>
          <w:marBottom w:val="0"/>
          <w:divBdr>
            <w:top w:val="none" w:sz="0" w:space="0" w:color="auto"/>
            <w:left w:val="none" w:sz="0" w:space="0" w:color="auto"/>
            <w:bottom w:val="none" w:sz="0" w:space="0" w:color="auto"/>
            <w:right w:val="none" w:sz="0" w:space="0" w:color="auto"/>
          </w:divBdr>
          <w:divsChild>
            <w:div w:id="127281726">
              <w:marLeft w:val="0"/>
              <w:marRight w:val="0"/>
              <w:marTop w:val="0"/>
              <w:marBottom w:val="0"/>
              <w:divBdr>
                <w:top w:val="none" w:sz="0" w:space="0" w:color="auto"/>
                <w:left w:val="none" w:sz="0" w:space="0" w:color="auto"/>
                <w:bottom w:val="none" w:sz="0" w:space="0" w:color="auto"/>
                <w:right w:val="none" w:sz="0" w:space="0" w:color="auto"/>
              </w:divBdr>
              <w:divsChild>
                <w:div w:id="1016037178">
                  <w:marLeft w:val="0"/>
                  <w:marRight w:val="0"/>
                  <w:marTop w:val="0"/>
                  <w:marBottom w:val="0"/>
                  <w:divBdr>
                    <w:top w:val="none" w:sz="0" w:space="0" w:color="auto"/>
                    <w:left w:val="none" w:sz="0" w:space="0" w:color="auto"/>
                    <w:bottom w:val="none" w:sz="0" w:space="0" w:color="auto"/>
                    <w:right w:val="none" w:sz="0" w:space="0" w:color="auto"/>
                  </w:divBdr>
                  <w:divsChild>
                    <w:div w:id="518547468">
                      <w:marLeft w:val="0"/>
                      <w:marRight w:val="0"/>
                      <w:marTop w:val="0"/>
                      <w:marBottom w:val="0"/>
                      <w:divBdr>
                        <w:top w:val="none" w:sz="0" w:space="0" w:color="auto"/>
                        <w:left w:val="none" w:sz="0" w:space="0" w:color="auto"/>
                        <w:bottom w:val="none" w:sz="0" w:space="0" w:color="auto"/>
                        <w:right w:val="none" w:sz="0" w:space="0" w:color="auto"/>
                      </w:divBdr>
                      <w:divsChild>
                        <w:div w:id="1405376739">
                          <w:marLeft w:val="0"/>
                          <w:marRight w:val="0"/>
                          <w:marTop w:val="0"/>
                          <w:marBottom w:val="0"/>
                          <w:divBdr>
                            <w:top w:val="none" w:sz="0" w:space="0" w:color="auto"/>
                            <w:left w:val="none" w:sz="0" w:space="0" w:color="auto"/>
                            <w:bottom w:val="none" w:sz="0" w:space="0" w:color="auto"/>
                            <w:right w:val="none" w:sz="0" w:space="0" w:color="auto"/>
                          </w:divBdr>
                          <w:divsChild>
                            <w:div w:id="971013718">
                              <w:marLeft w:val="0"/>
                              <w:marRight w:val="0"/>
                              <w:marTop w:val="0"/>
                              <w:marBottom w:val="0"/>
                              <w:divBdr>
                                <w:top w:val="none" w:sz="0" w:space="0" w:color="auto"/>
                                <w:left w:val="none" w:sz="0" w:space="0" w:color="auto"/>
                                <w:bottom w:val="none" w:sz="0" w:space="0" w:color="auto"/>
                                <w:right w:val="none" w:sz="0" w:space="0" w:color="auto"/>
                              </w:divBdr>
                              <w:divsChild>
                                <w:div w:id="1997413856">
                                  <w:marLeft w:val="0"/>
                                  <w:marRight w:val="0"/>
                                  <w:marTop w:val="0"/>
                                  <w:marBottom w:val="0"/>
                                  <w:divBdr>
                                    <w:top w:val="none" w:sz="0" w:space="0" w:color="auto"/>
                                    <w:left w:val="none" w:sz="0" w:space="0" w:color="auto"/>
                                    <w:bottom w:val="none" w:sz="0" w:space="0" w:color="auto"/>
                                    <w:right w:val="none" w:sz="0" w:space="0" w:color="auto"/>
                                  </w:divBdr>
                                  <w:divsChild>
                                    <w:div w:id="1023477617">
                                      <w:marLeft w:val="0"/>
                                      <w:marRight w:val="0"/>
                                      <w:marTop w:val="0"/>
                                      <w:marBottom w:val="0"/>
                                      <w:divBdr>
                                        <w:top w:val="none" w:sz="0" w:space="0" w:color="auto"/>
                                        <w:left w:val="none" w:sz="0" w:space="0" w:color="auto"/>
                                        <w:bottom w:val="none" w:sz="0" w:space="0" w:color="auto"/>
                                        <w:right w:val="none" w:sz="0" w:space="0" w:color="auto"/>
                                      </w:divBdr>
                                      <w:divsChild>
                                        <w:div w:id="139083211">
                                          <w:marLeft w:val="0"/>
                                          <w:marRight w:val="0"/>
                                          <w:marTop w:val="0"/>
                                          <w:marBottom w:val="0"/>
                                          <w:divBdr>
                                            <w:top w:val="none" w:sz="0" w:space="0" w:color="auto"/>
                                            <w:left w:val="none" w:sz="0" w:space="0" w:color="auto"/>
                                            <w:bottom w:val="none" w:sz="0" w:space="0" w:color="auto"/>
                                            <w:right w:val="none" w:sz="0" w:space="0" w:color="auto"/>
                                          </w:divBdr>
                                          <w:divsChild>
                                            <w:div w:id="1612012651">
                                              <w:marLeft w:val="0"/>
                                              <w:marRight w:val="0"/>
                                              <w:marTop w:val="0"/>
                                              <w:marBottom w:val="0"/>
                                              <w:divBdr>
                                                <w:top w:val="none" w:sz="0" w:space="0" w:color="auto"/>
                                                <w:left w:val="none" w:sz="0" w:space="0" w:color="auto"/>
                                                <w:bottom w:val="none" w:sz="0" w:space="0" w:color="auto"/>
                                                <w:right w:val="none" w:sz="0" w:space="0" w:color="auto"/>
                                              </w:divBdr>
                                              <w:divsChild>
                                                <w:div w:id="1863398816">
                                                  <w:marLeft w:val="0"/>
                                                  <w:marRight w:val="0"/>
                                                  <w:marTop w:val="0"/>
                                                  <w:marBottom w:val="0"/>
                                                  <w:divBdr>
                                                    <w:top w:val="none" w:sz="0" w:space="0" w:color="auto"/>
                                                    <w:left w:val="none" w:sz="0" w:space="0" w:color="auto"/>
                                                    <w:bottom w:val="none" w:sz="0" w:space="0" w:color="auto"/>
                                                    <w:right w:val="none" w:sz="0" w:space="0" w:color="auto"/>
                                                  </w:divBdr>
                                                  <w:divsChild>
                                                    <w:div w:id="2083133554">
                                                      <w:marLeft w:val="0"/>
                                                      <w:marRight w:val="0"/>
                                                      <w:marTop w:val="0"/>
                                                      <w:marBottom w:val="0"/>
                                                      <w:divBdr>
                                                        <w:top w:val="none" w:sz="0" w:space="0" w:color="auto"/>
                                                        <w:left w:val="none" w:sz="0" w:space="0" w:color="auto"/>
                                                        <w:bottom w:val="none" w:sz="0" w:space="0" w:color="auto"/>
                                                        <w:right w:val="none" w:sz="0" w:space="0" w:color="auto"/>
                                                      </w:divBdr>
                                                      <w:divsChild>
                                                        <w:div w:id="19530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TaxCatchAll xmlns="9f7bc583-7cbe-45b9-a2bd-8bbb6543b37e">
      <Value>24</Value>
    </TaxCatchAll>
    <_dlc_DocId xmlns="9f7bc583-7cbe-45b9-a2bd-8bbb6543b37e">2016RG-111-6506</_dlc_DocId>
    <_dlc_DocIdUrl xmlns="9f7bc583-7cbe-45b9-a2bd-8bbb6543b37e">
      <Url>http://tweb/sites/rg/ldp/lmu/_layouts/15/DocIdRedir.aspx?ID=2016RG-111-6506</Url>
      <Description>2016RG-111-6506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2F809-47B5-400A-AA7E-AE9C9BE6DDAB}">
  <ds:schemaRefs>
    <ds:schemaRef ds:uri="office.server.policy"/>
  </ds:schemaRefs>
</ds:datastoreItem>
</file>

<file path=customXml/itemProps2.xml><?xml version="1.0" encoding="utf-8"?>
<ds:datastoreItem xmlns:ds="http://schemas.openxmlformats.org/officeDocument/2006/customXml" ds:itemID="{F4C0D14D-30DE-4358-864E-9D972495E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68964-598A-4219-80CC-19F9696C5221}">
  <ds:schemaRefs>
    <ds:schemaRef ds:uri="http://schemas.microsoft.com/sharepoint/events"/>
  </ds:schemaRefs>
</ds:datastoreItem>
</file>

<file path=customXml/itemProps4.xml><?xml version="1.0" encoding="utf-8"?>
<ds:datastoreItem xmlns:ds="http://schemas.openxmlformats.org/officeDocument/2006/customXml" ds:itemID="{4102B5CB-7210-4478-9B22-B6DE7ED964AD}">
  <ds:schemaRefs>
    <ds:schemaRef ds:uri="http://schemas.microsoft.com/sharepoint/v3/contenttype/forms"/>
  </ds:schemaRefs>
</ds:datastoreItem>
</file>

<file path=customXml/itemProps5.xml><?xml version="1.0" encoding="utf-8"?>
<ds:datastoreItem xmlns:ds="http://schemas.openxmlformats.org/officeDocument/2006/customXml" ds:itemID="{B127F822-44E6-4D85-BE24-C8D155058BE3}">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01678289-347D-455D-BEA7-8A9F762D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Template>
  <TotalTime>58</TotalTime>
  <Pages>9</Pages>
  <Words>2475</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ATO</Company>
  <LinksUpToDate>false</LinksUpToDate>
  <CharactersWithSpaces>16341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Wahi, Nik</dc:creator>
  <cp:lastModifiedBy>Daly, Matthew</cp:lastModifiedBy>
  <cp:revision>6</cp:revision>
  <cp:lastPrinted>2017-04-28T05:05:00Z</cp:lastPrinted>
  <dcterms:created xsi:type="dcterms:W3CDTF">2017-04-28T01:02:00Z</dcterms:created>
  <dcterms:modified xsi:type="dcterms:W3CDTF">2017-08-02T05:27:00Z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24;#TSY RA-9072 - Retain as national archives|d71911a4-1e32-4fc6-834f-26c4fc33e217</vt:lpwstr>
  </property>
  <property fmtid="{D5CDD505-2E9C-101B-9397-08002B2CF9AE}" pid="5" name="_dlc_DocIdItemGuid">
    <vt:lpwstr>44bb6813-995e-47f4-b980-ae269e4f670f</vt:lpwstr>
  </property>
  <property fmtid="{D5CDD505-2E9C-101B-9397-08002B2CF9AE}" pid="6" name="RecordPoint_WorkflowType">
    <vt:lpwstr>ActiveSubmitStub</vt:lpwstr>
  </property>
  <property fmtid="{D5CDD505-2E9C-101B-9397-08002B2CF9AE}" pid="7" name="RecordPoint_ActiveItemUniqueId">
    <vt:lpwstr>{44bb6813-995e-47f4-b980-ae269e4f670f}</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R0001155173</vt:lpwstr>
  </property>
  <property fmtid="{D5CDD505-2E9C-101B-9397-08002B2CF9AE}" pid="12" name="SecurityClassification">
    <vt:lpwstr>Sensitive:  Legal</vt:lpwstr>
  </property>
  <property fmtid="{D5CDD505-2E9C-101B-9397-08002B2CF9AE}" pid="13" name="DLMSecurityClassification">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2016-11-21T14:32:02.2684561+11:00</vt:lpwstr>
  </property>
</Properties>
</file>