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27" w:rsidRPr="0066150A" w:rsidRDefault="00470227" w:rsidP="0047022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bookmarkStart w:id="0" w:name="_GoBack"/>
      <w:bookmarkEnd w:id="0"/>
      <w:r w:rsidRPr="0066150A">
        <w:rPr>
          <w:rFonts w:ascii="Times New Roman" w:eastAsia="Times New Roman" w:hAnsi="Times New Roman" w:cs="Times New Roman"/>
          <w:b/>
          <w:bCs/>
          <w:sz w:val="24"/>
          <w:szCs w:val="24"/>
          <w:lang w:eastAsia="en-AU"/>
        </w:rPr>
        <w:t> </w:t>
      </w:r>
    </w:p>
    <w:p w:rsidR="00470227" w:rsidRPr="0066150A" w:rsidRDefault="00470227" w:rsidP="00470227">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u w:val="single"/>
          <w:lang w:eastAsia="en-AU"/>
        </w:rPr>
      </w:pPr>
      <w:r w:rsidRPr="0066150A">
        <w:rPr>
          <w:rFonts w:ascii="Times New Roman" w:eastAsia="Times New Roman" w:hAnsi="Times New Roman" w:cs="Times New Roman"/>
          <w:b/>
          <w:bCs/>
          <w:sz w:val="24"/>
          <w:szCs w:val="24"/>
          <w:u w:val="single"/>
          <w:lang w:eastAsia="en-AU"/>
        </w:rPr>
        <w:t>EXPLANATORY STATEMENT</w:t>
      </w:r>
    </w:p>
    <w:p w:rsidR="00F512ED" w:rsidRPr="0066150A" w:rsidRDefault="00F512ED" w:rsidP="00F512ED">
      <w:pPr>
        <w:ind w:left="1134" w:hanging="1134"/>
        <w:jc w:val="center"/>
        <w:rPr>
          <w:rFonts w:ascii="Times New Roman" w:hAnsi="Times New Roman" w:cs="Times New Roman"/>
          <w:b/>
          <w:i/>
          <w:sz w:val="24"/>
          <w:szCs w:val="24"/>
          <w:u w:val="single"/>
        </w:rPr>
      </w:pPr>
      <w:r w:rsidRPr="0066150A">
        <w:rPr>
          <w:rFonts w:ascii="Times New Roman" w:hAnsi="Times New Roman" w:cs="Times New Roman"/>
          <w:b/>
          <w:i/>
          <w:sz w:val="24"/>
          <w:szCs w:val="24"/>
          <w:u w:val="single"/>
        </w:rPr>
        <w:t>Therapeutic Goods Act 1989</w:t>
      </w:r>
    </w:p>
    <w:p w:rsidR="00F72A29" w:rsidRPr="0066150A" w:rsidRDefault="00470227" w:rsidP="00F72A29">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66150A">
        <w:rPr>
          <w:rFonts w:ascii="Times New Roman" w:eastAsia="Times New Roman" w:hAnsi="Times New Roman" w:cs="Times New Roman"/>
          <w:b/>
          <w:bCs/>
          <w:sz w:val="24"/>
          <w:szCs w:val="24"/>
          <w:lang w:eastAsia="en-AU"/>
        </w:rPr>
        <w:t xml:space="preserve">Therapeutic Goods </w:t>
      </w:r>
      <w:r w:rsidR="009967AB" w:rsidRPr="0066150A">
        <w:rPr>
          <w:rFonts w:ascii="Times New Roman" w:eastAsia="Times New Roman" w:hAnsi="Times New Roman" w:cs="Times New Roman"/>
          <w:b/>
          <w:bCs/>
          <w:sz w:val="24"/>
          <w:szCs w:val="24"/>
          <w:lang w:eastAsia="en-AU"/>
        </w:rPr>
        <w:t>Order No. 9</w:t>
      </w:r>
      <w:r w:rsidR="0066769F" w:rsidRPr="0066150A">
        <w:rPr>
          <w:rFonts w:ascii="Times New Roman" w:eastAsia="Times New Roman" w:hAnsi="Times New Roman" w:cs="Times New Roman"/>
          <w:b/>
          <w:bCs/>
          <w:sz w:val="24"/>
          <w:szCs w:val="24"/>
          <w:lang w:eastAsia="en-AU"/>
        </w:rPr>
        <w:t>2</w:t>
      </w:r>
      <w:r w:rsidR="00953371" w:rsidRPr="0066150A">
        <w:rPr>
          <w:rFonts w:ascii="Times New Roman" w:eastAsia="Times New Roman" w:hAnsi="Times New Roman" w:cs="Times New Roman"/>
          <w:b/>
          <w:bCs/>
          <w:sz w:val="24"/>
          <w:szCs w:val="24"/>
          <w:lang w:eastAsia="en-AU"/>
        </w:rPr>
        <w:t>A</w:t>
      </w:r>
      <w:r w:rsidR="00F72A29" w:rsidRPr="0066150A">
        <w:rPr>
          <w:rFonts w:ascii="Times New Roman" w:eastAsia="Times New Roman" w:hAnsi="Times New Roman" w:cs="Times New Roman"/>
          <w:b/>
          <w:bCs/>
          <w:sz w:val="24"/>
          <w:szCs w:val="24"/>
          <w:lang w:eastAsia="en-AU"/>
        </w:rPr>
        <w:t xml:space="preserve"> </w:t>
      </w:r>
      <w:r w:rsidR="00953371" w:rsidRPr="0066150A">
        <w:rPr>
          <w:rFonts w:ascii="Times New Roman" w:eastAsia="Times New Roman" w:hAnsi="Times New Roman" w:cs="Times New Roman"/>
          <w:b/>
          <w:bCs/>
          <w:sz w:val="24"/>
          <w:szCs w:val="24"/>
          <w:lang w:eastAsia="en-AU"/>
        </w:rPr>
        <w:t>–</w:t>
      </w:r>
      <w:r w:rsidR="00F72A29" w:rsidRPr="0066150A">
        <w:rPr>
          <w:rFonts w:ascii="Times New Roman" w:eastAsia="Times New Roman" w:hAnsi="Times New Roman" w:cs="Times New Roman"/>
          <w:b/>
          <w:bCs/>
          <w:sz w:val="24"/>
          <w:szCs w:val="24"/>
          <w:lang w:eastAsia="en-AU"/>
        </w:rPr>
        <w:t xml:space="preserve"> </w:t>
      </w:r>
      <w:r w:rsidR="00953371" w:rsidRPr="0066150A">
        <w:rPr>
          <w:rFonts w:ascii="Times New Roman" w:eastAsia="Times New Roman" w:hAnsi="Times New Roman" w:cs="Times New Roman"/>
          <w:b/>
          <w:bCs/>
          <w:sz w:val="24"/>
          <w:szCs w:val="24"/>
          <w:lang w:eastAsia="en-AU"/>
        </w:rPr>
        <w:t>Therapeutic Goods Order No. 92 (</w:t>
      </w:r>
      <w:r w:rsidR="0066769F" w:rsidRPr="0066150A">
        <w:rPr>
          <w:rFonts w:ascii="Times New Roman" w:eastAsia="Times New Roman" w:hAnsi="Times New Roman" w:cs="Times New Roman"/>
          <w:b/>
          <w:bCs/>
          <w:sz w:val="24"/>
          <w:szCs w:val="24"/>
          <w:lang w:eastAsia="en-AU"/>
        </w:rPr>
        <w:t>Standard for labels of non-prescription medicines</w:t>
      </w:r>
      <w:r w:rsidR="00953371" w:rsidRPr="0066150A">
        <w:rPr>
          <w:rFonts w:ascii="Times New Roman" w:eastAsia="Times New Roman" w:hAnsi="Times New Roman" w:cs="Times New Roman"/>
          <w:b/>
          <w:bCs/>
          <w:sz w:val="24"/>
          <w:szCs w:val="24"/>
          <w:lang w:eastAsia="en-AU"/>
        </w:rPr>
        <w:t>)</w:t>
      </w:r>
      <w:r w:rsidR="00EA16BE" w:rsidRPr="0066150A">
        <w:rPr>
          <w:rFonts w:ascii="Times New Roman" w:eastAsia="Times New Roman" w:hAnsi="Times New Roman" w:cs="Times New Roman"/>
          <w:b/>
          <w:bCs/>
          <w:sz w:val="24"/>
          <w:szCs w:val="24"/>
          <w:lang w:eastAsia="en-AU"/>
        </w:rPr>
        <w:t xml:space="preserve"> Amendment Order 2017</w:t>
      </w:r>
    </w:p>
    <w:p w:rsidR="00C00025" w:rsidRPr="0066150A" w:rsidRDefault="00C00025" w:rsidP="00C00025">
      <w:pPr>
        <w:pStyle w:val="Heading3"/>
        <w:spacing w:before="0"/>
        <w:rPr>
          <w:rFonts w:ascii="Times New Roman" w:hAnsi="Times New Roman" w:cs="Times New Roman"/>
          <w:sz w:val="24"/>
          <w:szCs w:val="24"/>
        </w:rPr>
      </w:pPr>
    </w:p>
    <w:p w:rsidR="00C00025" w:rsidRPr="0066150A" w:rsidRDefault="00C00025" w:rsidP="00C00025">
      <w:pPr>
        <w:pStyle w:val="Heading3"/>
        <w:spacing w:before="0"/>
        <w:rPr>
          <w:rFonts w:ascii="Times New Roman" w:hAnsi="Times New Roman" w:cs="Times New Roman"/>
          <w:sz w:val="24"/>
          <w:szCs w:val="24"/>
        </w:rPr>
      </w:pPr>
      <w:r w:rsidRPr="0066150A">
        <w:rPr>
          <w:rFonts w:ascii="Times New Roman" w:hAnsi="Times New Roman" w:cs="Times New Roman"/>
          <w:sz w:val="24"/>
          <w:szCs w:val="24"/>
        </w:rPr>
        <w:t>OUTLINE</w:t>
      </w:r>
    </w:p>
    <w:p w:rsidR="00F512ED" w:rsidRPr="0066150A" w:rsidRDefault="00F512ED" w:rsidP="00F512ED">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sz w:val="24"/>
          <w:szCs w:val="24"/>
          <w:lang w:eastAsia="en-AU"/>
        </w:rPr>
        <w:t xml:space="preserve">The </w:t>
      </w:r>
      <w:r w:rsidRPr="0066150A">
        <w:rPr>
          <w:rFonts w:ascii="Times New Roman" w:eastAsia="Times New Roman" w:hAnsi="Times New Roman" w:cs="Times New Roman"/>
          <w:i/>
          <w:iCs/>
          <w:sz w:val="24"/>
          <w:szCs w:val="24"/>
          <w:lang w:eastAsia="en-AU"/>
        </w:rPr>
        <w:t>Therapeutic Goods Act 1989</w:t>
      </w:r>
      <w:r w:rsidRPr="0066150A">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 and timely availability of therapeutic goods that are used in or exported from Australia.  The Therapeutic Goods Administration (TGA), which is part of the Department of Health, is responsible for administering the Act.</w:t>
      </w:r>
    </w:p>
    <w:p w:rsidR="00F512ED" w:rsidRPr="0066150A" w:rsidRDefault="00F512ED" w:rsidP="00F512ED">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66150A">
        <w:rPr>
          <w:rFonts w:ascii="Times New Roman" w:eastAsia="Times New Roman" w:hAnsi="Times New Roman" w:cs="Times New Roman"/>
          <w:sz w:val="24"/>
          <w:szCs w:val="24"/>
          <w:lang w:eastAsia="en-AU"/>
        </w:rPr>
        <w:t xml:space="preserve">Under powers of the Act, the TGA is responsible for establishing and enforcing requirements for the way medicines are labelled for commercial supply in Australia.  Under section 10 of the Act, the Minister may, by way of a legislative instrument, make an order determining that matters specified in the order constitute a standard for therapeutic goods. </w:t>
      </w:r>
    </w:p>
    <w:p w:rsidR="00434F99" w:rsidRPr="0066150A" w:rsidRDefault="00EA16BE" w:rsidP="00C00025">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66150A">
        <w:rPr>
          <w:rStyle w:val="CommentReference"/>
          <w:rFonts w:ascii="Times New Roman" w:hAnsi="Times New Roman" w:cs="Times New Roman"/>
          <w:sz w:val="24"/>
          <w:szCs w:val="24"/>
        </w:rPr>
        <w:t xml:space="preserve">For this purpose, </w:t>
      </w:r>
      <w:r w:rsidR="00F512ED" w:rsidRPr="0066150A">
        <w:rPr>
          <w:rStyle w:val="CommentReference"/>
          <w:rFonts w:ascii="Times New Roman" w:hAnsi="Times New Roman" w:cs="Times New Roman"/>
          <w:i/>
          <w:sz w:val="24"/>
          <w:szCs w:val="24"/>
        </w:rPr>
        <w:t>Therapeutic Goods Order No. 9</w:t>
      </w:r>
      <w:r w:rsidR="0066769F" w:rsidRPr="0066150A">
        <w:rPr>
          <w:rStyle w:val="CommentReference"/>
          <w:rFonts w:ascii="Times New Roman" w:hAnsi="Times New Roman" w:cs="Times New Roman"/>
          <w:i/>
          <w:sz w:val="24"/>
          <w:szCs w:val="24"/>
        </w:rPr>
        <w:t>2</w:t>
      </w:r>
      <w:r w:rsidR="00F512ED" w:rsidRPr="0066150A">
        <w:rPr>
          <w:rStyle w:val="CommentReference"/>
          <w:rFonts w:ascii="Times New Roman" w:hAnsi="Times New Roman" w:cs="Times New Roman"/>
          <w:i/>
          <w:sz w:val="24"/>
          <w:szCs w:val="24"/>
        </w:rPr>
        <w:t xml:space="preserve"> - </w:t>
      </w:r>
      <w:r w:rsidR="0066769F" w:rsidRPr="0066150A">
        <w:rPr>
          <w:rFonts w:ascii="Times New Roman" w:eastAsia="Times New Roman" w:hAnsi="Times New Roman" w:cs="Times New Roman"/>
          <w:bCs/>
          <w:i/>
          <w:sz w:val="24"/>
          <w:szCs w:val="24"/>
          <w:lang w:eastAsia="en-AU"/>
        </w:rPr>
        <w:t>Standard for labels of non-prescription medicines</w:t>
      </w:r>
      <w:r w:rsidRPr="0066150A">
        <w:rPr>
          <w:rStyle w:val="CommentReference"/>
          <w:rFonts w:ascii="Times New Roman" w:hAnsi="Times New Roman" w:cs="Times New Roman"/>
          <w:sz w:val="24"/>
          <w:szCs w:val="24"/>
        </w:rPr>
        <w:t xml:space="preserve"> (the original Order</w:t>
      </w:r>
      <w:r w:rsidR="0060075C" w:rsidRPr="0066150A">
        <w:rPr>
          <w:rStyle w:val="CommentReference"/>
          <w:rFonts w:ascii="Times New Roman" w:hAnsi="Times New Roman" w:cs="Times New Roman"/>
          <w:sz w:val="24"/>
          <w:szCs w:val="24"/>
        </w:rPr>
        <w:t>, TGO 92</w:t>
      </w:r>
      <w:r w:rsidRPr="0066150A">
        <w:rPr>
          <w:rStyle w:val="CommentReference"/>
          <w:rFonts w:ascii="Times New Roman" w:hAnsi="Times New Roman" w:cs="Times New Roman"/>
          <w:sz w:val="24"/>
          <w:szCs w:val="24"/>
        </w:rPr>
        <w:t>)</w:t>
      </w:r>
      <w:r w:rsidR="00C00025" w:rsidRPr="0066150A">
        <w:rPr>
          <w:rStyle w:val="CommentReference"/>
          <w:rFonts w:ascii="Times New Roman" w:hAnsi="Times New Roman" w:cs="Times New Roman"/>
          <w:sz w:val="24"/>
          <w:szCs w:val="24"/>
        </w:rPr>
        <w:t xml:space="preserve">, </w:t>
      </w:r>
      <w:r w:rsidRPr="0066150A">
        <w:rPr>
          <w:rStyle w:val="CommentReference"/>
          <w:rFonts w:ascii="Times New Roman" w:hAnsi="Times New Roman" w:cs="Times New Roman"/>
          <w:sz w:val="24"/>
          <w:szCs w:val="24"/>
        </w:rPr>
        <w:t xml:space="preserve">was </w:t>
      </w:r>
      <w:r w:rsidR="00C00025" w:rsidRPr="0066150A">
        <w:rPr>
          <w:rStyle w:val="CommentReference"/>
          <w:rFonts w:ascii="Times New Roman" w:hAnsi="Times New Roman" w:cs="Times New Roman"/>
          <w:sz w:val="24"/>
          <w:szCs w:val="24"/>
        </w:rPr>
        <w:t>made on 2 August 20</w:t>
      </w:r>
      <w:r w:rsidR="00F512ED" w:rsidRPr="0066150A">
        <w:rPr>
          <w:rStyle w:val="CommentReference"/>
          <w:rFonts w:ascii="Times New Roman" w:hAnsi="Times New Roman" w:cs="Times New Roman"/>
          <w:sz w:val="24"/>
          <w:szCs w:val="24"/>
        </w:rPr>
        <w:t>16</w:t>
      </w:r>
      <w:r w:rsidR="00C00025" w:rsidRPr="0066150A">
        <w:rPr>
          <w:rStyle w:val="CommentReference"/>
          <w:rFonts w:ascii="Times New Roman" w:hAnsi="Times New Roman" w:cs="Times New Roman"/>
          <w:sz w:val="24"/>
          <w:szCs w:val="24"/>
        </w:rPr>
        <w:t xml:space="preserve"> (Register ID: </w:t>
      </w:r>
      <w:r w:rsidR="00F512ED" w:rsidRPr="0066150A">
        <w:rPr>
          <w:rStyle w:val="CommentReference"/>
          <w:rFonts w:ascii="Times New Roman" w:hAnsi="Times New Roman" w:cs="Times New Roman"/>
          <w:sz w:val="24"/>
          <w:szCs w:val="24"/>
        </w:rPr>
        <w:t>F2016L0128</w:t>
      </w:r>
      <w:r w:rsidR="0066769F" w:rsidRPr="0066150A">
        <w:rPr>
          <w:rStyle w:val="CommentReference"/>
          <w:rFonts w:ascii="Times New Roman" w:hAnsi="Times New Roman" w:cs="Times New Roman"/>
          <w:sz w:val="24"/>
          <w:szCs w:val="24"/>
        </w:rPr>
        <w:t>7</w:t>
      </w:r>
      <w:r w:rsidR="00F37B97" w:rsidRPr="0066150A">
        <w:rPr>
          <w:rStyle w:val="CommentReference"/>
          <w:rFonts w:ascii="Times New Roman" w:hAnsi="Times New Roman" w:cs="Times New Roman"/>
          <w:sz w:val="24"/>
          <w:szCs w:val="24"/>
        </w:rPr>
        <w:t xml:space="preserve">) by the delegate of the </w:t>
      </w:r>
      <w:r w:rsidR="00CD74F8" w:rsidRPr="0066150A">
        <w:rPr>
          <w:rStyle w:val="CommentReference"/>
          <w:rFonts w:ascii="Times New Roman" w:hAnsi="Times New Roman" w:cs="Times New Roman"/>
          <w:sz w:val="24"/>
          <w:szCs w:val="24"/>
        </w:rPr>
        <w:t xml:space="preserve">then </w:t>
      </w:r>
      <w:r w:rsidR="00F37B97" w:rsidRPr="0066150A">
        <w:rPr>
          <w:rStyle w:val="CommentReference"/>
          <w:rFonts w:ascii="Times New Roman" w:hAnsi="Times New Roman" w:cs="Times New Roman"/>
          <w:sz w:val="24"/>
          <w:szCs w:val="24"/>
        </w:rPr>
        <w:t>Minister for Health</w:t>
      </w:r>
      <w:r w:rsidR="00CD74F8" w:rsidRPr="0066150A">
        <w:rPr>
          <w:rStyle w:val="CommentReference"/>
          <w:rFonts w:ascii="Times New Roman" w:hAnsi="Times New Roman" w:cs="Times New Roman"/>
          <w:sz w:val="24"/>
          <w:szCs w:val="24"/>
        </w:rPr>
        <w:t xml:space="preserve"> and Aged Care</w:t>
      </w:r>
      <w:r w:rsidR="00F37B97" w:rsidRPr="0066150A">
        <w:rPr>
          <w:rStyle w:val="CommentReference"/>
          <w:rFonts w:ascii="Times New Roman" w:hAnsi="Times New Roman" w:cs="Times New Roman"/>
          <w:sz w:val="24"/>
          <w:szCs w:val="24"/>
        </w:rPr>
        <w:t xml:space="preserve"> under section 10 of the </w:t>
      </w:r>
      <w:r w:rsidR="0060075C" w:rsidRPr="0066150A">
        <w:rPr>
          <w:rStyle w:val="CommentReference"/>
          <w:rFonts w:ascii="Times New Roman" w:hAnsi="Times New Roman" w:cs="Times New Roman"/>
          <w:sz w:val="24"/>
          <w:szCs w:val="24"/>
        </w:rPr>
        <w:t>Act. TGO 92 commenced on 31</w:t>
      </w:r>
      <w:r w:rsidR="008268A0" w:rsidRPr="0066150A">
        <w:rPr>
          <w:rStyle w:val="CommentReference"/>
          <w:rFonts w:ascii="Times New Roman" w:hAnsi="Times New Roman" w:cs="Times New Roman"/>
          <w:sz w:val="24"/>
          <w:szCs w:val="24"/>
        </w:rPr>
        <w:t> </w:t>
      </w:r>
      <w:r w:rsidR="0060075C" w:rsidRPr="0066150A">
        <w:rPr>
          <w:rStyle w:val="CommentReference"/>
          <w:rFonts w:ascii="Times New Roman" w:hAnsi="Times New Roman" w:cs="Times New Roman"/>
          <w:sz w:val="24"/>
          <w:szCs w:val="24"/>
        </w:rPr>
        <w:t>August</w:t>
      </w:r>
      <w:r w:rsidR="008268A0" w:rsidRPr="0066150A">
        <w:rPr>
          <w:rStyle w:val="CommentReference"/>
          <w:rFonts w:ascii="Times New Roman" w:hAnsi="Times New Roman" w:cs="Times New Roman"/>
          <w:sz w:val="24"/>
          <w:szCs w:val="24"/>
        </w:rPr>
        <w:t> </w:t>
      </w:r>
      <w:r w:rsidR="0060075C" w:rsidRPr="0066150A">
        <w:rPr>
          <w:rStyle w:val="CommentReference"/>
          <w:rFonts w:ascii="Times New Roman" w:hAnsi="Times New Roman" w:cs="Times New Roman"/>
          <w:sz w:val="24"/>
          <w:szCs w:val="24"/>
        </w:rPr>
        <w:t>2016.</w:t>
      </w:r>
      <w:r w:rsidR="00F37B97" w:rsidRPr="0066150A">
        <w:rPr>
          <w:rStyle w:val="CommentReference"/>
          <w:rFonts w:ascii="Times New Roman" w:hAnsi="Times New Roman" w:cs="Times New Roman"/>
          <w:sz w:val="24"/>
          <w:szCs w:val="24"/>
        </w:rPr>
        <w:t xml:space="preserve"> </w:t>
      </w:r>
    </w:p>
    <w:p w:rsidR="00425071" w:rsidRPr="0066150A" w:rsidRDefault="00F21B4E" w:rsidP="00A100F0">
      <w:pPr>
        <w:autoSpaceDE w:val="0"/>
        <w:autoSpaceDN w:val="0"/>
        <w:adjustRightInd w:val="0"/>
        <w:spacing w:before="240" w:after="0" w:line="240" w:lineRule="auto"/>
        <w:rPr>
          <w:rStyle w:val="CommentReference"/>
          <w:rFonts w:ascii="Times New Roman" w:hAnsi="Times New Roman" w:cs="Times New Roman"/>
          <w:sz w:val="24"/>
          <w:szCs w:val="24"/>
        </w:rPr>
      </w:pPr>
      <w:r w:rsidRPr="0066150A">
        <w:rPr>
          <w:rFonts w:ascii="Times New Roman" w:eastAsia="Times New Roman" w:hAnsi="Times New Roman" w:cs="Times New Roman"/>
          <w:i/>
          <w:sz w:val="24"/>
          <w:szCs w:val="24"/>
          <w:lang w:eastAsia="en-AU"/>
        </w:rPr>
        <w:t>T</w:t>
      </w:r>
      <w:r w:rsidR="00425071" w:rsidRPr="0066150A">
        <w:rPr>
          <w:rStyle w:val="CommentReference"/>
          <w:rFonts w:ascii="Times New Roman" w:hAnsi="Times New Roman" w:cs="Times New Roman"/>
          <w:i/>
          <w:sz w:val="24"/>
          <w:szCs w:val="24"/>
        </w:rPr>
        <w:t>herapeutic Goods Order No. 9</w:t>
      </w:r>
      <w:r w:rsidR="0066769F" w:rsidRPr="0066150A">
        <w:rPr>
          <w:rStyle w:val="CommentReference"/>
          <w:rFonts w:ascii="Times New Roman" w:hAnsi="Times New Roman" w:cs="Times New Roman"/>
          <w:i/>
          <w:sz w:val="24"/>
          <w:szCs w:val="24"/>
        </w:rPr>
        <w:t>2</w:t>
      </w:r>
      <w:r w:rsidR="0038759A" w:rsidRPr="0066150A">
        <w:rPr>
          <w:rStyle w:val="CommentReference"/>
          <w:rFonts w:ascii="Times New Roman" w:hAnsi="Times New Roman" w:cs="Times New Roman"/>
          <w:i/>
          <w:sz w:val="24"/>
          <w:szCs w:val="24"/>
        </w:rPr>
        <w:t>A</w:t>
      </w:r>
      <w:r w:rsidR="0066769F" w:rsidRPr="0066150A">
        <w:rPr>
          <w:rStyle w:val="CommentReference"/>
          <w:rFonts w:ascii="Times New Roman" w:hAnsi="Times New Roman" w:cs="Times New Roman"/>
          <w:i/>
          <w:sz w:val="24"/>
          <w:szCs w:val="24"/>
        </w:rPr>
        <w:t xml:space="preserve"> </w:t>
      </w:r>
      <w:r w:rsidR="0038759A" w:rsidRPr="0066150A">
        <w:rPr>
          <w:rStyle w:val="CommentReference"/>
          <w:rFonts w:ascii="Times New Roman" w:hAnsi="Times New Roman" w:cs="Times New Roman"/>
          <w:i/>
          <w:sz w:val="24"/>
          <w:szCs w:val="24"/>
        </w:rPr>
        <w:t>–</w:t>
      </w:r>
      <w:r w:rsidR="0066769F" w:rsidRPr="0066150A">
        <w:rPr>
          <w:rStyle w:val="CommentReference"/>
          <w:rFonts w:ascii="Times New Roman" w:hAnsi="Times New Roman" w:cs="Times New Roman"/>
          <w:i/>
          <w:sz w:val="24"/>
          <w:szCs w:val="24"/>
        </w:rPr>
        <w:t xml:space="preserve"> </w:t>
      </w:r>
      <w:r w:rsidR="0038759A" w:rsidRPr="0066150A">
        <w:rPr>
          <w:rStyle w:val="CommentReference"/>
          <w:rFonts w:ascii="Times New Roman" w:hAnsi="Times New Roman" w:cs="Times New Roman"/>
          <w:i/>
          <w:sz w:val="24"/>
          <w:szCs w:val="24"/>
        </w:rPr>
        <w:t>Therapeutic Goods Order No. 92 (</w:t>
      </w:r>
      <w:r w:rsidR="0066769F" w:rsidRPr="0066150A">
        <w:rPr>
          <w:rFonts w:ascii="Times New Roman" w:eastAsia="Times New Roman" w:hAnsi="Times New Roman" w:cs="Times New Roman"/>
          <w:bCs/>
          <w:i/>
          <w:sz w:val="24"/>
          <w:szCs w:val="24"/>
          <w:lang w:eastAsia="en-AU"/>
        </w:rPr>
        <w:t>Standard for labels of non-prescription medicines</w:t>
      </w:r>
      <w:r w:rsidR="0038759A" w:rsidRPr="0066150A">
        <w:rPr>
          <w:rFonts w:ascii="Times New Roman" w:eastAsia="Times New Roman" w:hAnsi="Times New Roman" w:cs="Times New Roman"/>
          <w:bCs/>
          <w:i/>
          <w:sz w:val="24"/>
          <w:szCs w:val="24"/>
          <w:lang w:eastAsia="en-AU"/>
        </w:rPr>
        <w:t xml:space="preserve">) </w:t>
      </w:r>
      <w:r w:rsidR="00425071" w:rsidRPr="0066150A">
        <w:rPr>
          <w:rStyle w:val="CommentReference"/>
          <w:rFonts w:ascii="Times New Roman" w:hAnsi="Times New Roman" w:cs="Times New Roman"/>
          <w:i/>
          <w:sz w:val="24"/>
          <w:szCs w:val="24"/>
        </w:rPr>
        <w:t>Amend</w:t>
      </w:r>
      <w:r w:rsidR="00CD74F8" w:rsidRPr="0066150A">
        <w:rPr>
          <w:rStyle w:val="CommentReference"/>
          <w:rFonts w:ascii="Times New Roman" w:hAnsi="Times New Roman" w:cs="Times New Roman"/>
          <w:i/>
          <w:sz w:val="24"/>
          <w:szCs w:val="24"/>
        </w:rPr>
        <w:t>ment</w:t>
      </w:r>
      <w:r w:rsidR="00425071" w:rsidRPr="0066150A">
        <w:rPr>
          <w:rStyle w:val="CommentReference"/>
          <w:rFonts w:ascii="Times New Roman" w:hAnsi="Times New Roman" w:cs="Times New Roman"/>
          <w:i/>
          <w:sz w:val="24"/>
          <w:szCs w:val="24"/>
        </w:rPr>
        <w:t xml:space="preserve"> </w:t>
      </w:r>
      <w:r w:rsidR="002C264E" w:rsidRPr="0066150A">
        <w:rPr>
          <w:rStyle w:val="CommentReference"/>
          <w:rFonts w:ascii="Times New Roman" w:hAnsi="Times New Roman" w:cs="Times New Roman"/>
          <w:i/>
          <w:sz w:val="24"/>
          <w:szCs w:val="24"/>
        </w:rPr>
        <w:t xml:space="preserve">Order </w:t>
      </w:r>
      <w:r w:rsidR="00C427CD" w:rsidRPr="0066150A">
        <w:rPr>
          <w:rStyle w:val="CommentReference"/>
          <w:rFonts w:ascii="Times New Roman" w:hAnsi="Times New Roman" w:cs="Times New Roman"/>
          <w:i/>
          <w:sz w:val="24"/>
          <w:szCs w:val="24"/>
        </w:rPr>
        <w:t>2017</w:t>
      </w:r>
      <w:r w:rsidR="00C427CD" w:rsidRPr="0066150A">
        <w:rPr>
          <w:rStyle w:val="CommentReference"/>
          <w:rFonts w:ascii="Times New Roman" w:hAnsi="Times New Roman" w:cs="Times New Roman"/>
          <w:sz w:val="24"/>
          <w:szCs w:val="24"/>
        </w:rPr>
        <w:t xml:space="preserve"> </w:t>
      </w:r>
      <w:r w:rsidR="006368A3" w:rsidRPr="0066150A">
        <w:rPr>
          <w:rStyle w:val="CommentReference"/>
          <w:rFonts w:ascii="Times New Roman" w:hAnsi="Times New Roman" w:cs="Times New Roman"/>
          <w:sz w:val="24"/>
          <w:szCs w:val="24"/>
        </w:rPr>
        <w:t>(</w:t>
      </w:r>
      <w:r w:rsidR="00C427CD" w:rsidRPr="0066150A">
        <w:rPr>
          <w:rStyle w:val="CommentReference"/>
          <w:rFonts w:ascii="Times New Roman" w:hAnsi="Times New Roman" w:cs="Times New Roman"/>
          <w:sz w:val="24"/>
          <w:szCs w:val="24"/>
        </w:rPr>
        <w:t xml:space="preserve">this </w:t>
      </w:r>
      <w:r w:rsidR="00425071" w:rsidRPr="0066150A">
        <w:rPr>
          <w:rStyle w:val="CommentReference"/>
          <w:rFonts w:ascii="Times New Roman" w:hAnsi="Times New Roman" w:cs="Times New Roman"/>
          <w:sz w:val="24"/>
          <w:szCs w:val="24"/>
        </w:rPr>
        <w:t>Order</w:t>
      </w:r>
      <w:r w:rsidR="006368A3" w:rsidRPr="0066150A">
        <w:rPr>
          <w:rStyle w:val="CommentReference"/>
          <w:rFonts w:ascii="Times New Roman" w:hAnsi="Times New Roman" w:cs="Times New Roman"/>
          <w:sz w:val="24"/>
          <w:szCs w:val="24"/>
        </w:rPr>
        <w:t>)</w:t>
      </w:r>
      <w:r w:rsidR="00425071" w:rsidRPr="0066150A">
        <w:rPr>
          <w:rStyle w:val="CommentReference"/>
          <w:rFonts w:ascii="Times New Roman" w:hAnsi="Times New Roman" w:cs="Times New Roman"/>
          <w:sz w:val="24"/>
          <w:szCs w:val="24"/>
        </w:rPr>
        <w:t xml:space="preserve"> amend</w:t>
      </w:r>
      <w:r w:rsidR="00C427CD" w:rsidRPr="0066150A">
        <w:rPr>
          <w:rStyle w:val="CommentReference"/>
          <w:rFonts w:ascii="Times New Roman" w:hAnsi="Times New Roman" w:cs="Times New Roman"/>
          <w:sz w:val="24"/>
          <w:szCs w:val="24"/>
        </w:rPr>
        <w:t>s</w:t>
      </w:r>
      <w:r w:rsidR="00425071" w:rsidRPr="0066150A">
        <w:rPr>
          <w:rStyle w:val="CommentReference"/>
          <w:rFonts w:ascii="Times New Roman" w:hAnsi="Times New Roman" w:cs="Times New Roman"/>
          <w:sz w:val="24"/>
          <w:szCs w:val="24"/>
        </w:rPr>
        <w:t xml:space="preserve"> th</w:t>
      </w:r>
      <w:r w:rsidR="00C427CD" w:rsidRPr="0066150A">
        <w:rPr>
          <w:rStyle w:val="CommentReference"/>
          <w:rFonts w:ascii="Times New Roman" w:hAnsi="Times New Roman" w:cs="Times New Roman"/>
          <w:sz w:val="24"/>
          <w:szCs w:val="24"/>
        </w:rPr>
        <w:t xml:space="preserve">e </w:t>
      </w:r>
      <w:r w:rsidR="00425071" w:rsidRPr="0066150A">
        <w:rPr>
          <w:rStyle w:val="CommentReference"/>
          <w:rFonts w:ascii="Times New Roman" w:hAnsi="Times New Roman" w:cs="Times New Roman"/>
          <w:sz w:val="24"/>
          <w:szCs w:val="24"/>
        </w:rPr>
        <w:t xml:space="preserve">original </w:t>
      </w:r>
      <w:r w:rsidR="00C427CD" w:rsidRPr="0066150A">
        <w:rPr>
          <w:rStyle w:val="CommentReference"/>
          <w:rFonts w:ascii="Times New Roman" w:hAnsi="Times New Roman" w:cs="Times New Roman"/>
          <w:sz w:val="24"/>
          <w:szCs w:val="24"/>
        </w:rPr>
        <w:t>O</w:t>
      </w:r>
      <w:r w:rsidR="00425071" w:rsidRPr="0066150A">
        <w:rPr>
          <w:rStyle w:val="CommentReference"/>
          <w:rFonts w:ascii="Times New Roman" w:hAnsi="Times New Roman" w:cs="Times New Roman"/>
          <w:sz w:val="24"/>
          <w:szCs w:val="24"/>
        </w:rPr>
        <w:t>rder</w:t>
      </w:r>
      <w:r w:rsidR="00432A69" w:rsidRPr="0066150A">
        <w:rPr>
          <w:rStyle w:val="CommentReference"/>
          <w:rFonts w:ascii="Times New Roman" w:hAnsi="Times New Roman" w:cs="Times New Roman"/>
          <w:sz w:val="24"/>
          <w:szCs w:val="24"/>
        </w:rPr>
        <w:t>.</w:t>
      </w:r>
    </w:p>
    <w:p w:rsidR="00425071" w:rsidRPr="0066150A" w:rsidRDefault="00425071" w:rsidP="00A100F0">
      <w:pPr>
        <w:autoSpaceDE w:val="0"/>
        <w:autoSpaceDN w:val="0"/>
        <w:adjustRightInd w:val="0"/>
        <w:spacing w:before="240" w:after="0" w:line="240" w:lineRule="auto"/>
        <w:rPr>
          <w:rStyle w:val="CommentReference"/>
          <w:rFonts w:ascii="Times New Roman" w:hAnsi="Times New Roman" w:cs="Times New Roman"/>
          <w:sz w:val="24"/>
          <w:szCs w:val="24"/>
        </w:rPr>
      </w:pPr>
      <w:r w:rsidRPr="0066150A">
        <w:rPr>
          <w:rStyle w:val="CommentReference"/>
          <w:rFonts w:ascii="Times New Roman" w:hAnsi="Times New Roman" w:cs="Times New Roman"/>
          <w:sz w:val="24"/>
          <w:szCs w:val="24"/>
        </w:rPr>
        <w:t xml:space="preserve">The amendments are </w:t>
      </w:r>
      <w:r w:rsidR="00432A69" w:rsidRPr="0066150A">
        <w:rPr>
          <w:rStyle w:val="CommentReference"/>
          <w:rFonts w:ascii="Times New Roman" w:hAnsi="Times New Roman" w:cs="Times New Roman"/>
          <w:sz w:val="24"/>
          <w:szCs w:val="24"/>
        </w:rPr>
        <w:t xml:space="preserve">minor but </w:t>
      </w:r>
      <w:r w:rsidR="00BC243F" w:rsidRPr="0066150A">
        <w:rPr>
          <w:rStyle w:val="CommentReference"/>
          <w:rFonts w:ascii="Times New Roman" w:hAnsi="Times New Roman" w:cs="Times New Roman"/>
          <w:sz w:val="24"/>
          <w:szCs w:val="24"/>
        </w:rPr>
        <w:t>wer</w:t>
      </w:r>
      <w:r w:rsidR="00432A69" w:rsidRPr="0066150A">
        <w:rPr>
          <w:rStyle w:val="CommentReference"/>
          <w:rFonts w:ascii="Times New Roman" w:hAnsi="Times New Roman" w:cs="Times New Roman"/>
          <w:sz w:val="24"/>
          <w:szCs w:val="24"/>
        </w:rPr>
        <w:t xml:space="preserve">e </w:t>
      </w:r>
      <w:r w:rsidRPr="0066150A">
        <w:rPr>
          <w:rStyle w:val="CommentReference"/>
          <w:rFonts w:ascii="Times New Roman" w:hAnsi="Times New Roman" w:cs="Times New Roman"/>
          <w:sz w:val="24"/>
          <w:szCs w:val="24"/>
        </w:rPr>
        <w:t xml:space="preserve">necessary to: </w:t>
      </w:r>
    </w:p>
    <w:p w:rsidR="00EA16BE" w:rsidRPr="0066150A" w:rsidRDefault="0066769F" w:rsidP="00C427CD">
      <w:pPr>
        <w:pStyle w:val="ListParagraph"/>
        <w:numPr>
          <w:ilvl w:val="0"/>
          <w:numId w:val="6"/>
        </w:numPr>
        <w:autoSpaceDE w:val="0"/>
        <w:autoSpaceDN w:val="0"/>
        <w:adjustRightInd w:val="0"/>
        <w:spacing w:before="240" w:after="0" w:line="240" w:lineRule="auto"/>
        <w:ind w:left="709" w:hanging="425"/>
        <w:rPr>
          <w:rFonts w:ascii="Times New Roman" w:hAnsi="Times New Roman" w:cs="Times New Roman"/>
          <w:sz w:val="24"/>
          <w:szCs w:val="24"/>
        </w:rPr>
      </w:pPr>
      <w:r w:rsidRPr="0066150A">
        <w:rPr>
          <w:rFonts w:ascii="Times New Roman" w:hAnsi="Times New Roman" w:cs="Times New Roman"/>
          <w:sz w:val="24"/>
          <w:szCs w:val="24"/>
        </w:rPr>
        <w:t>c</w:t>
      </w:r>
      <w:r w:rsidR="00EA16BE" w:rsidRPr="0066150A">
        <w:rPr>
          <w:rFonts w:ascii="Times New Roman" w:hAnsi="Times New Roman" w:cs="Times New Roman"/>
          <w:sz w:val="24"/>
          <w:szCs w:val="24"/>
        </w:rPr>
        <w:t>orrectly reference the recent</w:t>
      </w:r>
      <w:r w:rsidR="00C51AD8" w:rsidRPr="0066150A">
        <w:rPr>
          <w:rFonts w:ascii="Times New Roman" w:hAnsi="Times New Roman" w:cs="Times New Roman"/>
          <w:sz w:val="24"/>
          <w:szCs w:val="24"/>
        </w:rPr>
        <w:t>l</w:t>
      </w:r>
      <w:r w:rsidR="00EA16BE" w:rsidRPr="0066150A">
        <w:rPr>
          <w:rFonts w:ascii="Times New Roman" w:hAnsi="Times New Roman" w:cs="Times New Roman"/>
          <w:sz w:val="24"/>
          <w:szCs w:val="24"/>
        </w:rPr>
        <w:t>y re</w:t>
      </w:r>
      <w:r w:rsidR="00485D5B" w:rsidRPr="0066150A">
        <w:rPr>
          <w:rFonts w:ascii="Times New Roman" w:hAnsi="Times New Roman" w:cs="Times New Roman"/>
          <w:sz w:val="24"/>
          <w:szCs w:val="24"/>
        </w:rPr>
        <w:t>-</w:t>
      </w:r>
      <w:r w:rsidR="00EA16BE" w:rsidRPr="0066150A">
        <w:rPr>
          <w:rFonts w:ascii="Times New Roman" w:hAnsi="Times New Roman" w:cs="Times New Roman"/>
          <w:sz w:val="24"/>
          <w:szCs w:val="24"/>
        </w:rPr>
        <w:t xml:space="preserve">made </w:t>
      </w:r>
      <w:r w:rsidR="00EA16BE" w:rsidRPr="0066150A">
        <w:rPr>
          <w:rFonts w:ascii="Times New Roman" w:hAnsi="Times New Roman" w:cs="Times New Roman"/>
          <w:i/>
          <w:sz w:val="24"/>
          <w:szCs w:val="24"/>
        </w:rPr>
        <w:t xml:space="preserve">Therapeutic Goods Order </w:t>
      </w:r>
      <w:r w:rsidR="00485D5B" w:rsidRPr="0066150A">
        <w:rPr>
          <w:rFonts w:ascii="Times New Roman" w:hAnsi="Times New Roman" w:cs="Times New Roman"/>
          <w:i/>
          <w:sz w:val="24"/>
          <w:szCs w:val="24"/>
        </w:rPr>
        <w:t xml:space="preserve">No. </w:t>
      </w:r>
      <w:r w:rsidR="00EA16BE" w:rsidRPr="0066150A">
        <w:rPr>
          <w:rFonts w:ascii="Times New Roman" w:hAnsi="Times New Roman" w:cs="Times New Roman"/>
          <w:i/>
          <w:sz w:val="24"/>
          <w:szCs w:val="24"/>
        </w:rPr>
        <w:t>69</w:t>
      </w:r>
      <w:r w:rsidR="00385841" w:rsidRPr="0066150A">
        <w:rPr>
          <w:rFonts w:ascii="Times New Roman" w:hAnsi="Times New Roman" w:cs="Times New Roman"/>
          <w:i/>
          <w:sz w:val="24"/>
          <w:szCs w:val="24"/>
        </w:rPr>
        <w:t xml:space="preserve"> – General requirements for labels for medicines</w:t>
      </w:r>
      <w:r w:rsidR="00EA16BE" w:rsidRPr="0066150A">
        <w:rPr>
          <w:rFonts w:ascii="Times New Roman" w:hAnsi="Times New Roman" w:cs="Times New Roman"/>
          <w:sz w:val="24"/>
          <w:szCs w:val="24"/>
        </w:rPr>
        <w:t xml:space="preserve"> </w:t>
      </w:r>
      <w:r w:rsidR="00485D5B" w:rsidRPr="0066150A">
        <w:rPr>
          <w:rFonts w:ascii="Times New Roman" w:hAnsi="Times New Roman" w:cs="Times New Roman"/>
          <w:sz w:val="24"/>
          <w:szCs w:val="24"/>
        </w:rPr>
        <w:t xml:space="preserve">(TGO 69) </w:t>
      </w:r>
      <w:r w:rsidR="00EA16BE" w:rsidRPr="0066150A">
        <w:rPr>
          <w:rFonts w:ascii="Times New Roman" w:hAnsi="Times New Roman" w:cs="Times New Roman"/>
          <w:sz w:val="24"/>
          <w:szCs w:val="24"/>
        </w:rPr>
        <w:t>by its new name</w:t>
      </w:r>
      <w:r w:rsidR="00485D5B" w:rsidRPr="0066150A">
        <w:rPr>
          <w:rFonts w:ascii="Times New Roman" w:hAnsi="Times New Roman" w:cs="Times New Roman"/>
          <w:sz w:val="24"/>
          <w:szCs w:val="24"/>
        </w:rPr>
        <w:t xml:space="preserve">, </w:t>
      </w:r>
      <w:r w:rsidR="00485D5B" w:rsidRPr="0066150A">
        <w:rPr>
          <w:rFonts w:ascii="Times New Roman" w:hAnsi="Times New Roman" w:cs="Times New Roman"/>
          <w:i/>
          <w:sz w:val="24"/>
          <w:szCs w:val="24"/>
        </w:rPr>
        <w:t>Therapeutic Goods Order No.</w:t>
      </w:r>
      <w:r w:rsidR="00FF7D39" w:rsidRPr="0066150A">
        <w:rPr>
          <w:rFonts w:ascii="Times New Roman" w:hAnsi="Times New Roman" w:cs="Times New Roman"/>
          <w:i/>
          <w:sz w:val="24"/>
          <w:szCs w:val="24"/>
        </w:rPr>
        <w:t xml:space="preserve"> </w:t>
      </w:r>
      <w:r w:rsidR="00485D5B" w:rsidRPr="0066150A">
        <w:rPr>
          <w:rFonts w:ascii="Times New Roman" w:hAnsi="Times New Roman" w:cs="Times New Roman"/>
          <w:i/>
          <w:sz w:val="24"/>
          <w:szCs w:val="24"/>
        </w:rPr>
        <w:t>69</w:t>
      </w:r>
      <w:r w:rsidR="00877D3C" w:rsidRPr="0066150A">
        <w:rPr>
          <w:rFonts w:ascii="Times New Roman" w:hAnsi="Times New Roman" w:cs="Times New Roman"/>
          <w:i/>
          <w:sz w:val="24"/>
          <w:szCs w:val="24"/>
        </w:rPr>
        <w:t xml:space="preserve"> </w:t>
      </w:r>
      <w:r w:rsidR="00485D5B" w:rsidRPr="0066150A">
        <w:rPr>
          <w:rFonts w:ascii="Times New Roman" w:hAnsi="Times New Roman" w:cs="Times New Roman"/>
          <w:i/>
          <w:sz w:val="24"/>
          <w:szCs w:val="24"/>
        </w:rPr>
        <w:t>- General Requirements for Labels for Medicines 2017</w:t>
      </w:r>
      <w:r w:rsidR="00485D5B" w:rsidRPr="0066150A">
        <w:rPr>
          <w:rFonts w:ascii="Times New Roman" w:hAnsi="Times New Roman" w:cs="Times New Roman"/>
          <w:sz w:val="24"/>
          <w:szCs w:val="24"/>
        </w:rPr>
        <w:t xml:space="preserve"> (TGO 69 (2</w:t>
      </w:r>
      <w:r w:rsidR="00385841" w:rsidRPr="0066150A">
        <w:rPr>
          <w:rFonts w:ascii="Times New Roman" w:hAnsi="Times New Roman" w:cs="Times New Roman"/>
          <w:sz w:val="24"/>
          <w:szCs w:val="24"/>
        </w:rPr>
        <w:t>01</w:t>
      </w:r>
      <w:r w:rsidR="00485D5B" w:rsidRPr="0066150A">
        <w:rPr>
          <w:rFonts w:ascii="Times New Roman" w:hAnsi="Times New Roman" w:cs="Times New Roman"/>
          <w:sz w:val="24"/>
          <w:szCs w:val="24"/>
        </w:rPr>
        <w:t>7)), which commenced on 1 July 2017</w:t>
      </w:r>
      <w:r w:rsidR="00EA16BE" w:rsidRPr="0066150A">
        <w:rPr>
          <w:rFonts w:ascii="Times New Roman" w:hAnsi="Times New Roman" w:cs="Times New Roman"/>
          <w:sz w:val="24"/>
          <w:szCs w:val="24"/>
        </w:rPr>
        <w:t>;</w:t>
      </w:r>
      <w:r w:rsidR="0048522D" w:rsidRPr="0066150A">
        <w:rPr>
          <w:rFonts w:ascii="Times New Roman" w:hAnsi="Times New Roman" w:cs="Times New Roman"/>
          <w:sz w:val="24"/>
          <w:szCs w:val="24"/>
        </w:rPr>
        <w:t xml:space="preserve"> </w:t>
      </w:r>
    </w:p>
    <w:p w:rsidR="00295C7C" w:rsidRPr="0066150A" w:rsidRDefault="00F21B4E" w:rsidP="00C427CD">
      <w:pPr>
        <w:pStyle w:val="ListParagraph"/>
        <w:numPr>
          <w:ilvl w:val="0"/>
          <w:numId w:val="6"/>
        </w:numPr>
        <w:autoSpaceDE w:val="0"/>
        <w:autoSpaceDN w:val="0"/>
        <w:adjustRightInd w:val="0"/>
        <w:spacing w:before="240" w:after="0" w:line="240" w:lineRule="auto"/>
        <w:ind w:left="709" w:hanging="425"/>
        <w:rPr>
          <w:rFonts w:ascii="Times New Roman" w:hAnsi="Times New Roman" w:cs="Times New Roman"/>
          <w:sz w:val="24"/>
          <w:szCs w:val="24"/>
        </w:rPr>
      </w:pPr>
      <w:r w:rsidRPr="0066150A">
        <w:rPr>
          <w:rFonts w:ascii="Times New Roman" w:hAnsi="Times New Roman" w:cs="Times New Roman"/>
          <w:sz w:val="24"/>
          <w:szCs w:val="24"/>
        </w:rPr>
        <w:t xml:space="preserve">remove from the scope of the </w:t>
      </w:r>
      <w:r w:rsidR="00425071" w:rsidRPr="0066150A">
        <w:rPr>
          <w:rFonts w:ascii="Times New Roman" w:hAnsi="Times New Roman" w:cs="Times New Roman"/>
          <w:sz w:val="24"/>
          <w:szCs w:val="24"/>
        </w:rPr>
        <w:t xml:space="preserve">original </w:t>
      </w:r>
      <w:r w:rsidRPr="0066150A">
        <w:rPr>
          <w:rFonts w:ascii="Times New Roman" w:hAnsi="Times New Roman" w:cs="Times New Roman"/>
          <w:sz w:val="24"/>
          <w:szCs w:val="24"/>
        </w:rPr>
        <w:t>Order</w:t>
      </w:r>
      <w:r w:rsidR="00C427CD" w:rsidRPr="0066150A">
        <w:rPr>
          <w:rFonts w:ascii="Times New Roman" w:hAnsi="Times New Roman" w:cs="Times New Roman"/>
          <w:sz w:val="24"/>
          <w:szCs w:val="24"/>
        </w:rPr>
        <w:t xml:space="preserve"> </w:t>
      </w:r>
      <w:r w:rsidR="006368A3" w:rsidRPr="0066150A">
        <w:rPr>
          <w:rFonts w:ascii="Times New Roman" w:hAnsi="Times New Roman" w:cs="Times New Roman"/>
          <w:sz w:val="24"/>
          <w:szCs w:val="24"/>
        </w:rPr>
        <w:t xml:space="preserve">non-prescription </w:t>
      </w:r>
      <w:r w:rsidRPr="0066150A">
        <w:rPr>
          <w:rFonts w:ascii="Times New Roman" w:hAnsi="Times New Roman" w:cs="Times New Roman"/>
          <w:sz w:val="24"/>
          <w:szCs w:val="24"/>
        </w:rPr>
        <w:t xml:space="preserve">medicines that are not required to be entered in the Australian Register of Therapeutic Goods </w:t>
      </w:r>
      <w:r w:rsidR="003601D2" w:rsidRPr="0066150A">
        <w:rPr>
          <w:rFonts w:ascii="Times New Roman" w:hAnsi="Times New Roman" w:cs="Times New Roman"/>
          <w:sz w:val="24"/>
          <w:szCs w:val="24"/>
        </w:rPr>
        <w:t>(the Register)</w:t>
      </w:r>
      <w:r w:rsidR="00385837" w:rsidRPr="0066150A">
        <w:rPr>
          <w:rFonts w:ascii="Times New Roman" w:hAnsi="Times New Roman" w:cs="Times New Roman"/>
          <w:sz w:val="24"/>
          <w:szCs w:val="24"/>
        </w:rPr>
        <w:t xml:space="preserve"> </w:t>
      </w:r>
      <w:r w:rsidRPr="0066150A">
        <w:rPr>
          <w:rFonts w:ascii="Times New Roman" w:hAnsi="Times New Roman" w:cs="Times New Roman"/>
          <w:sz w:val="24"/>
          <w:szCs w:val="24"/>
        </w:rPr>
        <w:t xml:space="preserve">because they are authorised for supply by </w:t>
      </w:r>
      <w:r w:rsidR="00425071" w:rsidRPr="0066150A">
        <w:rPr>
          <w:rFonts w:ascii="Times New Roman" w:hAnsi="Times New Roman" w:cs="Times New Roman"/>
          <w:sz w:val="24"/>
          <w:szCs w:val="24"/>
        </w:rPr>
        <w:t xml:space="preserve">way of </w:t>
      </w:r>
      <w:r w:rsidRPr="0066150A">
        <w:rPr>
          <w:rFonts w:ascii="Times New Roman" w:hAnsi="Times New Roman" w:cs="Times New Roman"/>
          <w:sz w:val="24"/>
          <w:szCs w:val="24"/>
        </w:rPr>
        <w:t>health practitioner notification</w:t>
      </w:r>
      <w:r w:rsidR="00425071" w:rsidRPr="0066150A">
        <w:rPr>
          <w:rFonts w:ascii="Times New Roman" w:hAnsi="Times New Roman" w:cs="Times New Roman"/>
          <w:sz w:val="24"/>
          <w:szCs w:val="24"/>
        </w:rPr>
        <w:t>s</w:t>
      </w:r>
      <w:r w:rsidRPr="0066150A">
        <w:rPr>
          <w:rFonts w:ascii="Times New Roman" w:hAnsi="Times New Roman" w:cs="Times New Roman"/>
          <w:sz w:val="24"/>
          <w:szCs w:val="24"/>
        </w:rPr>
        <w:t xml:space="preserve"> under subsection 19(7A) of the Act (introduced recently by the </w:t>
      </w:r>
      <w:r w:rsidRPr="0066150A">
        <w:rPr>
          <w:rFonts w:ascii="Times New Roman" w:hAnsi="Times New Roman" w:cs="Times New Roman"/>
          <w:i/>
          <w:sz w:val="24"/>
          <w:szCs w:val="24"/>
        </w:rPr>
        <w:t>Therapeutic Goods Amendment (2016 Measures No</w:t>
      </w:r>
      <w:r w:rsidR="0048522D" w:rsidRPr="0066150A">
        <w:rPr>
          <w:rFonts w:ascii="Times New Roman" w:hAnsi="Times New Roman" w:cs="Times New Roman"/>
          <w:i/>
          <w:sz w:val="24"/>
          <w:szCs w:val="24"/>
        </w:rPr>
        <w:t>. </w:t>
      </w:r>
      <w:r w:rsidRPr="0066150A">
        <w:rPr>
          <w:rFonts w:ascii="Times New Roman" w:hAnsi="Times New Roman" w:cs="Times New Roman"/>
          <w:i/>
          <w:sz w:val="24"/>
          <w:szCs w:val="24"/>
        </w:rPr>
        <w:t>1) Act 2017</w:t>
      </w:r>
      <w:r w:rsidRPr="0066150A">
        <w:rPr>
          <w:rFonts w:ascii="Times New Roman" w:hAnsi="Times New Roman" w:cs="Times New Roman"/>
          <w:sz w:val="24"/>
          <w:szCs w:val="24"/>
        </w:rPr>
        <w:t>)</w:t>
      </w:r>
      <w:r w:rsidR="00295C7C" w:rsidRPr="0066150A">
        <w:rPr>
          <w:rFonts w:ascii="Times New Roman" w:hAnsi="Times New Roman" w:cs="Times New Roman"/>
          <w:sz w:val="24"/>
          <w:szCs w:val="24"/>
        </w:rPr>
        <w:t>; and</w:t>
      </w:r>
    </w:p>
    <w:p w:rsidR="00425071" w:rsidRPr="0066150A" w:rsidRDefault="00295C7C" w:rsidP="00C427CD">
      <w:pPr>
        <w:pStyle w:val="ListParagraph"/>
        <w:numPr>
          <w:ilvl w:val="0"/>
          <w:numId w:val="6"/>
        </w:numPr>
        <w:autoSpaceDE w:val="0"/>
        <w:autoSpaceDN w:val="0"/>
        <w:adjustRightInd w:val="0"/>
        <w:spacing w:before="240" w:after="0" w:line="240" w:lineRule="auto"/>
        <w:ind w:left="709" w:hanging="425"/>
        <w:rPr>
          <w:rFonts w:ascii="Times New Roman" w:hAnsi="Times New Roman" w:cs="Times New Roman"/>
          <w:sz w:val="24"/>
          <w:szCs w:val="24"/>
        </w:rPr>
      </w:pPr>
      <w:proofErr w:type="gramStart"/>
      <w:r w:rsidRPr="0066150A">
        <w:rPr>
          <w:rFonts w:ascii="Times New Roman" w:hAnsi="Times New Roman" w:cs="Times New Roman"/>
          <w:sz w:val="24"/>
          <w:szCs w:val="24"/>
        </w:rPr>
        <w:t>make</w:t>
      </w:r>
      <w:proofErr w:type="gramEnd"/>
      <w:r w:rsidRPr="0066150A">
        <w:rPr>
          <w:rFonts w:ascii="Times New Roman" w:hAnsi="Times New Roman" w:cs="Times New Roman"/>
          <w:sz w:val="24"/>
          <w:szCs w:val="24"/>
        </w:rPr>
        <w:t xml:space="preserve"> </w:t>
      </w:r>
      <w:r w:rsidR="0038759A" w:rsidRPr="0066150A">
        <w:rPr>
          <w:rFonts w:ascii="Times New Roman" w:hAnsi="Times New Roman" w:cs="Times New Roman"/>
          <w:sz w:val="24"/>
          <w:szCs w:val="24"/>
        </w:rPr>
        <w:t xml:space="preserve">minor editorial changes to Schedule 1 and Schedule 3 to the original Order, to </w:t>
      </w:r>
      <w:r w:rsidRPr="0066150A">
        <w:rPr>
          <w:rFonts w:ascii="Times New Roman" w:hAnsi="Times New Roman" w:cs="Times New Roman"/>
          <w:sz w:val="24"/>
          <w:szCs w:val="24"/>
        </w:rPr>
        <w:t>clarif</w:t>
      </w:r>
      <w:r w:rsidR="0038759A" w:rsidRPr="0066150A">
        <w:rPr>
          <w:rFonts w:ascii="Times New Roman" w:hAnsi="Times New Roman" w:cs="Times New Roman"/>
          <w:sz w:val="24"/>
          <w:szCs w:val="24"/>
        </w:rPr>
        <w:t>y</w:t>
      </w:r>
      <w:r w:rsidRPr="0066150A">
        <w:rPr>
          <w:rFonts w:ascii="Times New Roman" w:hAnsi="Times New Roman" w:cs="Times New Roman"/>
          <w:sz w:val="24"/>
          <w:szCs w:val="24"/>
        </w:rPr>
        <w:t xml:space="preserve"> or correct a small number of </w:t>
      </w:r>
      <w:r w:rsidR="0038759A" w:rsidRPr="0066150A">
        <w:rPr>
          <w:rFonts w:ascii="Times New Roman" w:hAnsi="Times New Roman" w:cs="Times New Roman"/>
          <w:sz w:val="24"/>
          <w:szCs w:val="24"/>
        </w:rPr>
        <w:t>matters</w:t>
      </w:r>
      <w:r w:rsidR="00425071" w:rsidRPr="0066150A">
        <w:rPr>
          <w:rFonts w:ascii="Times New Roman" w:hAnsi="Times New Roman" w:cs="Times New Roman"/>
          <w:i/>
          <w:sz w:val="24"/>
          <w:szCs w:val="24"/>
        </w:rPr>
        <w:t>.</w:t>
      </w:r>
    </w:p>
    <w:p w:rsidR="00F21B4E" w:rsidRPr="0066150A" w:rsidRDefault="00A100F0" w:rsidP="00A100F0">
      <w:pPr>
        <w:shd w:val="clear" w:color="auto" w:fill="FFFFFF"/>
        <w:spacing w:before="100" w:beforeAutospacing="1" w:after="120" w:line="240" w:lineRule="auto"/>
        <w:rPr>
          <w:rFonts w:ascii="Times New Roman" w:hAnsi="Times New Roman" w:cs="Times New Roman"/>
          <w:sz w:val="24"/>
          <w:szCs w:val="24"/>
        </w:rPr>
      </w:pPr>
      <w:r w:rsidRPr="0066150A">
        <w:rPr>
          <w:rFonts w:ascii="Times New Roman" w:hAnsi="Times New Roman" w:cs="Times New Roman"/>
          <w:sz w:val="24"/>
          <w:szCs w:val="24"/>
        </w:rPr>
        <w:t>This Order</w:t>
      </w:r>
      <w:r w:rsidR="00EA16BE" w:rsidRPr="0066150A">
        <w:rPr>
          <w:rFonts w:ascii="Times New Roman" w:hAnsi="Times New Roman" w:cs="Times New Roman"/>
          <w:sz w:val="24"/>
          <w:szCs w:val="24"/>
        </w:rPr>
        <w:t xml:space="preserve"> </w:t>
      </w:r>
      <w:r w:rsidRPr="0066150A">
        <w:rPr>
          <w:rFonts w:ascii="Times New Roman" w:hAnsi="Times New Roman" w:cs="Times New Roman"/>
          <w:sz w:val="24"/>
          <w:szCs w:val="24"/>
        </w:rPr>
        <w:t>commence</w:t>
      </w:r>
      <w:r w:rsidR="003161DC" w:rsidRPr="0066150A">
        <w:rPr>
          <w:rFonts w:ascii="Times New Roman" w:hAnsi="Times New Roman" w:cs="Times New Roman"/>
          <w:sz w:val="24"/>
          <w:szCs w:val="24"/>
        </w:rPr>
        <w:t>d</w:t>
      </w:r>
      <w:r w:rsidRPr="0066150A">
        <w:rPr>
          <w:rFonts w:ascii="Times New Roman" w:hAnsi="Times New Roman" w:cs="Times New Roman"/>
          <w:sz w:val="24"/>
          <w:szCs w:val="24"/>
        </w:rPr>
        <w:t xml:space="preserve"> on</w:t>
      </w:r>
      <w:r w:rsidR="003161DC" w:rsidRPr="0066150A">
        <w:rPr>
          <w:rFonts w:ascii="Times New Roman" w:hAnsi="Times New Roman" w:cs="Times New Roman"/>
          <w:sz w:val="24"/>
          <w:szCs w:val="24"/>
        </w:rPr>
        <w:t xml:space="preserve"> the day after registration in the Federal Register of Legislation</w:t>
      </w:r>
      <w:r w:rsidRPr="0066150A">
        <w:rPr>
          <w:rFonts w:ascii="Times New Roman" w:hAnsi="Times New Roman" w:cs="Times New Roman"/>
          <w:sz w:val="24"/>
          <w:szCs w:val="24"/>
        </w:rPr>
        <w:t>.</w:t>
      </w:r>
    </w:p>
    <w:p w:rsidR="00F21B4E" w:rsidRPr="0066150A" w:rsidRDefault="00F21B4E" w:rsidP="00A42A58">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 xml:space="preserve">Similar amendments have concurrently been made to </w:t>
      </w:r>
      <w:r w:rsidRPr="0066150A">
        <w:rPr>
          <w:rStyle w:val="CommentReference"/>
          <w:rFonts w:ascii="Times New Roman" w:hAnsi="Times New Roman" w:cs="Times New Roman"/>
          <w:i/>
          <w:sz w:val="24"/>
          <w:szCs w:val="24"/>
        </w:rPr>
        <w:t>Therapeutic Goods Order No. 9</w:t>
      </w:r>
      <w:r w:rsidR="0066769F" w:rsidRPr="0066150A">
        <w:rPr>
          <w:rStyle w:val="CommentReference"/>
          <w:rFonts w:ascii="Times New Roman" w:hAnsi="Times New Roman" w:cs="Times New Roman"/>
          <w:i/>
          <w:sz w:val="24"/>
          <w:szCs w:val="24"/>
        </w:rPr>
        <w:t>1</w:t>
      </w:r>
      <w:r w:rsidRPr="0066150A">
        <w:rPr>
          <w:rStyle w:val="CommentReference"/>
          <w:rFonts w:ascii="Times New Roman" w:hAnsi="Times New Roman" w:cs="Times New Roman"/>
          <w:i/>
          <w:sz w:val="24"/>
          <w:szCs w:val="24"/>
        </w:rPr>
        <w:t xml:space="preserve"> - </w:t>
      </w:r>
      <w:r w:rsidR="0066769F" w:rsidRPr="0066150A">
        <w:rPr>
          <w:rStyle w:val="CommentReference"/>
          <w:rFonts w:ascii="Times New Roman" w:hAnsi="Times New Roman" w:cs="Times New Roman"/>
          <w:i/>
          <w:sz w:val="24"/>
          <w:szCs w:val="24"/>
        </w:rPr>
        <w:t>Standard for labels of prescription and related medicines</w:t>
      </w:r>
      <w:r w:rsidR="00352CD5">
        <w:rPr>
          <w:rStyle w:val="CommentReference"/>
          <w:rFonts w:ascii="Times New Roman" w:hAnsi="Times New Roman" w:cs="Times New Roman"/>
          <w:i/>
          <w:sz w:val="24"/>
          <w:szCs w:val="24"/>
        </w:rPr>
        <w:t xml:space="preserve"> </w:t>
      </w:r>
      <w:r w:rsidR="00352CD5" w:rsidRPr="0066150A">
        <w:rPr>
          <w:rStyle w:val="CommentReference"/>
          <w:rFonts w:ascii="Times New Roman" w:hAnsi="Times New Roman" w:cs="Times New Roman"/>
          <w:sz w:val="24"/>
          <w:szCs w:val="24"/>
        </w:rPr>
        <w:t>(TGO 91)</w:t>
      </w:r>
      <w:r w:rsidRPr="0066150A">
        <w:rPr>
          <w:rStyle w:val="CommentReference"/>
          <w:rFonts w:ascii="Times New Roman" w:hAnsi="Times New Roman" w:cs="Times New Roman"/>
          <w:sz w:val="24"/>
          <w:szCs w:val="24"/>
        </w:rPr>
        <w:t>, made on 2 August 2016</w:t>
      </w:r>
      <w:r w:rsidR="001E78AF" w:rsidRPr="0066150A">
        <w:rPr>
          <w:rStyle w:val="CommentReference"/>
          <w:rFonts w:ascii="Times New Roman" w:hAnsi="Times New Roman" w:cs="Times New Roman"/>
          <w:sz w:val="24"/>
          <w:szCs w:val="24"/>
        </w:rPr>
        <w:t xml:space="preserve">, </w:t>
      </w:r>
      <w:r w:rsidR="001E78AF" w:rsidRPr="0066150A">
        <w:rPr>
          <w:rStyle w:val="CommentReference"/>
          <w:rFonts w:ascii="Times New Roman" w:hAnsi="Times New Roman" w:cs="Times New Roman"/>
          <w:sz w:val="24"/>
          <w:szCs w:val="24"/>
        </w:rPr>
        <w:lastRenderedPageBreak/>
        <w:t xml:space="preserve">by the </w:t>
      </w:r>
      <w:r w:rsidR="001E78AF" w:rsidRPr="0066150A">
        <w:rPr>
          <w:rStyle w:val="CommentReference"/>
          <w:rFonts w:ascii="Times New Roman" w:hAnsi="Times New Roman" w:cs="Times New Roman"/>
          <w:i/>
          <w:sz w:val="24"/>
          <w:szCs w:val="24"/>
        </w:rPr>
        <w:t>Therapeutic Goods Order No.</w:t>
      </w:r>
      <w:r w:rsidR="00FF7D39" w:rsidRPr="0066150A">
        <w:rPr>
          <w:rStyle w:val="CommentReference"/>
          <w:rFonts w:ascii="Times New Roman" w:hAnsi="Times New Roman" w:cs="Times New Roman"/>
          <w:i/>
          <w:sz w:val="24"/>
          <w:szCs w:val="24"/>
        </w:rPr>
        <w:t xml:space="preserve"> </w:t>
      </w:r>
      <w:r w:rsidR="001E78AF" w:rsidRPr="0066150A">
        <w:rPr>
          <w:rStyle w:val="CommentReference"/>
          <w:rFonts w:ascii="Times New Roman" w:hAnsi="Times New Roman" w:cs="Times New Roman"/>
          <w:i/>
          <w:sz w:val="24"/>
          <w:szCs w:val="24"/>
        </w:rPr>
        <w:t>91</w:t>
      </w:r>
      <w:r w:rsidR="00152832" w:rsidRPr="0066150A">
        <w:rPr>
          <w:rStyle w:val="CommentReference"/>
          <w:rFonts w:ascii="Times New Roman" w:hAnsi="Times New Roman" w:cs="Times New Roman"/>
          <w:i/>
          <w:sz w:val="24"/>
          <w:szCs w:val="24"/>
        </w:rPr>
        <w:t>A</w:t>
      </w:r>
      <w:r w:rsidR="001E78AF" w:rsidRPr="0066150A">
        <w:rPr>
          <w:rStyle w:val="CommentReference"/>
          <w:rFonts w:ascii="Times New Roman" w:hAnsi="Times New Roman" w:cs="Times New Roman"/>
          <w:i/>
          <w:sz w:val="24"/>
          <w:szCs w:val="24"/>
        </w:rPr>
        <w:t xml:space="preserve">- </w:t>
      </w:r>
      <w:r w:rsidR="00152832" w:rsidRPr="0066150A">
        <w:rPr>
          <w:rStyle w:val="CommentReference"/>
          <w:rFonts w:ascii="Times New Roman" w:hAnsi="Times New Roman" w:cs="Times New Roman"/>
          <w:i/>
          <w:sz w:val="24"/>
          <w:szCs w:val="24"/>
        </w:rPr>
        <w:t>Therapeutic Goods Order No.</w:t>
      </w:r>
      <w:r w:rsidR="00162A66" w:rsidRPr="0066150A">
        <w:rPr>
          <w:rStyle w:val="CommentReference"/>
          <w:rFonts w:ascii="Times New Roman" w:hAnsi="Times New Roman" w:cs="Times New Roman"/>
          <w:i/>
          <w:sz w:val="24"/>
          <w:szCs w:val="24"/>
        </w:rPr>
        <w:t xml:space="preserve"> </w:t>
      </w:r>
      <w:r w:rsidR="00152832" w:rsidRPr="0066150A">
        <w:rPr>
          <w:rStyle w:val="CommentReference"/>
          <w:rFonts w:ascii="Times New Roman" w:hAnsi="Times New Roman" w:cs="Times New Roman"/>
          <w:i/>
          <w:sz w:val="24"/>
          <w:szCs w:val="24"/>
        </w:rPr>
        <w:t>91 (</w:t>
      </w:r>
      <w:r w:rsidR="001E78AF" w:rsidRPr="0066150A">
        <w:rPr>
          <w:rStyle w:val="CommentReference"/>
          <w:rFonts w:ascii="Times New Roman" w:hAnsi="Times New Roman" w:cs="Times New Roman"/>
          <w:i/>
          <w:sz w:val="24"/>
          <w:szCs w:val="24"/>
        </w:rPr>
        <w:t xml:space="preserve">Standard for labels of </w:t>
      </w:r>
      <w:r w:rsidR="00152832" w:rsidRPr="0066150A">
        <w:rPr>
          <w:rStyle w:val="CommentReference"/>
          <w:rFonts w:ascii="Times New Roman" w:hAnsi="Times New Roman" w:cs="Times New Roman"/>
          <w:i/>
          <w:sz w:val="24"/>
          <w:szCs w:val="24"/>
        </w:rPr>
        <w:t>prescription and related medicines) Ame</w:t>
      </w:r>
      <w:r w:rsidR="001E78AF" w:rsidRPr="0066150A">
        <w:rPr>
          <w:rStyle w:val="CommentReference"/>
          <w:rFonts w:ascii="Times New Roman" w:hAnsi="Times New Roman" w:cs="Times New Roman"/>
          <w:i/>
          <w:sz w:val="24"/>
          <w:szCs w:val="24"/>
        </w:rPr>
        <w:t>ndment Order 2017</w:t>
      </w:r>
      <w:r w:rsidRPr="0066150A">
        <w:rPr>
          <w:rStyle w:val="CommentReference"/>
          <w:rFonts w:ascii="Times New Roman" w:hAnsi="Times New Roman" w:cs="Times New Roman"/>
          <w:sz w:val="24"/>
          <w:szCs w:val="24"/>
        </w:rPr>
        <w:t>.</w:t>
      </w:r>
    </w:p>
    <w:p w:rsidR="00434F99" w:rsidRPr="0066150A" w:rsidRDefault="00A42A58" w:rsidP="00434F99">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66150A">
        <w:rPr>
          <w:rFonts w:ascii="Times New Roman" w:eastAsia="Times New Roman" w:hAnsi="Times New Roman" w:cs="Times New Roman"/>
          <w:sz w:val="24"/>
          <w:szCs w:val="24"/>
          <w:lang w:eastAsia="en-AU"/>
        </w:rPr>
        <w:t>T</w:t>
      </w:r>
      <w:r w:rsidR="00434F99" w:rsidRPr="0066150A">
        <w:rPr>
          <w:rFonts w:ascii="Times New Roman" w:eastAsia="Times New Roman" w:hAnsi="Times New Roman" w:cs="Times New Roman"/>
          <w:sz w:val="24"/>
          <w:szCs w:val="24"/>
          <w:lang w:eastAsia="en-AU"/>
        </w:rPr>
        <w:t>he</w:t>
      </w:r>
      <w:r w:rsidRPr="0066150A">
        <w:rPr>
          <w:rFonts w:ascii="Times New Roman" w:eastAsia="Times New Roman" w:hAnsi="Times New Roman" w:cs="Times New Roman"/>
          <w:sz w:val="24"/>
          <w:szCs w:val="24"/>
          <w:lang w:eastAsia="en-AU"/>
        </w:rPr>
        <w:t xml:space="preserve"> </w:t>
      </w:r>
      <w:r w:rsidR="00EA16BE" w:rsidRPr="0066150A">
        <w:rPr>
          <w:rFonts w:ascii="Times New Roman" w:eastAsia="Times New Roman" w:hAnsi="Times New Roman" w:cs="Times New Roman"/>
          <w:sz w:val="24"/>
          <w:szCs w:val="24"/>
          <w:lang w:eastAsia="en-AU"/>
        </w:rPr>
        <w:t xml:space="preserve">new </w:t>
      </w:r>
      <w:r w:rsidRPr="0066150A">
        <w:rPr>
          <w:rFonts w:ascii="Times New Roman" w:eastAsia="Times New Roman" w:hAnsi="Times New Roman" w:cs="Times New Roman"/>
          <w:sz w:val="24"/>
          <w:szCs w:val="24"/>
          <w:lang w:eastAsia="en-AU"/>
        </w:rPr>
        <w:t>labelling Orders</w:t>
      </w:r>
      <w:r w:rsidR="00434F99" w:rsidRPr="0066150A">
        <w:rPr>
          <w:rFonts w:ascii="Times New Roman" w:eastAsia="Times New Roman" w:hAnsi="Times New Roman" w:cs="Times New Roman"/>
          <w:sz w:val="24"/>
          <w:szCs w:val="24"/>
          <w:lang w:eastAsia="en-AU"/>
        </w:rPr>
        <w:t>, TGO 91 and TGO 92</w:t>
      </w:r>
      <w:r w:rsidR="00EA16BE" w:rsidRPr="0066150A">
        <w:rPr>
          <w:rFonts w:ascii="Times New Roman" w:eastAsia="Times New Roman" w:hAnsi="Times New Roman" w:cs="Times New Roman"/>
          <w:sz w:val="24"/>
          <w:szCs w:val="24"/>
          <w:lang w:eastAsia="en-AU"/>
        </w:rPr>
        <w:t>,</w:t>
      </w:r>
      <w:r w:rsidRPr="0066150A">
        <w:rPr>
          <w:rFonts w:ascii="Times New Roman" w:eastAsia="Times New Roman" w:hAnsi="Times New Roman" w:cs="Times New Roman"/>
          <w:sz w:val="24"/>
          <w:szCs w:val="24"/>
          <w:lang w:eastAsia="en-AU"/>
        </w:rPr>
        <w:t xml:space="preserve"> </w:t>
      </w:r>
      <w:r w:rsidRPr="0066150A">
        <w:rPr>
          <w:rFonts w:ascii="Times New Roman" w:hAnsi="Times New Roman" w:cs="Times New Roman"/>
          <w:sz w:val="24"/>
          <w:szCs w:val="24"/>
        </w:rPr>
        <w:t xml:space="preserve">are intended to replace </w:t>
      </w:r>
      <w:r w:rsidR="005260DC" w:rsidRPr="0066150A">
        <w:rPr>
          <w:rFonts w:ascii="Times New Roman" w:hAnsi="Times New Roman" w:cs="Times New Roman"/>
          <w:sz w:val="24"/>
          <w:szCs w:val="24"/>
        </w:rPr>
        <w:t xml:space="preserve">TGO 69/now </w:t>
      </w:r>
      <w:r w:rsidR="005C2F36" w:rsidRPr="0066150A">
        <w:rPr>
          <w:rStyle w:val="CommentReference"/>
          <w:rFonts w:ascii="Times New Roman" w:hAnsi="Times New Roman" w:cs="Times New Roman"/>
          <w:sz w:val="24"/>
          <w:szCs w:val="24"/>
        </w:rPr>
        <w:t>TGO </w:t>
      </w:r>
      <w:r w:rsidRPr="0066150A">
        <w:rPr>
          <w:rStyle w:val="CommentReference"/>
          <w:rFonts w:ascii="Times New Roman" w:hAnsi="Times New Roman" w:cs="Times New Roman"/>
          <w:sz w:val="24"/>
          <w:szCs w:val="24"/>
        </w:rPr>
        <w:t xml:space="preserve">69 </w:t>
      </w:r>
      <w:r w:rsidR="002D0B69" w:rsidRPr="0066150A">
        <w:rPr>
          <w:rStyle w:val="CommentReference"/>
          <w:rFonts w:ascii="Times New Roman" w:hAnsi="Times New Roman" w:cs="Times New Roman"/>
          <w:sz w:val="24"/>
          <w:szCs w:val="24"/>
        </w:rPr>
        <w:t>(</w:t>
      </w:r>
      <w:r w:rsidR="00EA16BE" w:rsidRPr="0066150A">
        <w:rPr>
          <w:rStyle w:val="CommentReference"/>
          <w:rFonts w:ascii="Times New Roman" w:hAnsi="Times New Roman" w:cs="Times New Roman"/>
          <w:sz w:val="24"/>
          <w:szCs w:val="24"/>
        </w:rPr>
        <w:t>2017</w:t>
      </w:r>
      <w:r w:rsidR="002D0B69" w:rsidRPr="0066150A">
        <w:rPr>
          <w:rStyle w:val="CommentReference"/>
          <w:rFonts w:ascii="Times New Roman" w:hAnsi="Times New Roman" w:cs="Times New Roman"/>
          <w:sz w:val="24"/>
          <w:szCs w:val="24"/>
        </w:rPr>
        <w:t>)</w:t>
      </w:r>
      <w:r w:rsidR="00EA16BE" w:rsidRPr="0066150A">
        <w:rPr>
          <w:rStyle w:val="CommentReference"/>
          <w:rFonts w:ascii="Times New Roman" w:hAnsi="Times New Roman" w:cs="Times New Roman"/>
          <w:sz w:val="24"/>
          <w:szCs w:val="24"/>
        </w:rPr>
        <w:t xml:space="preserve"> </w:t>
      </w:r>
      <w:r w:rsidRPr="0066150A">
        <w:rPr>
          <w:rFonts w:ascii="Times New Roman" w:hAnsi="Times New Roman" w:cs="Times New Roman"/>
          <w:sz w:val="24"/>
          <w:szCs w:val="24"/>
        </w:rPr>
        <w:t xml:space="preserve">at the end of the transition period </w:t>
      </w:r>
      <w:r w:rsidR="00C56AB0" w:rsidRPr="0066150A">
        <w:rPr>
          <w:rFonts w:ascii="Times New Roman" w:hAnsi="Times New Roman" w:cs="Times New Roman"/>
          <w:sz w:val="24"/>
          <w:szCs w:val="24"/>
        </w:rPr>
        <w:t xml:space="preserve">(1 September 2020) </w:t>
      </w:r>
      <w:r w:rsidR="005260DC" w:rsidRPr="0066150A">
        <w:rPr>
          <w:rFonts w:ascii="Times New Roman" w:hAnsi="Times New Roman" w:cs="Times New Roman"/>
          <w:sz w:val="24"/>
          <w:szCs w:val="24"/>
        </w:rPr>
        <w:t>that was provided for when those new instruments commenced.</w:t>
      </w:r>
      <w:r w:rsidR="00434F99" w:rsidRPr="0066150A">
        <w:rPr>
          <w:rFonts w:ascii="Times New Roman" w:hAnsi="Times New Roman" w:cs="Times New Roman"/>
          <w:sz w:val="24"/>
          <w:szCs w:val="24"/>
        </w:rPr>
        <w:t xml:space="preserve"> </w:t>
      </w:r>
      <w:r w:rsidR="00434F99" w:rsidRPr="0066150A">
        <w:rPr>
          <w:rFonts w:ascii="Times New Roman" w:eastAsia="Times New Roman" w:hAnsi="Times New Roman" w:cs="Times New Roman"/>
          <w:sz w:val="24"/>
          <w:szCs w:val="24"/>
          <w:lang w:eastAsia="en-AU"/>
        </w:rPr>
        <w:t>During th</w:t>
      </w:r>
      <w:r w:rsidR="00D12AEE" w:rsidRPr="0066150A">
        <w:rPr>
          <w:rFonts w:ascii="Times New Roman" w:eastAsia="Times New Roman" w:hAnsi="Times New Roman" w:cs="Times New Roman"/>
          <w:sz w:val="24"/>
          <w:szCs w:val="24"/>
          <w:lang w:eastAsia="en-AU"/>
        </w:rPr>
        <w:t>e transit</w:t>
      </w:r>
      <w:r w:rsidR="00434F99" w:rsidRPr="0066150A">
        <w:rPr>
          <w:rFonts w:ascii="Times New Roman" w:eastAsia="Times New Roman" w:hAnsi="Times New Roman" w:cs="Times New Roman"/>
          <w:sz w:val="24"/>
          <w:szCs w:val="24"/>
          <w:lang w:eastAsia="en-AU"/>
        </w:rPr>
        <w:t>i</w:t>
      </w:r>
      <w:r w:rsidR="00D12AEE" w:rsidRPr="0066150A">
        <w:rPr>
          <w:rFonts w:ascii="Times New Roman" w:eastAsia="Times New Roman" w:hAnsi="Times New Roman" w:cs="Times New Roman"/>
          <w:sz w:val="24"/>
          <w:szCs w:val="24"/>
          <w:lang w:eastAsia="en-AU"/>
        </w:rPr>
        <w:t>on period</w:t>
      </w:r>
      <w:r w:rsidR="00434F99" w:rsidRPr="0066150A">
        <w:rPr>
          <w:rFonts w:ascii="Times New Roman" w:eastAsia="Times New Roman" w:hAnsi="Times New Roman" w:cs="Times New Roman"/>
          <w:sz w:val="24"/>
          <w:szCs w:val="24"/>
          <w:lang w:eastAsia="en-AU"/>
        </w:rPr>
        <w:t xml:space="preserve">, sponsors can choose between complying with either the requirements of </w:t>
      </w:r>
      <w:r w:rsidR="005260DC" w:rsidRPr="0066150A">
        <w:rPr>
          <w:rFonts w:ascii="Times New Roman" w:eastAsia="Times New Roman" w:hAnsi="Times New Roman" w:cs="Times New Roman"/>
          <w:sz w:val="24"/>
          <w:szCs w:val="24"/>
          <w:lang w:eastAsia="en-AU"/>
        </w:rPr>
        <w:t xml:space="preserve">TGO 69/now </w:t>
      </w:r>
      <w:r w:rsidR="00434F99" w:rsidRPr="0066150A">
        <w:rPr>
          <w:rFonts w:ascii="Times New Roman" w:eastAsia="Times New Roman" w:hAnsi="Times New Roman" w:cs="Times New Roman"/>
          <w:sz w:val="24"/>
          <w:szCs w:val="24"/>
          <w:lang w:eastAsia="en-AU"/>
        </w:rPr>
        <w:t xml:space="preserve">TGO 69 (2017), or </w:t>
      </w:r>
      <w:r w:rsidR="00434F99" w:rsidRPr="0066150A">
        <w:rPr>
          <w:rFonts w:ascii="Times New Roman" w:hAnsi="Times New Roman" w:cs="Times New Roman"/>
          <w:sz w:val="24"/>
          <w:szCs w:val="24"/>
        </w:rPr>
        <w:t xml:space="preserve">TGOs 91 or 92, as </w:t>
      </w:r>
      <w:r w:rsidR="00434F99" w:rsidRPr="0066150A">
        <w:rPr>
          <w:rFonts w:ascii="Times New Roman" w:eastAsia="Times New Roman" w:hAnsi="Times New Roman" w:cs="Times New Roman"/>
          <w:sz w:val="24"/>
          <w:szCs w:val="24"/>
          <w:lang w:eastAsia="en-AU"/>
        </w:rPr>
        <w:t>relevant to their medicine.</w:t>
      </w:r>
    </w:p>
    <w:p w:rsidR="00F84DB3" w:rsidRPr="0066150A" w:rsidRDefault="00F84DB3" w:rsidP="00C56AB0">
      <w:pPr>
        <w:autoSpaceDE w:val="0"/>
        <w:autoSpaceDN w:val="0"/>
        <w:adjustRightInd w:val="0"/>
        <w:spacing w:before="240" w:after="0" w:line="240" w:lineRule="auto"/>
        <w:rPr>
          <w:rFonts w:ascii="Times New Roman" w:hAnsi="Times New Roman" w:cs="Times New Roman"/>
          <w:sz w:val="24"/>
          <w:szCs w:val="24"/>
        </w:rPr>
      </w:pPr>
    </w:p>
    <w:p w:rsidR="006C4A3B" w:rsidRPr="0066150A" w:rsidRDefault="006C4A3B" w:rsidP="006C4A3B">
      <w:pPr>
        <w:pStyle w:val="Heading3"/>
        <w:spacing w:before="0"/>
        <w:rPr>
          <w:rFonts w:ascii="Times New Roman" w:hAnsi="Times New Roman" w:cs="Times New Roman"/>
          <w:sz w:val="24"/>
          <w:szCs w:val="24"/>
        </w:rPr>
      </w:pPr>
      <w:r w:rsidRPr="0066150A">
        <w:rPr>
          <w:rFonts w:ascii="Times New Roman" w:hAnsi="Times New Roman" w:cs="Times New Roman"/>
          <w:sz w:val="24"/>
          <w:szCs w:val="24"/>
        </w:rPr>
        <w:t>BACKGROUND</w:t>
      </w:r>
    </w:p>
    <w:p w:rsidR="00F84DB3" w:rsidRPr="0066150A" w:rsidRDefault="00F84DB3" w:rsidP="00F84DB3">
      <w:pPr>
        <w:autoSpaceDE w:val="0"/>
        <w:autoSpaceDN w:val="0"/>
        <w:adjustRightInd w:val="0"/>
        <w:spacing w:before="240" w:after="0" w:line="240" w:lineRule="auto"/>
        <w:rPr>
          <w:rFonts w:ascii="Times New Roman" w:hAnsi="Times New Roman" w:cs="Times New Roman"/>
          <w:sz w:val="24"/>
          <w:szCs w:val="24"/>
        </w:rPr>
      </w:pPr>
      <w:r w:rsidRPr="0066150A">
        <w:rPr>
          <w:rFonts w:ascii="Times New Roman" w:hAnsi="Times New Roman" w:cs="Times New Roman"/>
          <w:sz w:val="24"/>
          <w:szCs w:val="24"/>
        </w:rPr>
        <w:t xml:space="preserve">Standards made under section 10 of the Act may relate to any matter relevant to the quality, safety or efficacy of a medicine, and generally, a medicine must not be imported, exported or supplied if it does not conform to an applicable standard. </w:t>
      </w:r>
      <w:r w:rsidR="00C1399F" w:rsidRPr="0066150A">
        <w:rPr>
          <w:rFonts w:ascii="Times New Roman" w:hAnsi="Times New Roman" w:cs="Times New Roman"/>
          <w:sz w:val="24"/>
          <w:szCs w:val="24"/>
        </w:rPr>
        <w:t xml:space="preserve"> </w:t>
      </w:r>
      <w:r w:rsidRPr="0066150A">
        <w:rPr>
          <w:rFonts w:ascii="Times New Roman" w:hAnsi="Times New Roman" w:cs="Times New Roman"/>
          <w:sz w:val="24"/>
          <w:szCs w:val="24"/>
        </w:rPr>
        <w:t>Paragraph (c) of subsection 10(2) of the Act states that an Order establishing a standard for therapeutic goods may require that therapeutic goods, or a class of therapeutic goods identified in the Order, be labelled or packaged in a manner, or kept in containers that comply with requirements, specified in the Order.</w:t>
      </w:r>
    </w:p>
    <w:p w:rsidR="00F84DB3" w:rsidRPr="0066150A" w:rsidRDefault="00F84DB3" w:rsidP="00F84DB3">
      <w:pPr>
        <w:autoSpaceDE w:val="0"/>
        <w:autoSpaceDN w:val="0"/>
        <w:adjustRightInd w:val="0"/>
        <w:spacing w:before="240" w:after="0" w:line="240" w:lineRule="auto"/>
        <w:rPr>
          <w:rFonts w:ascii="Times New Roman" w:hAnsi="Times New Roman" w:cs="Times New Roman"/>
          <w:sz w:val="24"/>
          <w:szCs w:val="24"/>
        </w:rPr>
      </w:pPr>
      <w:r w:rsidRPr="0066150A">
        <w:rPr>
          <w:rFonts w:ascii="Times New Roman" w:eastAsia="Times New Roman" w:hAnsi="Times New Roman" w:cs="Times New Roman"/>
          <w:sz w:val="24"/>
          <w:szCs w:val="24"/>
          <w:lang w:eastAsia="en-AU"/>
        </w:rPr>
        <w:t>TGO 9</w:t>
      </w:r>
      <w:r w:rsidR="0066769F" w:rsidRPr="0066150A">
        <w:rPr>
          <w:rFonts w:ascii="Times New Roman" w:eastAsia="Times New Roman" w:hAnsi="Times New Roman" w:cs="Times New Roman"/>
          <w:sz w:val="24"/>
          <w:szCs w:val="24"/>
          <w:lang w:eastAsia="en-AU"/>
        </w:rPr>
        <w:t>2</w:t>
      </w:r>
      <w:r w:rsidRPr="0066150A">
        <w:rPr>
          <w:rFonts w:ascii="Times New Roman" w:eastAsia="Times New Roman" w:hAnsi="Times New Roman" w:cs="Times New Roman"/>
          <w:sz w:val="24"/>
          <w:szCs w:val="24"/>
          <w:lang w:eastAsia="en-AU"/>
        </w:rPr>
        <w:t xml:space="preserve"> mandates information that must be on labels of </w:t>
      </w:r>
      <w:r w:rsidR="00C67EEC" w:rsidRPr="0066150A">
        <w:rPr>
          <w:rFonts w:ascii="Times New Roman" w:eastAsia="Times New Roman" w:hAnsi="Times New Roman" w:cs="Times New Roman"/>
          <w:sz w:val="24"/>
          <w:szCs w:val="24"/>
          <w:lang w:eastAsia="en-AU"/>
        </w:rPr>
        <w:t>non-</w:t>
      </w:r>
      <w:r w:rsidRPr="0066150A">
        <w:rPr>
          <w:rFonts w:ascii="Times New Roman" w:eastAsia="Times New Roman" w:hAnsi="Times New Roman" w:cs="Times New Roman"/>
          <w:sz w:val="24"/>
          <w:szCs w:val="24"/>
          <w:lang w:eastAsia="en-AU"/>
        </w:rPr>
        <w:t xml:space="preserve">prescription </w:t>
      </w:r>
      <w:r w:rsidR="004F45FE" w:rsidRPr="0066150A">
        <w:rPr>
          <w:rFonts w:ascii="Times New Roman" w:eastAsia="Times New Roman" w:hAnsi="Times New Roman" w:cs="Times New Roman"/>
          <w:sz w:val="24"/>
          <w:szCs w:val="24"/>
          <w:lang w:eastAsia="en-AU"/>
        </w:rPr>
        <w:t xml:space="preserve">medicines </w:t>
      </w:r>
      <w:r w:rsidRPr="0066150A">
        <w:rPr>
          <w:rFonts w:ascii="Times New Roman" w:eastAsia="Times New Roman" w:hAnsi="Times New Roman" w:cs="Times New Roman"/>
          <w:sz w:val="24"/>
          <w:szCs w:val="24"/>
          <w:lang w:eastAsia="en-AU"/>
        </w:rPr>
        <w:t xml:space="preserve">and the format and placement in which it must be presented, to contribute to the quality use of medicines by Australian consumers and healthcare professionals. </w:t>
      </w:r>
      <w:r w:rsidRPr="0066150A">
        <w:rPr>
          <w:rFonts w:ascii="Times New Roman" w:eastAsia="Cambria" w:hAnsi="Times New Roman" w:cs="Times New Roman"/>
          <w:sz w:val="24"/>
          <w:szCs w:val="24"/>
        </w:rPr>
        <w:t xml:space="preserve"> </w:t>
      </w:r>
      <w:r w:rsidRPr="0066150A">
        <w:rPr>
          <w:rFonts w:ascii="Times New Roman" w:eastAsia="Times New Roman" w:hAnsi="Times New Roman" w:cs="Times New Roman"/>
          <w:sz w:val="24"/>
          <w:szCs w:val="24"/>
          <w:lang w:eastAsia="en-AU"/>
        </w:rPr>
        <w:t>Examples of information required by TGO</w:t>
      </w:r>
      <w:r w:rsidR="002C264E" w:rsidRPr="0066150A">
        <w:rPr>
          <w:rFonts w:ascii="Times New Roman" w:eastAsia="Times New Roman" w:hAnsi="Times New Roman" w:cs="Times New Roman"/>
          <w:sz w:val="24"/>
          <w:szCs w:val="24"/>
          <w:lang w:eastAsia="en-AU"/>
        </w:rPr>
        <w:t xml:space="preserve"> </w:t>
      </w:r>
      <w:r w:rsidRPr="0066150A">
        <w:rPr>
          <w:rFonts w:ascii="Times New Roman" w:eastAsia="Times New Roman" w:hAnsi="Times New Roman" w:cs="Times New Roman"/>
          <w:sz w:val="24"/>
          <w:szCs w:val="24"/>
          <w:lang w:eastAsia="en-AU"/>
        </w:rPr>
        <w:t>9</w:t>
      </w:r>
      <w:r w:rsidR="0066769F" w:rsidRPr="0066150A">
        <w:rPr>
          <w:rFonts w:ascii="Times New Roman" w:eastAsia="Times New Roman" w:hAnsi="Times New Roman" w:cs="Times New Roman"/>
          <w:sz w:val="24"/>
          <w:szCs w:val="24"/>
          <w:lang w:eastAsia="en-AU"/>
        </w:rPr>
        <w:t>2</w:t>
      </w:r>
      <w:r w:rsidRPr="0066150A">
        <w:rPr>
          <w:rFonts w:ascii="Times New Roman" w:eastAsia="Times New Roman" w:hAnsi="Times New Roman" w:cs="Times New Roman"/>
          <w:sz w:val="24"/>
          <w:szCs w:val="24"/>
          <w:lang w:eastAsia="en-AU"/>
        </w:rPr>
        <w:t xml:space="preserve"> </w:t>
      </w:r>
      <w:r w:rsidR="0066769F" w:rsidRPr="0066150A">
        <w:rPr>
          <w:rFonts w:ascii="Times New Roman" w:eastAsia="Times New Roman" w:hAnsi="Times New Roman" w:cs="Times New Roman"/>
          <w:sz w:val="24"/>
          <w:szCs w:val="24"/>
          <w:lang w:eastAsia="en-AU"/>
        </w:rPr>
        <w:t>include the name of the medicine, the name of the active ingredient and its strength or quantity, storage requirements, expiry date and the declaration of certain inert or inactive substances in the medicine.</w:t>
      </w:r>
    </w:p>
    <w:p w:rsidR="00F84DB3" w:rsidRPr="0066150A" w:rsidRDefault="002D0B69" w:rsidP="00C51AD8">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66150A">
        <w:rPr>
          <w:rFonts w:ascii="Times New Roman" w:eastAsia="Times New Roman" w:hAnsi="Times New Roman" w:cs="Times New Roman"/>
          <w:sz w:val="24"/>
          <w:szCs w:val="24"/>
          <w:lang w:eastAsia="en-AU"/>
        </w:rPr>
        <w:t>The changes made to TGO 9</w:t>
      </w:r>
      <w:r w:rsidR="0066769F" w:rsidRPr="0066150A">
        <w:rPr>
          <w:rFonts w:ascii="Times New Roman" w:eastAsia="Times New Roman" w:hAnsi="Times New Roman" w:cs="Times New Roman"/>
          <w:sz w:val="24"/>
          <w:szCs w:val="24"/>
          <w:lang w:eastAsia="en-AU"/>
        </w:rPr>
        <w:t>2</w:t>
      </w:r>
      <w:r w:rsidRPr="0066150A">
        <w:rPr>
          <w:rFonts w:ascii="Times New Roman" w:eastAsia="Times New Roman" w:hAnsi="Times New Roman" w:cs="Times New Roman"/>
          <w:sz w:val="24"/>
          <w:szCs w:val="24"/>
          <w:lang w:eastAsia="en-AU"/>
        </w:rPr>
        <w:t xml:space="preserve"> by this Order:</w:t>
      </w:r>
      <w:r w:rsidRPr="0066150A" w:rsidDel="002D0B69">
        <w:rPr>
          <w:rFonts w:ascii="Times New Roman" w:eastAsia="Times New Roman" w:hAnsi="Times New Roman" w:cs="Times New Roman"/>
          <w:sz w:val="24"/>
          <w:szCs w:val="24"/>
          <w:lang w:eastAsia="en-AU"/>
        </w:rPr>
        <w:t xml:space="preserve"> </w:t>
      </w:r>
    </w:p>
    <w:p w:rsidR="006A5BD7" w:rsidRPr="0066150A" w:rsidRDefault="006A5BD7"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66150A">
        <w:rPr>
          <w:rFonts w:ascii="Times New Roman" w:eastAsia="Times New Roman" w:hAnsi="Times New Roman" w:cs="Times New Roman"/>
          <w:sz w:val="24"/>
          <w:szCs w:val="24"/>
          <w:lang w:eastAsia="en-AU"/>
        </w:rPr>
        <w:t>correctly reflect the name of the re</w:t>
      </w:r>
      <w:r w:rsidR="00BC243F" w:rsidRPr="0066150A">
        <w:rPr>
          <w:rFonts w:ascii="Times New Roman" w:eastAsia="Times New Roman" w:hAnsi="Times New Roman" w:cs="Times New Roman"/>
          <w:sz w:val="24"/>
          <w:szCs w:val="24"/>
          <w:lang w:eastAsia="en-AU"/>
        </w:rPr>
        <w:t>-</w:t>
      </w:r>
      <w:r w:rsidRPr="0066150A">
        <w:rPr>
          <w:rFonts w:ascii="Times New Roman" w:eastAsia="Times New Roman" w:hAnsi="Times New Roman" w:cs="Times New Roman"/>
          <w:sz w:val="24"/>
          <w:szCs w:val="24"/>
          <w:lang w:eastAsia="en-AU"/>
        </w:rPr>
        <w:t>made TGO 69 (2017), which replaces the previous TG</w:t>
      </w:r>
      <w:r w:rsidR="00BC243F" w:rsidRPr="0066150A">
        <w:rPr>
          <w:rFonts w:ascii="Times New Roman" w:eastAsia="Times New Roman" w:hAnsi="Times New Roman" w:cs="Times New Roman"/>
          <w:sz w:val="24"/>
          <w:szCs w:val="24"/>
          <w:lang w:eastAsia="en-AU"/>
        </w:rPr>
        <w:t>O</w:t>
      </w:r>
      <w:r w:rsidRPr="0066150A">
        <w:rPr>
          <w:rFonts w:ascii="Times New Roman" w:eastAsia="Times New Roman" w:hAnsi="Times New Roman" w:cs="Times New Roman"/>
          <w:sz w:val="24"/>
          <w:szCs w:val="24"/>
          <w:lang w:eastAsia="en-AU"/>
        </w:rPr>
        <w:t xml:space="preserve"> 69</w:t>
      </w:r>
      <w:r w:rsidR="00BC243F" w:rsidRPr="0066150A">
        <w:rPr>
          <w:rFonts w:ascii="Times New Roman" w:eastAsia="Times New Roman" w:hAnsi="Times New Roman" w:cs="Times New Roman"/>
          <w:sz w:val="24"/>
          <w:szCs w:val="24"/>
          <w:lang w:eastAsia="en-AU"/>
        </w:rPr>
        <w:t>, as well as including necessary consequential amendments</w:t>
      </w:r>
      <w:r w:rsidRPr="0066150A">
        <w:rPr>
          <w:rFonts w:ascii="Times New Roman" w:eastAsia="Times New Roman" w:hAnsi="Times New Roman" w:cs="Times New Roman"/>
          <w:sz w:val="24"/>
          <w:szCs w:val="24"/>
          <w:lang w:eastAsia="en-AU"/>
        </w:rPr>
        <w:t xml:space="preserve">; </w:t>
      </w:r>
    </w:p>
    <w:p w:rsidR="00BC243F" w:rsidRPr="0066150A" w:rsidRDefault="006A5BD7"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provide that</w:t>
      </w:r>
      <w:r w:rsidR="00A100F0" w:rsidRPr="0066150A">
        <w:rPr>
          <w:rFonts w:ascii="Times New Roman" w:hAnsi="Times New Roman" w:cs="Times New Roman"/>
          <w:sz w:val="24"/>
          <w:szCs w:val="24"/>
        </w:rPr>
        <w:t xml:space="preserve"> </w:t>
      </w:r>
      <w:r w:rsidR="006368A3" w:rsidRPr="0066150A">
        <w:rPr>
          <w:rFonts w:ascii="Times New Roman" w:hAnsi="Times New Roman" w:cs="Times New Roman"/>
          <w:sz w:val="24"/>
          <w:szCs w:val="24"/>
        </w:rPr>
        <w:t xml:space="preserve">non-prescription </w:t>
      </w:r>
      <w:r w:rsidR="00A100F0" w:rsidRPr="0066150A">
        <w:rPr>
          <w:rFonts w:ascii="Times New Roman" w:hAnsi="Times New Roman" w:cs="Times New Roman"/>
          <w:sz w:val="24"/>
          <w:szCs w:val="24"/>
        </w:rPr>
        <w:t xml:space="preserve">medicines </w:t>
      </w:r>
      <w:r w:rsidR="004F45FE" w:rsidRPr="0066150A">
        <w:rPr>
          <w:rFonts w:ascii="Times New Roman" w:hAnsi="Times New Roman" w:cs="Times New Roman"/>
          <w:sz w:val="24"/>
          <w:szCs w:val="24"/>
        </w:rPr>
        <w:t xml:space="preserve">not required to be included in the Register before their lawful </w:t>
      </w:r>
      <w:r w:rsidR="00A100F0" w:rsidRPr="0066150A">
        <w:rPr>
          <w:rFonts w:ascii="Times New Roman" w:hAnsi="Times New Roman" w:cs="Times New Roman"/>
          <w:sz w:val="24"/>
          <w:szCs w:val="24"/>
        </w:rPr>
        <w:t xml:space="preserve">supply </w:t>
      </w:r>
      <w:r w:rsidR="002D0B69" w:rsidRPr="0066150A">
        <w:rPr>
          <w:rFonts w:ascii="Times New Roman" w:hAnsi="Times New Roman" w:cs="Times New Roman"/>
          <w:sz w:val="24"/>
          <w:szCs w:val="24"/>
        </w:rPr>
        <w:t>under the</w:t>
      </w:r>
      <w:r w:rsidR="00A100F0" w:rsidRPr="0066150A">
        <w:rPr>
          <w:rFonts w:ascii="Times New Roman" w:hAnsi="Times New Roman" w:cs="Times New Roman"/>
          <w:sz w:val="24"/>
          <w:szCs w:val="24"/>
        </w:rPr>
        <w:t xml:space="preserve"> health practitioner notification </w:t>
      </w:r>
      <w:r w:rsidR="002D0B69" w:rsidRPr="0066150A">
        <w:rPr>
          <w:rFonts w:ascii="Times New Roman" w:hAnsi="Times New Roman" w:cs="Times New Roman"/>
          <w:sz w:val="24"/>
          <w:szCs w:val="24"/>
        </w:rPr>
        <w:t xml:space="preserve">arrangement </w:t>
      </w:r>
      <w:r w:rsidR="00A100F0" w:rsidRPr="0066150A">
        <w:rPr>
          <w:rFonts w:ascii="Times New Roman" w:hAnsi="Times New Roman" w:cs="Times New Roman"/>
          <w:sz w:val="24"/>
          <w:szCs w:val="24"/>
        </w:rPr>
        <w:t xml:space="preserve">under subsection 19(7A) of the Act (introduced recently by the </w:t>
      </w:r>
      <w:r w:rsidR="00A100F0" w:rsidRPr="0066150A">
        <w:rPr>
          <w:rFonts w:ascii="Times New Roman" w:hAnsi="Times New Roman" w:cs="Times New Roman"/>
          <w:i/>
          <w:sz w:val="24"/>
          <w:szCs w:val="24"/>
        </w:rPr>
        <w:t>Therapeutic Goods Amendment (2016 Measures No.1) Act 2017</w:t>
      </w:r>
      <w:r w:rsidR="00A100F0" w:rsidRPr="0066150A">
        <w:rPr>
          <w:rFonts w:ascii="Times New Roman" w:hAnsi="Times New Roman" w:cs="Times New Roman"/>
          <w:sz w:val="24"/>
          <w:szCs w:val="24"/>
        </w:rPr>
        <w:t>) are not required to comply with this Order</w:t>
      </w:r>
      <w:r w:rsidR="00BC243F" w:rsidRPr="0066150A">
        <w:rPr>
          <w:rFonts w:ascii="Times New Roman" w:hAnsi="Times New Roman" w:cs="Times New Roman"/>
          <w:sz w:val="24"/>
          <w:szCs w:val="24"/>
        </w:rPr>
        <w:t>;</w:t>
      </w:r>
    </w:p>
    <w:p w:rsidR="00D12AEE" w:rsidRPr="0066150A" w:rsidRDefault="00D12AEE"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provide a note in Schedule 1 to the Order to exclude glycerol from the entry for sugar alcohols;</w:t>
      </w:r>
    </w:p>
    <w:p w:rsidR="00D12AEE" w:rsidRPr="0066150A" w:rsidRDefault="00D12AEE"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amend the entry for ‘sorbates’ in Schedule 1 to the Order to clarify its intent;</w:t>
      </w:r>
    </w:p>
    <w:p w:rsidR="00BC243F" w:rsidRPr="0066150A" w:rsidRDefault="00BC243F"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correct</w:t>
      </w:r>
      <w:r w:rsidR="00B2515D" w:rsidRPr="0066150A">
        <w:rPr>
          <w:rFonts w:ascii="Times New Roman" w:hAnsi="Times New Roman" w:cs="Times New Roman"/>
          <w:sz w:val="24"/>
          <w:szCs w:val="24"/>
        </w:rPr>
        <w:t>ly state</w:t>
      </w:r>
      <w:r w:rsidRPr="0066150A">
        <w:rPr>
          <w:rFonts w:ascii="Times New Roman" w:hAnsi="Times New Roman" w:cs="Times New Roman"/>
          <w:sz w:val="24"/>
          <w:szCs w:val="24"/>
        </w:rPr>
        <w:t xml:space="preserve"> the entries for sodium and potassium in Schedule 1</w:t>
      </w:r>
      <w:r w:rsidR="00B2515D" w:rsidRPr="0066150A">
        <w:rPr>
          <w:rFonts w:ascii="Times New Roman" w:hAnsi="Times New Roman" w:cs="Times New Roman"/>
          <w:sz w:val="24"/>
          <w:szCs w:val="24"/>
        </w:rPr>
        <w:t xml:space="preserve"> to the Order</w:t>
      </w:r>
      <w:r w:rsidRPr="0066150A">
        <w:rPr>
          <w:rFonts w:ascii="Times New Roman" w:hAnsi="Times New Roman" w:cs="Times New Roman"/>
          <w:sz w:val="24"/>
          <w:szCs w:val="24"/>
        </w:rPr>
        <w:t xml:space="preserve">, </w:t>
      </w:r>
      <w:r w:rsidR="00B2515D" w:rsidRPr="0066150A">
        <w:rPr>
          <w:rFonts w:ascii="Times New Roman" w:hAnsi="Times New Roman" w:cs="Times New Roman"/>
          <w:sz w:val="24"/>
          <w:szCs w:val="24"/>
        </w:rPr>
        <w:t xml:space="preserve">ensuring that they align with relevant entries in Schedule 1 to </w:t>
      </w:r>
      <w:r w:rsidRPr="0066150A">
        <w:rPr>
          <w:rFonts w:ascii="Times New Roman" w:hAnsi="Times New Roman" w:cs="Times New Roman"/>
          <w:sz w:val="24"/>
          <w:szCs w:val="24"/>
        </w:rPr>
        <w:t>TGO 91;</w:t>
      </w:r>
    </w:p>
    <w:p w:rsidR="00BC243F" w:rsidRPr="0066150A" w:rsidRDefault="00ED4B9C"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 xml:space="preserve">clarify </w:t>
      </w:r>
      <w:r w:rsidR="00BC243F" w:rsidRPr="0066150A">
        <w:rPr>
          <w:rFonts w:ascii="Times New Roman" w:hAnsi="Times New Roman" w:cs="Times New Roman"/>
          <w:sz w:val="24"/>
          <w:szCs w:val="24"/>
        </w:rPr>
        <w:t>the introductory text in Schedule1 to</w:t>
      </w:r>
      <w:r w:rsidRPr="0066150A">
        <w:rPr>
          <w:rFonts w:ascii="Times New Roman" w:hAnsi="Times New Roman" w:cs="Times New Roman"/>
          <w:sz w:val="24"/>
          <w:szCs w:val="24"/>
        </w:rPr>
        <w:t xml:space="preserve"> the Order to confirm that</w:t>
      </w:r>
      <w:r w:rsidR="00BC243F" w:rsidRPr="0066150A">
        <w:rPr>
          <w:rFonts w:ascii="Times New Roman" w:hAnsi="Times New Roman" w:cs="Times New Roman"/>
          <w:sz w:val="24"/>
          <w:szCs w:val="24"/>
        </w:rPr>
        <w:t xml:space="preserve"> multiple substance declarations </w:t>
      </w:r>
      <w:r w:rsidRPr="0066150A">
        <w:rPr>
          <w:rFonts w:ascii="Times New Roman" w:hAnsi="Times New Roman" w:cs="Times New Roman"/>
          <w:sz w:val="24"/>
          <w:szCs w:val="24"/>
        </w:rPr>
        <w:t xml:space="preserve">can </w:t>
      </w:r>
      <w:r w:rsidR="00BC243F" w:rsidRPr="0066150A">
        <w:rPr>
          <w:rFonts w:ascii="Times New Roman" w:hAnsi="Times New Roman" w:cs="Times New Roman"/>
          <w:sz w:val="24"/>
          <w:szCs w:val="24"/>
        </w:rPr>
        <w:t xml:space="preserve">be made within the same sentence, aligning with </w:t>
      </w:r>
      <w:r w:rsidRPr="0066150A">
        <w:rPr>
          <w:rFonts w:ascii="Times New Roman" w:hAnsi="Times New Roman" w:cs="Times New Roman"/>
          <w:sz w:val="24"/>
          <w:szCs w:val="24"/>
        </w:rPr>
        <w:t xml:space="preserve">similar provisions </w:t>
      </w:r>
      <w:r w:rsidR="00BC243F" w:rsidRPr="0066150A">
        <w:rPr>
          <w:rFonts w:ascii="Times New Roman" w:hAnsi="Times New Roman" w:cs="Times New Roman"/>
          <w:sz w:val="24"/>
          <w:szCs w:val="24"/>
        </w:rPr>
        <w:t>in the Poisons Standard; and</w:t>
      </w:r>
    </w:p>
    <w:p w:rsidR="00C04346" w:rsidRPr="0066150A" w:rsidRDefault="00BC243F" w:rsidP="005F6F85">
      <w:pPr>
        <w:pStyle w:val="ListParagraph"/>
        <w:numPr>
          <w:ilvl w:val="0"/>
          <w:numId w:val="5"/>
        </w:numPr>
        <w:shd w:val="clear" w:color="auto" w:fill="FFFFFF"/>
        <w:spacing w:before="100" w:beforeAutospacing="1" w:after="120" w:line="240" w:lineRule="auto"/>
        <w:ind w:left="425"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amend the units for bromelains in Schedule 3</w:t>
      </w:r>
      <w:r w:rsidR="00ED4B9C" w:rsidRPr="0066150A">
        <w:rPr>
          <w:rFonts w:ascii="Times New Roman" w:hAnsi="Times New Roman" w:cs="Times New Roman"/>
          <w:sz w:val="24"/>
          <w:szCs w:val="24"/>
        </w:rPr>
        <w:t xml:space="preserve"> to the Order</w:t>
      </w:r>
      <w:r w:rsidRPr="0066150A">
        <w:rPr>
          <w:rFonts w:ascii="Times New Roman" w:hAnsi="Times New Roman" w:cs="Times New Roman"/>
          <w:sz w:val="24"/>
          <w:szCs w:val="24"/>
        </w:rPr>
        <w:t>, to allow insertion of ‘million’ before the unit ‘PU” in Column 1 and before ‘Papain units’ in Column 2, to ensure the references are technically correct and consistent with agreed use</w:t>
      </w:r>
      <w:r w:rsidR="00C427CD" w:rsidRPr="0066150A">
        <w:rPr>
          <w:rFonts w:ascii="Times New Roman" w:hAnsi="Times New Roman" w:cs="Times New Roman"/>
          <w:sz w:val="24"/>
          <w:szCs w:val="24"/>
        </w:rPr>
        <w:t>.</w:t>
      </w:r>
      <w:r w:rsidR="00F84DB3" w:rsidRPr="0066150A">
        <w:rPr>
          <w:rFonts w:ascii="Times New Roman" w:eastAsia="Times New Roman" w:hAnsi="Times New Roman" w:cs="Times New Roman"/>
          <w:sz w:val="24"/>
          <w:szCs w:val="24"/>
          <w:lang w:eastAsia="en-AU"/>
        </w:rPr>
        <w:t xml:space="preserve"> </w:t>
      </w:r>
    </w:p>
    <w:p w:rsidR="00C67EEC" w:rsidRPr="0066150A" w:rsidRDefault="00C67EEC" w:rsidP="00470227">
      <w:pPr>
        <w:shd w:val="clear" w:color="auto" w:fill="FFFFFF"/>
        <w:spacing w:before="120" w:after="120" w:line="240" w:lineRule="auto"/>
        <w:rPr>
          <w:rFonts w:ascii="Times New Roman" w:eastAsia="Times New Roman" w:hAnsi="Times New Roman" w:cs="Times New Roman"/>
          <w:b/>
          <w:bCs/>
          <w:sz w:val="24"/>
          <w:szCs w:val="24"/>
          <w:lang w:eastAsia="en-AU"/>
        </w:rPr>
      </w:pPr>
    </w:p>
    <w:p w:rsidR="0048522D" w:rsidRPr="0066150A" w:rsidRDefault="0048522D" w:rsidP="0048522D">
      <w:pPr>
        <w:pStyle w:val="Heading3"/>
        <w:spacing w:before="0"/>
        <w:rPr>
          <w:rFonts w:ascii="Times New Roman" w:hAnsi="Times New Roman" w:cs="Times New Roman"/>
          <w:sz w:val="24"/>
          <w:szCs w:val="24"/>
        </w:rPr>
      </w:pPr>
      <w:r w:rsidRPr="0066150A">
        <w:rPr>
          <w:rFonts w:ascii="Times New Roman" w:hAnsi="Times New Roman" w:cs="Times New Roman"/>
          <w:sz w:val="24"/>
          <w:szCs w:val="24"/>
        </w:rPr>
        <w:lastRenderedPageBreak/>
        <w:t>CONSULTATION</w:t>
      </w:r>
    </w:p>
    <w:p w:rsidR="00704513" w:rsidRPr="0066150A" w:rsidRDefault="00877D3C" w:rsidP="00704513">
      <w:pPr>
        <w:spacing w:before="240" w:line="300" w:lineRule="exact"/>
        <w:rPr>
          <w:rFonts w:ascii="Times New Roman" w:hAnsi="Times New Roman" w:cs="Times New Roman"/>
        </w:rPr>
      </w:pPr>
      <w:r w:rsidRPr="0066150A">
        <w:rPr>
          <w:rFonts w:ascii="Times New Roman" w:eastAsia="Times New Roman" w:hAnsi="Times New Roman" w:cs="Times New Roman"/>
          <w:sz w:val="24"/>
          <w:szCs w:val="24"/>
        </w:rPr>
        <w:t xml:space="preserve">The </w:t>
      </w:r>
      <w:r w:rsidR="00AC5242" w:rsidRPr="0066150A">
        <w:rPr>
          <w:rFonts w:ascii="Times New Roman" w:eastAsia="Times New Roman" w:hAnsi="Times New Roman" w:cs="Times New Roman"/>
          <w:sz w:val="24"/>
          <w:szCs w:val="24"/>
        </w:rPr>
        <w:t>T</w:t>
      </w:r>
      <w:r w:rsidRPr="0066150A">
        <w:rPr>
          <w:rFonts w:ascii="Times New Roman" w:eastAsia="Times New Roman" w:hAnsi="Times New Roman" w:cs="Times New Roman"/>
          <w:sz w:val="24"/>
          <w:szCs w:val="24"/>
        </w:rPr>
        <w:t>herapeutic Goods Committee (TGC) has been consulted in regard to proposed changes to Schedules 1 and 3</w:t>
      </w:r>
      <w:r w:rsidR="00242658" w:rsidRPr="0066150A">
        <w:rPr>
          <w:rFonts w:ascii="Times New Roman" w:eastAsia="Times New Roman" w:hAnsi="Times New Roman" w:cs="Times New Roman"/>
          <w:sz w:val="24"/>
          <w:szCs w:val="24"/>
        </w:rPr>
        <w:t xml:space="preserve"> to the Order</w:t>
      </w:r>
      <w:r w:rsidRPr="0066150A">
        <w:rPr>
          <w:rFonts w:ascii="Times New Roman" w:eastAsia="Times New Roman" w:hAnsi="Times New Roman" w:cs="Times New Roman"/>
          <w:sz w:val="24"/>
          <w:szCs w:val="24"/>
        </w:rPr>
        <w:t>, under the provisions of subsection 10(4) of the Act.</w:t>
      </w:r>
      <w:r w:rsidRPr="0066150A">
        <w:rPr>
          <w:rFonts w:ascii="Times New Roman" w:hAnsi="Times New Roman" w:cs="Times New Roman"/>
          <w:sz w:val="24"/>
          <w:szCs w:val="24"/>
          <w:lang w:eastAsia="en-AU"/>
        </w:rPr>
        <w:t xml:space="preserve"> </w:t>
      </w:r>
      <w:r w:rsidR="00E12320" w:rsidRPr="0066150A">
        <w:rPr>
          <w:rFonts w:ascii="Times New Roman" w:hAnsi="Times New Roman" w:cs="Times New Roman"/>
          <w:sz w:val="24"/>
          <w:szCs w:val="24"/>
          <w:lang w:eastAsia="en-AU"/>
        </w:rPr>
        <w:t xml:space="preserve"> The TGC was established under regulation 34 of the Therapeutic Goods Regulations 1990 to provide advice and to make recommendations to the Minister on matters such as the adoption of standards for therapeutic goods and matters relating to the requirements for labelling and packaging of therapeutic goods. This committee has now been disbanded.</w:t>
      </w:r>
    </w:p>
    <w:p w:rsidR="009D6AB4" w:rsidRPr="0066150A" w:rsidRDefault="009D6AB4" w:rsidP="00704513">
      <w:pPr>
        <w:spacing w:before="240" w:line="300" w:lineRule="exact"/>
        <w:rPr>
          <w:rFonts w:ascii="Times New Roman" w:hAnsi="Times New Roman" w:cs="Times New Roman"/>
        </w:rPr>
      </w:pPr>
      <w:r w:rsidRPr="0066150A">
        <w:rPr>
          <w:rFonts w:ascii="Times New Roman" w:eastAsia="Times New Roman" w:hAnsi="Times New Roman" w:cs="Times New Roman"/>
          <w:sz w:val="24"/>
          <w:szCs w:val="24"/>
          <w:lang w:eastAsia="en-AU"/>
        </w:rPr>
        <w:t>In June 2017, targeted consultation was undertaken with the major industry sponsors that</w:t>
      </w:r>
      <w:r w:rsidRPr="0066150A">
        <w:rPr>
          <w:rFonts w:ascii="Times New Roman" w:hAnsi="Times New Roman" w:cs="Times New Roman"/>
          <w:sz w:val="24"/>
          <w:szCs w:val="24"/>
        </w:rPr>
        <w:t xml:space="preserve"> would </w:t>
      </w:r>
      <w:r w:rsidRPr="0066150A">
        <w:rPr>
          <w:rFonts w:ascii="Times New Roman" w:eastAsia="Times New Roman" w:hAnsi="Times New Roman" w:cs="Times New Roman"/>
          <w:sz w:val="24"/>
          <w:szCs w:val="24"/>
          <w:lang w:eastAsia="en-AU"/>
        </w:rPr>
        <w:t>supply unapproved therapeutic goods authorised for supply by health practitioner notification under subsection 19(7A) of the Act.  In that consultation, in which the top 20 manufacturers and suppliers of unapproved goods via the Special Access Scheme and the relevant peak industry bodies</w:t>
      </w:r>
      <w:r w:rsidR="00455119" w:rsidRPr="0066150A">
        <w:rPr>
          <w:rFonts w:ascii="Times New Roman" w:eastAsia="Times New Roman" w:hAnsi="Times New Roman" w:cs="Times New Roman"/>
          <w:sz w:val="24"/>
          <w:szCs w:val="24"/>
          <w:lang w:eastAsia="en-AU"/>
        </w:rPr>
        <w:t xml:space="preserve"> were consulted</w:t>
      </w:r>
      <w:r w:rsidRPr="0066150A">
        <w:rPr>
          <w:rFonts w:ascii="Times New Roman" w:eastAsia="Times New Roman" w:hAnsi="Times New Roman" w:cs="Times New Roman"/>
          <w:sz w:val="24"/>
          <w:szCs w:val="24"/>
          <w:lang w:eastAsia="en-AU"/>
        </w:rPr>
        <w:t>, sponsors were made aware that Therapeutic Goods Orders Nos. 69</w:t>
      </w:r>
      <w:r w:rsidR="007D21E5" w:rsidRPr="0066150A">
        <w:rPr>
          <w:rFonts w:ascii="Times New Roman" w:eastAsia="Times New Roman" w:hAnsi="Times New Roman" w:cs="Times New Roman"/>
          <w:sz w:val="24"/>
          <w:szCs w:val="24"/>
          <w:lang w:eastAsia="en-AU"/>
        </w:rPr>
        <w:t>/69</w:t>
      </w:r>
      <w:r w:rsidR="004F45FE" w:rsidRPr="0066150A">
        <w:rPr>
          <w:rFonts w:ascii="Times New Roman" w:eastAsia="Times New Roman" w:hAnsi="Times New Roman" w:cs="Times New Roman"/>
          <w:sz w:val="24"/>
          <w:szCs w:val="24"/>
          <w:lang w:eastAsia="en-AU"/>
        </w:rPr>
        <w:t xml:space="preserve"> (2017)</w:t>
      </w:r>
      <w:r w:rsidRPr="0066150A">
        <w:rPr>
          <w:rFonts w:ascii="Times New Roman" w:eastAsia="Times New Roman" w:hAnsi="Times New Roman" w:cs="Times New Roman"/>
          <w:sz w:val="24"/>
          <w:szCs w:val="24"/>
          <w:lang w:eastAsia="en-AU"/>
        </w:rPr>
        <w:t>, 91 and 92 will be amended to exempt goods supplied under subsection 19(7A) of the Act (the new Category C pathway) from the labelling requirements.</w:t>
      </w:r>
    </w:p>
    <w:p w:rsidR="00704513" w:rsidRPr="0066150A" w:rsidRDefault="00704513" w:rsidP="00704513">
      <w:pPr>
        <w:autoSpaceDE w:val="0"/>
        <w:autoSpaceDN w:val="0"/>
        <w:adjustRightInd w:val="0"/>
        <w:spacing w:before="240" w:after="0" w:line="240" w:lineRule="auto"/>
        <w:rPr>
          <w:rFonts w:ascii="Times New Roman" w:hAnsi="Times New Roman" w:cs="Times New Roman"/>
          <w:sz w:val="24"/>
          <w:szCs w:val="24"/>
        </w:rPr>
      </w:pPr>
    </w:p>
    <w:p w:rsidR="00704513" w:rsidRPr="0066150A" w:rsidRDefault="00704513" w:rsidP="00704513">
      <w:pPr>
        <w:pStyle w:val="Heading3"/>
        <w:spacing w:before="0"/>
        <w:rPr>
          <w:rFonts w:ascii="Times New Roman" w:hAnsi="Times New Roman" w:cs="Times New Roman"/>
          <w:sz w:val="24"/>
          <w:szCs w:val="24"/>
        </w:rPr>
      </w:pPr>
      <w:r w:rsidRPr="0066150A">
        <w:rPr>
          <w:rFonts w:ascii="Times New Roman" w:hAnsi="Times New Roman" w:cs="Times New Roman"/>
          <w:sz w:val="24"/>
          <w:szCs w:val="24"/>
        </w:rPr>
        <w:t>REGULATION IMPACT</w:t>
      </w:r>
    </w:p>
    <w:p w:rsidR="00E12320" w:rsidRPr="0066150A" w:rsidRDefault="00E12320" w:rsidP="00E12320">
      <w:pPr>
        <w:spacing w:before="240" w:line="300" w:lineRule="exact"/>
        <w:rPr>
          <w:rFonts w:ascii="Times New Roman" w:hAnsi="Times New Roman" w:cs="Times New Roman"/>
          <w:sz w:val="24"/>
          <w:szCs w:val="24"/>
        </w:rPr>
      </w:pPr>
      <w:r w:rsidRPr="0066150A">
        <w:rPr>
          <w:rFonts w:ascii="Times New Roman" w:hAnsi="Times New Roman" w:cs="Times New Roman"/>
          <w:sz w:val="24"/>
          <w:szCs w:val="24"/>
        </w:rPr>
        <w:t>The</w:t>
      </w:r>
      <w:r w:rsidR="001F1B6B" w:rsidRPr="0066150A">
        <w:rPr>
          <w:rFonts w:ascii="Times New Roman" w:hAnsi="Times New Roman" w:cs="Times New Roman"/>
          <w:sz w:val="24"/>
          <w:szCs w:val="24"/>
        </w:rPr>
        <w:t>se</w:t>
      </w:r>
      <w:r w:rsidRPr="0066150A">
        <w:rPr>
          <w:rFonts w:ascii="Times New Roman" w:hAnsi="Times New Roman" w:cs="Times New Roman"/>
          <w:sz w:val="24"/>
          <w:szCs w:val="24"/>
        </w:rPr>
        <w:t xml:space="preserve"> amendments to TGO 91 and 92 are part of the implementation of</w:t>
      </w:r>
      <w:r w:rsidR="001F1B6B" w:rsidRPr="0066150A">
        <w:rPr>
          <w:rFonts w:ascii="Times New Roman" w:hAnsi="Times New Roman" w:cs="Times New Roman"/>
          <w:sz w:val="24"/>
          <w:szCs w:val="24"/>
        </w:rPr>
        <w:t xml:space="preserve"> TGO 91 and TGO 92 and are covered in</w:t>
      </w:r>
      <w:r w:rsidRPr="0066150A">
        <w:rPr>
          <w:rFonts w:ascii="Times New Roman" w:hAnsi="Times New Roman" w:cs="Times New Roman"/>
          <w:sz w:val="24"/>
          <w:szCs w:val="24"/>
        </w:rPr>
        <w:t xml:space="preserve"> the regulat</w:t>
      </w:r>
      <w:r w:rsidR="00AC5242" w:rsidRPr="0066150A">
        <w:rPr>
          <w:rFonts w:ascii="Times New Roman" w:hAnsi="Times New Roman" w:cs="Times New Roman"/>
          <w:sz w:val="24"/>
          <w:szCs w:val="24"/>
        </w:rPr>
        <w:t>ion</w:t>
      </w:r>
      <w:r w:rsidRPr="0066150A">
        <w:rPr>
          <w:rFonts w:ascii="Times New Roman" w:hAnsi="Times New Roman" w:cs="Times New Roman"/>
          <w:sz w:val="24"/>
          <w:szCs w:val="24"/>
        </w:rPr>
        <w:t xml:space="preserve"> impact statement (RIS)</w:t>
      </w:r>
      <w:r w:rsidR="00704513" w:rsidRPr="0066150A">
        <w:rPr>
          <w:rFonts w:ascii="Times New Roman" w:hAnsi="Times New Roman" w:cs="Times New Roman"/>
          <w:sz w:val="24"/>
          <w:szCs w:val="24"/>
        </w:rPr>
        <w:t>:</w:t>
      </w:r>
      <w:r w:rsidRPr="0066150A">
        <w:rPr>
          <w:rFonts w:ascii="Times New Roman" w:hAnsi="Times New Roman" w:cs="Times New Roman"/>
          <w:sz w:val="24"/>
          <w:szCs w:val="24"/>
        </w:rPr>
        <w:t xml:space="preserve"> General requirement</w:t>
      </w:r>
      <w:r w:rsidR="00AC5242" w:rsidRPr="0066150A">
        <w:rPr>
          <w:rFonts w:ascii="Times New Roman" w:hAnsi="Times New Roman" w:cs="Times New Roman"/>
          <w:sz w:val="24"/>
          <w:szCs w:val="24"/>
        </w:rPr>
        <w:t>s</w:t>
      </w:r>
      <w:r w:rsidRPr="0066150A">
        <w:rPr>
          <w:rFonts w:ascii="Times New Roman" w:hAnsi="Times New Roman" w:cs="Times New Roman"/>
          <w:sz w:val="24"/>
          <w:szCs w:val="24"/>
        </w:rPr>
        <w:t xml:space="preserve"> for labels for medicines (OBPR ID: 20860). The RIS was assessed by Office of Best Practice Regulation (OBPR) as compliant with the Government’s RIS requirements and the RIS is consistent with best practice. Given the expected magnitude of the impacts of the proposal, the OBPR considered the level of analysis in the RIS is consistent with best practice. The average annual regulatory cost associated with the RIS is $1.1 million. The OBPR agreed to the regulatory cost and offset estimates.</w:t>
      </w:r>
    </w:p>
    <w:p w:rsidR="009D6AB4" w:rsidRPr="0066150A" w:rsidRDefault="00A44CAC" w:rsidP="005C2F36">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66150A">
        <w:rPr>
          <w:rFonts w:ascii="Times New Roman" w:eastAsia="Times New Roman" w:hAnsi="Times New Roman" w:cs="Times New Roman"/>
          <w:sz w:val="24"/>
          <w:szCs w:val="24"/>
          <w:lang w:eastAsia="en-AU"/>
        </w:rPr>
        <w:t>This Order</w:t>
      </w:r>
      <w:r w:rsidR="009D6AB4" w:rsidRPr="0066150A">
        <w:rPr>
          <w:rFonts w:ascii="Times New Roman" w:eastAsia="Times New Roman" w:hAnsi="Times New Roman" w:cs="Times New Roman"/>
          <w:sz w:val="24"/>
          <w:szCs w:val="24"/>
          <w:lang w:eastAsia="en-AU"/>
        </w:rPr>
        <w:t xml:space="preserve"> is a legislative instrument for the purposes of the </w:t>
      </w:r>
      <w:r w:rsidR="009D6AB4" w:rsidRPr="0066150A">
        <w:rPr>
          <w:rFonts w:ascii="Times New Roman" w:eastAsia="Times New Roman" w:hAnsi="Times New Roman" w:cs="Times New Roman"/>
          <w:i/>
          <w:sz w:val="24"/>
          <w:szCs w:val="24"/>
          <w:lang w:eastAsia="en-AU"/>
        </w:rPr>
        <w:t>Legislation Act 2003</w:t>
      </w:r>
      <w:r w:rsidR="009D6AB4" w:rsidRPr="0066150A">
        <w:rPr>
          <w:rFonts w:ascii="Times New Roman" w:eastAsia="Times New Roman" w:hAnsi="Times New Roman" w:cs="Times New Roman"/>
          <w:sz w:val="24"/>
          <w:szCs w:val="24"/>
          <w:lang w:eastAsia="en-AU"/>
        </w:rPr>
        <w:t>.</w:t>
      </w:r>
    </w:p>
    <w:p w:rsidR="009D6AB4" w:rsidRPr="0066150A" w:rsidRDefault="009D6AB4" w:rsidP="009D6AB4">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sz w:val="24"/>
          <w:szCs w:val="24"/>
          <w:lang w:eastAsia="en-AU"/>
        </w:rPr>
        <w:t xml:space="preserve">In relation to compatibility with human rights, it is considered that </w:t>
      </w:r>
      <w:r w:rsidR="003D52AC" w:rsidRPr="0066150A">
        <w:rPr>
          <w:rFonts w:ascii="Times New Roman" w:eastAsia="Times New Roman" w:hAnsi="Times New Roman" w:cs="Times New Roman"/>
          <w:sz w:val="24"/>
          <w:szCs w:val="24"/>
          <w:lang w:eastAsia="en-AU"/>
        </w:rPr>
        <w:t>this Order</w:t>
      </w:r>
      <w:r w:rsidRPr="0066150A">
        <w:rPr>
          <w:rFonts w:ascii="Times New Roman" w:eastAsia="Times New Roman" w:hAnsi="Times New Roman" w:cs="Times New Roman"/>
          <w:sz w:val="24"/>
          <w:szCs w:val="24"/>
          <w:lang w:eastAsia="en-AU"/>
        </w:rPr>
        <w:t xml:space="preserve"> is compatible with the human rights and freedoms recognised or declared in the international instruments listed in section 3 of the </w:t>
      </w:r>
      <w:r w:rsidRPr="0066150A">
        <w:rPr>
          <w:rFonts w:ascii="Times New Roman" w:eastAsia="Times New Roman" w:hAnsi="Times New Roman" w:cs="Times New Roman"/>
          <w:i/>
          <w:iCs/>
          <w:sz w:val="24"/>
          <w:szCs w:val="24"/>
          <w:lang w:eastAsia="en-AU"/>
        </w:rPr>
        <w:t>Human Rights (Parliamentary Scrutiny) Act 2011</w:t>
      </w:r>
      <w:r w:rsidRPr="0066150A">
        <w:rPr>
          <w:rFonts w:ascii="Times New Roman" w:eastAsia="Times New Roman" w:hAnsi="Times New Roman" w:cs="Times New Roman"/>
          <w:sz w:val="24"/>
          <w:szCs w:val="24"/>
          <w:lang w:eastAsia="en-AU"/>
        </w:rPr>
        <w:t>, and a Statement of Compatibility setting that out in further detail is below.</w:t>
      </w:r>
    </w:p>
    <w:p w:rsidR="006C4A3B" w:rsidRPr="0066150A" w:rsidRDefault="006C4A3B" w:rsidP="005C2F36">
      <w:pPr>
        <w:shd w:val="clear" w:color="auto" w:fill="FFFFFF"/>
        <w:spacing w:before="100" w:beforeAutospacing="1" w:after="120" w:line="240" w:lineRule="auto"/>
        <w:rPr>
          <w:rFonts w:ascii="Times New Roman" w:eastAsia="Times New Roman" w:hAnsi="Times New Roman" w:cs="Times New Roman"/>
          <w:b/>
          <w:bCs/>
          <w:sz w:val="24"/>
          <w:lang w:eastAsia="en-AU"/>
        </w:rPr>
      </w:pPr>
    </w:p>
    <w:p w:rsidR="006C4A3B" w:rsidRPr="0066150A" w:rsidRDefault="006C4A3B" w:rsidP="0045193F">
      <w:pPr>
        <w:rPr>
          <w:rFonts w:ascii="Times New Roman" w:eastAsia="Times New Roman" w:hAnsi="Times New Roman" w:cs="Times New Roman"/>
          <w:b/>
          <w:bCs/>
          <w:sz w:val="24"/>
          <w:lang w:eastAsia="en-AU"/>
        </w:rPr>
        <w:sectPr w:rsidR="006C4A3B" w:rsidRPr="0066150A">
          <w:footerReference w:type="default" r:id="rId9"/>
          <w:pgSz w:w="11906" w:h="16838"/>
          <w:pgMar w:top="1440" w:right="1440" w:bottom="1440" w:left="1440" w:header="708" w:footer="708" w:gutter="0"/>
          <w:cols w:space="708"/>
          <w:docGrid w:linePitch="360"/>
        </w:sectPr>
      </w:pP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b/>
          <w:bCs/>
          <w:sz w:val="24"/>
          <w:szCs w:val="24"/>
          <w:lang w:eastAsia="en-AU"/>
        </w:rPr>
        <w:lastRenderedPageBreak/>
        <w:t xml:space="preserve">SUPPLEMENTARY MATERIAL - STATEMENT OF COMPATIBILITY WITH HUMAN RIGHTS FOR A LEGISLATIVE INSTRUMENT THAT </w:t>
      </w:r>
      <w:r w:rsidRPr="0066150A">
        <w:rPr>
          <w:rFonts w:ascii="Times New Roman" w:eastAsia="Times New Roman" w:hAnsi="Times New Roman" w:cs="Times New Roman"/>
          <w:b/>
          <w:bCs/>
          <w:sz w:val="24"/>
          <w:szCs w:val="24"/>
          <w:u w:val="single"/>
          <w:lang w:eastAsia="en-AU"/>
        </w:rPr>
        <w:t>DOES NOT</w:t>
      </w:r>
      <w:r w:rsidRPr="0066150A">
        <w:rPr>
          <w:rFonts w:ascii="Times New Roman" w:eastAsia="Times New Roman" w:hAnsi="Times New Roman" w:cs="Times New Roman"/>
          <w:b/>
          <w:bCs/>
          <w:sz w:val="24"/>
          <w:szCs w:val="24"/>
          <w:lang w:eastAsia="en-AU"/>
        </w:rPr>
        <w:t xml:space="preserve"> RAISE ANY HUMAN RIGHTS ISSUES</w:t>
      </w: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b/>
          <w:bCs/>
          <w:sz w:val="24"/>
          <w:szCs w:val="24"/>
          <w:lang w:eastAsia="en-AU"/>
        </w:rPr>
        <w:t>Statement of Compatibility with Human Rights</w:t>
      </w: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roofErr w:type="gramStart"/>
      <w:r w:rsidRPr="0066150A">
        <w:rPr>
          <w:rFonts w:ascii="Times New Roman" w:eastAsia="Times New Roman" w:hAnsi="Times New Roman" w:cs="Times New Roman"/>
          <w:sz w:val="24"/>
          <w:szCs w:val="24"/>
          <w:lang w:eastAsia="en-AU"/>
        </w:rPr>
        <w:t>Prepared in accordance with Part 3 of the</w:t>
      </w:r>
      <w:r w:rsidRPr="0066150A">
        <w:rPr>
          <w:rFonts w:ascii="Times New Roman" w:eastAsia="Times New Roman" w:hAnsi="Times New Roman" w:cs="Times New Roman"/>
          <w:i/>
          <w:iCs/>
          <w:sz w:val="24"/>
          <w:szCs w:val="24"/>
          <w:lang w:eastAsia="en-AU"/>
        </w:rPr>
        <w:t xml:space="preserve"> Human Rights (Parliamentary Scrutiny) Act 2011</w:t>
      </w:r>
      <w:r w:rsidRPr="0066150A">
        <w:rPr>
          <w:rFonts w:ascii="Times New Roman" w:eastAsia="Times New Roman" w:hAnsi="Times New Roman" w:cs="Times New Roman"/>
          <w:sz w:val="24"/>
          <w:szCs w:val="24"/>
          <w:lang w:eastAsia="en-AU"/>
        </w:rPr>
        <w:t>.</w:t>
      </w:r>
      <w:proofErr w:type="gramEnd"/>
    </w:p>
    <w:p w:rsidR="0066769F" w:rsidRPr="0066150A" w:rsidRDefault="00DE0F33" w:rsidP="0066769F">
      <w:pPr>
        <w:shd w:val="clear" w:color="auto" w:fill="FFFFFF"/>
        <w:spacing w:before="100" w:beforeAutospacing="1" w:after="120" w:line="240" w:lineRule="auto"/>
        <w:rPr>
          <w:rFonts w:ascii="Times New Roman" w:eastAsia="Times New Roman" w:hAnsi="Times New Roman" w:cs="Times New Roman"/>
          <w:b/>
          <w:bCs/>
          <w:sz w:val="24"/>
          <w:szCs w:val="24"/>
          <w:lang w:eastAsia="en-AU"/>
        </w:rPr>
      </w:pPr>
      <w:r w:rsidRPr="0066150A">
        <w:rPr>
          <w:rFonts w:ascii="Times New Roman" w:eastAsia="Times New Roman" w:hAnsi="Times New Roman" w:cs="Times New Roman"/>
          <w:b/>
          <w:bCs/>
          <w:sz w:val="24"/>
          <w:szCs w:val="24"/>
          <w:lang w:eastAsia="en-AU"/>
        </w:rPr>
        <w:t>Therapeutic Goods Order No. 9</w:t>
      </w:r>
      <w:r w:rsidR="0066769F" w:rsidRPr="0066150A">
        <w:rPr>
          <w:rFonts w:ascii="Times New Roman" w:eastAsia="Times New Roman" w:hAnsi="Times New Roman" w:cs="Times New Roman"/>
          <w:b/>
          <w:bCs/>
          <w:sz w:val="24"/>
          <w:szCs w:val="24"/>
          <w:lang w:eastAsia="en-AU"/>
        </w:rPr>
        <w:t>2</w:t>
      </w:r>
      <w:r w:rsidR="009173A5" w:rsidRPr="0066150A">
        <w:rPr>
          <w:rFonts w:ascii="Times New Roman" w:eastAsia="Times New Roman" w:hAnsi="Times New Roman" w:cs="Times New Roman"/>
          <w:b/>
          <w:bCs/>
          <w:sz w:val="24"/>
          <w:szCs w:val="24"/>
          <w:lang w:eastAsia="en-AU"/>
        </w:rPr>
        <w:t>A</w:t>
      </w:r>
      <w:r w:rsidRPr="0066150A">
        <w:rPr>
          <w:rFonts w:ascii="Times New Roman" w:eastAsia="Times New Roman" w:hAnsi="Times New Roman" w:cs="Times New Roman"/>
          <w:b/>
          <w:bCs/>
          <w:sz w:val="24"/>
          <w:szCs w:val="24"/>
          <w:lang w:eastAsia="en-AU"/>
        </w:rPr>
        <w:t xml:space="preserve"> </w:t>
      </w:r>
      <w:r w:rsidR="009173A5" w:rsidRPr="0066150A">
        <w:rPr>
          <w:rFonts w:ascii="Times New Roman" w:eastAsia="Times New Roman" w:hAnsi="Times New Roman" w:cs="Times New Roman"/>
          <w:b/>
          <w:bCs/>
          <w:sz w:val="24"/>
          <w:szCs w:val="24"/>
          <w:lang w:eastAsia="en-AU"/>
        </w:rPr>
        <w:t>–</w:t>
      </w:r>
      <w:r w:rsidR="0066769F" w:rsidRPr="0066150A">
        <w:rPr>
          <w:rFonts w:ascii="Times New Roman" w:eastAsia="Times New Roman" w:hAnsi="Times New Roman" w:cs="Times New Roman"/>
          <w:b/>
          <w:bCs/>
          <w:sz w:val="24"/>
          <w:szCs w:val="24"/>
          <w:lang w:eastAsia="en-AU"/>
        </w:rPr>
        <w:t xml:space="preserve"> </w:t>
      </w:r>
      <w:r w:rsidR="009173A5" w:rsidRPr="0066150A">
        <w:rPr>
          <w:rFonts w:ascii="Times New Roman" w:eastAsia="Times New Roman" w:hAnsi="Times New Roman" w:cs="Times New Roman"/>
          <w:b/>
          <w:bCs/>
          <w:sz w:val="24"/>
          <w:szCs w:val="24"/>
          <w:lang w:eastAsia="en-AU"/>
        </w:rPr>
        <w:t>Therapeutic Goods Order No.92 (</w:t>
      </w:r>
      <w:r w:rsidR="0066769F" w:rsidRPr="0066150A">
        <w:rPr>
          <w:rFonts w:ascii="Times New Roman" w:eastAsia="Times New Roman" w:hAnsi="Times New Roman" w:cs="Times New Roman"/>
          <w:b/>
          <w:bCs/>
          <w:sz w:val="24"/>
          <w:szCs w:val="24"/>
          <w:lang w:eastAsia="en-AU"/>
        </w:rPr>
        <w:t>Standard for labels of non-prescription medicines</w:t>
      </w:r>
      <w:r w:rsidR="009173A5" w:rsidRPr="0066150A">
        <w:rPr>
          <w:rFonts w:ascii="Times New Roman" w:eastAsia="Times New Roman" w:hAnsi="Times New Roman" w:cs="Times New Roman"/>
          <w:b/>
          <w:bCs/>
          <w:sz w:val="24"/>
          <w:szCs w:val="24"/>
          <w:lang w:eastAsia="en-AU"/>
        </w:rPr>
        <w:t>)</w:t>
      </w:r>
      <w:r w:rsidR="0066769F" w:rsidRPr="0066150A">
        <w:rPr>
          <w:rFonts w:ascii="Times New Roman" w:eastAsia="Times New Roman" w:hAnsi="Times New Roman" w:cs="Times New Roman"/>
          <w:b/>
          <w:bCs/>
          <w:sz w:val="24"/>
          <w:szCs w:val="24"/>
          <w:lang w:eastAsia="en-AU"/>
        </w:rPr>
        <w:t xml:space="preserve"> Amendment Order 2017</w:t>
      </w: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66150A">
        <w:rPr>
          <w:rFonts w:ascii="Times New Roman" w:eastAsia="Times New Roman" w:hAnsi="Times New Roman" w:cs="Times New Roman"/>
          <w:i/>
          <w:iCs/>
          <w:sz w:val="24"/>
          <w:szCs w:val="24"/>
          <w:lang w:eastAsia="en-AU"/>
        </w:rPr>
        <w:t>Human Rights (Parliamentary Scrutiny) Act 2011</w:t>
      </w:r>
      <w:r w:rsidRPr="0066150A">
        <w:rPr>
          <w:rFonts w:ascii="Times New Roman" w:eastAsia="Times New Roman" w:hAnsi="Times New Roman" w:cs="Times New Roman"/>
          <w:sz w:val="24"/>
          <w:szCs w:val="24"/>
          <w:lang w:eastAsia="en-AU"/>
        </w:rPr>
        <w:t>.</w:t>
      </w: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b/>
          <w:bCs/>
          <w:sz w:val="24"/>
          <w:szCs w:val="24"/>
          <w:lang w:eastAsia="en-AU"/>
        </w:rPr>
        <w:t>Overview of the Legislative Instrument</w:t>
      </w:r>
    </w:p>
    <w:p w:rsidR="00D2469D" w:rsidRPr="0066150A" w:rsidRDefault="009A3D9E" w:rsidP="00D2469D">
      <w:pPr>
        <w:autoSpaceDE w:val="0"/>
        <w:autoSpaceDN w:val="0"/>
        <w:adjustRightInd w:val="0"/>
        <w:spacing w:before="240" w:after="0" w:line="240" w:lineRule="auto"/>
        <w:rPr>
          <w:rFonts w:ascii="Times New Roman" w:eastAsia="Times New Roman" w:hAnsi="Times New Roman" w:cs="Times New Roman"/>
          <w:sz w:val="24"/>
          <w:szCs w:val="24"/>
          <w:lang w:eastAsia="en-AU"/>
        </w:rPr>
      </w:pPr>
      <w:r w:rsidRPr="0066150A">
        <w:rPr>
          <w:rFonts w:ascii="Times New Roman" w:eastAsia="Times New Roman" w:hAnsi="Times New Roman" w:cs="Times New Roman"/>
          <w:i/>
          <w:sz w:val="24"/>
          <w:szCs w:val="24"/>
          <w:lang w:eastAsia="en-AU"/>
        </w:rPr>
        <w:t>T</w:t>
      </w:r>
      <w:r w:rsidRPr="0066150A">
        <w:rPr>
          <w:rStyle w:val="CommentReference"/>
          <w:rFonts w:ascii="Times New Roman" w:hAnsi="Times New Roman" w:cs="Times New Roman"/>
          <w:i/>
          <w:sz w:val="24"/>
          <w:szCs w:val="24"/>
        </w:rPr>
        <w:t>herapeutic Goods Order No. 92A – Therapeutic Goods Order No.92 (Standard for labels of non-prescription medicines) Amendment Order 2017</w:t>
      </w:r>
      <w:r w:rsidRPr="0066150A">
        <w:rPr>
          <w:rStyle w:val="CommentReference"/>
          <w:rFonts w:ascii="Times New Roman" w:hAnsi="Times New Roman" w:cs="Times New Roman"/>
          <w:sz w:val="24"/>
          <w:szCs w:val="24"/>
        </w:rPr>
        <w:t xml:space="preserve"> (this Order) amends </w:t>
      </w:r>
      <w:r w:rsidR="00D2469D" w:rsidRPr="0066150A">
        <w:rPr>
          <w:rStyle w:val="CommentReference"/>
          <w:rFonts w:ascii="Times New Roman" w:hAnsi="Times New Roman" w:cs="Times New Roman"/>
          <w:i/>
          <w:sz w:val="24"/>
          <w:szCs w:val="24"/>
        </w:rPr>
        <w:t>Therapeutic Goods Order No. 92 - Standard for labels of non-prescription medicines</w:t>
      </w:r>
      <w:r w:rsidR="00D2469D" w:rsidRPr="0066150A">
        <w:rPr>
          <w:rStyle w:val="CommentReference"/>
          <w:rFonts w:ascii="Times New Roman" w:hAnsi="Times New Roman" w:cs="Times New Roman"/>
          <w:sz w:val="24"/>
          <w:szCs w:val="24"/>
        </w:rPr>
        <w:t xml:space="preserve"> (the original Order)</w:t>
      </w:r>
      <w:r w:rsidRPr="0066150A">
        <w:rPr>
          <w:rStyle w:val="CommentReference"/>
          <w:rFonts w:ascii="Times New Roman" w:hAnsi="Times New Roman" w:cs="Times New Roman"/>
          <w:sz w:val="24"/>
          <w:szCs w:val="24"/>
        </w:rPr>
        <w:t xml:space="preserve">. The original Order </w:t>
      </w:r>
      <w:r w:rsidR="00D2469D" w:rsidRPr="0066150A">
        <w:rPr>
          <w:rStyle w:val="CommentReference"/>
          <w:rFonts w:ascii="Times New Roman" w:hAnsi="Times New Roman" w:cs="Times New Roman"/>
          <w:sz w:val="24"/>
          <w:szCs w:val="24"/>
        </w:rPr>
        <w:t xml:space="preserve">was made on 2 August 2016 (Register ID: F2016L01287) by the delegate of the then Minister for Health and Aged Care under section 10 of the </w:t>
      </w:r>
      <w:r w:rsidR="00D2469D" w:rsidRPr="0066150A">
        <w:rPr>
          <w:rStyle w:val="CommentReference"/>
          <w:rFonts w:ascii="Times New Roman" w:hAnsi="Times New Roman" w:cs="Times New Roman"/>
          <w:i/>
          <w:sz w:val="24"/>
          <w:szCs w:val="24"/>
        </w:rPr>
        <w:t>Therapeutic Goods Act 1989</w:t>
      </w:r>
      <w:r w:rsidR="00D2469D" w:rsidRPr="0066150A">
        <w:rPr>
          <w:rStyle w:val="CommentReference"/>
          <w:rFonts w:ascii="Times New Roman" w:hAnsi="Times New Roman" w:cs="Times New Roman"/>
          <w:sz w:val="24"/>
          <w:szCs w:val="24"/>
        </w:rPr>
        <w:t xml:space="preserve"> (the Act). The original Order commenced on 31 August 2016.</w:t>
      </w:r>
    </w:p>
    <w:p w:rsidR="00D2469D" w:rsidRPr="0066150A" w:rsidRDefault="00D2469D" w:rsidP="00D2469D">
      <w:pPr>
        <w:autoSpaceDE w:val="0"/>
        <w:autoSpaceDN w:val="0"/>
        <w:adjustRightInd w:val="0"/>
        <w:spacing w:before="240" w:after="0" w:line="240" w:lineRule="auto"/>
        <w:rPr>
          <w:rStyle w:val="CommentReference"/>
          <w:rFonts w:ascii="Times New Roman" w:hAnsi="Times New Roman" w:cs="Times New Roman"/>
          <w:sz w:val="24"/>
          <w:szCs w:val="24"/>
        </w:rPr>
      </w:pPr>
      <w:r w:rsidRPr="0066150A">
        <w:rPr>
          <w:rStyle w:val="CommentReference"/>
          <w:rFonts w:ascii="Times New Roman" w:hAnsi="Times New Roman" w:cs="Times New Roman"/>
          <w:sz w:val="24"/>
          <w:szCs w:val="24"/>
        </w:rPr>
        <w:t xml:space="preserve">The amendments </w:t>
      </w:r>
      <w:r w:rsidR="009A3D9E" w:rsidRPr="0066150A">
        <w:rPr>
          <w:rStyle w:val="CommentReference"/>
          <w:rFonts w:ascii="Times New Roman" w:hAnsi="Times New Roman" w:cs="Times New Roman"/>
          <w:sz w:val="24"/>
          <w:szCs w:val="24"/>
        </w:rPr>
        <w:t xml:space="preserve">to the original Order </w:t>
      </w:r>
      <w:r w:rsidRPr="0066150A">
        <w:rPr>
          <w:rStyle w:val="CommentReference"/>
          <w:rFonts w:ascii="Times New Roman" w:hAnsi="Times New Roman" w:cs="Times New Roman"/>
          <w:sz w:val="24"/>
          <w:szCs w:val="24"/>
        </w:rPr>
        <w:t xml:space="preserve">are minor but are necessary to: </w:t>
      </w:r>
    </w:p>
    <w:p w:rsidR="0066769F" w:rsidRPr="0066150A" w:rsidRDefault="0066769F" w:rsidP="0066769F">
      <w:pPr>
        <w:pStyle w:val="ListParagraph"/>
        <w:numPr>
          <w:ilvl w:val="0"/>
          <w:numId w:val="6"/>
        </w:numPr>
        <w:autoSpaceDE w:val="0"/>
        <w:autoSpaceDN w:val="0"/>
        <w:adjustRightInd w:val="0"/>
        <w:spacing w:before="240" w:after="0" w:line="240" w:lineRule="auto"/>
        <w:ind w:left="709" w:hanging="425"/>
        <w:rPr>
          <w:rFonts w:ascii="Times New Roman" w:hAnsi="Times New Roman" w:cs="Times New Roman"/>
          <w:sz w:val="24"/>
          <w:szCs w:val="24"/>
        </w:rPr>
      </w:pPr>
      <w:r w:rsidRPr="0066150A">
        <w:rPr>
          <w:rFonts w:ascii="Times New Roman" w:hAnsi="Times New Roman" w:cs="Times New Roman"/>
          <w:sz w:val="24"/>
          <w:szCs w:val="24"/>
        </w:rPr>
        <w:t>correctly reference the recently re</w:t>
      </w:r>
      <w:r w:rsidR="00D2469D" w:rsidRPr="0066150A">
        <w:rPr>
          <w:rFonts w:ascii="Times New Roman" w:hAnsi="Times New Roman" w:cs="Times New Roman"/>
          <w:sz w:val="24"/>
          <w:szCs w:val="24"/>
        </w:rPr>
        <w:t>-</w:t>
      </w:r>
      <w:r w:rsidRPr="0066150A">
        <w:rPr>
          <w:rFonts w:ascii="Times New Roman" w:hAnsi="Times New Roman" w:cs="Times New Roman"/>
          <w:sz w:val="24"/>
          <w:szCs w:val="24"/>
        </w:rPr>
        <w:t xml:space="preserve">made </w:t>
      </w:r>
      <w:r w:rsidR="001F1B6B" w:rsidRPr="0066150A">
        <w:rPr>
          <w:rFonts w:ascii="Times New Roman" w:hAnsi="Times New Roman" w:cs="Times New Roman"/>
          <w:i/>
          <w:sz w:val="24"/>
          <w:szCs w:val="24"/>
        </w:rPr>
        <w:t>Therapeutic Goods Order No. 69 -</w:t>
      </w:r>
      <w:r w:rsidR="001F1B6B" w:rsidRPr="0066150A">
        <w:rPr>
          <w:rFonts w:ascii="Times New Roman" w:hAnsi="Times New Roman" w:cs="Times New Roman"/>
          <w:sz w:val="24"/>
          <w:szCs w:val="24"/>
        </w:rPr>
        <w:t xml:space="preserve"> </w:t>
      </w:r>
      <w:r w:rsidR="001F1B6B" w:rsidRPr="0066150A">
        <w:rPr>
          <w:rFonts w:ascii="Times New Roman" w:hAnsi="Times New Roman" w:cs="Times New Roman"/>
          <w:i/>
          <w:sz w:val="24"/>
          <w:szCs w:val="24"/>
        </w:rPr>
        <w:t>General Requirements for Labels for Medicines</w:t>
      </w:r>
      <w:r w:rsidR="001F1B6B" w:rsidRPr="0066150A">
        <w:rPr>
          <w:rFonts w:ascii="Times New Roman" w:hAnsi="Times New Roman" w:cs="Times New Roman"/>
          <w:sz w:val="24"/>
          <w:szCs w:val="24"/>
        </w:rPr>
        <w:t xml:space="preserve"> </w:t>
      </w:r>
      <w:r w:rsidRPr="0066150A">
        <w:rPr>
          <w:rFonts w:ascii="Times New Roman" w:hAnsi="Times New Roman" w:cs="Times New Roman"/>
          <w:sz w:val="24"/>
          <w:szCs w:val="24"/>
        </w:rPr>
        <w:t>by its new name</w:t>
      </w:r>
      <w:r w:rsidR="00D2469D" w:rsidRPr="0066150A">
        <w:rPr>
          <w:rFonts w:ascii="Times New Roman" w:hAnsi="Times New Roman" w:cs="Times New Roman"/>
          <w:sz w:val="24"/>
          <w:szCs w:val="24"/>
        </w:rPr>
        <w:t xml:space="preserve">, </w:t>
      </w:r>
      <w:r w:rsidR="00D2469D" w:rsidRPr="0066150A">
        <w:rPr>
          <w:rFonts w:ascii="Times New Roman" w:hAnsi="Times New Roman" w:cs="Times New Roman"/>
          <w:i/>
          <w:sz w:val="24"/>
          <w:szCs w:val="24"/>
        </w:rPr>
        <w:t>Therapeutic Goods Order No.</w:t>
      </w:r>
      <w:r w:rsidR="00FF7D39" w:rsidRPr="0066150A">
        <w:rPr>
          <w:rFonts w:ascii="Times New Roman" w:hAnsi="Times New Roman" w:cs="Times New Roman"/>
          <w:i/>
          <w:sz w:val="24"/>
          <w:szCs w:val="24"/>
        </w:rPr>
        <w:t xml:space="preserve"> </w:t>
      </w:r>
      <w:r w:rsidR="00D2469D" w:rsidRPr="0066150A">
        <w:rPr>
          <w:rFonts w:ascii="Times New Roman" w:hAnsi="Times New Roman" w:cs="Times New Roman"/>
          <w:i/>
          <w:sz w:val="24"/>
          <w:szCs w:val="24"/>
        </w:rPr>
        <w:t>69- General Requirements for Labels for Medicines 2017</w:t>
      </w:r>
      <w:r w:rsidR="00D2469D" w:rsidRPr="0066150A">
        <w:rPr>
          <w:rFonts w:ascii="Times New Roman" w:hAnsi="Times New Roman" w:cs="Times New Roman"/>
          <w:sz w:val="24"/>
          <w:szCs w:val="24"/>
        </w:rPr>
        <w:t>, and include appropriate consequential amendments</w:t>
      </w:r>
      <w:r w:rsidRPr="0066150A">
        <w:rPr>
          <w:rFonts w:ascii="Times New Roman" w:hAnsi="Times New Roman" w:cs="Times New Roman"/>
          <w:sz w:val="24"/>
          <w:szCs w:val="24"/>
        </w:rPr>
        <w:t>;</w:t>
      </w:r>
      <w:r w:rsidR="0048522D" w:rsidRPr="0066150A">
        <w:rPr>
          <w:rFonts w:ascii="Times New Roman" w:hAnsi="Times New Roman" w:cs="Times New Roman"/>
          <w:sz w:val="24"/>
          <w:szCs w:val="24"/>
        </w:rPr>
        <w:t xml:space="preserve"> </w:t>
      </w:r>
    </w:p>
    <w:p w:rsidR="00D2469D" w:rsidRPr="0066150A" w:rsidRDefault="0066769F" w:rsidP="0066769F">
      <w:pPr>
        <w:pStyle w:val="ListParagraph"/>
        <w:numPr>
          <w:ilvl w:val="0"/>
          <w:numId w:val="6"/>
        </w:numPr>
        <w:autoSpaceDE w:val="0"/>
        <w:autoSpaceDN w:val="0"/>
        <w:adjustRightInd w:val="0"/>
        <w:spacing w:before="240" w:after="0" w:line="240" w:lineRule="auto"/>
        <w:ind w:left="709" w:hanging="425"/>
        <w:rPr>
          <w:rFonts w:ascii="Times New Roman" w:hAnsi="Times New Roman" w:cs="Times New Roman"/>
          <w:sz w:val="24"/>
          <w:szCs w:val="24"/>
        </w:rPr>
      </w:pPr>
      <w:r w:rsidRPr="0066150A">
        <w:rPr>
          <w:rFonts w:ascii="Times New Roman" w:hAnsi="Times New Roman" w:cs="Times New Roman"/>
          <w:sz w:val="24"/>
          <w:szCs w:val="24"/>
        </w:rPr>
        <w:t xml:space="preserve">remove from the scope of the original Order </w:t>
      </w:r>
      <w:r w:rsidR="00C05F0B" w:rsidRPr="0066150A">
        <w:rPr>
          <w:rFonts w:ascii="Times New Roman" w:hAnsi="Times New Roman" w:cs="Times New Roman"/>
          <w:sz w:val="24"/>
          <w:szCs w:val="24"/>
        </w:rPr>
        <w:t xml:space="preserve">non-prescription </w:t>
      </w:r>
      <w:r w:rsidRPr="0066150A">
        <w:rPr>
          <w:rFonts w:ascii="Times New Roman" w:hAnsi="Times New Roman" w:cs="Times New Roman"/>
          <w:sz w:val="24"/>
          <w:szCs w:val="24"/>
        </w:rPr>
        <w:t xml:space="preserve">medicines that are not required to be entered in the Australian Register </w:t>
      </w:r>
      <w:r w:rsidR="00D2469D" w:rsidRPr="0066150A">
        <w:rPr>
          <w:rFonts w:ascii="Times New Roman" w:hAnsi="Times New Roman" w:cs="Times New Roman"/>
          <w:sz w:val="24"/>
          <w:szCs w:val="24"/>
        </w:rPr>
        <w:t xml:space="preserve">of Therapeutic Goods </w:t>
      </w:r>
      <w:r w:rsidRPr="0066150A">
        <w:rPr>
          <w:rFonts w:ascii="Times New Roman" w:hAnsi="Times New Roman" w:cs="Times New Roman"/>
          <w:sz w:val="24"/>
          <w:szCs w:val="24"/>
        </w:rPr>
        <w:t xml:space="preserve">because they are authorised for supply by way of health practitioner notifications under subsection 19(7A) of the Act (introduced recently by the </w:t>
      </w:r>
      <w:r w:rsidRPr="0066150A">
        <w:rPr>
          <w:rFonts w:ascii="Times New Roman" w:hAnsi="Times New Roman" w:cs="Times New Roman"/>
          <w:i/>
          <w:sz w:val="24"/>
          <w:szCs w:val="24"/>
        </w:rPr>
        <w:t>Therapeutic Goods Amendment (2016 Measures No</w:t>
      </w:r>
      <w:r w:rsidR="005C2F36" w:rsidRPr="0066150A">
        <w:rPr>
          <w:rFonts w:ascii="Times New Roman" w:hAnsi="Times New Roman" w:cs="Times New Roman"/>
          <w:i/>
          <w:sz w:val="24"/>
          <w:szCs w:val="24"/>
        </w:rPr>
        <w:t>. </w:t>
      </w:r>
      <w:r w:rsidRPr="0066150A">
        <w:rPr>
          <w:rFonts w:ascii="Times New Roman" w:hAnsi="Times New Roman" w:cs="Times New Roman"/>
          <w:i/>
          <w:sz w:val="24"/>
          <w:szCs w:val="24"/>
        </w:rPr>
        <w:t>1) Act 2017)</w:t>
      </w:r>
      <w:r w:rsidR="00D2469D" w:rsidRPr="0066150A">
        <w:rPr>
          <w:rFonts w:ascii="Times New Roman" w:hAnsi="Times New Roman" w:cs="Times New Roman"/>
          <w:sz w:val="24"/>
          <w:szCs w:val="24"/>
        </w:rPr>
        <w:t xml:space="preserve">; </w:t>
      </w:r>
    </w:p>
    <w:p w:rsidR="00587C6B" w:rsidRPr="0066150A" w:rsidRDefault="00587C6B" w:rsidP="00587C6B">
      <w:pPr>
        <w:pStyle w:val="ListParagraph"/>
        <w:numPr>
          <w:ilvl w:val="0"/>
          <w:numId w:val="6"/>
        </w:numPr>
        <w:shd w:val="clear" w:color="auto" w:fill="FFFFFF"/>
        <w:spacing w:before="100" w:beforeAutospacing="1" w:after="120" w:line="240" w:lineRule="auto"/>
        <w:ind w:left="709"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provide a note in Schedule 1 to the Order to exclude glycerol from the entry for sugar alcohols;</w:t>
      </w:r>
    </w:p>
    <w:p w:rsidR="00587C6B" w:rsidRPr="0066150A" w:rsidRDefault="00587C6B" w:rsidP="00087423">
      <w:pPr>
        <w:pStyle w:val="ListParagraph"/>
        <w:numPr>
          <w:ilvl w:val="0"/>
          <w:numId w:val="6"/>
        </w:numPr>
        <w:shd w:val="clear" w:color="auto" w:fill="FFFFFF"/>
        <w:spacing w:before="100" w:beforeAutospacing="1" w:after="120" w:line="240" w:lineRule="auto"/>
        <w:ind w:left="709"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amend the entry for ‘sorbates’ in Schedule 1 to the Order to clarify its intent;</w:t>
      </w:r>
    </w:p>
    <w:p w:rsidR="00587C6B" w:rsidRPr="0066150A" w:rsidRDefault="00587C6B" w:rsidP="00087423">
      <w:pPr>
        <w:pStyle w:val="ListParagraph"/>
        <w:numPr>
          <w:ilvl w:val="0"/>
          <w:numId w:val="6"/>
        </w:numPr>
        <w:shd w:val="clear" w:color="auto" w:fill="FFFFFF"/>
        <w:spacing w:before="100" w:beforeAutospacing="1" w:after="120" w:line="240" w:lineRule="auto"/>
        <w:ind w:left="709"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correctly state the entries for sodium and potassium in Schedule 1 to the Order, ensuring that they align with relevant entries in Schedule 1 to TGO 91;</w:t>
      </w:r>
    </w:p>
    <w:p w:rsidR="00587C6B" w:rsidRPr="0066150A" w:rsidRDefault="00587C6B" w:rsidP="00087423">
      <w:pPr>
        <w:pStyle w:val="ListParagraph"/>
        <w:numPr>
          <w:ilvl w:val="0"/>
          <w:numId w:val="6"/>
        </w:numPr>
        <w:shd w:val="clear" w:color="auto" w:fill="FFFFFF"/>
        <w:spacing w:before="100" w:beforeAutospacing="1" w:after="120" w:line="240" w:lineRule="auto"/>
        <w:ind w:left="709"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clarify the introductory text in Schedule1 to the Order to confirm that multiple substance declarations can be made within the same sentence, aligning with similar provisions in the Poisons Standard; and</w:t>
      </w:r>
    </w:p>
    <w:p w:rsidR="00587C6B" w:rsidRPr="0066150A" w:rsidRDefault="00587C6B" w:rsidP="00087423">
      <w:pPr>
        <w:pStyle w:val="ListParagraph"/>
        <w:numPr>
          <w:ilvl w:val="0"/>
          <w:numId w:val="6"/>
        </w:numPr>
        <w:shd w:val="clear" w:color="auto" w:fill="FFFFFF"/>
        <w:spacing w:before="100" w:beforeAutospacing="1" w:after="120" w:line="240" w:lineRule="auto"/>
        <w:ind w:left="709" w:hanging="425"/>
        <w:contextualSpacing w:val="0"/>
        <w:rPr>
          <w:rFonts w:ascii="Times New Roman" w:eastAsia="Times New Roman" w:hAnsi="Times New Roman" w:cs="Times New Roman"/>
          <w:sz w:val="24"/>
          <w:szCs w:val="24"/>
          <w:lang w:eastAsia="en-AU"/>
        </w:rPr>
      </w:pPr>
      <w:r w:rsidRPr="0066150A">
        <w:rPr>
          <w:rFonts w:ascii="Times New Roman" w:hAnsi="Times New Roman" w:cs="Times New Roman"/>
          <w:sz w:val="24"/>
          <w:szCs w:val="24"/>
        </w:rPr>
        <w:t>amend the units for bromelains in Schedule 3 to the Order, to allow insertion of ‘million’ before the unit ‘PU” in Column 1 and before ‘Papain units’ in Column 2, to ensure the references are technically correct and consistent with agreed use.</w:t>
      </w:r>
      <w:r w:rsidRPr="0066150A">
        <w:rPr>
          <w:rFonts w:ascii="Times New Roman" w:eastAsia="Times New Roman" w:hAnsi="Times New Roman" w:cs="Times New Roman"/>
          <w:sz w:val="24"/>
          <w:szCs w:val="24"/>
          <w:lang w:eastAsia="en-AU"/>
        </w:rPr>
        <w:t xml:space="preserve"> </w:t>
      </w:r>
    </w:p>
    <w:p w:rsidR="00E829F9" w:rsidRPr="0066150A" w:rsidRDefault="00E829F9" w:rsidP="00E829F9">
      <w:pPr>
        <w:shd w:val="clear" w:color="auto" w:fill="FFFFFF"/>
        <w:spacing w:before="100" w:beforeAutospacing="1" w:after="120" w:line="240" w:lineRule="auto"/>
        <w:rPr>
          <w:rFonts w:ascii="Times New Roman" w:hAnsi="Times New Roman" w:cs="Times New Roman"/>
          <w:sz w:val="24"/>
          <w:szCs w:val="24"/>
        </w:rPr>
      </w:pPr>
      <w:r w:rsidRPr="0066150A">
        <w:rPr>
          <w:rFonts w:ascii="Times New Roman" w:hAnsi="Times New Roman" w:cs="Times New Roman"/>
          <w:sz w:val="24"/>
          <w:szCs w:val="24"/>
        </w:rPr>
        <w:t>This Order commence</w:t>
      </w:r>
      <w:r w:rsidR="00D2469D" w:rsidRPr="0066150A">
        <w:rPr>
          <w:rFonts w:ascii="Times New Roman" w:hAnsi="Times New Roman" w:cs="Times New Roman"/>
          <w:sz w:val="24"/>
          <w:szCs w:val="24"/>
        </w:rPr>
        <w:t>d</w:t>
      </w:r>
      <w:r w:rsidRPr="0066150A">
        <w:rPr>
          <w:rFonts w:ascii="Times New Roman" w:hAnsi="Times New Roman" w:cs="Times New Roman"/>
          <w:sz w:val="24"/>
          <w:szCs w:val="24"/>
        </w:rPr>
        <w:t xml:space="preserve"> on</w:t>
      </w:r>
      <w:r w:rsidR="00D2469D" w:rsidRPr="0066150A">
        <w:rPr>
          <w:rFonts w:ascii="Times New Roman" w:hAnsi="Times New Roman" w:cs="Times New Roman"/>
          <w:sz w:val="24"/>
          <w:szCs w:val="24"/>
        </w:rPr>
        <w:t xml:space="preserve"> the day after registration in the Federal Register of Legislation</w:t>
      </w:r>
      <w:r w:rsidRPr="0066150A">
        <w:rPr>
          <w:rFonts w:ascii="Times New Roman" w:hAnsi="Times New Roman" w:cs="Times New Roman"/>
          <w:sz w:val="24"/>
          <w:szCs w:val="24"/>
        </w:rPr>
        <w:t>.</w:t>
      </w: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b/>
          <w:bCs/>
          <w:sz w:val="24"/>
          <w:szCs w:val="24"/>
          <w:lang w:eastAsia="en-AU"/>
        </w:rPr>
        <w:lastRenderedPageBreak/>
        <w:t>Human rights implications</w:t>
      </w: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eastAsia="en-AU"/>
        </w:rPr>
      </w:pPr>
      <w:r w:rsidRPr="0066150A">
        <w:rPr>
          <w:rFonts w:ascii="Times New Roman" w:eastAsia="Times New Roman" w:hAnsi="Times New Roman" w:cs="Times New Roman"/>
          <w:sz w:val="24"/>
          <w:szCs w:val="24"/>
          <w:lang w:eastAsia="en-AU"/>
        </w:rPr>
        <w:t>This legislative instrument does not engage any of the applicable rights or freedoms.</w:t>
      </w: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b/>
          <w:bCs/>
          <w:sz w:val="24"/>
          <w:szCs w:val="24"/>
          <w:lang w:eastAsia="en-AU"/>
        </w:rPr>
        <w:t>Conclusion</w:t>
      </w:r>
    </w:p>
    <w:p w:rsidR="004943B7" w:rsidRPr="0066150A" w:rsidRDefault="004943B7"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r w:rsidRPr="0066150A">
        <w:rPr>
          <w:rFonts w:ascii="Times New Roman" w:eastAsia="Times New Roman" w:hAnsi="Times New Roman" w:cs="Times New Roman"/>
          <w:sz w:val="24"/>
          <w:szCs w:val="24"/>
          <w:lang w:eastAsia="en-AU"/>
        </w:rPr>
        <w:t>This legislative instrument is compatible with human rights as it does not raise any human rights issues.</w:t>
      </w:r>
    </w:p>
    <w:p w:rsidR="00DE0F33" w:rsidRPr="0066150A" w:rsidRDefault="00DE0F33" w:rsidP="004943B7">
      <w:pPr>
        <w:shd w:val="clear" w:color="auto" w:fill="FFFFFF"/>
        <w:spacing w:before="100" w:beforeAutospacing="1" w:after="120" w:line="240" w:lineRule="auto"/>
        <w:rPr>
          <w:rFonts w:ascii="Times New Roman" w:eastAsia="Times New Roman" w:hAnsi="Times New Roman" w:cs="Times New Roman"/>
          <w:sz w:val="24"/>
          <w:szCs w:val="24"/>
          <w:lang w:val="en-US" w:eastAsia="en-AU"/>
        </w:rPr>
      </w:pPr>
    </w:p>
    <w:p w:rsidR="009733D5" w:rsidRPr="0066150A" w:rsidRDefault="00877D3C" w:rsidP="005F6F85">
      <w:pPr>
        <w:shd w:val="clear" w:color="auto" w:fill="FFFFFF"/>
        <w:spacing w:before="100" w:beforeAutospacing="1" w:after="120" w:line="240" w:lineRule="auto"/>
        <w:rPr>
          <w:rFonts w:ascii="Times New Roman" w:hAnsi="Times New Roman" w:cs="Times New Roman"/>
        </w:rPr>
      </w:pPr>
      <w:r w:rsidRPr="0066150A">
        <w:rPr>
          <w:rFonts w:ascii="Times New Roman" w:eastAsia="Times New Roman" w:hAnsi="Times New Roman" w:cs="Times New Roman"/>
          <w:b/>
          <w:bCs/>
          <w:sz w:val="24"/>
          <w:szCs w:val="24"/>
          <w:lang w:eastAsia="en-AU"/>
        </w:rPr>
        <w:t>Jane Cook</w:t>
      </w:r>
      <w:r w:rsidR="004943B7" w:rsidRPr="0066150A">
        <w:rPr>
          <w:rFonts w:ascii="Times New Roman" w:eastAsia="Times New Roman" w:hAnsi="Times New Roman" w:cs="Times New Roman"/>
          <w:b/>
          <w:bCs/>
          <w:sz w:val="24"/>
          <w:szCs w:val="24"/>
          <w:lang w:eastAsia="en-AU"/>
        </w:rPr>
        <w:t>, delegate of the Minister for Health</w:t>
      </w:r>
    </w:p>
    <w:sectPr w:rsidR="009733D5" w:rsidRPr="006615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6AE" w:rsidRDefault="002A56AE" w:rsidP="008F58E7">
      <w:pPr>
        <w:spacing w:after="0" w:line="240" w:lineRule="auto"/>
      </w:pPr>
      <w:r>
        <w:separator/>
      </w:r>
    </w:p>
  </w:endnote>
  <w:endnote w:type="continuationSeparator" w:id="0">
    <w:p w:rsidR="002A56AE" w:rsidRDefault="002A56AE" w:rsidP="008F5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17883007"/>
      <w:docPartObj>
        <w:docPartGallery w:val="Page Numbers (Bottom of Page)"/>
        <w:docPartUnique/>
      </w:docPartObj>
    </w:sdtPr>
    <w:sdtEndPr>
      <w:rPr>
        <w:noProof/>
      </w:rPr>
    </w:sdtEndPr>
    <w:sdtContent>
      <w:p w:rsidR="00381DA9" w:rsidRPr="00AD7672" w:rsidRDefault="00381DA9">
        <w:pPr>
          <w:pStyle w:val="Footer"/>
          <w:jc w:val="right"/>
          <w:rPr>
            <w:rFonts w:ascii="Times New Roman" w:hAnsi="Times New Roman" w:cs="Times New Roman"/>
          </w:rPr>
        </w:pPr>
        <w:r w:rsidRPr="00AD7672">
          <w:rPr>
            <w:rFonts w:ascii="Times New Roman" w:hAnsi="Times New Roman" w:cs="Times New Roman"/>
          </w:rPr>
          <w:fldChar w:fldCharType="begin"/>
        </w:r>
        <w:r w:rsidRPr="00AD7672">
          <w:rPr>
            <w:rFonts w:ascii="Times New Roman" w:hAnsi="Times New Roman" w:cs="Times New Roman"/>
          </w:rPr>
          <w:instrText xml:space="preserve"> PAGE   \* MERGEFORMAT </w:instrText>
        </w:r>
        <w:r w:rsidRPr="00AD7672">
          <w:rPr>
            <w:rFonts w:ascii="Times New Roman" w:hAnsi="Times New Roman" w:cs="Times New Roman"/>
          </w:rPr>
          <w:fldChar w:fldCharType="separate"/>
        </w:r>
        <w:r w:rsidR="002C1250">
          <w:rPr>
            <w:rFonts w:ascii="Times New Roman" w:hAnsi="Times New Roman" w:cs="Times New Roman"/>
            <w:noProof/>
          </w:rPr>
          <w:t>5</w:t>
        </w:r>
        <w:r w:rsidRPr="00AD7672">
          <w:rPr>
            <w:rFonts w:ascii="Times New Roman" w:hAnsi="Times New Roman" w:cs="Times New Roman"/>
            <w:noProof/>
          </w:rPr>
          <w:fldChar w:fldCharType="end"/>
        </w:r>
      </w:p>
    </w:sdtContent>
  </w:sdt>
  <w:p w:rsidR="00EC3826" w:rsidRPr="00AD7672" w:rsidRDefault="00EC3826">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6AE" w:rsidRDefault="002A56AE" w:rsidP="008F58E7">
      <w:pPr>
        <w:spacing w:after="0" w:line="240" w:lineRule="auto"/>
      </w:pPr>
      <w:r>
        <w:separator/>
      </w:r>
    </w:p>
  </w:footnote>
  <w:footnote w:type="continuationSeparator" w:id="0">
    <w:p w:rsidR="002A56AE" w:rsidRDefault="002A56AE" w:rsidP="008F5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1B967193"/>
    <w:multiLevelType w:val="hybridMultilevel"/>
    <w:tmpl w:val="AB403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F96669"/>
    <w:multiLevelType w:val="hybridMultilevel"/>
    <w:tmpl w:val="1714E10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F603051"/>
    <w:multiLevelType w:val="hybridMultilevel"/>
    <w:tmpl w:val="902C8C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E2B305A"/>
    <w:multiLevelType w:val="hybridMultilevel"/>
    <w:tmpl w:val="B5FC3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74F47650"/>
    <w:multiLevelType w:val="hybridMultilevel"/>
    <w:tmpl w:val="43DE2FC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27"/>
    <w:rsid w:val="00025676"/>
    <w:rsid w:val="0003695D"/>
    <w:rsid w:val="00036D87"/>
    <w:rsid w:val="00043196"/>
    <w:rsid w:val="000731E4"/>
    <w:rsid w:val="00084BAC"/>
    <w:rsid w:val="00087384"/>
    <w:rsid w:val="00087423"/>
    <w:rsid w:val="001104A3"/>
    <w:rsid w:val="00152832"/>
    <w:rsid w:val="001567D7"/>
    <w:rsid w:val="00162A66"/>
    <w:rsid w:val="00181566"/>
    <w:rsid w:val="00183176"/>
    <w:rsid w:val="00184203"/>
    <w:rsid w:val="001E15C1"/>
    <w:rsid w:val="001E66DE"/>
    <w:rsid w:val="001E78AF"/>
    <w:rsid w:val="001F0015"/>
    <w:rsid w:val="001F1B6B"/>
    <w:rsid w:val="00215F20"/>
    <w:rsid w:val="0023465C"/>
    <w:rsid w:val="00242658"/>
    <w:rsid w:val="00285E91"/>
    <w:rsid w:val="00294CAA"/>
    <w:rsid w:val="00295C7C"/>
    <w:rsid w:val="002A56AE"/>
    <w:rsid w:val="002C1250"/>
    <w:rsid w:val="002C264E"/>
    <w:rsid w:val="002C48CA"/>
    <w:rsid w:val="002D0B69"/>
    <w:rsid w:val="002F2A73"/>
    <w:rsid w:val="00304C4C"/>
    <w:rsid w:val="003161DC"/>
    <w:rsid w:val="00333DD8"/>
    <w:rsid w:val="0034243B"/>
    <w:rsid w:val="003475EA"/>
    <w:rsid w:val="00352CD5"/>
    <w:rsid w:val="003601D2"/>
    <w:rsid w:val="00381DA9"/>
    <w:rsid w:val="00385837"/>
    <w:rsid w:val="00385841"/>
    <w:rsid w:val="0038759A"/>
    <w:rsid w:val="00395BDB"/>
    <w:rsid w:val="003B024B"/>
    <w:rsid w:val="003D2E63"/>
    <w:rsid w:val="003D361B"/>
    <w:rsid w:val="003D52AC"/>
    <w:rsid w:val="00425071"/>
    <w:rsid w:val="0042782F"/>
    <w:rsid w:val="00432A69"/>
    <w:rsid w:val="00434F99"/>
    <w:rsid w:val="0045193F"/>
    <w:rsid w:val="00455119"/>
    <w:rsid w:val="00470227"/>
    <w:rsid w:val="0048522D"/>
    <w:rsid w:val="00485D5B"/>
    <w:rsid w:val="004943B7"/>
    <w:rsid w:val="004C0DA3"/>
    <w:rsid w:val="004F45FE"/>
    <w:rsid w:val="00506C37"/>
    <w:rsid w:val="005260DC"/>
    <w:rsid w:val="00587C6B"/>
    <w:rsid w:val="005B2E7B"/>
    <w:rsid w:val="005C2F36"/>
    <w:rsid w:val="005F6F85"/>
    <w:rsid w:val="0060075C"/>
    <w:rsid w:val="006368A3"/>
    <w:rsid w:val="00643B75"/>
    <w:rsid w:val="0066150A"/>
    <w:rsid w:val="006619CF"/>
    <w:rsid w:val="0066237F"/>
    <w:rsid w:val="0066769F"/>
    <w:rsid w:val="00676B9F"/>
    <w:rsid w:val="00687415"/>
    <w:rsid w:val="006A5BD7"/>
    <w:rsid w:val="006C4A3B"/>
    <w:rsid w:val="006C5245"/>
    <w:rsid w:val="00704513"/>
    <w:rsid w:val="00766592"/>
    <w:rsid w:val="0078055F"/>
    <w:rsid w:val="007A0068"/>
    <w:rsid w:val="007A282F"/>
    <w:rsid w:val="007A363D"/>
    <w:rsid w:val="007B641F"/>
    <w:rsid w:val="007D21E5"/>
    <w:rsid w:val="008169B1"/>
    <w:rsid w:val="0082435D"/>
    <w:rsid w:val="008268A0"/>
    <w:rsid w:val="00875D95"/>
    <w:rsid w:val="00877D3C"/>
    <w:rsid w:val="008F4269"/>
    <w:rsid w:val="008F58E7"/>
    <w:rsid w:val="009173A5"/>
    <w:rsid w:val="00953371"/>
    <w:rsid w:val="009538CC"/>
    <w:rsid w:val="00962D7E"/>
    <w:rsid w:val="0096702D"/>
    <w:rsid w:val="009733D5"/>
    <w:rsid w:val="00985CE7"/>
    <w:rsid w:val="009967AB"/>
    <w:rsid w:val="009A3D9E"/>
    <w:rsid w:val="009B317B"/>
    <w:rsid w:val="009B611E"/>
    <w:rsid w:val="009D6AB4"/>
    <w:rsid w:val="009E35FF"/>
    <w:rsid w:val="00A100F0"/>
    <w:rsid w:val="00A14FF6"/>
    <w:rsid w:val="00A311CF"/>
    <w:rsid w:val="00A37484"/>
    <w:rsid w:val="00A42A58"/>
    <w:rsid w:val="00A44CAC"/>
    <w:rsid w:val="00A472B3"/>
    <w:rsid w:val="00A84AA6"/>
    <w:rsid w:val="00A855EB"/>
    <w:rsid w:val="00AC5242"/>
    <w:rsid w:val="00AD7672"/>
    <w:rsid w:val="00B2515D"/>
    <w:rsid w:val="00B273DF"/>
    <w:rsid w:val="00B3032B"/>
    <w:rsid w:val="00B315DD"/>
    <w:rsid w:val="00B376BB"/>
    <w:rsid w:val="00B569CA"/>
    <w:rsid w:val="00BA3DF2"/>
    <w:rsid w:val="00BB4D83"/>
    <w:rsid w:val="00BB51FE"/>
    <w:rsid w:val="00BC243F"/>
    <w:rsid w:val="00BC490F"/>
    <w:rsid w:val="00BC5C4B"/>
    <w:rsid w:val="00BF11F3"/>
    <w:rsid w:val="00BF1C90"/>
    <w:rsid w:val="00C00025"/>
    <w:rsid w:val="00C04346"/>
    <w:rsid w:val="00C05F0B"/>
    <w:rsid w:val="00C1399F"/>
    <w:rsid w:val="00C1458E"/>
    <w:rsid w:val="00C178B7"/>
    <w:rsid w:val="00C226B6"/>
    <w:rsid w:val="00C427CD"/>
    <w:rsid w:val="00C4382B"/>
    <w:rsid w:val="00C51AD8"/>
    <w:rsid w:val="00C56AB0"/>
    <w:rsid w:val="00C60934"/>
    <w:rsid w:val="00C67EEC"/>
    <w:rsid w:val="00C91491"/>
    <w:rsid w:val="00C941E0"/>
    <w:rsid w:val="00CD2DC6"/>
    <w:rsid w:val="00CD74F8"/>
    <w:rsid w:val="00D12AEE"/>
    <w:rsid w:val="00D2469D"/>
    <w:rsid w:val="00D37963"/>
    <w:rsid w:val="00D44D37"/>
    <w:rsid w:val="00D76D27"/>
    <w:rsid w:val="00D82719"/>
    <w:rsid w:val="00D84F66"/>
    <w:rsid w:val="00DD08DD"/>
    <w:rsid w:val="00DE0F33"/>
    <w:rsid w:val="00DE2E44"/>
    <w:rsid w:val="00DE7B15"/>
    <w:rsid w:val="00DF02E2"/>
    <w:rsid w:val="00E009D1"/>
    <w:rsid w:val="00E12320"/>
    <w:rsid w:val="00E128F2"/>
    <w:rsid w:val="00E14E1B"/>
    <w:rsid w:val="00E261C8"/>
    <w:rsid w:val="00E76AAF"/>
    <w:rsid w:val="00E829F9"/>
    <w:rsid w:val="00E84DC2"/>
    <w:rsid w:val="00E87BC0"/>
    <w:rsid w:val="00EA16BE"/>
    <w:rsid w:val="00EC15FB"/>
    <w:rsid w:val="00EC3826"/>
    <w:rsid w:val="00ED012D"/>
    <w:rsid w:val="00ED36E4"/>
    <w:rsid w:val="00ED4B9C"/>
    <w:rsid w:val="00EE2B19"/>
    <w:rsid w:val="00EE5296"/>
    <w:rsid w:val="00EF6290"/>
    <w:rsid w:val="00F21B4E"/>
    <w:rsid w:val="00F25D64"/>
    <w:rsid w:val="00F37B97"/>
    <w:rsid w:val="00F4372C"/>
    <w:rsid w:val="00F512ED"/>
    <w:rsid w:val="00F72A29"/>
    <w:rsid w:val="00F76FDF"/>
    <w:rsid w:val="00F84DB3"/>
    <w:rsid w:val="00FE60DD"/>
    <w:rsid w:val="00FF7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00025"/>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semiHidden/>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3Char">
    <w:name w:val="Heading 3 Char"/>
    <w:basedOn w:val="DefaultParagraphFont"/>
    <w:link w:val="Heading3"/>
    <w:rsid w:val="00C00025"/>
    <w:rPr>
      <w:rFonts w:ascii="Arial" w:eastAsia="Times New Roman" w:hAnsi="Arial" w:cs="Arial"/>
      <w:b/>
      <w:bCs/>
      <w:sz w:val="26"/>
      <w:szCs w:val="26"/>
      <w:lang w:eastAsia="en-AU"/>
    </w:rPr>
  </w:style>
  <w:style w:type="character" w:styleId="FollowedHyperlink">
    <w:name w:val="FollowedHyperlink"/>
    <w:basedOn w:val="DefaultParagraphFont"/>
    <w:uiPriority w:val="99"/>
    <w:semiHidden/>
    <w:unhideWhenUsed/>
    <w:rsid w:val="006C4A3B"/>
    <w:rPr>
      <w:color w:val="800080" w:themeColor="followedHyperlink"/>
      <w:u w:val="single"/>
    </w:rPr>
  </w:style>
  <w:style w:type="paragraph" w:styleId="Header">
    <w:name w:val="header"/>
    <w:basedOn w:val="Normal"/>
    <w:link w:val="HeaderChar"/>
    <w:uiPriority w:val="99"/>
    <w:unhideWhenUsed/>
    <w:rsid w:val="007B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41F"/>
  </w:style>
  <w:style w:type="paragraph" w:styleId="Footer">
    <w:name w:val="footer"/>
    <w:basedOn w:val="Normal"/>
    <w:link w:val="FooterChar"/>
    <w:uiPriority w:val="99"/>
    <w:unhideWhenUsed/>
    <w:rsid w:val="007B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41F"/>
  </w:style>
  <w:style w:type="table" w:styleId="TableGrid">
    <w:name w:val="Table Grid"/>
    <w:basedOn w:val="TableNormal"/>
    <w:uiPriority w:val="59"/>
    <w:rsid w:val="00EC382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C00025"/>
    <w:pPr>
      <w:keepNext/>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58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8E7"/>
    <w:rPr>
      <w:sz w:val="20"/>
      <w:szCs w:val="20"/>
    </w:rPr>
  </w:style>
  <w:style w:type="character" w:styleId="FootnoteReference">
    <w:name w:val="footnote reference"/>
    <w:basedOn w:val="DefaultParagraphFont"/>
    <w:uiPriority w:val="99"/>
    <w:semiHidden/>
    <w:unhideWhenUsed/>
    <w:rsid w:val="008F58E7"/>
    <w:rPr>
      <w:vertAlign w:val="superscript"/>
    </w:rPr>
  </w:style>
  <w:style w:type="character" w:styleId="Hyperlink">
    <w:name w:val="Hyperlink"/>
    <w:basedOn w:val="DefaultParagraphFont"/>
    <w:uiPriority w:val="99"/>
    <w:unhideWhenUsed/>
    <w:rsid w:val="008F58E7"/>
    <w:rPr>
      <w:color w:val="0000FF" w:themeColor="hyperlink"/>
      <w:u w:val="single"/>
    </w:rPr>
  </w:style>
  <w:style w:type="paragraph" w:styleId="ListBullet">
    <w:name w:val="List Bullet"/>
    <w:basedOn w:val="Normal"/>
    <w:uiPriority w:val="2"/>
    <w:qFormat/>
    <w:rsid w:val="00A84AA6"/>
    <w:pPr>
      <w:numPr>
        <w:numId w:val="1"/>
      </w:numPr>
      <w:spacing w:before="120" w:after="180" w:line="240" w:lineRule="atLeast"/>
    </w:pPr>
    <w:rPr>
      <w:rFonts w:ascii="Cambria" w:eastAsia="Cambria" w:hAnsi="Cambria" w:cs="Times New Roman"/>
      <w:szCs w:val="20"/>
    </w:rPr>
  </w:style>
  <w:style w:type="paragraph" w:styleId="ListBullet2">
    <w:name w:val="List Bullet 2"/>
    <w:basedOn w:val="Normal"/>
    <w:uiPriority w:val="2"/>
    <w:qFormat/>
    <w:rsid w:val="00A84AA6"/>
    <w:pPr>
      <w:numPr>
        <w:ilvl w:val="1"/>
        <w:numId w:val="1"/>
      </w:numPr>
      <w:spacing w:before="120" w:after="180" w:line="240" w:lineRule="atLeast"/>
    </w:pPr>
    <w:rPr>
      <w:rFonts w:ascii="Cambria" w:eastAsia="Cambria" w:hAnsi="Cambria" w:cs="Times New Roman"/>
      <w:szCs w:val="20"/>
    </w:rPr>
  </w:style>
  <w:style w:type="paragraph" w:styleId="ListBullet3">
    <w:name w:val="List Bullet 3"/>
    <w:basedOn w:val="Normal"/>
    <w:uiPriority w:val="2"/>
    <w:qFormat/>
    <w:rsid w:val="00A84AA6"/>
    <w:pPr>
      <w:numPr>
        <w:ilvl w:val="2"/>
        <w:numId w:val="1"/>
      </w:numPr>
      <w:spacing w:before="120" w:after="180" w:line="240" w:lineRule="atLeast"/>
    </w:pPr>
    <w:rPr>
      <w:rFonts w:ascii="Cambria" w:eastAsia="Cambria" w:hAnsi="Cambria" w:cs="Times New Roman"/>
      <w:szCs w:val="20"/>
    </w:rPr>
  </w:style>
  <w:style w:type="numbering" w:customStyle="1" w:styleId="ListBullets">
    <w:name w:val="ListBullets"/>
    <w:uiPriority w:val="99"/>
    <w:locked/>
    <w:rsid w:val="00A84AA6"/>
    <w:pPr>
      <w:numPr>
        <w:numId w:val="1"/>
      </w:numPr>
    </w:pPr>
  </w:style>
  <w:style w:type="paragraph" w:styleId="ListParagraph">
    <w:name w:val="List Paragraph"/>
    <w:basedOn w:val="Normal"/>
    <w:uiPriority w:val="34"/>
    <w:qFormat/>
    <w:rsid w:val="00A84AA6"/>
    <w:pPr>
      <w:ind w:left="720"/>
      <w:contextualSpacing/>
    </w:pPr>
  </w:style>
  <w:style w:type="paragraph" w:styleId="CommentText">
    <w:name w:val="annotation text"/>
    <w:basedOn w:val="Normal"/>
    <w:link w:val="CommentTextChar"/>
    <w:uiPriority w:val="99"/>
    <w:semiHidden/>
    <w:rsid w:val="004943B7"/>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4943B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rsid w:val="004943B7"/>
    <w:rPr>
      <w:sz w:val="16"/>
      <w:szCs w:val="16"/>
    </w:rPr>
  </w:style>
  <w:style w:type="paragraph" w:styleId="BalloonText">
    <w:name w:val="Balloon Text"/>
    <w:basedOn w:val="Normal"/>
    <w:link w:val="BalloonTextChar"/>
    <w:uiPriority w:val="99"/>
    <w:semiHidden/>
    <w:unhideWhenUsed/>
    <w:rsid w:val="00494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B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E15C1"/>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15C1"/>
    <w:rPr>
      <w:rFonts w:ascii="Times New Roman" w:eastAsia="Times New Roman" w:hAnsi="Times New Roman" w:cs="Times New Roman"/>
      <w:b/>
      <w:bCs/>
      <w:sz w:val="20"/>
      <w:szCs w:val="20"/>
      <w:lang w:eastAsia="en-AU"/>
    </w:rPr>
  </w:style>
  <w:style w:type="paragraph" w:styleId="Revision">
    <w:name w:val="Revision"/>
    <w:hidden/>
    <w:uiPriority w:val="99"/>
    <w:semiHidden/>
    <w:rsid w:val="00A14FF6"/>
    <w:pPr>
      <w:spacing w:after="0" w:line="240" w:lineRule="auto"/>
    </w:pPr>
  </w:style>
  <w:style w:type="character" w:customStyle="1" w:styleId="Heading3Char">
    <w:name w:val="Heading 3 Char"/>
    <w:basedOn w:val="DefaultParagraphFont"/>
    <w:link w:val="Heading3"/>
    <w:rsid w:val="00C00025"/>
    <w:rPr>
      <w:rFonts w:ascii="Arial" w:eastAsia="Times New Roman" w:hAnsi="Arial" w:cs="Arial"/>
      <w:b/>
      <w:bCs/>
      <w:sz w:val="26"/>
      <w:szCs w:val="26"/>
      <w:lang w:eastAsia="en-AU"/>
    </w:rPr>
  </w:style>
  <w:style w:type="character" w:styleId="FollowedHyperlink">
    <w:name w:val="FollowedHyperlink"/>
    <w:basedOn w:val="DefaultParagraphFont"/>
    <w:uiPriority w:val="99"/>
    <w:semiHidden/>
    <w:unhideWhenUsed/>
    <w:rsid w:val="006C4A3B"/>
    <w:rPr>
      <w:color w:val="800080" w:themeColor="followedHyperlink"/>
      <w:u w:val="single"/>
    </w:rPr>
  </w:style>
  <w:style w:type="paragraph" w:styleId="Header">
    <w:name w:val="header"/>
    <w:basedOn w:val="Normal"/>
    <w:link w:val="HeaderChar"/>
    <w:uiPriority w:val="99"/>
    <w:unhideWhenUsed/>
    <w:rsid w:val="007B6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41F"/>
  </w:style>
  <w:style w:type="paragraph" w:styleId="Footer">
    <w:name w:val="footer"/>
    <w:basedOn w:val="Normal"/>
    <w:link w:val="FooterChar"/>
    <w:uiPriority w:val="99"/>
    <w:unhideWhenUsed/>
    <w:rsid w:val="007B6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41F"/>
  </w:style>
  <w:style w:type="table" w:styleId="TableGrid">
    <w:name w:val="Table Grid"/>
    <w:basedOn w:val="TableNormal"/>
    <w:uiPriority w:val="59"/>
    <w:rsid w:val="00EC382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8583">
      <w:bodyDiv w:val="1"/>
      <w:marLeft w:val="0"/>
      <w:marRight w:val="0"/>
      <w:marTop w:val="0"/>
      <w:marBottom w:val="0"/>
      <w:divBdr>
        <w:top w:val="none" w:sz="0" w:space="0" w:color="auto"/>
        <w:left w:val="none" w:sz="0" w:space="0" w:color="auto"/>
        <w:bottom w:val="none" w:sz="0" w:space="0" w:color="auto"/>
        <w:right w:val="none" w:sz="0" w:space="0" w:color="auto"/>
      </w:divBdr>
    </w:div>
    <w:div w:id="535235426">
      <w:bodyDiv w:val="1"/>
      <w:marLeft w:val="0"/>
      <w:marRight w:val="0"/>
      <w:marTop w:val="0"/>
      <w:marBottom w:val="0"/>
      <w:divBdr>
        <w:top w:val="none" w:sz="0" w:space="0" w:color="auto"/>
        <w:left w:val="none" w:sz="0" w:space="0" w:color="auto"/>
        <w:bottom w:val="none" w:sz="0" w:space="0" w:color="auto"/>
        <w:right w:val="none" w:sz="0" w:space="0" w:color="auto"/>
      </w:divBdr>
      <w:divsChild>
        <w:div w:id="159927405">
          <w:marLeft w:val="0"/>
          <w:marRight w:val="0"/>
          <w:marTop w:val="0"/>
          <w:marBottom w:val="0"/>
          <w:divBdr>
            <w:top w:val="none" w:sz="0" w:space="0" w:color="auto"/>
            <w:left w:val="none" w:sz="0" w:space="0" w:color="auto"/>
            <w:bottom w:val="none" w:sz="0" w:space="0" w:color="auto"/>
            <w:right w:val="none" w:sz="0" w:space="0" w:color="auto"/>
          </w:divBdr>
          <w:divsChild>
            <w:div w:id="615603093">
              <w:marLeft w:val="0"/>
              <w:marRight w:val="0"/>
              <w:marTop w:val="0"/>
              <w:marBottom w:val="0"/>
              <w:divBdr>
                <w:top w:val="none" w:sz="0" w:space="0" w:color="auto"/>
                <w:left w:val="none" w:sz="0" w:space="0" w:color="auto"/>
                <w:bottom w:val="none" w:sz="0" w:space="0" w:color="auto"/>
                <w:right w:val="none" w:sz="0" w:space="0" w:color="auto"/>
              </w:divBdr>
              <w:divsChild>
                <w:div w:id="1004552311">
                  <w:marLeft w:val="0"/>
                  <w:marRight w:val="0"/>
                  <w:marTop w:val="0"/>
                  <w:marBottom w:val="0"/>
                  <w:divBdr>
                    <w:top w:val="none" w:sz="0" w:space="0" w:color="auto"/>
                    <w:left w:val="none" w:sz="0" w:space="0" w:color="auto"/>
                    <w:bottom w:val="none" w:sz="0" w:space="0" w:color="auto"/>
                    <w:right w:val="none" w:sz="0" w:space="0" w:color="auto"/>
                  </w:divBdr>
                  <w:divsChild>
                    <w:div w:id="133984983">
                      <w:marLeft w:val="0"/>
                      <w:marRight w:val="0"/>
                      <w:marTop w:val="0"/>
                      <w:marBottom w:val="0"/>
                      <w:divBdr>
                        <w:top w:val="none" w:sz="0" w:space="0" w:color="auto"/>
                        <w:left w:val="none" w:sz="0" w:space="0" w:color="auto"/>
                        <w:bottom w:val="none" w:sz="0" w:space="0" w:color="auto"/>
                        <w:right w:val="none" w:sz="0" w:space="0" w:color="auto"/>
                      </w:divBdr>
                      <w:divsChild>
                        <w:div w:id="1212763462">
                          <w:marLeft w:val="0"/>
                          <w:marRight w:val="0"/>
                          <w:marTop w:val="0"/>
                          <w:marBottom w:val="0"/>
                          <w:divBdr>
                            <w:top w:val="none" w:sz="0" w:space="0" w:color="auto"/>
                            <w:left w:val="none" w:sz="0" w:space="0" w:color="auto"/>
                            <w:bottom w:val="none" w:sz="0" w:space="0" w:color="auto"/>
                            <w:right w:val="none" w:sz="0" w:space="0" w:color="auto"/>
                          </w:divBdr>
                          <w:divsChild>
                            <w:div w:id="1036082891">
                              <w:marLeft w:val="0"/>
                              <w:marRight w:val="0"/>
                              <w:marTop w:val="0"/>
                              <w:marBottom w:val="0"/>
                              <w:divBdr>
                                <w:top w:val="none" w:sz="0" w:space="0" w:color="auto"/>
                                <w:left w:val="none" w:sz="0" w:space="0" w:color="auto"/>
                                <w:bottom w:val="none" w:sz="0" w:space="0" w:color="auto"/>
                                <w:right w:val="none" w:sz="0" w:space="0" w:color="auto"/>
                              </w:divBdr>
                              <w:divsChild>
                                <w:div w:id="1067722723">
                                  <w:marLeft w:val="0"/>
                                  <w:marRight w:val="0"/>
                                  <w:marTop w:val="0"/>
                                  <w:marBottom w:val="0"/>
                                  <w:divBdr>
                                    <w:top w:val="none" w:sz="0" w:space="0" w:color="auto"/>
                                    <w:left w:val="none" w:sz="0" w:space="0" w:color="auto"/>
                                    <w:bottom w:val="none" w:sz="0" w:space="0" w:color="auto"/>
                                    <w:right w:val="none" w:sz="0" w:space="0" w:color="auto"/>
                                  </w:divBdr>
                                  <w:divsChild>
                                    <w:div w:id="668485715">
                                      <w:marLeft w:val="0"/>
                                      <w:marRight w:val="0"/>
                                      <w:marTop w:val="0"/>
                                      <w:marBottom w:val="0"/>
                                      <w:divBdr>
                                        <w:top w:val="none" w:sz="0" w:space="0" w:color="auto"/>
                                        <w:left w:val="none" w:sz="0" w:space="0" w:color="auto"/>
                                        <w:bottom w:val="none" w:sz="0" w:space="0" w:color="auto"/>
                                        <w:right w:val="none" w:sz="0" w:space="0" w:color="auto"/>
                                      </w:divBdr>
                                      <w:divsChild>
                                        <w:div w:id="915867282">
                                          <w:marLeft w:val="0"/>
                                          <w:marRight w:val="0"/>
                                          <w:marTop w:val="0"/>
                                          <w:marBottom w:val="0"/>
                                          <w:divBdr>
                                            <w:top w:val="none" w:sz="0" w:space="0" w:color="auto"/>
                                            <w:left w:val="none" w:sz="0" w:space="0" w:color="auto"/>
                                            <w:bottom w:val="none" w:sz="0" w:space="0" w:color="auto"/>
                                            <w:right w:val="none" w:sz="0" w:space="0" w:color="auto"/>
                                          </w:divBdr>
                                          <w:divsChild>
                                            <w:div w:id="1039891543">
                                              <w:marLeft w:val="0"/>
                                              <w:marRight w:val="0"/>
                                              <w:marTop w:val="0"/>
                                              <w:marBottom w:val="0"/>
                                              <w:divBdr>
                                                <w:top w:val="none" w:sz="0" w:space="0" w:color="auto"/>
                                                <w:left w:val="none" w:sz="0" w:space="0" w:color="auto"/>
                                                <w:bottom w:val="none" w:sz="0" w:space="0" w:color="auto"/>
                                                <w:right w:val="none" w:sz="0" w:space="0" w:color="auto"/>
                                              </w:divBdr>
                                              <w:divsChild>
                                                <w:div w:id="310910406">
                                                  <w:marLeft w:val="0"/>
                                                  <w:marRight w:val="0"/>
                                                  <w:marTop w:val="0"/>
                                                  <w:marBottom w:val="0"/>
                                                  <w:divBdr>
                                                    <w:top w:val="none" w:sz="0" w:space="0" w:color="auto"/>
                                                    <w:left w:val="none" w:sz="0" w:space="0" w:color="auto"/>
                                                    <w:bottom w:val="none" w:sz="0" w:space="0" w:color="auto"/>
                                                    <w:right w:val="none" w:sz="0" w:space="0" w:color="auto"/>
                                                  </w:divBdr>
                                                  <w:divsChild>
                                                    <w:div w:id="1957983564">
                                                      <w:marLeft w:val="0"/>
                                                      <w:marRight w:val="0"/>
                                                      <w:marTop w:val="0"/>
                                                      <w:marBottom w:val="0"/>
                                                      <w:divBdr>
                                                        <w:top w:val="none" w:sz="0" w:space="0" w:color="auto"/>
                                                        <w:left w:val="none" w:sz="0" w:space="0" w:color="auto"/>
                                                        <w:bottom w:val="none" w:sz="0" w:space="0" w:color="auto"/>
                                                        <w:right w:val="none" w:sz="0" w:space="0" w:color="auto"/>
                                                      </w:divBdr>
                                                      <w:divsChild>
                                                        <w:div w:id="18030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056931">
      <w:bodyDiv w:val="1"/>
      <w:marLeft w:val="0"/>
      <w:marRight w:val="0"/>
      <w:marTop w:val="0"/>
      <w:marBottom w:val="0"/>
      <w:divBdr>
        <w:top w:val="none" w:sz="0" w:space="0" w:color="auto"/>
        <w:left w:val="none" w:sz="0" w:space="0" w:color="auto"/>
        <w:bottom w:val="none" w:sz="0" w:space="0" w:color="auto"/>
        <w:right w:val="none" w:sz="0" w:space="0" w:color="auto"/>
      </w:divBdr>
      <w:divsChild>
        <w:div w:id="945428070">
          <w:marLeft w:val="0"/>
          <w:marRight w:val="0"/>
          <w:marTop w:val="0"/>
          <w:marBottom w:val="0"/>
          <w:divBdr>
            <w:top w:val="none" w:sz="0" w:space="0" w:color="auto"/>
            <w:left w:val="none" w:sz="0" w:space="0" w:color="auto"/>
            <w:bottom w:val="none" w:sz="0" w:space="0" w:color="auto"/>
            <w:right w:val="none" w:sz="0" w:space="0" w:color="auto"/>
          </w:divBdr>
          <w:divsChild>
            <w:div w:id="1554849268">
              <w:marLeft w:val="0"/>
              <w:marRight w:val="0"/>
              <w:marTop w:val="0"/>
              <w:marBottom w:val="0"/>
              <w:divBdr>
                <w:top w:val="none" w:sz="0" w:space="0" w:color="auto"/>
                <w:left w:val="none" w:sz="0" w:space="0" w:color="auto"/>
                <w:bottom w:val="none" w:sz="0" w:space="0" w:color="auto"/>
                <w:right w:val="none" w:sz="0" w:space="0" w:color="auto"/>
              </w:divBdr>
              <w:divsChild>
                <w:div w:id="2103992633">
                  <w:marLeft w:val="0"/>
                  <w:marRight w:val="0"/>
                  <w:marTop w:val="0"/>
                  <w:marBottom w:val="0"/>
                  <w:divBdr>
                    <w:top w:val="none" w:sz="0" w:space="0" w:color="auto"/>
                    <w:left w:val="none" w:sz="0" w:space="0" w:color="auto"/>
                    <w:bottom w:val="none" w:sz="0" w:space="0" w:color="auto"/>
                    <w:right w:val="none" w:sz="0" w:space="0" w:color="auto"/>
                  </w:divBdr>
                  <w:divsChild>
                    <w:div w:id="1560239751">
                      <w:marLeft w:val="0"/>
                      <w:marRight w:val="0"/>
                      <w:marTop w:val="0"/>
                      <w:marBottom w:val="0"/>
                      <w:divBdr>
                        <w:top w:val="none" w:sz="0" w:space="0" w:color="auto"/>
                        <w:left w:val="none" w:sz="0" w:space="0" w:color="auto"/>
                        <w:bottom w:val="none" w:sz="0" w:space="0" w:color="auto"/>
                        <w:right w:val="none" w:sz="0" w:space="0" w:color="auto"/>
                      </w:divBdr>
                      <w:divsChild>
                        <w:div w:id="1148547326">
                          <w:marLeft w:val="0"/>
                          <w:marRight w:val="0"/>
                          <w:marTop w:val="0"/>
                          <w:marBottom w:val="0"/>
                          <w:divBdr>
                            <w:top w:val="none" w:sz="0" w:space="0" w:color="auto"/>
                            <w:left w:val="none" w:sz="0" w:space="0" w:color="auto"/>
                            <w:bottom w:val="none" w:sz="0" w:space="0" w:color="auto"/>
                            <w:right w:val="none" w:sz="0" w:space="0" w:color="auto"/>
                          </w:divBdr>
                          <w:divsChild>
                            <w:div w:id="100954842">
                              <w:marLeft w:val="0"/>
                              <w:marRight w:val="0"/>
                              <w:marTop w:val="0"/>
                              <w:marBottom w:val="0"/>
                              <w:divBdr>
                                <w:top w:val="none" w:sz="0" w:space="0" w:color="auto"/>
                                <w:left w:val="none" w:sz="0" w:space="0" w:color="auto"/>
                                <w:bottom w:val="none" w:sz="0" w:space="0" w:color="auto"/>
                                <w:right w:val="none" w:sz="0" w:space="0" w:color="auto"/>
                              </w:divBdr>
                              <w:divsChild>
                                <w:div w:id="1264724151">
                                  <w:marLeft w:val="0"/>
                                  <w:marRight w:val="0"/>
                                  <w:marTop w:val="0"/>
                                  <w:marBottom w:val="0"/>
                                  <w:divBdr>
                                    <w:top w:val="none" w:sz="0" w:space="0" w:color="auto"/>
                                    <w:left w:val="none" w:sz="0" w:space="0" w:color="auto"/>
                                    <w:bottom w:val="none" w:sz="0" w:space="0" w:color="auto"/>
                                    <w:right w:val="none" w:sz="0" w:space="0" w:color="auto"/>
                                  </w:divBdr>
                                  <w:divsChild>
                                    <w:div w:id="1664971522">
                                      <w:marLeft w:val="0"/>
                                      <w:marRight w:val="0"/>
                                      <w:marTop w:val="0"/>
                                      <w:marBottom w:val="0"/>
                                      <w:divBdr>
                                        <w:top w:val="none" w:sz="0" w:space="0" w:color="auto"/>
                                        <w:left w:val="none" w:sz="0" w:space="0" w:color="auto"/>
                                        <w:bottom w:val="none" w:sz="0" w:space="0" w:color="auto"/>
                                        <w:right w:val="none" w:sz="0" w:space="0" w:color="auto"/>
                                      </w:divBdr>
                                      <w:divsChild>
                                        <w:div w:id="1090081290">
                                          <w:marLeft w:val="0"/>
                                          <w:marRight w:val="0"/>
                                          <w:marTop w:val="0"/>
                                          <w:marBottom w:val="0"/>
                                          <w:divBdr>
                                            <w:top w:val="none" w:sz="0" w:space="0" w:color="auto"/>
                                            <w:left w:val="none" w:sz="0" w:space="0" w:color="auto"/>
                                            <w:bottom w:val="none" w:sz="0" w:space="0" w:color="auto"/>
                                            <w:right w:val="none" w:sz="0" w:space="0" w:color="auto"/>
                                          </w:divBdr>
                                          <w:divsChild>
                                            <w:div w:id="671683717">
                                              <w:marLeft w:val="0"/>
                                              <w:marRight w:val="0"/>
                                              <w:marTop w:val="0"/>
                                              <w:marBottom w:val="0"/>
                                              <w:divBdr>
                                                <w:top w:val="none" w:sz="0" w:space="0" w:color="auto"/>
                                                <w:left w:val="none" w:sz="0" w:space="0" w:color="auto"/>
                                                <w:bottom w:val="none" w:sz="0" w:space="0" w:color="auto"/>
                                                <w:right w:val="none" w:sz="0" w:space="0" w:color="auto"/>
                                              </w:divBdr>
                                              <w:divsChild>
                                                <w:div w:id="1568564312">
                                                  <w:marLeft w:val="0"/>
                                                  <w:marRight w:val="0"/>
                                                  <w:marTop w:val="0"/>
                                                  <w:marBottom w:val="0"/>
                                                  <w:divBdr>
                                                    <w:top w:val="none" w:sz="0" w:space="0" w:color="auto"/>
                                                    <w:left w:val="none" w:sz="0" w:space="0" w:color="auto"/>
                                                    <w:bottom w:val="none" w:sz="0" w:space="0" w:color="auto"/>
                                                    <w:right w:val="none" w:sz="0" w:space="0" w:color="auto"/>
                                                  </w:divBdr>
                                                  <w:divsChild>
                                                    <w:div w:id="2026708236">
                                                      <w:marLeft w:val="0"/>
                                                      <w:marRight w:val="0"/>
                                                      <w:marTop w:val="0"/>
                                                      <w:marBottom w:val="0"/>
                                                      <w:divBdr>
                                                        <w:top w:val="none" w:sz="0" w:space="0" w:color="auto"/>
                                                        <w:left w:val="none" w:sz="0" w:space="0" w:color="auto"/>
                                                        <w:bottom w:val="none" w:sz="0" w:space="0" w:color="auto"/>
                                                        <w:right w:val="none" w:sz="0" w:space="0" w:color="auto"/>
                                                      </w:divBdr>
                                                      <w:divsChild>
                                                        <w:div w:id="9747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782768">
      <w:bodyDiv w:val="1"/>
      <w:marLeft w:val="0"/>
      <w:marRight w:val="0"/>
      <w:marTop w:val="0"/>
      <w:marBottom w:val="0"/>
      <w:divBdr>
        <w:top w:val="none" w:sz="0" w:space="0" w:color="auto"/>
        <w:left w:val="none" w:sz="0" w:space="0" w:color="auto"/>
        <w:bottom w:val="none" w:sz="0" w:space="0" w:color="auto"/>
        <w:right w:val="none" w:sz="0" w:space="0" w:color="auto"/>
      </w:divBdr>
      <w:divsChild>
        <w:div w:id="1363281646">
          <w:marLeft w:val="0"/>
          <w:marRight w:val="0"/>
          <w:marTop w:val="0"/>
          <w:marBottom w:val="0"/>
          <w:divBdr>
            <w:top w:val="none" w:sz="0" w:space="0" w:color="auto"/>
            <w:left w:val="none" w:sz="0" w:space="0" w:color="auto"/>
            <w:bottom w:val="none" w:sz="0" w:space="0" w:color="auto"/>
            <w:right w:val="none" w:sz="0" w:space="0" w:color="auto"/>
          </w:divBdr>
          <w:divsChild>
            <w:div w:id="1581603171">
              <w:marLeft w:val="0"/>
              <w:marRight w:val="0"/>
              <w:marTop w:val="0"/>
              <w:marBottom w:val="0"/>
              <w:divBdr>
                <w:top w:val="none" w:sz="0" w:space="0" w:color="auto"/>
                <w:left w:val="none" w:sz="0" w:space="0" w:color="auto"/>
                <w:bottom w:val="none" w:sz="0" w:space="0" w:color="auto"/>
                <w:right w:val="none" w:sz="0" w:space="0" w:color="auto"/>
              </w:divBdr>
              <w:divsChild>
                <w:div w:id="825779379">
                  <w:marLeft w:val="0"/>
                  <w:marRight w:val="0"/>
                  <w:marTop w:val="0"/>
                  <w:marBottom w:val="0"/>
                  <w:divBdr>
                    <w:top w:val="none" w:sz="0" w:space="0" w:color="auto"/>
                    <w:left w:val="none" w:sz="0" w:space="0" w:color="auto"/>
                    <w:bottom w:val="none" w:sz="0" w:space="0" w:color="auto"/>
                    <w:right w:val="none" w:sz="0" w:space="0" w:color="auto"/>
                  </w:divBdr>
                  <w:divsChild>
                    <w:div w:id="1336303567">
                      <w:marLeft w:val="0"/>
                      <w:marRight w:val="0"/>
                      <w:marTop w:val="0"/>
                      <w:marBottom w:val="0"/>
                      <w:divBdr>
                        <w:top w:val="none" w:sz="0" w:space="0" w:color="auto"/>
                        <w:left w:val="none" w:sz="0" w:space="0" w:color="auto"/>
                        <w:bottom w:val="none" w:sz="0" w:space="0" w:color="auto"/>
                        <w:right w:val="none" w:sz="0" w:space="0" w:color="auto"/>
                      </w:divBdr>
                      <w:divsChild>
                        <w:div w:id="1780375914">
                          <w:marLeft w:val="0"/>
                          <w:marRight w:val="0"/>
                          <w:marTop w:val="0"/>
                          <w:marBottom w:val="0"/>
                          <w:divBdr>
                            <w:top w:val="none" w:sz="0" w:space="0" w:color="auto"/>
                            <w:left w:val="none" w:sz="0" w:space="0" w:color="auto"/>
                            <w:bottom w:val="none" w:sz="0" w:space="0" w:color="auto"/>
                            <w:right w:val="none" w:sz="0" w:space="0" w:color="auto"/>
                          </w:divBdr>
                          <w:divsChild>
                            <w:div w:id="1359509248">
                              <w:marLeft w:val="0"/>
                              <w:marRight w:val="0"/>
                              <w:marTop w:val="0"/>
                              <w:marBottom w:val="0"/>
                              <w:divBdr>
                                <w:top w:val="none" w:sz="0" w:space="0" w:color="auto"/>
                                <w:left w:val="none" w:sz="0" w:space="0" w:color="auto"/>
                                <w:bottom w:val="none" w:sz="0" w:space="0" w:color="auto"/>
                                <w:right w:val="none" w:sz="0" w:space="0" w:color="auto"/>
                              </w:divBdr>
                              <w:divsChild>
                                <w:div w:id="1945721838">
                                  <w:marLeft w:val="0"/>
                                  <w:marRight w:val="0"/>
                                  <w:marTop w:val="0"/>
                                  <w:marBottom w:val="0"/>
                                  <w:divBdr>
                                    <w:top w:val="none" w:sz="0" w:space="0" w:color="auto"/>
                                    <w:left w:val="none" w:sz="0" w:space="0" w:color="auto"/>
                                    <w:bottom w:val="none" w:sz="0" w:space="0" w:color="auto"/>
                                    <w:right w:val="none" w:sz="0" w:space="0" w:color="auto"/>
                                  </w:divBdr>
                                  <w:divsChild>
                                    <w:div w:id="1021207095">
                                      <w:marLeft w:val="0"/>
                                      <w:marRight w:val="0"/>
                                      <w:marTop w:val="0"/>
                                      <w:marBottom w:val="0"/>
                                      <w:divBdr>
                                        <w:top w:val="none" w:sz="0" w:space="0" w:color="auto"/>
                                        <w:left w:val="none" w:sz="0" w:space="0" w:color="auto"/>
                                        <w:bottom w:val="none" w:sz="0" w:space="0" w:color="auto"/>
                                        <w:right w:val="none" w:sz="0" w:space="0" w:color="auto"/>
                                      </w:divBdr>
                                      <w:divsChild>
                                        <w:div w:id="643892389">
                                          <w:marLeft w:val="0"/>
                                          <w:marRight w:val="0"/>
                                          <w:marTop w:val="0"/>
                                          <w:marBottom w:val="0"/>
                                          <w:divBdr>
                                            <w:top w:val="none" w:sz="0" w:space="0" w:color="auto"/>
                                            <w:left w:val="none" w:sz="0" w:space="0" w:color="auto"/>
                                            <w:bottom w:val="none" w:sz="0" w:space="0" w:color="auto"/>
                                            <w:right w:val="none" w:sz="0" w:space="0" w:color="auto"/>
                                          </w:divBdr>
                                          <w:divsChild>
                                            <w:div w:id="328991161">
                                              <w:marLeft w:val="0"/>
                                              <w:marRight w:val="0"/>
                                              <w:marTop w:val="0"/>
                                              <w:marBottom w:val="0"/>
                                              <w:divBdr>
                                                <w:top w:val="none" w:sz="0" w:space="0" w:color="auto"/>
                                                <w:left w:val="none" w:sz="0" w:space="0" w:color="auto"/>
                                                <w:bottom w:val="none" w:sz="0" w:space="0" w:color="auto"/>
                                                <w:right w:val="none" w:sz="0" w:space="0" w:color="auto"/>
                                              </w:divBdr>
                                              <w:divsChild>
                                                <w:div w:id="1920290505">
                                                  <w:marLeft w:val="0"/>
                                                  <w:marRight w:val="0"/>
                                                  <w:marTop w:val="0"/>
                                                  <w:marBottom w:val="0"/>
                                                  <w:divBdr>
                                                    <w:top w:val="none" w:sz="0" w:space="0" w:color="auto"/>
                                                    <w:left w:val="none" w:sz="0" w:space="0" w:color="auto"/>
                                                    <w:bottom w:val="none" w:sz="0" w:space="0" w:color="auto"/>
                                                    <w:right w:val="none" w:sz="0" w:space="0" w:color="auto"/>
                                                  </w:divBdr>
                                                  <w:divsChild>
                                                    <w:div w:id="717319359">
                                                      <w:marLeft w:val="0"/>
                                                      <w:marRight w:val="0"/>
                                                      <w:marTop w:val="0"/>
                                                      <w:marBottom w:val="0"/>
                                                      <w:divBdr>
                                                        <w:top w:val="none" w:sz="0" w:space="0" w:color="auto"/>
                                                        <w:left w:val="none" w:sz="0" w:space="0" w:color="auto"/>
                                                        <w:bottom w:val="none" w:sz="0" w:space="0" w:color="auto"/>
                                                        <w:right w:val="none" w:sz="0" w:space="0" w:color="auto"/>
                                                      </w:divBdr>
                                                      <w:divsChild>
                                                        <w:div w:id="1440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3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D2A3-76AD-4750-8974-94580D5C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1599</Words>
  <Characters>9119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Goodenough, Rosemary</dc:creator>
  <cp:lastModifiedBy>CARTER, Bless</cp:lastModifiedBy>
  <cp:revision>2</cp:revision>
  <dcterms:created xsi:type="dcterms:W3CDTF">2017-08-08T06:58:00Z</dcterms:created>
  <dcterms:modified xsi:type="dcterms:W3CDTF">2017-08-08T06:58:00Z</dcterms:modified>
</cp:coreProperties>
</file>