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D184C" w14:textId="74AFB129" w:rsidR="002436BD" w:rsidRPr="002C6D26" w:rsidRDefault="002436BD" w:rsidP="008E5D4C">
      <w:pPr>
        <w:pStyle w:val="Heading"/>
        <w:jc w:val="center"/>
        <w:rPr>
          <w:sz w:val="24"/>
          <w:szCs w:val="24"/>
        </w:rPr>
      </w:pPr>
      <w:bookmarkStart w:id="0" w:name="_GoBack"/>
      <w:bookmarkEnd w:id="0"/>
      <w:r w:rsidRPr="002C6D26">
        <w:rPr>
          <w:sz w:val="24"/>
          <w:szCs w:val="24"/>
        </w:rPr>
        <w:t>Banking</w:t>
      </w:r>
      <w:r w:rsidR="00EA09EA">
        <w:rPr>
          <w:sz w:val="24"/>
          <w:szCs w:val="24"/>
        </w:rPr>
        <w:t>,</w:t>
      </w:r>
      <w:r w:rsidRPr="002C6D26">
        <w:rPr>
          <w:sz w:val="24"/>
          <w:szCs w:val="24"/>
        </w:rPr>
        <w:t xml:space="preserve"> </w:t>
      </w:r>
      <w:r w:rsidR="00EF1541">
        <w:rPr>
          <w:sz w:val="24"/>
          <w:szCs w:val="24"/>
        </w:rPr>
        <w:t xml:space="preserve">Insurance, </w:t>
      </w:r>
      <w:r w:rsidR="00EA09EA" w:rsidRPr="00EA09EA">
        <w:rPr>
          <w:sz w:val="24"/>
          <w:szCs w:val="24"/>
        </w:rPr>
        <w:t>Life Insurance</w:t>
      </w:r>
      <w:r w:rsidR="00EF1541">
        <w:rPr>
          <w:sz w:val="24"/>
          <w:szCs w:val="24"/>
        </w:rPr>
        <w:t xml:space="preserve"> and Superannuation</w:t>
      </w:r>
      <w:r w:rsidR="00EA09EA" w:rsidRPr="00EA09EA">
        <w:rPr>
          <w:sz w:val="24"/>
          <w:szCs w:val="24"/>
        </w:rPr>
        <w:t xml:space="preserve"> </w:t>
      </w:r>
      <w:r w:rsidR="00EF1541">
        <w:rPr>
          <w:sz w:val="24"/>
          <w:szCs w:val="24"/>
        </w:rPr>
        <w:t>(prudential standard</w:t>
      </w:r>
      <w:r w:rsidR="00EA09EA">
        <w:rPr>
          <w:sz w:val="24"/>
          <w:szCs w:val="24"/>
        </w:rPr>
        <w:t xml:space="preserve">) </w:t>
      </w:r>
      <w:r w:rsidRPr="002C6D26">
        <w:rPr>
          <w:sz w:val="24"/>
          <w:szCs w:val="24"/>
        </w:rPr>
        <w:t xml:space="preserve">determination No. </w:t>
      </w:r>
      <w:r w:rsidR="006879CF">
        <w:rPr>
          <w:sz w:val="24"/>
          <w:szCs w:val="24"/>
        </w:rPr>
        <w:t>1</w:t>
      </w:r>
      <w:r w:rsidRPr="002C6D26">
        <w:rPr>
          <w:sz w:val="24"/>
          <w:szCs w:val="24"/>
        </w:rPr>
        <w:t xml:space="preserve"> of 20</w:t>
      </w:r>
      <w:r w:rsidR="00C71467">
        <w:rPr>
          <w:sz w:val="24"/>
          <w:szCs w:val="24"/>
        </w:rPr>
        <w:t>17</w:t>
      </w:r>
    </w:p>
    <w:p w14:paraId="5D09D677" w14:textId="77777777" w:rsidR="002436BD" w:rsidRPr="002C6D26" w:rsidRDefault="002436BD" w:rsidP="008E5D4C">
      <w:pPr>
        <w:pStyle w:val="Heading"/>
        <w:tabs>
          <w:tab w:val="left" w:pos="360"/>
        </w:tabs>
        <w:jc w:val="center"/>
        <w:rPr>
          <w:sz w:val="24"/>
          <w:szCs w:val="24"/>
          <w:u w:val="single"/>
        </w:rPr>
      </w:pPr>
      <w:bookmarkStart w:id="1" w:name="bkInstrumentSubTitle"/>
      <w:bookmarkEnd w:id="1"/>
      <w:r w:rsidRPr="002C6D26">
        <w:rPr>
          <w:sz w:val="24"/>
          <w:szCs w:val="24"/>
          <w:u w:val="single"/>
        </w:rPr>
        <w:t>EXPLANATORY STATEMENT</w:t>
      </w:r>
    </w:p>
    <w:p w14:paraId="5D7573ED" w14:textId="77777777" w:rsidR="002436BD" w:rsidRPr="002C6D26" w:rsidRDefault="002436BD" w:rsidP="008E5D4C">
      <w:pPr>
        <w:pStyle w:val="Heading"/>
        <w:jc w:val="center"/>
        <w:rPr>
          <w:sz w:val="24"/>
          <w:szCs w:val="24"/>
        </w:rPr>
      </w:pPr>
      <w:r w:rsidRPr="002C6D26">
        <w:rPr>
          <w:sz w:val="24"/>
          <w:szCs w:val="24"/>
        </w:rPr>
        <w:t>Prepared by the Australian Prudential Regulation Authority (APRA)</w:t>
      </w:r>
    </w:p>
    <w:p w14:paraId="7DED2FB9" w14:textId="77777777" w:rsidR="002436BD" w:rsidRDefault="002436BD" w:rsidP="008E5D4C">
      <w:pPr>
        <w:pStyle w:val="Heading"/>
        <w:tabs>
          <w:tab w:val="left" w:pos="360"/>
        </w:tabs>
        <w:jc w:val="center"/>
        <w:rPr>
          <w:b w:val="0"/>
          <w:color w:val="000000"/>
          <w:sz w:val="24"/>
          <w:szCs w:val="24"/>
        </w:rPr>
      </w:pPr>
      <w:r w:rsidRPr="002C6D26">
        <w:rPr>
          <w:b w:val="0"/>
          <w:i/>
          <w:sz w:val="24"/>
          <w:szCs w:val="24"/>
        </w:rPr>
        <w:t>Banking Act 1959</w:t>
      </w:r>
      <w:r w:rsidRPr="002C6D26">
        <w:rPr>
          <w:b w:val="0"/>
          <w:sz w:val="24"/>
          <w:szCs w:val="24"/>
        </w:rPr>
        <w:t xml:space="preserve">, </w:t>
      </w:r>
      <w:r w:rsidRPr="002C6D26">
        <w:rPr>
          <w:b w:val="0"/>
          <w:color w:val="000000"/>
          <w:sz w:val="24"/>
          <w:szCs w:val="24"/>
        </w:rPr>
        <w:t>section 11AF</w:t>
      </w:r>
    </w:p>
    <w:p w14:paraId="0F4CCA3D" w14:textId="77777777" w:rsidR="005B0CCE" w:rsidRDefault="005B0CCE" w:rsidP="008E5D4C">
      <w:pPr>
        <w:pStyle w:val="heading0"/>
        <w:spacing w:before="0" w:beforeAutospacing="0" w:after="240" w:afterAutospacing="0"/>
        <w:jc w:val="center"/>
        <w:rPr>
          <w:rFonts w:ascii="Helvetica Neue" w:hAnsi="Helvetica Neue"/>
          <w:sz w:val="19"/>
          <w:szCs w:val="19"/>
        </w:rPr>
      </w:pPr>
      <w:r>
        <w:rPr>
          <w:i/>
          <w:iCs/>
          <w:color w:val="000000"/>
        </w:rPr>
        <w:t>Insurance Act 1973</w:t>
      </w:r>
      <w:r>
        <w:rPr>
          <w:color w:val="000000"/>
        </w:rPr>
        <w:t>, section 32</w:t>
      </w:r>
    </w:p>
    <w:p w14:paraId="0FF74DB8" w14:textId="77777777" w:rsidR="005B0CCE" w:rsidRDefault="005B0CCE" w:rsidP="008E5D4C">
      <w:pPr>
        <w:pStyle w:val="heading0"/>
        <w:spacing w:before="0" w:beforeAutospacing="0" w:after="240" w:afterAutospacing="0"/>
        <w:jc w:val="center"/>
        <w:rPr>
          <w:color w:val="000000"/>
        </w:rPr>
      </w:pPr>
      <w:r>
        <w:rPr>
          <w:i/>
          <w:iCs/>
          <w:color w:val="000000"/>
        </w:rPr>
        <w:t>Life Insurance Act 1995</w:t>
      </w:r>
      <w:r>
        <w:rPr>
          <w:color w:val="000000"/>
        </w:rPr>
        <w:t>, section 230A</w:t>
      </w:r>
    </w:p>
    <w:p w14:paraId="1DE40344" w14:textId="63B735D0" w:rsidR="00CC0DE1" w:rsidRDefault="00CC0DE1" w:rsidP="00CC0DE1">
      <w:pPr>
        <w:pStyle w:val="heading0"/>
        <w:spacing w:before="0" w:beforeAutospacing="0" w:after="240" w:afterAutospacing="0"/>
        <w:jc w:val="center"/>
        <w:rPr>
          <w:color w:val="000000"/>
        </w:rPr>
      </w:pPr>
      <w:r w:rsidRPr="00CC0DE1">
        <w:rPr>
          <w:i/>
          <w:iCs/>
          <w:color w:val="000000"/>
        </w:rPr>
        <w:t>Superannuation Industry (Supervision) Act 1993</w:t>
      </w:r>
      <w:r>
        <w:rPr>
          <w:color w:val="000000"/>
        </w:rPr>
        <w:t>, section 34C</w:t>
      </w:r>
    </w:p>
    <w:p w14:paraId="1D6D513B" w14:textId="117340C3" w:rsidR="005B0CCE" w:rsidRPr="005B0CCE" w:rsidRDefault="005B0CCE" w:rsidP="00796A67">
      <w:pPr>
        <w:widowControl w:val="0"/>
        <w:rPr>
          <w:szCs w:val="24"/>
        </w:rPr>
      </w:pPr>
      <w:bookmarkStart w:id="2" w:name="bkAct"/>
      <w:bookmarkStart w:id="3" w:name="bkExplanatory"/>
      <w:bookmarkEnd w:id="2"/>
      <w:bookmarkEnd w:id="3"/>
      <w:r w:rsidRPr="005B0CCE">
        <w:rPr>
          <w:szCs w:val="24"/>
        </w:rPr>
        <w:t>APRA may, in writing, determine</w:t>
      </w:r>
      <w:r w:rsidR="000914E4">
        <w:rPr>
          <w:szCs w:val="24"/>
        </w:rPr>
        <w:t>, vary or revoke</w:t>
      </w:r>
      <w:r w:rsidRPr="005B0CCE">
        <w:rPr>
          <w:szCs w:val="24"/>
        </w:rPr>
        <w:t xml:space="preserve"> a prudential standard that applies to an </w:t>
      </w:r>
      <w:r w:rsidRPr="00456505">
        <w:rPr>
          <w:szCs w:val="24"/>
        </w:rPr>
        <w:t xml:space="preserve">institution </w:t>
      </w:r>
      <w:r w:rsidR="00FE4874" w:rsidRPr="00456505">
        <w:rPr>
          <w:szCs w:val="24"/>
        </w:rPr>
        <w:t xml:space="preserve">regulated by APRA </w:t>
      </w:r>
      <w:r w:rsidRPr="00456505">
        <w:rPr>
          <w:szCs w:val="24"/>
        </w:rPr>
        <w:t>under:</w:t>
      </w:r>
    </w:p>
    <w:p w14:paraId="05D1FF8E" w14:textId="1C50142F" w:rsidR="005B0CCE" w:rsidRPr="005B0CCE" w:rsidRDefault="005B0CCE" w:rsidP="00796A67">
      <w:pPr>
        <w:widowControl w:val="0"/>
        <w:numPr>
          <w:ilvl w:val="0"/>
          <w:numId w:val="4"/>
        </w:numPr>
        <w:ind w:left="567" w:hanging="567"/>
        <w:rPr>
          <w:szCs w:val="24"/>
        </w:rPr>
      </w:pPr>
      <w:r w:rsidRPr="005B0CCE">
        <w:rPr>
          <w:szCs w:val="24"/>
        </w:rPr>
        <w:t xml:space="preserve">section 11AF of the </w:t>
      </w:r>
      <w:r w:rsidR="00EA09EA" w:rsidRPr="00EA09EA">
        <w:rPr>
          <w:i/>
          <w:iCs/>
          <w:szCs w:val="24"/>
        </w:rPr>
        <w:t>Banking Act 1959</w:t>
      </w:r>
      <w:r w:rsidR="00EA09EA" w:rsidRPr="00EA09EA">
        <w:rPr>
          <w:szCs w:val="24"/>
        </w:rPr>
        <w:t xml:space="preserve"> (Banking Act),</w:t>
      </w:r>
      <w:r w:rsidR="00C71467">
        <w:rPr>
          <w:szCs w:val="24"/>
        </w:rPr>
        <w:t xml:space="preserve"> </w:t>
      </w:r>
      <w:r w:rsidRPr="005B0CCE">
        <w:rPr>
          <w:szCs w:val="24"/>
        </w:rPr>
        <w:t>in relation to authorised deposit-taking institutions (ADIs) and authorised non-operating holding companies (authorised banking NOHCs);</w:t>
      </w:r>
    </w:p>
    <w:p w14:paraId="6445AA20" w14:textId="61ED3C33" w:rsidR="005B0CCE" w:rsidRPr="005B0CCE" w:rsidRDefault="005B0CCE" w:rsidP="00796A67">
      <w:pPr>
        <w:widowControl w:val="0"/>
        <w:numPr>
          <w:ilvl w:val="0"/>
          <w:numId w:val="4"/>
        </w:numPr>
        <w:ind w:left="567" w:hanging="567"/>
        <w:rPr>
          <w:szCs w:val="24"/>
        </w:rPr>
      </w:pPr>
      <w:r w:rsidRPr="005B0CCE">
        <w:rPr>
          <w:szCs w:val="24"/>
        </w:rPr>
        <w:t xml:space="preserve">section 32 of the </w:t>
      </w:r>
      <w:r w:rsidR="00EA09EA" w:rsidRPr="00EA09EA">
        <w:rPr>
          <w:i/>
          <w:iCs/>
          <w:szCs w:val="24"/>
        </w:rPr>
        <w:t>Insurance Act 1973</w:t>
      </w:r>
      <w:r w:rsidR="00EA09EA" w:rsidRPr="00EA09EA">
        <w:rPr>
          <w:szCs w:val="24"/>
        </w:rPr>
        <w:t xml:space="preserve"> (Insurance Act),</w:t>
      </w:r>
      <w:r w:rsidRPr="005B0CCE">
        <w:rPr>
          <w:szCs w:val="24"/>
        </w:rPr>
        <w:t xml:space="preserve"> in relation to general insurers</w:t>
      </w:r>
      <w:r w:rsidR="00334E24">
        <w:rPr>
          <w:szCs w:val="24"/>
        </w:rPr>
        <w:t>,</w:t>
      </w:r>
      <w:r w:rsidRPr="005B0CCE">
        <w:rPr>
          <w:szCs w:val="24"/>
        </w:rPr>
        <w:t xml:space="preserve"> </w:t>
      </w:r>
      <w:r w:rsidR="006F312D" w:rsidRPr="006F312D">
        <w:rPr>
          <w:szCs w:val="24"/>
        </w:rPr>
        <w:t>authorised non-operating holding companies (authorised insurance NOHCs)</w:t>
      </w:r>
      <w:r w:rsidR="00334E24">
        <w:rPr>
          <w:szCs w:val="24"/>
        </w:rPr>
        <w:t>, and subsidiaries of general insurers and authorised insurance NOHCs</w:t>
      </w:r>
      <w:r w:rsidRPr="005B0CCE">
        <w:rPr>
          <w:szCs w:val="24"/>
        </w:rPr>
        <w:t xml:space="preserve">; </w:t>
      </w:r>
    </w:p>
    <w:p w14:paraId="5F9C68A9" w14:textId="139B85F9" w:rsidR="005B0CCE" w:rsidRDefault="005B0CCE" w:rsidP="00796A67">
      <w:pPr>
        <w:widowControl w:val="0"/>
        <w:numPr>
          <w:ilvl w:val="0"/>
          <w:numId w:val="4"/>
        </w:numPr>
        <w:ind w:left="567" w:hanging="567"/>
        <w:rPr>
          <w:szCs w:val="24"/>
        </w:rPr>
      </w:pPr>
      <w:r w:rsidRPr="005B0CCE">
        <w:rPr>
          <w:szCs w:val="24"/>
        </w:rPr>
        <w:t xml:space="preserve">section 230A of the </w:t>
      </w:r>
      <w:r w:rsidR="006F312D" w:rsidRPr="006F312D">
        <w:rPr>
          <w:i/>
          <w:iCs/>
          <w:szCs w:val="24"/>
        </w:rPr>
        <w:t>Life Insurance Act 1995</w:t>
      </w:r>
      <w:r w:rsidR="006F312D" w:rsidRPr="006F312D">
        <w:rPr>
          <w:szCs w:val="24"/>
        </w:rPr>
        <w:t xml:space="preserve"> (Life Insurance Act),</w:t>
      </w:r>
      <w:r w:rsidRPr="005B0CCE">
        <w:rPr>
          <w:szCs w:val="24"/>
        </w:rPr>
        <w:t xml:space="preserve"> in relation to life companies </w:t>
      </w:r>
      <w:r w:rsidR="001D1185">
        <w:rPr>
          <w:szCs w:val="24"/>
        </w:rPr>
        <w:t xml:space="preserve">including </w:t>
      </w:r>
      <w:r w:rsidRPr="005B0CCE">
        <w:rPr>
          <w:szCs w:val="24"/>
        </w:rPr>
        <w:t>friendly societies</w:t>
      </w:r>
      <w:r w:rsidR="00334E24">
        <w:rPr>
          <w:szCs w:val="24"/>
        </w:rPr>
        <w:t>,</w:t>
      </w:r>
      <w:r w:rsidRPr="005B0CCE">
        <w:rPr>
          <w:szCs w:val="24"/>
        </w:rPr>
        <w:t xml:space="preserve"> </w:t>
      </w:r>
      <w:r w:rsidR="006F312D" w:rsidRPr="006F312D">
        <w:rPr>
          <w:szCs w:val="24"/>
        </w:rPr>
        <w:t>registered non-operating holding companies (registered life NOHCs)</w:t>
      </w:r>
      <w:r w:rsidR="00334E24">
        <w:rPr>
          <w:szCs w:val="24"/>
        </w:rPr>
        <w:t>, and subsidiaries of life companies and registered life NOHCs</w:t>
      </w:r>
      <w:r w:rsidR="00CC0DE1">
        <w:rPr>
          <w:szCs w:val="24"/>
        </w:rPr>
        <w:t>; and</w:t>
      </w:r>
    </w:p>
    <w:p w14:paraId="71BA3FC9" w14:textId="45908DAB" w:rsidR="00CC0DE1" w:rsidRPr="005B0CCE" w:rsidRDefault="00CC0DE1" w:rsidP="00CC0DE1">
      <w:pPr>
        <w:widowControl w:val="0"/>
        <w:numPr>
          <w:ilvl w:val="0"/>
          <w:numId w:val="4"/>
        </w:numPr>
        <w:rPr>
          <w:szCs w:val="24"/>
        </w:rPr>
      </w:pPr>
      <w:r>
        <w:rPr>
          <w:szCs w:val="24"/>
        </w:rPr>
        <w:t xml:space="preserve">section </w:t>
      </w:r>
      <w:r w:rsidRPr="00CC0DE1">
        <w:rPr>
          <w:szCs w:val="24"/>
        </w:rPr>
        <w:t xml:space="preserve">34C of the </w:t>
      </w:r>
      <w:r w:rsidRPr="00DB709C">
        <w:rPr>
          <w:i/>
          <w:szCs w:val="24"/>
        </w:rPr>
        <w:t>Superannuation Industry (Supervision) Act 1993</w:t>
      </w:r>
      <w:r w:rsidRPr="00CC0DE1">
        <w:rPr>
          <w:szCs w:val="24"/>
        </w:rPr>
        <w:t xml:space="preserve"> (SIS Act) in relation to RSE licensees under the SIS Act.</w:t>
      </w:r>
    </w:p>
    <w:p w14:paraId="3129C85B" w14:textId="3055A821" w:rsidR="00E12D0A" w:rsidRDefault="00673F46" w:rsidP="00796A67">
      <w:pPr>
        <w:widowControl w:val="0"/>
        <w:rPr>
          <w:szCs w:val="24"/>
          <w:lang w:val="en-US"/>
        </w:rPr>
      </w:pPr>
      <w:r w:rsidRPr="00E11DFE">
        <w:rPr>
          <w:szCs w:val="24"/>
        </w:rPr>
        <w:t xml:space="preserve">On </w:t>
      </w:r>
      <w:r w:rsidR="002D202A">
        <w:rPr>
          <w:szCs w:val="24"/>
        </w:rPr>
        <w:t>10</w:t>
      </w:r>
      <w:r w:rsidR="00C33FD8">
        <w:rPr>
          <w:szCs w:val="24"/>
        </w:rPr>
        <w:t xml:space="preserve"> August</w:t>
      </w:r>
      <w:r w:rsidR="00B77A7F" w:rsidRPr="00E11DFE">
        <w:rPr>
          <w:szCs w:val="24"/>
        </w:rPr>
        <w:t xml:space="preserve"> </w:t>
      </w:r>
      <w:r w:rsidR="00C71467">
        <w:rPr>
          <w:szCs w:val="24"/>
        </w:rPr>
        <w:t>2017</w:t>
      </w:r>
      <w:r w:rsidR="002436BD" w:rsidRPr="00AA71FE">
        <w:rPr>
          <w:szCs w:val="24"/>
        </w:rPr>
        <w:t>,</w:t>
      </w:r>
      <w:r w:rsidRPr="00AA71FE">
        <w:rPr>
          <w:szCs w:val="24"/>
        </w:rPr>
        <w:t xml:space="preserve"> </w:t>
      </w:r>
      <w:r w:rsidR="00246723" w:rsidRPr="00AA71FE">
        <w:rPr>
          <w:szCs w:val="24"/>
        </w:rPr>
        <w:t>APRA</w:t>
      </w:r>
      <w:r w:rsidR="00246723" w:rsidRPr="00246723">
        <w:rPr>
          <w:szCs w:val="24"/>
        </w:rPr>
        <w:t xml:space="preserve"> made </w:t>
      </w:r>
      <w:r w:rsidR="00A318C5" w:rsidRPr="00073573">
        <w:rPr>
          <w:szCs w:val="24"/>
        </w:rPr>
        <w:t>Banking</w:t>
      </w:r>
      <w:r w:rsidR="00B77A7F">
        <w:rPr>
          <w:szCs w:val="24"/>
          <w:lang w:val="en-US"/>
        </w:rPr>
        <w:t xml:space="preserve">, Insurance, </w:t>
      </w:r>
      <w:r w:rsidR="00A318C5" w:rsidRPr="00425230">
        <w:rPr>
          <w:szCs w:val="24"/>
          <w:lang w:val="en-US"/>
        </w:rPr>
        <w:t>Life Insurance</w:t>
      </w:r>
      <w:r w:rsidR="00B77A7F">
        <w:rPr>
          <w:szCs w:val="24"/>
          <w:lang w:val="en-US"/>
        </w:rPr>
        <w:t xml:space="preserve"> and Superannuation</w:t>
      </w:r>
      <w:r w:rsidR="00EF1541">
        <w:rPr>
          <w:szCs w:val="24"/>
          <w:lang w:val="en-US"/>
        </w:rPr>
        <w:t xml:space="preserve"> (p</w:t>
      </w:r>
      <w:r w:rsidR="00B77A7F">
        <w:rPr>
          <w:szCs w:val="24"/>
          <w:lang w:val="en-US"/>
        </w:rPr>
        <w:t xml:space="preserve">rudential </w:t>
      </w:r>
      <w:r w:rsidR="00EF1541">
        <w:rPr>
          <w:szCs w:val="24"/>
          <w:lang w:val="en-US"/>
        </w:rPr>
        <w:t>s</w:t>
      </w:r>
      <w:r w:rsidR="00B77A7F">
        <w:rPr>
          <w:szCs w:val="24"/>
          <w:lang w:val="en-US"/>
        </w:rPr>
        <w:t>tandard</w:t>
      </w:r>
      <w:r w:rsidR="00A318C5" w:rsidRPr="00425230">
        <w:rPr>
          <w:szCs w:val="24"/>
          <w:lang w:val="en-US"/>
        </w:rPr>
        <w:t xml:space="preserve">) determination No. </w:t>
      </w:r>
      <w:r w:rsidR="006879CF">
        <w:rPr>
          <w:szCs w:val="24"/>
          <w:lang w:val="en-US"/>
        </w:rPr>
        <w:t>1</w:t>
      </w:r>
      <w:r w:rsidR="00A318C5" w:rsidRPr="00C11CC0">
        <w:rPr>
          <w:szCs w:val="24"/>
          <w:lang w:val="en-US"/>
        </w:rPr>
        <w:t xml:space="preserve"> of </w:t>
      </w:r>
      <w:r w:rsidR="00C71467">
        <w:rPr>
          <w:szCs w:val="24"/>
          <w:lang w:val="en-US"/>
        </w:rPr>
        <w:lastRenderedPageBreak/>
        <w:t>2017</w:t>
      </w:r>
      <w:r w:rsidR="00B77A7F">
        <w:rPr>
          <w:szCs w:val="24"/>
          <w:lang w:val="en-US"/>
        </w:rPr>
        <w:t xml:space="preserve"> (the instrument)</w:t>
      </w:r>
      <w:r w:rsidR="00D91A02">
        <w:rPr>
          <w:szCs w:val="24"/>
        </w:rPr>
        <w:t>,</w:t>
      </w:r>
      <w:r w:rsidR="00A318C5" w:rsidRPr="00EE04DD">
        <w:rPr>
          <w:szCs w:val="24"/>
          <w:lang w:val="en-US"/>
        </w:rPr>
        <w:t xml:space="preserve"> which </w:t>
      </w:r>
      <w:r w:rsidR="00E12D0A">
        <w:rPr>
          <w:szCs w:val="24"/>
          <w:lang w:val="en-US"/>
        </w:rPr>
        <w:t xml:space="preserve">revokes </w:t>
      </w:r>
      <w:r w:rsidR="00A318C5" w:rsidRPr="00EE04DD">
        <w:rPr>
          <w:i/>
          <w:iCs/>
          <w:szCs w:val="24"/>
          <w:lang w:val="en-US"/>
        </w:rPr>
        <w:t xml:space="preserve">Prudential Standard </w:t>
      </w:r>
      <w:r w:rsidR="00B77A7F">
        <w:rPr>
          <w:i/>
          <w:iCs/>
          <w:szCs w:val="24"/>
          <w:lang w:val="en-US"/>
        </w:rPr>
        <w:t xml:space="preserve">CPS 226 Margining and risk mitigation for non-centrally cleared derivatives </w:t>
      </w:r>
      <w:r w:rsidR="00E12D0A">
        <w:rPr>
          <w:szCs w:val="24"/>
          <w:lang w:val="en-US"/>
        </w:rPr>
        <w:t>made under</w:t>
      </w:r>
      <w:r w:rsidR="00E12D0A" w:rsidRPr="00E12D0A">
        <w:rPr>
          <w:szCs w:val="24"/>
        </w:rPr>
        <w:t xml:space="preserve"> </w:t>
      </w:r>
      <w:r w:rsidR="00E12D0A" w:rsidRPr="00073573">
        <w:rPr>
          <w:szCs w:val="24"/>
        </w:rPr>
        <w:t>Banking</w:t>
      </w:r>
      <w:r w:rsidR="00E12D0A">
        <w:rPr>
          <w:szCs w:val="24"/>
          <w:lang w:val="en-US"/>
        </w:rPr>
        <w:t xml:space="preserve">, Insurance, </w:t>
      </w:r>
      <w:r w:rsidR="00E12D0A" w:rsidRPr="00425230">
        <w:rPr>
          <w:szCs w:val="24"/>
          <w:lang w:val="en-US"/>
        </w:rPr>
        <w:t>Life Insurance</w:t>
      </w:r>
      <w:r w:rsidR="00E12D0A">
        <w:rPr>
          <w:szCs w:val="24"/>
          <w:lang w:val="en-US"/>
        </w:rPr>
        <w:t xml:space="preserve"> and Superannuation (prudential standard</w:t>
      </w:r>
      <w:r w:rsidR="00E12D0A" w:rsidRPr="00425230">
        <w:rPr>
          <w:szCs w:val="24"/>
          <w:lang w:val="en-US"/>
        </w:rPr>
        <w:t xml:space="preserve">) determination No. </w:t>
      </w:r>
      <w:r w:rsidR="00E12D0A">
        <w:rPr>
          <w:szCs w:val="24"/>
          <w:lang w:val="en-US"/>
        </w:rPr>
        <w:t>1</w:t>
      </w:r>
      <w:r w:rsidR="00E12D0A" w:rsidRPr="00C11CC0">
        <w:rPr>
          <w:szCs w:val="24"/>
          <w:lang w:val="en-US"/>
        </w:rPr>
        <w:t xml:space="preserve"> of </w:t>
      </w:r>
      <w:r w:rsidR="00E12D0A">
        <w:rPr>
          <w:szCs w:val="24"/>
          <w:lang w:val="en-US"/>
        </w:rPr>
        <w:t xml:space="preserve">2016, and determines a new </w:t>
      </w:r>
      <w:r w:rsidR="00E12D0A" w:rsidRPr="00EE04DD">
        <w:rPr>
          <w:i/>
          <w:iCs/>
          <w:szCs w:val="24"/>
          <w:lang w:val="en-US"/>
        </w:rPr>
        <w:t xml:space="preserve">Prudential Standard </w:t>
      </w:r>
      <w:r w:rsidR="00E12D0A">
        <w:rPr>
          <w:i/>
          <w:iCs/>
          <w:szCs w:val="24"/>
          <w:lang w:val="en-US"/>
        </w:rPr>
        <w:t xml:space="preserve">CPS 226 Margining and risk mitigation for non-centrally cleared derivatives </w:t>
      </w:r>
      <w:r w:rsidR="00E12D0A" w:rsidRPr="00820034">
        <w:rPr>
          <w:szCs w:val="24"/>
          <w:lang w:val="en-US"/>
        </w:rPr>
        <w:t>(</w:t>
      </w:r>
      <w:r w:rsidR="00E12D0A">
        <w:rPr>
          <w:szCs w:val="24"/>
          <w:lang w:val="en-US"/>
        </w:rPr>
        <w:t>CPS 226)</w:t>
      </w:r>
      <w:r w:rsidR="00B77A7F">
        <w:rPr>
          <w:szCs w:val="24"/>
          <w:lang w:val="en-US"/>
        </w:rPr>
        <w:t>.</w:t>
      </w:r>
      <w:r w:rsidR="00E11DFE">
        <w:rPr>
          <w:rStyle w:val="FootnoteReference"/>
          <w:szCs w:val="24"/>
          <w:lang w:val="en-US"/>
        </w:rPr>
        <w:footnoteReference w:id="2"/>
      </w:r>
    </w:p>
    <w:p w14:paraId="5F739BD4" w14:textId="0316ED34" w:rsidR="00246723" w:rsidRDefault="00B77A7F" w:rsidP="00796A67">
      <w:pPr>
        <w:widowControl w:val="0"/>
        <w:rPr>
          <w:szCs w:val="24"/>
        </w:rPr>
      </w:pPr>
      <w:r>
        <w:rPr>
          <w:szCs w:val="24"/>
        </w:rPr>
        <w:t>The instrument</w:t>
      </w:r>
      <w:r w:rsidR="00AC7A56">
        <w:rPr>
          <w:szCs w:val="24"/>
        </w:rPr>
        <w:t xml:space="preserve"> commence</w:t>
      </w:r>
      <w:r>
        <w:rPr>
          <w:szCs w:val="24"/>
        </w:rPr>
        <w:t>s</w:t>
      </w:r>
      <w:r w:rsidR="00AC7A56">
        <w:rPr>
          <w:szCs w:val="24"/>
        </w:rPr>
        <w:t xml:space="preserve"> on</w:t>
      </w:r>
      <w:r w:rsidR="00673F46">
        <w:rPr>
          <w:szCs w:val="24"/>
        </w:rPr>
        <w:t xml:space="preserve"> </w:t>
      </w:r>
      <w:r w:rsidR="00486775">
        <w:rPr>
          <w:szCs w:val="24"/>
        </w:rPr>
        <w:t>1 September 2017</w:t>
      </w:r>
      <w:r w:rsidR="00AC7A56" w:rsidRPr="002C6D26">
        <w:rPr>
          <w:szCs w:val="24"/>
        </w:rPr>
        <w:t>.</w:t>
      </w:r>
    </w:p>
    <w:p w14:paraId="712DEB3B" w14:textId="77777777" w:rsidR="002436BD" w:rsidRDefault="002436BD" w:rsidP="00796A67">
      <w:pPr>
        <w:pStyle w:val="Heading"/>
        <w:keepNext/>
        <w:numPr>
          <w:ilvl w:val="0"/>
          <w:numId w:val="2"/>
        </w:numPr>
        <w:ind w:left="0" w:firstLine="0"/>
        <w:outlineLvl w:val="0"/>
        <w:rPr>
          <w:sz w:val="24"/>
          <w:szCs w:val="24"/>
        </w:rPr>
      </w:pPr>
      <w:r w:rsidRPr="002C6D26">
        <w:rPr>
          <w:sz w:val="24"/>
          <w:szCs w:val="24"/>
        </w:rPr>
        <w:t>Background</w:t>
      </w:r>
    </w:p>
    <w:p w14:paraId="65A22974" w14:textId="77777777" w:rsidR="00FF66E5" w:rsidRDefault="00E00512" w:rsidP="00FF66E5">
      <w:pPr>
        <w:pStyle w:val="Heading"/>
        <w:outlineLvl w:val="0"/>
        <w:rPr>
          <w:b w:val="0"/>
          <w:sz w:val="24"/>
          <w:szCs w:val="24"/>
        </w:rPr>
      </w:pPr>
      <w:r w:rsidRPr="00E00512">
        <w:rPr>
          <w:b w:val="0"/>
          <w:sz w:val="24"/>
          <w:szCs w:val="24"/>
        </w:rPr>
        <w:t xml:space="preserve">APRA’s mandate is to ensure the safety and soundness of prudentially regulated financial institutions so that they can meet their financial promises to depositors, policyholders and fund members within a stable, efficient and competitive financial system. </w:t>
      </w:r>
    </w:p>
    <w:p w14:paraId="4CFBC853" w14:textId="191D44CC" w:rsidR="00951A73" w:rsidRDefault="00E00512" w:rsidP="00796A67">
      <w:pPr>
        <w:pStyle w:val="Heading"/>
        <w:keepNext/>
        <w:outlineLvl w:val="0"/>
        <w:rPr>
          <w:b w:val="0"/>
          <w:sz w:val="24"/>
          <w:szCs w:val="24"/>
        </w:rPr>
      </w:pPr>
      <w:r w:rsidRPr="00E00512">
        <w:rPr>
          <w:b w:val="0"/>
          <w:sz w:val="24"/>
          <w:szCs w:val="24"/>
        </w:rPr>
        <w:lastRenderedPageBreak/>
        <w:t>In response to the global financial crisis</w:t>
      </w:r>
      <w:r>
        <w:rPr>
          <w:b w:val="0"/>
          <w:sz w:val="24"/>
          <w:szCs w:val="24"/>
        </w:rPr>
        <w:t>, the Group of Twenty</w:t>
      </w:r>
      <w:r w:rsidR="00486A20">
        <w:rPr>
          <w:b w:val="0"/>
          <w:sz w:val="24"/>
          <w:szCs w:val="24"/>
        </w:rPr>
        <w:t xml:space="preserve"> (G20)</w:t>
      </w:r>
      <w:r>
        <w:rPr>
          <w:b w:val="0"/>
          <w:sz w:val="24"/>
          <w:szCs w:val="24"/>
        </w:rPr>
        <w:t xml:space="preserve"> initiated a series of reforms to </w:t>
      </w:r>
      <w:r w:rsidR="0068612E">
        <w:rPr>
          <w:b w:val="0"/>
          <w:sz w:val="24"/>
          <w:szCs w:val="24"/>
        </w:rPr>
        <w:t xml:space="preserve">the </w:t>
      </w:r>
      <w:r>
        <w:rPr>
          <w:b w:val="0"/>
          <w:sz w:val="24"/>
          <w:szCs w:val="24"/>
        </w:rPr>
        <w:t>over-the-counter</w:t>
      </w:r>
      <w:r w:rsidR="00486A20">
        <w:rPr>
          <w:b w:val="0"/>
          <w:sz w:val="24"/>
          <w:szCs w:val="24"/>
        </w:rPr>
        <w:t xml:space="preserve"> (OTC)</w:t>
      </w:r>
      <w:r w:rsidR="00951A73">
        <w:rPr>
          <w:b w:val="0"/>
          <w:sz w:val="24"/>
          <w:szCs w:val="24"/>
        </w:rPr>
        <w:t xml:space="preserve"> derivatives market.</w:t>
      </w:r>
      <w:r w:rsidR="00FD2F38">
        <w:rPr>
          <w:b w:val="0"/>
          <w:sz w:val="24"/>
          <w:szCs w:val="24"/>
        </w:rPr>
        <w:t xml:space="preserve"> The G20’s initial reform comprised three key commitments:</w:t>
      </w:r>
    </w:p>
    <w:p w14:paraId="69BFE082" w14:textId="77777777" w:rsidR="00FD2F38" w:rsidRDefault="00FD2F38" w:rsidP="006642F2">
      <w:pPr>
        <w:pStyle w:val="Heading"/>
        <w:keepNext/>
        <w:numPr>
          <w:ilvl w:val="0"/>
          <w:numId w:val="46"/>
        </w:numPr>
        <w:outlineLvl w:val="0"/>
        <w:rPr>
          <w:b w:val="0"/>
          <w:sz w:val="24"/>
          <w:szCs w:val="24"/>
        </w:rPr>
      </w:pPr>
      <w:r w:rsidRPr="00FD2F38">
        <w:rPr>
          <w:b w:val="0"/>
          <w:sz w:val="24"/>
          <w:szCs w:val="24"/>
        </w:rPr>
        <w:t>to improve transparency by requiring transaction information on all OTC derivatives to be reported to trade repositories;</w:t>
      </w:r>
    </w:p>
    <w:p w14:paraId="600F649B" w14:textId="77777777" w:rsidR="00FD2F38" w:rsidRDefault="00FD2F38" w:rsidP="006642F2">
      <w:pPr>
        <w:pStyle w:val="Heading"/>
        <w:keepNext/>
        <w:numPr>
          <w:ilvl w:val="0"/>
          <w:numId w:val="46"/>
        </w:numPr>
        <w:outlineLvl w:val="0"/>
        <w:rPr>
          <w:b w:val="0"/>
          <w:sz w:val="24"/>
          <w:szCs w:val="24"/>
        </w:rPr>
      </w:pPr>
      <w:r w:rsidRPr="00FD2F38">
        <w:rPr>
          <w:b w:val="0"/>
          <w:sz w:val="24"/>
          <w:szCs w:val="24"/>
        </w:rPr>
        <w:t>to improve market efficiency and risk management by requiring all standardised OTC derivatives to be cleared through central counterparties; and</w:t>
      </w:r>
    </w:p>
    <w:p w14:paraId="1DCBB5AE" w14:textId="499389B7" w:rsidR="00FD2F38" w:rsidRPr="00FD2F38" w:rsidRDefault="00FD2F38" w:rsidP="006642F2">
      <w:pPr>
        <w:pStyle w:val="Heading"/>
        <w:keepNext/>
        <w:numPr>
          <w:ilvl w:val="0"/>
          <w:numId w:val="46"/>
        </w:numPr>
        <w:outlineLvl w:val="0"/>
        <w:rPr>
          <w:b w:val="0"/>
          <w:sz w:val="24"/>
          <w:szCs w:val="24"/>
        </w:rPr>
      </w:pPr>
      <w:r w:rsidRPr="00FD2F38">
        <w:rPr>
          <w:b w:val="0"/>
          <w:sz w:val="24"/>
          <w:szCs w:val="24"/>
        </w:rPr>
        <w:t>to improve market efficiency and integrity by requiring the execution of all standardised OTC derivatives on exchanges or electronic trading platforms, where appropriate.</w:t>
      </w:r>
    </w:p>
    <w:p w14:paraId="1820AD09" w14:textId="61EB6E91" w:rsidR="00F26D2E" w:rsidRDefault="00F26D2E" w:rsidP="00796A67">
      <w:pPr>
        <w:pStyle w:val="Heading"/>
        <w:keepNext/>
        <w:outlineLvl w:val="0"/>
        <w:rPr>
          <w:b w:val="0"/>
          <w:sz w:val="24"/>
          <w:szCs w:val="24"/>
        </w:rPr>
      </w:pPr>
      <w:r w:rsidRPr="00F26D2E">
        <w:rPr>
          <w:b w:val="0"/>
          <w:sz w:val="24"/>
          <w:szCs w:val="24"/>
        </w:rPr>
        <w:t>In 2011, the G20 added to its reform programme a fourth commitment to introduce margin requirements for non-centrally cleared derivatives and called on the Basel Committee on Banking Supervision (BCBS) and</w:t>
      </w:r>
      <w:r w:rsidR="00F44BAE">
        <w:rPr>
          <w:b w:val="0"/>
          <w:sz w:val="24"/>
          <w:szCs w:val="24"/>
        </w:rPr>
        <w:t xml:space="preserve"> the</w:t>
      </w:r>
      <w:r w:rsidRPr="00F26D2E">
        <w:rPr>
          <w:b w:val="0"/>
          <w:sz w:val="24"/>
          <w:szCs w:val="24"/>
        </w:rPr>
        <w:t xml:space="preserve"> International Organization of Securities Commissions (IOSCO) to develop recommendations for consistent global standards in this area.</w:t>
      </w:r>
    </w:p>
    <w:p w14:paraId="45557C3C" w14:textId="517B8D77" w:rsidR="00FF66E5" w:rsidRDefault="00FF66E5" w:rsidP="00796A67">
      <w:pPr>
        <w:pStyle w:val="Heading"/>
        <w:keepNext/>
        <w:outlineLvl w:val="0"/>
        <w:rPr>
          <w:b w:val="0"/>
          <w:sz w:val="24"/>
          <w:szCs w:val="24"/>
        </w:rPr>
      </w:pPr>
      <w:r w:rsidRPr="00FF66E5">
        <w:rPr>
          <w:b w:val="0"/>
          <w:sz w:val="24"/>
          <w:szCs w:val="24"/>
        </w:rPr>
        <w:t>Counterparty exposures on bilaterally transacted derivatives contributed to the depth of the global financial crisis. Many of these exposures were uncollateralised or undercollateralised, meaning insufficient collateral was available to offset losses caused by counterparty defaults and such losses were subsequently borne by the surviving counterparties. The build-up of uncollateralised exposures led to contagion and spillover effects on wider financial markets and the real economy.</w:t>
      </w:r>
    </w:p>
    <w:p w14:paraId="3830BB94" w14:textId="77777777" w:rsidR="00FF66E5" w:rsidRPr="00FF66E5" w:rsidRDefault="00FF66E5" w:rsidP="00FF66E5">
      <w:pPr>
        <w:pStyle w:val="Heading"/>
        <w:keepNext/>
        <w:outlineLvl w:val="0"/>
        <w:rPr>
          <w:b w:val="0"/>
          <w:sz w:val="24"/>
          <w:szCs w:val="24"/>
        </w:rPr>
      </w:pPr>
      <w:r w:rsidRPr="00FF66E5">
        <w:rPr>
          <w:b w:val="0"/>
          <w:sz w:val="24"/>
          <w:szCs w:val="24"/>
        </w:rPr>
        <w:t xml:space="preserve">The problems associated with insufficient collateral were exacerbated by inadequate risk management practices. Weaknesses in areas including trading relationship documentation, trade confirmation, portfolio reconciliation and compression, valuation processes and </w:t>
      </w:r>
      <w:r w:rsidRPr="00FF66E5">
        <w:rPr>
          <w:b w:val="0"/>
          <w:sz w:val="24"/>
          <w:szCs w:val="24"/>
        </w:rPr>
        <w:lastRenderedPageBreak/>
        <w:t>dispute resolution created a lack of certainty and transparency over the terms of non-centrally cleared transactions and aggravated the problems observed in the non-centrally cleared derivatives market.</w:t>
      </w:r>
    </w:p>
    <w:p w14:paraId="4098EC91" w14:textId="77777777" w:rsidR="00FF66E5" w:rsidRPr="00FF66E5" w:rsidRDefault="00FF66E5" w:rsidP="00FF66E5">
      <w:pPr>
        <w:pStyle w:val="Heading"/>
        <w:keepNext/>
        <w:outlineLvl w:val="0"/>
        <w:rPr>
          <w:b w:val="0"/>
          <w:sz w:val="24"/>
          <w:szCs w:val="24"/>
        </w:rPr>
      </w:pPr>
      <w:r w:rsidRPr="00FF66E5">
        <w:rPr>
          <w:b w:val="0"/>
          <w:sz w:val="24"/>
          <w:szCs w:val="24"/>
        </w:rPr>
        <w:t>In 2015, the BCBS and IOSCO finalised minimum standards for margin requirements for non-centrally cleared derivative transactions (‘the BCBS-IOSCO framework’). The BCBS-IOSCO framework requires the exchange of both variation margin and initial margin. Variation margin is collateral that is collected to reflect the current mark-to-market exposure resulting from changes in the market value of a non-centrally cleared derivative. Initial margin protects against the potential future exposure that may arise from future changes in the mark-to-market value of a non-centrally cleared derivative during the period of time that is assumed to be required to close-out and replace the position following a counterparty default.</w:t>
      </w:r>
    </w:p>
    <w:p w14:paraId="45B83B4F" w14:textId="03FF4952" w:rsidR="00FF66E5" w:rsidRPr="00FF66E5" w:rsidRDefault="00FF66E5" w:rsidP="00FF66E5">
      <w:pPr>
        <w:pStyle w:val="Heading"/>
        <w:keepNext/>
        <w:outlineLvl w:val="0"/>
        <w:rPr>
          <w:b w:val="0"/>
          <w:sz w:val="24"/>
          <w:szCs w:val="24"/>
        </w:rPr>
      </w:pPr>
      <w:r w:rsidRPr="00FF66E5">
        <w:rPr>
          <w:b w:val="0"/>
          <w:sz w:val="24"/>
          <w:szCs w:val="24"/>
        </w:rPr>
        <w:t>To complement the margin requirements, IOSCO</w:t>
      </w:r>
      <w:r w:rsidR="004D4BA9">
        <w:rPr>
          <w:b w:val="0"/>
          <w:sz w:val="24"/>
          <w:szCs w:val="24"/>
        </w:rPr>
        <w:t xml:space="preserve"> in 2015 released </w:t>
      </w:r>
      <w:r w:rsidRPr="0068612E">
        <w:rPr>
          <w:b w:val="0"/>
          <w:i/>
          <w:sz w:val="24"/>
          <w:szCs w:val="24"/>
        </w:rPr>
        <w:t>Risk Mitigation Standards for Non-centrally Cleared OTC Derivatives</w:t>
      </w:r>
      <w:r>
        <w:rPr>
          <w:b w:val="0"/>
          <w:sz w:val="24"/>
          <w:szCs w:val="24"/>
        </w:rPr>
        <w:t xml:space="preserve">, which </w:t>
      </w:r>
      <w:r w:rsidR="004D4BA9">
        <w:rPr>
          <w:b w:val="0"/>
          <w:sz w:val="24"/>
          <w:szCs w:val="24"/>
        </w:rPr>
        <w:t>sets out additional</w:t>
      </w:r>
      <w:r>
        <w:rPr>
          <w:b w:val="0"/>
          <w:sz w:val="24"/>
          <w:szCs w:val="24"/>
        </w:rPr>
        <w:t xml:space="preserve"> qualitative risk mitigation practices </w:t>
      </w:r>
      <w:r w:rsidRPr="00FF66E5">
        <w:rPr>
          <w:b w:val="0"/>
          <w:sz w:val="24"/>
          <w:szCs w:val="24"/>
        </w:rPr>
        <w:t xml:space="preserve">to reduce risk in the non-centrally cleared derivatives market (‘the IOSCO </w:t>
      </w:r>
      <w:r w:rsidR="0065649D">
        <w:rPr>
          <w:b w:val="0"/>
          <w:sz w:val="24"/>
          <w:szCs w:val="24"/>
        </w:rPr>
        <w:t xml:space="preserve">risk mitigation </w:t>
      </w:r>
      <w:r w:rsidRPr="00FF66E5">
        <w:rPr>
          <w:b w:val="0"/>
          <w:sz w:val="24"/>
          <w:szCs w:val="24"/>
        </w:rPr>
        <w:t xml:space="preserve">standards’). These standards require covered entities to adopt appropriate risk mitigation </w:t>
      </w:r>
      <w:r w:rsidR="00F44BAE">
        <w:rPr>
          <w:b w:val="0"/>
          <w:sz w:val="24"/>
          <w:szCs w:val="24"/>
        </w:rPr>
        <w:t>practices</w:t>
      </w:r>
      <w:r w:rsidRPr="00FF66E5">
        <w:rPr>
          <w:b w:val="0"/>
          <w:sz w:val="24"/>
          <w:szCs w:val="24"/>
        </w:rPr>
        <w:t xml:space="preserve"> in the areas of trading relationship documentation, trade confirmation, valuation processes, portfolio reconciliation, portfolio compression</w:t>
      </w:r>
      <w:r w:rsidR="00F44BAE">
        <w:rPr>
          <w:b w:val="0"/>
          <w:sz w:val="24"/>
          <w:szCs w:val="24"/>
        </w:rPr>
        <w:t>,</w:t>
      </w:r>
      <w:r w:rsidRPr="00FF66E5">
        <w:rPr>
          <w:b w:val="0"/>
          <w:sz w:val="24"/>
          <w:szCs w:val="24"/>
        </w:rPr>
        <w:t xml:space="preserve"> and dispute resolution.</w:t>
      </w:r>
    </w:p>
    <w:p w14:paraId="5D93F038" w14:textId="47C82E39" w:rsidR="00FF66E5" w:rsidRDefault="00FF66E5" w:rsidP="00FF66E5">
      <w:pPr>
        <w:pStyle w:val="Heading"/>
        <w:keepNext/>
        <w:outlineLvl w:val="0"/>
        <w:rPr>
          <w:b w:val="0"/>
          <w:sz w:val="24"/>
          <w:szCs w:val="24"/>
        </w:rPr>
      </w:pPr>
      <w:r w:rsidRPr="00FF66E5">
        <w:rPr>
          <w:b w:val="0"/>
          <w:sz w:val="24"/>
          <w:szCs w:val="24"/>
        </w:rPr>
        <w:t>The purpose of the BCBS-IOSCO reforms is to reduce systemic risk and limit contagion by ensuring the availability of collateral to offset losses caused by the default of a derivative counterparty and to improve risk management practices in order to promote legal certainty, transparency and timely dispute resolution. By requiring collateral to be posted against both current and potential future counterparty exposures for non-centrally cleared derivatives, as required for centrally cleared exposures, these reforms are also intended to promote central clearing.</w:t>
      </w:r>
    </w:p>
    <w:p w14:paraId="40ABE3F1" w14:textId="5EF120F1" w:rsidR="0068612E" w:rsidRDefault="002D1638" w:rsidP="00796A67">
      <w:pPr>
        <w:pStyle w:val="Heading"/>
        <w:keepNext/>
        <w:outlineLvl w:val="0"/>
        <w:rPr>
          <w:b w:val="0"/>
          <w:sz w:val="24"/>
          <w:szCs w:val="24"/>
        </w:rPr>
      </w:pPr>
      <w:r>
        <w:rPr>
          <w:b w:val="0"/>
          <w:sz w:val="24"/>
          <w:szCs w:val="24"/>
        </w:rPr>
        <w:t xml:space="preserve">In December 2016, APRA implemented </w:t>
      </w:r>
      <w:r w:rsidR="0068612E">
        <w:rPr>
          <w:b w:val="0"/>
          <w:sz w:val="24"/>
          <w:szCs w:val="24"/>
        </w:rPr>
        <w:t>margin requirements for non-centrally cleared derivatives based on the BCBS-IOSCO framework</w:t>
      </w:r>
      <w:r w:rsidR="0065649D">
        <w:rPr>
          <w:b w:val="0"/>
          <w:sz w:val="24"/>
          <w:szCs w:val="24"/>
        </w:rPr>
        <w:t xml:space="preserve"> and additional risk mitigation requirements for non-</w:t>
      </w:r>
      <w:r w:rsidR="00FA12A9">
        <w:rPr>
          <w:b w:val="0"/>
          <w:sz w:val="24"/>
          <w:szCs w:val="24"/>
        </w:rPr>
        <w:t xml:space="preserve">centrally </w:t>
      </w:r>
      <w:r w:rsidR="0065649D">
        <w:rPr>
          <w:b w:val="0"/>
          <w:sz w:val="24"/>
          <w:szCs w:val="24"/>
        </w:rPr>
        <w:t>cleared</w:t>
      </w:r>
      <w:r w:rsidR="00FA12A9">
        <w:rPr>
          <w:b w:val="0"/>
          <w:sz w:val="24"/>
          <w:szCs w:val="24"/>
        </w:rPr>
        <w:t xml:space="preserve"> derivatives</w:t>
      </w:r>
      <w:r w:rsidR="0065649D">
        <w:rPr>
          <w:b w:val="0"/>
          <w:sz w:val="24"/>
          <w:szCs w:val="24"/>
        </w:rPr>
        <w:t xml:space="preserve"> transactions based on </w:t>
      </w:r>
      <w:r w:rsidR="004D4BA9">
        <w:rPr>
          <w:b w:val="0"/>
          <w:sz w:val="24"/>
          <w:szCs w:val="24"/>
        </w:rPr>
        <w:t xml:space="preserve">the IOSCO risk mitigation </w:t>
      </w:r>
      <w:r w:rsidR="0065649D">
        <w:rPr>
          <w:b w:val="0"/>
          <w:sz w:val="24"/>
          <w:szCs w:val="24"/>
        </w:rPr>
        <w:t>standards</w:t>
      </w:r>
      <w:r w:rsidR="007428E9">
        <w:rPr>
          <w:b w:val="0"/>
          <w:sz w:val="24"/>
          <w:szCs w:val="24"/>
        </w:rPr>
        <w:t xml:space="preserve">. </w:t>
      </w:r>
      <w:r>
        <w:rPr>
          <w:b w:val="0"/>
          <w:sz w:val="24"/>
          <w:szCs w:val="24"/>
        </w:rPr>
        <w:t>T</w:t>
      </w:r>
      <w:r w:rsidR="00EB4386">
        <w:rPr>
          <w:b w:val="0"/>
          <w:sz w:val="24"/>
          <w:szCs w:val="24"/>
        </w:rPr>
        <w:t>he</w:t>
      </w:r>
      <w:r>
        <w:rPr>
          <w:b w:val="0"/>
          <w:sz w:val="24"/>
          <w:szCs w:val="24"/>
        </w:rPr>
        <w:t xml:space="preserve"> margin</w:t>
      </w:r>
      <w:r w:rsidR="00EB4386">
        <w:rPr>
          <w:b w:val="0"/>
          <w:sz w:val="24"/>
          <w:szCs w:val="24"/>
        </w:rPr>
        <w:t xml:space="preserve"> requirements commenced </w:t>
      </w:r>
      <w:r>
        <w:rPr>
          <w:b w:val="0"/>
          <w:sz w:val="24"/>
          <w:szCs w:val="24"/>
        </w:rPr>
        <w:t>in March</w:t>
      </w:r>
      <w:r w:rsidRPr="00A9527B">
        <w:rPr>
          <w:b w:val="0"/>
          <w:sz w:val="24"/>
          <w:szCs w:val="24"/>
        </w:rPr>
        <w:t xml:space="preserve"> 2017</w:t>
      </w:r>
      <w:r>
        <w:rPr>
          <w:b w:val="0"/>
          <w:sz w:val="24"/>
          <w:szCs w:val="24"/>
        </w:rPr>
        <w:t xml:space="preserve">, subject to a six-month transition period for </w:t>
      </w:r>
      <w:r w:rsidR="00F44BAE">
        <w:rPr>
          <w:b w:val="0"/>
          <w:sz w:val="24"/>
          <w:szCs w:val="24"/>
        </w:rPr>
        <w:t xml:space="preserve">the </w:t>
      </w:r>
      <w:r>
        <w:rPr>
          <w:b w:val="0"/>
          <w:sz w:val="24"/>
          <w:szCs w:val="24"/>
        </w:rPr>
        <w:t xml:space="preserve">variation margin requirements and </w:t>
      </w:r>
      <w:r>
        <w:rPr>
          <w:b w:val="0"/>
          <w:sz w:val="24"/>
          <w:szCs w:val="24"/>
        </w:rPr>
        <w:lastRenderedPageBreak/>
        <w:t>a multi-year phase-in timetable for</w:t>
      </w:r>
      <w:r w:rsidR="00F44BAE">
        <w:rPr>
          <w:b w:val="0"/>
          <w:sz w:val="24"/>
          <w:szCs w:val="24"/>
        </w:rPr>
        <w:t xml:space="preserve"> the</w:t>
      </w:r>
      <w:r>
        <w:rPr>
          <w:b w:val="0"/>
          <w:sz w:val="24"/>
          <w:szCs w:val="24"/>
        </w:rPr>
        <w:t xml:space="preserve"> initial margin requirements. The risk mitigation requirements will take effect on 1 March 2018.</w:t>
      </w:r>
      <w:r w:rsidR="00F44BAE" w:rsidRPr="00F44BAE">
        <w:t xml:space="preserve"> </w:t>
      </w:r>
      <w:r w:rsidR="001F5F56">
        <w:rPr>
          <w:b w:val="0"/>
          <w:sz w:val="24"/>
          <w:szCs w:val="24"/>
        </w:rPr>
        <w:t>APRA’s framework</w:t>
      </w:r>
      <w:r w:rsidR="00F44BAE">
        <w:rPr>
          <w:b w:val="0"/>
          <w:sz w:val="24"/>
          <w:szCs w:val="24"/>
        </w:rPr>
        <w:t xml:space="preserve"> include</w:t>
      </w:r>
      <w:r w:rsidR="001F5F56">
        <w:rPr>
          <w:b w:val="0"/>
          <w:sz w:val="24"/>
          <w:szCs w:val="24"/>
        </w:rPr>
        <w:t>d the power for</w:t>
      </w:r>
      <w:r w:rsidR="00F44BAE">
        <w:rPr>
          <w:b w:val="0"/>
          <w:sz w:val="24"/>
          <w:szCs w:val="24"/>
        </w:rPr>
        <w:t xml:space="preserve"> </w:t>
      </w:r>
      <w:r w:rsidR="00F44BAE" w:rsidRPr="00F44BAE">
        <w:rPr>
          <w:b w:val="0"/>
          <w:sz w:val="24"/>
          <w:szCs w:val="24"/>
        </w:rPr>
        <w:t xml:space="preserve">APRA </w:t>
      </w:r>
      <w:r w:rsidR="001F5F56">
        <w:rPr>
          <w:b w:val="0"/>
          <w:sz w:val="24"/>
          <w:szCs w:val="24"/>
        </w:rPr>
        <w:t>to</w:t>
      </w:r>
      <w:r w:rsidR="00F44BAE" w:rsidRPr="00F44BAE">
        <w:rPr>
          <w:b w:val="0"/>
          <w:sz w:val="24"/>
          <w:szCs w:val="24"/>
        </w:rPr>
        <w:t xml:space="preserve"> approve substituted compliance in relation to the margin requirements of a foreign jurisdiction where those requirements are comparable in outcomes with the BCBS-IOSCO framework and</w:t>
      </w:r>
      <w:r w:rsidR="00F44BAE">
        <w:rPr>
          <w:b w:val="0"/>
          <w:sz w:val="24"/>
          <w:szCs w:val="24"/>
        </w:rPr>
        <w:t xml:space="preserve"> the margin requirements in</w:t>
      </w:r>
      <w:r w:rsidR="00F44BAE" w:rsidRPr="00F44BAE">
        <w:rPr>
          <w:b w:val="0"/>
          <w:sz w:val="24"/>
          <w:szCs w:val="24"/>
        </w:rPr>
        <w:t xml:space="preserve"> CPS 226.</w:t>
      </w:r>
    </w:p>
    <w:p w14:paraId="454382BA" w14:textId="4808DEC7" w:rsidR="002436BD" w:rsidRDefault="002436BD" w:rsidP="00796A67">
      <w:pPr>
        <w:pStyle w:val="Heading"/>
        <w:keepNext/>
        <w:numPr>
          <w:ilvl w:val="0"/>
          <w:numId w:val="2"/>
        </w:numPr>
        <w:ind w:left="0" w:firstLine="0"/>
        <w:outlineLvl w:val="0"/>
        <w:rPr>
          <w:sz w:val="24"/>
          <w:szCs w:val="24"/>
        </w:rPr>
      </w:pPr>
      <w:bookmarkStart w:id="4" w:name="bkBackground"/>
      <w:bookmarkEnd w:id="4"/>
      <w:r w:rsidRPr="002C6D26">
        <w:rPr>
          <w:sz w:val="24"/>
          <w:szCs w:val="24"/>
        </w:rPr>
        <w:t xml:space="preserve">Purpose </w:t>
      </w:r>
      <w:r w:rsidR="00DF524E">
        <w:rPr>
          <w:sz w:val="24"/>
          <w:szCs w:val="24"/>
        </w:rPr>
        <w:t xml:space="preserve">and operation </w:t>
      </w:r>
      <w:r w:rsidRPr="002C6D26">
        <w:rPr>
          <w:sz w:val="24"/>
          <w:szCs w:val="24"/>
        </w:rPr>
        <w:t>of the instrument</w:t>
      </w:r>
      <w:r w:rsidR="000645D5">
        <w:rPr>
          <w:sz w:val="24"/>
          <w:szCs w:val="24"/>
        </w:rPr>
        <w:t>s</w:t>
      </w:r>
    </w:p>
    <w:p w14:paraId="016B4BB1" w14:textId="663A0A56" w:rsidR="00E12D0A" w:rsidRDefault="002726D0" w:rsidP="00796A67">
      <w:pPr>
        <w:pStyle w:val="Heading"/>
        <w:rPr>
          <w:b w:val="0"/>
          <w:sz w:val="24"/>
          <w:szCs w:val="24"/>
        </w:rPr>
      </w:pPr>
      <w:bookmarkStart w:id="5" w:name="bkPurpose"/>
      <w:bookmarkEnd w:id="5"/>
      <w:r w:rsidRPr="009D1AD4">
        <w:rPr>
          <w:b w:val="0"/>
          <w:sz w:val="24"/>
          <w:szCs w:val="24"/>
        </w:rPr>
        <w:t>The</w:t>
      </w:r>
      <w:r>
        <w:rPr>
          <w:b w:val="0"/>
          <w:sz w:val="24"/>
          <w:szCs w:val="24"/>
        </w:rPr>
        <w:t xml:space="preserve"> purpose of </w:t>
      </w:r>
      <w:r w:rsidR="003E1FF6">
        <w:rPr>
          <w:b w:val="0"/>
          <w:sz w:val="24"/>
          <w:szCs w:val="24"/>
        </w:rPr>
        <w:t>the</w:t>
      </w:r>
      <w:r w:rsidRPr="009D1AD4">
        <w:rPr>
          <w:b w:val="0"/>
          <w:sz w:val="24"/>
          <w:szCs w:val="24"/>
        </w:rPr>
        <w:t xml:space="preserve"> instrument is to</w:t>
      </w:r>
      <w:r w:rsidR="00703F6F">
        <w:rPr>
          <w:b w:val="0"/>
          <w:sz w:val="24"/>
          <w:szCs w:val="24"/>
        </w:rPr>
        <w:t xml:space="preserve"> </w:t>
      </w:r>
      <w:r w:rsidR="00E12D0A">
        <w:rPr>
          <w:b w:val="0"/>
          <w:sz w:val="24"/>
          <w:szCs w:val="24"/>
        </w:rPr>
        <w:t>revoke</w:t>
      </w:r>
      <w:r w:rsidR="00703F6F">
        <w:rPr>
          <w:b w:val="0"/>
          <w:sz w:val="24"/>
          <w:szCs w:val="24"/>
        </w:rPr>
        <w:t xml:space="preserve"> </w:t>
      </w:r>
      <w:r w:rsidR="00BF67E4">
        <w:rPr>
          <w:b w:val="0"/>
          <w:sz w:val="24"/>
          <w:szCs w:val="24"/>
        </w:rPr>
        <w:t xml:space="preserve">the existing </w:t>
      </w:r>
      <w:r w:rsidR="00703F6F">
        <w:rPr>
          <w:b w:val="0"/>
          <w:sz w:val="24"/>
          <w:szCs w:val="24"/>
        </w:rPr>
        <w:t>CPS 226</w:t>
      </w:r>
      <w:r w:rsidR="00E12D0A">
        <w:rPr>
          <w:b w:val="0"/>
          <w:sz w:val="24"/>
          <w:szCs w:val="24"/>
        </w:rPr>
        <w:t xml:space="preserve"> and replace it with </w:t>
      </w:r>
      <w:r w:rsidR="00BF67E4">
        <w:rPr>
          <w:b w:val="0"/>
          <w:sz w:val="24"/>
          <w:szCs w:val="24"/>
        </w:rPr>
        <w:t xml:space="preserve">a new </w:t>
      </w:r>
      <w:r w:rsidR="00E12D0A">
        <w:rPr>
          <w:b w:val="0"/>
          <w:sz w:val="24"/>
          <w:szCs w:val="24"/>
        </w:rPr>
        <w:t xml:space="preserve">version of </w:t>
      </w:r>
      <w:r w:rsidR="00BF67E4">
        <w:rPr>
          <w:b w:val="0"/>
          <w:sz w:val="24"/>
          <w:szCs w:val="24"/>
        </w:rPr>
        <w:t>CPS 226</w:t>
      </w:r>
      <w:r w:rsidR="00703F6F">
        <w:rPr>
          <w:b w:val="0"/>
          <w:sz w:val="24"/>
          <w:szCs w:val="24"/>
        </w:rPr>
        <w:t xml:space="preserve">. </w:t>
      </w:r>
    </w:p>
    <w:p w14:paraId="23D4AFD6" w14:textId="3D31AA85" w:rsidR="003A6423" w:rsidRDefault="00E12D0A" w:rsidP="00D3130A">
      <w:pPr>
        <w:pStyle w:val="Heading"/>
        <w:rPr>
          <w:b w:val="0"/>
          <w:sz w:val="24"/>
          <w:szCs w:val="24"/>
        </w:rPr>
      </w:pPr>
      <w:r w:rsidRPr="00E12D0A">
        <w:rPr>
          <w:b w:val="0"/>
          <w:sz w:val="24"/>
          <w:szCs w:val="24"/>
        </w:rPr>
        <w:t xml:space="preserve">The </w:t>
      </w:r>
      <w:r w:rsidR="00BF67E4">
        <w:rPr>
          <w:b w:val="0"/>
          <w:sz w:val="24"/>
          <w:szCs w:val="24"/>
        </w:rPr>
        <w:t xml:space="preserve">new version of </w:t>
      </w:r>
      <w:r>
        <w:rPr>
          <w:b w:val="0"/>
          <w:sz w:val="24"/>
          <w:szCs w:val="24"/>
        </w:rPr>
        <w:t>CPS 226</w:t>
      </w:r>
      <w:r w:rsidRPr="00E12D0A">
        <w:rPr>
          <w:b w:val="0"/>
          <w:sz w:val="24"/>
          <w:szCs w:val="24"/>
        </w:rPr>
        <w:t xml:space="preserve"> </w:t>
      </w:r>
      <w:r w:rsidR="00807224">
        <w:rPr>
          <w:b w:val="0"/>
          <w:sz w:val="24"/>
          <w:szCs w:val="24"/>
        </w:rPr>
        <w:t xml:space="preserve">specifies the foreign margin requirements or provisions that APRA has determined to be comparable </w:t>
      </w:r>
      <w:r w:rsidR="00882229">
        <w:rPr>
          <w:b w:val="0"/>
          <w:sz w:val="24"/>
          <w:szCs w:val="24"/>
        </w:rPr>
        <w:t xml:space="preserve">in outcomes with the BCBS-IOSCO framework and </w:t>
      </w:r>
      <w:r w:rsidR="00807224">
        <w:rPr>
          <w:b w:val="0"/>
          <w:sz w:val="24"/>
          <w:szCs w:val="24"/>
        </w:rPr>
        <w:t xml:space="preserve">the margin requirements in CPS 226, and </w:t>
      </w:r>
      <w:r w:rsidR="00C77987">
        <w:rPr>
          <w:b w:val="0"/>
          <w:sz w:val="24"/>
          <w:szCs w:val="24"/>
        </w:rPr>
        <w:t>p</w:t>
      </w:r>
      <w:r w:rsidR="007A4703">
        <w:rPr>
          <w:b w:val="0"/>
          <w:sz w:val="24"/>
          <w:szCs w:val="24"/>
        </w:rPr>
        <w:t>ermit</w:t>
      </w:r>
      <w:r w:rsidR="00BF67E4">
        <w:rPr>
          <w:b w:val="0"/>
          <w:sz w:val="24"/>
          <w:szCs w:val="24"/>
        </w:rPr>
        <w:t>s</w:t>
      </w:r>
      <w:r w:rsidR="007A4703">
        <w:rPr>
          <w:b w:val="0"/>
          <w:sz w:val="24"/>
          <w:szCs w:val="24"/>
        </w:rPr>
        <w:t xml:space="preserve"> an APRA-regulated institution to substitute compliance with</w:t>
      </w:r>
      <w:r w:rsidR="003A6423">
        <w:rPr>
          <w:b w:val="0"/>
          <w:sz w:val="24"/>
          <w:szCs w:val="24"/>
        </w:rPr>
        <w:t xml:space="preserve"> </w:t>
      </w:r>
      <w:r w:rsidR="00807224">
        <w:rPr>
          <w:b w:val="0"/>
          <w:sz w:val="24"/>
          <w:szCs w:val="24"/>
        </w:rPr>
        <w:t xml:space="preserve">those </w:t>
      </w:r>
      <w:r w:rsidR="00BB5ED8">
        <w:rPr>
          <w:b w:val="0"/>
          <w:sz w:val="24"/>
          <w:szCs w:val="24"/>
        </w:rPr>
        <w:t xml:space="preserve">foreign </w:t>
      </w:r>
      <w:r w:rsidR="00882229">
        <w:rPr>
          <w:b w:val="0"/>
          <w:sz w:val="24"/>
          <w:szCs w:val="24"/>
        </w:rPr>
        <w:t xml:space="preserve">margin </w:t>
      </w:r>
      <w:r w:rsidR="00C77987">
        <w:rPr>
          <w:b w:val="0"/>
          <w:sz w:val="24"/>
          <w:szCs w:val="24"/>
        </w:rPr>
        <w:t>requirements or provisions</w:t>
      </w:r>
      <w:r w:rsidR="007907FC">
        <w:rPr>
          <w:b w:val="0"/>
          <w:sz w:val="24"/>
          <w:szCs w:val="24"/>
        </w:rPr>
        <w:t xml:space="preserve"> for </w:t>
      </w:r>
      <w:r w:rsidR="008B6BA0">
        <w:rPr>
          <w:b w:val="0"/>
          <w:sz w:val="24"/>
          <w:szCs w:val="24"/>
        </w:rPr>
        <w:t xml:space="preserve">compliance with </w:t>
      </w:r>
      <w:r w:rsidR="007907FC">
        <w:rPr>
          <w:b w:val="0"/>
          <w:sz w:val="24"/>
          <w:szCs w:val="24"/>
        </w:rPr>
        <w:t>the margin requirements in CPS 226</w:t>
      </w:r>
      <w:r w:rsidR="00C77987">
        <w:rPr>
          <w:b w:val="0"/>
          <w:sz w:val="24"/>
          <w:szCs w:val="24"/>
        </w:rPr>
        <w:t xml:space="preserve">. </w:t>
      </w:r>
      <w:r w:rsidR="00D3130A">
        <w:rPr>
          <w:b w:val="0"/>
          <w:sz w:val="24"/>
          <w:szCs w:val="24"/>
        </w:rPr>
        <w:t>T</w:t>
      </w:r>
      <w:r w:rsidR="00C77987">
        <w:rPr>
          <w:b w:val="0"/>
          <w:sz w:val="24"/>
          <w:szCs w:val="24"/>
        </w:rPr>
        <w:t>he instrument s</w:t>
      </w:r>
      <w:r w:rsidR="007A4703">
        <w:rPr>
          <w:b w:val="0"/>
          <w:sz w:val="24"/>
          <w:szCs w:val="24"/>
        </w:rPr>
        <w:t>pecif</w:t>
      </w:r>
      <w:r w:rsidR="00C77987">
        <w:rPr>
          <w:b w:val="0"/>
          <w:sz w:val="24"/>
          <w:szCs w:val="24"/>
        </w:rPr>
        <w:t>ies</w:t>
      </w:r>
      <w:r w:rsidR="007A4703">
        <w:rPr>
          <w:b w:val="0"/>
          <w:sz w:val="24"/>
          <w:szCs w:val="24"/>
        </w:rPr>
        <w:t xml:space="preserve"> </w:t>
      </w:r>
      <w:r w:rsidR="00882229">
        <w:rPr>
          <w:b w:val="0"/>
          <w:sz w:val="24"/>
          <w:szCs w:val="24"/>
        </w:rPr>
        <w:t xml:space="preserve">the </w:t>
      </w:r>
      <w:r w:rsidR="000721D6">
        <w:rPr>
          <w:b w:val="0"/>
          <w:sz w:val="24"/>
          <w:szCs w:val="24"/>
        </w:rPr>
        <w:t xml:space="preserve">scope of transactions eligible for </w:t>
      </w:r>
      <w:r w:rsidR="00882229">
        <w:rPr>
          <w:b w:val="0"/>
          <w:sz w:val="24"/>
          <w:szCs w:val="24"/>
        </w:rPr>
        <w:t>substituted compliance</w:t>
      </w:r>
      <w:r w:rsidR="00C77987">
        <w:rPr>
          <w:b w:val="0"/>
          <w:sz w:val="24"/>
          <w:szCs w:val="24"/>
        </w:rPr>
        <w:t>,</w:t>
      </w:r>
      <w:r w:rsidR="003A6423">
        <w:rPr>
          <w:b w:val="0"/>
          <w:sz w:val="24"/>
          <w:szCs w:val="24"/>
        </w:rPr>
        <w:t xml:space="preserve"> and</w:t>
      </w:r>
      <w:r w:rsidR="00C77987">
        <w:rPr>
          <w:b w:val="0"/>
          <w:sz w:val="24"/>
          <w:szCs w:val="24"/>
        </w:rPr>
        <w:t xml:space="preserve"> </w:t>
      </w:r>
      <w:r w:rsidR="00D3130A">
        <w:rPr>
          <w:b w:val="0"/>
          <w:sz w:val="24"/>
          <w:szCs w:val="24"/>
        </w:rPr>
        <w:t>s</w:t>
      </w:r>
      <w:r w:rsidR="003A6423">
        <w:rPr>
          <w:b w:val="0"/>
          <w:sz w:val="24"/>
          <w:szCs w:val="24"/>
        </w:rPr>
        <w:t>et</w:t>
      </w:r>
      <w:r w:rsidR="00D3130A">
        <w:rPr>
          <w:b w:val="0"/>
          <w:sz w:val="24"/>
          <w:szCs w:val="24"/>
        </w:rPr>
        <w:t>s</w:t>
      </w:r>
      <w:r w:rsidR="003A6423">
        <w:rPr>
          <w:b w:val="0"/>
          <w:sz w:val="24"/>
          <w:szCs w:val="24"/>
        </w:rPr>
        <w:t xml:space="preserve"> out </w:t>
      </w:r>
      <w:r w:rsidR="00C77987">
        <w:rPr>
          <w:b w:val="0"/>
          <w:sz w:val="24"/>
          <w:szCs w:val="24"/>
        </w:rPr>
        <w:t xml:space="preserve">a condition regarding intra-group transactions that applies </w:t>
      </w:r>
      <w:r w:rsidR="003A6423" w:rsidRPr="003A6423">
        <w:rPr>
          <w:b w:val="0"/>
          <w:sz w:val="24"/>
          <w:szCs w:val="24"/>
        </w:rPr>
        <w:t xml:space="preserve">in relation to </w:t>
      </w:r>
      <w:r w:rsidR="00BB5ED8">
        <w:rPr>
          <w:b w:val="0"/>
          <w:sz w:val="24"/>
          <w:szCs w:val="24"/>
        </w:rPr>
        <w:t xml:space="preserve">some of </w:t>
      </w:r>
      <w:r w:rsidR="003A6423" w:rsidRPr="003A6423">
        <w:rPr>
          <w:b w:val="0"/>
          <w:sz w:val="24"/>
          <w:szCs w:val="24"/>
        </w:rPr>
        <w:t xml:space="preserve">the </w:t>
      </w:r>
      <w:r w:rsidR="00BB5ED8">
        <w:rPr>
          <w:b w:val="0"/>
          <w:sz w:val="24"/>
          <w:szCs w:val="24"/>
        </w:rPr>
        <w:t xml:space="preserve">specified foreign </w:t>
      </w:r>
      <w:r w:rsidR="003A6423" w:rsidRPr="003A6423">
        <w:rPr>
          <w:b w:val="0"/>
          <w:sz w:val="24"/>
          <w:szCs w:val="24"/>
        </w:rPr>
        <w:t>margin requirements or provisions</w:t>
      </w:r>
      <w:r w:rsidR="00C77987">
        <w:rPr>
          <w:b w:val="0"/>
          <w:sz w:val="24"/>
          <w:szCs w:val="24"/>
        </w:rPr>
        <w:t>.</w:t>
      </w:r>
    </w:p>
    <w:p w14:paraId="517C102C" w14:textId="448D9C9E" w:rsidR="00BB79C9" w:rsidRDefault="007A4703" w:rsidP="00796A67">
      <w:pPr>
        <w:pStyle w:val="Heading"/>
        <w:rPr>
          <w:b w:val="0"/>
          <w:sz w:val="24"/>
          <w:szCs w:val="24"/>
        </w:rPr>
      </w:pPr>
      <w:r>
        <w:rPr>
          <w:b w:val="0"/>
          <w:sz w:val="24"/>
          <w:szCs w:val="24"/>
        </w:rPr>
        <w:t xml:space="preserve">The </w:t>
      </w:r>
      <w:r w:rsidR="008B6BA0">
        <w:rPr>
          <w:b w:val="0"/>
          <w:sz w:val="24"/>
          <w:szCs w:val="24"/>
        </w:rPr>
        <w:t xml:space="preserve">new version of CPS 226 </w:t>
      </w:r>
      <w:r>
        <w:rPr>
          <w:b w:val="0"/>
          <w:sz w:val="24"/>
          <w:szCs w:val="24"/>
        </w:rPr>
        <w:t xml:space="preserve">also </w:t>
      </w:r>
      <w:r w:rsidR="00BB79C9">
        <w:rPr>
          <w:b w:val="0"/>
          <w:sz w:val="24"/>
          <w:szCs w:val="24"/>
        </w:rPr>
        <w:t>ma</w:t>
      </w:r>
      <w:r w:rsidR="008B6BA0">
        <w:rPr>
          <w:b w:val="0"/>
          <w:sz w:val="24"/>
          <w:szCs w:val="24"/>
        </w:rPr>
        <w:t>k</w:t>
      </w:r>
      <w:r w:rsidR="00BB79C9">
        <w:rPr>
          <w:b w:val="0"/>
          <w:sz w:val="24"/>
          <w:szCs w:val="24"/>
        </w:rPr>
        <w:t>e</w:t>
      </w:r>
      <w:r w:rsidR="008B6BA0">
        <w:rPr>
          <w:b w:val="0"/>
          <w:sz w:val="24"/>
          <w:szCs w:val="24"/>
        </w:rPr>
        <w:t>s</w:t>
      </w:r>
      <w:r w:rsidR="00BB79C9">
        <w:rPr>
          <w:b w:val="0"/>
          <w:sz w:val="24"/>
          <w:szCs w:val="24"/>
        </w:rPr>
        <w:t xml:space="preserve"> a minor change to the </w:t>
      </w:r>
      <w:r w:rsidR="002D1638">
        <w:rPr>
          <w:b w:val="0"/>
          <w:sz w:val="24"/>
          <w:szCs w:val="24"/>
        </w:rPr>
        <w:t xml:space="preserve">list of </w:t>
      </w:r>
      <w:r w:rsidR="00BB79C9">
        <w:rPr>
          <w:b w:val="0"/>
          <w:sz w:val="24"/>
          <w:szCs w:val="24"/>
        </w:rPr>
        <w:t xml:space="preserve">eligible collateral that an APRA-regulated institution </w:t>
      </w:r>
      <w:r w:rsidR="002D1638">
        <w:rPr>
          <w:b w:val="0"/>
          <w:sz w:val="24"/>
          <w:szCs w:val="24"/>
        </w:rPr>
        <w:t>must</w:t>
      </w:r>
      <w:r w:rsidR="00BB79C9">
        <w:rPr>
          <w:b w:val="0"/>
          <w:sz w:val="24"/>
          <w:szCs w:val="24"/>
        </w:rPr>
        <w:t xml:space="preserve"> collect </w:t>
      </w:r>
      <w:r w:rsidR="008A598F">
        <w:rPr>
          <w:b w:val="0"/>
          <w:sz w:val="24"/>
          <w:szCs w:val="24"/>
        </w:rPr>
        <w:t>as margin</w:t>
      </w:r>
      <w:r w:rsidR="002D1638">
        <w:rPr>
          <w:b w:val="0"/>
          <w:sz w:val="24"/>
          <w:szCs w:val="24"/>
        </w:rPr>
        <w:t>. This change</w:t>
      </w:r>
      <w:r w:rsidR="008A598F">
        <w:rPr>
          <w:b w:val="0"/>
          <w:sz w:val="24"/>
          <w:szCs w:val="24"/>
        </w:rPr>
        <w:t xml:space="preserve"> </w:t>
      </w:r>
      <w:r w:rsidR="00BB79C9" w:rsidRPr="00BB79C9">
        <w:rPr>
          <w:b w:val="0"/>
          <w:sz w:val="24"/>
          <w:szCs w:val="24"/>
        </w:rPr>
        <w:t>limit</w:t>
      </w:r>
      <w:r w:rsidR="00BB5ED8">
        <w:rPr>
          <w:b w:val="0"/>
          <w:sz w:val="24"/>
          <w:szCs w:val="24"/>
        </w:rPr>
        <w:t>s</w:t>
      </w:r>
      <w:r w:rsidR="00BB79C9" w:rsidRPr="00BB79C9">
        <w:rPr>
          <w:b w:val="0"/>
          <w:sz w:val="24"/>
          <w:szCs w:val="24"/>
        </w:rPr>
        <w:t xml:space="preserve"> eligible sovereign debt securities to those with a credit rating grade of three or better (</w:t>
      </w:r>
      <w:r w:rsidR="00BB5ED8">
        <w:rPr>
          <w:b w:val="0"/>
          <w:sz w:val="24"/>
          <w:szCs w:val="24"/>
        </w:rPr>
        <w:t xml:space="preserve">previously, the limit was </w:t>
      </w:r>
      <w:r w:rsidR="00BB79C9" w:rsidRPr="00BB79C9">
        <w:rPr>
          <w:b w:val="0"/>
          <w:sz w:val="24"/>
          <w:szCs w:val="24"/>
        </w:rPr>
        <w:t xml:space="preserve">a credit rating grade of four or better). This amendment </w:t>
      </w:r>
      <w:r w:rsidR="002D1638">
        <w:rPr>
          <w:b w:val="0"/>
          <w:sz w:val="24"/>
          <w:szCs w:val="24"/>
        </w:rPr>
        <w:t>was</w:t>
      </w:r>
      <w:r w:rsidR="00BB79C9" w:rsidRPr="00BB79C9">
        <w:rPr>
          <w:b w:val="0"/>
          <w:sz w:val="24"/>
          <w:szCs w:val="24"/>
        </w:rPr>
        <w:t xml:space="preserve"> intended to better align APRA’s margin requirements with the international framework.</w:t>
      </w:r>
    </w:p>
    <w:p w14:paraId="7ABEB372" w14:textId="4572E33B" w:rsidR="002436BD" w:rsidRDefault="002436BD" w:rsidP="004F70C1">
      <w:pPr>
        <w:pStyle w:val="Heading"/>
        <w:keepNext/>
        <w:numPr>
          <w:ilvl w:val="0"/>
          <w:numId w:val="2"/>
        </w:numPr>
        <w:ind w:left="357" w:hanging="357"/>
        <w:rPr>
          <w:sz w:val="24"/>
          <w:szCs w:val="24"/>
        </w:rPr>
      </w:pPr>
      <w:bookmarkStart w:id="6" w:name="bkoperation"/>
      <w:bookmarkStart w:id="7" w:name="bkConsultationNo"/>
      <w:bookmarkEnd w:id="6"/>
      <w:bookmarkEnd w:id="7"/>
      <w:r w:rsidRPr="002D7B6D">
        <w:rPr>
          <w:sz w:val="24"/>
          <w:szCs w:val="24"/>
        </w:rPr>
        <w:t>Consultation</w:t>
      </w:r>
    </w:p>
    <w:p w14:paraId="4DAFABF3" w14:textId="70D54024" w:rsidR="001F5F56" w:rsidRDefault="00302F96" w:rsidP="004159CD">
      <w:pPr>
        <w:pStyle w:val="Heading"/>
        <w:keepNext/>
        <w:outlineLvl w:val="0"/>
        <w:rPr>
          <w:b w:val="0"/>
          <w:sz w:val="24"/>
          <w:szCs w:val="24"/>
        </w:rPr>
      </w:pPr>
      <w:r>
        <w:rPr>
          <w:b w:val="0"/>
          <w:sz w:val="24"/>
          <w:szCs w:val="24"/>
        </w:rPr>
        <w:t xml:space="preserve">APRA </w:t>
      </w:r>
      <w:r w:rsidR="007A4703">
        <w:rPr>
          <w:b w:val="0"/>
          <w:sz w:val="24"/>
          <w:szCs w:val="24"/>
        </w:rPr>
        <w:t>initially</w:t>
      </w:r>
      <w:r>
        <w:rPr>
          <w:b w:val="0"/>
          <w:sz w:val="24"/>
          <w:szCs w:val="24"/>
        </w:rPr>
        <w:t xml:space="preserve"> consult</w:t>
      </w:r>
      <w:r w:rsidR="007A4703">
        <w:rPr>
          <w:b w:val="0"/>
          <w:sz w:val="24"/>
          <w:szCs w:val="24"/>
        </w:rPr>
        <w:t>ed</w:t>
      </w:r>
      <w:r>
        <w:rPr>
          <w:b w:val="0"/>
          <w:sz w:val="24"/>
          <w:szCs w:val="24"/>
        </w:rPr>
        <w:t xml:space="preserve"> on the proposed introduction of margin</w:t>
      </w:r>
      <w:r w:rsidR="00562AD7">
        <w:rPr>
          <w:b w:val="0"/>
          <w:sz w:val="24"/>
          <w:szCs w:val="24"/>
        </w:rPr>
        <w:t>ing and risk mitigation</w:t>
      </w:r>
      <w:r>
        <w:rPr>
          <w:b w:val="0"/>
          <w:sz w:val="24"/>
          <w:szCs w:val="24"/>
        </w:rPr>
        <w:t xml:space="preserve"> requirements for non-centrally cleared derivatives from June 2015 to October </w:t>
      </w:r>
      <w:r w:rsidR="00C71467">
        <w:rPr>
          <w:b w:val="0"/>
          <w:sz w:val="24"/>
          <w:szCs w:val="24"/>
        </w:rPr>
        <w:t>201</w:t>
      </w:r>
      <w:r w:rsidR="00BB5ED8">
        <w:rPr>
          <w:b w:val="0"/>
          <w:sz w:val="24"/>
          <w:szCs w:val="24"/>
        </w:rPr>
        <w:t>6</w:t>
      </w:r>
      <w:r>
        <w:rPr>
          <w:b w:val="0"/>
          <w:sz w:val="24"/>
          <w:szCs w:val="24"/>
        </w:rPr>
        <w:t xml:space="preserve">. </w:t>
      </w:r>
      <w:r w:rsidR="00703F6F">
        <w:rPr>
          <w:b w:val="0"/>
          <w:sz w:val="24"/>
          <w:szCs w:val="24"/>
        </w:rPr>
        <w:t xml:space="preserve">In February </w:t>
      </w:r>
      <w:r w:rsidR="00C71467">
        <w:rPr>
          <w:b w:val="0"/>
          <w:sz w:val="24"/>
          <w:szCs w:val="24"/>
        </w:rPr>
        <w:t>201</w:t>
      </w:r>
      <w:r w:rsidR="00BB5ED8">
        <w:rPr>
          <w:b w:val="0"/>
          <w:sz w:val="24"/>
          <w:szCs w:val="24"/>
        </w:rPr>
        <w:t>6</w:t>
      </w:r>
      <w:r w:rsidR="00703F6F">
        <w:rPr>
          <w:b w:val="0"/>
          <w:sz w:val="24"/>
          <w:szCs w:val="24"/>
        </w:rPr>
        <w:t xml:space="preserve">, APRA </w:t>
      </w:r>
      <w:r>
        <w:rPr>
          <w:b w:val="0"/>
          <w:sz w:val="24"/>
          <w:szCs w:val="24"/>
        </w:rPr>
        <w:t>release</w:t>
      </w:r>
      <w:r w:rsidR="007A4703">
        <w:rPr>
          <w:b w:val="0"/>
          <w:sz w:val="24"/>
          <w:szCs w:val="24"/>
        </w:rPr>
        <w:t>d</w:t>
      </w:r>
      <w:r>
        <w:rPr>
          <w:b w:val="0"/>
          <w:sz w:val="24"/>
          <w:szCs w:val="24"/>
        </w:rPr>
        <w:t xml:space="preserve"> a discussion paper and </w:t>
      </w:r>
      <w:r w:rsidR="00703F6F">
        <w:rPr>
          <w:b w:val="0"/>
          <w:sz w:val="24"/>
          <w:szCs w:val="24"/>
        </w:rPr>
        <w:t xml:space="preserve">a draft </w:t>
      </w:r>
      <w:r w:rsidR="000B10AB">
        <w:rPr>
          <w:b w:val="0"/>
          <w:sz w:val="24"/>
          <w:szCs w:val="24"/>
        </w:rPr>
        <w:t xml:space="preserve">of CPS 226, which set out the proposed </w:t>
      </w:r>
      <w:r w:rsidR="00703F6F">
        <w:rPr>
          <w:b w:val="0"/>
          <w:sz w:val="24"/>
          <w:szCs w:val="24"/>
        </w:rPr>
        <w:t>framework for margining and risk mitigation for non-centrally cleared derivatives.</w:t>
      </w:r>
      <w:r w:rsidR="007A4703">
        <w:rPr>
          <w:b w:val="0"/>
          <w:sz w:val="24"/>
          <w:szCs w:val="24"/>
        </w:rPr>
        <w:t xml:space="preserve"> </w:t>
      </w:r>
      <w:r w:rsidR="001F5F56">
        <w:rPr>
          <w:b w:val="0"/>
          <w:sz w:val="24"/>
          <w:szCs w:val="24"/>
        </w:rPr>
        <w:t xml:space="preserve">As part of this consultation, APRA </w:t>
      </w:r>
      <w:r w:rsidR="001F5F56" w:rsidRPr="001F5F56">
        <w:rPr>
          <w:b w:val="0"/>
          <w:sz w:val="24"/>
          <w:szCs w:val="24"/>
        </w:rPr>
        <w:t xml:space="preserve">proposed that it </w:t>
      </w:r>
      <w:r w:rsidR="001F5F56" w:rsidRPr="001F5F56">
        <w:rPr>
          <w:b w:val="0"/>
          <w:sz w:val="24"/>
          <w:szCs w:val="24"/>
        </w:rPr>
        <w:lastRenderedPageBreak/>
        <w:t>would grant substituted compliance following a positive assessment of the comparability of a foreign jurisdiction’s margin requirements in respect of the BCBS-IOSCO framework and the requirements in CPS 226.</w:t>
      </w:r>
    </w:p>
    <w:p w14:paraId="1CEB74DC" w14:textId="43CB9C99" w:rsidR="006F1373" w:rsidRDefault="001F5F56" w:rsidP="006F1373">
      <w:pPr>
        <w:pStyle w:val="Heading"/>
        <w:keepNext/>
        <w:outlineLvl w:val="0"/>
        <w:rPr>
          <w:b w:val="0"/>
          <w:sz w:val="24"/>
          <w:szCs w:val="24"/>
        </w:rPr>
      </w:pPr>
      <w:r>
        <w:rPr>
          <w:b w:val="0"/>
          <w:sz w:val="24"/>
          <w:szCs w:val="24"/>
        </w:rPr>
        <w:t>Twenty-two</w:t>
      </w:r>
      <w:r w:rsidR="00703F6F">
        <w:rPr>
          <w:b w:val="0"/>
          <w:sz w:val="24"/>
          <w:szCs w:val="24"/>
        </w:rPr>
        <w:t xml:space="preserve"> submissions were received in response to the February </w:t>
      </w:r>
      <w:r w:rsidR="00C71467">
        <w:rPr>
          <w:b w:val="0"/>
          <w:sz w:val="24"/>
          <w:szCs w:val="24"/>
        </w:rPr>
        <w:t>201</w:t>
      </w:r>
      <w:r w:rsidR="00BB5ED8">
        <w:rPr>
          <w:b w:val="0"/>
          <w:sz w:val="24"/>
          <w:szCs w:val="24"/>
        </w:rPr>
        <w:t>6</w:t>
      </w:r>
      <w:r w:rsidR="00703F6F">
        <w:rPr>
          <w:b w:val="0"/>
          <w:sz w:val="24"/>
          <w:szCs w:val="24"/>
        </w:rPr>
        <w:t xml:space="preserve"> consultation</w:t>
      </w:r>
      <w:r w:rsidR="00703F6F" w:rsidRPr="00A9527B">
        <w:rPr>
          <w:b w:val="0"/>
          <w:sz w:val="24"/>
          <w:szCs w:val="24"/>
        </w:rPr>
        <w:t xml:space="preserve">. </w:t>
      </w:r>
      <w:r w:rsidR="007A4703">
        <w:rPr>
          <w:b w:val="0"/>
          <w:sz w:val="24"/>
          <w:szCs w:val="24"/>
        </w:rPr>
        <w:t>The primary concerns raised in these submissions</w:t>
      </w:r>
      <w:r w:rsidR="0065649D">
        <w:rPr>
          <w:b w:val="0"/>
          <w:sz w:val="24"/>
          <w:szCs w:val="24"/>
        </w:rPr>
        <w:t xml:space="preserve"> </w:t>
      </w:r>
      <w:r w:rsidR="004159CD">
        <w:rPr>
          <w:b w:val="0"/>
          <w:sz w:val="24"/>
          <w:szCs w:val="24"/>
        </w:rPr>
        <w:t>were the proposed application of variation margin requirements to</w:t>
      </w:r>
      <w:r w:rsidR="000B0C9B" w:rsidRPr="000B0C9B">
        <w:rPr>
          <w:b w:val="0"/>
          <w:sz w:val="24"/>
          <w:szCs w:val="24"/>
        </w:rPr>
        <w:t xml:space="preserve"> physically settled </w:t>
      </w:r>
      <w:r w:rsidR="00ED57B6">
        <w:rPr>
          <w:b w:val="0"/>
          <w:sz w:val="24"/>
          <w:szCs w:val="24"/>
        </w:rPr>
        <w:t>foreign exchange</w:t>
      </w:r>
      <w:r w:rsidR="000B0C9B" w:rsidRPr="000B0C9B">
        <w:rPr>
          <w:b w:val="0"/>
          <w:sz w:val="24"/>
          <w:szCs w:val="24"/>
        </w:rPr>
        <w:t xml:space="preserve"> forward</w:t>
      </w:r>
      <w:r w:rsidR="005448E2">
        <w:rPr>
          <w:b w:val="0"/>
          <w:sz w:val="24"/>
          <w:szCs w:val="24"/>
        </w:rPr>
        <w:t xml:space="preserve"> contract</w:t>
      </w:r>
      <w:r w:rsidR="000B0C9B" w:rsidRPr="000B0C9B">
        <w:rPr>
          <w:b w:val="0"/>
          <w:sz w:val="24"/>
          <w:szCs w:val="24"/>
        </w:rPr>
        <w:t>s and swaps</w:t>
      </w:r>
      <w:r w:rsidR="004F70C1">
        <w:rPr>
          <w:b w:val="0"/>
          <w:sz w:val="24"/>
          <w:szCs w:val="24"/>
        </w:rPr>
        <w:t>, scope of application</w:t>
      </w:r>
      <w:r w:rsidR="00BB5ED8">
        <w:rPr>
          <w:b w:val="0"/>
          <w:sz w:val="24"/>
          <w:szCs w:val="24"/>
        </w:rPr>
        <w:t xml:space="preserve"> to related </w:t>
      </w:r>
      <w:r w:rsidR="000721D6">
        <w:rPr>
          <w:b w:val="0"/>
          <w:sz w:val="24"/>
          <w:szCs w:val="24"/>
        </w:rPr>
        <w:t>bodies of APRA related institutions</w:t>
      </w:r>
      <w:r w:rsidR="004F70C1">
        <w:rPr>
          <w:b w:val="0"/>
          <w:sz w:val="24"/>
          <w:szCs w:val="24"/>
        </w:rPr>
        <w:t>, and commencement date for the risk mitigation requirements</w:t>
      </w:r>
      <w:r w:rsidR="004159CD">
        <w:rPr>
          <w:b w:val="0"/>
          <w:sz w:val="24"/>
          <w:szCs w:val="24"/>
        </w:rPr>
        <w:t>.</w:t>
      </w:r>
      <w:r w:rsidR="004F70C1">
        <w:rPr>
          <w:b w:val="0"/>
          <w:sz w:val="24"/>
          <w:szCs w:val="24"/>
        </w:rPr>
        <w:t xml:space="preserve"> </w:t>
      </w:r>
      <w:r w:rsidR="006F1373">
        <w:rPr>
          <w:b w:val="0"/>
          <w:sz w:val="24"/>
          <w:szCs w:val="24"/>
        </w:rPr>
        <w:t xml:space="preserve">Respondents also </w:t>
      </w:r>
      <w:r w:rsidR="006F1373" w:rsidRPr="006F1373">
        <w:rPr>
          <w:b w:val="0"/>
          <w:sz w:val="24"/>
          <w:szCs w:val="24"/>
        </w:rPr>
        <w:t>sought clarity on APRA’s substituted compliance approval process</w:t>
      </w:r>
      <w:r w:rsidR="006F1373">
        <w:rPr>
          <w:b w:val="0"/>
          <w:sz w:val="24"/>
          <w:szCs w:val="24"/>
        </w:rPr>
        <w:t xml:space="preserve">. </w:t>
      </w:r>
      <w:r w:rsidR="004159CD">
        <w:rPr>
          <w:b w:val="0"/>
          <w:sz w:val="24"/>
          <w:szCs w:val="24"/>
        </w:rPr>
        <w:t>In October 201</w:t>
      </w:r>
      <w:r w:rsidR="000721D6">
        <w:rPr>
          <w:b w:val="0"/>
          <w:sz w:val="24"/>
          <w:szCs w:val="24"/>
        </w:rPr>
        <w:t>6</w:t>
      </w:r>
      <w:r w:rsidR="004159CD">
        <w:rPr>
          <w:b w:val="0"/>
          <w:sz w:val="24"/>
          <w:szCs w:val="24"/>
        </w:rPr>
        <w:t>,</w:t>
      </w:r>
      <w:r w:rsidR="00732D44">
        <w:rPr>
          <w:b w:val="0"/>
          <w:sz w:val="24"/>
          <w:szCs w:val="24"/>
        </w:rPr>
        <w:t xml:space="preserve"> </w:t>
      </w:r>
      <w:r w:rsidR="00ED57B6">
        <w:rPr>
          <w:b w:val="0"/>
          <w:sz w:val="24"/>
          <w:szCs w:val="24"/>
        </w:rPr>
        <w:t xml:space="preserve">APRA </w:t>
      </w:r>
      <w:r w:rsidR="00E82E44">
        <w:rPr>
          <w:b w:val="0"/>
          <w:sz w:val="24"/>
          <w:szCs w:val="24"/>
        </w:rPr>
        <w:t xml:space="preserve">released the final version of CPS 226, which included amendments to address the </w:t>
      </w:r>
      <w:r w:rsidR="006F1373">
        <w:rPr>
          <w:b w:val="0"/>
          <w:sz w:val="24"/>
          <w:szCs w:val="24"/>
        </w:rPr>
        <w:t xml:space="preserve">concerns raised in consultation. Regarding substituted compliance, </w:t>
      </w:r>
      <w:r w:rsidR="007B56E5">
        <w:rPr>
          <w:b w:val="0"/>
          <w:sz w:val="24"/>
          <w:szCs w:val="24"/>
        </w:rPr>
        <w:t xml:space="preserve">in October 2016 </w:t>
      </w:r>
      <w:r w:rsidR="006F1373">
        <w:rPr>
          <w:b w:val="0"/>
          <w:sz w:val="24"/>
          <w:szCs w:val="24"/>
        </w:rPr>
        <w:t>APRA clarified that it would:</w:t>
      </w:r>
    </w:p>
    <w:p w14:paraId="1F9C6FB2" w14:textId="75436AE0" w:rsidR="006F1373" w:rsidRDefault="006F1373" w:rsidP="006F1373">
      <w:pPr>
        <w:pStyle w:val="Heading"/>
        <w:keepNext/>
        <w:numPr>
          <w:ilvl w:val="0"/>
          <w:numId w:val="49"/>
        </w:numPr>
        <w:outlineLvl w:val="0"/>
        <w:rPr>
          <w:b w:val="0"/>
          <w:sz w:val="24"/>
          <w:szCs w:val="24"/>
        </w:rPr>
      </w:pPr>
      <w:r w:rsidRPr="006F1373">
        <w:rPr>
          <w:b w:val="0"/>
          <w:sz w:val="24"/>
          <w:szCs w:val="24"/>
        </w:rPr>
        <w:t xml:space="preserve">initiate </w:t>
      </w:r>
      <w:r w:rsidR="007B56E5">
        <w:rPr>
          <w:b w:val="0"/>
          <w:sz w:val="24"/>
          <w:szCs w:val="24"/>
        </w:rPr>
        <w:t>equivalence</w:t>
      </w:r>
      <w:r w:rsidRPr="006F1373">
        <w:rPr>
          <w:b w:val="0"/>
          <w:sz w:val="24"/>
          <w:szCs w:val="24"/>
        </w:rPr>
        <w:t xml:space="preserve"> assessments with major </w:t>
      </w:r>
      <w:r w:rsidR="000721D6">
        <w:rPr>
          <w:b w:val="0"/>
          <w:sz w:val="24"/>
          <w:szCs w:val="24"/>
        </w:rPr>
        <w:t xml:space="preserve">foreign </w:t>
      </w:r>
      <w:r w:rsidRPr="006F1373">
        <w:rPr>
          <w:b w:val="0"/>
          <w:sz w:val="24"/>
          <w:szCs w:val="24"/>
        </w:rPr>
        <w:t>jurisdictions</w:t>
      </w:r>
      <w:r w:rsidR="007B56E5">
        <w:rPr>
          <w:b w:val="0"/>
          <w:sz w:val="24"/>
          <w:szCs w:val="24"/>
        </w:rPr>
        <w:t xml:space="preserve"> without requiring applications or requests from entities</w:t>
      </w:r>
      <w:r>
        <w:rPr>
          <w:b w:val="0"/>
          <w:sz w:val="24"/>
          <w:szCs w:val="24"/>
        </w:rPr>
        <w:t>;</w:t>
      </w:r>
    </w:p>
    <w:p w14:paraId="44FAC664" w14:textId="660A9AF6" w:rsidR="006F1373" w:rsidRDefault="006F1373" w:rsidP="00F734E8">
      <w:pPr>
        <w:pStyle w:val="Heading"/>
        <w:keepNext/>
        <w:numPr>
          <w:ilvl w:val="0"/>
          <w:numId w:val="49"/>
        </w:numPr>
        <w:outlineLvl w:val="0"/>
        <w:rPr>
          <w:b w:val="0"/>
          <w:sz w:val="24"/>
          <w:szCs w:val="24"/>
        </w:rPr>
      </w:pPr>
      <w:r w:rsidRPr="006F1373">
        <w:rPr>
          <w:b w:val="0"/>
          <w:sz w:val="24"/>
          <w:szCs w:val="24"/>
        </w:rPr>
        <w:t>assess the equivalence of foreign requirements on an outcomes basis</w:t>
      </w:r>
      <w:r>
        <w:rPr>
          <w:b w:val="0"/>
          <w:sz w:val="24"/>
          <w:szCs w:val="24"/>
        </w:rPr>
        <w:t xml:space="preserve"> </w:t>
      </w:r>
      <w:r w:rsidRPr="006F1373">
        <w:rPr>
          <w:b w:val="0"/>
          <w:sz w:val="24"/>
          <w:szCs w:val="24"/>
        </w:rPr>
        <w:t xml:space="preserve">compared to both the BCBS-IOSCO framework and the requirements in CPS 226; </w:t>
      </w:r>
      <w:r>
        <w:rPr>
          <w:b w:val="0"/>
          <w:sz w:val="24"/>
          <w:szCs w:val="24"/>
        </w:rPr>
        <w:t>and</w:t>
      </w:r>
    </w:p>
    <w:p w14:paraId="53B47DAC" w14:textId="1C46DFF6" w:rsidR="006F1373" w:rsidRPr="006F1373" w:rsidRDefault="006F1373" w:rsidP="00F734E8">
      <w:pPr>
        <w:pStyle w:val="Heading"/>
        <w:keepNext/>
        <w:numPr>
          <w:ilvl w:val="0"/>
          <w:numId w:val="49"/>
        </w:numPr>
        <w:outlineLvl w:val="0"/>
        <w:rPr>
          <w:b w:val="0"/>
          <w:sz w:val="24"/>
          <w:szCs w:val="24"/>
        </w:rPr>
      </w:pPr>
      <w:r w:rsidRPr="006F1373">
        <w:rPr>
          <w:b w:val="0"/>
          <w:sz w:val="24"/>
          <w:szCs w:val="24"/>
        </w:rPr>
        <w:t xml:space="preserve">publicly communicate any results of its equivalence assessments. </w:t>
      </w:r>
    </w:p>
    <w:p w14:paraId="0891DD47" w14:textId="0CB32599" w:rsidR="004159CD" w:rsidRPr="00703F6F" w:rsidRDefault="007A4703" w:rsidP="00703F6F">
      <w:pPr>
        <w:pStyle w:val="Heading"/>
        <w:keepNext/>
        <w:outlineLvl w:val="0"/>
        <w:rPr>
          <w:b w:val="0"/>
          <w:sz w:val="24"/>
          <w:szCs w:val="24"/>
        </w:rPr>
      </w:pPr>
      <w:r>
        <w:rPr>
          <w:b w:val="0"/>
          <w:sz w:val="24"/>
          <w:szCs w:val="24"/>
        </w:rPr>
        <w:t xml:space="preserve">On 9 May 2017, APRA </w:t>
      </w:r>
      <w:r w:rsidR="004159CD">
        <w:rPr>
          <w:b w:val="0"/>
          <w:sz w:val="24"/>
          <w:szCs w:val="24"/>
        </w:rPr>
        <w:t xml:space="preserve">sought submissions on its proposed </w:t>
      </w:r>
      <w:r w:rsidR="000721D6">
        <w:rPr>
          <w:b w:val="0"/>
          <w:sz w:val="24"/>
          <w:szCs w:val="24"/>
        </w:rPr>
        <w:t xml:space="preserve">changes </w:t>
      </w:r>
      <w:r w:rsidR="004159CD">
        <w:rPr>
          <w:b w:val="0"/>
          <w:sz w:val="24"/>
          <w:szCs w:val="24"/>
        </w:rPr>
        <w:t>to CPS 226 to permit substituted compliance</w:t>
      </w:r>
      <w:r w:rsidR="00244E27">
        <w:rPr>
          <w:b w:val="0"/>
          <w:sz w:val="24"/>
          <w:szCs w:val="24"/>
        </w:rPr>
        <w:t xml:space="preserve"> with respect to the margin requirements or provisions of 14 foreign bodies that APRA had assessed as comparable in outcomes to the BCBS-IOSCO framework and the requirements in CPS 226</w:t>
      </w:r>
      <w:r w:rsidR="004159CD" w:rsidRPr="004159CD">
        <w:rPr>
          <w:b w:val="0"/>
          <w:sz w:val="24"/>
          <w:szCs w:val="24"/>
        </w:rPr>
        <w:t xml:space="preserve">. APRA received </w:t>
      </w:r>
      <w:r w:rsidR="00095686">
        <w:rPr>
          <w:b w:val="0"/>
          <w:sz w:val="24"/>
          <w:szCs w:val="24"/>
        </w:rPr>
        <w:t>three</w:t>
      </w:r>
      <w:r w:rsidR="004159CD" w:rsidRPr="004159CD">
        <w:rPr>
          <w:b w:val="0"/>
          <w:sz w:val="24"/>
          <w:szCs w:val="24"/>
        </w:rPr>
        <w:t xml:space="preserve"> submission</w:t>
      </w:r>
      <w:r w:rsidR="004159CD">
        <w:rPr>
          <w:b w:val="0"/>
          <w:sz w:val="24"/>
          <w:szCs w:val="24"/>
        </w:rPr>
        <w:t>s</w:t>
      </w:r>
      <w:r w:rsidR="004159CD" w:rsidRPr="004159CD">
        <w:rPr>
          <w:b w:val="0"/>
          <w:sz w:val="24"/>
          <w:szCs w:val="24"/>
        </w:rPr>
        <w:t xml:space="preserve"> from </w:t>
      </w:r>
      <w:r w:rsidR="00AA5D39">
        <w:rPr>
          <w:b w:val="0"/>
          <w:sz w:val="24"/>
          <w:szCs w:val="24"/>
        </w:rPr>
        <w:t>industry bod</w:t>
      </w:r>
      <w:r w:rsidR="00095686">
        <w:rPr>
          <w:b w:val="0"/>
          <w:sz w:val="24"/>
          <w:szCs w:val="24"/>
        </w:rPr>
        <w:t>ies</w:t>
      </w:r>
      <w:r w:rsidR="00AA5D39">
        <w:rPr>
          <w:b w:val="0"/>
          <w:sz w:val="24"/>
          <w:szCs w:val="24"/>
        </w:rPr>
        <w:t xml:space="preserve"> and an individual</w:t>
      </w:r>
      <w:r w:rsidR="004159CD" w:rsidRPr="004159CD">
        <w:rPr>
          <w:b w:val="0"/>
          <w:sz w:val="24"/>
          <w:szCs w:val="24"/>
        </w:rPr>
        <w:t>.</w:t>
      </w:r>
      <w:r w:rsidR="00AA5D39">
        <w:rPr>
          <w:b w:val="0"/>
          <w:sz w:val="24"/>
          <w:szCs w:val="24"/>
        </w:rPr>
        <w:t xml:space="preserve"> The submissions supported APRA’s proposal to permit substituted compliance but requested clarification regarding the operation of aspects of the proposed substituted compliance regime, particularly regarding the scope of requirements and scope of transactions eligible for substituted </w:t>
      </w:r>
      <w:r w:rsidR="00AA5D39">
        <w:rPr>
          <w:b w:val="0"/>
          <w:sz w:val="24"/>
          <w:szCs w:val="24"/>
        </w:rPr>
        <w:lastRenderedPageBreak/>
        <w:t>compliance.</w:t>
      </w:r>
      <w:r w:rsidR="004159CD" w:rsidRPr="004159CD">
        <w:rPr>
          <w:b w:val="0"/>
          <w:sz w:val="24"/>
          <w:szCs w:val="24"/>
        </w:rPr>
        <w:t xml:space="preserve"> In response to issues raised in submission</w:t>
      </w:r>
      <w:r w:rsidR="004159CD">
        <w:rPr>
          <w:b w:val="0"/>
          <w:sz w:val="24"/>
          <w:szCs w:val="24"/>
        </w:rPr>
        <w:t>s</w:t>
      </w:r>
      <w:r w:rsidR="004159CD" w:rsidRPr="004159CD">
        <w:rPr>
          <w:b w:val="0"/>
          <w:sz w:val="24"/>
          <w:szCs w:val="24"/>
        </w:rPr>
        <w:t xml:space="preserve">, </w:t>
      </w:r>
      <w:r w:rsidR="00AA5D39">
        <w:rPr>
          <w:b w:val="0"/>
          <w:sz w:val="24"/>
          <w:szCs w:val="24"/>
        </w:rPr>
        <w:t>APRA made further</w:t>
      </w:r>
      <w:r w:rsidR="001F072F">
        <w:rPr>
          <w:b w:val="0"/>
          <w:sz w:val="24"/>
          <w:szCs w:val="24"/>
        </w:rPr>
        <w:t xml:space="preserve"> minor</w:t>
      </w:r>
      <w:r w:rsidR="00AA5D39">
        <w:rPr>
          <w:b w:val="0"/>
          <w:sz w:val="24"/>
          <w:szCs w:val="24"/>
        </w:rPr>
        <w:t xml:space="preserve"> drafting changes to </w:t>
      </w:r>
      <w:r w:rsidR="000721D6">
        <w:rPr>
          <w:b w:val="0"/>
          <w:sz w:val="24"/>
          <w:szCs w:val="24"/>
        </w:rPr>
        <w:t xml:space="preserve">the </w:t>
      </w:r>
      <w:r w:rsidR="00892BA1">
        <w:rPr>
          <w:b w:val="0"/>
          <w:sz w:val="24"/>
          <w:szCs w:val="24"/>
        </w:rPr>
        <w:t xml:space="preserve">draft </w:t>
      </w:r>
      <w:r w:rsidR="000721D6">
        <w:rPr>
          <w:b w:val="0"/>
          <w:sz w:val="24"/>
          <w:szCs w:val="24"/>
        </w:rPr>
        <w:t xml:space="preserve">revised </w:t>
      </w:r>
      <w:r w:rsidR="00AA5D39">
        <w:rPr>
          <w:b w:val="0"/>
          <w:sz w:val="24"/>
          <w:szCs w:val="24"/>
        </w:rPr>
        <w:t>CPS</w:t>
      </w:r>
      <w:r w:rsidR="001F072F">
        <w:rPr>
          <w:b w:val="0"/>
          <w:sz w:val="24"/>
          <w:szCs w:val="24"/>
        </w:rPr>
        <w:t> </w:t>
      </w:r>
      <w:r w:rsidR="00AA5D39">
        <w:rPr>
          <w:b w:val="0"/>
          <w:sz w:val="24"/>
          <w:szCs w:val="24"/>
        </w:rPr>
        <w:t xml:space="preserve">226 </w:t>
      </w:r>
      <w:r w:rsidR="00127916">
        <w:rPr>
          <w:b w:val="0"/>
          <w:sz w:val="24"/>
          <w:szCs w:val="24"/>
        </w:rPr>
        <w:t xml:space="preserve">that was released for consultation </w:t>
      </w:r>
      <w:r w:rsidR="00AA5D39">
        <w:rPr>
          <w:b w:val="0"/>
          <w:sz w:val="24"/>
          <w:szCs w:val="24"/>
        </w:rPr>
        <w:t>to clarify the operation of substituted compliance.</w:t>
      </w:r>
    </w:p>
    <w:p w14:paraId="3CC2B75C" w14:textId="77777777" w:rsidR="002436BD" w:rsidRDefault="00DF524E" w:rsidP="00FA12A9">
      <w:pPr>
        <w:pStyle w:val="Heading"/>
        <w:tabs>
          <w:tab w:val="left" w:pos="360"/>
        </w:tabs>
        <w:rPr>
          <w:sz w:val="24"/>
          <w:szCs w:val="24"/>
        </w:rPr>
      </w:pPr>
      <w:bookmarkStart w:id="8" w:name="bkConsultation"/>
      <w:bookmarkStart w:id="9" w:name="bkRISNO"/>
      <w:bookmarkStart w:id="10" w:name="bkRIS"/>
      <w:bookmarkEnd w:id="8"/>
      <w:bookmarkEnd w:id="9"/>
      <w:r w:rsidRPr="00EA3F2D">
        <w:rPr>
          <w:sz w:val="24"/>
          <w:szCs w:val="24"/>
        </w:rPr>
        <w:t>4</w:t>
      </w:r>
      <w:r w:rsidR="002436BD" w:rsidRPr="00EA3F2D">
        <w:rPr>
          <w:sz w:val="24"/>
          <w:szCs w:val="24"/>
        </w:rPr>
        <w:t xml:space="preserve">. </w:t>
      </w:r>
      <w:r w:rsidR="002436BD" w:rsidRPr="00EA3F2D">
        <w:rPr>
          <w:sz w:val="24"/>
          <w:szCs w:val="24"/>
        </w:rPr>
        <w:tab/>
        <w:t>Regulation Impact Statem</w:t>
      </w:r>
      <w:r w:rsidR="002436BD">
        <w:rPr>
          <w:sz w:val="24"/>
          <w:szCs w:val="24"/>
        </w:rPr>
        <w:t>ent</w:t>
      </w:r>
    </w:p>
    <w:p w14:paraId="15012502" w14:textId="7B64524B" w:rsidR="002436BD" w:rsidRDefault="002436BD" w:rsidP="008E5D4C">
      <w:pPr>
        <w:pStyle w:val="Heading"/>
        <w:rPr>
          <w:b w:val="0"/>
          <w:sz w:val="24"/>
          <w:szCs w:val="24"/>
        </w:rPr>
      </w:pPr>
      <w:r>
        <w:rPr>
          <w:b w:val="0"/>
          <w:sz w:val="24"/>
          <w:szCs w:val="24"/>
        </w:rPr>
        <w:t>A</w:t>
      </w:r>
      <w:r w:rsidR="00B64B2E">
        <w:rPr>
          <w:b w:val="0"/>
          <w:sz w:val="24"/>
          <w:szCs w:val="24"/>
        </w:rPr>
        <w:t>PRA prepared a</w:t>
      </w:r>
      <w:r>
        <w:rPr>
          <w:b w:val="0"/>
          <w:sz w:val="24"/>
          <w:szCs w:val="24"/>
        </w:rPr>
        <w:t xml:space="preserve"> Regulation Impact S</w:t>
      </w:r>
      <w:r w:rsidRPr="002C6D26">
        <w:rPr>
          <w:b w:val="0"/>
          <w:sz w:val="24"/>
          <w:szCs w:val="24"/>
        </w:rPr>
        <w:t>tatement</w:t>
      </w:r>
      <w:r w:rsidR="00C71467">
        <w:rPr>
          <w:b w:val="0"/>
          <w:sz w:val="24"/>
          <w:szCs w:val="24"/>
        </w:rPr>
        <w:t xml:space="preserve">, </w:t>
      </w:r>
      <w:r w:rsidR="0030506B">
        <w:rPr>
          <w:b w:val="0"/>
          <w:sz w:val="24"/>
          <w:szCs w:val="24"/>
        </w:rPr>
        <w:t xml:space="preserve">which </w:t>
      </w:r>
      <w:r w:rsidR="00127916">
        <w:rPr>
          <w:b w:val="0"/>
          <w:sz w:val="24"/>
          <w:szCs w:val="24"/>
        </w:rPr>
        <w:t xml:space="preserve">was </w:t>
      </w:r>
      <w:r w:rsidR="0030506B">
        <w:rPr>
          <w:b w:val="0"/>
          <w:sz w:val="24"/>
          <w:szCs w:val="24"/>
        </w:rPr>
        <w:t>lodged as supporting material</w:t>
      </w:r>
      <w:r w:rsidR="00127916">
        <w:rPr>
          <w:b w:val="0"/>
          <w:sz w:val="24"/>
          <w:szCs w:val="24"/>
        </w:rPr>
        <w:t xml:space="preserve"> for Banking, Insurance, Life Insurance and Superannuation (prudential standard) determination No. 1 of 2016</w:t>
      </w:r>
      <w:r w:rsidR="00FA12A9">
        <w:rPr>
          <w:b w:val="0"/>
          <w:sz w:val="24"/>
          <w:szCs w:val="24"/>
        </w:rPr>
        <w:t xml:space="preserve"> in December 2016</w:t>
      </w:r>
      <w:r w:rsidR="00A279AF">
        <w:rPr>
          <w:b w:val="0"/>
          <w:sz w:val="24"/>
          <w:szCs w:val="24"/>
        </w:rPr>
        <w:t>.</w:t>
      </w:r>
      <w:bookmarkEnd w:id="10"/>
      <w:r w:rsidR="00C71467">
        <w:rPr>
          <w:b w:val="0"/>
          <w:sz w:val="24"/>
          <w:szCs w:val="24"/>
        </w:rPr>
        <w:t xml:space="preserve"> </w:t>
      </w:r>
      <w:r w:rsidR="0040529D">
        <w:rPr>
          <w:b w:val="0"/>
          <w:sz w:val="24"/>
          <w:szCs w:val="24"/>
        </w:rPr>
        <w:t xml:space="preserve">The Office of Best Practice Regulation </w:t>
      </w:r>
      <w:r w:rsidR="00127916">
        <w:rPr>
          <w:b w:val="0"/>
          <w:sz w:val="24"/>
          <w:szCs w:val="24"/>
        </w:rPr>
        <w:t xml:space="preserve">has </w:t>
      </w:r>
      <w:r w:rsidR="001D1185">
        <w:rPr>
          <w:b w:val="0"/>
          <w:sz w:val="24"/>
          <w:szCs w:val="24"/>
        </w:rPr>
        <w:t xml:space="preserve">advised </w:t>
      </w:r>
      <w:r w:rsidR="0040529D">
        <w:rPr>
          <w:b w:val="0"/>
          <w:sz w:val="24"/>
          <w:szCs w:val="24"/>
        </w:rPr>
        <w:t xml:space="preserve">that </w:t>
      </w:r>
      <w:r w:rsidR="00C71467">
        <w:rPr>
          <w:b w:val="0"/>
          <w:sz w:val="24"/>
          <w:szCs w:val="24"/>
        </w:rPr>
        <w:t xml:space="preserve">no further regulation impact analysis </w:t>
      </w:r>
      <w:r w:rsidR="00127916">
        <w:rPr>
          <w:b w:val="0"/>
          <w:sz w:val="24"/>
          <w:szCs w:val="24"/>
        </w:rPr>
        <w:t xml:space="preserve">is </w:t>
      </w:r>
      <w:r w:rsidR="0040529D">
        <w:rPr>
          <w:b w:val="0"/>
          <w:sz w:val="24"/>
          <w:szCs w:val="24"/>
        </w:rPr>
        <w:t>required for the changes to CPS 226</w:t>
      </w:r>
      <w:r w:rsidR="00127916">
        <w:rPr>
          <w:b w:val="0"/>
          <w:sz w:val="24"/>
          <w:szCs w:val="24"/>
        </w:rPr>
        <w:t xml:space="preserve"> made under the instrument</w:t>
      </w:r>
      <w:r w:rsidR="00C71467">
        <w:rPr>
          <w:b w:val="0"/>
          <w:sz w:val="24"/>
          <w:szCs w:val="24"/>
        </w:rPr>
        <w:t>.</w:t>
      </w:r>
    </w:p>
    <w:p w14:paraId="5CE45D28" w14:textId="77777777" w:rsidR="002436BD" w:rsidRPr="00B3165F" w:rsidRDefault="00DF524E" w:rsidP="00D35632">
      <w:pPr>
        <w:pStyle w:val="Heading"/>
        <w:keepNext/>
        <w:keepLines/>
        <w:tabs>
          <w:tab w:val="left" w:pos="360"/>
        </w:tabs>
        <w:rPr>
          <w:sz w:val="24"/>
          <w:szCs w:val="24"/>
        </w:rPr>
      </w:pPr>
      <w:r>
        <w:rPr>
          <w:sz w:val="24"/>
          <w:szCs w:val="24"/>
        </w:rPr>
        <w:t>5</w:t>
      </w:r>
      <w:r w:rsidR="002436BD" w:rsidRPr="00B3165F">
        <w:rPr>
          <w:sz w:val="24"/>
          <w:szCs w:val="24"/>
        </w:rPr>
        <w:t>.</w:t>
      </w:r>
      <w:r w:rsidR="002436BD" w:rsidRPr="00B3165F">
        <w:rPr>
          <w:sz w:val="24"/>
          <w:szCs w:val="24"/>
        </w:rPr>
        <w:tab/>
        <w:t>Statement of compatibility prepared in accordance with Part 3 of the Human Rights (Parliamentary Scrutiny) Act 2011</w:t>
      </w:r>
    </w:p>
    <w:p w14:paraId="3B98B366" w14:textId="2D243F33" w:rsidR="000C167D" w:rsidRDefault="0030506B" w:rsidP="00D35632">
      <w:pPr>
        <w:keepNext/>
        <w:keepLines/>
      </w:pPr>
      <w:r w:rsidRPr="0030506B">
        <w:t xml:space="preserve">A Statement of compatibility prepared in accordance with Part 3 of the </w:t>
      </w:r>
      <w:r w:rsidRPr="0030506B">
        <w:rPr>
          <w:i/>
        </w:rPr>
        <w:t>Human Rights (Parliamentary Scrutiny) Act 2011</w:t>
      </w:r>
      <w:r w:rsidRPr="0030506B">
        <w:t xml:space="preserve"> is provided at Attachment A to this Explanatory Statement.</w:t>
      </w:r>
      <w:r w:rsidR="000C167D">
        <w:br w:type="page"/>
      </w:r>
    </w:p>
    <w:p w14:paraId="3CFC6405" w14:textId="7929B151" w:rsidR="00127916" w:rsidRDefault="00127916" w:rsidP="006A3BC2">
      <w:pPr>
        <w:shd w:val="clear" w:color="auto" w:fill="FFFFFF"/>
        <w:spacing w:before="100" w:beforeAutospacing="1"/>
        <w:jc w:val="left"/>
        <w:rPr>
          <w:b/>
          <w:bCs/>
        </w:rPr>
      </w:pPr>
      <w:r>
        <w:rPr>
          <w:b/>
          <w:bCs/>
        </w:rPr>
        <w:lastRenderedPageBreak/>
        <w:t>Attachment A</w:t>
      </w:r>
    </w:p>
    <w:p w14:paraId="1DB34650" w14:textId="77777777" w:rsidR="000C167D" w:rsidRDefault="000C167D" w:rsidP="000C167D">
      <w:pPr>
        <w:shd w:val="clear" w:color="auto" w:fill="FFFFFF"/>
        <w:spacing w:before="100" w:beforeAutospacing="1"/>
        <w:jc w:val="center"/>
        <w:rPr>
          <w:lang w:val="en-US"/>
        </w:rPr>
      </w:pPr>
      <w:r>
        <w:rPr>
          <w:b/>
          <w:bCs/>
        </w:rPr>
        <w:t>Statement of Compatibility with Human Rights</w:t>
      </w:r>
    </w:p>
    <w:p w14:paraId="019D3219" w14:textId="77777777" w:rsidR="000C167D" w:rsidRDefault="000C167D" w:rsidP="000C167D">
      <w:pPr>
        <w:shd w:val="clear" w:color="auto" w:fill="FFFFFF"/>
        <w:spacing w:before="100" w:beforeAutospacing="1"/>
        <w:jc w:val="center"/>
        <w:rPr>
          <w:lang w:val="en-US"/>
        </w:rPr>
      </w:pPr>
      <w:r>
        <w:rPr>
          <w:i/>
          <w:iCs/>
        </w:rPr>
        <w:t>Prepared in accordance with Part 3 of the Human Rights (Parliamentary Scrutiny) Act 2011</w:t>
      </w:r>
    </w:p>
    <w:p w14:paraId="0697A40E" w14:textId="76E03B31" w:rsidR="000C167D" w:rsidRDefault="000C167D" w:rsidP="000C167D">
      <w:pPr>
        <w:pStyle w:val="heading0"/>
        <w:shd w:val="clear" w:color="auto" w:fill="FFFFFF"/>
        <w:spacing w:before="120" w:beforeAutospacing="0" w:after="240" w:afterAutospacing="0"/>
        <w:jc w:val="center"/>
        <w:rPr>
          <w:rFonts w:ascii="Helvetica Neue" w:hAnsi="Helvetica Neue"/>
          <w:sz w:val="19"/>
          <w:szCs w:val="19"/>
          <w:lang w:val="en-US"/>
        </w:rPr>
      </w:pPr>
      <w:r>
        <w:t>Banking</w:t>
      </w:r>
      <w:r w:rsidR="00EB55F1">
        <w:t xml:space="preserve">, Insurance, Life Insurance </w:t>
      </w:r>
      <w:r w:rsidR="00EB55F1" w:rsidRPr="0035752F">
        <w:t>and Superannuation</w:t>
      </w:r>
      <w:r w:rsidRPr="0035752F">
        <w:t xml:space="preserve"> (prudential standard) determination No. </w:t>
      </w:r>
      <w:r w:rsidR="006879CF" w:rsidRPr="0035752F">
        <w:t>1</w:t>
      </w:r>
      <w:r w:rsidRPr="0035752F">
        <w:t xml:space="preserve"> of</w:t>
      </w:r>
      <w:r>
        <w:t xml:space="preserve"> </w:t>
      </w:r>
      <w:r w:rsidR="00C71467">
        <w:t>2017</w:t>
      </w:r>
      <w:r>
        <w:t xml:space="preserve"> </w:t>
      </w:r>
    </w:p>
    <w:p w14:paraId="027D5EB2" w14:textId="77777777" w:rsidR="000C167D" w:rsidRDefault="000C167D" w:rsidP="000C167D">
      <w:pPr>
        <w:pStyle w:val="BodyText"/>
        <w:shd w:val="clear" w:color="auto" w:fill="FFFFFF"/>
        <w:spacing w:after="240"/>
        <w:rPr>
          <w:rFonts w:ascii="Helvetica Neue" w:hAnsi="Helvetica Neue"/>
          <w:sz w:val="19"/>
          <w:szCs w:val="19"/>
          <w:lang w:val="en-US"/>
        </w:rPr>
      </w:pPr>
      <w:r>
        <w:t xml:space="preserve">This Legislative Instrument is compatible with the human rights and freedoms recognised or declared in the international instruments listed in section 3 of the </w:t>
      </w:r>
      <w:r>
        <w:rPr>
          <w:i/>
          <w:iCs/>
        </w:rPr>
        <w:t>Human Rights (Parliamentary Scrutiny) Act 2011</w:t>
      </w:r>
      <w:r>
        <w:t xml:space="preserve"> (HRPS Act)</w:t>
      </w:r>
      <w:r>
        <w:rPr>
          <w:i/>
          <w:iCs/>
        </w:rPr>
        <w:t>.</w:t>
      </w:r>
    </w:p>
    <w:p w14:paraId="1EA674B7" w14:textId="1A932F74" w:rsidR="000C167D" w:rsidRDefault="000C167D" w:rsidP="000C167D">
      <w:pPr>
        <w:pStyle w:val="BodyText"/>
        <w:keepNext/>
        <w:shd w:val="clear" w:color="auto" w:fill="FFFFFF"/>
        <w:spacing w:after="240"/>
        <w:rPr>
          <w:rFonts w:ascii="Helvetica Neue" w:hAnsi="Helvetica Neue"/>
          <w:sz w:val="19"/>
          <w:szCs w:val="19"/>
          <w:lang w:val="en-US"/>
        </w:rPr>
      </w:pPr>
      <w:r>
        <w:rPr>
          <w:b/>
          <w:bCs/>
        </w:rPr>
        <w:t>Overview of the Legislative Instr</w:t>
      </w:r>
      <w:r w:rsidR="00280D4A">
        <w:rPr>
          <w:b/>
          <w:bCs/>
        </w:rPr>
        <w:t>ument</w:t>
      </w:r>
    </w:p>
    <w:p w14:paraId="16A91AA2" w14:textId="77777777" w:rsidR="00F44BAE" w:rsidRDefault="000C167D" w:rsidP="000C167D">
      <w:pPr>
        <w:pStyle w:val="BodyText"/>
        <w:keepNext/>
        <w:shd w:val="clear" w:color="auto" w:fill="FFFFFF"/>
        <w:spacing w:after="240"/>
        <w:rPr>
          <w:iCs/>
        </w:rPr>
      </w:pPr>
      <w:r>
        <w:t xml:space="preserve">This legislative instrument </w:t>
      </w:r>
      <w:r w:rsidR="00F44BAE">
        <w:t>makes</w:t>
      </w:r>
      <w:r>
        <w:t xml:space="preserve"> Banking</w:t>
      </w:r>
      <w:r w:rsidR="00EF1541" w:rsidRPr="00EF1541">
        <w:t xml:space="preserve">, Insurance, Life Insurance and Superannuation (prudential standard) determination No. </w:t>
      </w:r>
      <w:r w:rsidR="006879CF">
        <w:t>1</w:t>
      </w:r>
      <w:r w:rsidR="00EF1541" w:rsidRPr="00EF1541">
        <w:t xml:space="preserve"> of </w:t>
      </w:r>
      <w:r w:rsidR="00C71467">
        <w:t>201</w:t>
      </w:r>
      <w:r w:rsidR="00F44BAE">
        <w:t>7</w:t>
      </w:r>
      <w:r>
        <w:t>,</w:t>
      </w:r>
      <w:r w:rsidR="00EF1541">
        <w:t xml:space="preserve"> </w:t>
      </w:r>
      <w:r w:rsidR="002D1638" w:rsidRPr="002D1638">
        <w:t xml:space="preserve">which revokes </w:t>
      </w:r>
      <w:r w:rsidR="002D1638" w:rsidRPr="00F44BAE">
        <w:rPr>
          <w:i/>
        </w:rPr>
        <w:t>Prudential Standard CPS 226 Margining and risk mitigation for non-centrally cleared derivatives</w:t>
      </w:r>
      <w:r w:rsidR="00F44BAE" w:rsidRPr="00F44BAE">
        <w:t xml:space="preserve"> </w:t>
      </w:r>
      <w:r w:rsidR="002D1638" w:rsidRPr="00F44BAE">
        <w:t xml:space="preserve">made under </w:t>
      </w:r>
      <w:r w:rsidR="002D1638" w:rsidRPr="00F44BAE">
        <w:lastRenderedPageBreak/>
        <w:t xml:space="preserve">Banking, Insurance, Life Insurance and Superannuation (prudential standard) determination No. 1 of 2016, and determines a new </w:t>
      </w:r>
      <w:r w:rsidRPr="00F44BAE">
        <w:rPr>
          <w:i/>
          <w:iCs/>
        </w:rPr>
        <w:t>Prudential Standard CPS 226 Margining and risk mitigation for non-centrally cleared derivatives</w:t>
      </w:r>
      <w:r w:rsidR="00280D4A" w:rsidRPr="00F44BAE">
        <w:rPr>
          <w:iCs/>
        </w:rPr>
        <w:t xml:space="preserve"> (CPS 226)</w:t>
      </w:r>
      <w:r w:rsidRPr="00F44BAE">
        <w:rPr>
          <w:iCs/>
        </w:rPr>
        <w:t>.</w:t>
      </w:r>
      <w:r w:rsidR="00280D4A" w:rsidRPr="00F44BAE">
        <w:rPr>
          <w:iCs/>
        </w:rPr>
        <w:t xml:space="preserve"> </w:t>
      </w:r>
    </w:p>
    <w:p w14:paraId="72D864D3" w14:textId="706F7EC2" w:rsidR="000C167D" w:rsidRPr="000C167D" w:rsidRDefault="00391476" w:rsidP="000C167D">
      <w:pPr>
        <w:pStyle w:val="BodyText"/>
        <w:keepNext/>
        <w:shd w:val="clear" w:color="auto" w:fill="FFFFFF"/>
        <w:spacing w:after="240"/>
        <w:rPr>
          <w:rFonts w:ascii="Helvetica Neue" w:hAnsi="Helvetica Neue"/>
          <w:sz w:val="19"/>
          <w:szCs w:val="19"/>
          <w:lang w:val="en-US"/>
        </w:rPr>
      </w:pPr>
      <w:r w:rsidRPr="00F44BAE">
        <w:rPr>
          <w:iCs/>
        </w:rPr>
        <w:t>CP</w:t>
      </w:r>
      <w:r w:rsidR="000E5CDF" w:rsidRPr="00F44BAE">
        <w:rPr>
          <w:iCs/>
        </w:rPr>
        <w:t>S</w:t>
      </w:r>
      <w:r w:rsidRPr="00F44BAE">
        <w:rPr>
          <w:iCs/>
        </w:rPr>
        <w:t xml:space="preserve"> 226 applies to </w:t>
      </w:r>
      <w:r w:rsidR="002B2723" w:rsidRPr="00F44BAE">
        <w:rPr>
          <w:iCs/>
        </w:rPr>
        <w:t xml:space="preserve">institutions in the banking, general insurance, life insurance </w:t>
      </w:r>
      <w:r w:rsidR="005448E2" w:rsidRPr="00F44BAE">
        <w:rPr>
          <w:iCs/>
        </w:rPr>
        <w:t>and</w:t>
      </w:r>
      <w:r w:rsidR="002B2723" w:rsidRPr="00F44BAE">
        <w:rPr>
          <w:iCs/>
        </w:rPr>
        <w:t xml:space="preserve"> superannuation industr</w:t>
      </w:r>
      <w:r w:rsidRPr="00F44BAE">
        <w:rPr>
          <w:iCs/>
        </w:rPr>
        <w:t>ies</w:t>
      </w:r>
      <w:r w:rsidR="002B2723" w:rsidRPr="00F44BAE">
        <w:rPr>
          <w:iCs/>
        </w:rPr>
        <w:t>.</w:t>
      </w:r>
      <w:r w:rsidR="00C71467" w:rsidRPr="00F44BAE">
        <w:rPr>
          <w:iCs/>
        </w:rPr>
        <w:t xml:space="preserve"> </w:t>
      </w:r>
      <w:r w:rsidR="0016630C" w:rsidRPr="00F44BAE">
        <w:rPr>
          <w:iCs/>
        </w:rPr>
        <w:t xml:space="preserve">Under CPS 226, </w:t>
      </w:r>
      <w:r w:rsidR="00C71FCB" w:rsidRPr="00F44BAE">
        <w:rPr>
          <w:iCs/>
        </w:rPr>
        <w:t>an entity</w:t>
      </w:r>
      <w:r w:rsidR="0016630C" w:rsidRPr="00F44BAE">
        <w:rPr>
          <w:iCs/>
        </w:rPr>
        <w:t xml:space="preserve"> that actively </w:t>
      </w:r>
      <w:r w:rsidR="00C71FCB" w:rsidRPr="00F44BAE">
        <w:rPr>
          <w:iCs/>
        </w:rPr>
        <w:t xml:space="preserve">transacts </w:t>
      </w:r>
      <w:r w:rsidR="0016630C" w:rsidRPr="00F44BAE">
        <w:rPr>
          <w:iCs/>
        </w:rPr>
        <w:t xml:space="preserve">in non-centrally cleared derivatives </w:t>
      </w:r>
      <w:r w:rsidR="00C71FCB" w:rsidRPr="00F44BAE">
        <w:rPr>
          <w:iCs/>
        </w:rPr>
        <w:t xml:space="preserve">is </w:t>
      </w:r>
      <w:r w:rsidR="0016630C" w:rsidRPr="00F44BAE">
        <w:rPr>
          <w:iCs/>
        </w:rPr>
        <w:t>required to exchange</w:t>
      </w:r>
      <w:r w:rsidR="0016630C">
        <w:rPr>
          <w:iCs/>
        </w:rPr>
        <w:t xml:space="preserve"> collateral </w:t>
      </w:r>
      <w:r w:rsidR="00CE309C">
        <w:rPr>
          <w:iCs/>
        </w:rPr>
        <w:t xml:space="preserve">as appropriate to </w:t>
      </w:r>
      <w:r w:rsidR="00C71FCB">
        <w:rPr>
          <w:iCs/>
        </w:rPr>
        <w:t xml:space="preserve">those transactions </w:t>
      </w:r>
      <w:r w:rsidR="0016630C">
        <w:rPr>
          <w:iCs/>
        </w:rPr>
        <w:t xml:space="preserve">to </w:t>
      </w:r>
      <w:r w:rsidR="00E029E3">
        <w:rPr>
          <w:iCs/>
        </w:rPr>
        <w:t>manage the risk of counterparty default</w:t>
      </w:r>
      <w:r w:rsidR="00C71FCB">
        <w:rPr>
          <w:iCs/>
        </w:rPr>
        <w:t xml:space="preserve">, and to have policies and procedures to manage </w:t>
      </w:r>
      <w:r w:rsidR="00E029E3">
        <w:rPr>
          <w:iCs/>
        </w:rPr>
        <w:t xml:space="preserve">its risks in undertaking </w:t>
      </w:r>
      <w:r w:rsidR="00C71FCB">
        <w:rPr>
          <w:iCs/>
        </w:rPr>
        <w:t xml:space="preserve">that </w:t>
      </w:r>
      <w:r w:rsidR="002567F9">
        <w:rPr>
          <w:iCs/>
        </w:rPr>
        <w:t xml:space="preserve">derivatives </w:t>
      </w:r>
      <w:r w:rsidR="00C71FCB">
        <w:rPr>
          <w:iCs/>
        </w:rPr>
        <w:t>activity.</w:t>
      </w:r>
      <w:r w:rsidR="00A427A3">
        <w:rPr>
          <w:iCs/>
        </w:rPr>
        <w:t xml:space="preserve"> </w:t>
      </w:r>
    </w:p>
    <w:p w14:paraId="72A0F7F2" w14:textId="77777777" w:rsidR="000C167D" w:rsidRDefault="000C167D" w:rsidP="000C167D">
      <w:pPr>
        <w:pStyle w:val="BodyText"/>
        <w:keepNext/>
        <w:shd w:val="clear" w:color="auto" w:fill="FFFFFF"/>
        <w:spacing w:after="240"/>
        <w:rPr>
          <w:rFonts w:ascii="Helvetica Neue" w:hAnsi="Helvetica Neue"/>
          <w:sz w:val="19"/>
          <w:szCs w:val="19"/>
          <w:lang w:val="en-US"/>
        </w:rPr>
      </w:pPr>
      <w:r>
        <w:rPr>
          <w:b/>
          <w:bCs/>
        </w:rPr>
        <w:t>Human rights implications</w:t>
      </w:r>
    </w:p>
    <w:p w14:paraId="24550483" w14:textId="77777777" w:rsidR="000C167D" w:rsidRDefault="000C167D" w:rsidP="000C167D">
      <w:pPr>
        <w:shd w:val="clear" w:color="auto" w:fill="FFFFFF"/>
        <w:spacing w:before="100" w:beforeAutospacing="1"/>
        <w:rPr>
          <w:szCs w:val="24"/>
          <w:lang w:val="en-US"/>
        </w:rPr>
      </w:pPr>
      <w:r>
        <w:t>APRA has assessed this Legislative Instrument and is of the view that it does not engage any of the applicable rights or freedoms recognised or declared in the international instruments listed in section 3 of the HRPS Act. Accordingly, in APRA’s assessment, the instrument is compatible with human rights.</w:t>
      </w:r>
    </w:p>
    <w:p w14:paraId="6C9AEA55" w14:textId="77777777" w:rsidR="000C167D" w:rsidRDefault="000C167D" w:rsidP="000C167D">
      <w:pPr>
        <w:pStyle w:val="BodyText"/>
        <w:keepNext/>
        <w:shd w:val="clear" w:color="auto" w:fill="FFFFFF"/>
        <w:spacing w:after="240"/>
        <w:rPr>
          <w:rFonts w:ascii="Helvetica Neue" w:hAnsi="Helvetica Neue"/>
          <w:sz w:val="19"/>
          <w:szCs w:val="19"/>
          <w:lang w:val="en-US"/>
        </w:rPr>
      </w:pPr>
      <w:r>
        <w:rPr>
          <w:b/>
          <w:bCs/>
        </w:rPr>
        <w:t>Conclusion</w:t>
      </w:r>
    </w:p>
    <w:p w14:paraId="0E1CA96E" w14:textId="77777777" w:rsidR="000C167D" w:rsidRDefault="000C167D" w:rsidP="000C167D">
      <w:pPr>
        <w:pStyle w:val="BodyText"/>
        <w:shd w:val="clear" w:color="auto" w:fill="FFFFFF"/>
        <w:spacing w:after="240"/>
        <w:rPr>
          <w:rFonts w:ascii="Helvetica Neue" w:hAnsi="Helvetica Neue"/>
          <w:sz w:val="19"/>
          <w:szCs w:val="19"/>
          <w:lang w:val="en-US"/>
        </w:rPr>
      </w:pPr>
      <w:r>
        <w:t xml:space="preserve">This Legislative Instrument is compatible with human rights as it does not raise any human rights issues. </w:t>
      </w:r>
    </w:p>
    <w:p w14:paraId="6299608A" w14:textId="77777777" w:rsidR="00A808B8" w:rsidRDefault="00A808B8" w:rsidP="00413C89"/>
    <w:sectPr w:rsidR="00A808B8" w:rsidSect="00957604">
      <w:footerReference w:type="default" r:id="rId13"/>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D05BE" w14:textId="77777777" w:rsidR="00F734E8" w:rsidRDefault="00F734E8" w:rsidP="00226412">
      <w:r>
        <w:separator/>
      </w:r>
    </w:p>
  </w:endnote>
  <w:endnote w:type="continuationSeparator" w:id="0">
    <w:p w14:paraId="63F70420" w14:textId="77777777" w:rsidR="00F734E8" w:rsidRDefault="00F734E8" w:rsidP="00226412">
      <w:r>
        <w:continuationSeparator/>
      </w:r>
    </w:p>
  </w:endnote>
  <w:endnote w:type="continuationNotice" w:id="1">
    <w:p w14:paraId="6A836701" w14:textId="77777777" w:rsidR="00F734E8" w:rsidRDefault="00F734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2C7F8" w14:textId="4A1C0716" w:rsidR="006642F2" w:rsidRDefault="006642F2" w:rsidP="00930715">
    <w:pPr>
      <w:pStyle w:val="Footer"/>
      <w:jc w:val="center"/>
    </w:pPr>
    <w:r>
      <w:fldChar w:fldCharType="begin"/>
    </w:r>
    <w:r>
      <w:instrText xml:space="preserve"> PAGE   \* MERGEFORMAT </w:instrText>
    </w:r>
    <w:r>
      <w:fldChar w:fldCharType="separate"/>
    </w:r>
    <w:r w:rsidR="008B2FB9">
      <w:rPr>
        <w:noProof/>
      </w:rPr>
      <w:t>1</w:t>
    </w:r>
    <w:r>
      <w:fldChar w:fldCharType="end"/>
    </w:r>
  </w:p>
  <w:p w14:paraId="3048ABD0" w14:textId="238AF29E" w:rsidR="006642F2" w:rsidRDefault="006642F2" w:rsidP="005E0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08484" w14:textId="77777777" w:rsidR="00F734E8" w:rsidRDefault="00F734E8" w:rsidP="006365A0">
      <w:pPr>
        <w:spacing w:after="0"/>
      </w:pPr>
      <w:r>
        <w:separator/>
      </w:r>
    </w:p>
  </w:footnote>
  <w:footnote w:type="continuationSeparator" w:id="0">
    <w:p w14:paraId="6DA482CC" w14:textId="77777777" w:rsidR="00F734E8" w:rsidRDefault="00F734E8" w:rsidP="006365A0">
      <w:pPr>
        <w:spacing w:after="0"/>
      </w:pPr>
      <w:r>
        <w:continuationSeparator/>
      </w:r>
    </w:p>
  </w:footnote>
  <w:footnote w:type="continuationNotice" w:id="1">
    <w:p w14:paraId="76AC2E30" w14:textId="77777777" w:rsidR="00F734E8" w:rsidRDefault="00F734E8">
      <w:pPr>
        <w:spacing w:after="0"/>
      </w:pPr>
    </w:p>
  </w:footnote>
  <w:footnote w:id="2">
    <w:p w14:paraId="42FAE341" w14:textId="5613A394" w:rsidR="00E11DFE" w:rsidRDefault="00E11DFE" w:rsidP="00601604">
      <w:pPr>
        <w:pStyle w:val="FootnoteText"/>
        <w:ind w:left="567" w:hanging="567"/>
      </w:pPr>
      <w:r>
        <w:rPr>
          <w:rStyle w:val="FootnoteReference"/>
        </w:rPr>
        <w:footnoteRef/>
      </w:r>
      <w:r>
        <w:t xml:space="preserve"> </w:t>
      </w:r>
      <w:r>
        <w:tab/>
      </w:r>
      <w:r w:rsidRPr="00E11DFE">
        <w:t>CPS 226 incorporates by reference certain provisions of Acts, Regulations and prudential standards, as well as Australi</w:t>
      </w:r>
      <w:r w:rsidR="00C71467">
        <w:t>an Accounting Standard AASB 10.</w:t>
      </w:r>
      <w:r w:rsidRPr="00E11DFE">
        <w:t xml:space="preserve"> All of these references are references to the provisions as in force from time to time, and are available on the Federal Register of Legislation at </w:t>
      </w:r>
      <w:hyperlink r:id="rId1" w:history="1">
        <w:r w:rsidR="00821016" w:rsidRPr="00C30D92">
          <w:rPr>
            <w:rStyle w:val="Hyperlink"/>
          </w:rPr>
          <w:t>www.legislation.gov.au</w:t>
        </w:r>
      </w:hyperlink>
      <w:r w:rsidRPr="00E11DFE">
        <w:t>.</w:t>
      </w:r>
      <w:r w:rsidR="00821016">
        <w:t xml:space="preserve"> </w:t>
      </w:r>
      <w:r w:rsidRPr="00E11DFE">
        <w:t xml:space="preserve">CPS 226 also incorporates by reference the BCBS-IOSCO framework as it exists at 18 March 2015 and the IOSCO Risk Mitigation Standards </w:t>
      </w:r>
      <w:r>
        <w:t xml:space="preserve">as </w:t>
      </w:r>
      <w:r w:rsidRPr="00E11DFE">
        <w:t>t</w:t>
      </w:r>
      <w:r>
        <w:t>hey</w:t>
      </w:r>
      <w:r w:rsidRPr="00E11DFE">
        <w:t xml:space="preserve"> </w:t>
      </w:r>
      <w:r w:rsidR="00C71467">
        <w:t>exist at 28 January 2015.</w:t>
      </w:r>
      <w:r w:rsidRPr="00E11DFE">
        <w:t xml:space="preserve"> These documents are available at:</w:t>
      </w:r>
      <w:r w:rsidR="00821016">
        <w:br/>
        <w:t xml:space="preserve">BCBS-IOSCO framework: </w:t>
      </w:r>
      <w:hyperlink r:id="rId2" w:history="1">
        <w:r w:rsidR="00821016" w:rsidRPr="00C30D92">
          <w:rPr>
            <w:rStyle w:val="Hyperlink"/>
          </w:rPr>
          <w:t>http://www.bis.org/bcbs/publ/d317.pdf</w:t>
        </w:r>
      </w:hyperlink>
      <w:r w:rsidR="00821016">
        <w:t xml:space="preserve">; </w:t>
      </w:r>
      <w:r>
        <w:t xml:space="preserve">and </w:t>
      </w:r>
      <w:r w:rsidR="00821016">
        <w:t>IOSCO Risk Mitigation Standards:</w:t>
      </w:r>
      <w:r w:rsidR="00F84555">
        <w:t xml:space="preserve"> </w:t>
      </w:r>
      <w:hyperlink r:id="rId3" w:history="1">
        <w:r w:rsidR="00821016" w:rsidRPr="00C30D92">
          <w:rPr>
            <w:rStyle w:val="Hyperlink"/>
          </w:rPr>
          <w:t>https://www.iosco.org/library/pubdocs/pdf/IOSCOPD469.pdf</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B0B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FC08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3004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8F6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C6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EC6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FCAE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003E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C0D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B644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E664B"/>
    <w:multiLevelType w:val="hybridMultilevel"/>
    <w:tmpl w:val="21FC1CEE"/>
    <w:lvl w:ilvl="0" w:tplc="3566FFD6">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49C7E94"/>
    <w:multiLevelType w:val="hybridMultilevel"/>
    <w:tmpl w:val="CA42DFF0"/>
    <w:lvl w:ilvl="0" w:tplc="493868FA">
      <w:start w:val="1"/>
      <w:numFmt w:val="decimal"/>
      <w:lvlText w:val="%1."/>
      <w:lvlJc w:val="left"/>
      <w:pPr>
        <w:ind w:left="684" w:hanging="567"/>
      </w:pPr>
      <w:rPr>
        <w:rFonts w:ascii="Times New Roman" w:eastAsia="Times New Roman" w:hAnsi="Times New Roman" w:hint="default"/>
        <w:sz w:val="24"/>
        <w:szCs w:val="24"/>
      </w:rPr>
    </w:lvl>
    <w:lvl w:ilvl="1" w:tplc="1DFE0F2A">
      <w:start w:val="1"/>
      <w:numFmt w:val="lowerLetter"/>
      <w:pStyle w:val="Style2"/>
      <w:lvlText w:val="(%2)"/>
      <w:lvlJc w:val="left"/>
      <w:pPr>
        <w:ind w:left="1253" w:hanging="567"/>
      </w:pPr>
      <w:rPr>
        <w:rFonts w:ascii="Times New Roman" w:hAnsi="Times New Roman" w:hint="default"/>
        <w:b w:val="0"/>
        <w:i w:val="0"/>
        <w:sz w:val="24"/>
        <w:szCs w:val="24"/>
        <w:vertAlign w:val="baseline"/>
      </w:rPr>
    </w:lvl>
    <w:lvl w:ilvl="2" w:tplc="9F1C92D2">
      <w:start w:val="1"/>
      <w:numFmt w:val="bullet"/>
      <w:lvlText w:val="•"/>
      <w:lvlJc w:val="left"/>
      <w:pPr>
        <w:ind w:left="1253" w:hanging="567"/>
      </w:pPr>
      <w:rPr>
        <w:rFonts w:hint="default"/>
      </w:rPr>
    </w:lvl>
    <w:lvl w:ilvl="3" w:tplc="F0F0ED08">
      <w:start w:val="1"/>
      <w:numFmt w:val="bullet"/>
      <w:lvlText w:val="•"/>
      <w:lvlJc w:val="left"/>
      <w:pPr>
        <w:ind w:left="2169" w:hanging="567"/>
      </w:pPr>
      <w:rPr>
        <w:rFonts w:hint="default"/>
      </w:rPr>
    </w:lvl>
    <w:lvl w:ilvl="4" w:tplc="FEACD02A">
      <w:start w:val="1"/>
      <w:numFmt w:val="bullet"/>
      <w:lvlText w:val="•"/>
      <w:lvlJc w:val="left"/>
      <w:pPr>
        <w:ind w:left="3086" w:hanging="567"/>
      </w:pPr>
      <w:rPr>
        <w:rFonts w:hint="default"/>
      </w:rPr>
    </w:lvl>
    <w:lvl w:ilvl="5" w:tplc="82347B3E">
      <w:start w:val="1"/>
      <w:numFmt w:val="bullet"/>
      <w:lvlText w:val="•"/>
      <w:lvlJc w:val="left"/>
      <w:pPr>
        <w:ind w:left="4003" w:hanging="567"/>
      </w:pPr>
      <w:rPr>
        <w:rFonts w:hint="default"/>
      </w:rPr>
    </w:lvl>
    <w:lvl w:ilvl="6" w:tplc="60CE585C">
      <w:start w:val="1"/>
      <w:numFmt w:val="bullet"/>
      <w:lvlText w:val="•"/>
      <w:lvlJc w:val="left"/>
      <w:pPr>
        <w:ind w:left="4919" w:hanging="567"/>
      </w:pPr>
      <w:rPr>
        <w:rFonts w:hint="default"/>
      </w:rPr>
    </w:lvl>
    <w:lvl w:ilvl="7" w:tplc="2FF895D8">
      <w:start w:val="1"/>
      <w:numFmt w:val="bullet"/>
      <w:lvlText w:val="•"/>
      <w:lvlJc w:val="left"/>
      <w:pPr>
        <w:ind w:left="5836" w:hanging="567"/>
      </w:pPr>
      <w:rPr>
        <w:rFonts w:hint="default"/>
      </w:rPr>
    </w:lvl>
    <w:lvl w:ilvl="8" w:tplc="F06CFECA">
      <w:start w:val="1"/>
      <w:numFmt w:val="bullet"/>
      <w:lvlText w:val="•"/>
      <w:lvlJc w:val="left"/>
      <w:pPr>
        <w:ind w:left="6753" w:hanging="567"/>
      </w:pPr>
      <w:rPr>
        <w:rFonts w:hint="default"/>
      </w:rPr>
    </w:lvl>
  </w:abstractNum>
  <w:abstractNum w:abstractNumId="12" w15:restartNumberingAfterBreak="0">
    <w:nsid w:val="0FF31B20"/>
    <w:multiLevelType w:val="hybridMultilevel"/>
    <w:tmpl w:val="DB0C020A"/>
    <w:lvl w:ilvl="0" w:tplc="F54ACC08">
      <w:start w:val="1"/>
      <w:numFmt w:val="decimal"/>
      <w:pStyle w:val="Style5"/>
      <w:lvlText w:val="%1."/>
      <w:lvlJc w:val="left"/>
      <w:pPr>
        <w:tabs>
          <w:tab w:val="num" w:pos="567"/>
        </w:tabs>
        <w:ind w:left="567" w:hanging="567"/>
      </w:pPr>
      <w:rPr>
        <w:rFonts w:hint="default"/>
        <w:b w:val="0"/>
        <w:i w:val="0"/>
        <w:color w:val="auto"/>
        <w:sz w:val="24"/>
        <w:szCs w:val="24"/>
        <w:vertAlign w:val="baseline"/>
      </w:rPr>
    </w:lvl>
    <w:lvl w:ilvl="1" w:tplc="0C090001">
      <w:start w:val="1"/>
      <w:numFmt w:val="bullet"/>
      <w:lvlText w:val=""/>
      <w:lvlJc w:val="left"/>
      <w:pPr>
        <w:tabs>
          <w:tab w:val="num" w:pos="1134"/>
        </w:tabs>
        <w:ind w:left="1134" w:hanging="567"/>
      </w:pPr>
      <w:rPr>
        <w:rFonts w:ascii="Symbol" w:hAnsi="Symbol" w:hint="default"/>
        <w:b w:val="0"/>
        <w:i w:val="0"/>
        <w:sz w:val="24"/>
        <w:szCs w:val="24"/>
        <w:vertAlign w:val="baseline"/>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4E674A5"/>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202DAC"/>
    <w:multiLevelType w:val="hybridMultilevel"/>
    <w:tmpl w:val="A94C6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6463545"/>
    <w:multiLevelType w:val="multilevel"/>
    <w:tmpl w:val="788AC290"/>
    <w:lvl w:ilvl="0">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277"/>
        </w:tabs>
        <w:ind w:left="127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84E2C63"/>
    <w:multiLevelType w:val="hybridMultilevel"/>
    <w:tmpl w:val="1C264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894BBF"/>
    <w:multiLevelType w:val="hybridMultilevel"/>
    <w:tmpl w:val="4B5C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090766"/>
    <w:multiLevelType w:val="hybridMultilevel"/>
    <w:tmpl w:val="26A25D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32161C2"/>
    <w:multiLevelType w:val="hybridMultilevel"/>
    <w:tmpl w:val="0A1AE0CC"/>
    <w:lvl w:ilvl="0" w:tplc="84CE42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3840F9"/>
    <w:multiLevelType w:val="hybridMultilevel"/>
    <w:tmpl w:val="08C4C4D0"/>
    <w:lvl w:ilvl="0" w:tplc="53460E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CD515D"/>
    <w:multiLevelType w:val="hybridMultilevel"/>
    <w:tmpl w:val="636E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B866B8"/>
    <w:multiLevelType w:val="hybridMultilevel"/>
    <w:tmpl w:val="55CE20E8"/>
    <w:lvl w:ilvl="0" w:tplc="7B6A1B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E22481"/>
    <w:multiLevelType w:val="hybridMultilevel"/>
    <w:tmpl w:val="DB82A12C"/>
    <w:lvl w:ilvl="0" w:tplc="2A8A3CA4">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553DAD"/>
    <w:multiLevelType w:val="hybridMultilevel"/>
    <w:tmpl w:val="9044E5F2"/>
    <w:lvl w:ilvl="0" w:tplc="3566FFD6">
      <w:numFmt w:val="bullet"/>
      <w:lvlText w:val="-"/>
      <w:lvlJc w:val="left"/>
      <w:pPr>
        <w:tabs>
          <w:tab w:val="num" w:pos="567"/>
        </w:tabs>
        <w:ind w:left="567" w:hanging="567"/>
      </w:pPr>
      <w:rPr>
        <w:rFonts w:ascii="Times New Roman" w:eastAsia="Times New Roman" w:hAnsi="Times New Roman" w:cs="Times New Roman" w:hint="default"/>
        <w:b w:val="0"/>
        <w:i w:val="0"/>
        <w:color w:val="auto"/>
        <w:sz w:val="24"/>
        <w:szCs w:val="24"/>
        <w:vertAlign w:val="baseline"/>
      </w:rPr>
    </w:lvl>
    <w:lvl w:ilvl="1" w:tplc="0C09000F">
      <w:start w:val="1"/>
      <w:numFmt w:val="decimal"/>
      <w:lvlText w:val="%2."/>
      <w:lvlJc w:val="left"/>
      <w:pPr>
        <w:tabs>
          <w:tab w:val="num" w:pos="1134"/>
        </w:tabs>
        <w:ind w:left="1134" w:hanging="567"/>
      </w:pPr>
      <w:rPr>
        <w:rFonts w:hint="default"/>
        <w:b w:val="0"/>
        <w:i w:val="0"/>
        <w:sz w:val="24"/>
        <w:szCs w:val="24"/>
        <w:vertAlign w:val="baseline"/>
      </w:rPr>
    </w:lvl>
    <w:lvl w:ilvl="2" w:tplc="0C09001B">
      <w:start w:val="1"/>
      <w:numFmt w:val="lowerRoman"/>
      <w:lvlText w:val="%3."/>
      <w:lvlJc w:val="right"/>
      <w:pPr>
        <w:tabs>
          <w:tab w:val="num" w:pos="2160"/>
        </w:tabs>
        <w:ind w:left="2160" w:hanging="180"/>
      </w:pPr>
    </w:lvl>
    <w:lvl w:ilvl="3" w:tplc="72ACAB5C">
      <w:start w:val="1"/>
      <w:numFmt w:val="lowerLetter"/>
      <w:lvlText w:val="(%4)"/>
      <w:lvlJc w:val="left"/>
      <w:pPr>
        <w:ind w:left="2880" w:hanging="360"/>
      </w:pPr>
      <w:rPr>
        <w:rFonts w:ascii="Times New Roman" w:hAnsi="Times New Roman" w:cs="Times New Roman" w:hint="default"/>
        <w:sz w:val="24"/>
        <w:szCs w:val="24"/>
      </w:rPr>
    </w:lvl>
    <w:lvl w:ilvl="4" w:tplc="3566FFD6">
      <w:numFmt w:val="bullet"/>
      <w:lvlText w:val="-"/>
      <w:lvlJc w:val="left"/>
      <w:pPr>
        <w:ind w:left="3600" w:hanging="360"/>
      </w:pPr>
      <w:rPr>
        <w:rFonts w:ascii="Times New Roman" w:eastAsia="Times New Roman" w:hAnsi="Times New Roman" w:cs="Times New Roman"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35B698E"/>
    <w:multiLevelType w:val="hybridMultilevel"/>
    <w:tmpl w:val="98B26524"/>
    <w:lvl w:ilvl="0" w:tplc="F54ACC08">
      <w:start w:val="1"/>
      <w:numFmt w:val="decimal"/>
      <w:lvlText w:val="%1."/>
      <w:lvlJc w:val="left"/>
      <w:pPr>
        <w:tabs>
          <w:tab w:val="num" w:pos="567"/>
        </w:tabs>
        <w:ind w:left="567" w:hanging="567"/>
      </w:pPr>
      <w:rPr>
        <w:rFonts w:hint="default"/>
        <w:b w:val="0"/>
        <w:i w:val="0"/>
        <w:color w:val="auto"/>
        <w:sz w:val="24"/>
        <w:szCs w:val="24"/>
        <w:vertAlign w:val="baseline"/>
      </w:rPr>
    </w:lvl>
    <w:lvl w:ilvl="1" w:tplc="0C090017">
      <w:start w:val="1"/>
      <w:numFmt w:val="lowerLetter"/>
      <w:lvlText w:val="%2)"/>
      <w:lvlJc w:val="left"/>
      <w:pPr>
        <w:tabs>
          <w:tab w:val="num" w:pos="1134"/>
        </w:tabs>
        <w:ind w:left="1134" w:hanging="567"/>
      </w:pPr>
      <w:rPr>
        <w:rFonts w:hint="default"/>
        <w:b w:val="0"/>
        <w:i w:val="0"/>
        <w:sz w:val="24"/>
        <w:szCs w:val="24"/>
        <w:vertAlign w:val="baseline"/>
      </w:rPr>
    </w:lvl>
    <w:lvl w:ilvl="2" w:tplc="0C09001B">
      <w:start w:val="1"/>
      <w:numFmt w:val="lowerRoman"/>
      <w:lvlText w:val="%3."/>
      <w:lvlJc w:val="right"/>
      <w:pPr>
        <w:tabs>
          <w:tab w:val="num" w:pos="2160"/>
        </w:tabs>
        <w:ind w:left="2160" w:hanging="180"/>
      </w:pPr>
    </w:lvl>
    <w:lvl w:ilvl="3" w:tplc="72ACAB5C">
      <w:start w:val="1"/>
      <w:numFmt w:val="lowerLetter"/>
      <w:lvlText w:val="(%4)"/>
      <w:lvlJc w:val="left"/>
      <w:pPr>
        <w:ind w:left="2880" w:hanging="360"/>
      </w:pPr>
      <w:rPr>
        <w:rFonts w:ascii="Times New Roman" w:hAnsi="Times New Roman" w:cs="Times New Roman" w:hint="default"/>
        <w:sz w:val="24"/>
        <w:szCs w:val="24"/>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DDC605C"/>
    <w:multiLevelType w:val="hybridMultilevel"/>
    <w:tmpl w:val="D804AC42"/>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2E0BD0"/>
    <w:multiLevelType w:val="hybridMultilevel"/>
    <w:tmpl w:val="B1C8F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34D2F79"/>
    <w:multiLevelType w:val="hybridMultilevel"/>
    <w:tmpl w:val="A7169976"/>
    <w:lvl w:ilvl="0" w:tplc="53460E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E800E9"/>
    <w:multiLevelType w:val="hybridMultilevel"/>
    <w:tmpl w:val="4BCE7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B7F1D73"/>
    <w:multiLevelType w:val="hybridMultilevel"/>
    <w:tmpl w:val="FD3EC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8E4E4A"/>
    <w:multiLevelType w:val="hybridMultilevel"/>
    <w:tmpl w:val="44ACF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DE50F2"/>
    <w:multiLevelType w:val="hybridMultilevel"/>
    <w:tmpl w:val="3BB8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372561"/>
    <w:multiLevelType w:val="hybridMultilevel"/>
    <w:tmpl w:val="08AC107C"/>
    <w:lvl w:ilvl="0" w:tplc="53460E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0F511A"/>
    <w:multiLevelType w:val="hybridMultilevel"/>
    <w:tmpl w:val="1ADE0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B865E96"/>
    <w:multiLevelType w:val="hybridMultilevel"/>
    <w:tmpl w:val="CDD2A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7F15FB"/>
    <w:multiLevelType w:val="multilevel"/>
    <w:tmpl w:val="D58C06F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80"/>
        </w:tabs>
        <w:ind w:left="180" w:hanging="360"/>
      </w:pPr>
      <w:rPr>
        <w:rFonts w:ascii="Courier New" w:hAnsi="Courier New" w:hint="default"/>
        <w:sz w:val="20"/>
      </w:rPr>
    </w:lvl>
    <w:lvl w:ilvl="2" w:tentative="1">
      <w:start w:val="1"/>
      <w:numFmt w:val="bullet"/>
      <w:lvlText w:val=""/>
      <w:lvlJc w:val="left"/>
      <w:pPr>
        <w:tabs>
          <w:tab w:val="num" w:pos="900"/>
        </w:tabs>
        <w:ind w:left="900" w:hanging="360"/>
      </w:pPr>
      <w:rPr>
        <w:rFonts w:ascii="Wingdings" w:hAnsi="Wingdings" w:hint="default"/>
        <w:sz w:val="20"/>
      </w:rPr>
    </w:lvl>
    <w:lvl w:ilvl="3" w:tentative="1">
      <w:start w:val="1"/>
      <w:numFmt w:val="bullet"/>
      <w:lvlText w:val=""/>
      <w:lvlJc w:val="left"/>
      <w:pPr>
        <w:tabs>
          <w:tab w:val="num" w:pos="1620"/>
        </w:tabs>
        <w:ind w:left="1620" w:hanging="360"/>
      </w:pPr>
      <w:rPr>
        <w:rFonts w:ascii="Wingdings" w:hAnsi="Wingdings" w:hint="default"/>
        <w:sz w:val="20"/>
      </w:rPr>
    </w:lvl>
    <w:lvl w:ilvl="4" w:tentative="1">
      <w:start w:val="1"/>
      <w:numFmt w:val="bullet"/>
      <w:lvlText w:val=""/>
      <w:lvlJc w:val="left"/>
      <w:pPr>
        <w:tabs>
          <w:tab w:val="num" w:pos="2340"/>
        </w:tabs>
        <w:ind w:left="2340" w:hanging="360"/>
      </w:pPr>
      <w:rPr>
        <w:rFonts w:ascii="Wingdings" w:hAnsi="Wingdings" w:hint="default"/>
        <w:sz w:val="20"/>
      </w:rPr>
    </w:lvl>
    <w:lvl w:ilvl="5" w:tentative="1">
      <w:start w:val="1"/>
      <w:numFmt w:val="bullet"/>
      <w:lvlText w:val=""/>
      <w:lvlJc w:val="left"/>
      <w:pPr>
        <w:tabs>
          <w:tab w:val="num" w:pos="3060"/>
        </w:tabs>
        <w:ind w:left="3060" w:hanging="360"/>
      </w:pPr>
      <w:rPr>
        <w:rFonts w:ascii="Wingdings" w:hAnsi="Wingdings" w:hint="default"/>
        <w:sz w:val="20"/>
      </w:rPr>
    </w:lvl>
    <w:lvl w:ilvl="6" w:tentative="1">
      <w:start w:val="1"/>
      <w:numFmt w:val="bullet"/>
      <w:lvlText w:val=""/>
      <w:lvlJc w:val="left"/>
      <w:pPr>
        <w:tabs>
          <w:tab w:val="num" w:pos="3780"/>
        </w:tabs>
        <w:ind w:left="3780" w:hanging="360"/>
      </w:pPr>
      <w:rPr>
        <w:rFonts w:ascii="Wingdings" w:hAnsi="Wingdings" w:hint="default"/>
        <w:sz w:val="20"/>
      </w:rPr>
    </w:lvl>
    <w:lvl w:ilvl="7" w:tentative="1">
      <w:start w:val="1"/>
      <w:numFmt w:val="bullet"/>
      <w:lvlText w:val=""/>
      <w:lvlJc w:val="left"/>
      <w:pPr>
        <w:tabs>
          <w:tab w:val="num" w:pos="4500"/>
        </w:tabs>
        <w:ind w:left="4500" w:hanging="360"/>
      </w:pPr>
      <w:rPr>
        <w:rFonts w:ascii="Wingdings" w:hAnsi="Wingdings" w:hint="default"/>
        <w:sz w:val="20"/>
      </w:rPr>
    </w:lvl>
    <w:lvl w:ilvl="8" w:tentative="1">
      <w:start w:val="1"/>
      <w:numFmt w:val="bullet"/>
      <w:lvlText w:val=""/>
      <w:lvlJc w:val="left"/>
      <w:pPr>
        <w:tabs>
          <w:tab w:val="num" w:pos="5220"/>
        </w:tabs>
        <w:ind w:left="5220" w:hanging="360"/>
      </w:pPr>
      <w:rPr>
        <w:rFonts w:ascii="Wingdings" w:hAnsi="Wingdings" w:hint="default"/>
        <w:sz w:val="20"/>
      </w:rPr>
    </w:lvl>
  </w:abstractNum>
  <w:abstractNum w:abstractNumId="40" w15:restartNumberingAfterBreak="0">
    <w:nsid w:val="60415601"/>
    <w:multiLevelType w:val="hybridMultilevel"/>
    <w:tmpl w:val="5B763F02"/>
    <w:lvl w:ilvl="0" w:tplc="9C027D46">
      <w:start w:val="1"/>
      <w:numFmt w:val="upp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1DA3D61"/>
    <w:multiLevelType w:val="hybridMultilevel"/>
    <w:tmpl w:val="E05EFC6E"/>
    <w:lvl w:ilvl="0" w:tplc="53460E40">
      <w:numFmt w:val="bullet"/>
      <w:lvlText w:val="-"/>
      <w:lvlJc w:val="left"/>
      <w:pPr>
        <w:tabs>
          <w:tab w:val="num" w:pos="567"/>
        </w:tabs>
        <w:ind w:left="567" w:hanging="567"/>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CA7F8F"/>
    <w:multiLevelType w:val="hybridMultilevel"/>
    <w:tmpl w:val="5BC29C10"/>
    <w:lvl w:ilvl="0" w:tplc="53460E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9E5984"/>
    <w:multiLevelType w:val="hybridMultilevel"/>
    <w:tmpl w:val="7988F1B0"/>
    <w:lvl w:ilvl="0" w:tplc="CEFEA102">
      <w:start w:val="1"/>
      <w:numFmt w:val="upperRoman"/>
      <w:lvlText w:val="%1."/>
      <w:lvlJc w:val="left"/>
      <w:pPr>
        <w:ind w:left="720" w:hanging="720"/>
      </w:pPr>
      <w:rPr>
        <w:rFonts w:hint="default"/>
      </w:rPr>
    </w:lvl>
    <w:lvl w:ilvl="1" w:tplc="8B025522">
      <w:start w:val="1"/>
      <w:numFmt w:val="lowerRoman"/>
      <w:lvlText w:val="%2."/>
      <w:lvlJc w:val="left"/>
      <w:pPr>
        <w:ind w:left="0" w:firstLine="0"/>
      </w:pPr>
      <w:rPr>
        <w:rFonts w:hint="default"/>
        <w:b/>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2592398"/>
    <w:multiLevelType w:val="hybridMultilevel"/>
    <w:tmpl w:val="73FABED2"/>
    <w:lvl w:ilvl="0" w:tplc="7B806948">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2E2D67"/>
    <w:multiLevelType w:val="hybridMultilevel"/>
    <w:tmpl w:val="07AC8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6A1A63"/>
    <w:multiLevelType w:val="hybridMultilevel"/>
    <w:tmpl w:val="E86AC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E2941FC"/>
    <w:multiLevelType w:val="hybridMultilevel"/>
    <w:tmpl w:val="D834D8FE"/>
    <w:lvl w:ilvl="0" w:tplc="65A609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13"/>
  </w:num>
  <w:num w:numId="3">
    <w:abstractNumId w:val="41"/>
  </w:num>
  <w:num w:numId="4">
    <w:abstractNumId w:val="27"/>
  </w:num>
  <w:num w:numId="5">
    <w:abstractNumId w:val="15"/>
  </w:num>
  <w:num w:numId="6">
    <w:abstractNumId w:val="47"/>
  </w:num>
  <w:num w:numId="7">
    <w:abstractNumId w:val="14"/>
  </w:num>
  <w:num w:numId="8">
    <w:abstractNumId w:val="44"/>
  </w:num>
  <w:num w:numId="9">
    <w:abstractNumId w:val="39"/>
  </w:num>
  <w:num w:numId="10">
    <w:abstractNumId w:val="37"/>
  </w:num>
  <w:num w:numId="11">
    <w:abstractNumId w:val="19"/>
  </w:num>
  <w:num w:numId="12">
    <w:abstractNumId w:val="43"/>
  </w:num>
  <w:num w:numId="13">
    <w:abstractNumId w:val="12"/>
  </w:num>
  <w:num w:numId="14">
    <w:abstractNumId w:val="11"/>
  </w:num>
  <w:num w:numId="15">
    <w:abstractNumId w:val="26"/>
  </w:num>
  <w:num w:numId="16">
    <w:abstractNumId w:val="25"/>
  </w:num>
  <w:num w:numId="17">
    <w:abstractNumId w:val="10"/>
  </w:num>
  <w:num w:numId="18">
    <w:abstractNumId w:val="30"/>
  </w:num>
  <w:num w:numId="19">
    <w:abstractNumId w:val="32"/>
  </w:num>
  <w:num w:numId="20">
    <w:abstractNumId w:val="33"/>
  </w:num>
  <w:num w:numId="21">
    <w:abstractNumId w:val="46"/>
  </w:num>
  <w:num w:numId="22">
    <w:abstractNumId w:val="45"/>
  </w:num>
  <w:num w:numId="23">
    <w:abstractNumId w:val="17"/>
  </w:num>
  <w:num w:numId="24">
    <w:abstractNumId w:val="40"/>
  </w:num>
  <w:num w:numId="25">
    <w:abstractNumId w:val="9"/>
  </w:num>
  <w:num w:numId="26">
    <w:abstractNumId w:val="20"/>
  </w:num>
  <w:num w:numId="27">
    <w:abstractNumId w:val="23"/>
  </w:num>
  <w:num w:numId="28">
    <w:abstractNumId w:val="24"/>
  </w:num>
  <w:num w:numId="29">
    <w:abstractNumId w:val="21"/>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42"/>
  </w:num>
  <w:num w:numId="43">
    <w:abstractNumId w:val="18"/>
  </w:num>
  <w:num w:numId="44">
    <w:abstractNumId w:val="36"/>
  </w:num>
  <w:num w:numId="45">
    <w:abstractNumId w:val="31"/>
  </w:num>
  <w:num w:numId="46">
    <w:abstractNumId w:val="34"/>
  </w:num>
  <w:num w:numId="47">
    <w:abstractNumId w:val="22"/>
  </w:num>
  <w:num w:numId="48">
    <w:abstractNumId w:val="38"/>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FB"/>
    <w:rsid w:val="000021BA"/>
    <w:rsid w:val="00002C0C"/>
    <w:rsid w:val="00002DE8"/>
    <w:rsid w:val="00004604"/>
    <w:rsid w:val="00005413"/>
    <w:rsid w:val="00011164"/>
    <w:rsid w:val="00016AFC"/>
    <w:rsid w:val="00017753"/>
    <w:rsid w:val="00021767"/>
    <w:rsid w:val="00035455"/>
    <w:rsid w:val="00036E09"/>
    <w:rsid w:val="000372D9"/>
    <w:rsid w:val="000401FC"/>
    <w:rsid w:val="00041C06"/>
    <w:rsid w:val="00044C61"/>
    <w:rsid w:val="00045473"/>
    <w:rsid w:val="000545E3"/>
    <w:rsid w:val="00056370"/>
    <w:rsid w:val="0005708C"/>
    <w:rsid w:val="00061993"/>
    <w:rsid w:val="000636F7"/>
    <w:rsid w:val="000645D5"/>
    <w:rsid w:val="000654A1"/>
    <w:rsid w:val="00066ABE"/>
    <w:rsid w:val="00066B35"/>
    <w:rsid w:val="000721D6"/>
    <w:rsid w:val="00073573"/>
    <w:rsid w:val="00074B9A"/>
    <w:rsid w:val="00075A77"/>
    <w:rsid w:val="0007746F"/>
    <w:rsid w:val="00087A48"/>
    <w:rsid w:val="000903EE"/>
    <w:rsid w:val="000914E4"/>
    <w:rsid w:val="00095686"/>
    <w:rsid w:val="000961CD"/>
    <w:rsid w:val="00096EAC"/>
    <w:rsid w:val="000A3245"/>
    <w:rsid w:val="000A3AEA"/>
    <w:rsid w:val="000A5C57"/>
    <w:rsid w:val="000A78A4"/>
    <w:rsid w:val="000B0A5B"/>
    <w:rsid w:val="000B0C9B"/>
    <w:rsid w:val="000B10AB"/>
    <w:rsid w:val="000B1A97"/>
    <w:rsid w:val="000B256D"/>
    <w:rsid w:val="000B2CC0"/>
    <w:rsid w:val="000B38DA"/>
    <w:rsid w:val="000B53DF"/>
    <w:rsid w:val="000B74CE"/>
    <w:rsid w:val="000C167D"/>
    <w:rsid w:val="000C4368"/>
    <w:rsid w:val="000C4C88"/>
    <w:rsid w:val="000D42ED"/>
    <w:rsid w:val="000E109D"/>
    <w:rsid w:val="000E369C"/>
    <w:rsid w:val="000E5CDF"/>
    <w:rsid w:val="000E7798"/>
    <w:rsid w:val="000F74EC"/>
    <w:rsid w:val="001011E3"/>
    <w:rsid w:val="00101F83"/>
    <w:rsid w:val="001045C5"/>
    <w:rsid w:val="0010501E"/>
    <w:rsid w:val="00106F7C"/>
    <w:rsid w:val="00116019"/>
    <w:rsid w:val="00117EDE"/>
    <w:rsid w:val="00127916"/>
    <w:rsid w:val="00127EB0"/>
    <w:rsid w:val="00133013"/>
    <w:rsid w:val="00134176"/>
    <w:rsid w:val="00152E74"/>
    <w:rsid w:val="00154BE6"/>
    <w:rsid w:val="0015565B"/>
    <w:rsid w:val="00155E00"/>
    <w:rsid w:val="001568D6"/>
    <w:rsid w:val="00157481"/>
    <w:rsid w:val="0016168E"/>
    <w:rsid w:val="0016285E"/>
    <w:rsid w:val="001641E4"/>
    <w:rsid w:val="00166280"/>
    <w:rsid w:val="0016630C"/>
    <w:rsid w:val="00177553"/>
    <w:rsid w:val="0018164C"/>
    <w:rsid w:val="00182FA1"/>
    <w:rsid w:val="001856B1"/>
    <w:rsid w:val="0018614B"/>
    <w:rsid w:val="0018722E"/>
    <w:rsid w:val="00190C3D"/>
    <w:rsid w:val="001942B7"/>
    <w:rsid w:val="00194A69"/>
    <w:rsid w:val="00196AFC"/>
    <w:rsid w:val="001A3E0B"/>
    <w:rsid w:val="001A55F1"/>
    <w:rsid w:val="001A59C6"/>
    <w:rsid w:val="001B0D4D"/>
    <w:rsid w:val="001B1EAE"/>
    <w:rsid w:val="001B61F1"/>
    <w:rsid w:val="001B786A"/>
    <w:rsid w:val="001C20C1"/>
    <w:rsid w:val="001D1185"/>
    <w:rsid w:val="001D2F39"/>
    <w:rsid w:val="001D76F0"/>
    <w:rsid w:val="001E058C"/>
    <w:rsid w:val="001E42CE"/>
    <w:rsid w:val="001E7D03"/>
    <w:rsid w:val="001F0688"/>
    <w:rsid w:val="001F072F"/>
    <w:rsid w:val="001F5F56"/>
    <w:rsid w:val="001F6D61"/>
    <w:rsid w:val="00202074"/>
    <w:rsid w:val="00206F61"/>
    <w:rsid w:val="0020714C"/>
    <w:rsid w:val="00217079"/>
    <w:rsid w:val="0021746E"/>
    <w:rsid w:val="0022244F"/>
    <w:rsid w:val="00224381"/>
    <w:rsid w:val="00226412"/>
    <w:rsid w:val="00227F50"/>
    <w:rsid w:val="00230593"/>
    <w:rsid w:val="00233299"/>
    <w:rsid w:val="0023336E"/>
    <w:rsid w:val="002348D8"/>
    <w:rsid w:val="002405D5"/>
    <w:rsid w:val="0024331E"/>
    <w:rsid w:val="002436BD"/>
    <w:rsid w:val="00244DC9"/>
    <w:rsid w:val="00244E27"/>
    <w:rsid w:val="00246723"/>
    <w:rsid w:val="00253CBE"/>
    <w:rsid w:val="00253EDF"/>
    <w:rsid w:val="00254EA6"/>
    <w:rsid w:val="002567F9"/>
    <w:rsid w:val="00262667"/>
    <w:rsid w:val="002627D2"/>
    <w:rsid w:val="002672E0"/>
    <w:rsid w:val="002722F6"/>
    <w:rsid w:val="002726D0"/>
    <w:rsid w:val="00272B0C"/>
    <w:rsid w:val="00274C0C"/>
    <w:rsid w:val="0027770C"/>
    <w:rsid w:val="00280D4A"/>
    <w:rsid w:val="002835CD"/>
    <w:rsid w:val="002844A3"/>
    <w:rsid w:val="00284ED6"/>
    <w:rsid w:val="002A7232"/>
    <w:rsid w:val="002A73BD"/>
    <w:rsid w:val="002B041E"/>
    <w:rsid w:val="002B0439"/>
    <w:rsid w:val="002B2723"/>
    <w:rsid w:val="002B2783"/>
    <w:rsid w:val="002B6386"/>
    <w:rsid w:val="002B6D79"/>
    <w:rsid w:val="002B7BB7"/>
    <w:rsid w:val="002C14E9"/>
    <w:rsid w:val="002C3AFA"/>
    <w:rsid w:val="002C4976"/>
    <w:rsid w:val="002D1638"/>
    <w:rsid w:val="002D16A4"/>
    <w:rsid w:val="002D1F9D"/>
    <w:rsid w:val="002D202A"/>
    <w:rsid w:val="002D46C0"/>
    <w:rsid w:val="002D58F5"/>
    <w:rsid w:val="002D7B6D"/>
    <w:rsid w:val="002E3ACE"/>
    <w:rsid w:val="002E4B03"/>
    <w:rsid w:val="002F0BD7"/>
    <w:rsid w:val="002F3392"/>
    <w:rsid w:val="002F42C5"/>
    <w:rsid w:val="002F769F"/>
    <w:rsid w:val="00301400"/>
    <w:rsid w:val="00302F96"/>
    <w:rsid w:val="0030403D"/>
    <w:rsid w:val="0030506B"/>
    <w:rsid w:val="00307664"/>
    <w:rsid w:val="00310CF8"/>
    <w:rsid w:val="00311318"/>
    <w:rsid w:val="003117CA"/>
    <w:rsid w:val="00312C25"/>
    <w:rsid w:val="00313E36"/>
    <w:rsid w:val="003204FE"/>
    <w:rsid w:val="003248D8"/>
    <w:rsid w:val="00324C4D"/>
    <w:rsid w:val="00326070"/>
    <w:rsid w:val="00326956"/>
    <w:rsid w:val="00330462"/>
    <w:rsid w:val="00333198"/>
    <w:rsid w:val="00334045"/>
    <w:rsid w:val="00334E24"/>
    <w:rsid w:val="0033573E"/>
    <w:rsid w:val="0034065E"/>
    <w:rsid w:val="00347CE1"/>
    <w:rsid w:val="003526E4"/>
    <w:rsid w:val="00354CB8"/>
    <w:rsid w:val="0035752F"/>
    <w:rsid w:val="003710D3"/>
    <w:rsid w:val="0037203F"/>
    <w:rsid w:val="00372112"/>
    <w:rsid w:val="003739DE"/>
    <w:rsid w:val="00375BCE"/>
    <w:rsid w:val="00381F06"/>
    <w:rsid w:val="0038236B"/>
    <w:rsid w:val="00382DD2"/>
    <w:rsid w:val="00382F8A"/>
    <w:rsid w:val="00383B3B"/>
    <w:rsid w:val="003865FB"/>
    <w:rsid w:val="003866AD"/>
    <w:rsid w:val="00387546"/>
    <w:rsid w:val="0039074B"/>
    <w:rsid w:val="00391476"/>
    <w:rsid w:val="003920E7"/>
    <w:rsid w:val="00394D40"/>
    <w:rsid w:val="00395028"/>
    <w:rsid w:val="00396341"/>
    <w:rsid w:val="003A52A5"/>
    <w:rsid w:val="003A6423"/>
    <w:rsid w:val="003A66C0"/>
    <w:rsid w:val="003A7B1A"/>
    <w:rsid w:val="003B0516"/>
    <w:rsid w:val="003B0958"/>
    <w:rsid w:val="003B306A"/>
    <w:rsid w:val="003B3D7B"/>
    <w:rsid w:val="003B5297"/>
    <w:rsid w:val="003C0C4B"/>
    <w:rsid w:val="003C41A0"/>
    <w:rsid w:val="003C637E"/>
    <w:rsid w:val="003C7D6A"/>
    <w:rsid w:val="003D229D"/>
    <w:rsid w:val="003D47C1"/>
    <w:rsid w:val="003D5032"/>
    <w:rsid w:val="003D5880"/>
    <w:rsid w:val="003D5AB0"/>
    <w:rsid w:val="003D6735"/>
    <w:rsid w:val="003D6754"/>
    <w:rsid w:val="003E1FF6"/>
    <w:rsid w:val="003E5D18"/>
    <w:rsid w:val="003E64BB"/>
    <w:rsid w:val="003E79C0"/>
    <w:rsid w:val="003E7EFA"/>
    <w:rsid w:val="003F31FA"/>
    <w:rsid w:val="003F390C"/>
    <w:rsid w:val="003F5E7C"/>
    <w:rsid w:val="003F6283"/>
    <w:rsid w:val="003F64EA"/>
    <w:rsid w:val="0040175E"/>
    <w:rsid w:val="00401CE3"/>
    <w:rsid w:val="004040C6"/>
    <w:rsid w:val="0040529D"/>
    <w:rsid w:val="00407B38"/>
    <w:rsid w:val="004108AC"/>
    <w:rsid w:val="00410D78"/>
    <w:rsid w:val="00410F8F"/>
    <w:rsid w:val="004112A5"/>
    <w:rsid w:val="00412C60"/>
    <w:rsid w:val="00413C89"/>
    <w:rsid w:val="00414D63"/>
    <w:rsid w:val="00414EE9"/>
    <w:rsid w:val="004159CD"/>
    <w:rsid w:val="004172B2"/>
    <w:rsid w:val="00422164"/>
    <w:rsid w:val="00423D71"/>
    <w:rsid w:val="004247A8"/>
    <w:rsid w:val="00425230"/>
    <w:rsid w:val="00425B38"/>
    <w:rsid w:val="00426088"/>
    <w:rsid w:val="00435EF5"/>
    <w:rsid w:val="0044159C"/>
    <w:rsid w:val="00443A02"/>
    <w:rsid w:val="0045032D"/>
    <w:rsid w:val="00450440"/>
    <w:rsid w:val="00451C5A"/>
    <w:rsid w:val="00456505"/>
    <w:rsid w:val="00460DC0"/>
    <w:rsid w:val="00463239"/>
    <w:rsid w:val="0046649A"/>
    <w:rsid w:val="00470C3D"/>
    <w:rsid w:val="004721F7"/>
    <w:rsid w:val="0047493F"/>
    <w:rsid w:val="00474C0D"/>
    <w:rsid w:val="00477083"/>
    <w:rsid w:val="0048002E"/>
    <w:rsid w:val="0048149F"/>
    <w:rsid w:val="00485DC2"/>
    <w:rsid w:val="00485F03"/>
    <w:rsid w:val="00486775"/>
    <w:rsid w:val="00486A20"/>
    <w:rsid w:val="0048727B"/>
    <w:rsid w:val="0049188F"/>
    <w:rsid w:val="00492BD1"/>
    <w:rsid w:val="00494327"/>
    <w:rsid w:val="00494A07"/>
    <w:rsid w:val="00496465"/>
    <w:rsid w:val="004A275F"/>
    <w:rsid w:val="004A38BA"/>
    <w:rsid w:val="004A52F0"/>
    <w:rsid w:val="004A68ED"/>
    <w:rsid w:val="004A7EE1"/>
    <w:rsid w:val="004B2654"/>
    <w:rsid w:val="004B2AC6"/>
    <w:rsid w:val="004B2F2A"/>
    <w:rsid w:val="004B6411"/>
    <w:rsid w:val="004C0C73"/>
    <w:rsid w:val="004C3D07"/>
    <w:rsid w:val="004C5FCE"/>
    <w:rsid w:val="004D2A4C"/>
    <w:rsid w:val="004D4BA9"/>
    <w:rsid w:val="004D68A4"/>
    <w:rsid w:val="004D7CE8"/>
    <w:rsid w:val="004E2008"/>
    <w:rsid w:val="004F0E66"/>
    <w:rsid w:val="004F1177"/>
    <w:rsid w:val="004F3AA6"/>
    <w:rsid w:val="004F4C0C"/>
    <w:rsid w:val="004F5313"/>
    <w:rsid w:val="004F70C1"/>
    <w:rsid w:val="00512A7F"/>
    <w:rsid w:val="00513E43"/>
    <w:rsid w:val="00515AD4"/>
    <w:rsid w:val="0051749B"/>
    <w:rsid w:val="00517C6B"/>
    <w:rsid w:val="0052009A"/>
    <w:rsid w:val="00520498"/>
    <w:rsid w:val="00523331"/>
    <w:rsid w:val="00523B09"/>
    <w:rsid w:val="00526BD5"/>
    <w:rsid w:val="00527067"/>
    <w:rsid w:val="0052739C"/>
    <w:rsid w:val="0053350C"/>
    <w:rsid w:val="00533C6C"/>
    <w:rsid w:val="005370CA"/>
    <w:rsid w:val="00537EB9"/>
    <w:rsid w:val="00544620"/>
    <w:rsid w:val="005448E2"/>
    <w:rsid w:val="005461FA"/>
    <w:rsid w:val="00547D5E"/>
    <w:rsid w:val="00550582"/>
    <w:rsid w:val="00550B14"/>
    <w:rsid w:val="00551070"/>
    <w:rsid w:val="00551787"/>
    <w:rsid w:val="00551DA5"/>
    <w:rsid w:val="00552247"/>
    <w:rsid w:val="00552873"/>
    <w:rsid w:val="005556C2"/>
    <w:rsid w:val="00557282"/>
    <w:rsid w:val="00560B42"/>
    <w:rsid w:val="00561213"/>
    <w:rsid w:val="0056141D"/>
    <w:rsid w:val="00562AD7"/>
    <w:rsid w:val="005647AC"/>
    <w:rsid w:val="00570A7C"/>
    <w:rsid w:val="00571AB7"/>
    <w:rsid w:val="0057262A"/>
    <w:rsid w:val="00573ED0"/>
    <w:rsid w:val="00580BFB"/>
    <w:rsid w:val="00581FCD"/>
    <w:rsid w:val="00585487"/>
    <w:rsid w:val="00585962"/>
    <w:rsid w:val="00586A12"/>
    <w:rsid w:val="0058770B"/>
    <w:rsid w:val="005926C3"/>
    <w:rsid w:val="005A20F2"/>
    <w:rsid w:val="005A3941"/>
    <w:rsid w:val="005B00CF"/>
    <w:rsid w:val="005B0A52"/>
    <w:rsid w:val="005B0CCE"/>
    <w:rsid w:val="005B5471"/>
    <w:rsid w:val="005B7269"/>
    <w:rsid w:val="005C237C"/>
    <w:rsid w:val="005C3092"/>
    <w:rsid w:val="005C63A2"/>
    <w:rsid w:val="005C7E36"/>
    <w:rsid w:val="005D129D"/>
    <w:rsid w:val="005D333C"/>
    <w:rsid w:val="005D4447"/>
    <w:rsid w:val="005D6B0B"/>
    <w:rsid w:val="005E0740"/>
    <w:rsid w:val="005E3648"/>
    <w:rsid w:val="005E49B7"/>
    <w:rsid w:val="005E5910"/>
    <w:rsid w:val="005F0929"/>
    <w:rsid w:val="005F136C"/>
    <w:rsid w:val="005F2CE4"/>
    <w:rsid w:val="005F45EC"/>
    <w:rsid w:val="005F488A"/>
    <w:rsid w:val="005F5961"/>
    <w:rsid w:val="006001E4"/>
    <w:rsid w:val="00601604"/>
    <w:rsid w:val="006038AE"/>
    <w:rsid w:val="006061BD"/>
    <w:rsid w:val="0060749F"/>
    <w:rsid w:val="006075C2"/>
    <w:rsid w:val="0060766B"/>
    <w:rsid w:val="0060767B"/>
    <w:rsid w:val="006141EF"/>
    <w:rsid w:val="00622480"/>
    <w:rsid w:val="00631C9D"/>
    <w:rsid w:val="006325B5"/>
    <w:rsid w:val="00633A2C"/>
    <w:rsid w:val="00635B5A"/>
    <w:rsid w:val="006365A0"/>
    <w:rsid w:val="00640067"/>
    <w:rsid w:val="00642B39"/>
    <w:rsid w:val="00642B95"/>
    <w:rsid w:val="00642E0B"/>
    <w:rsid w:val="006446FB"/>
    <w:rsid w:val="00644F76"/>
    <w:rsid w:val="0064571B"/>
    <w:rsid w:val="00647D58"/>
    <w:rsid w:val="00651B5B"/>
    <w:rsid w:val="00653F2B"/>
    <w:rsid w:val="00654A7A"/>
    <w:rsid w:val="0065649D"/>
    <w:rsid w:val="00657678"/>
    <w:rsid w:val="00660E2F"/>
    <w:rsid w:val="006621FA"/>
    <w:rsid w:val="00662E3A"/>
    <w:rsid w:val="006642F2"/>
    <w:rsid w:val="0067066D"/>
    <w:rsid w:val="00670D0C"/>
    <w:rsid w:val="00671C5A"/>
    <w:rsid w:val="00673F46"/>
    <w:rsid w:val="00680329"/>
    <w:rsid w:val="006826D1"/>
    <w:rsid w:val="00682865"/>
    <w:rsid w:val="00684F73"/>
    <w:rsid w:val="006852CA"/>
    <w:rsid w:val="0068612E"/>
    <w:rsid w:val="006863C6"/>
    <w:rsid w:val="006873B3"/>
    <w:rsid w:val="006876EC"/>
    <w:rsid w:val="006879CF"/>
    <w:rsid w:val="0069032E"/>
    <w:rsid w:val="006930ED"/>
    <w:rsid w:val="0069346B"/>
    <w:rsid w:val="00693EBA"/>
    <w:rsid w:val="006A3BC2"/>
    <w:rsid w:val="006A6A9A"/>
    <w:rsid w:val="006B093F"/>
    <w:rsid w:val="006B1AC0"/>
    <w:rsid w:val="006B1BF4"/>
    <w:rsid w:val="006B7C29"/>
    <w:rsid w:val="006C1B03"/>
    <w:rsid w:val="006C2152"/>
    <w:rsid w:val="006C2AD8"/>
    <w:rsid w:val="006C71F8"/>
    <w:rsid w:val="006D14B6"/>
    <w:rsid w:val="006D3932"/>
    <w:rsid w:val="006D5B2E"/>
    <w:rsid w:val="006D7A8E"/>
    <w:rsid w:val="006E37B6"/>
    <w:rsid w:val="006E381F"/>
    <w:rsid w:val="006E6CE1"/>
    <w:rsid w:val="006F1373"/>
    <w:rsid w:val="006F312D"/>
    <w:rsid w:val="006F5C47"/>
    <w:rsid w:val="0070053F"/>
    <w:rsid w:val="00702606"/>
    <w:rsid w:val="007031F4"/>
    <w:rsid w:val="00703AE3"/>
    <w:rsid w:val="00703F6F"/>
    <w:rsid w:val="007049CF"/>
    <w:rsid w:val="00705AFA"/>
    <w:rsid w:val="00706A07"/>
    <w:rsid w:val="00710BB8"/>
    <w:rsid w:val="00710FC1"/>
    <w:rsid w:val="007123E6"/>
    <w:rsid w:val="0071265C"/>
    <w:rsid w:val="00712E1A"/>
    <w:rsid w:val="007160F5"/>
    <w:rsid w:val="0071640D"/>
    <w:rsid w:val="00727743"/>
    <w:rsid w:val="00730A60"/>
    <w:rsid w:val="00730BB3"/>
    <w:rsid w:val="00731FA6"/>
    <w:rsid w:val="00732D44"/>
    <w:rsid w:val="00733A9C"/>
    <w:rsid w:val="007368AD"/>
    <w:rsid w:val="00740183"/>
    <w:rsid w:val="00742513"/>
    <w:rsid w:val="00742524"/>
    <w:rsid w:val="007428D4"/>
    <w:rsid w:val="007428E9"/>
    <w:rsid w:val="00747AFF"/>
    <w:rsid w:val="00751CEB"/>
    <w:rsid w:val="00752CBD"/>
    <w:rsid w:val="0075321F"/>
    <w:rsid w:val="00754AC9"/>
    <w:rsid w:val="00755EE9"/>
    <w:rsid w:val="0076085B"/>
    <w:rsid w:val="00760D4D"/>
    <w:rsid w:val="00761B22"/>
    <w:rsid w:val="0076276F"/>
    <w:rsid w:val="00763DD0"/>
    <w:rsid w:val="00764468"/>
    <w:rsid w:val="00766261"/>
    <w:rsid w:val="00771B50"/>
    <w:rsid w:val="007763C1"/>
    <w:rsid w:val="00783359"/>
    <w:rsid w:val="007839D8"/>
    <w:rsid w:val="007851DC"/>
    <w:rsid w:val="00785CDC"/>
    <w:rsid w:val="007907FC"/>
    <w:rsid w:val="007967EB"/>
    <w:rsid w:val="00796A67"/>
    <w:rsid w:val="007A4703"/>
    <w:rsid w:val="007A5A6D"/>
    <w:rsid w:val="007A747C"/>
    <w:rsid w:val="007B3B44"/>
    <w:rsid w:val="007B56E5"/>
    <w:rsid w:val="007B5F94"/>
    <w:rsid w:val="007B7F14"/>
    <w:rsid w:val="007C16CA"/>
    <w:rsid w:val="007C2298"/>
    <w:rsid w:val="007D4CA3"/>
    <w:rsid w:val="007D51CF"/>
    <w:rsid w:val="007E1DD5"/>
    <w:rsid w:val="007E23C0"/>
    <w:rsid w:val="007E4B2A"/>
    <w:rsid w:val="007E5B55"/>
    <w:rsid w:val="007E6CE0"/>
    <w:rsid w:val="007F197B"/>
    <w:rsid w:val="007F569A"/>
    <w:rsid w:val="007F68E8"/>
    <w:rsid w:val="007F7FDF"/>
    <w:rsid w:val="00807224"/>
    <w:rsid w:val="00811BD9"/>
    <w:rsid w:val="00814C76"/>
    <w:rsid w:val="00815838"/>
    <w:rsid w:val="00815B95"/>
    <w:rsid w:val="0081701D"/>
    <w:rsid w:val="00817C33"/>
    <w:rsid w:val="00820034"/>
    <w:rsid w:val="00821016"/>
    <w:rsid w:val="008210F0"/>
    <w:rsid w:val="00821158"/>
    <w:rsid w:val="0082225E"/>
    <w:rsid w:val="0082308D"/>
    <w:rsid w:val="0082342B"/>
    <w:rsid w:val="00830F66"/>
    <w:rsid w:val="00832D4B"/>
    <w:rsid w:val="00833AE9"/>
    <w:rsid w:val="008364CE"/>
    <w:rsid w:val="008376DA"/>
    <w:rsid w:val="008377CA"/>
    <w:rsid w:val="00843AEF"/>
    <w:rsid w:val="00843F95"/>
    <w:rsid w:val="00852D7C"/>
    <w:rsid w:val="00853353"/>
    <w:rsid w:val="00853D97"/>
    <w:rsid w:val="008551AA"/>
    <w:rsid w:val="0085625C"/>
    <w:rsid w:val="0085797C"/>
    <w:rsid w:val="008619BD"/>
    <w:rsid w:val="0086334C"/>
    <w:rsid w:val="00872B2D"/>
    <w:rsid w:val="008748A5"/>
    <w:rsid w:val="00875897"/>
    <w:rsid w:val="00880FF6"/>
    <w:rsid w:val="00882229"/>
    <w:rsid w:val="00883CFC"/>
    <w:rsid w:val="00884B0B"/>
    <w:rsid w:val="00885690"/>
    <w:rsid w:val="0088738A"/>
    <w:rsid w:val="00892BA1"/>
    <w:rsid w:val="00895C66"/>
    <w:rsid w:val="008964BE"/>
    <w:rsid w:val="00896937"/>
    <w:rsid w:val="00897EA3"/>
    <w:rsid w:val="008A423E"/>
    <w:rsid w:val="008A598F"/>
    <w:rsid w:val="008A6BBE"/>
    <w:rsid w:val="008A72D6"/>
    <w:rsid w:val="008A7E78"/>
    <w:rsid w:val="008B2FB9"/>
    <w:rsid w:val="008B343C"/>
    <w:rsid w:val="008B6BA0"/>
    <w:rsid w:val="008B7D5B"/>
    <w:rsid w:val="008C0765"/>
    <w:rsid w:val="008C1E91"/>
    <w:rsid w:val="008C432B"/>
    <w:rsid w:val="008C451A"/>
    <w:rsid w:val="008D12C3"/>
    <w:rsid w:val="008D18A0"/>
    <w:rsid w:val="008D1CDE"/>
    <w:rsid w:val="008D2A92"/>
    <w:rsid w:val="008D3088"/>
    <w:rsid w:val="008D3E51"/>
    <w:rsid w:val="008E2097"/>
    <w:rsid w:val="008E2B37"/>
    <w:rsid w:val="008E2F21"/>
    <w:rsid w:val="008E4AF6"/>
    <w:rsid w:val="008E5D4C"/>
    <w:rsid w:val="008E6DAE"/>
    <w:rsid w:val="008F0B05"/>
    <w:rsid w:val="008F0CD1"/>
    <w:rsid w:val="008F11E4"/>
    <w:rsid w:val="008F3326"/>
    <w:rsid w:val="008F3951"/>
    <w:rsid w:val="008F4C65"/>
    <w:rsid w:val="00906ECD"/>
    <w:rsid w:val="0091777B"/>
    <w:rsid w:val="00917EB0"/>
    <w:rsid w:val="00920881"/>
    <w:rsid w:val="00930715"/>
    <w:rsid w:val="00930913"/>
    <w:rsid w:val="00932EFA"/>
    <w:rsid w:val="00933963"/>
    <w:rsid w:val="00940EBD"/>
    <w:rsid w:val="009463C9"/>
    <w:rsid w:val="00947DAE"/>
    <w:rsid w:val="00951253"/>
    <w:rsid w:val="00951A73"/>
    <w:rsid w:val="00952863"/>
    <w:rsid w:val="009531C9"/>
    <w:rsid w:val="00957408"/>
    <w:rsid w:val="00957604"/>
    <w:rsid w:val="009607EA"/>
    <w:rsid w:val="00960B0C"/>
    <w:rsid w:val="00962A4E"/>
    <w:rsid w:val="00962E70"/>
    <w:rsid w:val="00964CD7"/>
    <w:rsid w:val="009664B5"/>
    <w:rsid w:val="00966CC5"/>
    <w:rsid w:val="00967D16"/>
    <w:rsid w:val="00970D3C"/>
    <w:rsid w:val="009737C1"/>
    <w:rsid w:val="0097591F"/>
    <w:rsid w:val="009833AB"/>
    <w:rsid w:val="009849DE"/>
    <w:rsid w:val="009857A4"/>
    <w:rsid w:val="00985EA9"/>
    <w:rsid w:val="00990A43"/>
    <w:rsid w:val="009912A5"/>
    <w:rsid w:val="00993D59"/>
    <w:rsid w:val="00996D99"/>
    <w:rsid w:val="009A02FA"/>
    <w:rsid w:val="009A0A95"/>
    <w:rsid w:val="009A377B"/>
    <w:rsid w:val="009A3C98"/>
    <w:rsid w:val="009A4E70"/>
    <w:rsid w:val="009B3959"/>
    <w:rsid w:val="009B5145"/>
    <w:rsid w:val="009B6DAC"/>
    <w:rsid w:val="009C3AAA"/>
    <w:rsid w:val="009C5368"/>
    <w:rsid w:val="009D005B"/>
    <w:rsid w:val="009D1AD4"/>
    <w:rsid w:val="009D1B19"/>
    <w:rsid w:val="009D22E8"/>
    <w:rsid w:val="009D2657"/>
    <w:rsid w:val="009D38FB"/>
    <w:rsid w:val="009E409F"/>
    <w:rsid w:val="009F0DBC"/>
    <w:rsid w:val="009F1E12"/>
    <w:rsid w:val="009F287D"/>
    <w:rsid w:val="009F7ED8"/>
    <w:rsid w:val="00A00207"/>
    <w:rsid w:val="00A040A6"/>
    <w:rsid w:val="00A046EA"/>
    <w:rsid w:val="00A04A75"/>
    <w:rsid w:val="00A11325"/>
    <w:rsid w:val="00A12736"/>
    <w:rsid w:val="00A12C6D"/>
    <w:rsid w:val="00A13AAC"/>
    <w:rsid w:val="00A279AF"/>
    <w:rsid w:val="00A318C5"/>
    <w:rsid w:val="00A31CA2"/>
    <w:rsid w:val="00A32A77"/>
    <w:rsid w:val="00A34194"/>
    <w:rsid w:val="00A379A1"/>
    <w:rsid w:val="00A4133B"/>
    <w:rsid w:val="00A427A3"/>
    <w:rsid w:val="00A4490B"/>
    <w:rsid w:val="00A50497"/>
    <w:rsid w:val="00A51A7F"/>
    <w:rsid w:val="00A530C9"/>
    <w:rsid w:val="00A602D3"/>
    <w:rsid w:val="00A6341F"/>
    <w:rsid w:val="00A63A2B"/>
    <w:rsid w:val="00A63BF3"/>
    <w:rsid w:val="00A64811"/>
    <w:rsid w:val="00A659D8"/>
    <w:rsid w:val="00A7092E"/>
    <w:rsid w:val="00A71BDE"/>
    <w:rsid w:val="00A808B8"/>
    <w:rsid w:val="00A815DC"/>
    <w:rsid w:val="00A8365B"/>
    <w:rsid w:val="00A864FC"/>
    <w:rsid w:val="00A8729A"/>
    <w:rsid w:val="00A905D1"/>
    <w:rsid w:val="00A908E7"/>
    <w:rsid w:val="00A92B2A"/>
    <w:rsid w:val="00A92B3C"/>
    <w:rsid w:val="00A9410A"/>
    <w:rsid w:val="00A9527B"/>
    <w:rsid w:val="00A955AB"/>
    <w:rsid w:val="00AA4A7C"/>
    <w:rsid w:val="00AA5D39"/>
    <w:rsid w:val="00AA71FE"/>
    <w:rsid w:val="00AB416E"/>
    <w:rsid w:val="00AC02FB"/>
    <w:rsid w:val="00AC2517"/>
    <w:rsid w:val="00AC59D7"/>
    <w:rsid w:val="00AC7A56"/>
    <w:rsid w:val="00AD140F"/>
    <w:rsid w:val="00AD2C45"/>
    <w:rsid w:val="00AD2ECB"/>
    <w:rsid w:val="00AD5E55"/>
    <w:rsid w:val="00AE1E62"/>
    <w:rsid w:val="00AE2041"/>
    <w:rsid w:val="00AE25A0"/>
    <w:rsid w:val="00AF0D04"/>
    <w:rsid w:val="00AF22B1"/>
    <w:rsid w:val="00AF5E4D"/>
    <w:rsid w:val="00AF75E5"/>
    <w:rsid w:val="00B0059A"/>
    <w:rsid w:val="00B00A20"/>
    <w:rsid w:val="00B0101E"/>
    <w:rsid w:val="00B04613"/>
    <w:rsid w:val="00B04B20"/>
    <w:rsid w:val="00B058DB"/>
    <w:rsid w:val="00B05C47"/>
    <w:rsid w:val="00B104FE"/>
    <w:rsid w:val="00B11304"/>
    <w:rsid w:val="00B15AB0"/>
    <w:rsid w:val="00B17AB2"/>
    <w:rsid w:val="00B2050E"/>
    <w:rsid w:val="00B20EA4"/>
    <w:rsid w:val="00B2445C"/>
    <w:rsid w:val="00B3495C"/>
    <w:rsid w:val="00B34AB7"/>
    <w:rsid w:val="00B35075"/>
    <w:rsid w:val="00B36CB1"/>
    <w:rsid w:val="00B40A51"/>
    <w:rsid w:val="00B41515"/>
    <w:rsid w:val="00B432DE"/>
    <w:rsid w:val="00B43486"/>
    <w:rsid w:val="00B600DA"/>
    <w:rsid w:val="00B60FF9"/>
    <w:rsid w:val="00B61B78"/>
    <w:rsid w:val="00B62A86"/>
    <w:rsid w:val="00B64B2E"/>
    <w:rsid w:val="00B70852"/>
    <w:rsid w:val="00B74EB7"/>
    <w:rsid w:val="00B7519A"/>
    <w:rsid w:val="00B77A7F"/>
    <w:rsid w:val="00B80130"/>
    <w:rsid w:val="00B85429"/>
    <w:rsid w:val="00B85B6E"/>
    <w:rsid w:val="00B85F97"/>
    <w:rsid w:val="00B87167"/>
    <w:rsid w:val="00B91557"/>
    <w:rsid w:val="00B9249B"/>
    <w:rsid w:val="00B94460"/>
    <w:rsid w:val="00B95799"/>
    <w:rsid w:val="00B97479"/>
    <w:rsid w:val="00BA2D37"/>
    <w:rsid w:val="00BA3F5D"/>
    <w:rsid w:val="00BA458A"/>
    <w:rsid w:val="00BA6307"/>
    <w:rsid w:val="00BB1678"/>
    <w:rsid w:val="00BB1A33"/>
    <w:rsid w:val="00BB38BF"/>
    <w:rsid w:val="00BB5ED8"/>
    <w:rsid w:val="00BB64B8"/>
    <w:rsid w:val="00BB79C9"/>
    <w:rsid w:val="00BC3724"/>
    <w:rsid w:val="00BC5F20"/>
    <w:rsid w:val="00BC7D62"/>
    <w:rsid w:val="00BD0595"/>
    <w:rsid w:val="00BD0CE6"/>
    <w:rsid w:val="00BD1B0B"/>
    <w:rsid w:val="00BD1C29"/>
    <w:rsid w:val="00BD7F9D"/>
    <w:rsid w:val="00BE36B6"/>
    <w:rsid w:val="00BE708B"/>
    <w:rsid w:val="00BF08BE"/>
    <w:rsid w:val="00BF0ED7"/>
    <w:rsid w:val="00BF2953"/>
    <w:rsid w:val="00BF29D8"/>
    <w:rsid w:val="00BF5C05"/>
    <w:rsid w:val="00BF67E4"/>
    <w:rsid w:val="00C02897"/>
    <w:rsid w:val="00C03C7C"/>
    <w:rsid w:val="00C03E54"/>
    <w:rsid w:val="00C10269"/>
    <w:rsid w:val="00C11CC0"/>
    <w:rsid w:val="00C12CF2"/>
    <w:rsid w:val="00C132DF"/>
    <w:rsid w:val="00C1592D"/>
    <w:rsid w:val="00C16B09"/>
    <w:rsid w:val="00C20F0B"/>
    <w:rsid w:val="00C23774"/>
    <w:rsid w:val="00C24E51"/>
    <w:rsid w:val="00C25652"/>
    <w:rsid w:val="00C27B11"/>
    <w:rsid w:val="00C302FA"/>
    <w:rsid w:val="00C312F8"/>
    <w:rsid w:val="00C337E2"/>
    <w:rsid w:val="00C33FD8"/>
    <w:rsid w:val="00C343DB"/>
    <w:rsid w:val="00C352AA"/>
    <w:rsid w:val="00C363EB"/>
    <w:rsid w:val="00C36A18"/>
    <w:rsid w:val="00C36A54"/>
    <w:rsid w:val="00C378E7"/>
    <w:rsid w:val="00C40AF0"/>
    <w:rsid w:val="00C44105"/>
    <w:rsid w:val="00C453EA"/>
    <w:rsid w:val="00C459BD"/>
    <w:rsid w:val="00C47613"/>
    <w:rsid w:val="00C5156F"/>
    <w:rsid w:val="00C52B76"/>
    <w:rsid w:val="00C57286"/>
    <w:rsid w:val="00C629E7"/>
    <w:rsid w:val="00C64B3A"/>
    <w:rsid w:val="00C66160"/>
    <w:rsid w:val="00C71467"/>
    <w:rsid w:val="00C71EC5"/>
    <w:rsid w:val="00C71FCB"/>
    <w:rsid w:val="00C75EE2"/>
    <w:rsid w:val="00C77987"/>
    <w:rsid w:val="00C82FD3"/>
    <w:rsid w:val="00C86777"/>
    <w:rsid w:val="00C87D61"/>
    <w:rsid w:val="00C90C9B"/>
    <w:rsid w:val="00C948AA"/>
    <w:rsid w:val="00C956ED"/>
    <w:rsid w:val="00C97E10"/>
    <w:rsid w:val="00CA07B1"/>
    <w:rsid w:val="00CA5781"/>
    <w:rsid w:val="00CA6CB3"/>
    <w:rsid w:val="00CA7093"/>
    <w:rsid w:val="00CB09B6"/>
    <w:rsid w:val="00CB32CC"/>
    <w:rsid w:val="00CB384A"/>
    <w:rsid w:val="00CB4B41"/>
    <w:rsid w:val="00CB5925"/>
    <w:rsid w:val="00CB60FD"/>
    <w:rsid w:val="00CC0360"/>
    <w:rsid w:val="00CC0949"/>
    <w:rsid w:val="00CC0DE1"/>
    <w:rsid w:val="00CC16AC"/>
    <w:rsid w:val="00CC18C2"/>
    <w:rsid w:val="00CC2B1E"/>
    <w:rsid w:val="00CC74D1"/>
    <w:rsid w:val="00CC7BBE"/>
    <w:rsid w:val="00CD1489"/>
    <w:rsid w:val="00CD1947"/>
    <w:rsid w:val="00CD342A"/>
    <w:rsid w:val="00CD3B8F"/>
    <w:rsid w:val="00CD60F5"/>
    <w:rsid w:val="00CD717A"/>
    <w:rsid w:val="00CD7348"/>
    <w:rsid w:val="00CE116F"/>
    <w:rsid w:val="00CE309C"/>
    <w:rsid w:val="00CE3EF2"/>
    <w:rsid w:val="00CE5F13"/>
    <w:rsid w:val="00CF6A1E"/>
    <w:rsid w:val="00D021C8"/>
    <w:rsid w:val="00D02897"/>
    <w:rsid w:val="00D040B5"/>
    <w:rsid w:val="00D067FB"/>
    <w:rsid w:val="00D07756"/>
    <w:rsid w:val="00D119F5"/>
    <w:rsid w:val="00D1304F"/>
    <w:rsid w:val="00D154A0"/>
    <w:rsid w:val="00D15B99"/>
    <w:rsid w:val="00D17CBA"/>
    <w:rsid w:val="00D2228B"/>
    <w:rsid w:val="00D22567"/>
    <w:rsid w:val="00D22646"/>
    <w:rsid w:val="00D22A3C"/>
    <w:rsid w:val="00D242A7"/>
    <w:rsid w:val="00D30A90"/>
    <w:rsid w:val="00D3130A"/>
    <w:rsid w:val="00D33005"/>
    <w:rsid w:val="00D33224"/>
    <w:rsid w:val="00D3484E"/>
    <w:rsid w:val="00D35632"/>
    <w:rsid w:val="00D35ED3"/>
    <w:rsid w:val="00D3681A"/>
    <w:rsid w:val="00D53B59"/>
    <w:rsid w:val="00D546F3"/>
    <w:rsid w:val="00D553A1"/>
    <w:rsid w:val="00D56257"/>
    <w:rsid w:val="00D56937"/>
    <w:rsid w:val="00D60154"/>
    <w:rsid w:val="00D620CD"/>
    <w:rsid w:val="00D63915"/>
    <w:rsid w:val="00D64906"/>
    <w:rsid w:val="00D6693A"/>
    <w:rsid w:val="00D730AD"/>
    <w:rsid w:val="00D73D07"/>
    <w:rsid w:val="00D73FA0"/>
    <w:rsid w:val="00D81B73"/>
    <w:rsid w:val="00D83531"/>
    <w:rsid w:val="00D838C2"/>
    <w:rsid w:val="00D84BA7"/>
    <w:rsid w:val="00D852BD"/>
    <w:rsid w:val="00D87E36"/>
    <w:rsid w:val="00D910B2"/>
    <w:rsid w:val="00D91A02"/>
    <w:rsid w:val="00D94075"/>
    <w:rsid w:val="00D9484D"/>
    <w:rsid w:val="00D9625A"/>
    <w:rsid w:val="00DB0E58"/>
    <w:rsid w:val="00DB17CA"/>
    <w:rsid w:val="00DB4FFF"/>
    <w:rsid w:val="00DB709C"/>
    <w:rsid w:val="00DB7BB9"/>
    <w:rsid w:val="00DC20CC"/>
    <w:rsid w:val="00DC249B"/>
    <w:rsid w:val="00DC4607"/>
    <w:rsid w:val="00DC5073"/>
    <w:rsid w:val="00DC579E"/>
    <w:rsid w:val="00DC6B74"/>
    <w:rsid w:val="00DD1E96"/>
    <w:rsid w:val="00DD447E"/>
    <w:rsid w:val="00DD4AB0"/>
    <w:rsid w:val="00DD68BD"/>
    <w:rsid w:val="00DE1646"/>
    <w:rsid w:val="00DE213D"/>
    <w:rsid w:val="00DE6310"/>
    <w:rsid w:val="00DF0670"/>
    <w:rsid w:val="00DF4193"/>
    <w:rsid w:val="00DF524E"/>
    <w:rsid w:val="00DF63E5"/>
    <w:rsid w:val="00DF6CD2"/>
    <w:rsid w:val="00E00354"/>
    <w:rsid w:val="00E00512"/>
    <w:rsid w:val="00E01495"/>
    <w:rsid w:val="00E01DD8"/>
    <w:rsid w:val="00E029E3"/>
    <w:rsid w:val="00E02AF6"/>
    <w:rsid w:val="00E02EDB"/>
    <w:rsid w:val="00E1147F"/>
    <w:rsid w:val="00E11DFE"/>
    <w:rsid w:val="00E12D0A"/>
    <w:rsid w:val="00E15497"/>
    <w:rsid w:val="00E154A3"/>
    <w:rsid w:val="00E15A3C"/>
    <w:rsid w:val="00E16789"/>
    <w:rsid w:val="00E201A8"/>
    <w:rsid w:val="00E20418"/>
    <w:rsid w:val="00E20A96"/>
    <w:rsid w:val="00E21C53"/>
    <w:rsid w:val="00E23DDA"/>
    <w:rsid w:val="00E27728"/>
    <w:rsid w:val="00E304CF"/>
    <w:rsid w:val="00E33629"/>
    <w:rsid w:val="00E3443C"/>
    <w:rsid w:val="00E41BC5"/>
    <w:rsid w:val="00E47DF9"/>
    <w:rsid w:val="00E52DFE"/>
    <w:rsid w:val="00E54E5E"/>
    <w:rsid w:val="00E609E3"/>
    <w:rsid w:val="00E61B19"/>
    <w:rsid w:val="00E625F1"/>
    <w:rsid w:val="00E64B5D"/>
    <w:rsid w:val="00E65570"/>
    <w:rsid w:val="00E65AFB"/>
    <w:rsid w:val="00E73131"/>
    <w:rsid w:val="00E752F6"/>
    <w:rsid w:val="00E829A1"/>
    <w:rsid w:val="00E82E44"/>
    <w:rsid w:val="00E8437C"/>
    <w:rsid w:val="00E87BBB"/>
    <w:rsid w:val="00E90C89"/>
    <w:rsid w:val="00E92FDD"/>
    <w:rsid w:val="00E9734C"/>
    <w:rsid w:val="00E9738A"/>
    <w:rsid w:val="00E97A88"/>
    <w:rsid w:val="00EA05AC"/>
    <w:rsid w:val="00EA09EA"/>
    <w:rsid w:val="00EA2631"/>
    <w:rsid w:val="00EA2E1B"/>
    <w:rsid w:val="00EA3F2D"/>
    <w:rsid w:val="00EA4B33"/>
    <w:rsid w:val="00EB1E7E"/>
    <w:rsid w:val="00EB4386"/>
    <w:rsid w:val="00EB55F1"/>
    <w:rsid w:val="00EB5844"/>
    <w:rsid w:val="00EC5653"/>
    <w:rsid w:val="00ED038D"/>
    <w:rsid w:val="00ED0914"/>
    <w:rsid w:val="00ED57B6"/>
    <w:rsid w:val="00EE04DD"/>
    <w:rsid w:val="00EE19FE"/>
    <w:rsid w:val="00EE5E05"/>
    <w:rsid w:val="00EE65BD"/>
    <w:rsid w:val="00EE72C2"/>
    <w:rsid w:val="00EF0DDF"/>
    <w:rsid w:val="00EF1541"/>
    <w:rsid w:val="00EF365E"/>
    <w:rsid w:val="00EF38DF"/>
    <w:rsid w:val="00EF691B"/>
    <w:rsid w:val="00F00E38"/>
    <w:rsid w:val="00F1089E"/>
    <w:rsid w:val="00F10ABE"/>
    <w:rsid w:val="00F119E8"/>
    <w:rsid w:val="00F13949"/>
    <w:rsid w:val="00F13C45"/>
    <w:rsid w:val="00F16457"/>
    <w:rsid w:val="00F23BBF"/>
    <w:rsid w:val="00F253AC"/>
    <w:rsid w:val="00F26D2E"/>
    <w:rsid w:val="00F33B90"/>
    <w:rsid w:val="00F362B4"/>
    <w:rsid w:val="00F365A8"/>
    <w:rsid w:val="00F367A8"/>
    <w:rsid w:val="00F3684B"/>
    <w:rsid w:val="00F371A1"/>
    <w:rsid w:val="00F376C4"/>
    <w:rsid w:val="00F4084F"/>
    <w:rsid w:val="00F436BC"/>
    <w:rsid w:val="00F43DFD"/>
    <w:rsid w:val="00F44BAE"/>
    <w:rsid w:val="00F46039"/>
    <w:rsid w:val="00F47FE2"/>
    <w:rsid w:val="00F527D2"/>
    <w:rsid w:val="00F554AC"/>
    <w:rsid w:val="00F57746"/>
    <w:rsid w:val="00F57F66"/>
    <w:rsid w:val="00F623D7"/>
    <w:rsid w:val="00F64015"/>
    <w:rsid w:val="00F734E8"/>
    <w:rsid w:val="00F7706D"/>
    <w:rsid w:val="00F7752F"/>
    <w:rsid w:val="00F806F1"/>
    <w:rsid w:val="00F84555"/>
    <w:rsid w:val="00F85807"/>
    <w:rsid w:val="00F90E53"/>
    <w:rsid w:val="00F9451E"/>
    <w:rsid w:val="00FA12A9"/>
    <w:rsid w:val="00FA1DAF"/>
    <w:rsid w:val="00FA4160"/>
    <w:rsid w:val="00FA5345"/>
    <w:rsid w:val="00FA6622"/>
    <w:rsid w:val="00FB15FE"/>
    <w:rsid w:val="00FB2CE6"/>
    <w:rsid w:val="00FB4063"/>
    <w:rsid w:val="00FB54F5"/>
    <w:rsid w:val="00FB5BDE"/>
    <w:rsid w:val="00FC494F"/>
    <w:rsid w:val="00FD1E4A"/>
    <w:rsid w:val="00FD2F38"/>
    <w:rsid w:val="00FD2FCA"/>
    <w:rsid w:val="00FE0844"/>
    <w:rsid w:val="00FE4874"/>
    <w:rsid w:val="00FE4AE7"/>
    <w:rsid w:val="00FE4D94"/>
    <w:rsid w:val="00FF1A1C"/>
    <w:rsid w:val="00FF224A"/>
    <w:rsid w:val="00FF24C0"/>
    <w:rsid w:val="00FF4B1F"/>
    <w:rsid w:val="00FF66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F12ED2F"/>
  <w15:docId w15:val="{F021DACA-9134-42AD-AE72-B4F77FEE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408"/>
    <w:pPr>
      <w:spacing w:after="240"/>
      <w:jc w:val="both"/>
    </w:pPr>
    <w:rPr>
      <w:rFonts w:ascii="Times New Roman" w:eastAsia="Times New Roman" w:hAnsi="Times New Roman"/>
      <w:sz w:val="24"/>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5B0CCE"/>
    <w:pPr>
      <w:spacing w:before="100" w:beforeAutospacing="1" w:after="100" w:afterAutospacing="1"/>
    </w:pPr>
    <w:rPr>
      <w:szCs w:val="24"/>
    </w:rPr>
  </w:style>
  <w:style w:type="paragraph" w:styleId="Header">
    <w:name w:val="header"/>
    <w:basedOn w:val="Normal"/>
    <w:link w:val="HeaderChar"/>
    <w:uiPriority w:val="99"/>
    <w:unhideWhenUsed/>
    <w:rsid w:val="00226412"/>
    <w:pPr>
      <w:tabs>
        <w:tab w:val="center" w:pos="4513"/>
        <w:tab w:val="right" w:pos="9026"/>
      </w:tabs>
    </w:pPr>
  </w:style>
  <w:style w:type="character" w:customStyle="1" w:styleId="HeaderChar">
    <w:name w:val="Header Char"/>
    <w:basedOn w:val="DefaultParagraphFont"/>
    <w:link w:val="Header"/>
    <w:uiPriority w:val="99"/>
    <w:rsid w:val="00226412"/>
    <w:rPr>
      <w:rFonts w:ascii="Trebuchet MS" w:eastAsia="Times New Roman" w:hAnsi="Trebuchet MS"/>
      <w:sz w:val="22"/>
    </w:rPr>
  </w:style>
  <w:style w:type="paragraph" w:styleId="Footer">
    <w:name w:val="footer"/>
    <w:basedOn w:val="Normal"/>
    <w:link w:val="FooterChar"/>
    <w:uiPriority w:val="99"/>
    <w:unhideWhenUsed/>
    <w:rsid w:val="00226412"/>
    <w:pPr>
      <w:tabs>
        <w:tab w:val="center" w:pos="4513"/>
        <w:tab w:val="right" w:pos="9026"/>
      </w:tabs>
    </w:pPr>
  </w:style>
  <w:style w:type="character" w:customStyle="1" w:styleId="FooterChar">
    <w:name w:val="Footer Char"/>
    <w:basedOn w:val="DefaultParagraphFont"/>
    <w:link w:val="Footer"/>
    <w:uiPriority w:val="99"/>
    <w:rsid w:val="00226412"/>
    <w:rPr>
      <w:rFonts w:ascii="Trebuchet MS" w:eastAsia="Times New Roman" w:hAnsi="Trebuchet MS"/>
      <w:sz w:val="22"/>
    </w:rPr>
  </w:style>
  <w:style w:type="table" w:styleId="TableGrid">
    <w:name w:val="Table Grid"/>
    <w:basedOn w:val="TableNormal"/>
    <w:uiPriority w:val="59"/>
    <w:rsid w:val="00A80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64468"/>
    <w:rPr>
      <w:sz w:val="20"/>
    </w:rPr>
  </w:style>
  <w:style w:type="character" w:customStyle="1" w:styleId="FootnoteTextChar">
    <w:name w:val="Footnote Text Char"/>
    <w:basedOn w:val="DefaultParagraphFont"/>
    <w:link w:val="FootnoteText"/>
    <w:semiHidden/>
    <w:rsid w:val="00764468"/>
    <w:rPr>
      <w:rFonts w:ascii="Trebuchet MS" w:eastAsia="Times New Roman" w:hAnsi="Trebuchet MS"/>
    </w:rPr>
  </w:style>
  <w:style w:type="character" w:styleId="FootnoteReference">
    <w:name w:val="footnote reference"/>
    <w:basedOn w:val="DefaultParagraphFont"/>
    <w:unhideWhenUsed/>
    <w:rsid w:val="00764468"/>
    <w:rPr>
      <w:vertAlign w:val="superscript"/>
    </w:rPr>
  </w:style>
  <w:style w:type="character" w:styleId="FollowedHyperlink">
    <w:name w:val="FollowedHyperlink"/>
    <w:basedOn w:val="DefaultParagraphFont"/>
    <w:uiPriority w:val="99"/>
    <w:semiHidden/>
    <w:unhideWhenUsed/>
    <w:rsid w:val="00586A12"/>
    <w:rPr>
      <w:color w:val="800080" w:themeColor="followedHyperlink"/>
      <w:u w:val="single"/>
    </w:rPr>
  </w:style>
  <w:style w:type="paragraph" w:customStyle="1" w:styleId="Style2">
    <w:name w:val="Style2"/>
    <w:basedOn w:val="BodyText"/>
    <w:link w:val="Style2Char"/>
    <w:uiPriority w:val="1"/>
    <w:qFormat/>
    <w:rsid w:val="00196AFC"/>
    <w:pPr>
      <w:widowControl w:val="0"/>
      <w:numPr>
        <w:ilvl w:val="1"/>
        <w:numId w:val="14"/>
      </w:numPr>
      <w:tabs>
        <w:tab w:val="left" w:pos="1134"/>
      </w:tabs>
      <w:spacing w:after="240"/>
      <w:ind w:right="164"/>
    </w:pPr>
    <w:rPr>
      <w:rFonts w:cstheme="minorBidi"/>
      <w:szCs w:val="24"/>
      <w:lang w:val="en-US" w:eastAsia="en-US"/>
    </w:rPr>
  </w:style>
  <w:style w:type="paragraph" w:customStyle="1" w:styleId="Style3">
    <w:name w:val="Style3"/>
    <w:basedOn w:val="FootnoteText"/>
    <w:link w:val="Style3Char"/>
    <w:uiPriority w:val="1"/>
    <w:qFormat/>
    <w:rsid w:val="00196AFC"/>
    <w:pPr>
      <w:ind w:left="567" w:hanging="567"/>
    </w:pPr>
    <w:rPr>
      <w:rFonts w:eastAsia="Times"/>
      <w:sz w:val="24"/>
      <w:szCs w:val="24"/>
      <w:lang w:val="en-US" w:eastAsia="en-US"/>
    </w:rPr>
  </w:style>
  <w:style w:type="character" w:customStyle="1" w:styleId="Style2Char">
    <w:name w:val="Style2 Char"/>
    <w:basedOn w:val="BodyTextChar"/>
    <w:link w:val="Style2"/>
    <w:uiPriority w:val="1"/>
    <w:rsid w:val="00196AFC"/>
    <w:rPr>
      <w:rFonts w:ascii="Times New Roman" w:eastAsia="Times New Roman" w:hAnsi="Times New Roman" w:cstheme="minorBidi"/>
      <w:sz w:val="24"/>
      <w:szCs w:val="24"/>
      <w:lang w:val="en-US" w:eastAsia="en-US"/>
    </w:rPr>
  </w:style>
  <w:style w:type="character" w:customStyle="1" w:styleId="Style3Char">
    <w:name w:val="Style3 Char"/>
    <w:basedOn w:val="BodyTextChar"/>
    <w:link w:val="Style3"/>
    <w:uiPriority w:val="1"/>
    <w:rsid w:val="00196AFC"/>
    <w:rPr>
      <w:rFonts w:ascii="Times New Roman" w:eastAsia="Times" w:hAnsi="Times New Roman"/>
      <w:sz w:val="24"/>
      <w:szCs w:val="24"/>
      <w:lang w:val="en-US" w:eastAsia="en-US"/>
    </w:rPr>
  </w:style>
  <w:style w:type="paragraph" w:customStyle="1" w:styleId="Style5">
    <w:name w:val="Style5"/>
    <w:basedOn w:val="Normal"/>
    <w:link w:val="Style5Char"/>
    <w:uiPriority w:val="1"/>
    <w:qFormat/>
    <w:rsid w:val="00196AFC"/>
    <w:pPr>
      <w:keepNext/>
      <w:numPr>
        <w:numId w:val="13"/>
      </w:numPr>
    </w:pPr>
    <w:rPr>
      <w:szCs w:val="24"/>
    </w:rPr>
  </w:style>
  <w:style w:type="character" w:customStyle="1" w:styleId="Style5Char">
    <w:name w:val="Style5 Char"/>
    <w:basedOn w:val="BodyTextChar"/>
    <w:link w:val="Style5"/>
    <w:uiPriority w:val="1"/>
    <w:rsid w:val="00196AFC"/>
    <w:rPr>
      <w:rFonts w:ascii="Times New Roman" w:eastAsia="Times New Roman" w:hAnsi="Times New Roman"/>
      <w:sz w:val="24"/>
      <w:szCs w:val="24"/>
    </w:rPr>
  </w:style>
  <w:style w:type="paragraph" w:styleId="BodyText">
    <w:name w:val="Body Text"/>
    <w:basedOn w:val="Normal"/>
    <w:link w:val="BodyTextChar"/>
    <w:uiPriority w:val="99"/>
    <w:unhideWhenUsed/>
    <w:rsid w:val="00196AFC"/>
    <w:pPr>
      <w:spacing w:after="120"/>
    </w:pPr>
  </w:style>
  <w:style w:type="character" w:customStyle="1" w:styleId="BodyTextChar">
    <w:name w:val="Body Text Char"/>
    <w:basedOn w:val="DefaultParagraphFont"/>
    <w:link w:val="BodyText"/>
    <w:uiPriority w:val="99"/>
    <w:rsid w:val="00196AFC"/>
    <w:rPr>
      <w:rFonts w:ascii="Trebuchet MS" w:eastAsia="Times New Roman" w:hAnsi="Trebuchet MS"/>
      <w:sz w:val="22"/>
    </w:rPr>
  </w:style>
  <w:style w:type="paragraph" w:styleId="ListBullet">
    <w:name w:val="List Bullet"/>
    <w:basedOn w:val="Normal"/>
    <w:uiPriority w:val="99"/>
    <w:unhideWhenUsed/>
    <w:rsid w:val="00640067"/>
    <w:pPr>
      <w:numPr>
        <w:numId w:val="25"/>
      </w:numPr>
      <w:contextualSpacing/>
    </w:pPr>
  </w:style>
  <w:style w:type="paragraph" w:styleId="BodyText2">
    <w:name w:val="Body Text 2"/>
    <w:basedOn w:val="Normal"/>
    <w:link w:val="BodyText2Char"/>
    <w:unhideWhenUsed/>
    <w:qFormat/>
    <w:rsid w:val="00A00207"/>
    <w:pPr>
      <w:spacing w:after="120" w:line="480" w:lineRule="auto"/>
    </w:pPr>
  </w:style>
  <w:style w:type="character" w:customStyle="1" w:styleId="BodyText2Char">
    <w:name w:val="Body Text 2 Char"/>
    <w:basedOn w:val="DefaultParagraphFont"/>
    <w:link w:val="BodyText2"/>
    <w:uiPriority w:val="99"/>
    <w:semiHidden/>
    <w:rsid w:val="00A00207"/>
    <w:rPr>
      <w:rFonts w:ascii="Times New Roman" w:eastAsia="Times New Roman" w:hAnsi="Times New Roman"/>
      <w:sz w:val="24"/>
    </w:rPr>
  </w:style>
  <w:style w:type="paragraph" w:customStyle="1" w:styleId="Default">
    <w:name w:val="Default"/>
    <w:rsid w:val="00957408"/>
    <w:pPr>
      <w:autoSpaceDE w:val="0"/>
      <w:autoSpaceDN w:val="0"/>
      <w:adjustRightInd w:val="0"/>
    </w:pPr>
    <w:rPr>
      <w:rFonts w:ascii="Times New Roman" w:hAnsi="Times New Roman"/>
      <w:color w:val="000000"/>
      <w:sz w:val="24"/>
      <w:szCs w:val="24"/>
    </w:rPr>
  </w:style>
  <w:style w:type="character" w:customStyle="1" w:styleId="BodyText1Char">
    <w:name w:val="Body Text 1 Char"/>
    <w:basedOn w:val="DefaultParagraphFont"/>
    <w:link w:val="BodyText1"/>
    <w:rsid w:val="00957408"/>
    <w:rPr>
      <w:rFonts w:eastAsia="Times New Roman"/>
    </w:rPr>
  </w:style>
  <w:style w:type="paragraph" w:customStyle="1" w:styleId="BodyText1">
    <w:name w:val="Body Text 1"/>
    <w:basedOn w:val="Normal"/>
    <w:link w:val="BodyText1Char"/>
    <w:qFormat/>
    <w:rsid w:val="00957408"/>
    <w:pPr>
      <w:tabs>
        <w:tab w:val="num" w:pos="567"/>
      </w:tabs>
      <w:ind w:left="567" w:hanging="567"/>
    </w:pPr>
    <w:rPr>
      <w:rFonts w:ascii="Calibri" w:hAnsi="Calibri"/>
      <w:sz w:val="20"/>
    </w:rPr>
  </w:style>
  <w:style w:type="paragraph" w:styleId="BodyText3">
    <w:name w:val="Body Text 3"/>
    <w:basedOn w:val="Normal"/>
    <w:link w:val="BodyText3Char"/>
    <w:qFormat/>
    <w:rsid w:val="00957408"/>
    <w:pPr>
      <w:tabs>
        <w:tab w:val="num" w:pos="1701"/>
      </w:tabs>
      <w:ind w:left="1701" w:hanging="567"/>
    </w:pPr>
    <w:rPr>
      <w:rFonts w:eastAsia="Calibri"/>
      <w:szCs w:val="16"/>
    </w:rPr>
  </w:style>
  <w:style w:type="character" w:customStyle="1" w:styleId="BodyText3Char">
    <w:name w:val="Body Text 3 Char"/>
    <w:basedOn w:val="DefaultParagraphFont"/>
    <w:link w:val="BodyText3"/>
    <w:rsid w:val="00957408"/>
    <w:rPr>
      <w:rFonts w:ascii="Times New Roman" w:hAnsi="Times New Roman"/>
      <w:sz w:val="24"/>
      <w:szCs w:val="16"/>
    </w:rPr>
  </w:style>
  <w:style w:type="paragraph" w:styleId="Revision">
    <w:name w:val="Revision"/>
    <w:hidden/>
    <w:uiPriority w:val="99"/>
    <w:semiHidden/>
    <w:rsid w:val="00B432D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3039">
      <w:bodyDiv w:val="1"/>
      <w:marLeft w:val="0"/>
      <w:marRight w:val="0"/>
      <w:marTop w:val="0"/>
      <w:marBottom w:val="0"/>
      <w:divBdr>
        <w:top w:val="none" w:sz="0" w:space="0" w:color="auto"/>
        <w:left w:val="none" w:sz="0" w:space="0" w:color="auto"/>
        <w:bottom w:val="none" w:sz="0" w:space="0" w:color="auto"/>
        <w:right w:val="none" w:sz="0" w:space="0" w:color="auto"/>
      </w:divBdr>
      <w:divsChild>
        <w:div w:id="143275812">
          <w:marLeft w:val="0"/>
          <w:marRight w:val="0"/>
          <w:marTop w:val="0"/>
          <w:marBottom w:val="0"/>
          <w:divBdr>
            <w:top w:val="none" w:sz="0" w:space="0" w:color="auto"/>
            <w:left w:val="none" w:sz="0" w:space="0" w:color="auto"/>
            <w:bottom w:val="none" w:sz="0" w:space="0" w:color="auto"/>
            <w:right w:val="none" w:sz="0" w:space="0" w:color="auto"/>
          </w:divBdr>
          <w:divsChild>
            <w:div w:id="270362404">
              <w:marLeft w:val="0"/>
              <w:marRight w:val="0"/>
              <w:marTop w:val="0"/>
              <w:marBottom w:val="0"/>
              <w:divBdr>
                <w:top w:val="none" w:sz="0" w:space="0" w:color="auto"/>
                <w:left w:val="none" w:sz="0" w:space="0" w:color="auto"/>
                <w:bottom w:val="none" w:sz="0" w:space="0" w:color="auto"/>
                <w:right w:val="none" w:sz="0" w:space="0" w:color="auto"/>
              </w:divBdr>
              <w:divsChild>
                <w:div w:id="1444760625">
                  <w:marLeft w:val="0"/>
                  <w:marRight w:val="0"/>
                  <w:marTop w:val="0"/>
                  <w:marBottom w:val="0"/>
                  <w:divBdr>
                    <w:top w:val="none" w:sz="0" w:space="0" w:color="auto"/>
                    <w:left w:val="none" w:sz="0" w:space="0" w:color="auto"/>
                    <w:bottom w:val="none" w:sz="0" w:space="0" w:color="auto"/>
                    <w:right w:val="none" w:sz="0" w:space="0" w:color="auto"/>
                  </w:divBdr>
                  <w:divsChild>
                    <w:div w:id="655492369">
                      <w:marLeft w:val="0"/>
                      <w:marRight w:val="0"/>
                      <w:marTop w:val="0"/>
                      <w:marBottom w:val="0"/>
                      <w:divBdr>
                        <w:top w:val="none" w:sz="0" w:space="0" w:color="auto"/>
                        <w:left w:val="none" w:sz="0" w:space="0" w:color="auto"/>
                        <w:bottom w:val="none" w:sz="0" w:space="0" w:color="auto"/>
                        <w:right w:val="none" w:sz="0" w:space="0" w:color="auto"/>
                      </w:divBdr>
                      <w:divsChild>
                        <w:div w:id="1977953461">
                          <w:marLeft w:val="0"/>
                          <w:marRight w:val="0"/>
                          <w:marTop w:val="0"/>
                          <w:marBottom w:val="0"/>
                          <w:divBdr>
                            <w:top w:val="none" w:sz="0" w:space="0" w:color="auto"/>
                            <w:left w:val="none" w:sz="0" w:space="0" w:color="auto"/>
                            <w:bottom w:val="none" w:sz="0" w:space="0" w:color="auto"/>
                            <w:right w:val="none" w:sz="0" w:space="0" w:color="auto"/>
                          </w:divBdr>
                          <w:divsChild>
                            <w:div w:id="782307956">
                              <w:marLeft w:val="0"/>
                              <w:marRight w:val="0"/>
                              <w:marTop w:val="0"/>
                              <w:marBottom w:val="0"/>
                              <w:divBdr>
                                <w:top w:val="none" w:sz="0" w:space="0" w:color="auto"/>
                                <w:left w:val="none" w:sz="0" w:space="0" w:color="auto"/>
                                <w:bottom w:val="none" w:sz="0" w:space="0" w:color="auto"/>
                                <w:right w:val="none" w:sz="0" w:space="0" w:color="auto"/>
                              </w:divBdr>
                              <w:divsChild>
                                <w:div w:id="966816961">
                                  <w:marLeft w:val="0"/>
                                  <w:marRight w:val="0"/>
                                  <w:marTop w:val="0"/>
                                  <w:marBottom w:val="0"/>
                                  <w:divBdr>
                                    <w:top w:val="none" w:sz="0" w:space="0" w:color="auto"/>
                                    <w:left w:val="none" w:sz="0" w:space="0" w:color="auto"/>
                                    <w:bottom w:val="none" w:sz="0" w:space="0" w:color="auto"/>
                                    <w:right w:val="none" w:sz="0" w:space="0" w:color="auto"/>
                                  </w:divBdr>
                                  <w:divsChild>
                                    <w:div w:id="1781294462">
                                      <w:marLeft w:val="0"/>
                                      <w:marRight w:val="0"/>
                                      <w:marTop w:val="0"/>
                                      <w:marBottom w:val="0"/>
                                      <w:divBdr>
                                        <w:top w:val="none" w:sz="0" w:space="0" w:color="auto"/>
                                        <w:left w:val="none" w:sz="0" w:space="0" w:color="auto"/>
                                        <w:bottom w:val="none" w:sz="0" w:space="0" w:color="auto"/>
                                        <w:right w:val="none" w:sz="0" w:space="0" w:color="auto"/>
                                      </w:divBdr>
                                      <w:divsChild>
                                        <w:div w:id="229538731">
                                          <w:marLeft w:val="0"/>
                                          <w:marRight w:val="0"/>
                                          <w:marTop w:val="0"/>
                                          <w:marBottom w:val="0"/>
                                          <w:divBdr>
                                            <w:top w:val="none" w:sz="0" w:space="0" w:color="auto"/>
                                            <w:left w:val="none" w:sz="0" w:space="0" w:color="auto"/>
                                            <w:bottom w:val="none" w:sz="0" w:space="0" w:color="auto"/>
                                            <w:right w:val="none" w:sz="0" w:space="0" w:color="auto"/>
                                          </w:divBdr>
                                          <w:divsChild>
                                            <w:div w:id="899707695">
                                              <w:marLeft w:val="0"/>
                                              <w:marRight w:val="0"/>
                                              <w:marTop w:val="0"/>
                                              <w:marBottom w:val="0"/>
                                              <w:divBdr>
                                                <w:top w:val="none" w:sz="0" w:space="0" w:color="auto"/>
                                                <w:left w:val="none" w:sz="0" w:space="0" w:color="auto"/>
                                                <w:bottom w:val="none" w:sz="0" w:space="0" w:color="auto"/>
                                                <w:right w:val="none" w:sz="0" w:space="0" w:color="auto"/>
                                              </w:divBdr>
                                              <w:divsChild>
                                                <w:div w:id="2112436116">
                                                  <w:marLeft w:val="0"/>
                                                  <w:marRight w:val="0"/>
                                                  <w:marTop w:val="0"/>
                                                  <w:marBottom w:val="0"/>
                                                  <w:divBdr>
                                                    <w:top w:val="none" w:sz="0" w:space="0" w:color="auto"/>
                                                    <w:left w:val="none" w:sz="0" w:space="0" w:color="auto"/>
                                                    <w:bottom w:val="none" w:sz="0" w:space="0" w:color="auto"/>
                                                    <w:right w:val="none" w:sz="0" w:space="0" w:color="auto"/>
                                                  </w:divBdr>
                                                  <w:divsChild>
                                                    <w:div w:id="1222904409">
                                                      <w:marLeft w:val="0"/>
                                                      <w:marRight w:val="0"/>
                                                      <w:marTop w:val="0"/>
                                                      <w:marBottom w:val="0"/>
                                                      <w:divBdr>
                                                        <w:top w:val="none" w:sz="0" w:space="0" w:color="auto"/>
                                                        <w:left w:val="none" w:sz="0" w:space="0" w:color="auto"/>
                                                        <w:bottom w:val="none" w:sz="0" w:space="0" w:color="auto"/>
                                                        <w:right w:val="none" w:sz="0" w:space="0" w:color="auto"/>
                                                      </w:divBdr>
                                                      <w:divsChild>
                                                        <w:div w:id="9454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3454268">
      <w:bodyDiv w:val="1"/>
      <w:marLeft w:val="0"/>
      <w:marRight w:val="0"/>
      <w:marTop w:val="0"/>
      <w:marBottom w:val="0"/>
      <w:divBdr>
        <w:top w:val="none" w:sz="0" w:space="0" w:color="auto"/>
        <w:left w:val="none" w:sz="0" w:space="0" w:color="auto"/>
        <w:bottom w:val="none" w:sz="0" w:space="0" w:color="auto"/>
        <w:right w:val="none" w:sz="0" w:space="0" w:color="auto"/>
      </w:divBdr>
      <w:divsChild>
        <w:div w:id="393355427">
          <w:marLeft w:val="0"/>
          <w:marRight w:val="0"/>
          <w:marTop w:val="0"/>
          <w:marBottom w:val="0"/>
          <w:divBdr>
            <w:top w:val="none" w:sz="0" w:space="0" w:color="auto"/>
            <w:left w:val="none" w:sz="0" w:space="0" w:color="auto"/>
            <w:bottom w:val="none" w:sz="0" w:space="0" w:color="auto"/>
            <w:right w:val="none" w:sz="0" w:space="0" w:color="auto"/>
          </w:divBdr>
          <w:divsChild>
            <w:div w:id="633104635">
              <w:marLeft w:val="0"/>
              <w:marRight w:val="0"/>
              <w:marTop w:val="0"/>
              <w:marBottom w:val="0"/>
              <w:divBdr>
                <w:top w:val="none" w:sz="0" w:space="0" w:color="auto"/>
                <w:left w:val="none" w:sz="0" w:space="0" w:color="auto"/>
                <w:bottom w:val="none" w:sz="0" w:space="0" w:color="auto"/>
                <w:right w:val="none" w:sz="0" w:space="0" w:color="auto"/>
              </w:divBdr>
              <w:divsChild>
                <w:div w:id="17781924">
                  <w:marLeft w:val="0"/>
                  <w:marRight w:val="0"/>
                  <w:marTop w:val="0"/>
                  <w:marBottom w:val="0"/>
                  <w:divBdr>
                    <w:top w:val="single" w:sz="48" w:space="0" w:color="FFFFFF"/>
                    <w:left w:val="none" w:sz="0" w:space="0" w:color="auto"/>
                    <w:bottom w:val="none" w:sz="0" w:space="0" w:color="auto"/>
                    <w:right w:val="none" w:sz="0" w:space="0" w:color="auto"/>
                  </w:divBdr>
                  <w:divsChild>
                    <w:div w:id="125205306">
                      <w:marLeft w:val="3150"/>
                      <w:marRight w:val="0"/>
                      <w:marTop w:val="0"/>
                      <w:marBottom w:val="0"/>
                      <w:divBdr>
                        <w:top w:val="none" w:sz="0" w:space="0" w:color="auto"/>
                        <w:left w:val="none" w:sz="0" w:space="0" w:color="auto"/>
                        <w:bottom w:val="none" w:sz="0" w:space="0" w:color="auto"/>
                        <w:right w:val="none" w:sz="0" w:space="0" w:color="auto"/>
                      </w:divBdr>
                      <w:divsChild>
                        <w:div w:id="139469323">
                          <w:marLeft w:val="0"/>
                          <w:marRight w:val="0"/>
                          <w:marTop w:val="0"/>
                          <w:marBottom w:val="0"/>
                          <w:divBdr>
                            <w:top w:val="none" w:sz="0" w:space="0" w:color="auto"/>
                            <w:left w:val="none" w:sz="0" w:space="0" w:color="auto"/>
                            <w:bottom w:val="none" w:sz="0" w:space="0" w:color="auto"/>
                            <w:right w:val="none" w:sz="0" w:space="0" w:color="auto"/>
                          </w:divBdr>
                          <w:divsChild>
                            <w:div w:id="132991472">
                              <w:marLeft w:val="0"/>
                              <w:marRight w:val="2925"/>
                              <w:marTop w:val="0"/>
                              <w:marBottom w:val="0"/>
                              <w:divBdr>
                                <w:top w:val="none" w:sz="0" w:space="0" w:color="auto"/>
                                <w:left w:val="none" w:sz="0" w:space="0" w:color="auto"/>
                                <w:bottom w:val="none" w:sz="0" w:space="0" w:color="auto"/>
                                <w:right w:val="none" w:sz="0" w:space="0" w:color="auto"/>
                              </w:divBdr>
                              <w:divsChild>
                                <w:div w:id="274366393">
                                  <w:marLeft w:val="0"/>
                                  <w:marRight w:val="0"/>
                                  <w:marTop w:val="0"/>
                                  <w:marBottom w:val="0"/>
                                  <w:divBdr>
                                    <w:top w:val="none" w:sz="0" w:space="0" w:color="auto"/>
                                    <w:left w:val="none" w:sz="0" w:space="0" w:color="auto"/>
                                    <w:bottom w:val="none" w:sz="0" w:space="0" w:color="auto"/>
                                    <w:right w:val="none" w:sz="0" w:space="0" w:color="auto"/>
                                  </w:divBdr>
                                  <w:divsChild>
                                    <w:div w:id="568660767">
                                      <w:marLeft w:val="0"/>
                                      <w:marRight w:val="0"/>
                                      <w:marTop w:val="0"/>
                                      <w:marBottom w:val="0"/>
                                      <w:divBdr>
                                        <w:top w:val="none" w:sz="0" w:space="0" w:color="auto"/>
                                        <w:left w:val="none" w:sz="0" w:space="0" w:color="auto"/>
                                        <w:bottom w:val="none" w:sz="0" w:space="0" w:color="auto"/>
                                        <w:right w:val="none" w:sz="0" w:space="0" w:color="auto"/>
                                      </w:divBdr>
                                      <w:divsChild>
                                        <w:div w:id="1095519385">
                                          <w:marLeft w:val="0"/>
                                          <w:marRight w:val="0"/>
                                          <w:marTop w:val="0"/>
                                          <w:marBottom w:val="0"/>
                                          <w:divBdr>
                                            <w:top w:val="none" w:sz="0" w:space="0" w:color="auto"/>
                                            <w:left w:val="none" w:sz="0" w:space="0" w:color="auto"/>
                                            <w:bottom w:val="none" w:sz="0" w:space="0" w:color="auto"/>
                                            <w:right w:val="none" w:sz="0" w:space="0" w:color="auto"/>
                                          </w:divBdr>
                                        </w:div>
                                        <w:div w:id="21246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137391">
      <w:bodyDiv w:val="1"/>
      <w:marLeft w:val="0"/>
      <w:marRight w:val="0"/>
      <w:marTop w:val="0"/>
      <w:marBottom w:val="0"/>
      <w:divBdr>
        <w:top w:val="none" w:sz="0" w:space="0" w:color="auto"/>
        <w:left w:val="none" w:sz="0" w:space="0" w:color="auto"/>
        <w:bottom w:val="none" w:sz="0" w:space="0" w:color="auto"/>
        <w:right w:val="none" w:sz="0" w:space="0" w:color="auto"/>
      </w:divBdr>
    </w:div>
    <w:div w:id="1436711836">
      <w:bodyDiv w:val="1"/>
      <w:marLeft w:val="0"/>
      <w:marRight w:val="0"/>
      <w:marTop w:val="0"/>
      <w:marBottom w:val="0"/>
      <w:divBdr>
        <w:top w:val="none" w:sz="0" w:space="0" w:color="auto"/>
        <w:left w:val="none" w:sz="0" w:space="0" w:color="auto"/>
        <w:bottom w:val="none" w:sz="0" w:space="0" w:color="auto"/>
        <w:right w:val="none" w:sz="0" w:space="0" w:color="auto"/>
      </w:divBdr>
      <w:divsChild>
        <w:div w:id="810055827">
          <w:marLeft w:val="0"/>
          <w:marRight w:val="0"/>
          <w:marTop w:val="0"/>
          <w:marBottom w:val="0"/>
          <w:divBdr>
            <w:top w:val="none" w:sz="0" w:space="0" w:color="auto"/>
            <w:left w:val="none" w:sz="0" w:space="0" w:color="auto"/>
            <w:bottom w:val="none" w:sz="0" w:space="0" w:color="auto"/>
            <w:right w:val="none" w:sz="0" w:space="0" w:color="auto"/>
          </w:divBdr>
          <w:divsChild>
            <w:div w:id="1649898415">
              <w:marLeft w:val="0"/>
              <w:marRight w:val="0"/>
              <w:marTop w:val="0"/>
              <w:marBottom w:val="0"/>
              <w:divBdr>
                <w:top w:val="none" w:sz="0" w:space="0" w:color="auto"/>
                <w:left w:val="none" w:sz="0" w:space="0" w:color="auto"/>
                <w:bottom w:val="none" w:sz="0" w:space="0" w:color="auto"/>
                <w:right w:val="none" w:sz="0" w:space="0" w:color="auto"/>
              </w:divBdr>
              <w:divsChild>
                <w:div w:id="1131627043">
                  <w:marLeft w:val="0"/>
                  <w:marRight w:val="0"/>
                  <w:marTop w:val="0"/>
                  <w:marBottom w:val="0"/>
                  <w:divBdr>
                    <w:top w:val="none" w:sz="0" w:space="0" w:color="auto"/>
                    <w:left w:val="none" w:sz="0" w:space="0" w:color="auto"/>
                    <w:bottom w:val="none" w:sz="0" w:space="0" w:color="auto"/>
                    <w:right w:val="none" w:sz="0" w:space="0" w:color="auto"/>
                  </w:divBdr>
                  <w:divsChild>
                    <w:div w:id="351299783">
                      <w:marLeft w:val="0"/>
                      <w:marRight w:val="0"/>
                      <w:marTop w:val="0"/>
                      <w:marBottom w:val="0"/>
                      <w:divBdr>
                        <w:top w:val="none" w:sz="0" w:space="0" w:color="auto"/>
                        <w:left w:val="none" w:sz="0" w:space="0" w:color="auto"/>
                        <w:bottom w:val="none" w:sz="0" w:space="0" w:color="auto"/>
                        <w:right w:val="none" w:sz="0" w:space="0" w:color="auto"/>
                      </w:divBdr>
                      <w:divsChild>
                        <w:div w:id="59257480">
                          <w:marLeft w:val="0"/>
                          <w:marRight w:val="0"/>
                          <w:marTop w:val="0"/>
                          <w:marBottom w:val="0"/>
                          <w:divBdr>
                            <w:top w:val="single" w:sz="6" w:space="0" w:color="828282"/>
                            <w:left w:val="single" w:sz="6" w:space="0" w:color="828282"/>
                            <w:bottom w:val="single" w:sz="6" w:space="0" w:color="828282"/>
                            <w:right w:val="single" w:sz="6" w:space="0" w:color="828282"/>
                          </w:divBdr>
                          <w:divsChild>
                            <w:div w:id="575675908">
                              <w:marLeft w:val="0"/>
                              <w:marRight w:val="0"/>
                              <w:marTop w:val="0"/>
                              <w:marBottom w:val="0"/>
                              <w:divBdr>
                                <w:top w:val="none" w:sz="0" w:space="0" w:color="auto"/>
                                <w:left w:val="none" w:sz="0" w:space="0" w:color="auto"/>
                                <w:bottom w:val="none" w:sz="0" w:space="0" w:color="auto"/>
                                <w:right w:val="none" w:sz="0" w:space="0" w:color="auto"/>
                              </w:divBdr>
                              <w:divsChild>
                                <w:div w:id="303973021">
                                  <w:marLeft w:val="0"/>
                                  <w:marRight w:val="0"/>
                                  <w:marTop w:val="0"/>
                                  <w:marBottom w:val="0"/>
                                  <w:divBdr>
                                    <w:top w:val="none" w:sz="0" w:space="0" w:color="auto"/>
                                    <w:left w:val="none" w:sz="0" w:space="0" w:color="auto"/>
                                    <w:bottom w:val="none" w:sz="0" w:space="0" w:color="auto"/>
                                    <w:right w:val="none" w:sz="0" w:space="0" w:color="auto"/>
                                  </w:divBdr>
                                  <w:divsChild>
                                    <w:div w:id="825242288">
                                      <w:marLeft w:val="0"/>
                                      <w:marRight w:val="0"/>
                                      <w:marTop w:val="0"/>
                                      <w:marBottom w:val="0"/>
                                      <w:divBdr>
                                        <w:top w:val="none" w:sz="0" w:space="0" w:color="auto"/>
                                        <w:left w:val="none" w:sz="0" w:space="0" w:color="auto"/>
                                        <w:bottom w:val="none" w:sz="0" w:space="0" w:color="auto"/>
                                        <w:right w:val="none" w:sz="0" w:space="0" w:color="auto"/>
                                      </w:divBdr>
                                      <w:divsChild>
                                        <w:div w:id="1784878917">
                                          <w:marLeft w:val="0"/>
                                          <w:marRight w:val="0"/>
                                          <w:marTop w:val="0"/>
                                          <w:marBottom w:val="0"/>
                                          <w:divBdr>
                                            <w:top w:val="none" w:sz="0" w:space="0" w:color="auto"/>
                                            <w:left w:val="none" w:sz="0" w:space="0" w:color="auto"/>
                                            <w:bottom w:val="none" w:sz="0" w:space="0" w:color="auto"/>
                                            <w:right w:val="none" w:sz="0" w:space="0" w:color="auto"/>
                                          </w:divBdr>
                                          <w:divsChild>
                                            <w:div w:id="1638490348">
                                              <w:marLeft w:val="0"/>
                                              <w:marRight w:val="0"/>
                                              <w:marTop w:val="0"/>
                                              <w:marBottom w:val="0"/>
                                              <w:divBdr>
                                                <w:top w:val="none" w:sz="0" w:space="0" w:color="auto"/>
                                                <w:left w:val="none" w:sz="0" w:space="0" w:color="auto"/>
                                                <w:bottom w:val="none" w:sz="0" w:space="0" w:color="auto"/>
                                                <w:right w:val="none" w:sz="0" w:space="0" w:color="auto"/>
                                              </w:divBdr>
                                              <w:divsChild>
                                                <w:div w:id="8190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osco.org/library/pubdocs/pdf/IOSCOPD469.pdf" TargetMode="External"/><Relationship Id="rId2" Type="http://schemas.openxmlformats.org/officeDocument/2006/relationships/hyperlink" Target="http://www.bis.org/bcbs/publ/d317.pdf" TargetMode="External"/><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Workgroup\Policy\PD2012\CROSS-INDUSTRY\Level%203\2015\9.%20Public%20release\Aug%202016%20Final%20release\Explanatory%20Statement\Template%20-%20ES%20for%20new%20consolidated%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standard implementation</TermName>
          <TermId xmlns="http://schemas.microsoft.com/office/infopath/2007/PartnerControls">88b001fd-622d-45b4-9784-bf6a334327eb</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Explanatory statement</TermName>
          <TermId>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2017-08-09T14:00:00+00:00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432</Value>
      <Value>109</Value>
      <Value>158</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Banking, Insurance, Life Insurance and Superannuation (prudential standard) determination No. 1 of 2017</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5JENXJJSCC7A-445999044-2727</_dlc_DocId>
    <_dlc_DocIdUrl xmlns="814d62cb-2db6-4c25-ab62-b9075facbc11">
      <Url>https://im/teams/LEGAL/_layouts/15/DocIdRedir.aspx?ID=5JENXJJSCC7A-445999044-2727</Url>
      <Description>5JENXJJSCC7A-445999044-2727</Description>
    </_dlc_DocIdUrl>
    <APRAMeetingDate xmlns="814d62cb-2db6-4c25-ab62-b9075facbc11" xsi:nil="true"/>
    <APRAMeetingNumber xmlns="814d62cb-2db6-4c25-ab62-b9075facbc1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37" ma:contentTypeDescription="Create a new document." ma:contentTypeScope="" ma:versionID="b9ef5bc26372778073757b630008b228">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A3824-139A-4F55-B1FA-3B4DBC8C15C5}">
  <ds:schemaRefs>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814d62cb-2db6-4c25-ab62-b9075facbc11"/>
    <ds:schemaRef ds:uri="http://purl.org/dc/dcmitype/"/>
  </ds:schemaRefs>
</ds:datastoreItem>
</file>

<file path=customXml/itemProps2.xml><?xml version="1.0" encoding="utf-8"?>
<ds:datastoreItem xmlns:ds="http://schemas.openxmlformats.org/officeDocument/2006/customXml" ds:itemID="{6F930290-0123-4FA4-B58C-FC498175923C}">
  <ds:schemaRefs>
    <ds:schemaRef ds:uri="http://schemas.microsoft.com/sharepoint/events"/>
  </ds:schemaRefs>
</ds:datastoreItem>
</file>

<file path=customXml/itemProps3.xml><?xml version="1.0" encoding="utf-8"?>
<ds:datastoreItem xmlns:ds="http://schemas.openxmlformats.org/officeDocument/2006/customXml" ds:itemID="{467B19EA-9DFB-4D04-BBEF-48534639C9E3}">
  <ds:schemaRefs>
    <ds:schemaRef ds:uri="Microsoft.SharePoint.Taxonomy.ContentTypeSync"/>
  </ds:schemaRefs>
</ds:datastoreItem>
</file>

<file path=customXml/itemProps4.xml><?xml version="1.0" encoding="utf-8"?>
<ds:datastoreItem xmlns:ds="http://schemas.openxmlformats.org/officeDocument/2006/customXml" ds:itemID="{8D90477D-66AB-40C3-BE14-AFC64EA0E72C}">
  <ds:schemaRefs>
    <ds:schemaRef ds:uri="http://schemas.microsoft.com/sharepoint/v3/contenttype/forms"/>
  </ds:schemaRefs>
</ds:datastoreItem>
</file>

<file path=customXml/itemProps5.xml><?xml version="1.0" encoding="utf-8"?>
<ds:datastoreItem xmlns:ds="http://schemas.openxmlformats.org/officeDocument/2006/customXml" ds:itemID="{EDA00DAB-C9F1-4814-BBFA-6090E9980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EC10B27-75CE-460D-9CDF-92AE04AF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new consolidated prudential standard (April 2016).dotx</Template>
  <TotalTime>0</TotalTime>
  <Pages>6</Pages>
  <Words>1829</Words>
  <Characters>11170</Characters>
  <Application>Microsoft Office Word</Application>
  <DocSecurity>0</DocSecurity>
  <Lines>186</Lines>
  <Paragraphs>54</Paragraphs>
  <ScaleCrop>false</ScaleCrop>
  <HeadingPairs>
    <vt:vector size="2" baseType="variant">
      <vt:variant>
        <vt:lpstr>Title</vt:lpstr>
      </vt:variant>
      <vt:variant>
        <vt:i4>1</vt:i4>
      </vt:variant>
    </vt:vector>
  </HeadingPairs>
  <TitlesOfParts>
    <vt:vector size="1" baseType="lpstr">
      <vt:lpstr>CPS-226-Explanatory-Statement</vt:lpstr>
    </vt:vector>
  </TitlesOfParts>
  <Company>APRA</Company>
  <LinksUpToDate>false</LinksUpToDate>
  <CharactersWithSpaces>12960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Insurance, Life Insurance and Superannuation (prudential standard) determination No. 1 of 2017</dc:title>
  <dc:subject/>
  <dc:creator>Prasad, Sashikala</dc:creator>
  <cp:keywords>[SEC=UNCLASSIFIED]</cp:keywords>
  <dc:description/>
  <cp:lastModifiedBy>Toni Michalis</cp:lastModifiedBy>
  <cp:revision>2</cp:revision>
  <cp:lastPrinted>2016-11-23T02:24:00Z</cp:lastPrinted>
  <dcterms:created xsi:type="dcterms:W3CDTF">2017-08-10T10:37:00Z</dcterms:created>
  <dcterms:modified xsi:type="dcterms:W3CDTF">2017-08-10T10:37:00Z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6D3858B1FF827D98FA3983D5DA6C1A8803D1F65F</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37DBBC0827581EF2B1D2E01FF673D13CF0060D8F</vt:lpwstr>
  </property>
  <property fmtid="{D5CDD505-2E9C-101B-9397-08002B2CF9AE}" pid="7" name="PM_InsertionValue">
    <vt:lpwstr>UNCLASSIFIED</vt:lpwstr>
  </property>
  <property fmtid="{D5CDD505-2E9C-101B-9397-08002B2CF9AE}" pid="8" name="PM_Hash_Salt">
    <vt:lpwstr>A9BC0F14572EA4EB016C47142429EDE1</vt:lpwstr>
  </property>
  <property fmtid="{D5CDD505-2E9C-101B-9397-08002B2CF9AE}" pid="9" name="PM_Hash_Version">
    <vt:lpwstr>2016.1</vt:lpwstr>
  </property>
  <property fmtid="{D5CDD505-2E9C-101B-9397-08002B2CF9AE}" pid="10" name="PM_Hash_Salt_Prev">
    <vt:lpwstr>F7EE728A8C06093344D0799FDE55829C</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Header">
    <vt:lpwstr>UNCLASSIFIED</vt:lpwstr>
  </property>
  <property fmtid="{D5CDD505-2E9C-101B-9397-08002B2CF9AE}" pid="16" name="PM_ProtectiveMarkingValue_Footer">
    <vt:lpwstr>UNCLASSIFIED</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26F405E1B6BD4BBFA32C705ED26FBF0E</vt:lpwstr>
  </property>
  <property fmtid="{D5CDD505-2E9C-101B-9397-08002B2CF9AE}" pid="21" name="PM_OriginationTimeStamp">
    <vt:lpwstr>2017-08-09T22:48:55Z</vt:lpwstr>
  </property>
  <property fmtid="{D5CDD505-2E9C-101B-9397-08002B2CF9AE}" pid="22" name="PM_MinimumSecurityClassification">
    <vt:lpwstr/>
  </property>
  <property fmtid="{D5CDD505-2E9C-101B-9397-08002B2CF9AE}" pid="23" name="ContentTypeId">
    <vt:lpwstr>0x0101008CA7A4F8331B45C7B0D3158B4994D0CA0200577EC0F5A1FBFC498F9A8436B963F8A6</vt:lpwstr>
  </property>
  <property fmtid="{D5CDD505-2E9C-101B-9397-08002B2CF9AE}" pid="24" name="IsLocked">
    <vt:lpwstr>False</vt:lpwstr>
  </property>
  <property fmtid="{D5CDD505-2E9C-101B-9397-08002B2CF9AE}" pid="25"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26" name="RecordPoint_WorkflowType">
    <vt:lpwstr>ActiveSubmitStub</vt:lpwstr>
  </property>
  <property fmtid="{D5CDD505-2E9C-101B-9397-08002B2CF9AE}" pid="27" name="IT system type">
    <vt:lpwstr/>
  </property>
  <property fmtid="{D5CDD505-2E9C-101B-9397-08002B2CF9AE}" pid="28" name="APRACategory">
    <vt:lpwstr/>
  </property>
  <property fmtid="{D5CDD505-2E9C-101B-9397-08002B2CF9AE}" pid="29" name="APRAPRSG">
    <vt:lpwstr/>
  </property>
  <property fmtid="{D5CDD505-2E9C-101B-9397-08002B2CF9AE}" pid="30" name="APRADocumentType">
    <vt:lpwstr>234;#Explanatory statement|b22f2e2f-3f73-411b-9a7c-34264d26fa25</vt:lpwstr>
  </property>
  <property fmtid="{D5CDD505-2E9C-101B-9397-08002B2CF9AE}" pid="31" name="APRAStatus">
    <vt:lpwstr>19;#Final|84d6b2d0-8498-4d62-bf46-bab38babbe9e</vt:lpwstr>
  </property>
  <property fmtid="{D5CDD505-2E9C-101B-9397-08002B2CF9AE}" pid="32" name="APRAActivity">
    <vt:lpwstr>432;#Prudential standard implementation|88b001fd-622d-45b4-9784-bf6a334327eb;#10;#Registration|390476ce-d76d-4e8d-905f-28e32d2df127;#109;#Statutory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Year">
    <vt:lpwstr/>
  </property>
  <property fmtid="{D5CDD505-2E9C-101B-9397-08002B2CF9AE}" pid="36" name="APRAIndustry">
    <vt:lpwstr/>
  </property>
  <property fmtid="{D5CDD505-2E9C-101B-9397-08002B2CF9AE}" pid="37" name="RecordPoint_ActiveItemUniqueId">
    <vt:lpwstr>{104c57d7-9102-4642-a201-f413608933a9}</vt:lpwstr>
  </property>
  <property fmtid="{D5CDD505-2E9C-101B-9397-08002B2CF9AE}" pid="38" name="RecordPoint_SubmissionCompleted">
    <vt:lpwstr>2017-08-10T21:17:57.7875079+10:00</vt:lpwstr>
  </property>
  <property fmtid="{D5CDD505-2E9C-101B-9397-08002B2CF9AE}" pid="39" name="APRAExternalOrganisation">
    <vt:lpwstr/>
  </property>
  <property fmtid="{D5CDD505-2E9C-101B-9397-08002B2CF9AE}" pid="40" name="APRAIRTR">
    <vt:lpwstr/>
  </property>
  <property fmtid="{D5CDD505-2E9C-101B-9397-08002B2CF9AE}" pid="41" name="APRAPeriod">
    <vt:lpwstr/>
  </property>
  <property fmtid="{D5CDD505-2E9C-101B-9397-08002B2CF9AE}" pid="42" name="_dlc_DocIdItemGuid">
    <vt:lpwstr>104c57d7-9102-4642-a201-f413608933a9</vt:lpwstr>
  </property>
  <property fmtid="{D5CDD505-2E9C-101B-9397-08002B2CF9AE}" pid="43" name="RecordPoint_ActiveItemSiteId">
    <vt:lpwstr>{88691c01-5bbb-4215-adc0-66cb7065b0af}</vt:lpwstr>
  </property>
  <property fmtid="{D5CDD505-2E9C-101B-9397-08002B2CF9AE}" pid="44" name="RecordPoint_ActiveItemListId">
    <vt:lpwstr>{0e59e171-09d8-4401-800a-327154450cb3}</vt:lpwstr>
  </property>
  <property fmtid="{D5CDD505-2E9C-101B-9397-08002B2CF9AE}" pid="45" name="RecordPoint_ActiveItemWebId">
    <vt:lpwstr>{75a71c27-8d66-4282-ae60-1bfc22a83be1}</vt:lpwstr>
  </property>
  <property fmtid="{D5CDD505-2E9C-101B-9397-08002B2CF9AE}" pid="46" name="RecordPoint_RecordNumberSubmitted">
    <vt:lpwstr>R0000163905</vt:lpwstr>
  </property>
  <property fmtid="{D5CDD505-2E9C-101B-9397-08002B2CF9AE}" pid="47" name="_docset_NoMedatataSyncRequired">
    <vt:lpwstr>False</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