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heme="minorHAnsi" w:hAnsi="Times New Roman" w:cstheme="minorBidi"/>
          <w:b w:val="0"/>
          <w:sz w:val="22"/>
          <w:szCs w:val="22"/>
          <w:u w:val="single"/>
        </w:rPr>
        <w:id w:val="962787086"/>
        <w:lock w:val="contentLocked"/>
        <w:placeholder>
          <w:docPart w:val="F8A9DC1DB44449CA84D4B95CD63C50F0"/>
        </w:placeholder>
        <w:group/>
      </w:sdtPr>
      <w:sdtEndPr>
        <w:rPr>
          <w:rFonts w:eastAsiaTheme="minorEastAsia"/>
          <w:szCs w:val="24"/>
          <w:u w:val="none"/>
        </w:rPr>
      </w:sdtEndPr>
      <w:sdtContent>
        <w:p w14:paraId="326784EC" w14:textId="77777777" w:rsidR="007B4E88" w:rsidRDefault="00EE13E3">
          <w:pPr>
            <w:pStyle w:val="Title"/>
            <w:rPr>
              <w:rFonts w:ascii="Times New Roman" w:hAnsi="Times New Roman"/>
              <w:u w:val="single"/>
            </w:rPr>
          </w:pPr>
          <w:r>
            <w:rPr>
              <w:rFonts w:ascii="Times New Roman" w:hAnsi="Times New Roman"/>
              <w:u w:val="single"/>
            </w:rPr>
            <w:t>EXPLANATORY STATEMENT</w:t>
          </w:r>
        </w:p>
        <w:p w14:paraId="48633145" w14:textId="7B503EB4" w:rsidR="007B4E88" w:rsidRDefault="0008621E">
          <w:pPr>
            <w:jc w:val="center"/>
            <w:rPr>
              <w:rFonts w:ascii="Times New Roman" w:hAnsi="Times New Roman" w:cs="Times New Roman"/>
              <w:sz w:val="24"/>
            </w:rPr>
          </w:pPr>
        </w:p>
      </w:sdtContent>
    </w:sdt>
    <w:p w14:paraId="0171B9FD" w14:textId="77777777" w:rsidR="007B4E88" w:rsidRDefault="007B4E88">
      <w:pPr>
        <w:pStyle w:val="Title"/>
        <w:rPr>
          <w:rFonts w:ascii="Times New Roman" w:hAnsi="Times New Roman"/>
          <w:b w:val="0"/>
          <w:sz w:val="20"/>
          <w:szCs w:val="16"/>
          <w:u w:val="single"/>
        </w:rPr>
      </w:pPr>
    </w:p>
    <w:p w14:paraId="02F8BCE3" w14:textId="3856FDA7" w:rsidR="007B4E88" w:rsidRDefault="0008621E">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F8A9DC1DB44449CA84D4B95CD63C50F0"/>
          </w:placeholder>
          <w:group/>
        </w:sdtPr>
        <w:sdtEndPr/>
        <w:sdtContent>
          <w:r w:rsidR="00EE13E3">
            <w:rPr>
              <w:rFonts w:ascii="Times New Roman" w:hAnsi="Times New Roman" w:cs="Times New Roman"/>
              <w:sz w:val="24"/>
              <w:u w:val="single"/>
            </w:rPr>
            <w:t>Issued by Authority of the</w:t>
          </w:r>
        </w:sdtContent>
      </w:sdt>
      <w:r w:rsidR="00EE13E3">
        <w:rPr>
          <w:rFonts w:ascii="Times New Roman" w:hAnsi="Times New Roman" w:cs="Times New Roman"/>
          <w:sz w:val="24"/>
          <w:u w:val="single"/>
        </w:rPr>
        <w:t xml:space="preserve"> </w:t>
      </w:r>
      <w:r w:rsidR="00CB6580">
        <w:rPr>
          <w:rFonts w:ascii="Times New Roman" w:hAnsi="Times New Roman" w:cs="Times New Roman"/>
          <w:sz w:val="24"/>
          <w:u w:val="single"/>
        </w:rPr>
        <w:t>Dep</w:t>
      </w:r>
      <w:r w:rsidR="00E151FD">
        <w:rPr>
          <w:rFonts w:ascii="Times New Roman" w:hAnsi="Times New Roman" w:cs="Times New Roman"/>
          <w:sz w:val="24"/>
          <w:u w:val="single"/>
        </w:rPr>
        <w:t>u</w:t>
      </w:r>
      <w:r w:rsidR="00CB6580">
        <w:rPr>
          <w:rFonts w:ascii="Times New Roman" w:hAnsi="Times New Roman" w:cs="Times New Roman"/>
          <w:sz w:val="24"/>
          <w:u w:val="single"/>
        </w:rPr>
        <w:t xml:space="preserve">ty Prime Minister and </w:t>
      </w:r>
      <w:r w:rsidR="00EE13E3">
        <w:rPr>
          <w:rFonts w:ascii="Times New Roman" w:hAnsi="Times New Roman" w:cs="Times New Roman"/>
          <w:sz w:val="24"/>
          <w:u w:val="single"/>
        </w:rPr>
        <w:t>Minister for Agriculture</w:t>
      </w:r>
      <w:r w:rsidR="00A732C2">
        <w:rPr>
          <w:rFonts w:ascii="Times New Roman" w:hAnsi="Times New Roman" w:cs="Times New Roman"/>
          <w:sz w:val="24"/>
          <w:u w:val="single"/>
        </w:rPr>
        <w:t xml:space="preserve"> and Water Resources</w:t>
      </w:r>
    </w:p>
    <w:p w14:paraId="1B72F6C2" w14:textId="77777777" w:rsidR="007B4E88" w:rsidRDefault="007B4E88">
      <w:pPr>
        <w:jc w:val="center"/>
        <w:rPr>
          <w:rFonts w:ascii="Times New Roman" w:hAnsi="Times New Roman" w:cs="Times New Roman"/>
          <w:sz w:val="24"/>
        </w:rPr>
      </w:pPr>
    </w:p>
    <w:p w14:paraId="4FCBE3B0" w14:textId="77777777" w:rsidR="00A87B4D" w:rsidRDefault="00A87B4D" w:rsidP="00A87B4D">
      <w:pPr>
        <w:jc w:val="center"/>
        <w:rPr>
          <w:rFonts w:ascii="Times New Roman" w:hAnsi="Times New Roman" w:cs="Times New Roman"/>
          <w:i/>
          <w:sz w:val="24"/>
        </w:rPr>
      </w:pPr>
      <w:r w:rsidRPr="003E7A80">
        <w:rPr>
          <w:rFonts w:ascii="Times New Roman" w:hAnsi="Times New Roman" w:cs="Times New Roman"/>
          <w:i/>
          <w:sz w:val="24"/>
        </w:rPr>
        <w:t>Primary Industries (Excise) Levies Act 1999</w:t>
      </w:r>
    </w:p>
    <w:p w14:paraId="5BEAAB4E" w14:textId="77777777" w:rsidR="00A87B4D" w:rsidRDefault="00A87B4D" w:rsidP="00A87B4D">
      <w:pPr>
        <w:jc w:val="center"/>
        <w:rPr>
          <w:rFonts w:ascii="Times New Roman" w:hAnsi="Times New Roman" w:cs="Times New Roman"/>
          <w:i/>
          <w:sz w:val="24"/>
        </w:rPr>
      </w:pPr>
      <w:r w:rsidRPr="003E7A80">
        <w:rPr>
          <w:rFonts w:ascii="Times New Roman" w:hAnsi="Times New Roman" w:cs="Times New Roman"/>
          <w:i/>
          <w:sz w:val="24"/>
        </w:rPr>
        <w:t xml:space="preserve"> </w:t>
      </w:r>
    </w:p>
    <w:p w14:paraId="54BABD68" w14:textId="5D551E3C" w:rsidR="00A87B4D" w:rsidRDefault="00A87B4D" w:rsidP="00A87B4D">
      <w:pPr>
        <w:jc w:val="center"/>
        <w:rPr>
          <w:rFonts w:ascii="Times New Roman" w:hAnsi="Times New Roman" w:cs="Times New Roman"/>
          <w:i/>
          <w:sz w:val="24"/>
        </w:rPr>
      </w:pPr>
      <w:r>
        <w:rPr>
          <w:rFonts w:ascii="Times New Roman" w:hAnsi="Times New Roman" w:cs="Times New Roman"/>
          <w:i/>
          <w:sz w:val="24"/>
        </w:rPr>
        <w:t>Primary Industries (Customs) Charges Act 199</w:t>
      </w:r>
      <w:r w:rsidR="002855E0">
        <w:rPr>
          <w:rFonts w:ascii="Times New Roman" w:hAnsi="Times New Roman" w:cs="Times New Roman"/>
          <w:i/>
          <w:sz w:val="24"/>
        </w:rPr>
        <w:t>9</w:t>
      </w:r>
    </w:p>
    <w:p w14:paraId="0C06FBCF" w14:textId="77777777" w:rsidR="00A87B4D" w:rsidRDefault="00A87B4D" w:rsidP="0020062E">
      <w:pPr>
        <w:jc w:val="center"/>
        <w:rPr>
          <w:rFonts w:ascii="Times New Roman" w:hAnsi="Times New Roman" w:cs="Times New Roman"/>
          <w:i/>
          <w:iCs/>
          <w:sz w:val="24"/>
        </w:rPr>
      </w:pPr>
    </w:p>
    <w:p w14:paraId="3284BA51" w14:textId="26169B8F" w:rsidR="0020062E" w:rsidRPr="0020062E" w:rsidRDefault="0020062E" w:rsidP="0020062E">
      <w:pPr>
        <w:jc w:val="center"/>
        <w:rPr>
          <w:rFonts w:ascii="Times New Roman" w:hAnsi="Times New Roman" w:cs="Times New Roman"/>
          <w:sz w:val="24"/>
        </w:rPr>
      </w:pPr>
      <w:r w:rsidRPr="0020062E">
        <w:rPr>
          <w:rFonts w:ascii="Times New Roman" w:hAnsi="Times New Roman" w:cs="Times New Roman"/>
          <w:i/>
          <w:iCs/>
          <w:sz w:val="24"/>
        </w:rPr>
        <w:t>Primary Industries (Excise) Levies (Designated Bodies) Amendment Declaration 2017</w:t>
      </w:r>
    </w:p>
    <w:p w14:paraId="28EC841A" w14:textId="77777777" w:rsidR="0020062E" w:rsidRPr="0020062E" w:rsidRDefault="0020062E" w:rsidP="0020062E">
      <w:pPr>
        <w:jc w:val="center"/>
        <w:rPr>
          <w:rFonts w:ascii="Times New Roman" w:hAnsi="Times New Roman" w:cs="Times New Roman"/>
          <w:sz w:val="24"/>
        </w:rPr>
      </w:pPr>
    </w:p>
    <w:p w14:paraId="1494A8A6" w14:textId="77777777" w:rsidR="0020062E" w:rsidRPr="0020062E" w:rsidRDefault="0020062E" w:rsidP="0020062E">
      <w:pPr>
        <w:jc w:val="center"/>
        <w:rPr>
          <w:rFonts w:ascii="Times New Roman" w:hAnsi="Times New Roman" w:cs="Times New Roman"/>
          <w:sz w:val="24"/>
        </w:rPr>
      </w:pPr>
      <w:r w:rsidRPr="0020062E">
        <w:rPr>
          <w:rFonts w:ascii="Times New Roman" w:hAnsi="Times New Roman" w:cs="Times New Roman"/>
          <w:i/>
          <w:sz w:val="24"/>
          <w:lang w:val="en-GB"/>
        </w:rPr>
        <w:t>Primary Industry (Customs) Charges (Designated Bodies) Declaration 2017</w:t>
      </w:r>
    </w:p>
    <w:p w14:paraId="7418E199" w14:textId="77777777" w:rsidR="00357BA0" w:rsidRDefault="00357BA0">
      <w:pPr>
        <w:jc w:val="center"/>
        <w:rPr>
          <w:rFonts w:ascii="Times New Roman" w:hAnsi="Times New Roman" w:cs="Times New Roman"/>
          <w:i/>
          <w:sz w:val="24"/>
        </w:rPr>
      </w:pPr>
    </w:p>
    <w:p w14:paraId="4BAD8733" w14:textId="77777777" w:rsidR="007B4E88" w:rsidRDefault="007B4E88">
      <w:pPr>
        <w:rPr>
          <w:rFonts w:ascii="Times New Roman" w:hAnsi="Times New Roman" w:cs="Times New Roman"/>
          <w:sz w:val="24"/>
        </w:rPr>
      </w:pPr>
    </w:p>
    <w:p w14:paraId="3DA1F77E"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14:paraId="3C57EE60" w14:textId="77777777" w:rsidR="0020062E" w:rsidRDefault="0020062E" w:rsidP="0020062E">
      <w:pPr>
        <w:autoSpaceDE w:val="0"/>
        <w:autoSpaceDN w:val="0"/>
        <w:adjustRightInd w:val="0"/>
        <w:rPr>
          <w:rFonts w:ascii="Times New Roman" w:hAnsi="Times New Roman"/>
          <w:sz w:val="24"/>
        </w:rPr>
      </w:pPr>
    </w:p>
    <w:p w14:paraId="08A5E265" w14:textId="7010D8FB" w:rsidR="00A279BD" w:rsidRDefault="00A279BD" w:rsidP="00A279BD">
      <w:pPr>
        <w:autoSpaceDE w:val="0"/>
        <w:autoSpaceDN w:val="0"/>
        <w:adjustRightInd w:val="0"/>
        <w:spacing w:after="200"/>
        <w:rPr>
          <w:rFonts w:ascii="Times New Roman" w:hAnsi="Times New Roman"/>
          <w:sz w:val="24"/>
        </w:rPr>
      </w:pPr>
      <w:r w:rsidRPr="00CE7286">
        <w:rPr>
          <w:rFonts w:ascii="Times New Roman" w:hAnsi="Times New Roman"/>
          <w:sz w:val="24"/>
        </w:rPr>
        <w:t xml:space="preserve">Part 4, clause 13 </w:t>
      </w:r>
      <w:r w:rsidRPr="00C37B5B">
        <w:rPr>
          <w:rFonts w:ascii="Times New Roman" w:hAnsi="Times New Roman"/>
          <w:sz w:val="24"/>
        </w:rPr>
        <w:t xml:space="preserve">of Schedule 27 of the </w:t>
      </w:r>
      <w:r w:rsidRPr="00C37B5B">
        <w:rPr>
          <w:rFonts w:ascii="Times New Roman" w:hAnsi="Times New Roman"/>
          <w:i/>
          <w:iCs/>
          <w:sz w:val="24"/>
        </w:rPr>
        <w:t xml:space="preserve">Primary Industries (Excise) Levies Act 1999 </w:t>
      </w:r>
      <w:r w:rsidRPr="00C37B5B">
        <w:rPr>
          <w:rFonts w:ascii="Times New Roman" w:hAnsi="Times New Roman"/>
          <w:sz w:val="24"/>
        </w:rPr>
        <w:t xml:space="preserve">and Part 4, clause 12 of Schedule 14 to the </w:t>
      </w:r>
      <w:r w:rsidRPr="00C37B5B">
        <w:rPr>
          <w:rFonts w:ascii="Times New Roman" w:hAnsi="Times New Roman"/>
          <w:i/>
          <w:iCs/>
          <w:sz w:val="24"/>
        </w:rPr>
        <w:t>Primary Industries (Customs) Charges Act 1999</w:t>
      </w:r>
      <w:r w:rsidRPr="00C37B5B">
        <w:rPr>
          <w:rFonts w:ascii="Times New Roman" w:hAnsi="Times New Roman"/>
          <w:sz w:val="24"/>
        </w:rPr>
        <w:t xml:space="preserve"> </w:t>
      </w:r>
      <w:r>
        <w:rPr>
          <w:rFonts w:ascii="Times New Roman" w:hAnsi="Times New Roman"/>
          <w:sz w:val="24"/>
        </w:rPr>
        <w:t>provide</w:t>
      </w:r>
      <w:r w:rsidRPr="00C37B5B">
        <w:rPr>
          <w:rFonts w:ascii="Times New Roman" w:hAnsi="Times New Roman"/>
          <w:sz w:val="24"/>
        </w:rPr>
        <w:t xml:space="preserve"> that the Minister may, by writing, declare that a specified body is a designated body</w:t>
      </w:r>
      <w:r w:rsidRPr="00CE7286">
        <w:rPr>
          <w:rFonts w:ascii="Times New Roman" w:hAnsi="Times New Roman"/>
          <w:sz w:val="24"/>
        </w:rPr>
        <w:t xml:space="preserve"> in relation to one or more specified products.</w:t>
      </w:r>
      <w:r w:rsidR="00E463B6">
        <w:rPr>
          <w:rFonts w:ascii="Times New Roman" w:hAnsi="Times New Roman"/>
          <w:sz w:val="24"/>
        </w:rPr>
        <w:t xml:space="preserve"> </w:t>
      </w:r>
    </w:p>
    <w:p w14:paraId="73A54EF7" w14:textId="2015C1C3" w:rsidR="00A279BD" w:rsidRPr="00E463B6" w:rsidRDefault="00A279BD" w:rsidP="00A279BD">
      <w:pPr>
        <w:pStyle w:val="definition"/>
        <w:spacing w:before="0" w:beforeAutospacing="0" w:after="0" w:afterAutospacing="0"/>
      </w:pPr>
      <w:r w:rsidRPr="00CE7286">
        <w:t xml:space="preserve">Section 3 of the </w:t>
      </w:r>
      <w:r w:rsidRPr="00CE7286">
        <w:rPr>
          <w:i/>
        </w:rPr>
        <w:t>Plant Health Australia (Plant Industries) Funding Act 2002</w:t>
      </w:r>
      <w:r w:rsidRPr="00CE7286">
        <w:t xml:space="preserve"> </w:t>
      </w:r>
      <w:r>
        <w:t>(</w:t>
      </w:r>
      <w:r w:rsidRPr="0027434C">
        <w:t>PHA</w:t>
      </w:r>
      <w:r>
        <w:t> </w:t>
      </w:r>
      <w:r w:rsidRPr="0027434C">
        <w:t>Funding Act</w:t>
      </w:r>
      <w:r>
        <w:t xml:space="preserve">) </w:t>
      </w:r>
      <w:r w:rsidRPr="00CE7286">
        <w:t xml:space="preserve">defines, for the purposes of that Act, a </w:t>
      </w:r>
      <w:r w:rsidRPr="00CE7286">
        <w:rPr>
          <w:i/>
        </w:rPr>
        <w:t>relevant Plant Industry Member</w:t>
      </w:r>
      <w:r w:rsidRPr="00CE7286">
        <w:t xml:space="preserve"> for a plant product as the Plant Industry Member that the Minister declares is the designated body for the plant product under:</w:t>
      </w:r>
    </w:p>
    <w:p w14:paraId="27D35909" w14:textId="77777777" w:rsidR="00A279BD" w:rsidRPr="00C37B5B" w:rsidRDefault="00A279BD" w:rsidP="00A279BD">
      <w:pPr>
        <w:pStyle w:val="definition"/>
        <w:spacing w:before="0" w:beforeAutospacing="0" w:after="0" w:afterAutospacing="0"/>
        <w:ind w:left="720"/>
        <w:rPr>
          <w:lang w:val="en-US"/>
        </w:rPr>
      </w:pPr>
      <w:r w:rsidRPr="00C37B5B">
        <w:t xml:space="preserve">(a)  clause 13 of Schedule 27 to the </w:t>
      </w:r>
      <w:r w:rsidRPr="00C37B5B">
        <w:rPr>
          <w:i/>
          <w:iCs/>
        </w:rPr>
        <w:t>Primary Industries (Excise) Levies Act 1999</w:t>
      </w:r>
      <w:r w:rsidRPr="00C37B5B">
        <w:t>; or</w:t>
      </w:r>
    </w:p>
    <w:p w14:paraId="720B791F" w14:textId="77777777" w:rsidR="00A279BD" w:rsidRPr="00C37B5B" w:rsidRDefault="00A279BD" w:rsidP="00A279BD">
      <w:pPr>
        <w:pStyle w:val="definition"/>
        <w:spacing w:before="0" w:beforeAutospacing="0" w:after="0" w:afterAutospacing="0"/>
        <w:ind w:left="720"/>
        <w:rPr>
          <w:lang w:val="en-US"/>
        </w:rPr>
      </w:pPr>
      <w:r w:rsidRPr="00C37B5B">
        <w:t xml:space="preserve">(b)  clause 12 of Schedule 14 to the </w:t>
      </w:r>
      <w:r w:rsidRPr="00C37B5B">
        <w:rPr>
          <w:i/>
          <w:iCs/>
        </w:rPr>
        <w:t>Primary Industries (Customs) Charges Act 1999</w:t>
      </w:r>
      <w:r w:rsidRPr="00C37B5B">
        <w:t>.</w:t>
      </w:r>
    </w:p>
    <w:p w14:paraId="5FDE6318" w14:textId="77777777" w:rsidR="00CB6580" w:rsidRDefault="00CB6580">
      <w:pPr>
        <w:tabs>
          <w:tab w:val="left" w:pos="1701"/>
          <w:tab w:val="right" w:pos="9072"/>
        </w:tabs>
      </w:pPr>
    </w:p>
    <w:p w14:paraId="604B1A49" w14:textId="207266CC"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14:paraId="3FE6438A" w14:textId="77777777" w:rsidR="00A279BD" w:rsidRDefault="00A279BD" w:rsidP="00A279BD">
      <w:pPr>
        <w:tabs>
          <w:tab w:val="right" w:pos="9072"/>
        </w:tabs>
        <w:rPr>
          <w:rFonts w:ascii="Times New Roman" w:eastAsia="Calibri" w:hAnsi="Times New Roman" w:cs="Times New Roman"/>
          <w:sz w:val="24"/>
        </w:rPr>
      </w:pPr>
    </w:p>
    <w:p w14:paraId="7FB9E21E" w14:textId="5161110A" w:rsidR="00A279BD" w:rsidRDefault="00A279BD" w:rsidP="00A279BD">
      <w:pPr>
        <w:tabs>
          <w:tab w:val="right" w:pos="9072"/>
        </w:tabs>
        <w:rPr>
          <w:rFonts w:ascii="Times New Roman" w:hAnsi="Times New Roman" w:cs="Times New Roman"/>
          <w:iCs/>
          <w:sz w:val="24"/>
        </w:rPr>
      </w:pPr>
      <w:r w:rsidRPr="00234783">
        <w:rPr>
          <w:rFonts w:ascii="Times New Roman" w:eastAsia="Calibri" w:hAnsi="Times New Roman" w:cs="Times New Roman"/>
          <w:sz w:val="24"/>
        </w:rPr>
        <w:lastRenderedPageBreak/>
        <w:t xml:space="preserve">The purpose of the </w:t>
      </w:r>
      <w:r w:rsidRPr="00234783">
        <w:rPr>
          <w:rFonts w:ascii="Times New Roman" w:hAnsi="Times New Roman" w:cs="Times New Roman"/>
          <w:i/>
          <w:iCs/>
          <w:sz w:val="24"/>
        </w:rPr>
        <w:t xml:space="preserve">Primary Industries (Excise) Levies (Designated Bodies) </w:t>
      </w:r>
      <w:r w:rsidR="00FF3C89">
        <w:rPr>
          <w:rFonts w:ascii="Times New Roman" w:hAnsi="Times New Roman" w:cs="Times New Roman"/>
          <w:i/>
          <w:iCs/>
          <w:sz w:val="24"/>
        </w:rPr>
        <w:t xml:space="preserve">Amendment </w:t>
      </w:r>
      <w:r w:rsidRPr="00234783">
        <w:rPr>
          <w:rFonts w:ascii="Times New Roman" w:hAnsi="Times New Roman" w:cs="Times New Roman"/>
          <w:i/>
          <w:iCs/>
          <w:sz w:val="24"/>
        </w:rPr>
        <w:t xml:space="preserve">Declaration </w:t>
      </w:r>
      <w:r w:rsidR="00FF3C89">
        <w:rPr>
          <w:rFonts w:ascii="Times New Roman" w:hAnsi="Times New Roman" w:cs="Times New Roman"/>
          <w:i/>
          <w:iCs/>
          <w:sz w:val="24"/>
        </w:rPr>
        <w:t>2017</w:t>
      </w:r>
      <w:r w:rsidR="00FF3C89">
        <w:rPr>
          <w:rFonts w:ascii="Times New Roman" w:hAnsi="Times New Roman" w:cs="Times New Roman"/>
          <w:sz w:val="24"/>
        </w:rPr>
        <w:t xml:space="preserve"> </w:t>
      </w:r>
      <w:r w:rsidRPr="00234783">
        <w:rPr>
          <w:rFonts w:ascii="Times New Roman" w:hAnsi="Times New Roman" w:cs="Times New Roman"/>
          <w:sz w:val="24"/>
        </w:rPr>
        <w:t xml:space="preserve">is to </w:t>
      </w:r>
      <w:r w:rsidR="002855E0">
        <w:rPr>
          <w:rFonts w:ascii="Times New Roman" w:hAnsi="Times New Roman" w:cs="Times New Roman"/>
          <w:sz w:val="24"/>
        </w:rPr>
        <w:t xml:space="preserve">revoke the </w:t>
      </w:r>
      <w:r w:rsidR="002855E0">
        <w:rPr>
          <w:rFonts w:ascii="Times New Roman" w:hAnsi="Times New Roman" w:cs="Times New Roman"/>
          <w:i/>
          <w:sz w:val="24"/>
        </w:rPr>
        <w:t xml:space="preserve">Primary Industries (Excise) Levies (Designated Bodies) Declaration </w:t>
      </w:r>
      <w:r w:rsidR="002855E0" w:rsidRPr="00B934DC">
        <w:rPr>
          <w:rFonts w:ascii="Times New Roman" w:hAnsi="Times New Roman" w:cs="Times New Roman"/>
          <w:i/>
          <w:sz w:val="24"/>
        </w:rPr>
        <w:t>2013</w:t>
      </w:r>
      <w:r w:rsidR="002855E0">
        <w:rPr>
          <w:rFonts w:ascii="Times New Roman" w:hAnsi="Times New Roman" w:cs="Times New Roman"/>
          <w:i/>
          <w:sz w:val="24"/>
        </w:rPr>
        <w:t xml:space="preserve"> </w:t>
      </w:r>
      <w:r w:rsidR="002855E0">
        <w:rPr>
          <w:rFonts w:ascii="Times New Roman" w:hAnsi="Times New Roman" w:cs="Times New Roman"/>
          <w:sz w:val="24"/>
        </w:rPr>
        <w:t xml:space="preserve">and </w:t>
      </w:r>
      <w:r w:rsidRPr="00234783">
        <w:rPr>
          <w:rFonts w:ascii="Times New Roman" w:hAnsi="Times New Roman" w:cs="Times New Roman"/>
          <w:sz w:val="24"/>
        </w:rPr>
        <w:t xml:space="preserve">declare </w:t>
      </w:r>
      <w:r w:rsidR="002855E0">
        <w:rPr>
          <w:rFonts w:ascii="Times New Roman" w:hAnsi="Times New Roman" w:cs="Times New Roman"/>
          <w:sz w:val="24"/>
        </w:rPr>
        <w:t>27</w:t>
      </w:r>
      <w:r w:rsidRPr="00234783">
        <w:rPr>
          <w:rFonts w:ascii="Times New Roman" w:hAnsi="Times New Roman" w:cs="Times New Roman"/>
          <w:sz w:val="24"/>
        </w:rPr>
        <w:t xml:space="preserve"> Plant Health Australia </w:t>
      </w:r>
      <w:r w:rsidR="00A87B4D">
        <w:rPr>
          <w:rFonts w:ascii="Times New Roman" w:hAnsi="Times New Roman" w:cs="Times New Roman"/>
          <w:sz w:val="24"/>
        </w:rPr>
        <w:t>(PHA) I</w:t>
      </w:r>
      <w:r w:rsidRPr="00234783">
        <w:rPr>
          <w:rFonts w:ascii="Times New Roman" w:hAnsi="Times New Roman" w:cs="Times New Roman"/>
          <w:sz w:val="24"/>
        </w:rPr>
        <w:t xml:space="preserve">ndustry member organisations </w:t>
      </w:r>
      <w:r w:rsidR="001C736A">
        <w:rPr>
          <w:rFonts w:ascii="Times New Roman" w:hAnsi="Times New Roman" w:cs="Times New Roman"/>
          <w:sz w:val="24"/>
        </w:rPr>
        <w:t>as</w:t>
      </w:r>
      <w:r w:rsidRPr="00234783">
        <w:rPr>
          <w:rFonts w:ascii="Times New Roman" w:hAnsi="Times New Roman" w:cs="Times New Roman"/>
          <w:sz w:val="24"/>
        </w:rPr>
        <w:t xml:space="preserve"> ‘designated bodies’ under clause 13 of Schedule 27 to the </w:t>
      </w:r>
      <w:r w:rsidRPr="00234783">
        <w:rPr>
          <w:rFonts w:ascii="Times New Roman" w:hAnsi="Times New Roman" w:cs="Times New Roman"/>
          <w:i/>
          <w:iCs/>
          <w:sz w:val="24"/>
        </w:rPr>
        <w:t>Primary Industries (Excise) Levies Act 1999</w:t>
      </w:r>
      <w:r w:rsidRPr="00234783">
        <w:rPr>
          <w:rFonts w:ascii="Times New Roman" w:hAnsi="Times New Roman" w:cs="Times New Roman"/>
          <w:iCs/>
          <w:sz w:val="24"/>
        </w:rPr>
        <w:t xml:space="preserve"> (Excise Levies Act). </w:t>
      </w:r>
    </w:p>
    <w:p w14:paraId="28B6D2CA" w14:textId="4D770DC2" w:rsidR="00A279BD" w:rsidRDefault="00A279BD" w:rsidP="00D17E7B">
      <w:pPr>
        <w:tabs>
          <w:tab w:val="left" w:pos="8120"/>
        </w:tabs>
        <w:rPr>
          <w:rFonts w:ascii="Times New Roman" w:hAnsi="Times New Roman" w:cs="Times New Roman"/>
          <w:iCs/>
          <w:sz w:val="24"/>
        </w:rPr>
      </w:pPr>
    </w:p>
    <w:p w14:paraId="1EE8A50D" w14:textId="4FC450D1" w:rsidR="00A279BD" w:rsidRPr="00234783" w:rsidRDefault="00A279BD" w:rsidP="00A279BD">
      <w:pPr>
        <w:rPr>
          <w:rFonts w:ascii="Times New Roman" w:hAnsi="Times New Roman"/>
          <w:i/>
          <w:sz w:val="24"/>
          <w:lang w:val="en-GB"/>
        </w:rPr>
      </w:pPr>
      <w:r w:rsidRPr="00234783">
        <w:rPr>
          <w:rFonts w:ascii="Times New Roman" w:eastAsia="Calibri" w:hAnsi="Times New Roman" w:cs="Times New Roman"/>
          <w:sz w:val="24"/>
        </w:rPr>
        <w:t>The purpose of the</w:t>
      </w:r>
      <w:r>
        <w:rPr>
          <w:rFonts w:ascii="Times New Roman" w:eastAsia="Calibri" w:hAnsi="Times New Roman" w:cs="Times New Roman"/>
          <w:sz w:val="24"/>
        </w:rPr>
        <w:t xml:space="preserve"> new</w:t>
      </w:r>
      <w:r w:rsidRPr="00234783">
        <w:rPr>
          <w:rFonts w:ascii="Times New Roman" w:eastAsia="Calibri" w:hAnsi="Times New Roman" w:cs="Times New Roman"/>
          <w:sz w:val="24"/>
        </w:rPr>
        <w:t xml:space="preserve"> </w:t>
      </w:r>
      <w:r w:rsidRPr="00885EED">
        <w:rPr>
          <w:rFonts w:ascii="Times New Roman" w:hAnsi="Times New Roman"/>
          <w:i/>
          <w:sz w:val="24"/>
          <w:lang w:val="en-GB"/>
        </w:rPr>
        <w:t>Primary Industry (Customs) Charges (Designated Bodies) Declaration 2017</w:t>
      </w:r>
      <w:r>
        <w:rPr>
          <w:rFonts w:ascii="Times New Roman" w:hAnsi="Times New Roman"/>
          <w:i/>
          <w:sz w:val="24"/>
          <w:lang w:val="en-GB"/>
        </w:rPr>
        <w:t xml:space="preserve"> </w:t>
      </w:r>
      <w:r w:rsidRPr="00234783">
        <w:rPr>
          <w:rFonts w:ascii="Times New Roman" w:hAnsi="Times New Roman" w:cs="Times New Roman"/>
          <w:sz w:val="24"/>
        </w:rPr>
        <w:t xml:space="preserve">is to declare </w:t>
      </w:r>
      <w:r w:rsidR="002855E0">
        <w:rPr>
          <w:rFonts w:ascii="Times New Roman" w:hAnsi="Times New Roman" w:cs="Times New Roman"/>
          <w:sz w:val="24"/>
        </w:rPr>
        <w:t>18</w:t>
      </w:r>
      <w:r w:rsidR="002855E0" w:rsidRPr="00234783">
        <w:rPr>
          <w:rFonts w:ascii="Times New Roman" w:hAnsi="Times New Roman" w:cs="Times New Roman"/>
          <w:sz w:val="24"/>
        </w:rPr>
        <w:t> </w:t>
      </w:r>
      <w:r w:rsidR="00A87B4D">
        <w:rPr>
          <w:rFonts w:ascii="Times New Roman" w:hAnsi="Times New Roman" w:cs="Times New Roman"/>
          <w:sz w:val="24"/>
        </w:rPr>
        <w:t>PHA</w:t>
      </w:r>
      <w:r w:rsidRPr="00234783">
        <w:rPr>
          <w:rFonts w:ascii="Times New Roman" w:hAnsi="Times New Roman" w:cs="Times New Roman"/>
          <w:sz w:val="24"/>
        </w:rPr>
        <w:t xml:space="preserve"> industry member organisations </w:t>
      </w:r>
      <w:r w:rsidR="001C736A">
        <w:rPr>
          <w:rFonts w:ascii="Times New Roman" w:hAnsi="Times New Roman" w:cs="Times New Roman"/>
          <w:sz w:val="24"/>
        </w:rPr>
        <w:t xml:space="preserve">as </w:t>
      </w:r>
      <w:r w:rsidRPr="00234783">
        <w:rPr>
          <w:rFonts w:ascii="Times New Roman" w:hAnsi="Times New Roman" w:cs="Times New Roman"/>
          <w:sz w:val="24"/>
        </w:rPr>
        <w:t xml:space="preserve">‘designated bodies’ under </w:t>
      </w:r>
      <w:r>
        <w:rPr>
          <w:rFonts w:ascii="Times New Roman" w:hAnsi="Times New Roman" w:cs="Times New Roman"/>
          <w:sz w:val="24"/>
        </w:rPr>
        <w:t>clause 12 of Schedule 14</w:t>
      </w:r>
      <w:r w:rsidRPr="00234783">
        <w:rPr>
          <w:rFonts w:ascii="Times New Roman" w:hAnsi="Times New Roman" w:cs="Times New Roman"/>
          <w:sz w:val="24"/>
        </w:rPr>
        <w:t xml:space="preserve"> to the </w:t>
      </w:r>
      <w:r w:rsidRPr="00234783">
        <w:rPr>
          <w:rFonts w:ascii="Times New Roman" w:hAnsi="Times New Roman" w:cs="Times New Roman"/>
          <w:i/>
          <w:iCs/>
          <w:sz w:val="24"/>
        </w:rPr>
        <w:t xml:space="preserve">Primary Industries </w:t>
      </w:r>
      <w:r w:rsidR="001C736A">
        <w:rPr>
          <w:rFonts w:ascii="Times New Roman" w:hAnsi="Times New Roman"/>
          <w:i/>
          <w:iCs/>
          <w:sz w:val="24"/>
        </w:rPr>
        <w:t>(Customs) Charges Act </w:t>
      </w:r>
      <w:r w:rsidRPr="00C37B5B">
        <w:rPr>
          <w:rFonts w:ascii="Times New Roman" w:hAnsi="Times New Roman"/>
          <w:i/>
          <w:iCs/>
          <w:sz w:val="24"/>
        </w:rPr>
        <w:t>1999</w:t>
      </w:r>
      <w:r w:rsidR="0029731E">
        <w:rPr>
          <w:rFonts w:ascii="Times New Roman" w:hAnsi="Times New Roman"/>
          <w:i/>
          <w:iCs/>
          <w:sz w:val="24"/>
        </w:rPr>
        <w:t xml:space="preserve"> </w:t>
      </w:r>
      <w:r w:rsidR="0029731E" w:rsidRPr="0029731E">
        <w:rPr>
          <w:rFonts w:ascii="Times New Roman" w:hAnsi="Times New Roman"/>
          <w:iCs/>
          <w:sz w:val="24"/>
        </w:rPr>
        <w:t>(</w:t>
      </w:r>
      <w:r w:rsidR="0029731E">
        <w:rPr>
          <w:rFonts w:ascii="Times New Roman" w:hAnsi="Times New Roman"/>
          <w:iCs/>
          <w:sz w:val="24"/>
        </w:rPr>
        <w:t xml:space="preserve">Custom </w:t>
      </w:r>
      <w:r w:rsidR="0029731E" w:rsidRPr="0029731E">
        <w:rPr>
          <w:rFonts w:ascii="Times New Roman" w:hAnsi="Times New Roman"/>
          <w:iCs/>
          <w:sz w:val="24"/>
        </w:rPr>
        <w:t>Charges Act)</w:t>
      </w:r>
      <w:r w:rsidRPr="0029731E">
        <w:rPr>
          <w:rFonts w:ascii="Times New Roman" w:hAnsi="Times New Roman"/>
          <w:iCs/>
          <w:sz w:val="24"/>
        </w:rPr>
        <w:t>.</w:t>
      </w:r>
      <w:r w:rsidRPr="00234783">
        <w:rPr>
          <w:rFonts w:ascii="Times New Roman" w:hAnsi="Times New Roman" w:cs="Times New Roman"/>
          <w:iCs/>
          <w:sz w:val="24"/>
        </w:rPr>
        <w:t xml:space="preserve"> </w:t>
      </w:r>
    </w:p>
    <w:p w14:paraId="08C146FC" w14:textId="77777777" w:rsidR="00A279BD" w:rsidRDefault="00A279BD" w:rsidP="00A279BD">
      <w:pPr>
        <w:tabs>
          <w:tab w:val="right" w:pos="9072"/>
        </w:tabs>
        <w:rPr>
          <w:rFonts w:ascii="Times New Roman" w:hAnsi="Times New Roman" w:cs="Times New Roman"/>
          <w:iCs/>
          <w:sz w:val="24"/>
        </w:rPr>
      </w:pPr>
    </w:p>
    <w:p w14:paraId="5FE292A6"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14:paraId="722CCB0C" w14:textId="77777777" w:rsidR="007B4E88" w:rsidRDefault="007B4E88">
      <w:pPr>
        <w:tabs>
          <w:tab w:val="right" w:pos="9072"/>
        </w:tabs>
        <w:rPr>
          <w:rFonts w:ascii="Times New Roman" w:hAnsi="Times New Roman" w:cs="Times New Roman"/>
          <w:sz w:val="24"/>
        </w:rPr>
      </w:pPr>
    </w:p>
    <w:p w14:paraId="7C035239" w14:textId="07CCFB16" w:rsidR="00A279BD" w:rsidRDefault="00A279BD" w:rsidP="002F690D">
      <w:pPr>
        <w:tabs>
          <w:tab w:val="right" w:pos="9072"/>
        </w:tabs>
        <w:rPr>
          <w:rFonts w:ascii="Times New Roman" w:hAnsi="Times New Roman"/>
          <w:sz w:val="24"/>
        </w:rPr>
      </w:pPr>
      <w:r w:rsidRPr="00CE7286">
        <w:rPr>
          <w:rFonts w:ascii="Times New Roman" w:hAnsi="Times New Roman"/>
          <w:sz w:val="24"/>
        </w:rPr>
        <w:t xml:space="preserve">The </w:t>
      </w:r>
      <w:r w:rsidRPr="00CE7286">
        <w:rPr>
          <w:rFonts w:ascii="Times New Roman" w:hAnsi="Times New Roman"/>
          <w:i/>
          <w:sz w:val="24"/>
        </w:rPr>
        <w:t>Primary Industries (Excise) Levies (Designated Bodies) Declaration 2013</w:t>
      </w:r>
      <w:r w:rsidR="005277E5">
        <w:rPr>
          <w:rFonts w:ascii="Times New Roman" w:hAnsi="Times New Roman"/>
          <w:i/>
          <w:sz w:val="24"/>
        </w:rPr>
        <w:t xml:space="preserve"> </w:t>
      </w:r>
      <w:r w:rsidR="005277E5" w:rsidRPr="005277E5">
        <w:rPr>
          <w:rFonts w:ascii="Times New Roman" w:hAnsi="Times New Roman"/>
          <w:sz w:val="24"/>
        </w:rPr>
        <w:t xml:space="preserve">(Excise </w:t>
      </w:r>
      <w:r w:rsidR="00A56020">
        <w:rPr>
          <w:rFonts w:ascii="Times New Roman" w:hAnsi="Times New Roman"/>
          <w:sz w:val="24"/>
        </w:rPr>
        <w:t>Declaration</w:t>
      </w:r>
      <w:r w:rsidR="005277E5" w:rsidRPr="005277E5">
        <w:rPr>
          <w:rFonts w:ascii="Times New Roman" w:hAnsi="Times New Roman"/>
          <w:sz w:val="24"/>
        </w:rPr>
        <w:t>)</w:t>
      </w:r>
      <w:r w:rsidRPr="005277E5">
        <w:rPr>
          <w:rFonts w:ascii="Times New Roman" w:hAnsi="Times New Roman"/>
          <w:sz w:val="24"/>
        </w:rPr>
        <w:t xml:space="preserve"> </w:t>
      </w:r>
      <w:r w:rsidRPr="00CE7286">
        <w:rPr>
          <w:rFonts w:ascii="Times New Roman" w:hAnsi="Times New Roman"/>
          <w:sz w:val="24"/>
        </w:rPr>
        <w:t>declares</w:t>
      </w:r>
      <w:r w:rsidR="00A87B4D">
        <w:rPr>
          <w:rFonts w:ascii="Times New Roman" w:hAnsi="Times New Roman"/>
          <w:sz w:val="24"/>
        </w:rPr>
        <w:t xml:space="preserve"> only</w:t>
      </w:r>
      <w:r w:rsidRPr="00CE7286">
        <w:rPr>
          <w:rFonts w:ascii="Times New Roman" w:hAnsi="Times New Roman"/>
          <w:sz w:val="24"/>
        </w:rPr>
        <w:t xml:space="preserve"> three industry representative organisations to be designated bodies: Grain Producers Australia Ltd in relation to specified grain products, AUSVEG Ltd in relation to vegetables, </w:t>
      </w:r>
      <w:r w:rsidRPr="001C736A">
        <w:rPr>
          <w:rFonts w:ascii="Times New Roman" w:eastAsia="Calibri" w:hAnsi="Times New Roman" w:cs="Times New Roman"/>
          <w:sz w:val="24"/>
        </w:rPr>
        <w:t>potatoes</w:t>
      </w:r>
      <w:r w:rsidRPr="00CE7286">
        <w:rPr>
          <w:rFonts w:ascii="Times New Roman" w:hAnsi="Times New Roman"/>
          <w:sz w:val="24"/>
        </w:rPr>
        <w:t xml:space="preserve"> and processing potatoes</w:t>
      </w:r>
      <w:r>
        <w:rPr>
          <w:rFonts w:ascii="Times New Roman" w:hAnsi="Times New Roman"/>
          <w:sz w:val="24"/>
        </w:rPr>
        <w:t>,</w:t>
      </w:r>
      <w:r w:rsidRPr="00CE7286">
        <w:rPr>
          <w:rFonts w:ascii="Times New Roman" w:hAnsi="Times New Roman"/>
          <w:sz w:val="24"/>
        </w:rPr>
        <w:t xml:space="preserve"> and Wine Grape Growers Australia Inc in relation to two grape products.</w:t>
      </w:r>
    </w:p>
    <w:p w14:paraId="1753CCC1" w14:textId="77777777" w:rsidR="001C736A" w:rsidRDefault="001C736A" w:rsidP="001C736A">
      <w:pPr>
        <w:tabs>
          <w:tab w:val="right" w:pos="9072"/>
        </w:tabs>
        <w:rPr>
          <w:rFonts w:ascii="Times New Roman" w:hAnsi="Times New Roman"/>
          <w:sz w:val="24"/>
        </w:rPr>
      </w:pPr>
    </w:p>
    <w:p w14:paraId="26765A75" w14:textId="48ED1E53" w:rsidR="00A279BD" w:rsidRPr="005F1F28" w:rsidRDefault="001C736A" w:rsidP="002F690D">
      <w:pPr>
        <w:tabs>
          <w:tab w:val="right" w:pos="9072"/>
        </w:tabs>
        <w:rPr>
          <w:rFonts w:ascii="Times New Roman" w:hAnsi="Times New Roman"/>
          <w:sz w:val="24"/>
        </w:rPr>
      </w:pPr>
      <w:r>
        <w:rPr>
          <w:rFonts w:ascii="Times New Roman" w:hAnsi="Times New Roman"/>
          <w:sz w:val="24"/>
        </w:rPr>
        <w:t>There are</w:t>
      </w:r>
      <w:r w:rsidR="00A279BD">
        <w:rPr>
          <w:rFonts w:ascii="Times New Roman" w:hAnsi="Times New Roman"/>
          <w:sz w:val="24"/>
        </w:rPr>
        <w:t xml:space="preserve"> currently no </w:t>
      </w:r>
      <w:r w:rsidR="00E463B6">
        <w:rPr>
          <w:rFonts w:ascii="Times New Roman" w:hAnsi="Times New Roman"/>
          <w:sz w:val="24"/>
        </w:rPr>
        <w:t xml:space="preserve">designated bodies </w:t>
      </w:r>
      <w:r>
        <w:rPr>
          <w:rFonts w:ascii="Times New Roman" w:hAnsi="Times New Roman"/>
          <w:sz w:val="24"/>
        </w:rPr>
        <w:t xml:space="preserve">declared </w:t>
      </w:r>
      <w:r w:rsidR="00A279BD">
        <w:rPr>
          <w:rFonts w:ascii="Times New Roman" w:hAnsi="Times New Roman"/>
          <w:sz w:val="24"/>
        </w:rPr>
        <w:t xml:space="preserve">under the </w:t>
      </w:r>
      <w:r w:rsidR="00A279BD" w:rsidRPr="00C37B5B">
        <w:rPr>
          <w:rFonts w:ascii="Times New Roman" w:hAnsi="Times New Roman"/>
          <w:sz w:val="24"/>
        </w:rPr>
        <w:t>Customs Charges Act</w:t>
      </w:r>
      <w:r w:rsidR="00A279BD">
        <w:rPr>
          <w:rFonts w:ascii="Times New Roman" w:hAnsi="Times New Roman"/>
          <w:sz w:val="24"/>
        </w:rPr>
        <w:t xml:space="preserve">. </w:t>
      </w:r>
    </w:p>
    <w:p w14:paraId="2578F6D3" w14:textId="5BA25348" w:rsidR="00A279BD" w:rsidRDefault="00A279BD" w:rsidP="002F690D">
      <w:pPr>
        <w:tabs>
          <w:tab w:val="right" w:pos="9072"/>
        </w:tabs>
        <w:rPr>
          <w:rFonts w:ascii="Times New Roman" w:hAnsi="Times New Roman" w:cs="Times New Roman"/>
          <w:sz w:val="24"/>
        </w:rPr>
      </w:pPr>
      <w:r w:rsidRPr="0059339B">
        <w:rPr>
          <w:rFonts w:ascii="Times New Roman" w:hAnsi="Times New Roman" w:cs="Times New Roman"/>
          <w:sz w:val="24"/>
        </w:rPr>
        <w:t xml:space="preserve">Levy disbursement payments by the Commonwealth to </w:t>
      </w:r>
      <w:r w:rsidR="00A87B4D">
        <w:rPr>
          <w:rFonts w:ascii="Times New Roman" w:hAnsi="Times New Roman" w:cs="Times New Roman"/>
          <w:sz w:val="24"/>
        </w:rPr>
        <w:t>PHA</w:t>
      </w:r>
      <w:r w:rsidRPr="0059339B">
        <w:rPr>
          <w:rFonts w:ascii="Times New Roman" w:hAnsi="Times New Roman" w:cs="Times New Roman"/>
          <w:sz w:val="24"/>
        </w:rPr>
        <w:t xml:space="preserve"> </w:t>
      </w:r>
      <w:r w:rsidR="0094674B">
        <w:rPr>
          <w:rFonts w:ascii="Times New Roman" w:hAnsi="Times New Roman" w:cs="Times New Roman"/>
          <w:sz w:val="24"/>
        </w:rPr>
        <w:t xml:space="preserve">must be </w:t>
      </w:r>
      <w:r w:rsidRPr="0059339B">
        <w:rPr>
          <w:rFonts w:ascii="Times New Roman" w:hAnsi="Times New Roman" w:cs="Times New Roman"/>
          <w:sz w:val="24"/>
        </w:rPr>
        <w:t xml:space="preserve">made in </w:t>
      </w:r>
      <w:r w:rsidR="0059339B">
        <w:rPr>
          <w:rFonts w:ascii="Times New Roman" w:hAnsi="Times New Roman" w:cs="Times New Roman"/>
          <w:sz w:val="24"/>
        </w:rPr>
        <w:t xml:space="preserve">accordance with </w:t>
      </w:r>
      <w:r w:rsidRPr="001C736A">
        <w:rPr>
          <w:rFonts w:ascii="Times New Roman" w:eastAsia="Calibri" w:hAnsi="Times New Roman" w:cs="Times New Roman"/>
          <w:sz w:val="24"/>
        </w:rPr>
        <w:t>section</w:t>
      </w:r>
      <w:r w:rsidRPr="0059339B">
        <w:rPr>
          <w:rFonts w:ascii="Times New Roman" w:hAnsi="Times New Roman" w:cs="Times New Roman"/>
          <w:sz w:val="24"/>
        </w:rPr>
        <w:t xml:space="preserve"> 4 of the </w:t>
      </w:r>
      <w:r w:rsidRPr="0059339B">
        <w:rPr>
          <w:rFonts w:ascii="Times New Roman" w:hAnsi="Times New Roman" w:cs="Times New Roman"/>
          <w:i/>
          <w:sz w:val="24"/>
        </w:rPr>
        <w:t>Plant Health Australia (Plant Industries) Funding Act 2002</w:t>
      </w:r>
      <w:r w:rsidR="00310C8B">
        <w:rPr>
          <w:rFonts w:ascii="Times New Roman" w:hAnsi="Times New Roman" w:cs="Times New Roman"/>
          <w:i/>
          <w:sz w:val="24"/>
        </w:rPr>
        <w:t xml:space="preserve"> </w:t>
      </w:r>
      <w:r w:rsidR="00310C8B" w:rsidRPr="00310C8B">
        <w:rPr>
          <w:rFonts w:ascii="Times New Roman" w:hAnsi="Times New Roman"/>
          <w:sz w:val="24"/>
        </w:rPr>
        <w:t>(PHA Funding Act)</w:t>
      </w:r>
      <w:r w:rsidRPr="0059339B">
        <w:rPr>
          <w:rFonts w:ascii="Times New Roman" w:hAnsi="Times New Roman" w:cs="Times New Roman"/>
          <w:sz w:val="24"/>
        </w:rPr>
        <w:t xml:space="preserve">. </w:t>
      </w:r>
      <w:r w:rsidR="002855E0">
        <w:rPr>
          <w:rFonts w:ascii="Times New Roman" w:hAnsi="Times New Roman" w:cs="Times New Roman"/>
          <w:sz w:val="24"/>
        </w:rPr>
        <w:t>Under the PHA Funding Act, the Commonwealth may make payments to PHA where the industry representative body for a plant product is a ‘relevant Plant Industry Member’ as defined in section 3 of the PHA Funding Act.</w:t>
      </w:r>
    </w:p>
    <w:p w14:paraId="22C915BE" w14:textId="77777777" w:rsidR="001C736A" w:rsidRDefault="001C736A" w:rsidP="001C736A">
      <w:pPr>
        <w:tabs>
          <w:tab w:val="right" w:pos="9072"/>
        </w:tabs>
        <w:rPr>
          <w:rFonts w:ascii="Times New Roman" w:hAnsi="Times New Roman" w:cs="Times New Roman"/>
          <w:sz w:val="24"/>
        </w:rPr>
      </w:pPr>
    </w:p>
    <w:p w14:paraId="14056A4D" w14:textId="4BB12474" w:rsidR="002855E0" w:rsidRDefault="002855E0" w:rsidP="001C736A">
      <w:pPr>
        <w:tabs>
          <w:tab w:val="right" w:pos="9072"/>
        </w:tabs>
        <w:rPr>
          <w:rFonts w:ascii="Times New Roman" w:hAnsi="Times New Roman" w:cs="Times New Roman"/>
          <w:sz w:val="24"/>
        </w:rPr>
      </w:pPr>
      <w:r w:rsidRPr="0029731E">
        <w:rPr>
          <w:rFonts w:ascii="Times New Roman" w:hAnsi="Times New Roman" w:cs="Times New Roman"/>
          <w:sz w:val="24"/>
        </w:rPr>
        <w:t>To meet the definition of ‘relevant Plant Industry Member’, the PHA industry member must be declared under either clause 13 of Schedule 27 to the Excise Levies Act or clause 12 of Schedule </w:t>
      </w:r>
      <w:r w:rsidRPr="001C736A">
        <w:rPr>
          <w:rFonts w:ascii="Times New Roman" w:eastAsia="Calibri" w:hAnsi="Times New Roman" w:cs="Times New Roman"/>
          <w:sz w:val="24"/>
        </w:rPr>
        <w:t>14</w:t>
      </w:r>
      <w:r w:rsidRPr="0029731E">
        <w:rPr>
          <w:rFonts w:ascii="Times New Roman" w:hAnsi="Times New Roman" w:cs="Times New Roman"/>
          <w:sz w:val="24"/>
        </w:rPr>
        <w:t xml:space="preserve"> to Customs Charges Act, </w:t>
      </w:r>
      <w:r w:rsidR="001C736A">
        <w:rPr>
          <w:rFonts w:ascii="Times New Roman" w:hAnsi="Times New Roman" w:cs="Times New Roman"/>
          <w:sz w:val="24"/>
        </w:rPr>
        <w:t>as</w:t>
      </w:r>
      <w:r w:rsidRPr="0029731E">
        <w:rPr>
          <w:rFonts w:ascii="Times New Roman" w:hAnsi="Times New Roman" w:cs="Times New Roman"/>
          <w:sz w:val="24"/>
        </w:rPr>
        <w:t xml:space="preserve"> the ‘designated body’ for the leviable plant products it represents.</w:t>
      </w:r>
    </w:p>
    <w:p w14:paraId="37390D89" w14:textId="77777777" w:rsidR="001C736A" w:rsidRPr="0059339B" w:rsidRDefault="001C736A" w:rsidP="002F690D">
      <w:pPr>
        <w:tabs>
          <w:tab w:val="right" w:pos="9072"/>
        </w:tabs>
        <w:rPr>
          <w:rFonts w:ascii="Times New Roman" w:hAnsi="Times New Roman"/>
          <w:sz w:val="24"/>
        </w:rPr>
      </w:pPr>
    </w:p>
    <w:p w14:paraId="7883D4A2" w14:textId="0FC248E2" w:rsidR="00652507" w:rsidRDefault="007A6F77" w:rsidP="002F690D">
      <w:pPr>
        <w:tabs>
          <w:tab w:val="right" w:pos="9072"/>
        </w:tabs>
        <w:rPr>
          <w:rFonts w:ascii="Times New Roman" w:hAnsi="Times New Roman" w:cs="Times New Roman"/>
          <w:sz w:val="24"/>
        </w:rPr>
      </w:pPr>
      <w:r>
        <w:rPr>
          <w:rFonts w:ascii="Times New Roman" w:hAnsi="Times New Roman"/>
          <w:sz w:val="24"/>
        </w:rPr>
        <w:lastRenderedPageBreak/>
        <w:t>I</w:t>
      </w:r>
      <w:r w:rsidR="00310C8B" w:rsidRPr="0029731E">
        <w:rPr>
          <w:rFonts w:ascii="Times New Roman" w:hAnsi="Times New Roman" w:cs="Times New Roman"/>
          <w:sz w:val="24"/>
        </w:rPr>
        <w:t xml:space="preserve">f a PHA industry member does not meet the definition of ‘relevant Plant Industry Member’ under the PHA Funding Act, the Commonwealth is not authorised to disburse PHA levies to PHA </w:t>
      </w:r>
      <w:r w:rsidR="00310C8B" w:rsidRPr="001C736A">
        <w:rPr>
          <w:rFonts w:ascii="Times New Roman" w:eastAsia="Calibri" w:hAnsi="Times New Roman" w:cs="Times New Roman"/>
          <w:sz w:val="24"/>
        </w:rPr>
        <w:t>under</w:t>
      </w:r>
      <w:r w:rsidR="00310C8B" w:rsidRPr="0029731E">
        <w:rPr>
          <w:rFonts w:ascii="Times New Roman" w:hAnsi="Times New Roman" w:cs="Times New Roman"/>
          <w:sz w:val="24"/>
        </w:rPr>
        <w:t xml:space="preserve"> section 4 of the PHA Funding Act for the leviable products represented by that body.  </w:t>
      </w:r>
    </w:p>
    <w:p w14:paraId="4F958C6D" w14:textId="77777777" w:rsidR="001C736A" w:rsidRPr="0029731E" w:rsidRDefault="001C736A" w:rsidP="001C736A">
      <w:pPr>
        <w:tabs>
          <w:tab w:val="right" w:pos="9072"/>
        </w:tabs>
        <w:rPr>
          <w:rFonts w:ascii="Times New Roman" w:hAnsi="Times New Roman" w:cs="Times New Roman"/>
          <w:sz w:val="24"/>
        </w:rPr>
      </w:pPr>
    </w:p>
    <w:p w14:paraId="3B769275" w14:textId="77777777" w:rsidR="007B4E88" w:rsidRPr="00EC28B0" w:rsidRDefault="00EE13E3" w:rsidP="00AA2E32">
      <w:pPr>
        <w:tabs>
          <w:tab w:val="left" w:pos="1701"/>
          <w:tab w:val="right" w:pos="9072"/>
        </w:tabs>
        <w:rPr>
          <w:rFonts w:ascii="Times New Roman" w:hAnsi="Times New Roman" w:cs="Times New Roman"/>
          <w:b/>
          <w:sz w:val="24"/>
        </w:rPr>
      </w:pPr>
      <w:r w:rsidRPr="00EC28B0">
        <w:rPr>
          <w:rFonts w:ascii="Times New Roman" w:hAnsi="Times New Roman" w:cs="Times New Roman"/>
          <w:b/>
          <w:sz w:val="24"/>
        </w:rPr>
        <w:t>Impact and Effect</w:t>
      </w:r>
    </w:p>
    <w:p w14:paraId="1CB25EC0" w14:textId="2CA1B899" w:rsidR="007B4E88" w:rsidRPr="00054922" w:rsidRDefault="007B4E88" w:rsidP="00054922">
      <w:pPr>
        <w:tabs>
          <w:tab w:val="right" w:pos="9072"/>
        </w:tabs>
        <w:rPr>
          <w:rFonts w:ascii="Times New Roman" w:hAnsi="Times New Roman" w:cs="Times New Roman"/>
          <w:sz w:val="24"/>
        </w:rPr>
      </w:pPr>
    </w:p>
    <w:p w14:paraId="339C9ABF" w14:textId="02880E25" w:rsidR="007A39B6" w:rsidRDefault="007A39B6" w:rsidP="007A39B6">
      <w:pPr>
        <w:tabs>
          <w:tab w:val="right" w:pos="9072"/>
        </w:tabs>
        <w:rPr>
          <w:rFonts w:ascii="Times New Roman" w:hAnsi="Times New Roman" w:cs="Times New Roman"/>
          <w:sz w:val="24"/>
        </w:rPr>
      </w:pPr>
      <w:r>
        <w:rPr>
          <w:rFonts w:ascii="Times New Roman" w:hAnsi="Times New Roman" w:cs="Times New Roman"/>
          <w:sz w:val="24"/>
        </w:rPr>
        <w:t>The</w:t>
      </w:r>
      <w:r w:rsidRPr="00A279BD">
        <w:rPr>
          <w:rFonts w:ascii="Times New Roman" w:hAnsi="Times New Roman" w:cs="Times New Roman"/>
          <w:sz w:val="24"/>
        </w:rPr>
        <w:t xml:space="preserve"> </w:t>
      </w:r>
      <w:r>
        <w:rPr>
          <w:rFonts w:ascii="Times New Roman" w:hAnsi="Times New Roman" w:cs="Times New Roman"/>
          <w:sz w:val="24"/>
        </w:rPr>
        <w:t xml:space="preserve">declarations will </w:t>
      </w:r>
      <w:r w:rsidRPr="00A279BD">
        <w:rPr>
          <w:rFonts w:ascii="Times New Roman" w:hAnsi="Times New Roman" w:cs="Times New Roman"/>
          <w:sz w:val="24"/>
        </w:rPr>
        <w:t xml:space="preserve">ensure </w:t>
      </w:r>
      <w:r>
        <w:rPr>
          <w:rFonts w:ascii="Times New Roman" w:hAnsi="Times New Roman" w:cs="Times New Roman"/>
          <w:sz w:val="24"/>
        </w:rPr>
        <w:t xml:space="preserve">all PHA </w:t>
      </w:r>
      <w:r w:rsidRPr="00A279BD">
        <w:rPr>
          <w:rFonts w:ascii="Times New Roman" w:hAnsi="Times New Roman" w:cs="Times New Roman"/>
          <w:sz w:val="24"/>
        </w:rPr>
        <w:t>industry member organisations meet the definition of ‘</w:t>
      </w:r>
      <w:r w:rsidRPr="001C736A">
        <w:rPr>
          <w:rFonts w:ascii="Times New Roman" w:eastAsia="Calibri" w:hAnsi="Times New Roman" w:cs="Times New Roman"/>
          <w:sz w:val="24"/>
        </w:rPr>
        <w:t>relevant</w:t>
      </w:r>
      <w:r w:rsidRPr="00A279BD">
        <w:rPr>
          <w:rFonts w:ascii="Times New Roman" w:hAnsi="Times New Roman" w:cs="Times New Roman"/>
          <w:sz w:val="24"/>
        </w:rPr>
        <w:t xml:space="preserve"> Plant Industry Member’ and provide clear legislative authority for the Commonwealth to make levy disbursement payments to </w:t>
      </w:r>
      <w:r w:rsidR="00A87B4D">
        <w:rPr>
          <w:rFonts w:ascii="Times New Roman" w:hAnsi="Times New Roman" w:cs="Times New Roman"/>
          <w:sz w:val="24"/>
        </w:rPr>
        <w:t>PHA</w:t>
      </w:r>
      <w:r w:rsidRPr="00A279BD">
        <w:rPr>
          <w:rFonts w:ascii="Times New Roman" w:hAnsi="Times New Roman" w:cs="Times New Roman"/>
          <w:sz w:val="24"/>
        </w:rPr>
        <w:t xml:space="preserve"> under section 4 of the PHA Funding Act.</w:t>
      </w:r>
    </w:p>
    <w:p w14:paraId="27B68536" w14:textId="77777777" w:rsidR="00E9403D" w:rsidRDefault="00E9403D" w:rsidP="00E9403D">
      <w:pPr>
        <w:tabs>
          <w:tab w:val="right" w:pos="9072"/>
        </w:tabs>
        <w:rPr>
          <w:rFonts w:ascii="Times New Roman" w:hAnsi="Times New Roman" w:cs="Times New Roman"/>
          <w:sz w:val="24"/>
        </w:rPr>
      </w:pPr>
    </w:p>
    <w:p w14:paraId="6A1B6BE1" w14:textId="791E6B53" w:rsidR="00E9403D" w:rsidRPr="0020062E" w:rsidRDefault="00E9403D" w:rsidP="00E9403D">
      <w:pPr>
        <w:tabs>
          <w:tab w:val="right" w:pos="9072"/>
        </w:tabs>
        <w:rPr>
          <w:rFonts w:ascii="Times New Roman" w:hAnsi="Times New Roman" w:cs="Times New Roman"/>
          <w:sz w:val="24"/>
        </w:rPr>
      </w:pPr>
      <w:r w:rsidRPr="0020062E">
        <w:rPr>
          <w:rFonts w:ascii="Times New Roman" w:hAnsi="Times New Roman" w:cs="Times New Roman"/>
          <w:sz w:val="24"/>
        </w:rPr>
        <w:t xml:space="preserve">There are no practical or procedural implications for levy payers. The </w:t>
      </w:r>
      <w:r w:rsidR="00A87B4D">
        <w:rPr>
          <w:rFonts w:ascii="Times New Roman" w:hAnsi="Times New Roman" w:cs="Times New Roman"/>
          <w:sz w:val="24"/>
        </w:rPr>
        <w:t>PHA</w:t>
      </w:r>
      <w:r w:rsidRPr="0020062E">
        <w:rPr>
          <w:rFonts w:ascii="Times New Roman" w:hAnsi="Times New Roman" w:cs="Times New Roman"/>
          <w:sz w:val="24"/>
        </w:rPr>
        <w:t xml:space="preserve"> levy will continue to be collected by the Commonwealth</w:t>
      </w:r>
      <w:r>
        <w:rPr>
          <w:rFonts w:ascii="Times New Roman" w:hAnsi="Times New Roman" w:cs="Times New Roman"/>
          <w:sz w:val="24"/>
        </w:rPr>
        <w:t>.</w:t>
      </w:r>
      <w:r w:rsidRPr="0020062E">
        <w:rPr>
          <w:rFonts w:ascii="Times New Roman" w:hAnsi="Times New Roman" w:cs="Times New Roman"/>
          <w:sz w:val="24"/>
        </w:rPr>
        <w:t xml:space="preserve"> </w:t>
      </w:r>
      <w:r>
        <w:rPr>
          <w:rFonts w:ascii="Times New Roman" w:hAnsi="Times New Roman" w:cs="Times New Roman"/>
          <w:sz w:val="24"/>
        </w:rPr>
        <w:t>T</w:t>
      </w:r>
      <w:r w:rsidRPr="0020062E">
        <w:rPr>
          <w:rFonts w:ascii="Times New Roman" w:hAnsi="Times New Roman" w:cs="Times New Roman"/>
          <w:sz w:val="24"/>
        </w:rPr>
        <w:t xml:space="preserve">he levy amounts that industry members </w:t>
      </w:r>
      <w:r>
        <w:rPr>
          <w:rFonts w:ascii="Times New Roman" w:hAnsi="Times New Roman" w:cs="Times New Roman"/>
          <w:sz w:val="24"/>
        </w:rPr>
        <w:t>pay, and</w:t>
      </w:r>
      <w:r w:rsidRPr="0020062E">
        <w:rPr>
          <w:rFonts w:ascii="Times New Roman" w:hAnsi="Times New Roman" w:cs="Times New Roman"/>
          <w:sz w:val="24"/>
        </w:rPr>
        <w:t xml:space="preserve"> the mechanis</w:t>
      </w:r>
      <w:r>
        <w:rPr>
          <w:rFonts w:ascii="Times New Roman" w:hAnsi="Times New Roman" w:cs="Times New Roman"/>
          <w:sz w:val="24"/>
        </w:rPr>
        <w:t>ms through which they are paid, will not change.</w:t>
      </w:r>
      <w:r w:rsidRPr="0020062E">
        <w:rPr>
          <w:rFonts w:ascii="Times New Roman" w:hAnsi="Times New Roman" w:cs="Times New Roman"/>
          <w:sz w:val="24"/>
        </w:rPr>
        <w:t xml:space="preserve"> </w:t>
      </w:r>
    </w:p>
    <w:p w14:paraId="492CBBCE" w14:textId="77777777" w:rsidR="0020062E" w:rsidRPr="00A279BD" w:rsidRDefault="0020062E" w:rsidP="007A39B6">
      <w:pPr>
        <w:tabs>
          <w:tab w:val="right" w:pos="9072"/>
        </w:tabs>
        <w:rPr>
          <w:rFonts w:ascii="Times New Roman" w:hAnsi="Times New Roman" w:cs="Times New Roman"/>
          <w:sz w:val="24"/>
        </w:rPr>
      </w:pPr>
    </w:p>
    <w:p w14:paraId="01E9B1F6"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14:paraId="1F5DBFE2" w14:textId="77777777" w:rsidR="00573A5A" w:rsidRDefault="00573A5A" w:rsidP="00382DF2">
      <w:pPr>
        <w:tabs>
          <w:tab w:val="right" w:pos="9072"/>
        </w:tabs>
        <w:rPr>
          <w:rFonts w:ascii="Times New Roman" w:eastAsia="Calibri" w:hAnsi="Times New Roman" w:cs="Times New Roman"/>
          <w:sz w:val="24"/>
        </w:rPr>
      </w:pPr>
    </w:p>
    <w:p w14:paraId="7D5CE568" w14:textId="1F083761"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w:t>
      </w:r>
      <w:r w:rsidR="00D41A51">
        <w:rPr>
          <w:rFonts w:ascii="Times New Roman" w:eastAsia="Calibri" w:hAnsi="Times New Roman" w:cs="Times New Roman"/>
          <w:sz w:val="24"/>
        </w:rPr>
        <w:t>d</w:t>
      </w:r>
      <w:r>
        <w:rPr>
          <w:rFonts w:ascii="Times New Roman" w:eastAsia="Calibri" w:hAnsi="Times New Roman" w:cs="Times New Roman"/>
          <w:sz w:val="24"/>
        </w:rPr>
        <w:t xml:space="preserve">epartment consulted </w:t>
      </w:r>
      <w:r w:rsidR="00A87B4D">
        <w:rPr>
          <w:rFonts w:ascii="Times New Roman" w:eastAsia="Calibri" w:hAnsi="Times New Roman" w:cs="Times New Roman"/>
          <w:sz w:val="24"/>
        </w:rPr>
        <w:t>PHA</w:t>
      </w:r>
      <w:r w:rsidR="0020062E">
        <w:rPr>
          <w:rFonts w:ascii="Times New Roman" w:eastAsia="Calibri" w:hAnsi="Times New Roman" w:cs="Times New Roman"/>
          <w:sz w:val="24"/>
        </w:rPr>
        <w:t xml:space="preserve"> on the declarations</w:t>
      </w:r>
      <w:r w:rsidR="00504222">
        <w:rPr>
          <w:rFonts w:ascii="Times New Roman" w:eastAsia="Calibri" w:hAnsi="Times New Roman" w:cs="Times New Roman"/>
          <w:sz w:val="24"/>
        </w:rPr>
        <w:t xml:space="preserve"> and is liaising with PHA to notify members of the changes</w:t>
      </w:r>
      <w:r>
        <w:rPr>
          <w:rFonts w:ascii="Times New Roman" w:eastAsia="Calibri" w:hAnsi="Times New Roman" w:cs="Times New Roman"/>
          <w:sz w:val="24"/>
        </w:rPr>
        <w:t xml:space="preserve">. The Office of Best Practice Regulation has </w:t>
      </w:r>
      <w:r w:rsidR="00316C00">
        <w:rPr>
          <w:rFonts w:ascii="Times New Roman" w:eastAsia="Calibri" w:hAnsi="Times New Roman" w:cs="Times New Roman"/>
          <w:sz w:val="24"/>
        </w:rPr>
        <w:t>advised</w:t>
      </w:r>
      <w:r>
        <w:rPr>
          <w:rFonts w:ascii="Times New Roman" w:eastAsia="Calibri" w:hAnsi="Times New Roman" w:cs="Times New Roman"/>
          <w:sz w:val="24"/>
        </w:rPr>
        <w:t xml:space="preserve"> that </w:t>
      </w:r>
      <w:r w:rsidR="00D4767A">
        <w:rPr>
          <w:rFonts w:ascii="Times New Roman" w:eastAsia="Calibri" w:hAnsi="Times New Roman" w:cs="Times New Roman"/>
          <w:sz w:val="24"/>
        </w:rPr>
        <w:t xml:space="preserve">a </w:t>
      </w:r>
      <w:r w:rsidR="000B2C49">
        <w:rPr>
          <w:rFonts w:ascii="Times New Roman" w:eastAsia="Calibri" w:hAnsi="Times New Roman" w:cs="Times New Roman"/>
          <w:sz w:val="24"/>
        </w:rPr>
        <w:t>r</w:t>
      </w:r>
      <w:r>
        <w:rPr>
          <w:rFonts w:ascii="Times New Roman" w:eastAsia="Calibri" w:hAnsi="Times New Roman" w:cs="Times New Roman"/>
          <w:sz w:val="24"/>
        </w:rPr>
        <w:t xml:space="preserve">egulation </w:t>
      </w:r>
      <w:r w:rsidR="000B2C49">
        <w:rPr>
          <w:rFonts w:ascii="Times New Roman" w:eastAsia="Calibri" w:hAnsi="Times New Roman" w:cs="Times New Roman"/>
          <w:sz w:val="24"/>
        </w:rPr>
        <w:t>i</w:t>
      </w:r>
      <w:r>
        <w:rPr>
          <w:rFonts w:ascii="Times New Roman" w:eastAsia="Calibri" w:hAnsi="Times New Roman" w:cs="Times New Roman"/>
          <w:sz w:val="24"/>
        </w:rPr>
        <w:t xml:space="preserve">mpact </w:t>
      </w:r>
      <w:r w:rsidR="000B2C49">
        <w:rPr>
          <w:rFonts w:ascii="Times New Roman" w:eastAsia="Calibri" w:hAnsi="Times New Roman" w:cs="Times New Roman"/>
          <w:sz w:val="24"/>
        </w:rPr>
        <w:t>s</w:t>
      </w:r>
      <w:r>
        <w:rPr>
          <w:rFonts w:ascii="Times New Roman" w:eastAsia="Calibri" w:hAnsi="Times New Roman" w:cs="Times New Roman"/>
          <w:sz w:val="24"/>
        </w:rPr>
        <w:t>tatement</w:t>
      </w:r>
      <w:r w:rsidR="00D4767A">
        <w:rPr>
          <w:rFonts w:ascii="Times New Roman" w:eastAsia="Calibri" w:hAnsi="Times New Roman" w:cs="Times New Roman"/>
          <w:sz w:val="24"/>
        </w:rPr>
        <w:t xml:space="preserve"> </w:t>
      </w:r>
      <w:r w:rsidR="00836E0A">
        <w:rPr>
          <w:rFonts w:ascii="Times New Roman" w:eastAsia="Calibri" w:hAnsi="Times New Roman" w:cs="Times New Roman"/>
          <w:sz w:val="24"/>
        </w:rPr>
        <w:t xml:space="preserve">is </w:t>
      </w:r>
      <w:r>
        <w:rPr>
          <w:rFonts w:ascii="Times New Roman" w:eastAsia="Calibri" w:hAnsi="Times New Roman" w:cs="Times New Roman"/>
          <w:sz w:val="24"/>
        </w:rPr>
        <w:t>not required (</w:t>
      </w:r>
      <w:r w:rsidR="00D4767A">
        <w:rPr>
          <w:rFonts w:ascii="Times New Roman" w:eastAsia="Calibri" w:hAnsi="Times New Roman" w:cs="Times New Roman"/>
          <w:sz w:val="24"/>
        </w:rPr>
        <w:t>ID</w:t>
      </w:r>
      <w:r w:rsidR="00836E0A">
        <w:rPr>
          <w:rFonts w:ascii="Times New Roman" w:eastAsia="Calibri" w:hAnsi="Times New Roman" w:cs="Times New Roman"/>
          <w:sz w:val="24"/>
        </w:rPr>
        <w:t xml:space="preserve"> </w:t>
      </w:r>
      <w:r w:rsidR="0020062E">
        <w:rPr>
          <w:rFonts w:ascii="Times New Roman" w:hAnsi="Times New Roman"/>
          <w:sz w:val="24"/>
        </w:rPr>
        <w:t>22510</w:t>
      </w:r>
      <w:r>
        <w:rPr>
          <w:rFonts w:ascii="Times New Roman" w:eastAsia="Calibri" w:hAnsi="Times New Roman" w:cs="Times New Roman"/>
          <w:sz w:val="24"/>
        </w:rPr>
        <w:t>).</w:t>
      </w:r>
    </w:p>
    <w:p w14:paraId="6FD9CC14" w14:textId="77777777" w:rsidR="007B4E88" w:rsidRDefault="007B4E88">
      <w:pPr>
        <w:tabs>
          <w:tab w:val="right" w:pos="9072"/>
        </w:tabs>
        <w:rPr>
          <w:rFonts w:ascii="Times New Roman" w:eastAsia="Calibri" w:hAnsi="Times New Roman" w:cs="Times New Roman"/>
          <w:sz w:val="24"/>
        </w:rPr>
      </w:pPr>
    </w:p>
    <w:p w14:paraId="1177116E"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Details / Operation</w:t>
      </w:r>
    </w:p>
    <w:p w14:paraId="2291DC28" w14:textId="77777777" w:rsidR="008B2CF6" w:rsidRDefault="008B2CF6">
      <w:pPr>
        <w:tabs>
          <w:tab w:val="right" w:pos="9072"/>
        </w:tabs>
        <w:rPr>
          <w:rFonts w:ascii="Times New Roman" w:eastAsia="Calibri" w:hAnsi="Times New Roman" w:cs="Times New Roman"/>
          <w:sz w:val="24"/>
        </w:rPr>
      </w:pPr>
    </w:p>
    <w:p w14:paraId="1FE46DAC" w14:textId="6A390961"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Details of the </w:t>
      </w:r>
      <w:r w:rsidR="00A87B4D">
        <w:rPr>
          <w:rFonts w:ascii="Times New Roman" w:eastAsia="Calibri" w:hAnsi="Times New Roman" w:cs="Times New Roman"/>
          <w:sz w:val="24"/>
        </w:rPr>
        <w:t xml:space="preserve">declarations </w:t>
      </w:r>
      <w:r>
        <w:rPr>
          <w:rFonts w:ascii="Times New Roman" w:eastAsia="Calibri" w:hAnsi="Times New Roman" w:cs="Times New Roman"/>
          <w:sz w:val="24"/>
        </w:rPr>
        <w:t xml:space="preserve">are set out in </w:t>
      </w:r>
      <w:r>
        <w:rPr>
          <w:rFonts w:ascii="Times New Roman" w:eastAsia="Calibri" w:hAnsi="Times New Roman" w:cs="Times New Roman"/>
          <w:sz w:val="24"/>
          <w:u w:val="single"/>
        </w:rPr>
        <w:t>Attachment</w:t>
      </w:r>
      <w:r w:rsidR="00316C00">
        <w:rPr>
          <w:rFonts w:ascii="Times New Roman" w:eastAsia="Calibri" w:hAnsi="Times New Roman" w:cs="Times New Roman"/>
          <w:sz w:val="24"/>
          <w:u w:val="single"/>
        </w:rPr>
        <w:t>s</w:t>
      </w:r>
      <w:r>
        <w:rPr>
          <w:rFonts w:ascii="Times New Roman" w:eastAsia="Calibri" w:hAnsi="Times New Roman" w:cs="Times New Roman"/>
          <w:sz w:val="24"/>
          <w:u w:val="single"/>
        </w:rPr>
        <w:t xml:space="preserve"> A</w:t>
      </w:r>
      <w:r w:rsidR="00316C00">
        <w:rPr>
          <w:rFonts w:ascii="Times New Roman" w:eastAsia="Calibri" w:hAnsi="Times New Roman" w:cs="Times New Roman"/>
          <w:sz w:val="24"/>
          <w:u w:val="single"/>
        </w:rPr>
        <w:t xml:space="preserve"> and B</w:t>
      </w:r>
      <w:r>
        <w:rPr>
          <w:rFonts w:ascii="Times New Roman" w:eastAsia="Calibri" w:hAnsi="Times New Roman" w:cs="Times New Roman"/>
          <w:sz w:val="24"/>
        </w:rPr>
        <w:t>.</w:t>
      </w:r>
    </w:p>
    <w:p w14:paraId="1950289E" w14:textId="77777777" w:rsidR="007B4E88" w:rsidRDefault="007B4E88">
      <w:pPr>
        <w:tabs>
          <w:tab w:val="right" w:pos="9072"/>
        </w:tabs>
        <w:rPr>
          <w:rFonts w:ascii="Times New Roman" w:hAnsi="Times New Roman" w:cs="Times New Roman"/>
          <w:sz w:val="24"/>
        </w:rPr>
      </w:pPr>
    </w:p>
    <w:p w14:paraId="44BA986D" w14:textId="6164ADD5"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w:t>
      </w:r>
      <w:r w:rsidR="00A87B4D">
        <w:rPr>
          <w:rFonts w:ascii="Times New Roman" w:eastAsia="Calibri" w:hAnsi="Times New Roman" w:cs="Times New Roman"/>
          <w:sz w:val="24"/>
        </w:rPr>
        <w:t>declarations are</w:t>
      </w:r>
      <w:r>
        <w:rPr>
          <w:rFonts w:ascii="Times New Roman" w:eastAsia="Calibri" w:hAnsi="Times New Roman" w:cs="Times New Roman"/>
          <w:sz w:val="24"/>
        </w:rPr>
        <w:t xml:space="preserve">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the </w:t>
      </w:r>
      <w:r>
        <w:rPr>
          <w:rFonts w:ascii="Times New Roman" w:eastAsia="Calibri" w:hAnsi="Times New Roman" w:cs="Times New Roman"/>
          <w:sz w:val="24"/>
          <w:u w:val="single"/>
        </w:rPr>
        <w:t xml:space="preserve">Attachment </w:t>
      </w:r>
      <w:r w:rsidR="00884944">
        <w:rPr>
          <w:rFonts w:ascii="Times New Roman" w:eastAsia="Calibri" w:hAnsi="Times New Roman" w:cs="Times New Roman"/>
          <w:sz w:val="24"/>
          <w:u w:val="single"/>
        </w:rPr>
        <w:t>C</w:t>
      </w:r>
      <w:r w:rsidR="00A87B4D">
        <w:rPr>
          <w:rFonts w:ascii="Times New Roman" w:eastAsia="Calibri" w:hAnsi="Times New Roman" w:cs="Times New Roman"/>
          <w:sz w:val="24"/>
        </w:rPr>
        <w:t xml:space="preserve">. </w:t>
      </w:r>
    </w:p>
    <w:p w14:paraId="5F9F14DE" w14:textId="77777777" w:rsidR="00E463B6" w:rsidRDefault="00E463B6">
      <w:pPr>
        <w:tabs>
          <w:tab w:val="left" w:pos="1701"/>
          <w:tab w:val="right" w:pos="9072"/>
        </w:tabs>
        <w:rPr>
          <w:rFonts w:ascii="Times New Roman" w:eastAsia="Calibri" w:hAnsi="Times New Roman" w:cs="Times New Roman"/>
          <w:sz w:val="24"/>
        </w:rPr>
      </w:pPr>
    </w:p>
    <w:p w14:paraId="410DDC5D" w14:textId="38935C56" w:rsidR="007B4E88" w:rsidRDefault="00EE13E3">
      <w:pPr>
        <w:tabs>
          <w:tab w:val="left" w:pos="1701"/>
          <w:tab w:val="right" w:pos="9072"/>
        </w:tabs>
        <w:rPr>
          <w:rFonts w:ascii="Times New Roman" w:hAnsi="Times New Roman" w:cs="Times New Roman"/>
          <w:sz w:val="24"/>
        </w:rPr>
      </w:pPr>
      <w:r>
        <w:rPr>
          <w:rFonts w:ascii="Times New Roman" w:eastAsia="Calibri" w:hAnsi="Times New Roman" w:cs="Times New Roman"/>
          <w:sz w:val="24"/>
        </w:rPr>
        <w:t xml:space="preserve">The </w:t>
      </w:r>
      <w:r w:rsidR="001C736A">
        <w:rPr>
          <w:rFonts w:ascii="Times New Roman" w:eastAsia="Calibri" w:hAnsi="Times New Roman" w:cs="Times New Roman"/>
          <w:sz w:val="24"/>
        </w:rPr>
        <w:t>d</w:t>
      </w:r>
      <w:r w:rsidR="00A87B4D">
        <w:rPr>
          <w:rFonts w:ascii="Times New Roman" w:eastAsia="Calibri" w:hAnsi="Times New Roman" w:cs="Times New Roman"/>
          <w:sz w:val="24"/>
        </w:rPr>
        <w:t>eclarations are</w:t>
      </w:r>
      <w:r>
        <w:rPr>
          <w:rFonts w:ascii="Times New Roman" w:eastAsia="Calibri" w:hAnsi="Times New Roman" w:cs="Times New Roman"/>
          <w:sz w:val="24"/>
        </w:rPr>
        <w:t xml:space="preserve"> legislative instrument</w:t>
      </w:r>
      <w:r w:rsidR="00615BF2">
        <w:rPr>
          <w:rFonts w:ascii="Times New Roman" w:eastAsia="Calibri" w:hAnsi="Times New Roman" w:cs="Times New Roman"/>
          <w:sz w:val="24"/>
        </w:rPr>
        <w:t>s</w:t>
      </w:r>
      <w:r>
        <w:rPr>
          <w:rFonts w:ascii="Times New Roman" w:eastAsia="Calibri" w:hAnsi="Times New Roman" w:cs="Times New Roman"/>
          <w:sz w:val="24"/>
        </w:rPr>
        <w:t xml:space="preserve"> for the purposes of the </w:t>
      </w:r>
      <w:r w:rsidR="000125D5">
        <w:rPr>
          <w:rFonts w:ascii="Times New Roman" w:eastAsia="Calibri" w:hAnsi="Times New Roman" w:cs="Times New Roman"/>
          <w:i/>
          <w:sz w:val="24"/>
        </w:rPr>
        <w:t>Legislati</w:t>
      </w:r>
      <w:r w:rsidR="00416E32">
        <w:rPr>
          <w:rFonts w:ascii="Times New Roman" w:eastAsia="Calibri" w:hAnsi="Times New Roman" w:cs="Times New Roman"/>
          <w:i/>
          <w:sz w:val="24"/>
        </w:rPr>
        <w:t>on</w:t>
      </w:r>
      <w:r w:rsidR="000125D5">
        <w:rPr>
          <w:rFonts w:ascii="Times New Roman" w:eastAsia="Calibri" w:hAnsi="Times New Roman" w:cs="Times New Roman"/>
          <w:i/>
          <w:sz w:val="24"/>
        </w:rPr>
        <w:t xml:space="preserve"> Act </w:t>
      </w:r>
      <w:r>
        <w:rPr>
          <w:rFonts w:ascii="Times New Roman" w:eastAsia="Calibri" w:hAnsi="Times New Roman" w:cs="Times New Roman"/>
          <w:i/>
          <w:sz w:val="24"/>
        </w:rPr>
        <w:t>2003</w:t>
      </w:r>
      <w:r>
        <w:rPr>
          <w:rFonts w:ascii="Times New Roman" w:eastAsia="Calibri" w:hAnsi="Times New Roman" w:cs="Times New Roman"/>
          <w:sz w:val="24"/>
        </w:rPr>
        <w:t>.</w:t>
      </w:r>
      <w:r>
        <w:rPr>
          <w:rFonts w:ascii="Times New Roman" w:hAnsi="Times New Roman" w:cs="Times New Roman"/>
          <w:sz w:val="24"/>
        </w:rPr>
        <w:br w:type="page"/>
      </w:r>
    </w:p>
    <w:p w14:paraId="4BCBACB5" w14:textId="77777777" w:rsidR="007B4E88" w:rsidRDefault="007B4E88">
      <w:pPr>
        <w:rPr>
          <w:rFonts w:ascii="Times New Roman" w:hAnsi="Times New Roman" w:cs="Times New Roman"/>
          <w:sz w:val="24"/>
        </w:rPr>
      </w:pPr>
    </w:p>
    <w:p w14:paraId="5FAD7C2F" w14:textId="77777777" w:rsidR="007B4E88" w:rsidRDefault="00EE13E3">
      <w:pPr>
        <w:pStyle w:val="Normal-em"/>
        <w:jc w:val="right"/>
        <w:rPr>
          <w:rFonts w:ascii="Times" w:hAnsi="Times"/>
          <w:b/>
          <w:caps/>
          <w:u w:val="single"/>
        </w:rPr>
      </w:pPr>
      <w:r>
        <w:rPr>
          <w:rFonts w:ascii="Times" w:hAnsi="Times"/>
          <w:b/>
          <w:caps/>
          <w:u w:val="single"/>
        </w:rPr>
        <w:t>Attachment A</w:t>
      </w:r>
    </w:p>
    <w:p w14:paraId="1D820E83" w14:textId="77777777" w:rsidR="007B4E88" w:rsidRDefault="007B4E88">
      <w:pPr>
        <w:pStyle w:val="Normal-em"/>
        <w:rPr>
          <w:color w:val="auto"/>
          <w:szCs w:val="24"/>
        </w:rPr>
      </w:pPr>
    </w:p>
    <w:p w14:paraId="0A6F45C7" w14:textId="7780806B" w:rsidR="00E463B6" w:rsidRPr="00E463B6" w:rsidRDefault="00EE13E3" w:rsidP="00E463B6">
      <w:pPr>
        <w:rPr>
          <w:rFonts w:ascii="Times New Roman" w:eastAsia="Calibri" w:hAnsi="Times New Roman" w:cs="Times New Roman"/>
          <w:b/>
          <w:sz w:val="24"/>
          <w:u w:val="single"/>
        </w:rPr>
      </w:pPr>
      <w:r>
        <w:rPr>
          <w:rFonts w:ascii="Times New Roman" w:eastAsia="Calibri" w:hAnsi="Times New Roman" w:cs="Times New Roman"/>
          <w:b/>
          <w:sz w:val="24"/>
          <w:u w:val="single"/>
        </w:rPr>
        <w:t xml:space="preserve">Details of </w:t>
      </w:r>
      <w:r w:rsidRPr="009664E1">
        <w:rPr>
          <w:rFonts w:ascii="Times New Roman" w:eastAsia="Calibri" w:hAnsi="Times New Roman" w:cs="Times New Roman"/>
          <w:b/>
          <w:sz w:val="24"/>
          <w:u w:val="single"/>
        </w:rPr>
        <w:t xml:space="preserve">the </w:t>
      </w:r>
      <w:r w:rsidR="00E463B6" w:rsidRPr="00E463B6">
        <w:rPr>
          <w:rFonts w:ascii="Times New Roman" w:eastAsia="Calibri" w:hAnsi="Times New Roman" w:cs="Times New Roman"/>
          <w:b/>
          <w:sz w:val="24"/>
          <w:u w:val="single"/>
        </w:rPr>
        <w:t>Primary Industries (Excise) Levies (Designated Bodies) Amendment Declaration 2017</w:t>
      </w:r>
    </w:p>
    <w:p w14:paraId="0D8B8044" w14:textId="5BACDCB4" w:rsidR="007B4E88" w:rsidRDefault="007B4E88" w:rsidP="00E463B6">
      <w:pPr>
        <w:tabs>
          <w:tab w:val="left" w:pos="1701"/>
          <w:tab w:val="right" w:pos="9072"/>
        </w:tabs>
      </w:pPr>
    </w:p>
    <w:p w14:paraId="3BC4727E" w14:textId="612FBCE8" w:rsidR="007B4E88" w:rsidRDefault="00EE13E3">
      <w:pPr>
        <w:pStyle w:val="Normal-em"/>
        <w:ind w:left="1440" w:hanging="1440"/>
        <w:rPr>
          <w:color w:val="auto"/>
          <w:szCs w:val="24"/>
          <w:u w:val="single"/>
        </w:rPr>
      </w:pPr>
      <w:r>
        <w:rPr>
          <w:color w:val="auto"/>
          <w:szCs w:val="24"/>
          <w:u w:val="single"/>
        </w:rPr>
        <w:t xml:space="preserve">Section 1 – Name </w:t>
      </w:r>
    </w:p>
    <w:p w14:paraId="7A6911AE" w14:textId="77777777" w:rsidR="007B4E88" w:rsidRPr="00054922" w:rsidRDefault="007B4E88" w:rsidP="00054922">
      <w:pPr>
        <w:pStyle w:val="Normal-em"/>
        <w:rPr>
          <w:color w:val="auto"/>
          <w:szCs w:val="24"/>
        </w:rPr>
      </w:pPr>
    </w:p>
    <w:p w14:paraId="556A2472" w14:textId="084A203F" w:rsidR="0020062E" w:rsidRPr="00884944" w:rsidRDefault="001C736A" w:rsidP="00054922">
      <w:pPr>
        <w:pStyle w:val="Normal-em"/>
      </w:pPr>
      <w:r>
        <w:rPr>
          <w:color w:val="auto"/>
          <w:szCs w:val="24"/>
        </w:rPr>
        <w:t>This s</w:t>
      </w:r>
      <w:r w:rsidR="00BF4E51">
        <w:rPr>
          <w:color w:val="auto"/>
          <w:szCs w:val="24"/>
        </w:rPr>
        <w:t xml:space="preserve">ection </w:t>
      </w:r>
      <w:r w:rsidR="00105896">
        <w:rPr>
          <w:color w:val="auto"/>
          <w:szCs w:val="24"/>
        </w:rPr>
        <w:t xml:space="preserve">provides that the name of the </w:t>
      </w:r>
      <w:r w:rsidR="00E24B56">
        <w:rPr>
          <w:color w:val="auto"/>
          <w:szCs w:val="24"/>
        </w:rPr>
        <w:t>D</w:t>
      </w:r>
      <w:r w:rsidR="00E463B6">
        <w:rPr>
          <w:color w:val="auto"/>
          <w:szCs w:val="24"/>
        </w:rPr>
        <w:t>eclaration</w:t>
      </w:r>
      <w:r w:rsidR="00E24B56">
        <w:rPr>
          <w:color w:val="auto"/>
          <w:szCs w:val="24"/>
        </w:rPr>
        <w:t xml:space="preserve"> is</w:t>
      </w:r>
      <w:r w:rsidR="00AA2E32">
        <w:rPr>
          <w:color w:val="auto"/>
          <w:szCs w:val="24"/>
        </w:rPr>
        <w:t xml:space="preserve"> the </w:t>
      </w:r>
      <w:r w:rsidR="0020062E" w:rsidRPr="00054922">
        <w:rPr>
          <w:i/>
          <w:color w:val="auto"/>
          <w:szCs w:val="24"/>
        </w:rPr>
        <w:t>Primary Industries (Excise) Levies (Designated Bodies) Amendment Declaration 2017</w:t>
      </w:r>
      <w:r w:rsidR="00AA2E32" w:rsidRPr="00054922">
        <w:rPr>
          <w:color w:val="auto"/>
          <w:szCs w:val="24"/>
        </w:rPr>
        <w:t>.</w:t>
      </w:r>
    </w:p>
    <w:p w14:paraId="30299CFA" w14:textId="77777777" w:rsidR="0020062E" w:rsidRPr="0020062E" w:rsidRDefault="0020062E" w:rsidP="0020062E">
      <w:pPr>
        <w:rPr>
          <w:rFonts w:ascii="Times New Roman" w:hAnsi="Times New Roman" w:cs="Times New Roman"/>
          <w:sz w:val="24"/>
        </w:rPr>
      </w:pPr>
    </w:p>
    <w:p w14:paraId="4EB949BB" w14:textId="77777777" w:rsidR="007B4E88" w:rsidRDefault="00EE13E3">
      <w:pPr>
        <w:pStyle w:val="Normal-em"/>
        <w:rPr>
          <w:color w:val="auto"/>
          <w:szCs w:val="24"/>
          <w:u w:val="single"/>
        </w:rPr>
      </w:pPr>
      <w:r>
        <w:rPr>
          <w:color w:val="auto"/>
          <w:szCs w:val="24"/>
          <w:u w:val="single"/>
        </w:rPr>
        <w:t>Section 2 – Commencement</w:t>
      </w:r>
    </w:p>
    <w:p w14:paraId="354E66B9" w14:textId="77777777" w:rsidR="007B4E88" w:rsidRDefault="007B4E88">
      <w:pPr>
        <w:pStyle w:val="Normal-em"/>
        <w:rPr>
          <w:color w:val="auto"/>
          <w:szCs w:val="24"/>
        </w:rPr>
      </w:pPr>
    </w:p>
    <w:p w14:paraId="1BC78E3E" w14:textId="1EC3C291" w:rsidR="007B4E88" w:rsidRDefault="001C736A">
      <w:pPr>
        <w:pStyle w:val="Normal-em"/>
        <w:rPr>
          <w:color w:val="auto"/>
          <w:szCs w:val="24"/>
          <w:highlight w:val="yellow"/>
        </w:rPr>
      </w:pPr>
      <w:r>
        <w:rPr>
          <w:color w:val="auto"/>
          <w:szCs w:val="24"/>
        </w:rPr>
        <w:t>This s</w:t>
      </w:r>
      <w:r w:rsidR="009664E1">
        <w:rPr>
          <w:color w:val="auto"/>
          <w:szCs w:val="24"/>
        </w:rPr>
        <w:t xml:space="preserve">ection provides for the </w:t>
      </w:r>
      <w:r w:rsidR="00E24B56">
        <w:rPr>
          <w:color w:val="auto"/>
          <w:szCs w:val="24"/>
        </w:rPr>
        <w:t>Declaration</w:t>
      </w:r>
      <w:r w:rsidR="00EF34C4">
        <w:rPr>
          <w:rFonts w:eastAsia="Calibri"/>
        </w:rPr>
        <w:t xml:space="preserve"> to commence</w:t>
      </w:r>
      <w:r w:rsidR="00E24B56">
        <w:rPr>
          <w:rFonts w:eastAsia="Calibri"/>
        </w:rPr>
        <w:t xml:space="preserve"> the day after </w:t>
      </w:r>
      <w:r w:rsidR="00A87B4D">
        <w:rPr>
          <w:rFonts w:eastAsia="Calibri"/>
        </w:rPr>
        <w:t>the instrument is</w:t>
      </w:r>
      <w:r w:rsidR="00E24B56">
        <w:rPr>
          <w:rFonts w:eastAsia="Calibri"/>
        </w:rPr>
        <w:t xml:space="preserve"> registered</w:t>
      </w:r>
      <w:r w:rsidR="00EE13E3">
        <w:rPr>
          <w:rFonts w:eastAsia="Calibri"/>
        </w:rPr>
        <w:t>.</w:t>
      </w:r>
      <w:r w:rsidR="00BF4E51">
        <w:rPr>
          <w:rFonts w:eastAsia="Calibri"/>
        </w:rPr>
        <w:t xml:space="preserve"> </w:t>
      </w:r>
      <w:r w:rsidR="00EA4E06" w:rsidRPr="00C70CD5" w:rsidDel="00EA4E06">
        <w:t xml:space="preserve"> </w:t>
      </w:r>
    </w:p>
    <w:p w14:paraId="51A89B7E" w14:textId="77777777" w:rsidR="007B4E88" w:rsidRDefault="007B4E88">
      <w:pPr>
        <w:pStyle w:val="Normal-em"/>
        <w:rPr>
          <w:color w:val="auto"/>
          <w:szCs w:val="24"/>
        </w:rPr>
      </w:pPr>
    </w:p>
    <w:p w14:paraId="4C6208BD" w14:textId="77777777" w:rsidR="007B4E88" w:rsidRDefault="00EE13E3">
      <w:pPr>
        <w:pStyle w:val="Normal-em"/>
        <w:ind w:left="1440" w:hanging="1440"/>
        <w:rPr>
          <w:color w:val="auto"/>
          <w:szCs w:val="24"/>
          <w:u w:val="single"/>
        </w:rPr>
      </w:pPr>
      <w:r>
        <w:rPr>
          <w:color w:val="auto"/>
          <w:szCs w:val="24"/>
          <w:u w:val="single"/>
        </w:rPr>
        <w:t>Section 3 – Authority</w:t>
      </w:r>
    </w:p>
    <w:p w14:paraId="67F61DF0" w14:textId="77777777" w:rsidR="007B4E88" w:rsidRDefault="007B4E88">
      <w:pPr>
        <w:pStyle w:val="Normal-em"/>
        <w:rPr>
          <w:color w:val="auto"/>
          <w:szCs w:val="24"/>
        </w:rPr>
      </w:pPr>
    </w:p>
    <w:p w14:paraId="1AF8A9AB" w14:textId="570BF88F" w:rsidR="0020062E" w:rsidRPr="0020062E" w:rsidRDefault="001C736A" w:rsidP="0020062E">
      <w:pPr>
        <w:rPr>
          <w:rFonts w:ascii="Times New Roman" w:hAnsi="Times New Roman" w:cs="Times New Roman"/>
          <w:i/>
          <w:snapToGrid w:val="0"/>
          <w:sz w:val="24"/>
        </w:rPr>
      </w:pPr>
      <w:r>
        <w:rPr>
          <w:rFonts w:ascii="Times New Roman" w:hAnsi="Times New Roman" w:cs="Times New Roman"/>
          <w:sz w:val="24"/>
        </w:rPr>
        <w:t>This s</w:t>
      </w:r>
      <w:r w:rsidR="00BF4E51" w:rsidRPr="0020062E">
        <w:rPr>
          <w:rFonts w:ascii="Times New Roman" w:hAnsi="Times New Roman" w:cs="Times New Roman"/>
          <w:sz w:val="24"/>
        </w:rPr>
        <w:t xml:space="preserve">ection provides </w:t>
      </w:r>
      <w:r w:rsidR="00105896" w:rsidRPr="002F690D">
        <w:rPr>
          <w:rFonts w:ascii="Times New Roman" w:hAnsi="Times New Roman"/>
          <w:color w:val="000000"/>
          <w:sz w:val="24"/>
        </w:rPr>
        <w:t xml:space="preserve">that the </w:t>
      </w:r>
      <w:r w:rsidR="00E24B56" w:rsidRPr="002F690D">
        <w:rPr>
          <w:rFonts w:ascii="Times New Roman" w:hAnsi="Times New Roman"/>
          <w:color w:val="000000"/>
          <w:sz w:val="24"/>
        </w:rPr>
        <w:t>Declaration is</w:t>
      </w:r>
      <w:r w:rsidR="00105896" w:rsidRPr="002F690D">
        <w:rPr>
          <w:rFonts w:ascii="Times New Roman" w:hAnsi="Times New Roman"/>
          <w:color w:val="000000"/>
          <w:sz w:val="24"/>
        </w:rPr>
        <w:t xml:space="preserve"> made</w:t>
      </w:r>
      <w:r w:rsidR="00105896" w:rsidRPr="0020062E">
        <w:rPr>
          <w:rFonts w:ascii="Times New Roman" w:hAnsi="Times New Roman" w:cs="Times New Roman"/>
          <w:sz w:val="24"/>
        </w:rPr>
        <w:t xml:space="preserve"> under the </w:t>
      </w:r>
      <w:r w:rsidR="00105896" w:rsidRPr="0020062E">
        <w:rPr>
          <w:rFonts w:ascii="Times New Roman" w:hAnsi="Times New Roman" w:cs="Times New Roman"/>
          <w:i/>
          <w:sz w:val="24"/>
        </w:rPr>
        <w:t>Primary Industries (Excise) Levies Act 199</w:t>
      </w:r>
      <w:r w:rsidR="00301D43">
        <w:rPr>
          <w:rFonts w:ascii="Times New Roman" w:hAnsi="Times New Roman" w:cs="Times New Roman"/>
          <w:i/>
          <w:sz w:val="24"/>
        </w:rPr>
        <w:t>9</w:t>
      </w:r>
      <w:r w:rsidR="001344EB">
        <w:rPr>
          <w:rFonts w:ascii="Times New Roman" w:hAnsi="Times New Roman" w:cs="Times New Roman"/>
          <w:i/>
          <w:snapToGrid w:val="0"/>
          <w:sz w:val="24"/>
        </w:rPr>
        <w:t>.</w:t>
      </w:r>
    </w:p>
    <w:p w14:paraId="35554399" w14:textId="77777777" w:rsidR="007B4E88" w:rsidRDefault="007B4E88">
      <w:pPr>
        <w:pStyle w:val="Normal-em"/>
        <w:rPr>
          <w:iCs/>
          <w:color w:val="auto"/>
          <w:szCs w:val="24"/>
        </w:rPr>
      </w:pPr>
    </w:p>
    <w:p w14:paraId="230F1BA7" w14:textId="77777777" w:rsidR="007B4E88" w:rsidRDefault="00EE13E3">
      <w:pPr>
        <w:pStyle w:val="Normal-em"/>
        <w:ind w:left="1440" w:hanging="1440"/>
        <w:rPr>
          <w:color w:val="auto"/>
          <w:szCs w:val="24"/>
          <w:u w:val="single"/>
        </w:rPr>
      </w:pPr>
      <w:r>
        <w:rPr>
          <w:color w:val="auto"/>
          <w:szCs w:val="24"/>
          <w:u w:val="single"/>
        </w:rPr>
        <w:t>Section 4 – Schedule</w:t>
      </w:r>
    </w:p>
    <w:p w14:paraId="15A48BB2" w14:textId="77777777" w:rsidR="007B4E88" w:rsidRDefault="007B4E88">
      <w:pPr>
        <w:pStyle w:val="Normal-em"/>
        <w:rPr>
          <w:color w:val="auto"/>
          <w:szCs w:val="24"/>
        </w:rPr>
      </w:pPr>
    </w:p>
    <w:p w14:paraId="648FDDB7" w14:textId="014B7586" w:rsidR="007B4E88" w:rsidRDefault="001C736A">
      <w:pPr>
        <w:pStyle w:val="Normal-em"/>
        <w:rPr>
          <w:color w:val="auto"/>
          <w:szCs w:val="24"/>
        </w:rPr>
      </w:pPr>
      <w:r>
        <w:rPr>
          <w:color w:val="auto"/>
          <w:szCs w:val="24"/>
        </w:rPr>
        <w:t>This s</w:t>
      </w:r>
      <w:r w:rsidR="00EE13E3">
        <w:rPr>
          <w:color w:val="auto"/>
          <w:szCs w:val="24"/>
        </w:rPr>
        <w:t xml:space="preserve">ection provides for the </w:t>
      </w:r>
      <w:r w:rsidR="00A04E2C">
        <w:rPr>
          <w:i/>
          <w:iCs/>
        </w:rPr>
        <w:t>Primary Industries (Excise) Levies (Designated Bodies) Declaration 2013</w:t>
      </w:r>
      <w:r w:rsidR="00A04E2C">
        <w:t xml:space="preserve"> </w:t>
      </w:r>
      <w:r w:rsidR="00EE13E3">
        <w:rPr>
          <w:color w:val="auto"/>
          <w:szCs w:val="24"/>
        </w:rPr>
        <w:t>to be amended as set out in Schedule 1.</w:t>
      </w:r>
    </w:p>
    <w:p w14:paraId="7E399C34" w14:textId="77777777" w:rsidR="007B4E88" w:rsidRDefault="007B4E88">
      <w:pPr>
        <w:pStyle w:val="Normal-em"/>
        <w:rPr>
          <w:iCs/>
          <w:color w:val="auto"/>
          <w:szCs w:val="24"/>
        </w:rPr>
      </w:pPr>
    </w:p>
    <w:p w14:paraId="032A7839" w14:textId="2C739424" w:rsidR="007B4E88" w:rsidRDefault="001344EB">
      <w:pPr>
        <w:pStyle w:val="Normal-em"/>
        <w:rPr>
          <w:color w:val="auto"/>
          <w:szCs w:val="24"/>
        </w:rPr>
      </w:pPr>
      <w:r>
        <w:rPr>
          <w:color w:val="auto"/>
          <w:szCs w:val="24"/>
          <w:u w:val="single"/>
        </w:rPr>
        <w:t>Schedule 1</w:t>
      </w:r>
    </w:p>
    <w:p w14:paraId="0F52C39B" w14:textId="77777777" w:rsidR="007B4E88" w:rsidRDefault="007B4E88">
      <w:pPr>
        <w:pStyle w:val="Normal-em"/>
        <w:rPr>
          <w:iCs/>
          <w:color w:val="auto"/>
          <w:szCs w:val="24"/>
        </w:rPr>
      </w:pPr>
    </w:p>
    <w:p w14:paraId="3C7329EF" w14:textId="676CD0CF" w:rsidR="003901E8" w:rsidRDefault="00AD5ED9" w:rsidP="001344EB">
      <w:pPr>
        <w:pStyle w:val="ListBullet"/>
      </w:pPr>
      <w:r>
        <w:t xml:space="preserve">Item 1 </w:t>
      </w:r>
      <w:r w:rsidR="00A87B4D">
        <w:t xml:space="preserve">repeals section 4 of </w:t>
      </w:r>
      <w:r w:rsidR="001344EB" w:rsidRPr="001344EB">
        <w:t xml:space="preserve"> the</w:t>
      </w:r>
      <w:r w:rsidR="001344EB">
        <w:rPr>
          <w:i/>
        </w:rPr>
        <w:t xml:space="preserve"> </w:t>
      </w:r>
      <w:r w:rsidR="001344EB" w:rsidRPr="00A178DC">
        <w:rPr>
          <w:i/>
        </w:rPr>
        <w:t>Primary Industries (Excise) Levies (Designated Bodies) Declaration 2013</w:t>
      </w:r>
      <w:r w:rsidR="001344EB">
        <w:t xml:space="preserve"> </w:t>
      </w:r>
      <w:r w:rsidR="00A87B4D">
        <w:t>and substitute</w:t>
      </w:r>
      <w:r w:rsidR="00564905">
        <w:t>s</w:t>
      </w:r>
      <w:r w:rsidR="00A87B4D">
        <w:t xml:space="preserve"> a new section 4 listing declaring</w:t>
      </w:r>
      <w:r w:rsidR="001344EB">
        <w:t xml:space="preserve"> </w:t>
      </w:r>
      <w:r w:rsidR="00564905">
        <w:t>27</w:t>
      </w:r>
      <w:r w:rsidR="001344EB">
        <w:t xml:space="preserve"> Plant Health Australia industry member organisations</w:t>
      </w:r>
      <w:r w:rsidR="00FF3C89">
        <w:t xml:space="preserve">, declaring </w:t>
      </w:r>
      <w:r w:rsidR="001C736A">
        <w:t>each as designated bodies</w:t>
      </w:r>
      <w:r w:rsidR="00FF3C89">
        <w:t xml:space="preserve"> for </w:t>
      </w:r>
      <w:r w:rsidR="003901E8">
        <w:t xml:space="preserve">a </w:t>
      </w:r>
      <w:r w:rsidR="00FF3C89">
        <w:t>specified</w:t>
      </w:r>
      <w:r w:rsidR="003901E8">
        <w:t xml:space="preserve"> product or</w:t>
      </w:r>
      <w:r w:rsidR="00FF3C89">
        <w:t xml:space="preserve"> products</w:t>
      </w:r>
      <w:r w:rsidR="001344EB">
        <w:t>.</w:t>
      </w:r>
      <w:r w:rsidR="00316C00">
        <w:t xml:space="preserve"> </w:t>
      </w:r>
    </w:p>
    <w:p w14:paraId="66B40DE3" w14:textId="77777777" w:rsidR="00E24B56" w:rsidRDefault="00EE13E3">
      <w:pPr>
        <w:pStyle w:val="norm1"/>
        <w:sectPr w:rsidR="00E24B56">
          <w:footerReference w:type="default" r:id="rId8"/>
          <w:pgSz w:w="11907" w:h="16840" w:code="9"/>
          <w:pgMar w:top="1418" w:right="1418" w:bottom="1418" w:left="1418" w:header="720" w:footer="720" w:gutter="0"/>
          <w:pgNumType w:start="1"/>
          <w:cols w:space="720"/>
          <w:titlePg/>
          <w:docGrid w:linePitch="360"/>
        </w:sectPr>
      </w:pPr>
      <w:r>
        <w:br w:type="page"/>
      </w:r>
    </w:p>
    <w:p w14:paraId="78F5A987" w14:textId="77777777" w:rsidR="00E24B56" w:rsidRDefault="00E24B56" w:rsidP="00C65836">
      <w:pPr>
        <w:pStyle w:val="Normal-em"/>
        <w:jc w:val="right"/>
        <w:rPr>
          <w:rFonts w:ascii="Times" w:hAnsi="Times"/>
          <w:b/>
          <w:caps/>
          <w:u w:val="single"/>
        </w:rPr>
      </w:pPr>
    </w:p>
    <w:p w14:paraId="0375A93E" w14:textId="77777777" w:rsidR="00E24B56" w:rsidRDefault="00E24B56" w:rsidP="00C65836">
      <w:pPr>
        <w:pStyle w:val="Normal-em"/>
        <w:rPr>
          <w:color w:val="auto"/>
          <w:szCs w:val="24"/>
        </w:rPr>
      </w:pPr>
    </w:p>
    <w:p w14:paraId="53EA531D" w14:textId="18EB1629" w:rsidR="00E24B56" w:rsidRPr="00E463B6" w:rsidRDefault="00E24B56" w:rsidP="00C65836">
      <w:pPr>
        <w:rPr>
          <w:rFonts w:ascii="Times New Roman" w:eastAsia="Calibri" w:hAnsi="Times New Roman" w:cs="Times New Roman"/>
          <w:b/>
          <w:sz w:val="24"/>
          <w:u w:val="single"/>
        </w:rPr>
      </w:pPr>
      <w:r>
        <w:rPr>
          <w:rFonts w:ascii="Times New Roman" w:eastAsia="Calibri" w:hAnsi="Times New Roman" w:cs="Times New Roman"/>
          <w:b/>
          <w:sz w:val="24"/>
          <w:u w:val="single"/>
        </w:rPr>
        <w:t xml:space="preserve">Details of </w:t>
      </w:r>
      <w:r w:rsidRPr="009664E1">
        <w:rPr>
          <w:rFonts w:ascii="Times New Roman" w:eastAsia="Calibri" w:hAnsi="Times New Roman" w:cs="Times New Roman"/>
          <w:b/>
          <w:sz w:val="24"/>
          <w:u w:val="single"/>
        </w:rPr>
        <w:t xml:space="preserve">the </w:t>
      </w:r>
      <w:r w:rsidRPr="00E463B6">
        <w:rPr>
          <w:rFonts w:ascii="Times New Roman" w:eastAsia="Calibri" w:hAnsi="Times New Roman" w:cs="Times New Roman"/>
          <w:b/>
          <w:sz w:val="24"/>
          <w:u w:val="single"/>
        </w:rPr>
        <w:t>Primary Industry (Customs) Charges (Designated Bodies) Declaration 2017</w:t>
      </w:r>
    </w:p>
    <w:p w14:paraId="5F836416" w14:textId="77777777" w:rsidR="00E24B56" w:rsidRDefault="00E24B56" w:rsidP="00C65836">
      <w:pPr>
        <w:tabs>
          <w:tab w:val="left" w:pos="1701"/>
          <w:tab w:val="right" w:pos="9072"/>
        </w:tabs>
      </w:pPr>
    </w:p>
    <w:p w14:paraId="4EA3970D" w14:textId="5A774C81" w:rsidR="00E24B56" w:rsidRDefault="00E24B56" w:rsidP="00C65836">
      <w:pPr>
        <w:pStyle w:val="Normal-em"/>
        <w:ind w:left="1440" w:hanging="1440"/>
        <w:rPr>
          <w:color w:val="auto"/>
          <w:szCs w:val="24"/>
          <w:u w:val="single"/>
        </w:rPr>
      </w:pPr>
      <w:r>
        <w:rPr>
          <w:color w:val="auto"/>
          <w:szCs w:val="24"/>
          <w:u w:val="single"/>
        </w:rPr>
        <w:t xml:space="preserve">Section 1 – Name </w:t>
      </w:r>
    </w:p>
    <w:p w14:paraId="74E6BF9C" w14:textId="77777777" w:rsidR="00E24B56" w:rsidRDefault="00E24B56" w:rsidP="00C65836">
      <w:pPr>
        <w:pStyle w:val="Normal-em"/>
        <w:ind w:left="1440" w:hanging="1440"/>
        <w:rPr>
          <w:b/>
          <w:color w:val="auto"/>
          <w:szCs w:val="24"/>
        </w:rPr>
      </w:pPr>
    </w:p>
    <w:p w14:paraId="39590A7D" w14:textId="3BB50F27" w:rsidR="00E24B56" w:rsidRPr="00884944" w:rsidRDefault="001C736A" w:rsidP="00054922">
      <w:pPr>
        <w:pStyle w:val="Normal-em"/>
      </w:pPr>
      <w:r>
        <w:rPr>
          <w:color w:val="auto"/>
          <w:szCs w:val="24"/>
        </w:rPr>
        <w:t>This s</w:t>
      </w:r>
      <w:r w:rsidR="00E24B56">
        <w:rPr>
          <w:color w:val="auto"/>
          <w:szCs w:val="24"/>
        </w:rPr>
        <w:t xml:space="preserve">ection provides that </w:t>
      </w:r>
      <w:r w:rsidR="00FF3C89">
        <w:rPr>
          <w:color w:val="auto"/>
          <w:szCs w:val="24"/>
        </w:rPr>
        <w:t xml:space="preserve">the name of the </w:t>
      </w:r>
      <w:r w:rsidR="00C65836">
        <w:rPr>
          <w:color w:val="auto"/>
          <w:szCs w:val="24"/>
        </w:rPr>
        <w:t>D</w:t>
      </w:r>
      <w:r w:rsidR="00FF3C89">
        <w:rPr>
          <w:color w:val="auto"/>
          <w:szCs w:val="24"/>
        </w:rPr>
        <w:t>eclaration is</w:t>
      </w:r>
      <w:r w:rsidR="00C65836">
        <w:rPr>
          <w:color w:val="auto"/>
          <w:szCs w:val="24"/>
        </w:rPr>
        <w:t xml:space="preserve"> the</w:t>
      </w:r>
      <w:r w:rsidR="00C65836" w:rsidRPr="00054922">
        <w:rPr>
          <w:color w:val="auto"/>
          <w:szCs w:val="24"/>
        </w:rPr>
        <w:t xml:space="preserve"> </w:t>
      </w:r>
      <w:r w:rsidR="00E24B56" w:rsidRPr="00054922">
        <w:rPr>
          <w:i/>
          <w:color w:val="auto"/>
          <w:szCs w:val="24"/>
        </w:rPr>
        <w:t>Primary Industry (Customs) Charges (Designated Bodies) Declaration 2017</w:t>
      </w:r>
      <w:r w:rsidR="00C65836">
        <w:rPr>
          <w:color w:val="auto"/>
          <w:szCs w:val="24"/>
        </w:rPr>
        <w:t>.</w:t>
      </w:r>
    </w:p>
    <w:p w14:paraId="27F42E42" w14:textId="77777777" w:rsidR="00E24B56" w:rsidRDefault="00E24B56" w:rsidP="00C65836"/>
    <w:p w14:paraId="5D9F7371" w14:textId="77777777" w:rsidR="00E24B56" w:rsidRDefault="00E24B56" w:rsidP="00C65836">
      <w:pPr>
        <w:pStyle w:val="Normal-em"/>
        <w:rPr>
          <w:color w:val="auto"/>
          <w:szCs w:val="24"/>
          <w:u w:val="single"/>
        </w:rPr>
      </w:pPr>
      <w:r>
        <w:rPr>
          <w:color w:val="auto"/>
          <w:szCs w:val="24"/>
          <w:u w:val="single"/>
        </w:rPr>
        <w:t>Section 2 – Commencement</w:t>
      </w:r>
    </w:p>
    <w:p w14:paraId="491C8B3E" w14:textId="77777777" w:rsidR="00E24B56" w:rsidRDefault="00E24B56" w:rsidP="00C65836">
      <w:pPr>
        <w:pStyle w:val="Normal-em"/>
        <w:rPr>
          <w:color w:val="auto"/>
          <w:szCs w:val="24"/>
        </w:rPr>
      </w:pPr>
    </w:p>
    <w:p w14:paraId="6716B784" w14:textId="2C131ECA" w:rsidR="00E24B56" w:rsidRDefault="001C736A" w:rsidP="00C65836">
      <w:pPr>
        <w:pStyle w:val="Normal-em"/>
        <w:rPr>
          <w:color w:val="auto"/>
          <w:szCs w:val="24"/>
          <w:highlight w:val="yellow"/>
        </w:rPr>
      </w:pPr>
      <w:r>
        <w:rPr>
          <w:color w:val="auto"/>
          <w:szCs w:val="24"/>
        </w:rPr>
        <w:t>This s</w:t>
      </w:r>
      <w:r w:rsidR="00E24B56">
        <w:rPr>
          <w:color w:val="auto"/>
          <w:szCs w:val="24"/>
        </w:rPr>
        <w:t>ection provides fo</w:t>
      </w:r>
      <w:r w:rsidR="003901E8">
        <w:rPr>
          <w:color w:val="auto"/>
          <w:szCs w:val="24"/>
        </w:rPr>
        <w:t>r the Declara</w:t>
      </w:r>
      <w:r w:rsidR="00C65836">
        <w:rPr>
          <w:color w:val="auto"/>
          <w:szCs w:val="24"/>
        </w:rPr>
        <w:t xml:space="preserve">tion </w:t>
      </w:r>
      <w:r w:rsidR="00E24B56">
        <w:rPr>
          <w:rFonts w:eastAsia="Calibri"/>
        </w:rPr>
        <w:t xml:space="preserve">to commence </w:t>
      </w:r>
      <w:r w:rsidR="00FF3C89">
        <w:rPr>
          <w:rFonts w:eastAsia="Calibri"/>
        </w:rPr>
        <w:t xml:space="preserve">the day after it </w:t>
      </w:r>
      <w:r w:rsidR="00B972CF">
        <w:rPr>
          <w:rFonts w:eastAsia="Calibri"/>
        </w:rPr>
        <w:t xml:space="preserve">the instrument </w:t>
      </w:r>
      <w:r w:rsidR="00FF3C89">
        <w:rPr>
          <w:rFonts w:eastAsia="Calibri"/>
        </w:rPr>
        <w:t>is registered</w:t>
      </w:r>
      <w:r w:rsidR="00E24B56">
        <w:rPr>
          <w:rFonts w:eastAsia="Calibri"/>
        </w:rPr>
        <w:t xml:space="preserve">. </w:t>
      </w:r>
      <w:r w:rsidR="00E24B56" w:rsidRPr="00C70CD5" w:rsidDel="00EA4E06">
        <w:t xml:space="preserve"> </w:t>
      </w:r>
    </w:p>
    <w:p w14:paraId="6D8B35AA" w14:textId="77777777" w:rsidR="00E24B56" w:rsidRDefault="00E24B56" w:rsidP="00C65836">
      <w:pPr>
        <w:pStyle w:val="Normal-em"/>
        <w:rPr>
          <w:color w:val="auto"/>
          <w:szCs w:val="24"/>
        </w:rPr>
      </w:pPr>
    </w:p>
    <w:p w14:paraId="1096BE7C" w14:textId="77777777" w:rsidR="00E24B56" w:rsidRDefault="00E24B56" w:rsidP="00C65836">
      <w:pPr>
        <w:pStyle w:val="Normal-em"/>
        <w:ind w:left="1440" w:hanging="1440"/>
        <w:rPr>
          <w:color w:val="auto"/>
          <w:szCs w:val="24"/>
          <w:u w:val="single"/>
        </w:rPr>
      </w:pPr>
      <w:r>
        <w:rPr>
          <w:color w:val="auto"/>
          <w:szCs w:val="24"/>
          <w:u w:val="single"/>
        </w:rPr>
        <w:t>Section 3 – Authority</w:t>
      </w:r>
    </w:p>
    <w:p w14:paraId="02165B1D" w14:textId="77777777" w:rsidR="00E24B56" w:rsidRDefault="00E24B56" w:rsidP="00C65836">
      <w:pPr>
        <w:pStyle w:val="Normal-em"/>
        <w:rPr>
          <w:color w:val="auto"/>
          <w:szCs w:val="24"/>
        </w:rPr>
      </w:pPr>
    </w:p>
    <w:p w14:paraId="2EB226A0" w14:textId="7490FA21" w:rsidR="00E24B56" w:rsidRPr="0020062E" w:rsidRDefault="001C736A" w:rsidP="00C65836">
      <w:pPr>
        <w:rPr>
          <w:rFonts w:ascii="Times New Roman" w:hAnsi="Times New Roman" w:cs="Times New Roman"/>
          <w:i/>
          <w:snapToGrid w:val="0"/>
          <w:sz w:val="24"/>
        </w:rPr>
      </w:pPr>
      <w:r>
        <w:rPr>
          <w:rFonts w:ascii="Times New Roman" w:hAnsi="Times New Roman" w:cs="Times New Roman"/>
          <w:sz w:val="24"/>
        </w:rPr>
        <w:t>This s</w:t>
      </w:r>
      <w:r w:rsidR="00E24B56" w:rsidRPr="0020062E">
        <w:rPr>
          <w:rFonts w:ascii="Times New Roman" w:hAnsi="Times New Roman" w:cs="Times New Roman"/>
          <w:sz w:val="24"/>
        </w:rPr>
        <w:t>ection provides that the</w:t>
      </w:r>
      <w:r w:rsidR="00FF3C89">
        <w:rPr>
          <w:rFonts w:ascii="Times New Roman" w:hAnsi="Times New Roman" w:cs="Times New Roman"/>
          <w:sz w:val="24"/>
        </w:rPr>
        <w:t xml:space="preserve"> </w:t>
      </w:r>
      <w:r w:rsidR="003901E8" w:rsidRPr="002F690D">
        <w:rPr>
          <w:rFonts w:ascii="Times New Roman" w:hAnsi="Times New Roman"/>
          <w:sz w:val="24"/>
        </w:rPr>
        <w:t xml:space="preserve">Declaration </w:t>
      </w:r>
      <w:r w:rsidR="00FF3C89">
        <w:rPr>
          <w:rFonts w:ascii="Times New Roman" w:hAnsi="Times New Roman" w:cs="Times New Roman"/>
          <w:sz w:val="24"/>
        </w:rPr>
        <w:t xml:space="preserve">is made under the </w:t>
      </w:r>
      <w:r w:rsidR="00E24B56" w:rsidRPr="0020062E">
        <w:rPr>
          <w:rFonts w:ascii="Times New Roman" w:hAnsi="Times New Roman" w:cs="Times New Roman"/>
          <w:i/>
          <w:snapToGrid w:val="0"/>
          <w:sz w:val="24"/>
        </w:rPr>
        <w:t>Primary Industries (Customs) Charges Act 1999</w:t>
      </w:r>
      <w:r w:rsidR="00E24B56">
        <w:rPr>
          <w:rFonts w:ascii="Times New Roman" w:hAnsi="Times New Roman" w:cs="Times New Roman"/>
          <w:i/>
          <w:snapToGrid w:val="0"/>
          <w:sz w:val="24"/>
        </w:rPr>
        <w:t>.</w:t>
      </w:r>
    </w:p>
    <w:p w14:paraId="03809FB9" w14:textId="77777777" w:rsidR="00E24B56" w:rsidRDefault="00E24B56" w:rsidP="00C65836">
      <w:pPr>
        <w:pStyle w:val="Normal-em"/>
        <w:rPr>
          <w:iCs/>
          <w:color w:val="auto"/>
          <w:szCs w:val="24"/>
        </w:rPr>
      </w:pPr>
    </w:p>
    <w:p w14:paraId="787C2D48" w14:textId="431AF2AD" w:rsidR="00E24B56" w:rsidRDefault="00E24B56" w:rsidP="00C65836">
      <w:pPr>
        <w:pStyle w:val="Normal-em"/>
        <w:ind w:left="1440" w:hanging="1440"/>
        <w:rPr>
          <w:color w:val="auto"/>
          <w:szCs w:val="24"/>
          <w:u w:val="single"/>
        </w:rPr>
      </w:pPr>
      <w:r>
        <w:rPr>
          <w:color w:val="auto"/>
          <w:szCs w:val="24"/>
          <w:u w:val="single"/>
        </w:rPr>
        <w:t xml:space="preserve">Section 4 – </w:t>
      </w:r>
      <w:r w:rsidR="00FF3C89">
        <w:rPr>
          <w:color w:val="auto"/>
          <w:szCs w:val="24"/>
          <w:u w:val="single"/>
        </w:rPr>
        <w:t>Designated bodies</w:t>
      </w:r>
    </w:p>
    <w:p w14:paraId="4D939B45" w14:textId="77777777" w:rsidR="00E24B56" w:rsidRDefault="00E24B56" w:rsidP="00C65836">
      <w:pPr>
        <w:pStyle w:val="Normal-em"/>
        <w:rPr>
          <w:color w:val="auto"/>
          <w:szCs w:val="24"/>
        </w:rPr>
      </w:pPr>
    </w:p>
    <w:p w14:paraId="32B88D8B" w14:textId="6D6C82A2" w:rsidR="00E24B56" w:rsidRPr="00B972CF" w:rsidRDefault="001C736A" w:rsidP="00C65836">
      <w:pPr>
        <w:rPr>
          <w:rFonts w:ascii="Times New Roman" w:hAnsi="Times New Roman" w:cs="Times New Roman"/>
          <w:sz w:val="24"/>
        </w:rPr>
      </w:pPr>
      <w:r>
        <w:rPr>
          <w:rFonts w:ascii="Times New Roman" w:hAnsi="Times New Roman" w:cs="Times New Roman"/>
          <w:sz w:val="24"/>
        </w:rPr>
        <w:t>This s</w:t>
      </w:r>
      <w:r w:rsidR="00E24B56" w:rsidRPr="00054922">
        <w:rPr>
          <w:rFonts w:ascii="Times New Roman" w:hAnsi="Times New Roman" w:cs="Times New Roman"/>
          <w:sz w:val="24"/>
        </w:rPr>
        <w:t xml:space="preserve">ection </w:t>
      </w:r>
      <w:r w:rsidR="00FF3C89" w:rsidRPr="00054922">
        <w:rPr>
          <w:rFonts w:ascii="Times New Roman" w:hAnsi="Times New Roman" w:cs="Times New Roman"/>
          <w:sz w:val="24"/>
        </w:rPr>
        <w:t xml:space="preserve">declares eighteen Plant Health Australia industry member organisations </w:t>
      </w:r>
      <w:r>
        <w:rPr>
          <w:rFonts w:ascii="Times New Roman" w:hAnsi="Times New Roman" w:cs="Times New Roman"/>
          <w:sz w:val="24"/>
        </w:rPr>
        <w:t>as designated bodies</w:t>
      </w:r>
      <w:r w:rsidR="00FF3C89" w:rsidRPr="00054922">
        <w:rPr>
          <w:rFonts w:ascii="Times New Roman" w:hAnsi="Times New Roman" w:cs="Times New Roman"/>
          <w:sz w:val="24"/>
        </w:rPr>
        <w:t xml:space="preserve"> for a specified product or products. </w:t>
      </w:r>
    </w:p>
    <w:p w14:paraId="6D1AE16A" w14:textId="77777777" w:rsidR="00E24B56" w:rsidRDefault="00E24B56" w:rsidP="00C65836">
      <w:pPr>
        <w:pStyle w:val="Normal-em"/>
        <w:rPr>
          <w:iCs/>
          <w:color w:val="auto"/>
          <w:szCs w:val="24"/>
        </w:rPr>
      </w:pPr>
    </w:p>
    <w:p w14:paraId="2A189772" w14:textId="77777777" w:rsidR="00E24B56" w:rsidRDefault="00E24B56" w:rsidP="00C65836">
      <w:pPr>
        <w:pStyle w:val="norm1"/>
      </w:pPr>
      <w:r>
        <w:br w:type="page"/>
      </w:r>
    </w:p>
    <w:p w14:paraId="214D0215" w14:textId="77777777" w:rsidR="00095859" w:rsidRDefault="00095859" w:rsidP="00733FF5">
      <w:pPr>
        <w:spacing w:before="360" w:after="120"/>
        <w:jc w:val="center"/>
        <w:rPr>
          <w:rFonts w:ascii="Times New Roman" w:hAnsi="Times New Roman"/>
          <w:b/>
          <w:sz w:val="28"/>
          <w:szCs w:val="28"/>
        </w:rPr>
      </w:pPr>
    </w:p>
    <w:p w14:paraId="443935A0" w14:textId="77777777" w:rsidR="0000562C" w:rsidRDefault="0000562C" w:rsidP="00733F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CB0E4B" w14:textId="77777777" w:rsidR="0000562C" w:rsidRDefault="0000562C" w:rsidP="00733FF5">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14:paraId="45F044EA" w14:textId="77777777" w:rsidR="0000562C" w:rsidRDefault="0000562C" w:rsidP="002F690D">
      <w:pPr>
        <w:jc w:val="center"/>
        <w:rPr>
          <w:rFonts w:ascii="Times New Roman" w:hAnsi="Times New Roman"/>
          <w:sz w:val="24"/>
        </w:rPr>
      </w:pPr>
    </w:p>
    <w:p w14:paraId="2D908D8A" w14:textId="77777777" w:rsidR="0000562C" w:rsidRPr="008B2CF6" w:rsidRDefault="0000562C" w:rsidP="00733FF5">
      <w:pPr>
        <w:jc w:val="center"/>
        <w:rPr>
          <w:rFonts w:ascii="Times New Roman" w:hAnsi="Times New Roman" w:cs="Times New Roman"/>
          <w:b/>
          <w:sz w:val="24"/>
        </w:rPr>
      </w:pPr>
      <w:r w:rsidRPr="008B2CF6">
        <w:rPr>
          <w:rFonts w:ascii="Times New Roman" w:hAnsi="Times New Roman" w:cs="Times New Roman"/>
          <w:b/>
          <w:i/>
          <w:iCs/>
          <w:sz w:val="24"/>
        </w:rPr>
        <w:t>Primary Industries (Excise) Levies (Designated Bodies) Amendment Declaration 2017</w:t>
      </w:r>
    </w:p>
    <w:p w14:paraId="1D92BA61" w14:textId="77777777" w:rsidR="0000562C" w:rsidRPr="008B2CF6" w:rsidRDefault="0000562C" w:rsidP="00733FF5">
      <w:pPr>
        <w:jc w:val="center"/>
        <w:rPr>
          <w:rFonts w:ascii="Times New Roman" w:hAnsi="Times New Roman" w:cs="Times New Roman"/>
          <w:b/>
          <w:sz w:val="24"/>
        </w:rPr>
      </w:pPr>
    </w:p>
    <w:p w14:paraId="2104ED83" w14:textId="77777777" w:rsidR="0000562C" w:rsidRPr="008B2CF6" w:rsidRDefault="0000562C" w:rsidP="00733FF5">
      <w:pPr>
        <w:jc w:val="center"/>
        <w:rPr>
          <w:rFonts w:ascii="Times New Roman" w:hAnsi="Times New Roman" w:cs="Times New Roman"/>
          <w:b/>
          <w:sz w:val="24"/>
        </w:rPr>
      </w:pPr>
      <w:r w:rsidRPr="008B2CF6">
        <w:rPr>
          <w:rFonts w:ascii="Times New Roman" w:hAnsi="Times New Roman" w:cs="Times New Roman"/>
          <w:b/>
          <w:i/>
          <w:sz w:val="24"/>
          <w:lang w:val="en-GB"/>
        </w:rPr>
        <w:t>Primary Industry (Customs) Charges (Designated Bodies) Declaration 2017</w:t>
      </w:r>
    </w:p>
    <w:p w14:paraId="55187F00" w14:textId="77777777" w:rsidR="0000562C" w:rsidRDefault="0000562C" w:rsidP="00733FF5">
      <w:pPr>
        <w:jc w:val="center"/>
        <w:rPr>
          <w:rFonts w:ascii="Times New Roman" w:hAnsi="Times New Roman" w:cs="Times New Roman"/>
          <w:b/>
          <w:i/>
          <w:sz w:val="24"/>
        </w:rPr>
      </w:pPr>
    </w:p>
    <w:sdt>
      <w:sdtPr>
        <w:rPr>
          <w:rFonts w:ascii="Times New Roman" w:hAnsi="Times New Roman"/>
          <w:sz w:val="24"/>
        </w:rPr>
        <w:id w:val="1431242346"/>
        <w:lock w:val="contentLocked"/>
        <w:placeholder>
          <w:docPart w:val="B2AAD4F34875452A869F70F4FA43FE47"/>
        </w:placeholder>
        <w:group/>
      </w:sdtPr>
      <w:sdtEndPr>
        <w:rPr>
          <w:b/>
        </w:rPr>
      </w:sdtEndPr>
      <w:sdtContent>
        <w:p w14:paraId="27CCF69F" w14:textId="77777777" w:rsidR="0000562C" w:rsidRDefault="0000562C" w:rsidP="00733FF5">
          <w:pPr>
            <w:jc w:val="center"/>
            <w:rPr>
              <w:rFonts w:ascii="Times New Roman" w:hAnsi="Times New Roman"/>
              <w:sz w:val="24"/>
            </w:rPr>
          </w:pPr>
        </w:p>
        <w:p w14:paraId="7D1E0082" w14:textId="77777777" w:rsidR="0000562C" w:rsidRDefault="0000562C" w:rsidP="00733FF5">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030677C3" w14:textId="77777777" w:rsidR="0000562C" w:rsidRDefault="0000562C" w:rsidP="00733FF5">
          <w:pPr>
            <w:rPr>
              <w:rFonts w:ascii="Times New Roman" w:hAnsi="Times New Roman"/>
              <w:sz w:val="24"/>
            </w:rPr>
          </w:pPr>
        </w:p>
        <w:p w14:paraId="2A2D231F" w14:textId="77777777" w:rsidR="0000562C" w:rsidRDefault="0000562C" w:rsidP="00733FF5">
          <w:pPr>
            <w:spacing w:after="120"/>
            <w:jc w:val="both"/>
            <w:rPr>
              <w:rFonts w:ascii="Times New Roman" w:hAnsi="Times New Roman"/>
              <w:b/>
              <w:sz w:val="24"/>
            </w:rPr>
          </w:pPr>
          <w:r>
            <w:rPr>
              <w:rFonts w:ascii="Times New Roman" w:hAnsi="Times New Roman"/>
              <w:b/>
              <w:sz w:val="24"/>
            </w:rPr>
            <w:t>Overview of the Legislative Instrument</w:t>
          </w:r>
        </w:p>
      </w:sdtContent>
    </w:sdt>
    <w:p w14:paraId="20A92758" w14:textId="1768015A" w:rsidR="0000562C" w:rsidRDefault="0000562C" w:rsidP="00733FF5">
      <w:pPr>
        <w:tabs>
          <w:tab w:val="right" w:pos="9072"/>
        </w:tabs>
        <w:rPr>
          <w:rFonts w:ascii="Times New Roman" w:hAnsi="Times New Roman" w:cs="Times New Roman"/>
          <w:iCs/>
          <w:sz w:val="24"/>
        </w:rPr>
      </w:pPr>
      <w:r w:rsidRPr="00234783">
        <w:rPr>
          <w:rFonts w:ascii="Times New Roman" w:eastAsia="Calibri" w:hAnsi="Times New Roman" w:cs="Times New Roman"/>
          <w:sz w:val="24"/>
        </w:rPr>
        <w:t xml:space="preserve">The purpose of the </w:t>
      </w:r>
      <w:r w:rsidRPr="00234783">
        <w:rPr>
          <w:rFonts w:ascii="Times New Roman" w:hAnsi="Times New Roman" w:cs="Times New Roman"/>
          <w:i/>
          <w:iCs/>
          <w:sz w:val="24"/>
        </w:rPr>
        <w:t xml:space="preserve">Primary Industries (Excise) Levies (Designated Bodies) </w:t>
      </w:r>
      <w:r>
        <w:rPr>
          <w:rFonts w:ascii="Times New Roman" w:hAnsi="Times New Roman" w:cs="Times New Roman"/>
          <w:i/>
          <w:iCs/>
          <w:sz w:val="24"/>
        </w:rPr>
        <w:t xml:space="preserve">Amendment </w:t>
      </w:r>
      <w:r w:rsidRPr="00234783">
        <w:rPr>
          <w:rFonts w:ascii="Times New Roman" w:hAnsi="Times New Roman" w:cs="Times New Roman"/>
          <w:i/>
          <w:iCs/>
          <w:sz w:val="24"/>
        </w:rPr>
        <w:t xml:space="preserve">Declaration </w:t>
      </w:r>
      <w:r>
        <w:rPr>
          <w:rFonts w:ascii="Times New Roman" w:hAnsi="Times New Roman" w:cs="Times New Roman"/>
          <w:i/>
          <w:iCs/>
          <w:sz w:val="24"/>
        </w:rPr>
        <w:t>2017</w:t>
      </w:r>
      <w:r>
        <w:rPr>
          <w:rFonts w:ascii="Times New Roman" w:hAnsi="Times New Roman" w:cs="Times New Roman"/>
          <w:sz w:val="24"/>
        </w:rPr>
        <w:t xml:space="preserve"> </w:t>
      </w:r>
      <w:r w:rsidRPr="00234783">
        <w:rPr>
          <w:rFonts w:ascii="Times New Roman" w:hAnsi="Times New Roman" w:cs="Times New Roman"/>
          <w:sz w:val="24"/>
        </w:rPr>
        <w:t xml:space="preserve">is to declare </w:t>
      </w:r>
      <w:r>
        <w:rPr>
          <w:rFonts w:ascii="Times New Roman" w:hAnsi="Times New Roman" w:cs="Times New Roman"/>
          <w:sz w:val="24"/>
        </w:rPr>
        <w:t>twenty-four additional</w:t>
      </w:r>
      <w:r w:rsidRPr="00234783">
        <w:rPr>
          <w:rFonts w:ascii="Times New Roman" w:hAnsi="Times New Roman" w:cs="Times New Roman"/>
          <w:sz w:val="24"/>
        </w:rPr>
        <w:t xml:space="preserve"> Plant Health Australia industry member organisations </w:t>
      </w:r>
      <w:r w:rsidR="001C736A">
        <w:rPr>
          <w:rFonts w:ascii="Times New Roman" w:hAnsi="Times New Roman" w:cs="Times New Roman"/>
          <w:sz w:val="24"/>
        </w:rPr>
        <w:t>as</w:t>
      </w:r>
      <w:r w:rsidRPr="00234783">
        <w:rPr>
          <w:rFonts w:ascii="Times New Roman" w:hAnsi="Times New Roman" w:cs="Times New Roman"/>
          <w:sz w:val="24"/>
        </w:rPr>
        <w:t xml:space="preserve"> ‘designated bodies’ under clause 13 of Schedule 27 to the </w:t>
      </w:r>
      <w:r w:rsidRPr="00234783">
        <w:rPr>
          <w:rFonts w:ascii="Times New Roman" w:hAnsi="Times New Roman" w:cs="Times New Roman"/>
          <w:i/>
          <w:iCs/>
          <w:sz w:val="24"/>
        </w:rPr>
        <w:t>Primary Industries (Excise) Levies Act 1999</w:t>
      </w:r>
      <w:r w:rsidRPr="00234783">
        <w:rPr>
          <w:rFonts w:ascii="Times New Roman" w:hAnsi="Times New Roman" w:cs="Times New Roman"/>
          <w:iCs/>
          <w:sz w:val="24"/>
        </w:rPr>
        <w:t xml:space="preserve">. </w:t>
      </w:r>
    </w:p>
    <w:p w14:paraId="1457259A" w14:textId="77777777" w:rsidR="0000562C" w:rsidRDefault="0000562C" w:rsidP="00733FF5">
      <w:pPr>
        <w:tabs>
          <w:tab w:val="left" w:pos="8120"/>
        </w:tabs>
        <w:rPr>
          <w:rFonts w:ascii="Times New Roman" w:hAnsi="Times New Roman" w:cs="Times New Roman"/>
          <w:iCs/>
          <w:sz w:val="24"/>
        </w:rPr>
      </w:pPr>
    </w:p>
    <w:p w14:paraId="6E4A351F" w14:textId="3B2F6543" w:rsidR="0000562C" w:rsidRPr="00234783" w:rsidRDefault="0000562C" w:rsidP="00733FF5">
      <w:pPr>
        <w:rPr>
          <w:rFonts w:ascii="Times New Roman" w:hAnsi="Times New Roman"/>
          <w:i/>
          <w:sz w:val="24"/>
          <w:lang w:val="en-GB"/>
        </w:rPr>
      </w:pPr>
      <w:r w:rsidRPr="00234783">
        <w:rPr>
          <w:rFonts w:ascii="Times New Roman" w:eastAsia="Calibri" w:hAnsi="Times New Roman" w:cs="Times New Roman"/>
          <w:sz w:val="24"/>
        </w:rPr>
        <w:t>The purpose of the</w:t>
      </w:r>
      <w:r>
        <w:rPr>
          <w:rFonts w:ascii="Times New Roman" w:eastAsia="Calibri" w:hAnsi="Times New Roman" w:cs="Times New Roman"/>
          <w:sz w:val="24"/>
        </w:rPr>
        <w:t xml:space="preserve"> new</w:t>
      </w:r>
      <w:r w:rsidRPr="00234783">
        <w:rPr>
          <w:rFonts w:ascii="Times New Roman" w:eastAsia="Calibri" w:hAnsi="Times New Roman" w:cs="Times New Roman"/>
          <w:sz w:val="24"/>
        </w:rPr>
        <w:t xml:space="preserve"> </w:t>
      </w:r>
      <w:r w:rsidRPr="00885EED">
        <w:rPr>
          <w:rFonts w:ascii="Times New Roman" w:hAnsi="Times New Roman"/>
          <w:i/>
          <w:sz w:val="24"/>
          <w:lang w:val="en-GB"/>
        </w:rPr>
        <w:t>Primary Industry (Customs) Charges (Designated Bodies) Declaration 2017</w:t>
      </w:r>
      <w:r>
        <w:rPr>
          <w:rFonts w:ascii="Times New Roman" w:hAnsi="Times New Roman"/>
          <w:i/>
          <w:sz w:val="24"/>
          <w:lang w:val="en-GB"/>
        </w:rPr>
        <w:t xml:space="preserve"> </w:t>
      </w:r>
      <w:r w:rsidRPr="00234783">
        <w:rPr>
          <w:rFonts w:ascii="Times New Roman" w:hAnsi="Times New Roman" w:cs="Times New Roman"/>
          <w:sz w:val="24"/>
        </w:rPr>
        <w:t xml:space="preserve">is to declare </w:t>
      </w:r>
      <w:r w:rsidRPr="00D17E7B">
        <w:rPr>
          <w:rFonts w:ascii="Times New Roman" w:hAnsi="Times New Roman" w:cs="Times New Roman"/>
          <w:sz w:val="24"/>
        </w:rPr>
        <w:t>eighteen</w:t>
      </w:r>
      <w:r w:rsidRPr="00234783">
        <w:rPr>
          <w:rFonts w:ascii="Times New Roman" w:hAnsi="Times New Roman" w:cs="Times New Roman"/>
          <w:sz w:val="24"/>
        </w:rPr>
        <w:t xml:space="preserve"> Plant Health Australia industry member organisations </w:t>
      </w:r>
      <w:r w:rsidR="001C736A">
        <w:rPr>
          <w:rFonts w:ascii="Times New Roman" w:hAnsi="Times New Roman" w:cs="Times New Roman"/>
          <w:sz w:val="24"/>
        </w:rPr>
        <w:t xml:space="preserve">as </w:t>
      </w:r>
      <w:r w:rsidRPr="00234783">
        <w:rPr>
          <w:rFonts w:ascii="Times New Roman" w:hAnsi="Times New Roman" w:cs="Times New Roman"/>
          <w:sz w:val="24"/>
        </w:rPr>
        <w:t xml:space="preserve">‘designated bodies’ under </w:t>
      </w:r>
      <w:r>
        <w:rPr>
          <w:rFonts w:ascii="Times New Roman" w:hAnsi="Times New Roman" w:cs="Times New Roman"/>
          <w:sz w:val="24"/>
        </w:rPr>
        <w:t>clause 12 of Schedule 14</w:t>
      </w:r>
      <w:r w:rsidRPr="00234783">
        <w:rPr>
          <w:rFonts w:ascii="Times New Roman" w:hAnsi="Times New Roman" w:cs="Times New Roman"/>
          <w:sz w:val="24"/>
        </w:rPr>
        <w:t xml:space="preserve"> to the </w:t>
      </w:r>
      <w:r w:rsidRPr="00234783">
        <w:rPr>
          <w:rFonts w:ascii="Times New Roman" w:hAnsi="Times New Roman" w:cs="Times New Roman"/>
          <w:i/>
          <w:iCs/>
          <w:sz w:val="24"/>
        </w:rPr>
        <w:t xml:space="preserve">Primary Industries </w:t>
      </w:r>
      <w:r w:rsidRPr="00C37B5B">
        <w:rPr>
          <w:rFonts w:ascii="Times New Roman" w:hAnsi="Times New Roman"/>
          <w:i/>
          <w:iCs/>
          <w:sz w:val="24"/>
        </w:rPr>
        <w:t>(Customs) Charges Act 1999</w:t>
      </w:r>
      <w:r w:rsidRPr="0029731E">
        <w:rPr>
          <w:rFonts w:ascii="Times New Roman" w:hAnsi="Times New Roman"/>
          <w:iCs/>
          <w:sz w:val="24"/>
        </w:rPr>
        <w:t>.</w:t>
      </w:r>
      <w:r w:rsidRPr="00234783">
        <w:rPr>
          <w:rFonts w:ascii="Times New Roman" w:hAnsi="Times New Roman" w:cs="Times New Roman"/>
          <w:iCs/>
          <w:sz w:val="24"/>
        </w:rPr>
        <w:t xml:space="preserve"> </w:t>
      </w:r>
    </w:p>
    <w:p w14:paraId="2FE4DE99" w14:textId="77777777" w:rsidR="0000562C" w:rsidRPr="00921C4A" w:rsidRDefault="0000562C" w:rsidP="00733FF5">
      <w:pPr>
        <w:tabs>
          <w:tab w:val="left" w:pos="8120"/>
        </w:tabs>
        <w:rPr>
          <w:rFonts w:ascii="Times New Roman" w:hAnsi="Times New Roman" w:cs="Times New Roman"/>
          <w:iCs/>
          <w:sz w:val="24"/>
        </w:rPr>
      </w:pPr>
    </w:p>
    <w:p w14:paraId="7A3C62A1" w14:textId="77777777" w:rsidR="0000562C" w:rsidRDefault="0000562C" w:rsidP="002F690D">
      <w:pPr>
        <w:rPr>
          <w:rFonts w:ascii="Times New Roman" w:eastAsia="Calibri" w:hAnsi="Times New Roman" w:cs="Times New Roman"/>
          <w:sz w:val="24"/>
        </w:rPr>
      </w:pPr>
      <w:r w:rsidRPr="00921C4A">
        <w:rPr>
          <w:rFonts w:ascii="Times New Roman" w:hAnsi="Times New Roman"/>
          <w:b/>
          <w:sz w:val="24"/>
        </w:rPr>
        <w:t>Huma</w:t>
      </w:r>
      <w:r>
        <w:rPr>
          <w:rFonts w:ascii="Times New Roman" w:hAnsi="Times New Roman"/>
          <w:b/>
          <w:sz w:val="24"/>
        </w:rPr>
        <w:t xml:space="preserve">n rights </w:t>
      </w:r>
      <w:r w:rsidRPr="001C736A">
        <w:rPr>
          <w:rFonts w:ascii="Times New Roman" w:eastAsia="Calibri" w:hAnsi="Times New Roman" w:cs="Times New Roman"/>
          <w:b/>
          <w:sz w:val="24"/>
        </w:rPr>
        <w:t>implications</w:t>
      </w:r>
    </w:p>
    <w:p w14:paraId="01B49B9C" w14:textId="77777777" w:rsidR="001C736A" w:rsidRDefault="001C736A" w:rsidP="001C736A">
      <w:pPr>
        <w:rPr>
          <w:rFonts w:ascii="Times New Roman" w:hAnsi="Times New Roman"/>
          <w:sz w:val="24"/>
        </w:rPr>
      </w:pPr>
    </w:p>
    <w:p w14:paraId="79A0AC87" w14:textId="77777777" w:rsidR="0000562C" w:rsidRDefault="0000562C" w:rsidP="002F690D">
      <w:pPr>
        <w:rPr>
          <w:rFonts w:ascii="Times New Roman" w:hAnsi="Times New Roman"/>
          <w:sz w:val="24"/>
        </w:rPr>
      </w:pPr>
      <w:r>
        <w:rPr>
          <w:rFonts w:ascii="Times New Roman" w:hAnsi="Times New Roman"/>
          <w:sz w:val="24"/>
        </w:rPr>
        <w:t xml:space="preserve">These Legislative </w:t>
      </w:r>
      <w:r w:rsidRPr="001C736A">
        <w:rPr>
          <w:rFonts w:ascii="Times New Roman" w:eastAsia="Calibri" w:hAnsi="Times New Roman" w:cs="Times New Roman"/>
          <w:sz w:val="24"/>
        </w:rPr>
        <w:t>Instruments</w:t>
      </w:r>
      <w:r>
        <w:rPr>
          <w:rFonts w:ascii="Times New Roman" w:hAnsi="Times New Roman"/>
          <w:sz w:val="24"/>
        </w:rPr>
        <w:t xml:space="preserve"> do not engage any of the applicable rights or freedoms.</w:t>
      </w:r>
    </w:p>
    <w:p w14:paraId="08C25B82" w14:textId="77777777" w:rsidR="001C736A" w:rsidRDefault="001C736A" w:rsidP="001C736A">
      <w:pPr>
        <w:rPr>
          <w:rFonts w:ascii="Times New Roman" w:hAnsi="Times New Roman"/>
          <w:sz w:val="24"/>
        </w:rPr>
      </w:pPr>
    </w:p>
    <w:p w14:paraId="2407A291" w14:textId="77777777" w:rsidR="0000562C" w:rsidRDefault="0000562C" w:rsidP="001C736A">
      <w:pPr>
        <w:rPr>
          <w:rFonts w:ascii="Times New Roman" w:hAnsi="Times New Roman"/>
          <w:b/>
          <w:sz w:val="24"/>
        </w:rPr>
      </w:pPr>
      <w:r>
        <w:rPr>
          <w:rFonts w:ascii="Times New Roman" w:hAnsi="Times New Roman"/>
          <w:b/>
          <w:sz w:val="24"/>
        </w:rPr>
        <w:t>Conclusion</w:t>
      </w:r>
    </w:p>
    <w:p w14:paraId="233D47AC" w14:textId="77777777" w:rsidR="001C736A" w:rsidRDefault="001C736A" w:rsidP="002F690D">
      <w:pPr>
        <w:rPr>
          <w:rFonts w:ascii="Times New Roman" w:hAnsi="Times New Roman"/>
          <w:sz w:val="24"/>
        </w:rPr>
      </w:pPr>
    </w:p>
    <w:p w14:paraId="53F46154" w14:textId="77777777" w:rsidR="0000562C" w:rsidRDefault="0000562C" w:rsidP="002F690D">
      <w:pPr>
        <w:rPr>
          <w:rFonts w:ascii="Times New Roman" w:hAnsi="Times New Roman"/>
          <w:sz w:val="24"/>
        </w:rPr>
      </w:pPr>
      <w:r>
        <w:rPr>
          <w:rFonts w:ascii="Times New Roman" w:hAnsi="Times New Roman"/>
          <w:sz w:val="24"/>
        </w:rPr>
        <w:lastRenderedPageBreak/>
        <w:t>These Legislative Instruments are compatible with human rights as they do not raise any human rights issues.</w:t>
      </w:r>
    </w:p>
    <w:p w14:paraId="6146A662" w14:textId="77777777" w:rsidR="0000562C" w:rsidRDefault="0000562C" w:rsidP="00733FF5">
      <w:pPr>
        <w:spacing w:after="120"/>
        <w:jc w:val="both"/>
        <w:rPr>
          <w:rFonts w:ascii="Times New Roman" w:hAnsi="Times New Roman"/>
          <w:sz w:val="24"/>
        </w:rPr>
      </w:pPr>
    </w:p>
    <w:p w14:paraId="6E69F9C1" w14:textId="77777777" w:rsidR="0000562C" w:rsidRDefault="0000562C" w:rsidP="00733FF5">
      <w:pPr>
        <w:spacing w:after="120"/>
        <w:jc w:val="both"/>
        <w:rPr>
          <w:rFonts w:ascii="Times New Roman" w:hAnsi="Times New Roman"/>
          <w:sz w:val="24"/>
        </w:rPr>
      </w:pPr>
    </w:p>
    <w:p w14:paraId="729F607D" w14:textId="77777777" w:rsidR="0000562C" w:rsidRDefault="0000562C" w:rsidP="00733FF5">
      <w:pPr>
        <w:jc w:val="center"/>
        <w:rPr>
          <w:rFonts w:ascii="Times New Roman" w:hAnsi="Times New Roman"/>
          <w:b/>
          <w:bCs/>
          <w:sz w:val="24"/>
        </w:rPr>
      </w:pPr>
      <w:r>
        <w:rPr>
          <w:rFonts w:ascii="Times New Roman" w:hAnsi="Times New Roman"/>
          <w:b/>
          <w:bCs/>
          <w:sz w:val="24"/>
        </w:rPr>
        <w:t>The Hon. Barnaby Joyce MP</w:t>
      </w:r>
    </w:p>
    <w:p w14:paraId="67459385" w14:textId="77777777" w:rsidR="0000562C" w:rsidRDefault="0000562C" w:rsidP="00733FF5">
      <w:pPr>
        <w:jc w:val="center"/>
        <w:rPr>
          <w:rFonts w:ascii="Times New Roman" w:hAnsi="Times New Roman"/>
          <w:b/>
          <w:bCs/>
          <w:sz w:val="24"/>
        </w:rPr>
      </w:pPr>
      <w:r>
        <w:rPr>
          <w:rFonts w:ascii="Times New Roman" w:hAnsi="Times New Roman"/>
          <w:b/>
          <w:bCs/>
          <w:sz w:val="24"/>
        </w:rPr>
        <w:t>Deputy Prime Minister and Minister for Agriculture and Water Resources</w:t>
      </w:r>
    </w:p>
    <w:p w14:paraId="733935BF" w14:textId="77777777" w:rsidR="0000562C" w:rsidRPr="00921C4A" w:rsidRDefault="0000562C" w:rsidP="00733FF5">
      <w:pPr>
        <w:spacing w:after="120"/>
        <w:jc w:val="both"/>
        <w:rPr>
          <w:rFonts w:ascii="Times New Roman" w:hAnsi="Times New Roman"/>
          <w:sz w:val="24"/>
        </w:rPr>
      </w:pPr>
    </w:p>
    <w:p w14:paraId="3F0FACC7" w14:textId="77777777" w:rsidR="00E24B56" w:rsidRDefault="00E24B56" w:rsidP="00C65836">
      <w:pPr>
        <w:pStyle w:val="Normal-em"/>
        <w:rPr>
          <w:color w:val="auto"/>
          <w:szCs w:val="24"/>
        </w:rPr>
      </w:pPr>
    </w:p>
    <w:sectPr w:rsidR="00E24B56">
      <w:headerReference w:type="default" r:id="rId9"/>
      <w:headerReference w:type="first" r:id="rId10"/>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6E4A1" w14:textId="77777777" w:rsidR="00FB72CB" w:rsidRDefault="00FB72CB">
      <w:r>
        <w:separator/>
      </w:r>
    </w:p>
  </w:endnote>
  <w:endnote w:type="continuationSeparator" w:id="0">
    <w:p w14:paraId="2EB0F379" w14:textId="77777777" w:rsidR="00FB72CB" w:rsidRDefault="00FB72CB">
      <w:r>
        <w:continuationSeparator/>
      </w:r>
    </w:p>
  </w:endnote>
  <w:endnote w:type="continuationNotice" w:id="1">
    <w:p w14:paraId="0B3BBCF4" w14:textId="77777777" w:rsidR="00FB72CB" w:rsidRDefault="00FB7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2161690" w14:textId="77777777" w:rsidR="00C65836" w:rsidRDefault="00C65836">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08621E">
          <w:rPr>
            <w:rFonts w:ascii="Times New Roman" w:hAnsi="Times New Roman" w:cs="Times New Roman"/>
            <w:noProof/>
            <w:sz w:val="22"/>
            <w:szCs w:val="22"/>
          </w:rPr>
          <w:t>2</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6080F" w14:textId="77777777" w:rsidR="00FB72CB" w:rsidRDefault="00FB72CB">
      <w:r>
        <w:separator/>
      </w:r>
    </w:p>
  </w:footnote>
  <w:footnote w:type="continuationSeparator" w:id="0">
    <w:p w14:paraId="134A6287" w14:textId="77777777" w:rsidR="00FB72CB" w:rsidRDefault="00FB72CB">
      <w:r>
        <w:continuationSeparator/>
      </w:r>
    </w:p>
  </w:footnote>
  <w:footnote w:type="continuationNotice" w:id="1">
    <w:p w14:paraId="37D148FD" w14:textId="77777777" w:rsidR="00FB72CB" w:rsidRDefault="00FB72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E959B" w14:textId="77777777" w:rsidR="00C65836" w:rsidRDefault="00C65836" w:rsidP="00E24B56">
    <w:pPr>
      <w:pStyle w:val="Normal-em"/>
      <w:jc w:val="right"/>
      <w:rPr>
        <w:rFonts w:ascii="Times" w:hAnsi="Times"/>
        <w:b/>
        <w:caps/>
        <w:u w:val="single"/>
      </w:rPr>
    </w:pPr>
    <w:r>
      <w:rPr>
        <w:rFonts w:ascii="Times" w:hAnsi="Times"/>
        <w:b/>
        <w:caps/>
        <w:u w:val="single"/>
      </w:rPr>
      <w:t>Attachment C</w:t>
    </w:r>
  </w:p>
  <w:p w14:paraId="7C76ED27" w14:textId="77777777" w:rsidR="00C65836" w:rsidRDefault="00C65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71681" w14:textId="63ED0B58" w:rsidR="00C65836" w:rsidRDefault="00C65836" w:rsidP="00E24B56">
    <w:pPr>
      <w:pStyle w:val="Normal-em"/>
      <w:jc w:val="right"/>
      <w:rPr>
        <w:rFonts w:ascii="Times" w:hAnsi="Times"/>
        <w:b/>
        <w:caps/>
        <w:u w:val="single"/>
      </w:rPr>
    </w:pPr>
    <w:r>
      <w:rPr>
        <w:rFonts w:ascii="Times" w:hAnsi="Times"/>
        <w:b/>
        <w:caps/>
        <w:u w:val="single"/>
      </w:rPr>
      <w:t>Attachment B</w:t>
    </w:r>
  </w:p>
  <w:p w14:paraId="3F39CAD1" w14:textId="58C8836F" w:rsidR="00C65836" w:rsidRPr="00E24B56" w:rsidRDefault="00C65836" w:rsidP="00E24B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1142A"/>
    <w:multiLevelType w:val="hybridMultilevel"/>
    <w:tmpl w:val="6A56F0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6934F6"/>
    <w:multiLevelType w:val="hybridMultilevel"/>
    <w:tmpl w:val="2048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BB254C7"/>
    <w:multiLevelType w:val="hybridMultilevel"/>
    <w:tmpl w:val="4A6C6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020EB3"/>
    <w:multiLevelType w:val="hybridMultilevel"/>
    <w:tmpl w:val="184A2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812DC9"/>
    <w:multiLevelType w:val="hybridMultilevel"/>
    <w:tmpl w:val="036EF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EF7218"/>
    <w:multiLevelType w:val="hybridMultilevel"/>
    <w:tmpl w:val="AD2855BC"/>
    <w:lvl w:ilvl="0" w:tplc="0A5A71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0920492"/>
    <w:multiLevelType w:val="hybridMultilevel"/>
    <w:tmpl w:val="03541A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3137E4"/>
    <w:multiLevelType w:val="hybridMultilevel"/>
    <w:tmpl w:val="AA7CF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7" w15:restartNumberingAfterBreak="0">
    <w:nsid w:val="37834AAC"/>
    <w:multiLevelType w:val="hybridMultilevel"/>
    <w:tmpl w:val="F84E69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A2A221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0" w15:restartNumberingAfterBreak="0">
    <w:nsid w:val="4028759F"/>
    <w:multiLevelType w:val="hybridMultilevel"/>
    <w:tmpl w:val="2BF6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BA65414"/>
    <w:multiLevelType w:val="hybridMultilevel"/>
    <w:tmpl w:val="90C8B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FD43B4B"/>
    <w:multiLevelType w:val="hybridMultilevel"/>
    <w:tmpl w:val="CE5E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456429"/>
    <w:multiLevelType w:val="multilevel"/>
    <w:tmpl w:val="44B0612A"/>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16594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21"/>
  </w:num>
  <w:num w:numId="4">
    <w:abstractNumId w:val="7"/>
  </w:num>
  <w:num w:numId="5">
    <w:abstractNumId w:val="4"/>
  </w:num>
  <w:num w:numId="6">
    <w:abstractNumId w:val="15"/>
  </w:num>
  <w:num w:numId="7">
    <w:abstractNumId w:val="5"/>
  </w:num>
  <w:num w:numId="8">
    <w:abstractNumId w:val="8"/>
  </w:num>
  <w:num w:numId="9">
    <w:abstractNumId w:val="14"/>
  </w:num>
  <w:num w:numId="10">
    <w:abstractNumId w:val="24"/>
  </w:num>
  <w:num w:numId="11">
    <w:abstractNumId w:val="28"/>
  </w:num>
  <w:num w:numId="12">
    <w:abstractNumId w:val="19"/>
  </w:num>
  <w:num w:numId="13">
    <w:abstractNumId w:val="19"/>
    <w:lvlOverride w:ilvl="0">
      <w:startOverride w:val="1"/>
    </w:lvlOverride>
  </w:num>
  <w:num w:numId="14">
    <w:abstractNumId w:val="0"/>
  </w:num>
  <w:num w:numId="15">
    <w:abstractNumId w:val="22"/>
  </w:num>
  <w:num w:numId="16">
    <w:abstractNumId w:val="3"/>
  </w:num>
  <w:num w:numId="17">
    <w:abstractNumId w:val="26"/>
  </w:num>
  <w:num w:numId="18">
    <w:abstractNumId w:val="17"/>
  </w:num>
  <w:num w:numId="19">
    <w:abstractNumId w:val="9"/>
  </w:num>
  <w:num w:numId="20">
    <w:abstractNumId w:val="29"/>
  </w:num>
  <w:num w:numId="21">
    <w:abstractNumId w:val="18"/>
  </w:num>
  <w:num w:numId="22">
    <w:abstractNumId w:val="2"/>
  </w:num>
  <w:num w:numId="23">
    <w:abstractNumId w:val="25"/>
  </w:num>
  <w:num w:numId="24">
    <w:abstractNumId w:val="23"/>
  </w:num>
  <w:num w:numId="25">
    <w:abstractNumId w:val="12"/>
  </w:num>
  <w:num w:numId="26">
    <w:abstractNumId w:val="10"/>
  </w:num>
  <w:num w:numId="27">
    <w:abstractNumId w:val="1"/>
  </w:num>
  <w:num w:numId="28">
    <w:abstractNumId w:val="20"/>
  </w:num>
  <w:num w:numId="29">
    <w:abstractNumId w:val="27"/>
  </w:num>
  <w:num w:numId="30">
    <w:abstractNumId w:val="13"/>
  </w:num>
  <w:num w:numId="31">
    <w:abstractNumId w:val="1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88"/>
    <w:rsid w:val="0000562C"/>
    <w:rsid w:val="00005B54"/>
    <w:rsid w:val="000125D5"/>
    <w:rsid w:val="00054922"/>
    <w:rsid w:val="00072E4F"/>
    <w:rsid w:val="00076DBE"/>
    <w:rsid w:val="0008621E"/>
    <w:rsid w:val="00095859"/>
    <w:rsid w:val="000B2C49"/>
    <w:rsid w:val="000C595E"/>
    <w:rsid w:val="000E5858"/>
    <w:rsid w:val="000E5898"/>
    <w:rsid w:val="000F3AEC"/>
    <w:rsid w:val="00105896"/>
    <w:rsid w:val="001058B1"/>
    <w:rsid w:val="00123DA5"/>
    <w:rsid w:val="00123E7A"/>
    <w:rsid w:val="001344EB"/>
    <w:rsid w:val="00137723"/>
    <w:rsid w:val="00183B83"/>
    <w:rsid w:val="001C736A"/>
    <w:rsid w:val="0020062E"/>
    <w:rsid w:val="0023413D"/>
    <w:rsid w:val="00241352"/>
    <w:rsid w:val="002705C6"/>
    <w:rsid w:val="002855E0"/>
    <w:rsid w:val="0029731E"/>
    <w:rsid w:val="002C7A13"/>
    <w:rsid w:val="002F690D"/>
    <w:rsid w:val="00301D43"/>
    <w:rsid w:val="00310C8B"/>
    <w:rsid w:val="00313764"/>
    <w:rsid w:val="00316C00"/>
    <w:rsid w:val="0035289E"/>
    <w:rsid w:val="00357BA0"/>
    <w:rsid w:val="00363701"/>
    <w:rsid w:val="00373C55"/>
    <w:rsid w:val="00382DF2"/>
    <w:rsid w:val="003901E8"/>
    <w:rsid w:val="00414ACE"/>
    <w:rsid w:val="00415D7D"/>
    <w:rsid w:val="00416E32"/>
    <w:rsid w:val="00480FE5"/>
    <w:rsid w:val="004E349F"/>
    <w:rsid w:val="00504222"/>
    <w:rsid w:val="005277E5"/>
    <w:rsid w:val="00564905"/>
    <w:rsid w:val="00573A5A"/>
    <w:rsid w:val="0059339B"/>
    <w:rsid w:val="005B7B05"/>
    <w:rsid w:val="005E4E53"/>
    <w:rsid w:val="005F4850"/>
    <w:rsid w:val="00615BF2"/>
    <w:rsid w:val="00652507"/>
    <w:rsid w:val="00672CFF"/>
    <w:rsid w:val="00676EE6"/>
    <w:rsid w:val="006A0808"/>
    <w:rsid w:val="006C008E"/>
    <w:rsid w:val="006D7244"/>
    <w:rsid w:val="006E0743"/>
    <w:rsid w:val="006E6601"/>
    <w:rsid w:val="00702B31"/>
    <w:rsid w:val="007A39B6"/>
    <w:rsid w:val="007A6F77"/>
    <w:rsid w:val="007B4E88"/>
    <w:rsid w:val="007C1527"/>
    <w:rsid w:val="008046D3"/>
    <w:rsid w:val="00836E0A"/>
    <w:rsid w:val="0087475D"/>
    <w:rsid w:val="00884944"/>
    <w:rsid w:val="00884BDE"/>
    <w:rsid w:val="008924C5"/>
    <w:rsid w:val="008B2CF6"/>
    <w:rsid w:val="0094674B"/>
    <w:rsid w:val="009664E1"/>
    <w:rsid w:val="009B33CF"/>
    <w:rsid w:val="009B5FF4"/>
    <w:rsid w:val="009C1B7C"/>
    <w:rsid w:val="009F5CB5"/>
    <w:rsid w:val="00A04DA4"/>
    <w:rsid w:val="00A04E2C"/>
    <w:rsid w:val="00A279BD"/>
    <w:rsid w:val="00A507CD"/>
    <w:rsid w:val="00A56020"/>
    <w:rsid w:val="00A732C2"/>
    <w:rsid w:val="00A87B4D"/>
    <w:rsid w:val="00AA2E32"/>
    <w:rsid w:val="00AD5ED9"/>
    <w:rsid w:val="00B17F10"/>
    <w:rsid w:val="00B457A9"/>
    <w:rsid w:val="00B54CEA"/>
    <w:rsid w:val="00B77990"/>
    <w:rsid w:val="00B972CF"/>
    <w:rsid w:val="00BD1FCB"/>
    <w:rsid w:val="00BE1665"/>
    <w:rsid w:val="00BF4E51"/>
    <w:rsid w:val="00C024C6"/>
    <w:rsid w:val="00C3093F"/>
    <w:rsid w:val="00C5652A"/>
    <w:rsid w:val="00C65836"/>
    <w:rsid w:val="00C714CC"/>
    <w:rsid w:val="00C73BCC"/>
    <w:rsid w:val="00CA0C55"/>
    <w:rsid w:val="00CB42FB"/>
    <w:rsid w:val="00CB6580"/>
    <w:rsid w:val="00D02320"/>
    <w:rsid w:val="00D16FC7"/>
    <w:rsid w:val="00D17E7B"/>
    <w:rsid w:val="00D30E29"/>
    <w:rsid w:val="00D340B3"/>
    <w:rsid w:val="00D41A51"/>
    <w:rsid w:val="00D4767A"/>
    <w:rsid w:val="00D750C7"/>
    <w:rsid w:val="00D84CF6"/>
    <w:rsid w:val="00D862BE"/>
    <w:rsid w:val="00DA4276"/>
    <w:rsid w:val="00DB09B5"/>
    <w:rsid w:val="00DD23AC"/>
    <w:rsid w:val="00DD7BB7"/>
    <w:rsid w:val="00DF136C"/>
    <w:rsid w:val="00DF1497"/>
    <w:rsid w:val="00DF7FCB"/>
    <w:rsid w:val="00E151FD"/>
    <w:rsid w:val="00E24B56"/>
    <w:rsid w:val="00E463B6"/>
    <w:rsid w:val="00E52529"/>
    <w:rsid w:val="00E9403D"/>
    <w:rsid w:val="00EA4E06"/>
    <w:rsid w:val="00EC28B0"/>
    <w:rsid w:val="00ED666B"/>
    <w:rsid w:val="00EE13E3"/>
    <w:rsid w:val="00EF34C4"/>
    <w:rsid w:val="00F33F99"/>
    <w:rsid w:val="00F7553E"/>
    <w:rsid w:val="00FA5339"/>
    <w:rsid w:val="00FB72CB"/>
    <w:rsid w:val="00FE7E3A"/>
    <w:rsid w:val="00FF3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946E01"/>
  <w15:docId w15:val="{E0EF72C5-DF18-4087-877E-0D8C0B5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1">
    <w:name w:val="norm 1"/>
    <w:basedOn w:val="Normal"/>
    <w:rPr>
      <w:rFonts w:ascii="Times New Roman" w:eastAsia="Times New Roman" w:hAnsi="Times New Roman" w:cs="Times New Roman"/>
      <w:sz w:val="24"/>
      <w:szCs w:val="20"/>
      <w:lang w:val="en-GB"/>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 w:type="paragraph" w:customStyle="1" w:styleId="TableTextform">
    <w:name w:val="TableText form"/>
    <w:basedOn w:val="Normal"/>
    <w:qFormat/>
    <w:rsid w:val="00382DF2"/>
    <w:pPr>
      <w:spacing w:before="40" w:after="240"/>
    </w:pPr>
    <w:rPr>
      <w:rFonts w:ascii="Arial" w:eastAsiaTheme="majorEastAsia" w:hAnsi="Arial" w:cs="Arial"/>
      <w:bCs/>
      <w:sz w:val="20"/>
      <w:szCs w:val="20"/>
    </w:rPr>
  </w:style>
  <w:style w:type="paragraph" w:styleId="ListNumber">
    <w:name w:val="List Number"/>
    <w:basedOn w:val="Normal"/>
    <w:autoRedefine/>
    <w:uiPriority w:val="99"/>
    <w:qFormat/>
    <w:rsid w:val="00310C8B"/>
    <w:pPr>
      <w:spacing w:after="200"/>
    </w:pPr>
    <w:rPr>
      <w:rFonts w:ascii="Calibri" w:eastAsia="Calibri" w:hAnsi="Calibri" w:cs="Times New Roman"/>
      <w:sz w:val="24"/>
      <w:szCs w:val="22"/>
    </w:rPr>
  </w:style>
  <w:style w:type="paragraph" w:styleId="ListNumber2">
    <w:name w:val="List Number 2"/>
    <w:basedOn w:val="Normal"/>
    <w:autoRedefine/>
    <w:uiPriority w:val="99"/>
    <w:rsid w:val="00382DF2"/>
    <w:pPr>
      <w:numPr>
        <w:ilvl w:val="1"/>
        <w:numId w:val="29"/>
      </w:numPr>
      <w:spacing w:after="200"/>
    </w:pPr>
    <w:rPr>
      <w:rFonts w:ascii="Calibri" w:eastAsia="Calibri" w:hAnsi="Calibri" w:cs="Times New Roman"/>
      <w:sz w:val="24"/>
      <w:szCs w:val="22"/>
    </w:rPr>
  </w:style>
  <w:style w:type="paragraph" w:styleId="ListNumber3">
    <w:name w:val="List Number 3"/>
    <w:basedOn w:val="Normal"/>
    <w:uiPriority w:val="99"/>
    <w:rsid w:val="00382DF2"/>
    <w:pPr>
      <w:numPr>
        <w:ilvl w:val="2"/>
        <w:numId w:val="29"/>
      </w:numPr>
      <w:spacing w:after="200"/>
    </w:pPr>
    <w:rPr>
      <w:rFonts w:ascii="Calibri" w:eastAsia="Calibri" w:hAnsi="Calibri" w:cs="Times New Roman"/>
      <w:sz w:val="24"/>
      <w:szCs w:val="22"/>
    </w:rPr>
  </w:style>
  <w:style w:type="paragraph" w:styleId="ListNumber4">
    <w:name w:val="List Number 4"/>
    <w:basedOn w:val="Normal"/>
    <w:uiPriority w:val="99"/>
    <w:rsid w:val="00382DF2"/>
    <w:pPr>
      <w:numPr>
        <w:ilvl w:val="3"/>
        <w:numId w:val="29"/>
      </w:numPr>
      <w:spacing w:after="200"/>
    </w:pPr>
    <w:rPr>
      <w:rFonts w:ascii="Calibri" w:eastAsia="Calibri" w:hAnsi="Calibri" w:cs="Times New Roman"/>
      <w:sz w:val="24"/>
      <w:szCs w:val="22"/>
    </w:rPr>
  </w:style>
  <w:style w:type="paragraph" w:styleId="ListNumber5">
    <w:name w:val="List Number 5"/>
    <w:basedOn w:val="Normal"/>
    <w:uiPriority w:val="99"/>
    <w:rsid w:val="00382DF2"/>
    <w:pPr>
      <w:numPr>
        <w:ilvl w:val="4"/>
        <w:numId w:val="29"/>
      </w:numPr>
      <w:spacing w:after="200"/>
    </w:pPr>
    <w:rPr>
      <w:rFonts w:ascii="Calibri" w:eastAsia="Calibri" w:hAnsi="Calibri" w:cs="Times New Roman"/>
      <w:sz w:val="24"/>
      <w:szCs w:val="22"/>
    </w:rPr>
  </w:style>
  <w:style w:type="paragraph" w:customStyle="1" w:styleId="definition">
    <w:name w:val="definition"/>
    <w:basedOn w:val="Normal"/>
    <w:rsid w:val="00A279BD"/>
    <w:pPr>
      <w:spacing w:before="100" w:beforeAutospacing="1" w:after="100" w:afterAutospacing="1"/>
    </w:pPr>
    <w:rPr>
      <w:rFonts w:ascii="Times New Roman" w:eastAsia="Times New Roman" w:hAnsi="Times New Roman" w:cs="Times New Roman"/>
      <w:sz w:val="24"/>
      <w:lang w:eastAsia="en-AU"/>
    </w:rPr>
  </w:style>
  <w:style w:type="paragraph" w:styleId="ListBullet">
    <w:name w:val="List Bullet"/>
    <w:basedOn w:val="Normal"/>
    <w:autoRedefine/>
    <w:uiPriority w:val="99"/>
    <w:unhideWhenUsed/>
    <w:qFormat/>
    <w:rsid w:val="001344EB"/>
    <w:pPr>
      <w:spacing w:after="200"/>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7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A9DC1DB44449CA84D4B95CD63C50F0"/>
        <w:category>
          <w:name w:val="General"/>
          <w:gallery w:val="placeholder"/>
        </w:category>
        <w:types>
          <w:type w:val="bbPlcHdr"/>
        </w:types>
        <w:behaviors>
          <w:behavior w:val="content"/>
        </w:behaviors>
        <w:guid w:val="{C895DDD8-2F87-4941-84D2-49F10EE77DC0}"/>
      </w:docPartPr>
      <w:docPartBody>
        <w:p w:rsidR="006317BF" w:rsidRDefault="006317BF">
          <w:pPr>
            <w:pStyle w:val="F8A9DC1DB44449CA84D4B95CD63C50F0"/>
          </w:pPr>
          <w:r>
            <w:rPr>
              <w:rStyle w:val="PlaceholderText"/>
            </w:rPr>
            <w:t>Click here to enter text.</w:t>
          </w:r>
        </w:p>
      </w:docPartBody>
    </w:docPart>
    <w:docPart>
      <w:docPartPr>
        <w:name w:val="B2AAD4F34875452A869F70F4FA43FE47"/>
        <w:category>
          <w:name w:val="General"/>
          <w:gallery w:val="placeholder"/>
        </w:category>
        <w:types>
          <w:type w:val="bbPlcHdr"/>
        </w:types>
        <w:behaviors>
          <w:behavior w:val="content"/>
        </w:behaviors>
        <w:guid w:val="{1E9095B1-48EE-4694-9807-4E744A5702DB}"/>
      </w:docPartPr>
      <w:docPartBody>
        <w:p w:rsidR="00EB26DC" w:rsidRDefault="00A83D80" w:rsidP="00A83D80">
          <w:pPr>
            <w:pStyle w:val="B2AAD4F34875452A869F70F4FA43FE4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6317BF"/>
    <w:rsid w:val="00334A3D"/>
    <w:rsid w:val="006317BF"/>
    <w:rsid w:val="007823B4"/>
    <w:rsid w:val="008405E7"/>
    <w:rsid w:val="00A83D80"/>
    <w:rsid w:val="00EB2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D80"/>
    <w:rPr>
      <w:color w:val="808080"/>
    </w:rPr>
  </w:style>
  <w:style w:type="paragraph" w:customStyle="1" w:styleId="F8A9DC1DB44449CA84D4B95CD63C50F0">
    <w:name w:val="F8A9DC1DB44449CA84D4B95CD63C50F0"/>
  </w:style>
  <w:style w:type="paragraph" w:customStyle="1" w:styleId="C5FE0005B6C44D4B9FE7F4755E2BA42D">
    <w:name w:val="C5FE0005B6C44D4B9FE7F4755E2BA42D"/>
    <w:rsid w:val="008405E7"/>
    <w:pPr>
      <w:spacing w:after="160" w:line="259" w:lineRule="auto"/>
    </w:pPr>
  </w:style>
  <w:style w:type="paragraph" w:customStyle="1" w:styleId="B2AAD4F34875452A869F70F4FA43FE47">
    <w:name w:val="B2AAD4F34875452A869F70F4FA43FE47"/>
    <w:rsid w:val="00A83D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625B-5A05-43E5-9784-7D3D1540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6487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GILLARD PETER</dc:creator>
  <cp:lastModifiedBy>_</cp:lastModifiedBy>
  <cp:revision>2</cp:revision>
  <cp:lastPrinted>2017-08-13T23:47:00Z</cp:lastPrinted>
  <dcterms:created xsi:type="dcterms:W3CDTF">2017-08-18T05:02:00Z</dcterms:created>
  <dcterms:modified xsi:type="dcterms:W3CDTF">2017-08-18T05:02:00Z</dcterms:modified>
</cp:coreProperties>
</file>