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BBB98" w14:textId="77777777" w:rsidR="00914D5C" w:rsidRPr="005A5476" w:rsidRDefault="00914D5C" w:rsidP="00914D5C">
      <w:pPr>
        <w:spacing w:line="360" w:lineRule="auto"/>
        <w:jc w:val="center"/>
        <w:outlineLvl w:val="0"/>
        <w:rPr>
          <w:rFonts w:ascii="Arial" w:hAnsi="Arial" w:cs="Arial"/>
          <w:b/>
          <w:sz w:val="22"/>
          <w:szCs w:val="22"/>
          <w:lang w:val="en-AU"/>
        </w:rPr>
      </w:pPr>
      <w:r w:rsidRPr="005A5476">
        <w:rPr>
          <w:rFonts w:ascii="Arial" w:hAnsi="Arial" w:cs="Arial"/>
          <w:b/>
          <w:sz w:val="22"/>
          <w:szCs w:val="22"/>
          <w:lang w:val="en-AU"/>
        </w:rPr>
        <w:t>EXPLANATORY STATEMENT</w:t>
      </w:r>
    </w:p>
    <w:p w14:paraId="2FA89CF2" w14:textId="77777777" w:rsidR="00914D5C" w:rsidRPr="005A5476" w:rsidRDefault="00914D5C" w:rsidP="00914D5C">
      <w:pPr>
        <w:spacing w:line="360" w:lineRule="auto"/>
        <w:jc w:val="center"/>
        <w:rPr>
          <w:rFonts w:ascii="Arial" w:hAnsi="Arial" w:cs="Arial"/>
          <w:i/>
          <w:sz w:val="22"/>
          <w:szCs w:val="22"/>
          <w:lang w:val="en-AU"/>
        </w:rPr>
      </w:pPr>
    </w:p>
    <w:p w14:paraId="7299CAF3" w14:textId="77777777" w:rsidR="00914D5C" w:rsidRDefault="008E3265" w:rsidP="00914D5C">
      <w:pPr>
        <w:spacing w:line="360" w:lineRule="auto"/>
        <w:jc w:val="center"/>
        <w:outlineLvl w:val="0"/>
        <w:rPr>
          <w:rFonts w:ascii="Arial" w:hAnsi="Arial" w:cs="Arial"/>
          <w:b/>
          <w:sz w:val="22"/>
          <w:szCs w:val="22"/>
          <w:lang w:val="en-AU"/>
        </w:rPr>
      </w:pPr>
      <w:r>
        <w:rPr>
          <w:rFonts w:ascii="Arial" w:hAnsi="Arial" w:cs="Arial"/>
          <w:b/>
          <w:sz w:val="22"/>
          <w:szCs w:val="22"/>
          <w:lang w:val="en-AU"/>
        </w:rPr>
        <w:t>Approved</w:t>
      </w:r>
      <w:r w:rsidRPr="00897552">
        <w:rPr>
          <w:rFonts w:ascii="Arial" w:hAnsi="Arial" w:cs="Arial"/>
          <w:b/>
          <w:sz w:val="22"/>
          <w:szCs w:val="22"/>
          <w:lang w:val="en-AU"/>
        </w:rPr>
        <w:t xml:space="preserve"> </w:t>
      </w:r>
      <w:r w:rsidR="00914D5C" w:rsidRPr="00897552">
        <w:rPr>
          <w:rFonts w:ascii="Arial" w:hAnsi="Arial" w:cs="Arial"/>
          <w:b/>
          <w:sz w:val="22"/>
          <w:szCs w:val="22"/>
          <w:lang w:val="en-AU"/>
        </w:rPr>
        <w:t>by the Australian Communications and Media Authority</w:t>
      </w:r>
    </w:p>
    <w:p w14:paraId="110BC0B8" w14:textId="77777777" w:rsidR="007B4C22" w:rsidRPr="00640F78" w:rsidRDefault="008E3265" w:rsidP="00914D5C">
      <w:pPr>
        <w:spacing w:line="360" w:lineRule="auto"/>
        <w:jc w:val="center"/>
        <w:outlineLvl w:val="0"/>
        <w:rPr>
          <w:rFonts w:ascii="Arial" w:hAnsi="Arial" w:cs="Arial"/>
          <w:b/>
          <w:i/>
          <w:sz w:val="22"/>
          <w:szCs w:val="22"/>
          <w:lang w:val="en-AU"/>
        </w:rPr>
      </w:pPr>
      <w:r>
        <w:rPr>
          <w:rFonts w:ascii="Arial" w:hAnsi="Arial" w:cs="Arial"/>
          <w:b/>
          <w:i/>
          <w:sz w:val="22"/>
          <w:szCs w:val="22"/>
          <w:lang w:val="en-AU"/>
        </w:rPr>
        <w:br/>
      </w:r>
      <w:r w:rsidR="007B4C22" w:rsidRPr="00640F78">
        <w:rPr>
          <w:rFonts w:ascii="Arial" w:hAnsi="Arial" w:cs="Arial"/>
          <w:b/>
          <w:i/>
          <w:sz w:val="22"/>
          <w:szCs w:val="22"/>
          <w:lang w:val="en-AU"/>
        </w:rPr>
        <w:t>Radiocommunications Act 1992</w:t>
      </w:r>
    </w:p>
    <w:p w14:paraId="0AED10D0" w14:textId="77777777" w:rsidR="00914D5C" w:rsidRPr="005A5476" w:rsidRDefault="00914D5C" w:rsidP="00914D5C">
      <w:pPr>
        <w:spacing w:line="360" w:lineRule="auto"/>
        <w:jc w:val="center"/>
        <w:rPr>
          <w:rFonts w:ascii="Arial" w:hAnsi="Arial" w:cs="Arial"/>
          <w:i/>
          <w:sz w:val="22"/>
          <w:szCs w:val="22"/>
          <w:lang w:val="en-AU"/>
        </w:rPr>
      </w:pPr>
    </w:p>
    <w:p w14:paraId="43AAB75B" w14:textId="77777777" w:rsidR="00914D5C" w:rsidRPr="005C0639" w:rsidRDefault="00B03A90" w:rsidP="00914D5C">
      <w:pPr>
        <w:spacing w:line="360" w:lineRule="auto"/>
        <w:jc w:val="center"/>
        <w:outlineLvl w:val="0"/>
        <w:rPr>
          <w:rFonts w:ascii="Arial" w:hAnsi="Arial" w:cs="Arial"/>
          <w:sz w:val="20"/>
          <w:lang w:val="en-AU"/>
        </w:rPr>
      </w:pPr>
      <w:r w:rsidRPr="005C0639">
        <w:rPr>
          <w:rFonts w:ascii="Arial" w:hAnsi="Arial" w:cs="Arial"/>
          <w:i/>
          <w:sz w:val="20"/>
          <w:lang w:val="en-AU"/>
        </w:rPr>
        <w:t xml:space="preserve">Radiocommunications </w:t>
      </w:r>
      <w:r w:rsidR="005C0639" w:rsidRPr="005C0639">
        <w:rPr>
          <w:rFonts w:ascii="Arial" w:hAnsi="Arial" w:cs="Arial"/>
          <w:i/>
          <w:sz w:val="20"/>
          <w:lang w:val="en-AU"/>
        </w:rPr>
        <w:t>(Register of Radiocommunications Licences) Determination 2017</w:t>
      </w:r>
    </w:p>
    <w:p w14:paraId="0748F5F4" w14:textId="77777777" w:rsidR="00B03A90" w:rsidRDefault="00B03A90" w:rsidP="00914D5C">
      <w:pPr>
        <w:spacing w:line="360" w:lineRule="auto"/>
        <w:outlineLvl w:val="0"/>
        <w:rPr>
          <w:rFonts w:ascii="Arial" w:hAnsi="Arial" w:cs="Arial"/>
          <w:b/>
          <w:sz w:val="22"/>
          <w:szCs w:val="22"/>
          <w:lang w:val="en-AU"/>
        </w:rPr>
      </w:pPr>
    </w:p>
    <w:p w14:paraId="15104798" w14:textId="77777777" w:rsidR="00914D5C" w:rsidRPr="005A5476" w:rsidRDefault="00A76432" w:rsidP="00914D5C">
      <w:pPr>
        <w:spacing w:line="360" w:lineRule="auto"/>
        <w:outlineLvl w:val="0"/>
        <w:rPr>
          <w:rFonts w:ascii="Arial" w:hAnsi="Arial" w:cs="Arial"/>
          <w:b/>
          <w:sz w:val="22"/>
          <w:szCs w:val="22"/>
          <w:lang w:val="en-AU"/>
        </w:rPr>
      </w:pPr>
      <w:r>
        <w:rPr>
          <w:rFonts w:ascii="Arial" w:hAnsi="Arial" w:cs="Arial"/>
          <w:b/>
          <w:sz w:val="22"/>
          <w:szCs w:val="22"/>
          <w:lang w:val="en-AU"/>
        </w:rPr>
        <w:t>Authority</w:t>
      </w:r>
    </w:p>
    <w:p w14:paraId="2C973D4E" w14:textId="77777777" w:rsidR="00FD4AD4" w:rsidRPr="002E14C7" w:rsidRDefault="00BD5370" w:rsidP="00422C61">
      <w:pPr>
        <w:spacing w:after="240"/>
        <w:rPr>
          <w:rFonts w:ascii="Arial" w:hAnsi="Arial" w:cs="Arial"/>
          <w:sz w:val="20"/>
        </w:rPr>
      </w:pPr>
      <w:r>
        <w:rPr>
          <w:rFonts w:ascii="Arial" w:hAnsi="Arial" w:cs="Arial"/>
          <w:sz w:val="20"/>
        </w:rPr>
        <w:t xml:space="preserve">The </w:t>
      </w:r>
      <w:r w:rsidR="00914D5C">
        <w:rPr>
          <w:rFonts w:ascii="Arial" w:hAnsi="Arial" w:cs="Arial"/>
          <w:sz w:val="20"/>
        </w:rPr>
        <w:t>Australian Communications and Media Authority (</w:t>
      </w:r>
      <w:r w:rsidR="00914D5C" w:rsidRPr="00640F78">
        <w:rPr>
          <w:rFonts w:ascii="Arial" w:hAnsi="Arial" w:cs="Arial"/>
          <w:b/>
          <w:sz w:val="20"/>
        </w:rPr>
        <w:t xml:space="preserve">the </w:t>
      </w:r>
      <w:r w:rsidR="00914D5C" w:rsidRPr="00B22257">
        <w:rPr>
          <w:rFonts w:ascii="Arial" w:hAnsi="Arial" w:cs="Arial"/>
          <w:b/>
          <w:sz w:val="20"/>
        </w:rPr>
        <w:t>ACMA</w:t>
      </w:r>
      <w:r w:rsidR="00914D5C">
        <w:rPr>
          <w:rFonts w:ascii="Arial" w:hAnsi="Arial" w:cs="Arial"/>
          <w:sz w:val="20"/>
        </w:rPr>
        <w:t xml:space="preserve">) </w:t>
      </w:r>
      <w:r w:rsidR="00822474">
        <w:rPr>
          <w:rFonts w:ascii="Arial" w:hAnsi="Arial" w:cs="Arial"/>
          <w:sz w:val="20"/>
        </w:rPr>
        <w:t xml:space="preserve">has </w:t>
      </w:r>
      <w:r w:rsidR="00914D5C">
        <w:rPr>
          <w:rFonts w:ascii="Arial" w:hAnsi="Arial" w:cs="Arial"/>
          <w:sz w:val="20"/>
        </w:rPr>
        <w:t xml:space="preserve">made the </w:t>
      </w:r>
      <w:r w:rsidR="00B03A90" w:rsidRPr="00B03A90">
        <w:rPr>
          <w:rFonts w:ascii="Arial" w:hAnsi="Arial" w:cs="Arial"/>
          <w:i/>
          <w:sz w:val="20"/>
        </w:rPr>
        <w:t xml:space="preserve">Radiocommunications </w:t>
      </w:r>
      <w:r w:rsidR="005C0639">
        <w:rPr>
          <w:rFonts w:ascii="Arial" w:hAnsi="Arial" w:cs="Arial"/>
          <w:i/>
          <w:sz w:val="20"/>
        </w:rPr>
        <w:t xml:space="preserve">(Register of Radiocommunications Licences) Determination 2017 </w:t>
      </w:r>
      <w:r w:rsidR="00D06775">
        <w:rPr>
          <w:rFonts w:ascii="Arial" w:hAnsi="Arial" w:cs="Arial"/>
          <w:sz w:val="20"/>
        </w:rPr>
        <w:t>(the</w:t>
      </w:r>
      <w:r w:rsidR="005C0639">
        <w:rPr>
          <w:rFonts w:ascii="Arial" w:hAnsi="Arial" w:cs="Arial"/>
          <w:sz w:val="20"/>
        </w:rPr>
        <w:t xml:space="preserve"> </w:t>
      </w:r>
      <w:r w:rsidR="005C0639" w:rsidRPr="004B75D3">
        <w:rPr>
          <w:rFonts w:ascii="Arial" w:hAnsi="Arial" w:cs="Arial"/>
          <w:b/>
          <w:sz w:val="20"/>
        </w:rPr>
        <w:t>RRL Determination</w:t>
      </w:r>
      <w:r w:rsidR="00D06775">
        <w:rPr>
          <w:rFonts w:ascii="Arial" w:hAnsi="Arial" w:cs="Arial"/>
          <w:sz w:val="20"/>
        </w:rPr>
        <w:t>)</w:t>
      </w:r>
      <w:r w:rsidR="00822474">
        <w:rPr>
          <w:rFonts w:ascii="Arial" w:hAnsi="Arial" w:cs="Arial"/>
          <w:sz w:val="20"/>
        </w:rPr>
        <w:t xml:space="preserve"> under section</w:t>
      </w:r>
      <w:r w:rsidR="000F643F">
        <w:rPr>
          <w:rFonts w:ascii="Arial" w:hAnsi="Arial" w:cs="Arial"/>
          <w:sz w:val="20"/>
        </w:rPr>
        <w:t xml:space="preserve">s 144, 147 and 149 of the </w:t>
      </w:r>
      <w:r w:rsidR="000F643F" w:rsidRPr="00640F78">
        <w:rPr>
          <w:rFonts w:ascii="Arial" w:hAnsi="Arial" w:cs="Arial"/>
          <w:i/>
          <w:sz w:val="20"/>
        </w:rPr>
        <w:t>Radicommunications Act 1992</w:t>
      </w:r>
      <w:r w:rsidR="000F643F">
        <w:rPr>
          <w:rFonts w:ascii="Arial" w:hAnsi="Arial" w:cs="Arial"/>
          <w:sz w:val="20"/>
        </w:rPr>
        <w:t xml:space="preserve"> (</w:t>
      </w:r>
      <w:r w:rsidR="000F643F" w:rsidRPr="00640F78">
        <w:rPr>
          <w:rFonts w:ascii="Arial" w:hAnsi="Arial" w:cs="Arial"/>
          <w:b/>
          <w:sz w:val="20"/>
        </w:rPr>
        <w:t>the</w:t>
      </w:r>
      <w:r w:rsidR="000F643F">
        <w:rPr>
          <w:rFonts w:ascii="Arial" w:hAnsi="Arial" w:cs="Arial"/>
          <w:sz w:val="20"/>
        </w:rPr>
        <w:t xml:space="preserve"> </w:t>
      </w:r>
      <w:r w:rsidR="000F643F" w:rsidRPr="00640F78">
        <w:rPr>
          <w:rFonts w:ascii="Arial" w:hAnsi="Arial" w:cs="Arial"/>
          <w:b/>
          <w:sz w:val="20"/>
        </w:rPr>
        <w:t>Act</w:t>
      </w:r>
      <w:r w:rsidR="000F643F">
        <w:rPr>
          <w:rFonts w:ascii="Arial" w:hAnsi="Arial" w:cs="Arial"/>
          <w:sz w:val="20"/>
        </w:rPr>
        <w:t>)</w:t>
      </w:r>
      <w:r w:rsidR="00B03A90" w:rsidRPr="00B03A90">
        <w:rPr>
          <w:rFonts w:ascii="Arial" w:hAnsi="Arial" w:cs="Arial"/>
          <w:i/>
          <w:sz w:val="20"/>
        </w:rPr>
        <w:t>.</w:t>
      </w:r>
      <w:r w:rsidR="002E14C7">
        <w:rPr>
          <w:rFonts w:ascii="Arial" w:hAnsi="Arial" w:cs="Arial"/>
          <w:sz w:val="20"/>
        </w:rPr>
        <w:t xml:space="preserve"> </w:t>
      </w:r>
    </w:p>
    <w:p w14:paraId="41179DD2" w14:textId="77777777" w:rsidR="007F1530" w:rsidRPr="00640F78" w:rsidRDefault="007F1530" w:rsidP="00422C61">
      <w:pPr>
        <w:spacing w:after="240"/>
        <w:rPr>
          <w:rFonts w:ascii="Arial" w:hAnsi="Arial" w:cs="Arial"/>
          <w:b/>
          <w:sz w:val="20"/>
        </w:rPr>
      </w:pPr>
      <w:r w:rsidRPr="00640F78">
        <w:rPr>
          <w:rFonts w:ascii="Arial" w:hAnsi="Arial" w:cs="Arial"/>
          <w:b/>
          <w:sz w:val="20"/>
        </w:rPr>
        <w:t>Purpose and operation of the instrument</w:t>
      </w:r>
    </w:p>
    <w:p w14:paraId="420E5BE1" w14:textId="77777777" w:rsidR="00D35FB5" w:rsidRDefault="009C5186" w:rsidP="00D35FB5">
      <w:pPr>
        <w:spacing w:after="240"/>
        <w:rPr>
          <w:rFonts w:ascii="Arial" w:hAnsi="Arial" w:cs="Arial"/>
          <w:sz w:val="20"/>
        </w:rPr>
      </w:pPr>
      <w:r>
        <w:rPr>
          <w:rFonts w:ascii="Arial" w:hAnsi="Arial" w:cs="Arial"/>
          <w:sz w:val="20"/>
          <w:lang w:val="en-US" w:eastAsia="en-US"/>
        </w:rPr>
        <w:t>Under</w:t>
      </w:r>
      <w:r w:rsidR="00952095">
        <w:rPr>
          <w:rFonts w:ascii="Arial" w:hAnsi="Arial" w:cs="Arial"/>
          <w:sz w:val="20"/>
          <w:lang w:val="en-US" w:eastAsia="en-US"/>
        </w:rPr>
        <w:t xml:space="preserve"> section 143 of the Act, the ACMA is to establish and maintain a Register of Radiocommunications Licence</w:t>
      </w:r>
      <w:r w:rsidR="00657E08">
        <w:rPr>
          <w:rFonts w:ascii="Arial" w:hAnsi="Arial" w:cs="Arial"/>
          <w:sz w:val="20"/>
          <w:lang w:val="en-US" w:eastAsia="en-US"/>
        </w:rPr>
        <w:t>s (</w:t>
      </w:r>
      <w:r w:rsidR="00657E08" w:rsidRPr="00640F78">
        <w:rPr>
          <w:rFonts w:ascii="Arial" w:hAnsi="Arial" w:cs="Arial"/>
          <w:b/>
          <w:sz w:val="20"/>
          <w:lang w:val="en-US" w:eastAsia="en-US"/>
        </w:rPr>
        <w:t>the RRL</w:t>
      </w:r>
      <w:r w:rsidR="00657E08">
        <w:rPr>
          <w:rFonts w:ascii="Arial" w:hAnsi="Arial" w:cs="Arial"/>
          <w:sz w:val="20"/>
          <w:lang w:val="en-US" w:eastAsia="en-US"/>
        </w:rPr>
        <w:t xml:space="preserve">). </w:t>
      </w:r>
      <w:r w:rsidR="00D35FB5">
        <w:rPr>
          <w:rFonts w:ascii="Arial" w:hAnsi="Arial" w:cs="Arial"/>
          <w:sz w:val="20"/>
        </w:rPr>
        <w:t>U</w:t>
      </w:r>
      <w:r w:rsidR="00D35FB5" w:rsidRPr="001418A8">
        <w:rPr>
          <w:rFonts w:ascii="Arial" w:hAnsi="Arial" w:cs="Arial"/>
          <w:sz w:val="20"/>
        </w:rPr>
        <w:t xml:space="preserve">nder </w:t>
      </w:r>
      <w:r w:rsidR="00D35FB5">
        <w:rPr>
          <w:rFonts w:ascii="Arial" w:hAnsi="Arial" w:cs="Arial"/>
          <w:sz w:val="20"/>
        </w:rPr>
        <w:t xml:space="preserve">sections 144, 147 and </w:t>
      </w:r>
      <w:r w:rsidR="00F424B1">
        <w:rPr>
          <w:rFonts w:ascii="Arial" w:hAnsi="Arial" w:cs="Arial"/>
          <w:sz w:val="20"/>
        </w:rPr>
        <w:t>149 of</w:t>
      </w:r>
      <w:r w:rsidR="00D35FB5" w:rsidRPr="001418A8">
        <w:rPr>
          <w:rFonts w:ascii="Arial" w:hAnsi="Arial" w:cs="Arial"/>
          <w:sz w:val="20"/>
        </w:rPr>
        <w:t xml:space="preserve"> </w:t>
      </w:r>
      <w:r w:rsidR="00D35FB5">
        <w:rPr>
          <w:rFonts w:ascii="Arial" w:hAnsi="Arial" w:cs="Arial"/>
          <w:sz w:val="20"/>
        </w:rPr>
        <w:t xml:space="preserve">the </w:t>
      </w:r>
      <w:r w:rsidR="00D35FB5" w:rsidRPr="001418A8">
        <w:rPr>
          <w:rFonts w:ascii="Arial" w:hAnsi="Arial" w:cs="Arial"/>
          <w:sz w:val="20"/>
        </w:rPr>
        <w:t>Act</w:t>
      </w:r>
      <w:r w:rsidR="00D35FB5">
        <w:rPr>
          <w:rFonts w:ascii="Arial" w:hAnsi="Arial" w:cs="Arial"/>
          <w:sz w:val="20"/>
        </w:rPr>
        <w:t xml:space="preserve"> </w:t>
      </w:r>
      <w:r w:rsidR="00D35FB5" w:rsidRPr="00C93BC8">
        <w:rPr>
          <w:rFonts w:ascii="Arial" w:hAnsi="Arial" w:cs="Arial"/>
          <w:sz w:val="20"/>
        </w:rPr>
        <w:t xml:space="preserve">the ACMA </w:t>
      </w:r>
      <w:r w:rsidR="00D35FB5">
        <w:rPr>
          <w:rFonts w:ascii="Arial" w:hAnsi="Arial" w:cs="Arial"/>
          <w:sz w:val="20"/>
        </w:rPr>
        <w:t xml:space="preserve">is empowered </w:t>
      </w:r>
      <w:r w:rsidR="00D35FB5" w:rsidRPr="00C93BC8">
        <w:rPr>
          <w:rFonts w:ascii="Arial" w:hAnsi="Arial" w:cs="Arial"/>
          <w:sz w:val="20"/>
        </w:rPr>
        <w:t>to</w:t>
      </w:r>
      <w:r w:rsidR="00D35FB5">
        <w:rPr>
          <w:rFonts w:ascii="Arial" w:hAnsi="Arial" w:cs="Arial"/>
          <w:sz w:val="20"/>
        </w:rPr>
        <w:t xml:space="preserve"> determine, in writing, details about spectrum, apparatus</w:t>
      </w:r>
      <w:r w:rsidR="00D35FB5" w:rsidRPr="00C93BC8">
        <w:rPr>
          <w:rFonts w:ascii="Arial" w:hAnsi="Arial" w:cs="Arial"/>
          <w:sz w:val="20"/>
        </w:rPr>
        <w:t xml:space="preserve"> </w:t>
      </w:r>
      <w:r w:rsidR="00D35FB5">
        <w:rPr>
          <w:rFonts w:ascii="Arial" w:hAnsi="Arial" w:cs="Arial"/>
          <w:sz w:val="20"/>
        </w:rPr>
        <w:t>and class licences that are to be contained in the RR</w:t>
      </w:r>
      <w:r w:rsidR="003406BF">
        <w:rPr>
          <w:rFonts w:ascii="Arial" w:hAnsi="Arial" w:cs="Arial"/>
          <w:sz w:val="20"/>
        </w:rPr>
        <w:t xml:space="preserve">L. </w:t>
      </w:r>
    </w:p>
    <w:p w14:paraId="3BE7915E" w14:textId="77777777" w:rsidR="003406BF" w:rsidRPr="00640F78" w:rsidRDefault="00953307" w:rsidP="00D35FB5">
      <w:pPr>
        <w:spacing w:after="240"/>
        <w:rPr>
          <w:rFonts w:ascii="Arial" w:hAnsi="Arial" w:cs="Arial"/>
          <w:sz w:val="20"/>
          <w:lang w:val="en-US" w:eastAsia="en-US"/>
        </w:rPr>
      </w:pPr>
      <w:r>
        <w:rPr>
          <w:rFonts w:ascii="Arial" w:hAnsi="Arial" w:cs="Arial"/>
          <w:sz w:val="20"/>
        </w:rPr>
        <w:t>In making the RRL Determination, t</w:t>
      </w:r>
      <w:r w:rsidR="003406BF">
        <w:rPr>
          <w:rFonts w:ascii="Arial" w:hAnsi="Arial" w:cs="Arial"/>
          <w:sz w:val="20"/>
        </w:rPr>
        <w:t>he ACMA has determined</w:t>
      </w:r>
      <w:r>
        <w:rPr>
          <w:rFonts w:ascii="Arial" w:hAnsi="Arial" w:cs="Arial"/>
          <w:sz w:val="20"/>
        </w:rPr>
        <w:t xml:space="preserve"> that a range of information </w:t>
      </w:r>
      <w:r w:rsidR="003E0BB1">
        <w:rPr>
          <w:rFonts w:ascii="Arial" w:hAnsi="Arial" w:cs="Arial"/>
          <w:sz w:val="20"/>
        </w:rPr>
        <w:t>about spectrum, apparatus</w:t>
      </w:r>
      <w:r w:rsidR="003E0BB1" w:rsidRPr="00C93BC8">
        <w:rPr>
          <w:rFonts w:ascii="Arial" w:hAnsi="Arial" w:cs="Arial"/>
          <w:sz w:val="20"/>
        </w:rPr>
        <w:t xml:space="preserve"> </w:t>
      </w:r>
      <w:r w:rsidR="003E0BB1">
        <w:rPr>
          <w:rFonts w:ascii="Arial" w:hAnsi="Arial" w:cs="Arial"/>
          <w:sz w:val="20"/>
        </w:rPr>
        <w:t>and class licences</w:t>
      </w:r>
      <w:r w:rsidR="003E0BB1" w:rsidRPr="0047076A">
        <w:rPr>
          <w:rFonts w:ascii="Arial" w:hAnsi="Arial" w:cs="Arial"/>
          <w:sz w:val="20"/>
        </w:rPr>
        <w:t xml:space="preserve"> </w:t>
      </w:r>
      <w:r w:rsidR="00352F51">
        <w:rPr>
          <w:rFonts w:ascii="Arial" w:hAnsi="Arial" w:cs="Arial"/>
          <w:sz w:val="20"/>
        </w:rPr>
        <w:t>be included in the RRL for the purpose</w:t>
      </w:r>
      <w:r w:rsidR="003E0BB1">
        <w:rPr>
          <w:rFonts w:ascii="Arial" w:hAnsi="Arial" w:cs="Arial"/>
          <w:sz w:val="20"/>
        </w:rPr>
        <w:t>s</w:t>
      </w:r>
      <w:r w:rsidR="00352F51">
        <w:rPr>
          <w:rFonts w:ascii="Arial" w:hAnsi="Arial" w:cs="Arial"/>
          <w:sz w:val="20"/>
        </w:rPr>
        <w:t xml:space="preserve"> of mitigating the </w:t>
      </w:r>
      <w:r w:rsidR="00352F51" w:rsidRPr="0047076A">
        <w:rPr>
          <w:rFonts w:ascii="Arial" w:hAnsi="Arial" w:cs="Arial"/>
          <w:sz w:val="20"/>
        </w:rPr>
        <w:t xml:space="preserve">potential </w:t>
      </w:r>
      <w:r w:rsidR="003E0BB1">
        <w:rPr>
          <w:rFonts w:ascii="Arial" w:hAnsi="Arial" w:cs="Arial"/>
          <w:sz w:val="20"/>
        </w:rPr>
        <w:t xml:space="preserve">of </w:t>
      </w:r>
      <w:r w:rsidR="00352F51" w:rsidRPr="0047076A">
        <w:rPr>
          <w:rFonts w:ascii="Arial" w:hAnsi="Arial" w:cs="Arial"/>
          <w:sz w:val="20"/>
        </w:rPr>
        <w:t>interference</w:t>
      </w:r>
      <w:r w:rsidR="00352F51">
        <w:rPr>
          <w:rFonts w:ascii="Arial" w:hAnsi="Arial" w:cs="Arial"/>
          <w:sz w:val="20"/>
        </w:rPr>
        <w:t xml:space="preserve"> between radiocommunications services</w:t>
      </w:r>
      <w:r w:rsidR="00352F51" w:rsidRPr="0047076A">
        <w:rPr>
          <w:rFonts w:ascii="Arial" w:hAnsi="Arial" w:cs="Arial"/>
          <w:sz w:val="20"/>
        </w:rPr>
        <w:t>, facilitat</w:t>
      </w:r>
      <w:r w:rsidR="00826A71">
        <w:rPr>
          <w:rFonts w:ascii="Arial" w:hAnsi="Arial" w:cs="Arial"/>
          <w:sz w:val="20"/>
        </w:rPr>
        <w:t>ing the</w:t>
      </w:r>
      <w:r w:rsidR="00352F51" w:rsidRPr="0047076A">
        <w:rPr>
          <w:rFonts w:ascii="Arial" w:hAnsi="Arial" w:cs="Arial"/>
          <w:sz w:val="20"/>
        </w:rPr>
        <w:t xml:space="preserve"> coordination of </w:t>
      </w:r>
      <w:r w:rsidR="00826A71">
        <w:rPr>
          <w:rFonts w:ascii="Arial" w:hAnsi="Arial" w:cs="Arial"/>
          <w:sz w:val="20"/>
        </w:rPr>
        <w:t xml:space="preserve">radiocommunications </w:t>
      </w:r>
      <w:r w:rsidR="00352F51" w:rsidRPr="0047076A">
        <w:rPr>
          <w:rFonts w:ascii="Arial" w:hAnsi="Arial" w:cs="Arial"/>
          <w:sz w:val="20"/>
        </w:rPr>
        <w:t>services</w:t>
      </w:r>
      <w:r w:rsidR="00826A71">
        <w:rPr>
          <w:rFonts w:ascii="Arial" w:hAnsi="Arial" w:cs="Arial"/>
          <w:sz w:val="20"/>
        </w:rPr>
        <w:t xml:space="preserve"> and </w:t>
      </w:r>
      <w:r w:rsidR="00352F51">
        <w:rPr>
          <w:rFonts w:ascii="Arial" w:hAnsi="Arial" w:cs="Arial"/>
          <w:sz w:val="20"/>
        </w:rPr>
        <w:t>assist</w:t>
      </w:r>
      <w:r w:rsidR="003E0BB1">
        <w:rPr>
          <w:rFonts w:ascii="Arial" w:hAnsi="Arial" w:cs="Arial"/>
          <w:sz w:val="20"/>
        </w:rPr>
        <w:t>ing</w:t>
      </w:r>
      <w:r w:rsidR="00352F51">
        <w:rPr>
          <w:rFonts w:ascii="Arial" w:hAnsi="Arial" w:cs="Arial"/>
          <w:sz w:val="20"/>
        </w:rPr>
        <w:t xml:space="preserve"> the ACMA in </w:t>
      </w:r>
      <w:r w:rsidR="00826A71">
        <w:rPr>
          <w:rFonts w:ascii="Arial" w:hAnsi="Arial" w:cs="Arial"/>
          <w:sz w:val="20"/>
        </w:rPr>
        <w:t xml:space="preserve">the performance of its regulatory functions </w:t>
      </w:r>
      <w:r w:rsidR="003159A8">
        <w:rPr>
          <w:rFonts w:ascii="Arial" w:hAnsi="Arial" w:cs="Arial"/>
          <w:sz w:val="20"/>
        </w:rPr>
        <w:t xml:space="preserve">related to </w:t>
      </w:r>
      <w:r w:rsidR="00352F51">
        <w:rPr>
          <w:rFonts w:ascii="Arial" w:hAnsi="Arial" w:cs="Arial"/>
          <w:sz w:val="20"/>
        </w:rPr>
        <w:t xml:space="preserve">managing </w:t>
      </w:r>
      <w:r w:rsidR="003159A8">
        <w:rPr>
          <w:rFonts w:ascii="Arial" w:hAnsi="Arial" w:cs="Arial"/>
          <w:sz w:val="20"/>
        </w:rPr>
        <w:t xml:space="preserve">the radiofrequency </w:t>
      </w:r>
      <w:r w:rsidR="00352F51">
        <w:rPr>
          <w:rFonts w:ascii="Arial" w:hAnsi="Arial" w:cs="Arial"/>
          <w:sz w:val="20"/>
        </w:rPr>
        <w:t>spectrum.</w:t>
      </w:r>
    </w:p>
    <w:p w14:paraId="3DC099B1" w14:textId="23D17FE2" w:rsidR="00281C17" w:rsidRDefault="00770851" w:rsidP="00281C17">
      <w:pPr>
        <w:spacing w:after="240"/>
        <w:rPr>
          <w:rFonts w:ascii="Arial" w:hAnsi="Arial" w:cs="Arial"/>
          <w:sz w:val="20"/>
        </w:rPr>
      </w:pPr>
      <w:r>
        <w:rPr>
          <w:rFonts w:ascii="Arial" w:hAnsi="Arial" w:cs="Arial"/>
          <w:sz w:val="20"/>
        </w:rPr>
        <w:t xml:space="preserve">The ACMA has made the RRL Determination because the </w:t>
      </w:r>
      <w:r w:rsidR="00A270D1" w:rsidRPr="00B03A90">
        <w:rPr>
          <w:rFonts w:ascii="Arial" w:hAnsi="Arial" w:cs="Arial"/>
          <w:i/>
          <w:sz w:val="20"/>
        </w:rPr>
        <w:t xml:space="preserve">Radiocommunications </w:t>
      </w:r>
      <w:r w:rsidR="00A270D1">
        <w:rPr>
          <w:rFonts w:ascii="Arial" w:hAnsi="Arial" w:cs="Arial"/>
          <w:i/>
          <w:sz w:val="20"/>
        </w:rPr>
        <w:t>(Register of Radiocommunications Licences) Determination 1997</w:t>
      </w:r>
      <w:r w:rsidR="00A270D1" w:rsidRPr="00897552" w:rsidDel="005C0639">
        <w:rPr>
          <w:rFonts w:ascii="Arial" w:hAnsi="Arial" w:cs="Arial"/>
          <w:i/>
          <w:sz w:val="20"/>
        </w:rPr>
        <w:t xml:space="preserve"> </w:t>
      </w:r>
      <w:r w:rsidR="00A270D1" w:rsidRPr="004B75D3">
        <w:rPr>
          <w:rFonts w:ascii="Arial" w:hAnsi="Arial" w:cs="Arial"/>
          <w:sz w:val="20"/>
        </w:rPr>
        <w:t>(</w:t>
      </w:r>
      <w:r w:rsidR="00A270D1" w:rsidRPr="007C1DC2">
        <w:rPr>
          <w:rFonts w:ascii="Arial" w:hAnsi="Arial" w:cs="Arial"/>
          <w:b/>
          <w:sz w:val="20"/>
        </w:rPr>
        <w:t>the 1997 RRL Determination</w:t>
      </w:r>
      <w:r w:rsidR="00A270D1" w:rsidRPr="004B75D3">
        <w:rPr>
          <w:rFonts w:ascii="Arial" w:hAnsi="Arial" w:cs="Arial"/>
          <w:sz w:val="20"/>
        </w:rPr>
        <w:t>)</w:t>
      </w:r>
      <w:r w:rsidR="00A270D1">
        <w:rPr>
          <w:rFonts w:ascii="Arial" w:hAnsi="Arial" w:cs="Arial"/>
          <w:sz w:val="20"/>
        </w:rPr>
        <w:t xml:space="preserve"> </w:t>
      </w:r>
      <w:r>
        <w:rPr>
          <w:rFonts w:ascii="Arial" w:hAnsi="Arial" w:cs="Arial"/>
          <w:sz w:val="20"/>
        </w:rPr>
        <w:t xml:space="preserve">was due to ‘sunset’ (i.e. be automatically repealed) on 1 October 2017, by operation of </w:t>
      </w:r>
      <w:r w:rsidRPr="004B75D3">
        <w:rPr>
          <w:rFonts w:ascii="Arial" w:hAnsi="Arial" w:cs="Arial"/>
          <w:sz w:val="20"/>
        </w:rPr>
        <w:t>Part 6</w:t>
      </w:r>
      <w:r>
        <w:rPr>
          <w:rFonts w:ascii="Arial" w:hAnsi="Arial" w:cs="Arial"/>
          <w:sz w:val="20"/>
        </w:rPr>
        <w:t xml:space="preserve"> of the </w:t>
      </w:r>
      <w:r w:rsidRPr="00BD05EE">
        <w:rPr>
          <w:rFonts w:ascii="Arial" w:hAnsi="Arial" w:cs="Arial"/>
          <w:i/>
          <w:sz w:val="20"/>
        </w:rPr>
        <w:t>Legislati</w:t>
      </w:r>
      <w:r>
        <w:rPr>
          <w:rFonts w:ascii="Arial" w:hAnsi="Arial" w:cs="Arial"/>
          <w:i/>
          <w:sz w:val="20"/>
        </w:rPr>
        <w:t xml:space="preserve">on </w:t>
      </w:r>
      <w:r w:rsidRPr="00BD05EE">
        <w:rPr>
          <w:rFonts w:ascii="Arial" w:hAnsi="Arial" w:cs="Arial"/>
          <w:i/>
          <w:sz w:val="20"/>
        </w:rPr>
        <w:t>Act 2003</w:t>
      </w:r>
      <w:r>
        <w:rPr>
          <w:rFonts w:ascii="Arial" w:hAnsi="Arial" w:cs="Arial"/>
          <w:i/>
          <w:sz w:val="20"/>
        </w:rPr>
        <w:t xml:space="preserve"> </w:t>
      </w:r>
      <w:r w:rsidRPr="0005604B">
        <w:rPr>
          <w:rFonts w:ascii="Arial" w:hAnsi="Arial" w:cs="Arial"/>
          <w:sz w:val="20"/>
        </w:rPr>
        <w:t>(</w:t>
      </w:r>
      <w:r w:rsidRPr="007C1DC2">
        <w:rPr>
          <w:rFonts w:ascii="Arial" w:hAnsi="Arial" w:cs="Arial"/>
          <w:b/>
          <w:sz w:val="20"/>
        </w:rPr>
        <w:t>the</w:t>
      </w:r>
      <w:r>
        <w:rPr>
          <w:rFonts w:ascii="Arial" w:hAnsi="Arial" w:cs="Arial"/>
          <w:sz w:val="20"/>
        </w:rPr>
        <w:t xml:space="preserve"> </w:t>
      </w:r>
      <w:r w:rsidRPr="00B22257">
        <w:rPr>
          <w:rFonts w:ascii="Arial" w:hAnsi="Arial" w:cs="Arial"/>
          <w:b/>
          <w:sz w:val="20"/>
        </w:rPr>
        <w:t>LA</w:t>
      </w:r>
      <w:r>
        <w:rPr>
          <w:rFonts w:ascii="Arial" w:hAnsi="Arial" w:cs="Arial"/>
          <w:sz w:val="20"/>
        </w:rPr>
        <w:t>).</w:t>
      </w:r>
      <w:r w:rsidR="008272E9">
        <w:rPr>
          <w:rFonts w:ascii="Arial" w:hAnsi="Arial" w:cs="Arial"/>
          <w:sz w:val="20"/>
        </w:rPr>
        <w:t xml:space="preserve"> </w:t>
      </w:r>
      <w:r w:rsidR="00CA0AFB" w:rsidRPr="00C117CF">
        <w:rPr>
          <w:rFonts w:ascii="Arial" w:hAnsi="Arial" w:cs="Arial"/>
          <w:sz w:val="20"/>
        </w:rPr>
        <w:t>Following</w:t>
      </w:r>
      <w:r w:rsidR="00CA0AFB">
        <w:rPr>
          <w:rFonts w:ascii="Arial" w:hAnsi="Arial" w:cs="Arial"/>
          <w:sz w:val="20"/>
        </w:rPr>
        <w:t xml:space="preserve"> </w:t>
      </w:r>
      <w:r w:rsidR="00CA0AFB" w:rsidRPr="00C117CF">
        <w:rPr>
          <w:rFonts w:ascii="Arial" w:hAnsi="Arial" w:cs="Arial"/>
          <w:sz w:val="20"/>
        </w:rPr>
        <w:t>review and consultation</w:t>
      </w:r>
      <w:r w:rsidR="00CA0AFB">
        <w:rPr>
          <w:rFonts w:ascii="Arial" w:hAnsi="Arial" w:cs="Arial"/>
          <w:sz w:val="20"/>
        </w:rPr>
        <w:t>,</w:t>
      </w:r>
      <w:r w:rsidR="00CA0AFB" w:rsidRPr="00C117CF">
        <w:rPr>
          <w:rFonts w:ascii="Arial" w:hAnsi="Arial" w:cs="Arial"/>
          <w:sz w:val="20"/>
        </w:rPr>
        <w:t xml:space="preserve"> the ACMA formed the view that the </w:t>
      </w:r>
      <w:r w:rsidR="00CA0AFB">
        <w:rPr>
          <w:rFonts w:ascii="Arial" w:hAnsi="Arial" w:cs="Arial"/>
          <w:sz w:val="20"/>
        </w:rPr>
        <w:t xml:space="preserve">1997 RRL Determination </w:t>
      </w:r>
      <w:r w:rsidR="00CA0AFB" w:rsidRPr="00C117CF">
        <w:rPr>
          <w:rFonts w:ascii="Arial" w:hAnsi="Arial" w:cs="Arial"/>
          <w:sz w:val="20"/>
        </w:rPr>
        <w:t>was operating effectively and efficiently</w:t>
      </w:r>
      <w:r w:rsidR="00CA0AFB">
        <w:rPr>
          <w:rFonts w:ascii="Arial" w:hAnsi="Arial" w:cs="Arial"/>
          <w:sz w:val="20"/>
        </w:rPr>
        <w:t>,</w:t>
      </w:r>
      <w:r w:rsidR="00CA0AFB" w:rsidRPr="00C117CF">
        <w:rPr>
          <w:rFonts w:ascii="Arial" w:hAnsi="Arial" w:cs="Arial"/>
          <w:sz w:val="20"/>
        </w:rPr>
        <w:t xml:space="preserve"> and continued to form a necessary and useful part of the legislative framework</w:t>
      </w:r>
      <w:r w:rsidR="00CA0AFB">
        <w:rPr>
          <w:rFonts w:ascii="Arial" w:hAnsi="Arial" w:cs="Arial"/>
          <w:sz w:val="20"/>
        </w:rPr>
        <w:t xml:space="preserve">. </w:t>
      </w:r>
      <w:r w:rsidR="00CA0AFB" w:rsidRPr="00572C2E">
        <w:rPr>
          <w:rFonts w:ascii="Arial" w:hAnsi="Arial" w:cs="Arial"/>
          <w:sz w:val="20"/>
        </w:rPr>
        <w:t xml:space="preserve">To preserve the effect of the 1997 RRL Determination, the ACMA has therefore revoked the 1997 RRL Determination before its sunset date and remade it with minor changes as the RRL Determination. </w:t>
      </w:r>
    </w:p>
    <w:p w14:paraId="20D4ED46" w14:textId="732D5609" w:rsidR="00483CAD" w:rsidRDefault="00483CAD" w:rsidP="00483CAD">
      <w:pPr>
        <w:spacing w:after="240"/>
        <w:rPr>
          <w:rFonts w:ascii="Arial" w:hAnsi="Arial" w:cs="Arial"/>
          <w:sz w:val="20"/>
        </w:rPr>
      </w:pPr>
      <w:r w:rsidRPr="00443987">
        <w:rPr>
          <w:rFonts w:ascii="Arial" w:hAnsi="Arial" w:cs="Arial"/>
          <w:sz w:val="20"/>
        </w:rPr>
        <w:t xml:space="preserve">Subsection 33(3) of the </w:t>
      </w:r>
      <w:r w:rsidR="00567DE8">
        <w:rPr>
          <w:rFonts w:ascii="Arial" w:hAnsi="Arial" w:cs="Arial"/>
          <w:i/>
          <w:sz w:val="20"/>
        </w:rPr>
        <w:t>Acts Interpretation Act 1901</w:t>
      </w:r>
      <w:r>
        <w:rPr>
          <w:rFonts w:ascii="Arial" w:hAnsi="Arial" w:cs="Arial"/>
          <w:i/>
          <w:sz w:val="20"/>
        </w:rPr>
        <w:t xml:space="preserve"> </w:t>
      </w:r>
      <w:r w:rsidRPr="00443987">
        <w:rPr>
          <w:rFonts w:ascii="Arial" w:hAnsi="Arial" w:cs="Arial"/>
          <w:sz w:val="20"/>
        </w:rPr>
        <w:t>provides that where an Act confers a power to make a legislative instrument, the power shall be construed to include a</w:t>
      </w:r>
      <w:r w:rsidRPr="00443987">
        <w:t xml:space="preserve"> </w:t>
      </w:r>
      <w:r w:rsidRPr="00443987">
        <w:rPr>
          <w:rFonts w:ascii="Arial" w:hAnsi="Arial" w:cs="Arial"/>
          <w:sz w:val="20"/>
        </w:rPr>
        <w:t>power exercisable in the like manner and subject to the like conditions (if any) to repeal, rescind, revoke, amend or vary any such instrument.</w:t>
      </w:r>
    </w:p>
    <w:p w14:paraId="239F6555" w14:textId="77777777" w:rsidR="003D1A06" w:rsidRDefault="003D1A06" w:rsidP="00F424B1">
      <w:pPr>
        <w:rPr>
          <w:rFonts w:ascii="Arial" w:hAnsi="Arial" w:cs="Arial"/>
          <w:sz w:val="20"/>
        </w:rPr>
      </w:pPr>
      <w:r>
        <w:rPr>
          <w:rFonts w:ascii="Arial" w:hAnsi="Arial" w:cs="Arial"/>
          <w:sz w:val="20"/>
          <w:lang w:val="en-AU"/>
        </w:rPr>
        <w:t xml:space="preserve">A provision-by-provision explanation of the RRL Determination is set out in the notes at </w:t>
      </w:r>
      <w:r>
        <w:rPr>
          <w:rFonts w:ascii="Arial" w:hAnsi="Arial" w:cs="Arial"/>
          <w:b/>
          <w:sz w:val="20"/>
          <w:lang w:val="en-AU"/>
        </w:rPr>
        <w:t>Attachment</w:t>
      </w:r>
      <w:r w:rsidR="00F424B1">
        <w:rPr>
          <w:rFonts w:ascii="Arial" w:hAnsi="Arial" w:cs="Arial"/>
          <w:b/>
          <w:sz w:val="20"/>
          <w:lang w:val="en-AU"/>
        </w:rPr>
        <w:t xml:space="preserve"> </w:t>
      </w:r>
      <w:r>
        <w:rPr>
          <w:rFonts w:ascii="Arial" w:hAnsi="Arial" w:cs="Arial"/>
          <w:b/>
          <w:sz w:val="20"/>
          <w:lang w:val="en-AU"/>
        </w:rPr>
        <w:t>A</w:t>
      </w:r>
      <w:r>
        <w:rPr>
          <w:rFonts w:ascii="Arial" w:hAnsi="Arial" w:cs="Arial"/>
          <w:sz w:val="20"/>
          <w:lang w:val="en-AU"/>
        </w:rPr>
        <w:t xml:space="preserve">. </w:t>
      </w:r>
      <w:r>
        <w:rPr>
          <w:rFonts w:ascii="Arial" w:hAnsi="Arial" w:cs="Arial"/>
          <w:sz w:val="20"/>
          <w:lang w:val="en-AU"/>
        </w:rPr>
        <w:br/>
      </w:r>
    </w:p>
    <w:p w14:paraId="34FF2B9F" w14:textId="77777777" w:rsidR="00770851" w:rsidRPr="00640F78" w:rsidRDefault="00770851" w:rsidP="00640F78">
      <w:pPr>
        <w:spacing w:after="240"/>
        <w:rPr>
          <w:rFonts w:ascii="Arial" w:hAnsi="Arial" w:cs="Arial"/>
          <w:b/>
          <w:sz w:val="20"/>
        </w:rPr>
      </w:pPr>
      <w:r w:rsidRPr="00640F78">
        <w:rPr>
          <w:rFonts w:ascii="Arial" w:hAnsi="Arial" w:cs="Arial"/>
          <w:b/>
          <w:sz w:val="20"/>
        </w:rPr>
        <w:t xml:space="preserve">Documents </w:t>
      </w:r>
      <w:r w:rsidR="00BB68DB">
        <w:rPr>
          <w:rFonts w:ascii="Arial" w:hAnsi="Arial" w:cs="Arial"/>
          <w:b/>
          <w:sz w:val="20"/>
        </w:rPr>
        <w:t>i</w:t>
      </w:r>
      <w:r w:rsidRPr="00640F78">
        <w:rPr>
          <w:rFonts w:ascii="Arial" w:hAnsi="Arial" w:cs="Arial"/>
          <w:b/>
          <w:sz w:val="20"/>
        </w:rPr>
        <w:t xml:space="preserve">ncorporated by </w:t>
      </w:r>
      <w:r w:rsidR="00BB68DB">
        <w:rPr>
          <w:rFonts w:ascii="Arial" w:hAnsi="Arial" w:cs="Arial"/>
          <w:b/>
          <w:sz w:val="20"/>
        </w:rPr>
        <w:t>r</w:t>
      </w:r>
      <w:r w:rsidRPr="00640F78">
        <w:rPr>
          <w:rFonts w:ascii="Arial" w:hAnsi="Arial" w:cs="Arial"/>
          <w:b/>
          <w:sz w:val="20"/>
        </w:rPr>
        <w:t xml:space="preserve">eference </w:t>
      </w:r>
    </w:p>
    <w:p w14:paraId="3C394003" w14:textId="77777777" w:rsidR="002A06D0" w:rsidRDefault="002A06D0" w:rsidP="00770851">
      <w:pPr>
        <w:suppressAutoHyphens/>
        <w:spacing w:before="80" w:after="120" w:line="280" w:lineRule="atLeast"/>
        <w:jc w:val="both"/>
        <w:rPr>
          <w:rFonts w:ascii="Arial" w:hAnsi="Arial" w:cs="Arial"/>
          <w:snapToGrid w:val="0"/>
          <w:sz w:val="20"/>
          <w:lang w:val="en-US" w:eastAsia="en-US"/>
        </w:rPr>
      </w:pPr>
      <w:r>
        <w:rPr>
          <w:rFonts w:ascii="Arial" w:hAnsi="Arial" w:cs="Arial"/>
          <w:snapToGrid w:val="0"/>
          <w:sz w:val="20"/>
          <w:lang w:val="en-US" w:eastAsia="en-US"/>
        </w:rPr>
        <w:t>The RRL Determination incorporates the following documents by reference:</w:t>
      </w:r>
    </w:p>
    <w:p w14:paraId="7B599757" w14:textId="2EF81619" w:rsidR="00770851" w:rsidRPr="003D163C" w:rsidRDefault="00BE0C61" w:rsidP="00DA0698">
      <w:pPr>
        <w:pStyle w:val="ListParagraph"/>
        <w:numPr>
          <w:ilvl w:val="0"/>
          <w:numId w:val="20"/>
        </w:numPr>
        <w:spacing w:after="240"/>
        <w:ind w:left="567" w:hanging="567"/>
        <w:rPr>
          <w:rFonts w:ascii="Arial" w:hAnsi="Arial" w:cs="Arial"/>
          <w:sz w:val="20"/>
          <w:szCs w:val="20"/>
        </w:rPr>
      </w:pPr>
      <w:r w:rsidRPr="003D163C">
        <w:rPr>
          <w:rFonts w:ascii="Arial" w:hAnsi="Arial" w:cs="Arial"/>
          <w:sz w:val="20"/>
          <w:szCs w:val="20"/>
        </w:rPr>
        <w:t>the</w:t>
      </w:r>
      <w:r w:rsidRPr="003D163C">
        <w:rPr>
          <w:rFonts w:ascii="Arial" w:eastAsia="Calibri" w:hAnsi="Arial" w:cs="Arial"/>
          <w:i/>
          <w:sz w:val="20"/>
          <w:szCs w:val="20"/>
          <w:lang w:val="en-AU"/>
        </w:rPr>
        <w:t xml:space="preserve"> </w:t>
      </w:r>
      <w:r w:rsidR="00BB1161">
        <w:rPr>
          <w:rFonts w:ascii="Arial" w:eastAsia="Calibri" w:hAnsi="Arial" w:cs="Arial"/>
          <w:i/>
          <w:sz w:val="20"/>
          <w:szCs w:val="20"/>
          <w:lang w:val="en-AU"/>
        </w:rPr>
        <w:t>Corporations Act 2001</w:t>
      </w:r>
      <w:r w:rsidR="00FF5439">
        <w:rPr>
          <w:rFonts w:ascii="Arial" w:eastAsia="Calibri" w:hAnsi="Arial" w:cs="Arial"/>
          <w:i/>
          <w:sz w:val="20"/>
          <w:szCs w:val="20"/>
          <w:lang w:val="en-AU"/>
        </w:rPr>
        <w:t xml:space="preserve">, </w:t>
      </w:r>
      <w:r w:rsidRPr="003D163C">
        <w:rPr>
          <w:rFonts w:ascii="Arial" w:eastAsia="Calibri" w:hAnsi="Arial" w:cs="Arial"/>
          <w:i/>
          <w:sz w:val="20"/>
          <w:szCs w:val="20"/>
          <w:lang w:val="en-AU"/>
        </w:rPr>
        <w:t xml:space="preserve">Radiocommunications Act 1992, </w:t>
      </w:r>
      <w:r w:rsidRPr="003D163C">
        <w:rPr>
          <w:rFonts w:ascii="Arial" w:eastAsia="Calibri" w:hAnsi="Arial" w:cs="Arial"/>
          <w:sz w:val="20"/>
          <w:szCs w:val="20"/>
          <w:lang w:val="en-AU"/>
        </w:rPr>
        <w:t xml:space="preserve">the </w:t>
      </w:r>
      <w:r w:rsidRPr="003D163C">
        <w:rPr>
          <w:rFonts w:ascii="Arial" w:eastAsia="Calibri" w:hAnsi="Arial" w:cs="Arial"/>
          <w:i/>
          <w:sz w:val="20"/>
          <w:szCs w:val="20"/>
          <w:lang w:val="en-AU"/>
        </w:rPr>
        <w:t>Radiocommunications (Transmitter Licence Tax) Determination 2015</w:t>
      </w:r>
      <w:r w:rsidR="00567DE8">
        <w:rPr>
          <w:rFonts w:ascii="Arial" w:eastAsia="Calibri" w:hAnsi="Arial" w:cs="Arial"/>
          <w:sz w:val="20"/>
          <w:szCs w:val="20"/>
          <w:lang w:val="en-AU"/>
        </w:rPr>
        <w:t xml:space="preserve">, </w:t>
      </w:r>
      <w:r w:rsidR="00D75F07">
        <w:rPr>
          <w:rFonts w:ascii="Arial" w:eastAsia="Calibri" w:hAnsi="Arial" w:cs="Arial"/>
          <w:sz w:val="20"/>
          <w:szCs w:val="20"/>
          <w:lang w:val="en-AU"/>
        </w:rPr>
        <w:t>determination</w:t>
      </w:r>
      <w:r w:rsidR="008A0863">
        <w:rPr>
          <w:rFonts w:ascii="Arial" w:eastAsia="Calibri" w:hAnsi="Arial" w:cs="Arial"/>
          <w:sz w:val="20"/>
          <w:szCs w:val="20"/>
          <w:lang w:val="en-AU"/>
        </w:rPr>
        <w:t>s made</w:t>
      </w:r>
      <w:r w:rsidR="00D75F07">
        <w:rPr>
          <w:rFonts w:ascii="Arial" w:eastAsia="Calibri" w:hAnsi="Arial" w:cs="Arial"/>
          <w:sz w:val="20"/>
          <w:szCs w:val="20"/>
          <w:lang w:val="en-AU"/>
        </w:rPr>
        <w:t xml:space="preserve"> by the ACMA</w:t>
      </w:r>
      <w:r w:rsidR="008A0863">
        <w:rPr>
          <w:rFonts w:ascii="Arial" w:eastAsia="Calibri" w:hAnsi="Arial" w:cs="Arial"/>
          <w:sz w:val="20"/>
          <w:szCs w:val="20"/>
          <w:lang w:val="en-AU"/>
        </w:rPr>
        <w:t xml:space="preserve"> under section 145 of the </w:t>
      </w:r>
      <w:r w:rsidR="008A0863" w:rsidRPr="00AD3702">
        <w:rPr>
          <w:rFonts w:ascii="Arial" w:eastAsia="Calibri" w:hAnsi="Arial" w:cs="Arial"/>
          <w:i/>
          <w:sz w:val="20"/>
          <w:szCs w:val="20"/>
          <w:lang w:val="en-AU"/>
        </w:rPr>
        <w:t>Radiocommunications Act 1992</w:t>
      </w:r>
      <w:r w:rsidR="008A0863">
        <w:rPr>
          <w:rFonts w:ascii="Arial" w:eastAsia="Calibri" w:hAnsi="Arial" w:cs="Arial"/>
          <w:sz w:val="20"/>
          <w:szCs w:val="20"/>
          <w:lang w:val="en-AU"/>
        </w:rPr>
        <w:t xml:space="preserve"> in respect</w:t>
      </w:r>
      <w:r w:rsidRPr="003D163C">
        <w:rPr>
          <w:rFonts w:ascii="Arial" w:hAnsi="Arial" w:cs="Arial"/>
          <w:sz w:val="20"/>
          <w:szCs w:val="20"/>
        </w:rPr>
        <w:t xml:space="preserve"> </w:t>
      </w:r>
      <w:r w:rsidR="00501215">
        <w:rPr>
          <w:rFonts w:ascii="Arial" w:hAnsi="Arial" w:cs="Arial"/>
          <w:sz w:val="20"/>
          <w:szCs w:val="20"/>
        </w:rPr>
        <w:t xml:space="preserve">and </w:t>
      </w:r>
      <w:r w:rsidR="00DA0698" w:rsidRPr="003D163C">
        <w:rPr>
          <w:rFonts w:ascii="Arial" w:hAnsi="Arial" w:cs="Arial"/>
          <w:sz w:val="20"/>
          <w:szCs w:val="20"/>
        </w:rPr>
        <w:t xml:space="preserve">the </w:t>
      </w:r>
      <w:r w:rsidR="00DA0698" w:rsidRPr="003D163C">
        <w:rPr>
          <w:rFonts w:ascii="Arial" w:eastAsia="Calibri" w:hAnsi="Arial" w:cs="Arial"/>
          <w:i/>
          <w:sz w:val="20"/>
          <w:szCs w:val="20"/>
          <w:lang w:val="en-AU"/>
        </w:rPr>
        <w:t>Radiocommunications (Register of Radiocommunications Licences) Determination 1997</w:t>
      </w:r>
      <w:r w:rsidR="003D163C">
        <w:rPr>
          <w:rFonts w:ascii="Arial" w:eastAsia="Calibri" w:hAnsi="Arial" w:cs="Arial"/>
          <w:sz w:val="20"/>
          <w:szCs w:val="20"/>
          <w:lang w:val="en-AU"/>
        </w:rPr>
        <w:t xml:space="preserve"> – all of which are </w:t>
      </w:r>
      <w:r w:rsidR="005B2D04">
        <w:rPr>
          <w:rFonts w:ascii="Arial" w:eastAsia="Calibri" w:hAnsi="Arial" w:cs="Arial"/>
          <w:sz w:val="20"/>
          <w:szCs w:val="20"/>
          <w:lang w:val="en-AU"/>
        </w:rPr>
        <w:t xml:space="preserve">publicly </w:t>
      </w:r>
      <w:r w:rsidR="003D163C">
        <w:rPr>
          <w:rFonts w:ascii="Arial" w:eastAsia="Calibri" w:hAnsi="Arial" w:cs="Arial"/>
          <w:sz w:val="20"/>
          <w:szCs w:val="20"/>
          <w:lang w:val="en-AU"/>
        </w:rPr>
        <w:t>available</w:t>
      </w:r>
      <w:r w:rsidR="005B2D04">
        <w:rPr>
          <w:rFonts w:ascii="Arial" w:eastAsia="Calibri" w:hAnsi="Arial" w:cs="Arial"/>
          <w:sz w:val="20"/>
          <w:szCs w:val="20"/>
          <w:lang w:val="en-AU"/>
        </w:rPr>
        <w:t xml:space="preserve">, free of charge at </w:t>
      </w:r>
      <w:hyperlink r:id="rId13" w:history="1">
        <w:r w:rsidR="005B2D04" w:rsidRPr="00DB0386">
          <w:rPr>
            <w:rStyle w:val="Hyperlink"/>
            <w:rFonts w:ascii="Arial" w:eastAsia="Calibri" w:hAnsi="Arial" w:cs="Arial"/>
            <w:sz w:val="20"/>
            <w:szCs w:val="20"/>
            <w:lang w:val="en-AU"/>
          </w:rPr>
          <w:t>www.legislation.gov.au</w:t>
        </w:r>
      </w:hyperlink>
      <w:r w:rsidR="0043343C" w:rsidRPr="003D163C">
        <w:rPr>
          <w:rFonts w:ascii="Arial" w:eastAsia="Calibri" w:hAnsi="Arial" w:cs="Arial"/>
          <w:sz w:val="20"/>
          <w:szCs w:val="20"/>
          <w:lang w:val="en-AU"/>
        </w:rPr>
        <w:t>;</w:t>
      </w:r>
      <w:r w:rsidR="005B2D04">
        <w:rPr>
          <w:rFonts w:ascii="Arial" w:eastAsia="Calibri" w:hAnsi="Arial" w:cs="Arial"/>
          <w:sz w:val="20"/>
          <w:szCs w:val="20"/>
          <w:lang w:val="en-AU"/>
        </w:rPr>
        <w:t xml:space="preserve"> and</w:t>
      </w:r>
    </w:p>
    <w:p w14:paraId="370FE628" w14:textId="77777777" w:rsidR="005B2D04" w:rsidRPr="005B2D04" w:rsidRDefault="0043343C" w:rsidP="00640F78">
      <w:pPr>
        <w:pStyle w:val="ListParagraph"/>
        <w:numPr>
          <w:ilvl w:val="0"/>
          <w:numId w:val="20"/>
        </w:numPr>
        <w:spacing w:after="240"/>
        <w:ind w:left="567" w:hanging="567"/>
        <w:rPr>
          <w:rStyle w:val="Hyperlink"/>
          <w:rFonts w:ascii="Arial" w:hAnsi="Arial" w:cs="Arial"/>
          <w:color w:val="auto"/>
          <w:sz w:val="20"/>
          <w:szCs w:val="20"/>
          <w:u w:val="none"/>
        </w:rPr>
      </w:pPr>
      <w:r>
        <w:rPr>
          <w:rFonts w:ascii="Arial" w:hAnsi="Arial" w:cs="Arial"/>
          <w:sz w:val="20"/>
          <w:szCs w:val="20"/>
          <w:lang w:val="en-AU"/>
        </w:rPr>
        <w:lastRenderedPageBreak/>
        <w:t>t</w:t>
      </w:r>
      <w:r w:rsidRPr="0043343C">
        <w:rPr>
          <w:rFonts w:ascii="Arial" w:hAnsi="Arial" w:cs="Arial"/>
          <w:sz w:val="20"/>
          <w:szCs w:val="20"/>
          <w:lang w:val="en-AU"/>
        </w:rPr>
        <w:t>he Radio Regulations published by the International Telecommunication Union (ITU), as in force from time to time. Copies of the Radio Regulations can be obtained</w:t>
      </w:r>
      <w:r w:rsidR="008272E9">
        <w:rPr>
          <w:rFonts w:ascii="Arial" w:hAnsi="Arial" w:cs="Arial"/>
          <w:sz w:val="20"/>
          <w:szCs w:val="20"/>
          <w:lang w:val="en-AU"/>
        </w:rPr>
        <w:t>, free of charge,</w:t>
      </w:r>
      <w:r w:rsidRPr="0043343C">
        <w:rPr>
          <w:rFonts w:ascii="Arial" w:hAnsi="Arial" w:cs="Arial"/>
          <w:sz w:val="20"/>
          <w:szCs w:val="20"/>
          <w:lang w:val="en-AU"/>
        </w:rPr>
        <w:t xml:space="preserve"> from the ITU at </w:t>
      </w:r>
      <w:hyperlink r:id="rId14" w:history="1">
        <w:r w:rsidRPr="0043343C">
          <w:rPr>
            <w:rStyle w:val="Hyperlink"/>
            <w:rFonts w:ascii="Arial" w:hAnsi="Arial" w:cs="Arial"/>
            <w:sz w:val="20"/>
            <w:szCs w:val="20"/>
            <w:lang w:val="en-AU"/>
          </w:rPr>
          <w:t>www.itu.int</w:t>
        </w:r>
      </w:hyperlink>
      <w:r w:rsidR="005B2D04">
        <w:rPr>
          <w:rStyle w:val="Hyperlink"/>
          <w:rFonts w:ascii="Arial" w:hAnsi="Arial" w:cs="Arial"/>
          <w:sz w:val="20"/>
          <w:szCs w:val="20"/>
          <w:lang w:val="en-AU"/>
        </w:rPr>
        <w:t>.</w:t>
      </w:r>
    </w:p>
    <w:p w14:paraId="77FD689D" w14:textId="60A1F51E" w:rsidR="005B2D04" w:rsidRPr="005B2D04" w:rsidRDefault="005B2D04" w:rsidP="005B2D04">
      <w:pPr>
        <w:jc w:val="both"/>
        <w:rPr>
          <w:rFonts w:ascii="Arial" w:hAnsi="Arial" w:cs="Arial"/>
          <w:sz w:val="20"/>
          <w:lang w:val="en-AU"/>
        </w:rPr>
      </w:pPr>
      <w:r w:rsidRPr="005B2D04">
        <w:rPr>
          <w:rFonts w:ascii="Arial" w:hAnsi="Arial" w:cs="Arial"/>
          <w:sz w:val="20"/>
          <w:lang w:val="en-AU"/>
        </w:rPr>
        <w:t xml:space="preserve">Unless the contrary intention appears, </w:t>
      </w:r>
      <w:r w:rsidRPr="005B2D04">
        <w:rPr>
          <w:rFonts w:ascii="Arial" w:hAnsi="Arial" w:cs="Arial"/>
          <w:sz w:val="20"/>
        </w:rPr>
        <w:t>a reference to another legislative</w:t>
      </w:r>
      <w:r w:rsidR="00161A37">
        <w:rPr>
          <w:rFonts w:ascii="Arial" w:hAnsi="Arial" w:cs="Arial"/>
          <w:sz w:val="20"/>
        </w:rPr>
        <w:t xml:space="preserve"> or other kind of</w:t>
      </w:r>
      <w:r w:rsidRPr="005B2D04">
        <w:rPr>
          <w:rFonts w:ascii="Arial" w:hAnsi="Arial" w:cs="Arial"/>
          <w:sz w:val="20"/>
        </w:rPr>
        <w:t xml:space="preserve"> instrument in the Determination is a reference to that other legislative instrument as in force from time to time.</w:t>
      </w:r>
    </w:p>
    <w:p w14:paraId="4FA3584E" w14:textId="77777777" w:rsidR="0050767C" w:rsidRDefault="0050767C" w:rsidP="008E69CB">
      <w:pPr>
        <w:keepNext/>
        <w:spacing w:line="360" w:lineRule="auto"/>
        <w:outlineLvl w:val="0"/>
        <w:rPr>
          <w:rFonts w:ascii="Arial" w:hAnsi="Arial" w:cs="Arial"/>
          <w:b/>
          <w:sz w:val="22"/>
          <w:szCs w:val="22"/>
          <w:lang w:val="en-AU"/>
        </w:rPr>
      </w:pPr>
    </w:p>
    <w:p w14:paraId="487F792F" w14:textId="77777777" w:rsidR="008E69CB" w:rsidRPr="00C205B9" w:rsidRDefault="008E69CB" w:rsidP="008E69CB">
      <w:pPr>
        <w:keepNext/>
        <w:spacing w:line="360" w:lineRule="auto"/>
        <w:outlineLvl w:val="0"/>
        <w:rPr>
          <w:rFonts w:ascii="Arial" w:hAnsi="Arial" w:cs="Arial"/>
          <w:b/>
          <w:sz w:val="22"/>
          <w:szCs w:val="22"/>
          <w:lang w:val="en-AU"/>
        </w:rPr>
      </w:pPr>
      <w:r w:rsidRPr="00C205B9">
        <w:rPr>
          <w:rFonts w:ascii="Arial" w:hAnsi="Arial" w:cs="Arial"/>
          <w:b/>
          <w:sz w:val="22"/>
          <w:szCs w:val="22"/>
          <w:lang w:val="en-AU"/>
        </w:rPr>
        <w:t>Consultation</w:t>
      </w:r>
    </w:p>
    <w:p w14:paraId="5D58D98A" w14:textId="77777777" w:rsidR="008E69CB" w:rsidRDefault="008E69CB" w:rsidP="008E69CB">
      <w:pPr>
        <w:spacing w:after="240"/>
        <w:rPr>
          <w:rFonts w:ascii="Arial" w:hAnsi="Arial" w:cs="Arial"/>
          <w:snapToGrid w:val="0"/>
          <w:sz w:val="20"/>
        </w:rPr>
      </w:pPr>
      <w:r w:rsidRPr="00C117CF">
        <w:rPr>
          <w:rFonts w:ascii="Arial" w:hAnsi="Arial" w:cs="Arial"/>
          <w:snapToGrid w:val="0"/>
          <w:sz w:val="20"/>
        </w:rPr>
        <w:t>Subsection 17(1) of the LA requires that, before the ACMA makes a legislative instrument, any consultation that the ACMA considers is appropriate and reasonably practicable to undertake</w:t>
      </w:r>
      <w:r w:rsidR="00B3083F">
        <w:rPr>
          <w:rFonts w:ascii="Arial" w:hAnsi="Arial" w:cs="Arial"/>
          <w:snapToGrid w:val="0"/>
          <w:sz w:val="20"/>
        </w:rPr>
        <w:t>,</w:t>
      </w:r>
      <w:r w:rsidRPr="00C117CF">
        <w:rPr>
          <w:rFonts w:ascii="Arial" w:hAnsi="Arial" w:cs="Arial"/>
          <w:snapToGrid w:val="0"/>
          <w:sz w:val="20"/>
        </w:rPr>
        <w:t xml:space="preserve"> has been undertaken.</w:t>
      </w:r>
      <w:r w:rsidRPr="002E036C">
        <w:rPr>
          <w:rFonts w:ascii="Arial" w:hAnsi="Arial" w:cs="Arial"/>
          <w:snapToGrid w:val="0"/>
          <w:sz w:val="20"/>
        </w:rPr>
        <w:t xml:space="preserve"> </w:t>
      </w:r>
    </w:p>
    <w:p w14:paraId="349E5854" w14:textId="40456EA5" w:rsidR="008E69CB" w:rsidRDefault="008E69CB" w:rsidP="008E69CB">
      <w:pPr>
        <w:spacing w:after="240"/>
        <w:rPr>
          <w:rFonts w:ascii="Arial" w:hAnsi="Arial" w:cs="Arial"/>
          <w:snapToGrid w:val="0"/>
          <w:sz w:val="20"/>
        </w:rPr>
      </w:pPr>
      <w:r>
        <w:rPr>
          <w:rFonts w:ascii="Arial" w:hAnsi="Arial" w:cs="Arial"/>
          <w:snapToGrid w:val="0"/>
          <w:sz w:val="20"/>
        </w:rPr>
        <w:t>The</w:t>
      </w:r>
      <w:r w:rsidRPr="00C117CF">
        <w:rPr>
          <w:rFonts w:ascii="Arial" w:hAnsi="Arial" w:cs="Arial"/>
          <w:snapToGrid w:val="0"/>
          <w:sz w:val="20"/>
        </w:rPr>
        <w:t xml:space="preserve"> ACMA </w:t>
      </w:r>
      <w:r>
        <w:rPr>
          <w:rFonts w:ascii="Arial" w:hAnsi="Arial" w:cs="Arial"/>
          <w:snapToGrid w:val="0"/>
          <w:sz w:val="20"/>
        </w:rPr>
        <w:t xml:space="preserve">published a consultation paper and draft </w:t>
      </w:r>
      <w:r w:rsidR="00B3083F">
        <w:rPr>
          <w:rFonts w:ascii="Arial" w:hAnsi="Arial" w:cs="Arial"/>
          <w:snapToGrid w:val="0"/>
          <w:sz w:val="20"/>
        </w:rPr>
        <w:t>version of the RRL Determination</w:t>
      </w:r>
      <w:r>
        <w:rPr>
          <w:rFonts w:ascii="Arial" w:hAnsi="Arial" w:cs="Arial"/>
          <w:snapToGrid w:val="0"/>
          <w:sz w:val="20"/>
        </w:rPr>
        <w:t xml:space="preserve"> on its website</w:t>
      </w:r>
      <w:r w:rsidR="00F66496">
        <w:rPr>
          <w:rFonts w:ascii="Arial" w:hAnsi="Arial" w:cs="Arial"/>
          <w:snapToGrid w:val="0"/>
          <w:sz w:val="20"/>
        </w:rPr>
        <w:t xml:space="preserve"> on 9 June 2017</w:t>
      </w:r>
      <w:r w:rsidR="005C5B7F">
        <w:rPr>
          <w:rFonts w:ascii="Arial" w:hAnsi="Arial" w:cs="Arial"/>
          <w:snapToGrid w:val="0"/>
          <w:sz w:val="20"/>
        </w:rPr>
        <w:t>.</w:t>
      </w:r>
      <w:r w:rsidRPr="00C117CF">
        <w:rPr>
          <w:rFonts w:ascii="Arial" w:hAnsi="Arial" w:cs="Arial"/>
          <w:snapToGrid w:val="0"/>
          <w:sz w:val="20"/>
        </w:rPr>
        <w:t>Th</w:t>
      </w:r>
      <w:r>
        <w:rPr>
          <w:rFonts w:ascii="Arial" w:hAnsi="Arial" w:cs="Arial"/>
          <w:snapToGrid w:val="0"/>
          <w:sz w:val="20"/>
        </w:rPr>
        <w:t xml:space="preserve">e consultation </w:t>
      </w:r>
      <w:r w:rsidRPr="00C117CF">
        <w:rPr>
          <w:rFonts w:ascii="Arial" w:hAnsi="Arial" w:cs="Arial"/>
          <w:snapToGrid w:val="0"/>
          <w:sz w:val="20"/>
        </w:rPr>
        <w:t xml:space="preserve">paper explained the sunsetting process and the ACMA’s preliminary view that the existing arrangements </w:t>
      </w:r>
      <w:r>
        <w:rPr>
          <w:rFonts w:ascii="Arial" w:hAnsi="Arial" w:cs="Arial"/>
          <w:snapToGrid w:val="0"/>
          <w:sz w:val="20"/>
        </w:rPr>
        <w:t>under the 1997</w:t>
      </w:r>
      <w:r w:rsidR="00B3083F">
        <w:rPr>
          <w:rFonts w:ascii="Arial" w:hAnsi="Arial" w:cs="Arial"/>
          <w:snapToGrid w:val="0"/>
          <w:sz w:val="20"/>
        </w:rPr>
        <w:t xml:space="preserve"> RRL Determination </w:t>
      </w:r>
      <w:r w:rsidR="005C5B7F">
        <w:rPr>
          <w:rFonts w:ascii="Arial" w:hAnsi="Arial" w:cs="Arial"/>
          <w:snapToGrid w:val="0"/>
          <w:sz w:val="20"/>
        </w:rPr>
        <w:t xml:space="preserve">were </w:t>
      </w:r>
      <w:r w:rsidR="005C5B7F" w:rsidRPr="00C117CF">
        <w:rPr>
          <w:rFonts w:ascii="Arial" w:hAnsi="Arial" w:cs="Arial"/>
          <w:sz w:val="20"/>
        </w:rPr>
        <w:t>operating effectively and efficiently</w:t>
      </w:r>
      <w:r w:rsidR="005C5B7F">
        <w:rPr>
          <w:rFonts w:ascii="Arial" w:hAnsi="Arial" w:cs="Arial"/>
          <w:sz w:val="20"/>
        </w:rPr>
        <w:t xml:space="preserve"> and that the </w:t>
      </w:r>
      <w:r w:rsidR="005C5B7F">
        <w:rPr>
          <w:rFonts w:ascii="Arial" w:hAnsi="Arial" w:cs="Arial"/>
          <w:snapToGrid w:val="0"/>
          <w:sz w:val="20"/>
        </w:rPr>
        <w:t>1997 RRL Determination</w:t>
      </w:r>
      <w:r w:rsidR="005C5B7F" w:rsidRPr="00C117CF">
        <w:rPr>
          <w:rFonts w:ascii="Arial" w:hAnsi="Arial" w:cs="Arial"/>
          <w:snapToGrid w:val="0"/>
          <w:sz w:val="20"/>
        </w:rPr>
        <w:t xml:space="preserve"> </w:t>
      </w:r>
      <w:r w:rsidRPr="00C117CF">
        <w:rPr>
          <w:rFonts w:ascii="Arial" w:hAnsi="Arial" w:cs="Arial"/>
          <w:snapToGrid w:val="0"/>
          <w:sz w:val="20"/>
        </w:rPr>
        <w:t>should be remade</w:t>
      </w:r>
      <w:r w:rsidR="00B560E6">
        <w:rPr>
          <w:rFonts w:ascii="Arial" w:hAnsi="Arial" w:cs="Arial"/>
          <w:snapToGrid w:val="0"/>
          <w:sz w:val="20"/>
        </w:rPr>
        <w:t>,</w:t>
      </w:r>
      <w:r w:rsidRPr="00C117CF">
        <w:rPr>
          <w:rFonts w:ascii="Arial" w:hAnsi="Arial" w:cs="Arial"/>
          <w:snapToGrid w:val="0"/>
          <w:sz w:val="20"/>
        </w:rPr>
        <w:t xml:space="preserve"> without any significant changes. </w:t>
      </w:r>
      <w:r w:rsidR="00B560E6">
        <w:rPr>
          <w:rFonts w:ascii="Arial" w:hAnsi="Arial" w:cs="Arial"/>
          <w:snapToGrid w:val="0"/>
          <w:sz w:val="20"/>
        </w:rPr>
        <w:t xml:space="preserve">Interested parties were invited to make </w:t>
      </w:r>
      <w:r w:rsidR="0091491D">
        <w:rPr>
          <w:rFonts w:ascii="Arial" w:hAnsi="Arial" w:cs="Arial"/>
          <w:snapToGrid w:val="0"/>
          <w:sz w:val="20"/>
        </w:rPr>
        <w:t>submissions</w:t>
      </w:r>
      <w:r w:rsidR="00B560E6">
        <w:rPr>
          <w:rFonts w:ascii="Arial" w:hAnsi="Arial" w:cs="Arial"/>
          <w:snapToGrid w:val="0"/>
          <w:sz w:val="20"/>
        </w:rPr>
        <w:t xml:space="preserve"> over the</w:t>
      </w:r>
      <w:r w:rsidR="00F66496">
        <w:rPr>
          <w:rFonts w:ascii="Arial" w:hAnsi="Arial" w:cs="Arial"/>
          <w:snapToGrid w:val="0"/>
          <w:sz w:val="20"/>
        </w:rPr>
        <w:t xml:space="preserve"> </w:t>
      </w:r>
      <w:r w:rsidR="00D4393A">
        <w:rPr>
          <w:rFonts w:ascii="Arial" w:hAnsi="Arial" w:cs="Arial"/>
          <w:snapToGrid w:val="0"/>
          <w:sz w:val="20"/>
        </w:rPr>
        <w:t>consultation period</w:t>
      </w:r>
      <w:r w:rsidR="00B560E6">
        <w:rPr>
          <w:rFonts w:ascii="Arial" w:hAnsi="Arial" w:cs="Arial"/>
          <w:snapToGrid w:val="0"/>
          <w:sz w:val="20"/>
        </w:rPr>
        <w:t xml:space="preserve"> which ran from</w:t>
      </w:r>
      <w:r w:rsidR="00D4393A">
        <w:rPr>
          <w:rFonts w:ascii="Arial" w:hAnsi="Arial" w:cs="Arial"/>
          <w:snapToGrid w:val="0"/>
          <w:sz w:val="20"/>
        </w:rPr>
        <w:t xml:space="preserve"> 9 June 2017 to 11 July 2017</w:t>
      </w:r>
      <w:r w:rsidR="00161A37">
        <w:rPr>
          <w:rFonts w:ascii="Arial" w:hAnsi="Arial" w:cs="Arial"/>
          <w:snapToGrid w:val="0"/>
          <w:sz w:val="20"/>
        </w:rPr>
        <w:t>.</w:t>
      </w:r>
    </w:p>
    <w:p w14:paraId="39AF5626" w14:textId="77777777" w:rsidR="008E69CB" w:rsidRPr="00C117CF" w:rsidRDefault="008E69CB" w:rsidP="008E69CB">
      <w:pPr>
        <w:spacing w:after="240"/>
        <w:rPr>
          <w:rFonts w:ascii="Arial" w:hAnsi="Arial" w:cs="Arial"/>
          <w:snapToGrid w:val="0"/>
          <w:sz w:val="20"/>
        </w:rPr>
      </w:pPr>
      <w:r>
        <w:rPr>
          <w:rFonts w:ascii="Arial" w:hAnsi="Arial" w:cs="Arial"/>
          <w:snapToGrid w:val="0"/>
          <w:sz w:val="20"/>
        </w:rPr>
        <w:t>T</w:t>
      </w:r>
      <w:r w:rsidRPr="00C117CF">
        <w:rPr>
          <w:rFonts w:ascii="Arial" w:hAnsi="Arial" w:cs="Arial"/>
          <w:snapToGrid w:val="0"/>
          <w:sz w:val="20"/>
        </w:rPr>
        <w:t xml:space="preserve">he ACMA received </w:t>
      </w:r>
      <w:r>
        <w:rPr>
          <w:rFonts w:ascii="Arial" w:hAnsi="Arial" w:cs="Arial"/>
          <w:snapToGrid w:val="0"/>
          <w:sz w:val="20"/>
        </w:rPr>
        <w:t xml:space="preserve">six </w:t>
      </w:r>
      <w:r w:rsidRPr="00C117CF">
        <w:rPr>
          <w:rFonts w:ascii="Arial" w:hAnsi="Arial" w:cs="Arial"/>
          <w:snapToGrid w:val="0"/>
          <w:sz w:val="20"/>
        </w:rPr>
        <w:t>submission</w:t>
      </w:r>
      <w:r>
        <w:rPr>
          <w:rFonts w:ascii="Arial" w:hAnsi="Arial" w:cs="Arial"/>
          <w:snapToGrid w:val="0"/>
          <w:sz w:val="20"/>
        </w:rPr>
        <w:t>s</w:t>
      </w:r>
      <w:r w:rsidRPr="00C117CF">
        <w:rPr>
          <w:rFonts w:ascii="Arial" w:hAnsi="Arial" w:cs="Arial"/>
          <w:snapToGrid w:val="0"/>
          <w:sz w:val="20"/>
        </w:rPr>
        <w:t xml:space="preserve"> in response to t</w:t>
      </w:r>
      <w:r>
        <w:rPr>
          <w:rFonts w:ascii="Arial" w:hAnsi="Arial" w:cs="Arial"/>
          <w:snapToGrid w:val="0"/>
          <w:sz w:val="20"/>
        </w:rPr>
        <w:t>he consultation</w:t>
      </w:r>
      <w:r w:rsidR="00396FE7">
        <w:rPr>
          <w:rFonts w:ascii="Arial" w:hAnsi="Arial" w:cs="Arial"/>
          <w:snapToGrid w:val="0"/>
          <w:sz w:val="20"/>
        </w:rPr>
        <w:t>,</w:t>
      </w:r>
      <w:r w:rsidR="00E53B40">
        <w:rPr>
          <w:rFonts w:ascii="Arial" w:hAnsi="Arial" w:cs="Arial"/>
          <w:snapToGrid w:val="0"/>
          <w:sz w:val="20"/>
        </w:rPr>
        <w:t xml:space="preserve"> </w:t>
      </w:r>
      <w:r w:rsidR="00396FE7">
        <w:rPr>
          <w:rFonts w:ascii="Arial" w:hAnsi="Arial" w:cs="Arial"/>
          <w:snapToGrid w:val="0"/>
          <w:sz w:val="20"/>
        </w:rPr>
        <w:t>none of whi</w:t>
      </w:r>
      <w:r w:rsidR="000D2768">
        <w:rPr>
          <w:rFonts w:ascii="Arial" w:hAnsi="Arial" w:cs="Arial"/>
          <w:snapToGrid w:val="0"/>
          <w:sz w:val="20"/>
        </w:rPr>
        <w:t>ch objected to</w:t>
      </w:r>
      <w:r w:rsidR="00E53B40" w:rsidRPr="00E53B40">
        <w:rPr>
          <w:rFonts w:ascii="Arial" w:hAnsi="Arial" w:cs="Arial"/>
          <w:snapToGrid w:val="0"/>
          <w:sz w:val="20"/>
        </w:rPr>
        <w:t xml:space="preserve"> the remaking of the </w:t>
      </w:r>
      <w:r w:rsidR="00E53B40">
        <w:rPr>
          <w:rFonts w:ascii="Arial" w:hAnsi="Arial" w:cs="Arial"/>
          <w:snapToGrid w:val="0"/>
          <w:sz w:val="20"/>
        </w:rPr>
        <w:t>1997 RRL Determination</w:t>
      </w:r>
      <w:r w:rsidR="000D2768">
        <w:rPr>
          <w:rFonts w:ascii="Arial" w:hAnsi="Arial" w:cs="Arial"/>
          <w:snapToGrid w:val="0"/>
          <w:sz w:val="20"/>
        </w:rPr>
        <w:t xml:space="preserve"> and all of which were carefully considered before the ACMA made the RRL Determination.</w:t>
      </w:r>
    </w:p>
    <w:p w14:paraId="1688BC29" w14:textId="77777777" w:rsidR="008F5E11" w:rsidRDefault="008F5E11" w:rsidP="008F5E11">
      <w:pPr>
        <w:keepNext/>
        <w:spacing w:line="360" w:lineRule="auto"/>
        <w:outlineLvl w:val="0"/>
        <w:rPr>
          <w:rFonts w:ascii="Arial" w:hAnsi="Arial" w:cs="Arial"/>
          <w:b/>
          <w:sz w:val="22"/>
          <w:szCs w:val="22"/>
          <w:lang w:val="en-AU"/>
        </w:rPr>
      </w:pPr>
      <w:r>
        <w:rPr>
          <w:rFonts w:ascii="Arial" w:hAnsi="Arial" w:cs="Arial"/>
          <w:b/>
          <w:sz w:val="22"/>
          <w:szCs w:val="22"/>
          <w:lang w:val="en-AU"/>
        </w:rPr>
        <w:t>Regulatory impact assesment</w:t>
      </w:r>
    </w:p>
    <w:p w14:paraId="16A727E5" w14:textId="42B27540" w:rsidR="008F5E11" w:rsidRDefault="008F5E11" w:rsidP="00640F78">
      <w:pPr>
        <w:spacing w:after="120"/>
        <w:rPr>
          <w:rFonts w:ascii="Arial" w:hAnsi="Arial" w:cs="Arial"/>
          <w:sz w:val="20"/>
          <w:lang w:val="en-AU"/>
        </w:rPr>
      </w:pPr>
      <w:r w:rsidRPr="00D34BBD">
        <w:rPr>
          <w:rFonts w:ascii="Arial" w:hAnsi="Arial" w:cs="Arial"/>
          <w:sz w:val="20"/>
          <w:lang w:val="en-AU"/>
        </w:rPr>
        <w:t>The ACMA consulted with the Office of Best Practice Regulation (</w:t>
      </w:r>
      <w:r w:rsidRPr="00640F78">
        <w:rPr>
          <w:rFonts w:ascii="Arial" w:hAnsi="Arial" w:cs="Arial"/>
          <w:b/>
          <w:sz w:val="20"/>
          <w:lang w:val="en-AU"/>
        </w:rPr>
        <w:t>OBPR</w:t>
      </w:r>
      <w:r w:rsidRPr="00D34BBD">
        <w:rPr>
          <w:rFonts w:ascii="Arial" w:hAnsi="Arial" w:cs="Arial"/>
          <w:sz w:val="20"/>
          <w:lang w:val="en-AU"/>
        </w:rPr>
        <w:t>) on the requirement for a Regulation Impact Statement (</w:t>
      </w:r>
      <w:r w:rsidRPr="00640F78">
        <w:rPr>
          <w:rFonts w:ascii="Arial" w:hAnsi="Arial" w:cs="Arial"/>
          <w:b/>
          <w:sz w:val="20"/>
          <w:lang w:val="en-AU"/>
        </w:rPr>
        <w:t>RIS</w:t>
      </w:r>
      <w:r w:rsidRPr="00D34BBD">
        <w:rPr>
          <w:rFonts w:ascii="Arial" w:hAnsi="Arial" w:cs="Arial"/>
          <w:sz w:val="20"/>
          <w:lang w:val="en-AU"/>
        </w:rPr>
        <w:t xml:space="preserve">) for </w:t>
      </w:r>
      <w:r w:rsidR="00161A37">
        <w:rPr>
          <w:rFonts w:ascii="Arial" w:hAnsi="Arial" w:cs="Arial"/>
          <w:sz w:val="20"/>
          <w:lang w:val="en-AU"/>
        </w:rPr>
        <w:t xml:space="preserve">the </w:t>
      </w:r>
      <w:r w:rsidR="00D77F77">
        <w:rPr>
          <w:rFonts w:ascii="Arial" w:hAnsi="Arial" w:cs="Arial"/>
          <w:sz w:val="20"/>
          <w:lang w:val="en-AU"/>
        </w:rPr>
        <w:t>RRL Determination</w:t>
      </w:r>
      <w:r w:rsidRPr="00D34BBD">
        <w:rPr>
          <w:rFonts w:ascii="Arial" w:hAnsi="Arial" w:cs="Arial"/>
          <w:sz w:val="20"/>
          <w:lang w:val="en-AU"/>
        </w:rPr>
        <w:t xml:space="preserve">. The OBPR advised that the </w:t>
      </w:r>
      <w:r w:rsidR="00D77F77">
        <w:rPr>
          <w:rFonts w:ascii="Arial" w:hAnsi="Arial" w:cs="Arial"/>
          <w:sz w:val="20"/>
          <w:lang w:val="en-AU"/>
        </w:rPr>
        <w:t xml:space="preserve">RRL </w:t>
      </w:r>
      <w:r w:rsidRPr="00D34BBD">
        <w:rPr>
          <w:rFonts w:ascii="Arial" w:hAnsi="Arial" w:cs="Arial"/>
          <w:sz w:val="20"/>
          <w:lang w:val="en-AU"/>
        </w:rPr>
        <w:t xml:space="preserve">Determination </w:t>
      </w:r>
      <w:r>
        <w:rPr>
          <w:rFonts w:ascii="Arial" w:hAnsi="Arial" w:cs="Arial"/>
          <w:sz w:val="20"/>
          <w:lang w:val="en-AU"/>
        </w:rPr>
        <w:t>did</w:t>
      </w:r>
      <w:r w:rsidRPr="00D34BBD">
        <w:rPr>
          <w:rFonts w:ascii="Arial" w:hAnsi="Arial" w:cs="Arial"/>
          <w:sz w:val="20"/>
          <w:lang w:val="en-AU"/>
        </w:rPr>
        <w:t xml:space="preserve"> not warrant the preparation of a RIS because it is only likely to have minor and machinery impacts. The </w:t>
      </w:r>
      <w:r>
        <w:rPr>
          <w:rFonts w:ascii="Arial" w:hAnsi="Arial" w:cs="Arial"/>
          <w:sz w:val="20"/>
          <w:lang w:val="en-AU"/>
        </w:rPr>
        <w:t xml:space="preserve">OBPR </w:t>
      </w:r>
      <w:r w:rsidRPr="00D34BBD">
        <w:rPr>
          <w:rFonts w:ascii="Arial" w:hAnsi="Arial" w:cs="Arial"/>
          <w:sz w:val="20"/>
          <w:lang w:val="en-AU"/>
        </w:rPr>
        <w:t>reference</w:t>
      </w:r>
      <w:r>
        <w:rPr>
          <w:rFonts w:ascii="Arial" w:hAnsi="Arial" w:cs="Arial"/>
          <w:sz w:val="20"/>
          <w:lang w:val="en-AU"/>
        </w:rPr>
        <w:t xml:space="preserve"> number is 22315</w:t>
      </w:r>
      <w:r w:rsidRPr="00D34BBD">
        <w:rPr>
          <w:rFonts w:ascii="Arial" w:hAnsi="Arial" w:cs="Arial"/>
          <w:sz w:val="20"/>
          <w:lang w:val="en-AU"/>
        </w:rPr>
        <w:t>.</w:t>
      </w:r>
    </w:p>
    <w:p w14:paraId="25B23C1B" w14:textId="77777777" w:rsidR="000205F7" w:rsidRPr="00640F78" w:rsidRDefault="000205F7" w:rsidP="00640F78">
      <w:pPr>
        <w:jc w:val="both"/>
        <w:outlineLvl w:val="0"/>
        <w:rPr>
          <w:rFonts w:ascii="Arial" w:hAnsi="Arial" w:cs="Arial"/>
          <w:b/>
          <w:sz w:val="22"/>
          <w:szCs w:val="22"/>
          <w:lang w:val="en-AU"/>
        </w:rPr>
      </w:pPr>
      <w:r w:rsidRPr="00640F78">
        <w:rPr>
          <w:rFonts w:ascii="Arial" w:hAnsi="Arial" w:cs="Arial"/>
          <w:b/>
          <w:sz w:val="22"/>
          <w:szCs w:val="22"/>
          <w:lang w:val="en-AU"/>
        </w:rPr>
        <w:t>Human rights implications</w:t>
      </w:r>
    </w:p>
    <w:p w14:paraId="41B8AF53" w14:textId="77777777" w:rsidR="000205F7" w:rsidRDefault="000205F7" w:rsidP="00640F78">
      <w:pPr>
        <w:spacing w:before="120"/>
        <w:jc w:val="both"/>
        <w:rPr>
          <w:rFonts w:ascii="Arial" w:hAnsi="Arial" w:cs="Arial"/>
          <w:sz w:val="20"/>
          <w:lang w:val="en-AU"/>
        </w:rPr>
      </w:pPr>
      <w:r w:rsidRPr="00D34BBD">
        <w:rPr>
          <w:rFonts w:ascii="Arial" w:hAnsi="Arial" w:cs="Arial"/>
          <w:sz w:val="20"/>
          <w:lang w:val="en-AU"/>
        </w:rPr>
        <w:t xml:space="preserve">Subsection 9(1) of the </w:t>
      </w:r>
      <w:r w:rsidRPr="00D34BBD">
        <w:rPr>
          <w:rFonts w:ascii="Arial" w:hAnsi="Arial" w:cs="Arial"/>
          <w:i/>
          <w:sz w:val="20"/>
          <w:lang w:val="en-AU"/>
        </w:rPr>
        <w:t>Human Rights (Parliamentary Scrutiny) Act 2011</w:t>
      </w:r>
      <w:r w:rsidRPr="00D34BBD">
        <w:rPr>
          <w:rFonts w:ascii="Arial" w:hAnsi="Arial" w:cs="Arial"/>
          <w:sz w:val="20"/>
          <w:lang w:val="en-AU"/>
        </w:rPr>
        <w:t xml:space="preserve"> requires the rule maker in relation to a legislative instrument to which section 42 (disallowance) of the </w:t>
      </w:r>
      <w:r w:rsidRPr="00430D8D">
        <w:rPr>
          <w:rFonts w:ascii="Arial" w:hAnsi="Arial" w:cs="Arial"/>
          <w:i/>
          <w:sz w:val="20"/>
          <w:lang w:val="en-AU"/>
        </w:rPr>
        <w:t>Legislation Act 2003</w:t>
      </w:r>
      <w:r w:rsidRPr="00D34BBD">
        <w:rPr>
          <w:rFonts w:ascii="Arial" w:hAnsi="Arial" w:cs="Arial"/>
          <w:sz w:val="20"/>
          <w:lang w:val="en-AU"/>
        </w:rPr>
        <w:t xml:space="preserve"> applies to cause a statement of compatibility to be prepared in respect of that legislative instrument. </w:t>
      </w:r>
    </w:p>
    <w:p w14:paraId="652AE2FC" w14:textId="77777777" w:rsidR="000205F7" w:rsidRDefault="000205F7" w:rsidP="000205F7">
      <w:pPr>
        <w:jc w:val="both"/>
        <w:rPr>
          <w:rFonts w:ascii="Arial" w:hAnsi="Arial" w:cs="Arial"/>
          <w:sz w:val="20"/>
          <w:lang w:val="en-AU"/>
        </w:rPr>
      </w:pPr>
    </w:p>
    <w:p w14:paraId="3952C39A" w14:textId="77777777" w:rsidR="000205F7" w:rsidRDefault="000205F7" w:rsidP="000205F7">
      <w:pPr>
        <w:jc w:val="both"/>
        <w:rPr>
          <w:rFonts w:ascii="Arial" w:hAnsi="Arial" w:cs="Arial"/>
          <w:sz w:val="20"/>
          <w:lang w:val="en-AU"/>
        </w:rPr>
      </w:pPr>
      <w:r>
        <w:rPr>
          <w:rFonts w:ascii="Arial" w:hAnsi="Arial" w:cs="Arial"/>
          <w:sz w:val="20"/>
          <w:lang w:val="en-AU"/>
        </w:rPr>
        <w:t xml:space="preserve">The ACMA has assessed whether the RRL Determination is compatible with human rights, being the rights and freedoms recognised or declared by the international instruments listed in subsection 3(1) of the </w:t>
      </w:r>
      <w:r>
        <w:rPr>
          <w:rFonts w:ascii="Arial" w:hAnsi="Arial" w:cs="Arial"/>
          <w:i/>
          <w:sz w:val="20"/>
          <w:lang w:val="en-AU"/>
        </w:rPr>
        <w:t>Human Rights (Parliamentary Scrutiny) Act 2011</w:t>
      </w:r>
      <w:r>
        <w:rPr>
          <w:rFonts w:ascii="Arial" w:hAnsi="Arial" w:cs="Arial"/>
          <w:sz w:val="20"/>
          <w:lang w:val="en-AU"/>
        </w:rPr>
        <w:t xml:space="preserve"> as they apply to Australia.</w:t>
      </w:r>
    </w:p>
    <w:p w14:paraId="3726AD8F" w14:textId="77777777" w:rsidR="000205F7" w:rsidRDefault="000205F7" w:rsidP="000205F7">
      <w:pPr>
        <w:jc w:val="both"/>
        <w:rPr>
          <w:rFonts w:ascii="Arial" w:hAnsi="Arial" w:cs="Arial"/>
          <w:sz w:val="20"/>
          <w:lang w:val="en-AU"/>
        </w:rPr>
      </w:pPr>
      <w:r>
        <w:rPr>
          <w:rFonts w:ascii="Arial" w:hAnsi="Arial" w:cs="Arial"/>
          <w:sz w:val="20"/>
          <w:lang w:val="en-AU"/>
        </w:rPr>
        <w:br/>
        <w:t>Having considered the likely impact of the RRL Determination and the nature of the applicable rights and freedoms, the ACMA has formed the view that the RRL Determination does not engage any of those rights or freedoms.</w:t>
      </w:r>
    </w:p>
    <w:p w14:paraId="61DD0CC8" w14:textId="77777777" w:rsidR="00A20044" w:rsidRDefault="00A20044" w:rsidP="000205F7">
      <w:pPr>
        <w:jc w:val="both"/>
        <w:rPr>
          <w:rFonts w:ascii="Arial" w:hAnsi="Arial" w:cs="Arial"/>
          <w:sz w:val="20"/>
          <w:lang w:val="en-AU"/>
        </w:rPr>
      </w:pPr>
    </w:p>
    <w:p w14:paraId="78403995" w14:textId="77777777" w:rsidR="00A20044" w:rsidRPr="00640F78" w:rsidRDefault="00A20044" w:rsidP="00A20044">
      <w:pPr>
        <w:jc w:val="both"/>
        <w:rPr>
          <w:rFonts w:ascii="Arial" w:hAnsi="Arial" w:cs="Arial"/>
          <w:b/>
          <w:sz w:val="22"/>
          <w:szCs w:val="22"/>
          <w:lang w:val="en-AU"/>
        </w:rPr>
      </w:pPr>
      <w:r w:rsidRPr="00640F78">
        <w:rPr>
          <w:rFonts w:ascii="Arial" w:hAnsi="Arial" w:cs="Arial"/>
          <w:b/>
          <w:sz w:val="22"/>
          <w:szCs w:val="22"/>
          <w:lang w:val="en-AU"/>
        </w:rPr>
        <w:t>Conclusion</w:t>
      </w:r>
    </w:p>
    <w:p w14:paraId="52EDFCAB" w14:textId="77777777" w:rsidR="00A20044" w:rsidRPr="00551BA3" w:rsidRDefault="00A20044" w:rsidP="00640F78">
      <w:pPr>
        <w:spacing w:before="120"/>
        <w:jc w:val="both"/>
        <w:rPr>
          <w:rFonts w:ascii="Arial" w:hAnsi="Arial" w:cs="Arial"/>
          <w:sz w:val="20"/>
          <w:lang w:val="en-AU"/>
        </w:rPr>
      </w:pPr>
      <w:r>
        <w:rPr>
          <w:rFonts w:ascii="Arial" w:hAnsi="Arial" w:cs="Arial"/>
          <w:sz w:val="20"/>
          <w:lang w:val="en-AU"/>
        </w:rPr>
        <w:t xml:space="preserve">The RRL Determination is compatible with human rights as it does not raise any human rights issues.  </w:t>
      </w:r>
    </w:p>
    <w:p w14:paraId="0F03098F" w14:textId="77777777" w:rsidR="00A20044" w:rsidRDefault="00A20044" w:rsidP="000205F7">
      <w:pPr>
        <w:jc w:val="both"/>
        <w:rPr>
          <w:rFonts w:ascii="Arial" w:hAnsi="Arial" w:cs="Arial"/>
          <w:sz w:val="20"/>
          <w:lang w:val="en-AU"/>
        </w:rPr>
      </w:pPr>
    </w:p>
    <w:p w14:paraId="029279D6" w14:textId="77777777" w:rsidR="0083239C" w:rsidRDefault="0083239C" w:rsidP="00640F78">
      <w:pPr>
        <w:spacing w:after="80"/>
        <w:rPr>
          <w:rFonts w:ascii="Arial" w:hAnsi="Arial" w:cs="Arial"/>
          <w:color w:val="000000"/>
          <w:sz w:val="20"/>
        </w:rPr>
      </w:pPr>
    </w:p>
    <w:p w14:paraId="4858B3C6" w14:textId="77777777" w:rsidR="00914D5C" w:rsidRDefault="00914D5C" w:rsidP="00640F78">
      <w:pPr>
        <w:spacing w:after="120"/>
        <w:jc w:val="both"/>
        <w:rPr>
          <w:rFonts w:ascii="Arial" w:hAnsi="Arial" w:cs="Arial"/>
          <w:sz w:val="20"/>
          <w:lang w:val="en-AU"/>
        </w:rPr>
      </w:pPr>
    </w:p>
    <w:p w14:paraId="0DF59325" w14:textId="77777777" w:rsidR="00914D5C" w:rsidRPr="00640F78" w:rsidRDefault="00914D5C" w:rsidP="00640F78">
      <w:pPr>
        <w:spacing w:after="240"/>
        <w:jc w:val="right"/>
        <w:rPr>
          <w:rFonts w:ascii="Arial" w:hAnsi="Arial" w:cs="Arial"/>
          <w:sz w:val="22"/>
          <w:szCs w:val="22"/>
          <w:lang w:val="en-AU"/>
        </w:rPr>
      </w:pPr>
      <w:r>
        <w:rPr>
          <w:rFonts w:ascii="Arial" w:hAnsi="Arial" w:cs="Arial"/>
          <w:b/>
          <w:sz w:val="22"/>
          <w:szCs w:val="22"/>
          <w:lang w:val="en-AU"/>
        </w:rPr>
        <w:br w:type="page"/>
      </w:r>
      <w:r w:rsidRPr="00640F78">
        <w:rPr>
          <w:rFonts w:ascii="Arial" w:hAnsi="Arial" w:cs="Arial"/>
          <w:sz w:val="22"/>
          <w:szCs w:val="22"/>
          <w:lang w:val="en-AU"/>
        </w:rPr>
        <w:lastRenderedPageBreak/>
        <w:t>ATTACHMENT A</w:t>
      </w:r>
    </w:p>
    <w:p w14:paraId="211A9F40" w14:textId="77777777" w:rsidR="00B63CBD" w:rsidRDefault="00B30997">
      <w:pPr>
        <w:spacing w:line="360" w:lineRule="auto"/>
        <w:outlineLvl w:val="0"/>
        <w:rPr>
          <w:rFonts w:ascii="Arial" w:hAnsi="Arial" w:cs="Arial"/>
          <w:sz w:val="22"/>
          <w:szCs w:val="22"/>
          <w:lang w:val="en-AU"/>
        </w:rPr>
      </w:pPr>
      <w:r>
        <w:rPr>
          <w:rFonts w:ascii="Arial" w:hAnsi="Arial" w:cs="Arial"/>
          <w:b/>
          <w:sz w:val="22"/>
          <w:szCs w:val="22"/>
          <w:lang w:val="en-AU"/>
        </w:rPr>
        <w:t xml:space="preserve">Notes to the </w:t>
      </w:r>
      <w:r w:rsidR="00A056B9" w:rsidRPr="00640F78">
        <w:rPr>
          <w:rFonts w:ascii="Arial" w:hAnsi="Arial" w:cs="Arial"/>
          <w:b/>
          <w:i/>
          <w:sz w:val="22"/>
          <w:szCs w:val="22"/>
          <w:lang w:val="en-AU"/>
        </w:rPr>
        <w:t>Radiocommunications (Register of Radiocommunications Licences) Determination 2017</w:t>
      </w:r>
    </w:p>
    <w:p w14:paraId="155C258E" w14:textId="77777777" w:rsidR="00914D5C" w:rsidRPr="007B4C22" w:rsidRDefault="00914D5C" w:rsidP="007D6A7C">
      <w:pPr>
        <w:spacing w:before="240" w:after="240"/>
        <w:rPr>
          <w:rFonts w:ascii="Arial" w:hAnsi="Arial" w:cs="Arial"/>
          <w:b/>
          <w:color w:val="262626"/>
          <w:sz w:val="20"/>
        </w:rPr>
      </w:pPr>
      <w:r w:rsidRPr="007B4C22">
        <w:rPr>
          <w:rFonts w:ascii="Arial" w:hAnsi="Arial" w:cs="Arial"/>
          <w:b/>
          <w:color w:val="262626"/>
          <w:sz w:val="20"/>
        </w:rPr>
        <w:t>Section 1</w:t>
      </w:r>
      <w:r w:rsidR="00E739E0" w:rsidRPr="007B4C22">
        <w:rPr>
          <w:rFonts w:ascii="Arial" w:hAnsi="Arial" w:cs="Arial"/>
          <w:b/>
          <w:color w:val="262626"/>
          <w:sz w:val="20"/>
        </w:rPr>
        <w:t xml:space="preserve"> – </w:t>
      </w:r>
      <w:r w:rsidRPr="007B4C22">
        <w:rPr>
          <w:rFonts w:ascii="Arial" w:hAnsi="Arial" w:cs="Arial"/>
          <w:b/>
          <w:color w:val="262626"/>
          <w:sz w:val="20"/>
        </w:rPr>
        <w:t xml:space="preserve">Name </w:t>
      </w:r>
    </w:p>
    <w:p w14:paraId="0B19811F" w14:textId="2D4A9C7E" w:rsidR="00075B39" w:rsidRPr="005A5476" w:rsidRDefault="009267DB" w:rsidP="007D6A7C">
      <w:pPr>
        <w:spacing w:before="240" w:after="240"/>
        <w:outlineLvl w:val="0"/>
        <w:rPr>
          <w:rFonts w:ascii="Arial" w:hAnsi="Arial" w:cs="Arial"/>
          <w:sz w:val="22"/>
          <w:szCs w:val="22"/>
          <w:lang w:val="en-AU"/>
        </w:rPr>
      </w:pPr>
      <w:r>
        <w:rPr>
          <w:rFonts w:ascii="Arial" w:hAnsi="Arial" w:cs="Arial"/>
          <w:sz w:val="20"/>
          <w:lang w:val="en-AU"/>
        </w:rPr>
        <w:t>This section</w:t>
      </w:r>
      <w:r w:rsidR="00914D5C" w:rsidRPr="00987C42">
        <w:rPr>
          <w:rFonts w:ascii="Arial" w:hAnsi="Arial" w:cs="Arial"/>
          <w:sz w:val="20"/>
          <w:lang w:val="en-AU"/>
        </w:rPr>
        <w:t xml:space="preserve"> </w:t>
      </w:r>
      <w:r w:rsidR="00BC6C44">
        <w:rPr>
          <w:rFonts w:ascii="Arial" w:hAnsi="Arial" w:cs="Arial"/>
          <w:sz w:val="20"/>
          <w:lang w:val="en-AU"/>
        </w:rPr>
        <w:t xml:space="preserve">provides </w:t>
      </w:r>
      <w:r>
        <w:rPr>
          <w:rFonts w:ascii="Arial" w:hAnsi="Arial" w:cs="Arial"/>
          <w:sz w:val="20"/>
          <w:lang w:val="en-AU"/>
        </w:rPr>
        <w:t xml:space="preserve">for the RRL </w:t>
      </w:r>
      <w:r w:rsidR="00161A37">
        <w:rPr>
          <w:rFonts w:ascii="Arial" w:hAnsi="Arial" w:cs="Arial"/>
          <w:sz w:val="20"/>
          <w:lang w:val="en-AU"/>
        </w:rPr>
        <w:t>D</w:t>
      </w:r>
      <w:r>
        <w:rPr>
          <w:rFonts w:ascii="Arial" w:hAnsi="Arial" w:cs="Arial"/>
          <w:sz w:val="20"/>
          <w:lang w:val="en-AU"/>
        </w:rPr>
        <w:t>etermination to be cited as the</w:t>
      </w:r>
      <w:r w:rsidR="00914D5C">
        <w:rPr>
          <w:rFonts w:ascii="Arial" w:hAnsi="Arial" w:cs="Arial"/>
          <w:sz w:val="20"/>
          <w:lang w:val="en-AU"/>
        </w:rPr>
        <w:t xml:space="preserve"> </w:t>
      </w:r>
      <w:r w:rsidR="0080451B" w:rsidRPr="0080451B">
        <w:rPr>
          <w:rFonts w:ascii="Arial" w:hAnsi="Arial" w:cs="Arial"/>
          <w:i/>
          <w:sz w:val="20"/>
          <w:lang w:val="en-AU"/>
        </w:rPr>
        <w:t xml:space="preserve">Radiocommunications </w:t>
      </w:r>
      <w:r w:rsidR="005C0639">
        <w:rPr>
          <w:rFonts w:ascii="Arial" w:hAnsi="Arial" w:cs="Arial"/>
          <w:i/>
          <w:sz w:val="20"/>
          <w:lang w:val="en-AU"/>
        </w:rPr>
        <w:t>(Register of Radiocommunications Licences) Determination 2017</w:t>
      </w:r>
      <w:r w:rsidR="00A056B9">
        <w:rPr>
          <w:rFonts w:ascii="Arial" w:hAnsi="Arial" w:cs="Arial"/>
          <w:sz w:val="20"/>
          <w:lang w:val="en-AU"/>
        </w:rPr>
        <w:t>.</w:t>
      </w:r>
      <w:r w:rsidR="0080451B">
        <w:rPr>
          <w:rFonts w:ascii="Arial" w:hAnsi="Arial" w:cs="Arial"/>
          <w:sz w:val="20"/>
          <w:lang w:val="en-AU"/>
        </w:rPr>
        <w:t xml:space="preserve"> </w:t>
      </w:r>
    </w:p>
    <w:p w14:paraId="6C7B2F24" w14:textId="77777777" w:rsidR="00914D5C" w:rsidRPr="00EC4D12" w:rsidRDefault="00914D5C" w:rsidP="007D6A7C">
      <w:pPr>
        <w:spacing w:before="240" w:after="240"/>
        <w:outlineLvl w:val="0"/>
        <w:rPr>
          <w:rFonts w:ascii="Arial" w:hAnsi="Arial" w:cs="Arial"/>
          <w:b/>
          <w:sz w:val="20"/>
          <w:lang w:val="en-AU"/>
        </w:rPr>
      </w:pPr>
      <w:r w:rsidRPr="00EC4D12">
        <w:rPr>
          <w:rFonts w:ascii="Arial" w:hAnsi="Arial" w:cs="Arial"/>
          <w:b/>
          <w:sz w:val="20"/>
          <w:lang w:val="en-AU"/>
        </w:rPr>
        <w:t xml:space="preserve">Section </w:t>
      </w:r>
      <w:r w:rsidR="0080451B">
        <w:rPr>
          <w:rFonts w:ascii="Arial" w:hAnsi="Arial" w:cs="Arial"/>
          <w:b/>
          <w:sz w:val="20"/>
          <w:lang w:val="en-AU"/>
        </w:rPr>
        <w:t>2</w:t>
      </w:r>
      <w:r w:rsidR="00E739E0" w:rsidRPr="007B4C22">
        <w:rPr>
          <w:rFonts w:ascii="Arial" w:hAnsi="Arial" w:cs="Arial"/>
          <w:b/>
          <w:color w:val="262626"/>
          <w:sz w:val="20"/>
        </w:rPr>
        <w:t xml:space="preserve"> – </w:t>
      </w:r>
      <w:r w:rsidR="000B5FB3">
        <w:rPr>
          <w:rFonts w:ascii="Arial" w:hAnsi="Arial" w:cs="Arial"/>
          <w:b/>
          <w:sz w:val="20"/>
          <w:lang w:val="en-AU"/>
        </w:rPr>
        <w:t>Commencement</w:t>
      </w:r>
    </w:p>
    <w:p w14:paraId="4CCC70B6" w14:textId="30960CDD" w:rsidR="00F27D50" w:rsidRDefault="00914D5C" w:rsidP="007D6A7C">
      <w:pPr>
        <w:spacing w:before="240" w:after="240"/>
        <w:rPr>
          <w:rFonts w:ascii="Arial" w:hAnsi="Arial" w:cs="Arial"/>
          <w:sz w:val="20"/>
          <w:lang w:val="en-AU"/>
        </w:rPr>
      </w:pPr>
      <w:r>
        <w:rPr>
          <w:rFonts w:ascii="Arial" w:hAnsi="Arial" w:cs="Arial"/>
          <w:sz w:val="20"/>
          <w:lang w:val="en-AU"/>
        </w:rPr>
        <w:t>S</w:t>
      </w:r>
      <w:r w:rsidRPr="00EC4D12">
        <w:rPr>
          <w:rFonts w:ascii="Arial" w:hAnsi="Arial" w:cs="Arial"/>
          <w:sz w:val="20"/>
          <w:lang w:val="en-AU"/>
        </w:rPr>
        <w:t xml:space="preserve">ection </w:t>
      </w:r>
      <w:r w:rsidR="0080451B">
        <w:rPr>
          <w:rFonts w:ascii="Arial" w:hAnsi="Arial" w:cs="Arial"/>
          <w:sz w:val="20"/>
          <w:lang w:val="en-AU"/>
        </w:rPr>
        <w:t>2</w:t>
      </w:r>
      <w:r>
        <w:rPr>
          <w:rFonts w:ascii="Arial" w:hAnsi="Arial" w:cs="Arial"/>
          <w:sz w:val="20"/>
          <w:lang w:val="en-AU"/>
        </w:rPr>
        <w:t xml:space="preserve"> </w:t>
      </w:r>
      <w:r w:rsidR="00BC6C44">
        <w:rPr>
          <w:rFonts w:ascii="Arial" w:hAnsi="Arial" w:cs="Arial"/>
          <w:sz w:val="20"/>
          <w:lang w:val="en-AU"/>
        </w:rPr>
        <w:t xml:space="preserve">provides that </w:t>
      </w:r>
      <w:r w:rsidR="00161A37">
        <w:rPr>
          <w:rFonts w:ascii="Arial" w:hAnsi="Arial" w:cs="Arial"/>
          <w:sz w:val="20"/>
          <w:lang w:val="en-AU"/>
        </w:rPr>
        <w:t xml:space="preserve">the </w:t>
      </w:r>
      <w:r w:rsidR="007C5056">
        <w:rPr>
          <w:rFonts w:ascii="Arial" w:hAnsi="Arial" w:cs="Arial"/>
          <w:sz w:val="20"/>
          <w:lang w:val="en-AU"/>
        </w:rPr>
        <w:t xml:space="preserve">RRL Determination </w:t>
      </w:r>
      <w:r w:rsidRPr="00EC4D12">
        <w:rPr>
          <w:rFonts w:ascii="Arial" w:hAnsi="Arial" w:cs="Arial"/>
          <w:sz w:val="20"/>
          <w:lang w:val="en-AU"/>
        </w:rPr>
        <w:t>commence</w:t>
      </w:r>
      <w:r>
        <w:rPr>
          <w:rFonts w:ascii="Arial" w:hAnsi="Arial" w:cs="Arial"/>
          <w:sz w:val="20"/>
          <w:lang w:val="en-AU"/>
        </w:rPr>
        <w:t>s</w:t>
      </w:r>
      <w:r w:rsidR="00F27D50">
        <w:rPr>
          <w:rFonts w:ascii="Arial" w:hAnsi="Arial" w:cs="Arial"/>
          <w:sz w:val="20"/>
          <w:lang w:val="en-AU"/>
        </w:rPr>
        <w:t xml:space="preserve"> </w:t>
      </w:r>
      <w:r w:rsidR="00BC6C44">
        <w:rPr>
          <w:rFonts w:ascii="Arial" w:hAnsi="Arial" w:cs="Arial"/>
          <w:sz w:val="20"/>
          <w:lang w:val="en-AU"/>
        </w:rPr>
        <w:t xml:space="preserve">at the start of the day after it is registered on </w:t>
      </w:r>
      <w:r w:rsidR="0057166B" w:rsidRPr="00572C2E">
        <w:rPr>
          <w:rFonts w:ascii="Arial" w:hAnsi="Arial" w:cs="Arial"/>
          <w:sz w:val="20"/>
          <w:lang w:val="en-AU"/>
        </w:rPr>
        <w:t>Federal Register of Legislation</w:t>
      </w:r>
      <w:r w:rsidR="00BC6C44">
        <w:rPr>
          <w:rFonts w:ascii="Arial" w:hAnsi="Arial" w:cs="Arial"/>
          <w:sz w:val="20"/>
          <w:lang w:val="en-AU"/>
        </w:rPr>
        <w:t>.</w:t>
      </w:r>
    </w:p>
    <w:p w14:paraId="5A0CE10A" w14:textId="77777777" w:rsidR="00960DF3" w:rsidRDefault="00960DF3" w:rsidP="007D6A7C">
      <w:pPr>
        <w:spacing w:before="240" w:after="240"/>
        <w:rPr>
          <w:rFonts w:ascii="Arial" w:hAnsi="Arial" w:cs="Arial"/>
          <w:b/>
          <w:color w:val="262626"/>
          <w:sz w:val="20"/>
        </w:rPr>
      </w:pPr>
      <w:r>
        <w:rPr>
          <w:rFonts w:ascii="Arial" w:hAnsi="Arial" w:cs="Arial"/>
          <w:b/>
          <w:color w:val="262626"/>
          <w:sz w:val="20"/>
        </w:rPr>
        <w:t>Section 3 –</w:t>
      </w:r>
      <w:r>
        <w:rPr>
          <w:rFonts w:ascii="Arial" w:hAnsi="Arial" w:cs="Arial"/>
          <w:color w:val="262626"/>
          <w:sz w:val="20"/>
        </w:rPr>
        <w:t xml:space="preserve"> </w:t>
      </w:r>
      <w:r w:rsidRPr="00640F78">
        <w:rPr>
          <w:rFonts w:ascii="Arial" w:hAnsi="Arial" w:cs="Arial"/>
          <w:b/>
          <w:color w:val="262626"/>
          <w:sz w:val="20"/>
        </w:rPr>
        <w:t>Authority</w:t>
      </w:r>
    </w:p>
    <w:p w14:paraId="3B221E31" w14:textId="2262661E" w:rsidR="00960DF3" w:rsidRPr="00640F78" w:rsidRDefault="00960DF3" w:rsidP="007D6A7C">
      <w:pPr>
        <w:spacing w:before="240" w:after="240"/>
        <w:rPr>
          <w:rFonts w:ascii="Arial" w:hAnsi="Arial" w:cs="Arial"/>
          <w:color w:val="262626"/>
          <w:sz w:val="20"/>
        </w:rPr>
      </w:pPr>
      <w:r>
        <w:rPr>
          <w:rFonts w:ascii="Arial" w:hAnsi="Arial" w:cs="Arial"/>
          <w:color w:val="262626"/>
          <w:sz w:val="20"/>
        </w:rPr>
        <w:t xml:space="preserve">This </w:t>
      </w:r>
      <w:r w:rsidR="0050767C">
        <w:rPr>
          <w:rFonts w:ascii="Arial" w:hAnsi="Arial" w:cs="Arial"/>
          <w:color w:val="262626"/>
          <w:sz w:val="20"/>
        </w:rPr>
        <w:t>s</w:t>
      </w:r>
      <w:r>
        <w:rPr>
          <w:rFonts w:ascii="Arial" w:hAnsi="Arial" w:cs="Arial"/>
          <w:color w:val="262626"/>
          <w:sz w:val="20"/>
        </w:rPr>
        <w:t xml:space="preserve">ection identifies the provisions of the Act that </w:t>
      </w:r>
      <w:r w:rsidR="00FF5439">
        <w:rPr>
          <w:rFonts w:ascii="Arial" w:hAnsi="Arial" w:cs="Arial"/>
          <w:color w:val="262626"/>
          <w:sz w:val="20"/>
        </w:rPr>
        <w:t>authorise</w:t>
      </w:r>
      <w:r>
        <w:rPr>
          <w:rFonts w:ascii="Arial" w:hAnsi="Arial" w:cs="Arial"/>
          <w:color w:val="262626"/>
          <w:sz w:val="20"/>
        </w:rPr>
        <w:t xml:space="preserve"> the making o</w:t>
      </w:r>
      <w:r w:rsidR="00B36161">
        <w:rPr>
          <w:rFonts w:ascii="Arial" w:hAnsi="Arial" w:cs="Arial"/>
          <w:color w:val="262626"/>
          <w:sz w:val="20"/>
        </w:rPr>
        <w:t>f</w:t>
      </w:r>
      <w:r>
        <w:rPr>
          <w:rFonts w:ascii="Arial" w:hAnsi="Arial" w:cs="Arial"/>
          <w:color w:val="262626"/>
          <w:sz w:val="20"/>
        </w:rPr>
        <w:t xml:space="preserve"> the instrument, </w:t>
      </w:r>
      <w:r w:rsidR="00B36161">
        <w:rPr>
          <w:rFonts w:ascii="Arial" w:hAnsi="Arial" w:cs="Arial"/>
          <w:color w:val="262626"/>
          <w:sz w:val="20"/>
        </w:rPr>
        <w:t>namely section</w:t>
      </w:r>
      <w:r w:rsidR="00C05FDB">
        <w:rPr>
          <w:rFonts w:ascii="Arial" w:hAnsi="Arial" w:cs="Arial"/>
          <w:color w:val="262626"/>
          <w:sz w:val="20"/>
        </w:rPr>
        <w:t>s</w:t>
      </w:r>
      <w:r w:rsidR="00B36161">
        <w:rPr>
          <w:rFonts w:ascii="Arial" w:hAnsi="Arial" w:cs="Arial"/>
          <w:color w:val="262626"/>
          <w:sz w:val="20"/>
        </w:rPr>
        <w:t xml:space="preserve"> 144, 147 and 149 of the Act.</w:t>
      </w:r>
    </w:p>
    <w:p w14:paraId="26ED044F" w14:textId="33F4464B" w:rsidR="000B5FB3" w:rsidRPr="007B4C22" w:rsidRDefault="000B5FB3" w:rsidP="007D6A7C">
      <w:pPr>
        <w:spacing w:before="240" w:after="240"/>
        <w:rPr>
          <w:rFonts w:ascii="Arial" w:hAnsi="Arial" w:cs="Arial"/>
          <w:b/>
          <w:color w:val="262626"/>
          <w:sz w:val="20"/>
        </w:rPr>
      </w:pPr>
      <w:r w:rsidRPr="007B4C22">
        <w:rPr>
          <w:rFonts w:ascii="Arial" w:hAnsi="Arial" w:cs="Arial"/>
          <w:b/>
          <w:color w:val="262626"/>
          <w:sz w:val="20"/>
        </w:rPr>
        <w:t xml:space="preserve">Section </w:t>
      </w:r>
      <w:r w:rsidR="00B36161">
        <w:rPr>
          <w:rFonts w:ascii="Arial" w:hAnsi="Arial" w:cs="Arial"/>
          <w:b/>
          <w:color w:val="262626"/>
          <w:sz w:val="20"/>
        </w:rPr>
        <w:t>4</w:t>
      </w:r>
      <w:r w:rsidR="00B36161" w:rsidRPr="007B4C22">
        <w:rPr>
          <w:rFonts w:ascii="Arial" w:hAnsi="Arial" w:cs="Arial"/>
          <w:b/>
          <w:color w:val="262626"/>
          <w:sz w:val="20"/>
        </w:rPr>
        <w:t xml:space="preserve"> </w:t>
      </w:r>
      <w:r w:rsidRPr="007B4C22">
        <w:rPr>
          <w:rFonts w:ascii="Arial" w:hAnsi="Arial" w:cs="Arial"/>
          <w:b/>
          <w:color w:val="262626"/>
          <w:sz w:val="20"/>
        </w:rPr>
        <w:t xml:space="preserve">– </w:t>
      </w:r>
      <w:r w:rsidR="00C05FDB" w:rsidRPr="007B4C22">
        <w:rPr>
          <w:rFonts w:ascii="Arial" w:hAnsi="Arial" w:cs="Arial"/>
          <w:b/>
          <w:color w:val="262626"/>
          <w:sz w:val="20"/>
        </w:rPr>
        <w:t>Re</w:t>
      </w:r>
      <w:r w:rsidR="00C05FDB">
        <w:rPr>
          <w:rFonts w:ascii="Arial" w:hAnsi="Arial" w:cs="Arial"/>
          <w:b/>
          <w:color w:val="262626"/>
          <w:sz w:val="20"/>
        </w:rPr>
        <w:t xml:space="preserve">peal of the </w:t>
      </w:r>
      <w:r w:rsidR="00C05FDB" w:rsidRPr="00AD3702">
        <w:rPr>
          <w:rFonts w:ascii="Arial" w:hAnsi="Arial" w:cs="Arial"/>
          <w:b/>
          <w:i/>
          <w:color w:val="262626"/>
          <w:sz w:val="20"/>
        </w:rPr>
        <w:t>Radiocommunications (Register of Radiocommunications Licences) Determination</w:t>
      </w:r>
    </w:p>
    <w:p w14:paraId="6DCB219D" w14:textId="3D398A55" w:rsidR="000B5FB3" w:rsidRDefault="000B5FB3" w:rsidP="007D6A7C">
      <w:pPr>
        <w:spacing w:before="240" w:after="240"/>
        <w:rPr>
          <w:rFonts w:ascii="Arial" w:hAnsi="Arial" w:cs="Arial"/>
          <w:sz w:val="20"/>
          <w:lang w:val="en-AU"/>
        </w:rPr>
      </w:pPr>
      <w:r>
        <w:rPr>
          <w:rFonts w:ascii="Arial" w:hAnsi="Arial" w:cs="Arial"/>
          <w:sz w:val="20"/>
          <w:lang w:val="en-AU"/>
        </w:rPr>
        <w:t>S</w:t>
      </w:r>
      <w:r w:rsidRPr="0090366E">
        <w:rPr>
          <w:rFonts w:ascii="Arial" w:hAnsi="Arial" w:cs="Arial"/>
          <w:sz w:val="20"/>
          <w:lang w:val="en-AU"/>
        </w:rPr>
        <w:t xml:space="preserve">ection </w:t>
      </w:r>
      <w:r w:rsidR="00B36161">
        <w:rPr>
          <w:rFonts w:ascii="Arial" w:hAnsi="Arial" w:cs="Arial"/>
          <w:sz w:val="20"/>
          <w:lang w:val="en-AU"/>
        </w:rPr>
        <w:t xml:space="preserve">4 </w:t>
      </w:r>
      <w:r w:rsidRPr="0090366E">
        <w:rPr>
          <w:rFonts w:ascii="Arial" w:hAnsi="Arial" w:cs="Arial"/>
          <w:sz w:val="20"/>
          <w:lang w:val="en-AU"/>
        </w:rPr>
        <w:t xml:space="preserve">provides </w:t>
      </w:r>
      <w:r>
        <w:rPr>
          <w:rFonts w:ascii="Arial" w:hAnsi="Arial" w:cs="Arial"/>
          <w:sz w:val="20"/>
          <w:lang w:val="en-AU"/>
        </w:rPr>
        <w:t xml:space="preserve">that </w:t>
      </w:r>
      <w:r w:rsidR="00BC6C44">
        <w:rPr>
          <w:rFonts w:ascii="Arial" w:hAnsi="Arial" w:cs="Arial"/>
          <w:sz w:val="20"/>
          <w:lang w:val="en-AU"/>
        </w:rPr>
        <w:t xml:space="preserve">the </w:t>
      </w:r>
      <w:r w:rsidR="00B36161" w:rsidRPr="00B03A90">
        <w:rPr>
          <w:rFonts w:ascii="Arial" w:hAnsi="Arial" w:cs="Arial"/>
          <w:i/>
          <w:sz w:val="20"/>
        </w:rPr>
        <w:t xml:space="preserve">Radiocommunications </w:t>
      </w:r>
      <w:r w:rsidR="00B36161">
        <w:rPr>
          <w:rFonts w:ascii="Arial" w:hAnsi="Arial" w:cs="Arial"/>
          <w:i/>
          <w:sz w:val="20"/>
        </w:rPr>
        <w:t>(Register of Radiocommunications Licences) Determination 1997</w:t>
      </w:r>
      <w:r w:rsidR="00B36161" w:rsidRPr="00897552" w:rsidDel="005C0639">
        <w:rPr>
          <w:rFonts w:ascii="Arial" w:hAnsi="Arial" w:cs="Arial"/>
          <w:i/>
          <w:sz w:val="20"/>
        </w:rPr>
        <w:t xml:space="preserve"> </w:t>
      </w:r>
      <w:r w:rsidR="002A1962">
        <w:rPr>
          <w:rFonts w:ascii="Arial" w:hAnsi="Arial" w:cs="Arial"/>
          <w:sz w:val="20"/>
        </w:rPr>
        <w:t>(Registration No. F2007B00310)</w:t>
      </w:r>
      <w:r w:rsidR="0080451B" w:rsidRPr="0088553C">
        <w:rPr>
          <w:rFonts w:ascii="Arial" w:hAnsi="Arial" w:cs="Arial"/>
          <w:i/>
          <w:sz w:val="20"/>
          <w:lang w:val="en-AU"/>
        </w:rPr>
        <w:t xml:space="preserve"> </w:t>
      </w:r>
      <w:r w:rsidR="0088553C" w:rsidRPr="0088553C">
        <w:rPr>
          <w:rFonts w:ascii="Arial" w:hAnsi="Arial" w:cs="Arial"/>
          <w:sz w:val="20"/>
          <w:lang w:val="en-AU"/>
        </w:rPr>
        <w:t xml:space="preserve">is </w:t>
      </w:r>
      <w:r w:rsidR="00C05FDB" w:rsidRPr="0088553C">
        <w:rPr>
          <w:rFonts w:ascii="Arial" w:hAnsi="Arial" w:cs="Arial"/>
          <w:sz w:val="20"/>
          <w:lang w:val="en-AU"/>
        </w:rPr>
        <w:t>re</w:t>
      </w:r>
      <w:r w:rsidR="00C05FDB">
        <w:rPr>
          <w:rFonts w:ascii="Arial" w:hAnsi="Arial" w:cs="Arial"/>
          <w:sz w:val="20"/>
          <w:lang w:val="en-AU"/>
        </w:rPr>
        <w:t>peal</w:t>
      </w:r>
      <w:r w:rsidR="00C05FDB" w:rsidRPr="0088553C">
        <w:rPr>
          <w:rFonts w:ascii="Arial" w:hAnsi="Arial" w:cs="Arial"/>
          <w:sz w:val="20"/>
          <w:lang w:val="en-AU"/>
        </w:rPr>
        <w:t>ed</w:t>
      </w:r>
      <w:r w:rsidR="0088553C" w:rsidRPr="0088553C">
        <w:rPr>
          <w:rFonts w:ascii="Arial" w:hAnsi="Arial" w:cs="Arial"/>
          <w:sz w:val="20"/>
          <w:lang w:val="en-AU"/>
        </w:rPr>
        <w:t>.</w:t>
      </w:r>
    </w:p>
    <w:p w14:paraId="24D578DA" w14:textId="77777777" w:rsidR="000B5FB3" w:rsidRPr="007B4C22" w:rsidRDefault="000B5FB3" w:rsidP="007D6A7C">
      <w:pPr>
        <w:spacing w:before="240" w:after="240"/>
        <w:rPr>
          <w:rFonts w:ascii="Arial" w:hAnsi="Arial" w:cs="Arial"/>
          <w:b/>
          <w:color w:val="262626"/>
          <w:sz w:val="20"/>
        </w:rPr>
      </w:pPr>
      <w:r w:rsidRPr="007B4C22">
        <w:rPr>
          <w:rFonts w:ascii="Arial" w:hAnsi="Arial" w:cs="Arial"/>
          <w:b/>
          <w:color w:val="262626"/>
          <w:sz w:val="20"/>
        </w:rPr>
        <w:t xml:space="preserve">Section </w:t>
      </w:r>
      <w:r w:rsidR="0046048C">
        <w:rPr>
          <w:rFonts w:ascii="Arial" w:hAnsi="Arial" w:cs="Arial"/>
          <w:b/>
          <w:color w:val="262626"/>
          <w:sz w:val="20"/>
        </w:rPr>
        <w:t xml:space="preserve">5 </w:t>
      </w:r>
      <w:r w:rsidR="00E739E0" w:rsidRPr="007B4C22">
        <w:rPr>
          <w:rFonts w:ascii="Arial" w:hAnsi="Arial" w:cs="Arial"/>
          <w:b/>
          <w:color w:val="262626"/>
          <w:sz w:val="20"/>
        </w:rPr>
        <w:t xml:space="preserve">– </w:t>
      </w:r>
      <w:r w:rsidR="0080451B">
        <w:rPr>
          <w:rFonts w:ascii="Arial" w:hAnsi="Arial" w:cs="Arial"/>
          <w:b/>
          <w:color w:val="262626"/>
          <w:sz w:val="20"/>
        </w:rPr>
        <w:t>Definitions</w:t>
      </w:r>
    </w:p>
    <w:p w14:paraId="2C89FD91" w14:textId="77777777" w:rsidR="0080451B" w:rsidRDefault="0046048C" w:rsidP="0080451B">
      <w:pPr>
        <w:spacing w:before="240" w:after="240"/>
        <w:outlineLvl w:val="0"/>
        <w:rPr>
          <w:rFonts w:ascii="Arial" w:hAnsi="Arial" w:cs="Arial"/>
          <w:sz w:val="20"/>
          <w:lang w:val="en-AU"/>
        </w:rPr>
      </w:pPr>
      <w:r>
        <w:rPr>
          <w:rFonts w:ascii="Arial" w:hAnsi="Arial" w:cs="Arial"/>
          <w:sz w:val="20"/>
          <w:lang w:val="en-AU"/>
        </w:rPr>
        <w:t>This section</w:t>
      </w:r>
      <w:r w:rsidR="0080451B">
        <w:rPr>
          <w:rFonts w:ascii="Arial" w:hAnsi="Arial" w:cs="Arial"/>
          <w:sz w:val="20"/>
          <w:lang w:val="en-AU"/>
        </w:rPr>
        <w:t xml:space="preserve"> defines </w:t>
      </w:r>
      <w:r>
        <w:rPr>
          <w:rFonts w:ascii="Arial" w:hAnsi="Arial" w:cs="Arial"/>
          <w:sz w:val="20"/>
          <w:lang w:val="en-AU"/>
        </w:rPr>
        <w:t xml:space="preserve">a number of key </w:t>
      </w:r>
      <w:r w:rsidR="0080451B">
        <w:rPr>
          <w:rFonts w:ascii="Arial" w:hAnsi="Arial" w:cs="Arial"/>
          <w:sz w:val="20"/>
          <w:lang w:val="en-AU"/>
        </w:rPr>
        <w:t xml:space="preserve">terms used </w:t>
      </w:r>
      <w:r>
        <w:rPr>
          <w:rFonts w:ascii="Arial" w:hAnsi="Arial" w:cs="Arial"/>
          <w:sz w:val="20"/>
          <w:lang w:val="en-AU"/>
        </w:rPr>
        <w:t xml:space="preserve">throughout </w:t>
      </w:r>
      <w:r w:rsidR="0080451B">
        <w:rPr>
          <w:rFonts w:ascii="Arial" w:hAnsi="Arial" w:cs="Arial"/>
          <w:sz w:val="20"/>
          <w:lang w:val="en-AU"/>
        </w:rPr>
        <w:t xml:space="preserve">the </w:t>
      </w:r>
      <w:r>
        <w:rPr>
          <w:rFonts w:ascii="Arial" w:hAnsi="Arial" w:cs="Arial"/>
          <w:sz w:val="20"/>
          <w:lang w:val="en-AU"/>
        </w:rPr>
        <w:t>RRL Determination</w:t>
      </w:r>
      <w:r w:rsidR="00BC6C44">
        <w:rPr>
          <w:rFonts w:ascii="Arial" w:hAnsi="Arial" w:cs="Arial"/>
          <w:sz w:val="20"/>
          <w:lang w:val="en-AU"/>
        </w:rPr>
        <w:t>.</w:t>
      </w:r>
    </w:p>
    <w:p w14:paraId="44D16A42" w14:textId="77777777" w:rsidR="00D14D9A" w:rsidRPr="007B4C22" w:rsidRDefault="00D14D9A" w:rsidP="0068620F">
      <w:pPr>
        <w:spacing w:before="240" w:after="240"/>
        <w:outlineLvl w:val="0"/>
        <w:rPr>
          <w:rFonts w:ascii="Arial" w:hAnsi="Arial" w:cs="Arial"/>
          <w:b/>
          <w:color w:val="262626"/>
          <w:sz w:val="20"/>
        </w:rPr>
      </w:pPr>
      <w:r w:rsidRPr="007B4C22">
        <w:rPr>
          <w:rFonts w:ascii="Arial" w:hAnsi="Arial" w:cs="Arial"/>
          <w:b/>
          <w:color w:val="262626"/>
          <w:sz w:val="20"/>
        </w:rPr>
        <w:t xml:space="preserve">Section </w:t>
      </w:r>
      <w:r w:rsidR="00216698">
        <w:rPr>
          <w:rFonts w:ascii="Arial" w:hAnsi="Arial" w:cs="Arial"/>
          <w:b/>
          <w:color w:val="262626"/>
          <w:sz w:val="20"/>
        </w:rPr>
        <w:t>6</w:t>
      </w:r>
      <w:r w:rsidR="00216698" w:rsidRPr="007B4C22">
        <w:rPr>
          <w:rFonts w:ascii="Arial" w:hAnsi="Arial" w:cs="Arial"/>
          <w:b/>
          <w:color w:val="262626"/>
          <w:sz w:val="20"/>
        </w:rPr>
        <w:t xml:space="preserve"> </w:t>
      </w:r>
      <w:r w:rsidRPr="007B4C22">
        <w:rPr>
          <w:rFonts w:ascii="Arial" w:hAnsi="Arial" w:cs="Arial"/>
          <w:b/>
          <w:color w:val="262626"/>
          <w:sz w:val="20"/>
        </w:rPr>
        <w:t xml:space="preserve">– </w:t>
      </w:r>
      <w:r w:rsidR="0046048C">
        <w:rPr>
          <w:rFonts w:ascii="Arial" w:hAnsi="Arial" w:cs="Arial"/>
          <w:b/>
          <w:color w:val="262626"/>
          <w:sz w:val="20"/>
        </w:rPr>
        <w:t>References to other instruments</w:t>
      </w:r>
    </w:p>
    <w:p w14:paraId="30E643DD" w14:textId="77777777" w:rsidR="0080451B" w:rsidRPr="005A5476" w:rsidRDefault="00874707" w:rsidP="0080451B">
      <w:pPr>
        <w:spacing w:before="240" w:after="240"/>
        <w:outlineLvl w:val="0"/>
        <w:rPr>
          <w:rFonts w:ascii="Arial" w:hAnsi="Arial" w:cs="Arial"/>
          <w:sz w:val="22"/>
          <w:szCs w:val="22"/>
          <w:lang w:val="en-AU"/>
        </w:rPr>
      </w:pPr>
      <w:r>
        <w:rPr>
          <w:rFonts w:ascii="Arial" w:hAnsi="Arial" w:cs="Arial"/>
          <w:sz w:val="20"/>
          <w:lang w:val="en-AU"/>
        </w:rPr>
        <w:t>This section explains that in the RRL Determination, unless the contrary intention appears, a reference to another legislative instrument or any other kind of instrument is a reference to that legislative instrument or other instrument as in force from time to time.</w:t>
      </w:r>
    </w:p>
    <w:p w14:paraId="0CC63F9E" w14:textId="77777777" w:rsidR="00D14D9A" w:rsidRPr="007B4C22" w:rsidRDefault="00D14D9A" w:rsidP="0068620F">
      <w:pPr>
        <w:spacing w:before="240" w:after="240"/>
        <w:outlineLvl w:val="0"/>
        <w:rPr>
          <w:rFonts w:ascii="Arial" w:hAnsi="Arial" w:cs="Arial"/>
          <w:b/>
          <w:color w:val="262626"/>
          <w:sz w:val="20"/>
        </w:rPr>
      </w:pPr>
      <w:r w:rsidRPr="007B4C22">
        <w:rPr>
          <w:rFonts w:ascii="Arial" w:hAnsi="Arial" w:cs="Arial"/>
          <w:b/>
          <w:color w:val="262626"/>
          <w:sz w:val="20"/>
        </w:rPr>
        <w:t xml:space="preserve">Section </w:t>
      </w:r>
      <w:r w:rsidR="00216698">
        <w:rPr>
          <w:rFonts w:ascii="Arial" w:hAnsi="Arial" w:cs="Arial"/>
          <w:b/>
          <w:color w:val="262626"/>
          <w:sz w:val="20"/>
        </w:rPr>
        <w:t>7</w:t>
      </w:r>
      <w:r w:rsidR="00B24EFA" w:rsidRPr="007B4C22">
        <w:rPr>
          <w:rFonts w:ascii="Arial" w:hAnsi="Arial" w:cs="Arial"/>
          <w:b/>
          <w:color w:val="262626"/>
          <w:sz w:val="20"/>
        </w:rPr>
        <w:t xml:space="preserve"> </w:t>
      </w:r>
      <w:r w:rsidRPr="007B4C22">
        <w:rPr>
          <w:rFonts w:ascii="Arial" w:hAnsi="Arial" w:cs="Arial"/>
          <w:b/>
          <w:color w:val="262626"/>
          <w:sz w:val="20"/>
        </w:rPr>
        <w:t xml:space="preserve">– </w:t>
      </w:r>
      <w:r w:rsidR="00B24EFA">
        <w:rPr>
          <w:rFonts w:ascii="Arial" w:hAnsi="Arial" w:cs="Arial"/>
          <w:b/>
          <w:color w:val="262626"/>
          <w:sz w:val="20"/>
        </w:rPr>
        <w:t>Emission designator</w:t>
      </w:r>
    </w:p>
    <w:p w14:paraId="2C834B12" w14:textId="77777777" w:rsidR="0075741A" w:rsidRPr="00583312" w:rsidRDefault="00D14D9A" w:rsidP="00EE24FF">
      <w:pPr>
        <w:spacing w:before="80" w:after="120" w:line="276" w:lineRule="auto"/>
        <w:rPr>
          <w:rFonts w:ascii="Arial" w:hAnsi="Arial" w:cs="Arial"/>
          <w:sz w:val="20"/>
          <w:lang w:val="en-AU"/>
        </w:rPr>
      </w:pPr>
      <w:r w:rsidRPr="00D14D9A">
        <w:rPr>
          <w:rFonts w:ascii="Arial" w:hAnsi="Arial" w:cs="Arial"/>
          <w:sz w:val="20"/>
          <w:lang w:val="en-AU"/>
        </w:rPr>
        <w:t xml:space="preserve">Section </w:t>
      </w:r>
      <w:r w:rsidR="00216698">
        <w:rPr>
          <w:rFonts w:ascii="Arial" w:hAnsi="Arial" w:cs="Arial"/>
          <w:sz w:val="20"/>
          <w:lang w:val="en-AU"/>
        </w:rPr>
        <w:t>7</w:t>
      </w:r>
      <w:r w:rsidR="00216698" w:rsidRPr="00D14D9A">
        <w:rPr>
          <w:rFonts w:ascii="Arial" w:hAnsi="Arial" w:cs="Arial"/>
          <w:sz w:val="20"/>
          <w:lang w:val="en-AU"/>
        </w:rPr>
        <w:t xml:space="preserve"> </w:t>
      </w:r>
      <w:r w:rsidR="00B24EFA">
        <w:rPr>
          <w:rFonts w:ascii="Arial" w:hAnsi="Arial" w:cs="Arial"/>
          <w:sz w:val="20"/>
          <w:lang w:val="en-AU"/>
        </w:rPr>
        <w:t>defines an emission designator.</w:t>
      </w:r>
    </w:p>
    <w:p w14:paraId="43E3ADA2" w14:textId="77777777" w:rsidR="00D14D9A" w:rsidRPr="007B4C22" w:rsidRDefault="00D14D9A" w:rsidP="007D6A7C">
      <w:pPr>
        <w:spacing w:before="240" w:after="240"/>
        <w:rPr>
          <w:rFonts w:ascii="Arial" w:hAnsi="Arial" w:cs="Arial"/>
          <w:b/>
          <w:color w:val="262626"/>
          <w:sz w:val="20"/>
        </w:rPr>
      </w:pPr>
      <w:r w:rsidRPr="00334F5F">
        <w:rPr>
          <w:rFonts w:ascii="Arial" w:hAnsi="Arial" w:cs="Arial"/>
          <w:b/>
          <w:sz w:val="20"/>
        </w:rPr>
        <w:t xml:space="preserve">Section </w:t>
      </w:r>
      <w:r w:rsidR="00216698">
        <w:rPr>
          <w:rFonts w:ascii="Arial" w:hAnsi="Arial" w:cs="Arial"/>
          <w:b/>
          <w:sz w:val="20"/>
        </w:rPr>
        <w:t>8</w:t>
      </w:r>
      <w:r w:rsidR="00216698" w:rsidRPr="00334F5F">
        <w:rPr>
          <w:rFonts w:ascii="Arial" w:hAnsi="Arial" w:cs="Arial"/>
          <w:b/>
          <w:sz w:val="20"/>
        </w:rPr>
        <w:t xml:space="preserve"> </w:t>
      </w:r>
      <w:r w:rsidRPr="007B4C22">
        <w:rPr>
          <w:rFonts w:ascii="Arial" w:hAnsi="Arial" w:cs="Arial"/>
          <w:b/>
          <w:color w:val="262626"/>
          <w:sz w:val="20"/>
        </w:rPr>
        <w:t xml:space="preserve">– </w:t>
      </w:r>
      <w:r w:rsidR="00334F5F">
        <w:rPr>
          <w:rFonts w:ascii="Arial" w:hAnsi="Arial" w:cs="Arial"/>
          <w:b/>
          <w:color w:val="262626"/>
          <w:sz w:val="20"/>
        </w:rPr>
        <w:t xml:space="preserve">Group of </w:t>
      </w:r>
      <w:r w:rsidR="00DB10D5">
        <w:rPr>
          <w:rFonts w:ascii="Arial" w:hAnsi="Arial" w:cs="Arial"/>
          <w:b/>
          <w:color w:val="262626"/>
          <w:sz w:val="20"/>
        </w:rPr>
        <w:t>transmitters</w:t>
      </w:r>
    </w:p>
    <w:p w14:paraId="1088ED41" w14:textId="77777777" w:rsidR="00D87348" w:rsidRDefault="00D14D9A" w:rsidP="007D6A7C">
      <w:pPr>
        <w:spacing w:before="240" w:after="240"/>
        <w:rPr>
          <w:rFonts w:ascii="Arial" w:hAnsi="Arial" w:cs="Arial"/>
          <w:sz w:val="20"/>
          <w:lang w:val="en-AU"/>
        </w:rPr>
      </w:pPr>
      <w:r w:rsidRPr="00D14D9A">
        <w:rPr>
          <w:rFonts w:ascii="Arial" w:hAnsi="Arial" w:cs="Arial"/>
          <w:sz w:val="20"/>
          <w:lang w:val="en-AU"/>
        </w:rPr>
        <w:t xml:space="preserve">Section </w:t>
      </w:r>
      <w:r w:rsidR="00216698">
        <w:rPr>
          <w:rFonts w:ascii="Arial" w:hAnsi="Arial" w:cs="Arial"/>
          <w:sz w:val="20"/>
          <w:lang w:val="en-AU"/>
        </w:rPr>
        <w:t xml:space="preserve">8 </w:t>
      </w:r>
      <w:r w:rsidR="00DB10D5">
        <w:rPr>
          <w:rFonts w:ascii="Arial" w:hAnsi="Arial" w:cs="Arial"/>
          <w:sz w:val="20"/>
          <w:lang w:val="en-AU"/>
        </w:rPr>
        <w:t>defines what constitutes a group of transmitters.</w:t>
      </w:r>
    </w:p>
    <w:p w14:paraId="7002A270" w14:textId="77777777" w:rsidR="00216698" w:rsidRDefault="00216698" w:rsidP="007D6A7C">
      <w:pPr>
        <w:spacing w:before="240" w:after="240"/>
        <w:rPr>
          <w:rFonts w:ascii="Arial" w:hAnsi="Arial" w:cs="Arial"/>
          <w:b/>
          <w:color w:val="262626"/>
          <w:sz w:val="20"/>
        </w:rPr>
      </w:pPr>
      <w:r>
        <w:rPr>
          <w:rFonts w:ascii="Arial" w:hAnsi="Arial" w:cs="Arial"/>
          <w:b/>
          <w:color w:val="262626"/>
          <w:sz w:val="20"/>
        </w:rPr>
        <w:t>Section 9 – Group of receivers</w:t>
      </w:r>
    </w:p>
    <w:p w14:paraId="301E9BFF" w14:textId="77777777" w:rsidR="00216698" w:rsidRPr="00640F78" w:rsidRDefault="00216698" w:rsidP="007D6A7C">
      <w:pPr>
        <w:spacing w:before="240" w:after="240"/>
        <w:rPr>
          <w:rFonts w:ascii="Arial" w:hAnsi="Arial" w:cs="Arial"/>
          <w:color w:val="262626"/>
          <w:sz w:val="20"/>
        </w:rPr>
      </w:pPr>
      <w:r>
        <w:rPr>
          <w:rFonts w:ascii="Arial" w:hAnsi="Arial" w:cs="Arial"/>
          <w:color w:val="262626"/>
          <w:sz w:val="20"/>
        </w:rPr>
        <w:t xml:space="preserve">Section 9 </w:t>
      </w:r>
      <w:r w:rsidR="00F424B1">
        <w:rPr>
          <w:rFonts w:ascii="Arial" w:hAnsi="Arial" w:cs="Arial"/>
          <w:color w:val="262626"/>
          <w:sz w:val="20"/>
        </w:rPr>
        <w:t>defines</w:t>
      </w:r>
      <w:r>
        <w:rPr>
          <w:rFonts w:ascii="Arial" w:hAnsi="Arial" w:cs="Arial"/>
          <w:color w:val="262626"/>
          <w:sz w:val="20"/>
        </w:rPr>
        <w:t xml:space="preserve"> what constitutes a group of receivers.</w:t>
      </w:r>
    </w:p>
    <w:p w14:paraId="2153627A" w14:textId="77777777" w:rsidR="00D87348" w:rsidRPr="007B4C22" w:rsidRDefault="00D87348" w:rsidP="007D6A7C">
      <w:pPr>
        <w:spacing w:before="240" w:after="240"/>
        <w:rPr>
          <w:rFonts w:ascii="Arial" w:hAnsi="Arial" w:cs="Arial"/>
          <w:b/>
          <w:color w:val="262626"/>
          <w:sz w:val="20"/>
        </w:rPr>
      </w:pPr>
      <w:r w:rsidRPr="007B4C22">
        <w:rPr>
          <w:rFonts w:ascii="Arial" w:hAnsi="Arial" w:cs="Arial"/>
          <w:b/>
          <w:color w:val="262626"/>
          <w:sz w:val="20"/>
        </w:rPr>
        <w:t>Section</w:t>
      </w:r>
      <w:r w:rsidR="00883424">
        <w:rPr>
          <w:rFonts w:ascii="Arial" w:hAnsi="Arial" w:cs="Arial"/>
          <w:b/>
          <w:color w:val="262626"/>
          <w:sz w:val="20"/>
        </w:rPr>
        <w:t xml:space="preserve"> </w:t>
      </w:r>
      <w:r w:rsidR="00216698">
        <w:rPr>
          <w:rFonts w:ascii="Arial" w:hAnsi="Arial" w:cs="Arial"/>
          <w:b/>
          <w:color w:val="262626"/>
          <w:sz w:val="20"/>
        </w:rPr>
        <w:t>10</w:t>
      </w:r>
      <w:r w:rsidRPr="007B4C22">
        <w:rPr>
          <w:rFonts w:ascii="Arial" w:hAnsi="Arial" w:cs="Arial"/>
          <w:b/>
          <w:color w:val="262626"/>
          <w:sz w:val="20"/>
        </w:rPr>
        <w:t xml:space="preserve"> –</w:t>
      </w:r>
      <w:r w:rsidR="00334F5F">
        <w:rPr>
          <w:rFonts w:ascii="Arial" w:hAnsi="Arial" w:cs="Arial"/>
          <w:b/>
          <w:color w:val="262626"/>
          <w:sz w:val="20"/>
        </w:rPr>
        <w:t xml:space="preserve"> Details for apparatus licences</w:t>
      </w:r>
    </w:p>
    <w:p w14:paraId="16F597D2" w14:textId="77777777" w:rsidR="00D14D9A" w:rsidRPr="007D6A7C" w:rsidRDefault="00D87348" w:rsidP="007D6A7C">
      <w:pPr>
        <w:spacing w:before="240" w:after="240"/>
        <w:rPr>
          <w:rFonts w:ascii="Arial" w:hAnsi="Arial" w:cs="Arial"/>
          <w:sz w:val="20"/>
          <w:lang w:val="en-AU"/>
        </w:rPr>
      </w:pPr>
      <w:r>
        <w:rPr>
          <w:rFonts w:ascii="Arial" w:hAnsi="Arial" w:cs="Arial"/>
          <w:sz w:val="20"/>
          <w:lang w:val="en-AU"/>
        </w:rPr>
        <w:t xml:space="preserve">Section </w:t>
      </w:r>
      <w:r w:rsidR="00216698">
        <w:rPr>
          <w:rFonts w:ascii="Arial" w:hAnsi="Arial" w:cs="Arial"/>
          <w:sz w:val="20"/>
          <w:lang w:val="en-AU"/>
        </w:rPr>
        <w:t>10 specifies the details about apparatus licences and devices that are operated under apparatus licences that</w:t>
      </w:r>
      <w:r w:rsidR="006122E2">
        <w:rPr>
          <w:rFonts w:ascii="Arial" w:hAnsi="Arial" w:cs="Arial"/>
          <w:sz w:val="20"/>
          <w:lang w:val="en-AU"/>
        </w:rPr>
        <w:t xml:space="preserve"> are to be contained in the RRL.</w:t>
      </w:r>
      <w:r w:rsidR="00216698">
        <w:rPr>
          <w:rFonts w:ascii="Arial" w:hAnsi="Arial" w:cs="Arial"/>
          <w:sz w:val="20"/>
          <w:lang w:val="en-AU"/>
        </w:rPr>
        <w:t xml:space="preserve"> </w:t>
      </w:r>
    </w:p>
    <w:p w14:paraId="66CE214A" w14:textId="77777777" w:rsidR="007D6A7C" w:rsidRPr="007B4C22" w:rsidRDefault="007D6A7C" w:rsidP="007D6A7C">
      <w:pPr>
        <w:spacing w:before="240" w:after="240"/>
        <w:rPr>
          <w:rFonts w:ascii="Arial" w:hAnsi="Arial" w:cs="Arial"/>
          <w:b/>
          <w:color w:val="262626"/>
          <w:sz w:val="20"/>
        </w:rPr>
      </w:pPr>
      <w:r w:rsidRPr="007B4C22">
        <w:rPr>
          <w:rFonts w:ascii="Arial" w:hAnsi="Arial" w:cs="Arial"/>
          <w:b/>
          <w:color w:val="262626"/>
          <w:sz w:val="20"/>
        </w:rPr>
        <w:t xml:space="preserve">Section </w:t>
      </w:r>
      <w:r w:rsidR="006122E2">
        <w:rPr>
          <w:rFonts w:ascii="Arial" w:hAnsi="Arial" w:cs="Arial"/>
          <w:b/>
          <w:color w:val="262626"/>
          <w:sz w:val="20"/>
        </w:rPr>
        <w:t>11</w:t>
      </w:r>
      <w:r w:rsidR="006122E2" w:rsidRPr="007B4C22">
        <w:rPr>
          <w:rFonts w:ascii="Arial" w:hAnsi="Arial" w:cs="Arial"/>
          <w:b/>
          <w:color w:val="262626"/>
          <w:sz w:val="20"/>
        </w:rPr>
        <w:t xml:space="preserve"> </w:t>
      </w:r>
      <w:r w:rsidRPr="007B4C22">
        <w:rPr>
          <w:rFonts w:ascii="Arial" w:hAnsi="Arial" w:cs="Arial"/>
          <w:b/>
          <w:color w:val="262626"/>
          <w:sz w:val="20"/>
        </w:rPr>
        <w:t xml:space="preserve">– </w:t>
      </w:r>
      <w:r w:rsidR="00883424">
        <w:rPr>
          <w:rFonts w:ascii="Arial" w:hAnsi="Arial" w:cs="Arial"/>
          <w:b/>
          <w:color w:val="262626"/>
          <w:sz w:val="20"/>
        </w:rPr>
        <w:t>D</w:t>
      </w:r>
      <w:r w:rsidR="00334F5F">
        <w:rPr>
          <w:rFonts w:ascii="Arial" w:hAnsi="Arial" w:cs="Arial"/>
          <w:b/>
          <w:color w:val="262626"/>
          <w:sz w:val="20"/>
        </w:rPr>
        <w:t>etails for spectrum licences</w:t>
      </w:r>
      <w:r w:rsidR="00883424">
        <w:rPr>
          <w:rFonts w:ascii="Arial" w:hAnsi="Arial" w:cs="Arial"/>
          <w:b/>
          <w:color w:val="262626"/>
          <w:sz w:val="20"/>
        </w:rPr>
        <w:t xml:space="preserve"> </w:t>
      </w:r>
    </w:p>
    <w:p w14:paraId="0CDFF119" w14:textId="3FEA3D7E" w:rsidR="00117DD2" w:rsidRPr="007D6A7C" w:rsidRDefault="00117DD2" w:rsidP="00117DD2">
      <w:pPr>
        <w:spacing w:before="240" w:after="240"/>
        <w:rPr>
          <w:rFonts w:ascii="Arial" w:hAnsi="Arial" w:cs="Arial"/>
          <w:sz w:val="20"/>
          <w:lang w:val="en-AU"/>
        </w:rPr>
      </w:pPr>
      <w:r>
        <w:rPr>
          <w:rFonts w:ascii="Arial" w:hAnsi="Arial" w:cs="Arial"/>
          <w:sz w:val="20"/>
          <w:lang w:val="en-AU"/>
        </w:rPr>
        <w:t xml:space="preserve">Section </w:t>
      </w:r>
      <w:r w:rsidR="006122E2">
        <w:rPr>
          <w:rFonts w:ascii="Arial" w:hAnsi="Arial" w:cs="Arial"/>
          <w:sz w:val="20"/>
          <w:lang w:val="en-AU"/>
        </w:rPr>
        <w:t xml:space="preserve">11 specifies the details </w:t>
      </w:r>
      <w:r w:rsidR="00334F5F">
        <w:rPr>
          <w:rFonts w:ascii="Arial" w:hAnsi="Arial" w:cs="Arial"/>
          <w:sz w:val="20"/>
          <w:lang w:val="en-AU"/>
        </w:rPr>
        <w:t xml:space="preserve">about spectrum licences that </w:t>
      </w:r>
      <w:r w:rsidR="006122E2">
        <w:rPr>
          <w:rFonts w:ascii="Arial" w:hAnsi="Arial" w:cs="Arial"/>
          <w:sz w:val="20"/>
          <w:lang w:val="en-AU"/>
        </w:rPr>
        <w:t xml:space="preserve">are </w:t>
      </w:r>
      <w:r w:rsidR="00334F5F">
        <w:rPr>
          <w:rFonts w:ascii="Arial" w:hAnsi="Arial" w:cs="Arial"/>
          <w:sz w:val="20"/>
          <w:lang w:val="en-AU"/>
        </w:rPr>
        <w:t xml:space="preserve">to be </w:t>
      </w:r>
      <w:r w:rsidR="006122E2">
        <w:rPr>
          <w:rFonts w:ascii="Arial" w:hAnsi="Arial" w:cs="Arial"/>
          <w:sz w:val="20"/>
          <w:lang w:val="en-AU"/>
        </w:rPr>
        <w:t xml:space="preserve">contained </w:t>
      </w:r>
      <w:r w:rsidR="00334F5F">
        <w:rPr>
          <w:rFonts w:ascii="Arial" w:hAnsi="Arial" w:cs="Arial"/>
          <w:sz w:val="20"/>
          <w:lang w:val="en-AU"/>
        </w:rPr>
        <w:t>in the</w:t>
      </w:r>
      <w:r w:rsidR="00A95D63">
        <w:rPr>
          <w:rFonts w:ascii="Arial" w:hAnsi="Arial" w:cs="Arial"/>
          <w:sz w:val="20"/>
          <w:lang w:val="en-AU"/>
        </w:rPr>
        <w:t xml:space="preserve"> RRL</w:t>
      </w:r>
      <w:r w:rsidR="00334F5F">
        <w:rPr>
          <w:rFonts w:ascii="Arial" w:hAnsi="Arial" w:cs="Arial"/>
          <w:sz w:val="20"/>
          <w:lang w:val="en-AU"/>
        </w:rPr>
        <w:t xml:space="preserve">. </w:t>
      </w:r>
      <w:r w:rsidRPr="00D14D9A">
        <w:rPr>
          <w:rFonts w:ascii="Arial" w:hAnsi="Arial" w:cs="Arial"/>
          <w:sz w:val="20"/>
          <w:lang w:val="en-AU"/>
        </w:rPr>
        <w:t xml:space="preserve"> </w:t>
      </w:r>
    </w:p>
    <w:p w14:paraId="0630FE10" w14:textId="77777777" w:rsidR="00FB4091" w:rsidRPr="007B4C22" w:rsidRDefault="00FB4091" w:rsidP="00FB4091">
      <w:pPr>
        <w:spacing w:before="240" w:after="240"/>
        <w:rPr>
          <w:rFonts w:ascii="Arial" w:hAnsi="Arial" w:cs="Arial"/>
          <w:b/>
          <w:color w:val="262626"/>
          <w:sz w:val="20"/>
        </w:rPr>
      </w:pPr>
      <w:r w:rsidRPr="007B4C22">
        <w:rPr>
          <w:rFonts w:ascii="Arial" w:hAnsi="Arial" w:cs="Arial"/>
          <w:b/>
          <w:color w:val="262626"/>
          <w:sz w:val="20"/>
        </w:rPr>
        <w:t xml:space="preserve">Section </w:t>
      </w:r>
      <w:r w:rsidR="006122E2">
        <w:rPr>
          <w:rFonts w:ascii="Arial" w:hAnsi="Arial" w:cs="Arial"/>
          <w:b/>
          <w:color w:val="262626"/>
          <w:sz w:val="20"/>
        </w:rPr>
        <w:t>12</w:t>
      </w:r>
      <w:r w:rsidR="006122E2" w:rsidRPr="007B4C22">
        <w:rPr>
          <w:rFonts w:ascii="Arial" w:hAnsi="Arial" w:cs="Arial"/>
          <w:b/>
          <w:color w:val="262626"/>
          <w:sz w:val="20"/>
        </w:rPr>
        <w:t xml:space="preserve"> </w:t>
      </w:r>
      <w:r w:rsidRPr="007B4C22">
        <w:rPr>
          <w:rFonts w:ascii="Arial" w:hAnsi="Arial" w:cs="Arial"/>
          <w:b/>
          <w:color w:val="262626"/>
          <w:sz w:val="20"/>
        </w:rPr>
        <w:t>–</w:t>
      </w:r>
      <w:r w:rsidR="00EE24FF">
        <w:rPr>
          <w:rFonts w:ascii="Arial" w:hAnsi="Arial" w:cs="Arial"/>
          <w:b/>
          <w:color w:val="262626"/>
          <w:sz w:val="20"/>
        </w:rPr>
        <w:t xml:space="preserve"> </w:t>
      </w:r>
      <w:r w:rsidR="00334F5F">
        <w:rPr>
          <w:rFonts w:ascii="Arial" w:hAnsi="Arial" w:cs="Arial"/>
          <w:b/>
          <w:color w:val="262626"/>
          <w:sz w:val="20"/>
        </w:rPr>
        <w:t>Details for devices operated under spectrum licences</w:t>
      </w:r>
    </w:p>
    <w:p w14:paraId="208F6536" w14:textId="1845F33A" w:rsidR="00FB4091" w:rsidRDefault="00FB4091" w:rsidP="00FB4091">
      <w:pPr>
        <w:spacing w:before="240" w:after="240"/>
        <w:rPr>
          <w:rFonts w:ascii="Arial" w:hAnsi="Arial" w:cs="Arial"/>
          <w:sz w:val="20"/>
          <w:lang w:val="en-AU"/>
        </w:rPr>
      </w:pPr>
      <w:r>
        <w:rPr>
          <w:rFonts w:ascii="Arial" w:hAnsi="Arial" w:cs="Arial"/>
          <w:sz w:val="20"/>
          <w:lang w:val="en-AU"/>
        </w:rPr>
        <w:lastRenderedPageBreak/>
        <w:t xml:space="preserve">Section </w:t>
      </w:r>
      <w:r w:rsidR="006122E2">
        <w:rPr>
          <w:rFonts w:ascii="Arial" w:hAnsi="Arial" w:cs="Arial"/>
          <w:sz w:val="20"/>
          <w:lang w:val="en-AU"/>
        </w:rPr>
        <w:t>12 specifies the details about</w:t>
      </w:r>
      <w:r w:rsidR="00EC158F">
        <w:rPr>
          <w:rFonts w:ascii="Arial" w:hAnsi="Arial" w:cs="Arial"/>
          <w:sz w:val="20"/>
          <w:lang w:val="en-AU"/>
        </w:rPr>
        <w:t xml:space="preserve"> devices </w:t>
      </w:r>
      <w:r w:rsidR="006122E2">
        <w:rPr>
          <w:rFonts w:ascii="Arial" w:hAnsi="Arial" w:cs="Arial"/>
          <w:sz w:val="20"/>
          <w:lang w:val="en-AU"/>
        </w:rPr>
        <w:t>operated</w:t>
      </w:r>
      <w:r w:rsidR="00E3423B">
        <w:rPr>
          <w:rFonts w:ascii="Arial" w:hAnsi="Arial" w:cs="Arial"/>
          <w:sz w:val="20"/>
          <w:lang w:val="en-AU"/>
        </w:rPr>
        <w:t xml:space="preserve"> under spectrum licences that </w:t>
      </w:r>
      <w:r w:rsidR="00882772">
        <w:rPr>
          <w:rFonts w:ascii="Arial" w:hAnsi="Arial" w:cs="Arial"/>
          <w:sz w:val="20"/>
          <w:lang w:val="en-AU"/>
        </w:rPr>
        <w:t>are to be contained</w:t>
      </w:r>
      <w:r w:rsidR="00E3423B">
        <w:rPr>
          <w:rFonts w:ascii="Arial" w:hAnsi="Arial" w:cs="Arial"/>
          <w:sz w:val="20"/>
          <w:lang w:val="en-AU"/>
        </w:rPr>
        <w:t xml:space="preserve"> in the RRL. </w:t>
      </w:r>
    </w:p>
    <w:p w14:paraId="382A8157" w14:textId="77777777" w:rsidR="00011BB2" w:rsidRDefault="00011BB2" w:rsidP="00011BB2">
      <w:pPr>
        <w:spacing w:before="80" w:after="120" w:line="276" w:lineRule="auto"/>
        <w:rPr>
          <w:rFonts w:ascii="Arial" w:hAnsi="Arial" w:cs="Arial"/>
          <w:b/>
          <w:color w:val="262626"/>
          <w:sz w:val="20"/>
        </w:rPr>
      </w:pPr>
      <w:r w:rsidRPr="007B4C22">
        <w:rPr>
          <w:rFonts w:ascii="Arial" w:hAnsi="Arial" w:cs="Arial"/>
          <w:b/>
          <w:color w:val="262626"/>
          <w:sz w:val="20"/>
        </w:rPr>
        <w:t xml:space="preserve">Section </w:t>
      </w:r>
      <w:r w:rsidR="00882772">
        <w:rPr>
          <w:rFonts w:ascii="Arial" w:hAnsi="Arial" w:cs="Arial"/>
          <w:b/>
          <w:color w:val="262626"/>
          <w:sz w:val="20"/>
        </w:rPr>
        <w:t>13</w:t>
      </w:r>
      <w:r w:rsidR="00882772" w:rsidRPr="007B4C22">
        <w:rPr>
          <w:rFonts w:ascii="Arial" w:hAnsi="Arial" w:cs="Arial"/>
          <w:b/>
          <w:color w:val="262626"/>
          <w:sz w:val="20"/>
        </w:rPr>
        <w:t xml:space="preserve"> </w:t>
      </w:r>
      <w:r w:rsidRPr="007B4C22">
        <w:rPr>
          <w:rFonts w:ascii="Arial" w:hAnsi="Arial" w:cs="Arial"/>
          <w:b/>
          <w:color w:val="262626"/>
          <w:sz w:val="20"/>
        </w:rPr>
        <w:t xml:space="preserve">– </w:t>
      </w:r>
      <w:r w:rsidR="00EC158F">
        <w:rPr>
          <w:rFonts w:ascii="Arial" w:hAnsi="Arial" w:cs="Arial"/>
          <w:b/>
          <w:color w:val="262626"/>
          <w:sz w:val="20"/>
        </w:rPr>
        <w:t>Details for class licence</w:t>
      </w:r>
      <w:r w:rsidR="00882772">
        <w:rPr>
          <w:rFonts w:ascii="Arial" w:hAnsi="Arial" w:cs="Arial"/>
          <w:b/>
          <w:color w:val="262626"/>
          <w:sz w:val="20"/>
        </w:rPr>
        <w:t>s</w:t>
      </w:r>
    </w:p>
    <w:p w14:paraId="51B0AD56" w14:textId="20429DD3" w:rsidR="00914D5C" w:rsidRDefault="00011BB2" w:rsidP="00165BB5">
      <w:pPr>
        <w:rPr>
          <w:rFonts w:ascii="Arial" w:hAnsi="Arial" w:cs="Arial"/>
          <w:sz w:val="20"/>
          <w:lang w:val="en-AU"/>
        </w:rPr>
      </w:pPr>
      <w:r w:rsidRPr="00EE24FF">
        <w:rPr>
          <w:rFonts w:ascii="Arial" w:hAnsi="Arial" w:cs="Arial"/>
          <w:sz w:val="20"/>
          <w:lang w:val="en-AU"/>
        </w:rPr>
        <w:t xml:space="preserve">Section </w:t>
      </w:r>
      <w:r w:rsidR="00882772">
        <w:rPr>
          <w:rFonts w:ascii="Arial" w:hAnsi="Arial" w:cs="Arial"/>
          <w:sz w:val="20"/>
          <w:lang w:val="en-AU"/>
        </w:rPr>
        <w:t>13</w:t>
      </w:r>
      <w:r w:rsidR="00882772" w:rsidRPr="00D14D9A">
        <w:rPr>
          <w:rFonts w:ascii="Arial" w:hAnsi="Arial" w:cs="Arial"/>
          <w:sz w:val="20"/>
          <w:lang w:val="en-AU"/>
        </w:rPr>
        <w:t xml:space="preserve"> </w:t>
      </w:r>
      <w:r w:rsidR="00882772">
        <w:rPr>
          <w:rFonts w:ascii="Arial" w:hAnsi="Arial" w:cs="Arial"/>
          <w:sz w:val="20"/>
          <w:lang w:val="en-AU"/>
        </w:rPr>
        <w:t>provides that the</w:t>
      </w:r>
      <w:r w:rsidR="002E7781">
        <w:rPr>
          <w:rFonts w:ascii="Arial" w:hAnsi="Arial" w:cs="Arial"/>
          <w:sz w:val="20"/>
          <w:lang w:val="en-AU"/>
        </w:rPr>
        <w:t xml:space="preserve"> title of each class licence </w:t>
      </w:r>
      <w:r w:rsidR="00882772">
        <w:rPr>
          <w:rFonts w:ascii="Arial" w:hAnsi="Arial" w:cs="Arial"/>
          <w:sz w:val="20"/>
          <w:lang w:val="en-AU"/>
        </w:rPr>
        <w:t xml:space="preserve">issued by the ACMA is </w:t>
      </w:r>
      <w:r w:rsidR="002E7781">
        <w:rPr>
          <w:rFonts w:ascii="Arial" w:hAnsi="Arial" w:cs="Arial"/>
          <w:sz w:val="20"/>
          <w:lang w:val="en-AU"/>
        </w:rPr>
        <w:t xml:space="preserve">to be </w:t>
      </w:r>
      <w:r w:rsidR="00BF7A2C">
        <w:rPr>
          <w:rFonts w:ascii="Arial" w:hAnsi="Arial" w:cs="Arial"/>
          <w:sz w:val="20"/>
          <w:lang w:val="en-AU"/>
        </w:rPr>
        <w:t xml:space="preserve">contained </w:t>
      </w:r>
      <w:r w:rsidR="00EC158F">
        <w:rPr>
          <w:rFonts w:ascii="Arial" w:hAnsi="Arial" w:cs="Arial"/>
          <w:sz w:val="20"/>
          <w:lang w:val="en-AU"/>
        </w:rPr>
        <w:t xml:space="preserve">in the </w:t>
      </w:r>
      <w:r w:rsidR="00A95D63">
        <w:rPr>
          <w:rFonts w:ascii="Arial" w:hAnsi="Arial" w:cs="Arial"/>
          <w:sz w:val="20"/>
          <w:lang w:val="en-AU"/>
        </w:rPr>
        <w:t>RRL</w:t>
      </w:r>
      <w:bookmarkStart w:id="0" w:name="_GoBack"/>
      <w:bookmarkEnd w:id="0"/>
      <w:r w:rsidR="00EC158F">
        <w:rPr>
          <w:rFonts w:ascii="Arial" w:hAnsi="Arial" w:cs="Arial"/>
          <w:sz w:val="20"/>
          <w:lang w:val="en-AU"/>
        </w:rPr>
        <w:t xml:space="preserve">. </w:t>
      </w:r>
    </w:p>
    <w:p w14:paraId="01F6A811" w14:textId="77777777" w:rsidR="00EE24FF" w:rsidRDefault="00EE24FF" w:rsidP="00165BB5">
      <w:pPr>
        <w:rPr>
          <w:rFonts w:ascii="Arial" w:hAnsi="Arial" w:cs="Arial"/>
          <w:sz w:val="20"/>
          <w:lang w:val="en-AU"/>
        </w:rPr>
      </w:pPr>
    </w:p>
    <w:p w14:paraId="6E9A5643" w14:textId="77777777" w:rsidR="0075741A" w:rsidRDefault="0075741A" w:rsidP="00914D5C">
      <w:pPr>
        <w:spacing w:line="360" w:lineRule="auto"/>
        <w:jc w:val="right"/>
        <w:outlineLvl w:val="0"/>
        <w:rPr>
          <w:rFonts w:ascii="Arial" w:hAnsi="Arial" w:cs="Arial"/>
          <w:b/>
          <w:color w:val="000000"/>
          <w:sz w:val="22"/>
          <w:szCs w:val="22"/>
        </w:rPr>
      </w:pPr>
    </w:p>
    <w:p w14:paraId="31EC2A20" w14:textId="77777777" w:rsidR="00914D5C" w:rsidRPr="005A5476" w:rsidRDefault="00914D5C" w:rsidP="00914D5C">
      <w:pPr>
        <w:spacing w:line="360" w:lineRule="auto"/>
        <w:rPr>
          <w:rFonts w:ascii="Arial" w:hAnsi="Arial" w:cs="Arial"/>
          <w:sz w:val="22"/>
          <w:szCs w:val="22"/>
        </w:rPr>
      </w:pPr>
    </w:p>
    <w:p w14:paraId="4C18D9AD" w14:textId="77777777" w:rsidR="00A61538" w:rsidRPr="00914D5C" w:rsidRDefault="00A61538" w:rsidP="008851A9">
      <w:pPr>
        <w:spacing w:line="360" w:lineRule="auto"/>
        <w:outlineLvl w:val="0"/>
      </w:pPr>
    </w:p>
    <w:sectPr w:rsidR="00A61538" w:rsidRPr="00914D5C" w:rsidSect="008C193D">
      <w:footerReference w:type="default" r:id="rId15"/>
      <w:pgSz w:w="11907" w:h="16840" w:code="9"/>
      <w:pgMar w:top="1440" w:right="164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DB05B" w14:textId="77777777" w:rsidR="00EA6BE9" w:rsidRDefault="00EA6BE9">
      <w:r>
        <w:separator/>
      </w:r>
    </w:p>
  </w:endnote>
  <w:endnote w:type="continuationSeparator" w:id="0">
    <w:p w14:paraId="1386A53F" w14:textId="77777777" w:rsidR="00EA6BE9" w:rsidRDefault="00EA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NeueLT Std Lt">
    <w:altName w:val="Malgun Gothic"/>
    <w:panose1 w:val="00000000000000000000"/>
    <w:charset w:val="00"/>
    <w:family w:val="swiss"/>
    <w:notTrueType/>
    <w:pitch w:val="variable"/>
    <w:sig w:usb0="00000003" w:usb1="40002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D2AD" w14:textId="77777777" w:rsidR="00B87B6E" w:rsidRDefault="00B87B6E">
    <w:pPr>
      <w:pStyle w:val="Footer"/>
      <w:rPr>
        <w:rStyle w:val="PageNumber"/>
        <w:sz w:val="16"/>
        <w:szCs w:val="16"/>
      </w:rPr>
    </w:pPr>
    <w:r w:rsidRPr="00E363A4">
      <w:rPr>
        <w:sz w:val="16"/>
        <w:szCs w:val="16"/>
        <w:lang w:val="en-AU"/>
      </w:rPr>
      <w:tab/>
    </w:r>
    <w:r w:rsidRPr="00E363A4">
      <w:rPr>
        <w:sz w:val="16"/>
        <w:szCs w:val="16"/>
        <w:lang w:val="en-AU"/>
      </w:rPr>
      <w:tab/>
      <w:t xml:space="preserve">Page </w:t>
    </w:r>
    <w:r w:rsidR="0088553C" w:rsidRPr="00E363A4">
      <w:rPr>
        <w:rStyle w:val="PageNumber"/>
        <w:sz w:val="16"/>
        <w:szCs w:val="16"/>
      </w:rPr>
      <w:fldChar w:fldCharType="begin"/>
    </w:r>
    <w:r w:rsidRPr="00E363A4">
      <w:rPr>
        <w:rStyle w:val="PageNumber"/>
        <w:sz w:val="16"/>
        <w:szCs w:val="16"/>
      </w:rPr>
      <w:instrText xml:space="preserve"> PAGE </w:instrText>
    </w:r>
    <w:r w:rsidR="0088553C" w:rsidRPr="00E363A4">
      <w:rPr>
        <w:rStyle w:val="PageNumber"/>
        <w:sz w:val="16"/>
        <w:szCs w:val="16"/>
      </w:rPr>
      <w:fldChar w:fldCharType="separate"/>
    </w:r>
    <w:r w:rsidR="00AD3702">
      <w:rPr>
        <w:rStyle w:val="PageNumber"/>
        <w:noProof/>
        <w:sz w:val="16"/>
        <w:szCs w:val="16"/>
      </w:rPr>
      <w:t>1</w:t>
    </w:r>
    <w:r w:rsidR="0088553C" w:rsidRPr="00E363A4">
      <w:rPr>
        <w:rStyle w:val="PageNumber"/>
        <w:sz w:val="16"/>
        <w:szCs w:val="16"/>
      </w:rPr>
      <w:fldChar w:fldCharType="end"/>
    </w:r>
    <w:r w:rsidRPr="00E363A4">
      <w:rPr>
        <w:rStyle w:val="PageNumber"/>
        <w:sz w:val="16"/>
        <w:szCs w:val="16"/>
      </w:rPr>
      <w:t xml:space="preserve"> of </w:t>
    </w:r>
    <w:r w:rsidR="0088553C" w:rsidRPr="00E363A4">
      <w:rPr>
        <w:rStyle w:val="PageNumber"/>
        <w:sz w:val="16"/>
        <w:szCs w:val="16"/>
      </w:rPr>
      <w:fldChar w:fldCharType="begin"/>
    </w:r>
    <w:r w:rsidRPr="00E363A4">
      <w:rPr>
        <w:rStyle w:val="PageNumber"/>
        <w:sz w:val="16"/>
        <w:szCs w:val="16"/>
      </w:rPr>
      <w:instrText xml:space="preserve"> NUMPAGES </w:instrText>
    </w:r>
    <w:r w:rsidR="0088553C" w:rsidRPr="00E363A4">
      <w:rPr>
        <w:rStyle w:val="PageNumber"/>
        <w:sz w:val="16"/>
        <w:szCs w:val="16"/>
      </w:rPr>
      <w:fldChar w:fldCharType="separate"/>
    </w:r>
    <w:r w:rsidR="00AD3702">
      <w:rPr>
        <w:rStyle w:val="PageNumber"/>
        <w:noProof/>
        <w:sz w:val="16"/>
        <w:szCs w:val="16"/>
      </w:rPr>
      <w:t>4</w:t>
    </w:r>
    <w:r w:rsidR="0088553C" w:rsidRPr="00E363A4">
      <w:rPr>
        <w:rStyle w:val="PageNumber"/>
        <w:sz w:val="16"/>
        <w:szCs w:val="16"/>
      </w:rPr>
      <w:fldChar w:fldCharType="end"/>
    </w:r>
  </w:p>
  <w:p w14:paraId="01BAFDF5" w14:textId="77777777" w:rsidR="00B87B6E" w:rsidRPr="00E363A4" w:rsidRDefault="00B87B6E" w:rsidP="00E37E46">
    <w:pPr>
      <w:pStyle w:val="Footer"/>
      <w:jc w:val="right"/>
      <w:rPr>
        <w:sz w:val="16"/>
        <w:szCs w:val="16"/>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EB61D" w14:textId="77777777" w:rsidR="00EA6BE9" w:rsidRDefault="00EA6BE9">
      <w:r>
        <w:separator/>
      </w:r>
    </w:p>
  </w:footnote>
  <w:footnote w:type="continuationSeparator" w:id="0">
    <w:p w14:paraId="7C03572B" w14:textId="77777777" w:rsidR="00EA6BE9" w:rsidRDefault="00EA6B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9309FC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nsid w:val="04DE56AF"/>
    <w:multiLevelType w:val="hybridMultilevel"/>
    <w:tmpl w:val="9424D25C"/>
    <w:lvl w:ilvl="0" w:tplc="01EE7998">
      <w:start w:val="1"/>
      <w:numFmt w:val="decimal"/>
      <w:lvlText w:val="%1."/>
      <w:lvlJc w:val="left"/>
      <w:pPr>
        <w:tabs>
          <w:tab w:val="num" w:pos="360"/>
        </w:tabs>
        <w:ind w:left="360" w:hanging="360"/>
      </w:pPr>
      <w:rPr>
        <w:rFonts w:hint="default"/>
        <w:color w:val="auto"/>
      </w:rPr>
    </w:lvl>
    <w:lvl w:ilvl="1" w:tplc="ED264EA0">
      <w:start w:val="1"/>
      <w:numFmt w:val="decimal"/>
      <w:lvlText w:val="(%2)"/>
      <w:lvlJc w:val="left"/>
      <w:pPr>
        <w:tabs>
          <w:tab w:val="num" w:pos="1080"/>
        </w:tabs>
        <w:ind w:left="1080" w:hanging="360"/>
      </w:pPr>
      <w:rPr>
        <w:rFonts w:hint="default"/>
        <w:color w:val="auto"/>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5426881"/>
    <w:multiLevelType w:val="hybridMultilevel"/>
    <w:tmpl w:val="B4163BAE"/>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
    <w:nsid w:val="0D0529BC"/>
    <w:multiLevelType w:val="hybridMultilevel"/>
    <w:tmpl w:val="8EACE15A"/>
    <w:lvl w:ilvl="0" w:tplc="0C090003">
      <w:start w:val="1"/>
      <w:numFmt w:val="bullet"/>
      <w:lvlText w:val="o"/>
      <w:lvlJc w:val="left"/>
      <w:pPr>
        <w:tabs>
          <w:tab w:val="num" w:pos="720"/>
        </w:tabs>
        <w:ind w:left="720" w:hanging="360"/>
      </w:pPr>
      <w:rPr>
        <w:rFonts w:ascii="Courier New" w:hAnsi="Courier New" w:cs="Courier New" w:hint="default"/>
      </w:rPr>
    </w:lvl>
    <w:lvl w:ilvl="1" w:tplc="C610C97E">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5656DDD"/>
    <w:multiLevelType w:val="hybridMultilevel"/>
    <w:tmpl w:val="2BB884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AB45DD"/>
    <w:multiLevelType w:val="hybridMultilevel"/>
    <w:tmpl w:val="FE92CE0C"/>
    <w:lvl w:ilvl="0" w:tplc="0C090003">
      <w:start w:val="1"/>
      <w:numFmt w:val="bullet"/>
      <w:lvlText w:val="o"/>
      <w:lvlJc w:val="left"/>
      <w:pPr>
        <w:tabs>
          <w:tab w:val="num" w:pos="720"/>
        </w:tabs>
        <w:ind w:left="720" w:hanging="360"/>
      </w:pPr>
      <w:rPr>
        <w:rFonts w:ascii="Courier New" w:hAnsi="Courier New" w:cs="Courier New" w:hint="default"/>
        <w:color w:val="auto"/>
      </w:rPr>
    </w:lvl>
    <w:lvl w:ilvl="1" w:tplc="C610C97E">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17F42B66"/>
    <w:multiLevelType w:val="hybridMultilevel"/>
    <w:tmpl w:val="B43E625A"/>
    <w:lvl w:ilvl="0" w:tplc="0C09000F">
      <w:start w:val="1"/>
      <w:numFmt w:val="decimal"/>
      <w:lvlText w:val="%1."/>
      <w:lvlJc w:val="left"/>
      <w:pPr>
        <w:tabs>
          <w:tab w:val="num" w:pos="360"/>
        </w:tabs>
        <w:ind w:left="360" w:hanging="360"/>
      </w:pPr>
    </w:lvl>
    <w:lvl w:ilvl="1" w:tplc="ED264EA0">
      <w:start w:val="1"/>
      <w:numFmt w:val="decimal"/>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nsid w:val="2B8B3C02"/>
    <w:multiLevelType w:val="hybridMultilevel"/>
    <w:tmpl w:val="ADFE5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E23B7B"/>
    <w:multiLevelType w:val="hybridMultilevel"/>
    <w:tmpl w:val="5628B10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9">
    <w:nsid w:val="340601E0"/>
    <w:multiLevelType w:val="singleLevel"/>
    <w:tmpl w:val="8D466266"/>
    <w:lvl w:ilvl="0">
      <w:start w:val="1"/>
      <w:numFmt w:val="lowerLetter"/>
      <w:lvlText w:val="(%1)"/>
      <w:legacy w:legacy="1" w:legacySpace="0" w:legacyIndent="990"/>
      <w:lvlJc w:val="left"/>
      <w:rPr>
        <w:rFonts w:ascii="Times New Roman" w:hAnsi="Times New Roman" w:cs="Times New Roman" w:hint="default"/>
      </w:rPr>
    </w:lvl>
  </w:abstractNum>
  <w:abstractNum w:abstractNumId="10">
    <w:nsid w:val="3BEE54DC"/>
    <w:multiLevelType w:val="hybridMultilevel"/>
    <w:tmpl w:val="93349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B97B8C"/>
    <w:multiLevelType w:val="hybridMultilevel"/>
    <w:tmpl w:val="DA4C2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7B37469"/>
    <w:multiLevelType w:val="hybridMultilevel"/>
    <w:tmpl w:val="83084772"/>
    <w:lvl w:ilvl="0" w:tplc="C610C97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9661922"/>
    <w:multiLevelType w:val="hybridMultilevel"/>
    <w:tmpl w:val="AFC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3F17D3E"/>
    <w:multiLevelType w:val="hybridMultilevel"/>
    <w:tmpl w:val="0770B9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9597E9B"/>
    <w:multiLevelType w:val="hybridMultilevel"/>
    <w:tmpl w:val="A74EF76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595F6731"/>
    <w:multiLevelType w:val="hybridMultilevel"/>
    <w:tmpl w:val="0728E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B47030"/>
    <w:multiLevelType w:val="hybridMultilevel"/>
    <w:tmpl w:val="5192C254"/>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5C92C38"/>
    <w:multiLevelType w:val="hybridMultilevel"/>
    <w:tmpl w:val="3A508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FC2228D"/>
    <w:multiLevelType w:val="hybridMultilevel"/>
    <w:tmpl w:val="8948F3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6"/>
  </w:num>
  <w:num w:numId="5">
    <w:abstractNumId w:val="3"/>
  </w:num>
  <w:num w:numId="6">
    <w:abstractNumId w:val="5"/>
  </w:num>
  <w:num w:numId="7">
    <w:abstractNumId w:val="15"/>
  </w:num>
  <w:num w:numId="8">
    <w:abstractNumId w:val="17"/>
  </w:num>
  <w:num w:numId="9">
    <w:abstractNumId w:val="8"/>
  </w:num>
  <w:num w:numId="10">
    <w:abstractNumId w:val="13"/>
  </w:num>
  <w:num w:numId="11">
    <w:abstractNumId w:val="16"/>
  </w:num>
  <w:num w:numId="12">
    <w:abstractNumId w:val="10"/>
  </w:num>
  <w:num w:numId="13">
    <w:abstractNumId w:val="0"/>
  </w:num>
  <w:num w:numId="14">
    <w:abstractNumId w:val="4"/>
  </w:num>
  <w:num w:numId="15">
    <w:abstractNumId w:val="19"/>
  </w:num>
  <w:num w:numId="16">
    <w:abstractNumId w:val="14"/>
  </w:num>
  <w:num w:numId="17">
    <w:abstractNumId w:val="11"/>
  </w:num>
  <w:num w:numId="18">
    <w:abstractNumId w:val="2"/>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8D2"/>
    <w:rsid w:val="000076EC"/>
    <w:rsid w:val="00011BB2"/>
    <w:rsid w:val="00011E32"/>
    <w:rsid w:val="00015CBB"/>
    <w:rsid w:val="000205F7"/>
    <w:rsid w:val="00034657"/>
    <w:rsid w:val="00075B39"/>
    <w:rsid w:val="00097776"/>
    <w:rsid w:val="000B5FB3"/>
    <w:rsid w:val="000C06DC"/>
    <w:rsid w:val="000D2768"/>
    <w:rsid w:val="000E586C"/>
    <w:rsid w:val="000F291E"/>
    <w:rsid w:val="000F643F"/>
    <w:rsid w:val="00107147"/>
    <w:rsid w:val="001119EE"/>
    <w:rsid w:val="00113193"/>
    <w:rsid w:val="00117DD2"/>
    <w:rsid w:val="001315DF"/>
    <w:rsid w:val="001418A8"/>
    <w:rsid w:val="001463E8"/>
    <w:rsid w:val="00155F36"/>
    <w:rsid w:val="00157C4F"/>
    <w:rsid w:val="00161A37"/>
    <w:rsid w:val="00163740"/>
    <w:rsid w:val="001637D6"/>
    <w:rsid w:val="00165BB5"/>
    <w:rsid w:val="00190E1A"/>
    <w:rsid w:val="001A3FB0"/>
    <w:rsid w:val="001C731C"/>
    <w:rsid w:val="001D1E80"/>
    <w:rsid w:val="002039F7"/>
    <w:rsid w:val="0020657B"/>
    <w:rsid w:val="00216698"/>
    <w:rsid w:val="00220217"/>
    <w:rsid w:val="00226BF6"/>
    <w:rsid w:val="00232B02"/>
    <w:rsid w:val="002413FF"/>
    <w:rsid w:val="00251BF2"/>
    <w:rsid w:val="0027230F"/>
    <w:rsid w:val="00275481"/>
    <w:rsid w:val="00281C17"/>
    <w:rsid w:val="00283610"/>
    <w:rsid w:val="00294F54"/>
    <w:rsid w:val="002A06D0"/>
    <w:rsid w:val="002A1962"/>
    <w:rsid w:val="002B1BB7"/>
    <w:rsid w:val="002B5A57"/>
    <w:rsid w:val="002B6474"/>
    <w:rsid w:val="002E036C"/>
    <w:rsid w:val="002E14C7"/>
    <w:rsid w:val="002E7781"/>
    <w:rsid w:val="002F2755"/>
    <w:rsid w:val="002F2F3A"/>
    <w:rsid w:val="003150F6"/>
    <w:rsid w:val="003159A8"/>
    <w:rsid w:val="003207C9"/>
    <w:rsid w:val="00325B05"/>
    <w:rsid w:val="00334F5F"/>
    <w:rsid w:val="0034007A"/>
    <w:rsid w:val="003406BF"/>
    <w:rsid w:val="00352F51"/>
    <w:rsid w:val="003904EC"/>
    <w:rsid w:val="003925F8"/>
    <w:rsid w:val="00396FE7"/>
    <w:rsid w:val="003A7AB2"/>
    <w:rsid w:val="003B034E"/>
    <w:rsid w:val="003B11AA"/>
    <w:rsid w:val="003B38C5"/>
    <w:rsid w:val="003C58DD"/>
    <w:rsid w:val="003C7624"/>
    <w:rsid w:val="003D163C"/>
    <w:rsid w:val="003D1A06"/>
    <w:rsid w:val="003E0BB1"/>
    <w:rsid w:val="003E16EE"/>
    <w:rsid w:val="003E47A2"/>
    <w:rsid w:val="003E63FC"/>
    <w:rsid w:val="00400B3B"/>
    <w:rsid w:val="00404140"/>
    <w:rsid w:val="00410016"/>
    <w:rsid w:val="00415465"/>
    <w:rsid w:val="00422C61"/>
    <w:rsid w:val="0043204A"/>
    <w:rsid w:val="0043343C"/>
    <w:rsid w:val="0044136E"/>
    <w:rsid w:val="004417AA"/>
    <w:rsid w:val="00443987"/>
    <w:rsid w:val="0046048C"/>
    <w:rsid w:val="004631B2"/>
    <w:rsid w:val="00466CA3"/>
    <w:rsid w:val="0047076A"/>
    <w:rsid w:val="00471D33"/>
    <w:rsid w:val="00483CAD"/>
    <w:rsid w:val="004B5CA3"/>
    <w:rsid w:val="004B75D3"/>
    <w:rsid w:val="004E4E1C"/>
    <w:rsid w:val="004F03B3"/>
    <w:rsid w:val="004F2A2E"/>
    <w:rsid w:val="004F3768"/>
    <w:rsid w:val="00501215"/>
    <w:rsid w:val="0050767C"/>
    <w:rsid w:val="005077D9"/>
    <w:rsid w:val="00512CE7"/>
    <w:rsid w:val="00513056"/>
    <w:rsid w:val="0052060A"/>
    <w:rsid w:val="00530C80"/>
    <w:rsid w:val="005529D1"/>
    <w:rsid w:val="00567DE8"/>
    <w:rsid w:val="0057166B"/>
    <w:rsid w:val="00572C2E"/>
    <w:rsid w:val="00572E75"/>
    <w:rsid w:val="005738C6"/>
    <w:rsid w:val="00583194"/>
    <w:rsid w:val="00583312"/>
    <w:rsid w:val="005950FB"/>
    <w:rsid w:val="005A01D2"/>
    <w:rsid w:val="005A346B"/>
    <w:rsid w:val="005B2D04"/>
    <w:rsid w:val="005C0639"/>
    <w:rsid w:val="005C4BF3"/>
    <w:rsid w:val="005C5B7F"/>
    <w:rsid w:val="005D3349"/>
    <w:rsid w:val="005D51BF"/>
    <w:rsid w:val="005E410C"/>
    <w:rsid w:val="00603C97"/>
    <w:rsid w:val="006122E2"/>
    <w:rsid w:val="0061255C"/>
    <w:rsid w:val="00613C40"/>
    <w:rsid w:val="00640F78"/>
    <w:rsid w:val="0065029D"/>
    <w:rsid w:val="00652E2E"/>
    <w:rsid w:val="00657E08"/>
    <w:rsid w:val="00667352"/>
    <w:rsid w:val="006738C2"/>
    <w:rsid w:val="0068620F"/>
    <w:rsid w:val="0068629B"/>
    <w:rsid w:val="006D466F"/>
    <w:rsid w:val="006E6A1F"/>
    <w:rsid w:val="00703327"/>
    <w:rsid w:val="00737373"/>
    <w:rsid w:val="0075741A"/>
    <w:rsid w:val="00770851"/>
    <w:rsid w:val="00783E5F"/>
    <w:rsid w:val="00785F5B"/>
    <w:rsid w:val="007960B4"/>
    <w:rsid w:val="007A728A"/>
    <w:rsid w:val="007B4C22"/>
    <w:rsid w:val="007C1EED"/>
    <w:rsid w:val="007C5056"/>
    <w:rsid w:val="007D0B25"/>
    <w:rsid w:val="007D3EAE"/>
    <w:rsid w:val="007D42FC"/>
    <w:rsid w:val="007D6A7C"/>
    <w:rsid w:val="007E4039"/>
    <w:rsid w:val="007F1530"/>
    <w:rsid w:val="007F5BA6"/>
    <w:rsid w:val="0080451B"/>
    <w:rsid w:val="00822474"/>
    <w:rsid w:val="00826A71"/>
    <w:rsid w:val="008272E9"/>
    <w:rsid w:val="0083239C"/>
    <w:rsid w:val="00832FA1"/>
    <w:rsid w:val="008402D4"/>
    <w:rsid w:val="00853AEF"/>
    <w:rsid w:val="00856F16"/>
    <w:rsid w:val="008617A5"/>
    <w:rsid w:val="00874707"/>
    <w:rsid w:val="0087705E"/>
    <w:rsid w:val="00880AD5"/>
    <w:rsid w:val="00882772"/>
    <w:rsid w:val="00883424"/>
    <w:rsid w:val="008851A9"/>
    <w:rsid w:val="0088553C"/>
    <w:rsid w:val="0088585F"/>
    <w:rsid w:val="00897552"/>
    <w:rsid w:val="008A0863"/>
    <w:rsid w:val="008A7C20"/>
    <w:rsid w:val="008C193D"/>
    <w:rsid w:val="008C7136"/>
    <w:rsid w:val="008D2353"/>
    <w:rsid w:val="008D4C51"/>
    <w:rsid w:val="008E3265"/>
    <w:rsid w:val="008E4837"/>
    <w:rsid w:val="008E69CB"/>
    <w:rsid w:val="008F5E11"/>
    <w:rsid w:val="009038D8"/>
    <w:rsid w:val="0091491D"/>
    <w:rsid w:val="00914D5C"/>
    <w:rsid w:val="009267DB"/>
    <w:rsid w:val="00927987"/>
    <w:rsid w:val="00950946"/>
    <w:rsid w:val="00952095"/>
    <w:rsid w:val="00953307"/>
    <w:rsid w:val="00960DF3"/>
    <w:rsid w:val="00964FEA"/>
    <w:rsid w:val="009A55EA"/>
    <w:rsid w:val="009A6E96"/>
    <w:rsid w:val="009C1892"/>
    <w:rsid w:val="009C31DC"/>
    <w:rsid w:val="009C5186"/>
    <w:rsid w:val="009D05CF"/>
    <w:rsid w:val="009E1078"/>
    <w:rsid w:val="009E4A20"/>
    <w:rsid w:val="009F38D2"/>
    <w:rsid w:val="009F3C46"/>
    <w:rsid w:val="00A00545"/>
    <w:rsid w:val="00A056B9"/>
    <w:rsid w:val="00A06C51"/>
    <w:rsid w:val="00A14820"/>
    <w:rsid w:val="00A17239"/>
    <w:rsid w:val="00A20044"/>
    <w:rsid w:val="00A270D1"/>
    <w:rsid w:val="00A5054D"/>
    <w:rsid w:val="00A511B9"/>
    <w:rsid w:val="00A548D1"/>
    <w:rsid w:val="00A61538"/>
    <w:rsid w:val="00A659D7"/>
    <w:rsid w:val="00A76432"/>
    <w:rsid w:val="00A83288"/>
    <w:rsid w:val="00A95D63"/>
    <w:rsid w:val="00AD3702"/>
    <w:rsid w:val="00AD4736"/>
    <w:rsid w:val="00AE3C38"/>
    <w:rsid w:val="00AE4E7F"/>
    <w:rsid w:val="00AF179C"/>
    <w:rsid w:val="00B02AE6"/>
    <w:rsid w:val="00B03A90"/>
    <w:rsid w:val="00B16838"/>
    <w:rsid w:val="00B22257"/>
    <w:rsid w:val="00B22DD5"/>
    <w:rsid w:val="00B24D3D"/>
    <w:rsid w:val="00B24EFA"/>
    <w:rsid w:val="00B3083F"/>
    <w:rsid w:val="00B30997"/>
    <w:rsid w:val="00B30F15"/>
    <w:rsid w:val="00B36161"/>
    <w:rsid w:val="00B40C2E"/>
    <w:rsid w:val="00B544E8"/>
    <w:rsid w:val="00B55E06"/>
    <w:rsid w:val="00B560E6"/>
    <w:rsid w:val="00B63CBD"/>
    <w:rsid w:val="00B66A62"/>
    <w:rsid w:val="00B72196"/>
    <w:rsid w:val="00B75E10"/>
    <w:rsid w:val="00B8032E"/>
    <w:rsid w:val="00B82A8F"/>
    <w:rsid w:val="00B87B6E"/>
    <w:rsid w:val="00B945B3"/>
    <w:rsid w:val="00B97FA7"/>
    <w:rsid w:val="00BA7C83"/>
    <w:rsid w:val="00BB1161"/>
    <w:rsid w:val="00BB68DB"/>
    <w:rsid w:val="00BC28AF"/>
    <w:rsid w:val="00BC6C44"/>
    <w:rsid w:val="00BD24EC"/>
    <w:rsid w:val="00BD3C68"/>
    <w:rsid w:val="00BD4C76"/>
    <w:rsid w:val="00BD5370"/>
    <w:rsid w:val="00BE0C61"/>
    <w:rsid w:val="00BF1E45"/>
    <w:rsid w:val="00BF7A2C"/>
    <w:rsid w:val="00C05FDB"/>
    <w:rsid w:val="00C22284"/>
    <w:rsid w:val="00C23DB0"/>
    <w:rsid w:val="00C31008"/>
    <w:rsid w:val="00C47FF2"/>
    <w:rsid w:val="00C71872"/>
    <w:rsid w:val="00C93BC8"/>
    <w:rsid w:val="00CA0AFB"/>
    <w:rsid w:val="00CB6F14"/>
    <w:rsid w:val="00CD6F3C"/>
    <w:rsid w:val="00CD709E"/>
    <w:rsid w:val="00CF7386"/>
    <w:rsid w:val="00D06775"/>
    <w:rsid w:val="00D14D9A"/>
    <w:rsid w:val="00D16CD1"/>
    <w:rsid w:val="00D24BFB"/>
    <w:rsid w:val="00D35FB5"/>
    <w:rsid w:val="00D4393A"/>
    <w:rsid w:val="00D61705"/>
    <w:rsid w:val="00D63AC4"/>
    <w:rsid w:val="00D73EC9"/>
    <w:rsid w:val="00D759BA"/>
    <w:rsid w:val="00D75F07"/>
    <w:rsid w:val="00D77F77"/>
    <w:rsid w:val="00D87348"/>
    <w:rsid w:val="00D943D4"/>
    <w:rsid w:val="00D9611C"/>
    <w:rsid w:val="00DA0698"/>
    <w:rsid w:val="00DA289B"/>
    <w:rsid w:val="00DB10D5"/>
    <w:rsid w:val="00DB4163"/>
    <w:rsid w:val="00DF1636"/>
    <w:rsid w:val="00E02DA3"/>
    <w:rsid w:val="00E132CB"/>
    <w:rsid w:val="00E1543C"/>
    <w:rsid w:val="00E226D5"/>
    <w:rsid w:val="00E3423B"/>
    <w:rsid w:val="00E37E46"/>
    <w:rsid w:val="00E53B40"/>
    <w:rsid w:val="00E739E0"/>
    <w:rsid w:val="00E878C0"/>
    <w:rsid w:val="00EA5D84"/>
    <w:rsid w:val="00EA6BE9"/>
    <w:rsid w:val="00EB2120"/>
    <w:rsid w:val="00EC158F"/>
    <w:rsid w:val="00ED008A"/>
    <w:rsid w:val="00EE24FF"/>
    <w:rsid w:val="00EF1A1C"/>
    <w:rsid w:val="00EF565D"/>
    <w:rsid w:val="00F029D8"/>
    <w:rsid w:val="00F11D43"/>
    <w:rsid w:val="00F27D50"/>
    <w:rsid w:val="00F34995"/>
    <w:rsid w:val="00F424B1"/>
    <w:rsid w:val="00F53F45"/>
    <w:rsid w:val="00F54C4E"/>
    <w:rsid w:val="00F663A2"/>
    <w:rsid w:val="00F66496"/>
    <w:rsid w:val="00F74EFC"/>
    <w:rsid w:val="00FA2161"/>
    <w:rsid w:val="00FA6046"/>
    <w:rsid w:val="00FA700F"/>
    <w:rsid w:val="00FB3B8A"/>
    <w:rsid w:val="00FB4091"/>
    <w:rsid w:val="00FC0533"/>
    <w:rsid w:val="00FC0732"/>
    <w:rsid w:val="00FC16D2"/>
    <w:rsid w:val="00FD4AD4"/>
    <w:rsid w:val="00FD5AFE"/>
    <w:rsid w:val="00FF0C6A"/>
    <w:rsid w:val="00FF5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3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F36"/>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38D2"/>
    <w:pPr>
      <w:spacing w:after="120"/>
    </w:pPr>
    <w:rPr>
      <w:lang w:val="en-AU"/>
    </w:rPr>
  </w:style>
  <w:style w:type="paragraph" w:styleId="Footer">
    <w:name w:val="footer"/>
    <w:basedOn w:val="Normal"/>
    <w:link w:val="FooterChar"/>
    <w:uiPriority w:val="99"/>
    <w:rsid w:val="009F38D2"/>
    <w:pPr>
      <w:tabs>
        <w:tab w:val="center" w:pos="4153"/>
        <w:tab w:val="right" w:pos="8306"/>
      </w:tabs>
    </w:pPr>
  </w:style>
  <w:style w:type="character" w:styleId="PageNumber">
    <w:name w:val="page number"/>
    <w:basedOn w:val="DefaultParagraphFont"/>
    <w:rsid w:val="009F38D2"/>
  </w:style>
  <w:style w:type="paragraph" w:styleId="Header">
    <w:name w:val="header"/>
    <w:basedOn w:val="Normal"/>
    <w:rsid w:val="009F38D2"/>
    <w:pPr>
      <w:tabs>
        <w:tab w:val="center" w:pos="4153"/>
        <w:tab w:val="right" w:pos="8306"/>
      </w:tabs>
    </w:pPr>
    <w:rPr>
      <w:lang w:val="en-AU"/>
    </w:rPr>
  </w:style>
  <w:style w:type="paragraph" w:styleId="NormalWeb">
    <w:name w:val="Normal (Web)"/>
    <w:basedOn w:val="Normal"/>
    <w:rsid w:val="00613C40"/>
    <w:pPr>
      <w:spacing w:before="100" w:beforeAutospacing="1" w:after="100" w:afterAutospacing="1"/>
    </w:pPr>
    <w:rPr>
      <w:szCs w:val="24"/>
      <w:lang w:val="en-AU"/>
    </w:rPr>
  </w:style>
  <w:style w:type="paragraph" w:customStyle="1" w:styleId="P1">
    <w:name w:val="P1"/>
    <w:aliases w:val="(a)"/>
    <w:basedOn w:val="Normal"/>
    <w:rsid w:val="00D943D4"/>
    <w:pPr>
      <w:tabs>
        <w:tab w:val="right" w:pos="1191"/>
      </w:tabs>
      <w:spacing w:before="60" w:line="260" w:lineRule="exact"/>
      <w:ind w:left="1418" w:hanging="1418"/>
      <w:jc w:val="both"/>
    </w:pPr>
    <w:rPr>
      <w:noProof/>
      <w:szCs w:val="24"/>
      <w:lang w:val="en-AU" w:eastAsia="en-US"/>
    </w:rPr>
  </w:style>
  <w:style w:type="paragraph" w:styleId="ListParagraph">
    <w:name w:val="List Paragraph"/>
    <w:basedOn w:val="Normal"/>
    <w:uiPriority w:val="34"/>
    <w:qFormat/>
    <w:rsid w:val="00914D5C"/>
    <w:pPr>
      <w:ind w:left="720"/>
    </w:pPr>
    <w:rPr>
      <w:szCs w:val="24"/>
      <w:lang w:val="en-US" w:eastAsia="en-US"/>
    </w:rPr>
  </w:style>
  <w:style w:type="paragraph" w:customStyle="1" w:styleId="indenta">
    <w:name w:val="indenta"/>
    <w:basedOn w:val="Normal"/>
    <w:rsid w:val="00914D5C"/>
    <w:pPr>
      <w:spacing w:before="100" w:beforeAutospacing="1" w:after="100" w:afterAutospacing="1"/>
    </w:pPr>
    <w:rPr>
      <w:szCs w:val="24"/>
      <w:lang w:val="en-AU"/>
    </w:rPr>
  </w:style>
  <w:style w:type="character" w:customStyle="1" w:styleId="charsectno">
    <w:name w:val="charsectno"/>
    <w:basedOn w:val="DefaultParagraphFont"/>
    <w:rsid w:val="00914D5C"/>
  </w:style>
  <w:style w:type="character" w:customStyle="1" w:styleId="apple-converted-space">
    <w:name w:val="apple-converted-space"/>
    <w:basedOn w:val="DefaultParagraphFont"/>
    <w:rsid w:val="00914D5C"/>
  </w:style>
  <w:style w:type="paragraph" w:customStyle="1" w:styleId="ACMABodyText">
    <w:name w:val="ACMA Body Text"/>
    <w:link w:val="ACMABodyTextChar"/>
    <w:rsid w:val="002B5A57"/>
    <w:pPr>
      <w:suppressAutoHyphens/>
      <w:spacing w:before="80" w:after="120" w:line="280" w:lineRule="atLeast"/>
    </w:pPr>
    <w:rPr>
      <w:snapToGrid w:val="0"/>
      <w:sz w:val="24"/>
      <w:lang w:eastAsia="en-US"/>
    </w:rPr>
  </w:style>
  <w:style w:type="character" w:styleId="CommentReference">
    <w:name w:val="annotation reference"/>
    <w:semiHidden/>
    <w:unhideWhenUsed/>
    <w:rsid w:val="001418A8"/>
    <w:rPr>
      <w:sz w:val="16"/>
      <w:szCs w:val="16"/>
    </w:rPr>
  </w:style>
  <w:style w:type="paragraph" w:styleId="CommentText">
    <w:name w:val="annotation text"/>
    <w:basedOn w:val="Normal"/>
    <w:link w:val="CommentTextChar"/>
    <w:semiHidden/>
    <w:unhideWhenUsed/>
    <w:rsid w:val="001418A8"/>
    <w:rPr>
      <w:sz w:val="20"/>
    </w:rPr>
  </w:style>
  <w:style w:type="character" w:customStyle="1" w:styleId="CommentTextChar">
    <w:name w:val="Comment Text Char"/>
    <w:link w:val="CommentText"/>
    <w:semiHidden/>
    <w:rsid w:val="001418A8"/>
    <w:rPr>
      <w:lang w:val="en-GB"/>
    </w:rPr>
  </w:style>
  <w:style w:type="paragraph" w:styleId="CommentSubject">
    <w:name w:val="annotation subject"/>
    <w:basedOn w:val="CommentText"/>
    <w:next w:val="CommentText"/>
    <w:link w:val="CommentSubjectChar"/>
    <w:uiPriority w:val="99"/>
    <w:semiHidden/>
    <w:unhideWhenUsed/>
    <w:rsid w:val="001418A8"/>
    <w:rPr>
      <w:b/>
      <w:bCs/>
    </w:rPr>
  </w:style>
  <w:style w:type="character" w:customStyle="1" w:styleId="CommentSubjectChar">
    <w:name w:val="Comment Subject Char"/>
    <w:link w:val="CommentSubject"/>
    <w:uiPriority w:val="99"/>
    <w:semiHidden/>
    <w:rsid w:val="001418A8"/>
    <w:rPr>
      <w:b/>
      <w:bCs/>
      <w:lang w:val="en-GB"/>
    </w:rPr>
  </w:style>
  <w:style w:type="paragraph" w:styleId="BalloonText">
    <w:name w:val="Balloon Text"/>
    <w:basedOn w:val="Normal"/>
    <w:link w:val="BalloonTextChar"/>
    <w:uiPriority w:val="99"/>
    <w:semiHidden/>
    <w:unhideWhenUsed/>
    <w:rsid w:val="001418A8"/>
    <w:rPr>
      <w:rFonts w:ascii="Tahoma" w:hAnsi="Tahoma" w:cs="Tahoma"/>
      <w:sz w:val="16"/>
      <w:szCs w:val="16"/>
    </w:rPr>
  </w:style>
  <w:style w:type="character" w:customStyle="1" w:styleId="BalloonTextChar">
    <w:name w:val="Balloon Text Char"/>
    <w:link w:val="BalloonText"/>
    <w:uiPriority w:val="99"/>
    <w:semiHidden/>
    <w:rsid w:val="001418A8"/>
    <w:rPr>
      <w:rFonts w:ascii="Tahoma" w:hAnsi="Tahoma" w:cs="Tahoma"/>
      <w:sz w:val="16"/>
      <w:szCs w:val="16"/>
      <w:lang w:val="en-GB"/>
    </w:rPr>
  </w:style>
  <w:style w:type="paragraph" w:styleId="ListBullet">
    <w:name w:val="List Bullet"/>
    <w:basedOn w:val="Normal"/>
    <w:rsid w:val="001418A8"/>
    <w:pPr>
      <w:numPr>
        <w:numId w:val="13"/>
      </w:numPr>
      <w:spacing w:after="80" w:line="240" w:lineRule="atLeast"/>
    </w:pPr>
    <w:rPr>
      <w:rFonts w:ascii="Arial" w:hAnsi="Arial"/>
      <w:sz w:val="20"/>
      <w:szCs w:val="24"/>
      <w:lang w:val="en-AU"/>
    </w:rPr>
  </w:style>
  <w:style w:type="character" w:styleId="Hyperlink">
    <w:name w:val="Hyperlink"/>
    <w:uiPriority w:val="99"/>
    <w:unhideWhenUsed/>
    <w:rsid w:val="00AF179C"/>
    <w:rPr>
      <w:color w:val="0000FF"/>
      <w:u w:val="single"/>
    </w:rPr>
  </w:style>
  <w:style w:type="character" w:styleId="FootnoteReference">
    <w:name w:val="footnote reference"/>
    <w:aliases w:val="Appel note de bas de p,Appel note de bas de p + 11 pt,Italic,Footnote,Appel note de bas de p1,Appel note de bas de p2,Appel note de bas de p3,Footnote Reference/,Style 12,(NECG) Footnote Reference,Style 124,o,fr,Style 3"/>
    <w:rsid w:val="0088585F"/>
    <w:rPr>
      <w:rFonts w:ascii="Arial" w:hAnsi="Arial"/>
      <w:vertAlign w:val="superscript"/>
    </w:rPr>
  </w:style>
  <w:style w:type="paragraph" w:styleId="FootnoteText">
    <w:name w:val="footnote text"/>
    <w:aliases w:val="ACMA Footnote Text,footnote text,Footnote Text Char1,Footnote Text Char Char,Footnote Text Char1 Char Char,Footnote Text Char Char Char Char,Footnote Text Char1 Char Char Char Char,Footnote Text Char Char Char Char Char Char,f,fn"/>
    <w:basedOn w:val="Normal"/>
    <w:link w:val="FootnoteTextChar"/>
    <w:rsid w:val="0088585F"/>
    <w:pPr>
      <w:spacing w:line="240" w:lineRule="atLeast"/>
    </w:pPr>
    <w:rPr>
      <w:rFonts w:ascii="Arial" w:hAnsi="Arial"/>
      <w:sz w:val="16"/>
      <w:szCs w:val="16"/>
      <w:lang w:val="en-AU"/>
    </w:rPr>
  </w:style>
  <w:style w:type="character" w:customStyle="1" w:styleId="FootnoteTextChar">
    <w:name w:val="Footnote Text Char"/>
    <w:aliases w:val="ACMA Footnote Text Char,footnote text Char,Footnote Text Char1 Char,Footnote Text Char Char Char,Footnote Text Char1 Char Char Char,Footnote Text Char Char Char Char Char,Footnote Text Char1 Char Char Char Char Char,f Char,fn Char"/>
    <w:link w:val="FootnoteText"/>
    <w:rsid w:val="0088585F"/>
    <w:rPr>
      <w:rFonts w:ascii="Arial" w:hAnsi="Arial"/>
      <w:sz w:val="16"/>
      <w:szCs w:val="16"/>
    </w:rPr>
  </w:style>
  <w:style w:type="character" w:customStyle="1" w:styleId="CharSectno0">
    <w:name w:val="CharSectno"/>
    <w:basedOn w:val="DefaultParagraphFont"/>
    <w:rsid w:val="00FB4091"/>
  </w:style>
  <w:style w:type="paragraph" w:customStyle="1" w:styleId="indenta0">
    <w:name w:val="indent(a)"/>
    <w:aliases w:val="a"/>
    <w:basedOn w:val="Normal"/>
    <w:rsid w:val="0043204A"/>
    <w:pPr>
      <w:tabs>
        <w:tab w:val="right" w:pos="1531"/>
      </w:tabs>
      <w:spacing w:before="40" w:line="260" w:lineRule="atLeast"/>
      <w:ind w:left="1644" w:hanging="1644"/>
    </w:pPr>
    <w:rPr>
      <w:rFonts w:ascii="Times" w:hAnsi="Times"/>
      <w:sz w:val="22"/>
      <w:lang w:val="en-AU" w:eastAsia="en-US"/>
    </w:rPr>
  </w:style>
  <w:style w:type="character" w:customStyle="1" w:styleId="ACMABodyTextChar">
    <w:name w:val="ACMA Body Text Char"/>
    <w:link w:val="ACMABodyText"/>
    <w:rsid w:val="0043204A"/>
    <w:rPr>
      <w:snapToGrid w:val="0"/>
      <w:sz w:val="24"/>
      <w:lang w:eastAsia="en-US"/>
    </w:rPr>
  </w:style>
  <w:style w:type="paragraph" w:styleId="NoSpacing">
    <w:name w:val="No Spacing"/>
    <w:uiPriority w:val="1"/>
    <w:qFormat/>
    <w:rsid w:val="0043204A"/>
    <w:rPr>
      <w:rFonts w:ascii="Arial" w:hAnsi="Arial"/>
      <w:lang w:eastAsia="en-US" w:bidi="he-IL"/>
    </w:rPr>
  </w:style>
  <w:style w:type="character" w:customStyle="1" w:styleId="FooterChar">
    <w:name w:val="Footer Char"/>
    <w:link w:val="Footer"/>
    <w:uiPriority w:val="99"/>
    <w:rsid w:val="00D24BFB"/>
    <w:rPr>
      <w:sz w:val="24"/>
      <w:lang w:val="en-GB"/>
    </w:rPr>
  </w:style>
  <w:style w:type="paragraph" w:customStyle="1" w:styleId="acmabodytext0">
    <w:name w:val="acmabodytext"/>
    <w:basedOn w:val="Normal"/>
    <w:rsid w:val="00B22257"/>
    <w:pPr>
      <w:spacing w:before="100" w:beforeAutospacing="1" w:after="100" w:afterAutospacing="1"/>
    </w:pPr>
    <w:rPr>
      <w:szCs w:val="24"/>
      <w:lang w:val="en-AU"/>
    </w:rPr>
  </w:style>
  <w:style w:type="character" w:styleId="FollowedHyperlink">
    <w:name w:val="FollowedHyperlink"/>
    <w:basedOn w:val="DefaultParagraphFont"/>
    <w:uiPriority w:val="99"/>
    <w:semiHidden/>
    <w:unhideWhenUsed/>
    <w:rsid w:val="005076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262791">
      <w:bodyDiv w:val="1"/>
      <w:marLeft w:val="0"/>
      <w:marRight w:val="0"/>
      <w:marTop w:val="0"/>
      <w:marBottom w:val="0"/>
      <w:divBdr>
        <w:top w:val="none" w:sz="0" w:space="0" w:color="auto"/>
        <w:left w:val="none" w:sz="0" w:space="0" w:color="auto"/>
        <w:bottom w:val="none" w:sz="0" w:space="0" w:color="auto"/>
        <w:right w:val="none" w:sz="0" w:space="0" w:color="auto"/>
      </w:divBdr>
      <w:divsChild>
        <w:div w:id="743452983">
          <w:marLeft w:val="0"/>
          <w:marRight w:val="0"/>
          <w:marTop w:val="0"/>
          <w:marBottom w:val="0"/>
          <w:divBdr>
            <w:top w:val="none" w:sz="0" w:space="0" w:color="auto"/>
            <w:left w:val="none" w:sz="0" w:space="0" w:color="auto"/>
            <w:bottom w:val="none" w:sz="0" w:space="0" w:color="auto"/>
            <w:right w:val="none" w:sz="0" w:space="0" w:color="auto"/>
          </w:divBdr>
          <w:divsChild>
            <w:div w:id="1931619682">
              <w:marLeft w:val="0"/>
              <w:marRight w:val="0"/>
              <w:marTop w:val="0"/>
              <w:marBottom w:val="0"/>
              <w:divBdr>
                <w:top w:val="none" w:sz="0" w:space="0" w:color="auto"/>
                <w:left w:val="none" w:sz="0" w:space="0" w:color="auto"/>
                <w:bottom w:val="none" w:sz="0" w:space="0" w:color="auto"/>
                <w:right w:val="none" w:sz="0" w:space="0" w:color="auto"/>
              </w:divBdr>
              <w:divsChild>
                <w:div w:id="1353608132">
                  <w:marLeft w:val="0"/>
                  <w:marRight w:val="0"/>
                  <w:marTop w:val="0"/>
                  <w:marBottom w:val="0"/>
                  <w:divBdr>
                    <w:top w:val="none" w:sz="0" w:space="0" w:color="auto"/>
                    <w:left w:val="none" w:sz="0" w:space="0" w:color="auto"/>
                    <w:bottom w:val="none" w:sz="0" w:space="0" w:color="auto"/>
                    <w:right w:val="none" w:sz="0" w:space="0" w:color="auto"/>
                  </w:divBdr>
                  <w:divsChild>
                    <w:div w:id="506485275">
                      <w:marLeft w:val="0"/>
                      <w:marRight w:val="0"/>
                      <w:marTop w:val="0"/>
                      <w:marBottom w:val="0"/>
                      <w:divBdr>
                        <w:top w:val="none" w:sz="0" w:space="0" w:color="auto"/>
                        <w:left w:val="none" w:sz="0" w:space="0" w:color="auto"/>
                        <w:bottom w:val="none" w:sz="0" w:space="0" w:color="auto"/>
                        <w:right w:val="none" w:sz="0" w:space="0" w:color="auto"/>
                      </w:divBdr>
                      <w:divsChild>
                        <w:div w:id="992950917">
                          <w:marLeft w:val="0"/>
                          <w:marRight w:val="0"/>
                          <w:marTop w:val="0"/>
                          <w:marBottom w:val="0"/>
                          <w:divBdr>
                            <w:top w:val="single" w:sz="4" w:space="0" w:color="828282"/>
                            <w:left w:val="single" w:sz="4" w:space="0" w:color="828282"/>
                            <w:bottom w:val="single" w:sz="4" w:space="0" w:color="828282"/>
                            <w:right w:val="single" w:sz="4" w:space="0" w:color="828282"/>
                          </w:divBdr>
                          <w:divsChild>
                            <w:div w:id="1561750230">
                              <w:marLeft w:val="0"/>
                              <w:marRight w:val="0"/>
                              <w:marTop w:val="0"/>
                              <w:marBottom w:val="0"/>
                              <w:divBdr>
                                <w:top w:val="none" w:sz="0" w:space="0" w:color="auto"/>
                                <w:left w:val="none" w:sz="0" w:space="0" w:color="auto"/>
                                <w:bottom w:val="none" w:sz="0" w:space="0" w:color="auto"/>
                                <w:right w:val="none" w:sz="0" w:space="0" w:color="auto"/>
                              </w:divBdr>
                              <w:divsChild>
                                <w:div w:id="999233310">
                                  <w:marLeft w:val="0"/>
                                  <w:marRight w:val="0"/>
                                  <w:marTop w:val="0"/>
                                  <w:marBottom w:val="0"/>
                                  <w:divBdr>
                                    <w:top w:val="none" w:sz="0" w:space="0" w:color="auto"/>
                                    <w:left w:val="none" w:sz="0" w:space="0" w:color="auto"/>
                                    <w:bottom w:val="none" w:sz="0" w:space="0" w:color="auto"/>
                                    <w:right w:val="none" w:sz="0" w:space="0" w:color="auto"/>
                                  </w:divBdr>
                                  <w:divsChild>
                                    <w:div w:id="1024788088">
                                      <w:marLeft w:val="0"/>
                                      <w:marRight w:val="0"/>
                                      <w:marTop w:val="0"/>
                                      <w:marBottom w:val="0"/>
                                      <w:divBdr>
                                        <w:top w:val="none" w:sz="0" w:space="0" w:color="auto"/>
                                        <w:left w:val="none" w:sz="0" w:space="0" w:color="auto"/>
                                        <w:bottom w:val="none" w:sz="0" w:space="0" w:color="auto"/>
                                        <w:right w:val="none" w:sz="0" w:space="0" w:color="auto"/>
                                      </w:divBdr>
                                      <w:divsChild>
                                        <w:div w:id="1837576183">
                                          <w:marLeft w:val="0"/>
                                          <w:marRight w:val="0"/>
                                          <w:marTop w:val="0"/>
                                          <w:marBottom w:val="0"/>
                                          <w:divBdr>
                                            <w:top w:val="none" w:sz="0" w:space="0" w:color="auto"/>
                                            <w:left w:val="none" w:sz="0" w:space="0" w:color="auto"/>
                                            <w:bottom w:val="none" w:sz="0" w:space="0" w:color="auto"/>
                                            <w:right w:val="none" w:sz="0" w:space="0" w:color="auto"/>
                                          </w:divBdr>
                                          <w:divsChild>
                                            <w:div w:id="542710572">
                                              <w:marLeft w:val="0"/>
                                              <w:marRight w:val="0"/>
                                              <w:marTop w:val="0"/>
                                              <w:marBottom w:val="0"/>
                                              <w:divBdr>
                                                <w:top w:val="none" w:sz="0" w:space="0" w:color="auto"/>
                                                <w:left w:val="none" w:sz="0" w:space="0" w:color="auto"/>
                                                <w:bottom w:val="none" w:sz="0" w:space="0" w:color="auto"/>
                                                <w:right w:val="none" w:sz="0" w:space="0" w:color="auto"/>
                                              </w:divBdr>
                                              <w:divsChild>
                                                <w:div w:id="16736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155470">
      <w:bodyDiv w:val="1"/>
      <w:marLeft w:val="0"/>
      <w:marRight w:val="0"/>
      <w:marTop w:val="0"/>
      <w:marBottom w:val="0"/>
      <w:divBdr>
        <w:top w:val="none" w:sz="0" w:space="0" w:color="auto"/>
        <w:left w:val="none" w:sz="0" w:space="0" w:color="auto"/>
        <w:bottom w:val="none" w:sz="0" w:space="0" w:color="auto"/>
        <w:right w:val="none" w:sz="0" w:space="0" w:color="auto"/>
      </w:divBdr>
      <w:divsChild>
        <w:div w:id="1812206628">
          <w:marLeft w:val="0"/>
          <w:marRight w:val="0"/>
          <w:marTop w:val="0"/>
          <w:marBottom w:val="0"/>
          <w:divBdr>
            <w:top w:val="none" w:sz="0" w:space="0" w:color="auto"/>
            <w:left w:val="none" w:sz="0" w:space="0" w:color="auto"/>
            <w:bottom w:val="none" w:sz="0" w:space="0" w:color="auto"/>
            <w:right w:val="none" w:sz="0" w:space="0" w:color="auto"/>
          </w:divBdr>
          <w:divsChild>
            <w:div w:id="1810318417">
              <w:marLeft w:val="0"/>
              <w:marRight w:val="0"/>
              <w:marTop w:val="0"/>
              <w:marBottom w:val="0"/>
              <w:divBdr>
                <w:top w:val="none" w:sz="0" w:space="0" w:color="auto"/>
                <w:left w:val="none" w:sz="0" w:space="0" w:color="auto"/>
                <w:bottom w:val="none" w:sz="0" w:space="0" w:color="auto"/>
                <w:right w:val="none" w:sz="0" w:space="0" w:color="auto"/>
              </w:divBdr>
              <w:divsChild>
                <w:div w:id="991836317">
                  <w:marLeft w:val="0"/>
                  <w:marRight w:val="0"/>
                  <w:marTop w:val="0"/>
                  <w:marBottom w:val="0"/>
                  <w:divBdr>
                    <w:top w:val="none" w:sz="0" w:space="0" w:color="auto"/>
                    <w:left w:val="none" w:sz="0" w:space="0" w:color="auto"/>
                    <w:bottom w:val="none" w:sz="0" w:space="0" w:color="auto"/>
                    <w:right w:val="none" w:sz="0" w:space="0" w:color="auto"/>
                  </w:divBdr>
                  <w:divsChild>
                    <w:div w:id="848568520">
                      <w:marLeft w:val="0"/>
                      <w:marRight w:val="0"/>
                      <w:marTop w:val="0"/>
                      <w:marBottom w:val="0"/>
                      <w:divBdr>
                        <w:top w:val="none" w:sz="0" w:space="0" w:color="auto"/>
                        <w:left w:val="none" w:sz="0" w:space="0" w:color="auto"/>
                        <w:bottom w:val="none" w:sz="0" w:space="0" w:color="auto"/>
                        <w:right w:val="none" w:sz="0" w:space="0" w:color="auto"/>
                      </w:divBdr>
                      <w:divsChild>
                        <w:div w:id="1200819279">
                          <w:marLeft w:val="0"/>
                          <w:marRight w:val="0"/>
                          <w:marTop w:val="0"/>
                          <w:marBottom w:val="0"/>
                          <w:divBdr>
                            <w:top w:val="single" w:sz="6" w:space="0" w:color="828282"/>
                            <w:left w:val="single" w:sz="6" w:space="0" w:color="828282"/>
                            <w:bottom w:val="single" w:sz="6" w:space="0" w:color="828282"/>
                            <w:right w:val="single" w:sz="6" w:space="0" w:color="828282"/>
                          </w:divBdr>
                          <w:divsChild>
                            <w:div w:id="1167287735">
                              <w:marLeft w:val="0"/>
                              <w:marRight w:val="0"/>
                              <w:marTop w:val="0"/>
                              <w:marBottom w:val="0"/>
                              <w:divBdr>
                                <w:top w:val="none" w:sz="0" w:space="0" w:color="auto"/>
                                <w:left w:val="none" w:sz="0" w:space="0" w:color="auto"/>
                                <w:bottom w:val="none" w:sz="0" w:space="0" w:color="auto"/>
                                <w:right w:val="none" w:sz="0" w:space="0" w:color="auto"/>
                              </w:divBdr>
                              <w:divsChild>
                                <w:div w:id="1679387420">
                                  <w:marLeft w:val="0"/>
                                  <w:marRight w:val="0"/>
                                  <w:marTop w:val="0"/>
                                  <w:marBottom w:val="0"/>
                                  <w:divBdr>
                                    <w:top w:val="none" w:sz="0" w:space="0" w:color="auto"/>
                                    <w:left w:val="none" w:sz="0" w:space="0" w:color="auto"/>
                                    <w:bottom w:val="none" w:sz="0" w:space="0" w:color="auto"/>
                                    <w:right w:val="none" w:sz="0" w:space="0" w:color="auto"/>
                                  </w:divBdr>
                                  <w:divsChild>
                                    <w:div w:id="678195038">
                                      <w:marLeft w:val="0"/>
                                      <w:marRight w:val="0"/>
                                      <w:marTop w:val="0"/>
                                      <w:marBottom w:val="0"/>
                                      <w:divBdr>
                                        <w:top w:val="none" w:sz="0" w:space="0" w:color="auto"/>
                                        <w:left w:val="none" w:sz="0" w:space="0" w:color="auto"/>
                                        <w:bottom w:val="none" w:sz="0" w:space="0" w:color="auto"/>
                                        <w:right w:val="none" w:sz="0" w:space="0" w:color="auto"/>
                                      </w:divBdr>
                                      <w:divsChild>
                                        <w:div w:id="1536196434">
                                          <w:marLeft w:val="0"/>
                                          <w:marRight w:val="0"/>
                                          <w:marTop w:val="0"/>
                                          <w:marBottom w:val="0"/>
                                          <w:divBdr>
                                            <w:top w:val="none" w:sz="0" w:space="0" w:color="auto"/>
                                            <w:left w:val="none" w:sz="0" w:space="0" w:color="auto"/>
                                            <w:bottom w:val="none" w:sz="0" w:space="0" w:color="auto"/>
                                            <w:right w:val="none" w:sz="0" w:space="0" w:color="auto"/>
                                          </w:divBdr>
                                          <w:divsChild>
                                            <w:div w:id="699211086">
                                              <w:marLeft w:val="0"/>
                                              <w:marRight w:val="0"/>
                                              <w:marTop w:val="0"/>
                                              <w:marBottom w:val="0"/>
                                              <w:divBdr>
                                                <w:top w:val="none" w:sz="0" w:space="0" w:color="auto"/>
                                                <w:left w:val="none" w:sz="0" w:space="0" w:color="auto"/>
                                                <w:bottom w:val="none" w:sz="0" w:space="0" w:color="auto"/>
                                                <w:right w:val="none" w:sz="0" w:space="0" w:color="auto"/>
                                              </w:divBdr>
                                              <w:divsChild>
                                                <w:div w:id="2894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58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UQVA7MFFXVNW-1658559656-697</_dlc_DocId>
    <_dlc_DocIdUrl xmlns="04b8ec43-391f-4ce4-8841-d6a482add564">
      <Url>http://collaboration/organisation/auth/Chair/Auth/_layouts/15/DocIdRedir.aspx?ID=UQVA7MFFXVNW-1658559656-697</Url>
      <Description>UQVA7MFFXVNW-1658559656-697</Description>
    </_dlc_DocIdUrl>
    <Category xmlns="3f364d92-07cb-4b3e-a872-160096f8dd54">(none)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5BB1241F13DB42BBEB45D2361A6BA7" ma:contentTypeVersion="6" ma:contentTypeDescription="Create a new document." ma:contentTypeScope="" ma:versionID="af528ee356c9b0c803a18b5d00d62861">
  <xsd:schema xmlns:xsd="http://www.w3.org/2001/XMLSchema" xmlns:xs="http://www.w3.org/2001/XMLSchema" xmlns:p="http://schemas.microsoft.com/office/2006/metadata/properties" xmlns:ns2="04b8ec43-391f-4ce4-8841-d6a482add564" xmlns:ns3="3f364d92-07cb-4b3e-a872-160096f8dd54" targetNamespace="http://schemas.microsoft.com/office/2006/metadata/properties" ma:root="true" ma:fieldsID="014f185616fecdd5a119a0b760501d53" ns2:_="" ns3:_="">
    <xsd:import namespace="04b8ec43-391f-4ce4-8841-d6a482add564"/>
    <xsd:import namespace="3f364d92-07cb-4b3e-a872-160096f8dd5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364d92-07cb-4b3e-a872-160096f8dd54"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19E20-4D13-46BA-B1C0-DDA61295E4D9}">
  <ds:schemaRefs>
    <ds:schemaRef ds:uri="http://schemas.microsoft.com/office/2006/metadata/longProperties"/>
  </ds:schemaRefs>
</ds:datastoreItem>
</file>

<file path=customXml/itemProps2.xml><?xml version="1.0" encoding="utf-8"?>
<ds:datastoreItem xmlns:ds="http://schemas.openxmlformats.org/officeDocument/2006/customXml" ds:itemID="{08814C0E-F0FE-41FD-A6A2-FF45DB90FE6E}">
  <ds:schemaRefs>
    <ds:schemaRef ds:uri="http://schemas.microsoft.com/office/2006/metadata/properties"/>
    <ds:schemaRef ds:uri="http://schemas.microsoft.com/office/infopath/2007/PartnerControls"/>
    <ds:schemaRef ds:uri="04b8ec43-391f-4ce4-8841-d6a482add564"/>
    <ds:schemaRef ds:uri="3f364d92-07cb-4b3e-a872-160096f8dd54"/>
  </ds:schemaRefs>
</ds:datastoreItem>
</file>

<file path=customXml/itemProps3.xml><?xml version="1.0" encoding="utf-8"?>
<ds:datastoreItem xmlns:ds="http://schemas.openxmlformats.org/officeDocument/2006/customXml" ds:itemID="{1ED94776-DAC1-4B73-BD76-587EA78A821E}">
  <ds:schemaRefs>
    <ds:schemaRef ds:uri="http://schemas.microsoft.com/sharepoint/v3/contenttype/forms"/>
  </ds:schemaRefs>
</ds:datastoreItem>
</file>

<file path=customXml/itemProps4.xml><?xml version="1.0" encoding="utf-8"?>
<ds:datastoreItem xmlns:ds="http://schemas.openxmlformats.org/officeDocument/2006/customXml" ds:itemID="{985FAE51-4D09-4F49-A460-A54479C9C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3f364d92-07cb-4b3e-a872-160096f8d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5C958B-21D2-4ABE-93C7-BADF92634017}">
  <ds:schemaRefs>
    <ds:schemaRef ds:uri="http://schemas.microsoft.com/sharepoint/events"/>
  </ds:schemaRefs>
</ds:datastoreItem>
</file>

<file path=customXml/itemProps6.xml><?xml version="1.0" encoding="utf-8"?>
<ds:datastoreItem xmlns:ds="http://schemas.openxmlformats.org/officeDocument/2006/customXml" ds:itemID="{1CD0B5DB-7836-46F3-84A6-21F13A4EF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2017-08-14T05:44:00Z</dcterms:created>
  <dcterms:modified xsi:type="dcterms:W3CDTF">2017-08-14T05:44:00Z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62e4c005-09e8-4cf3-a7a8-5880179630c7</vt:lpwstr>
  </property>
  <property fmtid="{D5CDD505-2E9C-101B-9397-08002B2CF9AE}" pid="3" name="ContentTypeId">
    <vt:lpwstr>0x010100F55BB1241F13DB42BBEB45D2361A6BA7</vt:lpwstr>
  </property>
  <property fmtid="{D5CDD505-2E9C-101B-9397-08002B2CF9AE}" pid="4" name="Order">
    <vt:r8>27300</vt:r8>
  </property>
  <property fmtid="{D5CDD505-2E9C-101B-9397-08002B2CF9AE}" pid="5" name="xd_ProgID">
    <vt:lpwstr/>
  </property>
  <property fmtid="{D5CDD505-2E9C-101B-9397-08002B2CF9AE}" pid="6" name="TemplateUrl">
    <vt:lpwstr/>
  </property>
</Properties>
</file>