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6C" w:rsidRPr="00E318F7" w:rsidRDefault="00361E6C" w:rsidP="00361E6C">
      <w:pPr>
        <w:rPr>
          <w:rFonts w:ascii="Times New Roman" w:hAnsi="Times New Roman" w:cs="Times New Roman"/>
          <w:sz w:val="28"/>
        </w:rPr>
      </w:pPr>
      <w:r w:rsidRPr="00E318F7">
        <w:rPr>
          <w:rFonts w:ascii="Times New Roman" w:hAnsi="Times New Roman" w:cs="Times New Roman"/>
          <w:noProof/>
          <w:lang w:eastAsia="ko-KR"/>
        </w:rPr>
        <w:drawing>
          <wp:inline distT="0" distB="0" distL="0" distR="0" wp14:anchorId="09DC25D7" wp14:editId="5DA46B4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361E6C" w:rsidRPr="00E318F7" w:rsidRDefault="00361E6C" w:rsidP="00361E6C">
      <w:pPr>
        <w:rPr>
          <w:rFonts w:ascii="Times New Roman" w:hAnsi="Times New Roman" w:cs="Times New Roman"/>
          <w:sz w:val="19"/>
        </w:rPr>
      </w:pPr>
    </w:p>
    <w:p w:rsidR="00361E6C" w:rsidRPr="00E318F7" w:rsidRDefault="00D22F05" w:rsidP="00361E6C">
      <w:pPr>
        <w:pStyle w:val="ShortT"/>
      </w:pPr>
      <w:r>
        <w:t>Radiocommunications (Register of Radiocommunications Licences) Determination 2017</w:t>
      </w:r>
    </w:p>
    <w:p w:rsidR="00361E6C" w:rsidRPr="00E318F7" w:rsidRDefault="00361E6C" w:rsidP="00361E6C">
      <w:pPr>
        <w:pStyle w:val="SignCoverPageStart"/>
        <w:spacing w:before="0" w:line="240" w:lineRule="auto"/>
        <w:rPr>
          <w:szCs w:val="22"/>
        </w:rPr>
      </w:pPr>
    </w:p>
    <w:p w:rsidR="00361E6C" w:rsidRPr="001E45EA" w:rsidRDefault="00361E6C" w:rsidP="00361E6C">
      <w:pPr>
        <w:pStyle w:val="SignCoverPageStart"/>
        <w:spacing w:before="0" w:line="240" w:lineRule="auto"/>
        <w:rPr>
          <w:szCs w:val="22"/>
        </w:rPr>
      </w:pPr>
      <w:r w:rsidRPr="00E318F7">
        <w:rPr>
          <w:szCs w:val="22"/>
        </w:rPr>
        <w:t xml:space="preserve">The Australian Communications and Media Authority makes the following </w:t>
      </w:r>
      <w:r w:rsidR="00D22F05">
        <w:rPr>
          <w:szCs w:val="22"/>
        </w:rPr>
        <w:t>determination</w:t>
      </w:r>
      <w:r w:rsidRPr="001E45EA">
        <w:rPr>
          <w:szCs w:val="22"/>
        </w:rPr>
        <w:t xml:space="preserve"> </w:t>
      </w:r>
      <w:r>
        <w:rPr>
          <w:szCs w:val="22"/>
        </w:rPr>
        <w:t xml:space="preserve">under </w:t>
      </w:r>
      <w:r w:rsidR="003F2113">
        <w:rPr>
          <w:szCs w:val="22"/>
        </w:rPr>
        <w:t xml:space="preserve">sections </w:t>
      </w:r>
      <w:r w:rsidR="00C51EA5">
        <w:rPr>
          <w:szCs w:val="22"/>
        </w:rPr>
        <w:t>144</w:t>
      </w:r>
      <w:r w:rsidR="00360F54">
        <w:rPr>
          <w:szCs w:val="22"/>
        </w:rPr>
        <w:t xml:space="preserve">, 147 </w:t>
      </w:r>
      <w:r w:rsidR="004A2CA8">
        <w:rPr>
          <w:szCs w:val="22"/>
        </w:rPr>
        <w:t>and</w:t>
      </w:r>
      <w:r w:rsidR="00C51EA5">
        <w:rPr>
          <w:szCs w:val="22"/>
        </w:rPr>
        <w:t xml:space="preserve"> 14</w:t>
      </w:r>
      <w:r w:rsidR="00360F54">
        <w:rPr>
          <w:szCs w:val="22"/>
        </w:rPr>
        <w:t>9</w:t>
      </w:r>
      <w:r w:rsidR="00C51EA5">
        <w:rPr>
          <w:szCs w:val="22"/>
        </w:rPr>
        <w:t xml:space="preserve"> </w:t>
      </w:r>
      <w:r>
        <w:t>of the</w:t>
      </w:r>
      <w:r w:rsidR="004A7265">
        <w:t xml:space="preserve"> </w:t>
      </w:r>
      <w:r w:rsidR="004A7265" w:rsidRPr="004A7265">
        <w:rPr>
          <w:i/>
        </w:rPr>
        <w:t>Radiocommunications Act 1992</w:t>
      </w:r>
      <w:r w:rsidR="004A7265">
        <w:t>.</w:t>
      </w:r>
    </w:p>
    <w:p w:rsidR="00EF21DE" w:rsidRPr="00EF21DE" w:rsidRDefault="00361E6C" w:rsidP="00EF21DE">
      <w:pPr>
        <w:keepNext/>
        <w:tabs>
          <w:tab w:val="left" w:pos="2910"/>
        </w:tabs>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EF21DE">
        <w:rPr>
          <w:rFonts w:ascii="Times New Roman" w:hAnsi="Times New Roman" w:cs="Times New Roman"/>
        </w:rPr>
        <w:t xml:space="preserve"> 18 August 2017</w:t>
      </w:r>
      <w:bookmarkStart w:id="1" w:name="_GoBack"/>
      <w:bookmarkEnd w:id="1"/>
    </w:p>
    <w:p w:rsidR="00EF21DE" w:rsidRDefault="00EF21DE" w:rsidP="00EF21DE">
      <w:pPr>
        <w:tabs>
          <w:tab w:val="left" w:pos="3119"/>
        </w:tabs>
        <w:spacing w:after="0" w:line="300" w:lineRule="atLeast"/>
        <w:ind w:right="374"/>
        <w:jc w:val="right"/>
        <w:rPr>
          <w:rFonts w:ascii="Times New Roman" w:hAnsi="Times New Roman" w:cs="Times New Roman"/>
        </w:rPr>
      </w:pPr>
      <w:bookmarkStart w:id="2" w:name="Minister"/>
    </w:p>
    <w:p w:rsidR="00EF21DE" w:rsidRDefault="00EF21DE" w:rsidP="00EF21D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Richard Bean</w:t>
      </w:r>
    </w:p>
    <w:p w:rsidR="00EF21DE" w:rsidRDefault="00EF21DE" w:rsidP="00EF21D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rsidR="00EF21DE" w:rsidRDefault="00EF21DE" w:rsidP="00EF21DE">
      <w:pPr>
        <w:tabs>
          <w:tab w:val="left" w:pos="3119"/>
        </w:tabs>
        <w:spacing w:after="0" w:line="300" w:lineRule="atLeast"/>
        <w:ind w:right="374"/>
        <w:jc w:val="right"/>
        <w:rPr>
          <w:rFonts w:ascii="Times New Roman" w:hAnsi="Times New Roman" w:cs="Times New Roman"/>
        </w:rPr>
      </w:pPr>
      <w:r w:rsidRPr="00E318F7">
        <w:rPr>
          <w:rFonts w:ascii="Times New Roman" w:hAnsi="Times New Roman" w:cs="Times New Roman"/>
        </w:rPr>
        <w:t>Member</w:t>
      </w:r>
    </w:p>
    <w:p w:rsidR="00EF21DE" w:rsidRDefault="00EF21DE" w:rsidP="00EF21DE">
      <w:pPr>
        <w:tabs>
          <w:tab w:val="left" w:pos="3119"/>
        </w:tabs>
        <w:spacing w:after="0" w:line="300" w:lineRule="atLeast"/>
        <w:ind w:right="374"/>
        <w:jc w:val="right"/>
        <w:rPr>
          <w:rFonts w:ascii="Times New Roman" w:hAnsi="Times New Roman" w:cs="Times New Roman"/>
        </w:rPr>
      </w:pPr>
    </w:p>
    <w:p w:rsidR="00EF21DE" w:rsidRDefault="00EF21DE" w:rsidP="00EF21D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James Cameron</w:t>
      </w:r>
    </w:p>
    <w:p w:rsidR="00EF21DE" w:rsidRPr="00E318F7" w:rsidRDefault="00EF21DE" w:rsidP="00EF21D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rsidR="00361E6C" w:rsidRPr="00E318F7" w:rsidRDefault="00361E6C" w:rsidP="00EF21DE">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Member</w:t>
      </w:r>
      <w:r w:rsidRPr="00E318F7">
        <w:rPr>
          <w:rFonts w:ascii="Times New Roman" w:hAnsi="Times New Roman" w:cs="Times New Roman"/>
        </w:rPr>
        <w:t>/</w:t>
      </w:r>
      <w:r w:rsidRPr="00EF21DE">
        <w:rPr>
          <w:rFonts w:ascii="Times New Roman" w:hAnsi="Times New Roman" w:cs="Times New Roman"/>
          <w:strike/>
        </w:rPr>
        <w:t>General Manager</w:t>
      </w:r>
      <w:bookmarkEnd w:id="2"/>
    </w:p>
    <w:p w:rsidR="00361E6C" w:rsidRPr="00E318F7" w:rsidRDefault="00361E6C" w:rsidP="00361E6C">
      <w:pPr>
        <w:pStyle w:val="SignCoverPageEnd"/>
        <w:rPr>
          <w:szCs w:val="22"/>
        </w:rPr>
      </w:pPr>
    </w:p>
    <w:p w:rsidR="00361E6C" w:rsidRPr="00E318F7" w:rsidRDefault="00361E6C" w:rsidP="00361E6C">
      <w:pPr>
        <w:pStyle w:val="SignCoverPageEnd"/>
        <w:rPr>
          <w:szCs w:val="22"/>
        </w:rPr>
      </w:pPr>
      <w:r w:rsidRPr="00E318F7">
        <w:rPr>
          <w:szCs w:val="22"/>
        </w:rPr>
        <w:t>Australian Communications and Media Authority</w:t>
      </w:r>
    </w:p>
    <w:p w:rsidR="00361E6C" w:rsidRPr="00E318F7" w:rsidRDefault="00361E6C" w:rsidP="00361E6C">
      <w:pPr>
        <w:rPr>
          <w:rFonts w:ascii="Times New Roman" w:hAnsi="Times New Roman" w:cs="Times New Roman"/>
        </w:rPr>
      </w:pPr>
    </w:p>
    <w:p w:rsidR="00361E6C" w:rsidRPr="00E318F7" w:rsidRDefault="00361E6C" w:rsidP="00361E6C">
      <w:pPr>
        <w:rPr>
          <w:rFonts w:ascii="Times New Roman" w:hAnsi="Times New Roman" w:cs="Times New Roman"/>
        </w:rPr>
      </w:pPr>
    </w:p>
    <w:p w:rsidR="00361E6C" w:rsidRPr="00E318F7" w:rsidRDefault="00361E6C" w:rsidP="00361E6C">
      <w:pPr>
        <w:rPr>
          <w:rFonts w:ascii="Times New Roman" w:hAnsi="Times New Roman" w:cs="Times New Roman"/>
        </w:rPr>
      </w:pPr>
    </w:p>
    <w:p w:rsidR="00361E6C" w:rsidRPr="00E318F7" w:rsidRDefault="00361E6C" w:rsidP="00361E6C">
      <w:pPr>
        <w:rPr>
          <w:rFonts w:ascii="Times New Roman" w:hAnsi="Times New Roman" w:cs="Times New Roman"/>
        </w:rPr>
        <w:sectPr w:rsidR="00361E6C" w:rsidRPr="00E318F7" w:rsidSect="008A42C6">
          <w:headerReference w:type="default" r:id="rId13"/>
          <w:footerReference w:type="default" r:id="rId14"/>
          <w:headerReference w:type="first" r:id="rId15"/>
          <w:pgSz w:w="11906" w:h="16838"/>
          <w:pgMar w:top="1440" w:right="1440" w:bottom="1440" w:left="1440" w:header="708" w:footer="708" w:gutter="0"/>
          <w:pgNumType w:start="1"/>
          <w:cols w:space="708"/>
          <w:titlePg/>
          <w:docGrid w:linePitch="360"/>
        </w:sectPr>
      </w:pPr>
    </w:p>
    <w:p w:rsidR="00361E6C" w:rsidRPr="008E3E51" w:rsidRDefault="00361E6C" w:rsidP="00361E6C">
      <w:pPr>
        <w:pStyle w:val="ActHead5"/>
      </w:pPr>
      <w:bookmarkStart w:id="3" w:name="_Toc444596031"/>
      <w:proofErr w:type="gramStart"/>
      <w:r w:rsidRPr="008E3E51">
        <w:rPr>
          <w:rStyle w:val="CharSectno"/>
        </w:rPr>
        <w:lastRenderedPageBreak/>
        <w:t>1</w:t>
      </w:r>
      <w:r w:rsidRPr="008E3E51">
        <w:t xml:space="preserve">  Name</w:t>
      </w:r>
      <w:proofErr w:type="gramEnd"/>
    </w:p>
    <w:p w:rsidR="00361E6C" w:rsidRPr="004A7265" w:rsidRDefault="00361E6C" w:rsidP="00361E6C">
      <w:pPr>
        <w:pStyle w:val="subsection"/>
      </w:pPr>
      <w:r w:rsidRPr="008E3E51">
        <w:tab/>
      </w:r>
      <w:r w:rsidRPr="008E3E51">
        <w:tab/>
        <w:t xml:space="preserve">This is the </w:t>
      </w:r>
      <w:bookmarkStart w:id="4" w:name="BKCheck15B_3"/>
      <w:bookmarkEnd w:id="4"/>
      <w:r w:rsidR="004A7265">
        <w:rPr>
          <w:i/>
        </w:rPr>
        <w:t>Radiocommunications (Register of Radiocommunications Licences) Determination 2017</w:t>
      </w:r>
      <w:r w:rsidR="004A7265">
        <w:t>.</w:t>
      </w:r>
    </w:p>
    <w:p w:rsidR="00361E6C" w:rsidRPr="008E3E51" w:rsidRDefault="00361E6C" w:rsidP="00361E6C">
      <w:pPr>
        <w:pStyle w:val="ActHead5"/>
      </w:pPr>
      <w:bookmarkStart w:id="5" w:name="_Toc444596032"/>
      <w:proofErr w:type="gramStart"/>
      <w:r w:rsidRPr="008E3E51">
        <w:rPr>
          <w:rStyle w:val="CharSectno"/>
        </w:rPr>
        <w:t>2</w:t>
      </w:r>
      <w:r w:rsidRPr="008E3E51">
        <w:t xml:space="preserve">  Commencement</w:t>
      </w:r>
      <w:bookmarkEnd w:id="5"/>
      <w:proofErr w:type="gramEnd"/>
    </w:p>
    <w:p w:rsidR="00361E6C" w:rsidRDefault="00361E6C" w:rsidP="004D22A2">
      <w:pPr>
        <w:pStyle w:val="subsection"/>
      </w:pPr>
      <w:r>
        <w:tab/>
      </w:r>
      <w:r w:rsidRPr="008E3E51">
        <w:tab/>
        <w:t xml:space="preserve">This </w:t>
      </w:r>
      <w:r w:rsidR="00FF3F8D">
        <w:t xml:space="preserve">Determination </w:t>
      </w:r>
      <w:r>
        <w:t xml:space="preserve">commences at the start of the day after it is registered on the Federal Register of Legislation. </w:t>
      </w:r>
    </w:p>
    <w:p w:rsidR="00361E6C" w:rsidRDefault="00361E6C" w:rsidP="00361E6C">
      <w:pPr>
        <w:pStyle w:val="LI-BodyTextNote"/>
        <w:spacing w:before="122"/>
      </w:pPr>
      <w:r w:rsidRPr="00F61B09">
        <w:t>Note:</w:t>
      </w:r>
      <w:r w:rsidRPr="00F61B09">
        <w:tab/>
      </w:r>
      <w:r>
        <w:t xml:space="preserve">The Federal Register of Legislation </w:t>
      </w:r>
      <w:r w:rsidRPr="00572BB1">
        <w:t xml:space="preserve">may </w:t>
      </w:r>
      <w:r>
        <w:t xml:space="preserve">be accessed at </w:t>
      </w:r>
      <w:hyperlink r:id="rId16" w:history="1">
        <w:r w:rsidRPr="00B03694">
          <w:rPr>
            <w:rStyle w:val="Hyperlink"/>
            <w:rFonts w:eastAsiaTheme="majorEastAsia"/>
          </w:rPr>
          <w:t>www.legislation.gov.au</w:t>
        </w:r>
      </w:hyperlink>
      <w:r>
        <w:t>.</w:t>
      </w:r>
    </w:p>
    <w:p w:rsidR="00361E6C" w:rsidRPr="008E3E51" w:rsidRDefault="00361E6C" w:rsidP="00361E6C">
      <w:pPr>
        <w:pStyle w:val="ActHead5"/>
      </w:pPr>
      <w:bookmarkStart w:id="6" w:name="_Toc444596033"/>
      <w:proofErr w:type="gramStart"/>
      <w:r w:rsidRPr="008E3E51">
        <w:rPr>
          <w:rStyle w:val="CharSectno"/>
        </w:rPr>
        <w:t>3</w:t>
      </w:r>
      <w:r w:rsidRPr="008E3E51">
        <w:t xml:space="preserve">  Authority</w:t>
      </w:r>
      <w:bookmarkEnd w:id="6"/>
      <w:proofErr w:type="gramEnd"/>
    </w:p>
    <w:p w:rsidR="00361E6C" w:rsidRPr="008E3E51" w:rsidRDefault="00361E6C" w:rsidP="00361E6C">
      <w:pPr>
        <w:pStyle w:val="subsection"/>
      </w:pPr>
      <w:r w:rsidRPr="008E3E51">
        <w:tab/>
      </w:r>
      <w:r w:rsidRPr="008E3E51">
        <w:tab/>
        <w:t>This instrument</w:t>
      </w:r>
      <w:r>
        <w:t xml:space="preserve"> is made under </w:t>
      </w:r>
      <w:r w:rsidR="00545B7C">
        <w:rPr>
          <w:szCs w:val="22"/>
        </w:rPr>
        <w:t>sections 144</w:t>
      </w:r>
      <w:r w:rsidR="00B12A7E">
        <w:rPr>
          <w:szCs w:val="22"/>
        </w:rPr>
        <w:t>,</w:t>
      </w:r>
      <w:r w:rsidR="00545B7C">
        <w:rPr>
          <w:szCs w:val="22"/>
        </w:rPr>
        <w:t xml:space="preserve"> 147</w:t>
      </w:r>
      <w:r w:rsidR="00B12A7E">
        <w:rPr>
          <w:szCs w:val="22"/>
        </w:rPr>
        <w:t xml:space="preserve"> and 149</w:t>
      </w:r>
      <w:r w:rsidR="00545B7C">
        <w:rPr>
          <w:szCs w:val="22"/>
        </w:rPr>
        <w:t xml:space="preserve"> </w:t>
      </w:r>
      <w:r>
        <w:t xml:space="preserve">of the </w:t>
      </w:r>
      <w:r w:rsidR="00035A4A">
        <w:rPr>
          <w:i/>
        </w:rPr>
        <w:t>Radiocommunications Act 1992</w:t>
      </w:r>
      <w:r>
        <w:t>.</w:t>
      </w:r>
    </w:p>
    <w:p w:rsidR="00361E6C" w:rsidRPr="000D6066" w:rsidRDefault="00CE5F18" w:rsidP="00361E6C">
      <w:pPr>
        <w:pStyle w:val="ActHead5"/>
        <w:rPr>
          <w:i/>
        </w:rPr>
      </w:pPr>
      <w:bookmarkStart w:id="7" w:name="_Toc444596034"/>
      <w:r w:rsidRPr="002274BA">
        <w:rPr>
          <w:rStyle w:val="CharSectno"/>
        </w:rPr>
        <w:t>4</w:t>
      </w:r>
      <w:r w:rsidRPr="008E3E51">
        <w:t xml:space="preserve"> </w:t>
      </w:r>
      <w:r w:rsidR="00361E6C">
        <w:t xml:space="preserve">Repeal of the </w:t>
      </w:r>
      <w:r w:rsidR="00035A4A">
        <w:rPr>
          <w:i/>
        </w:rPr>
        <w:t xml:space="preserve">Radiocommunications (Register of Radiocommunications Licences) Determination </w:t>
      </w:r>
      <w:r w:rsidR="00646B33">
        <w:rPr>
          <w:i/>
        </w:rPr>
        <w:t>1997</w:t>
      </w:r>
    </w:p>
    <w:p w:rsidR="00361E6C" w:rsidRDefault="00361E6C" w:rsidP="00361E6C">
      <w:pPr>
        <w:pStyle w:val="subsection"/>
        <w:rPr>
          <w:rStyle w:val="CharSectno"/>
        </w:rPr>
      </w:pPr>
      <w:r>
        <w:tab/>
      </w:r>
      <w:r w:rsidRPr="008E3E51">
        <w:tab/>
      </w:r>
      <w:r>
        <w:t xml:space="preserve">The </w:t>
      </w:r>
      <w:r w:rsidR="00C404DB">
        <w:rPr>
          <w:i/>
        </w:rPr>
        <w:t>Radiocommunications (Register of Radiocommunications Licences) Determination 1997</w:t>
      </w:r>
      <w:r>
        <w:rPr>
          <w:i/>
        </w:rPr>
        <w:t xml:space="preserve"> </w:t>
      </w:r>
      <w:r>
        <w:t>(</w:t>
      </w:r>
      <w:r w:rsidR="009651A3" w:rsidRPr="009651A3">
        <w:t>F2007B00310</w:t>
      </w:r>
      <w:r>
        <w:t xml:space="preserve">) is repealed. </w:t>
      </w:r>
    </w:p>
    <w:p w:rsidR="00361E6C" w:rsidRPr="008E3E51" w:rsidRDefault="00CE5F18" w:rsidP="00361E6C">
      <w:pPr>
        <w:pStyle w:val="ActHead5"/>
      </w:pPr>
      <w:proofErr w:type="gramStart"/>
      <w:r w:rsidRPr="002274BA">
        <w:rPr>
          <w:rStyle w:val="CharSectno"/>
        </w:rPr>
        <w:t>5</w:t>
      </w:r>
      <w:r w:rsidRPr="008E3E51">
        <w:t xml:space="preserve">  </w:t>
      </w:r>
      <w:r w:rsidR="00361E6C" w:rsidRPr="008E3E51">
        <w:t>Definitions</w:t>
      </w:r>
      <w:bookmarkEnd w:id="7"/>
      <w:proofErr w:type="gramEnd"/>
    </w:p>
    <w:p w:rsidR="00361E6C" w:rsidRPr="008E3E51" w:rsidRDefault="00361E6C" w:rsidP="00361E6C">
      <w:pPr>
        <w:pStyle w:val="subsection"/>
      </w:pPr>
      <w:r w:rsidRPr="008E3E51">
        <w:tab/>
      </w:r>
      <w:r w:rsidRPr="008E3E51">
        <w:tab/>
        <w:t xml:space="preserve">In this </w:t>
      </w:r>
      <w:r w:rsidR="00FF3F8D">
        <w:t>Determination</w:t>
      </w:r>
      <w:r w:rsidRPr="008E3E51">
        <w:t>:</w:t>
      </w:r>
    </w:p>
    <w:p w:rsidR="007E3DDD" w:rsidRPr="00541970" w:rsidRDefault="007E3DDD" w:rsidP="00361E6C">
      <w:pPr>
        <w:pStyle w:val="Definition"/>
        <w:rPr>
          <w:b/>
        </w:rPr>
      </w:pPr>
      <w:r>
        <w:rPr>
          <w:b/>
          <w:i/>
        </w:rPr>
        <w:t>ACN</w:t>
      </w:r>
      <w:r>
        <w:rPr>
          <w:b/>
        </w:rPr>
        <w:t xml:space="preserve"> </w:t>
      </w:r>
      <w:r w:rsidRPr="00541970">
        <w:t xml:space="preserve">has the same meaning as it has in section </w:t>
      </w:r>
      <w:r w:rsidR="00FF3022" w:rsidRPr="00541970">
        <w:t xml:space="preserve">9 of the </w:t>
      </w:r>
      <w:r w:rsidR="00FF3022" w:rsidRPr="00541970">
        <w:rPr>
          <w:i/>
        </w:rPr>
        <w:t>Corporations Act 2001</w:t>
      </w:r>
      <w:r w:rsidR="00FF3022" w:rsidRPr="00541970">
        <w:t>.</w:t>
      </w:r>
    </w:p>
    <w:p w:rsidR="00361E6C" w:rsidRDefault="00361E6C" w:rsidP="00361E6C">
      <w:pPr>
        <w:pStyle w:val="Definition"/>
      </w:pPr>
      <w:r w:rsidRPr="008E3E51">
        <w:rPr>
          <w:b/>
          <w:i/>
        </w:rPr>
        <w:t>Act</w:t>
      </w:r>
      <w:r>
        <w:t xml:space="preserve"> </w:t>
      </w:r>
      <w:r w:rsidR="0018494C">
        <w:t xml:space="preserve">means the </w:t>
      </w:r>
      <w:r w:rsidR="0018494C">
        <w:rPr>
          <w:i/>
        </w:rPr>
        <w:t>Radiocommunications Act 1992.</w:t>
      </w:r>
    </w:p>
    <w:p w:rsidR="0018494C" w:rsidRPr="0018494C" w:rsidRDefault="0018494C" w:rsidP="0018494C">
      <w:pPr>
        <w:pStyle w:val="Definition"/>
        <w:rPr>
          <w:i/>
          <w:lang w:val="en-GB"/>
        </w:rPr>
      </w:pPr>
      <w:proofErr w:type="gramStart"/>
      <w:r w:rsidRPr="0018494C">
        <w:rPr>
          <w:b/>
          <w:i/>
          <w:lang w:val="en-GB"/>
        </w:rPr>
        <w:t>effective</w:t>
      </w:r>
      <w:proofErr w:type="gramEnd"/>
      <w:r w:rsidRPr="0018494C">
        <w:rPr>
          <w:b/>
          <w:i/>
          <w:lang w:val="en-GB"/>
        </w:rPr>
        <w:t xml:space="preserve"> occupied bandwidth</w:t>
      </w:r>
      <w:r w:rsidRPr="0018494C">
        <w:rPr>
          <w:i/>
          <w:lang w:val="en-GB"/>
        </w:rPr>
        <w:t xml:space="preserve">, </w:t>
      </w:r>
      <w:r w:rsidRPr="0018494C">
        <w:rPr>
          <w:lang w:val="en-GB"/>
        </w:rPr>
        <w:t>in relation to a transmitter, means the minimum width of a frequency band having fixed upper and lower limits that is necessary to contain 99% of the true mean power of the transmitter’s emission at any time.</w:t>
      </w:r>
    </w:p>
    <w:p w:rsidR="0018494C" w:rsidRDefault="0018494C" w:rsidP="0018494C">
      <w:pPr>
        <w:pStyle w:val="Definition"/>
        <w:rPr>
          <w:lang w:val="en-GB"/>
        </w:rPr>
      </w:pPr>
      <w:proofErr w:type="gramStart"/>
      <w:r w:rsidRPr="0018494C">
        <w:rPr>
          <w:b/>
          <w:i/>
          <w:lang w:val="en-GB"/>
        </w:rPr>
        <w:t>emission</w:t>
      </w:r>
      <w:proofErr w:type="gramEnd"/>
      <w:r w:rsidRPr="0018494C">
        <w:rPr>
          <w:b/>
          <w:i/>
          <w:lang w:val="en-GB"/>
        </w:rPr>
        <w:t xml:space="preserve"> centre frequency</w:t>
      </w:r>
      <w:r w:rsidRPr="0018494C">
        <w:rPr>
          <w:i/>
          <w:lang w:val="en-GB"/>
        </w:rPr>
        <w:t xml:space="preserve">, </w:t>
      </w:r>
      <w:r w:rsidRPr="004D79AC">
        <w:rPr>
          <w:lang w:val="en-GB"/>
        </w:rPr>
        <w:t>in relation to a transmitter,</w:t>
      </w:r>
      <w:r w:rsidRPr="004D79AC">
        <w:rPr>
          <w:b/>
          <w:lang w:val="en-GB"/>
        </w:rPr>
        <w:t xml:space="preserve"> </w:t>
      </w:r>
      <w:r w:rsidRPr="004D79AC">
        <w:rPr>
          <w:lang w:val="en-GB"/>
        </w:rPr>
        <w:t>means the frequency midway between the lower and upper frequency limits of the transmitter’s effective occupied bandwidth.</w:t>
      </w:r>
    </w:p>
    <w:p w:rsidR="004D79AC" w:rsidRDefault="004D79AC" w:rsidP="004D79AC">
      <w:pPr>
        <w:pStyle w:val="Definition"/>
        <w:rPr>
          <w:lang w:val="en-GB"/>
        </w:rPr>
      </w:pPr>
      <w:proofErr w:type="gramStart"/>
      <w:r w:rsidRPr="004D79AC">
        <w:rPr>
          <w:b/>
          <w:i/>
          <w:lang w:val="en-GB"/>
        </w:rPr>
        <w:t>emission</w:t>
      </w:r>
      <w:proofErr w:type="gramEnd"/>
      <w:r w:rsidRPr="004D79AC">
        <w:rPr>
          <w:b/>
          <w:i/>
          <w:lang w:val="en-GB"/>
        </w:rPr>
        <w:t xml:space="preserve"> designator </w:t>
      </w:r>
      <w:r w:rsidRPr="004D79AC">
        <w:rPr>
          <w:lang w:val="en-GB"/>
        </w:rPr>
        <w:t xml:space="preserve">has the meaning given by </w:t>
      </w:r>
      <w:r w:rsidR="001C6D13">
        <w:rPr>
          <w:lang w:val="en-GB"/>
        </w:rPr>
        <w:t>section</w:t>
      </w:r>
      <w:r w:rsidRPr="004D79AC">
        <w:rPr>
          <w:lang w:val="en-GB"/>
        </w:rPr>
        <w:t xml:space="preserve"> </w:t>
      </w:r>
      <w:r w:rsidR="00AA3D0A">
        <w:rPr>
          <w:lang w:val="en-GB"/>
        </w:rPr>
        <w:t>7</w:t>
      </w:r>
      <w:r w:rsidRPr="004D79AC">
        <w:rPr>
          <w:lang w:val="en-GB"/>
        </w:rPr>
        <w:t>.</w:t>
      </w:r>
    </w:p>
    <w:p w:rsidR="00374726" w:rsidRDefault="00922D81" w:rsidP="004D79AC">
      <w:pPr>
        <w:pStyle w:val="Definition"/>
        <w:rPr>
          <w:b/>
          <w:i/>
        </w:rPr>
      </w:pPr>
      <w:proofErr w:type="gramStart"/>
      <w:r>
        <w:rPr>
          <w:b/>
          <w:i/>
        </w:rPr>
        <w:t>fixed</w:t>
      </w:r>
      <w:proofErr w:type="gramEnd"/>
      <w:r>
        <w:rPr>
          <w:b/>
          <w:i/>
        </w:rPr>
        <w:t xml:space="preserve"> receiver </w:t>
      </w:r>
      <w:r w:rsidRPr="00CA6263">
        <w:t>means a receiver that is principally located at a fixed point.</w:t>
      </w:r>
      <w:r>
        <w:rPr>
          <w:b/>
          <w:i/>
        </w:rPr>
        <w:t xml:space="preserve">  </w:t>
      </w:r>
    </w:p>
    <w:p w:rsidR="00467736" w:rsidRDefault="00467736" w:rsidP="004D79AC">
      <w:pPr>
        <w:pStyle w:val="Definition"/>
      </w:pPr>
      <w:proofErr w:type="gramStart"/>
      <w:r w:rsidRPr="00923BA1">
        <w:rPr>
          <w:b/>
          <w:i/>
        </w:rPr>
        <w:t>fixed</w:t>
      </w:r>
      <w:proofErr w:type="gramEnd"/>
      <w:r w:rsidRPr="00923BA1">
        <w:rPr>
          <w:b/>
          <w:i/>
        </w:rPr>
        <w:t xml:space="preserve"> transmitter</w:t>
      </w:r>
      <w:r>
        <w:t xml:space="preserve"> means a transmitter that is principally located at a fixed point.</w:t>
      </w:r>
    </w:p>
    <w:p w:rsidR="00EE5879" w:rsidRDefault="00EE5879" w:rsidP="004D79AC">
      <w:pPr>
        <w:pStyle w:val="Definition"/>
        <w:rPr>
          <w:lang w:val="en-GB"/>
        </w:rPr>
      </w:pPr>
      <w:proofErr w:type="gramStart"/>
      <w:r>
        <w:rPr>
          <w:b/>
          <w:i/>
          <w:lang w:val="en-GB"/>
        </w:rPr>
        <w:t>group</w:t>
      </w:r>
      <w:proofErr w:type="gramEnd"/>
      <w:r>
        <w:rPr>
          <w:b/>
          <w:i/>
          <w:lang w:val="en-GB"/>
        </w:rPr>
        <w:t xml:space="preserve"> of receivers</w:t>
      </w:r>
      <w:r w:rsidR="007D08CC">
        <w:rPr>
          <w:b/>
          <w:lang w:val="en-GB"/>
        </w:rPr>
        <w:t xml:space="preserve"> </w:t>
      </w:r>
      <w:r w:rsidR="007D08CC" w:rsidRPr="007D08CC">
        <w:rPr>
          <w:lang w:val="en-GB"/>
        </w:rPr>
        <w:t>has the meaning</w:t>
      </w:r>
      <w:r w:rsidR="007D08CC">
        <w:rPr>
          <w:lang w:val="en-GB"/>
        </w:rPr>
        <w:t xml:space="preserve"> given by section </w:t>
      </w:r>
      <w:r w:rsidR="00AA3D0A">
        <w:rPr>
          <w:lang w:val="en-GB"/>
        </w:rPr>
        <w:t>9</w:t>
      </w:r>
      <w:r w:rsidR="007D08CC">
        <w:rPr>
          <w:lang w:val="en-GB"/>
        </w:rPr>
        <w:t>.</w:t>
      </w:r>
    </w:p>
    <w:p w:rsidR="00D06297" w:rsidRDefault="00072439" w:rsidP="004D79AC">
      <w:pPr>
        <w:pStyle w:val="Definition"/>
        <w:rPr>
          <w:lang w:val="en-GB"/>
        </w:rPr>
      </w:pPr>
      <w:proofErr w:type="gramStart"/>
      <w:r>
        <w:rPr>
          <w:b/>
          <w:i/>
          <w:lang w:val="en-GB"/>
        </w:rPr>
        <w:t>group</w:t>
      </w:r>
      <w:proofErr w:type="gramEnd"/>
      <w:r>
        <w:rPr>
          <w:b/>
          <w:i/>
          <w:lang w:val="en-GB"/>
        </w:rPr>
        <w:t xml:space="preserve"> of transmitters</w:t>
      </w:r>
      <w:r>
        <w:rPr>
          <w:b/>
          <w:lang w:val="en-GB"/>
        </w:rPr>
        <w:t xml:space="preserve"> </w:t>
      </w:r>
      <w:r w:rsidRPr="007D08CC">
        <w:rPr>
          <w:lang w:val="en-GB"/>
        </w:rPr>
        <w:t>has the meaning given by</w:t>
      </w:r>
      <w:r>
        <w:rPr>
          <w:lang w:val="en-GB"/>
        </w:rPr>
        <w:t xml:space="preserve"> section </w:t>
      </w:r>
      <w:r w:rsidR="00AA3D0A">
        <w:rPr>
          <w:lang w:val="en-GB"/>
        </w:rPr>
        <w:t>8</w:t>
      </w:r>
      <w:r>
        <w:rPr>
          <w:lang w:val="en-GB"/>
        </w:rPr>
        <w:t>.</w:t>
      </w:r>
    </w:p>
    <w:p w:rsidR="004D79AC" w:rsidRPr="004D79AC" w:rsidRDefault="004D79AC" w:rsidP="004D79AC">
      <w:pPr>
        <w:pStyle w:val="Definition"/>
        <w:rPr>
          <w:i/>
          <w:lang w:val="en-GB"/>
        </w:rPr>
      </w:pPr>
      <w:proofErr w:type="gramStart"/>
      <w:r w:rsidRPr="004D79AC">
        <w:rPr>
          <w:b/>
          <w:i/>
          <w:lang w:val="en-GB"/>
        </w:rPr>
        <w:t>interference</w:t>
      </w:r>
      <w:proofErr w:type="gramEnd"/>
      <w:r w:rsidRPr="004D79AC">
        <w:rPr>
          <w:b/>
          <w:i/>
          <w:lang w:val="en-GB"/>
        </w:rPr>
        <w:t xml:space="preserve"> impact certificate </w:t>
      </w:r>
      <w:r w:rsidRPr="00344B3B">
        <w:rPr>
          <w:lang w:val="en-GB"/>
        </w:rPr>
        <w:t>means a certificate issued by an accredited person under subsection 145(3) of the Act.</w:t>
      </w:r>
    </w:p>
    <w:p w:rsidR="00344B3B" w:rsidRPr="00344B3B" w:rsidRDefault="00344B3B" w:rsidP="00344B3B">
      <w:pPr>
        <w:pStyle w:val="Definition"/>
        <w:rPr>
          <w:i/>
          <w:lang w:val="en-GB"/>
        </w:rPr>
      </w:pPr>
      <w:r w:rsidRPr="00344B3B">
        <w:rPr>
          <w:b/>
          <w:i/>
          <w:lang w:val="en-GB"/>
        </w:rPr>
        <w:t>Register</w:t>
      </w:r>
      <w:r w:rsidRPr="00344B3B">
        <w:rPr>
          <w:i/>
          <w:lang w:val="en-GB"/>
        </w:rPr>
        <w:t xml:space="preserve"> </w:t>
      </w:r>
      <w:r w:rsidRPr="00344B3B">
        <w:rPr>
          <w:lang w:val="en-GB"/>
        </w:rPr>
        <w:t>means the Register of Radiocommunications Licences established under section 143 of the Act.</w:t>
      </w:r>
    </w:p>
    <w:p w:rsidR="00344B3B" w:rsidRDefault="00344B3B" w:rsidP="00344B3B">
      <w:pPr>
        <w:pStyle w:val="Definition"/>
        <w:rPr>
          <w:lang w:val="en-GB"/>
        </w:rPr>
      </w:pPr>
      <w:r w:rsidRPr="00344B3B">
        <w:rPr>
          <w:b/>
          <w:i/>
          <w:lang w:val="en-GB"/>
        </w:rPr>
        <w:t>s.145 determination</w:t>
      </w:r>
      <w:r w:rsidRPr="00344B3B">
        <w:rPr>
          <w:i/>
          <w:lang w:val="en-GB"/>
        </w:rPr>
        <w:t xml:space="preserve"> </w:t>
      </w:r>
      <w:r w:rsidRPr="00344B3B">
        <w:rPr>
          <w:lang w:val="en-GB"/>
        </w:rPr>
        <w:t>means</w:t>
      </w:r>
      <w:r w:rsidR="00D06297">
        <w:rPr>
          <w:lang w:val="en-GB"/>
        </w:rPr>
        <w:t>, in respect of a spectrum licence,</w:t>
      </w:r>
      <w:r w:rsidRPr="00344B3B">
        <w:rPr>
          <w:lang w:val="en-GB"/>
        </w:rPr>
        <w:t xml:space="preserve"> the determination of unacceptable levels of interference, made under section 145 of the Act, that is specified in </w:t>
      </w:r>
      <w:r w:rsidR="00D06297" w:rsidRPr="00344B3B">
        <w:rPr>
          <w:lang w:val="en-GB"/>
        </w:rPr>
        <w:t>th</w:t>
      </w:r>
      <w:r w:rsidR="00D06297">
        <w:rPr>
          <w:lang w:val="en-GB"/>
        </w:rPr>
        <w:t>at</w:t>
      </w:r>
      <w:r w:rsidR="00D06297" w:rsidRPr="00344B3B">
        <w:rPr>
          <w:lang w:val="en-GB"/>
        </w:rPr>
        <w:t xml:space="preserve"> </w:t>
      </w:r>
      <w:r w:rsidRPr="00344B3B">
        <w:rPr>
          <w:lang w:val="en-GB"/>
        </w:rPr>
        <w:t>spectrum licence.</w:t>
      </w:r>
    </w:p>
    <w:p w:rsidR="00FF3F8D" w:rsidRPr="00C12CB5" w:rsidRDefault="00FF3F8D" w:rsidP="00C12CB5">
      <w:pPr>
        <w:pStyle w:val="notetext"/>
      </w:pPr>
      <w:r w:rsidRPr="008E3E51">
        <w:lastRenderedPageBreak/>
        <w:t>Note</w:t>
      </w:r>
      <w:r w:rsidR="00FA50D7">
        <w:t xml:space="preserve"> 1</w:t>
      </w:r>
      <w:r w:rsidR="00C12CB5">
        <w:t>:</w:t>
      </w:r>
      <w:r w:rsidR="00C12CB5">
        <w:tab/>
        <w:t>Each s.145 determination is a legislative instrument, accessible free of charge at</w:t>
      </w:r>
      <w:r w:rsidR="00FC60C9">
        <w:t xml:space="preserve"> www.l</w:t>
      </w:r>
      <w:r w:rsidR="00C12CB5">
        <w:t>egislation.gov.au.</w:t>
      </w:r>
    </w:p>
    <w:p w:rsidR="00361E6C" w:rsidRPr="008E3E51" w:rsidRDefault="00361E6C" w:rsidP="00361E6C">
      <w:pPr>
        <w:pStyle w:val="notetext"/>
      </w:pPr>
      <w:r w:rsidRPr="008E3E51">
        <w:t>Note</w:t>
      </w:r>
      <w:r w:rsidR="00FA50D7">
        <w:t xml:space="preserve"> 2</w:t>
      </w:r>
      <w:r w:rsidRPr="008E3E51">
        <w:t>:</w:t>
      </w:r>
      <w:r w:rsidRPr="008E3E51">
        <w:tab/>
        <w:t xml:space="preserve">A number of </w:t>
      </w:r>
      <w:r>
        <w:t xml:space="preserve">other </w:t>
      </w:r>
      <w:r w:rsidRPr="008E3E51">
        <w:t>expressions used in this instrument are defined in the Act</w:t>
      </w:r>
      <w:r w:rsidR="00C36FA4">
        <w:t xml:space="preserve"> or the </w:t>
      </w:r>
      <w:r w:rsidR="00C36FA4" w:rsidRPr="00C36FA4">
        <w:rPr>
          <w:i/>
        </w:rPr>
        <w:t>Radiocommunications (Interpretation) Determination 2015</w:t>
      </w:r>
      <w:r w:rsidRPr="008E3E51">
        <w:t>, including the following:</w:t>
      </w:r>
    </w:p>
    <w:p w:rsidR="00361E6C" w:rsidRDefault="00224BF5" w:rsidP="006C4021">
      <w:pPr>
        <w:pStyle w:val="notepara"/>
        <w:numPr>
          <w:ilvl w:val="0"/>
          <w:numId w:val="19"/>
        </w:numPr>
      </w:pPr>
      <w:r>
        <w:t>ACMA</w:t>
      </w:r>
      <w:r w:rsidR="00361E6C">
        <w:t>;</w:t>
      </w:r>
    </w:p>
    <w:p w:rsidR="006C4021" w:rsidRDefault="008E300C" w:rsidP="006C4021">
      <w:pPr>
        <w:pStyle w:val="notepara"/>
        <w:numPr>
          <w:ilvl w:val="0"/>
          <w:numId w:val="19"/>
        </w:numPr>
      </w:pPr>
      <w:proofErr w:type="spellStart"/>
      <w:r>
        <w:t>radiocommunications</w:t>
      </w:r>
      <w:proofErr w:type="spellEnd"/>
      <w:r>
        <w:t xml:space="preserve"> receiver;</w:t>
      </w:r>
    </w:p>
    <w:p w:rsidR="008E300C" w:rsidRDefault="008E300C" w:rsidP="006C4021">
      <w:pPr>
        <w:pStyle w:val="notepara"/>
        <w:numPr>
          <w:ilvl w:val="0"/>
          <w:numId w:val="19"/>
        </w:numPr>
      </w:pPr>
      <w:proofErr w:type="spellStart"/>
      <w:r>
        <w:t>radiocommunications</w:t>
      </w:r>
      <w:proofErr w:type="spellEnd"/>
      <w:r>
        <w:t xml:space="preserve"> transmitter;</w:t>
      </w:r>
    </w:p>
    <w:p w:rsidR="00A56B6D" w:rsidRDefault="00C36FA4" w:rsidP="00A56B6D">
      <w:pPr>
        <w:pStyle w:val="notepara"/>
        <w:numPr>
          <w:ilvl w:val="0"/>
          <w:numId w:val="19"/>
        </w:numPr>
      </w:pPr>
      <w:r>
        <w:t>Radio Regulations</w:t>
      </w:r>
      <w:r w:rsidR="00361E6C">
        <w:t>;</w:t>
      </w:r>
    </w:p>
    <w:p w:rsidR="00A56B6D" w:rsidRDefault="00A56B6D" w:rsidP="002D15C7">
      <w:pPr>
        <w:pStyle w:val="notepara"/>
        <w:keepNext/>
        <w:numPr>
          <w:ilvl w:val="0"/>
          <w:numId w:val="19"/>
        </w:numPr>
        <w:ind w:left="2359" w:hanging="374"/>
      </w:pPr>
      <w:r>
        <w:t>receiver</w:t>
      </w:r>
      <w:r w:rsidR="00FA79A9">
        <w:t>; and</w:t>
      </w:r>
    </w:p>
    <w:p w:rsidR="00A56B6D" w:rsidRDefault="00A56B6D" w:rsidP="002D15C7">
      <w:pPr>
        <w:pStyle w:val="notepara"/>
        <w:keepNext/>
        <w:numPr>
          <w:ilvl w:val="0"/>
          <w:numId w:val="19"/>
        </w:numPr>
        <w:ind w:left="2359" w:hanging="374"/>
      </w:pPr>
      <w:proofErr w:type="gramStart"/>
      <w:r>
        <w:t>transmitter</w:t>
      </w:r>
      <w:proofErr w:type="gramEnd"/>
      <w:r w:rsidR="00FA79A9">
        <w:t>.</w:t>
      </w:r>
    </w:p>
    <w:p w:rsidR="00361E6C" w:rsidRPr="008E3E51" w:rsidRDefault="00CE5F18" w:rsidP="00361E6C">
      <w:pPr>
        <w:pStyle w:val="ActHead5"/>
      </w:pPr>
      <w:r>
        <w:rPr>
          <w:rStyle w:val="CharSectno"/>
        </w:rPr>
        <w:t>6</w:t>
      </w:r>
      <w:r>
        <w:t xml:space="preserve"> </w:t>
      </w:r>
      <w:r w:rsidR="00361E6C">
        <w:t>References to other instruments</w:t>
      </w:r>
    </w:p>
    <w:p w:rsidR="00361E6C" w:rsidRPr="009B3E70" w:rsidRDefault="00361E6C" w:rsidP="004D22A2">
      <w:pPr>
        <w:pStyle w:val="subsection"/>
      </w:pPr>
      <w:r>
        <w:tab/>
      </w:r>
      <w:r>
        <w:tab/>
        <w:t xml:space="preserve">In this </w:t>
      </w:r>
      <w:r w:rsidR="00C84C2F">
        <w:t>Determination</w:t>
      </w:r>
      <w:r>
        <w:t>, unless the contrary intention appears</w:t>
      </w:r>
      <w:r w:rsidRPr="009B3E70">
        <w:t>:</w:t>
      </w:r>
    </w:p>
    <w:p w:rsidR="00361E6C" w:rsidRPr="009B3E70" w:rsidRDefault="00361E6C" w:rsidP="00855157">
      <w:pPr>
        <w:pStyle w:val="paragraph"/>
        <w:spacing w:before="60" w:after="60"/>
        <w:ind w:left="1560" w:hanging="1560"/>
      </w:pPr>
      <w:r w:rsidRPr="009B3E70">
        <w:tab/>
        <w:t>(a)</w:t>
      </w:r>
      <w:r w:rsidRPr="009B3E70">
        <w:tab/>
      </w:r>
      <w:proofErr w:type="gramStart"/>
      <w:r>
        <w:t>a</w:t>
      </w:r>
      <w:proofErr w:type="gramEnd"/>
      <w:r>
        <w:t xml:space="preserve"> reference to any other legislative instrument is a reference to that other legislative instrument as in force from time to time; and</w:t>
      </w:r>
    </w:p>
    <w:p w:rsidR="00361E6C" w:rsidRPr="009B3E70" w:rsidRDefault="00361E6C" w:rsidP="00855157">
      <w:pPr>
        <w:pStyle w:val="paragraph"/>
        <w:tabs>
          <w:tab w:val="left" w:pos="2160"/>
          <w:tab w:val="left" w:pos="2880"/>
          <w:tab w:val="left" w:pos="3600"/>
          <w:tab w:val="center" w:pos="4513"/>
        </w:tabs>
        <w:spacing w:before="60" w:after="60"/>
        <w:ind w:left="1560"/>
      </w:pPr>
      <w:r w:rsidRPr="009B3E70">
        <w:tab/>
        <w:t>(b)</w:t>
      </w:r>
      <w:r w:rsidRPr="009B3E70">
        <w:tab/>
      </w:r>
      <w:proofErr w:type="gramStart"/>
      <w:r>
        <w:t>a</w:t>
      </w:r>
      <w:proofErr w:type="gramEnd"/>
      <w:r>
        <w:t xml:space="preserve"> reference to any other kind of instrument is a reference to that other kind of instrument as in force from time to time</w:t>
      </w:r>
      <w:r w:rsidRPr="009B3E70">
        <w:t>.</w:t>
      </w:r>
      <w:r w:rsidRPr="009B3E70">
        <w:tab/>
      </w:r>
    </w:p>
    <w:p w:rsidR="00361E6C" w:rsidRDefault="00361E6C" w:rsidP="00361E6C">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rsidR="00361E6C" w:rsidRPr="008E3E51" w:rsidRDefault="00361E6C" w:rsidP="00361E6C">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p>
    <w:bookmarkEnd w:id="3"/>
    <w:p w:rsidR="00361E6C" w:rsidRPr="005767D9" w:rsidRDefault="00CE5F18" w:rsidP="00361E6C">
      <w:pPr>
        <w:pStyle w:val="ActHead5"/>
      </w:pPr>
      <w:proofErr w:type="gramStart"/>
      <w:r w:rsidRPr="002274BA">
        <w:rPr>
          <w:rStyle w:val="CharSectno"/>
        </w:rPr>
        <w:t>7</w:t>
      </w:r>
      <w:r w:rsidRPr="005767D9">
        <w:t xml:space="preserve">  </w:t>
      </w:r>
      <w:r w:rsidR="005A2956" w:rsidRPr="005767D9">
        <w:t>Emission</w:t>
      </w:r>
      <w:proofErr w:type="gramEnd"/>
      <w:r w:rsidR="005A2956" w:rsidRPr="005767D9">
        <w:t xml:space="preserve"> designator</w:t>
      </w:r>
    </w:p>
    <w:p w:rsidR="00361E6C" w:rsidRDefault="00954897" w:rsidP="00B12A7E">
      <w:pPr>
        <w:pStyle w:val="subsection"/>
        <w:numPr>
          <w:ilvl w:val="0"/>
          <w:numId w:val="20"/>
        </w:numPr>
        <w:tabs>
          <w:tab w:val="clear" w:pos="1021"/>
          <w:tab w:val="right" w:pos="1134"/>
        </w:tabs>
        <w:rPr>
          <w:lang w:val="en-GB"/>
        </w:rPr>
      </w:pPr>
      <w:r w:rsidRPr="00954897">
        <w:rPr>
          <w:lang w:val="en-GB"/>
        </w:rPr>
        <w:t xml:space="preserve">In this </w:t>
      </w:r>
      <w:r w:rsidR="00C84C2F">
        <w:rPr>
          <w:lang w:val="en-GB"/>
        </w:rPr>
        <w:t>D</w:t>
      </w:r>
      <w:r w:rsidRPr="00954897">
        <w:rPr>
          <w:lang w:val="en-GB"/>
        </w:rPr>
        <w:t>etermination, a reference to an emission designator,</w:t>
      </w:r>
      <w:r w:rsidRPr="00954897">
        <w:rPr>
          <w:b/>
          <w:i/>
          <w:lang w:val="en-GB"/>
        </w:rPr>
        <w:t xml:space="preserve"> </w:t>
      </w:r>
      <w:r w:rsidRPr="00954897">
        <w:rPr>
          <w:lang w:val="en-GB"/>
        </w:rPr>
        <w:t>in relation to a transmitter operated under an apparatus licence or a spectrum licence, is a reference to the designation of the transmitter’s emission worked out in accordance with the Radio Regulations published by the International Telecommunication Union.</w:t>
      </w:r>
    </w:p>
    <w:p w:rsidR="004A2CA8" w:rsidRPr="004A2CA8" w:rsidRDefault="004A2CA8" w:rsidP="004A2CA8">
      <w:pPr>
        <w:shd w:val="clear" w:color="auto" w:fill="FFFFFF"/>
        <w:autoSpaceDE w:val="0"/>
        <w:autoSpaceDN w:val="0"/>
        <w:spacing w:after="0" w:line="240" w:lineRule="auto"/>
        <w:rPr>
          <w:rFonts w:ascii="Times New Roman" w:hAnsi="Times New Roman" w:cs="Times New Roman"/>
          <w:sz w:val="18"/>
          <w:szCs w:val="18"/>
          <w:lang w:val="en-GB"/>
        </w:rPr>
      </w:pPr>
    </w:p>
    <w:p w:rsidR="004A2CA8" w:rsidRPr="004A2CA8" w:rsidRDefault="00E56752" w:rsidP="00E56752">
      <w:pPr>
        <w:shd w:val="clear" w:color="auto" w:fill="FFFFFF"/>
        <w:autoSpaceDE w:val="0"/>
        <w:autoSpaceDN w:val="0"/>
        <w:spacing w:after="0" w:line="240" w:lineRule="auto"/>
        <w:ind w:left="1985" w:hanging="851"/>
        <w:rPr>
          <w:rFonts w:ascii="Times New Roman" w:hAnsi="Times New Roman" w:cs="Times New Roman"/>
          <w:sz w:val="18"/>
          <w:szCs w:val="18"/>
        </w:rPr>
      </w:pPr>
      <w:r>
        <w:rPr>
          <w:rFonts w:ascii="Times New Roman" w:hAnsi="Times New Roman" w:cs="Times New Roman"/>
          <w:sz w:val="18"/>
          <w:szCs w:val="18"/>
          <w:lang w:val="en-GB"/>
        </w:rPr>
        <w:t>Note:</w:t>
      </w:r>
      <w:r>
        <w:rPr>
          <w:rFonts w:ascii="Times New Roman" w:hAnsi="Times New Roman" w:cs="Times New Roman"/>
          <w:sz w:val="18"/>
          <w:szCs w:val="18"/>
          <w:lang w:val="en-GB"/>
        </w:rPr>
        <w:tab/>
      </w:r>
      <w:r w:rsidR="004A2CA8" w:rsidRPr="004A2CA8">
        <w:rPr>
          <w:rFonts w:ascii="Times New Roman" w:hAnsi="Times New Roman" w:cs="Times New Roman"/>
          <w:sz w:val="18"/>
          <w:szCs w:val="18"/>
        </w:rPr>
        <w:t xml:space="preserve">The Radio Regulations are available </w:t>
      </w:r>
      <w:r>
        <w:rPr>
          <w:rFonts w:ascii="Times New Roman" w:hAnsi="Times New Roman" w:cs="Times New Roman"/>
          <w:sz w:val="18"/>
          <w:szCs w:val="18"/>
        </w:rPr>
        <w:t xml:space="preserve">from the International Telecommunication </w:t>
      </w:r>
      <w:r w:rsidR="00B12A7E">
        <w:rPr>
          <w:rFonts w:ascii="Times New Roman" w:hAnsi="Times New Roman" w:cs="Times New Roman"/>
          <w:sz w:val="18"/>
          <w:szCs w:val="18"/>
        </w:rPr>
        <w:t xml:space="preserve">Union’s </w:t>
      </w:r>
      <w:r>
        <w:rPr>
          <w:rFonts w:ascii="Times New Roman" w:hAnsi="Times New Roman" w:cs="Times New Roman"/>
          <w:sz w:val="18"/>
          <w:szCs w:val="18"/>
        </w:rPr>
        <w:t>website</w:t>
      </w:r>
      <w:r w:rsidR="004A2CA8" w:rsidRPr="004A2CA8">
        <w:rPr>
          <w:rFonts w:ascii="Times New Roman" w:hAnsi="Times New Roman" w:cs="Times New Roman"/>
          <w:sz w:val="18"/>
          <w:szCs w:val="18"/>
        </w:rPr>
        <w:t xml:space="preserve"> at</w:t>
      </w:r>
      <w:r>
        <w:rPr>
          <w:rFonts w:ascii="Times New Roman" w:hAnsi="Times New Roman" w:cs="Times New Roman"/>
          <w:sz w:val="18"/>
          <w:szCs w:val="18"/>
        </w:rPr>
        <w:t>:</w:t>
      </w:r>
      <w:r w:rsidR="004A2CA8" w:rsidRPr="004A2CA8">
        <w:rPr>
          <w:rFonts w:ascii="Times New Roman" w:hAnsi="Times New Roman" w:cs="Times New Roman"/>
          <w:sz w:val="18"/>
          <w:szCs w:val="18"/>
        </w:rPr>
        <w:t> </w:t>
      </w:r>
      <w:hyperlink r:id="rId17" w:history="1">
        <w:r w:rsidR="004A2CA8" w:rsidRPr="004A2CA8">
          <w:rPr>
            <w:rStyle w:val="Hyperlink"/>
            <w:rFonts w:ascii="Times New Roman" w:hAnsi="Times New Roman" w:cs="Times New Roman"/>
            <w:sz w:val="18"/>
            <w:szCs w:val="18"/>
          </w:rPr>
          <w:t>http://www.itu.in</w:t>
        </w:r>
        <w:r w:rsidR="004A2CA8" w:rsidRPr="00FC60C9">
          <w:rPr>
            <w:rStyle w:val="Hyperlink"/>
            <w:rFonts w:ascii="Times New Roman" w:hAnsi="Times New Roman" w:cs="Times New Roman"/>
            <w:sz w:val="18"/>
            <w:szCs w:val="18"/>
          </w:rPr>
          <w:t>t</w:t>
        </w:r>
      </w:hyperlink>
      <w:r w:rsidR="00FC60C9">
        <w:rPr>
          <w:rStyle w:val="Hyperlink"/>
          <w:rFonts w:ascii="Times New Roman" w:hAnsi="Times New Roman" w:cs="Times New Roman"/>
          <w:color w:val="808080"/>
          <w:sz w:val="18"/>
          <w:szCs w:val="18"/>
        </w:rPr>
        <w:t>.</w:t>
      </w:r>
    </w:p>
    <w:p w:rsidR="00361E6C" w:rsidRPr="005767D9" w:rsidRDefault="00443A20" w:rsidP="00443A20">
      <w:pPr>
        <w:pStyle w:val="subsection"/>
      </w:pPr>
      <w:r>
        <w:tab/>
        <w:t>(2)</w:t>
      </w:r>
      <w:r>
        <w:tab/>
      </w:r>
      <w:r w:rsidRPr="00443A20">
        <w:rPr>
          <w:lang w:val="en-GB"/>
        </w:rPr>
        <w:t>For the purpose of working out the designation of the emission of a transmitter operated under a spectrum licence, the references to necessary bandwidth for a given class of emission are taken to be references to the effective occupied bandwidth of the transmitter.</w:t>
      </w:r>
    </w:p>
    <w:p w:rsidR="00443A20" w:rsidRPr="00443A20" w:rsidRDefault="00CE5F18" w:rsidP="00443A20">
      <w:pPr>
        <w:pStyle w:val="ActHead5"/>
      </w:pPr>
      <w:bookmarkStart w:id="8" w:name="_Toc444596038"/>
      <w:proofErr w:type="gramStart"/>
      <w:r w:rsidRPr="002274BA">
        <w:rPr>
          <w:rStyle w:val="CharSectno"/>
        </w:rPr>
        <w:t>8</w:t>
      </w:r>
      <w:r w:rsidRPr="005767D9">
        <w:t xml:space="preserve">  </w:t>
      </w:r>
      <w:r w:rsidR="00443A20">
        <w:t>Group</w:t>
      </w:r>
      <w:proofErr w:type="gramEnd"/>
      <w:r w:rsidR="00443A20">
        <w:t xml:space="preserve"> of transmitters</w:t>
      </w:r>
    </w:p>
    <w:p w:rsidR="00F04454" w:rsidRDefault="00F04454" w:rsidP="007A0368">
      <w:pPr>
        <w:pStyle w:val="subsection"/>
        <w:ind w:left="1140" w:hanging="289"/>
      </w:pPr>
      <w:r>
        <w:t>(1)</w:t>
      </w:r>
      <w:r>
        <w:tab/>
        <w:t xml:space="preserve">In this Determination, two or more fixed transmitters are a </w:t>
      </w:r>
      <w:r w:rsidRPr="00541970">
        <w:rPr>
          <w:b/>
          <w:i/>
        </w:rPr>
        <w:t>group of transmitter</w:t>
      </w:r>
      <w:r>
        <w:t>s if:</w:t>
      </w:r>
    </w:p>
    <w:p w:rsidR="00F04454" w:rsidRDefault="00F04454" w:rsidP="00F05E74">
      <w:pPr>
        <w:pStyle w:val="subsection"/>
        <w:spacing w:before="60" w:after="60"/>
        <w:ind w:left="1140" w:firstLine="0"/>
      </w:pPr>
      <w:r>
        <w:t>(a)</w:t>
      </w:r>
      <w:r>
        <w:tab/>
      </w:r>
      <w:proofErr w:type="gramStart"/>
      <w:r>
        <w:t>they</w:t>
      </w:r>
      <w:proofErr w:type="gramEnd"/>
      <w:r>
        <w:t xml:space="preserve"> have the same centre frequency and emission designator; </w:t>
      </w:r>
    </w:p>
    <w:p w:rsidR="00F04454" w:rsidRDefault="00F04454" w:rsidP="00F05E74">
      <w:pPr>
        <w:pStyle w:val="subsection"/>
        <w:spacing w:before="60" w:after="60"/>
        <w:ind w:left="1440" w:hanging="300"/>
      </w:pPr>
      <w:r>
        <w:t>(b)</w:t>
      </w:r>
      <w:r>
        <w:tab/>
      </w:r>
      <w:proofErr w:type="gramStart"/>
      <w:r>
        <w:t>they</w:t>
      </w:r>
      <w:proofErr w:type="gramEnd"/>
      <w:r>
        <w:t xml:space="preserve"> are operated for the purpose of communicating with the same </w:t>
      </w:r>
      <w:proofErr w:type="spellStart"/>
      <w:r>
        <w:t>radiocommunications</w:t>
      </w:r>
      <w:proofErr w:type="spellEnd"/>
      <w:r>
        <w:t xml:space="preserve"> receiver or group of </w:t>
      </w:r>
      <w:proofErr w:type="spellStart"/>
      <w:r>
        <w:t>radiocommunications</w:t>
      </w:r>
      <w:proofErr w:type="spellEnd"/>
      <w:r>
        <w:t xml:space="preserve"> receivers;</w:t>
      </w:r>
    </w:p>
    <w:p w:rsidR="00F04454" w:rsidRDefault="00F04454" w:rsidP="00F05E74">
      <w:pPr>
        <w:pStyle w:val="subsection"/>
        <w:spacing w:before="60" w:after="60"/>
        <w:ind w:left="1140" w:firstLine="0"/>
      </w:pPr>
      <w:r>
        <w:t>(c)</w:t>
      </w:r>
      <w:r>
        <w:tab/>
      </w:r>
      <w:proofErr w:type="gramStart"/>
      <w:r>
        <w:t>each</w:t>
      </w:r>
      <w:proofErr w:type="gramEnd"/>
      <w:r>
        <w:t xml:space="preserve"> has an antenna of the same type, model and manufacturer;</w:t>
      </w:r>
    </w:p>
    <w:p w:rsidR="00F04454" w:rsidRDefault="00F04454" w:rsidP="00F05E74">
      <w:pPr>
        <w:pStyle w:val="subsection"/>
        <w:spacing w:before="60" w:after="60"/>
        <w:ind w:left="1440" w:hanging="300"/>
      </w:pPr>
      <w:r>
        <w:t>(d)</w:t>
      </w:r>
      <w:r>
        <w:tab/>
      </w:r>
      <w:proofErr w:type="gramStart"/>
      <w:r>
        <w:t>the</w:t>
      </w:r>
      <w:proofErr w:type="gramEnd"/>
      <w:r>
        <w:t xml:space="preserve"> antenna used with each fixed transmitter is located on the same structure and within 20 metres</w:t>
      </w:r>
      <w:r w:rsidR="00F446CA">
        <w:t xml:space="preserve"> of </w:t>
      </w:r>
      <w:r>
        <w:t xml:space="preserve">the phase centre of all antennas within the group of </w:t>
      </w:r>
      <w:proofErr w:type="spellStart"/>
      <w:r>
        <w:t>radiocommunications</w:t>
      </w:r>
      <w:proofErr w:type="spellEnd"/>
      <w:r>
        <w:t xml:space="preserve"> transmitters; and</w:t>
      </w:r>
    </w:p>
    <w:p w:rsidR="00522B91" w:rsidRDefault="00F04454" w:rsidP="00640AD4">
      <w:pPr>
        <w:pStyle w:val="subsection"/>
        <w:spacing w:before="60" w:after="60"/>
        <w:ind w:left="1440" w:hanging="300"/>
      </w:pPr>
      <w:r>
        <w:t>(e)</w:t>
      </w:r>
      <w:r>
        <w:tab/>
      </w:r>
      <w:proofErr w:type="gramStart"/>
      <w:r>
        <w:t>the</w:t>
      </w:r>
      <w:proofErr w:type="gramEnd"/>
      <w:r>
        <w:t xml:space="preserve"> identification number assigned by the ACMA to the antenna used with each </w:t>
      </w:r>
      <w:proofErr w:type="spellStart"/>
      <w:r>
        <w:t>radiocommunications</w:t>
      </w:r>
      <w:proofErr w:type="spellEnd"/>
      <w:r>
        <w:t xml:space="preserve"> transmitter is the same.</w:t>
      </w:r>
    </w:p>
    <w:p w:rsidR="00F04454" w:rsidRDefault="00B12A7E" w:rsidP="007A0368">
      <w:pPr>
        <w:pStyle w:val="subsection"/>
        <w:ind w:hanging="283"/>
        <w:rPr>
          <w:lang w:val="en-GB"/>
        </w:rPr>
      </w:pPr>
      <w:r>
        <w:lastRenderedPageBreak/>
        <w:t>(2)</w:t>
      </w:r>
      <w:r>
        <w:tab/>
      </w:r>
      <w:r w:rsidR="00640AD4">
        <w:rPr>
          <w:lang w:val="en-GB"/>
        </w:rPr>
        <w:t xml:space="preserve">Despite subsection (1), </w:t>
      </w:r>
      <w:r w:rsidR="00EE268B">
        <w:t>two or more fixed transmitters are not a group of transmitters</w:t>
      </w:r>
      <w:r w:rsidR="0017400E">
        <w:t xml:space="preserve"> if any of those transmitters </w:t>
      </w:r>
      <w:r w:rsidR="00E94A2E">
        <w:t>already belong to a group of</w:t>
      </w:r>
      <w:r w:rsidR="001313B6">
        <w:t xml:space="preserve"> </w:t>
      </w:r>
      <w:r w:rsidR="00E94A2E">
        <w:t>transmitters</w:t>
      </w:r>
      <w:r w:rsidR="00074A64">
        <w:t>,</w:t>
      </w:r>
      <w:r w:rsidR="00E94A2E">
        <w:t xml:space="preserve"> </w:t>
      </w:r>
      <w:r w:rsidR="00526827">
        <w:t xml:space="preserve">the details of which are </w:t>
      </w:r>
      <w:r w:rsidR="00F2272E">
        <w:t>included in</w:t>
      </w:r>
      <w:r w:rsidR="00E94A2E">
        <w:t xml:space="preserve"> the </w:t>
      </w:r>
      <w:r w:rsidR="00526827">
        <w:t>Register.</w:t>
      </w:r>
    </w:p>
    <w:p w:rsidR="00F949D8" w:rsidRDefault="00F949D8" w:rsidP="00F446CA">
      <w:pPr>
        <w:pStyle w:val="subsection"/>
        <w:ind w:hanging="283"/>
      </w:pPr>
      <w:r>
        <w:rPr>
          <w:lang w:val="en-GB"/>
        </w:rPr>
        <w:t xml:space="preserve">(3) </w:t>
      </w:r>
      <w:r w:rsidRPr="00F949D8">
        <w:rPr>
          <w:lang w:val="en-GB"/>
        </w:rPr>
        <w:t>The location of a group of transmitters is calculated in accordance with the rel</w:t>
      </w:r>
      <w:r>
        <w:rPr>
          <w:lang w:val="en-GB"/>
        </w:rPr>
        <w:t>e</w:t>
      </w:r>
      <w:r w:rsidRPr="00F949D8">
        <w:rPr>
          <w:lang w:val="en-GB"/>
        </w:rPr>
        <w:t>vant s.145 determination.</w:t>
      </w:r>
    </w:p>
    <w:p w:rsidR="00F949D8" w:rsidRPr="00443A20" w:rsidRDefault="00CE5F18" w:rsidP="00F949D8">
      <w:pPr>
        <w:pStyle w:val="ActHead5"/>
      </w:pPr>
      <w:proofErr w:type="gramStart"/>
      <w:r>
        <w:rPr>
          <w:rStyle w:val="CharSectno"/>
        </w:rPr>
        <w:t>9</w:t>
      </w:r>
      <w:r w:rsidRPr="005767D9">
        <w:t xml:space="preserve">  </w:t>
      </w:r>
      <w:r w:rsidR="00F949D8">
        <w:t>Group</w:t>
      </w:r>
      <w:proofErr w:type="gramEnd"/>
      <w:r w:rsidR="00F949D8">
        <w:t xml:space="preserve"> of receivers</w:t>
      </w:r>
    </w:p>
    <w:p w:rsidR="00F949D8" w:rsidRPr="00F949D8" w:rsidRDefault="00F949D8" w:rsidP="00645D7E">
      <w:pPr>
        <w:pStyle w:val="R1"/>
        <w:ind w:left="1134" w:hanging="283"/>
        <w:rPr>
          <w:sz w:val="22"/>
          <w:szCs w:val="22"/>
        </w:rPr>
      </w:pPr>
      <w:r w:rsidRPr="00F949D8">
        <w:rPr>
          <w:sz w:val="22"/>
          <w:szCs w:val="22"/>
        </w:rPr>
        <w:t>(1)</w:t>
      </w:r>
      <w:r w:rsidRPr="00F949D8">
        <w:rPr>
          <w:sz w:val="22"/>
          <w:szCs w:val="22"/>
        </w:rPr>
        <w:tab/>
        <w:t xml:space="preserve">In this Determination, two or more fixed receivers are a </w:t>
      </w:r>
      <w:r w:rsidRPr="00541970">
        <w:rPr>
          <w:b/>
          <w:i/>
          <w:sz w:val="22"/>
          <w:szCs w:val="22"/>
        </w:rPr>
        <w:t>group of receivers</w:t>
      </w:r>
      <w:r w:rsidRPr="00F949D8">
        <w:rPr>
          <w:sz w:val="22"/>
          <w:szCs w:val="22"/>
        </w:rPr>
        <w:t xml:space="preserve"> if:</w:t>
      </w:r>
    </w:p>
    <w:p w:rsidR="00645D7E" w:rsidRDefault="00F949D8" w:rsidP="00687D04">
      <w:pPr>
        <w:tabs>
          <w:tab w:val="left" w:pos="851"/>
          <w:tab w:val="right" w:pos="1191"/>
        </w:tabs>
        <w:spacing w:before="60" w:after="0" w:line="260" w:lineRule="exact"/>
        <w:ind w:left="1437" w:hanging="303"/>
        <w:rPr>
          <w:rFonts w:ascii="Times New Roman" w:eastAsia="Times New Roman" w:hAnsi="Times New Roman" w:cs="Times New Roman"/>
          <w:noProof/>
        </w:rPr>
      </w:pPr>
      <w:r w:rsidRPr="00F949D8">
        <w:rPr>
          <w:rFonts w:ascii="Times New Roman" w:eastAsia="Times New Roman" w:hAnsi="Times New Roman" w:cs="Times New Roman"/>
          <w:noProof/>
        </w:rPr>
        <w:tab/>
        <w:t>(a)</w:t>
      </w:r>
      <w:r w:rsidRPr="00F949D8">
        <w:rPr>
          <w:rFonts w:ascii="Times New Roman" w:eastAsia="Times New Roman" w:hAnsi="Times New Roman" w:cs="Times New Roman"/>
          <w:noProof/>
        </w:rPr>
        <w:tab/>
      </w:r>
      <w:r w:rsidRPr="00F949D8">
        <w:rPr>
          <w:rFonts w:ascii="Times New Roman" w:eastAsia="Times New Roman" w:hAnsi="Times New Roman" w:cs="Times New Roman"/>
          <w:noProof/>
        </w:rPr>
        <w:tab/>
        <w:t>they are operated for the purpose of communicating with the same transmitter or group of transmitters;</w:t>
      </w:r>
    </w:p>
    <w:p w:rsidR="00645D7E" w:rsidRDefault="00645D7E" w:rsidP="00645D7E">
      <w:pPr>
        <w:tabs>
          <w:tab w:val="left" w:pos="851"/>
          <w:tab w:val="right" w:pos="1191"/>
        </w:tabs>
        <w:spacing w:before="60" w:after="0" w:line="260" w:lineRule="exact"/>
        <w:ind w:left="1437" w:hanging="303"/>
        <w:jc w:val="both"/>
        <w:rPr>
          <w:rFonts w:ascii="Times New Roman" w:eastAsia="Times New Roman" w:hAnsi="Times New Roman" w:cs="Times New Roman"/>
          <w:noProof/>
        </w:rPr>
      </w:pPr>
      <w:r>
        <w:rPr>
          <w:rFonts w:ascii="Times New Roman" w:eastAsia="Times New Roman" w:hAnsi="Times New Roman" w:cs="Times New Roman"/>
          <w:noProof/>
        </w:rPr>
        <w:t xml:space="preserve">(b) </w:t>
      </w:r>
      <w:r w:rsidR="00F949D8" w:rsidRPr="00F949D8">
        <w:rPr>
          <w:rFonts w:ascii="Times New Roman" w:eastAsia="Times New Roman" w:hAnsi="Times New Roman" w:cs="Times New Roman"/>
          <w:noProof/>
        </w:rPr>
        <w:t>each has an antenna of the same type, model and manufacturer;</w:t>
      </w:r>
    </w:p>
    <w:p w:rsidR="00645D7E" w:rsidRDefault="00645D7E" w:rsidP="00645D7E">
      <w:pPr>
        <w:tabs>
          <w:tab w:val="left" w:pos="851"/>
          <w:tab w:val="right" w:pos="1191"/>
        </w:tabs>
        <w:spacing w:before="60" w:after="0" w:line="260" w:lineRule="exact"/>
        <w:ind w:left="1437" w:hanging="303"/>
        <w:jc w:val="both"/>
        <w:rPr>
          <w:rFonts w:ascii="Times New Roman" w:eastAsia="Times New Roman" w:hAnsi="Times New Roman" w:cs="Times New Roman"/>
          <w:noProof/>
        </w:rPr>
      </w:pPr>
      <w:r>
        <w:rPr>
          <w:rFonts w:ascii="Times New Roman" w:eastAsia="Times New Roman" w:hAnsi="Times New Roman" w:cs="Times New Roman"/>
          <w:noProof/>
        </w:rPr>
        <w:t xml:space="preserve">(c) </w:t>
      </w:r>
      <w:r w:rsidR="00F949D8" w:rsidRPr="00F949D8">
        <w:rPr>
          <w:rFonts w:ascii="Times New Roman" w:eastAsia="Times New Roman" w:hAnsi="Times New Roman" w:cs="Times New Roman"/>
          <w:noProof/>
        </w:rPr>
        <w:t>the antenna used with each fixed receiver is located on the same structure and within 20 metres of the phase centre of all antennas within the group of radiocommunications receivers; and</w:t>
      </w:r>
    </w:p>
    <w:p w:rsidR="005E218A" w:rsidRPr="00F949D8" w:rsidRDefault="00645D7E" w:rsidP="00811A1F">
      <w:pPr>
        <w:tabs>
          <w:tab w:val="left" w:pos="851"/>
          <w:tab w:val="right" w:pos="1191"/>
        </w:tabs>
        <w:spacing w:before="60" w:after="0" w:line="260" w:lineRule="exact"/>
        <w:ind w:left="1437" w:hanging="303"/>
        <w:jc w:val="both"/>
        <w:rPr>
          <w:rFonts w:ascii="Times New Roman" w:eastAsia="Times New Roman" w:hAnsi="Times New Roman" w:cs="Times New Roman"/>
          <w:noProof/>
        </w:rPr>
      </w:pPr>
      <w:r>
        <w:rPr>
          <w:rFonts w:ascii="Times New Roman" w:eastAsia="Times New Roman" w:hAnsi="Times New Roman" w:cs="Times New Roman"/>
          <w:noProof/>
        </w:rPr>
        <w:t xml:space="preserve">(d) </w:t>
      </w:r>
      <w:r w:rsidR="00F949D8" w:rsidRPr="00F949D8">
        <w:rPr>
          <w:rFonts w:ascii="Times New Roman" w:eastAsia="Times New Roman" w:hAnsi="Times New Roman" w:cs="Times New Roman"/>
          <w:noProof/>
        </w:rPr>
        <w:t>the identification number assigned by the ACMA to the antenna used with each radiocommunications receiver is the same.</w:t>
      </w:r>
    </w:p>
    <w:p w:rsidR="00811A1F" w:rsidRDefault="00F949D8" w:rsidP="00F446CA">
      <w:pPr>
        <w:pStyle w:val="subsection"/>
        <w:spacing w:before="120"/>
        <w:ind w:left="1135" w:hanging="284"/>
        <w:rPr>
          <w:lang w:val="en-GB"/>
        </w:rPr>
      </w:pPr>
      <w:r w:rsidRPr="00F949D8">
        <w:rPr>
          <w:noProof/>
        </w:rPr>
        <w:t>(2)</w:t>
      </w:r>
      <w:r w:rsidR="00811A1F">
        <w:rPr>
          <w:b/>
          <w:noProof/>
        </w:rPr>
        <w:tab/>
      </w:r>
      <w:r w:rsidR="00811A1F">
        <w:rPr>
          <w:lang w:val="en-GB"/>
        </w:rPr>
        <w:t xml:space="preserve">Despite subsection (1), </w:t>
      </w:r>
      <w:r w:rsidR="00811A1F">
        <w:t xml:space="preserve">two or more fixed </w:t>
      </w:r>
      <w:proofErr w:type="spellStart"/>
      <w:r w:rsidR="00811A1F">
        <w:t>radiocommunications</w:t>
      </w:r>
      <w:proofErr w:type="spellEnd"/>
      <w:r w:rsidR="00811A1F">
        <w:t xml:space="preserve"> receivers are not a group of receivers if any of those receivers already belong to a group of </w:t>
      </w:r>
      <w:r w:rsidR="00F2272E">
        <w:t>receivers</w:t>
      </w:r>
      <w:r w:rsidR="00074A64">
        <w:t>,</w:t>
      </w:r>
      <w:r w:rsidR="00811A1F">
        <w:t xml:space="preserve"> the details of which are </w:t>
      </w:r>
      <w:r w:rsidR="00F2272E">
        <w:t>included in</w:t>
      </w:r>
      <w:r w:rsidR="00811A1F">
        <w:t xml:space="preserve"> the Register.</w:t>
      </w:r>
    </w:p>
    <w:p w:rsidR="00F949D8" w:rsidRPr="00F949D8" w:rsidRDefault="00645D7E" w:rsidP="00645D7E">
      <w:pPr>
        <w:tabs>
          <w:tab w:val="right" w:pos="794"/>
        </w:tabs>
        <w:spacing w:before="120" w:after="0" w:line="260" w:lineRule="exact"/>
        <w:ind w:left="1134" w:hanging="283"/>
        <w:jc w:val="both"/>
        <w:rPr>
          <w:rFonts w:ascii="Times New Roman" w:eastAsia="Times New Roman" w:hAnsi="Times New Roman" w:cs="Times New Roman"/>
          <w:noProof/>
        </w:rPr>
      </w:pPr>
      <w:r>
        <w:rPr>
          <w:rFonts w:ascii="Times New Roman" w:eastAsia="Times New Roman" w:hAnsi="Times New Roman" w:cs="Times New Roman"/>
          <w:noProof/>
        </w:rPr>
        <w:t xml:space="preserve">(3) </w:t>
      </w:r>
      <w:r w:rsidR="00F949D8" w:rsidRPr="00F949D8">
        <w:rPr>
          <w:rFonts w:ascii="Times New Roman" w:eastAsia="Times New Roman" w:hAnsi="Times New Roman" w:cs="Times New Roman"/>
          <w:noProof/>
        </w:rPr>
        <w:t>The location of a group of radiocommunications transmitters is calculated in accordance with the rel</w:t>
      </w:r>
      <w:r w:rsidR="00837013">
        <w:rPr>
          <w:rFonts w:ascii="Times New Roman" w:eastAsia="Times New Roman" w:hAnsi="Times New Roman" w:cs="Times New Roman"/>
          <w:noProof/>
        </w:rPr>
        <w:t>e</w:t>
      </w:r>
      <w:r w:rsidR="00F949D8" w:rsidRPr="00F949D8">
        <w:rPr>
          <w:rFonts w:ascii="Times New Roman" w:eastAsia="Times New Roman" w:hAnsi="Times New Roman" w:cs="Times New Roman"/>
          <w:noProof/>
        </w:rPr>
        <w:t>vant s.145 determination.</w:t>
      </w:r>
    </w:p>
    <w:p w:rsidR="00805BB6" w:rsidRPr="00443A20" w:rsidRDefault="00CE5F18" w:rsidP="00805BB6">
      <w:pPr>
        <w:pStyle w:val="ActHead5"/>
      </w:pPr>
      <w:proofErr w:type="gramStart"/>
      <w:r>
        <w:rPr>
          <w:rStyle w:val="CharSectno"/>
        </w:rPr>
        <w:t>10</w:t>
      </w:r>
      <w:r w:rsidRPr="005767D9">
        <w:t xml:space="preserve">  </w:t>
      </w:r>
      <w:r w:rsidR="00805BB6">
        <w:t>Details</w:t>
      </w:r>
      <w:proofErr w:type="gramEnd"/>
      <w:r w:rsidR="00805BB6">
        <w:t xml:space="preserve"> for apparatus licences</w:t>
      </w:r>
    </w:p>
    <w:p w:rsidR="00805BB6" w:rsidRDefault="00805BB6" w:rsidP="00805BB6">
      <w:pPr>
        <w:tabs>
          <w:tab w:val="right" w:pos="794"/>
        </w:tabs>
        <w:spacing w:before="120" w:after="0" w:line="260" w:lineRule="exact"/>
        <w:ind w:left="1134" w:hanging="283"/>
        <w:jc w:val="both"/>
        <w:rPr>
          <w:rFonts w:ascii="Times New Roman" w:eastAsia="Times New Roman" w:hAnsi="Times New Roman" w:cs="Times New Roman"/>
          <w:noProof/>
        </w:rPr>
      </w:pPr>
      <w:r w:rsidRPr="00F949D8">
        <w:rPr>
          <w:rFonts w:ascii="Times New Roman" w:eastAsia="Times New Roman" w:hAnsi="Times New Roman" w:cs="Times New Roman"/>
          <w:noProof/>
        </w:rPr>
        <w:t>(</w:t>
      </w:r>
      <w:r>
        <w:rPr>
          <w:rFonts w:ascii="Times New Roman" w:eastAsia="Times New Roman" w:hAnsi="Times New Roman" w:cs="Times New Roman"/>
          <w:noProof/>
        </w:rPr>
        <w:t>1</w:t>
      </w:r>
      <w:r w:rsidRPr="00F949D8">
        <w:rPr>
          <w:rFonts w:ascii="Times New Roman" w:eastAsia="Times New Roman" w:hAnsi="Times New Roman" w:cs="Times New Roman"/>
          <w:noProof/>
        </w:rPr>
        <w:t>)</w:t>
      </w:r>
      <w:r w:rsidRPr="00F949D8">
        <w:rPr>
          <w:rFonts w:ascii="Times New Roman" w:eastAsia="Times New Roman" w:hAnsi="Times New Roman" w:cs="Times New Roman"/>
          <w:b/>
          <w:noProof/>
        </w:rPr>
        <w:tab/>
      </w:r>
      <w:r w:rsidR="001C5967" w:rsidRPr="001C5967">
        <w:rPr>
          <w:rFonts w:ascii="Times New Roman" w:eastAsia="Times New Roman" w:hAnsi="Times New Roman" w:cs="Times New Roman"/>
          <w:noProof/>
          <w:lang w:val="en-GB"/>
        </w:rPr>
        <w:t xml:space="preserve">The part of the Register relating to apparatus licences must contain the details set out in this </w:t>
      </w:r>
      <w:r w:rsidR="001C6D13">
        <w:rPr>
          <w:rFonts w:ascii="Times New Roman" w:eastAsia="Times New Roman" w:hAnsi="Times New Roman" w:cs="Times New Roman"/>
          <w:noProof/>
          <w:lang w:val="en-GB"/>
        </w:rPr>
        <w:t>section</w:t>
      </w:r>
      <w:r w:rsidR="001C5967" w:rsidRPr="001C5967">
        <w:rPr>
          <w:rFonts w:ascii="Times New Roman" w:eastAsia="Times New Roman" w:hAnsi="Times New Roman" w:cs="Times New Roman"/>
          <w:noProof/>
          <w:lang w:val="en-GB"/>
        </w:rPr>
        <w:t xml:space="preserve"> about each apparatus licence and the devices operated under the licence.</w:t>
      </w:r>
    </w:p>
    <w:p w:rsidR="001C5967" w:rsidRPr="005767D9" w:rsidRDefault="001C5967" w:rsidP="001C5967">
      <w:pPr>
        <w:pStyle w:val="notetext"/>
      </w:pPr>
      <w:r w:rsidRPr="005767D9">
        <w:t>Note:</w:t>
      </w:r>
      <w:r w:rsidRPr="005767D9">
        <w:tab/>
      </w:r>
      <w:r w:rsidR="00547BA0" w:rsidRPr="00547BA0">
        <w:rPr>
          <w:lang w:val="en-GB"/>
        </w:rPr>
        <w:t>Under paragraphs 147(1</w:t>
      </w:r>
      <w:proofErr w:type="gramStart"/>
      <w:r w:rsidR="00547BA0" w:rsidRPr="00547BA0">
        <w:rPr>
          <w:lang w:val="en-GB"/>
        </w:rPr>
        <w:t>)(</w:t>
      </w:r>
      <w:proofErr w:type="gramEnd"/>
      <w:r w:rsidR="00547BA0" w:rsidRPr="00547BA0">
        <w:rPr>
          <w:lang w:val="en-GB"/>
        </w:rPr>
        <w:t>a) and (b) of the Act, the Register must contain, for each apparatus licence, the licensee’s name and postal address, and the dates of issue and expiry of the licence.  The further details mentioned in subsection</w:t>
      </w:r>
      <w:r w:rsidR="00230961">
        <w:rPr>
          <w:lang w:val="en-GB"/>
        </w:rPr>
        <w:t>s</w:t>
      </w:r>
      <w:r w:rsidR="00547BA0" w:rsidRPr="00547BA0">
        <w:rPr>
          <w:lang w:val="en-GB"/>
        </w:rPr>
        <w:t xml:space="preserve"> </w:t>
      </w:r>
      <w:r w:rsidR="00A161AB">
        <w:rPr>
          <w:lang w:val="en-GB"/>
        </w:rPr>
        <w:t>10</w:t>
      </w:r>
      <w:r w:rsidR="00547BA0" w:rsidRPr="00547BA0">
        <w:rPr>
          <w:lang w:val="en-GB"/>
        </w:rPr>
        <w:t>(2)</w:t>
      </w:r>
      <w:r w:rsidR="00230961">
        <w:rPr>
          <w:lang w:val="en-GB"/>
        </w:rPr>
        <w:t xml:space="preserve"> to </w:t>
      </w:r>
      <w:r w:rsidR="00A161AB">
        <w:rPr>
          <w:lang w:val="en-GB"/>
        </w:rPr>
        <w:t>10</w:t>
      </w:r>
      <w:r w:rsidR="00230961">
        <w:rPr>
          <w:lang w:val="en-GB"/>
        </w:rPr>
        <w:t>(7)</w:t>
      </w:r>
      <w:r w:rsidR="00547BA0" w:rsidRPr="00547BA0">
        <w:rPr>
          <w:lang w:val="en-GB"/>
        </w:rPr>
        <w:t xml:space="preserve"> </w:t>
      </w:r>
      <w:r w:rsidR="00C25A84" w:rsidRPr="00547BA0">
        <w:rPr>
          <w:lang w:val="en-GB"/>
        </w:rPr>
        <w:t>have been determined by the ACMA under paragraphs 147(1)(c), (d) or (e) of the Act, as the case may be</w:t>
      </w:r>
      <w:r w:rsidR="00EF0C39">
        <w:rPr>
          <w:lang w:val="en-GB"/>
        </w:rPr>
        <w:t>,</w:t>
      </w:r>
      <w:r w:rsidR="00C25A84" w:rsidRPr="00547BA0">
        <w:rPr>
          <w:lang w:val="en-GB"/>
        </w:rPr>
        <w:t xml:space="preserve"> </w:t>
      </w:r>
      <w:r w:rsidR="00C25A84">
        <w:rPr>
          <w:lang w:val="en-GB"/>
        </w:rPr>
        <w:t xml:space="preserve">or are otherwise </w:t>
      </w:r>
      <w:r w:rsidR="00547BA0" w:rsidRPr="00547BA0">
        <w:rPr>
          <w:lang w:val="en-GB"/>
        </w:rPr>
        <w:t>consider</w:t>
      </w:r>
      <w:r w:rsidR="00C25A84">
        <w:rPr>
          <w:lang w:val="en-GB"/>
        </w:rPr>
        <w:t>ed</w:t>
      </w:r>
      <w:r w:rsidR="00547BA0" w:rsidRPr="00547BA0">
        <w:rPr>
          <w:lang w:val="en-GB"/>
        </w:rPr>
        <w:t xml:space="preserve"> </w:t>
      </w:r>
      <w:r w:rsidR="00C25A84">
        <w:rPr>
          <w:lang w:val="en-GB"/>
        </w:rPr>
        <w:t xml:space="preserve">to be </w:t>
      </w:r>
      <w:r w:rsidR="001F7515">
        <w:rPr>
          <w:lang w:val="en-GB"/>
        </w:rPr>
        <w:t>details necessary or convenient for</w:t>
      </w:r>
      <w:r w:rsidR="00547BA0" w:rsidRPr="00547BA0">
        <w:rPr>
          <w:lang w:val="en-GB"/>
        </w:rPr>
        <w:t xml:space="preserve"> the purposes of the Act: see subsection 147(2) of the Act.  </w:t>
      </w:r>
    </w:p>
    <w:p w:rsidR="00643269" w:rsidRPr="00643269" w:rsidRDefault="00616083" w:rsidP="00643269">
      <w:pPr>
        <w:pStyle w:val="subsection"/>
        <w:ind w:left="1140" w:hanging="289"/>
        <w:rPr>
          <w:noProof/>
          <w:lang w:val="en-GB"/>
        </w:rPr>
      </w:pPr>
      <w:r w:rsidRPr="00F949D8">
        <w:rPr>
          <w:noProof/>
        </w:rPr>
        <w:t>(</w:t>
      </w:r>
      <w:r>
        <w:rPr>
          <w:noProof/>
        </w:rPr>
        <w:t>2</w:t>
      </w:r>
      <w:r w:rsidRPr="00F949D8">
        <w:rPr>
          <w:noProof/>
        </w:rPr>
        <w:t>)</w:t>
      </w:r>
      <w:r w:rsidRPr="00F949D8">
        <w:rPr>
          <w:b/>
          <w:noProof/>
        </w:rPr>
        <w:tab/>
      </w:r>
      <w:r w:rsidR="00643269" w:rsidRPr="00643269">
        <w:rPr>
          <w:noProof/>
          <w:lang w:val="en-GB"/>
        </w:rPr>
        <w:t>The details about each licensee of an apparatus licence are:</w:t>
      </w:r>
    </w:p>
    <w:p w:rsidR="00643269" w:rsidRPr="00643269" w:rsidRDefault="00643269" w:rsidP="00643269">
      <w:pPr>
        <w:pStyle w:val="subsection"/>
        <w:spacing w:before="60" w:after="60"/>
        <w:ind w:left="1140" w:hanging="6"/>
        <w:rPr>
          <w:noProof/>
          <w:lang w:val="en-GB"/>
        </w:rPr>
      </w:pPr>
      <w:r w:rsidRPr="00643269">
        <w:rPr>
          <w:noProof/>
          <w:lang w:val="en-GB"/>
        </w:rPr>
        <w:t>(a) the client number assigned by the ACMA to the licensee;</w:t>
      </w:r>
    </w:p>
    <w:p w:rsidR="00643269" w:rsidRPr="00643269" w:rsidRDefault="00643269" w:rsidP="00643269">
      <w:pPr>
        <w:pStyle w:val="subsection"/>
        <w:spacing w:before="60" w:after="60"/>
        <w:ind w:left="1140" w:hanging="6"/>
        <w:rPr>
          <w:noProof/>
          <w:lang w:val="en-GB"/>
        </w:rPr>
      </w:pPr>
      <w:r w:rsidRPr="00643269">
        <w:rPr>
          <w:noProof/>
          <w:lang w:val="en-GB"/>
        </w:rPr>
        <w:t>(b) the licensee’s trading name (if any);</w:t>
      </w:r>
      <w:r w:rsidR="00210711">
        <w:rPr>
          <w:noProof/>
          <w:lang w:val="en-GB"/>
        </w:rPr>
        <w:t xml:space="preserve"> and</w:t>
      </w:r>
    </w:p>
    <w:p w:rsidR="00643269" w:rsidRPr="00643269" w:rsidRDefault="00643269" w:rsidP="00643269">
      <w:pPr>
        <w:pStyle w:val="subsection"/>
        <w:spacing w:before="60" w:after="60"/>
        <w:ind w:left="1140" w:hanging="6"/>
        <w:rPr>
          <w:noProof/>
          <w:lang w:val="en-GB"/>
        </w:rPr>
      </w:pPr>
      <w:r w:rsidRPr="00643269">
        <w:rPr>
          <w:noProof/>
          <w:lang w:val="en-GB"/>
        </w:rPr>
        <w:t>(c) if the licensee is a company—</w:t>
      </w:r>
      <w:r w:rsidR="00496B54">
        <w:rPr>
          <w:noProof/>
          <w:lang w:val="en-GB"/>
        </w:rPr>
        <w:t>its ACN</w:t>
      </w:r>
      <w:r w:rsidRPr="00643269">
        <w:rPr>
          <w:noProof/>
          <w:lang w:val="en-GB"/>
        </w:rPr>
        <w:t>.</w:t>
      </w:r>
    </w:p>
    <w:p w:rsidR="00A83BE1" w:rsidRPr="00A83BE1" w:rsidRDefault="00A83BE1" w:rsidP="00A83BE1">
      <w:pPr>
        <w:pStyle w:val="subsection"/>
        <w:ind w:left="1140" w:hanging="289"/>
        <w:rPr>
          <w:b/>
          <w:noProof/>
          <w:lang w:val="en-GB"/>
        </w:rPr>
      </w:pPr>
      <w:r w:rsidRPr="00F949D8">
        <w:rPr>
          <w:noProof/>
        </w:rPr>
        <w:t>(</w:t>
      </w:r>
      <w:r>
        <w:rPr>
          <w:noProof/>
        </w:rPr>
        <w:t>3</w:t>
      </w:r>
      <w:r w:rsidRPr="00F949D8">
        <w:rPr>
          <w:noProof/>
        </w:rPr>
        <w:t>)</w:t>
      </w:r>
      <w:r w:rsidRPr="00F949D8">
        <w:rPr>
          <w:b/>
          <w:noProof/>
        </w:rPr>
        <w:tab/>
      </w:r>
      <w:r w:rsidRPr="00A83BE1">
        <w:rPr>
          <w:noProof/>
          <w:lang w:val="en-GB"/>
        </w:rPr>
        <w:t>The details about each apparatus licence are:</w:t>
      </w:r>
    </w:p>
    <w:p w:rsidR="00A83BE1" w:rsidRPr="00A83BE1" w:rsidRDefault="00A83BE1" w:rsidP="00A83BE1">
      <w:pPr>
        <w:pStyle w:val="subsection"/>
        <w:spacing w:before="60" w:after="60"/>
        <w:ind w:left="1140" w:hanging="6"/>
        <w:rPr>
          <w:noProof/>
          <w:lang w:val="en-GB"/>
        </w:rPr>
      </w:pPr>
      <w:r w:rsidRPr="00A83BE1">
        <w:rPr>
          <w:noProof/>
          <w:lang w:val="en-GB"/>
        </w:rPr>
        <w:t>(a) the licence number;</w:t>
      </w:r>
    </w:p>
    <w:p w:rsidR="00765A20" w:rsidRDefault="00A83BE1" w:rsidP="00765A20">
      <w:pPr>
        <w:pStyle w:val="subsection"/>
        <w:spacing w:before="60" w:after="60"/>
        <w:ind w:left="1140" w:hanging="6"/>
        <w:rPr>
          <w:noProof/>
          <w:lang w:val="en-GB"/>
        </w:rPr>
      </w:pPr>
      <w:r w:rsidRPr="00A83BE1">
        <w:rPr>
          <w:noProof/>
          <w:lang w:val="en-GB"/>
        </w:rPr>
        <w:t xml:space="preserve">(b) </w:t>
      </w:r>
      <w:r w:rsidR="00765A20">
        <w:rPr>
          <w:noProof/>
          <w:lang w:val="en-GB"/>
        </w:rPr>
        <w:t>the date of effect;</w:t>
      </w:r>
    </w:p>
    <w:p w:rsidR="00A83BE1" w:rsidRPr="00A83BE1" w:rsidRDefault="00765A20" w:rsidP="00765A20">
      <w:pPr>
        <w:pStyle w:val="subsection"/>
        <w:spacing w:before="60" w:after="60"/>
        <w:ind w:left="1140" w:hanging="6"/>
        <w:rPr>
          <w:noProof/>
          <w:lang w:val="en-GB"/>
        </w:rPr>
      </w:pPr>
      <w:r>
        <w:rPr>
          <w:noProof/>
          <w:lang w:val="en-GB"/>
        </w:rPr>
        <w:t xml:space="preserve">(c) </w:t>
      </w:r>
      <w:r w:rsidR="00A83BE1" w:rsidRPr="00A83BE1">
        <w:rPr>
          <w:noProof/>
          <w:lang w:val="en-GB"/>
        </w:rPr>
        <w:t>the licence callsign;</w:t>
      </w:r>
    </w:p>
    <w:p w:rsidR="00A83BE1" w:rsidRPr="00A83BE1" w:rsidRDefault="00A83BE1" w:rsidP="00A83BE1">
      <w:pPr>
        <w:pStyle w:val="subsection"/>
        <w:spacing w:before="60" w:after="60"/>
        <w:ind w:left="1140" w:hanging="6"/>
        <w:rPr>
          <w:noProof/>
          <w:lang w:val="en-GB"/>
        </w:rPr>
      </w:pPr>
      <w:r w:rsidRPr="00A83BE1">
        <w:rPr>
          <w:noProof/>
          <w:lang w:val="en-GB"/>
        </w:rPr>
        <w:t>(</w:t>
      </w:r>
      <w:r w:rsidR="00765A20">
        <w:rPr>
          <w:noProof/>
          <w:lang w:val="en-GB"/>
        </w:rPr>
        <w:t>d</w:t>
      </w:r>
      <w:r w:rsidRPr="00A83BE1">
        <w:rPr>
          <w:noProof/>
          <w:lang w:val="en-GB"/>
        </w:rPr>
        <w:t>) the licence type;</w:t>
      </w:r>
    </w:p>
    <w:p w:rsidR="00A83BE1" w:rsidRPr="00A83BE1" w:rsidRDefault="00A83BE1" w:rsidP="00A83BE1">
      <w:pPr>
        <w:pStyle w:val="subsection"/>
        <w:spacing w:before="60" w:after="60"/>
        <w:ind w:left="1140" w:hanging="6"/>
        <w:rPr>
          <w:noProof/>
          <w:lang w:val="en-GB"/>
        </w:rPr>
      </w:pPr>
      <w:r w:rsidRPr="00A83BE1">
        <w:rPr>
          <w:noProof/>
          <w:lang w:val="en-GB"/>
        </w:rPr>
        <w:t>(</w:t>
      </w:r>
      <w:r w:rsidR="00765A20">
        <w:rPr>
          <w:noProof/>
          <w:lang w:val="en-GB"/>
        </w:rPr>
        <w:t>e</w:t>
      </w:r>
      <w:r w:rsidRPr="00A83BE1">
        <w:rPr>
          <w:noProof/>
          <w:lang w:val="en-GB"/>
        </w:rPr>
        <w:t>) the status of the licence (for example, whether the licence is suspended);</w:t>
      </w:r>
    </w:p>
    <w:p w:rsidR="00A83BE1" w:rsidRPr="00A83BE1" w:rsidRDefault="00A83BE1" w:rsidP="00A83BE1">
      <w:pPr>
        <w:pStyle w:val="subsection"/>
        <w:spacing w:before="60" w:after="60"/>
        <w:ind w:left="1140" w:hanging="6"/>
        <w:rPr>
          <w:noProof/>
          <w:lang w:val="en-GB"/>
        </w:rPr>
      </w:pPr>
      <w:r w:rsidRPr="00A83BE1">
        <w:rPr>
          <w:noProof/>
          <w:lang w:val="en-GB"/>
        </w:rPr>
        <w:t>(</w:t>
      </w:r>
      <w:r w:rsidR="00765A20">
        <w:rPr>
          <w:noProof/>
          <w:lang w:val="en-GB"/>
        </w:rPr>
        <w:t>f</w:t>
      </w:r>
      <w:r w:rsidRPr="00A83BE1">
        <w:rPr>
          <w:noProof/>
          <w:lang w:val="en-GB"/>
        </w:rPr>
        <w:t>) the ship station name (where applicable);</w:t>
      </w:r>
    </w:p>
    <w:p w:rsidR="00A83BE1" w:rsidRPr="00A83BE1" w:rsidRDefault="00A83BE1" w:rsidP="00A83BE1">
      <w:pPr>
        <w:pStyle w:val="subsection"/>
        <w:spacing w:before="60" w:after="60"/>
        <w:ind w:left="1140" w:hanging="6"/>
        <w:rPr>
          <w:noProof/>
          <w:lang w:val="en-GB"/>
        </w:rPr>
      </w:pPr>
      <w:r w:rsidRPr="00A83BE1">
        <w:rPr>
          <w:noProof/>
          <w:lang w:val="en-GB"/>
        </w:rPr>
        <w:t>(</w:t>
      </w:r>
      <w:r w:rsidR="00765A20">
        <w:rPr>
          <w:noProof/>
          <w:lang w:val="en-GB"/>
        </w:rPr>
        <w:t>g</w:t>
      </w:r>
      <w:r w:rsidRPr="00A83BE1">
        <w:rPr>
          <w:noProof/>
          <w:lang w:val="en-GB"/>
        </w:rPr>
        <w:t>) the special conditions in the licence (if any);</w:t>
      </w:r>
      <w:r w:rsidR="00765A20">
        <w:rPr>
          <w:noProof/>
          <w:lang w:val="en-GB"/>
        </w:rPr>
        <w:t xml:space="preserve"> and</w:t>
      </w:r>
    </w:p>
    <w:p w:rsidR="00A83BE1" w:rsidRDefault="00A83BE1" w:rsidP="00B12A7E">
      <w:pPr>
        <w:pStyle w:val="subsection"/>
        <w:spacing w:before="60" w:after="60"/>
        <w:ind w:left="1140" w:hanging="6"/>
        <w:rPr>
          <w:noProof/>
          <w:lang w:val="en-GB"/>
        </w:rPr>
      </w:pPr>
      <w:r w:rsidRPr="00A83BE1">
        <w:rPr>
          <w:noProof/>
          <w:lang w:val="en-GB"/>
        </w:rPr>
        <w:t>(</w:t>
      </w:r>
      <w:r w:rsidR="00765A20">
        <w:rPr>
          <w:noProof/>
          <w:lang w:val="en-GB"/>
        </w:rPr>
        <w:t>h</w:t>
      </w:r>
      <w:r w:rsidRPr="00A83BE1">
        <w:rPr>
          <w:noProof/>
          <w:lang w:val="en-GB"/>
        </w:rPr>
        <w:t>) the advisory notes in the licence (if any)</w:t>
      </w:r>
      <w:r w:rsidR="00765A20">
        <w:rPr>
          <w:noProof/>
          <w:lang w:val="en-GB"/>
        </w:rPr>
        <w:t>.</w:t>
      </w:r>
    </w:p>
    <w:p w:rsidR="00A83BE1" w:rsidRDefault="00776F34" w:rsidP="002D46D9">
      <w:pPr>
        <w:pStyle w:val="subsection"/>
        <w:ind w:left="1140" w:hanging="289"/>
        <w:rPr>
          <w:noProof/>
          <w:lang w:val="en-GB"/>
        </w:rPr>
      </w:pPr>
      <w:r>
        <w:rPr>
          <w:noProof/>
          <w:lang w:val="en-GB"/>
        </w:rPr>
        <w:lastRenderedPageBreak/>
        <w:t xml:space="preserve">(4) </w:t>
      </w:r>
      <w:r w:rsidR="002D46D9" w:rsidRPr="001C5967">
        <w:rPr>
          <w:noProof/>
          <w:lang w:val="en-GB"/>
        </w:rPr>
        <w:t xml:space="preserve">The </w:t>
      </w:r>
      <w:r w:rsidR="004E6E69">
        <w:rPr>
          <w:noProof/>
          <w:lang w:val="en-GB"/>
        </w:rPr>
        <w:t>details about the u</w:t>
      </w:r>
      <w:r w:rsidR="002D46D9">
        <w:rPr>
          <w:noProof/>
          <w:lang w:val="en-GB"/>
        </w:rPr>
        <w:t>se of the spectrum by each device authorised to be operated under the licence are</w:t>
      </w:r>
      <w:r w:rsidR="00F15FD3">
        <w:rPr>
          <w:noProof/>
          <w:lang w:val="en-GB"/>
        </w:rPr>
        <w:t>:</w:t>
      </w:r>
    </w:p>
    <w:p w:rsidR="00F15FD3" w:rsidRPr="00F15FD3" w:rsidRDefault="00F15FD3" w:rsidP="00F15FD3">
      <w:pPr>
        <w:pStyle w:val="Jeanpara"/>
        <w:spacing w:before="60" w:after="60"/>
        <w:ind w:left="1400" w:hanging="266"/>
        <w:rPr>
          <w:sz w:val="22"/>
          <w:szCs w:val="22"/>
        </w:rPr>
      </w:pPr>
      <w:r w:rsidRPr="00F15FD3">
        <w:rPr>
          <w:sz w:val="22"/>
          <w:szCs w:val="22"/>
        </w:rPr>
        <w:t xml:space="preserve">(a) </w:t>
      </w:r>
      <w:proofErr w:type="gramStart"/>
      <w:r w:rsidRPr="00F15FD3">
        <w:rPr>
          <w:sz w:val="22"/>
          <w:szCs w:val="22"/>
        </w:rPr>
        <w:t>the</w:t>
      </w:r>
      <w:proofErr w:type="gramEnd"/>
      <w:r w:rsidRPr="00F15FD3">
        <w:rPr>
          <w:sz w:val="22"/>
          <w:szCs w:val="22"/>
        </w:rPr>
        <w:t xml:space="preserve"> number assigned by the ACMA to that use;</w:t>
      </w:r>
    </w:p>
    <w:p w:rsidR="00F15FD3" w:rsidRPr="00F15FD3" w:rsidRDefault="00F15FD3" w:rsidP="00D901A8">
      <w:pPr>
        <w:pStyle w:val="Jeanpara"/>
        <w:spacing w:before="60" w:after="60"/>
        <w:ind w:left="1400" w:hanging="266"/>
        <w:rPr>
          <w:sz w:val="22"/>
          <w:szCs w:val="22"/>
        </w:rPr>
      </w:pPr>
      <w:r w:rsidRPr="00F15FD3">
        <w:rPr>
          <w:sz w:val="22"/>
          <w:szCs w:val="22"/>
        </w:rPr>
        <w:t xml:space="preserve">(b) </w:t>
      </w:r>
      <w:proofErr w:type="gramStart"/>
      <w:r w:rsidRPr="00F15FD3">
        <w:rPr>
          <w:sz w:val="22"/>
          <w:szCs w:val="22"/>
        </w:rPr>
        <w:t>the</w:t>
      </w:r>
      <w:proofErr w:type="gramEnd"/>
      <w:r w:rsidRPr="00F15FD3">
        <w:rPr>
          <w:sz w:val="22"/>
          <w:szCs w:val="22"/>
        </w:rPr>
        <w:t xml:space="preserve"> carrier frequency;</w:t>
      </w:r>
    </w:p>
    <w:p w:rsidR="00F15FD3" w:rsidRPr="00F15FD3" w:rsidRDefault="00F15FD3" w:rsidP="00D901A8">
      <w:pPr>
        <w:pStyle w:val="Jeanpara"/>
        <w:spacing w:before="60" w:after="60"/>
        <w:ind w:left="1400" w:hanging="266"/>
        <w:rPr>
          <w:sz w:val="22"/>
          <w:szCs w:val="22"/>
        </w:rPr>
      </w:pPr>
      <w:r w:rsidRPr="00F15FD3">
        <w:rPr>
          <w:sz w:val="22"/>
          <w:szCs w:val="22"/>
        </w:rPr>
        <w:t xml:space="preserve">(c) </w:t>
      </w:r>
      <w:proofErr w:type="gramStart"/>
      <w:r w:rsidRPr="00F15FD3">
        <w:rPr>
          <w:sz w:val="22"/>
          <w:szCs w:val="22"/>
        </w:rPr>
        <w:t>the</w:t>
      </w:r>
      <w:proofErr w:type="gramEnd"/>
      <w:r w:rsidRPr="00F15FD3">
        <w:rPr>
          <w:sz w:val="22"/>
          <w:szCs w:val="22"/>
        </w:rPr>
        <w:t xml:space="preserve"> assigned frequency;</w:t>
      </w:r>
    </w:p>
    <w:p w:rsidR="00F15FD3" w:rsidRDefault="004E6E69" w:rsidP="00D901A8">
      <w:pPr>
        <w:pStyle w:val="Jeanpara"/>
        <w:spacing w:before="60" w:after="60"/>
        <w:ind w:left="1400" w:hanging="266"/>
        <w:rPr>
          <w:sz w:val="22"/>
          <w:szCs w:val="22"/>
        </w:rPr>
      </w:pPr>
      <w:r>
        <w:rPr>
          <w:sz w:val="22"/>
          <w:szCs w:val="22"/>
        </w:rPr>
        <w:t xml:space="preserve">(d) </w:t>
      </w:r>
      <w:proofErr w:type="gramStart"/>
      <w:r w:rsidR="00F15FD3" w:rsidRPr="00F15FD3">
        <w:rPr>
          <w:sz w:val="22"/>
          <w:szCs w:val="22"/>
        </w:rPr>
        <w:t>the</w:t>
      </w:r>
      <w:proofErr w:type="gramEnd"/>
      <w:r w:rsidR="00F15FD3" w:rsidRPr="00F15FD3">
        <w:rPr>
          <w:sz w:val="22"/>
          <w:szCs w:val="22"/>
        </w:rPr>
        <w:t xml:space="preserve"> bandwidth</w:t>
      </w:r>
      <w:r>
        <w:rPr>
          <w:sz w:val="22"/>
          <w:szCs w:val="22"/>
        </w:rPr>
        <w:t>;</w:t>
      </w:r>
    </w:p>
    <w:p w:rsidR="00F15FD3" w:rsidRPr="00F15FD3" w:rsidRDefault="00F15FD3" w:rsidP="00D901A8">
      <w:pPr>
        <w:pStyle w:val="Jeanpara"/>
        <w:spacing w:before="60" w:after="60"/>
        <w:ind w:left="1400" w:hanging="266"/>
        <w:rPr>
          <w:sz w:val="22"/>
          <w:szCs w:val="22"/>
        </w:rPr>
      </w:pPr>
      <w:r w:rsidRPr="00F15FD3">
        <w:rPr>
          <w:sz w:val="22"/>
          <w:szCs w:val="22"/>
        </w:rPr>
        <w:t>(</w:t>
      </w:r>
      <w:r w:rsidR="004E6E69">
        <w:rPr>
          <w:sz w:val="22"/>
          <w:szCs w:val="22"/>
        </w:rPr>
        <w:t>e</w:t>
      </w:r>
      <w:r w:rsidRPr="00F15FD3">
        <w:rPr>
          <w:sz w:val="22"/>
          <w:szCs w:val="22"/>
        </w:rPr>
        <w:t xml:space="preserve">) </w:t>
      </w:r>
      <w:proofErr w:type="gramStart"/>
      <w:r w:rsidRPr="00F15FD3">
        <w:rPr>
          <w:sz w:val="22"/>
          <w:szCs w:val="22"/>
        </w:rPr>
        <w:t>the</w:t>
      </w:r>
      <w:proofErr w:type="gramEnd"/>
      <w:r w:rsidRPr="00F15FD3">
        <w:rPr>
          <w:sz w:val="22"/>
          <w:szCs w:val="22"/>
        </w:rPr>
        <w:t xml:space="preserve"> status (that is, whether approved or not);</w:t>
      </w:r>
    </w:p>
    <w:p w:rsidR="00F15FD3" w:rsidRPr="00F15FD3" w:rsidRDefault="00F15FD3" w:rsidP="00D901A8">
      <w:pPr>
        <w:pStyle w:val="Jeanpara"/>
        <w:spacing w:before="60" w:after="60"/>
        <w:ind w:left="1400" w:hanging="266"/>
        <w:rPr>
          <w:sz w:val="22"/>
          <w:szCs w:val="22"/>
        </w:rPr>
      </w:pPr>
      <w:r w:rsidRPr="00F15FD3">
        <w:rPr>
          <w:sz w:val="22"/>
          <w:szCs w:val="22"/>
        </w:rPr>
        <w:t>(</w:t>
      </w:r>
      <w:r w:rsidR="004E6E69">
        <w:rPr>
          <w:sz w:val="22"/>
          <w:szCs w:val="22"/>
        </w:rPr>
        <w:t>f</w:t>
      </w:r>
      <w:r w:rsidRPr="00F15FD3">
        <w:rPr>
          <w:sz w:val="22"/>
          <w:szCs w:val="22"/>
        </w:rPr>
        <w:t xml:space="preserve">) </w:t>
      </w:r>
      <w:proofErr w:type="gramStart"/>
      <w:r w:rsidRPr="00F15FD3">
        <w:rPr>
          <w:sz w:val="22"/>
          <w:szCs w:val="22"/>
        </w:rPr>
        <w:t>the</w:t>
      </w:r>
      <w:proofErr w:type="gramEnd"/>
      <w:r w:rsidRPr="00F15FD3">
        <w:rPr>
          <w:sz w:val="22"/>
          <w:szCs w:val="22"/>
        </w:rPr>
        <w:t xml:space="preserve"> hours of operation of the device;</w:t>
      </w:r>
    </w:p>
    <w:p w:rsidR="00F15FD3" w:rsidRPr="00F15FD3" w:rsidRDefault="004E6E69" w:rsidP="00D901A8">
      <w:pPr>
        <w:pStyle w:val="Jeanpara"/>
        <w:spacing w:before="60" w:after="60"/>
        <w:ind w:left="1400" w:hanging="266"/>
        <w:rPr>
          <w:sz w:val="22"/>
          <w:szCs w:val="22"/>
        </w:rPr>
      </w:pPr>
      <w:r>
        <w:rPr>
          <w:sz w:val="22"/>
          <w:szCs w:val="22"/>
        </w:rPr>
        <w:t>(g</w:t>
      </w:r>
      <w:r w:rsidR="00F15FD3" w:rsidRPr="00F15FD3">
        <w:rPr>
          <w:sz w:val="22"/>
          <w:szCs w:val="22"/>
        </w:rPr>
        <w:t xml:space="preserve">) </w:t>
      </w:r>
      <w:proofErr w:type="gramStart"/>
      <w:r w:rsidR="00F15FD3" w:rsidRPr="00F15FD3">
        <w:rPr>
          <w:sz w:val="22"/>
          <w:szCs w:val="22"/>
        </w:rPr>
        <w:t>the</w:t>
      </w:r>
      <w:proofErr w:type="gramEnd"/>
      <w:r w:rsidR="00F15FD3" w:rsidRPr="00F15FD3">
        <w:rPr>
          <w:sz w:val="22"/>
          <w:szCs w:val="22"/>
        </w:rPr>
        <w:t xml:space="preserve"> date the use of the spectrum was approved;</w:t>
      </w:r>
    </w:p>
    <w:p w:rsidR="00F15FD3" w:rsidRPr="00F15FD3" w:rsidRDefault="00F15FD3" w:rsidP="00D901A8">
      <w:pPr>
        <w:pStyle w:val="Jeanpara"/>
        <w:spacing w:before="60" w:after="60"/>
        <w:ind w:left="1400" w:hanging="266"/>
        <w:rPr>
          <w:sz w:val="22"/>
          <w:szCs w:val="22"/>
        </w:rPr>
      </w:pPr>
      <w:r w:rsidRPr="00F15FD3">
        <w:rPr>
          <w:sz w:val="22"/>
          <w:szCs w:val="22"/>
        </w:rPr>
        <w:t>(</w:t>
      </w:r>
      <w:r w:rsidR="004E6E69">
        <w:rPr>
          <w:sz w:val="22"/>
          <w:szCs w:val="22"/>
        </w:rPr>
        <w:t>h</w:t>
      </w:r>
      <w:r w:rsidRPr="00F15FD3">
        <w:rPr>
          <w:sz w:val="22"/>
          <w:szCs w:val="22"/>
        </w:rPr>
        <w:t xml:space="preserve">) </w:t>
      </w:r>
      <w:proofErr w:type="gramStart"/>
      <w:r w:rsidRPr="00F15FD3">
        <w:rPr>
          <w:sz w:val="22"/>
          <w:szCs w:val="22"/>
        </w:rPr>
        <w:t>if</w:t>
      </w:r>
      <w:proofErr w:type="gramEnd"/>
      <w:r w:rsidRPr="00F15FD3">
        <w:rPr>
          <w:sz w:val="22"/>
          <w:szCs w:val="22"/>
        </w:rPr>
        <w:t xml:space="preserve"> the operation of the device is related to a geographic area—that area;</w:t>
      </w:r>
    </w:p>
    <w:p w:rsidR="00F15FD3" w:rsidRPr="00F15FD3" w:rsidRDefault="00F15FD3" w:rsidP="00D901A8">
      <w:pPr>
        <w:pStyle w:val="Jeanpara"/>
        <w:spacing w:before="60" w:after="60"/>
        <w:ind w:left="1400" w:hanging="266"/>
        <w:rPr>
          <w:sz w:val="22"/>
          <w:szCs w:val="22"/>
        </w:rPr>
      </w:pPr>
      <w:r w:rsidRPr="00F15FD3">
        <w:rPr>
          <w:sz w:val="22"/>
          <w:szCs w:val="22"/>
        </w:rPr>
        <w:t>(</w:t>
      </w:r>
      <w:r w:rsidR="004E6E69">
        <w:rPr>
          <w:sz w:val="22"/>
          <w:szCs w:val="22"/>
        </w:rPr>
        <w:t>i</w:t>
      </w:r>
      <w:r w:rsidRPr="00F15FD3">
        <w:rPr>
          <w:sz w:val="22"/>
          <w:szCs w:val="22"/>
        </w:rPr>
        <w:t xml:space="preserve">) </w:t>
      </w:r>
      <w:proofErr w:type="gramStart"/>
      <w:r w:rsidRPr="00F15FD3">
        <w:rPr>
          <w:sz w:val="22"/>
          <w:szCs w:val="22"/>
        </w:rPr>
        <w:t>whether</w:t>
      </w:r>
      <w:proofErr w:type="gramEnd"/>
      <w:r w:rsidRPr="00F15FD3">
        <w:rPr>
          <w:sz w:val="22"/>
          <w:szCs w:val="22"/>
        </w:rPr>
        <w:t xml:space="preserve"> the coverage is by means of a low power </w:t>
      </w:r>
      <w:r w:rsidR="00097568">
        <w:rPr>
          <w:sz w:val="22"/>
          <w:szCs w:val="22"/>
        </w:rPr>
        <w:t xml:space="preserve">spectrum </w:t>
      </w:r>
      <w:r w:rsidRPr="00F15FD3">
        <w:rPr>
          <w:sz w:val="22"/>
          <w:szCs w:val="22"/>
        </w:rPr>
        <w:t>a</w:t>
      </w:r>
      <w:r w:rsidR="00C14BBB">
        <w:rPr>
          <w:sz w:val="22"/>
          <w:szCs w:val="22"/>
        </w:rPr>
        <w:t>ccess</w:t>
      </w:r>
      <w:r w:rsidR="002651B4">
        <w:rPr>
          <w:sz w:val="22"/>
          <w:szCs w:val="22"/>
        </w:rPr>
        <w:t xml:space="preserve"> within the meaning of </w:t>
      </w:r>
      <w:r w:rsidR="004466D1">
        <w:rPr>
          <w:sz w:val="22"/>
          <w:szCs w:val="22"/>
        </w:rPr>
        <w:t xml:space="preserve">that term in </w:t>
      </w:r>
      <w:r w:rsidR="002651B4">
        <w:rPr>
          <w:sz w:val="22"/>
          <w:szCs w:val="22"/>
        </w:rPr>
        <w:t xml:space="preserve">the </w:t>
      </w:r>
      <w:r w:rsidRPr="00F15FD3">
        <w:rPr>
          <w:i/>
          <w:sz w:val="22"/>
          <w:szCs w:val="22"/>
        </w:rPr>
        <w:t>Radiocommunications (Transmitter Licence Tax) Determination 2015</w:t>
      </w:r>
      <w:r w:rsidRPr="00F15FD3">
        <w:rPr>
          <w:sz w:val="22"/>
          <w:szCs w:val="22"/>
        </w:rPr>
        <w:t>;</w:t>
      </w:r>
      <w:r w:rsidR="00C14BBB">
        <w:rPr>
          <w:sz w:val="22"/>
          <w:szCs w:val="22"/>
        </w:rPr>
        <w:t xml:space="preserve"> and</w:t>
      </w:r>
    </w:p>
    <w:p w:rsidR="00F15FD3" w:rsidRPr="00F15FD3" w:rsidRDefault="00AB1200" w:rsidP="00D901A8">
      <w:pPr>
        <w:pStyle w:val="Jeanpara"/>
        <w:spacing w:after="60"/>
        <w:ind w:left="1400" w:hanging="266"/>
        <w:rPr>
          <w:sz w:val="22"/>
          <w:szCs w:val="22"/>
        </w:rPr>
      </w:pPr>
      <w:r>
        <w:rPr>
          <w:sz w:val="22"/>
          <w:szCs w:val="22"/>
        </w:rPr>
        <w:t>(j</w:t>
      </w:r>
      <w:r w:rsidR="00F15FD3" w:rsidRPr="00F15FD3">
        <w:rPr>
          <w:sz w:val="22"/>
          <w:szCs w:val="22"/>
        </w:rPr>
        <w:t xml:space="preserve">) </w:t>
      </w:r>
      <w:proofErr w:type="gramStart"/>
      <w:r w:rsidR="00F15FD3" w:rsidRPr="00F15FD3">
        <w:rPr>
          <w:sz w:val="22"/>
          <w:szCs w:val="22"/>
        </w:rPr>
        <w:t>the</w:t>
      </w:r>
      <w:proofErr w:type="gramEnd"/>
      <w:r w:rsidR="00F15FD3" w:rsidRPr="00F15FD3">
        <w:rPr>
          <w:sz w:val="22"/>
          <w:szCs w:val="22"/>
        </w:rPr>
        <w:t xml:space="preserve"> identifier allotted by the International Telecommunication Union </w:t>
      </w:r>
      <w:proofErr w:type="spellStart"/>
      <w:r w:rsidR="00F15FD3" w:rsidRPr="00F15FD3">
        <w:rPr>
          <w:sz w:val="22"/>
          <w:szCs w:val="22"/>
        </w:rPr>
        <w:t>Radiocommunication</w:t>
      </w:r>
      <w:proofErr w:type="spellEnd"/>
      <w:r w:rsidR="00F15FD3" w:rsidRPr="00F15FD3">
        <w:rPr>
          <w:sz w:val="22"/>
          <w:szCs w:val="22"/>
        </w:rPr>
        <w:t xml:space="preserve"> Bureau.</w:t>
      </w:r>
    </w:p>
    <w:p w:rsidR="00AB1200" w:rsidRPr="00AB1200" w:rsidRDefault="00AB1200" w:rsidP="006D5253">
      <w:pPr>
        <w:spacing w:before="180" w:after="0"/>
        <w:ind w:left="567" w:firstLine="284"/>
        <w:rPr>
          <w:rFonts w:ascii="Times New Roman" w:hAnsi="Times New Roman" w:cs="Times New Roman"/>
        </w:rPr>
      </w:pPr>
      <w:r w:rsidRPr="00AB1200">
        <w:rPr>
          <w:rFonts w:ascii="Times New Roman" w:hAnsi="Times New Roman" w:cs="Times New Roman"/>
        </w:rPr>
        <w:t>(5)</w:t>
      </w:r>
      <w:r w:rsidRPr="00AB1200">
        <w:rPr>
          <w:rFonts w:ascii="Times New Roman" w:hAnsi="Times New Roman" w:cs="Times New Roman"/>
          <w:b/>
        </w:rPr>
        <w:t xml:space="preserve"> </w:t>
      </w:r>
      <w:r w:rsidRPr="00AB1200">
        <w:rPr>
          <w:rFonts w:ascii="Times New Roman" w:hAnsi="Times New Roman" w:cs="Times New Roman"/>
        </w:rPr>
        <w:t>The details about each device authorised to be operated under the licence are:</w:t>
      </w:r>
    </w:p>
    <w:p w:rsidR="00AB1200" w:rsidRPr="00AB1200" w:rsidRDefault="00AB1200" w:rsidP="006D5253">
      <w:pPr>
        <w:pStyle w:val="Jeanpara"/>
        <w:spacing w:before="60" w:after="60"/>
        <w:ind w:left="1400"/>
        <w:rPr>
          <w:sz w:val="22"/>
          <w:szCs w:val="22"/>
        </w:rPr>
      </w:pPr>
      <w:r w:rsidRPr="00AB1200">
        <w:rPr>
          <w:sz w:val="22"/>
          <w:szCs w:val="22"/>
        </w:rPr>
        <w:t xml:space="preserve">(a) </w:t>
      </w:r>
      <w:proofErr w:type="gramStart"/>
      <w:r w:rsidRPr="00AB1200">
        <w:rPr>
          <w:sz w:val="22"/>
          <w:szCs w:val="22"/>
        </w:rPr>
        <w:t>the</w:t>
      </w:r>
      <w:proofErr w:type="gramEnd"/>
      <w:r w:rsidRPr="00AB1200">
        <w:rPr>
          <w:sz w:val="22"/>
          <w:szCs w:val="22"/>
        </w:rPr>
        <w:t xml:space="preserve"> registration number assigned by the ACMA;</w:t>
      </w:r>
    </w:p>
    <w:p w:rsidR="00AB1200" w:rsidRPr="00AB1200" w:rsidRDefault="00AB1200" w:rsidP="006D5253">
      <w:pPr>
        <w:pStyle w:val="Jeanpara"/>
        <w:spacing w:before="60" w:after="60"/>
        <w:ind w:left="1400"/>
        <w:rPr>
          <w:sz w:val="22"/>
          <w:szCs w:val="22"/>
        </w:rPr>
      </w:pPr>
      <w:r w:rsidRPr="00AB1200">
        <w:rPr>
          <w:sz w:val="22"/>
          <w:szCs w:val="22"/>
        </w:rPr>
        <w:t xml:space="preserve">(b) </w:t>
      </w:r>
      <w:proofErr w:type="gramStart"/>
      <w:r w:rsidRPr="00AB1200">
        <w:rPr>
          <w:sz w:val="22"/>
          <w:szCs w:val="22"/>
        </w:rPr>
        <w:t>whether</w:t>
      </w:r>
      <w:proofErr w:type="gramEnd"/>
      <w:r w:rsidRPr="00AB1200">
        <w:rPr>
          <w:sz w:val="22"/>
          <w:szCs w:val="22"/>
        </w:rPr>
        <w:t xml:space="preserve"> the device is a transmitter or a receiver;</w:t>
      </w:r>
    </w:p>
    <w:p w:rsidR="00AB1200" w:rsidRPr="00AB1200" w:rsidRDefault="00AB1200" w:rsidP="006D5253">
      <w:pPr>
        <w:pStyle w:val="Jeanpara"/>
        <w:spacing w:before="60" w:after="60"/>
        <w:ind w:left="1400"/>
        <w:rPr>
          <w:sz w:val="22"/>
          <w:szCs w:val="22"/>
        </w:rPr>
      </w:pPr>
      <w:r w:rsidRPr="00AB1200">
        <w:rPr>
          <w:sz w:val="22"/>
          <w:szCs w:val="22"/>
        </w:rPr>
        <w:t xml:space="preserve">(c) </w:t>
      </w:r>
      <w:proofErr w:type="gramStart"/>
      <w:r w:rsidRPr="00AB1200">
        <w:rPr>
          <w:sz w:val="22"/>
          <w:szCs w:val="22"/>
        </w:rPr>
        <w:t>the</w:t>
      </w:r>
      <w:proofErr w:type="gramEnd"/>
      <w:r w:rsidRPr="00AB1200">
        <w:rPr>
          <w:sz w:val="22"/>
          <w:szCs w:val="22"/>
        </w:rPr>
        <w:t xml:space="preserve"> emission designator;</w:t>
      </w:r>
    </w:p>
    <w:p w:rsidR="00AB1200" w:rsidRPr="00AB1200" w:rsidRDefault="00AB1200" w:rsidP="006D5253">
      <w:pPr>
        <w:pStyle w:val="Jeanpara"/>
        <w:spacing w:before="60" w:after="60"/>
        <w:ind w:left="1400"/>
        <w:rPr>
          <w:sz w:val="22"/>
          <w:szCs w:val="22"/>
        </w:rPr>
      </w:pPr>
      <w:r w:rsidRPr="00AB1200">
        <w:rPr>
          <w:sz w:val="22"/>
          <w:szCs w:val="22"/>
        </w:rPr>
        <w:t xml:space="preserve">(d) </w:t>
      </w:r>
      <w:proofErr w:type="gramStart"/>
      <w:r w:rsidRPr="00AB1200">
        <w:rPr>
          <w:sz w:val="22"/>
          <w:szCs w:val="22"/>
        </w:rPr>
        <w:t>for</w:t>
      </w:r>
      <w:proofErr w:type="gramEnd"/>
      <w:r w:rsidRPr="00AB1200">
        <w:rPr>
          <w:sz w:val="22"/>
          <w:szCs w:val="22"/>
        </w:rPr>
        <w:t xml:space="preserve"> a device whose power is measured as equivalent </w:t>
      </w:r>
      <w:proofErr w:type="spellStart"/>
      <w:r w:rsidRPr="00AB1200">
        <w:rPr>
          <w:sz w:val="22"/>
          <w:szCs w:val="22"/>
        </w:rPr>
        <w:t>isotropically</w:t>
      </w:r>
      <w:proofErr w:type="spellEnd"/>
      <w:r w:rsidRPr="00AB1200">
        <w:rPr>
          <w:sz w:val="22"/>
          <w:szCs w:val="22"/>
        </w:rPr>
        <w:t xml:space="preserve"> radiated power—the maximum equivalent </w:t>
      </w:r>
      <w:proofErr w:type="spellStart"/>
      <w:r w:rsidRPr="00AB1200">
        <w:rPr>
          <w:sz w:val="22"/>
          <w:szCs w:val="22"/>
        </w:rPr>
        <w:t>isotropically</w:t>
      </w:r>
      <w:proofErr w:type="spellEnd"/>
      <w:r w:rsidRPr="00AB1200">
        <w:rPr>
          <w:sz w:val="22"/>
          <w:szCs w:val="22"/>
        </w:rPr>
        <w:t xml:space="preserve"> radiated power;</w:t>
      </w:r>
    </w:p>
    <w:p w:rsidR="00AB1200" w:rsidRPr="00AB1200" w:rsidRDefault="00AB1200" w:rsidP="006D5253">
      <w:pPr>
        <w:pStyle w:val="Jeanpara"/>
        <w:spacing w:before="60" w:after="60"/>
        <w:ind w:left="1400"/>
        <w:rPr>
          <w:sz w:val="22"/>
          <w:szCs w:val="22"/>
        </w:rPr>
      </w:pPr>
      <w:r w:rsidRPr="00AB1200">
        <w:rPr>
          <w:sz w:val="22"/>
          <w:szCs w:val="22"/>
        </w:rPr>
        <w:t xml:space="preserve">(e) </w:t>
      </w:r>
      <w:proofErr w:type="gramStart"/>
      <w:r w:rsidRPr="00AB1200">
        <w:rPr>
          <w:sz w:val="22"/>
          <w:szCs w:val="22"/>
        </w:rPr>
        <w:t>the</w:t>
      </w:r>
      <w:proofErr w:type="gramEnd"/>
      <w:r w:rsidRPr="00AB1200">
        <w:rPr>
          <w:sz w:val="22"/>
          <w:szCs w:val="22"/>
        </w:rPr>
        <w:t xml:space="preserve"> transmitter power;</w:t>
      </w:r>
    </w:p>
    <w:p w:rsidR="00AB1200" w:rsidRPr="00AB1200" w:rsidRDefault="00AB1200" w:rsidP="006C719F">
      <w:pPr>
        <w:pStyle w:val="Jeanpara"/>
        <w:spacing w:before="60" w:after="60"/>
        <w:ind w:left="1418" w:hanging="358"/>
        <w:rPr>
          <w:sz w:val="22"/>
          <w:szCs w:val="22"/>
        </w:rPr>
      </w:pPr>
      <w:r w:rsidRPr="00AB1200">
        <w:rPr>
          <w:sz w:val="22"/>
          <w:szCs w:val="22"/>
        </w:rPr>
        <w:t xml:space="preserve">(f) </w:t>
      </w:r>
      <w:proofErr w:type="gramStart"/>
      <w:r w:rsidRPr="00AB1200">
        <w:rPr>
          <w:sz w:val="22"/>
          <w:szCs w:val="22"/>
        </w:rPr>
        <w:t>the</w:t>
      </w:r>
      <w:proofErr w:type="gramEnd"/>
      <w:r w:rsidRPr="00AB1200">
        <w:rPr>
          <w:sz w:val="22"/>
          <w:szCs w:val="22"/>
        </w:rPr>
        <w:t xml:space="preserve"> form the power of the radiofrequency transmitter is expressed in as defined in the</w:t>
      </w:r>
      <w:r w:rsidR="006C719F">
        <w:rPr>
          <w:sz w:val="22"/>
          <w:szCs w:val="22"/>
        </w:rPr>
        <w:t xml:space="preserve"> </w:t>
      </w:r>
      <w:r w:rsidRPr="00AB1200">
        <w:rPr>
          <w:sz w:val="22"/>
          <w:szCs w:val="22"/>
        </w:rPr>
        <w:t>Radio Regulations published by the International Telecommunication Union;</w:t>
      </w:r>
    </w:p>
    <w:p w:rsidR="00AB1200" w:rsidRPr="00AB1200" w:rsidRDefault="00AB1200" w:rsidP="006D5253">
      <w:pPr>
        <w:pStyle w:val="Jeanpara"/>
        <w:spacing w:before="60" w:after="60"/>
        <w:ind w:left="1400"/>
        <w:rPr>
          <w:sz w:val="22"/>
          <w:szCs w:val="22"/>
        </w:rPr>
      </w:pPr>
      <w:r w:rsidRPr="00AB1200">
        <w:rPr>
          <w:sz w:val="22"/>
          <w:szCs w:val="22"/>
        </w:rPr>
        <w:t xml:space="preserve">(g) </w:t>
      </w:r>
      <w:proofErr w:type="gramStart"/>
      <w:r w:rsidRPr="00AB1200">
        <w:rPr>
          <w:sz w:val="22"/>
          <w:szCs w:val="22"/>
        </w:rPr>
        <w:t>the</w:t>
      </w:r>
      <w:proofErr w:type="gramEnd"/>
      <w:r w:rsidRPr="00AB1200">
        <w:rPr>
          <w:sz w:val="22"/>
          <w:szCs w:val="22"/>
        </w:rPr>
        <w:t xml:space="preserve"> antenna height</w:t>
      </w:r>
      <w:r w:rsidR="004452E8">
        <w:rPr>
          <w:sz w:val="22"/>
          <w:szCs w:val="22"/>
        </w:rPr>
        <w:t xml:space="preserve"> above ground level</w:t>
      </w:r>
      <w:r w:rsidRPr="00AB1200">
        <w:rPr>
          <w:sz w:val="22"/>
          <w:szCs w:val="22"/>
        </w:rPr>
        <w:t>;</w:t>
      </w:r>
    </w:p>
    <w:p w:rsidR="00AB1200" w:rsidRPr="00AB1200" w:rsidRDefault="00AB1200" w:rsidP="006D5253">
      <w:pPr>
        <w:pStyle w:val="Jeanpara"/>
        <w:spacing w:before="60" w:after="60"/>
        <w:ind w:left="1400"/>
        <w:rPr>
          <w:sz w:val="22"/>
          <w:szCs w:val="22"/>
        </w:rPr>
      </w:pPr>
      <w:r w:rsidRPr="00AB1200">
        <w:rPr>
          <w:sz w:val="22"/>
          <w:szCs w:val="22"/>
        </w:rPr>
        <w:t xml:space="preserve">(h) </w:t>
      </w:r>
      <w:proofErr w:type="gramStart"/>
      <w:r w:rsidRPr="00AB1200">
        <w:rPr>
          <w:sz w:val="22"/>
          <w:szCs w:val="22"/>
        </w:rPr>
        <w:t>the</w:t>
      </w:r>
      <w:proofErr w:type="gramEnd"/>
      <w:r w:rsidRPr="00AB1200">
        <w:rPr>
          <w:sz w:val="22"/>
          <w:szCs w:val="22"/>
        </w:rPr>
        <w:t xml:space="preserve"> azimuth for a device using a directional antenna, bei</w:t>
      </w:r>
      <w:r w:rsidR="00CD78C5">
        <w:rPr>
          <w:sz w:val="22"/>
          <w:szCs w:val="22"/>
        </w:rPr>
        <w:t xml:space="preserve">ng the bearing along the centre </w:t>
      </w:r>
      <w:r w:rsidRPr="00AB1200">
        <w:rPr>
          <w:sz w:val="22"/>
          <w:szCs w:val="22"/>
        </w:rPr>
        <w:t xml:space="preserve">of the </w:t>
      </w:r>
      <w:proofErr w:type="spellStart"/>
      <w:r w:rsidRPr="00AB1200">
        <w:rPr>
          <w:sz w:val="22"/>
          <w:szCs w:val="22"/>
        </w:rPr>
        <w:t>beamwidth</w:t>
      </w:r>
      <w:proofErr w:type="spellEnd"/>
      <w:r w:rsidRPr="00AB1200">
        <w:rPr>
          <w:sz w:val="22"/>
          <w:szCs w:val="22"/>
        </w:rPr>
        <w:t>;</w:t>
      </w:r>
    </w:p>
    <w:p w:rsidR="00AB1200" w:rsidRPr="00AB1200" w:rsidRDefault="00AB1200" w:rsidP="006D5253">
      <w:pPr>
        <w:pStyle w:val="Jeanpara"/>
        <w:spacing w:before="60" w:after="60"/>
        <w:ind w:left="1400"/>
        <w:rPr>
          <w:sz w:val="22"/>
          <w:szCs w:val="22"/>
        </w:rPr>
      </w:pPr>
      <w:r w:rsidRPr="00AB1200">
        <w:rPr>
          <w:sz w:val="22"/>
          <w:szCs w:val="22"/>
        </w:rPr>
        <w:t xml:space="preserve">(i) </w:t>
      </w:r>
      <w:proofErr w:type="gramStart"/>
      <w:r w:rsidRPr="00AB1200">
        <w:rPr>
          <w:sz w:val="22"/>
          <w:szCs w:val="22"/>
        </w:rPr>
        <w:t>the</w:t>
      </w:r>
      <w:proofErr w:type="gramEnd"/>
      <w:r w:rsidRPr="00AB1200">
        <w:rPr>
          <w:sz w:val="22"/>
          <w:szCs w:val="22"/>
        </w:rPr>
        <w:t xml:space="preserve"> intended polarisation of the radiation;</w:t>
      </w:r>
      <w:r w:rsidR="009A3D9A">
        <w:rPr>
          <w:sz w:val="22"/>
          <w:szCs w:val="22"/>
        </w:rPr>
        <w:t xml:space="preserve"> and</w:t>
      </w:r>
    </w:p>
    <w:p w:rsidR="00AB1200" w:rsidRPr="00AB1200" w:rsidRDefault="00AB1200" w:rsidP="006D5253">
      <w:pPr>
        <w:pStyle w:val="Jeanpara"/>
        <w:spacing w:before="60" w:after="60"/>
        <w:ind w:left="1400"/>
        <w:rPr>
          <w:sz w:val="22"/>
          <w:szCs w:val="22"/>
        </w:rPr>
      </w:pPr>
      <w:r w:rsidRPr="00AB1200">
        <w:rPr>
          <w:sz w:val="22"/>
          <w:szCs w:val="22"/>
        </w:rPr>
        <w:t xml:space="preserve">(j) </w:t>
      </w:r>
      <w:proofErr w:type="gramStart"/>
      <w:r w:rsidRPr="00AB1200">
        <w:rPr>
          <w:sz w:val="22"/>
          <w:szCs w:val="22"/>
        </w:rPr>
        <w:t>the</w:t>
      </w:r>
      <w:proofErr w:type="gramEnd"/>
      <w:r w:rsidRPr="00AB1200">
        <w:rPr>
          <w:sz w:val="22"/>
          <w:szCs w:val="22"/>
        </w:rPr>
        <w:t xml:space="preserve"> antenna tilt relative to the perpendicular.</w:t>
      </w:r>
    </w:p>
    <w:p w:rsidR="0069177D" w:rsidRPr="006C719F" w:rsidRDefault="0069177D" w:rsidP="00AF77F1">
      <w:pPr>
        <w:spacing w:before="180" w:after="0"/>
        <w:ind w:left="567" w:firstLine="284"/>
        <w:rPr>
          <w:rFonts w:ascii="Times New Roman" w:hAnsi="Times New Roman" w:cs="Times New Roman"/>
        </w:rPr>
      </w:pPr>
      <w:r w:rsidRPr="006C719F">
        <w:rPr>
          <w:rFonts w:ascii="Times New Roman" w:hAnsi="Times New Roman" w:cs="Times New Roman"/>
        </w:rPr>
        <w:t>(6) The details about each antenna are:</w:t>
      </w:r>
    </w:p>
    <w:p w:rsidR="0069177D" w:rsidRPr="006C719F" w:rsidRDefault="0069177D" w:rsidP="00AF77F1">
      <w:pPr>
        <w:pStyle w:val="Jeanpara"/>
        <w:spacing w:before="60" w:after="60"/>
        <w:ind w:left="992" w:firstLine="0"/>
        <w:rPr>
          <w:sz w:val="22"/>
          <w:szCs w:val="22"/>
        </w:rPr>
      </w:pPr>
      <w:r w:rsidRPr="006C719F">
        <w:rPr>
          <w:sz w:val="22"/>
          <w:szCs w:val="22"/>
        </w:rPr>
        <w:t xml:space="preserve">(a) </w:t>
      </w:r>
      <w:proofErr w:type="gramStart"/>
      <w:r w:rsidRPr="006C719F">
        <w:rPr>
          <w:sz w:val="22"/>
          <w:szCs w:val="22"/>
        </w:rPr>
        <w:t>the</w:t>
      </w:r>
      <w:proofErr w:type="gramEnd"/>
      <w:r w:rsidRPr="006C719F">
        <w:rPr>
          <w:sz w:val="22"/>
          <w:szCs w:val="22"/>
        </w:rPr>
        <w:t xml:space="preserve"> identification number assigned by the ACMA;</w:t>
      </w:r>
    </w:p>
    <w:p w:rsidR="0069177D" w:rsidRPr="006C719F" w:rsidRDefault="0069177D" w:rsidP="00AF77F1">
      <w:pPr>
        <w:pStyle w:val="Jeanpara"/>
        <w:spacing w:before="60" w:after="60"/>
        <w:ind w:left="992" w:firstLine="0"/>
        <w:rPr>
          <w:sz w:val="22"/>
          <w:szCs w:val="22"/>
        </w:rPr>
      </w:pPr>
      <w:r w:rsidRPr="006C719F">
        <w:rPr>
          <w:sz w:val="22"/>
          <w:szCs w:val="22"/>
        </w:rPr>
        <w:t xml:space="preserve">(b) </w:t>
      </w:r>
      <w:proofErr w:type="gramStart"/>
      <w:r w:rsidRPr="006C719F">
        <w:rPr>
          <w:sz w:val="22"/>
          <w:szCs w:val="22"/>
        </w:rPr>
        <w:t>the</w:t>
      </w:r>
      <w:proofErr w:type="gramEnd"/>
      <w:r w:rsidRPr="006C719F">
        <w:rPr>
          <w:sz w:val="22"/>
          <w:szCs w:val="22"/>
        </w:rPr>
        <w:t xml:space="preserve"> forward gain for the intended polarisation, in units of </w:t>
      </w:r>
      <w:proofErr w:type="spellStart"/>
      <w:r w:rsidRPr="006C719F">
        <w:rPr>
          <w:sz w:val="22"/>
          <w:szCs w:val="22"/>
        </w:rPr>
        <w:t>dBi</w:t>
      </w:r>
      <w:proofErr w:type="spellEnd"/>
      <w:r w:rsidRPr="006C719F">
        <w:rPr>
          <w:sz w:val="22"/>
          <w:szCs w:val="22"/>
        </w:rPr>
        <w:t>;</w:t>
      </w:r>
    </w:p>
    <w:p w:rsidR="0069177D" w:rsidRPr="006C719F" w:rsidRDefault="0069177D" w:rsidP="00AF77F1">
      <w:pPr>
        <w:pStyle w:val="Jeanpara"/>
        <w:spacing w:before="60" w:after="60"/>
        <w:ind w:left="992" w:firstLine="0"/>
        <w:rPr>
          <w:sz w:val="22"/>
          <w:szCs w:val="22"/>
        </w:rPr>
      </w:pPr>
      <w:r w:rsidRPr="006C719F">
        <w:rPr>
          <w:sz w:val="22"/>
          <w:szCs w:val="22"/>
        </w:rPr>
        <w:t xml:space="preserve">(c) </w:t>
      </w:r>
      <w:proofErr w:type="gramStart"/>
      <w:r w:rsidRPr="006C719F">
        <w:rPr>
          <w:sz w:val="22"/>
          <w:szCs w:val="22"/>
        </w:rPr>
        <w:t>the</w:t>
      </w:r>
      <w:proofErr w:type="gramEnd"/>
      <w:r w:rsidRPr="006C719F">
        <w:rPr>
          <w:sz w:val="22"/>
          <w:szCs w:val="22"/>
        </w:rPr>
        <w:t xml:space="preserve"> 3 dB </w:t>
      </w:r>
      <w:proofErr w:type="spellStart"/>
      <w:r w:rsidRPr="006C719F">
        <w:rPr>
          <w:sz w:val="22"/>
          <w:szCs w:val="22"/>
        </w:rPr>
        <w:t>beamwidth</w:t>
      </w:r>
      <w:proofErr w:type="spellEnd"/>
      <w:r w:rsidRPr="006C719F">
        <w:rPr>
          <w:sz w:val="22"/>
          <w:szCs w:val="22"/>
        </w:rPr>
        <w:t xml:space="preserve"> for the intended polarisation, in degrees;</w:t>
      </w:r>
    </w:p>
    <w:p w:rsidR="0069177D" w:rsidRPr="006C719F" w:rsidRDefault="0069177D" w:rsidP="00AF77F1">
      <w:pPr>
        <w:pStyle w:val="Jeanpara"/>
        <w:spacing w:before="60" w:after="60"/>
        <w:ind w:left="992" w:firstLine="0"/>
        <w:rPr>
          <w:sz w:val="22"/>
          <w:szCs w:val="22"/>
        </w:rPr>
      </w:pPr>
      <w:r w:rsidRPr="006C719F">
        <w:rPr>
          <w:sz w:val="22"/>
          <w:szCs w:val="22"/>
        </w:rPr>
        <w:t xml:space="preserve">(d) </w:t>
      </w:r>
      <w:proofErr w:type="gramStart"/>
      <w:r w:rsidRPr="006C719F">
        <w:rPr>
          <w:sz w:val="22"/>
          <w:szCs w:val="22"/>
        </w:rPr>
        <w:t>the</w:t>
      </w:r>
      <w:proofErr w:type="gramEnd"/>
      <w:r w:rsidRPr="006C719F">
        <w:rPr>
          <w:sz w:val="22"/>
          <w:szCs w:val="22"/>
        </w:rPr>
        <w:t xml:space="preserve"> front to back ratio for the intended polarisation, in decibels;</w:t>
      </w:r>
    </w:p>
    <w:p w:rsidR="0069177D" w:rsidRPr="006C719F" w:rsidRDefault="0069177D" w:rsidP="00AF77F1">
      <w:pPr>
        <w:pStyle w:val="Jeanpara"/>
        <w:spacing w:before="60" w:after="60"/>
        <w:ind w:left="992" w:firstLine="0"/>
        <w:rPr>
          <w:sz w:val="22"/>
          <w:szCs w:val="22"/>
        </w:rPr>
      </w:pPr>
      <w:r w:rsidRPr="006C719F">
        <w:rPr>
          <w:sz w:val="22"/>
          <w:szCs w:val="22"/>
        </w:rPr>
        <w:t xml:space="preserve">(e) </w:t>
      </w:r>
      <w:proofErr w:type="gramStart"/>
      <w:r w:rsidRPr="006C719F">
        <w:rPr>
          <w:sz w:val="22"/>
          <w:szCs w:val="22"/>
        </w:rPr>
        <w:t>the</w:t>
      </w:r>
      <w:proofErr w:type="gramEnd"/>
      <w:r w:rsidRPr="006C719F">
        <w:rPr>
          <w:sz w:val="22"/>
          <w:szCs w:val="22"/>
        </w:rPr>
        <w:t xml:space="preserve"> antenna size;</w:t>
      </w:r>
    </w:p>
    <w:p w:rsidR="0069177D" w:rsidRPr="006C719F" w:rsidRDefault="0069177D" w:rsidP="0067469A">
      <w:pPr>
        <w:pStyle w:val="Jeanpara"/>
        <w:tabs>
          <w:tab w:val="left" w:pos="6660"/>
        </w:tabs>
        <w:spacing w:before="60" w:after="60"/>
        <w:ind w:left="992" w:firstLine="0"/>
        <w:rPr>
          <w:sz w:val="22"/>
          <w:szCs w:val="22"/>
        </w:rPr>
      </w:pPr>
      <w:r w:rsidRPr="006C719F">
        <w:rPr>
          <w:sz w:val="22"/>
          <w:szCs w:val="22"/>
        </w:rPr>
        <w:t xml:space="preserve">(f) </w:t>
      </w:r>
      <w:proofErr w:type="gramStart"/>
      <w:r w:rsidRPr="006C719F">
        <w:rPr>
          <w:sz w:val="22"/>
          <w:szCs w:val="22"/>
        </w:rPr>
        <w:t>the</w:t>
      </w:r>
      <w:proofErr w:type="gramEnd"/>
      <w:r w:rsidRPr="006C719F">
        <w:rPr>
          <w:sz w:val="22"/>
          <w:szCs w:val="22"/>
        </w:rPr>
        <w:t xml:space="preserve"> antenna type;</w:t>
      </w:r>
      <w:r w:rsidR="00EA6F25" w:rsidRPr="006C719F">
        <w:rPr>
          <w:sz w:val="22"/>
          <w:szCs w:val="22"/>
        </w:rPr>
        <w:tab/>
      </w:r>
    </w:p>
    <w:p w:rsidR="0069177D" w:rsidRPr="006C719F" w:rsidRDefault="0069177D" w:rsidP="00AF77F1">
      <w:pPr>
        <w:pStyle w:val="Jeanpara"/>
        <w:spacing w:before="60" w:after="60"/>
        <w:ind w:left="992" w:firstLine="0"/>
        <w:rPr>
          <w:sz w:val="22"/>
          <w:szCs w:val="22"/>
        </w:rPr>
      </w:pPr>
      <w:r w:rsidRPr="006C719F">
        <w:rPr>
          <w:sz w:val="22"/>
          <w:szCs w:val="22"/>
        </w:rPr>
        <w:t xml:space="preserve">(g) </w:t>
      </w:r>
      <w:proofErr w:type="gramStart"/>
      <w:r w:rsidRPr="006C719F">
        <w:rPr>
          <w:sz w:val="22"/>
          <w:szCs w:val="22"/>
        </w:rPr>
        <w:t>the</w:t>
      </w:r>
      <w:proofErr w:type="gramEnd"/>
      <w:r w:rsidRPr="006C719F">
        <w:rPr>
          <w:sz w:val="22"/>
          <w:szCs w:val="22"/>
        </w:rPr>
        <w:t xml:space="preserve"> antenna model;</w:t>
      </w:r>
      <w:r w:rsidR="009A3D9A" w:rsidRPr="006C719F">
        <w:rPr>
          <w:sz w:val="22"/>
          <w:szCs w:val="22"/>
        </w:rPr>
        <w:t xml:space="preserve"> and</w:t>
      </w:r>
    </w:p>
    <w:p w:rsidR="0069177D" w:rsidRPr="006C719F" w:rsidRDefault="0069177D" w:rsidP="00AF77F1">
      <w:pPr>
        <w:pStyle w:val="Jeanpara"/>
        <w:spacing w:before="60" w:after="60"/>
        <w:ind w:left="992" w:firstLine="0"/>
        <w:rPr>
          <w:sz w:val="22"/>
          <w:szCs w:val="22"/>
        </w:rPr>
      </w:pPr>
      <w:r w:rsidRPr="006C719F">
        <w:rPr>
          <w:sz w:val="22"/>
          <w:szCs w:val="22"/>
        </w:rPr>
        <w:t xml:space="preserve">(h) </w:t>
      </w:r>
      <w:proofErr w:type="gramStart"/>
      <w:r w:rsidRPr="006C719F">
        <w:rPr>
          <w:sz w:val="22"/>
          <w:szCs w:val="22"/>
        </w:rPr>
        <w:t>the</w:t>
      </w:r>
      <w:proofErr w:type="gramEnd"/>
      <w:r w:rsidRPr="006C719F">
        <w:rPr>
          <w:sz w:val="22"/>
          <w:szCs w:val="22"/>
        </w:rPr>
        <w:t xml:space="preserve"> antenna manufacturer.</w:t>
      </w:r>
    </w:p>
    <w:p w:rsidR="0082569D" w:rsidRPr="0082569D" w:rsidRDefault="0082569D" w:rsidP="0082569D">
      <w:pPr>
        <w:pStyle w:val="subsection"/>
        <w:ind w:left="1140" w:hanging="289"/>
        <w:rPr>
          <w:lang w:val="en-GB"/>
        </w:rPr>
      </w:pPr>
      <w:r w:rsidRPr="0082569D">
        <w:rPr>
          <w:lang w:val="en-GB"/>
        </w:rPr>
        <w:t>(7) The details about each site where a device is located are:</w:t>
      </w:r>
    </w:p>
    <w:p w:rsidR="0082569D" w:rsidRPr="0082569D" w:rsidRDefault="0082569D" w:rsidP="0082569D">
      <w:pPr>
        <w:pStyle w:val="subsection"/>
        <w:tabs>
          <w:tab w:val="clear" w:pos="1021"/>
          <w:tab w:val="right" w:pos="993"/>
        </w:tabs>
        <w:spacing w:before="60" w:after="60"/>
        <w:ind w:left="1282" w:hanging="289"/>
        <w:rPr>
          <w:lang w:val="en-GB"/>
        </w:rPr>
      </w:pPr>
      <w:r w:rsidRPr="0082569D">
        <w:rPr>
          <w:lang w:val="en-GB"/>
        </w:rPr>
        <w:t xml:space="preserve">(a) </w:t>
      </w:r>
      <w:proofErr w:type="gramStart"/>
      <w:r w:rsidRPr="0082569D">
        <w:rPr>
          <w:lang w:val="en-GB"/>
        </w:rPr>
        <w:t>the</w:t>
      </w:r>
      <w:proofErr w:type="gramEnd"/>
      <w:r w:rsidRPr="0082569D">
        <w:rPr>
          <w:lang w:val="en-GB"/>
        </w:rPr>
        <w:t xml:space="preserve"> site identification number assigned by the ACMA;</w:t>
      </w:r>
    </w:p>
    <w:p w:rsidR="0082569D" w:rsidRPr="0082569D" w:rsidRDefault="0082569D" w:rsidP="0082569D">
      <w:pPr>
        <w:pStyle w:val="subsection"/>
        <w:tabs>
          <w:tab w:val="clear" w:pos="1021"/>
          <w:tab w:val="right" w:pos="993"/>
        </w:tabs>
        <w:spacing w:before="60" w:after="60"/>
        <w:ind w:left="1282" w:hanging="289"/>
        <w:rPr>
          <w:lang w:val="en-GB"/>
        </w:rPr>
      </w:pPr>
      <w:r w:rsidRPr="0082569D">
        <w:rPr>
          <w:lang w:val="en-GB"/>
        </w:rPr>
        <w:t xml:space="preserve">(b) </w:t>
      </w:r>
      <w:proofErr w:type="gramStart"/>
      <w:r w:rsidRPr="0082569D">
        <w:rPr>
          <w:lang w:val="en-GB"/>
        </w:rPr>
        <w:t>the</w:t>
      </w:r>
      <w:proofErr w:type="gramEnd"/>
      <w:r w:rsidRPr="0082569D">
        <w:rPr>
          <w:lang w:val="en-GB"/>
        </w:rPr>
        <w:t xml:space="preserve"> site name;</w:t>
      </w:r>
    </w:p>
    <w:p w:rsidR="0082569D" w:rsidRPr="0082569D" w:rsidRDefault="0082569D" w:rsidP="0082569D">
      <w:pPr>
        <w:pStyle w:val="subsection"/>
        <w:tabs>
          <w:tab w:val="clear" w:pos="1021"/>
          <w:tab w:val="right" w:pos="993"/>
        </w:tabs>
        <w:spacing w:before="60" w:after="60"/>
        <w:ind w:left="1282" w:hanging="289"/>
        <w:rPr>
          <w:lang w:val="en-GB"/>
        </w:rPr>
      </w:pPr>
      <w:r w:rsidRPr="0082569D">
        <w:rPr>
          <w:lang w:val="en-GB"/>
        </w:rPr>
        <w:t xml:space="preserve">(c) </w:t>
      </w:r>
      <w:proofErr w:type="gramStart"/>
      <w:r w:rsidRPr="0082569D">
        <w:rPr>
          <w:lang w:val="en-GB"/>
        </w:rPr>
        <w:t>the</w:t>
      </w:r>
      <w:proofErr w:type="gramEnd"/>
      <w:r w:rsidRPr="0082569D">
        <w:rPr>
          <w:lang w:val="en-GB"/>
        </w:rPr>
        <w:t xml:space="preserve"> site address;</w:t>
      </w:r>
    </w:p>
    <w:p w:rsidR="0082569D" w:rsidRPr="0082569D" w:rsidRDefault="0082569D" w:rsidP="0082569D">
      <w:pPr>
        <w:pStyle w:val="subsection"/>
        <w:tabs>
          <w:tab w:val="clear" w:pos="1021"/>
          <w:tab w:val="right" w:pos="993"/>
        </w:tabs>
        <w:spacing w:before="60" w:after="60"/>
        <w:ind w:left="1282" w:hanging="289"/>
        <w:rPr>
          <w:lang w:val="en-GB"/>
        </w:rPr>
      </w:pPr>
      <w:r w:rsidRPr="0082569D">
        <w:rPr>
          <w:lang w:val="en-GB"/>
        </w:rPr>
        <w:t xml:space="preserve">(d) </w:t>
      </w:r>
      <w:proofErr w:type="gramStart"/>
      <w:r w:rsidRPr="0082569D">
        <w:rPr>
          <w:lang w:val="en-GB"/>
        </w:rPr>
        <w:t>the</w:t>
      </w:r>
      <w:proofErr w:type="gramEnd"/>
      <w:r w:rsidRPr="0082569D">
        <w:rPr>
          <w:lang w:val="en-GB"/>
        </w:rPr>
        <w:t xml:space="preserve"> site latitude and longitude and the precision of </w:t>
      </w:r>
      <w:r w:rsidR="004452E8" w:rsidRPr="0082569D">
        <w:rPr>
          <w:lang w:val="en-GB"/>
        </w:rPr>
        <w:t>th</w:t>
      </w:r>
      <w:r w:rsidR="004452E8">
        <w:rPr>
          <w:lang w:val="en-GB"/>
        </w:rPr>
        <w:t>o</w:t>
      </w:r>
      <w:r w:rsidR="004452E8" w:rsidRPr="0082569D">
        <w:rPr>
          <w:lang w:val="en-GB"/>
        </w:rPr>
        <w:t>se</w:t>
      </w:r>
      <w:r w:rsidR="004452E8">
        <w:rPr>
          <w:lang w:val="en-GB"/>
        </w:rPr>
        <w:t xml:space="preserve"> </w:t>
      </w:r>
      <w:r w:rsidR="003811BD">
        <w:rPr>
          <w:lang w:val="en-GB"/>
        </w:rPr>
        <w:t>coordinates</w:t>
      </w:r>
      <w:r w:rsidRPr="0082569D">
        <w:rPr>
          <w:lang w:val="en-GB"/>
        </w:rPr>
        <w:t>;</w:t>
      </w:r>
      <w:r w:rsidR="00CF0EFB">
        <w:rPr>
          <w:lang w:val="en-GB"/>
        </w:rPr>
        <w:t xml:space="preserve"> and</w:t>
      </w:r>
    </w:p>
    <w:p w:rsidR="00F949D8" w:rsidRPr="00CF0EFB" w:rsidRDefault="0082569D" w:rsidP="00CF0EFB">
      <w:pPr>
        <w:pStyle w:val="subsection"/>
        <w:tabs>
          <w:tab w:val="clear" w:pos="1021"/>
          <w:tab w:val="right" w:pos="993"/>
        </w:tabs>
        <w:spacing w:before="60" w:after="60"/>
        <w:ind w:left="1282" w:hanging="289"/>
        <w:rPr>
          <w:lang w:val="en-GB"/>
        </w:rPr>
      </w:pPr>
      <w:r w:rsidRPr="0082569D">
        <w:rPr>
          <w:lang w:val="en-GB"/>
        </w:rPr>
        <w:lastRenderedPageBreak/>
        <w:t xml:space="preserve">(e) </w:t>
      </w:r>
      <w:proofErr w:type="gramStart"/>
      <w:r w:rsidRPr="0082569D">
        <w:rPr>
          <w:lang w:val="en-GB"/>
        </w:rPr>
        <w:t>whether</w:t>
      </w:r>
      <w:proofErr w:type="gramEnd"/>
      <w:r w:rsidRPr="0082569D">
        <w:rPr>
          <w:lang w:val="en-GB"/>
        </w:rPr>
        <w:t xml:space="preserve"> the site is within a high density area, a medium density area or a low density area within the meaning of </w:t>
      </w:r>
      <w:r w:rsidR="004466D1">
        <w:rPr>
          <w:lang w:val="en-GB"/>
        </w:rPr>
        <w:t xml:space="preserve">those terms in </w:t>
      </w:r>
      <w:r w:rsidRPr="0082569D">
        <w:rPr>
          <w:lang w:val="en-GB"/>
        </w:rPr>
        <w:t xml:space="preserve">the </w:t>
      </w:r>
      <w:r w:rsidRPr="0082569D">
        <w:rPr>
          <w:i/>
          <w:lang w:val="en-GB"/>
        </w:rPr>
        <w:t>Radiocommunications (Transmitter Licence Tax) Determination 2015</w:t>
      </w:r>
      <w:r w:rsidR="00CF0EFB">
        <w:rPr>
          <w:lang w:val="en-GB"/>
        </w:rPr>
        <w:t>.</w:t>
      </w:r>
    </w:p>
    <w:p w:rsidR="00CF0EFB" w:rsidRPr="00443A20" w:rsidRDefault="00CE5F18" w:rsidP="00CF0EFB">
      <w:pPr>
        <w:pStyle w:val="ActHead5"/>
      </w:pPr>
      <w:proofErr w:type="gramStart"/>
      <w:r>
        <w:rPr>
          <w:rStyle w:val="CharSectno"/>
        </w:rPr>
        <w:t>11</w:t>
      </w:r>
      <w:r w:rsidRPr="005767D9">
        <w:t xml:space="preserve">  </w:t>
      </w:r>
      <w:r w:rsidR="00CF0EFB">
        <w:t>Details</w:t>
      </w:r>
      <w:proofErr w:type="gramEnd"/>
      <w:r w:rsidR="00CF0EFB">
        <w:t xml:space="preserve"> for spectrum licences</w:t>
      </w:r>
    </w:p>
    <w:p w:rsidR="005D4072" w:rsidRDefault="00CF0EFB">
      <w:pPr>
        <w:pStyle w:val="subsection"/>
        <w:numPr>
          <w:ilvl w:val="0"/>
          <w:numId w:val="11"/>
        </w:numPr>
        <w:tabs>
          <w:tab w:val="clear" w:pos="1021"/>
        </w:tabs>
        <w:ind w:left="1276" w:hanging="425"/>
        <w:rPr>
          <w:szCs w:val="22"/>
        </w:rPr>
      </w:pPr>
      <w:r w:rsidRPr="005D4072">
        <w:rPr>
          <w:szCs w:val="22"/>
        </w:rPr>
        <w:t xml:space="preserve">The part of the Register relating to spectrum licences must contain the details set out in this </w:t>
      </w:r>
      <w:r w:rsidR="001C6D13" w:rsidRPr="005D4072">
        <w:rPr>
          <w:szCs w:val="22"/>
        </w:rPr>
        <w:t>section</w:t>
      </w:r>
      <w:r w:rsidRPr="005D4072">
        <w:rPr>
          <w:szCs w:val="22"/>
        </w:rPr>
        <w:t xml:space="preserve"> about each spectrum licence.</w:t>
      </w:r>
    </w:p>
    <w:p w:rsidR="00DE7800" w:rsidRPr="005D4072" w:rsidRDefault="007C4823" w:rsidP="00497532">
      <w:pPr>
        <w:pStyle w:val="subsection"/>
        <w:tabs>
          <w:tab w:val="clear" w:pos="1021"/>
        </w:tabs>
        <w:ind w:left="2160" w:hanging="884"/>
        <w:rPr>
          <w:szCs w:val="22"/>
        </w:rPr>
      </w:pPr>
      <w:r w:rsidRPr="005D4072">
        <w:rPr>
          <w:sz w:val="18"/>
        </w:rPr>
        <w:t>Note:</w:t>
      </w:r>
      <w:r w:rsidRPr="005D4072">
        <w:rPr>
          <w:sz w:val="18"/>
        </w:rPr>
        <w:tab/>
      </w:r>
      <w:r w:rsidR="000E1827">
        <w:rPr>
          <w:sz w:val="18"/>
          <w:lang w:val="en-GB"/>
        </w:rPr>
        <w:t>Under paragraphs 14</w:t>
      </w:r>
      <w:r w:rsidR="00297702">
        <w:rPr>
          <w:sz w:val="18"/>
          <w:lang w:val="en-GB"/>
        </w:rPr>
        <w:t>4</w:t>
      </w:r>
      <w:r w:rsidR="000E1827" w:rsidRPr="000E1827">
        <w:rPr>
          <w:sz w:val="18"/>
          <w:lang w:val="en-GB"/>
        </w:rPr>
        <w:t>(1</w:t>
      </w:r>
      <w:proofErr w:type="gramStart"/>
      <w:r w:rsidR="000E1827" w:rsidRPr="000E1827">
        <w:rPr>
          <w:sz w:val="18"/>
          <w:lang w:val="en-GB"/>
        </w:rPr>
        <w:t>)(</w:t>
      </w:r>
      <w:proofErr w:type="gramEnd"/>
      <w:r w:rsidR="000E1827" w:rsidRPr="000E1827">
        <w:rPr>
          <w:sz w:val="18"/>
          <w:lang w:val="en-GB"/>
        </w:rPr>
        <w:t xml:space="preserve">a) and (b) of the Act, the Register must contain, for each </w:t>
      </w:r>
      <w:r w:rsidR="00A109E6">
        <w:rPr>
          <w:sz w:val="18"/>
          <w:lang w:val="en-GB"/>
        </w:rPr>
        <w:t>spectrum</w:t>
      </w:r>
      <w:r w:rsidR="00297702">
        <w:rPr>
          <w:sz w:val="18"/>
          <w:lang w:val="en-GB"/>
        </w:rPr>
        <w:t xml:space="preserve"> </w:t>
      </w:r>
      <w:r w:rsidR="000E1827" w:rsidRPr="000E1827">
        <w:rPr>
          <w:sz w:val="18"/>
          <w:lang w:val="en-GB"/>
        </w:rPr>
        <w:t xml:space="preserve">licence, the licensee’s name and postal address, and the dates of issue and expiry of the licence.  The further details mentioned in </w:t>
      </w:r>
      <w:r w:rsidR="00297702">
        <w:rPr>
          <w:sz w:val="18"/>
          <w:lang w:val="en-GB"/>
        </w:rPr>
        <w:t>subsection</w:t>
      </w:r>
      <w:r w:rsidR="00CF6BA5">
        <w:rPr>
          <w:sz w:val="18"/>
          <w:lang w:val="en-GB"/>
        </w:rPr>
        <w:t xml:space="preserve">s </w:t>
      </w:r>
      <w:r w:rsidR="00FC7947">
        <w:rPr>
          <w:sz w:val="18"/>
          <w:lang w:val="en-GB"/>
        </w:rPr>
        <w:t>11</w:t>
      </w:r>
      <w:r w:rsidR="00CF6BA5">
        <w:rPr>
          <w:sz w:val="18"/>
          <w:lang w:val="en-GB"/>
        </w:rPr>
        <w:t xml:space="preserve">(2), </w:t>
      </w:r>
      <w:r w:rsidR="00FC7947">
        <w:rPr>
          <w:sz w:val="18"/>
          <w:lang w:val="en-GB"/>
        </w:rPr>
        <w:t>11</w:t>
      </w:r>
      <w:r w:rsidR="00CF6BA5">
        <w:rPr>
          <w:sz w:val="18"/>
          <w:lang w:val="en-GB"/>
        </w:rPr>
        <w:t>(3) and 1</w:t>
      </w:r>
      <w:r w:rsidR="00FC7947">
        <w:rPr>
          <w:sz w:val="18"/>
          <w:lang w:val="en-GB"/>
        </w:rPr>
        <w:t>2</w:t>
      </w:r>
      <w:r w:rsidR="00CF6BA5">
        <w:rPr>
          <w:sz w:val="18"/>
          <w:lang w:val="en-GB"/>
        </w:rPr>
        <w:t>(1) to 1</w:t>
      </w:r>
      <w:r w:rsidR="00FC7947">
        <w:rPr>
          <w:sz w:val="18"/>
          <w:lang w:val="en-GB"/>
        </w:rPr>
        <w:t>2</w:t>
      </w:r>
      <w:r w:rsidR="00CF6BA5">
        <w:rPr>
          <w:sz w:val="18"/>
          <w:lang w:val="en-GB"/>
        </w:rPr>
        <w:t>(6)</w:t>
      </w:r>
      <w:r w:rsidR="000E1827" w:rsidRPr="000E1827">
        <w:rPr>
          <w:sz w:val="18"/>
          <w:lang w:val="en-GB"/>
        </w:rPr>
        <w:t xml:space="preserve"> have been determined by the ACMA under paragraphs 14</w:t>
      </w:r>
      <w:r w:rsidR="00CF6BA5">
        <w:rPr>
          <w:sz w:val="18"/>
          <w:lang w:val="en-GB"/>
        </w:rPr>
        <w:t>4</w:t>
      </w:r>
      <w:r w:rsidR="000E1827" w:rsidRPr="000E1827">
        <w:rPr>
          <w:sz w:val="18"/>
          <w:lang w:val="en-GB"/>
        </w:rPr>
        <w:t>(1</w:t>
      </w:r>
      <w:proofErr w:type="gramStart"/>
      <w:r w:rsidR="000E1827" w:rsidRPr="000E1827">
        <w:rPr>
          <w:sz w:val="18"/>
          <w:lang w:val="en-GB"/>
        </w:rPr>
        <w:t>)(</w:t>
      </w:r>
      <w:proofErr w:type="gramEnd"/>
      <w:r w:rsidR="000E1827" w:rsidRPr="000E1827">
        <w:rPr>
          <w:sz w:val="18"/>
          <w:lang w:val="en-GB"/>
        </w:rPr>
        <w:t>c), (d) or (e) of the Act, as the case may be, or are otherwise considered to be details necessary or convenient for the purposes of the Act: see subsection 14</w:t>
      </w:r>
      <w:r w:rsidR="00CF6BA5">
        <w:rPr>
          <w:sz w:val="18"/>
          <w:lang w:val="en-GB"/>
        </w:rPr>
        <w:t>4</w:t>
      </w:r>
      <w:r w:rsidR="000E1827" w:rsidRPr="000E1827">
        <w:rPr>
          <w:sz w:val="18"/>
          <w:lang w:val="en-GB"/>
        </w:rPr>
        <w:t>(2) of the Act</w:t>
      </w:r>
      <w:r w:rsidR="00752624">
        <w:rPr>
          <w:sz w:val="18"/>
          <w:lang w:val="en-GB"/>
        </w:rPr>
        <w:t>.</w:t>
      </w:r>
    </w:p>
    <w:p w:rsidR="00AD3A8C" w:rsidRPr="00AD3A8C" w:rsidRDefault="00AD3A8C" w:rsidP="00AD3A8C">
      <w:pPr>
        <w:pStyle w:val="subsection"/>
        <w:numPr>
          <w:ilvl w:val="0"/>
          <w:numId w:val="11"/>
        </w:numPr>
        <w:tabs>
          <w:tab w:val="clear" w:pos="1021"/>
          <w:tab w:val="right" w:pos="1276"/>
        </w:tabs>
        <w:rPr>
          <w:szCs w:val="22"/>
        </w:rPr>
      </w:pPr>
      <w:r>
        <w:t>The details about each licensee of a spectrum licence are:</w:t>
      </w:r>
    </w:p>
    <w:p w:rsidR="00AD3A8C" w:rsidRPr="008475CF" w:rsidRDefault="00AD3A8C" w:rsidP="00536F59">
      <w:pPr>
        <w:pStyle w:val="Jeanpara"/>
        <w:spacing w:before="60" w:after="60"/>
        <w:ind w:left="1207" w:hanging="215"/>
        <w:rPr>
          <w:sz w:val="22"/>
          <w:szCs w:val="22"/>
        </w:rPr>
      </w:pPr>
      <w:r w:rsidRPr="008475CF">
        <w:rPr>
          <w:sz w:val="22"/>
          <w:szCs w:val="22"/>
        </w:rPr>
        <w:t xml:space="preserve">(a) </w:t>
      </w:r>
      <w:proofErr w:type="gramStart"/>
      <w:r w:rsidRPr="008475CF">
        <w:rPr>
          <w:sz w:val="22"/>
          <w:szCs w:val="22"/>
        </w:rPr>
        <w:t>the</w:t>
      </w:r>
      <w:proofErr w:type="gramEnd"/>
      <w:r w:rsidRPr="008475CF">
        <w:rPr>
          <w:sz w:val="22"/>
          <w:szCs w:val="22"/>
        </w:rPr>
        <w:t xml:space="preserve"> client number assigned by the ACMA to the licensee;</w:t>
      </w:r>
    </w:p>
    <w:p w:rsidR="00AD3A8C" w:rsidRPr="008475CF" w:rsidRDefault="00AD3A8C" w:rsidP="00536F59">
      <w:pPr>
        <w:pStyle w:val="Jeanpara"/>
        <w:spacing w:before="60" w:after="60"/>
        <w:ind w:left="1207" w:hanging="215"/>
        <w:rPr>
          <w:sz w:val="22"/>
          <w:szCs w:val="22"/>
        </w:rPr>
      </w:pPr>
      <w:r w:rsidRPr="008475CF">
        <w:rPr>
          <w:sz w:val="22"/>
          <w:szCs w:val="22"/>
        </w:rPr>
        <w:t xml:space="preserve">(b) </w:t>
      </w:r>
      <w:proofErr w:type="gramStart"/>
      <w:r w:rsidRPr="008475CF">
        <w:rPr>
          <w:sz w:val="22"/>
          <w:szCs w:val="22"/>
        </w:rPr>
        <w:t>the</w:t>
      </w:r>
      <w:proofErr w:type="gramEnd"/>
      <w:r w:rsidRPr="008475CF">
        <w:rPr>
          <w:sz w:val="22"/>
          <w:szCs w:val="22"/>
        </w:rPr>
        <w:t xml:space="preserve"> licensee’s trading name (if any);</w:t>
      </w:r>
      <w:r w:rsidR="00FC5F12">
        <w:rPr>
          <w:sz w:val="22"/>
          <w:szCs w:val="22"/>
        </w:rPr>
        <w:t xml:space="preserve"> and</w:t>
      </w:r>
    </w:p>
    <w:p w:rsidR="00AD3A8C" w:rsidRPr="008475CF" w:rsidRDefault="00AD3A8C" w:rsidP="00536F59">
      <w:pPr>
        <w:pStyle w:val="Jeanpara"/>
        <w:spacing w:before="60" w:after="60"/>
        <w:ind w:left="1207" w:hanging="215"/>
        <w:rPr>
          <w:sz w:val="22"/>
          <w:szCs w:val="22"/>
        </w:rPr>
      </w:pPr>
      <w:r w:rsidRPr="008475CF">
        <w:rPr>
          <w:sz w:val="22"/>
          <w:szCs w:val="22"/>
        </w:rPr>
        <w:t xml:space="preserve">(c) </w:t>
      </w:r>
      <w:proofErr w:type="gramStart"/>
      <w:r w:rsidRPr="008475CF">
        <w:rPr>
          <w:sz w:val="22"/>
          <w:szCs w:val="22"/>
        </w:rPr>
        <w:t>if</w:t>
      </w:r>
      <w:proofErr w:type="gramEnd"/>
      <w:r w:rsidRPr="008475CF">
        <w:rPr>
          <w:sz w:val="22"/>
          <w:szCs w:val="22"/>
        </w:rPr>
        <w:t xml:space="preserve"> the licensee is a company—</w:t>
      </w:r>
      <w:r w:rsidR="00F245D4">
        <w:rPr>
          <w:sz w:val="22"/>
          <w:szCs w:val="22"/>
        </w:rPr>
        <w:t>its</w:t>
      </w:r>
      <w:r w:rsidR="00F245D4" w:rsidRPr="008475CF">
        <w:rPr>
          <w:sz w:val="22"/>
          <w:szCs w:val="22"/>
        </w:rPr>
        <w:t xml:space="preserve"> </w:t>
      </w:r>
      <w:r w:rsidRPr="008475CF">
        <w:rPr>
          <w:sz w:val="22"/>
          <w:szCs w:val="22"/>
        </w:rPr>
        <w:t>ACN.</w:t>
      </w:r>
    </w:p>
    <w:p w:rsidR="00536F59" w:rsidRPr="00536F59" w:rsidRDefault="00536F59" w:rsidP="00536F59">
      <w:pPr>
        <w:pStyle w:val="subsection"/>
        <w:numPr>
          <w:ilvl w:val="0"/>
          <w:numId w:val="11"/>
        </w:numPr>
        <w:tabs>
          <w:tab w:val="clear" w:pos="1021"/>
          <w:tab w:val="right" w:pos="1276"/>
        </w:tabs>
        <w:rPr>
          <w:szCs w:val="22"/>
        </w:rPr>
      </w:pPr>
      <w:r w:rsidRPr="00536F59">
        <w:rPr>
          <w:szCs w:val="22"/>
        </w:rPr>
        <w:t>The details about each spectrum licence are:</w:t>
      </w:r>
    </w:p>
    <w:p w:rsidR="00536F59" w:rsidRDefault="00536F59" w:rsidP="008475CF">
      <w:pPr>
        <w:pStyle w:val="Jeanpara"/>
        <w:numPr>
          <w:ilvl w:val="0"/>
          <w:numId w:val="12"/>
        </w:numPr>
        <w:spacing w:before="60" w:after="60"/>
        <w:ind w:left="1276" w:hanging="284"/>
        <w:rPr>
          <w:sz w:val="22"/>
          <w:szCs w:val="22"/>
        </w:rPr>
      </w:pPr>
      <w:r w:rsidRPr="00536F59">
        <w:rPr>
          <w:sz w:val="22"/>
          <w:szCs w:val="22"/>
        </w:rPr>
        <w:t>the licence number;</w:t>
      </w:r>
    </w:p>
    <w:p w:rsidR="00765A20" w:rsidRPr="00536F59" w:rsidRDefault="00765A20" w:rsidP="008475CF">
      <w:pPr>
        <w:pStyle w:val="Jeanpara"/>
        <w:numPr>
          <w:ilvl w:val="0"/>
          <w:numId w:val="12"/>
        </w:numPr>
        <w:spacing w:before="60" w:after="60"/>
        <w:ind w:left="1276" w:hanging="284"/>
        <w:rPr>
          <w:sz w:val="22"/>
          <w:szCs w:val="22"/>
        </w:rPr>
      </w:pPr>
      <w:r>
        <w:rPr>
          <w:sz w:val="22"/>
          <w:szCs w:val="22"/>
        </w:rPr>
        <w:t>the date of effect;</w:t>
      </w:r>
    </w:p>
    <w:p w:rsidR="00536F59" w:rsidRPr="00536F59" w:rsidRDefault="00536F59" w:rsidP="008475CF">
      <w:pPr>
        <w:pStyle w:val="Jeanpara"/>
        <w:numPr>
          <w:ilvl w:val="0"/>
          <w:numId w:val="12"/>
        </w:numPr>
        <w:spacing w:before="60" w:after="60"/>
        <w:ind w:left="1276" w:hanging="284"/>
        <w:rPr>
          <w:sz w:val="22"/>
          <w:szCs w:val="22"/>
        </w:rPr>
      </w:pPr>
      <w:r w:rsidRPr="00536F59">
        <w:rPr>
          <w:sz w:val="22"/>
          <w:szCs w:val="22"/>
        </w:rPr>
        <w:t>the identification code assigned by the ACMA to the frequency band in relation to which the licence is issued;</w:t>
      </w:r>
    </w:p>
    <w:p w:rsidR="00536F59" w:rsidRPr="00536F59" w:rsidRDefault="00536F59" w:rsidP="008475CF">
      <w:pPr>
        <w:pStyle w:val="Jeanpara"/>
        <w:numPr>
          <w:ilvl w:val="0"/>
          <w:numId w:val="12"/>
        </w:numPr>
        <w:spacing w:before="60" w:after="60"/>
        <w:ind w:left="1276" w:hanging="284"/>
        <w:rPr>
          <w:sz w:val="22"/>
          <w:szCs w:val="22"/>
        </w:rPr>
      </w:pPr>
      <w:r w:rsidRPr="00536F59">
        <w:rPr>
          <w:sz w:val="22"/>
          <w:szCs w:val="22"/>
        </w:rPr>
        <w:t>the core conditions of the licence;</w:t>
      </w:r>
    </w:p>
    <w:p w:rsidR="00536F59" w:rsidRPr="00536F59" w:rsidRDefault="00536F59" w:rsidP="008475CF">
      <w:pPr>
        <w:pStyle w:val="Jeanpara"/>
        <w:numPr>
          <w:ilvl w:val="0"/>
          <w:numId w:val="12"/>
        </w:numPr>
        <w:spacing w:before="60" w:after="60"/>
        <w:ind w:left="1276" w:hanging="284"/>
        <w:rPr>
          <w:sz w:val="22"/>
          <w:szCs w:val="22"/>
        </w:rPr>
      </w:pPr>
      <w:r w:rsidRPr="00536F59">
        <w:rPr>
          <w:sz w:val="22"/>
          <w:szCs w:val="22"/>
        </w:rPr>
        <w:t>the periods specified in the licence during which operation of devices is authorised under the licence;</w:t>
      </w:r>
    </w:p>
    <w:p w:rsidR="00536F59" w:rsidRPr="00536F59" w:rsidRDefault="00536F59" w:rsidP="008475CF">
      <w:pPr>
        <w:pStyle w:val="Jeanpara"/>
        <w:numPr>
          <w:ilvl w:val="0"/>
          <w:numId w:val="12"/>
        </w:numPr>
        <w:spacing w:before="60" w:after="60"/>
        <w:ind w:left="1276" w:hanging="284"/>
        <w:rPr>
          <w:sz w:val="22"/>
          <w:szCs w:val="22"/>
        </w:rPr>
      </w:pPr>
      <w:r w:rsidRPr="00536F59">
        <w:rPr>
          <w:sz w:val="22"/>
          <w:szCs w:val="22"/>
        </w:rPr>
        <w:t>the conditions included in the licence by the ACMA under section 71 of the Act;</w:t>
      </w:r>
    </w:p>
    <w:p w:rsidR="00536F59" w:rsidRPr="000C7DCB" w:rsidRDefault="008142AD" w:rsidP="008475CF">
      <w:pPr>
        <w:pStyle w:val="Jeanpara"/>
        <w:numPr>
          <w:ilvl w:val="0"/>
          <w:numId w:val="12"/>
        </w:numPr>
        <w:spacing w:before="60" w:after="60"/>
        <w:ind w:left="1276" w:hanging="284"/>
        <w:rPr>
          <w:sz w:val="22"/>
          <w:szCs w:val="22"/>
        </w:rPr>
      </w:pPr>
      <w:r w:rsidRPr="00E67F12">
        <w:rPr>
          <w:sz w:val="22"/>
          <w:szCs w:val="22"/>
        </w:rPr>
        <w:t>the title of the s.145 determination</w:t>
      </w:r>
      <w:r w:rsidR="00536F59" w:rsidRPr="000C7DCB">
        <w:rPr>
          <w:sz w:val="22"/>
          <w:szCs w:val="22"/>
        </w:rPr>
        <w:t>;</w:t>
      </w:r>
    </w:p>
    <w:p w:rsidR="00536F59" w:rsidRPr="00536F59" w:rsidRDefault="00536F59" w:rsidP="008475CF">
      <w:pPr>
        <w:pStyle w:val="Jeanpara"/>
        <w:numPr>
          <w:ilvl w:val="0"/>
          <w:numId w:val="12"/>
        </w:numPr>
        <w:spacing w:before="60" w:after="60"/>
        <w:ind w:left="1276" w:hanging="284"/>
        <w:rPr>
          <w:sz w:val="22"/>
          <w:szCs w:val="22"/>
        </w:rPr>
      </w:pPr>
      <w:r w:rsidRPr="00536F59">
        <w:rPr>
          <w:sz w:val="22"/>
          <w:szCs w:val="22"/>
        </w:rPr>
        <w:t>the title of the guidelines (if any) issued by the ACMA under section 262 of the Act about the co-ordination of devices operated under the licence with other specified devices, whether or not those other devices are also operated under the licence;</w:t>
      </w:r>
      <w:r w:rsidR="00765A20">
        <w:rPr>
          <w:sz w:val="22"/>
          <w:szCs w:val="22"/>
        </w:rPr>
        <w:t xml:space="preserve"> and</w:t>
      </w:r>
    </w:p>
    <w:p w:rsidR="00536F59" w:rsidRPr="00536F59" w:rsidRDefault="00536F59" w:rsidP="008475CF">
      <w:pPr>
        <w:pStyle w:val="Jeanpara"/>
        <w:numPr>
          <w:ilvl w:val="0"/>
          <w:numId w:val="12"/>
        </w:numPr>
        <w:spacing w:before="60" w:after="60"/>
        <w:ind w:left="1276" w:hanging="284"/>
        <w:rPr>
          <w:sz w:val="22"/>
          <w:szCs w:val="22"/>
        </w:rPr>
      </w:pPr>
      <w:proofErr w:type="gramStart"/>
      <w:r w:rsidRPr="00536F59">
        <w:rPr>
          <w:sz w:val="22"/>
          <w:szCs w:val="22"/>
        </w:rPr>
        <w:t>if</w:t>
      </w:r>
      <w:proofErr w:type="gramEnd"/>
      <w:r w:rsidRPr="00536F59">
        <w:rPr>
          <w:sz w:val="22"/>
          <w:szCs w:val="22"/>
        </w:rPr>
        <w:t xml:space="preserve"> particular kinds of transmitters are exempt from meeting the requirements of the ACMA under Part 3.5 of the Act for registration under that Part—a description of the kinds of transmitters</w:t>
      </w:r>
      <w:r w:rsidR="00F245D4">
        <w:rPr>
          <w:sz w:val="22"/>
          <w:szCs w:val="22"/>
        </w:rPr>
        <w:t>.</w:t>
      </w:r>
    </w:p>
    <w:p w:rsidR="007D54F3" w:rsidRPr="007D54F3" w:rsidRDefault="00CE5F18" w:rsidP="007D54F3">
      <w:pPr>
        <w:pStyle w:val="ActHead5"/>
      </w:pPr>
      <w:proofErr w:type="gramStart"/>
      <w:r w:rsidRPr="00D636CC">
        <w:rPr>
          <w:rStyle w:val="CharSectno"/>
        </w:rPr>
        <w:t>1</w:t>
      </w:r>
      <w:r>
        <w:rPr>
          <w:rStyle w:val="CharSectno"/>
        </w:rPr>
        <w:t>2</w:t>
      </w:r>
      <w:r>
        <w:t xml:space="preserve">  </w:t>
      </w:r>
      <w:r w:rsidR="007D54F3" w:rsidRPr="007D54F3">
        <w:t>Details</w:t>
      </w:r>
      <w:proofErr w:type="gramEnd"/>
      <w:r w:rsidR="007D54F3" w:rsidRPr="007D54F3">
        <w:t xml:space="preserve"> for devices operated under spectrum licences</w:t>
      </w:r>
    </w:p>
    <w:p w:rsidR="007D54F3" w:rsidRPr="00662E2D" w:rsidRDefault="007D54F3" w:rsidP="00662E2D">
      <w:pPr>
        <w:spacing w:before="180" w:after="0" w:line="240" w:lineRule="auto"/>
        <w:ind w:left="1276" w:hanging="425"/>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(1)</w:t>
      </w:r>
      <w:r w:rsidRPr="00662E2D">
        <w:rPr>
          <w:rFonts w:ascii="Times New Roman" w:eastAsia="Times New Roman" w:hAnsi="Times New Roman" w:cs="Times New Roman"/>
          <w:b/>
          <w:lang w:val="en-GB" w:eastAsia="en-AU"/>
        </w:rPr>
        <w:t xml:space="preserve">  </w:t>
      </w:r>
      <w:r w:rsidRPr="00662E2D">
        <w:rPr>
          <w:rFonts w:ascii="Times New Roman" w:eastAsia="Times New Roman" w:hAnsi="Times New Roman" w:cs="Times New Roman"/>
          <w:lang w:val="en-GB" w:eastAsia="en-AU"/>
        </w:rPr>
        <w:t xml:space="preserve">The part of the Register relating to spectrum licences must contain the details set out in this </w:t>
      </w:r>
      <w:r w:rsidR="001C6D13">
        <w:rPr>
          <w:rFonts w:ascii="Times New Roman" w:eastAsia="Times New Roman" w:hAnsi="Times New Roman" w:cs="Times New Roman"/>
          <w:lang w:val="en-GB" w:eastAsia="en-AU"/>
        </w:rPr>
        <w:t>section</w:t>
      </w:r>
      <w:r w:rsidRPr="00662E2D">
        <w:rPr>
          <w:rFonts w:ascii="Times New Roman" w:eastAsia="Times New Roman" w:hAnsi="Times New Roman" w:cs="Times New Roman"/>
          <w:lang w:val="en-GB" w:eastAsia="en-AU"/>
        </w:rPr>
        <w:t xml:space="preserve"> about:</w:t>
      </w:r>
    </w:p>
    <w:p w:rsidR="007D54F3" w:rsidRPr="00662E2D" w:rsidRDefault="007D54F3" w:rsidP="008478A2">
      <w:pPr>
        <w:spacing w:before="60" w:after="60" w:line="240" w:lineRule="auto"/>
        <w:ind w:left="1276" w:hanging="255"/>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(a) each transmitter authorised to be operated under each spectrum licence, unless registration of the transmitter is exempt under a condition included in the licence relating to the transmitter under subsection 69(2) of the Act; and</w:t>
      </w:r>
    </w:p>
    <w:p w:rsidR="007D54F3" w:rsidRPr="00662E2D" w:rsidRDefault="007D54F3" w:rsidP="007D6C81">
      <w:pPr>
        <w:spacing w:before="60" w:after="60" w:line="240" w:lineRule="auto"/>
        <w:ind w:left="1021"/>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(b) </w:t>
      </w:r>
      <w:proofErr w:type="gramStart"/>
      <w:r w:rsidRPr="00662E2D">
        <w:rPr>
          <w:rFonts w:ascii="Times New Roman" w:eastAsia="Times New Roman" w:hAnsi="Times New Roman" w:cs="Times New Roman"/>
          <w:lang w:val="en-GB" w:eastAsia="en-AU"/>
        </w:rPr>
        <w:t>if</w:t>
      </w:r>
      <w:proofErr w:type="gramEnd"/>
      <w:r w:rsidRPr="00662E2D">
        <w:rPr>
          <w:rFonts w:ascii="Times New Roman" w:eastAsia="Times New Roman" w:hAnsi="Times New Roman" w:cs="Times New Roman"/>
          <w:lang w:val="en-GB" w:eastAsia="en-AU"/>
        </w:rPr>
        <w:t xml:space="preserve"> a licensee registers a receiver—each receiver </w:t>
      </w:r>
      <w:r w:rsidR="00F245D4">
        <w:rPr>
          <w:rFonts w:ascii="Times New Roman" w:eastAsia="Times New Roman" w:hAnsi="Times New Roman" w:cs="Times New Roman"/>
          <w:lang w:val="en-GB" w:eastAsia="en-AU"/>
        </w:rPr>
        <w:t>that is so</w:t>
      </w:r>
      <w:r w:rsidRPr="00662E2D">
        <w:rPr>
          <w:rFonts w:ascii="Times New Roman" w:eastAsia="Times New Roman" w:hAnsi="Times New Roman" w:cs="Times New Roman"/>
          <w:lang w:val="en-GB" w:eastAsia="en-AU"/>
        </w:rPr>
        <w:t xml:space="preserve"> registered.</w:t>
      </w:r>
    </w:p>
    <w:p w:rsidR="007D54F3" w:rsidRPr="00662E2D" w:rsidRDefault="007D54F3" w:rsidP="00E97751">
      <w:pPr>
        <w:spacing w:before="180" w:after="0" w:line="240" w:lineRule="auto"/>
        <w:ind w:left="425" w:firstLine="426"/>
        <w:rPr>
          <w:rFonts w:ascii="Times New Roman" w:eastAsia="Times New Roman" w:hAnsi="Times New Roman" w:cs="Times New Roman"/>
          <w:b/>
          <w:lang w:val="en-GB" w:eastAsia="en-AU"/>
        </w:rPr>
      </w:pPr>
      <w:r w:rsidRPr="00662E2D">
        <w:rPr>
          <w:rFonts w:ascii="Times New Roman" w:eastAsia="Times New Roman" w:hAnsi="Times New Roman" w:cs="Times New Roman"/>
          <w:lang w:val="en-GB" w:eastAsia="en-AU"/>
        </w:rPr>
        <w:t>(2)</w:t>
      </w:r>
      <w:r w:rsidRPr="00662E2D">
        <w:rPr>
          <w:rFonts w:ascii="Times New Roman" w:eastAsia="Times New Roman" w:hAnsi="Times New Roman" w:cs="Times New Roman"/>
          <w:b/>
          <w:lang w:val="en-GB" w:eastAsia="en-AU"/>
        </w:rPr>
        <w:t xml:space="preserve"> </w:t>
      </w:r>
      <w:r w:rsidRPr="00662E2D">
        <w:rPr>
          <w:rFonts w:ascii="Times New Roman" w:eastAsia="Times New Roman" w:hAnsi="Times New Roman" w:cs="Times New Roman"/>
          <w:lang w:val="en-GB" w:eastAsia="en-AU"/>
        </w:rPr>
        <w:t xml:space="preserve"> The details are:</w:t>
      </w:r>
    </w:p>
    <w:p w:rsidR="007D54F3" w:rsidRPr="00662E2D" w:rsidRDefault="007D54F3" w:rsidP="00E979FD">
      <w:pPr>
        <w:numPr>
          <w:ilvl w:val="0"/>
          <w:numId w:val="14"/>
        </w:numPr>
        <w:spacing w:before="60" w:after="60" w:line="240" w:lineRule="auto"/>
        <w:ind w:left="1276" w:hanging="283"/>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licence number;</w:t>
      </w:r>
    </w:p>
    <w:p w:rsidR="007D54F3" w:rsidRPr="00662E2D" w:rsidRDefault="007D54F3" w:rsidP="00E979FD">
      <w:pPr>
        <w:numPr>
          <w:ilvl w:val="0"/>
          <w:numId w:val="14"/>
        </w:numPr>
        <w:spacing w:before="60" w:after="60" w:line="240" w:lineRule="auto"/>
        <w:ind w:left="1276" w:hanging="283"/>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device identification number assigned by the ACMA to each device;</w:t>
      </w:r>
    </w:p>
    <w:p w:rsidR="007D54F3" w:rsidRPr="00662E2D" w:rsidRDefault="007D54F3" w:rsidP="00E979FD">
      <w:pPr>
        <w:numPr>
          <w:ilvl w:val="0"/>
          <w:numId w:val="14"/>
        </w:numPr>
        <w:spacing w:before="60" w:after="60" w:line="240" w:lineRule="auto"/>
        <w:ind w:left="1276" w:hanging="283"/>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registration identification number assigned by the ACMA to each device;</w:t>
      </w:r>
    </w:p>
    <w:p w:rsidR="007D54F3" w:rsidRPr="00662E2D" w:rsidRDefault="007D54F3" w:rsidP="00E979FD">
      <w:pPr>
        <w:numPr>
          <w:ilvl w:val="0"/>
          <w:numId w:val="14"/>
        </w:numPr>
        <w:spacing w:before="60" w:after="60" w:line="240" w:lineRule="auto"/>
        <w:ind w:left="1276" w:hanging="283"/>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whether the device is a transmitter or a receiver;</w:t>
      </w:r>
    </w:p>
    <w:p w:rsidR="007D54F3" w:rsidRPr="00662E2D" w:rsidRDefault="007D54F3" w:rsidP="00E979FD">
      <w:pPr>
        <w:numPr>
          <w:ilvl w:val="0"/>
          <w:numId w:val="14"/>
        </w:numPr>
        <w:spacing w:before="60" w:after="60" w:line="240" w:lineRule="auto"/>
        <w:ind w:left="1276" w:hanging="283"/>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lastRenderedPageBreak/>
        <w:t>the number assigned by the ACMA to the person who applied to register the device;</w:t>
      </w:r>
    </w:p>
    <w:p w:rsidR="007D54F3" w:rsidRPr="00662E2D" w:rsidRDefault="007D54F3" w:rsidP="00E979FD">
      <w:pPr>
        <w:numPr>
          <w:ilvl w:val="0"/>
          <w:numId w:val="14"/>
        </w:numPr>
        <w:spacing w:before="60" w:after="60" w:line="240" w:lineRule="auto"/>
        <w:ind w:left="1276" w:hanging="283"/>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if the device is a transmitter—the client number assigned by the ACMA to the person accredited under section 263 of the Act who issued the interference impact certificate for the device;</w:t>
      </w:r>
    </w:p>
    <w:p w:rsidR="007D54F3" w:rsidRPr="00662E2D" w:rsidRDefault="007D54F3" w:rsidP="00E979FD">
      <w:pPr>
        <w:numPr>
          <w:ilvl w:val="0"/>
          <w:numId w:val="14"/>
        </w:numPr>
        <w:spacing w:before="60" w:after="60" w:line="240" w:lineRule="auto"/>
        <w:ind w:left="1276" w:hanging="283"/>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date and time of registration of the device; </w:t>
      </w:r>
      <w:r w:rsidR="005150D8">
        <w:rPr>
          <w:rFonts w:ascii="Times New Roman" w:eastAsia="Times New Roman" w:hAnsi="Times New Roman" w:cs="Times New Roman"/>
          <w:lang w:val="en-GB" w:eastAsia="en-AU"/>
        </w:rPr>
        <w:t>and</w:t>
      </w:r>
    </w:p>
    <w:p w:rsidR="007D54F3" w:rsidRPr="00662E2D" w:rsidRDefault="007D54F3" w:rsidP="00E979FD">
      <w:pPr>
        <w:numPr>
          <w:ilvl w:val="0"/>
          <w:numId w:val="14"/>
        </w:numPr>
        <w:spacing w:before="60" w:after="60" w:line="240" w:lineRule="auto"/>
        <w:ind w:left="1276" w:hanging="283"/>
        <w:rPr>
          <w:rFonts w:ascii="Times New Roman" w:eastAsia="Times New Roman" w:hAnsi="Times New Roman" w:cs="Times New Roman"/>
          <w:lang w:val="en-GB" w:eastAsia="en-AU"/>
        </w:rPr>
      </w:pPr>
      <w:proofErr w:type="gramStart"/>
      <w:r w:rsidRPr="00662E2D">
        <w:rPr>
          <w:rFonts w:ascii="Times New Roman" w:eastAsia="Times New Roman" w:hAnsi="Times New Roman" w:cs="Times New Roman"/>
          <w:lang w:val="en-GB" w:eastAsia="en-AU"/>
        </w:rPr>
        <w:t>an</w:t>
      </w:r>
      <w:proofErr w:type="gramEnd"/>
      <w:r w:rsidRPr="00662E2D">
        <w:rPr>
          <w:rFonts w:ascii="Times New Roman" w:eastAsia="Times New Roman" w:hAnsi="Times New Roman" w:cs="Times New Roman"/>
          <w:lang w:val="en-GB" w:eastAsia="en-AU"/>
        </w:rPr>
        <w:t xml:space="preserve"> indication of whether the operation of the device is authorised during certain times only</w:t>
      </w:r>
      <w:r w:rsidR="00902082">
        <w:rPr>
          <w:rFonts w:ascii="Times New Roman" w:eastAsia="Times New Roman" w:hAnsi="Times New Roman" w:cs="Times New Roman"/>
          <w:lang w:val="en-GB" w:eastAsia="en-AU"/>
        </w:rPr>
        <w:t>.</w:t>
      </w:r>
    </w:p>
    <w:p w:rsidR="007D54F3" w:rsidRPr="00662E2D" w:rsidRDefault="007D54F3" w:rsidP="007D54F3">
      <w:pPr>
        <w:spacing w:after="0" w:line="240" w:lineRule="auto"/>
        <w:ind w:left="56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(3)</w:t>
      </w:r>
      <w:r w:rsidRPr="00662E2D">
        <w:rPr>
          <w:rFonts w:ascii="Times New Roman" w:eastAsia="Times New Roman" w:hAnsi="Times New Roman" w:cs="Times New Roman"/>
          <w:b/>
          <w:lang w:val="en-GB" w:eastAsia="en-AU"/>
        </w:rPr>
        <w:t xml:space="preserve"> </w:t>
      </w:r>
      <w:r w:rsidRPr="00662E2D">
        <w:rPr>
          <w:rFonts w:ascii="Times New Roman" w:eastAsia="Times New Roman" w:hAnsi="Times New Roman" w:cs="Times New Roman"/>
          <w:lang w:val="en-GB" w:eastAsia="en-AU"/>
        </w:rPr>
        <w:t>The details about each antenna are:</w:t>
      </w:r>
    </w:p>
    <w:p w:rsidR="007D54F3" w:rsidRPr="00662E2D" w:rsidRDefault="007D54F3" w:rsidP="001C01DC">
      <w:pPr>
        <w:spacing w:before="60" w:after="60" w:line="240" w:lineRule="auto"/>
        <w:ind w:left="992"/>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(a) </w:t>
      </w:r>
      <w:proofErr w:type="gramStart"/>
      <w:r w:rsidRPr="00662E2D">
        <w:rPr>
          <w:rFonts w:ascii="Times New Roman" w:eastAsia="Times New Roman" w:hAnsi="Times New Roman" w:cs="Times New Roman"/>
          <w:lang w:val="en-GB" w:eastAsia="en-AU"/>
        </w:rPr>
        <w:t>the</w:t>
      </w:r>
      <w:proofErr w:type="gramEnd"/>
      <w:r w:rsidRPr="00662E2D">
        <w:rPr>
          <w:rFonts w:ascii="Times New Roman" w:eastAsia="Times New Roman" w:hAnsi="Times New Roman" w:cs="Times New Roman"/>
          <w:lang w:val="en-GB" w:eastAsia="en-AU"/>
        </w:rPr>
        <w:t xml:space="preserve"> identification number assigned by the ACMA;</w:t>
      </w:r>
    </w:p>
    <w:p w:rsidR="007D54F3" w:rsidRPr="00662E2D" w:rsidRDefault="007D54F3" w:rsidP="001C01DC">
      <w:pPr>
        <w:spacing w:before="60" w:after="60" w:line="240" w:lineRule="auto"/>
        <w:ind w:left="992"/>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(b) </w:t>
      </w:r>
      <w:proofErr w:type="gramStart"/>
      <w:r w:rsidRPr="00662E2D">
        <w:rPr>
          <w:rFonts w:ascii="Times New Roman" w:eastAsia="Times New Roman" w:hAnsi="Times New Roman" w:cs="Times New Roman"/>
          <w:lang w:val="en-GB" w:eastAsia="en-AU"/>
        </w:rPr>
        <w:t>the</w:t>
      </w:r>
      <w:proofErr w:type="gramEnd"/>
      <w:r w:rsidRPr="00662E2D">
        <w:rPr>
          <w:rFonts w:ascii="Times New Roman" w:eastAsia="Times New Roman" w:hAnsi="Times New Roman" w:cs="Times New Roman"/>
          <w:lang w:val="en-GB" w:eastAsia="en-AU"/>
        </w:rPr>
        <w:t xml:space="preserve"> forward gain for the intended polarisation, in units of </w:t>
      </w:r>
      <w:proofErr w:type="spellStart"/>
      <w:r w:rsidRPr="00662E2D">
        <w:rPr>
          <w:rFonts w:ascii="Times New Roman" w:eastAsia="Times New Roman" w:hAnsi="Times New Roman" w:cs="Times New Roman"/>
          <w:lang w:val="en-GB" w:eastAsia="en-AU"/>
        </w:rPr>
        <w:t>dBi</w:t>
      </w:r>
      <w:proofErr w:type="spellEnd"/>
      <w:r w:rsidRPr="00662E2D">
        <w:rPr>
          <w:rFonts w:ascii="Times New Roman" w:eastAsia="Times New Roman" w:hAnsi="Times New Roman" w:cs="Times New Roman"/>
          <w:lang w:val="en-GB" w:eastAsia="en-AU"/>
        </w:rPr>
        <w:t>;</w:t>
      </w:r>
    </w:p>
    <w:p w:rsidR="007D54F3" w:rsidRPr="00662E2D" w:rsidRDefault="007D54F3" w:rsidP="001C01DC">
      <w:pPr>
        <w:spacing w:before="60" w:after="60" w:line="240" w:lineRule="auto"/>
        <w:ind w:left="992"/>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(c) </w:t>
      </w:r>
      <w:proofErr w:type="gramStart"/>
      <w:r w:rsidRPr="00662E2D">
        <w:rPr>
          <w:rFonts w:ascii="Times New Roman" w:eastAsia="Times New Roman" w:hAnsi="Times New Roman" w:cs="Times New Roman"/>
          <w:lang w:val="en-GB" w:eastAsia="en-AU"/>
        </w:rPr>
        <w:t>the</w:t>
      </w:r>
      <w:proofErr w:type="gramEnd"/>
      <w:r w:rsidRPr="00662E2D">
        <w:rPr>
          <w:rFonts w:ascii="Times New Roman" w:eastAsia="Times New Roman" w:hAnsi="Times New Roman" w:cs="Times New Roman"/>
          <w:lang w:val="en-GB" w:eastAsia="en-AU"/>
        </w:rPr>
        <w:t xml:space="preserve"> 3 dB </w:t>
      </w:r>
      <w:proofErr w:type="spellStart"/>
      <w:r w:rsidRPr="00662E2D">
        <w:rPr>
          <w:rFonts w:ascii="Times New Roman" w:eastAsia="Times New Roman" w:hAnsi="Times New Roman" w:cs="Times New Roman"/>
          <w:lang w:val="en-GB" w:eastAsia="en-AU"/>
        </w:rPr>
        <w:t>beamwidth</w:t>
      </w:r>
      <w:proofErr w:type="spellEnd"/>
      <w:r w:rsidRPr="00662E2D">
        <w:rPr>
          <w:rFonts w:ascii="Times New Roman" w:eastAsia="Times New Roman" w:hAnsi="Times New Roman" w:cs="Times New Roman"/>
          <w:lang w:val="en-GB" w:eastAsia="en-AU"/>
        </w:rPr>
        <w:t xml:space="preserve"> for the intended polarisation, in degrees;</w:t>
      </w:r>
    </w:p>
    <w:p w:rsidR="007D54F3" w:rsidRPr="00662E2D" w:rsidRDefault="007D54F3" w:rsidP="001C01DC">
      <w:pPr>
        <w:spacing w:before="60" w:after="60" w:line="240" w:lineRule="auto"/>
        <w:ind w:left="992"/>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(d) </w:t>
      </w:r>
      <w:proofErr w:type="gramStart"/>
      <w:r w:rsidRPr="00662E2D">
        <w:rPr>
          <w:rFonts w:ascii="Times New Roman" w:eastAsia="Times New Roman" w:hAnsi="Times New Roman" w:cs="Times New Roman"/>
          <w:lang w:val="en-GB" w:eastAsia="en-AU"/>
        </w:rPr>
        <w:t>the</w:t>
      </w:r>
      <w:proofErr w:type="gramEnd"/>
      <w:r w:rsidRPr="00662E2D">
        <w:rPr>
          <w:rFonts w:ascii="Times New Roman" w:eastAsia="Times New Roman" w:hAnsi="Times New Roman" w:cs="Times New Roman"/>
          <w:lang w:val="en-GB" w:eastAsia="en-AU"/>
        </w:rPr>
        <w:t xml:space="preserve"> front to back ratio for the intended polarisation, in decibels;</w:t>
      </w:r>
    </w:p>
    <w:p w:rsidR="007D54F3" w:rsidRPr="00662E2D" w:rsidRDefault="007D54F3" w:rsidP="001C01DC">
      <w:pPr>
        <w:spacing w:before="60" w:after="60" w:line="240" w:lineRule="auto"/>
        <w:ind w:left="992"/>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(e) </w:t>
      </w:r>
      <w:proofErr w:type="gramStart"/>
      <w:r w:rsidRPr="00662E2D">
        <w:rPr>
          <w:rFonts w:ascii="Times New Roman" w:eastAsia="Times New Roman" w:hAnsi="Times New Roman" w:cs="Times New Roman"/>
          <w:lang w:val="en-GB" w:eastAsia="en-AU"/>
        </w:rPr>
        <w:t>the</w:t>
      </w:r>
      <w:proofErr w:type="gramEnd"/>
      <w:r w:rsidRPr="00662E2D">
        <w:rPr>
          <w:rFonts w:ascii="Times New Roman" w:eastAsia="Times New Roman" w:hAnsi="Times New Roman" w:cs="Times New Roman"/>
          <w:lang w:val="en-GB" w:eastAsia="en-AU"/>
        </w:rPr>
        <w:t xml:space="preserve"> antenna size;</w:t>
      </w:r>
    </w:p>
    <w:p w:rsidR="007D54F3" w:rsidRPr="00662E2D" w:rsidRDefault="007D54F3" w:rsidP="001C01DC">
      <w:pPr>
        <w:spacing w:before="60" w:after="60" w:line="240" w:lineRule="auto"/>
        <w:ind w:left="992"/>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(f) </w:t>
      </w:r>
      <w:proofErr w:type="gramStart"/>
      <w:r w:rsidRPr="00662E2D">
        <w:rPr>
          <w:rFonts w:ascii="Times New Roman" w:eastAsia="Times New Roman" w:hAnsi="Times New Roman" w:cs="Times New Roman"/>
          <w:lang w:val="en-GB" w:eastAsia="en-AU"/>
        </w:rPr>
        <w:t>the</w:t>
      </w:r>
      <w:proofErr w:type="gramEnd"/>
      <w:r w:rsidRPr="00662E2D">
        <w:rPr>
          <w:rFonts w:ascii="Times New Roman" w:eastAsia="Times New Roman" w:hAnsi="Times New Roman" w:cs="Times New Roman"/>
          <w:lang w:val="en-GB" w:eastAsia="en-AU"/>
        </w:rPr>
        <w:t xml:space="preserve"> antenna type;</w:t>
      </w:r>
    </w:p>
    <w:p w:rsidR="007D54F3" w:rsidRPr="00662E2D" w:rsidRDefault="007D54F3" w:rsidP="001C01DC">
      <w:pPr>
        <w:spacing w:before="60" w:after="60" w:line="240" w:lineRule="auto"/>
        <w:ind w:left="992"/>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(g) </w:t>
      </w:r>
      <w:proofErr w:type="gramStart"/>
      <w:r w:rsidRPr="00662E2D">
        <w:rPr>
          <w:rFonts w:ascii="Times New Roman" w:eastAsia="Times New Roman" w:hAnsi="Times New Roman" w:cs="Times New Roman"/>
          <w:lang w:val="en-GB" w:eastAsia="en-AU"/>
        </w:rPr>
        <w:t>the</w:t>
      </w:r>
      <w:proofErr w:type="gramEnd"/>
      <w:r w:rsidRPr="00662E2D">
        <w:rPr>
          <w:rFonts w:ascii="Times New Roman" w:eastAsia="Times New Roman" w:hAnsi="Times New Roman" w:cs="Times New Roman"/>
          <w:lang w:val="en-GB" w:eastAsia="en-AU"/>
        </w:rPr>
        <w:t xml:space="preserve"> antenna model;</w:t>
      </w:r>
      <w:r w:rsidR="005150D8">
        <w:rPr>
          <w:rFonts w:ascii="Times New Roman" w:eastAsia="Times New Roman" w:hAnsi="Times New Roman" w:cs="Times New Roman"/>
          <w:lang w:val="en-GB" w:eastAsia="en-AU"/>
        </w:rPr>
        <w:t xml:space="preserve"> and</w:t>
      </w:r>
    </w:p>
    <w:p w:rsidR="007D54F3" w:rsidRPr="00662E2D" w:rsidRDefault="008478A2" w:rsidP="001C01DC">
      <w:pPr>
        <w:spacing w:before="60" w:after="60" w:line="240" w:lineRule="auto"/>
        <w:ind w:left="992"/>
        <w:rPr>
          <w:rFonts w:ascii="Times New Roman" w:eastAsia="Times New Roman" w:hAnsi="Times New Roman" w:cs="Times New Roman"/>
          <w:lang w:val="en-GB" w:eastAsia="en-AU"/>
        </w:rPr>
      </w:pPr>
      <w:r>
        <w:rPr>
          <w:rFonts w:ascii="Times New Roman" w:eastAsia="Times New Roman" w:hAnsi="Times New Roman" w:cs="Times New Roman"/>
          <w:lang w:val="en-GB" w:eastAsia="en-AU"/>
        </w:rPr>
        <w:t xml:space="preserve">(h) </w:t>
      </w:r>
      <w:proofErr w:type="gramStart"/>
      <w:r>
        <w:rPr>
          <w:rFonts w:ascii="Times New Roman" w:eastAsia="Times New Roman" w:hAnsi="Times New Roman" w:cs="Times New Roman"/>
          <w:lang w:val="en-GB" w:eastAsia="en-AU"/>
        </w:rPr>
        <w:t>the</w:t>
      </w:r>
      <w:proofErr w:type="gramEnd"/>
      <w:r>
        <w:rPr>
          <w:rFonts w:ascii="Times New Roman" w:eastAsia="Times New Roman" w:hAnsi="Times New Roman" w:cs="Times New Roman"/>
          <w:lang w:val="en-GB" w:eastAsia="en-AU"/>
        </w:rPr>
        <w:t xml:space="preserve"> antenna manufacturer</w:t>
      </w:r>
      <w:r w:rsidR="005150D8">
        <w:rPr>
          <w:rFonts w:ascii="Times New Roman" w:eastAsia="Times New Roman" w:hAnsi="Times New Roman" w:cs="Times New Roman"/>
          <w:lang w:val="en-GB" w:eastAsia="en-AU"/>
        </w:rPr>
        <w:t>.</w:t>
      </w:r>
    </w:p>
    <w:p w:rsidR="007D54F3" w:rsidRPr="00662E2D" w:rsidRDefault="007D54F3" w:rsidP="001C01DC">
      <w:pPr>
        <w:spacing w:before="180" w:after="0" w:line="240" w:lineRule="auto"/>
        <w:ind w:left="56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(4)  The details about each site where a device is located are:</w:t>
      </w:r>
    </w:p>
    <w:p w:rsidR="007D54F3" w:rsidRPr="00662E2D" w:rsidRDefault="007D54F3" w:rsidP="001C01DC">
      <w:pPr>
        <w:spacing w:before="60" w:after="60" w:line="240" w:lineRule="auto"/>
        <w:ind w:left="1020" w:hanging="2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(a) </w:t>
      </w:r>
      <w:proofErr w:type="gramStart"/>
      <w:r w:rsidRPr="00662E2D">
        <w:rPr>
          <w:rFonts w:ascii="Times New Roman" w:eastAsia="Times New Roman" w:hAnsi="Times New Roman" w:cs="Times New Roman"/>
          <w:lang w:val="en-GB" w:eastAsia="en-AU"/>
        </w:rPr>
        <w:t>the</w:t>
      </w:r>
      <w:proofErr w:type="gramEnd"/>
      <w:r w:rsidRPr="00662E2D">
        <w:rPr>
          <w:rFonts w:ascii="Times New Roman" w:eastAsia="Times New Roman" w:hAnsi="Times New Roman" w:cs="Times New Roman"/>
          <w:lang w:val="en-GB" w:eastAsia="en-AU"/>
        </w:rPr>
        <w:t xml:space="preserve"> site identification number assigned by the ACMA;</w:t>
      </w:r>
    </w:p>
    <w:p w:rsidR="007D54F3" w:rsidRPr="00662E2D" w:rsidRDefault="007D54F3" w:rsidP="001C01DC">
      <w:pPr>
        <w:spacing w:before="60" w:after="60" w:line="240" w:lineRule="auto"/>
        <w:ind w:left="1020" w:hanging="2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(b) </w:t>
      </w:r>
      <w:proofErr w:type="gramStart"/>
      <w:r w:rsidRPr="00662E2D">
        <w:rPr>
          <w:rFonts w:ascii="Times New Roman" w:eastAsia="Times New Roman" w:hAnsi="Times New Roman" w:cs="Times New Roman"/>
          <w:lang w:val="en-GB" w:eastAsia="en-AU"/>
        </w:rPr>
        <w:t>the</w:t>
      </w:r>
      <w:proofErr w:type="gramEnd"/>
      <w:r w:rsidRPr="00662E2D">
        <w:rPr>
          <w:rFonts w:ascii="Times New Roman" w:eastAsia="Times New Roman" w:hAnsi="Times New Roman" w:cs="Times New Roman"/>
          <w:lang w:val="en-GB" w:eastAsia="en-AU"/>
        </w:rPr>
        <w:t xml:space="preserve"> site name;</w:t>
      </w:r>
    </w:p>
    <w:p w:rsidR="007D54F3" w:rsidRPr="00662E2D" w:rsidRDefault="007D54F3" w:rsidP="001C01DC">
      <w:pPr>
        <w:spacing w:before="60" w:after="60" w:line="240" w:lineRule="auto"/>
        <w:ind w:left="1020" w:hanging="2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(c) </w:t>
      </w:r>
      <w:proofErr w:type="gramStart"/>
      <w:r w:rsidRPr="00662E2D">
        <w:rPr>
          <w:rFonts w:ascii="Times New Roman" w:eastAsia="Times New Roman" w:hAnsi="Times New Roman" w:cs="Times New Roman"/>
          <w:lang w:val="en-GB" w:eastAsia="en-AU"/>
        </w:rPr>
        <w:t>the</w:t>
      </w:r>
      <w:proofErr w:type="gramEnd"/>
      <w:r w:rsidRPr="00662E2D">
        <w:rPr>
          <w:rFonts w:ascii="Times New Roman" w:eastAsia="Times New Roman" w:hAnsi="Times New Roman" w:cs="Times New Roman"/>
          <w:lang w:val="en-GB" w:eastAsia="en-AU"/>
        </w:rPr>
        <w:t xml:space="preserve"> site address;</w:t>
      </w:r>
    </w:p>
    <w:p w:rsidR="007D54F3" w:rsidRPr="00662E2D" w:rsidRDefault="007D54F3" w:rsidP="001C01DC">
      <w:pPr>
        <w:spacing w:before="60" w:after="60" w:line="240" w:lineRule="auto"/>
        <w:ind w:left="1020" w:hanging="2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(d) </w:t>
      </w:r>
      <w:proofErr w:type="gramStart"/>
      <w:r w:rsidRPr="00662E2D">
        <w:rPr>
          <w:rFonts w:ascii="Times New Roman" w:eastAsia="Times New Roman" w:hAnsi="Times New Roman" w:cs="Times New Roman"/>
          <w:lang w:val="en-GB" w:eastAsia="en-AU"/>
        </w:rPr>
        <w:t>the</w:t>
      </w:r>
      <w:proofErr w:type="gramEnd"/>
      <w:r w:rsidRPr="00662E2D">
        <w:rPr>
          <w:rFonts w:ascii="Times New Roman" w:eastAsia="Times New Roman" w:hAnsi="Times New Roman" w:cs="Times New Roman"/>
          <w:lang w:val="en-GB" w:eastAsia="en-AU"/>
        </w:rPr>
        <w:t xml:space="preserve"> site latitude and longitude and the precision of </w:t>
      </w:r>
      <w:r w:rsidR="006A4E7E" w:rsidRPr="00662E2D">
        <w:rPr>
          <w:rFonts w:ascii="Times New Roman" w:eastAsia="Times New Roman" w:hAnsi="Times New Roman" w:cs="Times New Roman"/>
          <w:lang w:val="en-GB" w:eastAsia="en-AU"/>
        </w:rPr>
        <w:t>th</w:t>
      </w:r>
      <w:r w:rsidR="006A4E7E">
        <w:rPr>
          <w:rFonts w:ascii="Times New Roman" w:eastAsia="Times New Roman" w:hAnsi="Times New Roman" w:cs="Times New Roman"/>
          <w:lang w:val="en-GB" w:eastAsia="en-AU"/>
        </w:rPr>
        <w:t>o</w:t>
      </w:r>
      <w:r w:rsidR="006A4E7E" w:rsidRPr="00662E2D">
        <w:rPr>
          <w:rFonts w:ascii="Times New Roman" w:eastAsia="Times New Roman" w:hAnsi="Times New Roman" w:cs="Times New Roman"/>
          <w:lang w:val="en-GB" w:eastAsia="en-AU"/>
        </w:rPr>
        <w:t xml:space="preserve">se </w:t>
      </w:r>
      <w:r w:rsidR="003811BD">
        <w:rPr>
          <w:rFonts w:ascii="Times New Roman" w:eastAsia="Times New Roman" w:hAnsi="Times New Roman" w:cs="Times New Roman"/>
          <w:lang w:val="en-GB" w:eastAsia="en-AU"/>
        </w:rPr>
        <w:t>coordinates;</w:t>
      </w:r>
      <w:r w:rsidR="006A4E7E">
        <w:rPr>
          <w:rFonts w:ascii="Times New Roman" w:eastAsia="Times New Roman" w:hAnsi="Times New Roman" w:cs="Times New Roman"/>
          <w:lang w:val="en-GB" w:eastAsia="en-AU"/>
        </w:rPr>
        <w:t xml:space="preserve"> and</w:t>
      </w:r>
    </w:p>
    <w:p w:rsidR="007D54F3" w:rsidRPr="00662E2D" w:rsidRDefault="007D54F3" w:rsidP="00541970">
      <w:pPr>
        <w:spacing w:before="60" w:after="60" w:line="240" w:lineRule="auto"/>
        <w:ind w:left="1276" w:hanging="283"/>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(e) </w:t>
      </w:r>
      <w:proofErr w:type="gramStart"/>
      <w:r w:rsidRPr="00662E2D">
        <w:rPr>
          <w:rFonts w:ascii="Times New Roman" w:eastAsia="Times New Roman" w:hAnsi="Times New Roman" w:cs="Times New Roman"/>
          <w:lang w:val="en-GB" w:eastAsia="en-AU"/>
        </w:rPr>
        <w:t>whether</w:t>
      </w:r>
      <w:proofErr w:type="gramEnd"/>
      <w:r w:rsidRPr="00662E2D">
        <w:rPr>
          <w:rFonts w:ascii="Times New Roman" w:eastAsia="Times New Roman" w:hAnsi="Times New Roman" w:cs="Times New Roman"/>
          <w:lang w:val="en-GB" w:eastAsia="en-AU"/>
        </w:rPr>
        <w:t xml:space="preserve"> the site is within a high density area, a medium density area or a low density area, within the meaning</w:t>
      </w:r>
      <w:r w:rsidR="004052F5">
        <w:rPr>
          <w:rFonts w:ascii="Times New Roman" w:eastAsia="Times New Roman" w:hAnsi="Times New Roman" w:cs="Times New Roman"/>
          <w:lang w:val="en-GB" w:eastAsia="en-AU"/>
        </w:rPr>
        <w:t xml:space="preserve"> of those terms in</w:t>
      </w:r>
      <w:r w:rsidRPr="00662E2D">
        <w:rPr>
          <w:rFonts w:ascii="Times New Roman" w:eastAsia="Times New Roman" w:hAnsi="Times New Roman" w:cs="Times New Roman"/>
          <w:lang w:val="en-GB" w:eastAsia="en-AU"/>
        </w:rPr>
        <w:t xml:space="preserve"> the </w:t>
      </w:r>
      <w:r w:rsidRPr="00662E2D">
        <w:rPr>
          <w:rFonts w:ascii="Times New Roman" w:eastAsia="Times New Roman" w:hAnsi="Times New Roman" w:cs="Times New Roman"/>
          <w:i/>
          <w:lang w:val="en-GB" w:eastAsia="en-AU"/>
        </w:rPr>
        <w:t>Radiocommunications (Transmitter Licence Tax) Determination 2015</w:t>
      </w:r>
      <w:r w:rsidR="006A4E7E">
        <w:rPr>
          <w:rFonts w:ascii="Times New Roman" w:eastAsia="Times New Roman" w:hAnsi="Times New Roman" w:cs="Times New Roman"/>
          <w:lang w:val="en-GB" w:eastAsia="en-AU"/>
        </w:rPr>
        <w:t>.</w:t>
      </w:r>
    </w:p>
    <w:p w:rsidR="007D54F3" w:rsidRPr="00662E2D" w:rsidRDefault="007D54F3" w:rsidP="001C01DC">
      <w:pPr>
        <w:spacing w:before="180" w:after="0" w:line="240" w:lineRule="auto"/>
        <w:ind w:left="284" w:firstLine="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(5) If the device is a transmitter, the details are:</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emission centre frequency;</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emission designator;</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effective occupied bandwidth;</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for a device whose power is measured as equivalent </w:t>
      </w:r>
      <w:proofErr w:type="spellStart"/>
      <w:r w:rsidRPr="00662E2D">
        <w:rPr>
          <w:rFonts w:ascii="Times New Roman" w:eastAsia="Times New Roman" w:hAnsi="Times New Roman" w:cs="Times New Roman"/>
          <w:lang w:val="en-GB" w:eastAsia="en-AU"/>
        </w:rPr>
        <w:t>isotropically</w:t>
      </w:r>
      <w:proofErr w:type="spellEnd"/>
      <w:r w:rsidRPr="00662E2D">
        <w:rPr>
          <w:rFonts w:ascii="Times New Roman" w:eastAsia="Times New Roman" w:hAnsi="Times New Roman" w:cs="Times New Roman"/>
          <w:lang w:val="en-GB" w:eastAsia="en-AU"/>
        </w:rPr>
        <w:t xml:space="preserve"> radiated power—the maximum equivalent </w:t>
      </w:r>
      <w:proofErr w:type="spellStart"/>
      <w:r w:rsidRPr="00662E2D">
        <w:rPr>
          <w:rFonts w:ascii="Times New Roman" w:eastAsia="Times New Roman" w:hAnsi="Times New Roman" w:cs="Times New Roman"/>
          <w:lang w:val="en-GB" w:eastAsia="en-AU"/>
        </w:rPr>
        <w:t>isotropically</w:t>
      </w:r>
      <w:proofErr w:type="spellEnd"/>
      <w:r w:rsidRPr="00662E2D">
        <w:rPr>
          <w:rFonts w:ascii="Times New Roman" w:eastAsia="Times New Roman" w:hAnsi="Times New Roman" w:cs="Times New Roman"/>
          <w:lang w:val="en-GB" w:eastAsia="en-AU"/>
        </w:rPr>
        <w:t xml:space="preserve"> radiated power;</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transmitter power;</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form the power of the radiofrequency transmitter is expressed in as defined in the Radio Regulations published by the International Telecommunication Union; </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antenna height above ground level;</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azimuth for a device using a directional antenna, being the bearing along the centre of the </w:t>
      </w:r>
      <w:proofErr w:type="spellStart"/>
      <w:r w:rsidRPr="00662E2D">
        <w:rPr>
          <w:rFonts w:ascii="Times New Roman" w:eastAsia="Times New Roman" w:hAnsi="Times New Roman" w:cs="Times New Roman"/>
          <w:lang w:val="en-GB" w:eastAsia="en-AU"/>
        </w:rPr>
        <w:t>beamwidth</w:t>
      </w:r>
      <w:proofErr w:type="spellEnd"/>
      <w:r w:rsidRPr="00662E2D">
        <w:rPr>
          <w:rFonts w:ascii="Times New Roman" w:eastAsia="Times New Roman" w:hAnsi="Times New Roman" w:cs="Times New Roman"/>
          <w:lang w:val="en-GB" w:eastAsia="en-AU"/>
        </w:rPr>
        <w:t>;</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intended polarisation of the radiation;</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antenna tilt relative to the perpendicular;</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i/>
          <w:lang w:val="en-GB" w:eastAsia="en-AU"/>
        </w:rPr>
      </w:pPr>
      <w:r w:rsidRPr="00662E2D">
        <w:rPr>
          <w:rFonts w:ascii="Times New Roman" w:eastAsia="Times New Roman" w:hAnsi="Times New Roman" w:cs="Times New Roman"/>
          <w:lang w:val="en-GB" w:eastAsia="en-AU"/>
        </w:rPr>
        <w:t>the parameters relating to the operation of devices that are used in working out unacceptable levels of interference under the s.145 determination;</w:t>
      </w:r>
      <w:r w:rsidR="003A4E5E">
        <w:rPr>
          <w:rFonts w:ascii="Times New Roman" w:eastAsia="Times New Roman" w:hAnsi="Times New Roman" w:cs="Times New Roman"/>
          <w:lang w:val="en-GB" w:eastAsia="en-AU"/>
        </w:rPr>
        <w:t xml:space="preserve"> and</w:t>
      </w:r>
    </w:p>
    <w:p w:rsidR="007D54F3" w:rsidRPr="00662E2D" w:rsidRDefault="007D54F3" w:rsidP="005F4A87">
      <w:pPr>
        <w:numPr>
          <w:ilvl w:val="0"/>
          <w:numId w:val="15"/>
        </w:numPr>
        <w:spacing w:before="60" w:after="60" w:line="240" w:lineRule="auto"/>
        <w:ind w:left="1276" w:hanging="284"/>
        <w:rPr>
          <w:rFonts w:ascii="Times New Roman" w:eastAsia="Times New Roman" w:hAnsi="Times New Roman" w:cs="Times New Roman"/>
          <w:lang w:val="en-GB" w:eastAsia="en-AU"/>
        </w:rPr>
      </w:pPr>
      <w:proofErr w:type="gramStart"/>
      <w:r w:rsidRPr="00662E2D">
        <w:rPr>
          <w:rFonts w:ascii="Times New Roman" w:eastAsia="Times New Roman" w:hAnsi="Times New Roman" w:cs="Times New Roman"/>
          <w:lang w:val="en-GB" w:eastAsia="en-AU"/>
        </w:rPr>
        <w:t>whether</w:t>
      </w:r>
      <w:proofErr w:type="gramEnd"/>
      <w:r w:rsidRPr="00662E2D">
        <w:rPr>
          <w:rFonts w:ascii="Times New Roman" w:eastAsia="Times New Roman" w:hAnsi="Times New Roman" w:cs="Times New Roman"/>
          <w:lang w:val="en-GB" w:eastAsia="en-AU"/>
        </w:rPr>
        <w:t xml:space="preserve"> the device is registered as </w:t>
      </w:r>
      <w:r w:rsidR="000958C2">
        <w:rPr>
          <w:rFonts w:ascii="Times New Roman" w:eastAsia="Times New Roman" w:hAnsi="Times New Roman" w:cs="Times New Roman"/>
          <w:lang w:val="en-GB" w:eastAsia="en-AU"/>
        </w:rPr>
        <w:t xml:space="preserve">part of </w:t>
      </w:r>
      <w:r w:rsidRPr="00662E2D">
        <w:rPr>
          <w:rFonts w:ascii="Times New Roman" w:eastAsia="Times New Roman" w:hAnsi="Times New Roman" w:cs="Times New Roman"/>
          <w:lang w:val="en-GB" w:eastAsia="en-AU"/>
        </w:rPr>
        <w:t>a group of transmitters.</w:t>
      </w:r>
    </w:p>
    <w:p w:rsidR="007D54F3" w:rsidRPr="00662E2D" w:rsidRDefault="007D54F3" w:rsidP="0023329C">
      <w:pPr>
        <w:spacing w:before="180" w:after="0" w:line="240" w:lineRule="auto"/>
        <w:ind w:left="567"/>
        <w:rPr>
          <w:rFonts w:ascii="Times New Roman" w:eastAsia="Times New Roman" w:hAnsi="Times New Roman" w:cs="Times New Roman"/>
          <w:i/>
          <w:lang w:val="en-GB" w:eastAsia="en-AU"/>
        </w:rPr>
      </w:pPr>
      <w:r w:rsidRPr="00662E2D">
        <w:rPr>
          <w:rFonts w:ascii="Times New Roman" w:eastAsia="Times New Roman" w:hAnsi="Times New Roman" w:cs="Times New Roman"/>
          <w:lang w:val="en-GB" w:eastAsia="en-AU"/>
        </w:rPr>
        <w:t>(6)  If the device is a receiver, the details are:</w:t>
      </w:r>
    </w:p>
    <w:p w:rsidR="007D54F3" w:rsidRPr="00662E2D" w:rsidRDefault="007D54F3" w:rsidP="00150203">
      <w:pPr>
        <w:numPr>
          <w:ilvl w:val="0"/>
          <w:numId w:val="16"/>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emission centre frequency of the intended received signal;</w:t>
      </w:r>
    </w:p>
    <w:p w:rsidR="007D54F3" w:rsidRPr="00662E2D" w:rsidRDefault="007D54F3" w:rsidP="00150203">
      <w:pPr>
        <w:numPr>
          <w:ilvl w:val="0"/>
          <w:numId w:val="16"/>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emission designator of the intended received signal;</w:t>
      </w:r>
    </w:p>
    <w:p w:rsidR="007D54F3" w:rsidRPr="00662E2D" w:rsidRDefault="007D54F3" w:rsidP="00150203">
      <w:pPr>
        <w:numPr>
          <w:ilvl w:val="0"/>
          <w:numId w:val="16"/>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lastRenderedPageBreak/>
        <w:t>the effective occupied bandwidth of the intended received signal;</w:t>
      </w:r>
    </w:p>
    <w:p w:rsidR="007D54F3" w:rsidRPr="00662E2D" w:rsidRDefault="007D54F3" w:rsidP="00150203">
      <w:pPr>
        <w:numPr>
          <w:ilvl w:val="0"/>
          <w:numId w:val="16"/>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antenna height above ground level;</w:t>
      </w:r>
    </w:p>
    <w:p w:rsidR="007D54F3" w:rsidRPr="00662E2D" w:rsidRDefault="007D54F3" w:rsidP="00150203">
      <w:pPr>
        <w:numPr>
          <w:ilvl w:val="0"/>
          <w:numId w:val="16"/>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azimuth for a device using a directional antenna, being the bearing along the centre of the </w:t>
      </w:r>
      <w:proofErr w:type="spellStart"/>
      <w:r w:rsidRPr="00662E2D">
        <w:rPr>
          <w:rFonts w:ascii="Times New Roman" w:eastAsia="Times New Roman" w:hAnsi="Times New Roman" w:cs="Times New Roman"/>
          <w:lang w:val="en-GB" w:eastAsia="en-AU"/>
        </w:rPr>
        <w:t>beamwidth</w:t>
      </w:r>
      <w:proofErr w:type="spellEnd"/>
      <w:r w:rsidRPr="00662E2D">
        <w:rPr>
          <w:rFonts w:ascii="Times New Roman" w:eastAsia="Times New Roman" w:hAnsi="Times New Roman" w:cs="Times New Roman"/>
          <w:lang w:val="en-GB" w:eastAsia="en-AU"/>
        </w:rPr>
        <w:t>;</w:t>
      </w:r>
    </w:p>
    <w:p w:rsidR="007D54F3" w:rsidRPr="00662E2D" w:rsidRDefault="007D54F3" w:rsidP="00150203">
      <w:pPr>
        <w:numPr>
          <w:ilvl w:val="0"/>
          <w:numId w:val="16"/>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polarisation of the intended received signal;</w:t>
      </w:r>
    </w:p>
    <w:p w:rsidR="007D54F3" w:rsidRPr="00662E2D" w:rsidRDefault="007D54F3" w:rsidP="00150203">
      <w:pPr>
        <w:numPr>
          <w:ilvl w:val="0"/>
          <w:numId w:val="16"/>
        </w:numPr>
        <w:spacing w:before="60" w:after="60" w:line="240" w:lineRule="auto"/>
        <w:ind w:left="1276" w:hanging="284"/>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the antenna tilt relative to the perpendicular;</w:t>
      </w:r>
      <w:r w:rsidR="008A1F0E">
        <w:rPr>
          <w:rFonts w:ascii="Times New Roman" w:eastAsia="Times New Roman" w:hAnsi="Times New Roman" w:cs="Times New Roman"/>
          <w:lang w:val="en-GB" w:eastAsia="en-AU"/>
        </w:rPr>
        <w:t xml:space="preserve"> and</w:t>
      </w:r>
    </w:p>
    <w:p w:rsidR="007D54F3" w:rsidRPr="00662E2D" w:rsidRDefault="007D54F3" w:rsidP="00150203">
      <w:pPr>
        <w:numPr>
          <w:ilvl w:val="0"/>
          <w:numId w:val="16"/>
        </w:numPr>
        <w:spacing w:before="60" w:after="60" w:line="240" w:lineRule="auto"/>
        <w:ind w:left="1276" w:hanging="284"/>
        <w:rPr>
          <w:rFonts w:ascii="Times New Roman" w:eastAsia="Times New Roman" w:hAnsi="Times New Roman" w:cs="Times New Roman"/>
          <w:lang w:val="en-GB" w:eastAsia="en-AU"/>
        </w:rPr>
      </w:pPr>
      <w:proofErr w:type="gramStart"/>
      <w:r w:rsidRPr="00662E2D">
        <w:rPr>
          <w:rFonts w:ascii="Times New Roman" w:eastAsia="Times New Roman" w:hAnsi="Times New Roman" w:cs="Times New Roman"/>
          <w:lang w:val="en-GB" w:eastAsia="en-AU"/>
        </w:rPr>
        <w:t>whether</w:t>
      </w:r>
      <w:proofErr w:type="gramEnd"/>
      <w:r w:rsidRPr="00662E2D">
        <w:rPr>
          <w:rFonts w:ascii="Times New Roman" w:eastAsia="Times New Roman" w:hAnsi="Times New Roman" w:cs="Times New Roman"/>
          <w:lang w:val="en-GB" w:eastAsia="en-AU"/>
        </w:rPr>
        <w:t xml:space="preserve"> the device is registered as </w:t>
      </w:r>
      <w:r w:rsidR="000958C2">
        <w:rPr>
          <w:rFonts w:ascii="Times New Roman" w:eastAsia="Times New Roman" w:hAnsi="Times New Roman" w:cs="Times New Roman"/>
          <w:lang w:val="en-GB" w:eastAsia="en-AU"/>
        </w:rPr>
        <w:t xml:space="preserve">part of </w:t>
      </w:r>
      <w:r w:rsidRPr="00662E2D">
        <w:rPr>
          <w:rFonts w:ascii="Times New Roman" w:eastAsia="Times New Roman" w:hAnsi="Times New Roman" w:cs="Times New Roman"/>
          <w:lang w:val="en-GB" w:eastAsia="en-AU"/>
        </w:rPr>
        <w:t>a group of receivers.</w:t>
      </w:r>
    </w:p>
    <w:bookmarkEnd w:id="8"/>
    <w:p w:rsidR="00B31C76" w:rsidRPr="007D54F3" w:rsidRDefault="00CE5F18" w:rsidP="00B31C76">
      <w:pPr>
        <w:pStyle w:val="ActHead5"/>
      </w:pPr>
      <w:proofErr w:type="gramStart"/>
      <w:r w:rsidRPr="00CA6263">
        <w:rPr>
          <w:rStyle w:val="CharSectno"/>
        </w:rPr>
        <w:t>1</w:t>
      </w:r>
      <w:r>
        <w:rPr>
          <w:rStyle w:val="CharSectno"/>
        </w:rPr>
        <w:t>3</w:t>
      </w:r>
      <w:r>
        <w:t xml:space="preserve">  </w:t>
      </w:r>
      <w:r w:rsidR="00B31C76" w:rsidRPr="007D54F3">
        <w:t>Details</w:t>
      </w:r>
      <w:proofErr w:type="gramEnd"/>
      <w:r w:rsidR="00B31C76" w:rsidRPr="007D54F3">
        <w:t xml:space="preserve"> for </w:t>
      </w:r>
      <w:r w:rsidR="0023329C">
        <w:t>class licences</w:t>
      </w:r>
    </w:p>
    <w:p w:rsidR="0023329C" w:rsidRPr="00662E2D" w:rsidRDefault="0023329C" w:rsidP="002F54C7">
      <w:pPr>
        <w:spacing w:before="180" w:after="0" w:line="240" w:lineRule="auto"/>
        <w:ind w:left="567"/>
        <w:rPr>
          <w:rFonts w:ascii="Times New Roman" w:eastAsia="Times New Roman" w:hAnsi="Times New Roman" w:cs="Times New Roman"/>
          <w:lang w:val="en-GB" w:eastAsia="en-AU"/>
        </w:rPr>
      </w:pPr>
      <w:r w:rsidRPr="00662E2D">
        <w:rPr>
          <w:rFonts w:ascii="Times New Roman" w:eastAsia="Times New Roman" w:hAnsi="Times New Roman" w:cs="Times New Roman"/>
          <w:lang w:val="en-GB" w:eastAsia="en-AU"/>
        </w:rPr>
        <w:t xml:space="preserve">The part of the Register relating to </w:t>
      </w:r>
      <w:r w:rsidR="002F54C7">
        <w:rPr>
          <w:rFonts w:ascii="Times New Roman" w:eastAsia="Times New Roman" w:hAnsi="Times New Roman" w:cs="Times New Roman"/>
          <w:lang w:val="en-GB" w:eastAsia="en-AU"/>
        </w:rPr>
        <w:t>class licences must contain, for each class licence, the title of the class licence.</w:t>
      </w:r>
    </w:p>
    <w:p w:rsidR="00CE5F18" w:rsidRDefault="002F54C7" w:rsidP="002F54C7">
      <w:pPr>
        <w:spacing w:before="180" w:after="0"/>
        <w:ind w:left="1435" w:hanging="868"/>
        <w:rPr>
          <w:rFonts w:ascii="Times New Roman" w:hAnsi="Times New Roman" w:cs="Times New Roman"/>
        </w:rPr>
      </w:pPr>
      <w:r w:rsidRPr="002F54C7">
        <w:rPr>
          <w:rFonts w:ascii="Times New Roman" w:hAnsi="Times New Roman" w:cs="Times New Roman"/>
          <w:sz w:val="18"/>
        </w:rPr>
        <w:t>Note:</w:t>
      </w:r>
      <w:r w:rsidRPr="002F54C7">
        <w:rPr>
          <w:rFonts w:ascii="Times New Roman" w:hAnsi="Times New Roman" w:cs="Times New Roman"/>
          <w:sz w:val="18"/>
        </w:rPr>
        <w:tab/>
      </w:r>
      <w:r w:rsidR="00691DFD">
        <w:rPr>
          <w:rFonts w:ascii="Times New Roman" w:hAnsi="Times New Roman" w:cs="Times New Roman"/>
          <w:sz w:val="18"/>
          <w:lang w:val="en-GB"/>
        </w:rPr>
        <w:t xml:space="preserve">Class licences issued by the ACMA under s. 132 of the Act are available on the </w:t>
      </w:r>
      <w:r w:rsidR="00691DFD" w:rsidRPr="00691DFD">
        <w:rPr>
          <w:rFonts w:ascii="Times New Roman" w:hAnsi="Times New Roman" w:cs="Times New Roman"/>
          <w:sz w:val="18"/>
        </w:rPr>
        <w:t>Federal Register of Legislation</w:t>
      </w:r>
      <w:r w:rsidR="00691DFD">
        <w:rPr>
          <w:rFonts w:ascii="Times New Roman" w:hAnsi="Times New Roman" w:cs="Times New Roman"/>
          <w:sz w:val="18"/>
        </w:rPr>
        <w:t xml:space="preserve"> which</w:t>
      </w:r>
      <w:r w:rsidR="00691DFD" w:rsidRPr="00691DFD">
        <w:rPr>
          <w:rFonts w:ascii="Times New Roman" w:hAnsi="Times New Roman" w:cs="Times New Roman"/>
          <w:sz w:val="18"/>
        </w:rPr>
        <w:t xml:space="preserve"> may be accessed at </w:t>
      </w:r>
      <w:hyperlink r:id="rId18" w:history="1">
        <w:r w:rsidR="00691DFD" w:rsidRPr="00691DFD">
          <w:rPr>
            <w:rStyle w:val="Hyperlink"/>
            <w:rFonts w:ascii="Times New Roman" w:hAnsi="Times New Roman" w:cs="Times New Roman"/>
            <w:sz w:val="18"/>
          </w:rPr>
          <w:t>www.legislation.gov.au</w:t>
        </w:r>
      </w:hyperlink>
      <w:r w:rsidR="00691DFD" w:rsidRPr="00691DFD">
        <w:rPr>
          <w:rFonts w:ascii="Times New Roman" w:hAnsi="Times New Roman" w:cs="Times New Roman"/>
          <w:sz w:val="18"/>
        </w:rPr>
        <w:t>.</w:t>
      </w:r>
    </w:p>
    <w:p w:rsidR="002332A2" w:rsidRPr="00CE5F18" w:rsidRDefault="002332A2" w:rsidP="00CB7C8C">
      <w:pPr>
        <w:rPr>
          <w:rFonts w:ascii="Times New Roman" w:hAnsi="Times New Roman" w:cs="Times New Roman"/>
        </w:rPr>
      </w:pPr>
    </w:p>
    <w:sectPr w:rsidR="002332A2" w:rsidRPr="00CE5F18" w:rsidSect="008A42C6">
      <w:headerReference w:type="default" r:id="rId19"/>
      <w:headerReference w:type="first" r:id="rId20"/>
      <w:footerReference w:type="first" r:id="rId21"/>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16" w:rsidRDefault="00193B16" w:rsidP="0017734A">
      <w:pPr>
        <w:spacing w:after="0" w:line="240" w:lineRule="auto"/>
      </w:pPr>
      <w:r>
        <w:separator/>
      </w:r>
    </w:p>
  </w:endnote>
  <w:endnote w:type="continuationSeparator" w:id="0">
    <w:p w:rsidR="00193B16" w:rsidRDefault="00193B16"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9B" w:rsidRDefault="004D479B" w:rsidP="004D479B">
    <w:pPr>
      <w:pStyle w:val="Footer"/>
      <w:jc w:val="right"/>
    </w:pPr>
  </w:p>
  <w:p w:rsidR="004D479B" w:rsidRDefault="004D479B" w:rsidP="00AF4F37">
    <w:pPr>
      <w:pBdr>
        <w:top w:val="single" w:sz="4" w:space="1" w:color="auto"/>
      </w:pBdr>
      <w:spacing w:after="0"/>
      <w:jc w:val="center"/>
      <w:rPr>
        <w:rFonts w:ascii="Arial" w:eastAsia="Times New Roman" w:hAnsi="Arial" w:cs="Arial"/>
        <w:i/>
        <w:noProof/>
        <w:sz w:val="20"/>
        <w:szCs w:val="20"/>
        <w:lang w:val="en-GB" w:eastAsia="en-AU"/>
      </w:rPr>
    </w:pPr>
    <w:r w:rsidRPr="00443A20">
      <w:rPr>
        <w:rFonts w:ascii="Arial" w:eastAsia="Times New Roman" w:hAnsi="Arial" w:cs="Arial"/>
        <w:i/>
        <w:noProof/>
        <w:sz w:val="20"/>
        <w:szCs w:val="20"/>
        <w:lang w:val="en-GB" w:eastAsia="en-AU"/>
      </w:rPr>
      <w:t>Radiocommunications (Register of Radiocommunications Licences) Determination 2017</w:t>
    </w:r>
  </w:p>
  <w:p w:rsidR="004052F5" w:rsidRDefault="004D479B" w:rsidP="00AF4F37">
    <w:pPr>
      <w:pBdr>
        <w:top w:val="single" w:sz="4" w:space="1" w:color="auto"/>
      </w:pBdr>
      <w:jc w:val="right"/>
    </w:pPr>
    <w:r>
      <w:fldChar w:fldCharType="begin"/>
    </w:r>
    <w:r>
      <w:instrText xml:space="preserve"> PAGE   \* MERGEFORMAT </w:instrText>
    </w:r>
    <w:r>
      <w:fldChar w:fldCharType="separate"/>
    </w:r>
    <w:r w:rsidR="00EF21DE">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9B" w:rsidRDefault="004D479B" w:rsidP="004D479B">
    <w:pPr>
      <w:pBdr>
        <w:top w:val="single" w:sz="4" w:space="1" w:color="auto"/>
      </w:pBdr>
      <w:spacing w:after="0"/>
      <w:jc w:val="center"/>
      <w:rPr>
        <w:rFonts w:ascii="Arial" w:eastAsia="Times New Roman" w:hAnsi="Arial" w:cs="Arial"/>
        <w:i/>
        <w:noProof/>
        <w:sz w:val="20"/>
        <w:szCs w:val="20"/>
        <w:lang w:val="en-GB" w:eastAsia="en-AU"/>
      </w:rPr>
    </w:pPr>
    <w:r w:rsidRPr="00443A20">
      <w:rPr>
        <w:rFonts w:ascii="Arial" w:eastAsia="Times New Roman" w:hAnsi="Arial" w:cs="Arial"/>
        <w:i/>
        <w:noProof/>
        <w:sz w:val="20"/>
        <w:szCs w:val="20"/>
        <w:lang w:val="en-GB" w:eastAsia="en-AU"/>
      </w:rPr>
      <w:t>Radiocommunications (Register of Radiocommunications Licences) Determination 2017</w:t>
    </w:r>
  </w:p>
  <w:p w:rsidR="004D479B" w:rsidRPr="004D479B" w:rsidRDefault="004D479B" w:rsidP="00AF4F37">
    <w:pPr>
      <w:pStyle w:val="Footer"/>
      <w:jc w:val="right"/>
    </w:pPr>
    <w:r>
      <w:fldChar w:fldCharType="begin"/>
    </w:r>
    <w:r>
      <w:instrText xml:space="preserve"> PAGE   \* MERGEFORMAT </w:instrText>
    </w:r>
    <w:r>
      <w:fldChar w:fldCharType="separate"/>
    </w:r>
    <w:r w:rsidR="00EF21D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16" w:rsidRDefault="00193B16" w:rsidP="0017734A">
      <w:pPr>
        <w:spacing w:after="0" w:line="240" w:lineRule="auto"/>
      </w:pPr>
      <w:r>
        <w:separator/>
      </w:r>
    </w:p>
  </w:footnote>
  <w:footnote w:type="continuationSeparator" w:id="0">
    <w:p w:rsidR="00193B16" w:rsidRDefault="00193B16"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F5" w:rsidRDefault="004052F5">
    <w:pPr>
      <w:pStyle w:val="Header"/>
    </w:pPr>
  </w:p>
  <w:p w:rsidR="004052F5" w:rsidRDefault="004052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F5" w:rsidRDefault="004052F5" w:rsidP="00E7332E">
    <w:pPr>
      <w:pStyle w:val="Header"/>
      <w:tabs>
        <w:tab w:val="clear" w:pos="4513"/>
        <w:tab w:val="clear" w:pos="9026"/>
        <w:tab w:val="left" w:pos="32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F5" w:rsidRPr="00AF4F37" w:rsidRDefault="004052F5" w:rsidP="00AF4F37">
    <w:pPr>
      <w:pStyle w:val="Header"/>
      <w:pBdr>
        <w:bottom w:val="single" w:sz="4" w:space="1" w:color="auto"/>
      </w:pBdr>
      <w:tabs>
        <w:tab w:val="clear" w:pos="4513"/>
        <w:tab w:val="clear" w:pos="9026"/>
        <w:tab w:val="left" w:pos="1185"/>
      </w:tabs>
      <w:rPr>
        <w:rFonts w:ascii="Arial" w:hAnsi="Arial" w:cs="Arial"/>
        <w:sz w:val="20"/>
        <w:szCs w:val="20"/>
      </w:rPr>
    </w:pPr>
  </w:p>
  <w:p w:rsidR="004052F5" w:rsidRPr="00AF4F37" w:rsidRDefault="004052F5" w:rsidP="00892659">
    <w:pPr>
      <w:pStyle w:val="Header"/>
      <w:pBdr>
        <w:bottom w:val="single" w:sz="4" w:space="1" w:color="auto"/>
      </w:pBdr>
      <w:rPr>
        <w:rFonts w:ascii="Arial" w:hAnsi="Arial" w:cs="Arial"/>
        <w:sz w:val="20"/>
        <w:szCs w:val="20"/>
      </w:rPr>
    </w:pPr>
    <w:r w:rsidRPr="00AF4F37">
      <w:rPr>
        <w:rFonts w:ascii="Arial" w:hAnsi="Arial" w:cs="Arial"/>
        <w:sz w:val="20"/>
        <w:szCs w:val="20"/>
      </w:rPr>
      <w:t xml:space="preserve">Section </w:t>
    </w:r>
    <w:r w:rsidR="00FA1B6E">
      <w:rPr>
        <w:rFonts w:ascii="Arial" w:hAnsi="Arial" w:cs="Arial"/>
        <w:sz w:val="20"/>
        <w:szCs w:val="20"/>
      </w:rPr>
      <w:fldChar w:fldCharType="begin"/>
    </w:r>
    <w:r w:rsidR="00FA1B6E">
      <w:rPr>
        <w:rFonts w:ascii="Arial" w:hAnsi="Arial" w:cs="Arial"/>
        <w:sz w:val="20"/>
        <w:szCs w:val="20"/>
      </w:rPr>
      <w:instrText xml:space="preserve"> STYLEREF  CharSectno  \* MERGEFORMAT </w:instrText>
    </w:r>
    <w:r w:rsidR="00FA1B6E">
      <w:rPr>
        <w:rFonts w:ascii="Arial" w:hAnsi="Arial" w:cs="Arial"/>
        <w:sz w:val="20"/>
        <w:szCs w:val="20"/>
      </w:rPr>
      <w:fldChar w:fldCharType="separate"/>
    </w:r>
    <w:r w:rsidR="00EF21DE">
      <w:rPr>
        <w:rFonts w:ascii="Arial" w:hAnsi="Arial" w:cs="Arial"/>
        <w:noProof/>
        <w:sz w:val="20"/>
        <w:szCs w:val="20"/>
      </w:rPr>
      <w:t>13</w:t>
    </w:r>
    <w:r w:rsidR="00FA1B6E">
      <w:rPr>
        <w:rFonts w:ascii="Arial" w:hAnsi="Arial" w:cs="Arial"/>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9B" w:rsidRDefault="004D479B" w:rsidP="00A876D8">
    <w:pPr>
      <w:pStyle w:val="Header"/>
      <w:pBdr>
        <w:bottom w:val="single" w:sz="4" w:space="1" w:color="auto"/>
      </w:pBdr>
      <w:rPr>
        <w:rFonts w:ascii="Times New Roman" w:hAnsi="Times New Roman" w:cs="Times New Roman"/>
        <w:sz w:val="24"/>
        <w:szCs w:val="24"/>
      </w:rPr>
    </w:pPr>
  </w:p>
  <w:p w:rsidR="004D479B" w:rsidRPr="002274BA" w:rsidRDefault="004D479B" w:rsidP="00AF4F37">
    <w:pPr>
      <w:pStyle w:val="Header"/>
      <w:pBdr>
        <w:bottom w:val="single" w:sz="4" w:space="1" w:color="auto"/>
      </w:pBdr>
      <w:rPr>
        <w:rFonts w:ascii="Arial" w:hAnsi="Arial" w:cs="Arial"/>
        <w:sz w:val="20"/>
        <w:szCs w:val="20"/>
      </w:rPr>
    </w:pPr>
    <w:r w:rsidRPr="002274BA">
      <w:rPr>
        <w:rFonts w:ascii="Arial" w:hAnsi="Arial" w:cs="Arial"/>
        <w:sz w:val="20"/>
        <w:szCs w:val="20"/>
      </w:rPr>
      <w:t xml:space="preserve">Section </w:t>
    </w:r>
    <w:r w:rsidR="00FA1B6E">
      <w:rPr>
        <w:rFonts w:ascii="Arial" w:hAnsi="Arial" w:cs="Arial"/>
        <w:sz w:val="20"/>
        <w:szCs w:val="20"/>
      </w:rPr>
      <w:fldChar w:fldCharType="begin"/>
    </w:r>
    <w:r w:rsidR="00FA1B6E">
      <w:rPr>
        <w:rFonts w:ascii="Arial" w:hAnsi="Arial" w:cs="Arial"/>
        <w:sz w:val="20"/>
        <w:szCs w:val="20"/>
      </w:rPr>
      <w:instrText xml:space="preserve"> STYLEREF  CharSectno  \* MERGEFORMAT </w:instrText>
    </w:r>
    <w:r w:rsidR="00FA1B6E">
      <w:rPr>
        <w:rFonts w:ascii="Arial" w:hAnsi="Arial" w:cs="Arial"/>
        <w:sz w:val="20"/>
        <w:szCs w:val="20"/>
      </w:rPr>
      <w:fldChar w:fldCharType="separate"/>
    </w:r>
    <w:r w:rsidR="00EF21DE">
      <w:rPr>
        <w:rFonts w:ascii="Arial" w:hAnsi="Arial" w:cs="Arial"/>
        <w:noProof/>
        <w:sz w:val="20"/>
        <w:szCs w:val="20"/>
      </w:rPr>
      <w:t>1</w:t>
    </w:r>
    <w:r w:rsidR="00FA1B6E">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F15"/>
    <w:multiLevelType w:val="hybridMultilevel"/>
    <w:tmpl w:val="A0DEFFCE"/>
    <w:lvl w:ilvl="0" w:tplc="D8748B2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1D7350"/>
    <w:multiLevelType w:val="hybridMultilevel"/>
    <w:tmpl w:val="24264800"/>
    <w:lvl w:ilvl="0" w:tplc="DC6A75D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5737FCA"/>
    <w:multiLevelType w:val="hybridMultilevel"/>
    <w:tmpl w:val="3F482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4">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BB5260B"/>
    <w:multiLevelType w:val="hybridMultilevel"/>
    <w:tmpl w:val="1CCC1BBE"/>
    <w:lvl w:ilvl="0" w:tplc="8E409658">
      <w:start w:val="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206F4A"/>
    <w:multiLevelType w:val="hybridMultilevel"/>
    <w:tmpl w:val="535EAB7C"/>
    <w:lvl w:ilvl="0" w:tplc="DC6A75D6">
      <w:start w:val="1"/>
      <w:numFmt w:val="lowerLetter"/>
      <w:lvlText w:val="(%1)"/>
      <w:lvlJc w:val="left"/>
      <w:pPr>
        <w:ind w:left="1080" w:hanging="360"/>
      </w:pPr>
      <w:rPr>
        <w:rFonts w:ascii="Times New Roman" w:eastAsia="Times New Roman" w:hAnsi="Times New Roman"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FEE5773"/>
    <w:multiLevelType w:val="hybridMultilevel"/>
    <w:tmpl w:val="57F49B78"/>
    <w:lvl w:ilvl="0" w:tplc="F580BE48">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66B3D24"/>
    <w:multiLevelType w:val="hybridMultilevel"/>
    <w:tmpl w:val="99E6B364"/>
    <w:lvl w:ilvl="0" w:tplc="69B6F0D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C702EFD"/>
    <w:multiLevelType w:val="hybridMultilevel"/>
    <w:tmpl w:val="B9DA7C48"/>
    <w:lvl w:ilvl="0" w:tplc="5F721212">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3">
    <w:nsid w:val="5335522D"/>
    <w:multiLevelType w:val="hybridMultilevel"/>
    <w:tmpl w:val="41280F20"/>
    <w:lvl w:ilvl="0" w:tplc="010EE57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48700B5"/>
    <w:multiLevelType w:val="hybridMultilevel"/>
    <w:tmpl w:val="116CAE4C"/>
    <w:lvl w:ilvl="0" w:tplc="DC6A75D6">
      <w:start w:val="1"/>
      <w:numFmt w:val="lowerLetter"/>
      <w:lvlText w:val="(%1)"/>
      <w:lvlJc w:val="left"/>
      <w:pPr>
        <w:ind w:left="1080" w:hanging="36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1C33A10"/>
    <w:multiLevelType w:val="hybridMultilevel"/>
    <w:tmpl w:val="9CF01796"/>
    <w:lvl w:ilvl="0" w:tplc="46A808D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7">
    <w:nsid w:val="647523F4"/>
    <w:multiLevelType w:val="hybridMultilevel"/>
    <w:tmpl w:val="EAAC5952"/>
    <w:lvl w:ilvl="0" w:tplc="14789064">
      <w:start w:val="1"/>
      <w:numFmt w:val="lowerLetter"/>
      <w:lvlText w:val="(%1)"/>
      <w:lvlJc w:val="left"/>
      <w:pPr>
        <w:ind w:left="1080" w:hanging="360"/>
      </w:pPr>
      <w:rPr>
        <w:rFonts w:ascii="Times New Roman" w:eastAsia="Times New Roman" w:hAnsi="Times New Roman" w:cs="Times New Roman"/>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70874881"/>
    <w:multiLevelType w:val="hybridMultilevel"/>
    <w:tmpl w:val="3AA2AE9A"/>
    <w:lvl w:ilvl="0" w:tplc="FC7018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3166EA6"/>
    <w:multiLevelType w:val="hybridMultilevel"/>
    <w:tmpl w:val="F82068F8"/>
    <w:lvl w:ilvl="0" w:tplc="B0A89252">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0"/>
  </w:num>
  <w:num w:numId="3">
    <w:abstractNumId w:val="10"/>
  </w:num>
  <w:num w:numId="4">
    <w:abstractNumId w:val="15"/>
  </w:num>
  <w:num w:numId="5">
    <w:abstractNumId w:val="8"/>
  </w:num>
  <w:num w:numId="6">
    <w:abstractNumId w:val="4"/>
  </w:num>
  <w:num w:numId="7">
    <w:abstractNumId w:val="3"/>
  </w:num>
  <w:num w:numId="8">
    <w:abstractNumId w:val="9"/>
  </w:num>
  <w:num w:numId="9">
    <w:abstractNumId w:val="5"/>
  </w:num>
  <w:num w:numId="10">
    <w:abstractNumId w:val="0"/>
  </w:num>
  <w:num w:numId="11">
    <w:abstractNumId w:val="19"/>
  </w:num>
  <w:num w:numId="12">
    <w:abstractNumId w:val="1"/>
  </w:num>
  <w:num w:numId="13">
    <w:abstractNumId w:val="13"/>
  </w:num>
  <w:num w:numId="14">
    <w:abstractNumId w:val="7"/>
  </w:num>
  <w:num w:numId="15">
    <w:abstractNumId w:val="17"/>
  </w:num>
  <w:num w:numId="16">
    <w:abstractNumId w:val="14"/>
  </w:num>
  <w:num w:numId="17">
    <w:abstractNumId w:val="2"/>
  </w:num>
  <w:num w:numId="18">
    <w:abstractNumId w:val="18"/>
  </w:num>
  <w:num w:numId="19">
    <w:abstractNumId w:val="12"/>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0D1A"/>
    <w:rsid w:val="00032326"/>
    <w:rsid w:val="000340E0"/>
    <w:rsid w:val="00035A4A"/>
    <w:rsid w:val="00044E44"/>
    <w:rsid w:val="0005491E"/>
    <w:rsid w:val="00066CC6"/>
    <w:rsid w:val="00072439"/>
    <w:rsid w:val="00074A64"/>
    <w:rsid w:val="00087908"/>
    <w:rsid w:val="00087F5A"/>
    <w:rsid w:val="000958C2"/>
    <w:rsid w:val="00096428"/>
    <w:rsid w:val="000972C1"/>
    <w:rsid w:val="00097568"/>
    <w:rsid w:val="00097890"/>
    <w:rsid w:val="000B3219"/>
    <w:rsid w:val="000B7183"/>
    <w:rsid w:val="000C7AD0"/>
    <w:rsid w:val="000C7DCB"/>
    <w:rsid w:val="000D6066"/>
    <w:rsid w:val="000D64DF"/>
    <w:rsid w:val="000E1827"/>
    <w:rsid w:val="000E3E05"/>
    <w:rsid w:val="000E636C"/>
    <w:rsid w:val="000F1010"/>
    <w:rsid w:val="000F1CE3"/>
    <w:rsid w:val="000F2057"/>
    <w:rsid w:val="00102860"/>
    <w:rsid w:val="00107776"/>
    <w:rsid w:val="00126C26"/>
    <w:rsid w:val="001313B6"/>
    <w:rsid w:val="00131BFC"/>
    <w:rsid w:val="001420F1"/>
    <w:rsid w:val="00147830"/>
    <w:rsid w:val="00150203"/>
    <w:rsid w:val="00160F8E"/>
    <w:rsid w:val="00163E19"/>
    <w:rsid w:val="0017400E"/>
    <w:rsid w:val="0017734A"/>
    <w:rsid w:val="00181E23"/>
    <w:rsid w:val="0018494C"/>
    <w:rsid w:val="001870A1"/>
    <w:rsid w:val="0019271C"/>
    <w:rsid w:val="00193B16"/>
    <w:rsid w:val="001A2B69"/>
    <w:rsid w:val="001A4B39"/>
    <w:rsid w:val="001B2574"/>
    <w:rsid w:val="001C01DC"/>
    <w:rsid w:val="001C3D0E"/>
    <w:rsid w:val="001C5967"/>
    <w:rsid w:val="001C5A4C"/>
    <w:rsid w:val="001C6D13"/>
    <w:rsid w:val="001D5785"/>
    <w:rsid w:val="001E0709"/>
    <w:rsid w:val="001E45EA"/>
    <w:rsid w:val="001F7515"/>
    <w:rsid w:val="00210711"/>
    <w:rsid w:val="00211DDD"/>
    <w:rsid w:val="00212F31"/>
    <w:rsid w:val="00220E65"/>
    <w:rsid w:val="002213DD"/>
    <w:rsid w:val="00224BF5"/>
    <w:rsid w:val="002274BA"/>
    <w:rsid w:val="002305ED"/>
    <w:rsid w:val="00230880"/>
    <w:rsid w:val="00230961"/>
    <w:rsid w:val="00231A5F"/>
    <w:rsid w:val="0023329C"/>
    <w:rsid w:val="002332A2"/>
    <w:rsid w:val="002359DE"/>
    <w:rsid w:val="00235F26"/>
    <w:rsid w:val="00245195"/>
    <w:rsid w:val="002569B5"/>
    <w:rsid w:val="002651B4"/>
    <w:rsid w:val="002776D3"/>
    <w:rsid w:val="00277D03"/>
    <w:rsid w:val="00291C8D"/>
    <w:rsid w:val="00297702"/>
    <w:rsid w:val="002B4DDD"/>
    <w:rsid w:val="002B73D8"/>
    <w:rsid w:val="002D15C7"/>
    <w:rsid w:val="002D46D9"/>
    <w:rsid w:val="002D4B17"/>
    <w:rsid w:val="002E5B01"/>
    <w:rsid w:val="002E7F17"/>
    <w:rsid w:val="002F0E3F"/>
    <w:rsid w:val="002F3596"/>
    <w:rsid w:val="002F54C7"/>
    <w:rsid w:val="002F7598"/>
    <w:rsid w:val="003023C0"/>
    <w:rsid w:val="003166CF"/>
    <w:rsid w:val="0033592B"/>
    <w:rsid w:val="00344B3B"/>
    <w:rsid w:val="00360F54"/>
    <w:rsid w:val="00361E6C"/>
    <w:rsid w:val="00372C0D"/>
    <w:rsid w:val="00372D68"/>
    <w:rsid w:val="00374726"/>
    <w:rsid w:val="003811BD"/>
    <w:rsid w:val="00382F14"/>
    <w:rsid w:val="00383635"/>
    <w:rsid w:val="00392B78"/>
    <w:rsid w:val="00395204"/>
    <w:rsid w:val="00395B00"/>
    <w:rsid w:val="003973D0"/>
    <w:rsid w:val="003A4E5E"/>
    <w:rsid w:val="003B0281"/>
    <w:rsid w:val="003B2C48"/>
    <w:rsid w:val="003B64CF"/>
    <w:rsid w:val="003C2888"/>
    <w:rsid w:val="003D4715"/>
    <w:rsid w:val="003D7215"/>
    <w:rsid w:val="003E06AA"/>
    <w:rsid w:val="003E11D2"/>
    <w:rsid w:val="003F1C44"/>
    <w:rsid w:val="003F2113"/>
    <w:rsid w:val="003F666C"/>
    <w:rsid w:val="004052F5"/>
    <w:rsid w:val="00411B88"/>
    <w:rsid w:val="00416A61"/>
    <w:rsid w:val="00416E07"/>
    <w:rsid w:val="00417B8B"/>
    <w:rsid w:val="00421035"/>
    <w:rsid w:val="00430658"/>
    <w:rsid w:val="004361D9"/>
    <w:rsid w:val="00440610"/>
    <w:rsid w:val="0044167B"/>
    <w:rsid w:val="00443A20"/>
    <w:rsid w:val="00444183"/>
    <w:rsid w:val="00445019"/>
    <w:rsid w:val="004452E8"/>
    <w:rsid w:val="004466D1"/>
    <w:rsid w:val="00455B03"/>
    <w:rsid w:val="004614E7"/>
    <w:rsid w:val="00461E79"/>
    <w:rsid w:val="00463D35"/>
    <w:rsid w:val="00467736"/>
    <w:rsid w:val="0049089B"/>
    <w:rsid w:val="00496B54"/>
    <w:rsid w:val="00497532"/>
    <w:rsid w:val="004A2918"/>
    <w:rsid w:val="004A2CA8"/>
    <w:rsid w:val="004A4F9F"/>
    <w:rsid w:val="004A7265"/>
    <w:rsid w:val="004D11A3"/>
    <w:rsid w:val="004D22A2"/>
    <w:rsid w:val="004D479B"/>
    <w:rsid w:val="004D6B79"/>
    <w:rsid w:val="004D79AC"/>
    <w:rsid w:val="004E3164"/>
    <w:rsid w:val="004E6E69"/>
    <w:rsid w:val="004F16B2"/>
    <w:rsid w:val="004F5077"/>
    <w:rsid w:val="00502445"/>
    <w:rsid w:val="00507D03"/>
    <w:rsid w:val="005137BA"/>
    <w:rsid w:val="00513D66"/>
    <w:rsid w:val="005150D8"/>
    <w:rsid w:val="00516AF4"/>
    <w:rsid w:val="00522B91"/>
    <w:rsid w:val="00526827"/>
    <w:rsid w:val="00536F59"/>
    <w:rsid w:val="00541970"/>
    <w:rsid w:val="00545B7C"/>
    <w:rsid w:val="00547BA0"/>
    <w:rsid w:val="00551E89"/>
    <w:rsid w:val="0055414A"/>
    <w:rsid w:val="00556D9E"/>
    <w:rsid w:val="00560FEB"/>
    <w:rsid w:val="005711A7"/>
    <w:rsid w:val="005733B1"/>
    <w:rsid w:val="005767D9"/>
    <w:rsid w:val="00583F0E"/>
    <w:rsid w:val="005957A6"/>
    <w:rsid w:val="005A2956"/>
    <w:rsid w:val="005A3582"/>
    <w:rsid w:val="005B61BE"/>
    <w:rsid w:val="005C0555"/>
    <w:rsid w:val="005C3306"/>
    <w:rsid w:val="005D0447"/>
    <w:rsid w:val="005D4072"/>
    <w:rsid w:val="005D4129"/>
    <w:rsid w:val="005D43B5"/>
    <w:rsid w:val="005D6363"/>
    <w:rsid w:val="005E0DBC"/>
    <w:rsid w:val="005E16FD"/>
    <w:rsid w:val="005E218A"/>
    <w:rsid w:val="005F022D"/>
    <w:rsid w:val="005F474D"/>
    <w:rsid w:val="005F4A87"/>
    <w:rsid w:val="005F6D8A"/>
    <w:rsid w:val="006103B4"/>
    <w:rsid w:val="00616083"/>
    <w:rsid w:val="0061778D"/>
    <w:rsid w:val="006310D6"/>
    <w:rsid w:val="00634EE0"/>
    <w:rsid w:val="00640849"/>
    <w:rsid w:val="00640AD4"/>
    <w:rsid w:val="00643269"/>
    <w:rsid w:val="006437D6"/>
    <w:rsid w:val="00645D7E"/>
    <w:rsid w:val="00646B33"/>
    <w:rsid w:val="006530A4"/>
    <w:rsid w:val="00662E2D"/>
    <w:rsid w:val="00671711"/>
    <w:rsid w:val="0067469A"/>
    <w:rsid w:val="00681361"/>
    <w:rsid w:val="00683BB0"/>
    <w:rsid w:val="00687D04"/>
    <w:rsid w:val="0069177D"/>
    <w:rsid w:val="00691DBF"/>
    <w:rsid w:val="00691DFD"/>
    <w:rsid w:val="00693D4F"/>
    <w:rsid w:val="00695DC2"/>
    <w:rsid w:val="006A4E7E"/>
    <w:rsid w:val="006A52C4"/>
    <w:rsid w:val="006B14F2"/>
    <w:rsid w:val="006C0251"/>
    <w:rsid w:val="006C3B4C"/>
    <w:rsid w:val="006C4021"/>
    <w:rsid w:val="006C719F"/>
    <w:rsid w:val="006D36DE"/>
    <w:rsid w:val="006D381E"/>
    <w:rsid w:val="006D5253"/>
    <w:rsid w:val="006D7EC0"/>
    <w:rsid w:val="006F070F"/>
    <w:rsid w:val="006F2F45"/>
    <w:rsid w:val="006F5CF2"/>
    <w:rsid w:val="006F662B"/>
    <w:rsid w:val="00703828"/>
    <w:rsid w:val="0071142C"/>
    <w:rsid w:val="0071584F"/>
    <w:rsid w:val="00721966"/>
    <w:rsid w:val="00727C0D"/>
    <w:rsid w:val="00733FB0"/>
    <w:rsid w:val="0073420D"/>
    <w:rsid w:val="007345AA"/>
    <w:rsid w:val="0073503D"/>
    <w:rsid w:val="007424FF"/>
    <w:rsid w:val="00752624"/>
    <w:rsid w:val="0075335D"/>
    <w:rsid w:val="007571A8"/>
    <w:rsid w:val="00763880"/>
    <w:rsid w:val="00765A20"/>
    <w:rsid w:val="00770264"/>
    <w:rsid w:val="00776F34"/>
    <w:rsid w:val="00782ADA"/>
    <w:rsid w:val="00797B92"/>
    <w:rsid w:val="007A0368"/>
    <w:rsid w:val="007B3B4F"/>
    <w:rsid w:val="007B45D8"/>
    <w:rsid w:val="007C4823"/>
    <w:rsid w:val="007C57F8"/>
    <w:rsid w:val="007D08CC"/>
    <w:rsid w:val="007D093E"/>
    <w:rsid w:val="007D411E"/>
    <w:rsid w:val="007D4B8C"/>
    <w:rsid w:val="007D54F3"/>
    <w:rsid w:val="007D6C81"/>
    <w:rsid w:val="007E0F24"/>
    <w:rsid w:val="007E3DDD"/>
    <w:rsid w:val="007F4A5E"/>
    <w:rsid w:val="00800926"/>
    <w:rsid w:val="00805BB6"/>
    <w:rsid w:val="00811A1F"/>
    <w:rsid w:val="0081244E"/>
    <w:rsid w:val="00812A22"/>
    <w:rsid w:val="008142AD"/>
    <w:rsid w:val="00817816"/>
    <w:rsid w:val="0082543F"/>
    <w:rsid w:val="0082569D"/>
    <w:rsid w:val="00834E89"/>
    <w:rsid w:val="00837013"/>
    <w:rsid w:val="008475CF"/>
    <w:rsid w:val="008478A2"/>
    <w:rsid w:val="00854E86"/>
    <w:rsid w:val="00855157"/>
    <w:rsid w:val="0086126C"/>
    <w:rsid w:val="0086239F"/>
    <w:rsid w:val="00862EF2"/>
    <w:rsid w:val="0086687A"/>
    <w:rsid w:val="008675AF"/>
    <w:rsid w:val="00875E8F"/>
    <w:rsid w:val="00892659"/>
    <w:rsid w:val="0089278F"/>
    <w:rsid w:val="00895EE2"/>
    <w:rsid w:val="00896A23"/>
    <w:rsid w:val="008A0DA4"/>
    <w:rsid w:val="008A1F0E"/>
    <w:rsid w:val="008A42C6"/>
    <w:rsid w:val="008A4A9F"/>
    <w:rsid w:val="008B29F8"/>
    <w:rsid w:val="008B5276"/>
    <w:rsid w:val="008C52CD"/>
    <w:rsid w:val="008C6E3F"/>
    <w:rsid w:val="008D642E"/>
    <w:rsid w:val="008E300C"/>
    <w:rsid w:val="008E7B49"/>
    <w:rsid w:val="008F015D"/>
    <w:rsid w:val="008F0D09"/>
    <w:rsid w:val="008F334B"/>
    <w:rsid w:val="008F6AF9"/>
    <w:rsid w:val="009001FE"/>
    <w:rsid w:val="00902082"/>
    <w:rsid w:val="00903870"/>
    <w:rsid w:val="00903D33"/>
    <w:rsid w:val="0091792E"/>
    <w:rsid w:val="00922D81"/>
    <w:rsid w:val="00923BA1"/>
    <w:rsid w:val="00927831"/>
    <w:rsid w:val="00952982"/>
    <w:rsid w:val="00954745"/>
    <w:rsid w:val="00954897"/>
    <w:rsid w:val="00957210"/>
    <w:rsid w:val="00957DC4"/>
    <w:rsid w:val="009651A3"/>
    <w:rsid w:val="00966602"/>
    <w:rsid w:val="009712CE"/>
    <w:rsid w:val="009725A7"/>
    <w:rsid w:val="00975BC6"/>
    <w:rsid w:val="009833B1"/>
    <w:rsid w:val="00987A5F"/>
    <w:rsid w:val="009A0538"/>
    <w:rsid w:val="009A1083"/>
    <w:rsid w:val="009A3D9A"/>
    <w:rsid w:val="009B11CB"/>
    <w:rsid w:val="009C6994"/>
    <w:rsid w:val="009D2A7F"/>
    <w:rsid w:val="009E2417"/>
    <w:rsid w:val="009E53C0"/>
    <w:rsid w:val="009F51C1"/>
    <w:rsid w:val="00A046CF"/>
    <w:rsid w:val="00A10210"/>
    <w:rsid w:val="00A109E6"/>
    <w:rsid w:val="00A161AB"/>
    <w:rsid w:val="00A25479"/>
    <w:rsid w:val="00A25C81"/>
    <w:rsid w:val="00A5033A"/>
    <w:rsid w:val="00A52583"/>
    <w:rsid w:val="00A52845"/>
    <w:rsid w:val="00A533E4"/>
    <w:rsid w:val="00A56B6D"/>
    <w:rsid w:val="00A65855"/>
    <w:rsid w:val="00A83BE1"/>
    <w:rsid w:val="00A87309"/>
    <w:rsid w:val="00A876D8"/>
    <w:rsid w:val="00A965A3"/>
    <w:rsid w:val="00AA3D0A"/>
    <w:rsid w:val="00AB1200"/>
    <w:rsid w:val="00AB78BF"/>
    <w:rsid w:val="00AC5FC8"/>
    <w:rsid w:val="00AC6C59"/>
    <w:rsid w:val="00AC7C7F"/>
    <w:rsid w:val="00AD14AA"/>
    <w:rsid w:val="00AD1EEA"/>
    <w:rsid w:val="00AD3A8C"/>
    <w:rsid w:val="00AE1ECA"/>
    <w:rsid w:val="00AE50D5"/>
    <w:rsid w:val="00AE7C9F"/>
    <w:rsid w:val="00AF4F37"/>
    <w:rsid w:val="00AF77F1"/>
    <w:rsid w:val="00AF7EE5"/>
    <w:rsid w:val="00B12A7E"/>
    <w:rsid w:val="00B13B65"/>
    <w:rsid w:val="00B1752A"/>
    <w:rsid w:val="00B22FA4"/>
    <w:rsid w:val="00B31C76"/>
    <w:rsid w:val="00B34A4D"/>
    <w:rsid w:val="00B36B71"/>
    <w:rsid w:val="00B3707B"/>
    <w:rsid w:val="00B521AB"/>
    <w:rsid w:val="00B541A0"/>
    <w:rsid w:val="00B71A24"/>
    <w:rsid w:val="00B728F7"/>
    <w:rsid w:val="00B7359B"/>
    <w:rsid w:val="00B90F17"/>
    <w:rsid w:val="00B9210C"/>
    <w:rsid w:val="00B93AB3"/>
    <w:rsid w:val="00B94518"/>
    <w:rsid w:val="00B9786D"/>
    <w:rsid w:val="00BA23CB"/>
    <w:rsid w:val="00BA382D"/>
    <w:rsid w:val="00BA4326"/>
    <w:rsid w:val="00BA5F61"/>
    <w:rsid w:val="00BA76DE"/>
    <w:rsid w:val="00BC30F7"/>
    <w:rsid w:val="00BC4954"/>
    <w:rsid w:val="00BD6609"/>
    <w:rsid w:val="00BD77C9"/>
    <w:rsid w:val="00BE095C"/>
    <w:rsid w:val="00BF179A"/>
    <w:rsid w:val="00BF48B7"/>
    <w:rsid w:val="00BF7563"/>
    <w:rsid w:val="00C044A9"/>
    <w:rsid w:val="00C04BC4"/>
    <w:rsid w:val="00C102DD"/>
    <w:rsid w:val="00C11FB8"/>
    <w:rsid w:val="00C12CB5"/>
    <w:rsid w:val="00C14BBB"/>
    <w:rsid w:val="00C227FB"/>
    <w:rsid w:val="00C25A84"/>
    <w:rsid w:val="00C25DB4"/>
    <w:rsid w:val="00C25F1D"/>
    <w:rsid w:val="00C2694E"/>
    <w:rsid w:val="00C26C8E"/>
    <w:rsid w:val="00C34CDB"/>
    <w:rsid w:val="00C34D27"/>
    <w:rsid w:val="00C36FA4"/>
    <w:rsid w:val="00C3719A"/>
    <w:rsid w:val="00C404DB"/>
    <w:rsid w:val="00C42DD0"/>
    <w:rsid w:val="00C51EA5"/>
    <w:rsid w:val="00C71640"/>
    <w:rsid w:val="00C76D9C"/>
    <w:rsid w:val="00C84C2F"/>
    <w:rsid w:val="00C93B18"/>
    <w:rsid w:val="00C9448D"/>
    <w:rsid w:val="00C9658E"/>
    <w:rsid w:val="00CA6263"/>
    <w:rsid w:val="00CB5865"/>
    <w:rsid w:val="00CB7C8C"/>
    <w:rsid w:val="00CC64DD"/>
    <w:rsid w:val="00CD2FCD"/>
    <w:rsid w:val="00CD47EB"/>
    <w:rsid w:val="00CD78C5"/>
    <w:rsid w:val="00CE5F18"/>
    <w:rsid w:val="00CF0EFB"/>
    <w:rsid w:val="00CF6BA5"/>
    <w:rsid w:val="00D06297"/>
    <w:rsid w:val="00D0717E"/>
    <w:rsid w:val="00D1141F"/>
    <w:rsid w:val="00D151DC"/>
    <w:rsid w:val="00D15825"/>
    <w:rsid w:val="00D15F9E"/>
    <w:rsid w:val="00D22F05"/>
    <w:rsid w:val="00D31F3F"/>
    <w:rsid w:val="00D33B87"/>
    <w:rsid w:val="00D3475F"/>
    <w:rsid w:val="00D3680E"/>
    <w:rsid w:val="00D510ED"/>
    <w:rsid w:val="00D54259"/>
    <w:rsid w:val="00D5476B"/>
    <w:rsid w:val="00D56CCA"/>
    <w:rsid w:val="00D60AF3"/>
    <w:rsid w:val="00D636CC"/>
    <w:rsid w:val="00D65F59"/>
    <w:rsid w:val="00D778E8"/>
    <w:rsid w:val="00D901A8"/>
    <w:rsid w:val="00D942BA"/>
    <w:rsid w:val="00D96D7C"/>
    <w:rsid w:val="00DA3F1E"/>
    <w:rsid w:val="00DA578C"/>
    <w:rsid w:val="00DB2750"/>
    <w:rsid w:val="00DC075D"/>
    <w:rsid w:val="00DC0CDF"/>
    <w:rsid w:val="00DC0FD7"/>
    <w:rsid w:val="00DC31AF"/>
    <w:rsid w:val="00DD4DCB"/>
    <w:rsid w:val="00DE4920"/>
    <w:rsid w:val="00DE69F5"/>
    <w:rsid w:val="00DE6FF9"/>
    <w:rsid w:val="00DE7416"/>
    <w:rsid w:val="00DE7800"/>
    <w:rsid w:val="00DF42DD"/>
    <w:rsid w:val="00DF736B"/>
    <w:rsid w:val="00E00E8A"/>
    <w:rsid w:val="00E02B47"/>
    <w:rsid w:val="00E05DC9"/>
    <w:rsid w:val="00E1191F"/>
    <w:rsid w:val="00E13491"/>
    <w:rsid w:val="00E1369C"/>
    <w:rsid w:val="00E313BD"/>
    <w:rsid w:val="00E318F7"/>
    <w:rsid w:val="00E32460"/>
    <w:rsid w:val="00E34FE5"/>
    <w:rsid w:val="00E36AE2"/>
    <w:rsid w:val="00E42357"/>
    <w:rsid w:val="00E43CFB"/>
    <w:rsid w:val="00E458FD"/>
    <w:rsid w:val="00E469AF"/>
    <w:rsid w:val="00E54A1A"/>
    <w:rsid w:val="00E56752"/>
    <w:rsid w:val="00E618B6"/>
    <w:rsid w:val="00E66189"/>
    <w:rsid w:val="00E67F12"/>
    <w:rsid w:val="00E72197"/>
    <w:rsid w:val="00E7332E"/>
    <w:rsid w:val="00E807CE"/>
    <w:rsid w:val="00E90B30"/>
    <w:rsid w:val="00E934DA"/>
    <w:rsid w:val="00E94A2E"/>
    <w:rsid w:val="00E97751"/>
    <w:rsid w:val="00E979FD"/>
    <w:rsid w:val="00EA4525"/>
    <w:rsid w:val="00EA6F25"/>
    <w:rsid w:val="00EC54C3"/>
    <w:rsid w:val="00EC5B45"/>
    <w:rsid w:val="00ED2E8B"/>
    <w:rsid w:val="00ED3352"/>
    <w:rsid w:val="00ED482B"/>
    <w:rsid w:val="00EE268B"/>
    <w:rsid w:val="00EE4ADB"/>
    <w:rsid w:val="00EE5879"/>
    <w:rsid w:val="00EF0C39"/>
    <w:rsid w:val="00EF21DE"/>
    <w:rsid w:val="00EF6D1B"/>
    <w:rsid w:val="00F04454"/>
    <w:rsid w:val="00F05E74"/>
    <w:rsid w:val="00F072B4"/>
    <w:rsid w:val="00F07A2C"/>
    <w:rsid w:val="00F14480"/>
    <w:rsid w:val="00F15FD3"/>
    <w:rsid w:val="00F215AB"/>
    <w:rsid w:val="00F2272E"/>
    <w:rsid w:val="00F245D4"/>
    <w:rsid w:val="00F31EC9"/>
    <w:rsid w:val="00F36CED"/>
    <w:rsid w:val="00F446CA"/>
    <w:rsid w:val="00F50914"/>
    <w:rsid w:val="00F62C1E"/>
    <w:rsid w:val="00F6415E"/>
    <w:rsid w:val="00F654A6"/>
    <w:rsid w:val="00F77DB5"/>
    <w:rsid w:val="00F856A6"/>
    <w:rsid w:val="00F85ED9"/>
    <w:rsid w:val="00F90642"/>
    <w:rsid w:val="00F90E1B"/>
    <w:rsid w:val="00F949D8"/>
    <w:rsid w:val="00FA1B6E"/>
    <w:rsid w:val="00FA50D7"/>
    <w:rsid w:val="00FA79A9"/>
    <w:rsid w:val="00FB1145"/>
    <w:rsid w:val="00FB59C1"/>
    <w:rsid w:val="00FC169A"/>
    <w:rsid w:val="00FC3E27"/>
    <w:rsid w:val="00FC4756"/>
    <w:rsid w:val="00FC5F12"/>
    <w:rsid w:val="00FC60C9"/>
    <w:rsid w:val="00FC69E6"/>
    <w:rsid w:val="00FC7947"/>
    <w:rsid w:val="00FD0C5A"/>
    <w:rsid w:val="00FD323F"/>
    <w:rsid w:val="00FD5A55"/>
    <w:rsid w:val="00FF3022"/>
    <w:rsid w:val="00FF3F8D"/>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R1">
    <w:name w:val="R1"/>
    <w:aliases w:val="1. or 1.(1)"/>
    <w:basedOn w:val="Normal"/>
    <w:next w:val="Normal"/>
    <w:rsid w:val="00F949D8"/>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Jeanpara">
    <w:name w:val="Jean para"/>
    <w:basedOn w:val="Normal"/>
    <w:rsid w:val="00F15FD3"/>
    <w:pPr>
      <w:spacing w:after="0" w:line="240" w:lineRule="auto"/>
      <w:ind w:left="1020" w:hanging="340"/>
    </w:pPr>
    <w:rPr>
      <w:rFonts w:ascii="Times New Roman" w:eastAsia="Times New Roman" w:hAnsi="Times New Roman" w:cs="Times New Roman"/>
      <w:sz w:val="24"/>
      <w:szCs w:val="20"/>
      <w:lang w:val="en-GB" w:eastAsia="en-AU"/>
    </w:rPr>
  </w:style>
  <w:style w:type="character" w:styleId="FollowedHyperlink">
    <w:name w:val="FollowedHyperlink"/>
    <w:basedOn w:val="DefaultParagraphFont"/>
    <w:uiPriority w:val="99"/>
    <w:semiHidden/>
    <w:unhideWhenUsed/>
    <w:rsid w:val="00383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5025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itu.int/"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UQVA7MFFXVNW-1658559656-696</_dlc_DocId>
    <_dlc_DocIdUrl xmlns="04b8ec43-391f-4ce4-8841-d6a482add564">
      <Url>http://collaboration/organisation/auth/Chair/Auth/_layouts/15/DocIdRedir.aspx?ID=UQVA7MFFXVNW-1658559656-696</Url>
      <Description>UQVA7MFFXVNW-1658559656-696</Description>
    </_dlc_DocIdUrl>
    <Category xmlns="3f364d92-07cb-4b3e-a872-160096f8dd54">(none)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BB1241F13DB42BBEB45D2361A6BA7" ma:contentTypeVersion="6" ma:contentTypeDescription="Create a new document." ma:contentTypeScope="" ma:versionID="af528ee356c9b0c803a18b5d00d62861">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B1F48-667A-4A7D-B847-1E9873AF9F1C}">
  <ds:schemaRefs>
    <ds:schemaRef ds:uri="http://schemas.microsoft.com/sharepoint/v3/contenttype/forms"/>
  </ds:schemaRefs>
</ds:datastoreItem>
</file>

<file path=customXml/itemProps2.xml><?xml version="1.0" encoding="utf-8"?>
<ds:datastoreItem xmlns:ds="http://schemas.openxmlformats.org/officeDocument/2006/customXml" ds:itemID="{F38AB458-ABDC-419A-9306-ED60A54DC40A}">
  <ds:schemaRefs>
    <ds:schemaRef ds:uri="http://schemas.microsoft.com/office/2006/metadata/properties"/>
    <ds:schemaRef ds:uri="http://schemas.microsoft.com/office/infopath/2007/PartnerControls"/>
    <ds:schemaRef ds:uri="04b8ec43-391f-4ce4-8841-d6a482add564"/>
    <ds:schemaRef ds:uri="3f364d92-07cb-4b3e-a872-160096f8dd54"/>
  </ds:schemaRefs>
</ds:datastoreItem>
</file>

<file path=customXml/itemProps3.xml><?xml version="1.0" encoding="utf-8"?>
<ds:datastoreItem xmlns:ds="http://schemas.openxmlformats.org/officeDocument/2006/customXml" ds:itemID="{4925C6CC-9B0E-47C4-85D4-CC2F79882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9C677-61C3-4D9E-B285-286A57475975}">
  <ds:schemaRefs>
    <ds:schemaRef ds:uri="http://schemas.microsoft.com/sharepoint/events"/>
  </ds:schemaRefs>
</ds:datastoreItem>
</file>

<file path=customXml/itemProps5.xml><?xml version="1.0" encoding="utf-8"?>
<ds:datastoreItem xmlns:ds="http://schemas.openxmlformats.org/officeDocument/2006/customXml" ds:itemID="{B5B0723F-2721-42BD-BB0F-DE3837D0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15550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3</cp:revision>
  <cp:lastPrinted>2017-08-07T03:16:00Z</cp:lastPrinted>
  <dcterms:created xsi:type="dcterms:W3CDTF">2017-08-14T04:56:00Z</dcterms:created>
  <dcterms:modified xsi:type="dcterms:W3CDTF">2017-08-21T03:42:00Z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0x010100F55BB1241F13DB42BBEB45D2361A6BA7</vt:lpwstr>
  </property>
  <property fmtid="{D5CDD505-2E9C-101B-9397-08002B2CF9AE}" pid="3" name="_dlc_DocIdItemGuid">
    <vt:lpwstr>d88c22c4-0b92-4104-854d-7e9d5badb524</vt:lpwstr>
  </property>
</Properties>
</file>