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AC02C2" w:rsidRDefault="00AC02C2">
      <w:pPr>
        <w:pStyle w:val="Title"/>
      </w:pPr>
    </w:p>
    <w:p w:rsidR="001149C1" w:rsidRDefault="005B0E3A" w:rsidP="005B0E3A">
      <w:pPr>
        <w:spacing w:before="63" w:line="479" w:lineRule="auto"/>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1149C1">
        <w:rPr>
          <w:b/>
          <w:color w:val="000000"/>
          <w:spacing w:val="-1"/>
          <w:sz w:val="28"/>
        </w:rPr>
        <w:t>ASIC Corporations</w:t>
      </w:r>
      <w:r w:rsidR="002A4BF7">
        <w:rPr>
          <w:b/>
          <w:color w:val="000000"/>
          <w:spacing w:val="-1"/>
          <w:sz w:val="28"/>
        </w:rPr>
        <w:t xml:space="preserve"> (Disclosure Relief</w:t>
      </w:r>
      <w:r w:rsidR="002A4BF7" w:rsidRPr="002A4BF7">
        <w:rPr>
          <w:b/>
          <w:color w:val="000000"/>
          <w:spacing w:val="-1"/>
          <w:sz w:val="28"/>
        </w:rPr>
        <w:t>—</w:t>
      </w:r>
      <w:r w:rsidR="001149C1">
        <w:rPr>
          <w:b/>
          <w:color w:val="000000"/>
          <w:spacing w:val="-1"/>
          <w:sz w:val="28"/>
        </w:rPr>
        <w:t>Offers to Associates) Instrument 2017/737</w:t>
      </w:r>
    </w:p>
    <w:p w:rsidR="005B0E3A" w:rsidRDefault="001149C1" w:rsidP="005B0E3A">
      <w:pPr>
        <w:spacing w:before="63" w:line="479" w:lineRule="auto"/>
        <w:jc w:val="center"/>
        <w:rPr>
          <w:sz w:val="28"/>
          <w:szCs w:val="28"/>
        </w:rPr>
      </w:pPr>
      <w:r>
        <w:rPr>
          <w:b/>
          <w:color w:val="000000"/>
          <w:spacing w:val="-1"/>
          <w:sz w:val="28"/>
        </w:rPr>
        <w:t>ASIC Corporations (Repeal) Instrument 2017/738</w:t>
      </w:r>
      <w:r w:rsidR="005B0E3A">
        <w:rPr>
          <w:b/>
          <w:color w:val="000000"/>
          <w:spacing w:val="-1"/>
          <w:sz w:val="28"/>
        </w:rPr>
        <w:t xml:space="preserve"> </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1149C1" w:rsidRDefault="005B0E3A" w:rsidP="005B0E3A">
      <w:pPr>
        <w:pStyle w:val="BodyText"/>
        <w:spacing w:line="261" w:lineRule="auto"/>
        <w:rPr>
          <w:spacing w:val="-1"/>
        </w:rPr>
      </w:pPr>
      <w:r>
        <w:t xml:space="preserve">The Australian Securities and </w:t>
      </w:r>
      <w:r>
        <w:rPr>
          <w:spacing w:val="-1"/>
        </w:rPr>
        <w:t>Investments</w:t>
      </w:r>
      <w:r>
        <w:t xml:space="preserve"> </w:t>
      </w:r>
      <w:r>
        <w:rPr>
          <w:spacing w:val="-1"/>
        </w:rPr>
        <w:t>Commission</w:t>
      </w:r>
      <w:r>
        <w:t xml:space="preserve"> (</w:t>
      </w:r>
      <w:r w:rsidRPr="00CF7D55">
        <w:rPr>
          <w:b/>
        </w:rPr>
        <w:t>ASIC</w:t>
      </w:r>
      <w:r>
        <w:t xml:space="preserve">) </w:t>
      </w:r>
      <w:r>
        <w:rPr>
          <w:spacing w:val="-1"/>
        </w:rPr>
        <w:t>makes</w:t>
      </w:r>
      <w:r w:rsidR="001149C1">
        <w:rPr>
          <w:spacing w:val="-1"/>
        </w:rPr>
        <w:t xml:space="preserve"> the following instruments:</w:t>
      </w:r>
    </w:p>
    <w:p w:rsidR="001149C1" w:rsidRDefault="001149C1" w:rsidP="002A4BF7">
      <w:pPr>
        <w:pStyle w:val="BodyText"/>
        <w:numPr>
          <w:ilvl w:val="0"/>
          <w:numId w:val="15"/>
        </w:numPr>
        <w:spacing w:line="261" w:lineRule="auto"/>
        <w:rPr>
          <w:spacing w:val="-1"/>
        </w:rPr>
      </w:pPr>
      <w:r>
        <w:rPr>
          <w:spacing w:val="-1"/>
        </w:rPr>
        <w:t xml:space="preserve">ASIC </w:t>
      </w:r>
      <w:r w:rsidR="002A4BF7">
        <w:rPr>
          <w:spacing w:val="-1"/>
        </w:rPr>
        <w:t>Corporations (Disclosure Relief</w:t>
      </w:r>
      <w:r w:rsidR="002A4BF7" w:rsidRPr="002A4BF7">
        <w:rPr>
          <w:spacing w:val="-1"/>
        </w:rPr>
        <w:t>—</w:t>
      </w:r>
      <w:r>
        <w:rPr>
          <w:spacing w:val="-1"/>
        </w:rPr>
        <w:t>Offers to Associates) Instrument 2017/737 (</w:t>
      </w:r>
      <w:r>
        <w:rPr>
          <w:b/>
          <w:spacing w:val="-1"/>
        </w:rPr>
        <w:t>Disclosure Relief Instrument</w:t>
      </w:r>
      <w:r>
        <w:rPr>
          <w:spacing w:val="-1"/>
        </w:rPr>
        <w:t>)</w:t>
      </w:r>
    </w:p>
    <w:p w:rsidR="001149C1" w:rsidRDefault="001149C1" w:rsidP="001149C1">
      <w:pPr>
        <w:pStyle w:val="BodyText"/>
        <w:numPr>
          <w:ilvl w:val="0"/>
          <w:numId w:val="15"/>
        </w:numPr>
        <w:spacing w:line="261" w:lineRule="auto"/>
        <w:rPr>
          <w:spacing w:val="-1"/>
        </w:rPr>
      </w:pPr>
      <w:r>
        <w:rPr>
          <w:spacing w:val="-1"/>
        </w:rPr>
        <w:t>ASIC Corporations (Repeal) Instrument 2017/738 (</w:t>
      </w:r>
      <w:r>
        <w:rPr>
          <w:b/>
          <w:spacing w:val="-1"/>
        </w:rPr>
        <w:t>Repeal Instrument</w:t>
      </w:r>
      <w:r>
        <w:rPr>
          <w:spacing w:val="-1"/>
        </w:rPr>
        <w:t>)</w:t>
      </w:r>
    </w:p>
    <w:p w:rsidR="001149C1" w:rsidRDefault="001149C1" w:rsidP="005B0E3A">
      <w:pPr>
        <w:pStyle w:val="BodyText"/>
        <w:spacing w:line="261" w:lineRule="auto"/>
        <w:rPr>
          <w:spacing w:val="-1"/>
        </w:rPr>
      </w:pPr>
      <w:proofErr w:type="gramStart"/>
      <w:r>
        <w:rPr>
          <w:spacing w:val="-1"/>
        </w:rPr>
        <w:t>under</w:t>
      </w:r>
      <w:proofErr w:type="gramEnd"/>
      <w:r>
        <w:rPr>
          <w:spacing w:val="-1"/>
        </w:rPr>
        <w:t xml:space="preserve"> subsections 741(1) and 1020F(1) of the </w:t>
      </w:r>
      <w:r>
        <w:rPr>
          <w:i/>
          <w:spacing w:val="-1"/>
        </w:rPr>
        <w:t>Corporations Act 2001</w:t>
      </w:r>
      <w:r>
        <w:rPr>
          <w:spacing w:val="-1"/>
        </w:rPr>
        <w:t xml:space="preserve"> (</w:t>
      </w:r>
      <w:r>
        <w:rPr>
          <w:b/>
          <w:spacing w:val="-1"/>
        </w:rPr>
        <w:t>Corporations Act</w:t>
      </w:r>
      <w:r>
        <w:rPr>
          <w:spacing w:val="-1"/>
        </w:rPr>
        <w:t>).</w:t>
      </w:r>
    </w:p>
    <w:p w:rsidR="001149C1" w:rsidRDefault="001149C1" w:rsidP="005B0E3A">
      <w:pPr>
        <w:pStyle w:val="BodyText"/>
        <w:spacing w:line="261" w:lineRule="auto"/>
      </w:pPr>
      <w:r>
        <w:t>Subsection 741(1) of the Corporations Act provides that ASIC may exempt a person from a provision of Chapter 6D of the Corporations Act or declare that Chapter 6D applies to a person as if specified provisions were omitted, modified or varied.</w:t>
      </w:r>
    </w:p>
    <w:p w:rsidR="002A4BF7" w:rsidRDefault="001149C1" w:rsidP="002A4BF7">
      <w:pPr>
        <w:pStyle w:val="BodyText"/>
        <w:spacing w:line="261" w:lineRule="auto"/>
      </w:pPr>
      <w:r>
        <w:t xml:space="preserve">Subsection </w:t>
      </w:r>
      <w:proofErr w:type="gramStart"/>
      <w:r>
        <w:t>1020F(</w:t>
      </w:r>
      <w:proofErr w:type="gramEnd"/>
      <w:r>
        <w:t>1) of the Corporations Act provides that ASIC may exempt a person or a financial product or class of persons or financial products from all or specified provisions of Part 7.9 of the Corporations Act and may declare that Part 7.9 of the Corporations Act applies in relation to a person or a class of persons as if specified provisions were omitted, modified or varied.</w:t>
      </w:r>
    </w:p>
    <w:p w:rsidR="005B0E3A" w:rsidRDefault="005B0E3A" w:rsidP="002A4BF7">
      <w:pPr>
        <w:pStyle w:val="BodyText"/>
        <w:spacing w:line="261" w:lineRule="auto"/>
      </w:pPr>
      <w:r w:rsidRPr="00D503B8">
        <w:t xml:space="preserve">Under subsection 33(3) of the </w:t>
      </w:r>
      <w:r w:rsidRPr="006F0835">
        <w:rPr>
          <w:i/>
        </w:rPr>
        <w:t>Acts Interpretation Act 1901</w:t>
      </w:r>
      <w:r w:rsidRPr="00D503B8">
        <w:t xml:space="preserve"> (as in force as at 1 January 2005 and as applicable to the relevant powers because of section 5C of the </w:t>
      </w:r>
      <w:r w:rsidR="006F0835">
        <w:t xml:space="preserve">Corporations </w:t>
      </w:r>
      <w:r w:rsidRPr="00D503B8">
        <w:t>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2A4BF7" w:rsidRDefault="002A4BF7" w:rsidP="002A4BF7">
      <w:pPr>
        <w:pStyle w:val="BodyText"/>
        <w:spacing w:line="261" w:lineRule="auto"/>
      </w:pPr>
      <w:r>
        <w:t xml:space="preserve">The Disclosure Relief Instrument remakes Class Order [CO 04/899] </w:t>
      </w:r>
      <w:r>
        <w:rPr>
          <w:i/>
        </w:rPr>
        <w:t>Definition of 'senior manager'</w:t>
      </w:r>
      <w:r w:rsidRPr="002A4BF7">
        <w:rPr>
          <w:i/>
        </w:rPr>
        <w:t>—</w:t>
      </w:r>
      <w:r>
        <w:rPr>
          <w:i/>
        </w:rPr>
        <w:t>modification</w:t>
      </w:r>
      <w:r>
        <w:t xml:space="preserve">, which is due to sunset on 1 October 2017. </w:t>
      </w:r>
      <w:r w:rsidR="004168CE">
        <w:t>The Repeal Instrument repeals [CO 04/899].</w:t>
      </w:r>
    </w:p>
    <w:p w:rsidR="009D0A41" w:rsidRPr="002A4BF7" w:rsidRDefault="009D0A41" w:rsidP="002A4BF7">
      <w:pPr>
        <w:pStyle w:val="BodyText"/>
        <w:spacing w:line="261" w:lineRule="auto"/>
        <w:rPr>
          <w:spacing w:val="-1"/>
        </w:rPr>
      </w:pPr>
    </w:p>
    <w:p w:rsidR="002A4BF7" w:rsidRPr="004063D0" w:rsidRDefault="005B0E3A" w:rsidP="004063D0">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rsidR="00CF7D55" w:rsidRDefault="002A4BF7" w:rsidP="00CF7D55">
      <w:pPr>
        <w:pStyle w:val="BodyText"/>
        <w:spacing w:line="261" w:lineRule="auto"/>
        <w:rPr>
          <w:szCs w:val="24"/>
        </w:rPr>
      </w:pPr>
      <w:r w:rsidRPr="004063D0">
        <w:rPr>
          <w:szCs w:val="24"/>
        </w:rPr>
        <w:t xml:space="preserve">The Disclosure Relief </w:t>
      </w:r>
      <w:r w:rsidRPr="004063D0">
        <w:t>Instrument</w:t>
      </w:r>
      <w:r w:rsidRPr="004063D0">
        <w:rPr>
          <w:szCs w:val="24"/>
        </w:rPr>
        <w:t xml:space="preserve"> remakes</w:t>
      </w:r>
      <w:r w:rsidR="00CF7D55">
        <w:rPr>
          <w:szCs w:val="24"/>
        </w:rPr>
        <w:t xml:space="preserve"> [</w:t>
      </w:r>
      <w:r w:rsidR="00CF7D55" w:rsidRPr="00CF7D55">
        <w:rPr>
          <w:szCs w:val="24"/>
        </w:rPr>
        <w:t>CO 04/899]</w:t>
      </w:r>
      <w:r w:rsidR="00CF7D55">
        <w:rPr>
          <w:szCs w:val="24"/>
        </w:rPr>
        <w:t xml:space="preserve"> which</w:t>
      </w:r>
      <w:r w:rsidR="00CF7D55" w:rsidRPr="00CF7D55">
        <w:rPr>
          <w:szCs w:val="24"/>
        </w:rPr>
        <w:t xml:space="preserve"> was created to correct a technical issue in t</w:t>
      </w:r>
      <w:r w:rsidR="00CF7D55" w:rsidRPr="00FF28CE">
        <w:t>h</w:t>
      </w:r>
      <w:r w:rsidR="00CF7D55" w:rsidRPr="00CF7D55">
        <w:rPr>
          <w:szCs w:val="24"/>
        </w:rPr>
        <w:t xml:space="preserve">e </w:t>
      </w:r>
      <w:r w:rsidR="00CF7D55" w:rsidRPr="00CF7D55">
        <w:t>Corporations</w:t>
      </w:r>
      <w:r w:rsidR="00CF7D55">
        <w:rPr>
          <w:szCs w:val="24"/>
        </w:rPr>
        <w:t xml:space="preserve"> Act that arose </w:t>
      </w:r>
      <w:r w:rsidR="00CF7D55" w:rsidRPr="00CF7D55">
        <w:rPr>
          <w:szCs w:val="24"/>
        </w:rPr>
        <w:t xml:space="preserve">from the replacement of the term 'executive officer' with the </w:t>
      </w:r>
      <w:r w:rsidR="00CF7D55">
        <w:rPr>
          <w:szCs w:val="24"/>
        </w:rPr>
        <w:t xml:space="preserve">term 'senior manager' under the </w:t>
      </w:r>
      <w:r w:rsidR="00CF7D55" w:rsidRPr="00CF7D55">
        <w:rPr>
          <w:i/>
          <w:szCs w:val="24"/>
        </w:rPr>
        <w:t>Corporate Law Economic Reform Program (Audit Reform and Corporate Disclosure) Act 2004</w:t>
      </w:r>
      <w:r w:rsidR="00CF7D55" w:rsidRPr="00CF7D55">
        <w:rPr>
          <w:szCs w:val="24"/>
        </w:rPr>
        <w:t xml:space="preserve"> (</w:t>
      </w:r>
      <w:proofErr w:type="spellStart"/>
      <w:r w:rsidR="00CF7D55" w:rsidRPr="00CF7D55">
        <w:rPr>
          <w:b/>
          <w:szCs w:val="24"/>
        </w:rPr>
        <w:t>CLERP</w:t>
      </w:r>
      <w:proofErr w:type="spellEnd"/>
      <w:r w:rsidR="00CF7D55" w:rsidRPr="00CF7D55">
        <w:rPr>
          <w:b/>
          <w:szCs w:val="24"/>
        </w:rPr>
        <w:t xml:space="preserve"> 9</w:t>
      </w:r>
      <w:r w:rsidR="00CF7D55" w:rsidRPr="00CF7D55">
        <w:rPr>
          <w:szCs w:val="24"/>
        </w:rPr>
        <w:t xml:space="preserve">). </w:t>
      </w:r>
    </w:p>
    <w:p w:rsidR="00CF7D55" w:rsidRDefault="0052389C" w:rsidP="0052389C">
      <w:pPr>
        <w:pStyle w:val="BodyText"/>
        <w:spacing w:line="261" w:lineRule="auto"/>
        <w:rPr>
          <w:szCs w:val="24"/>
        </w:rPr>
      </w:pPr>
      <w:r w:rsidRPr="0052389C">
        <w:rPr>
          <w:szCs w:val="24"/>
        </w:rPr>
        <w:t xml:space="preserve">The former definition of executive officer was different </w:t>
      </w:r>
      <w:r>
        <w:rPr>
          <w:szCs w:val="24"/>
        </w:rPr>
        <w:t xml:space="preserve">to the new definition of senior </w:t>
      </w:r>
      <w:r w:rsidRPr="0052389C">
        <w:rPr>
          <w:szCs w:val="24"/>
        </w:rPr>
        <w:t xml:space="preserve">manager inserted by </w:t>
      </w:r>
      <w:proofErr w:type="spellStart"/>
      <w:r w:rsidRPr="0052389C">
        <w:rPr>
          <w:szCs w:val="24"/>
        </w:rPr>
        <w:t>CLERP</w:t>
      </w:r>
      <w:proofErr w:type="spellEnd"/>
      <w:r w:rsidRPr="0052389C">
        <w:rPr>
          <w:szCs w:val="24"/>
        </w:rPr>
        <w:t xml:space="preserve"> 9. Amongst other things, a perso</w:t>
      </w:r>
      <w:r>
        <w:rPr>
          <w:szCs w:val="24"/>
        </w:rPr>
        <w:t xml:space="preserve">n could be an executive officer </w:t>
      </w:r>
      <w:r w:rsidRPr="0052389C">
        <w:rPr>
          <w:szCs w:val="24"/>
        </w:rPr>
        <w:t>'whether or not the person is a director of the body' (</w:t>
      </w:r>
      <w:r>
        <w:rPr>
          <w:szCs w:val="24"/>
        </w:rPr>
        <w:t xml:space="preserve">Corporations </w:t>
      </w:r>
      <w:r w:rsidRPr="0052389C">
        <w:rPr>
          <w:szCs w:val="24"/>
        </w:rPr>
        <w:t>Act s 9</w:t>
      </w:r>
      <w:r>
        <w:rPr>
          <w:szCs w:val="24"/>
        </w:rPr>
        <w:t>,</w:t>
      </w:r>
      <w:r w:rsidRPr="0052389C">
        <w:rPr>
          <w:szCs w:val="24"/>
        </w:rPr>
        <w:t xml:space="preserve"> prior to </w:t>
      </w:r>
      <w:proofErr w:type="spellStart"/>
      <w:r w:rsidRPr="0052389C">
        <w:rPr>
          <w:szCs w:val="24"/>
        </w:rPr>
        <w:t>CLERP</w:t>
      </w:r>
      <w:proofErr w:type="spellEnd"/>
      <w:r>
        <w:rPr>
          <w:szCs w:val="24"/>
        </w:rPr>
        <w:t xml:space="preserve"> 9) whereas a </w:t>
      </w:r>
      <w:r w:rsidRPr="0052389C">
        <w:rPr>
          <w:szCs w:val="24"/>
        </w:rPr>
        <w:t xml:space="preserve">'senior manager' in a corporation is a person 'other than a </w:t>
      </w:r>
      <w:r>
        <w:rPr>
          <w:szCs w:val="24"/>
        </w:rPr>
        <w:t>director or secretary' (Corporations Act s 9, unmodified).</w:t>
      </w:r>
    </w:p>
    <w:p w:rsidR="0052389C" w:rsidRDefault="0052389C" w:rsidP="00CF7D55">
      <w:pPr>
        <w:pStyle w:val="BodyText"/>
        <w:spacing w:line="261" w:lineRule="auto"/>
        <w:rPr>
          <w:szCs w:val="24"/>
        </w:rPr>
      </w:pPr>
      <w:r w:rsidRPr="004063D0">
        <w:rPr>
          <w:szCs w:val="24"/>
        </w:rPr>
        <w:t>The definition of ‘senior manager’ is relevant to a range of requirements in the Corporations Act, including in relation to external administration, auditors and certain exceptions to disclosure obligations. These exceptions to disclosure obligations are in s708(12) and 1012D(9A) of the Corporations Act and relate to an offer, recommendation, issue or sale of certain securities to a person associated with a body or responsible entity</w:t>
      </w:r>
      <w:r w:rsidR="003209CE">
        <w:rPr>
          <w:szCs w:val="24"/>
        </w:rPr>
        <w:t xml:space="preserve"> (relevant disclosure exceptions)</w:t>
      </w:r>
      <w:r w:rsidRPr="004063D0">
        <w:rPr>
          <w:szCs w:val="24"/>
        </w:rPr>
        <w:t>.</w:t>
      </w:r>
      <w:r>
        <w:rPr>
          <w:szCs w:val="24"/>
        </w:rPr>
        <w:t xml:space="preserve"> </w:t>
      </w:r>
      <w:r w:rsidRPr="0052389C">
        <w:rPr>
          <w:szCs w:val="24"/>
        </w:rPr>
        <w:t>Without the modifica</w:t>
      </w:r>
      <w:r>
        <w:rPr>
          <w:szCs w:val="24"/>
        </w:rPr>
        <w:t xml:space="preserve">tion made by [CO 04/899], these </w:t>
      </w:r>
      <w:r w:rsidRPr="0052389C">
        <w:rPr>
          <w:szCs w:val="24"/>
        </w:rPr>
        <w:t>exceptions would not apply to issues of relevant financial products to a dire</w:t>
      </w:r>
      <w:r>
        <w:rPr>
          <w:szCs w:val="24"/>
        </w:rPr>
        <w:t xml:space="preserve">ctor or secretary. </w:t>
      </w:r>
    </w:p>
    <w:p w:rsidR="00721481" w:rsidRDefault="00CF7D55" w:rsidP="00721481">
      <w:pPr>
        <w:pStyle w:val="BodyText"/>
        <w:spacing w:line="261" w:lineRule="auto"/>
        <w:rPr>
          <w:szCs w:val="24"/>
        </w:rPr>
      </w:pPr>
      <w:r w:rsidRPr="00CF7D55">
        <w:rPr>
          <w:szCs w:val="24"/>
        </w:rPr>
        <w:t>[CO</w:t>
      </w:r>
      <w:r>
        <w:rPr>
          <w:szCs w:val="24"/>
        </w:rPr>
        <w:t xml:space="preserve"> 04/899] </w:t>
      </w:r>
      <w:r w:rsidR="0052389C">
        <w:rPr>
          <w:szCs w:val="24"/>
        </w:rPr>
        <w:t>ensures</w:t>
      </w:r>
      <w:r>
        <w:rPr>
          <w:szCs w:val="24"/>
        </w:rPr>
        <w:t xml:space="preserve"> sections </w:t>
      </w:r>
      <w:proofErr w:type="gramStart"/>
      <w:r w:rsidRPr="00CF7D55">
        <w:rPr>
          <w:szCs w:val="24"/>
        </w:rPr>
        <w:t>1012D(</w:t>
      </w:r>
      <w:proofErr w:type="gramEnd"/>
      <w:r w:rsidRPr="00CF7D55">
        <w:rPr>
          <w:szCs w:val="24"/>
        </w:rPr>
        <w:t xml:space="preserve">9A) </w:t>
      </w:r>
      <w:r w:rsidR="0052389C">
        <w:rPr>
          <w:szCs w:val="24"/>
        </w:rPr>
        <w:t>and 708(12) of the Act continue</w:t>
      </w:r>
      <w:r w:rsidRPr="00CF7D55">
        <w:rPr>
          <w:szCs w:val="24"/>
        </w:rPr>
        <w:t xml:space="preserve"> to have th</w:t>
      </w:r>
      <w:r w:rsidR="006F0835">
        <w:rPr>
          <w:szCs w:val="24"/>
        </w:rPr>
        <w:t>eir pre-</w:t>
      </w:r>
      <w:proofErr w:type="spellStart"/>
      <w:r w:rsidR="006F0835">
        <w:rPr>
          <w:szCs w:val="24"/>
        </w:rPr>
        <w:t>CLERP</w:t>
      </w:r>
      <w:proofErr w:type="spellEnd"/>
      <w:r w:rsidR="006F0835">
        <w:rPr>
          <w:szCs w:val="24"/>
        </w:rPr>
        <w:t xml:space="preserve"> 9 </w:t>
      </w:r>
      <w:r>
        <w:rPr>
          <w:szCs w:val="24"/>
        </w:rPr>
        <w:t xml:space="preserve">effect. [CO </w:t>
      </w:r>
      <w:r w:rsidRPr="00CF7D55">
        <w:rPr>
          <w:szCs w:val="24"/>
        </w:rPr>
        <w:t>04/899] gives the term 'senior manager' the same meanin</w:t>
      </w:r>
      <w:r>
        <w:rPr>
          <w:szCs w:val="24"/>
        </w:rPr>
        <w:t xml:space="preserve">g as the former term 'executive </w:t>
      </w:r>
      <w:r w:rsidRPr="00CF7D55">
        <w:rPr>
          <w:szCs w:val="24"/>
        </w:rPr>
        <w:t xml:space="preserve">officer' when the term senior manager is used in relation to a </w:t>
      </w:r>
      <w:r>
        <w:rPr>
          <w:szCs w:val="24"/>
        </w:rPr>
        <w:t xml:space="preserve">body in Parts 6D and 7.9 of the </w:t>
      </w:r>
      <w:r w:rsidRPr="00CF7D55">
        <w:rPr>
          <w:szCs w:val="24"/>
        </w:rPr>
        <w:t>Act.</w:t>
      </w:r>
    </w:p>
    <w:p w:rsidR="0052389C" w:rsidRPr="00721481" w:rsidRDefault="0052389C" w:rsidP="00721481">
      <w:pPr>
        <w:pStyle w:val="BodyText"/>
        <w:spacing w:line="261" w:lineRule="auto"/>
        <w:rPr>
          <w:szCs w:val="24"/>
        </w:rPr>
      </w:pPr>
    </w:p>
    <w:p w:rsidR="005B0E3A" w:rsidRPr="009D0A41" w:rsidRDefault="005B0E3A" w:rsidP="009D0A41">
      <w:pPr>
        <w:widowControl w:val="0"/>
        <w:numPr>
          <w:ilvl w:val="0"/>
          <w:numId w:val="7"/>
        </w:numPr>
        <w:tabs>
          <w:tab w:val="left" w:pos="1592"/>
        </w:tabs>
        <w:spacing w:before="145" w:after="0"/>
        <w:ind w:left="0" w:firstLine="0"/>
        <w:rPr>
          <w:rFonts w:ascii="Arial" w:eastAsia="Arial" w:hAnsi="Arial" w:cs="Arial"/>
          <w:b/>
          <w:bCs/>
          <w:sz w:val="24"/>
          <w:szCs w:val="24"/>
        </w:rPr>
      </w:pPr>
      <w:bookmarkStart w:id="1" w:name="2._Purpose_of_the_class_order_"/>
      <w:bookmarkEnd w:id="1"/>
      <w:r w:rsidRPr="009D0A41">
        <w:rPr>
          <w:rFonts w:ascii="Arial" w:hAnsi="Arial" w:cs="Arial"/>
          <w:b/>
          <w:spacing w:val="-1"/>
          <w:sz w:val="24"/>
          <w:szCs w:val="24"/>
        </w:rPr>
        <w:t>Purpose</w:t>
      </w:r>
      <w:r w:rsidRPr="009D0A41">
        <w:rPr>
          <w:rFonts w:ascii="Arial" w:hAnsi="Arial" w:cs="Arial"/>
          <w:b/>
          <w:sz w:val="24"/>
          <w:szCs w:val="24"/>
        </w:rPr>
        <w:t xml:space="preserve"> of </w:t>
      </w:r>
      <w:r w:rsidRPr="009D0A41">
        <w:rPr>
          <w:rFonts w:ascii="Arial" w:hAnsi="Arial" w:cs="Arial"/>
          <w:b/>
          <w:spacing w:val="-1"/>
          <w:sz w:val="24"/>
          <w:szCs w:val="24"/>
        </w:rPr>
        <w:t>the</w:t>
      </w:r>
      <w:r w:rsidRPr="009D0A41">
        <w:rPr>
          <w:rFonts w:ascii="Arial" w:hAnsi="Arial" w:cs="Arial"/>
          <w:b/>
          <w:sz w:val="24"/>
          <w:szCs w:val="24"/>
        </w:rPr>
        <w:t xml:space="preserve"> </w:t>
      </w:r>
      <w:r w:rsidRPr="00D615B5">
        <w:rPr>
          <w:rFonts w:ascii="Arial"/>
          <w:b/>
          <w:spacing w:val="-1"/>
          <w:sz w:val="24"/>
        </w:rPr>
        <w:t>instrument</w:t>
      </w:r>
      <w:r w:rsidR="003209CE">
        <w:rPr>
          <w:rFonts w:ascii="Arial"/>
          <w:b/>
          <w:spacing w:val="-1"/>
          <w:sz w:val="24"/>
        </w:rPr>
        <w:t>s</w:t>
      </w:r>
    </w:p>
    <w:p w:rsidR="004063D0" w:rsidRDefault="004063D0" w:rsidP="00D615B5">
      <w:pPr>
        <w:pStyle w:val="BodyText"/>
        <w:spacing w:line="261" w:lineRule="auto"/>
        <w:rPr>
          <w:szCs w:val="24"/>
        </w:rPr>
      </w:pPr>
      <w:r w:rsidRPr="004063D0">
        <w:rPr>
          <w:szCs w:val="24"/>
        </w:rPr>
        <w:t xml:space="preserve">The purpose of </w:t>
      </w:r>
      <w:r w:rsidRPr="004063D0">
        <w:rPr>
          <w:iCs/>
          <w:szCs w:val="24"/>
        </w:rPr>
        <w:t>the Disclosure Relief Instrument</w:t>
      </w:r>
      <w:r w:rsidRPr="004063D0">
        <w:rPr>
          <w:b/>
          <w:bCs/>
          <w:i/>
          <w:iCs/>
          <w:szCs w:val="24"/>
        </w:rPr>
        <w:t xml:space="preserve"> </w:t>
      </w:r>
      <w:r w:rsidRPr="004063D0">
        <w:rPr>
          <w:szCs w:val="24"/>
        </w:rPr>
        <w:t>is to continue the</w:t>
      </w:r>
      <w:r w:rsidR="00D615B5">
        <w:rPr>
          <w:szCs w:val="24"/>
        </w:rPr>
        <w:t xml:space="preserve"> relief in</w:t>
      </w:r>
      <w:r w:rsidRPr="004063D0">
        <w:rPr>
          <w:szCs w:val="24"/>
        </w:rPr>
        <w:t xml:space="preserve"> [CO </w:t>
      </w:r>
      <w:r>
        <w:rPr>
          <w:szCs w:val="24"/>
        </w:rPr>
        <w:t>04/899]</w:t>
      </w:r>
      <w:r w:rsidR="00D615B5">
        <w:rPr>
          <w:szCs w:val="24"/>
        </w:rPr>
        <w:t xml:space="preserve"> beyond its sunset date of 1 October 2017 in substantially the same form.</w:t>
      </w:r>
    </w:p>
    <w:p w:rsidR="004063D0" w:rsidRPr="004063D0" w:rsidRDefault="004063D0" w:rsidP="00D615B5">
      <w:pPr>
        <w:pStyle w:val="BodyText"/>
        <w:spacing w:line="261" w:lineRule="auto"/>
        <w:rPr>
          <w:szCs w:val="24"/>
          <w:lang w:val="en-US"/>
        </w:rPr>
      </w:pPr>
      <w:r w:rsidRPr="004063D0">
        <w:rPr>
          <w:szCs w:val="24"/>
        </w:rPr>
        <w:t xml:space="preserve">The purpose of </w:t>
      </w:r>
      <w:r>
        <w:rPr>
          <w:szCs w:val="24"/>
        </w:rPr>
        <w:t>the Repeal Instrument is to repeal</w:t>
      </w:r>
      <w:r w:rsidRPr="004063D0">
        <w:rPr>
          <w:szCs w:val="24"/>
        </w:rPr>
        <w:t xml:space="preserve"> </w:t>
      </w:r>
      <w:r>
        <w:rPr>
          <w:szCs w:val="24"/>
        </w:rPr>
        <w:t>[</w:t>
      </w:r>
      <w:r w:rsidR="00CF7D55">
        <w:rPr>
          <w:szCs w:val="24"/>
        </w:rPr>
        <w:t xml:space="preserve">CO </w:t>
      </w:r>
      <w:r>
        <w:rPr>
          <w:szCs w:val="24"/>
        </w:rPr>
        <w:t>04/899]</w:t>
      </w:r>
      <w:r w:rsidRPr="004063D0">
        <w:rPr>
          <w:szCs w:val="24"/>
        </w:rPr>
        <w:t>.</w:t>
      </w:r>
    </w:p>
    <w:p w:rsidR="005B0E3A" w:rsidRPr="009D0A41" w:rsidRDefault="005B0E3A" w:rsidP="005B0E3A">
      <w:pPr>
        <w:spacing w:line="240" w:lineRule="exact"/>
        <w:rPr>
          <w:rFonts w:ascii="Arial" w:hAnsi="Arial" w:cs="Arial"/>
          <w:b/>
          <w:sz w:val="24"/>
          <w:szCs w:val="24"/>
        </w:rPr>
      </w:pPr>
    </w:p>
    <w:p w:rsidR="005B0E3A" w:rsidRPr="009D0A41"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2" w:name="3._Operation_of_the_class_order_"/>
      <w:bookmarkEnd w:id="2"/>
      <w:r w:rsidRPr="009D0A41">
        <w:rPr>
          <w:rFonts w:ascii="Arial" w:hAnsi="Arial" w:cs="Arial"/>
          <w:b/>
          <w:spacing w:val="-1"/>
          <w:sz w:val="24"/>
          <w:szCs w:val="24"/>
        </w:rPr>
        <w:t>Operation</w:t>
      </w:r>
      <w:r w:rsidRPr="009D0A41">
        <w:rPr>
          <w:rFonts w:ascii="Arial" w:hAnsi="Arial" w:cs="Arial"/>
          <w:b/>
          <w:sz w:val="24"/>
          <w:szCs w:val="24"/>
        </w:rPr>
        <w:t xml:space="preserve"> </w:t>
      </w:r>
      <w:r w:rsidRPr="009D0A41">
        <w:rPr>
          <w:rFonts w:ascii="Arial" w:hAnsi="Arial" w:cs="Arial"/>
          <w:b/>
          <w:spacing w:val="-1"/>
          <w:sz w:val="24"/>
          <w:szCs w:val="24"/>
        </w:rPr>
        <w:t>of</w:t>
      </w:r>
      <w:r w:rsidRPr="009D0A41">
        <w:rPr>
          <w:rFonts w:ascii="Arial" w:hAnsi="Arial" w:cs="Arial"/>
          <w:b/>
          <w:sz w:val="24"/>
          <w:szCs w:val="24"/>
        </w:rPr>
        <w:t xml:space="preserve"> </w:t>
      </w:r>
      <w:r w:rsidRPr="009D0A41">
        <w:rPr>
          <w:rFonts w:ascii="Arial" w:hAnsi="Arial" w:cs="Arial"/>
          <w:b/>
          <w:spacing w:val="-1"/>
          <w:sz w:val="24"/>
          <w:szCs w:val="24"/>
        </w:rPr>
        <w:t>the</w:t>
      </w:r>
      <w:r w:rsidRPr="009D0A41">
        <w:rPr>
          <w:rFonts w:ascii="Arial" w:hAnsi="Arial" w:cs="Arial"/>
          <w:b/>
          <w:sz w:val="24"/>
          <w:szCs w:val="24"/>
        </w:rPr>
        <w:t xml:space="preserve"> instrument</w:t>
      </w:r>
      <w:r w:rsidR="003209CE">
        <w:rPr>
          <w:rFonts w:ascii="Arial" w:hAnsi="Arial" w:cs="Arial"/>
          <w:b/>
          <w:sz w:val="24"/>
          <w:szCs w:val="24"/>
        </w:rPr>
        <w:t>s</w:t>
      </w:r>
    </w:p>
    <w:p w:rsidR="00D615B5" w:rsidRDefault="00D615B5" w:rsidP="00D615B5">
      <w:pPr>
        <w:pStyle w:val="Default"/>
      </w:pPr>
    </w:p>
    <w:p w:rsidR="004063D0" w:rsidRPr="00D615B5" w:rsidRDefault="002819CF" w:rsidP="00D615B5">
      <w:pPr>
        <w:pStyle w:val="Default"/>
      </w:pPr>
      <w:r>
        <w:t>Section 5 of the</w:t>
      </w:r>
      <w:r w:rsidR="004063D0" w:rsidRPr="00D615B5">
        <w:t xml:space="preserve"> Disclosure Relief Instrument declares that </w:t>
      </w:r>
      <w:proofErr w:type="spellStart"/>
      <w:r w:rsidR="004063D0" w:rsidRPr="00D615B5">
        <w:t>Ch</w:t>
      </w:r>
      <w:proofErr w:type="spellEnd"/>
      <w:r w:rsidR="004063D0" w:rsidRPr="00D615B5">
        <w:t xml:space="preserve"> 6D and Pt 7.9 of the Corporations Act (which contain the relevant disclosure exceptions) apply as if paragraph (a) of the definition of ‘senior manager’ in s9 were modified to include a director or secretary, preserving the former definition of ‘executive officer’. This means the relevant disclosure exceptions continue to have their pre-</w:t>
      </w:r>
      <w:proofErr w:type="spellStart"/>
      <w:r w:rsidR="004063D0" w:rsidRPr="00D615B5">
        <w:t>CLERP</w:t>
      </w:r>
      <w:proofErr w:type="spellEnd"/>
      <w:r w:rsidR="004063D0" w:rsidRPr="00D615B5">
        <w:t xml:space="preserve"> 9 effect. </w:t>
      </w:r>
    </w:p>
    <w:p w:rsidR="009D0A41" w:rsidRDefault="009D0A41" w:rsidP="004063D0">
      <w:pPr>
        <w:pStyle w:val="Default"/>
        <w:rPr>
          <w:sz w:val="22"/>
          <w:szCs w:val="22"/>
        </w:rPr>
      </w:pPr>
    </w:p>
    <w:p w:rsidR="005B0E3A" w:rsidRPr="009D0A41" w:rsidRDefault="002F1023" w:rsidP="00D615B5">
      <w:pPr>
        <w:pStyle w:val="BodyText"/>
        <w:spacing w:line="261" w:lineRule="auto"/>
        <w:rPr>
          <w:szCs w:val="24"/>
          <w:lang w:val="en-US"/>
        </w:rPr>
      </w:pPr>
      <w:r>
        <w:rPr>
          <w:szCs w:val="24"/>
        </w:rPr>
        <w:t>Section 4 of the</w:t>
      </w:r>
      <w:r w:rsidR="009D0A41">
        <w:rPr>
          <w:szCs w:val="24"/>
        </w:rPr>
        <w:t xml:space="preserve"> Repeal Instrument repeal</w:t>
      </w:r>
      <w:r>
        <w:rPr>
          <w:szCs w:val="24"/>
        </w:rPr>
        <w:t>s</w:t>
      </w:r>
      <w:r w:rsidR="009D0A41">
        <w:rPr>
          <w:szCs w:val="24"/>
        </w:rPr>
        <w:t xml:space="preserve"> [</w:t>
      </w:r>
      <w:r w:rsidR="001423BA">
        <w:rPr>
          <w:szCs w:val="24"/>
        </w:rPr>
        <w:t xml:space="preserve">CO </w:t>
      </w:r>
      <w:r w:rsidR="009D0A41">
        <w:rPr>
          <w:szCs w:val="24"/>
        </w:rPr>
        <w:t>04/899]</w:t>
      </w:r>
      <w:r w:rsidR="009D0A41" w:rsidRPr="004063D0">
        <w:rPr>
          <w:szCs w:val="24"/>
        </w:rPr>
        <w:t>.</w:t>
      </w:r>
    </w:p>
    <w:p w:rsidR="005B0E3A" w:rsidRDefault="005B0E3A" w:rsidP="005B0E3A">
      <w:pPr>
        <w:spacing w:line="240" w:lineRule="exact"/>
        <w:rPr>
          <w:sz w:val="24"/>
          <w:szCs w:val="24"/>
        </w:rPr>
      </w:pPr>
    </w:p>
    <w:p w:rsidR="005B0E3A" w:rsidRPr="002819CF"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3" w:name="5._Consultation"/>
      <w:bookmarkEnd w:id="3"/>
      <w:r w:rsidRPr="002819CF">
        <w:rPr>
          <w:rFonts w:ascii="Arial" w:hAnsi="Arial" w:cs="Arial"/>
          <w:b/>
          <w:sz w:val="24"/>
          <w:szCs w:val="24"/>
        </w:rPr>
        <w:t>Consultation</w:t>
      </w:r>
    </w:p>
    <w:p w:rsidR="005B0E3A" w:rsidRDefault="005B0E3A" w:rsidP="005B0E3A">
      <w:pPr>
        <w:spacing w:before="4" w:line="220" w:lineRule="exact"/>
      </w:pPr>
    </w:p>
    <w:p w:rsidR="001423BA" w:rsidRDefault="001423BA" w:rsidP="001423BA">
      <w:pPr>
        <w:pStyle w:val="Bodytextplain"/>
        <w:ind w:left="0"/>
      </w:pPr>
      <w:r>
        <w:t>ASIC consulted with industry stakeholders on its proposal to remake, without significant changes, [CO 04/899].</w:t>
      </w:r>
    </w:p>
    <w:p w:rsidR="001423BA" w:rsidRDefault="001423BA" w:rsidP="001423BA">
      <w:pPr>
        <w:pStyle w:val="Bodytextplain"/>
        <w:ind w:left="0"/>
        <w:sectPr w:rsidR="001423BA" w:rsidSect="001149C1">
          <w:headerReference w:type="even" r:id="rId11"/>
          <w:footerReference w:type="even" r:id="rId12"/>
          <w:footerReference w:type="default" r:id="rId13"/>
          <w:headerReference w:type="first" r:id="rId14"/>
          <w:pgSz w:w="11906" w:h="16838" w:code="9"/>
          <w:pgMar w:top="1644" w:right="1418" w:bottom="1418" w:left="1418" w:header="567" w:footer="567" w:gutter="0"/>
          <w:cols w:space="720"/>
          <w:docGrid w:linePitch="299"/>
        </w:sectPr>
      </w:pPr>
      <w:r>
        <w:t xml:space="preserve">The feedback received in response to ASIC Consultation Paper 285 </w:t>
      </w:r>
      <w:r>
        <w:rPr>
          <w:i/>
        </w:rPr>
        <w:t xml:space="preserve">Remaking ASIC class order on disclosure relief for an offer to a director or secretary: [CO 04/899] </w:t>
      </w:r>
      <w:r>
        <w:t>supported the proposal to issue a new instrument to continue the effect of the relief granted under [CO 04/899]</w:t>
      </w:r>
    </w:p>
    <w:p w:rsidR="000076D6" w:rsidRDefault="000076D6">
      <w:r>
        <w:rPr>
          <w:noProof/>
        </w:rPr>
        <mc:AlternateContent>
          <mc:Choice Requires="wps">
            <w:drawing>
              <wp:anchor distT="0" distB="0" distL="114300" distR="114300" simplePos="0" relativeHeight="251659264" behindDoc="0" locked="0" layoutInCell="1" allowOverlap="1" wp14:anchorId="203EE767" wp14:editId="457B2C62">
                <wp:simplePos x="0" y="0"/>
                <wp:positionH relativeFrom="column">
                  <wp:posOffset>19050</wp:posOffset>
                </wp:positionH>
                <wp:positionV relativeFrom="paragraph">
                  <wp:posOffset>495300</wp:posOffset>
                </wp:positionV>
                <wp:extent cx="5311140" cy="69056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905625"/>
                        </a:xfrm>
                        <a:prstGeom prst="rect">
                          <a:avLst/>
                        </a:prstGeom>
                        <a:solidFill>
                          <a:srgbClr val="FFFFFF"/>
                        </a:solidFill>
                        <a:ln w="76200" cmpd="tri">
                          <a:solidFill>
                            <a:srgbClr val="000000"/>
                          </a:solidFill>
                          <a:miter lim="800000"/>
                          <a:headEnd/>
                          <a:tailEnd/>
                        </a:ln>
                      </wps:spPr>
                      <wps:txbx>
                        <w:txbxContent>
                          <w:p w:rsidR="00FF28CE" w:rsidRPr="00834797" w:rsidRDefault="00FF28CE" w:rsidP="000076D6">
                            <w:pPr>
                              <w:spacing w:before="360" w:after="120"/>
                              <w:jc w:val="center"/>
                              <w:rPr>
                                <w:b/>
                              </w:rPr>
                            </w:pPr>
                            <w:r w:rsidRPr="00834797">
                              <w:rPr>
                                <w:b/>
                              </w:rPr>
                              <w:t>Statement of Compatibility with Human Rights</w:t>
                            </w:r>
                          </w:p>
                          <w:p w:rsidR="00FF28CE" w:rsidRPr="00247F54" w:rsidRDefault="00FF28CE" w:rsidP="000076D6">
                            <w:pPr>
                              <w:spacing w:before="120" w:after="120"/>
                              <w:jc w:val="center"/>
                            </w:pPr>
                            <w:r w:rsidRPr="00247F54">
                              <w:rPr>
                                <w:i/>
                              </w:rPr>
                              <w:t>Prepared in accordance with Part 3 of the Human Rights (Parliamentary Scrutiny) Act 2011</w:t>
                            </w:r>
                          </w:p>
                          <w:p w:rsidR="00FF28CE" w:rsidRPr="00247F54" w:rsidRDefault="00FF28CE" w:rsidP="000076D6">
                            <w:pPr>
                              <w:spacing w:before="120" w:after="120"/>
                              <w:jc w:val="center"/>
                            </w:pPr>
                          </w:p>
                          <w:p w:rsidR="00FF28CE" w:rsidRDefault="00FF28CE" w:rsidP="001423BA">
                            <w:pPr>
                              <w:spacing w:before="120" w:after="120"/>
                              <w:jc w:val="center"/>
                              <w:rPr>
                                <w:b/>
                              </w:rPr>
                            </w:pPr>
                            <w:r w:rsidRPr="001423BA">
                              <w:rPr>
                                <w:b/>
                              </w:rPr>
                              <w:t>ASIC Corporations (Disclosure Relief—Offers to Associates) Instrument 2017/737</w:t>
                            </w:r>
                          </w:p>
                          <w:p w:rsidR="001A42ED" w:rsidRPr="001A42ED" w:rsidRDefault="001A42ED" w:rsidP="001423BA">
                            <w:pPr>
                              <w:spacing w:before="120" w:after="120"/>
                              <w:jc w:val="center"/>
                              <w:rPr>
                                <w:b/>
                              </w:rPr>
                            </w:pPr>
                            <w:r w:rsidRPr="001A42ED">
                              <w:rPr>
                                <w:b/>
                                <w:spacing w:val="-1"/>
                              </w:rPr>
                              <w:t>ASIC Corporations (Repeal) Instrument 2017/738</w:t>
                            </w:r>
                          </w:p>
                          <w:p w:rsidR="00FF28CE" w:rsidRPr="00247F54" w:rsidRDefault="00FF28CE" w:rsidP="000076D6">
                            <w:pPr>
                              <w:spacing w:before="120" w:after="120"/>
                              <w:jc w:val="center"/>
                            </w:pPr>
                          </w:p>
                          <w:p w:rsidR="00FF28CE" w:rsidRDefault="00FF28CE" w:rsidP="007535E2">
                            <w:pPr>
                              <w:spacing w:before="120" w:after="120"/>
                              <w:jc w:val="center"/>
                            </w:pPr>
                            <w:r w:rsidRPr="001423BA">
                              <w:t xml:space="preserve">ASIC Corporations (Disclosure Relief—Offers to </w:t>
                            </w:r>
                            <w:r>
                              <w:t xml:space="preserve">Associates) Instrument 2017/737 </w:t>
                            </w:r>
                            <w:r w:rsidR="001A42ED">
                              <w:t xml:space="preserve">and </w:t>
                            </w:r>
                            <w:r w:rsidR="001A42ED">
                              <w:rPr>
                                <w:spacing w:val="-1"/>
                              </w:rPr>
                              <w:t>ASIC Corporations (Repeal) Instrument 2017/738</w:t>
                            </w:r>
                            <w:r w:rsidR="001A42ED">
                              <w:rPr>
                                <w:spacing w:val="-1"/>
                              </w:rPr>
                              <w:t xml:space="preserve"> </w:t>
                            </w:r>
                            <w:r w:rsidR="001A42ED">
                              <w:t>are</w:t>
                            </w:r>
                            <w:r w:rsidRPr="00247F54">
                              <w:t xml:space="preserve"> compatible with the human rights and freedoms recognised or declared in the international instruments listed in section 3 of the </w:t>
                            </w:r>
                            <w:r w:rsidRPr="00247F54">
                              <w:rPr>
                                <w:i/>
                              </w:rPr>
                              <w:t>Human Rights (Parliamentary Scrutiny) Act 2011</w:t>
                            </w:r>
                            <w:r>
                              <w:t>.</w:t>
                            </w:r>
                          </w:p>
                          <w:p w:rsidR="00FF28CE" w:rsidRPr="00247F54" w:rsidRDefault="00FF28CE" w:rsidP="007535E2">
                            <w:pPr>
                              <w:spacing w:before="120" w:after="120"/>
                              <w:jc w:val="center"/>
                            </w:pPr>
                          </w:p>
                          <w:p w:rsidR="00FF28CE" w:rsidRPr="00247F54" w:rsidRDefault="00FF28CE" w:rsidP="000076D6">
                            <w:pPr>
                              <w:spacing w:before="120" w:after="120"/>
                              <w:jc w:val="both"/>
                              <w:rPr>
                                <w:b/>
                              </w:rPr>
                            </w:pPr>
                            <w:r w:rsidRPr="00247F54">
                              <w:rPr>
                                <w:b/>
                              </w:rPr>
                              <w:t>Overview</w:t>
                            </w:r>
                          </w:p>
                          <w:p w:rsidR="00FF28CE" w:rsidRDefault="00FF28CE" w:rsidP="000076D6">
                            <w:pPr>
                              <w:spacing w:before="120" w:after="120"/>
                              <w:rPr>
                                <w:szCs w:val="24"/>
                              </w:rPr>
                            </w:pPr>
                            <w:r w:rsidRPr="001423BA">
                              <w:t xml:space="preserve">ASIC Corporations (Disclosure Relief—Offers to </w:t>
                            </w:r>
                            <w:r>
                              <w:t xml:space="preserve">Associates) Instrument 2017/737 continues the effect of ASIC Class Order [CO 04/899] </w:t>
                            </w:r>
                            <w:r>
                              <w:rPr>
                                <w:i/>
                              </w:rPr>
                              <w:t>Definition of 'senior manager'</w:t>
                            </w:r>
                            <w:r w:rsidRPr="002A4BF7">
                              <w:rPr>
                                <w:i/>
                              </w:rPr>
                              <w:t>—</w:t>
                            </w:r>
                            <w:r>
                              <w:rPr>
                                <w:i/>
                              </w:rPr>
                              <w:t>modification</w:t>
                            </w:r>
                            <w:r>
                              <w:t xml:space="preserve"> by providing relief to ensure that</w:t>
                            </w:r>
                            <w:r w:rsidRPr="004063D0">
                              <w:rPr>
                                <w:szCs w:val="24"/>
                              </w:rPr>
                              <w:t xml:space="preserve"> certain disclosure exceptions are available when securities are offered, recommended, issued or sold to a director or secretary of a body</w:t>
                            </w:r>
                          </w:p>
                          <w:p w:rsidR="00FF28CE" w:rsidRDefault="001A42ED" w:rsidP="000076D6">
                            <w:pPr>
                              <w:spacing w:before="120" w:after="120"/>
                            </w:pPr>
                            <w:r>
                              <w:rPr>
                                <w:spacing w:val="-1"/>
                              </w:rPr>
                              <w:t xml:space="preserve">The purpose of </w:t>
                            </w:r>
                            <w:r>
                              <w:rPr>
                                <w:spacing w:val="-1"/>
                              </w:rPr>
                              <w:t>ASIC Corporations (Repeal) Instrument 2017/738</w:t>
                            </w:r>
                            <w:r>
                              <w:rPr>
                                <w:spacing w:val="-1"/>
                              </w:rPr>
                              <w:t xml:space="preserve"> is to repeal </w:t>
                            </w:r>
                            <w:r>
                              <w:t xml:space="preserve">ASIC Class Order [CO 04/899] </w:t>
                            </w:r>
                            <w:r>
                              <w:rPr>
                                <w:i/>
                              </w:rPr>
                              <w:t>Definition of 'senior manager'</w:t>
                            </w:r>
                            <w:r w:rsidRPr="002A4BF7">
                              <w:rPr>
                                <w:i/>
                              </w:rPr>
                              <w:t>—</w:t>
                            </w:r>
                            <w:r>
                              <w:rPr>
                                <w:i/>
                              </w:rPr>
                              <w:t>modification</w:t>
                            </w:r>
                            <w:r>
                              <w:rPr>
                                <w:i/>
                              </w:rPr>
                              <w:t>.</w:t>
                            </w:r>
                          </w:p>
                          <w:p w:rsidR="001A42ED" w:rsidRPr="00883DB6" w:rsidRDefault="001A42ED" w:rsidP="000076D6">
                            <w:pPr>
                              <w:spacing w:before="120" w:after="120"/>
                            </w:pPr>
                          </w:p>
                          <w:p w:rsidR="00FF28CE" w:rsidRPr="00247F54" w:rsidRDefault="00FF28CE" w:rsidP="000076D6">
                            <w:pPr>
                              <w:spacing w:before="120" w:after="120"/>
                              <w:rPr>
                                <w:b/>
                              </w:rPr>
                            </w:pPr>
                            <w:r w:rsidRPr="00247F54">
                              <w:rPr>
                                <w:b/>
                              </w:rPr>
                              <w:t>Human rights implications</w:t>
                            </w:r>
                          </w:p>
                          <w:p w:rsidR="00FF28CE" w:rsidRPr="00247F54" w:rsidRDefault="001A42ED" w:rsidP="000076D6">
                            <w:pPr>
                              <w:spacing w:before="120" w:after="120"/>
                            </w:pPr>
                            <w:r>
                              <w:t>These</w:t>
                            </w:r>
                            <w:r w:rsidR="00FF28CE" w:rsidRPr="00247F54">
                              <w:t xml:space="preserve"> </w:t>
                            </w:r>
                            <w:r w:rsidR="00FF28CE">
                              <w:t>l</w:t>
                            </w:r>
                            <w:r w:rsidR="00FF28CE" w:rsidRPr="00247F54">
                              <w:t xml:space="preserve">egislative </w:t>
                            </w:r>
                            <w:r w:rsidR="00FF28CE">
                              <w:t>i</w:t>
                            </w:r>
                            <w:r w:rsidR="00FF28CE" w:rsidRPr="00247F54">
                              <w:t>nstrument</w:t>
                            </w:r>
                            <w:r>
                              <w:t>s do</w:t>
                            </w:r>
                            <w:r w:rsidR="00FF28CE" w:rsidRPr="00247F54">
                              <w:t xml:space="preserve"> not engage any of the applicable rights or freedoms.</w:t>
                            </w:r>
                          </w:p>
                          <w:p w:rsidR="00FF28CE" w:rsidRPr="00247F54" w:rsidRDefault="00FF28CE" w:rsidP="000076D6">
                            <w:pPr>
                              <w:spacing w:before="120" w:after="120"/>
                            </w:pPr>
                          </w:p>
                          <w:p w:rsidR="00FF28CE" w:rsidRPr="00247F54" w:rsidRDefault="00FF28CE" w:rsidP="000076D6">
                            <w:pPr>
                              <w:spacing w:before="120" w:after="120"/>
                              <w:rPr>
                                <w:b/>
                              </w:rPr>
                            </w:pPr>
                            <w:r w:rsidRPr="00247F54">
                              <w:rPr>
                                <w:b/>
                              </w:rPr>
                              <w:t>Conclusion</w:t>
                            </w:r>
                          </w:p>
                          <w:p w:rsidR="00FF28CE" w:rsidRPr="00247F54" w:rsidRDefault="001A42ED" w:rsidP="000076D6">
                            <w:pPr>
                              <w:spacing w:before="120" w:after="120"/>
                            </w:pPr>
                            <w:r>
                              <w:t>These</w:t>
                            </w:r>
                            <w:r w:rsidR="00FF28CE" w:rsidRPr="00247F54">
                              <w:t xml:space="preserve"> </w:t>
                            </w:r>
                            <w:r w:rsidR="00FF28CE">
                              <w:t>l</w:t>
                            </w:r>
                            <w:r w:rsidR="00FF28CE" w:rsidRPr="00247F54">
                              <w:t xml:space="preserve">egislative </w:t>
                            </w:r>
                            <w:r w:rsidR="00FF28CE">
                              <w:t>i</w:t>
                            </w:r>
                            <w:r w:rsidR="00FF28CE" w:rsidRPr="00247F54">
                              <w:t>nstrument</w:t>
                            </w:r>
                            <w:r>
                              <w:t>s are</w:t>
                            </w:r>
                            <w:r w:rsidR="00FF28CE" w:rsidRPr="00247F54">
                              <w:t xml:space="preserve"> compatible with human rights as </w:t>
                            </w:r>
                            <w:r>
                              <w:t>they do</w:t>
                            </w:r>
                            <w:r w:rsidR="00FF28CE" w:rsidRPr="00247F54">
                              <w:t xml:space="preserve"> not raise any human rights issues.</w:t>
                            </w:r>
                          </w:p>
                          <w:p w:rsidR="00FF28CE" w:rsidRPr="00E4135E" w:rsidRDefault="00FF28CE" w:rsidP="000076D6">
                            <w:pPr>
                              <w:spacing w:before="120" w:after="120"/>
                              <w:jc w:val="center"/>
                            </w:pPr>
                          </w:p>
                          <w:p w:rsidR="00FF28CE" w:rsidRPr="00E4135E" w:rsidRDefault="00FF28CE"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9pt;width:418.2pt;height:5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" strokeweight="6pt">
                <v:stroke linestyle="thickBetweenThin"/>
                <v:textbox inset="5mm,,5mm">
                  <w:txbxContent>
                    <w:p w:rsidR="00FF28CE" w:rsidRPr="00834797" w:rsidRDefault="00FF28CE" w:rsidP="000076D6">
                      <w:pPr>
                        <w:spacing w:before="360" w:after="120"/>
                        <w:jc w:val="center"/>
                        <w:rPr>
                          <w:b/>
                        </w:rPr>
                      </w:pPr>
                      <w:r w:rsidRPr="00834797">
                        <w:rPr>
                          <w:b/>
                        </w:rPr>
                        <w:t>Statement of Compatibility with Human Rights</w:t>
                      </w:r>
                    </w:p>
                    <w:p w:rsidR="00FF28CE" w:rsidRPr="00247F54" w:rsidRDefault="00FF28CE" w:rsidP="000076D6">
                      <w:pPr>
                        <w:spacing w:before="120" w:after="120"/>
                        <w:jc w:val="center"/>
                      </w:pPr>
                      <w:r w:rsidRPr="00247F54">
                        <w:rPr>
                          <w:i/>
                        </w:rPr>
                        <w:t>Prepared in accordance with Part 3 of the Human Rights (Parliamentary Scrutiny) Act 2011</w:t>
                      </w:r>
                    </w:p>
                    <w:p w:rsidR="00FF28CE" w:rsidRPr="00247F54" w:rsidRDefault="00FF28CE" w:rsidP="000076D6">
                      <w:pPr>
                        <w:spacing w:before="120" w:after="120"/>
                        <w:jc w:val="center"/>
                      </w:pPr>
                    </w:p>
                    <w:p w:rsidR="00FF28CE" w:rsidRDefault="00FF28CE" w:rsidP="001423BA">
                      <w:pPr>
                        <w:spacing w:before="120" w:after="120"/>
                        <w:jc w:val="center"/>
                        <w:rPr>
                          <w:b/>
                        </w:rPr>
                      </w:pPr>
                      <w:r w:rsidRPr="001423BA">
                        <w:rPr>
                          <w:b/>
                        </w:rPr>
                        <w:t>ASIC Corporations (Disclosure Relief—Offers to Associates) Instrument 2017/737</w:t>
                      </w:r>
                    </w:p>
                    <w:p w:rsidR="001A42ED" w:rsidRPr="001A42ED" w:rsidRDefault="001A42ED" w:rsidP="001423BA">
                      <w:pPr>
                        <w:spacing w:before="120" w:after="120"/>
                        <w:jc w:val="center"/>
                        <w:rPr>
                          <w:b/>
                        </w:rPr>
                      </w:pPr>
                      <w:r w:rsidRPr="001A42ED">
                        <w:rPr>
                          <w:b/>
                          <w:spacing w:val="-1"/>
                        </w:rPr>
                        <w:t>ASIC Corporations (Repeal) Instrument 2017/738</w:t>
                      </w:r>
                    </w:p>
                    <w:p w:rsidR="00FF28CE" w:rsidRPr="00247F54" w:rsidRDefault="00FF28CE" w:rsidP="000076D6">
                      <w:pPr>
                        <w:spacing w:before="120" w:after="120"/>
                        <w:jc w:val="center"/>
                      </w:pPr>
                    </w:p>
                    <w:p w:rsidR="00FF28CE" w:rsidRDefault="00FF28CE" w:rsidP="007535E2">
                      <w:pPr>
                        <w:spacing w:before="120" w:after="120"/>
                        <w:jc w:val="center"/>
                      </w:pPr>
                      <w:r w:rsidRPr="001423BA">
                        <w:t xml:space="preserve">ASIC Corporations (Disclosure Relief—Offers to </w:t>
                      </w:r>
                      <w:r>
                        <w:t xml:space="preserve">Associates) Instrument 2017/737 </w:t>
                      </w:r>
                      <w:r w:rsidR="001A42ED">
                        <w:t xml:space="preserve">and </w:t>
                      </w:r>
                      <w:r w:rsidR="001A42ED">
                        <w:rPr>
                          <w:spacing w:val="-1"/>
                        </w:rPr>
                        <w:t>ASIC Corporations (Repeal) Instrument 2017/738</w:t>
                      </w:r>
                      <w:r w:rsidR="001A42ED">
                        <w:rPr>
                          <w:spacing w:val="-1"/>
                        </w:rPr>
                        <w:t xml:space="preserve"> </w:t>
                      </w:r>
                      <w:r w:rsidR="001A42ED">
                        <w:t>are</w:t>
                      </w:r>
                      <w:r w:rsidRPr="00247F54">
                        <w:t xml:space="preserve"> compatible with the human rights and freedoms recognised or declared in the international instruments listed in section 3 of the </w:t>
                      </w:r>
                      <w:r w:rsidRPr="00247F54">
                        <w:rPr>
                          <w:i/>
                        </w:rPr>
                        <w:t>Human Rights (Parliamentary Scrutiny) Act 2011</w:t>
                      </w:r>
                      <w:r>
                        <w:t>.</w:t>
                      </w:r>
                    </w:p>
                    <w:p w:rsidR="00FF28CE" w:rsidRPr="00247F54" w:rsidRDefault="00FF28CE" w:rsidP="007535E2">
                      <w:pPr>
                        <w:spacing w:before="120" w:after="120"/>
                        <w:jc w:val="center"/>
                      </w:pPr>
                    </w:p>
                    <w:p w:rsidR="00FF28CE" w:rsidRPr="00247F54" w:rsidRDefault="00FF28CE" w:rsidP="000076D6">
                      <w:pPr>
                        <w:spacing w:before="120" w:after="120"/>
                        <w:jc w:val="both"/>
                        <w:rPr>
                          <w:b/>
                        </w:rPr>
                      </w:pPr>
                      <w:r w:rsidRPr="00247F54">
                        <w:rPr>
                          <w:b/>
                        </w:rPr>
                        <w:t>Overview</w:t>
                      </w:r>
                    </w:p>
                    <w:p w:rsidR="00FF28CE" w:rsidRDefault="00FF28CE" w:rsidP="000076D6">
                      <w:pPr>
                        <w:spacing w:before="120" w:after="120"/>
                        <w:rPr>
                          <w:szCs w:val="24"/>
                        </w:rPr>
                      </w:pPr>
                      <w:r w:rsidRPr="001423BA">
                        <w:t xml:space="preserve">ASIC Corporations (Disclosure Relief—Offers to </w:t>
                      </w:r>
                      <w:r>
                        <w:t xml:space="preserve">Associates) Instrument 2017/737 continues the effect of ASIC Class Order [CO 04/899] </w:t>
                      </w:r>
                      <w:r>
                        <w:rPr>
                          <w:i/>
                        </w:rPr>
                        <w:t>Definition of 'senior manager'</w:t>
                      </w:r>
                      <w:r w:rsidRPr="002A4BF7">
                        <w:rPr>
                          <w:i/>
                        </w:rPr>
                        <w:t>—</w:t>
                      </w:r>
                      <w:r>
                        <w:rPr>
                          <w:i/>
                        </w:rPr>
                        <w:t>modification</w:t>
                      </w:r>
                      <w:r>
                        <w:t xml:space="preserve"> by providing relief to ensure that</w:t>
                      </w:r>
                      <w:r w:rsidRPr="004063D0">
                        <w:rPr>
                          <w:szCs w:val="24"/>
                        </w:rPr>
                        <w:t xml:space="preserve"> certain disclosure exceptions are available when securities are offered, recommended, issued or sold to a director or secretary of a body</w:t>
                      </w:r>
                    </w:p>
                    <w:p w:rsidR="00FF28CE" w:rsidRDefault="001A42ED" w:rsidP="000076D6">
                      <w:pPr>
                        <w:spacing w:before="120" w:after="120"/>
                      </w:pPr>
                      <w:r>
                        <w:rPr>
                          <w:spacing w:val="-1"/>
                        </w:rPr>
                        <w:t xml:space="preserve">The purpose of </w:t>
                      </w:r>
                      <w:r>
                        <w:rPr>
                          <w:spacing w:val="-1"/>
                        </w:rPr>
                        <w:t>ASIC Corporations (Repeal) Instrument 2017/738</w:t>
                      </w:r>
                      <w:r>
                        <w:rPr>
                          <w:spacing w:val="-1"/>
                        </w:rPr>
                        <w:t xml:space="preserve"> is to repeal </w:t>
                      </w:r>
                      <w:r>
                        <w:t xml:space="preserve">ASIC Class Order [CO 04/899] </w:t>
                      </w:r>
                      <w:r>
                        <w:rPr>
                          <w:i/>
                        </w:rPr>
                        <w:t>Definition of 'senior manager'</w:t>
                      </w:r>
                      <w:r w:rsidRPr="002A4BF7">
                        <w:rPr>
                          <w:i/>
                        </w:rPr>
                        <w:t>—</w:t>
                      </w:r>
                      <w:r>
                        <w:rPr>
                          <w:i/>
                        </w:rPr>
                        <w:t>modification</w:t>
                      </w:r>
                      <w:r>
                        <w:rPr>
                          <w:i/>
                        </w:rPr>
                        <w:t>.</w:t>
                      </w:r>
                    </w:p>
                    <w:p w:rsidR="001A42ED" w:rsidRPr="00883DB6" w:rsidRDefault="001A42ED" w:rsidP="000076D6">
                      <w:pPr>
                        <w:spacing w:before="120" w:after="120"/>
                      </w:pPr>
                    </w:p>
                    <w:p w:rsidR="00FF28CE" w:rsidRPr="00247F54" w:rsidRDefault="00FF28CE" w:rsidP="000076D6">
                      <w:pPr>
                        <w:spacing w:before="120" w:after="120"/>
                        <w:rPr>
                          <w:b/>
                        </w:rPr>
                      </w:pPr>
                      <w:r w:rsidRPr="00247F54">
                        <w:rPr>
                          <w:b/>
                        </w:rPr>
                        <w:t>Human rights implications</w:t>
                      </w:r>
                    </w:p>
                    <w:p w:rsidR="00FF28CE" w:rsidRPr="00247F54" w:rsidRDefault="001A42ED" w:rsidP="000076D6">
                      <w:pPr>
                        <w:spacing w:before="120" w:after="120"/>
                      </w:pPr>
                      <w:r>
                        <w:t>These</w:t>
                      </w:r>
                      <w:r w:rsidR="00FF28CE" w:rsidRPr="00247F54">
                        <w:t xml:space="preserve"> </w:t>
                      </w:r>
                      <w:r w:rsidR="00FF28CE">
                        <w:t>l</w:t>
                      </w:r>
                      <w:r w:rsidR="00FF28CE" w:rsidRPr="00247F54">
                        <w:t xml:space="preserve">egislative </w:t>
                      </w:r>
                      <w:r w:rsidR="00FF28CE">
                        <w:t>i</w:t>
                      </w:r>
                      <w:r w:rsidR="00FF28CE" w:rsidRPr="00247F54">
                        <w:t>nstrument</w:t>
                      </w:r>
                      <w:r>
                        <w:t>s do</w:t>
                      </w:r>
                      <w:r w:rsidR="00FF28CE" w:rsidRPr="00247F54">
                        <w:t xml:space="preserve"> not engage any of the applicable rights or freedoms.</w:t>
                      </w:r>
                    </w:p>
                    <w:p w:rsidR="00FF28CE" w:rsidRPr="00247F54" w:rsidRDefault="00FF28CE" w:rsidP="000076D6">
                      <w:pPr>
                        <w:spacing w:before="120" w:after="120"/>
                      </w:pPr>
                    </w:p>
                    <w:p w:rsidR="00FF28CE" w:rsidRPr="00247F54" w:rsidRDefault="00FF28CE" w:rsidP="000076D6">
                      <w:pPr>
                        <w:spacing w:before="120" w:after="120"/>
                        <w:rPr>
                          <w:b/>
                        </w:rPr>
                      </w:pPr>
                      <w:r w:rsidRPr="00247F54">
                        <w:rPr>
                          <w:b/>
                        </w:rPr>
                        <w:t>Conclusion</w:t>
                      </w:r>
                    </w:p>
                    <w:p w:rsidR="00FF28CE" w:rsidRPr="00247F54" w:rsidRDefault="001A42ED" w:rsidP="000076D6">
                      <w:pPr>
                        <w:spacing w:before="120" w:after="120"/>
                      </w:pPr>
                      <w:r>
                        <w:t>These</w:t>
                      </w:r>
                      <w:r w:rsidR="00FF28CE" w:rsidRPr="00247F54">
                        <w:t xml:space="preserve"> </w:t>
                      </w:r>
                      <w:r w:rsidR="00FF28CE">
                        <w:t>l</w:t>
                      </w:r>
                      <w:r w:rsidR="00FF28CE" w:rsidRPr="00247F54">
                        <w:t xml:space="preserve">egislative </w:t>
                      </w:r>
                      <w:r w:rsidR="00FF28CE">
                        <w:t>i</w:t>
                      </w:r>
                      <w:r w:rsidR="00FF28CE" w:rsidRPr="00247F54">
                        <w:t>nstrument</w:t>
                      </w:r>
                      <w:r>
                        <w:t>s are</w:t>
                      </w:r>
                      <w:r w:rsidR="00FF28CE" w:rsidRPr="00247F54">
                        <w:t xml:space="preserve"> compatible with human rights as </w:t>
                      </w:r>
                      <w:r>
                        <w:t>they do</w:t>
                      </w:r>
                      <w:r w:rsidR="00FF28CE" w:rsidRPr="00247F54">
                        <w:t xml:space="preserve"> not raise any human rights issues.</w:t>
                      </w:r>
                    </w:p>
                    <w:p w:rsidR="00FF28CE" w:rsidRPr="00E4135E" w:rsidRDefault="00FF28CE" w:rsidP="000076D6">
                      <w:pPr>
                        <w:spacing w:before="120" w:after="120"/>
                        <w:jc w:val="center"/>
                      </w:pPr>
                    </w:p>
                    <w:p w:rsidR="00FF28CE" w:rsidRPr="00E4135E" w:rsidRDefault="00FF28CE"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E4D" w:rsidRDefault="00EA1E4D">
      <w:pPr>
        <w:spacing w:after="0"/>
      </w:pPr>
      <w:r>
        <w:separator/>
      </w:r>
    </w:p>
  </w:endnote>
  <w:endnote w:type="continuationSeparator" w:id="0">
    <w:p w:rsidR="00EA1E4D" w:rsidRDefault="00EA1E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CE" w:rsidRDefault="00FF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FF28CE" w:rsidRDefault="00FF28CE">
    <w:pPr>
      <w:pStyle w:val="Footer"/>
      <w:ind w:right="360"/>
    </w:pPr>
  </w:p>
  <w:p w:rsidR="00FF28CE" w:rsidRDefault="00FF28CE"/>
  <w:p w:rsidR="00FF28CE" w:rsidRDefault="00FF28CE"/>
  <w:p w:rsidR="00FF28CE" w:rsidRDefault="00FF28CE"/>
  <w:p w:rsidR="00FF28CE" w:rsidRDefault="00FF28CE"/>
  <w:p w:rsidR="00FF28CE" w:rsidRDefault="00FF28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CE" w:rsidRDefault="00FF28CE" w:rsidP="00142863">
    <w:pPr>
      <w:pStyle w:val="Footer"/>
      <w:tabs>
        <w:tab w:val="clear" w:pos="9070"/>
        <w:tab w:val="left" w:pos="900"/>
      </w:tabs>
      <w:rPr>
        <w:b/>
        <w:color w:val="117DC7"/>
      </w:rPr>
    </w:pPr>
    <w:r>
      <w:rPr>
        <w:noProof/>
        <w:color w:val="117DC7"/>
        <w:sz w:val="20"/>
      </w:rPr>
      <mc:AlternateContent>
        <mc:Choice Requires="wps">
          <w:drawing>
            <wp:anchor distT="0" distB="0" distL="114300" distR="114300" simplePos="0" relativeHeight="251657216" behindDoc="0" locked="1" layoutInCell="1" allowOverlap="1" wp14:anchorId="793CCC22" wp14:editId="2C7035E7">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8CE" w:rsidRPr="008F541E" w:rsidRDefault="00FF28CE" w:rsidP="001149C1">
                          <w:pPr>
                            <w:jc w:val="right"/>
                            <w:rPr>
                              <w:rFonts w:ascii="Arial" w:hAnsi="Arial" w:cs="Arial"/>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FF28CE" w:rsidRPr="008F541E" w:rsidRDefault="00FF28CE" w:rsidP="001149C1">
                    <w:pPr>
                      <w:jc w:val="right"/>
                      <w:rPr>
                        <w:rFonts w:ascii="Arial" w:hAnsi="Arial" w:cs="Arial"/>
                        <w:sz w:val="16"/>
                        <w:szCs w:val="16"/>
                      </w:rPr>
                    </w:pPr>
                  </w:p>
                </w:txbxContent>
              </v:textbox>
              <w10:wrap anchorx="margin"/>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E4D" w:rsidRDefault="00EA1E4D">
      <w:pPr>
        <w:spacing w:after="0"/>
      </w:pPr>
      <w:r>
        <w:separator/>
      </w:r>
    </w:p>
  </w:footnote>
  <w:footnote w:type="continuationSeparator" w:id="0">
    <w:p w:rsidR="00EA1E4D" w:rsidRDefault="00EA1E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CE" w:rsidRDefault="00FF28CE"/>
  <w:p w:rsidR="00FF28CE" w:rsidRDefault="00FF28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8CE" w:rsidRDefault="00FF28CE">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DE4A03"/>
    <w:multiLevelType w:val="hybridMultilevel"/>
    <w:tmpl w:val="27E04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1E43370F"/>
    <w:multiLevelType w:val="hybridMultilevel"/>
    <w:tmpl w:val="E86AE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1">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5">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11"/>
  </w:num>
  <w:num w:numId="4">
    <w:abstractNumId w:val="14"/>
  </w:num>
  <w:num w:numId="5">
    <w:abstractNumId w:val="7"/>
  </w:num>
  <w:num w:numId="6">
    <w:abstractNumId w:val="5"/>
  </w:num>
  <w:num w:numId="7">
    <w:abstractNumId w:val="10"/>
  </w:num>
  <w:num w:numId="8">
    <w:abstractNumId w:val="3"/>
  </w:num>
  <w:num w:numId="9">
    <w:abstractNumId w:val="2"/>
  </w:num>
  <w:num w:numId="10">
    <w:abstractNumId w:val="0"/>
  </w:num>
  <w:num w:numId="11">
    <w:abstractNumId w:val="9"/>
  </w:num>
  <w:num w:numId="12">
    <w:abstractNumId w:val="13"/>
  </w:num>
  <w:num w:numId="13">
    <w:abstractNumId w:val="12"/>
  </w:num>
  <w:num w:numId="14">
    <w:abstractNumId w:val="8"/>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76D6"/>
    <w:rsid w:val="001149C1"/>
    <w:rsid w:val="001423BA"/>
    <w:rsid w:val="00142863"/>
    <w:rsid w:val="001A42ED"/>
    <w:rsid w:val="002819CF"/>
    <w:rsid w:val="002A4BF7"/>
    <w:rsid w:val="002F1023"/>
    <w:rsid w:val="003209CE"/>
    <w:rsid w:val="004063D0"/>
    <w:rsid w:val="004168CE"/>
    <w:rsid w:val="0052389C"/>
    <w:rsid w:val="005B0E3A"/>
    <w:rsid w:val="006F0835"/>
    <w:rsid w:val="00721481"/>
    <w:rsid w:val="007535E2"/>
    <w:rsid w:val="008B6C5E"/>
    <w:rsid w:val="009D0A41"/>
    <w:rsid w:val="00AC02C2"/>
    <w:rsid w:val="00CF7D55"/>
    <w:rsid w:val="00D615B5"/>
    <w:rsid w:val="00EA1E4D"/>
    <w:rsid w:val="00FF2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D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2A4BF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2A4BF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02727">
      <w:bodyDiv w:val="1"/>
      <w:marLeft w:val="0"/>
      <w:marRight w:val="0"/>
      <w:marTop w:val="0"/>
      <w:marBottom w:val="0"/>
      <w:divBdr>
        <w:top w:val="none" w:sz="0" w:space="0" w:color="auto"/>
        <w:left w:val="none" w:sz="0" w:space="0" w:color="auto"/>
        <w:bottom w:val="none" w:sz="0" w:space="0" w:color="auto"/>
        <w:right w:val="none" w:sz="0" w:space="0" w:color="auto"/>
      </w:divBdr>
      <w:divsChild>
        <w:div w:id="1048143019">
          <w:marLeft w:val="0"/>
          <w:marRight w:val="0"/>
          <w:marTop w:val="0"/>
          <w:marBottom w:val="0"/>
          <w:divBdr>
            <w:top w:val="none" w:sz="0" w:space="0" w:color="auto"/>
            <w:left w:val="none" w:sz="0" w:space="0" w:color="auto"/>
            <w:bottom w:val="none" w:sz="0" w:space="0" w:color="auto"/>
            <w:right w:val="none" w:sz="0" w:space="0" w:color="auto"/>
          </w:divBdr>
          <w:divsChild>
            <w:div w:id="2087922923">
              <w:marLeft w:val="0"/>
              <w:marRight w:val="0"/>
              <w:marTop w:val="0"/>
              <w:marBottom w:val="0"/>
              <w:divBdr>
                <w:top w:val="none" w:sz="0" w:space="0" w:color="auto"/>
                <w:left w:val="none" w:sz="0" w:space="0" w:color="auto"/>
                <w:bottom w:val="none" w:sz="0" w:space="0" w:color="auto"/>
                <w:right w:val="none" w:sz="0" w:space="0" w:color="auto"/>
              </w:divBdr>
              <w:divsChild>
                <w:div w:id="1081831088">
                  <w:marLeft w:val="0"/>
                  <w:marRight w:val="0"/>
                  <w:marTop w:val="0"/>
                  <w:marBottom w:val="0"/>
                  <w:divBdr>
                    <w:top w:val="none" w:sz="0" w:space="0" w:color="auto"/>
                    <w:left w:val="none" w:sz="0" w:space="0" w:color="auto"/>
                    <w:bottom w:val="none" w:sz="0" w:space="0" w:color="auto"/>
                    <w:right w:val="none" w:sz="0" w:space="0" w:color="auto"/>
                  </w:divBdr>
                  <w:divsChild>
                    <w:div w:id="1235621901">
                      <w:marLeft w:val="0"/>
                      <w:marRight w:val="0"/>
                      <w:marTop w:val="0"/>
                      <w:marBottom w:val="0"/>
                      <w:divBdr>
                        <w:top w:val="none" w:sz="0" w:space="0" w:color="auto"/>
                        <w:left w:val="none" w:sz="0" w:space="0" w:color="auto"/>
                        <w:bottom w:val="none" w:sz="0" w:space="0" w:color="auto"/>
                        <w:right w:val="none" w:sz="0" w:space="0" w:color="auto"/>
                      </w:divBdr>
                      <w:divsChild>
                        <w:div w:id="944654693">
                          <w:marLeft w:val="0"/>
                          <w:marRight w:val="0"/>
                          <w:marTop w:val="0"/>
                          <w:marBottom w:val="0"/>
                          <w:divBdr>
                            <w:top w:val="none" w:sz="0" w:space="0" w:color="auto"/>
                            <w:left w:val="none" w:sz="0" w:space="0" w:color="auto"/>
                            <w:bottom w:val="none" w:sz="0" w:space="0" w:color="auto"/>
                            <w:right w:val="none" w:sz="0" w:space="0" w:color="auto"/>
                          </w:divBdr>
                          <w:divsChild>
                            <w:div w:id="1053432345">
                              <w:marLeft w:val="0"/>
                              <w:marRight w:val="0"/>
                              <w:marTop w:val="0"/>
                              <w:marBottom w:val="0"/>
                              <w:divBdr>
                                <w:top w:val="none" w:sz="0" w:space="0" w:color="auto"/>
                                <w:left w:val="none" w:sz="0" w:space="0" w:color="auto"/>
                                <w:bottom w:val="none" w:sz="0" w:space="0" w:color="auto"/>
                                <w:right w:val="none" w:sz="0" w:space="0" w:color="auto"/>
                              </w:divBdr>
                              <w:divsChild>
                                <w:div w:id="1224023697">
                                  <w:marLeft w:val="0"/>
                                  <w:marRight w:val="0"/>
                                  <w:marTop w:val="0"/>
                                  <w:marBottom w:val="0"/>
                                  <w:divBdr>
                                    <w:top w:val="none" w:sz="0" w:space="0" w:color="auto"/>
                                    <w:left w:val="none" w:sz="0" w:space="0" w:color="auto"/>
                                    <w:bottom w:val="none" w:sz="0" w:space="0" w:color="auto"/>
                                    <w:right w:val="none" w:sz="0" w:space="0" w:color="auto"/>
                                  </w:divBdr>
                                  <w:divsChild>
                                    <w:div w:id="572088429">
                                      <w:marLeft w:val="0"/>
                                      <w:marRight w:val="0"/>
                                      <w:marTop w:val="0"/>
                                      <w:marBottom w:val="0"/>
                                      <w:divBdr>
                                        <w:top w:val="none" w:sz="0" w:space="0" w:color="auto"/>
                                        <w:left w:val="none" w:sz="0" w:space="0" w:color="auto"/>
                                        <w:bottom w:val="none" w:sz="0" w:space="0" w:color="auto"/>
                                        <w:right w:val="none" w:sz="0" w:space="0" w:color="auto"/>
                                      </w:divBdr>
                                      <w:divsChild>
                                        <w:div w:id="221446145">
                                          <w:marLeft w:val="0"/>
                                          <w:marRight w:val="0"/>
                                          <w:marTop w:val="0"/>
                                          <w:marBottom w:val="0"/>
                                          <w:divBdr>
                                            <w:top w:val="none" w:sz="0" w:space="0" w:color="auto"/>
                                            <w:left w:val="none" w:sz="0" w:space="0" w:color="auto"/>
                                            <w:bottom w:val="none" w:sz="0" w:space="0" w:color="auto"/>
                                            <w:right w:val="none" w:sz="0" w:space="0" w:color="auto"/>
                                          </w:divBdr>
                                          <w:divsChild>
                                            <w:div w:id="1514958255">
                                              <w:marLeft w:val="0"/>
                                              <w:marRight w:val="0"/>
                                              <w:marTop w:val="0"/>
                                              <w:marBottom w:val="0"/>
                                              <w:divBdr>
                                                <w:top w:val="none" w:sz="0" w:space="0" w:color="auto"/>
                                                <w:left w:val="none" w:sz="0" w:space="0" w:color="auto"/>
                                                <w:bottom w:val="none" w:sz="0" w:space="0" w:color="auto"/>
                                                <w:right w:val="none" w:sz="0" w:space="0" w:color="auto"/>
                                              </w:divBdr>
                                              <w:divsChild>
                                                <w:div w:id="1322345525">
                                                  <w:marLeft w:val="0"/>
                                                  <w:marRight w:val="0"/>
                                                  <w:marTop w:val="0"/>
                                                  <w:marBottom w:val="0"/>
                                                  <w:divBdr>
                                                    <w:top w:val="none" w:sz="0" w:space="0" w:color="auto"/>
                                                    <w:left w:val="none" w:sz="0" w:space="0" w:color="auto"/>
                                                    <w:bottom w:val="none" w:sz="0" w:space="0" w:color="auto"/>
                                                    <w:right w:val="none" w:sz="0" w:space="0" w:color="auto"/>
                                                  </w:divBdr>
                                                  <w:divsChild>
                                                    <w:div w:id="311980552">
                                                      <w:marLeft w:val="0"/>
                                                      <w:marRight w:val="0"/>
                                                      <w:marTop w:val="0"/>
                                                      <w:marBottom w:val="0"/>
                                                      <w:divBdr>
                                                        <w:top w:val="none" w:sz="0" w:space="0" w:color="auto"/>
                                                        <w:left w:val="none" w:sz="0" w:space="0" w:color="auto"/>
                                                        <w:bottom w:val="none" w:sz="0" w:space="0" w:color="auto"/>
                                                        <w:right w:val="none" w:sz="0" w:space="0" w:color="auto"/>
                                                      </w:divBdr>
                                                      <w:divsChild>
                                                        <w:div w:id="10631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Mail" ma:contentTypeID="0x010100B5F685A1365F544391EF8C813B164F3A0A0064BE4884857EB443943EF728F916CC6D" ma:contentTypeVersion="26" ma:contentTypeDescription="" ma:contentTypeScope="" ma:versionID="192f1faa56f51079184ff265d42e9101">
  <xsd:schema xmlns:xsd="http://www.w3.org/2001/XMLSchema" xmlns:xs="http://www.w3.org/2001/XMLSchema" xmlns:p="http://schemas.microsoft.com/office/2006/metadata/properties" xmlns:ns2="da7a9ac0-bc47-4684-84e6-3a8e9ac80c12" xmlns:ns3="a6fd680d-2161-48eb-a9ee-9070ec61f910" xmlns:ns4="e396cdcc-f931-4978-844e-80207b53bfb4" xmlns:ns6="http://schemas.microsoft.com/sharepoint/v4" xmlns:ns7="17f478ab-373e-4295-9ff0-9b833ad01319" targetNamespace="http://schemas.microsoft.com/office/2006/metadata/properties" ma:root="true" ma:fieldsID="2e6dd2845e571720b4cfa0682d349d4b" ns2:_="" ns3:_="" ns4:_="" ns6:_="" ns7:_="">
    <xsd:import namespace="da7a9ac0-bc47-4684-84e6-3a8e9ac80c12"/>
    <xsd:import namespace="a6fd680d-2161-48eb-a9ee-9070ec61f910"/>
    <xsd:import namespace="e396cdcc-f931-4978-844e-80207b53bfb4"/>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4:MailReferences" minOccurs="0"/>
                <xsd:element ref="ns4:MailReply-To" minOccurs="0"/>
                <xsd:element ref="ns4:MailSubject" minOccurs="0"/>
                <xsd:element ref="ns4:MailTo" minOccurs="0"/>
                <xsd:element ref="ns4:MailAttachments" minOccurs="0"/>
                <xsd:element ref="ns4:MailCc" minOccurs="0"/>
                <xsd:element ref="ns4:MailDate" minOccurs="0"/>
                <xsd:element ref="ns4:MailFrom" minOccurs="0"/>
                <xsd:element ref="ns4:MailIn-Reply-To" minOccurs="0"/>
                <xsd:element ref="ns4:MailOriginalSubject" minOccurs="0"/>
                <xsd:element ref="ns3:cf8e12e123484f339606504ca2e41be1" minOccurs="0"/>
                <xsd:element ref="ns6:IconOverlay" minOccurs="0"/>
                <xsd:element ref="ns2:NotesLinks" minOccurs="0"/>
                <xsd:element ref="ns7:Reviewers" minOccurs="0"/>
                <xsd:element ref="ns7: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3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d680d-2161-48eb-a9ee-9070ec61f91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89e29b1-8219-4ad0-b1f4-d5bc74b0e20b}" ma:internalName="TaxCatchAll" ma:showField="CatchAllData"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89e29b1-8219-4ad0-b1f4-d5bc74b0e20b}" ma:internalName="TaxCatchAllLabel" ma:readOnly="true" ma:showField="CatchAllDataLabel"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cf8e12e123484f339606504ca2e41be1" ma:index="27" ma:taxonomy="true" ma:internalName="cf8e12e123484f339606504ca2e41be1" ma:taxonomyFieldName="SecurityClassification" ma:displayName="Security Classification" ma:default="1;#Sensitive|19fd2cb8-3e97-4464-ae71-8c2c2095d028" ma:fieldId="{cf8e12e1-2348-4f33-9606-504ca2e41be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96cdcc-f931-4978-844e-80207b53bfb4" elementFormDefault="qualified">
    <xsd:import namespace="http://schemas.microsoft.com/office/2006/documentManagement/types"/>
    <xsd:import namespace="http://schemas.microsoft.com/office/infopath/2007/PartnerControls"/>
    <xsd:element name="MailReferences" ma:index="17" nillable="true" ma:displayName="References" ma:description="The contents of this field identify other correspondence that this message answers." ma:internalName="MailReferences" ma:readOnly="false">
      <xsd:simpleType>
        <xsd:restriction base="dms:Text">
          <xsd:maxLength value="255"/>
        </xsd:restriction>
      </xsd:simpleType>
    </xsd:element>
    <xsd:element name="MailReply-To" ma:index="18" nillable="true" ma:displayName="Reply-To" ma:description="Indicates any mailbox(es) to which responses are to be sent." ma:internalName="MailReply_x002d_To" ma:readOnly="false">
      <xsd:simpleType>
        <xsd:restriction base="dms:Text">
          <xsd:maxLength value="255"/>
        </xsd:restriction>
      </xsd:simpleType>
    </xsd:element>
    <xsd:element name="MailSubject" ma:index="19" nillable="true" ma:displayName="Subject" ma:description="A summary of the message." ma:internalName="MailSubject" ma:readOnly="false">
      <xsd:simpleType>
        <xsd:restriction base="dms:Text">
          <xsd:maxLength value="255"/>
        </xsd:restriction>
      </xsd:simpleType>
    </xsd:element>
    <xsd:element name="MailTo" ma:index="20" nillable="true" ma:displayName="To" ma:description="The identity of the primary recipients of the message." ma:internalName="MailTo" ma:readOnly="false">
      <xsd:simpleType>
        <xsd:restriction base="dms:Note">
          <xsd:maxLength value="255"/>
        </xsd:restriction>
      </xsd:simpleType>
    </xsd:element>
    <xsd:element name="MailAttachments" ma:index="21" nillable="true" ma:displayName="Attachments" ma:default="0" ma:description="Indicates if the e-mail message contains one or more attachments." ma:internalName="MailAttachments" ma:readOnly="false">
      <xsd:simpleType>
        <xsd:restriction base="dms:Boolean">
          <xsd:maxLength value="255"/>
        </xsd:restriction>
      </xsd:simpleType>
    </xsd:element>
    <xsd:element name="MailCc" ma:index="22" nillable="true" ma:displayName="Cc" ma:description="The identity of the secondary recipients of the message." ma:internalName="MailCc" ma:readOnly="false">
      <xsd:simpleType>
        <xsd:restriction base="dms:Note">
          <xsd:maxLength value="255"/>
        </xsd:restriction>
      </xsd:simpleType>
    </xsd:element>
    <xsd:element name="MailDate" ma:index="23" nillable="true" ma:displayName="Date" ma:description="The date and time when the message was sent." ma:format="DateTime" ma:internalName="MailDate" ma:readOnly="false">
      <xsd:simpleType>
        <xsd:restriction base="dms:DateTime"/>
      </xsd:simpleType>
    </xsd:element>
    <xsd:element name="MailFrom" ma:index="24" nillable="true" ma:displayName="From" ma:description="The identity of the person who sent the message." ma:internalName="MailFrom" ma:readOnly="false">
      <xsd:simpleType>
        <xsd:restriction base="dms:Text">
          <xsd:maxLength value="255"/>
        </xsd:restriction>
      </xsd:simpleType>
    </xsd:element>
    <xsd:element name="MailIn-Reply-To" ma:index="25" nillable="true" ma:displayName="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OriginalSubject" ma:index="26" nillable="true" ma:displayName="OriginalSubject" ma:description="A summary of the message." ma:internalName="MailOriginalSub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3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3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94995-057E-499E-A535-07F626D14F9D}">
  <ds:schemaRefs>
    <ds:schemaRef ds:uri="http://schemas.microsoft.com/sharepoint/v3/contenttype/forms"/>
  </ds:schemaRefs>
</ds:datastoreItem>
</file>

<file path=customXml/itemProps2.xml><?xml version="1.0" encoding="utf-8"?>
<ds:datastoreItem xmlns:ds="http://schemas.openxmlformats.org/officeDocument/2006/customXml" ds:itemID="{15184AA3-3D2F-4005-981A-8FB2D9C1A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6fd680d-2161-48eb-a9ee-9070ec61f910"/>
    <ds:schemaRef ds:uri="e396cdcc-f931-4978-844e-80207b53bfb4"/>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0D07B-A17D-4EAC-AEAA-77664334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ashley.brown</cp:lastModifiedBy>
  <cp:revision>9</cp:revision>
  <cp:lastPrinted>2017-08-14T01:42:00Z</cp:lastPrinted>
  <dcterms:created xsi:type="dcterms:W3CDTF">2017-08-13T23:41:00Z</dcterms:created>
  <dcterms:modified xsi:type="dcterms:W3CDTF">2017-08-21T23:28:00Z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0x010100B5F685A1365F544391EF8C813B164F3A0A0064BE4884857EB443943EF728F916CC6D</vt:lpwstr>
  </property>
</Properties>
</file>