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41209" w14:textId="77777777" w:rsidR="00402C1C" w:rsidRPr="00D34BBD" w:rsidRDefault="00DA1022" w:rsidP="00E24770">
      <w:pPr>
        <w:jc w:val="center"/>
        <w:outlineLvl w:val="0"/>
        <w:rPr>
          <w:rFonts w:ascii="Arial" w:hAnsi="Arial" w:cs="Arial"/>
          <w:b/>
          <w:sz w:val="20"/>
          <w:szCs w:val="20"/>
          <w:lang w:val="en-AU"/>
        </w:rPr>
      </w:pPr>
      <w:r w:rsidRPr="00D34BBD">
        <w:rPr>
          <w:rFonts w:ascii="Arial" w:hAnsi="Arial" w:cs="Arial"/>
          <w:b/>
          <w:sz w:val="20"/>
          <w:szCs w:val="20"/>
          <w:lang w:val="en-AU"/>
        </w:rPr>
        <w:t xml:space="preserve">EXPLANATORY </w:t>
      </w:r>
      <w:r w:rsidR="003541E8" w:rsidRPr="00D34BBD">
        <w:rPr>
          <w:rFonts w:ascii="Arial" w:hAnsi="Arial" w:cs="Arial"/>
          <w:b/>
          <w:sz w:val="20"/>
          <w:szCs w:val="20"/>
          <w:lang w:val="en-AU"/>
        </w:rPr>
        <w:t>STATEMENT</w:t>
      </w:r>
    </w:p>
    <w:p w14:paraId="05F4A07D" w14:textId="77777777" w:rsidR="007424D8" w:rsidRPr="00D34BBD" w:rsidRDefault="007424D8" w:rsidP="00E24770">
      <w:pPr>
        <w:jc w:val="center"/>
        <w:rPr>
          <w:rFonts w:ascii="Arial" w:hAnsi="Arial" w:cs="Arial"/>
          <w:i/>
          <w:sz w:val="20"/>
          <w:szCs w:val="20"/>
          <w:lang w:val="en-AU"/>
        </w:rPr>
      </w:pPr>
    </w:p>
    <w:p w14:paraId="14BD9E40" w14:textId="6D2F7327" w:rsidR="001A730C" w:rsidRPr="00D34BBD" w:rsidRDefault="0002032D" w:rsidP="00E24770">
      <w:pPr>
        <w:jc w:val="center"/>
        <w:outlineLvl w:val="0"/>
        <w:rPr>
          <w:rFonts w:ascii="Arial" w:hAnsi="Arial" w:cs="Arial"/>
          <w:sz w:val="20"/>
          <w:szCs w:val="20"/>
          <w:lang w:val="en-AU"/>
        </w:rPr>
      </w:pPr>
      <w:r>
        <w:rPr>
          <w:rFonts w:ascii="Arial" w:hAnsi="Arial" w:cs="Arial"/>
          <w:sz w:val="20"/>
          <w:szCs w:val="20"/>
          <w:lang w:val="en-AU"/>
        </w:rPr>
        <w:t>Approved</w:t>
      </w:r>
      <w:r w:rsidRPr="00D34BBD">
        <w:rPr>
          <w:rFonts w:ascii="Arial" w:hAnsi="Arial" w:cs="Arial"/>
          <w:sz w:val="20"/>
          <w:szCs w:val="20"/>
          <w:lang w:val="en-AU"/>
        </w:rPr>
        <w:t xml:space="preserve"> </w:t>
      </w:r>
      <w:r w:rsidR="001A730C" w:rsidRPr="00D34BBD">
        <w:rPr>
          <w:rFonts w:ascii="Arial" w:hAnsi="Arial" w:cs="Arial"/>
          <w:sz w:val="20"/>
          <w:szCs w:val="20"/>
          <w:lang w:val="en-AU"/>
        </w:rPr>
        <w:t>by the Australian Communications and Media Authority</w:t>
      </w:r>
    </w:p>
    <w:p w14:paraId="496CB1A0" w14:textId="77777777" w:rsidR="001A730C" w:rsidRPr="00D34BBD" w:rsidRDefault="001A730C" w:rsidP="00E24770">
      <w:pPr>
        <w:jc w:val="center"/>
        <w:rPr>
          <w:rFonts w:ascii="Arial" w:hAnsi="Arial" w:cs="Arial"/>
          <w:i/>
          <w:sz w:val="20"/>
          <w:szCs w:val="20"/>
          <w:lang w:val="en-AU"/>
        </w:rPr>
      </w:pPr>
    </w:p>
    <w:p w14:paraId="69E71FB0" w14:textId="77777777" w:rsidR="00B44C66" w:rsidRPr="00D34BBD" w:rsidRDefault="00B44C66" w:rsidP="00B44C66">
      <w:pPr>
        <w:spacing w:after="120"/>
        <w:jc w:val="center"/>
        <w:outlineLvl w:val="0"/>
        <w:rPr>
          <w:rFonts w:ascii="Arial" w:hAnsi="Arial" w:cs="Arial"/>
          <w:i/>
          <w:sz w:val="20"/>
          <w:szCs w:val="20"/>
          <w:lang w:val="en-AU"/>
        </w:rPr>
      </w:pPr>
      <w:r w:rsidRPr="00D34BBD">
        <w:rPr>
          <w:rFonts w:ascii="Arial" w:hAnsi="Arial" w:cs="Arial"/>
          <w:i/>
          <w:sz w:val="20"/>
          <w:szCs w:val="20"/>
          <w:lang w:val="en-AU"/>
        </w:rPr>
        <w:t>Radiocommunications Act 1992</w:t>
      </w:r>
    </w:p>
    <w:p w14:paraId="62B79799" w14:textId="77777777" w:rsidR="00DA1022" w:rsidRPr="00801CC7" w:rsidRDefault="00604166" w:rsidP="00E24770">
      <w:pPr>
        <w:jc w:val="center"/>
        <w:outlineLvl w:val="0"/>
        <w:rPr>
          <w:rFonts w:ascii="Arial" w:hAnsi="Arial" w:cs="Arial"/>
          <w:b/>
          <w:i/>
          <w:sz w:val="20"/>
          <w:szCs w:val="20"/>
          <w:lang w:val="en-AU"/>
        </w:rPr>
      </w:pPr>
      <w:r w:rsidRPr="00801CC7">
        <w:rPr>
          <w:rFonts w:ascii="Arial" w:hAnsi="Arial" w:cs="Arial"/>
          <w:b/>
          <w:i/>
          <w:sz w:val="20"/>
          <w:szCs w:val="20"/>
          <w:lang w:val="en-AU"/>
        </w:rPr>
        <w:t>Radiocommunications (Unacceptable Levels of Interference — 2 GHz Band) Determination Variation 2017 (No. 1)</w:t>
      </w:r>
    </w:p>
    <w:p w14:paraId="383FC1AB" w14:textId="77777777" w:rsidR="00AF616A" w:rsidRPr="00D34BBD" w:rsidRDefault="00AF616A" w:rsidP="00E24770">
      <w:pPr>
        <w:jc w:val="center"/>
        <w:rPr>
          <w:rFonts w:ascii="Arial" w:hAnsi="Arial" w:cs="Arial"/>
          <w:sz w:val="20"/>
          <w:szCs w:val="20"/>
          <w:lang w:val="en-AU"/>
        </w:rPr>
      </w:pPr>
    </w:p>
    <w:p w14:paraId="65FB4C13" w14:textId="77777777" w:rsidR="0002032D" w:rsidRDefault="0002032D" w:rsidP="000C4658">
      <w:pPr>
        <w:spacing w:before="80" w:after="240"/>
        <w:jc w:val="both"/>
        <w:outlineLvl w:val="0"/>
        <w:rPr>
          <w:rFonts w:ascii="Arial" w:hAnsi="Arial" w:cs="Arial"/>
          <w:b/>
          <w:sz w:val="20"/>
          <w:szCs w:val="20"/>
          <w:lang w:val="en-AU"/>
        </w:rPr>
      </w:pPr>
      <w:r>
        <w:rPr>
          <w:rFonts w:ascii="Arial" w:hAnsi="Arial" w:cs="Arial"/>
          <w:b/>
          <w:sz w:val="20"/>
          <w:szCs w:val="20"/>
          <w:lang w:val="en-AU"/>
        </w:rPr>
        <w:t>Authority</w:t>
      </w:r>
    </w:p>
    <w:p w14:paraId="74A26C43" w14:textId="768BD5C7" w:rsidR="0002032D" w:rsidRPr="00801CC7" w:rsidRDefault="0002032D" w:rsidP="0002032D">
      <w:pPr>
        <w:spacing w:before="80" w:after="240"/>
        <w:jc w:val="both"/>
        <w:outlineLvl w:val="0"/>
        <w:rPr>
          <w:rFonts w:ascii="Arial" w:hAnsi="Arial" w:cs="Arial"/>
          <w:sz w:val="20"/>
          <w:szCs w:val="20"/>
          <w:lang w:val="en-AU"/>
        </w:rPr>
      </w:pPr>
      <w:r>
        <w:rPr>
          <w:rFonts w:ascii="Arial" w:hAnsi="Arial" w:cs="Arial"/>
          <w:sz w:val="20"/>
          <w:szCs w:val="20"/>
          <w:lang w:val="en-AU"/>
        </w:rPr>
        <w:t>The Australian Communications and Media Authority (</w:t>
      </w:r>
      <w:r>
        <w:rPr>
          <w:rFonts w:ascii="Arial" w:hAnsi="Arial" w:cs="Arial"/>
          <w:b/>
          <w:sz w:val="20"/>
          <w:szCs w:val="20"/>
          <w:lang w:val="en-AU"/>
        </w:rPr>
        <w:t>the ACMA)</w:t>
      </w:r>
      <w:r>
        <w:rPr>
          <w:rFonts w:ascii="Arial" w:hAnsi="Arial" w:cs="Arial"/>
          <w:sz w:val="20"/>
          <w:szCs w:val="20"/>
          <w:lang w:val="en-AU"/>
        </w:rPr>
        <w:t xml:space="preserve"> has made </w:t>
      </w:r>
      <w:r w:rsidRPr="00761597">
        <w:rPr>
          <w:rFonts w:ascii="Arial" w:hAnsi="Arial" w:cs="Arial"/>
          <w:sz w:val="20"/>
          <w:szCs w:val="20"/>
          <w:lang w:val="en-AU"/>
        </w:rPr>
        <w:t xml:space="preserve">the </w:t>
      </w:r>
      <w:r w:rsidRPr="00604166">
        <w:rPr>
          <w:rFonts w:ascii="Arial" w:hAnsi="Arial" w:cs="Arial"/>
          <w:i/>
          <w:sz w:val="20"/>
          <w:szCs w:val="20"/>
          <w:lang w:val="en-AU"/>
        </w:rPr>
        <w:t xml:space="preserve">Radiocommunications (Unacceptable Levels of Interference — 2 GHz Band) Determination Variation 2017 (No. </w:t>
      </w:r>
      <w:r>
        <w:rPr>
          <w:rFonts w:ascii="Arial" w:hAnsi="Arial" w:cs="Arial"/>
          <w:i/>
          <w:sz w:val="20"/>
          <w:szCs w:val="20"/>
          <w:lang w:val="en-AU"/>
        </w:rPr>
        <w:t>1</w:t>
      </w:r>
      <w:r w:rsidRPr="00604166">
        <w:rPr>
          <w:rFonts w:ascii="Arial" w:hAnsi="Arial" w:cs="Arial"/>
          <w:i/>
          <w:sz w:val="20"/>
          <w:szCs w:val="20"/>
          <w:lang w:val="en-AU"/>
        </w:rPr>
        <w:t>)</w:t>
      </w:r>
      <w:r w:rsidRPr="00604166" w:rsidDel="00604166">
        <w:rPr>
          <w:rFonts w:ascii="Arial" w:hAnsi="Arial" w:cs="Arial"/>
          <w:i/>
          <w:sz w:val="20"/>
          <w:szCs w:val="20"/>
          <w:lang w:val="en-AU"/>
        </w:rPr>
        <w:t xml:space="preserve"> </w:t>
      </w:r>
      <w:r w:rsidRPr="00761597">
        <w:rPr>
          <w:rFonts w:ascii="Arial" w:hAnsi="Arial" w:cs="Arial"/>
          <w:sz w:val="20"/>
          <w:szCs w:val="20"/>
          <w:lang w:val="en-AU"/>
        </w:rPr>
        <w:t>(</w:t>
      </w:r>
      <w:r w:rsidRPr="00761597">
        <w:rPr>
          <w:rFonts w:ascii="Arial" w:hAnsi="Arial" w:cs="Arial"/>
          <w:b/>
          <w:sz w:val="20"/>
          <w:szCs w:val="20"/>
          <w:lang w:val="en-AU"/>
        </w:rPr>
        <w:t>the Variation Instrument</w:t>
      </w:r>
      <w:r w:rsidRPr="00761597">
        <w:rPr>
          <w:rFonts w:ascii="Arial" w:hAnsi="Arial" w:cs="Arial"/>
          <w:sz w:val="20"/>
          <w:szCs w:val="20"/>
          <w:lang w:val="en-AU"/>
        </w:rPr>
        <w:t>)</w:t>
      </w:r>
      <w:r>
        <w:rPr>
          <w:rFonts w:ascii="Arial" w:hAnsi="Arial" w:cs="Arial"/>
          <w:sz w:val="20"/>
          <w:szCs w:val="20"/>
          <w:lang w:val="en-AU"/>
        </w:rPr>
        <w:t xml:space="preserve"> under subsection 145(4) of the </w:t>
      </w:r>
      <w:r w:rsidRPr="0002032D">
        <w:rPr>
          <w:rFonts w:ascii="Arial" w:hAnsi="Arial" w:cs="Arial"/>
          <w:i/>
          <w:sz w:val="20"/>
          <w:szCs w:val="20"/>
          <w:lang w:val="en-AU"/>
        </w:rPr>
        <w:t>Radiocommunications Act 1992</w:t>
      </w:r>
      <w:r>
        <w:rPr>
          <w:rFonts w:ascii="Arial" w:hAnsi="Arial" w:cs="Arial"/>
          <w:sz w:val="20"/>
          <w:szCs w:val="20"/>
          <w:lang w:val="en-AU"/>
        </w:rPr>
        <w:t xml:space="preserve"> (</w:t>
      </w:r>
      <w:r>
        <w:rPr>
          <w:rFonts w:ascii="Arial" w:hAnsi="Arial" w:cs="Arial"/>
          <w:b/>
          <w:sz w:val="20"/>
          <w:szCs w:val="20"/>
          <w:lang w:val="en-AU"/>
        </w:rPr>
        <w:t>the Act</w:t>
      </w:r>
      <w:r>
        <w:rPr>
          <w:rFonts w:ascii="Arial" w:hAnsi="Arial" w:cs="Arial"/>
          <w:sz w:val="20"/>
          <w:szCs w:val="20"/>
          <w:lang w:val="en-AU"/>
        </w:rPr>
        <w:t>).</w:t>
      </w:r>
    </w:p>
    <w:p w14:paraId="16203935" w14:textId="65D4E16D" w:rsidR="0002032D" w:rsidRPr="00761597" w:rsidRDefault="0002032D" w:rsidP="0002032D">
      <w:pPr>
        <w:jc w:val="both"/>
        <w:outlineLvl w:val="0"/>
        <w:rPr>
          <w:rFonts w:ascii="Arial" w:hAnsi="Arial" w:cs="Arial"/>
          <w:sz w:val="20"/>
          <w:szCs w:val="20"/>
          <w:lang w:val="en-AU"/>
        </w:rPr>
      </w:pPr>
      <w:r w:rsidRPr="00761597">
        <w:rPr>
          <w:rFonts w:ascii="Arial" w:hAnsi="Arial" w:cs="Arial"/>
          <w:sz w:val="20"/>
          <w:szCs w:val="20"/>
          <w:lang w:val="en-AU"/>
        </w:rPr>
        <w:t xml:space="preserve">Subsection 33(3) of </w:t>
      </w:r>
      <w:r w:rsidRPr="00751F8D">
        <w:rPr>
          <w:rFonts w:ascii="Arial" w:hAnsi="Arial" w:cs="Arial"/>
          <w:sz w:val="20"/>
          <w:szCs w:val="20"/>
          <w:lang w:val="en-AU"/>
        </w:rPr>
        <w:t xml:space="preserve">the </w:t>
      </w:r>
      <w:r>
        <w:rPr>
          <w:rFonts w:ascii="Arial" w:hAnsi="Arial" w:cs="Arial"/>
          <w:i/>
          <w:sz w:val="20"/>
          <w:szCs w:val="20"/>
          <w:lang w:val="en-AU"/>
        </w:rPr>
        <w:t>Acts Interpretation</w:t>
      </w:r>
      <w:r w:rsidRPr="00751F8D">
        <w:rPr>
          <w:rFonts w:ascii="Arial" w:hAnsi="Arial" w:cs="Arial"/>
          <w:i/>
          <w:sz w:val="20"/>
          <w:szCs w:val="20"/>
          <w:lang w:val="en-AU"/>
        </w:rPr>
        <w:t xml:space="preserve"> Act </w:t>
      </w:r>
      <w:r>
        <w:rPr>
          <w:rFonts w:ascii="Arial" w:hAnsi="Arial" w:cs="Arial"/>
          <w:i/>
          <w:sz w:val="20"/>
          <w:szCs w:val="20"/>
          <w:lang w:val="en-AU"/>
        </w:rPr>
        <w:t>1901</w:t>
      </w:r>
      <w:r w:rsidRPr="00751F8D">
        <w:rPr>
          <w:rFonts w:ascii="Arial" w:hAnsi="Arial" w:cs="Arial"/>
          <w:i/>
          <w:sz w:val="20"/>
          <w:szCs w:val="20"/>
          <w:lang w:val="en-AU"/>
        </w:rPr>
        <w:t xml:space="preserve"> </w:t>
      </w:r>
      <w:r w:rsidRPr="00751F8D">
        <w:rPr>
          <w:rFonts w:ascii="Arial" w:hAnsi="Arial" w:cs="Arial"/>
          <w:sz w:val="20"/>
          <w:szCs w:val="20"/>
          <w:lang w:val="en-AU"/>
        </w:rPr>
        <w:t>relevantly provides that where an Act confers a power to make a legislative instrument, the power shall be construed</w:t>
      </w:r>
      <w:r w:rsidRPr="00761597">
        <w:rPr>
          <w:rFonts w:ascii="Arial" w:hAnsi="Arial" w:cs="Arial"/>
          <w:sz w:val="20"/>
          <w:szCs w:val="20"/>
          <w:lang w:val="en-AU"/>
        </w:rPr>
        <w:t xml:space="preserve"> as including a power exercisable in the like manner and subject to the like conditions (if any) to repeal, rescind, revoke, amend or vary any such instrument.</w:t>
      </w:r>
    </w:p>
    <w:p w14:paraId="10370848" w14:textId="77777777" w:rsidR="00801CC7" w:rsidRDefault="00801CC7" w:rsidP="000C4658">
      <w:pPr>
        <w:spacing w:before="80" w:after="240"/>
        <w:jc w:val="both"/>
        <w:outlineLvl w:val="0"/>
        <w:rPr>
          <w:rFonts w:ascii="Arial" w:hAnsi="Arial" w:cs="Arial"/>
          <w:b/>
          <w:sz w:val="20"/>
          <w:szCs w:val="20"/>
          <w:lang w:val="en-AU"/>
        </w:rPr>
      </w:pPr>
    </w:p>
    <w:p w14:paraId="47B2DA1D" w14:textId="77777777" w:rsidR="00145956" w:rsidRPr="00D34BBD" w:rsidRDefault="00776FB8" w:rsidP="000C4658">
      <w:pPr>
        <w:spacing w:before="80" w:after="240"/>
        <w:jc w:val="both"/>
        <w:outlineLvl w:val="0"/>
        <w:rPr>
          <w:rFonts w:ascii="Arial" w:hAnsi="Arial" w:cs="Arial"/>
          <w:b/>
          <w:sz w:val="20"/>
          <w:szCs w:val="20"/>
          <w:lang w:val="en-AU"/>
        </w:rPr>
      </w:pPr>
      <w:r w:rsidRPr="00D34BBD">
        <w:rPr>
          <w:rFonts w:ascii="Arial" w:hAnsi="Arial" w:cs="Arial"/>
          <w:b/>
          <w:sz w:val="20"/>
          <w:szCs w:val="20"/>
          <w:lang w:val="en-AU"/>
        </w:rPr>
        <w:t>Purpose</w:t>
      </w:r>
      <w:r w:rsidR="00E73047">
        <w:rPr>
          <w:rFonts w:ascii="Arial" w:hAnsi="Arial" w:cs="Arial"/>
          <w:b/>
          <w:sz w:val="20"/>
          <w:szCs w:val="20"/>
          <w:lang w:val="en-AU"/>
        </w:rPr>
        <w:t xml:space="preserve"> and operation of the instrument</w:t>
      </w:r>
    </w:p>
    <w:p w14:paraId="336663B3" w14:textId="663D03D2" w:rsidR="00604166" w:rsidRPr="00761597" w:rsidRDefault="00604166" w:rsidP="00604166">
      <w:pPr>
        <w:jc w:val="both"/>
        <w:rPr>
          <w:rFonts w:ascii="Arial" w:hAnsi="Arial" w:cs="Arial"/>
          <w:sz w:val="20"/>
          <w:szCs w:val="20"/>
          <w:lang w:val="en-AU"/>
        </w:rPr>
      </w:pPr>
      <w:r w:rsidRPr="00761597">
        <w:rPr>
          <w:rFonts w:ascii="Arial" w:hAnsi="Arial" w:cs="Arial"/>
          <w:sz w:val="20"/>
          <w:szCs w:val="20"/>
          <w:lang w:val="en-AU"/>
        </w:rPr>
        <w:t xml:space="preserve">The purpose of the </w:t>
      </w:r>
      <w:r w:rsidRPr="00801CC7">
        <w:rPr>
          <w:rFonts w:ascii="Arial" w:hAnsi="Arial" w:cs="Arial"/>
          <w:sz w:val="20"/>
          <w:szCs w:val="20"/>
          <w:lang w:val="en-AU"/>
        </w:rPr>
        <w:t>Variation Instrument</w:t>
      </w:r>
      <w:r w:rsidRPr="00761597">
        <w:rPr>
          <w:rFonts w:ascii="Arial" w:hAnsi="Arial" w:cs="Arial"/>
          <w:sz w:val="20"/>
          <w:szCs w:val="20"/>
          <w:lang w:val="en-AU"/>
        </w:rPr>
        <w:t xml:space="preserve"> is to amend the </w:t>
      </w:r>
      <w:r w:rsidRPr="00D34BBD">
        <w:rPr>
          <w:rFonts w:ascii="Arial" w:hAnsi="Arial" w:cs="Arial"/>
          <w:i/>
          <w:sz w:val="20"/>
          <w:szCs w:val="20"/>
          <w:lang w:val="en-AU"/>
        </w:rPr>
        <w:t xml:space="preserve">Radiocommunications (Unacceptable Levels of Interference – 2 GHz Band) Determination 2016 </w:t>
      </w:r>
      <w:r w:rsidRPr="00D34BBD">
        <w:rPr>
          <w:rFonts w:ascii="Arial" w:hAnsi="Arial" w:cs="Arial"/>
          <w:sz w:val="20"/>
          <w:szCs w:val="20"/>
          <w:lang w:val="en-AU"/>
        </w:rPr>
        <w:t>(</w:t>
      </w:r>
      <w:r w:rsidRPr="00BB56E1">
        <w:rPr>
          <w:rFonts w:ascii="Arial" w:hAnsi="Arial" w:cs="Arial"/>
          <w:b/>
          <w:sz w:val="20"/>
          <w:szCs w:val="20"/>
          <w:lang w:val="en-AU"/>
        </w:rPr>
        <w:t>the Determination</w:t>
      </w:r>
      <w:r w:rsidRPr="00D34BBD">
        <w:rPr>
          <w:rFonts w:ascii="Arial" w:hAnsi="Arial" w:cs="Arial"/>
          <w:sz w:val="20"/>
          <w:szCs w:val="20"/>
          <w:lang w:val="en-AU"/>
        </w:rPr>
        <w:t>)</w:t>
      </w:r>
      <w:r>
        <w:rPr>
          <w:rFonts w:ascii="Arial" w:hAnsi="Arial" w:cs="Arial"/>
          <w:sz w:val="20"/>
          <w:szCs w:val="20"/>
          <w:lang w:val="en-AU"/>
        </w:rPr>
        <w:t>.</w:t>
      </w:r>
    </w:p>
    <w:p w14:paraId="7A0BA9B5" w14:textId="77777777" w:rsidR="00604166" w:rsidRDefault="00604166" w:rsidP="00604166">
      <w:pPr>
        <w:jc w:val="both"/>
        <w:rPr>
          <w:rFonts w:ascii="Arial" w:hAnsi="Arial" w:cs="Arial"/>
          <w:sz w:val="20"/>
          <w:szCs w:val="20"/>
          <w:lang w:val="en-AU"/>
        </w:rPr>
      </w:pPr>
    </w:p>
    <w:p w14:paraId="2C7A833C" w14:textId="77777777" w:rsidR="00604166" w:rsidRDefault="00604166" w:rsidP="00604166">
      <w:pPr>
        <w:spacing w:after="120"/>
        <w:jc w:val="both"/>
        <w:rPr>
          <w:rFonts w:ascii="Arial" w:hAnsi="Arial" w:cs="Arial"/>
          <w:sz w:val="20"/>
          <w:szCs w:val="20"/>
          <w:lang w:val="en-AU"/>
        </w:rPr>
      </w:pPr>
      <w:r w:rsidRPr="00761597">
        <w:rPr>
          <w:rFonts w:ascii="Arial" w:hAnsi="Arial" w:cs="Arial"/>
          <w:sz w:val="20"/>
          <w:szCs w:val="20"/>
          <w:lang w:val="en-AU"/>
        </w:rPr>
        <w:t>These amendments are made to</w:t>
      </w:r>
      <w:r>
        <w:rPr>
          <w:rFonts w:ascii="Arial" w:hAnsi="Arial" w:cs="Arial"/>
          <w:sz w:val="20"/>
          <w:szCs w:val="20"/>
          <w:lang w:val="en-AU"/>
        </w:rPr>
        <w:t>:</w:t>
      </w:r>
      <w:r w:rsidRPr="00761597">
        <w:rPr>
          <w:rFonts w:ascii="Arial" w:hAnsi="Arial" w:cs="Arial"/>
          <w:sz w:val="20"/>
          <w:szCs w:val="20"/>
          <w:lang w:val="en-AU"/>
        </w:rPr>
        <w:t xml:space="preserve"> </w:t>
      </w:r>
    </w:p>
    <w:p w14:paraId="73095FA6" w14:textId="4DC87CAF" w:rsidR="00BA4605" w:rsidRDefault="00B44C66" w:rsidP="007513F1">
      <w:pPr>
        <w:numPr>
          <w:ilvl w:val="0"/>
          <w:numId w:val="18"/>
        </w:numPr>
        <w:ind w:left="567" w:hanging="567"/>
        <w:jc w:val="both"/>
        <w:rPr>
          <w:rFonts w:ascii="Arial" w:hAnsi="Arial" w:cs="Arial"/>
          <w:sz w:val="20"/>
          <w:szCs w:val="20"/>
          <w:lang w:val="en-AU"/>
        </w:rPr>
      </w:pPr>
      <w:r>
        <w:rPr>
          <w:rFonts w:ascii="Arial" w:hAnsi="Arial" w:cs="Arial"/>
          <w:sz w:val="20"/>
          <w:szCs w:val="20"/>
          <w:lang w:val="en-AU"/>
        </w:rPr>
        <w:t>u</w:t>
      </w:r>
      <w:r w:rsidR="00604166">
        <w:rPr>
          <w:rFonts w:ascii="Arial" w:hAnsi="Arial" w:cs="Arial"/>
          <w:sz w:val="20"/>
          <w:szCs w:val="20"/>
          <w:lang w:val="en-AU"/>
        </w:rPr>
        <w:t>pdate references</w:t>
      </w:r>
      <w:r w:rsidR="00BA4605">
        <w:rPr>
          <w:rFonts w:ascii="Arial" w:hAnsi="Arial" w:cs="Arial"/>
          <w:sz w:val="20"/>
          <w:szCs w:val="20"/>
          <w:lang w:val="en-AU"/>
        </w:rPr>
        <w:t xml:space="preserve"> from the sunsetting </w:t>
      </w:r>
      <w:r w:rsidR="00BA4605" w:rsidRPr="0005284D">
        <w:rPr>
          <w:rFonts w:ascii="Arial" w:hAnsi="Arial" w:cs="Arial"/>
          <w:i/>
          <w:sz w:val="20"/>
          <w:szCs w:val="20"/>
          <w:lang w:val="en-AU"/>
        </w:rPr>
        <w:t>Radiocommunications (Register of Radiocommunications Licences) Determination 1997</w:t>
      </w:r>
      <w:r w:rsidR="00604166" w:rsidRPr="0005284D">
        <w:rPr>
          <w:rFonts w:ascii="Arial" w:hAnsi="Arial" w:cs="Arial"/>
          <w:i/>
          <w:sz w:val="20"/>
          <w:szCs w:val="20"/>
          <w:lang w:val="en-AU"/>
        </w:rPr>
        <w:t xml:space="preserve"> </w:t>
      </w:r>
      <w:r w:rsidR="0096418E">
        <w:rPr>
          <w:rFonts w:ascii="Arial" w:hAnsi="Arial" w:cs="Arial"/>
          <w:sz w:val="20"/>
          <w:szCs w:val="20"/>
          <w:lang w:val="en-AU"/>
        </w:rPr>
        <w:t>(</w:t>
      </w:r>
      <w:r w:rsidR="0096418E" w:rsidRPr="003D047E">
        <w:rPr>
          <w:rFonts w:ascii="Arial" w:hAnsi="Arial" w:cs="Arial"/>
          <w:b/>
          <w:sz w:val="20"/>
          <w:szCs w:val="20"/>
          <w:lang w:val="en-AU"/>
        </w:rPr>
        <w:t>the RRL Determination</w:t>
      </w:r>
      <w:r w:rsidR="0096418E">
        <w:rPr>
          <w:rFonts w:ascii="Arial" w:hAnsi="Arial" w:cs="Arial"/>
          <w:sz w:val="20"/>
          <w:szCs w:val="20"/>
          <w:lang w:val="en-AU"/>
        </w:rPr>
        <w:t xml:space="preserve">) </w:t>
      </w:r>
      <w:r w:rsidR="00BA4605">
        <w:rPr>
          <w:rFonts w:ascii="Arial" w:hAnsi="Arial" w:cs="Arial"/>
          <w:sz w:val="20"/>
          <w:szCs w:val="20"/>
          <w:lang w:val="en-AU"/>
        </w:rPr>
        <w:t xml:space="preserve">to the corresponding provisions in the new </w:t>
      </w:r>
      <w:r w:rsidR="00BA4605" w:rsidRPr="0005284D">
        <w:rPr>
          <w:rFonts w:ascii="Arial" w:hAnsi="Arial" w:cs="Arial"/>
          <w:i/>
          <w:sz w:val="20"/>
          <w:szCs w:val="20"/>
          <w:lang w:val="en-AU"/>
        </w:rPr>
        <w:t>Radiocommunications (Register of Radiocommunications Licences) Determination 2017</w:t>
      </w:r>
      <w:r w:rsidR="009214D8">
        <w:rPr>
          <w:rFonts w:ascii="Arial" w:hAnsi="Arial" w:cs="Arial"/>
          <w:sz w:val="20"/>
          <w:szCs w:val="20"/>
          <w:lang w:val="en-AU"/>
        </w:rPr>
        <w:t xml:space="preserve"> (</w:t>
      </w:r>
      <w:r w:rsidR="009214D8" w:rsidRPr="003D047E">
        <w:rPr>
          <w:rFonts w:ascii="Arial" w:hAnsi="Arial" w:cs="Arial"/>
          <w:b/>
          <w:sz w:val="20"/>
          <w:szCs w:val="20"/>
          <w:lang w:val="en-AU"/>
        </w:rPr>
        <w:t xml:space="preserve">the remade </w:t>
      </w:r>
      <w:r w:rsidR="003D047E" w:rsidRPr="003D047E">
        <w:rPr>
          <w:rFonts w:ascii="Arial" w:hAnsi="Arial" w:cs="Arial"/>
          <w:b/>
          <w:sz w:val="20"/>
          <w:szCs w:val="20"/>
          <w:lang w:val="en-AU"/>
        </w:rPr>
        <w:t xml:space="preserve">RRL </w:t>
      </w:r>
      <w:r w:rsidR="009214D8" w:rsidRPr="003D047E">
        <w:rPr>
          <w:rFonts w:ascii="Arial" w:hAnsi="Arial" w:cs="Arial"/>
          <w:b/>
          <w:sz w:val="20"/>
          <w:szCs w:val="20"/>
          <w:lang w:val="en-AU"/>
        </w:rPr>
        <w:t>Determination</w:t>
      </w:r>
      <w:r w:rsidR="009214D8">
        <w:rPr>
          <w:rFonts w:ascii="Arial" w:hAnsi="Arial" w:cs="Arial"/>
          <w:sz w:val="20"/>
          <w:szCs w:val="20"/>
          <w:lang w:val="en-AU"/>
        </w:rPr>
        <w:t>)</w:t>
      </w:r>
      <w:r w:rsidR="00BA4605">
        <w:rPr>
          <w:rFonts w:ascii="Arial" w:hAnsi="Arial" w:cs="Arial"/>
          <w:sz w:val="20"/>
          <w:szCs w:val="20"/>
          <w:lang w:val="en-AU"/>
        </w:rPr>
        <w:t>; and</w:t>
      </w:r>
    </w:p>
    <w:p w14:paraId="49A74EC0" w14:textId="1F6426E9" w:rsidR="00A832CB" w:rsidRDefault="00B44C66" w:rsidP="00A832CB">
      <w:pPr>
        <w:numPr>
          <w:ilvl w:val="0"/>
          <w:numId w:val="18"/>
        </w:numPr>
        <w:ind w:left="567" w:hanging="567"/>
        <w:jc w:val="both"/>
        <w:rPr>
          <w:rFonts w:ascii="Arial" w:hAnsi="Arial" w:cs="Arial"/>
          <w:sz w:val="20"/>
          <w:szCs w:val="20"/>
          <w:lang w:val="en-AU"/>
        </w:rPr>
      </w:pPr>
      <w:proofErr w:type="gramStart"/>
      <w:r>
        <w:rPr>
          <w:rFonts w:ascii="Arial" w:hAnsi="Arial" w:cs="Arial"/>
          <w:sz w:val="20"/>
          <w:szCs w:val="20"/>
          <w:lang w:val="en-AU"/>
        </w:rPr>
        <w:t>r</w:t>
      </w:r>
      <w:r w:rsidR="00BA4605" w:rsidRPr="00BA4605">
        <w:rPr>
          <w:rFonts w:ascii="Arial" w:hAnsi="Arial" w:cs="Arial"/>
          <w:sz w:val="20"/>
          <w:szCs w:val="20"/>
          <w:lang w:val="en-AU"/>
        </w:rPr>
        <w:t>emove</w:t>
      </w:r>
      <w:proofErr w:type="gramEnd"/>
      <w:r w:rsidR="00BA4605" w:rsidRPr="00BA4605">
        <w:rPr>
          <w:rFonts w:ascii="Arial" w:hAnsi="Arial" w:cs="Arial"/>
          <w:sz w:val="20"/>
          <w:szCs w:val="20"/>
          <w:lang w:val="en-AU"/>
        </w:rPr>
        <w:t xml:space="preserve"> the requirement for transmitters, operating under a spectrum licence in the 1920–1930 MHz and 2110–2120 MHz frequency ranges, to meet the device boundary criteria in the area defined by the excised MW4H6 HCIS identifier.</w:t>
      </w:r>
      <w:r w:rsidR="00604166" w:rsidRPr="00604166">
        <w:rPr>
          <w:rFonts w:ascii="Arial" w:hAnsi="Arial" w:cs="Arial"/>
          <w:sz w:val="20"/>
          <w:szCs w:val="20"/>
          <w:lang w:val="en-AU"/>
        </w:rPr>
        <w:t xml:space="preserve"> </w:t>
      </w:r>
    </w:p>
    <w:p w14:paraId="328507DF" w14:textId="77777777" w:rsidR="00A832CB" w:rsidRDefault="00A832CB" w:rsidP="00A832CB">
      <w:pPr>
        <w:jc w:val="both"/>
        <w:rPr>
          <w:rFonts w:ascii="Arial" w:hAnsi="Arial" w:cs="Arial"/>
          <w:sz w:val="20"/>
          <w:szCs w:val="20"/>
          <w:lang w:val="en-AU"/>
        </w:rPr>
      </w:pPr>
    </w:p>
    <w:p w14:paraId="734FC8C0" w14:textId="7EC5E280" w:rsidR="00551BA3" w:rsidRDefault="00551BA3" w:rsidP="00551BA3">
      <w:pPr>
        <w:pStyle w:val="ACMABodyText"/>
        <w:spacing w:before="0" w:line="240" w:lineRule="auto"/>
        <w:jc w:val="both"/>
        <w:rPr>
          <w:rFonts w:ascii="Arial" w:hAnsi="Arial" w:cs="Arial"/>
          <w:sz w:val="20"/>
        </w:rPr>
      </w:pPr>
      <w:r>
        <w:rPr>
          <w:rFonts w:ascii="Arial" w:hAnsi="Arial" w:cs="Arial"/>
          <w:sz w:val="20"/>
        </w:rPr>
        <w:t>A spectrum licence permits a licensee, subject to specified conditions, to operate radiocommunications devices within the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w:t>
      </w:r>
    </w:p>
    <w:p w14:paraId="56D57106" w14:textId="77777777" w:rsidR="00551BA3" w:rsidRDefault="00551BA3" w:rsidP="00551BA3">
      <w:pPr>
        <w:pStyle w:val="ACMABodyText"/>
        <w:spacing w:before="0" w:after="0" w:line="240" w:lineRule="auto"/>
        <w:jc w:val="both"/>
        <w:rPr>
          <w:rFonts w:ascii="Arial" w:hAnsi="Arial" w:cs="Arial"/>
          <w:sz w:val="20"/>
        </w:rPr>
      </w:pPr>
      <w:r>
        <w:rPr>
          <w:rFonts w:ascii="Arial" w:hAnsi="Arial" w:cs="Arial"/>
          <w:sz w:val="20"/>
        </w:rPr>
        <w:t>Interference is generally managed by a set of interference management tools given effect by the Act and implemented by the ACMA.  These tools include:</w:t>
      </w:r>
    </w:p>
    <w:p w14:paraId="555DD602" w14:textId="77777777" w:rsidR="00551BA3" w:rsidRDefault="00551BA3" w:rsidP="00551BA3">
      <w:pPr>
        <w:pStyle w:val="ACMABodyText"/>
        <w:spacing w:before="0" w:after="0" w:line="240" w:lineRule="auto"/>
        <w:jc w:val="both"/>
        <w:rPr>
          <w:rFonts w:ascii="Arial" w:hAnsi="Arial" w:cs="Arial"/>
          <w:sz w:val="20"/>
        </w:rPr>
      </w:pPr>
    </w:p>
    <w:p w14:paraId="0BE7FAF9" w14:textId="77777777" w:rsidR="00551BA3" w:rsidRDefault="00551BA3" w:rsidP="00551BA3">
      <w:pPr>
        <w:numPr>
          <w:ilvl w:val="0"/>
          <w:numId w:val="22"/>
        </w:numPr>
        <w:jc w:val="both"/>
        <w:rPr>
          <w:rFonts w:ascii="Arial" w:hAnsi="Arial" w:cs="Arial"/>
          <w:sz w:val="20"/>
          <w:szCs w:val="20"/>
          <w:lang w:val="en-AU"/>
        </w:rPr>
      </w:pPr>
      <w:r>
        <w:rPr>
          <w:rFonts w:ascii="Arial" w:hAnsi="Arial" w:cs="Arial"/>
          <w:sz w:val="20"/>
          <w:szCs w:val="20"/>
          <w:lang w:val="en-AU"/>
        </w:rPr>
        <w:t>the core conditions of the spectrum licence</w:t>
      </w:r>
      <w:r w:rsidRPr="00D34BBD">
        <w:rPr>
          <w:rFonts w:ascii="Arial" w:hAnsi="Arial" w:cs="Arial"/>
          <w:sz w:val="20"/>
          <w:szCs w:val="20"/>
          <w:lang w:val="en-AU"/>
        </w:rPr>
        <w:t>;</w:t>
      </w:r>
    </w:p>
    <w:p w14:paraId="5D93D9AD" w14:textId="77777777" w:rsidR="00551BA3" w:rsidRPr="00D34BBD" w:rsidRDefault="00551BA3" w:rsidP="00551BA3">
      <w:pPr>
        <w:numPr>
          <w:ilvl w:val="0"/>
          <w:numId w:val="22"/>
        </w:numPr>
        <w:jc w:val="both"/>
        <w:rPr>
          <w:rFonts w:ascii="Arial" w:hAnsi="Arial" w:cs="Arial"/>
          <w:sz w:val="20"/>
          <w:szCs w:val="20"/>
          <w:lang w:val="en-AU"/>
        </w:rPr>
      </w:pPr>
      <w:r>
        <w:rPr>
          <w:rFonts w:ascii="Arial" w:hAnsi="Arial" w:cs="Arial"/>
          <w:sz w:val="20"/>
          <w:szCs w:val="20"/>
          <w:lang w:val="en-AU"/>
        </w:rPr>
        <w:t>a determination made under subsection 145(4) of the Act; and</w:t>
      </w:r>
    </w:p>
    <w:p w14:paraId="0C12BD09" w14:textId="77777777" w:rsidR="00551BA3" w:rsidRPr="00286A08" w:rsidRDefault="00551BA3" w:rsidP="00551BA3">
      <w:pPr>
        <w:numPr>
          <w:ilvl w:val="0"/>
          <w:numId w:val="22"/>
        </w:numPr>
        <w:jc w:val="both"/>
        <w:rPr>
          <w:rFonts w:ascii="Arial" w:hAnsi="Arial" w:cs="Arial"/>
          <w:sz w:val="20"/>
          <w:szCs w:val="20"/>
          <w:lang w:val="en-AU"/>
        </w:rPr>
      </w:pPr>
      <w:proofErr w:type="gramStart"/>
      <w:r>
        <w:rPr>
          <w:rFonts w:ascii="Arial" w:hAnsi="Arial" w:cs="Arial"/>
          <w:sz w:val="20"/>
          <w:szCs w:val="20"/>
          <w:lang w:val="en-AU"/>
        </w:rPr>
        <w:t>advisory</w:t>
      </w:r>
      <w:proofErr w:type="gramEnd"/>
      <w:r>
        <w:rPr>
          <w:rFonts w:ascii="Arial" w:hAnsi="Arial" w:cs="Arial"/>
          <w:sz w:val="20"/>
          <w:szCs w:val="20"/>
          <w:lang w:val="en-AU"/>
        </w:rPr>
        <w:t xml:space="preserve"> guidelines made under section 262 of the Act about managing interference in specific circumstances.</w:t>
      </w:r>
    </w:p>
    <w:p w14:paraId="45EAA70F" w14:textId="77777777" w:rsidR="00551BA3" w:rsidRPr="00D34BBD" w:rsidRDefault="00551BA3" w:rsidP="00551BA3">
      <w:pPr>
        <w:pStyle w:val="ACMABodyText"/>
        <w:spacing w:before="0" w:line="240" w:lineRule="auto"/>
        <w:jc w:val="both"/>
        <w:rPr>
          <w:rFonts w:ascii="Arial" w:hAnsi="Arial" w:cs="Arial"/>
          <w:sz w:val="20"/>
        </w:rPr>
      </w:pPr>
      <w:r>
        <w:rPr>
          <w:rFonts w:ascii="Arial" w:hAnsi="Arial" w:cs="Arial"/>
          <w:sz w:val="20"/>
        </w:rPr>
        <w:br/>
      </w:r>
      <w:r w:rsidRPr="00D34BBD">
        <w:rPr>
          <w:rFonts w:ascii="Arial" w:hAnsi="Arial" w:cs="Arial"/>
          <w:sz w:val="20"/>
        </w:rPr>
        <w:t>Under subsection 145(1) of the Act, the ACMA may, if it is satisfied that the operation of a radiocommunications transmitter could cause an unacceptable level of interference to other radiocommunications devices, refuse to register the transmitter. The Determination sets out what is meant by an ‘unacceptable level of interference’ in relation to a radiocommunications transmitter operated under a spectrum licence issued in the 2 GHz band.</w:t>
      </w:r>
    </w:p>
    <w:p w14:paraId="5617CB68" w14:textId="088F3D77" w:rsidR="00D11D17" w:rsidRPr="00A832CB" w:rsidRDefault="00A832CB" w:rsidP="00A832CB">
      <w:pPr>
        <w:jc w:val="both"/>
        <w:rPr>
          <w:rFonts w:ascii="Arial" w:hAnsi="Arial" w:cs="Arial"/>
          <w:sz w:val="20"/>
          <w:szCs w:val="20"/>
          <w:lang w:val="en-AU"/>
        </w:rPr>
      </w:pPr>
      <w:r>
        <w:rPr>
          <w:rFonts w:ascii="Arial" w:hAnsi="Arial" w:cs="Arial"/>
          <w:sz w:val="20"/>
          <w:szCs w:val="20"/>
          <w:lang w:val="en-AU"/>
        </w:rPr>
        <w:t xml:space="preserve">A provision-by-provision </w:t>
      </w:r>
      <w:r w:rsidR="001C08A0">
        <w:rPr>
          <w:rFonts w:ascii="Arial" w:hAnsi="Arial" w:cs="Arial"/>
          <w:sz w:val="20"/>
          <w:szCs w:val="20"/>
          <w:lang w:val="en-AU"/>
        </w:rPr>
        <w:t xml:space="preserve">explanation </w:t>
      </w:r>
      <w:r>
        <w:rPr>
          <w:rFonts w:ascii="Arial" w:hAnsi="Arial" w:cs="Arial"/>
          <w:sz w:val="20"/>
          <w:szCs w:val="20"/>
          <w:lang w:val="en-AU"/>
        </w:rPr>
        <w:t xml:space="preserve">of the </w:t>
      </w:r>
      <w:r w:rsidR="0020014C">
        <w:rPr>
          <w:rFonts w:ascii="Arial" w:hAnsi="Arial" w:cs="Arial"/>
          <w:sz w:val="20"/>
          <w:szCs w:val="20"/>
          <w:lang w:val="en-AU"/>
        </w:rPr>
        <w:t>Variation I</w:t>
      </w:r>
      <w:r>
        <w:rPr>
          <w:rFonts w:ascii="Arial" w:hAnsi="Arial" w:cs="Arial"/>
          <w:sz w:val="20"/>
          <w:szCs w:val="20"/>
          <w:lang w:val="en-AU"/>
        </w:rPr>
        <w:t xml:space="preserve">nstrument is set out in the notes at </w:t>
      </w:r>
      <w:r>
        <w:rPr>
          <w:rFonts w:ascii="Arial" w:hAnsi="Arial" w:cs="Arial"/>
          <w:b/>
          <w:sz w:val="20"/>
          <w:szCs w:val="20"/>
          <w:lang w:val="en-AU"/>
        </w:rPr>
        <w:t>Attachment A</w:t>
      </w:r>
      <w:r>
        <w:rPr>
          <w:rFonts w:ascii="Arial" w:hAnsi="Arial" w:cs="Arial"/>
          <w:sz w:val="20"/>
          <w:szCs w:val="20"/>
          <w:lang w:val="en-AU"/>
        </w:rPr>
        <w:t xml:space="preserve">. </w:t>
      </w:r>
    </w:p>
    <w:p w14:paraId="69E33044" w14:textId="77777777" w:rsidR="00A832CB" w:rsidRDefault="00A832CB" w:rsidP="00A832CB">
      <w:pPr>
        <w:jc w:val="both"/>
        <w:rPr>
          <w:rFonts w:ascii="Arial" w:hAnsi="Arial" w:cs="Arial"/>
          <w:sz w:val="20"/>
          <w:szCs w:val="20"/>
          <w:lang w:val="en-AU"/>
        </w:rPr>
      </w:pPr>
    </w:p>
    <w:p w14:paraId="4BBF9897" w14:textId="7A35C688" w:rsidR="00C578C2" w:rsidRPr="00801CC7" w:rsidRDefault="00C578C2" w:rsidP="00801CC7">
      <w:pPr>
        <w:jc w:val="both"/>
        <w:rPr>
          <w:rFonts w:ascii="Arial" w:hAnsi="Arial" w:cs="Arial"/>
          <w:sz w:val="20"/>
          <w:szCs w:val="20"/>
          <w:u w:val="single"/>
          <w:lang w:val="en-AU"/>
        </w:rPr>
      </w:pPr>
      <w:r>
        <w:rPr>
          <w:rFonts w:ascii="Arial" w:hAnsi="Arial" w:cs="Arial"/>
          <w:sz w:val="20"/>
          <w:szCs w:val="20"/>
          <w:lang w:val="en-AU"/>
        </w:rPr>
        <w:lastRenderedPageBreak/>
        <w:t xml:space="preserve">The </w:t>
      </w:r>
      <w:r w:rsidR="0020014C">
        <w:rPr>
          <w:rFonts w:ascii="Arial" w:hAnsi="Arial" w:cs="Arial"/>
          <w:sz w:val="20"/>
          <w:szCs w:val="20"/>
          <w:lang w:val="en-AU"/>
        </w:rPr>
        <w:t>Variation I</w:t>
      </w:r>
      <w:r>
        <w:rPr>
          <w:rFonts w:ascii="Arial" w:hAnsi="Arial" w:cs="Arial"/>
          <w:sz w:val="20"/>
          <w:szCs w:val="20"/>
          <w:lang w:val="en-AU"/>
        </w:rPr>
        <w:t xml:space="preserve">nstrument is a legislative instrument for the purposes of the </w:t>
      </w:r>
      <w:r w:rsidRPr="00FA6469">
        <w:rPr>
          <w:rFonts w:ascii="Arial" w:hAnsi="Arial" w:cs="Arial"/>
          <w:i/>
          <w:sz w:val="20"/>
          <w:szCs w:val="20"/>
          <w:lang w:val="en-AU"/>
        </w:rPr>
        <w:t>Legislation Act 2003</w:t>
      </w:r>
      <w:r w:rsidRPr="00FA6469">
        <w:rPr>
          <w:rFonts w:ascii="Arial" w:hAnsi="Arial" w:cs="Arial"/>
          <w:sz w:val="20"/>
          <w:szCs w:val="20"/>
          <w:lang w:val="en-AU"/>
        </w:rPr>
        <w:t xml:space="preserve"> (</w:t>
      </w:r>
      <w:r w:rsidRPr="00FA6469">
        <w:rPr>
          <w:rFonts w:ascii="Arial" w:hAnsi="Arial" w:cs="Arial"/>
          <w:b/>
          <w:sz w:val="20"/>
          <w:szCs w:val="20"/>
          <w:lang w:val="en-AU"/>
        </w:rPr>
        <w:t>the LA</w:t>
      </w:r>
      <w:r w:rsidRPr="00FA6469">
        <w:rPr>
          <w:rFonts w:ascii="Arial" w:hAnsi="Arial" w:cs="Arial"/>
          <w:sz w:val="20"/>
          <w:szCs w:val="20"/>
          <w:lang w:val="en-AU"/>
        </w:rPr>
        <w:t>).</w:t>
      </w:r>
    </w:p>
    <w:p w14:paraId="17C1D9A1" w14:textId="4DB1B297" w:rsidR="00551BA3" w:rsidRPr="00D34BBD" w:rsidRDefault="00551BA3" w:rsidP="00551BA3">
      <w:pPr>
        <w:spacing w:before="240" w:after="240"/>
        <w:jc w:val="both"/>
        <w:outlineLvl w:val="0"/>
        <w:rPr>
          <w:rFonts w:ascii="Arial" w:hAnsi="Arial" w:cs="Arial"/>
          <w:b/>
          <w:sz w:val="20"/>
          <w:szCs w:val="20"/>
          <w:lang w:val="en-AU"/>
        </w:rPr>
      </w:pPr>
      <w:r w:rsidRPr="00D34BBD">
        <w:rPr>
          <w:rFonts w:ascii="Arial" w:hAnsi="Arial" w:cs="Arial"/>
          <w:b/>
          <w:sz w:val="20"/>
          <w:szCs w:val="20"/>
          <w:lang w:val="en-AU"/>
        </w:rPr>
        <w:t xml:space="preserve">Documents </w:t>
      </w:r>
      <w:r w:rsidR="0020014C">
        <w:rPr>
          <w:rFonts w:ascii="Arial" w:hAnsi="Arial" w:cs="Arial"/>
          <w:b/>
          <w:sz w:val="20"/>
          <w:szCs w:val="20"/>
          <w:lang w:val="en-AU"/>
        </w:rPr>
        <w:t>i</w:t>
      </w:r>
      <w:r w:rsidRPr="00D34BBD">
        <w:rPr>
          <w:rFonts w:ascii="Arial" w:hAnsi="Arial" w:cs="Arial"/>
          <w:b/>
          <w:sz w:val="20"/>
          <w:szCs w:val="20"/>
          <w:lang w:val="en-AU"/>
        </w:rPr>
        <w:t xml:space="preserve">ncorporated by </w:t>
      </w:r>
      <w:r w:rsidR="0020014C">
        <w:rPr>
          <w:rFonts w:ascii="Arial" w:hAnsi="Arial" w:cs="Arial"/>
          <w:b/>
          <w:sz w:val="20"/>
          <w:szCs w:val="20"/>
          <w:lang w:val="en-AU"/>
        </w:rPr>
        <w:t>r</w:t>
      </w:r>
      <w:r w:rsidRPr="00D34BBD">
        <w:rPr>
          <w:rFonts w:ascii="Arial" w:hAnsi="Arial" w:cs="Arial"/>
          <w:b/>
          <w:sz w:val="20"/>
          <w:szCs w:val="20"/>
          <w:lang w:val="en-AU"/>
        </w:rPr>
        <w:t>eference</w:t>
      </w:r>
    </w:p>
    <w:p w14:paraId="02C6A226" w14:textId="77777777" w:rsidR="00551BA3" w:rsidRPr="00D34BBD" w:rsidRDefault="00551BA3" w:rsidP="00551BA3">
      <w:pPr>
        <w:jc w:val="both"/>
        <w:rPr>
          <w:rFonts w:ascii="Arial" w:hAnsi="Arial" w:cs="Arial"/>
          <w:sz w:val="20"/>
          <w:szCs w:val="20"/>
          <w:lang w:val="en-AU"/>
        </w:rPr>
      </w:pPr>
      <w:r w:rsidRPr="00D34BBD">
        <w:rPr>
          <w:rFonts w:ascii="Arial" w:hAnsi="Arial" w:cs="Arial"/>
          <w:sz w:val="20"/>
          <w:szCs w:val="20"/>
          <w:lang w:val="en-AU"/>
        </w:rPr>
        <w:t xml:space="preserve">The Determination incorporates the following documents by reference: </w:t>
      </w:r>
    </w:p>
    <w:p w14:paraId="1947492C" w14:textId="77777777" w:rsidR="00551BA3" w:rsidRPr="00D34BBD" w:rsidRDefault="00551BA3" w:rsidP="00551BA3">
      <w:pPr>
        <w:pStyle w:val="ListParagraph"/>
        <w:jc w:val="both"/>
        <w:rPr>
          <w:rFonts w:ascii="Arial" w:hAnsi="Arial" w:cs="Arial"/>
          <w:sz w:val="20"/>
          <w:szCs w:val="20"/>
          <w:lang w:val="en-AU"/>
        </w:rPr>
      </w:pPr>
    </w:p>
    <w:p w14:paraId="5ECEEDC2" w14:textId="77777777" w:rsidR="00551BA3" w:rsidRPr="00D34BBD" w:rsidRDefault="00551BA3" w:rsidP="00551BA3">
      <w:pPr>
        <w:numPr>
          <w:ilvl w:val="0"/>
          <w:numId w:val="18"/>
        </w:numPr>
        <w:ind w:left="567" w:hanging="567"/>
        <w:jc w:val="both"/>
        <w:rPr>
          <w:rFonts w:ascii="Arial" w:hAnsi="Arial" w:cs="Arial"/>
          <w:sz w:val="20"/>
          <w:szCs w:val="20"/>
          <w:lang w:val="en-AU"/>
        </w:rPr>
      </w:pPr>
      <w:r w:rsidRPr="00D34BBD">
        <w:rPr>
          <w:rFonts w:ascii="Arial" w:hAnsi="Arial" w:cs="Arial"/>
          <w:sz w:val="20"/>
          <w:szCs w:val="20"/>
          <w:lang w:val="en-AU"/>
        </w:rPr>
        <w:t xml:space="preserve">The </w:t>
      </w:r>
      <w:r w:rsidRPr="00D34BBD">
        <w:rPr>
          <w:rFonts w:ascii="Arial" w:hAnsi="Arial" w:cs="Arial"/>
          <w:i/>
          <w:sz w:val="20"/>
          <w:szCs w:val="20"/>
          <w:lang w:val="en-AU"/>
        </w:rPr>
        <w:t xml:space="preserve">Australian Spectrum Map Grid 2012 </w:t>
      </w:r>
      <w:r w:rsidRPr="00D34BBD">
        <w:rPr>
          <w:rFonts w:ascii="Arial" w:hAnsi="Arial" w:cs="Arial"/>
          <w:sz w:val="20"/>
          <w:szCs w:val="20"/>
          <w:lang w:val="en-AU"/>
        </w:rPr>
        <w:t xml:space="preserve">published by the ACMA. Copies can be obtained from the ACMA website at </w:t>
      </w:r>
      <w:hyperlink r:id="rId12" w:history="1">
        <w:r w:rsidRPr="00D34BBD">
          <w:rPr>
            <w:rStyle w:val="Hyperlink"/>
            <w:rFonts w:ascii="Arial" w:hAnsi="Arial" w:cs="Arial"/>
            <w:sz w:val="20"/>
            <w:szCs w:val="20"/>
            <w:lang w:val="en-AU"/>
          </w:rPr>
          <w:t>www.acma.gov.au</w:t>
        </w:r>
      </w:hyperlink>
      <w:r w:rsidRPr="00D34BBD">
        <w:rPr>
          <w:rFonts w:ascii="Arial" w:hAnsi="Arial" w:cs="Arial"/>
          <w:sz w:val="20"/>
          <w:szCs w:val="20"/>
          <w:lang w:val="en-AU"/>
        </w:rPr>
        <w:t>.</w:t>
      </w:r>
    </w:p>
    <w:p w14:paraId="438414FA" w14:textId="77777777" w:rsidR="00551BA3" w:rsidRPr="00D34BBD" w:rsidRDefault="00551BA3" w:rsidP="00551BA3">
      <w:pPr>
        <w:ind w:left="567"/>
        <w:jc w:val="both"/>
        <w:rPr>
          <w:rFonts w:ascii="Arial" w:hAnsi="Arial" w:cs="Arial"/>
          <w:sz w:val="20"/>
          <w:szCs w:val="20"/>
          <w:lang w:val="en-AU"/>
        </w:rPr>
      </w:pPr>
    </w:p>
    <w:p w14:paraId="3D258B12" w14:textId="77777777" w:rsidR="00551BA3" w:rsidRPr="00D34BBD" w:rsidRDefault="00551BA3" w:rsidP="00551BA3">
      <w:pPr>
        <w:numPr>
          <w:ilvl w:val="0"/>
          <w:numId w:val="18"/>
        </w:numPr>
        <w:ind w:left="567" w:hanging="567"/>
        <w:jc w:val="both"/>
        <w:rPr>
          <w:rFonts w:ascii="Arial" w:hAnsi="Arial" w:cs="Arial"/>
          <w:sz w:val="20"/>
          <w:szCs w:val="20"/>
          <w:lang w:val="en-AU"/>
        </w:rPr>
      </w:pPr>
      <w:r w:rsidRPr="00D34BBD">
        <w:rPr>
          <w:rFonts w:ascii="Arial" w:hAnsi="Arial" w:cs="Arial"/>
          <w:sz w:val="20"/>
          <w:szCs w:val="20"/>
          <w:lang w:val="en-AU"/>
        </w:rPr>
        <w:t>The GEODATA 9 Second Digital Elevation Model (DEM-9S) Version 3 (Australia and New Zealand Land Information Council unique identifier ANZCW0703011541)</w:t>
      </w:r>
      <w:r>
        <w:rPr>
          <w:rFonts w:ascii="Arial" w:hAnsi="Arial" w:cs="Arial"/>
          <w:sz w:val="20"/>
          <w:szCs w:val="20"/>
          <w:lang w:val="en-AU"/>
        </w:rPr>
        <w:t>,</w:t>
      </w:r>
      <w:r w:rsidRPr="00D34BBD">
        <w:rPr>
          <w:rFonts w:ascii="Arial" w:hAnsi="Arial" w:cs="Arial"/>
          <w:sz w:val="20"/>
          <w:szCs w:val="20"/>
          <w:lang w:val="en-AU"/>
        </w:rPr>
        <w:t xml:space="preserve"> published by Geoscience Australia.  Copies of DEM-9S can be obtained from the Geoscience Australia website at </w:t>
      </w:r>
      <w:hyperlink r:id="rId13" w:history="1">
        <w:r w:rsidRPr="00D34BBD">
          <w:rPr>
            <w:rStyle w:val="Hyperlink"/>
            <w:rFonts w:ascii="Arial" w:hAnsi="Arial" w:cs="Arial"/>
            <w:sz w:val="20"/>
            <w:szCs w:val="20"/>
            <w:lang w:val="en-AU"/>
          </w:rPr>
          <w:t>www.ga.gov.au</w:t>
        </w:r>
      </w:hyperlink>
      <w:r w:rsidRPr="00D34BBD">
        <w:rPr>
          <w:rFonts w:ascii="Arial" w:hAnsi="Arial" w:cs="Arial"/>
          <w:sz w:val="20"/>
          <w:szCs w:val="20"/>
          <w:lang w:val="en-AU"/>
        </w:rPr>
        <w:t>.</w:t>
      </w:r>
    </w:p>
    <w:p w14:paraId="6454F99E" w14:textId="77777777" w:rsidR="00551BA3" w:rsidRPr="00D34BBD" w:rsidRDefault="00551BA3" w:rsidP="00551BA3">
      <w:pPr>
        <w:ind w:left="567"/>
        <w:jc w:val="both"/>
        <w:rPr>
          <w:rFonts w:ascii="Arial" w:hAnsi="Arial" w:cs="Arial"/>
          <w:sz w:val="20"/>
          <w:szCs w:val="20"/>
          <w:lang w:val="en-AU"/>
        </w:rPr>
      </w:pPr>
    </w:p>
    <w:p w14:paraId="2AF91890" w14:textId="77777777" w:rsidR="00551BA3" w:rsidRPr="00D34BBD" w:rsidRDefault="00551BA3" w:rsidP="00551BA3">
      <w:pPr>
        <w:numPr>
          <w:ilvl w:val="0"/>
          <w:numId w:val="18"/>
        </w:numPr>
        <w:ind w:left="567" w:hanging="567"/>
        <w:jc w:val="both"/>
        <w:rPr>
          <w:rFonts w:ascii="Arial" w:hAnsi="Arial" w:cs="Arial"/>
          <w:sz w:val="20"/>
          <w:szCs w:val="20"/>
          <w:lang w:val="en-AU"/>
        </w:rPr>
      </w:pPr>
      <w:r w:rsidRPr="00D34BBD">
        <w:rPr>
          <w:rFonts w:ascii="Arial" w:hAnsi="Arial" w:cs="Arial"/>
          <w:sz w:val="20"/>
          <w:szCs w:val="20"/>
          <w:lang w:val="en-AU"/>
        </w:rPr>
        <w:t>The Geocentric Datum of Australia 1994</w:t>
      </w:r>
      <w:r w:rsidRPr="00D34BBD">
        <w:rPr>
          <w:rFonts w:ascii="Arial" w:hAnsi="Arial" w:cs="Arial"/>
          <w:i/>
          <w:sz w:val="20"/>
          <w:szCs w:val="20"/>
          <w:lang w:val="en-AU"/>
        </w:rPr>
        <w:t xml:space="preserve"> </w:t>
      </w:r>
      <w:r w:rsidRPr="00D34BBD">
        <w:rPr>
          <w:rFonts w:ascii="Arial" w:hAnsi="Arial" w:cs="Arial"/>
          <w:sz w:val="20"/>
          <w:szCs w:val="20"/>
          <w:lang w:val="en-AU"/>
        </w:rPr>
        <w:t>(GDA94) gazetted in the Commonwealth of Australia Gazette No. GN 35 on 6 September 1995.</w:t>
      </w:r>
    </w:p>
    <w:p w14:paraId="313010F3" w14:textId="77777777" w:rsidR="00551BA3" w:rsidRPr="00D34BBD" w:rsidRDefault="00551BA3" w:rsidP="00551BA3">
      <w:pPr>
        <w:pStyle w:val="ListParagraph"/>
        <w:jc w:val="both"/>
        <w:rPr>
          <w:rFonts w:ascii="Arial" w:hAnsi="Arial" w:cs="Arial"/>
          <w:sz w:val="20"/>
          <w:szCs w:val="20"/>
          <w:lang w:val="en-AU"/>
        </w:rPr>
      </w:pPr>
    </w:p>
    <w:p w14:paraId="1C06FC71" w14:textId="05EAD904" w:rsidR="00551BA3" w:rsidRDefault="00551BA3" w:rsidP="00551BA3">
      <w:pPr>
        <w:numPr>
          <w:ilvl w:val="0"/>
          <w:numId w:val="18"/>
        </w:numPr>
        <w:ind w:left="567" w:hanging="567"/>
        <w:jc w:val="both"/>
        <w:rPr>
          <w:rFonts w:ascii="Arial" w:hAnsi="Arial" w:cs="Arial"/>
          <w:sz w:val="20"/>
          <w:szCs w:val="20"/>
          <w:lang w:val="en-AU"/>
        </w:rPr>
      </w:pPr>
      <w:r w:rsidRPr="00D34BBD">
        <w:rPr>
          <w:rFonts w:ascii="Arial" w:hAnsi="Arial" w:cs="Arial"/>
          <w:sz w:val="20"/>
          <w:szCs w:val="20"/>
          <w:lang w:val="en-AU"/>
        </w:rPr>
        <w:t xml:space="preserve">The Radio Regulations published by the International Telecommunication Union (ITU), as in force from time to time. Copies of the Radio Regulations can be obtained from the ITU at </w:t>
      </w:r>
      <w:hyperlink r:id="rId14" w:history="1">
        <w:r w:rsidRPr="00D34BBD">
          <w:rPr>
            <w:rStyle w:val="Hyperlink"/>
            <w:rFonts w:ascii="Arial" w:hAnsi="Arial" w:cs="Arial"/>
            <w:sz w:val="20"/>
            <w:szCs w:val="20"/>
            <w:lang w:val="en-AU"/>
          </w:rPr>
          <w:t>www.itu.int</w:t>
        </w:r>
      </w:hyperlink>
      <w:r w:rsidRPr="00D34BBD">
        <w:rPr>
          <w:rFonts w:ascii="Arial" w:hAnsi="Arial" w:cs="Arial"/>
          <w:sz w:val="20"/>
          <w:szCs w:val="20"/>
          <w:lang w:val="en-AU"/>
        </w:rPr>
        <w:t xml:space="preserve">. </w:t>
      </w:r>
    </w:p>
    <w:p w14:paraId="6650B43C" w14:textId="77777777" w:rsidR="00544CF3" w:rsidRDefault="00544CF3" w:rsidP="00544CF3">
      <w:pPr>
        <w:jc w:val="both"/>
        <w:rPr>
          <w:rFonts w:ascii="Arial" w:hAnsi="Arial" w:cs="Arial"/>
          <w:sz w:val="20"/>
          <w:szCs w:val="20"/>
          <w:lang w:val="en-AU"/>
        </w:rPr>
      </w:pPr>
    </w:p>
    <w:p w14:paraId="4D432753" w14:textId="351D3495" w:rsidR="00544CF3" w:rsidRPr="007513F1" w:rsidRDefault="00544CF3" w:rsidP="00544CF3">
      <w:pPr>
        <w:jc w:val="both"/>
        <w:rPr>
          <w:rFonts w:ascii="Arial" w:hAnsi="Arial" w:cs="Arial"/>
          <w:sz w:val="20"/>
          <w:szCs w:val="20"/>
          <w:lang w:val="en-AU"/>
        </w:rPr>
      </w:pPr>
      <w:r>
        <w:rPr>
          <w:rFonts w:ascii="Arial" w:hAnsi="Arial" w:cs="Arial"/>
          <w:sz w:val="20"/>
          <w:szCs w:val="20"/>
          <w:lang w:val="en-AU"/>
        </w:rPr>
        <w:t xml:space="preserve">Unless the contrary intention appears, </w:t>
      </w:r>
      <w:r w:rsidRPr="00544CF3">
        <w:rPr>
          <w:rFonts w:ascii="Arial" w:hAnsi="Arial" w:cs="Arial"/>
          <w:sz w:val="20"/>
          <w:szCs w:val="20"/>
        </w:rPr>
        <w:t xml:space="preserve">a reference to </w:t>
      </w:r>
      <w:r w:rsidR="0020014C">
        <w:rPr>
          <w:rFonts w:ascii="Arial" w:hAnsi="Arial" w:cs="Arial"/>
          <w:sz w:val="20"/>
          <w:szCs w:val="20"/>
        </w:rPr>
        <w:t>a</w:t>
      </w:r>
      <w:r w:rsidR="0020014C" w:rsidRPr="00544CF3">
        <w:rPr>
          <w:rFonts w:ascii="Arial" w:hAnsi="Arial" w:cs="Arial"/>
          <w:sz w:val="20"/>
          <w:szCs w:val="20"/>
        </w:rPr>
        <w:t xml:space="preserve"> </w:t>
      </w:r>
      <w:r w:rsidRPr="00544CF3">
        <w:rPr>
          <w:rFonts w:ascii="Arial" w:hAnsi="Arial" w:cs="Arial"/>
          <w:sz w:val="20"/>
          <w:szCs w:val="20"/>
        </w:rPr>
        <w:t xml:space="preserve">legislative instrument </w:t>
      </w:r>
      <w:r>
        <w:rPr>
          <w:rFonts w:ascii="Arial" w:hAnsi="Arial" w:cs="Arial"/>
          <w:sz w:val="20"/>
          <w:szCs w:val="20"/>
        </w:rPr>
        <w:t xml:space="preserve">in the Determination </w:t>
      </w:r>
      <w:r w:rsidRPr="00544CF3">
        <w:rPr>
          <w:rFonts w:ascii="Arial" w:hAnsi="Arial" w:cs="Arial"/>
          <w:sz w:val="20"/>
          <w:szCs w:val="20"/>
        </w:rPr>
        <w:t>is a reference to that other legislative instrument as in force from time to time.</w:t>
      </w:r>
    </w:p>
    <w:p w14:paraId="530F3D70" w14:textId="77777777" w:rsidR="00551BA3" w:rsidRDefault="00551BA3" w:rsidP="007513F1">
      <w:pPr>
        <w:keepNext/>
        <w:spacing w:before="240" w:after="240"/>
        <w:jc w:val="both"/>
        <w:outlineLvl w:val="0"/>
        <w:rPr>
          <w:rFonts w:ascii="Arial" w:hAnsi="Arial" w:cs="Arial"/>
          <w:b/>
          <w:sz w:val="20"/>
          <w:szCs w:val="20"/>
          <w:lang w:val="en-AU"/>
        </w:rPr>
      </w:pPr>
    </w:p>
    <w:p w14:paraId="0AB4C8FC" w14:textId="77777777" w:rsidR="00145956" w:rsidRPr="00D34BBD" w:rsidRDefault="00226747" w:rsidP="007513F1">
      <w:pPr>
        <w:keepNext/>
        <w:spacing w:before="240" w:after="240"/>
        <w:jc w:val="both"/>
        <w:outlineLvl w:val="0"/>
        <w:rPr>
          <w:rFonts w:ascii="Arial" w:hAnsi="Arial" w:cs="Arial"/>
          <w:b/>
          <w:sz w:val="20"/>
          <w:szCs w:val="20"/>
          <w:lang w:val="en-AU"/>
        </w:rPr>
      </w:pPr>
      <w:r w:rsidRPr="00D34BBD">
        <w:rPr>
          <w:rFonts w:ascii="Arial" w:hAnsi="Arial" w:cs="Arial"/>
          <w:b/>
          <w:sz w:val="20"/>
          <w:szCs w:val="20"/>
          <w:lang w:val="en-AU"/>
        </w:rPr>
        <w:t>Background</w:t>
      </w:r>
    </w:p>
    <w:p w14:paraId="548F101C" w14:textId="77777777" w:rsidR="00336ED7" w:rsidRDefault="00336ED7" w:rsidP="004D6DFD">
      <w:pPr>
        <w:jc w:val="both"/>
        <w:rPr>
          <w:rFonts w:ascii="Arial" w:hAnsi="Arial" w:cs="Arial"/>
          <w:sz w:val="20"/>
          <w:szCs w:val="20"/>
          <w:lang w:val="en-AU"/>
        </w:rPr>
      </w:pPr>
      <w:r w:rsidRPr="00D34BBD">
        <w:rPr>
          <w:rFonts w:ascii="Arial" w:hAnsi="Arial" w:cs="Arial"/>
          <w:sz w:val="20"/>
          <w:szCs w:val="20"/>
          <w:lang w:val="en-AU"/>
        </w:rPr>
        <w:t>The 2 GHz band was re-allocated for spectrum licensing in the year 2000. Current spectrum licences in the 2 GHz band will expire on 11 October 2017. To prepare for the re-issue and/or re-allocation of spectrum licences in the 2 GHz band,</w:t>
      </w:r>
      <w:r>
        <w:rPr>
          <w:rFonts w:ascii="Arial" w:hAnsi="Arial" w:cs="Arial"/>
          <w:sz w:val="20"/>
          <w:szCs w:val="20"/>
          <w:lang w:val="en-AU"/>
        </w:rPr>
        <w:t xml:space="preserve"> the ACMA reviewed and updated the </w:t>
      </w:r>
      <w:r w:rsidRPr="00D34BBD">
        <w:rPr>
          <w:rFonts w:ascii="Arial" w:hAnsi="Arial" w:cs="Arial"/>
          <w:sz w:val="20"/>
          <w:szCs w:val="20"/>
          <w:lang w:val="en-AU"/>
        </w:rPr>
        <w:t>2 GHz spectrum licensing technical framework.</w:t>
      </w:r>
      <w:r>
        <w:rPr>
          <w:rFonts w:ascii="Arial" w:hAnsi="Arial" w:cs="Arial"/>
          <w:sz w:val="20"/>
          <w:szCs w:val="20"/>
          <w:lang w:val="en-AU"/>
        </w:rPr>
        <w:t xml:space="preserve"> This included the </w:t>
      </w:r>
      <w:r w:rsidR="006939C1">
        <w:rPr>
          <w:rFonts w:ascii="Arial" w:hAnsi="Arial" w:cs="Arial"/>
          <w:sz w:val="20"/>
          <w:szCs w:val="20"/>
          <w:lang w:val="en-AU"/>
        </w:rPr>
        <w:t xml:space="preserve">Determination </w:t>
      </w:r>
      <w:r w:rsidR="006939C1" w:rsidRPr="00D34BBD">
        <w:rPr>
          <w:rFonts w:ascii="Arial" w:hAnsi="Arial" w:cs="Arial"/>
          <w:sz w:val="20"/>
          <w:szCs w:val="20"/>
          <w:lang w:val="en-AU"/>
        </w:rPr>
        <w:t>ma</w:t>
      </w:r>
      <w:r w:rsidR="006939C1">
        <w:rPr>
          <w:rFonts w:ascii="Arial" w:hAnsi="Arial" w:cs="Arial"/>
          <w:sz w:val="20"/>
          <w:szCs w:val="20"/>
          <w:lang w:val="en-AU"/>
        </w:rPr>
        <w:t>d</w:t>
      </w:r>
      <w:r w:rsidR="006939C1" w:rsidRPr="00D34BBD">
        <w:rPr>
          <w:rFonts w:ascii="Arial" w:hAnsi="Arial" w:cs="Arial"/>
          <w:sz w:val="20"/>
          <w:szCs w:val="20"/>
          <w:lang w:val="en-AU"/>
        </w:rPr>
        <w:t>e under subsection 145(4) of the Act</w:t>
      </w:r>
      <w:r w:rsidR="006939C1">
        <w:rPr>
          <w:rFonts w:ascii="Arial" w:hAnsi="Arial" w:cs="Arial"/>
          <w:sz w:val="20"/>
          <w:szCs w:val="20"/>
          <w:lang w:val="en-AU"/>
        </w:rPr>
        <w:t xml:space="preserve"> which commences on 12 October 2017.</w:t>
      </w:r>
    </w:p>
    <w:p w14:paraId="0F69F497" w14:textId="77777777" w:rsidR="00336ED7" w:rsidRDefault="00336ED7" w:rsidP="004D6DFD">
      <w:pPr>
        <w:jc w:val="both"/>
        <w:rPr>
          <w:rFonts w:ascii="Arial" w:hAnsi="Arial" w:cs="Arial"/>
          <w:sz w:val="20"/>
          <w:szCs w:val="20"/>
          <w:lang w:val="en-AU"/>
        </w:rPr>
      </w:pPr>
    </w:p>
    <w:p w14:paraId="6ED90657" w14:textId="77777777" w:rsidR="00BA4605" w:rsidRDefault="00BA4605" w:rsidP="004D6DFD">
      <w:pPr>
        <w:jc w:val="both"/>
        <w:rPr>
          <w:rFonts w:ascii="Arial" w:hAnsi="Arial" w:cs="Arial"/>
          <w:sz w:val="20"/>
          <w:szCs w:val="20"/>
          <w:lang w:val="en-AU"/>
        </w:rPr>
      </w:pPr>
      <w:r>
        <w:rPr>
          <w:rFonts w:ascii="Arial" w:hAnsi="Arial" w:cs="Arial"/>
          <w:sz w:val="20"/>
          <w:szCs w:val="20"/>
          <w:lang w:val="en-AU"/>
        </w:rPr>
        <w:t xml:space="preserve">In accordance with </w:t>
      </w:r>
      <w:r w:rsidRPr="00BA4605">
        <w:rPr>
          <w:rFonts w:ascii="Arial" w:hAnsi="Arial" w:cs="Arial"/>
          <w:sz w:val="20"/>
          <w:szCs w:val="20"/>
          <w:lang w:val="en-AU"/>
        </w:rPr>
        <w:t xml:space="preserve">Part 4 of Chapter 3 of the </w:t>
      </w:r>
      <w:r w:rsidRPr="00751F8D">
        <w:rPr>
          <w:rFonts w:ascii="Arial" w:hAnsi="Arial" w:cs="Arial"/>
          <w:i/>
          <w:sz w:val="20"/>
          <w:szCs w:val="20"/>
          <w:lang w:val="en-AU"/>
        </w:rPr>
        <w:t>Legislation Act 2003</w:t>
      </w:r>
      <w:r w:rsidRPr="00751F8D">
        <w:rPr>
          <w:rFonts w:ascii="Arial" w:hAnsi="Arial" w:cs="Arial"/>
          <w:sz w:val="20"/>
          <w:szCs w:val="20"/>
          <w:lang w:val="en-AU"/>
        </w:rPr>
        <w:t>,</w:t>
      </w:r>
      <w:r>
        <w:rPr>
          <w:rFonts w:ascii="Arial" w:hAnsi="Arial" w:cs="Arial"/>
          <w:sz w:val="20"/>
          <w:szCs w:val="20"/>
          <w:lang w:val="en-AU"/>
        </w:rPr>
        <w:t xml:space="preserve"> the </w:t>
      </w:r>
      <w:r w:rsidR="003D047E">
        <w:rPr>
          <w:rFonts w:ascii="Arial" w:hAnsi="Arial" w:cs="Arial"/>
          <w:sz w:val="20"/>
          <w:szCs w:val="20"/>
          <w:lang w:val="en-AU"/>
        </w:rPr>
        <w:t xml:space="preserve">RRL determination </w:t>
      </w:r>
      <w:r>
        <w:rPr>
          <w:rFonts w:ascii="Arial" w:hAnsi="Arial" w:cs="Arial"/>
          <w:sz w:val="20"/>
          <w:szCs w:val="20"/>
          <w:lang w:val="en-AU"/>
        </w:rPr>
        <w:t xml:space="preserve">is due to sunset on 1 October 2017. </w:t>
      </w:r>
      <w:r w:rsidRPr="00BA4605">
        <w:rPr>
          <w:rFonts w:ascii="Arial" w:hAnsi="Arial" w:cs="Arial"/>
          <w:sz w:val="20"/>
          <w:szCs w:val="20"/>
          <w:lang w:val="en-AU"/>
        </w:rPr>
        <w:t xml:space="preserve">The ACMA formed the view that the </w:t>
      </w:r>
      <w:r w:rsidR="0096418E">
        <w:rPr>
          <w:rFonts w:ascii="Arial" w:hAnsi="Arial" w:cs="Arial"/>
          <w:sz w:val="20"/>
          <w:szCs w:val="20"/>
          <w:lang w:val="en-AU"/>
        </w:rPr>
        <w:t>RRL Determination</w:t>
      </w:r>
      <w:r w:rsidRPr="00BA4605">
        <w:rPr>
          <w:rFonts w:ascii="Arial" w:hAnsi="Arial" w:cs="Arial"/>
          <w:sz w:val="20"/>
          <w:szCs w:val="20"/>
          <w:lang w:val="en-AU"/>
        </w:rPr>
        <w:t xml:space="preserve"> </w:t>
      </w:r>
      <w:r>
        <w:rPr>
          <w:rFonts w:ascii="Arial" w:hAnsi="Arial" w:cs="Arial"/>
          <w:sz w:val="20"/>
          <w:szCs w:val="20"/>
          <w:lang w:val="en-AU"/>
        </w:rPr>
        <w:t>wa</w:t>
      </w:r>
      <w:r w:rsidRPr="00BA4605">
        <w:rPr>
          <w:rFonts w:ascii="Arial" w:hAnsi="Arial" w:cs="Arial"/>
          <w:sz w:val="20"/>
          <w:szCs w:val="20"/>
          <w:lang w:val="en-AU"/>
        </w:rPr>
        <w:t xml:space="preserve">s operating effectively and efficiently and, as such, continues to form a necessary and useful part of the legislative framework. Accordingly, the ACMA </w:t>
      </w:r>
      <w:r w:rsidR="00336ED7">
        <w:rPr>
          <w:rFonts w:ascii="Arial" w:hAnsi="Arial" w:cs="Arial"/>
          <w:sz w:val="20"/>
          <w:szCs w:val="20"/>
          <w:lang w:val="en-AU"/>
        </w:rPr>
        <w:t>consulted on and remad</w:t>
      </w:r>
      <w:r w:rsidRPr="00BA4605">
        <w:rPr>
          <w:rFonts w:ascii="Arial" w:hAnsi="Arial" w:cs="Arial"/>
          <w:sz w:val="20"/>
          <w:szCs w:val="20"/>
          <w:lang w:val="en-AU"/>
        </w:rPr>
        <w:t>e it in a new instrument prior to the sunset date of 1 October 2017 without any significant changes, so that its ongoing effect is preserved.</w:t>
      </w:r>
    </w:p>
    <w:p w14:paraId="16D52E5F" w14:textId="77777777" w:rsidR="00336ED7" w:rsidRDefault="00336ED7" w:rsidP="004D6DFD">
      <w:pPr>
        <w:jc w:val="both"/>
        <w:rPr>
          <w:rFonts w:ascii="Arial" w:hAnsi="Arial" w:cs="Arial"/>
          <w:sz w:val="20"/>
          <w:szCs w:val="20"/>
          <w:lang w:val="en-AU"/>
        </w:rPr>
      </w:pPr>
    </w:p>
    <w:p w14:paraId="0B60A23F" w14:textId="4DC8AB80" w:rsidR="00336ED7" w:rsidRDefault="00336ED7" w:rsidP="00336ED7">
      <w:pPr>
        <w:jc w:val="both"/>
        <w:rPr>
          <w:rFonts w:ascii="Arial" w:hAnsi="Arial" w:cs="Arial"/>
          <w:sz w:val="20"/>
          <w:szCs w:val="20"/>
          <w:lang w:val="en-AU"/>
        </w:rPr>
      </w:pPr>
      <w:r w:rsidRPr="00336ED7">
        <w:rPr>
          <w:rFonts w:ascii="Arial" w:hAnsi="Arial" w:cs="Arial"/>
          <w:sz w:val="20"/>
          <w:szCs w:val="20"/>
          <w:lang w:val="en-AU"/>
        </w:rPr>
        <w:t xml:space="preserve">The </w:t>
      </w:r>
      <w:r>
        <w:rPr>
          <w:rFonts w:ascii="Arial" w:hAnsi="Arial" w:cs="Arial"/>
          <w:sz w:val="20"/>
          <w:szCs w:val="20"/>
          <w:lang w:val="en-AU"/>
        </w:rPr>
        <w:t>Determination</w:t>
      </w:r>
      <w:r w:rsidRPr="00336ED7">
        <w:rPr>
          <w:rFonts w:ascii="Arial" w:hAnsi="Arial" w:cs="Arial"/>
          <w:sz w:val="20"/>
          <w:szCs w:val="20"/>
          <w:lang w:val="en-AU"/>
        </w:rPr>
        <w:t xml:space="preserve"> includes reference to specific provisions of the </w:t>
      </w:r>
      <w:r w:rsidR="0096418E">
        <w:rPr>
          <w:rFonts w:ascii="Arial" w:hAnsi="Arial" w:cs="Arial"/>
          <w:sz w:val="20"/>
          <w:szCs w:val="20"/>
          <w:lang w:val="en-AU"/>
        </w:rPr>
        <w:t>RRL Determination</w:t>
      </w:r>
      <w:r w:rsidRPr="00336ED7">
        <w:rPr>
          <w:rFonts w:ascii="Arial" w:hAnsi="Arial" w:cs="Arial"/>
          <w:sz w:val="20"/>
          <w:szCs w:val="20"/>
          <w:lang w:val="en-AU"/>
        </w:rPr>
        <w:t xml:space="preserve">. </w:t>
      </w:r>
    </w:p>
    <w:p w14:paraId="153CF30D" w14:textId="77777777" w:rsidR="00336ED7" w:rsidRDefault="00336ED7" w:rsidP="00336ED7">
      <w:pPr>
        <w:jc w:val="both"/>
        <w:rPr>
          <w:rFonts w:ascii="Arial" w:hAnsi="Arial" w:cs="Arial"/>
          <w:sz w:val="20"/>
          <w:szCs w:val="20"/>
          <w:lang w:val="en-AU"/>
        </w:rPr>
      </w:pPr>
    </w:p>
    <w:p w14:paraId="5E44FAFC" w14:textId="448F3A90" w:rsidR="006939C1" w:rsidRDefault="0096418E" w:rsidP="00411FBF">
      <w:pPr>
        <w:spacing w:after="120"/>
        <w:jc w:val="both"/>
        <w:rPr>
          <w:rFonts w:ascii="Arial" w:hAnsi="Arial" w:cs="Arial"/>
          <w:sz w:val="20"/>
          <w:szCs w:val="20"/>
          <w:lang w:val="en-AU"/>
        </w:rPr>
      </w:pPr>
      <w:r>
        <w:rPr>
          <w:rFonts w:ascii="Arial" w:hAnsi="Arial" w:cs="Arial"/>
          <w:sz w:val="20"/>
          <w:szCs w:val="20"/>
          <w:lang w:val="en-AU"/>
        </w:rPr>
        <w:t xml:space="preserve">From December 2016 to </w:t>
      </w:r>
      <w:r w:rsidR="006939C1">
        <w:rPr>
          <w:rFonts w:ascii="Arial" w:hAnsi="Arial" w:cs="Arial"/>
          <w:sz w:val="20"/>
          <w:szCs w:val="20"/>
          <w:lang w:val="en-AU"/>
        </w:rPr>
        <w:t>January 2017 the ACMA consulted on whether to recommend to the Minister that specific frequencies and areas in the 2 GHz and 3.4 GHz band</w:t>
      </w:r>
      <w:r w:rsidR="00E23A42">
        <w:rPr>
          <w:rFonts w:ascii="Arial" w:hAnsi="Arial" w:cs="Arial"/>
          <w:sz w:val="20"/>
          <w:szCs w:val="20"/>
          <w:lang w:val="en-AU"/>
        </w:rPr>
        <w:t>s</w:t>
      </w:r>
      <w:r w:rsidR="006939C1">
        <w:rPr>
          <w:rFonts w:ascii="Arial" w:hAnsi="Arial" w:cs="Arial"/>
          <w:sz w:val="20"/>
          <w:szCs w:val="20"/>
          <w:lang w:val="en-AU"/>
        </w:rPr>
        <w:t xml:space="preserve"> be designated for the issue of spectrum licensing. This consultation also included a proposal to amend the Determination to remove the need for transmitters operating in the </w:t>
      </w:r>
      <w:r w:rsidR="006939C1" w:rsidRPr="006939C1">
        <w:rPr>
          <w:rFonts w:ascii="Arial" w:hAnsi="Arial" w:cs="Arial"/>
          <w:sz w:val="20"/>
          <w:szCs w:val="20"/>
          <w:lang w:val="en-AU"/>
        </w:rPr>
        <w:t>1920–1930 MHz and 2110–2120 MHz frequency ranges, to meet the device boundary criteria in the area defined by the excised MW4H6 HCIS identifier.</w:t>
      </w:r>
      <w:r w:rsidR="006939C1">
        <w:rPr>
          <w:rFonts w:ascii="Arial" w:hAnsi="Arial" w:cs="Arial"/>
          <w:sz w:val="20"/>
          <w:szCs w:val="20"/>
          <w:lang w:val="en-AU"/>
        </w:rPr>
        <w:t xml:space="preserve"> </w:t>
      </w:r>
    </w:p>
    <w:p w14:paraId="0DBA6929" w14:textId="77777777" w:rsidR="00801CC7" w:rsidRDefault="006939C1" w:rsidP="00BB56E1">
      <w:pPr>
        <w:spacing w:before="240" w:after="240"/>
        <w:jc w:val="both"/>
        <w:outlineLvl w:val="0"/>
        <w:rPr>
          <w:rFonts w:ascii="Arial" w:hAnsi="Arial" w:cs="Arial"/>
          <w:sz w:val="20"/>
          <w:szCs w:val="20"/>
        </w:rPr>
      </w:pPr>
      <w:r w:rsidRPr="006939C1">
        <w:rPr>
          <w:rFonts w:ascii="Arial" w:hAnsi="Arial" w:cs="Arial"/>
          <w:sz w:val="20"/>
          <w:szCs w:val="20"/>
        </w:rPr>
        <w:t xml:space="preserve">As a result of this consultation the ACMA recommended to the Minister that he designate the frequencies and areas </w:t>
      </w:r>
      <w:r w:rsidR="00641DA6" w:rsidRPr="006939C1">
        <w:rPr>
          <w:rFonts w:ascii="Arial" w:hAnsi="Arial" w:cs="Arial"/>
          <w:sz w:val="20"/>
          <w:szCs w:val="20"/>
        </w:rPr>
        <w:t>consulted</w:t>
      </w:r>
      <w:r w:rsidRPr="006939C1">
        <w:rPr>
          <w:rFonts w:ascii="Arial" w:hAnsi="Arial" w:cs="Arial"/>
          <w:sz w:val="20"/>
          <w:szCs w:val="20"/>
        </w:rPr>
        <w:t xml:space="preserve"> on.</w:t>
      </w:r>
      <w:r w:rsidR="00641DA6">
        <w:rPr>
          <w:rFonts w:ascii="Arial" w:hAnsi="Arial" w:cs="Arial"/>
          <w:sz w:val="20"/>
          <w:szCs w:val="20"/>
        </w:rPr>
        <w:t xml:space="preserve"> </w:t>
      </w:r>
      <w:r w:rsidRPr="006939C1">
        <w:rPr>
          <w:rFonts w:ascii="Arial" w:hAnsi="Arial" w:cs="Arial"/>
          <w:sz w:val="20"/>
          <w:szCs w:val="20"/>
        </w:rPr>
        <w:t>On the 21</w:t>
      </w:r>
      <w:r w:rsidRPr="006939C1">
        <w:rPr>
          <w:rFonts w:ascii="Arial" w:hAnsi="Arial" w:cs="Arial"/>
          <w:sz w:val="20"/>
          <w:szCs w:val="20"/>
          <w:vertAlign w:val="superscript"/>
        </w:rPr>
        <w:t>st</w:t>
      </w:r>
      <w:r w:rsidRPr="006939C1">
        <w:rPr>
          <w:rFonts w:ascii="Arial" w:hAnsi="Arial" w:cs="Arial"/>
          <w:sz w:val="20"/>
          <w:szCs w:val="20"/>
        </w:rPr>
        <w:t xml:space="preserve"> April 2017 the Minister made the </w:t>
      </w:r>
      <w:hyperlink r:id="rId15" w:history="1">
        <w:r w:rsidRPr="006939C1">
          <w:rPr>
            <w:rStyle w:val="Hyperlink"/>
            <w:rFonts w:ascii="Arial" w:hAnsi="Arial" w:cs="Arial"/>
            <w:sz w:val="20"/>
            <w:szCs w:val="20"/>
          </w:rPr>
          <w:t>Radiocommunications (Spectrum Designation—2 GHz and 3.4 GHz Bands) Notice 2017</w:t>
        </w:r>
      </w:hyperlink>
      <w:r w:rsidR="00641DA6">
        <w:rPr>
          <w:rFonts w:ascii="Arial" w:hAnsi="Arial" w:cs="Arial"/>
          <w:sz w:val="20"/>
          <w:szCs w:val="20"/>
        </w:rPr>
        <w:t>.</w:t>
      </w:r>
    </w:p>
    <w:p w14:paraId="494ECFF2" w14:textId="4360F235" w:rsidR="00145956" w:rsidRPr="00D34BBD" w:rsidRDefault="001211CC" w:rsidP="00BB56E1">
      <w:pPr>
        <w:spacing w:before="240" w:after="240"/>
        <w:jc w:val="both"/>
        <w:outlineLvl w:val="0"/>
        <w:rPr>
          <w:rFonts w:ascii="Arial" w:hAnsi="Arial" w:cs="Arial"/>
          <w:b/>
          <w:sz w:val="20"/>
          <w:szCs w:val="20"/>
          <w:lang w:val="en-AU"/>
        </w:rPr>
      </w:pPr>
      <w:r w:rsidRPr="00D34BBD">
        <w:rPr>
          <w:rFonts w:ascii="Arial" w:hAnsi="Arial" w:cs="Arial"/>
          <w:b/>
          <w:sz w:val="20"/>
          <w:szCs w:val="20"/>
          <w:lang w:val="en-AU"/>
        </w:rPr>
        <w:t>Consultation</w:t>
      </w:r>
    </w:p>
    <w:p w14:paraId="6F8C4716" w14:textId="3C76F6EB" w:rsidR="00C578C2" w:rsidRDefault="00C578C2" w:rsidP="004D6DFD">
      <w:pPr>
        <w:jc w:val="both"/>
        <w:rPr>
          <w:rFonts w:ascii="Arial" w:hAnsi="Arial" w:cs="Arial"/>
          <w:sz w:val="20"/>
          <w:szCs w:val="20"/>
          <w:lang w:val="en-AU"/>
        </w:rPr>
      </w:pPr>
      <w:r>
        <w:rPr>
          <w:rFonts w:ascii="Arial" w:hAnsi="Arial" w:cs="Arial"/>
          <w:sz w:val="20"/>
          <w:szCs w:val="20"/>
          <w:lang w:val="en-AU"/>
        </w:rPr>
        <w:t xml:space="preserve">Before the </w:t>
      </w:r>
      <w:r w:rsidR="00E23A42">
        <w:rPr>
          <w:rFonts w:ascii="Arial" w:hAnsi="Arial" w:cs="Arial"/>
          <w:sz w:val="20"/>
          <w:szCs w:val="20"/>
          <w:lang w:val="en-AU"/>
        </w:rPr>
        <w:t>Variation I</w:t>
      </w:r>
      <w:r>
        <w:rPr>
          <w:rFonts w:ascii="Arial" w:hAnsi="Arial" w:cs="Arial"/>
          <w:sz w:val="20"/>
          <w:szCs w:val="20"/>
          <w:lang w:val="en-AU"/>
        </w:rPr>
        <w:t>nstrument was made, the ACMA was satisfied that consultation was undertaken to the extent appropriate and reasonably practicable in accordance with section 17 of the LA.</w:t>
      </w:r>
    </w:p>
    <w:p w14:paraId="738FFE77" w14:textId="77777777" w:rsidR="00C578C2" w:rsidRDefault="00C578C2" w:rsidP="004D6DFD">
      <w:pPr>
        <w:jc w:val="both"/>
        <w:rPr>
          <w:rFonts w:ascii="Arial" w:hAnsi="Arial" w:cs="Arial"/>
          <w:sz w:val="20"/>
          <w:szCs w:val="20"/>
          <w:lang w:val="en-AU"/>
        </w:rPr>
      </w:pPr>
    </w:p>
    <w:p w14:paraId="76221596" w14:textId="4D690B93" w:rsidR="00145956" w:rsidRPr="00D34BBD" w:rsidRDefault="001211CC" w:rsidP="004D6DFD">
      <w:pPr>
        <w:jc w:val="both"/>
        <w:rPr>
          <w:rFonts w:ascii="Arial" w:hAnsi="Arial" w:cs="Arial"/>
          <w:sz w:val="20"/>
          <w:szCs w:val="20"/>
          <w:lang w:val="en-AU"/>
        </w:rPr>
      </w:pPr>
      <w:r w:rsidRPr="00D34BBD">
        <w:rPr>
          <w:rFonts w:ascii="Arial" w:hAnsi="Arial" w:cs="Arial"/>
          <w:sz w:val="20"/>
          <w:szCs w:val="20"/>
          <w:lang w:val="en-AU"/>
        </w:rPr>
        <w:t xml:space="preserve">The ACMA consulted with stakeholders </w:t>
      </w:r>
      <w:r w:rsidR="0096418E">
        <w:rPr>
          <w:rFonts w:ascii="Arial" w:hAnsi="Arial" w:cs="Arial"/>
          <w:sz w:val="20"/>
          <w:szCs w:val="20"/>
          <w:lang w:val="en-AU"/>
        </w:rPr>
        <w:t xml:space="preserve">on remaking the RRL Determination and subsequent variations required to the Determination from </w:t>
      </w:r>
      <w:r w:rsidR="00801CC7">
        <w:rPr>
          <w:rFonts w:ascii="Arial" w:hAnsi="Arial" w:cs="Arial"/>
          <w:sz w:val="20"/>
          <w:szCs w:val="20"/>
          <w:lang w:val="en-AU"/>
        </w:rPr>
        <w:t xml:space="preserve">9 </w:t>
      </w:r>
      <w:r w:rsidR="009F6207">
        <w:rPr>
          <w:rFonts w:ascii="Arial" w:hAnsi="Arial" w:cs="Arial"/>
          <w:sz w:val="20"/>
          <w:szCs w:val="20"/>
          <w:lang w:val="en-AU"/>
        </w:rPr>
        <w:t xml:space="preserve">June to </w:t>
      </w:r>
      <w:r w:rsidR="00801CC7">
        <w:rPr>
          <w:rFonts w:ascii="Arial" w:hAnsi="Arial" w:cs="Arial"/>
          <w:sz w:val="20"/>
          <w:szCs w:val="20"/>
          <w:lang w:val="en-AU"/>
        </w:rPr>
        <w:t xml:space="preserve">11 </w:t>
      </w:r>
      <w:r w:rsidR="009F6207">
        <w:rPr>
          <w:rFonts w:ascii="Arial" w:hAnsi="Arial" w:cs="Arial"/>
          <w:sz w:val="20"/>
          <w:szCs w:val="20"/>
          <w:lang w:val="en-AU"/>
        </w:rPr>
        <w:t>July 2017</w:t>
      </w:r>
      <w:r w:rsidR="0096418E">
        <w:rPr>
          <w:rFonts w:ascii="Arial" w:hAnsi="Arial" w:cs="Arial"/>
          <w:sz w:val="20"/>
          <w:szCs w:val="20"/>
          <w:lang w:val="en-AU"/>
        </w:rPr>
        <w:t xml:space="preserve">. </w:t>
      </w:r>
      <w:r w:rsidRPr="00D34BBD">
        <w:rPr>
          <w:rFonts w:ascii="Arial" w:hAnsi="Arial" w:cs="Arial"/>
          <w:sz w:val="20"/>
          <w:szCs w:val="20"/>
          <w:lang w:val="en-AU"/>
        </w:rPr>
        <w:t xml:space="preserve">The ACMA </w:t>
      </w:r>
      <w:r w:rsidR="00C1285A">
        <w:rPr>
          <w:rFonts w:ascii="Arial" w:hAnsi="Arial" w:cs="Arial"/>
          <w:sz w:val="20"/>
          <w:szCs w:val="20"/>
          <w:lang w:val="en-AU"/>
        </w:rPr>
        <w:t>made available</w:t>
      </w:r>
      <w:r w:rsidRPr="00D34BBD">
        <w:rPr>
          <w:rFonts w:ascii="Arial" w:hAnsi="Arial" w:cs="Arial"/>
          <w:sz w:val="20"/>
          <w:szCs w:val="20"/>
          <w:lang w:val="en-AU"/>
        </w:rPr>
        <w:t xml:space="preserve"> </w:t>
      </w:r>
      <w:r w:rsidR="004D6DFD" w:rsidRPr="00D34BBD">
        <w:rPr>
          <w:rFonts w:ascii="Arial" w:hAnsi="Arial" w:cs="Arial"/>
          <w:sz w:val="20"/>
          <w:szCs w:val="20"/>
          <w:lang w:val="en-AU"/>
        </w:rPr>
        <w:t>a</w:t>
      </w:r>
      <w:r w:rsidRPr="00D34BBD">
        <w:rPr>
          <w:rFonts w:ascii="Arial" w:hAnsi="Arial" w:cs="Arial"/>
          <w:sz w:val="20"/>
          <w:szCs w:val="20"/>
          <w:lang w:val="en-AU"/>
        </w:rPr>
        <w:t xml:space="preserve"> discussion </w:t>
      </w:r>
      <w:r w:rsidRPr="00D34BBD">
        <w:rPr>
          <w:rFonts w:ascii="Arial" w:hAnsi="Arial" w:cs="Arial"/>
          <w:sz w:val="20"/>
          <w:szCs w:val="20"/>
          <w:lang w:val="en-AU"/>
        </w:rPr>
        <w:lastRenderedPageBreak/>
        <w:t xml:space="preserve">paper which outlined </w:t>
      </w:r>
      <w:r w:rsidR="0096418E">
        <w:rPr>
          <w:rFonts w:ascii="Arial" w:hAnsi="Arial" w:cs="Arial"/>
          <w:sz w:val="20"/>
          <w:szCs w:val="20"/>
          <w:lang w:val="en-AU"/>
        </w:rPr>
        <w:t xml:space="preserve">all </w:t>
      </w:r>
      <w:r w:rsidRPr="00D34BBD">
        <w:rPr>
          <w:rFonts w:ascii="Arial" w:hAnsi="Arial" w:cs="Arial"/>
          <w:sz w:val="20"/>
          <w:szCs w:val="20"/>
          <w:lang w:val="en-AU"/>
        </w:rPr>
        <w:t xml:space="preserve">the proposed </w:t>
      </w:r>
      <w:r w:rsidR="00510D70" w:rsidRPr="00D34BBD">
        <w:rPr>
          <w:rFonts w:ascii="Arial" w:hAnsi="Arial" w:cs="Arial"/>
          <w:sz w:val="20"/>
          <w:szCs w:val="20"/>
          <w:lang w:val="en-AU"/>
        </w:rPr>
        <w:t>changes</w:t>
      </w:r>
      <w:r w:rsidR="004D6DFD" w:rsidRPr="00D34BBD">
        <w:rPr>
          <w:rFonts w:ascii="Arial" w:hAnsi="Arial" w:cs="Arial"/>
          <w:sz w:val="20"/>
          <w:szCs w:val="20"/>
          <w:lang w:val="en-AU"/>
        </w:rPr>
        <w:t xml:space="preserve">.  This </w:t>
      </w:r>
      <w:r w:rsidR="00510D70" w:rsidRPr="00D34BBD">
        <w:rPr>
          <w:rFonts w:ascii="Arial" w:hAnsi="Arial" w:cs="Arial"/>
          <w:sz w:val="20"/>
          <w:szCs w:val="20"/>
          <w:lang w:val="en-AU"/>
        </w:rPr>
        <w:t xml:space="preserve">discussion </w:t>
      </w:r>
      <w:r w:rsidR="004D6DFD" w:rsidRPr="00D34BBD">
        <w:rPr>
          <w:rFonts w:ascii="Arial" w:hAnsi="Arial" w:cs="Arial"/>
          <w:sz w:val="20"/>
          <w:szCs w:val="20"/>
          <w:lang w:val="en-AU"/>
        </w:rPr>
        <w:t>paper is</w:t>
      </w:r>
      <w:r w:rsidRPr="00D34BBD">
        <w:rPr>
          <w:rFonts w:ascii="Arial" w:hAnsi="Arial" w:cs="Arial"/>
          <w:sz w:val="20"/>
          <w:szCs w:val="20"/>
          <w:lang w:val="en-AU"/>
        </w:rPr>
        <w:t xml:space="preserve"> </w:t>
      </w:r>
      <w:r w:rsidR="00920429" w:rsidRPr="00D34BBD">
        <w:rPr>
          <w:rFonts w:ascii="Arial" w:hAnsi="Arial" w:cs="Arial"/>
          <w:sz w:val="20"/>
          <w:szCs w:val="20"/>
          <w:lang w:val="en-AU"/>
        </w:rPr>
        <w:t xml:space="preserve">available </w:t>
      </w:r>
      <w:r w:rsidRPr="00D34BBD">
        <w:rPr>
          <w:rFonts w:ascii="Arial" w:hAnsi="Arial" w:cs="Arial"/>
          <w:sz w:val="20"/>
          <w:szCs w:val="20"/>
          <w:lang w:val="en-AU"/>
        </w:rPr>
        <w:t xml:space="preserve">on the ACMA website at </w:t>
      </w:r>
      <w:hyperlink r:id="rId16" w:history="1">
        <w:r w:rsidR="006957C9" w:rsidRPr="00D34BBD">
          <w:rPr>
            <w:rStyle w:val="Hyperlink"/>
            <w:rFonts w:ascii="Arial" w:hAnsi="Arial" w:cs="Arial"/>
            <w:sz w:val="20"/>
            <w:szCs w:val="20"/>
            <w:lang w:val="en-AU"/>
          </w:rPr>
          <w:t>www.acma.gov.au</w:t>
        </w:r>
      </w:hyperlink>
      <w:r w:rsidRPr="00D34BBD">
        <w:rPr>
          <w:rFonts w:ascii="Arial" w:hAnsi="Arial" w:cs="Arial"/>
          <w:sz w:val="20"/>
          <w:szCs w:val="20"/>
          <w:lang w:val="en-AU"/>
        </w:rPr>
        <w:t>.</w:t>
      </w:r>
    </w:p>
    <w:p w14:paraId="14A30D29" w14:textId="77777777" w:rsidR="00145956" w:rsidRPr="00D34BBD" w:rsidRDefault="00145956" w:rsidP="004D6DFD">
      <w:pPr>
        <w:jc w:val="both"/>
        <w:rPr>
          <w:rFonts w:ascii="Arial" w:hAnsi="Arial" w:cs="Arial"/>
          <w:sz w:val="20"/>
          <w:szCs w:val="20"/>
          <w:lang w:val="en-AU"/>
        </w:rPr>
      </w:pPr>
    </w:p>
    <w:p w14:paraId="4E3CA680" w14:textId="502630A7" w:rsidR="00145956" w:rsidRPr="00D34BBD" w:rsidRDefault="00597C64" w:rsidP="009214D8">
      <w:pPr>
        <w:pStyle w:val="ACMABodyText"/>
        <w:spacing w:before="0" w:after="0" w:line="240" w:lineRule="auto"/>
        <w:jc w:val="both"/>
        <w:rPr>
          <w:rFonts w:ascii="Arial" w:hAnsi="Arial" w:cs="Arial"/>
          <w:sz w:val="20"/>
        </w:rPr>
      </w:pPr>
      <w:r w:rsidRPr="00D34BBD">
        <w:rPr>
          <w:rFonts w:ascii="Arial" w:hAnsi="Arial" w:cs="Arial"/>
          <w:sz w:val="20"/>
        </w:rPr>
        <w:t xml:space="preserve">The ACMA received </w:t>
      </w:r>
      <w:r w:rsidR="00032A8D">
        <w:rPr>
          <w:rFonts w:ascii="Arial" w:hAnsi="Arial" w:cs="Arial"/>
          <w:sz w:val="20"/>
        </w:rPr>
        <w:t xml:space="preserve">six </w:t>
      </w:r>
      <w:r w:rsidRPr="00D34BBD">
        <w:rPr>
          <w:rFonts w:ascii="Arial" w:hAnsi="Arial" w:cs="Arial"/>
          <w:sz w:val="20"/>
        </w:rPr>
        <w:t xml:space="preserve">submissions in response to its consultation process. </w:t>
      </w:r>
      <w:r w:rsidR="0096418E" w:rsidRPr="00751F8D">
        <w:rPr>
          <w:rFonts w:ascii="Arial" w:hAnsi="Arial" w:cs="Arial"/>
          <w:sz w:val="20"/>
        </w:rPr>
        <w:t>One</w:t>
      </w:r>
      <w:r w:rsidR="0096418E">
        <w:rPr>
          <w:rFonts w:ascii="Arial" w:hAnsi="Arial" w:cs="Arial"/>
          <w:sz w:val="20"/>
        </w:rPr>
        <w:t xml:space="preserve"> of these submissions commented on the proposed variation to the Determination. </w:t>
      </w:r>
      <w:r w:rsidR="00E23A42">
        <w:rPr>
          <w:rFonts w:ascii="Arial" w:hAnsi="Arial" w:cs="Arial"/>
          <w:sz w:val="20"/>
        </w:rPr>
        <w:t xml:space="preserve">It was taken into account in finalising the form of the Variation Instrument. </w:t>
      </w:r>
      <w:r w:rsidRPr="00D34BBD">
        <w:rPr>
          <w:rFonts w:ascii="Arial" w:hAnsi="Arial" w:cs="Arial"/>
          <w:sz w:val="20"/>
        </w:rPr>
        <w:t xml:space="preserve">All written submissions from this consultation process are available on the ACMA website at </w:t>
      </w:r>
      <w:hyperlink r:id="rId17" w:history="1">
        <w:r w:rsidRPr="00D34BBD">
          <w:rPr>
            <w:rStyle w:val="Hyperlink"/>
            <w:rFonts w:ascii="Arial" w:hAnsi="Arial" w:cs="Arial"/>
            <w:sz w:val="20"/>
          </w:rPr>
          <w:t>www.acma.gov.au</w:t>
        </w:r>
      </w:hyperlink>
      <w:r w:rsidRPr="00D34BBD">
        <w:rPr>
          <w:rFonts w:ascii="Arial" w:hAnsi="Arial" w:cs="Arial"/>
          <w:sz w:val="20"/>
        </w:rPr>
        <w:t xml:space="preserve">. </w:t>
      </w:r>
    </w:p>
    <w:p w14:paraId="07CC56B8" w14:textId="77777777" w:rsidR="009214D8" w:rsidRDefault="009214D8" w:rsidP="009214D8">
      <w:pPr>
        <w:pStyle w:val="ACMABodyText"/>
        <w:spacing w:before="0" w:after="0" w:line="240" w:lineRule="auto"/>
        <w:jc w:val="both"/>
        <w:rPr>
          <w:rFonts w:ascii="Arial" w:hAnsi="Arial" w:cs="Arial"/>
          <w:sz w:val="20"/>
        </w:rPr>
      </w:pPr>
    </w:p>
    <w:p w14:paraId="55111614" w14:textId="77777777" w:rsidR="009214D8" w:rsidRPr="00D34BBD" w:rsidRDefault="009214D8" w:rsidP="004E5FC6">
      <w:pPr>
        <w:spacing w:before="360"/>
        <w:jc w:val="both"/>
        <w:rPr>
          <w:rFonts w:ascii="Arial" w:hAnsi="Arial" w:cs="Arial"/>
          <w:sz w:val="20"/>
          <w:szCs w:val="20"/>
          <w:lang w:val="en-AU"/>
        </w:rPr>
      </w:pPr>
      <w:r w:rsidRPr="00D34BBD">
        <w:rPr>
          <w:rFonts w:ascii="Arial" w:hAnsi="Arial" w:cs="Arial"/>
          <w:sz w:val="20"/>
          <w:szCs w:val="20"/>
          <w:lang w:val="en-AU"/>
        </w:rPr>
        <w:t>The ACMA</w:t>
      </w:r>
      <w:r>
        <w:rPr>
          <w:rFonts w:ascii="Arial" w:hAnsi="Arial" w:cs="Arial"/>
          <w:sz w:val="20"/>
          <w:szCs w:val="20"/>
          <w:lang w:val="en-AU"/>
        </w:rPr>
        <w:t xml:space="preserve"> also</w:t>
      </w:r>
      <w:r w:rsidRPr="00D34BBD">
        <w:rPr>
          <w:rFonts w:ascii="Arial" w:hAnsi="Arial" w:cs="Arial"/>
          <w:sz w:val="20"/>
          <w:szCs w:val="20"/>
          <w:lang w:val="en-AU"/>
        </w:rPr>
        <w:t xml:space="preserve"> consulted with stakeholders </w:t>
      </w:r>
      <w:r>
        <w:rPr>
          <w:rFonts w:ascii="Arial" w:hAnsi="Arial" w:cs="Arial"/>
          <w:sz w:val="20"/>
          <w:szCs w:val="20"/>
          <w:lang w:val="en-AU"/>
        </w:rPr>
        <w:t xml:space="preserve">on making a recommendation to the Minister to designate for spectrum licensing specific frequencies and areas in the 2 GHz and 3.4 GHz bands as well as subsequent variations </w:t>
      </w:r>
      <w:r w:rsidR="009F6207">
        <w:rPr>
          <w:rFonts w:ascii="Arial" w:hAnsi="Arial" w:cs="Arial"/>
          <w:sz w:val="20"/>
          <w:szCs w:val="20"/>
          <w:lang w:val="en-AU"/>
        </w:rPr>
        <w:t>proposed for</w:t>
      </w:r>
      <w:r>
        <w:rPr>
          <w:rFonts w:ascii="Arial" w:hAnsi="Arial" w:cs="Arial"/>
          <w:sz w:val="20"/>
          <w:szCs w:val="20"/>
          <w:lang w:val="en-AU"/>
        </w:rPr>
        <w:t xml:space="preserve"> the Determination</w:t>
      </w:r>
      <w:r w:rsidR="009F6207">
        <w:rPr>
          <w:rFonts w:ascii="Arial" w:hAnsi="Arial" w:cs="Arial"/>
          <w:sz w:val="20"/>
          <w:szCs w:val="20"/>
          <w:lang w:val="en-AU"/>
        </w:rPr>
        <w:t>. This consultation was conducted from</w:t>
      </w:r>
      <w:r>
        <w:rPr>
          <w:rFonts w:ascii="Arial" w:hAnsi="Arial" w:cs="Arial"/>
          <w:sz w:val="20"/>
          <w:szCs w:val="20"/>
          <w:lang w:val="en-AU"/>
        </w:rPr>
        <w:t xml:space="preserve"> December 2016 to January 2017. </w:t>
      </w:r>
      <w:r w:rsidRPr="00D34BBD">
        <w:rPr>
          <w:rFonts w:ascii="Arial" w:hAnsi="Arial" w:cs="Arial"/>
          <w:sz w:val="20"/>
          <w:szCs w:val="20"/>
          <w:lang w:val="en-AU"/>
        </w:rPr>
        <w:t xml:space="preserve">The ACMA </w:t>
      </w:r>
      <w:r>
        <w:rPr>
          <w:rFonts w:ascii="Arial" w:hAnsi="Arial" w:cs="Arial"/>
          <w:sz w:val="20"/>
          <w:szCs w:val="20"/>
          <w:lang w:val="en-AU"/>
        </w:rPr>
        <w:t>made available</w:t>
      </w:r>
      <w:r w:rsidRPr="00D34BBD">
        <w:rPr>
          <w:rFonts w:ascii="Arial" w:hAnsi="Arial" w:cs="Arial"/>
          <w:sz w:val="20"/>
          <w:szCs w:val="20"/>
          <w:lang w:val="en-AU"/>
        </w:rPr>
        <w:t xml:space="preserve"> a discussion paper which outlined </w:t>
      </w:r>
      <w:r>
        <w:rPr>
          <w:rFonts w:ascii="Arial" w:hAnsi="Arial" w:cs="Arial"/>
          <w:sz w:val="20"/>
          <w:szCs w:val="20"/>
          <w:lang w:val="en-AU"/>
        </w:rPr>
        <w:t xml:space="preserve">all </w:t>
      </w:r>
      <w:r w:rsidRPr="00D34BBD">
        <w:rPr>
          <w:rFonts w:ascii="Arial" w:hAnsi="Arial" w:cs="Arial"/>
          <w:sz w:val="20"/>
          <w:szCs w:val="20"/>
          <w:lang w:val="en-AU"/>
        </w:rPr>
        <w:t xml:space="preserve">the proposed changes.  This discussion paper is available on the ACMA website at </w:t>
      </w:r>
      <w:hyperlink r:id="rId18" w:history="1">
        <w:r w:rsidRPr="00D34BBD">
          <w:rPr>
            <w:rStyle w:val="Hyperlink"/>
            <w:rFonts w:ascii="Arial" w:hAnsi="Arial" w:cs="Arial"/>
            <w:sz w:val="20"/>
            <w:szCs w:val="20"/>
            <w:lang w:val="en-AU"/>
          </w:rPr>
          <w:t>www.acma.gov.au</w:t>
        </w:r>
      </w:hyperlink>
      <w:r w:rsidRPr="00D34BBD">
        <w:rPr>
          <w:rFonts w:ascii="Arial" w:hAnsi="Arial" w:cs="Arial"/>
          <w:sz w:val="20"/>
          <w:szCs w:val="20"/>
          <w:lang w:val="en-AU"/>
        </w:rPr>
        <w:t>.</w:t>
      </w:r>
    </w:p>
    <w:p w14:paraId="0B88E798" w14:textId="77777777" w:rsidR="009214D8" w:rsidRPr="00D34BBD" w:rsidRDefault="009214D8" w:rsidP="009214D8">
      <w:pPr>
        <w:jc w:val="both"/>
        <w:rPr>
          <w:rFonts w:ascii="Arial" w:hAnsi="Arial" w:cs="Arial"/>
          <w:sz w:val="20"/>
          <w:szCs w:val="20"/>
          <w:lang w:val="en-AU"/>
        </w:rPr>
      </w:pPr>
    </w:p>
    <w:p w14:paraId="1E295C08" w14:textId="77777777" w:rsidR="009214D8" w:rsidRPr="00D34BBD" w:rsidRDefault="009214D8" w:rsidP="009214D8">
      <w:pPr>
        <w:pStyle w:val="ACMABodyText"/>
        <w:spacing w:before="0" w:after="0" w:line="240" w:lineRule="auto"/>
        <w:jc w:val="both"/>
        <w:rPr>
          <w:rFonts w:ascii="Arial" w:hAnsi="Arial" w:cs="Arial"/>
          <w:sz w:val="20"/>
        </w:rPr>
      </w:pPr>
      <w:r w:rsidRPr="00D34BBD">
        <w:rPr>
          <w:rFonts w:ascii="Arial" w:hAnsi="Arial" w:cs="Arial"/>
          <w:sz w:val="20"/>
        </w:rPr>
        <w:t xml:space="preserve">The ACMA received </w:t>
      </w:r>
      <w:r w:rsidR="004E5FC6">
        <w:rPr>
          <w:rFonts w:ascii="Arial" w:hAnsi="Arial" w:cs="Arial"/>
          <w:sz w:val="20"/>
        </w:rPr>
        <w:t>three</w:t>
      </w:r>
      <w:r w:rsidRPr="00D34BBD">
        <w:rPr>
          <w:rFonts w:ascii="Arial" w:hAnsi="Arial" w:cs="Arial"/>
          <w:sz w:val="20"/>
        </w:rPr>
        <w:t xml:space="preserve"> submissions in response to its consultation process. </w:t>
      </w:r>
      <w:r w:rsidR="004E5FC6">
        <w:rPr>
          <w:rFonts w:ascii="Arial" w:hAnsi="Arial" w:cs="Arial"/>
          <w:sz w:val="20"/>
        </w:rPr>
        <w:t>Submissions were supportive of the proposed variation to the Determination</w:t>
      </w:r>
      <w:r>
        <w:rPr>
          <w:rFonts w:ascii="Arial" w:hAnsi="Arial" w:cs="Arial"/>
          <w:sz w:val="20"/>
        </w:rPr>
        <w:t xml:space="preserve">. </w:t>
      </w:r>
      <w:r w:rsidRPr="00D34BBD">
        <w:rPr>
          <w:rFonts w:ascii="Arial" w:hAnsi="Arial" w:cs="Arial"/>
          <w:sz w:val="20"/>
        </w:rPr>
        <w:t xml:space="preserve">All written submissions from this consultation process are available on the ACMA website at </w:t>
      </w:r>
      <w:hyperlink r:id="rId19" w:history="1">
        <w:r w:rsidRPr="00D34BBD">
          <w:rPr>
            <w:rStyle w:val="Hyperlink"/>
            <w:rFonts w:ascii="Arial" w:hAnsi="Arial" w:cs="Arial"/>
            <w:sz w:val="20"/>
          </w:rPr>
          <w:t>www.acma.gov.au</w:t>
        </w:r>
      </w:hyperlink>
      <w:r w:rsidRPr="00D34BBD">
        <w:rPr>
          <w:rFonts w:ascii="Arial" w:hAnsi="Arial" w:cs="Arial"/>
          <w:sz w:val="20"/>
        </w:rPr>
        <w:t xml:space="preserve">. </w:t>
      </w:r>
    </w:p>
    <w:p w14:paraId="33BC6005" w14:textId="03A052F5" w:rsidR="00145956" w:rsidRPr="00D34BBD" w:rsidRDefault="001B79DD" w:rsidP="00BB56E1">
      <w:pPr>
        <w:pStyle w:val="ACMABodyText"/>
        <w:spacing w:before="240" w:after="240" w:line="240" w:lineRule="auto"/>
        <w:jc w:val="both"/>
        <w:rPr>
          <w:rFonts w:ascii="Arial" w:hAnsi="Arial" w:cs="Arial"/>
          <w:b/>
          <w:sz w:val="20"/>
        </w:rPr>
      </w:pPr>
      <w:r w:rsidRPr="00D34BBD">
        <w:rPr>
          <w:rFonts w:ascii="Arial" w:hAnsi="Arial" w:cs="Arial"/>
          <w:b/>
          <w:sz w:val="20"/>
        </w:rPr>
        <w:t xml:space="preserve">Regulatory </w:t>
      </w:r>
      <w:r w:rsidR="00551BA3">
        <w:rPr>
          <w:rFonts w:ascii="Arial" w:hAnsi="Arial" w:cs="Arial"/>
          <w:b/>
          <w:sz w:val="20"/>
        </w:rPr>
        <w:t>i</w:t>
      </w:r>
      <w:r w:rsidRPr="00D34BBD">
        <w:rPr>
          <w:rFonts w:ascii="Arial" w:hAnsi="Arial" w:cs="Arial"/>
          <w:b/>
          <w:sz w:val="20"/>
        </w:rPr>
        <w:t xml:space="preserve">mpact </w:t>
      </w:r>
      <w:r w:rsidR="00551BA3">
        <w:rPr>
          <w:rFonts w:ascii="Arial" w:hAnsi="Arial" w:cs="Arial"/>
          <w:b/>
          <w:sz w:val="20"/>
        </w:rPr>
        <w:t>assessment</w:t>
      </w:r>
    </w:p>
    <w:p w14:paraId="5CBC73BC" w14:textId="20392F0F" w:rsidR="000C4658" w:rsidRDefault="005D498B" w:rsidP="000C4658">
      <w:pPr>
        <w:spacing w:after="120"/>
        <w:jc w:val="both"/>
        <w:rPr>
          <w:rFonts w:ascii="Arial" w:hAnsi="Arial" w:cs="Arial"/>
          <w:sz w:val="20"/>
          <w:szCs w:val="20"/>
          <w:lang w:val="en-AU"/>
        </w:rPr>
      </w:pPr>
      <w:r w:rsidRPr="00D34BBD">
        <w:rPr>
          <w:rFonts w:ascii="Arial" w:hAnsi="Arial" w:cs="Arial"/>
          <w:sz w:val="20"/>
          <w:szCs w:val="20"/>
          <w:lang w:val="en-AU"/>
        </w:rPr>
        <w:t>T</w:t>
      </w:r>
      <w:r w:rsidR="00765927" w:rsidRPr="00D34BBD">
        <w:rPr>
          <w:rFonts w:ascii="Arial" w:hAnsi="Arial" w:cs="Arial"/>
          <w:sz w:val="20"/>
          <w:szCs w:val="20"/>
          <w:lang w:val="en-AU"/>
        </w:rPr>
        <w:t xml:space="preserve">he ACMA consulted with the Office of Best Practice Regulation (OBPR) on the requirement for a Regulation Impact Statement (RIS) for this instrument. The OBPR advised that </w:t>
      </w:r>
      <w:r w:rsidR="00393758" w:rsidRPr="00D34BBD">
        <w:rPr>
          <w:rFonts w:ascii="Arial" w:hAnsi="Arial" w:cs="Arial"/>
          <w:sz w:val="20"/>
          <w:szCs w:val="20"/>
          <w:lang w:val="en-AU"/>
        </w:rPr>
        <w:t xml:space="preserve">the </w:t>
      </w:r>
      <w:r w:rsidR="00E23A42">
        <w:rPr>
          <w:rFonts w:ascii="Arial" w:hAnsi="Arial" w:cs="Arial"/>
          <w:sz w:val="20"/>
          <w:szCs w:val="20"/>
          <w:lang w:val="en-AU"/>
        </w:rPr>
        <w:t>Variation Instrument</w:t>
      </w:r>
      <w:r w:rsidR="00E23A42" w:rsidRPr="00D34BBD">
        <w:rPr>
          <w:rFonts w:ascii="Arial" w:hAnsi="Arial" w:cs="Arial"/>
          <w:sz w:val="20"/>
          <w:szCs w:val="20"/>
          <w:lang w:val="en-AU"/>
        </w:rPr>
        <w:t xml:space="preserve"> </w:t>
      </w:r>
      <w:r w:rsidR="000C4658">
        <w:rPr>
          <w:rFonts w:ascii="Arial" w:hAnsi="Arial" w:cs="Arial"/>
          <w:sz w:val="20"/>
          <w:szCs w:val="20"/>
          <w:lang w:val="en-AU"/>
        </w:rPr>
        <w:t>did</w:t>
      </w:r>
      <w:r w:rsidR="000C4658" w:rsidRPr="00D34BBD">
        <w:rPr>
          <w:rFonts w:ascii="Arial" w:hAnsi="Arial" w:cs="Arial"/>
          <w:sz w:val="20"/>
          <w:szCs w:val="20"/>
          <w:lang w:val="en-AU"/>
        </w:rPr>
        <w:t xml:space="preserve"> </w:t>
      </w:r>
      <w:r w:rsidR="00765927" w:rsidRPr="00D34BBD">
        <w:rPr>
          <w:rFonts w:ascii="Arial" w:hAnsi="Arial" w:cs="Arial"/>
          <w:sz w:val="20"/>
          <w:szCs w:val="20"/>
          <w:lang w:val="en-AU"/>
        </w:rPr>
        <w:t xml:space="preserve">not warrant the preparation of a RIS </w:t>
      </w:r>
      <w:r w:rsidR="00393758" w:rsidRPr="00D34BBD">
        <w:rPr>
          <w:rFonts w:ascii="Arial" w:hAnsi="Arial" w:cs="Arial"/>
          <w:sz w:val="20"/>
          <w:szCs w:val="20"/>
          <w:lang w:val="en-AU"/>
        </w:rPr>
        <w:t xml:space="preserve">because it is only likely to have minor and machinery impacts. The </w:t>
      </w:r>
      <w:r w:rsidR="000C4658">
        <w:rPr>
          <w:rFonts w:ascii="Arial" w:hAnsi="Arial" w:cs="Arial"/>
          <w:sz w:val="20"/>
          <w:szCs w:val="20"/>
          <w:lang w:val="en-AU"/>
        </w:rPr>
        <w:t xml:space="preserve">OBPR </w:t>
      </w:r>
      <w:r w:rsidR="00393758" w:rsidRPr="00D34BBD">
        <w:rPr>
          <w:rFonts w:ascii="Arial" w:hAnsi="Arial" w:cs="Arial"/>
          <w:sz w:val="20"/>
          <w:szCs w:val="20"/>
          <w:lang w:val="en-AU"/>
        </w:rPr>
        <w:t>reference</w:t>
      </w:r>
      <w:r w:rsidR="004E5FC6">
        <w:rPr>
          <w:rFonts w:ascii="Arial" w:hAnsi="Arial" w:cs="Arial"/>
          <w:sz w:val="20"/>
          <w:szCs w:val="20"/>
          <w:lang w:val="en-AU"/>
        </w:rPr>
        <w:t xml:space="preserve"> number</w:t>
      </w:r>
      <w:r w:rsidR="00CB10F9">
        <w:rPr>
          <w:rFonts w:ascii="Arial" w:hAnsi="Arial" w:cs="Arial"/>
          <w:sz w:val="20"/>
          <w:szCs w:val="20"/>
          <w:lang w:val="en-AU"/>
        </w:rPr>
        <w:t xml:space="preserve"> is</w:t>
      </w:r>
      <w:r w:rsidR="004E5FC6">
        <w:rPr>
          <w:rFonts w:ascii="Arial" w:hAnsi="Arial" w:cs="Arial"/>
          <w:sz w:val="20"/>
          <w:szCs w:val="20"/>
          <w:lang w:val="en-AU"/>
        </w:rPr>
        <w:t xml:space="preserve"> 21441</w:t>
      </w:r>
      <w:r w:rsidR="00393758" w:rsidRPr="00D34BBD">
        <w:rPr>
          <w:rFonts w:ascii="Arial" w:hAnsi="Arial" w:cs="Arial"/>
          <w:sz w:val="20"/>
          <w:szCs w:val="20"/>
          <w:lang w:val="en-AU"/>
        </w:rPr>
        <w:t>.</w:t>
      </w:r>
    </w:p>
    <w:p w14:paraId="7FD571F9" w14:textId="41D75532" w:rsidR="00145956" w:rsidRPr="00D34BBD" w:rsidRDefault="00551BA3" w:rsidP="00BB56E1">
      <w:pPr>
        <w:spacing w:before="240" w:after="240"/>
        <w:jc w:val="both"/>
        <w:outlineLvl w:val="0"/>
        <w:rPr>
          <w:rFonts w:ascii="Arial" w:hAnsi="Arial" w:cs="Arial"/>
          <w:b/>
          <w:sz w:val="20"/>
          <w:szCs w:val="20"/>
          <w:lang w:val="en-AU"/>
        </w:rPr>
      </w:pPr>
      <w:r>
        <w:rPr>
          <w:rFonts w:ascii="Arial" w:hAnsi="Arial" w:cs="Arial"/>
          <w:b/>
          <w:sz w:val="20"/>
          <w:szCs w:val="20"/>
          <w:lang w:val="en-AU"/>
        </w:rPr>
        <w:t>Human rights implications</w:t>
      </w:r>
    </w:p>
    <w:p w14:paraId="3A824768" w14:textId="7CEC41B1" w:rsidR="00145956" w:rsidRDefault="00E24770" w:rsidP="004D6DFD">
      <w:pPr>
        <w:jc w:val="both"/>
        <w:rPr>
          <w:rFonts w:ascii="Arial" w:hAnsi="Arial" w:cs="Arial"/>
          <w:sz w:val="20"/>
          <w:szCs w:val="20"/>
          <w:lang w:val="en-AU"/>
        </w:rPr>
      </w:pPr>
      <w:r w:rsidRPr="00D34BBD">
        <w:rPr>
          <w:rFonts w:ascii="Arial" w:hAnsi="Arial" w:cs="Arial"/>
          <w:sz w:val="20"/>
          <w:szCs w:val="20"/>
          <w:lang w:val="en-AU"/>
        </w:rPr>
        <w:t xml:space="preserve">Subsection 9(1) of the </w:t>
      </w:r>
      <w:r w:rsidRPr="00D34BBD">
        <w:rPr>
          <w:rFonts w:ascii="Arial" w:hAnsi="Arial" w:cs="Arial"/>
          <w:i/>
          <w:sz w:val="20"/>
          <w:szCs w:val="20"/>
          <w:lang w:val="en-AU"/>
        </w:rPr>
        <w:t>Human Rights (Parliamentary Scrutiny) Act 2011</w:t>
      </w:r>
      <w:r w:rsidRPr="00D34BBD">
        <w:rPr>
          <w:rFonts w:ascii="Arial" w:hAnsi="Arial" w:cs="Arial"/>
          <w:sz w:val="20"/>
          <w:szCs w:val="20"/>
          <w:lang w:val="en-AU"/>
        </w:rPr>
        <w:t xml:space="preserve"> requires the rule maker in relation to a legislative instrument to which section 42 (disallowance) of the </w:t>
      </w:r>
      <w:r w:rsidR="00927775" w:rsidRPr="00430D8D">
        <w:rPr>
          <w:rFonts w:ascii="Arial" w:hAnsi="Arial" w:cs="Arial"/>
          <w:i/>
          <w:sz w:val="20"/>
          <w:szCs w:val="20"/>
          <w:lang w:val="en-AU"/>
        </w:rPr>
        <w:t>L</w:t>
      </w:r>
      <w:r w:rsidR="001956C7" w:rsidRPr="00430D8D">
        <w:rPr>
          <w:rFonts w:ascii="Arial" w:hAnsi="Arial" w:cs="Arial"/>
          <w:i/>
          <w:sz w:val="20"/>
          <w:szCs w:val="20"/>
          <w:lang w:val="en-AU"/>
        </w:rPr>
        <w:t>egislation</w:t>
      </w:r>
      <w:r w:rsidR="00927775" w:rsidRPr="00430D8D">
        <w:rPr>
          <w:rFonts w:ascii="Arial" w:hAnsi="Arial" w:cs="Arial"/>
          <w:i/>
          <w:sz w:val="20"/>
          <w:szCs w:val="20"/>
          <w:lang w:val="en-AU"/>
        </w:rPr>
        <w:t xml:space="preserve"> Act</w:t>
      </w:r>
      <w:r w:rsidR="001956C7" w:rsidRPr="00430D8D">
        <w:rPr>
          <w:rFonts w:ascii="Arial" w:hAnsi="Arial" w:cs="Arial"/>
          <w:i/>
          <w:sz w:val="20"/>
          <w:szCs w:val="20"/>
          <w:lang w:val="en-AU"/>
        </w:rPr>
        <w:t xml:space="preserve"> 2003</w:t>
      </w:r>
      <w:r w:rsidRPr="00D34BBD">
        <w:rPr>
          <w:rFonts w:ascii="Arial" w:hAnsi="Arial" w:cs="Arial"/>
          <w:sz w:val="20"/>
          <w:szCs w:val="20"/>
          <w:lang w:val="en-AU"/>
        </w:rPr>
        <w:t xml:space="preserve"> applies to cause a statement of compatibility to be prepared in respect of that legislative instrument.</w:t>
      </w:r>
      <w:r w:rsidR="00D207F7" w:rsidRPr="00D34BBD">
        <w:rPr>
          <w:rFonts w:ascii="Arial" w:hAnsi="Arial" w:cs="Arial"/>
          <w:sz w:val="20"/>
          <w:szCs w:val="20"/>
          <w:lang w:val="en-AU"/>
        </w:rPr>
        <w:t xml:space="preserve"> </w:t>
      </w:r>
    </w:p>
    <w:p w14:paraId="32FA34A1" w14:textId="77777777" w:rsidR="00551BA3" w:rsidRDefault="00551BA3" w:rsidP="004D6DFD">
      <w:pPr>
        <w:jc w:val="both"/>
        <w:rPr>
          <w:rFonts w:ascii="Arial" w:hAnsi="Arial" w:cs="Arial"/>
          <w:sz w:val="20"/>
          <w:szCs w:val="20"/>
          <w:lang w:val="en-AU"/>
        </w:rPr>
      </w:pPr>
    </w:p>
    <w:p w14:paraId="43C1C1C8" w14:textId="440A92E5" w:rsidR="00551BA3" w:rsidRDefault="00551BA3" w:rsidP="004D6DFD">
      <w:pPr>
        <w:jc w:val="both"/>
        <w:rPr>
          <w:rFonts w:ascii="Arial" w:hAnsi="Arial" w:cs="Arial"/>
          <w:sz w:val="20"/>
          <w:szCs w:val="20"/>
          <w:lang w:val="en-AU"/>
        </w:rPr>
      </w:pPr>
      <w:r>
        <w:rPr>
          <w:rFonts w:ascii="Arial" w:hAnsi="Arial" w:cs="Arial"/>
          <w:sz w:val="20"/>
          <w:szCs w:val="20"/>
          <w:lang w:val="en-AU"/>
        </w:rPr>
        <w:t xml:space="preserve">The ACMA has assessed whether the </w:t>
      </w:r>
      <w:r w:rsidR="00E23A42">
        <w:rPr>
          <w:rFonts w:ascii="Arial" w:hAnsi="Arial" w:cs="Arial"/>
          <w:sz w:val="20"/>
          <w:szCs w:val="20"/>
          <w:lang w:val="en-AU"/>
        </w:rPr>
        <w:t xml:space="preserve">Variation </w:t>
      </w:r>
      <w:r>
        <w:rPr>
          <w:rFonts w:ascii="Arial" w:hAnsi="Arial" w:cs="Arial"/>
          <w:sz w:val="20"/>
          <w:szCs w:val="20"/>
          <w:lang w:val="en-AU"/>
        </w:rPr>
        <w:t xml:space="preserve">instrument is compatible with human rights, being the rights and freedoms recognised or declared by the international instruments listed in subsection 3(1) of the </w:t>
      </w:r>
      <w:r>
        <w:rPr>
          <w:rFonts w:ascii="Arial" w:hAnsi="Arial" w:cs="Arial"/>
          <w:i/>
          <w:sz w:val="20"/>
          <w:szCs w:val="20"/>
          <w:lang w:val="en-AU"/>
        </w:rPr>
        <w:t>Human Rights (Parliamentary Scrutiny) Act 2011</w:t>
      </w:r>
      <w:r>
        <w:rPr>
          <w:rFonts w:ascii="Arial" w:hAnsi="Arial" w:cs="Arial"/>
          <w:sz w:val="20"/>
          <w:szCs w:val="20"/>
          <w:lang w:val="en-AU"/>
        </w:rPr>
        <w:t xml:space="preserve"> as they apply to Australia.</w:t>
      </w:r>
    </w:p>
    <w:p w14:paraId="7B33DF75" w14:textId="552E3195" w:rsidR="00551BA3" w:rsidRDefault="00551BA3" w:rsidP="004D6DFD">
      <w:pPr>
        <w:jc w:val="both"/>
        <w:rPr>
          <w:rFonts w:ascii="Arial" w:hAnsi="Arial" w:cs="Arial"/>
          <w:sz w:val="20"/>
          <w:szCs w:val="20"/>
          <w:lang w:val="en-AU"/>
        </w:rPr>
      </w:pPr>
      <w:r>
        <w:rPr>
          <w:rFonts w:ascii="Arial" w:hAnsi="Arial" w:cs="Arial"/>
          <w:sz w:val="20"/>
          <w:szCs w:val="20"/>
          <w:lang w:val="en-AU"/>
        </w:rPr>
        <w:br/>
      </w:r>
      <w:r w:rsidR="00F705BF" w:rsidRPr="00F705BF">
        <w:rPr>
          <w:rFonts w:ascii="Arial" w:hAnsi="Arial" w:cs="Arial"/>
          <w:sz w:val="20"/>
          <w:szCs w:val="20"/>
          <w:lang w:val="en-AU"/>
        </w:rPr>
        <w:t xml:space="preserve">The statement of compatibility set out in </w:t>
      </w:r>
      <w:r w:rsidR="00F705BF" w:rsidRPr="00F705BF">
        <w:rPr>
          <w:rFonts w:ascii="Arial" w:hAnsi="Arial" w:cs="Arial"/>
          <w:b/>
          <w:sz w:val="20"/>
          <w:szCs w:val="20"/>
          <w:lang w:val="en-AU"/>
        </w:rPr>
        <w:t>Attachment B</w:t>
      </w:r>
      <w:r w:rsidR="00F705BF" w:rsidRPr="00F705BF">
        <w:rPr>
          <w:rFonts w:ascii="Arial" w:hAnsi="Arial" w:cs="Arial"/>
          <w:sz w:val="20"/>
          <w:szCs w:val="20"/>
          <w:lang w:val="en-AU"/>
        </w:rPr>
        <w:t xml:space="preserve"> has been prepared to meet that requirement.</w:t>
      </w:r>
    </w:p>
    <w:p w14:paraId="1010887D" w14:textId="77777777" w:rsidR="00551BA3" w:rsidRDefault="00551BA3" w:rsidP="004D6DFD">
      <w:pPr>
        <w:jc w:val="both"/>
        <w:rPr>
          <w:rFonts w:ascii="Arial" w:hAnsi="Arial" w:cs="Arial"/>
          <w:sz w:val="20"/>
          <w:szCs w:val="20"/>
          <w:lang w:val="en-AU"/>
        </w:rPr>
      </w:pPr>
    </w:p>
    <w:p w14:paraId="6550D5FC" w14:textId="77777777" w:rsidR="00551BA3" w:rsidRDefault="00551BA3" w:rsidP="004D6DFD">
      <w:pPr>
        <w:jc w:val="both"/>
        <w:rPr>
          <w:rFonts w:ascii="Arial" w:hAnsi="Arial" w:cs="Arial"/>
          <w:b/>
          <w:sz w:val="20"/>
          <w:szCs w:val="20"/>
          <w:lang w:val="en-AU"/>
        </w:rPr>
      </w:pPr>
      <w:r>
        <w:rPr>
          <w:rFonts w:ascii="Arial" w:hAnsi="Arial" w:cs="Arial"/>
          <w:b/>
          <w:sz w:val="20"/>
          <w:szCs w:val="20"/>
          <w:lang w:val="en-AU"/>
        </w:rPr>
        <w:t>Conclusion</w:t>
      </w:r>
    </w:p>
    <w:p w14:paraId="692E15B0" w14:textId="77777777" w:rsidR="00551BA3" w:rsidRDefault="00551BA3" w:rsidP="004D6DFD">
      <w:pPr>
        <w:jc w:val="both"/>
        <w:rPr>
          <w:rFonts w:ascii="Arial" w:hAnsi="Arial" w:cs="Arial"/>
          <w:sz w:val="20"/>
          <w:szCs w:val="20"/>
          <w:lang w:val="en-AU"/>
        </w:rPr>
      </w:pPr>
    </w:p>
    <w:p w14:paraId="2802E56B" w14:textId="77777777" w:rsidR="00551BA3" w:rsidRPr="00551BA3" w:rsidRDefault="00551BA3" w:rsidP="004D6DFD">
      <w:pPr>
        <w:jc w:val="both"/>
        <w:rPr>
          <w:rFonts w:ascii="Arial" w:hAnsi="Arial" w:cs="Arial"/>
          <w:sz w:val="20"/>
          <w:szCs w:val="20"/>
          <w:lang w:val="en-AU"/>
        </w:rPr>
      </w:pPr>
      <w:r>
        <w:rPr>
          <w:rFonts w:ascii="Arial" w:hAnsi="Arial" w:cs="Arial"/>
          <w:sz w:val="20"/>
          <w:szCs w:val="20"/>
          <w:lang w:val="en-AU"/>
        </w:rPr>
        <w:t xml:space="preserve">The instrument is compatible with human rights as it does not raise any human rights issues.  </w:t>
      </w:r>
    </w:p>
    <w:p w14:paraId="1228039B" w14:textId="77777777" w:rsidR="00145956" w:rsidRPr="00D34BBD" w:rsidRDefault="00145956" w:rsidP="004D6DFD">
      <w:pPr>
        <w:jc w:val="both"/>
        <w:rPr>
          <w:rFonts w:ascii="Arial" w:hAnsi="Arial" w:cs="Arial"/>
          <w:b/>
          <w:sz w:val="20"/>
          <w:szCs w:val="20"/>
          <w:lang w:val="en-AU"/>
        </w:rPr>
      </w:pPr>
    </w:p>
    <w:p w14:paraId="241EFA99" w14:textId="77777777" w:rsidR="000C47EA" w:rsidRDefault="000C47EA">
      <w:pPr>
        <w:rPr>
          <w:rFonts w:ascii="Arial" w:hAnsi="Arial" w:cs="Arial"/>
          <w:b/>
          <w:sz w:val="20"/>
          <w:szCs w:val="20"/>
          <w:lang w:val="en-AU"/>
        </w:rPr>
      </w:pPr>
      <w:r>
        <w:rPr>
          <w:rFonts w:ascii="Arial" w:hAnsi="Arial" w:cs="Arial"/>
          <w:b/>
          <w:sz w:val="20"/>
          <w:szCs w:val="20"/>
          <w:lang w:val="en-AU"/>
        </w:rPr>
        <w:br w:type="page"/>
      </w:r>
    </w:p>
    <w:p w14:paraId="53807647" w14:textId="77777777" w:rsidR="000C4658" w:rsidRPr="000C4658" w:rsidRDefault="000C4658" w:rsidP="00286A08">
      <w:pPr>
        <w:spacing w:after="240"/>
        <w:jc w:val="right"/>
        <w:outlineLvl w:val="0"/>
        <w:rPr>
          <w:rFonts w:ascii="Arial" w:hAnsi="Arial" w:cs="Arial"/>
          <w:b/>
          <w:sz w:val="20"/>
          <w:szCs w:val="20"/>
          <w:lang w:val="en-AU"/>
        </w:rPr>
      </w:pPr>
      <w:r>
        <w:rPr>
          <w:rFonts w:ascii="Arial" w:hAnsi="Arial" w:cs="Arial"/>
          <w:b/>
          <w:sz w:val="20"/>
          <w:szCs w:val="20"/>
          <w:lang w:val="en-AU"/>
        </w:rPr>
        <w:t>Attachment A</w:t>
      </w:r>
    </w:p>
    <w:p w14:paraId="02467290" w14:textId="3E2CAA19" w:rsidR="00145956" w:rsidRPr="000C4658" w:rsidRDefault="00102B0B" w:rsidP="00286A08">
      <w:pPr>
        <w:spacing w:after="240"/>
        <w:jc w:val="center"/>
        <w:outlineLvl w:val="0"/>
        <w:rPr>
          <w:rFonts w:ascii="Arial" w:hAnsi="Arial" w:cs="Arial"/>
          <w:b/>
          <w:sz w:val="20"/>
          <w:szCs w:val="20"/>
          <w:lang w:val="en-AU"/>
        </w:rPr>
      </w:pPr>
      <w:r>
        <w:rPr>
          <w:rFonts w:ascii="Arial" w:hAnsi="Arial" w:cs="Arial"/>
          <w:b/>
          <w:sz w:val="20"/>
          <w:szCs w:val="20"/>
          <w:lang w:val="en-AU"/>
        </w:rPr>
        <w:t>Notes to</w:t>
      </w:r>
      <w:r w:rsidR="000C47EA" w:rsidRPr="000C4658">
        <w:rPr>
          <w:rFonts w:ascii="Arial" w:hAnsi="Arial" w:cs="Arial"/>
          <w:b/>
          <w:sz w:val="20"/>
          <w:szCs w:val="20"/>
          <w:lang w:val="en-AU"/>
        </w:rPr>
        <w:t xml:space="preserve"> the </w:t>
      </w:r>
      <w:r w:rsidR="00152D1E" w:rsidRPr="00152D1E">
        <w:rPr>
          <w:rFonts w:ascii="Arial" w:hAnsi="Arial" w:cs="Arial"/>
          <w:b/>
          <w:i/>
          <w:sz w:val="20"/>
          <w:szCs w:val="20"/>
          <w:lang w:val="en-AU"/>
        </w:rPr>
        <w:t>Radiocommunications (Unacceptable Levels of Interference — 2 GHz Band) Determination Variation 2017 (No. 1)</w:t>
      </w:r>
    </w:p>
    <w:p w14:paraId="63A5BFF3" w14:textId="77777777" w:rsidR="00145956" w:rsidRPr="00D34BBD" w:rsidRDefault="00145956" w:rsidP="004D6DFD">
      <w:pPr>
        <w:jc w:val="both"/>
        <w:rPr>
          <w:rFonts w:ascii="Arial" w:hAnsi="Arial" w:cs="Arial"/>
          <w:b/>
          <w:sz w:val="20"/>
          <w:szCs w:val="20"/>
          <w:lang w:val="en-AU"/>
        </w:rPr>
      </w:pPr>
    </w:p>
    <w:p w14:paraId="68C1AB9D" w14:textId="77777777" w:rsidR="00145956" w:rsidRPr="00D34BBD" w:rsidRDefault="00765927" w:rsidP="004D6DFD">
      <w:pPr>
        <w:jc w:val="both"/>
        <w:outlineLvl w:val="0"/>
        <w:rPr>
          <w:rFonts w:ascii="Arial" w:hAnsi="Arial" w:cs="Arial"/>
          <w:b/>
          <w:sz w:val="20"/>
          <w:szCs w:val="20"/>
          <w:lang w:val="en-AU"/>
        </w:rPr>
      </w:pPr>
      <w:r w:rsidRPr="00D34BBD">
        <w:rPr>
          <w:rFonts w:ascii="Arial" w:hAnsi="Arial" w:cs="Arial"/>
          <w:b/>
          <w:sz w:val="20"/>
          <w:szCs w:val="20"/>
          <w:lang w:val="en-AU"/>
        </w:rPr>
        <w:t>Section</w:t>
      </w:r>
      <w:r w:rsidR="002D0747" w:rsidRPr="00D34BBD">
        <w:rPr>
          <w:rFonts w:ascii="Arial" w:hAnsi="Arial" w:cs="Arial"/>
          <w:b/>
          <w:sz w:val="20"/>
          <w:szCs w:val="20"/>
          <w:lang w:val="en-AU"/>
        </w:rPr>
        <w:t xml:space="preserve"> 1 – Name </w:t>
      </w:r>
    </w:p>
    <w:p w14:paraId="68E18AD0" w14:textId="77777777" w:rsidR="00D207F7" w:rsidRPr="00D34BBD" w:rsidRDefault="00D207F7" w:rsidP="004D6DFD">
      <w:pPr>
        <w:jc w:val="both"/>
        <w:rPr>
          <w:rFonts w:ascii="Arial" w:hAnsi="Arial" w:cs="Arial"/>
          <w:sz w:val="20"/>
          <w:szCs w:val="20"/>
          <w:lang w:val="en-AU"/>
        </w:rPr>
      </w:pPr>
    </w:p>
    <w:p w14:paraId="2F97332B" w14:textId="77777777" w:rsidR="00145956" w:rsidRPr="00D34BBD" w:rsidRDefault="000C4658" w:rsidP="004D6DFD">
      <w:pPr>
        <w:jc w:val="both"/>
        <w:rPr>
          <w:rFonts w:ascii="Arial" w:hAnsi="Arial" w:cs="Arial"/>
          <w:sz w:val="20"/>
          <w:szCs w:val="20"/>
          <w:lang w:val="en-AU"/>
        </w:rPr>
      </w:pPr>
      <w:r>
        <w:rPr>
          <w:rFonts w:ascii="Arial" w:hAnsi="Arial" w:cs="Arial"/>
          <w:sz w:val="20"/>
          <w:szCs w:val="20"/>
          <w:lang w:val="en-AU"/>
        </w:rPr>
        <w:t>Section 1</w:t>
      </w:r>
      <w:r w:rsidR="00836EC7" w:rsidRPr="00D34BBD">
        <w:rPr>
          <w:rFonts w:ascii="Arial" w:hAnsi="Arial" w:cs="Arial"/>
          <w:sz w:val="20"/>
          <w:szCs w:val="20"/>
          <w:lang w:val="en-AU"/>
        </w:rPr>
        <w:t xml:space="preserve"> </w:t>
      </w:r>
      <w:r w:rsidR="00977518" w:rsidRPr="00D34BBD">
        <w:rPr>
          <w:rFonts w:ascii="Arial" w:hAnsi="Arial" w:cs="Arial"/>
          <w:sz w:val="20"/>
          <w:szCs w:val="20"/>
          <w:lang w:val="en-AU"/>
        </w:rPr>
        <w:t xml:space="preserve">provides </w:t>
      </w:r>
      <w:r w:rsidR="00152D1E">
        <w:rPr>
          <w:rFonts w:ascii="Arial" w:hAnsi="Arial" w:cs="Arial"/>
          <w:sz w:val="20"/>
          <w:szCs w:val="20"/>
          <w:lang w:val="en-AU"/>
        </w:rPr>
        <w:t xml:space="preserve">the name of </w:t>
      </w:r>
      <w:r w:rsidR="00977518" w:rsidRPr="00D34BBD">
        <w:rPr>
          <w:rFonts w:ascii="Arial" w:hAnsi="Arial" w:cs="Arial"/>
          <w:sz w:val="20"/>
          <w:szCs w:val="20"/>
          <w:lang w:val="en-AU"/>
        </w:rPr>
        <w:t xml:space="preserve">the </w:t>
      </w:r>
      <w:r w:rsidR="00152D1E">
        <w:rPr>
          <w:rFonts w:ascii="Arial" w:hAnsi="Arial" w:cs="Arial"/>
          <w:sz w:val="20"/>
          <w:szCs w:val="20"/>
          <w:lang w:val="en-AU"/>
        </w:rPr>
        <w:t xml:space="preserve">instrument </w:t>
      </w:r>
      <w:r w:rsidR="00977518" w:rsidRPr="00D34BBD">
        <w:rPr>
          <w:rFonts w:ascii="Arial" w:hAnsi="Arial" w:cs="Arial"/>
          <w:sz w:val="20"/>
          <w:szCs w:val="20"/>
          <w:lang w:val="en-AU"/>
        </w:rPr>
        <w:t>is the</w:t>
      </w:r>
      <w:r w:rsidR="00B23764" w:rsidRPr="00D34BBD">
        <w:rPr>
          <w:rFonts w:ascii="Arial" w:hAnsi="Arial" w:cs="Arial"/>
          <w:sz w:val="20"/>
          <w:szCs w:val="20"/>
          <w:lang w:val="en-AU"/>
        </w:rPr>
        <w:t xml:space="preserve"> </w:t>
      </w:r>
      <w:r w:rsidR="00152D1E" w:rsidRPr="00152D1E">
        <w:rPr>
          <w:rFonts w:ascii="Arial" w:hAnsi="Arial" w:cs="Arial"/>
          <w:i/>
          <w:sz w:val="20"/>
          <w:szCs w:val="20"/>
          <w:lang w:val="en-AU"/>
        </w:rPr>
        <w:t>Radiocommunications (Unacceptable Levels of Interference — 2 GHz Band) Determination Variation 2017 (No. 1)</w:t>
      </w:r>
      <w:r w:rsidR="00462985" w:rsidRPr="00D34BBD">
        <w:rPr>
          <w:rFonts w:ascii="Arial" w:hAnsi="Arial" w:cs="Arial"/>
          <w:sz w:val="20"/>
          <w:szCs w:val="20"/>
          <w:lang w:val="en-AU"/>
        </w:rPr>
        <w:t>.</w:t>
      </w:r>
    </w:p>
    <w:p w14:paraId="5692B7C9" w14:textId="77777777" w:rsidR="00145956" w:rsidRPr="00D34BBD" w:rsidRDefault="00145956" w:rsidP="004D6DFD">
      <w:pPr>
        <w:jc w:val="both"/>
        <w:rPr>
          <w:rFonts w:ascii="Arial" w:hAnsi="Arial" w:cs="Arial"/>
          <w:b/>
          <w:sz w:val="20"/>
          <w:szCs w:val="20"/>
          <w:lang w:val="en-AU"/>
        </w:rPr>
      </w:pPr>
    </w:p>
    <w:p w14:paraId="55A17894" w14:textId="77777777" w:rsidR="00145956" w:rsidRPr="00D34BBD" w:rsidRDefault="00765927" w:rsidP="004D6DFD">
      <w:pPr>
        <w:jc w:val="both"/>
        <w:outlineLvl w:val="0"/>
        <w:rPr>
          <w:rFonts w:ascii="Arial" w:hAnsi="Arial" w:cs="Arial"/>
          <w:b/>
          <w:sz w:val="20"/>
          <w:szCs w:val="20"/>
          <w:lang w:val="en-AU"/>
        </w:rPr>
      </w:pPr>
      <w:r w:rsidRPr="00D34BBD">
        <w:rPr>
          <w:rFonts w:ascii="Arial" w:hAnsi="Arial" w:cs="Arial"/>
          <w:b/>
          <w:sz w:val="20"/>
          <w:szCs w:val="20"/>
          <w:lang w:val="en-AU"/>
        </w:rPr>
        <w:t>Section</w:t>
      </w:r>
      <w:r w:rsidR="002D0747" w:rsidRPr="00D34BBD">
        <w:rPr>
          <w:rFonts w:ascii="Arial" w:hAnsi="Arial" w:cs="Arial"/>
          <w:b/>
          <w:sz w:val="20"/>
          <w:szCs w:val="20"/>
          <w:lang w:val="en-AU"/>
        </w:rPr>
        <w:t xml:space="preserve"> 2 </w:t>
      </w:r>
      <w:r w:rsidR="00333871" w:rsidRPr="00D34BBD">
        <w:rPr>
          <w:rFonts w:ascii="Arial" w:hAnsi="Arial" w:cs="Arial"/>
          <w:b/>
          <w:sz w:val="20"/>
          <w:szCs w:val="20"/>
          <w:lang w:val="en-AU"/>
        </w:rPr>
        <w:t>–</w:t>
      </w:r>
      <w:r w:rsidR="002D0747" w:rsidRPr="00D34BBD">
        <w:rPr>
          <w:rFonts w:ascii="Arial" w:hAnsi="Arial" w:cs="Arial"/>
          <w:b/>
          <w:sz w:val="20"/>
          <w:szCs w:val="20"/>
          <w:lang w:val="en-AU"/>
        </w:rPr>
        <w:t xml:space="preserve"> Commencement </w:t>
      </w:r>
    </w:p>
    <w:p w14:paraId="2E9BA873" w14:textId="77777777" w:rsidR="00D207F7" w:rsidRPr="00D34BBD" w:rsidRDefault="00D207F7" w:rsidP="004D6DFD">
      <w:pPr>
        <w:jc w:val="both"/>
        <w:rPr>
          <w:rFonts w:ascii="Arial" w:hAnsi="Arial" w:cs="Arial"/>
          <w:sz w:val="20"/>
          <w:szCs w:val="20"/>
          <w:lang w:val="en-AU"/>
        </w:rPr>
      </w:pPr>
    </w:p>
    <w:p w14:paraId="2499FFB9" w14:textId="66468C61" w:rsidR="00145956" w:rsidRPr="00D34BBD" w:rsidRDefault="00411FBF" w:rsidP="004D6DFD">
      <w:pPr>
        <w:jc w:val="both"/>
        <w:rPr>
          <w:rFonts w:ascii="Arial" w:hAnsi="Arial" w:cs="Arial"/>
          <w:sz w:val="20"/>
          <w:szCs w:val="20"/>
          <w:lang w:val="en-AU"/>
        </w:rPr>
      </w:pPr>
      <w:r>
        <w:rPr>
          <w:rFonts w:ascii="Arial" w:hAnsi="Arial" w:cs="Arial"/>
          <w:sz w:val="20"/>
          <w:szCs w:val="20"/>
          <w:lang w:val="en-AU"/>
        </w:rPr>
        <w:t>Section 2 provides</w:t>
      </w:r>
      <w:r w:rsidR="00A97959" w:rsidRPr="00D34BBD">
        <w:rPr>
          <w:rFonts w:ascii="Arial" w:hAnsi="Arial" w:cs="Arial"/>
          <w:sz w:val="20"/>
          <w:szCs w:val="20"/>
          <w:lang w:val="en-AU"/>
        </w:rPr>
        <w:t xml:space="preserve"> that </w:t>
      </w:r>
      <w:r w:rsidR="00152D1E">
        <w:rPr>
          <w:rFonts w:ascii="Arial" w:hAnsi="Arial" w:cs="Arial"/>
          <w:sz w:val="20"/>
          <w:szCs w:val="20"/>
          <w:lang w:val="en-AU"/>
        </w:rPr>
        <w:t>instrument commences</w:t>
      </w:r>
      <w:r w:rsidR="00A97959" w:rsidRPr="00D34BBD">
        <w:rPr>
          <w:rFonts w:ascii="Arial" w:hAnsi="Arial" w:cs="Arial"/>
          <w:sz w:val="20"/>
          <w:szCs w:val="20"/>
          <w:lang w:val="en-AU"/>
        </w:rPr>
        <w:t xml:space="preserve"> </w:t>
      </w:r>
      <w:r w:rsidR="00152D1E" w:rsidRPr="00152D1E">
        <w:rPr>
          <w:rFonts w:ascii="Arial" w:hAnsi="Arial" w:cs="Arial"/>
          <w:sz w:val="20"/>
          <w:szCs w:val="20"/>
          <w:lang w:val="en-AU"/>
        </w:rPr>
        <w:t xml:space="preserve">at the start of the day after </w:t>
      </w:r>
      <w:r w:rsidR="00607459">
        <w:rPr>
          <w:rFonts w:ascii="Arial" w:hAnsi="Arial" w:cs="Arial"/>
          <w:sz w:val="20"/>
          <w:szCs w:val="20"/>
          <w:lang w:val="en-AU"/>
        </w:rPr>
        <w:t xml:space="preserve">the </w:t>
      </w:r>
      <w:r w:rsidR="00607459" w:rsidRPr="00D21699">
        <w:rPr>
          <w:rFonts w:ascii="Arial" w:hAnsi="Arial" w:cs="Arial"/>
          <w:i/>
          <w:sz w:val="20"/>
          <w:szCs w:val="20"/>
          <w:lang w:val="en-AU"/>
        </w:rPr>
        <w:t>Radiocommunications (Register of Radiocommunications Licences) Determination 2017</w:t>
      </w:r>
      <w:r w:rsidR="00152D1E" w:rsidRPr="00152D1E">
        <w:rPr>
          <w:rFonts w:ascii="Arial" w:hAnsi="Arial" w:cs="Arial"/>
          <w:sz w:val="20"/>
          <w:szCs w:val="20"/>
          <w:lang w:val="en-AU"/>
        </w:rPr>
        <w:t xml:space="preserve"> is registered on the Federal Register of Legislation.</w:t>
      </w:r>
    </w:p>
    <w:p w14:paraId="42F41BAC" w14:textId="77777777" w:rsidR="00145956" w:rsidRPr="00D34BBD" w:rsidRDefault="00145956" w:rsidP="004D6DFD">
      <w:pPr>
        <w:jc w:val="both"/>
        <w:rPr>
          <w:rFonts w:ascii="Arial" w:hAnsi="Arial" w:cs="Arial"/>
          <w:b/>
          <w:sz w:val="20"/>
          <w:szCs w:val="20"/>
          <w:lang w:val="en-AU"/>
        </w:rPr>
      </w:pPr>
    </w:p>
    <w:p w14:paraId="29D6698E" w14:textId="77777777" w:rsidR="00145956" w:rsidRPr="00D34BBD" w:rsidRDefault="001B30AB" w:rsidP="004D6DFD">
      <w:pPr>
        <w:jc w:val="both"/>
        <w:outlineLvl w:val="0"/>
        <w:rPr>
          <w:rFonts w:ascii="Arial" w:hAnsi="Arial" w:cs="Arial"/>
          <w:b/>
          <w:sz w:val="20"/>
          <w:szCs w:val="20"/>
          <w:lang w:val="en-AU"/>
        </w:rPr>
      </w:pPr>
      <w:r w:rsidRPr="00D34BBD">
        <w:rPr>
          <w:rFonts w:ascii="Arial" w:hAnsi="Arial" w:cs="Arial"/>
          <w:b/>
          <w:sz w:val="20"/>
          <w:szCs w:val="20"/>
          <w:lang w:val="en-AU"/>
        </w:rPr>
        <w:t>Section</w:t>
      </w:r>
      <w:r w:rsidR="006F778E" w:rsidRPr="00D34BBD">
        <w:rPr>
          <w:rFonts w:ascii="Arial" w:hAnsi="Arial" w:cs="Arial"/>
          <w:b/>
          <w:sz w:val="20"/>
          <w:szCs w:val="20"/>
          <w:lang w:val="en-AU"/>
        </w:rPr>
        <w:t xml:space="preserve"> 3 </w:t>
      </w:r>
      <w:r w:rsidRPr="00D34BBD">
        <w:rPr>
          <w:rFonts w:ascii="Arial" w:hAnsi="Arial" w:cs="Arial"/>
          <w:b/>
          <w:sz w:val="20"/>
          <w:szCs w:val="20"/>
          <w:lang w:val="en-AU"/>
        </w:rPr>
        <w:t>–</w:t>
      </w:r>
      <w:r w:rsidR="006F778E" w:rsidRPr="00D34BBD">
        <w:rPr>
          <w:rFonts w:ascii="Arial" w:hAnsi="Arial" w:cs="Arial"/>
          <w:b/>
          <w:sz w:val="20"/>
          <w:szCs w:val="20"/>
          <w:lang w:val="en-AU"/>
        </w:rPr>
        <w:t xml:space="preserve"> </w:t>
      </w:r>
      <w:r w:rsidR="00152D1E">
        <w:rPr>
          <w:rFonts w:ascii="Arial" w:hAnsi="Arial" w:cs="Arial"/>
          <w:b/>
          <w:sz w:val="20"/>
          <w:szCs w:val="20"/>
          <w:lang w:val="en-AU"/>
        </w:rPr>
        <w:t>Authority</w:t>
      </w:r>
    </w:p>
    <w:p w14:paraId="219C3EC9" w14:textId="77777777" w:rsidR="00D207F7" w:rsidRPr="00D34BBD" w:rsidRDefault="00D207F7" w:rsidP="004D6DFD">
      <w:pPr>
        <w:jc w:val="both"/>
        <w:rPr>
          <w:rFonts w:ascii="Arial" w:hAnsi="Arial" w:cs="Arial"/>
          <w:sz w:val="20"/>
          <w:szCs w:val="20"/>
          <w:lang w:val="en-AU"/>
        </w:rPr>
      </w:pPr>
    </w:p>
    <w:p w14:paraId="02216277" w14:textId="77777777" w:rsidR="00145956" w:rsidRPr="00D34BBD" w:rsidRDefault="00152D1E" w:rsidP="004D6DFD">
      <w:pPr>
        <w:jc w:val="both"/>
        <w:rPr>
          <w:rFonts w:ascii="Arial" w:hAnsi="Arial" w:cs="Arial"/>
          <w:sz w:val="20"/>
          <w:szCs w:val="20"/>
          <w:lang w:val="en-AU"/>
        </w:rPr>
      </w:pPr>
      <w:r>
        <w:rPr>
          <w:rFonts w:ascii="Arial" w:hAnsi="Arial" w:cs="Arial"/>
          <w:sz w:val="20"/>
          <w:szCs w:val="20"/>
          <w:lang w:val="en-AU"/>
        </w:rPr>
        <w:t>Section 3 specifies the section of the Act the instrument is made under.</w:t>
      </w:r>
    </w:p>
    <w:p w14:paraId="55CB209B" w14:textId="77777777" w:rsidR="00145956" w:rsidRPr="00D34BBD" w:rsidRDefault="00145956" w:rsidP="004D6DFD">
      <w:pPr>
        <w:ind w:left="570" w:hanging="570"/>
        <w:jc w:val="both"/>
        <w:rPr>
          <w:rFonts w:ascii="Arial" w:hAnsi="Arial" w:cs="Arial"/>
          <w:sz w:val="20"/>
          <w:szCs w:val="20"/>
          <w:lang w:val="en-AU"/>
        </w:rPr>
      </w:pPr>
    </w:p>
    <w:p w14:paraId="6CAECF0C" w14:textId="77777777" w:rsidR="00145956" w:rsidRPr="00D34BBD" w:rsidRDefault="001B30AB" w:rsidP="004D6DFD">
      <w:pPr>
        <w:keepNext/>
        <w:keepLines/>
        <w:jc w:val="both"/>
        <w:outlineLvl w:val="0"/>
        <w:rPr>
          <w:rFonts w:ascii="Arial" w:hAnsi="Arial" w:cs="Arial"/>
          <w:sz w:val="20"/>
          <w:szCs w:val="20"/>
          <w:lang w:val="en-AU"/>
        </w:rPr>
      </w:pPr>
      <w:r w:rsidRPr="00D34BBD">
        <w:rPr>
          <w:rFonts w:ascii="Arial" w:hAnsi="Arial" w:cs="Arial"/>
          <w:b/>
          <w:sz w:val="20"/>
          <w:szCs w:val="20"/>
          <w:lang w:val="en-AU"/>
        </w:rPr>
        <w:t xml:space="preserve">Section </w:t>
      </w:r>
      <w:r w:rsidR="005908D2" w:rsidRPr="00D34BBD">
        <w:rPr>
          <w:rFonts w:ascii="Arial" w:hAnsi="Arial" w:cs="Arial"/>
          <w:b/>
          <w:sz w:val="20"/>
          <w:szCs w:val="20"/>
          <w:lang w:val="en-AU"/>
        </w:rPr>
        <w:t xml:space="preserve">4 </w:t>
      </w:r>
      <w:r w:rsidRPr="00D34BBD">
        <w:rPr>
          <w:rFonts w:ascii="Arial" w:hAnsi="Arial" w:cs="Arial"/>
          <w:b/>
          <w:sz w:val="20"/>
          <w:szCs w:val="20"/>
          <w:lang w:val="en-AU"/>
        </w:rPr>
        <w:t>–</w:t>
      </w:r>
      <w:r w:rsidR="005908D2" w:rsidRPr="00D34BBD">
        <w:rPr>
          <w:rFonts w:ascii="Arial" w:hAnsi="Arial" w:cs="Arial"/>
          <w:b/>
          <w:sz w:val="20"/>
          <w:szCs w:val="20"/>
          <w:lang w:val="en-AU"/>
        </w:rPr>
        <w:t xml:space="preserve"> </w:t>
      </w:r>
      <w:r w:rsidR="00152D1E">
        <w:rPr>
          <w:rFonts w:ascii="Arial" w:hAnsi="Arial" w:cs="Arial"/>
          <w:b/>
          <w:sz w:val="20"/>
          <w:szCs w:val="20"/>
          <w:lang w:val="en-AU"/>
        </w:rPr>
        <w:t>Amendments</w:t>
      </w:r>
      <w:r w:rsidRPr="00D34BBD">
        <w:rPr>
          <w:rFonts w:ascii="Arial" w:hAnsi="Arial" w:cs="Arial"/>
          <w:b/>
          <w:sz w:val="20"/>
          <w:szCs w:val="20"/>
          <w:lang w:val="en-AU"/>
        </w:rPr>
        <w:t xml:space="preserve"> </w:t>
      </w:r>
    </w:p>
    <w:p w14:paraId="0949F00E" w14:textId="77777777" w:rsidR="00D207F7" w:rsidRPr="00D34BBD" w:rsidRDefault="00D207F7" w:rsidP="004D6DFD">
      <w:pPr>
        <w:jc w:val="both"/>
        <w:rPr>
          <w:rFonts w:ascii="Arial" w:hAnsi="Arial" w:cs="Arial"/>
          <w:sz w:val="20"/>
          <w:szCs w:val="20"/>
          <w:lang w:val="en-AU"/>
        </w:rPr>
      </w:pPr>
    </w:p>
    <w:p w14:paraId="748B03C0" w14:textId="3B845362" w:rsidR="00716AD1" w:rsidRDefault="00152D1E" w:rsidP="004D6DFD">
      <w:pPr>
        <w:jc w:val="both"/>
        <w:rPr>
          <w:rFonts w:ascii="Arial" w:hAnsi="Arial" w:cs="Arial"/>
          <w:sz w:val="20"/>
          <w:szCs w:val="20"/>
          <w:lang w:val="en-AU"/>
        </w:rPr>
      </w:pPr>
      <w:r>
        <w:rPr>
          <w:rFonts w:ascii="Arial" w:hAnsi="Arial" w:cs="Arial"/>
          <w:sz w:val="20"/>
          <w:szCs w:val="20"/>
          <w:lang w:val="en-AU"/>
        </w:rPr>
        <w:t xml:space="preserve">Section 4 </w:t>
      </w:r>
      <w:r w:rsidRPr="00761597">
        <w:rPr>
          <w:rFonts w:ascii="Arial" w:hAnsi="Arial" w:cs="Arial"/>
          <w:sz w:val="20"/>
          <w:szCs w:val="20"/>
          <w:lang w:val="en-AU"/>
        </w:rPr>
        <w:t xml:space="preserve">provides that Schedule 1 varies the </w:t>
      </w:r>
      <w:r w:rsidRPr="00152D1E">
        <w:rPr>
          <w:rFonts w:ascii="Arial" w:hAnsi="Arial" w:cs="Arial"/>
          <w:i/>
          <w:sz w:val="20"/>
          <w:szCs w:val="20"/>
          <w:lang w:val="en-AU"/>
        </w:rPr>
        <w:t xml:space="preserve">Radiocommunications (Unacceptable Levels of Interference — 2 GHz Band) Determination </w:t>
      </w:r>
      <w:r w:rsidR="00EF41B5">
        <w:rPr>
          <w:rFonts w:ascii="Arial" w:hAnsi="Arial" w:cs="Arial"/>
          <w:i/>
          <w:sz w:val="20"/>
          <w:szCs w:val="20"/>
          <w:lang w:val="en-AU"/>
        </w:rPr>
        <w:t>2016</w:t>
      </w:r>
      <w:r w:rsidRPr="00D34BBD">
        <w:rPr>
          <w:rFonts w:ascii="Arial" w:hAnsi="Arial" w:cs="Arial"/>
          <w:sz w:val="20"/>
          <w:szCs w:val="20"/>
          <w:lang w:val="en-AU"/>
        </w:rPr>
        <w:t>.</w:t>
      </w:r>
    </w:p>
    <w:p w14:paraId="141BE592" w14:textId="77777777" w:rsidR="00152D1E" w:rsidRPr="00D34BBD" w:rsidRDefault="00152D1E" w:rsidP="004D6DFD">
      <w:pPr>
        <w:jc w:val="both"/>
        <w:rPr>
          <w:rFonts w:ascii="Arial" w:hAnsi="Arial" w:cs="Arial"/>
          <w:sz w:val="20"/>
          <w:szCs w:val="20"/>
          <w:lang w:val="en-AU"/>
        </w:rPr>
      </w:pPr>
    </w:p>
    <w:p w14:paraId="0D42DF98" w14:textId="77777777" w:rsidR="00145956" w:rsidRPr="00D34BBD" w:rsidRDefault="00152D1E" w:rsidP="004D6DFD">
      <w:pPr>
        <w:keepNext/>
        <w:keepLines/>
        <w:jc w:val="both"/>
        <w:outlineLvl w:val="0"/>
        <w:rPr>
          <w:rFonts w:ascii="Arial" w:hAnsi="Arial" w:cs="Arial"/>
          <w:b/>
          <w:i/>
          <w:sz w:val="20"/>
          <w:szCs w:val="20"/>
          <w:lang w:val="en-AU"/>
        </w:rPr>
      </w:pPr>
      <w:r>
        <w:rPr>
          <w:rFonts w:ascii="Arial" w:hAnsi="Arial" w:cs="Arial"/>
          <w:b/>
          <w:sz w:val="20"/>
          <w:szCs w:val="20"/>
          <w:lang w:val="en-AU"/>
        </w:rPr>
        <w:t>Schedule 1</w:t>
      </w:r>
      <w:r w:rsidRPr="00D34BBD">
        <w:rPr>
          <w:rFonts w:ascii="Arial" w:hAnsi="Arial" w:cs="Arial"/>
          <w:b/>
          <w:sz w:val="20"/>
          <w:szCs w:val="20"/>
          <w:lang w:val="en-AU"/>
        </w:rPr>
        <w:t xml:space="preserve"> – </w:t>
      </w:r>
      <w:r>
        <w:rPr>
          <w:rFonts w:ascii="Arial" w:hAnsi="Arial" w:cs="Arial"/>
          <w:b/>
          <w:sz w:val="20"/>
          <w:szCs w:val="20"/>
          <w:lang w:val="en-AU"/>
        </w:rPr>
        <w:t>Amendments</w:t>
      </w:r>
    </w:p>
    <w:p w14:paraId="59887D9E" w14:textId="77777777" w:rsidR="00D207F7" w:rsidRPr="00D34BBD" w:rsidRDefault="00D207F7" w:rsidP="004D6DFD">
      <w:pPr>
        <w:keepNext/>
        <w:keepLines/>
        <w:jc w:val="both"/>
        <w:rPr>
          <w:rFonts w:ascii="Arial" w:hAnsi="Arial" w:cs="Arial"/>
          <w:sz w:val="20"/>
          <w:szCs w:val="20"/>
          <w:lang w:val="en-AU"/>
        </w:rPr>
      </w:pPr>
    </w:p>
    <w:p w14:paraId="64480777" w14:textId="5151AF59" w:rsidR="00152D1E" w:rsidRPr="00761597" w:rsidRDefault="00EF41B5" w:rsidP="00152D1E">
      <w:pPr>
        <w:jc w:val="both"/>
        <w:rPr>
          <w:rFonts w:ascii="Arial" w:hAnsi="Arial" w:cs="Arial"/>
          <w:b/>
          <w:sz w:val="20"/>
          <w:szCs w:val="20"/>
          <w:lang w:val="en-AU"/>
        </w:rPr>
      </w:pPr>
      <w:r>
        <w:rPr>
          <w:rFonts w:ascii="Arial" w:hAnsi="Arial" w:cs="Arial"/>
          <w:b/>
          <w:sz w:val="20"/>
          <w:szCs w:val="20"/>
          <w:lang w:val="en-AU"/>
        </w:rPr>
        <w:t xml:space="preserve">Item </w:t>
      </w:r>
      <w:r w:rsidR="00152D1E">
        <w:rPr>
          <w:rFonts w:ascii="Arial" w:hAnsi="Arial" w:cs="Arial"/>
          <w:b/>
          <w:sz w:val="20"/>
          <w:szCs w:val="20"/>
          <w:lang w:val="en-AU"/>
        </w:rPr>
        <w:t>1 Section 5</w:t>
      </w:r>
      <w:r w:rsidR="00152D1E" w:rsidRPr="00761597">
        <w:rPr>
          <w:rFonts w:ascii="Arial" w:hAnsi="Arial" w:cs="Arial"/>
          <w:b/>
          <w:sz w:val="20"/>
          <w:szCs w:val="20"/>
          <w:lang w:val="en-AU"/>
        </w:rPr>
        <w:t xml:space="preserve"> </w:t>
      </w:r>
      <w:r w:rsidR="00152D1E">
        <w:rPr>
          <w:rFonts w:ascii="Arial" w:hAnsi="Arial" w:cs="Arial"/>
          <w:b/>
          <w:sz w:val="20"/>
          <w:szCs w:val="20"/>
          <w:lang w:val="en-AU"/>
        </w:rPr>
        <w:t>Interpretation</w:t>
      </w:r>
    </w:p>
    <w:p w14:paraId="3A533DBE" w14:textId="77777777" w:rsidR="00152D1E" w:rsidRPr="00761597" w:rsidRDefault="00152D1E" w:rsidP="00152D1E">
      <w:pPr>
        <w:jc w:val="both"/>
        <w:rPr>
          <w:rFonts w:ascii="Arial" w:hAnsi="Arial" w:cs="Arial"/>
          <w:b/>
          <w:sz w:val="20"/>
          <w:szCs w:val="20"/>
          <w:lang w:val="en-AU"/>
        </w:rPr>
      </w:pPr>
    </w:p>
    <w:p w14:paraId="1DE9003F" w14:textId="77777777" w:rsidR="00EF41B5" w:rsidRPr="00EF41B5" w:rsidRDefault="00EF41B5" w:rsidP="00EF41B5">
      <w:pPr>
        <w:jc w:val="both"/>
        <w:rPr>
          <w:rFonts w:ascii="Arial" w:hAnsi="Arial" w:cs="Arial"/>
          <w:sz w:val="20"/>
          <w:szCs w:val="20"/>
          <w:lang w:val="en-AU"/>
        </w:rPr>
      </w:pPr>
      <w:r w:rsidRPr="00EF41B5">
        <w:rPr>
          <w:rFonts w:ascii="Arial" w:hAnsi="Arial" w:cs="Arial"/>
          <w:sz w:val="20"/>
          <w:szCs w:val="20"/>
          <w:lang w:val="en-AU"/>
        </w:rPr>
        <w:t>This item adds two new definitions necessary for the interpretation of the Determination as varied.</w:t>
      </w:r>
    </w:p>
    <w:p w14:paraId="5BF4B3A6" w14:textId="77777777" w:rsidR="00152D1E" w:rsidRPr="00D34BBD" w:rsidRDefault="00152D1E" w:rsidP="004D6DFD">
      <w:pPr>
        <w:keepNext/>
        <w:keepLines/>
        <w:jc w:val="both"/>
        <w:rPr>
          <w:rFonts w:ascii="Arial" w:hAnsi="Arial" w:cs="Arial"/>
          <w:sz w:val="20"/>
          <w:szCs w:val="20"/>
          <w:lang w:val="en-AU"/>
        </w:rPr>
      </w:pPr>
    </w:p>
    <w:p w14:paraId="559CC7E3" w14:textId="45C0C7BE" w:rsidR="000A40C3" w:rsidRPr="00761597" w:rsidRDefault="00EF41B5" w:rsidP="000A40C3">
      <w:pPr>
        <w:jc w:val="both"/>
        <w:rPr>
          <w:rFonts w:ascii="Arial" w:hAnsi="Arial" w:cs="Arial"/>
          <w:b/>
          <w:sz w:val="20"/>
          <w:szCs w:val="20"/>
          <w:lang w:val="en-AU"/>
        </w:rPr>
      </w:pPr>
      <w:r>
        <w:rPr>
          <w:rFonts w:ascii="Arial" w:hAnsi="Arial" w:cs="Arial"/>
          <w:b/>
          <w:sz w:val="20"/>
          <w:szCs w:val="20"/>
          <w:lang w:val="en-AU"/>
        </w:rPr>
        <w:t xml:space="preserve">Item </w:t>
      </w:r>
      <w:r w:rsidR="000A40C3">
        <w:rPr>
          <w:rFonts w:ascii="Arial" w:hAnsi="Arial" w:cs="Arial"/>
          <w:b/>
          <w:sz w:val="20"/>
          <w:szCs w:val="20"/>
          <w:lang w:val="en-AU"/>
        </w:rPr>
        <w:t>2 Subsection 9(4)</w:t>
      </w:r>
    </w:p>
    <w:p w14:paraId="7AAD2E78" w14:textId="77777777" w:rsidR="000A40C3" w:rsidRPr="00761597" w:rsidRDefault="000A40C3" w:rsidP="000A40C3">
      <w:pPr>
        <w:jc w:val="both"/>
        <w:rPr>
          <w:rFonts w:ascii="Arial" w:hAnsi="Arial" w:cs="Arial"/>
          <w:b/>
          <w:sz w:val="20"/>
          <w:szCs w:val="20"/>
          <w:lang w:val="en-AU"/>
        </w:rPr>
      </w:pPr>
    </w:p>
    <w:p w14:paraId="4BB1DFBA" w14:textId="77777777" w:rsidR="006B37DC" w:rsidRPr="00761597" w:rsidRDefault="006B37DC" w:rsidP="006B37DC">
      <w:pPr>
        <w:jc w:val="both"/>
        <w:rPr>
          <w:rFonts w:ascii="Arial" w:hAnsi="Arial" w:cs="Arial"/>
          <w:b/>
          <w:sz w:val="20"/>
          <w:szCs w:val="20"/>
          <w:lang w:val="en-AU"/>
        </w:rPr>
      </w:pPr>
    </w:p>
    <w:p w14:paraId="01E0D2F8" w14:textId="7CC54731" w:rsidR="006B37DC" w:rsidRPr="00761597" w:rsidRDefault="00EF41B5" w:rsidP="006B37DC">
      <w:pPr>
        <w:jc w:val="both"/>
        <w:rPr>
          <w:rFonts w:ascii="Arial" w:hAnsi="Arial" w:cs="Arial"/>
          <w:sz w:val="20"/>
          <w:szCs w:val="20"/>
          <w:lang w:val="en-AU"/>
        </w:rPr>
      </w:pPr>
      <w:r w:rsidRPr="00EF41B5">
        <w:rPr>
          <w:rFonts w:ascii="Arial" w:hAnsi="Arial" w:cs="Arial"/>
          <w:sz w:val="20"/>
          <w:szCs w:val="20"/>
          <w:lang w:val="en-AU"/>
        </w:rPr>
        <w:t>This item updates a cross reference to the remade RRL Determination. The</w:t>
      </w:r>
      <w:r>
        <w:rPr>
          <w:rFonts w:ascii="Arial" w:hAnsi="Arial" w:cs="Arial"/>
          <w:sz w:val="20"/>
          <w:szCs w:val="20"/>
          <w:lang w:val="en-AU"/>
        </w:rPr>
        <w:t xml:space="preserve"> item also adds</w:t>
      </w:r>
      <w:r w:rsidR="006B37DC">
        <w:rPr>
          <w:rFonts w:ascii="Arial" w:hAnsi="Arial" w:cs="Arial"/>
          <w:sz w:val="20"/>
          <w:szCs w:val="20"/>
          <w:lang w:val="en-AU"/>
        </w:rPr>
        <w:t xml:space="preserve"> a new subsection 9(5) to the Determination. This </w:t>
      </w:r>
      <w:r>
        <w:rPr>
          <w:rFonts w:ascii="Arial" w:hAnsi="Arial" w:cs="Arial"/>
          <w:sz w:val="20"/>
          <w:szCs w:val="20"/>
          <w:lang w:val="en-AU"/>
        </w:rPr>
        <w:t xml:space="preserve">new </w:t>
      </w:r>
      <w:r w:rsidR="006B37DC">
        <w:rPr>
          <w:rFonts w:ascii="Arial" w:hAnsi="Arial" w:cs="Arial"/>
          <w:sz w:val="20"/>
          <w:szCs w:val="20"/>
          <w:lang w:val="en-AU"/>
        </w:rPr>
        <w:t xml:space="preserve">subsection </w:t>
      </w:r>
      <w:r w:rsidR="006B37DC" w:rsidRPr="006B37DC">
        <w:rPr>
          <w:rFonts w:ascii="Arial" w:hAnsi="Arial" w:cs="Arial"/>
          <w:sz w:val="20"/>
          <w:szCs w:val="20"/>
          <w:lang w:val="en-AU"/>
        </w:rPr>
        <w:t>remove</w:t>
      </w:r>
      <w:r w:rsidR="006B37DC">
        <w:rPr>
          <w:rFonts w:ascii="Arial" w:hAnsi="Arial" w:cs="Arial"/>
          <w:sz w:val="20"/>
          <w:szCs w:val="20"/>
          <w:lang w:val="en-AU"/>
        </w:rPr>
        <w:t>s</w:t>
      </w:r>
      <w:r w:rsidR="006B37DC" w:rsidRPr="006B37DC">
        <w:rPr>
          <w:rFonts w:ascii="Arial" w:hAnsi="Arial" w:cs="Arial"/>
          <w:sz w:val="20"/>
          <w:szCs w:val="20"/>
          <w:lang w:val="en-AU"/>
        </w:rPr>
        <w:t xml:space="preserve"> the requirement for transmitters, operating under a spectrum licence in the 1920–1930 MHz and 2110–2120 MHz frequency ranges, to meet the device boundary criteria in the area defined by the excised MW4H6 HCIS identifier.</w:t>
      </w:r>
      <w:r w:rsidR="006B37DC">
        <w:rPr>
          <w:rFonts w:ascii="Arial" w:hAnsi="Arial" w:cs="Arial"/>
          <w:sz w:val="20"/>
          <w:szCs w:val="20"/>
          <w:lang w:val="en-AU"/>
        </w:rPr>
        <w:t xml:space="preserve"> This is because</w:t>
      </w:r>
      <w:r w:rsidR="006B37DC" w:rsidRPr="006B37DC">
        <w:rPr>
          <w:rFonts w:ascii="Arial" w:hAnsi="Arial" w:cs="Arial"/>
          <w:sz w:val="20"/>
          <w:szCs w:val="20"/>
          <w:lang w:val="en-AU"/>
        </w:rPr>
        <w:t xml:space="preserve"> there is no interference threat</w:t>
      </w:r>
      <w:r w:rsidR="005C22B0">
        <w:rPr>
          <w:rFonts w:ascii="Arial" w:hAnsi="Arial" w:cs="Arial"/>
          <w:sz w:val="20"/>
          <w:szCs w:val="20"/>
          <w:lang w:val="en-AU"/>
        </w:rPr>
        <w:t xml:space="preserve"> to</w:t>
      </w:r>
      <w:r w:rsidR="006B37DC">
        <w:rPr>
          <w:rFonts w:ascii="Arial" w:hAnsi="Arial" w:cs="Arial"/>
          <w:sz w:val="20"/>
          <w:szCs w:val="20"/>
          <w:lang w:val="en-AU"/>
        </w:rPr>
        <w:t xml:space="preserve"> devices operating in the excised area on those frequencies</w:t>
      </w:r>
      <w:r w:rsidR="006B37DC" w:rsidRPr="006B37DC">
        <w:rPr>
          <w:rFonts w:ascii="Arial" w:hAnsi="Arial" w:cs="Arial"/>
          <w:sz w:val="20"/>
          <w:szCs w:val="20"/>
          <w:lang w:val="en-AU"/>
        </w:rPr>
        <w:t xml:space="preserve">. </w:t>
      </w:r>
    </w:p>
    <w:p w14:paraId="4B87594B" w14:textId="073EA979" w:rsidR="00874559" w:rsidRDefault="00874559">
      <w:pPr>
        <w:rPr>
          <w:rFonts w:ascii="Arial" w:hAnsi="Arial" w:cs="Arial"/>
          <w:sz w:val="20"/>
          <w:szCs w:val="20"/>
          <w:lang w:val="en-AU"/>
        </w:rPr>
      </w:pPr>
      <w:r>
        <w:rPr>
          <w:rFonts w:ascii="Arial" w:hAnsi="Arial" w:cs="Arial"/>
          <w:sz w:val="20"/>
          <w:szCs w:val="20"/>
          <w:lang w:val="en-AU"/>
        </w:rPr>
        <w:br w:type="page"/>
      </w:r>
      <w:bookmarkStart w:id="0" w:name="_GoBack"/>
      <w:bookmarkEnd w:id="0"/>
    </w:p>
    <w:p w14:paraId="13E09ABF" w14:textId="77777777" w:rsidR="00874559" w:rsidRPr="00D34BBD" w:rsidRDefault="00874559" w:rsidP="00874559">
      <w:pPr>
        <w:spacing w:before="100" w:beforeAutospacing="1" w:after="100" w:afterAutospacing="1" w:line="360" w:lineRule="auto"/>
        <w:jc w:val="right"/>
        <w:rPr>
          <w:sz w:val="20"/>
          <w:szCs w:val="20"/>
          <w:lang w:val="en-AU" w:eastAsia="en-AU"/>
        </w:rPr>
      </w:pPr>
      <w:r w:rsidRPr="00D34BBD">
        <w:rPr>
          <w:rFonts w:ascii="Arial" w:hAnsi="Arial" w:cs="Arial"/>
          <w:b/>
          <w:bCs/>
          <w:sz w:val="20"/>
          <w:szCs w:val="20"/>
          <w:lang w:val="en-AU"/>
        </w:rPr>
        <w:t xml:space="preserve">ATTACHMENT </w:t>
      </w:r>
      <w:r>
        <w:rPr>
          <w:rFonts w:ascii="Arial" w:hAnsi="Arial" w:cs="Arial"/>
          <w:b/>
          <w:bCs/>
          <w:sz w:val="20"/>
          <w:szCs w:val="20"/>
          <w:lang w:val="en-AU"/>
        </w:rPr>
        <w:t>B</w:t>
      </w:r>
    </w:p>
    <w:p w14:paraId="2A9D5D84" w14:textId="77777777" w:rsidR="00874559" w:rsidRPr="00D34BBD" w:rsidRDefault="00874559" w:rsidP="00874559">
      <w:pPr>
        <w:spacing w:line="360" w:lineRule="auto"/>
        <w:jc w:val="center"/>
        <w:rPr>
          <w:sz w:val="20"/>
          <w:szCs w:val="20"/>
          <w:lang w:val="en-AU"/>
        </w:rPr>
      </w:pPr>
      <w:r w:rsidRPr="00D34BBD">
        <w:rPr>
          <w:rFonts w:ascii="Arial" w:hAnsi="Arial" w:cs="Arial"/>
          <w:b/>
          <w:bCs/>
          <w:sz w:val="20"/>
          <w:szCs w:val="20"/>
          <w:lang w:val="en-AU"/>
        </w:rPr>
        <w:t>Statement of Compatibility with Human Rights</w:t>
      </w:r>
    </w:p>
    <w:p w14:paraId="72195968" w14:textId="77777777" w:rsidR="00874559" w:rsidRPr="00D34BBD" w:rsidRDefault="00874559" w:rsidP="00874559">
      <w:pPr>
        <w:spacing w:line="360" w:lineRule="auto"/>
        <w:jc w:val="center"/>
        <w:rPr>
          <w:sz w:val="20"/>
          <w:szCs w:val="20"/>
          <w:lang w:val="en-AU"/>
        </w:rPr>
      </w:pPr>
      <w:r w:rsidRPr="00D34BBD">
        <w:rPr>
          <w:rFonts w:ascii="Arial" w:hAnsi="Arial" w:cs="Arial"/>
          <w:sz w:val="20"/>
          <w:szCs w:val="20"/>
          <w:lang w:val="en-AU"/>
        </w:rPr>
        <w:t xml:space="preserve">Prepared in accordance with Part 3 of the </w:t>
      </w:r>
      <w:r w:rsidRPr="00D34BBD">
        <w:rPr>
          <w:rFonts w:ascii="Arial" w:hAnsi="Arial" w:cs="Arial"/>
          <w:i/>
          <w:iCs/>
          <w:sz w:val="20"/>
          <w:szCs w:val="20"/>
          <w:lang w:val="en-AU"/>
        </w:rPr>
        <w:t>Human Rights (Parliamentary Scrutiny) Act 2011</w:t>
      </w:r>
    </w:p>
    <w:p w14:paraId="5187DD6C" w14:textId="77777777" w:rsidR="00874559" w:rsidRPr="00D34BBD" w:rsidRDefault="00874559" w:rsidP="00874559">
      <w:pPr>
        <w:rPr>
          <w:sz w:val="20"/>
          <w:szCs w:val="20"/>
          <w:lang w:val="en-AU"/>
        </w:rPr>
      </w:pPr>
      <w:r w:rsidRPr="00D34BBD">
        <w:rPr>
          <w:rFonts w:ascii="Arial" w:hAnsi="Arial" w:cs="Arial"/>
          <w:i/>
          <w:iCs/>
          <w:sz w:val="20"/>
          <w:szCs w:val="20"/>
          <w:lang w:val="en-AU"/>
        </w:rPr>
        <w:t> </w:t>
      </w:r>
    </w:p>
    <w:p w14:paraId="64464EC6" w14:textId="77777777" w:rsidR="00874559" w:rsidRPr="00D34BBD" w:rsidRDefault="00874559" w:rsidP="00874559">
      <w:pPr>
        <w:jc w:val="center"/>
        <w:rPr>
          <w:sz w:val="20"/>
          <w:szCs w:val="20"/>
          <w:lang w:val="en-AU"/>
        </w:rPr>
      </w:pPr>
      <w:r w:rsidRPr="00D34BBD">
        <w:rPr>
          <w:rFonts w:ascii="Arial" w:hAnsi="Arial" w:cs="Arial"/>
          <w:b/>
          <w:bCs/>
          <w:sz w:val="20"/>
          <w:szCs w:val="20"/>
          <w:lang w:val="en-AU"/>
        </w:rPr>
        <w:t> </w:t>
      </w:r>
    </w:p>
    <w:p w14:paraId="7848FA43" w14:textId="77777777" w:rsidR="00874559" w:rsidRPr="00D34BBD" w:rsidRDefault="00874559" w:rsidP="00874559">
      <w:pPr>
        <w:spacing w:line="360" w:lineRule="auto"/>
        <w:jc w:val="center"/>
        <w:rPr>
          <w:sz w:val="20"/>
          <w:szCs w:val="20"/>
          <w:lang w:val="en-AU"/>
        </w:rPr>
      </w:pPr>
      <w:r w:rsidRPr="00152D1E">
        <w:rPr>
          <w:rFonts w:ascii="Arial" w:hAnsi="Arial" w:cs="Arial"/>
          <w:b/>
          <w:i/>
          <w:sz w:val="20"/>
          <w:szCs w:val="20"/>
          <w:lang w:val="en-AU"/>
        </w:rPr>
        <w:t>Radiocommunications (Unacceptable Levels of Interference — 2 GHz Band) Determination Variation 2017 (No. 1)</w:t>
      </w:r>
    </w:p>
    <w:p w14:paraId="22B5D19B" w14:textId="77777777" w:rsidR="00874559" w:rsidRPr="00D34BBD" w:rsidRDefault="00874559" w:rsidP="00874559">
      <w:pPr>
        <w:jc w:val="center"/>
        <w:rPr>
          <w:sz w:val="20"/>
          <w:szCs w:val="20"/>
          <w:lang w:val="en-AU"/>
        </w:rPr>
      </w:pPr>
      <w:r w:rsidRPr="00D34BBD">
        <w:rPr>
          <w:rFonts w:ascii="Arial" w:hAnsi="Arial" w:cs="Arial"/>
          <w:b/>
          <w:bCs/>
          <w:sz w:val="20"/>
          <w:szCs w:val="20"/>
          <w:lang w:val="en-AU"/>
        </w:rPr>
        <w:t> </w:t>
      </w:r>
    </w:p>
    <w:p w14:paraId="3436E520" w14:textId="77777777" w:rsidR="00874559" w:rsidRPr="00D34BBD" w:rsidRDefault="00874559" w:rsidP="00874559">
      <w:pPr>
        <w:jc w:val="center"/>
        <w:rPr>
          <w:sz w:val="20"/>
          <w:szCs w:val="20"/>
          <w:lang w:val="en-AU"/>
        </w:rPr>
      </w:pPr>
      <w:r w:rsidRPr="00D34BBD">
        <w:rPr>
          <w:rFonts w:ascii="Arial" w:hAnsi="Arial" w:cs="Arial"/>
          <w:b/>
          <w:bCs/>
          <w:sz w:val="20"/>
          <w:szCs w:val="20"/>
          <w:lang w:val="en-AU"/>
        </w:rPr>
        <w:t> </w:t>
      </w:r>
    </w:p>
    <w:p w14:paraId="3900D0D8" w14:textId="77777777" w:rsidR="00874559" w:rsidRPr="00D34BBD" w:rsidRDefault="00874559" w:rsidP="00874559">
      <w:pPr>
        <w:rPr>
          <w:sz w:val="20"/>
          <w:szCs w:val="20"/>
          <w:lang w:val="en-AU"/>
        </w:rPr>
      </w:pPr>
      <w:r>
        <w:rPr>
          <w:rFonts w:ascii="Arial" w:hAnsi="Arial" w:cs="Arial"/>
          <w:sz w:val="20"/>
          <w:szCs w:val="20"/>
          <w:lang w:val="en-AU"/>
        </w:rPr>
        <w:t xml:space="preserve">The </w:t>
      </w:r>
      <w:r w:rsidRPr="007513F1">
        <w:rPr>
          <w:rFonts w:ascii="Arial" w:hAnsi="Arial" w:cs="Arial"/>
          <w:i/>
          <w:sz w:val="20"/>
          <w:szCs w:val="20"/>
          <w:lang w:val="en-AU"/>
        </w:rPr>
        <w:t>Radiocommunications (Unacceptable Levels of Interference — 2 GHz Band) Determination Variation 2017 (No. 1)</w:t>
      </w:r>
      <w:r w:rsidRPr="00D34BBD">
        <w:rPr>
          <w:rFonts w:ascii="Arial" w:hAnsi="Arial" w:cs="Arial"/>
          <w:sz w:val="20"/>
          <w:szCs w:val="20"/>
          <w:lang w:val="en-AU"/>
        </w:rPr>
        <w:t xml:space="preserve"> is compatible with the human rights and freedoms recognised or declared in the international instruments listed in section 3 of the </w:t>
      </w:r>
      <w:r w:rsidRPr="00D34BBD">
        <w:rPr>
          <w:rFonts w:ascii="Arial" w:hAnsi="Arial" w:cs="Arial"/>
          <w:i/>
          <w:iCs/>
          <w:sz w:val="20"/>
          <w:szCs w:val="20"/>
          <w:lang w:val="en-AU"/>
        </w:rPr>
        <w:t>Human Rights (Parliamentary Scrutiny) Act 2011</w:t>
      </w:r>
      <w:r w:rsidRPr="00D34BBD">
        <w:rPr>
          <w:rFonts w:ascii="Arial" w:hAnsi="Arial" w:cs="Arial"/>
          <w:sz w:val="20"/>
          <w:szCs w:val="20"/>
          <w:lang w:val="en-AU"/>
        </w:rPr>
        <w:t>.</w:t>
      </w:r>
    </w:p>
    <w:p w14:paraId="6F58CE99" w14:textId="77777777" w:rsidR="00874559" w:rsidRPr="00D34BBD" w:rsidRDefault="00874559" w:rsidP="00874559">
      <w:pPr>
        <w:jc w:val="center"/>
        <w:rPr>
          <w:sz w:val="20"/>
          <w:szCs w:val="20"/>
          <w:lang w:val="en-AU"/>
        </w:rPr>
      </w:pPr>
      <w:r w:rsidRPr="00D34BBD">
        <w:rPr>
          <w:rFonts w:ascii="Arial" w:hAnsi="Arial" w:cs="Arial"/>
          <w:sz w:val="20"/>
          <w:szCs w:val="20"/>
          <w:lang w:val="en-AU"/>
        </w:rPr>
        <w:t> </w:t>
      </w:r>
    </w:p>
    <w:p w14:paraId="3CFAC582" w14:textId="77777777" w:rsidR="00874559" w:rsidRPr="00D34BBD" w:rsidRDefault="00874559" w:rsidP="00874559">
      <w:pPr>
        <w:rPr>
          <w:sz w:val="20"/>
          <w:szCs w:val="20"/>
          <w:lang w:val="en-AU"/>
        </w:rPr>
      </w:pPr>
      <w:r w:rsidRPr="00D34BBD">
        <w:rPr>
          <w:rFonts w:ascii="Arial" w:hAnsi="Arial" w:cs="Arial"/>
          <w:b/>
          <w:bCs/>
          <w:sz w:val="20"/>
          <w:szCs w:val="20"/>
          <w:lang w:val="en-AU"/>
        </w:rPr>
        <w:t>Overview of the Legislative Instrument</w:t>
      </w:r>
    </w:p>
    <w:p w14:paraId="7B77E4DD" w14:textId="77777777" w:rsidR="00874559" w:rsidRPr="00D34BBD" w:rsidRDefault="00874559" w:rsidP="00874559">
      <w:pPr>
        <w:rPr>
          <w:rFonts w:ascii="Arial" w:hAnsi="Arial" w:cs="Arial"/>
          <w:sz w:val="20"/>
          <w:szCs w:val="20"/>
          <w:lang w:val="en-AU"/>
        </w:rPr>
      </w:pPr>
    </w:p>
    <w:p w14:paraId="4193EDEB" w14:textId="77777777" w:rsidR="00874559" w:rsidRPr="00761597" w:rsidRDefault="00874559" w:rsidP="00874559">
      <w:pPr>
        <w:jc w:val="both"/>
        <w:rPr>
          <w:rFonts w:ascii="Arial" w:hAnsi="Arial" w:cs="Arial"/>
          <w:sz w:val="20"/>
          <w:szCs w:val="20"/>
          <w:lang w:val="en-AU"/>
        </w:rPr>
      </w:pPr>
      <w:r w:rsidRPr="00761597">
        <w:rPr>
          <w:rFonts w:ascii="Arial" w:hAnsi="Arial" w:cs="Arial"/>
          <w:sz w:val="20"/>
          <w:szCs w:val="20"/>
          <w:lang w:val="en-AU"/>
        </w:rPr>
        <w:t xml:space="preserve">The purpose of the </w:t>
      </w:r>
      <w:r w:rsidRPr="00BB56E1">
        <w:rPr>
          <w:rFonts w:ascii="Arial" w:hAnsi="Arial" w:cs="Arial"/>
          <w:sz w:val="20"/>
          <w:szCs w:val="20"/>
          <w:lang w:val="en-AU"/>
        </w:rPr>
        <w:t>Variation Instrument</w:t>
      </w:r>
      <w:r w:rsidRPr="00761597">
        <w:rPr>
          <w:rFonts w:ascii="Arial" w:hAnsi="Arial" w:cs="Arial"/>
          <w:sz w:val="20"/>
          <w:szCs w:val="20"/>
          <w:lang w:val="en-AU"/>
        </w:rPr>
        <w:t xml:space="preserve"> is to amend the </w:t>
      </w:r>
      <w:r w:rsidRPr="00BB56E1">
        <w:rPr>
          <w:rFonts w:ascii="Arial" w:hAnsi="Arial" w:cs="Arial"/>
          <w:sz w:val="20"/>
          <w:szCs w:val="20"/>
          <w:lang w:val="en-AU"/>
        </w:rPr>
        <w:t>Determination</w:t>
      </w:r>
      <w:r>
        <w:rPr>
          <w:rFonts w:ascii="Arial" w:hAnsi="Arial" w:cs="Arial"/>
          <w:sz w:val="20"/>
          <w:szCs w:val="20"/>
          <w:lang w:val="en-AU"/>
        </w:rPr>
        <w:t>.</w:t>
      </w:r>
    </w:p>
    <w:p w14:paraId="631B1F1E" w14:textId="77777777" w:rsidR="00874559" w:rsidRDefault="00874559" w:rsidP="00874559">
      <w:pPr>
        <w:jc w:val="both"/>
        <w:rPr>
          <w:rFonts w:ascii="Arial" w:hAnsi="Arial" w:cs="Arial"/>
          <w:sz w:val="20"/>
          <w:szCs w:val="20"/>
          <w:lang w:val="en-AU"/>
        </w:rPr>
      </w:pPr>
    </w:p>
    <w:p w14:paraId="2285BE6E" w14:textId="77777777" w:rsidR="00874559" w:rsidRDefault="00874559" w:rsidP="00874559">
      <w:pPr>
        <w:spacing w:after="120"/>
        <w:jc w:val="both"/>
        <w:rPr>
          <w:rFonts w:ascii="Arial" w:hAnsi="Arial" w:cs="Arial"/>
          <w:sz w:val="20"/>
          <w:szCs w:val="20"/>
          <w:lang w:val="en-AU"/>
        </w:rPr>
      </w:pPr>
      <w:r w:rsidRPr="00761597">
        <w:rPr>
          <w:rFonts w:ascii="Arial" w:hAnsi="Arial" w:cs="Arial"/>
          <w:sz w:val="20"/>
          <w:szCs w:val="20"/>
          <w:lang w:val="en-AU"/>
        </w:rPr>
        <w:t>These amendments are made to</w:t>
      </w:r>
      <w:r>
        <w:rPr>
          <w:rFonts w:ascii="Arial" w:hAnsi="Arial" w:cs="Arial"/>
          <w:sz w:val="20"/>
          <w:szCs w:val="20"/>
          <w:lang w:val="en-AU"/>
        </w:rPr>
        <w:t>:</w:t>
      </w:r>
      <w:r w:rsidRPr="00761597">
        <w:rPr>
          <w:rFonts w:ascii="Arial" w:hAnsi="Arial" w:cs="Arial"/>
          <w:sz w:val="20"/>
          <w:szCs w:val="20"/>
          <w:lang w:val="en-AU"/>
        </w:rPr>
        <w:t xml:space="preserve"> </w:t>
      </w:r>
    </w:p>
    <w:p w14:paraId="7FE75773" w14:textId="77777777" w:rsidR="00874559" w:rsidRDefault="00874559" w:rsidP="00874559">
      <w:pPr>
        <w:numPr>
          <w:ilvl w:val="0"/>
          <w:numId w:val="18"/>
        </w:numPr>
        <w:ind w:left="567" w:hanging="567"/>
        <w:jc w:val="both"/>
        <w:rPr>
          <w:rFonts w:ascii="Arial" w:hAnsi="Arial" w:cs="Arial"/>
          <w:sz w:val="20"/>
          <w:szCs w:val="20"/>
          <w:lang w:val="en-AU"/>
        </w:rPr>
      </w:pPr>
      <w:r>
        <w:rPr>
          <w:rFonts w:ascii="Arial" w:hAnsi="Arial" w:cs="Arial"/>
          <w:sz w:val="20"/>
          <w:szCs w:val="20"/>
          <w:lang w:val="en-AU"/>
        </w:rPr>
        <w:t xml:space="preserve">Update references from the sunsetting </w:t>
      </w:r>
      <w:r w:rsidRPr="00BA4605">
        <w:rPr>
          <w:rFonts w:ascii="Arial" w:hAnsi="Arial" w:cs="Arial"/>
          <w:sz w:val="20"/>
          <w:szCs w:val="20"/>
          <w:lang w:val="en-AU"/>
        </w:rPr>
        <w:t xml:space="preserve">Radiocommunications (Register of Radiocommunications Licences) Determination </w:t>
      </w:r>
      <w:r>
        <w:rPr>
          <w:rFonts w:ascii="Arial" w:hAnsi="Arial" w:cs="Arial"/>
          <w:sz w:val="20"/>
          <w:szCs w:val="20"/>
          <w:lang w:val="en-AU"/>
        </w:rPr>
        <w:t xml:space="preserve">1997 (the RRL Determination) to the corresponding provisions in the new </w:t>
      </w:r>
      <w:r w:rsidRPr="00BA4605">
        <w:rPr>
          <w:rFonts w:ascii="Arial" w:hAnsi="Arial" w:cs="Arial"/>
          <w:sz w:val="20"/>
          <w:szCs w:val="20"/>
          <w:lang w:val="en-AU"/>
        </w:rPr>
        <w:t>Radiocommunications (Register of Radiocommunications Licences) Determination 2017</w:t>
      </w:r>
      <w:r>
        <w:rPr>
          <w:rFonts w:ascii="Arial" w:hAnsi="Arial" w:cs="Arial"/>
          <w:sz w:val="20"/>
          <w:szCs w:val="20"/>
          <w:lang w:val="en-AU"/>
        </w:rPr>
        <w:t xml:space="preserve"> (the remade Determination); and</w:t>
      </w:r>
    </w:p>
    <w:p w14:paraId="6912E0A5" w14:textId="77777777" w:rsidR="00874559" w:rsidRPr="00604166" w:rsidRDefault="00874559" w:rsidP="00874559">
      <w:pPr>
        <w:numPr>
          <w:ilvl w:val="0"/>
          <w:numId w:val="18"/>
        </w:numPr>
        <w:ind w:left="567" w:hanging="567"/>
        <w:jc w:val="both"/>
        <w:rPr>
          <w:rFonts w:ascii="Arial" w:hAnsi="Arial" w:cs="Arial"/>
          <w:sz w:val="20"/>
          <w:szCs w:val="20"/>
          <w:lang w:val="en-AU"/>
        </w:rPr>
      </w:pPr>
      <w:r>
        <w:rPr>
          <w:rFonts w:ascii="Arial" w:hAnsi="Arial" w:cs="Arial"/>
          <w:sz w:val="20"/>
          <w:szCs w:val="20"/>
          <w:lang w:val="en-AU"/>
        </w:rPr>
        <w:t>R</w:t>
      </w:r>
      <w:r w:rsidRPr="00BA4605">
        <w:rPr>
          <w:rFonts w:ascii="Arial" w:hAnsi="Arial" w:cs="Arial"/>
          <w:sz w:val="20"/>
          <w:szCs w:val="20"/>
          <w:lang w:val="en-AU"/>
        </w:rPr>
        <w:t>emove the requirement for transmitters, operating under a spectrum licence in the 1920–1930 MHz and 2110–2120 MHz frequency ranges, to meet the device boundary criteria in the area defined by the excised MW4H6 HCIS identifier.</w:t>
      </w:r>
      <w:r w:rsidRPr="00604166">
        <w:rPr>
          <w:rFonts w:ascii="Arial" w:hAnsi="Arial" w:cs="Arial"/>
          <w:sz w:val="20"/>
          <w:szCs w:val="20"/>
          <w:lang w:val="en-AU"/>
        </w:rPr>
        <w:t xml:space="preserve"> </w:t>
      </w:r>
    </w:p>
    <w:p w14:paraId="1440FC2D" w14:textId="77777777" w:rsidR="00874559" w:rsidRPr="00D34BBD" w:rsidRDefault="00874559" w:rsidP="00874559">
      <w:pPr>
        <w:rPr>
          <w:sz w:val="20"/>
          <w:szCs w:val="20"/>
          <w:lang w:val="en-AU"/>
        </w:rPr>
      </w:pPr>
    </w:p>
    <w:p w14:paraId="1C1702D9" w14:textId="77777777" w:rsidR="00874559" w:rsidRPr="00D34BBD" w:rsidRDefault="00874559" w:rsidP="00874559">
      <w:pPr>
        <w:rPr>
          <w:sz w:val="20"/>
          <w:szCs w:val="20"/>
          <w:lang w:val="en-AU"/>
        </w:rPr>
      </w:pPr>
      <w:r w:rsidRPr="00D34BBD">
        <w:rPr>
          <w:rFonts w:ascii="Arial" w:hAnsi="Arial" w:cs="Arial"/>
          <w:sz w:val="20"/>
          <w:szCs w:val="20"/>
          <w:lang w:val="en-AU"/>
        </w:rPr>
        <w:t xml:space="preserve">The </w:t>
      </w:r>
      <w:r w:rsidRPr="00A41654">
        <w:rPr>
          <w:rFonts w:ascii="Arial" w:hAnsi="Arial" w:cs="Arial"/>
          <w:sz w:val="20"/>
          <w:szCs w:val="20"/>
          <w:lang w:val="en-AU"/>
        </w:rPr>
        <w:t>variation instrument</w:t>
      </w:r>
      <w:r w:rsidRPr="00D34BBD">
        <w:rPr>
          <w:rFonts w:ascii="Arial" w:hAnsi="Arial" w:cs="Arial"/>
          <w:sz w:val="20"/>
          <w:szCs w:val="20"/>
          <w:lang w:val="en-AU"/>
        </w:rPr>
        <w:t xml:space="preserve"> is a legislative instrument that is subject to disallowance under section 42 of the </w:t>
      </w:r>
      <w:r w:rsidRPr="00D34BBD">
        <w:rPr>
          <w:rFonts w:ascii="Arial" w:hAnsi="Arial" w:cs="Arial"/>
          <w:i/>
          <w:iCs/>
          <w:sz w:val="20"/>
          <w:szCs w:val="20"/>
          <w:lang w:val="en-AU"/>
        </w:rPr>
        <w:t>Legislati</w:t>
      </w:r>
      <w:r>
        <w:rPr>
          <w:rFonts w:ascii="Arial" w:hAnsi="Arial" w:cs="Arial"/>
          <w:i/>
          <w:iCs/>
          <w:sz w:val="20"/>
          <w:szCs w:val="20"/>
          <w:lang w:val="en-AU"/>
        </w:rPr>
        <w:t>on</w:t>
      </w:r>
      <w:r w:rsidRPr="00D34BBD">
        <w:rPr>
          <w:rFonts w:ascii="Arial" w:hAnsi="Arial" w:cs="Arial"/>
          <w:i/>
          <w:iCs/>
          <w:sz w:val="20"/>
          <w:szCs w:val="20"/>
          <w:lang w:val="en-AU"/>
        </w:rPr>
        <w:t xml:space="preserve"> Act 2003</w:t>
      </w:r>
      <w:r w:rsidRPr="00D34BBD">
        <w:rPr>
          <w:rFonts w:ascii="Arial" w:hAnsi="Arial" w:cs="Arial"/>
          <w:sz w:val="20"/>
          <w:szCs w:val="20"/>
          <w:lang w:val="en-AU"/>
        </w:rPr>
        <w:t>.</w:t>
      </w:r>
    </w:p>
    <w:p w14:paraId="39D4F0A9" w14:textId="77777777" w:rsidR="00874559" w:rsidRPr="00D34BBD" w:rsidRDefault="00874559" w:rsidP="00874559">
      <w:pPr>
        <w:rPr>
          <w:sz w:val="20"/>
          <w:szCs w:val="20"/>
          <w:lang w:val="en-AU"/>
        </w:rPr>
      </w:pPr>
      <w:r w:rsidRPr="00D34BBD">
        <w:rPr>
          <w:rFonts w:ascii="Arial" w:hAnsi="Arial" w:cs="Arial"/>
          <w:sz w:val="20"/>
          <w:szCs w:val="20"/>
          <w:lang w:val="en-AU"/>
        </w:rPr>
        <w:t> </w:t>
      </w:r>
    </w:p>
    <w:p w14:paraId="39215538" w14:textId="77777777" w:rsidR="00874559" w:rsidRPr="00D34BBD" w:rsidRDefault="00874559" w:rsidP="00874559">
      <w:pPr>
        <w:rPr>
          <w:sz w:val="20"/>
          <w:szCs w:val="20"/>
          <w:lang w:val="en-AU"/>
        </w:rPr>
      </w:pPr>
      <w:r w:rsidRPr="00D34BBD">
        <w:rPr>
          <w:rFonts w:ascii="Arial" w:hAnsi="Arial" w:cs="Arial"/>
          <w:b/>
          <w:bCs/>
          <w:sz w:val="20"/>
          <w:szCs w:val="20"/>
          <w:lang w:val="en-AU"/>
        </w:rPr>
        <w:t>Human Rights Implications</w:t>
      </w:r>
    </w:p>
    <w:p w14:paraId="4ECF064E" w14:textId="77777777" w:rsidR="00874559" w:rsidRPr="00D34BBD" w:rsidRDefault="00874559" w:rsidP="00874559">
      <w:pPr>
        <w:rPr>
          <w:rFonts w:ascii="Arial" w:hAnsi="Arial" w:cs="Arial"/>
          <w:sz w:val="20"/>
          <w:szCs w:val="20"/>
          <w:lang w:val="en-AU"/>
        </w:rPr>
      </w:pPr>
    </w:p>
    <w:p w14:paraId="7731CAAE" w14:textId="77777777" w:rsidR="00874559" w:rsidRPr="00D34BBD" w:rsidRDefault="00874559" w:rsidP="00874559">
      <w:pPr>
        <w:rPr>
          <w:sz w:val="20"/>
          <w:szCs w:val="20"/>
          <w:lang w:val="en-AU"/>
        </w:rPr>
      </w:pPr>
      <w:r w:rsidRPr="00D34BBD">
        <w:rPr>
          <w:rFonts w:ascii="Arial" w:hAnsi="Arial" w:cs="Arial"/>
          <w:sz w:val="20"/>
          <w:szCs w:val="20"/>
          <w:lang w:val="en-AU"/>
        </w:rPr>
        <w:t xml:space="preserve">The </w:t>
      </w:r>
      <w:r>
        <w:rPr>
          <w:rFonts w:ascii="Arial" w:hAnsi="Arial" w:cs="Arial"/>
          <w:sz w:val="20"/>
          <w:szCs w:val="20"/>
          <w:lang w:val="en-AU"/>
        </w:rPr>
        <w:t xml:space="preserve">variation instrument </w:t>
      </w:r>
      <w:r w:rsidRPr="00D34BBD">
        <w:rPr>
          <w:rFonts w:ascii="Arial" w:hAnsi="Arial" w:cs="Arial"/>
          <w:sz w:val="20"/>
          <w:szCs w:val="20"/>
          <w:lang w:val="en-AU"/>
        </w:rPr>
        <w:t>does not engage any of the applicable rights or freedoms.</w:t>
      </w:r>
    </w:p>
    <w:p w14:paraId="4C396813" w14:textId="77777777" w:rsidR="00874559" w:rsidRPr="00D34BBD" w:rsidRDefault="00874559" w:rsidP="00874559">
      <w:pPr>
        <w:rPr>
          <w:sz w:val="20"/>
          <w:szCs w:val="20"/>
          <w:lang w:val="en-AU"/>
        </w:rPr>
      </w:pPr>
      <w:r w:rsidRPr="00D34BBD">
        <w:rPr>
          <w:rFonts w:ascii="Arial" w:hAnsi="Arial" w:cs="Arial"/>
          <w:sz w:val="20"/>
          <w:szCs w:val="20"/>
          <w:lang w:val="en-AU"/>
        </w:rPr>
        <w:t> </w:t>
      </w:r>
    </w:p>
    <w:p w14:paraId="515A8C46" w14:textId="77777777" w:rsidR="00874559" w:rsidRPr="00D34BBD" w:rsidRDefault="00874559" w:rsidP="00874559">
      <w:pPr>
        <w:rPr>
          <w:sz w:val="20"/>
          <w:szCs w:val="20"/>
          <w:lang w:val="en-AU"/>
        </w:rPr>
      </w:pPr>
      <w:r w:rsidRPr="00D34BBD">
        <w:rPr>
          <w:rFonts w:ascii="Arial" w:hAnsi="Arial" w:cs="Arial"/>
          <w:b/>
          <w:bCs/>
          <w:sz w:val="20"/>
          <w:szCs w:val="20"/>
          <w:lang w:val="en-AU"/>
        </w:rPr>
        <w:t>Conclusion</w:t>
      </w:r>
    </w:p>
    <w:p w14:paraId="19C43E70" w14:textId="77777777" w:rsidR="00874559" w:rsidRPr="00D34BBD" w:rsidRDefault="00874559" w:rsidP="00874559">
      <w:pPr>
        <w:rPr>
          <w:rFonts w:ascii="Arial" w:hAnsi="Arial" w:cs="Arial"/>
          <w:sz w:val="20"/>
          <w:szCs w:val="20"/>
          <w:lang w:val="en-AU"/>
        </w:rPr>
      </w:pPr>
    </w:p>
    <w:p w14:paraId="189BFC79" w14:textId="77777777" w:rsidR="00874559" w:rsidRPr="00D34BBD" w:rsidRDefault="00874559" w:rsidP="00874559">
      <w:pPr>
        <w:rPr>
          <w:rFonts w:ascii="Arial" w:hAnsi="Arial" w:cs="Arial"/>
          <w:sz w:val="20"/>
          <w:szCs w:val="20"/>
          <w:lang w:val="en-AU"/>
        </w:rPr>
      </w:pPr>
      <w:r w:rsidRPr="00D34BBD">
        <w:rPr>
          <w:rFonts w:ascii="Arial" w:hAnsi="Arial" w:cs="Arial"/>
          <w:sz w:val="20"/>
          <w:szCs w:val="20"/>
          <w:lang w:val="en-AU"/>
        </w:rPr>
        <w:t xml:space="preserve">The </w:t>
      </w:r>
      <w:r w:rsidRPr="00A41654">
        <w:rPr>
          <w:rFonts w:ascii="Arial" w:hAnsi="Arial" w:cs="Arial"/>
          <w:sz w:val="20"/>
          <w:szCs w:val="20"/>
          <w:lang w:val="en-AU"/>
        </w:rPr>
        <w:t>variation instrument</w:t>
      </w:r>
      <w:r>
        <w:rPr>
          <w:rFonts w:ascii="Arial" w:hAnsi="Arial" w:cs="Arial"/>
          <w:i/>
          <w:sz w:val="20"/>
          <w:szCs w:val="20"/>
          <w:lang w:val="en-AU"/>
        </w:rPr>
        <w:t xml:space="preserve"> </w:t>
      </w:r>
      <w:r w:rsidRPr="00D34BBD">
        <w:rPr>
          <w:rFonts w:ascii="Arial" w:hAnsi="Arial" w:cs="Arial"/>
          <w:sz w:val="20"/>
          <w:szCs w:val="20"/>
          <w:lang w:val="en-AU"/>
        </w:rPr>
        <w:t>is compatible with human rights as it does not raise any human rights issues.</w:t>
      </w:r>
    </w:p>
    <w:p w14:paraId="09F840F5" w14:textId="77777777" w:rsidR="00145956" w:rsidRPr="00D34BBD" w:rsidRDefault="00145956" w:rsidP="000C47EA">
      <w:pPr>
        <w:rPr>
          <w:rFonts w:ascii="Arial" w:hAnsi="Arial" w:cs="Arial"/>
          <w:sz w:val="20"/>
          <w:szCs w:val="20"/>
          <w:lang w:val="en-AU"/>
        </w:rPr>
      </w:pPr>
    </w:p>
    <w:sectPr w:rsidR="00145956" w:rsidRPr="00D34BBD" w:rsidSect="000907DE">
      <w:headerReference w:type="even" r:id="rId20"/>
      <w:headerReference w:type="default" r:id="rId21"/>
      <w:footerReference w:type="defaul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24F5F" w14:textId="77777777" w:rsidR="00B87228" w:rsidRDefault="00B87228">
      <w:r>
        <w:separator/>
      </w:r>
    </w:p>
  </w:endnote>
  <w:endnote w:type="continuationSeparator" w:id="0">
    <w:p w14:paraId="0C8808A7" w14:textId="77777777" w:rsidR="00B87228" w:rsidRDefault="00B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E628" w14:textId="77777777" w:rsidR="00927775" w:rsidRDefault="00927775" w:rsidP="003621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0A7B" w14:textId="77777777" w:rsidR="00927775" w:rsidRDefault="00927775"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5946D" w14:textId="77777777" w:rsidR="00B87228" w:rsidRDefault="00B87228">
      <w:r>
        <w:separator/>
      </w:r>
    </w:p>
  </w:footnote>
  <w:footnote w:type="continuationSeparator" w:id="0">
    <w:p w14:paraId="04B2FE55" w14:textId="77777777" w:rsidR="00B87228" w:rsidRDefault="00B87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EC763" w14:textId="77777777" w:rsidR="00927775" w:rsidRDefault="00716AD1" w:rsidP="00A844EF">
    <w:pPr>
      <w:pStyle w:val="Header"/>
      <w:framePr w:wrap="around" w:vAnchor="text" w:hAnchor="margin" w:xAlign="center" w:y="1"/>
      <w:rPr>
        <w:rStyle w:val="PageNumber"/>
      </w:rPr>
    </w:pPr>
    <w:r>
      <w:rPr>
        <w:rStyle w:val="PageNumber"/>
      </w:rPr>
      <w:fldChar w:fldCharType="begin"/>
    </w:r>
    <w:r w:rsidR="00927775">
      <w:rPr>
        <w:rStyle w:val="PageNumber"/>
      </w:rPr>
      <w:instrText xml:space="preserve">PAGE  </w:instrText>
    </w:r>
    <w:r>
      <w:rPr>
        <w:rStyle w:val="PageNumber"/>
      </w:rPr>
      <w:fldChar w:fldCharType="end"/>
    </w:r>
  </w:p>
  <w:p w14:paraId="3B1419C0" w14:textId="77777777" w:rsidR="00927775" w:rsidRDefault="00927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96377" w14:textId="77777777" w:rsidR="00927775" w:rsidRDefault="00716AD1" w:rsidP="00A13E1F">
    <w:pPr>
      <w:pStyle w:val="Header"/>
      <w:framePr w:wrap="around" w:vAnchor="text" w:hAnchor="margin" w:xAlign="center" w:y="1"/>
      <w:jc w:val="center"/>
      <w:rPr>
        <w:rStyle w:val="PageNumber"/>
      </w:rPr>
    </w:pPr>
    <w:r>
      <w:rPr>
        <w:rStyle w:val="PageNumber"/>
      </w:rPr>
      <w:fldChar w:fldCharType="begin"/>
    </w:r>
    <w:r w:rsidR="00927775">
      <w:rPr>
        <w:rStyle w:val="PageNumber"/>
      </w:rPr>
      <w:instrText xml:space="preserve">PAGE  </w:instrText>
    </w:r>
    <w:r>
      <w:rPr>
        <w:rStyle w:val="PageNumber"/>
      </w:rPr>
      <w:fldChar w:fldCharType="separate"/>
    </w:r>
    <w:r w:rsidR="00D21699">
      <w:rPr>
        <w:rStyle w:val="PageNumber"/>
        <w:noProof/>
      </w:rPr>
      <w:t>5</w:t>
    </w:r>
    <w:r>
      <w:rPr>
        <w:rStyle w:val="PageNumber"/>
      </w:rPr>
      <w:fldChar w:fldCharType="end"/>
    </w:r>
  </w:p>
  <w:p w14:paraId="4B69755E" w14:textId="77777777" w:rsidR="00927775" w:rsidRDefault="00927775" w:rsidP="00362134">
    <w:pPr>
      <w:pStyle w:val="Header"/>
      <w:jc w:val="center"/>
      <w:rPr>
        <w:b/>
        <w:sz w:val="32"/>
        <w:szCs w:val="32"/>
        <w:lang w:val="en-AU"/>
      </w:rPr>
    </w:pPr>
  </w:p>
  <w:p w14:paraId="27C86646" w14:textId="77777777" w:rsidR="00927775" w:rsidRDefault="00927775" w:rsidP="00E72F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B85848"/>
    <w:lvl w:ilvl="0">
      <w:numFmt w:val="bullet"/>
      <w:lvlText w:val="*"/>
      <w:lvlJc w:val="left"/>
    </w:lvl>
  </w:abstractNum>
  <w:abstractNum w:abstractNumId="1">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7797C"/>
    <w:multiLevelType w:val="hybridMultilevel"/>
    <w:tmpl w:val="B0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F26D83"/>
    <w:multiLevelType w:val="hybridMultilevel"/>
    <w:tmpl w:val="92B82C26"/>
    <w:lvl w:ilvl="0" w:tplc="0C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FD3DD2"/>
    <w:multiLevelType w:val="hybridMultilevel"/>
    <w:tmpl w:val="AA12F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CA5861"/>
    <w:multiLevelType w:val="hybridMultilevel"/>
    <w:tmpl w:val="A1C2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E3146B"/>
    <w:multiLevelType w:val="hybridMultilevel"/>
    <w:tmpl w:val="1A10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1E4419"/>
    <w:multiLevelType w:val="hybridMultilevel"/>
    <w:tmpl w:val="5790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7"/>
  </w:num>
  <w:num w:numId="4">
    <w:abstractNumId w:val="1"/>
  </w:num>
  <w:num w:numId="5">
    <w:abstractNumId w:val="16"/>
  </w:num>
  <w:num w:numId="6">
    <w:abstractNumId w:val="0"/>
    <w:lvlOverride w:ilvl="0">
      <w:lvl w:ilvl="0">
        <w:numFmt w:val="bullet"/>
        <w:lvlText w:val="•"/>
        <w:legacy w:legacy="1" w:legacySpace="0" w:legacyIndent="0"/>
        <w:lvlJc w:val="left"/>
        <w:rPr>
          <w:rFonts w:ascii="Helv" w:hAnsi="Helv" w:hint="default"/>
        </w:rPr>
      </w:lvl>
    </w:lvlOverride>
  </w:num>
  <w:num w:numId="7">
    <w:abstractNumId w:val="19"/>
  </w:num>
  <w:num w:numId="8">
    <w:abstractNumId w:val="10"/>
  </w:num>
  <w:num w:numId="9">
    <w:abstractNumId w:val="11"/>
  </w:num>
  <w:num w:numId="10">
    <w:abstractNumId w:val="6"/>
  </w:num>
  <w:num w:numId="11">
    <w:abstractNumId w:val="9"/>
  </w:num>
  <w:num w:numId="12">
    <w:abstractNumId w:val="24"/>
  </w:num>
  <w:num w:numId="13">
    <w:abstractNumId w:val="14"/>
  </w:num>
  <w:num w:numId="14">
    <w:abstractNumId w:val="4"/>
  </w:num>
  <w:num w:numId="15">
    <w:abstractNumId w:val="7"/>
  </w:num>
  <w:num w:numId="16">
    <w:abstractNumId w:val="21"/>
  </w:num>
  <w:num w:numId="17">
    <w:abstractNumId w:val="5"/>
  </w:num>
  <w:num w:numId="18">
    <w:abstractNumId w:val="8"/>
  </w:num>
  <w:num w:numId="19">
    <w:abstractNumId w:val="13"/>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22"/>
    <w:rsid w:val="00001187"/>
    <w:rsid w:val="00002442"/>
    <w:rsid w:val="0000300B"/>
    <w:rsid w:val="0000334E"/>
    <w:rsid w:val="00005643"/>
    <w:rsid w:val="00005F16"/>
    <w:rsid w:val="00006ADC"/>
    <w:rsid w:val="00007C8D"/>
    <w:rsid w:val="00016BA2"/>
    <w:rsid w:val="0002032D"/>
    <w:rsid w:val="00023C08"/>
    <w:rsid w:val="00023D75"/>
    <w:rsid w:val="0002592A"/>
    <w:rsid w:val="00025D13"/>
    <w:rsid w:val="0003025D"/>
    <w:rsid w:val="00032A8D"/>
    <w:rsid w:val="00032B32"/>
    <w:rsid w:val="00036086"/>
    <w:rsid w:val="00040B05"/>
    <w:rsid w:val="0004274A"/>
    <w:rsid w:val="00043074"/>
    <w:rsid w:val="00051A91"/>
    <w:rsid w:val="0005284D"/>
    <w:rsid w:val="00052DB6"/>
    <w:rsid w:val="0005443C"/>
    <w:rsid w:val="0005491A"/>
    <w:rsid w:val="00060600"/>
    <w:rsid w:val="00060820"/>
    <w:rsid w:val="000609D9"/>
    <w:rsid w:val="00063DA9"/>
    <w:rsid w:val="000650B4"/>
    <w:rsid w:val="00065340"/>
    <w:rsid w:val="00066212"/>
    <w:rsid w:val="00070A52"/>
    <w:rsid w:val="00072306"/>
    <w:rsid w:val="00072549"/>
    <w:rsid w:val="000727E2"/>
    <w:rsid w:val="00073B86"/>
    <w:rsid w:val="00076844"/>
    <w:rsid w:val="000769A7"/>
    <w:rsid w:val="00084D8E"/>
    <w:rsid w:val="000907DE"/>
    <w:rsid w:val="000922FA"/>
    <w:rsid w:val="0009521F"/>
    <w:rsid w:val="0009625C"/>
    <w:rsid w:val="00096FB8"/>
    <w:rsid w:val="000A0E4B"/>
    <w:rsid w:val="000A1689"/>
    <w:rsid w:val="000A2AE5"/>
    <w:rsid w:val="000A3641"/>
    <w:rsid w:val="000A40C3"/>
    <w:rsid w:val="000A4D28"/>
    <w:rsid w:val="000A5293"/>
    <w:rsid w:val="000A6A86"/>
    <w:rsid w:val="000A6A9B"/>
    <w:rsid w:val="000A6F21"/>
    <w:rsid w:val="000A7A3F"/>
    <w:rsid w:val="000B0C30"/>
    <w:rsid w:val="000B1051"/>
    <w:rsid w:val="000B193B"/>
    <w:rsid w:val="000B2131"/>
    <w:rsid w:val="000B3A34"/>
    <w:rsid w:val="000B3F4F"/>
    <w:rsid w:val="000C14FE"/>
    <w:rsid w:val="000C2BDB"/>
    <w:rsid w:val="000C3067"/>
    <w:rsid w:val="000C4658"/>
    <w:rsid w:val="000C47EA"/>
    <w:rsid w:val="000C7244"/>
    <w:rsid w:val="000D02FC"/>
    <w:rsid w:val="000D1326"/>
    <w:rsid w:val="000D3EB1"/>
    <w:rsid w:val="000D432B"/>
    <w:rsid w:val="000D4FF8"/>
    <w:rsid w:val="000D68D5"/>
    <w:rsid w:val="000D797B"/>
    <w:rsid w:val="000E312C"/>
    <w:rsid w:val="000E3954"/>
    <w:rsid w:val="000E44D2"/>
    <w:rsid w:val="000E7688"/>
    <w:rsid w:val="000E7BC7"/>
    <w:rsid w:val="000F145B"/>
    <w:rsid w:val="000F1F80"/>
    <w:rsid w:val="000F3731"/>
    <w:rsid w:val="000F66BE"/>
    <w:rsid w:val="000F7B2C"/>
    <w:rsid w:val="000F7DDD"/>
    <w:rsid w:val="001002A8"/>
    <w:rsid w:val="001019FD"/>
    <w:rsid w:val="00102785"/>
    <w:rsid w:val="001027FF"/>
    <w:rsid w:val="00102B0B"/>
    <w:rsid w:val="001037A5"/>
    <w:rsid w:val="00103EBD"/>
    <w:rsid w:val="001040ED"/>
    <w:rsid w:val="00105943"/>
    <w:rsid w:val="00107C9C"/>
    <w:rsid w:val="00110856"/>
    <w:rsid w:val="00111D3B"/>
    <w:rsid w:val="001127B6"/>
    <w:rsid w:val="001130BC"/>
    <w:rsid w:val="0011424C"/>
    <w:rsid w:val="001167D0"/>
    <w:rsid w:val="00116A2D"/>
    <w:rsid w:val="001211CC"/>
    <w:rsid w:val="00122FA0"/>
    <w:rsid w:val="0012342D"/>
    <w:rsid w:val="001240A3"/>
    <w:rsid w:val="001244AE"/>
    <w:rsid w:val="00124A67"/>
    <w:rsid w:val="00125A68"/>
    <w:rsid w:val="001264EA"/>
    <w:rsid w:val="00130DF2"/>
    <w:rsid w:val="00134A4B"/>
    <w:rsid w:val="001358C8"/>
    <w:rsid w:val="00137EBF"/>
    <w:rsid w:val="0014041C"/>
    <w:rsid w:val="00145956"/>
    <w:rsid w:val="00147015"/>
    <w:rsid w:val="001522E5"/>
    <w:rsid w:val="00152D1E"/>
    <w:rsid w:val="00153F0C"/>
    <w:rsid w:val="00154F51"/>
    <w:rsid w:val="00155CA3"/>
    <w:rsid w:val="001607FE"/>
    <w:rsid w:val="001611E0"/>
    <w:rsid w:val="00161864"/>
    <w:rsid w:val="001631C5"/>
    <w:rsid w:val="00163B0A"/>
    <w:rsid w:val="0016560E"/>
    <w:rsid w:val="00165E54"/>
    <w:rsid w:val="00170D27"/>
    <w:rsid w:val="00171504"/>
    <w:rsid w:val="001716D9"/>
    <w:rsid w:val="001731A4"/>
    <w:rsid w:val="001737E1"/>
    <w:rsid w:val="00173CD6"/>
    <w:rsid w:val="00175F46"/>
    <w:rsid w:val="001767FA"/>
    <w:rsid w:val="00176E4D"/>
    <w:rsid w:val="00177AFD"/>
    <w:rsid w:val="001802C0"/>
    <w:rsid w:val="0018129A"/>
    <w:rsid w:val="00181E1C"/>
    <w:rsid w:val="00182726"/>
    <w:rsid w:val="001847A6"/>
    <w:rsid w:val="00185301"/>
    <w:rsid w:val="001901D9"/>
    <w:rsid w:val="00191769"/>
    <w:rsid w:val="00193000"/>
    <w:rsid w:val="001939F0"/>
    <w:rsid w:val="00193CCB"/>
    <w:rsid w:val="00193EB6"/>
    <w:rsid w:val="001956C7"/>
    <w:rsid w:val="00195B91"/>
    <w:rsid w:val="00197BCB"/>
    <w:rsid w:val="001A0B8E"/>
    <w:rsid w:val="001A2609"/>
    <w:rsid w:val="001A5D71"/>
    <w:rsid w:val="001A730C"/>
    <w:rsid w:val="001B30AB"/>
    <w:rsid w:val="001B466C"/>
    <w:rsid w:val="001B58E7"/>
    <w:rsid w:val="001B5A54"/>
    <w:rsid w:val="001B700D"/>
    <w:rsid w:val="001B79DD"/>
    <w:rsid w:val="001C08A0"/>
    <w:rsid w:val="001C2D26"/>
    <w:rsid w:val="001C4044"/>
    <w:rsid w:val="001C5EF9"/>
    <w:rsid w:val="001D0811"/>
    <w:rsid w:val="001D3D7B"/>
    <w:rsid w:val="001E11A4"/>
    <w:rsid w:val="001E4C38"/>
    <w:rsid w:val="001E504A"/>
    <w:rsid w:val="001F04D6"/>
    <w:rsid w:val="001F0D48"/>
    <w:rsid w:val="001F1B3D"/>
    <w:rsid w:val="001F375E"/>
    <w:rsid w:val="001F55F9"/>
    <w:rsid w:val="001F645C"/>
    <w:rsid w:val="001F6F5B"/>
    <w:rsid w:val="0020014C"/>
    <w:rsid w:val="00202219"/>
    <w:rsid w:val="0020253B"/>
    <w:rsid w:val="0020257F"/>
    <w:rsid w:val="002036F3"/>
    <w:rsid w:val="00203DB1"/>
    <w:rsid w:val="002041C8"/>
    <w:rsid w:val="002104D9"/>
    <w:rsid w:val="002108C7"/>
    <w:rsid w:val="00212BDC"/>
    <w:rsid w:val="002137F6"/>
    <w:rsid w:val="00214F91"/>
    <w:rsid w:val="002156E7"/>
    <w:rsid w:val="00216AC2"/>
    <w:rsid w:val="00221DD3"/>
    <w:rsid w:val="00224650"/>
    <w:rsid w:val="00224F56"/>
    <w:rsid w:val="00225E40"/>
    <w:rsid w:val="00226747"/>
    <w:rsid w:val="00232983"/>
    <w:rsid w:val="00236B43"/>
    <w:rsid w:val="00236BB5"/>
    <w:rsid w:val="00237298"/>
    <w:rsid w:val="002378FB"/>
    <w:rsid w:val="002379FB"/>
    <w:rsid w:val="00237C9D"/>
    <w:rsid w:val="00237DE9"/>
    <w:rsid w:val="002406D2"/>
    <w:rsid w:val="002419E7"/>
    <w:rsid w:val="00242911"/>
    <w:rsid w:val="00242A7B"/>
    <w:rsid w:val="002431FE"/>
    <w:rsid w:val="00243E69"/>
    <w:rsid w:val="0024538D"/>
    <w:rsid w:val="00245D33"/>
    <w:rsid w:val="00246998"/>
    <w:rsid w:val="002520E1"/>
    <w:rsid w:val="00253D94"/>
    <w:rsid w:val="002546FC"/>
    <w:rsid w:val="00257897"/>
    <w:rsid w:val="00260D08"/>
    <w:rsid w:val="00262777"/>
    <w:rsid w:val="002631B5"/>
    <w:rsid w:val="002637F2"/>
    <w:rsid w:val="0026726C"/>
    <w:rsid w:val="00272394"/>
    <w:rsid w:val="00272903"/>
    <w:rsid w:val="00275CCC"/>
    <w:rsid w:val="00276EAE"/>
    <w:rsid w:val="00277A54"/>
    <w:rsid w:val="00277B95"/>
    <w:rsid w:val="002806E5"/>
    <w:rsid w:val="002815AE"/>
    <w:rsid w:val="00281E6D"/>
    <w:rsid w:val="00283CF1"/>
    <w:rsid w:val="002840DE"/>
    <w:rsid w:val="00286A08"/>
    <w:rsid w:val="00287071"/>
    <w:rsid w:val="002873A8"/>
    <w:rsid w:val="0029141C"/>
    <w:rsid w:val="0029379A"/>
    <w:rsid w:val="00293E33"/>
    <w:rsid w:val="00293EA0"/>
    <w:rsid w:val="0029459F"/>
    <w:rsid w:val="00294E1F"/>
    <w:rsid w:val="00296E82"/>
    <w:rsid w:val="002A23F8"/>
    <w:rsid w:val="002A4EDD"/>
    <w:rsid w:val="002A6D08"/>
    <w:rsid w:val="002A701E"/>
    <w:rsid w:val="002A7F48"/>
    <w:rsid w:val="002B0ADA"/>
    <w:rsid w:val="002B0C0C"/>
    <w:rsid w:val="002B14FF"/>
    <w:rsid w:val="002B2544"/>
    <w:rsid w:val="002B33EF"/>
    <w:rsid w:val="002B3894"/>
    <w:rsid w:val="002B4583"/>
    <w:rsid w:val="002B4F3F"/>
    <w:rsid w:val="002B5972"/>
    <w:rsid w:val="002B79CE"/>
    <w:rsid w:val="002B7A07"/>
    <w:rsid w:val="002C0058"/>
    <w:rsid w:val="002C01B6"/>
    <w:rsid w:val="002C0956"/>
    <w:rsid w:val="002C1EB2"/>
    <w:rsid w:val="002C5DFB"/>
    <w:rsid w:val="002D0747"/>
    <w:rsid w:val="002D07F5"/>
    <w:rsid w:val="002D1A34"/>
    <w:rsid w:val="002D1F4D"/>
    <w:rsid w:val="002D2FEC"/>
    <w:rsid w:val="002D6B3F"/>
    <w:rsid w:val="002E0324"/>
    <w:rsid w:val="002E1DCA"/>
    <w:rsid w:val="002E1E61"/>
    <w:rsid w:val="002E37B6"/>
    <w:rsid w:val="002E3F11"/>
    <w:rsid w:val="002E47DB"/>
    <w:rsid w:val="002E4BAD"/>
    <w:rsid w:val="002E77CA"/>
    <w:rsid w:val="002F0B29"/>
    <w:rsid w:val="002F482C"/>
    <w:rsid w:val="002F4D69"/>
    <w:rsid w:val="002F6F21"/>
    <w:rsid w:val="002F7391"/>
    <w:rsid w:val="00301193"/>
    <w:rsid w:val="00301425"/>
    <w:rsid w:val="003017BE"/>
    <w:rsid w:val="0030187D"/>
    <w:rsid w:val="00303130"/>
    <w:rsid w:val="003057AE"/>
    <w:rsid w:val="00305928"/>
    <w:rsid w:val="00310823"/>
    <w:rsid w:val="00311E45"/>
    <w:rsid w:val="0031334B"/>
    <w:rsid w:val="003136BC"/>
    <w:rsid w:val="00317346"/>
    <w:rsid w:val="00320B98"/>
    <w:rsid w:val="00321093"/>
    <w:rsid w:val="00322075"/>
    <w:rsid w:val="00325880"/>
    <w:rsid w:val="00326BE5"/>
    <w:rsid w:val="003274A8"/>
    <w:rsid w:val="00327D8A"/>
    <w:rsid w:val="003309E8"/>
    <w:rsid w:val="0033118F"/>
    <w:rsid w:val="00333871"/>
    <w:rsid w:val="003358D1"/>
    <w:rsid w:val="0033639D"/>
    <w:rsid w:val="00336ED7"/>
    <w:rsid w:val="00337EE5"/>
    <w:rsid w:val="00340EA6"/>
    <w:rsid w:val="00340F08"/>
    <w:rsid w:val="003420DA"/>
    <w:rsid w:val="00342B33"/>
    <w:rsid w:val="00343425"/>
    <w:rsid w:val="00343921"/>
    <w:rsid w:val="00344282"/>
    <w:rsid w:val="0034610D"/>
    <w:rsid w:val="0034741A"/>
    <w:rsid w:val="0035160F"/>
    <w:rsid w:val="00351C52"/>
    <w:rsid w:val="003541E8"/>
    <w:rsid w:val="00354A22"/>
    <w:rsid w:val="00361926"/>
    <w:rsid w:val="00362134"/>
    <w:rsid w:val="003634DD"/>
    <w:rsid w:val="00363579"/>
    <w:rsid w:val="00363C72"/>
    <w:rsid w:val="003643D8"/>
    <w:rsid w:val="00367786"/>
    <w:rsid w:val="00367F49"/>
    <w:rsid w:val="00370DB5"/>
    <w:rsid w:val="0037141B"/>
    <w:rsid w:val="0037224D"/>
    <w:rsid w:val="003742E5"/>
    <w:rsid w:val="00374AF5"/>
    <w:rsid w:val="00376093"/>
    <w:rsid w:val="0037689A"/>
    <w:rsid w:val="00382D1E"/>
    <w:rsid w:val="00382E20"/>
    <w:rsid w:val="0038369F"/>
    <w:rsid w:val="00383D7C"/>
    <w:rsid w:val="003879DF"/>
    <w:rsid w:val="00387C70"/>
    <w:rsid w:val="00390578"/>
    <w:rsid w:val="00390D0A"/>
    <w:rsid w:val="00393758"/>
    <w:rsid w:val="00394114"/>
    <w:rsid w:val="003955FC"/>
    <w:rsid w:val="00396123"/>
    <w:rsid w:val="00397C1B"/>
    <w:rsid w:val="003A0F7D"/>
    <w:rsid w:val="003A346C"/>
    <w:rsid w:val="003B028A"/>
    <w:rsid w:val="003B0803"/>
    <w:rsid w:val="003B0A1E"/>
    <w:rsid w:val="003B0E76"/>
    <w:rsid w:val="003B125F"/>
    <w:rsid w:val="003B1A98"/>
    <w:rsid w:val="003B324C"/>
    <w:rsid w:val="003B3402"/>
    <w:rsid w:val="003B3D41"/>
    <w:rsid w:val="003B4592"/>
    <w:rsid w:val="003B61D0"/>
    <w:rsid w:val="003C0792"/>
    <w:rsid w:val="003C206D"/>
    <w:rsid w:val="003C23DE"/>
    <w:rsid w:val="003C24D0"/>
    <w:rsid w:val="003C4C4E"/>
    <w:rsid w:val="003C4DB8"/>
    <w:rsid w:val="003D047E"/>
    <w:rsid w:val="003D0965"/>
    <w:rsid w:val="003D1955"/>
    <w:rsid w:val="003D4EA5"/>
    <w:rsid w:val="003D5948"/>
    <w:rsid w:val="003D629D"/>
    <w:rsid w:val="003D713A"/>
    <w:rsid w:val="003D7D4A"/>
    <w:rsid w:val="003E0537"/>
    <w:rsid w:val="003E1E77"/>
    <w:rsid w:val="003E225E"/>
    <w:rsid w:val="003E22FC"/>
    <w:rsid w:val="003E541D"/>
    <w:rsid w:val="003E59A3"/>
    <w:rsid w:val="003E63E1"/>
    <w:rsid w:val="003F1DEF"/>
    <w:rsid w:val="003F2116"/>
    <w:rsid w:val="003F2693"/>
    <w:rsid w:val="003F41A0"/>
    <w:rsid w:val="003F68EA"/>
    <w:rsid w:val="003F6C2D"/>
    <w:rsid w:val="0040129F"/>
    <w:rsid w:val="00402C1C"/>
    <w:rsid w:val="00402CED"/>
    <w:rsid w:val="00403F51"/>
    <w:rsid w:val="00404E95"/>
    <w:rsid w:val="00406A3E"/>
    <w:rsid w:val="00411188"/>
    <w:rsid w:val="00411FBF"/>
    <w:rsid w:val="004154EC"/>
    <w:rsid w:val="0041664A"/>
    <w:rsid w:val="004261DB"/>
    <w:rsid w:val="00426D3F"/>
    <w:rsid w:val="004273B8"/>
    <w:rsid w:val="00427D2E"/>
    <w:rsid w:val="00430D8D"/>
    <w:rsid w:val="0043191F"/>
    <w:rsid w:val="00437CBA"/>
    <w:rsid w:val="004437B3"/>
    <w:rsid w:val="004471CE"/>
    <w:rsid w:val="00450357"/>
    <w:rsid w:val="00450B34"/>
    <w:rsid w:val="00452BEB"/>
    <w:rsid w:val="00453A54"/>
    <w:rsid w:val="00454284"/>
    <w:rsid w:val="00456404"/>
    <w:rsid w:val="0045700F"/>
    <w:rsid w:val="00460D90"/>
    <w:rsid w:val="00462985"/>
    <w:rsid w:val="00464707"/>
    <w:rsid w:val="0046505B"/>
    <w:rsid w:val="00466743"/>
    <w:rsid w:val="00467644"/>
    <w:rsid w:val="00472231"/>
    <w:rsid w:val="004723AD"/>
    <w:rsid w:val="00474A97"/>
    <w:rsid w:val="00476B3C"/>
    <w:rsid w:val="00476F8B"/>
    <w:rsid w:val="0048134B"/>
    <w:rsid w:val="00481707"/>
    <w:rsid w:val="004829D0"/>
    <w:rsid w:val="0048765D"/>
    <w:rsid w:val="00491998"/>
    <w:rsid w:val="004922E4"/>
    <w:rsid w:val="00493808"/>
    <w:rsid w:val="00493C8E"/>
    <w:rsid w:val="00493C93"/>
    <w:rsid w:val="004A054B"/>
    <w:rsid w:val="004A0D98"/>
    <w:rsid w:val="004A19A3"/>
    <w:rsid w:val="004A1E1A"/>
    <w:rsid w:val="004A59D9"/>
    <w:rsid w:val="004A69DF"/>
    <w:rsid w:val="004A789E"/>
    <w:rsid w:val="004B05E8"/>
    <w:rsid w:val="004B0659"/>
    <w:rsid w:val="004B2D77"/>
    <w:rsid w:val="004C24D3"/>
    <w:rsid w:val="004C2506"/>
    <w:rsid w:val="004C3CE8"/>
    <w:rsid w:val="004C3FD6"/>
    <w:rsid w:val="004C4C10"/>
    <w:rsid w:val="004C61EA"/>
    <w:rsid w:val="004D0CFC"/>
    <w:rsid w:val="004D1ADE"/>
    <w:rsid w:val="004D1C70"/>
    <w:rsid w:val="004D52E9"/>
    <w:rsid w:val="004D6DFD"/>
    <w:rsid w:val="004E0192"/>
    <w:rsid w:val="004E025A"/>
    <w:rsid w:val="004E35A3"/>
    <w:rsid w:val="004E5FC6"/>
    <w:rsid w:val="004E6C7A"/>
    <w:rsid w:val="004E6E14"/>
    <w:rsid w:val="004F1090"/>
    <w:rsid w:val="004F236A"/>
    <w:rsid w:val="004F2FDE"/>
    <w:rsid w:val="004F30DB"/>
    <w:rsid w:val="004F3BF2"/>
    <w:rsid w:val="004F3FEF"/>
    <w:rsid w:val="004F4155"/>
    <w:rsid w:val="004F5BAE"/>
    <w:rsid w:val="004F641F"/>
    <w:rsid w:val="004F6459"/>
    <w:rsid w:val="004F6A6B"/>
    <w:rsid w:val="004F72F7"/>
    <w:rsid w:val="004F7423"/>
    <w:rsid w:val="005008ED"/>
    <w:rsid w:val="0050158F"/>
    <w:rsid w:val="00503BDE"/>
    <w:rsid w:val="00503E25"/>
    <w:rsid w:val="00503F64"/>
    <w:rsid w:val="00505C16"/>
    <w:rsid w:val="00506249"/>
    <w:rsid w:val="00507010"/>
    <w:rsid w:val="00510D70"/>
    <w:rsid w:val="00511097"/>
    <w:rsid w:val="00511181"/>
    <w:rsid w:val="00512962"/>
    <w:rsid w:val="00513CDE"/>
    <w:rsid w:val="0052206D"/>
    <w:rsid w:val="005223CA"/>
    <w:rsid w:val="0052263F"/>
    <w:rsid w:val="00522C7C"/>
    <w:rsid w:val="00522DC5"/>
    <w:rsid w:val="0052325C"/>
    <w:rsid w:val="00524A35"/>
    <w:rsid w:val="00524A47"/>
    <w:rsid w:val="00525AF3"/>
    <w:rsid w:val="005261AB"/>
    <w:rsid w:val="00526FE8"/>
    <w:rsid w:val="00527895"/>
    <w:rsid w:val="00531B55"/>
    <w:rsid w:val="0053278B"/>
    <w:rsid w:val="0054110B"/>
    <w:rsid w:val="0054415C"/>
    <w:rsid w:val="0054416C"/>
    <w:rsid w:val="00544701"/>
    <w:rsid w:val="00544CF3"/>
    <w:rsid w:val="00545C63"/>
    <w:rsid w:val="00545F74"/>
    <w:rsid w:val="00547872"/>
    <w:rsid w:val="00551776"/>
    <w:rsid w:val="00551BA3"/>
    <w:rsid w:val="00551EE5"/>
    <w:rsid w:val="00556338"/>
    <w:rsid w:val="00557A8F"/>
    <w:rsid w:val="005614D6"/>
    <w:rsid w:val="00562BBE"/>
    <w:rsid w:val="00562D29"/>
    <w:rsid w:val="00562DAE"/>
    <w:rsid w:val="00566F87"/>
    <w:rsid w:val="00570FC1"/>
    <w:rsid w:val="0057385A"/>
    <w:rsid w:val="00574E59"/>
    <w:rsid w:val="00576D51"/>
    <w:rsid w:val="0057701A"/>
    <w:rsid w:val="00580AC1"/>
    <w:rsid w:val="00581992"/>
    <w:rsid w:val="00583195"/>
    <w:rsid w:val="005842A4"/>
    <w:rsid w:val="005855E7"/>
    <w:rsid w:val="005861E6"/>
    <w:rsid w:val="005908D2"/>
    <w:rsid w:val="00591C99"/>
    <w:rsid w:val="00592092"/>
    <w:rsid w:val="00593959"/>
    <w:rsid w:val="005939A7"/>
    <w:rsid w:val="00593AB5"/>
    <w:rsid w:val="00594585"/>
    <w:rsid w:val="005958C1"/>
    <w:rsid w:val="00595B10"/>
    <w:rsid w:val="00595E64"/>
    <w:rsid w:val="00597470"/>
    <w:rsid w:val="00597C64"/>
    <w:rsid w:val="005A1292"/>
    <w:rsid w:val="005A1FF2"/>
    <w:rsid w:val="005A34FF"/>
    <w:rsid w:val="005A5476"/>
    <w:rsid w:val="005A599B"/>
    <w:rsid w:val="005A5EA4"/>
    <w:rsid w:val="005A6223"/>
    <w:rsid w:val="005A64F7"/>
    <w:rsid w:val="005A7D26"/>
    <w:rsid w:val="005B3F44"/>
    <w:rsid w:val="005B4C75"/>
    <w:rsid w:val="005C22B0"/>
    <w:rsid w:val="005C2340"/>
    <w:rsid w:val="005C3AB7"/>
    <w:rsid w:val="005C51F7"/>
    <w:rsid w:val="005D1812"/>
    <w:rsid w:val="005D206A"/>
    <w:rsid w:val="005D48CA"/>
    <w:rsid w:val="005D498B"/>
    <w:rsid w:val="005D5A16"/>
    <w:rsid w:val="005E0661"/>
    <w:rsid w:val="005E09F7"/>
    <w:rsid w:val="005E2CA8"/>
    <w:rsid w:val="005E306B"/>
    <w:rsid w:val="005E42B9"/>
    <w:rsid w:val="005E4329"/>
    <w:rsid w:val="005E696A"/>
    <w:rsid w:val="005F0138"/>
    <w:rsid w:val="005F1186"/>
    <w:rsid w:val="005F23D4"/>
    <w:rsid w:val="005F3083"/>
    <w:rsid w:val="005F3FB5"/>
    <w:rsid w:val="005F4643"/>
    <w:rsid w:val="005F5D29"/>
    <w:rsid w:val="005F68AC"/>
    <w:rsid w:val="005F77A6"/>
    <w:rsid w:val="005F7B62"/>
    <w:rsid w:val="005F7F10"/>
    <w:rsid w:val="006009AE"/>
    <w:rsid w:val="00601D0E"/>
    <w:rsid w:val="006020E2"/>
    <w:rsid w:val="00604166"/>
    <w:rsid w:val="006046F8"/>
    <w:rsid w:val="00604ECF"/>
    <w:rsid w:val="00605EEE"/>
    <w:rsid w:val="006065D3"/>
    <w:rsid w:val="00606889"/>
    <w:rsid w:val="00607459"/>
    <w:rsid w:val="00607B24"/>
    <w:rsid w:val="006103E3"/>
    <w:rsid w:val="006130CF"/>
    <w:rsid w:val="0061493C"/>
    <w:rsid w:val="00614BA5"/>
    <w:rsid w:val="00614F90"/>
    <w:rsid w:val="00615237"/>
    <w:rsid w:val="00617543"/>
    <w:rsid w:val="006200C3"/>
    <w:rsid w:val="00621713"/>
    <w:rsid w:val="0062281A"/>
    <w:rsid w:val="00626085"/>
    <w:rsid w:val="00626DE6"/>
    <w:rsid w:val="00627040"/>
    <w:rsid w:val="006300DE"/>
    <w:rsid w:val="0063048A"/>
    <w:rsid w:val="00631A55"/>
    <w:rsid w:val="00635547"/>
    <w:rsid w:val="0063614D"/>
    <w:rsid w:val="00640477"/>
    <w:rsid w:val="00640AA3"/>
    <w:rsid w:val="00641DA6"/>
    <w:rsid w:val="0064262B"/>
    <w:rsid w:val="006445AD"/>
    <w:rsid w:val="0064732F"/>
    <w:rsid w:val="00647418"/>
    <w:rsid w:val="0065257F"/>
    <w:rsid w:val="00652DD2"/>
    <w:rsid w:val="006534C6"/>
    <w:rsid w:val="006623F2"/>
    <w:rsid w:val="00662DD9"/>
    <w:rsid w:val="006636A6"/>
    <w:rsid w:val="00664DC3"/>
    <w:rsid w:val="00665C05"/>
    <w:rsid w:val="0066629F"/>
    <w:rsid w:val="00667ADE"/>
    <w:rsid w:val="006700B7"/>
    <w:rsid w:val="00673270"/>
    <w:rsid w:val="00675410"/>
    <w:rsid w:val="00675588"/>
    <w:rsid w:val="006770E5"/>
    <w:rsid w:val="0068160F"/>
    <w:rsid w:val="00681ADC"/>
    <w:rsid w:val="00684BB0"/>
    <w:rsid w:val="00687704"/>
    <w:rsid w:val="00690A15"/>
    <w:rsid w:val="006939C1"/>
    <w:rsid w:val="006957C9"/>
    <w:rsid w:val="006A1904"/>
    <w:rsid w:val="006A32AA"/>
    <w:rsid w:val="006A44C1"/>
    <w:rsid w:val="006A4999"/>
    <w:rsid w:val="006A5F06"/>
    <w:rsid w:val="006A727F"/>
    <w:rsid w:val="006A7619"/>
    <w:rsid w:val="006B0124"/>
    <w:rsid w:val="006B28C4"/>
    <w:rsid w:val="006B2F38"/>
    <w:rsid w:val="006B37DC"/>
    <w:rsid w:val="006B57D9"/>
    <w:rsid w:val="006C5F1E"/>
    <w:rsid w:val="006C60D1"/>
    <w:rsid w:val="006C7D95"/>
    <w:rsid w:val="006D0B5D"/>
    <w:rsid w:val="006D3A57"/>
    <w:rsid w:val="006D484D"/>
    <w:rsid w:val="006D5E01"/>
    <w:rsid w:val="006D749A"/>
    <w:rsid w:val="006E00EA"/>
    <w:rsid w:val="006E0975"/>
    <w:rsid w:val="006E0AC6"/>
    <w:rsid w:val="006E1935"/>
    <w:rsid w:val="006E3322"/>
    <w:rsid w:val="006E39EC"/>
    <w:rsid w:val="006E4DAD"/>
    <w:rsid w:val="006E7459"/>
    <w:rsid w:val="006F011A"/>
    <w:rsid w:val="006F4C52"/>
    <w:rsid w:val="006F4C8C"/>
    <w:rsid w:val="006F4D67"/>
    <w:rsid w:val="006F55EB"/>
    <w:rsid w:val="006F778E"/>
    <w:rsid w:val="006F7A60"/>
    <w:rsid w:val="00700626"/>
    <w:rsid w:val="0070083F"/>
    <w:rsid w:val="00701413"/>
    <w:rsid w:val="007022CD"/>
    <w:rsid w:val="00703C1A"/>
    <w:rsid w:val="007045F7"/>
    <w:rsid w:val="007055F7"/>
    <w:rsid w:val="00706031"/>
    <w:rsid w:val="00706F51"/>
    <w:rsid w:val="00707DCF"/>
    <w:rsid w:val="00707FEF"/>
    <w:rsid w:val="00713A6E"/>
    <w:rsid w:val="00716AD1"/>
    <w:rsid w:val="00717714"/>
    <w:rsid w:val="00722768"/>
    <w:rsid w:val="0072373E"/>
    <w:rsid w:val="00725AA7"/>
    <w:rsid w:val="00732357"/>
    <w:rsid w:val="007338A8"/>
    <w:rsid w:val="00735839"/>
    <w:rsid w:val="00735B89"/>
    <w:rsid w:val="007424D8"/>
    <w:rsid w:val="00742EA5"/>
    <w:rsid w:val="00742F88"/>
    <w:rsid w:val="00744FCB"/>
    <w:rsid w:val="00745491"/>
    <w:rsid w:val="00745527"/>
    <w:rsid w:val="007460C3"/>
    <w:rsid w:val="00746205"/>
    <w:rsid w:val="007506D8"/>
    <w:rsid w:val="00750DB6"/>
    <w:rsid w:val="007513F1"/>
    <w:rsid w:val="0075166D"/>
    <w:rsid w:val="00751F8D"/>
    <w:rsid w:val="00755E64"/>
    <w:rsid w:val="00756A9F"/>
    <w:rsid w:val="00756BEE"/>
    <w:rsid w:val="00757531"/>
    <w:rsid w:val="00760F83"/>
    <w:rsid w:val="00761C8D"/>
    <w:rsid w:val="00764418"/>
    <w:rsid w:val="00764577"/>
    <w:rsid w:val="00765927"/>
    <w:rsid w:val="007745AD"/>
    <w:rsid w:val="00774617"/>
    <w:rsid w:val="00776FB8"/>
    <w:rsid w:val="00780E42"/>
    <w:rsid w:val="00783996"/>
    <w:rsid w:val="00784997"/>
    <w:rsid w:val="00786762"/>
    <w:rsid w:val="007917BB"/>
    <w:rsid w:val="0079221C"/>
    <w:rsid w:val="00794FC4"/>
    <w:rsid w:val="00795416"/>
    <w:rsid w:val="00796B12"/>
    <w:rsid w:val="007976AD"/>
    <w:rsid w:val="00797BC3"/>
    <w:rsid w:val="007A0937"/>
    <w:rsid w:val="007A373F"/>
    <w:rsid w:val="007A5674"/>
    <w:rsid w:val="007A6995"/>
    <w:rsid w:val="007A6AD6"/>
    <w:rsid w:val="007A6DDA"/>
    <w:rsid w:val="007A72F5"/>
    <w:rsid w:val="007A7B2F"/>
    <w:rsid w:val="007A7EEB"/>
    <w:rsid w:val="007B4CDE"/>
    <w:rsid w:val="007C03C6"/>
    <w:rsid w:val="007C08A7"/>
    <w:rsid w:val="007C13A8"/>
    <w:rsid w:val="007C213F"/>
    <w:rsid w:val="007C4108"/>
    <w:rsid w:val="007C5312"/>
    <w:rsid w:val="007C7864"/>
    <w:rsid w:val="007C79D1"/>
    <w:rsid w:val="007D0224"/>
    <w:rsid w:val="007D09C9"/>
    <w:rsid w:val="007D3F68"/>
    <w:rsid w:val="007D3F9F"/>
    <w:rsid w:val="007E2540"/>
    <w:rsid w:val="007E42E6"/>
    <w:rsid w:val="007E4344"/>
    <w:rsid w:val="007E6ABB"/>
    <w:rsid w:val="007E6CC5"/>
    <w:rsid w:val="007E741F"/>
    <w:rsid w:val="007E7525"/>
    <w:rsid w:val="007F0969"/>
    <w:rsid w:val="007F3B86"/>
    <w:rsid w:val="007F6C6C"/>
    <w:rsid w:val="00800903"/>
    <w:rsid w:val="0080190D"/>
    <w:rsid w:val="00801CC7"/>
    <w:rsid w:val="0080223C"/>
    <w:rsid w:val="00803443"/>
    <w:rsid w:val="00804F6D"/>
    <w:rsid w:val="00810038"/>
    <w:rsid w:val="00811EA3"/>
    <w:rsid w:val="0081505B"/>
    <w:rsid w:val="008160F0"/>
    <w:rsid w:val="00820035"/>
    <w:rsid w:val="008207A6"/>
    <w:rsid w:val="00821D09"/>
    <w:rsid w:val="0082298D"/>
    <w:rsid w:val="0082440D"/>
    <w:rsid w:val="00825324"/>
    <w:rsid w:val="00825DE9"/>
    <w:rsid w:val="00827C9F"/>
    <w:rsid w:val="008339E5"/>
    <w:rsid w:val="00833ACD"/>
    <w:rsid w:val="00834D8C"/>
    <w:rsid w:val="00836EC7"/>
    <w:rsid w:val="00837FDF"/>
    <w:rsid w:val="00840056"/>
    <w:rsid w:val="008424C7"/>
    <w:rsid w:val="0084448C"/>
    <w:rsid w:val="008459EF"/>
    <w:rsid w:val="00846186"/>
    <w:rsid w:val="00847108"/>
    <w:rsid w:val="00852E1F"/>
    <w:rsid w:val="00854A74"/>
    <w:rsid w:val="00854C18"/>
    <w:rsid w:val="00855664"/>
    <w:rsid w:val="008565A7"/>
    <w:rsid w:val="008579AF"/>
    <w:rsid w:val="00860498"/>
    <w:rsid w:val="00861850"/>
    <w:rsid w:val="0086194A"/>
    <w:rsid w:val="00861FE4"/>
    <w:rsid w:val="00863A3D"/>
    <w:rsid w:val="0086440B"/>
    <w:rsid w:val="0086502F"/>
    <w:rsid w:val="008664BE"/>
    <w:rsid w:val="0087052C"/>
    <w:rsid w:val="008722A1"/>
    <w:rsid w:val="008735CD"/>
    <w:rsid w:val="00874559"/>
    <w:rsid w:val="00875E54"/>
    <w:rsid w:val="00875F47"/>
    <w:rsid w:val="008760FF"/>
    <w:rsid w:val="00876233"/>
    <w:rsid w:val="00887CC1"/>
    <w:rsid w:val="00890895"/>
    <w:rsid w:val="00892E16"/>
    <w:rsid w:val="00893253"/>
    <w:rsid w:val="008965FB"/>
    <w:rsid w:val="00897680"/>
    <w:rsid w:val="00897728"/>
    <w:rsid w:val="008A0FB0"/>
    <w:rsid w:val="008A16B3"/>
    <w:rsid w:val="008A1D78"/>
    <w:rsid w:val="008A2819"/>
    <w:rsid w:val="008A40F0"/>
    <w:rsid w:val="008A68A1"/>
    <w:rsid w:val="008A7A77"/>
    <w:rsid w:val="008B006E"/>
    <w:rsid w:val="008B4352"/>
    <w:rsid w:val="008B5007"/>
    <w:rsid w:val="008C5502"/>
    <w:rsid w:val="008D1340"/>
    <w:rsid w:val="008D20E8"/>
    <w:rsid w:val="008D221E"/>
    <w:rsid w:val="008D2700"/>
    <w:rsid w:val="008D70C8"/>
    <w:rsid w:val="008D7AC0"/>
    <w:rsid w:val="008E3968"/>
    <w:rsid w:val="008E41F5"/>
    <w:rsid w:val="008E49A5"/>
    <w:rsid w:val="008E658A"/>
    <w:rsid w:val="008F0A2F"/>
    <w:rsid w:val="008F0AA0"/>
    <w:rsid w:val="008F1A30"/>
    <w:rsid w:val="008F265A"/>
    <w:rsid w:val="008F3515"/>
    <w:rsid w:val="008F3CE5"/>
    <w:rsid w:val="009003FF"/>
    <w:rsid w:val="009007A8"/>
    <w:rsid w:val="0090366E"/>
    <w:rsid w:val="00904EB8"/>
    <w:rsid w:val="009062EE"/>
    <w:rsid w:val="00913410"/>
    <w:rsid w:val="009156BD"/>
    <w:rsid w:val="009175FE"/>
    <w:rsid w:val="00920429"/>
    <w:rsid w:val="009214D8"/>
    <w:rsid w:val="009252EE"/>
    <w:rsid w:val="00926FB5"/>
    <w:rsid w:val="0092727E"/>
    <w:rsid w:val="00927775"/>
    <w:rsid w:val="009279BC"/>
    <w:rsid w:val="00930813"/>
    <w:rsid w:val="009319D8"/>
    <w:rsid w:val="009333A1"/>
    <w:rsid w:val="00933FDC"/>
    <w:rsid w:val="0093407A"/>
    <w:rsid w:val="009345AD"/>
    <w:rsid w:val="00934E30"/>
    <w:rsid w:val="0093522C"/>
    <w:rsid w:val="009365B2"/>
    <w:rsid w:val="00941292"/>
    <w:rsid w:val="00943AAF"/>
    <w:rsid w:val="00944A58"/>
    <w:rsid w:val="00946CB6"/>
    <w:rsid w:val="00947EF9"/>
    <w:rsid w:val="0095178E"/>
    <w:rsid w:val="00952071"/>
    <w:rsid w:val="009551D2"/>
    <w:rsid w:val="00956080"/>
    <w:rsid w:val="00957BDA"/>
    <w:rsid w:val="00957FFA"/>
    <w:rsid w:val="00962D6A"/>
    <w:rsid w:val="009640DE"/>
    <w:rsid w:val="0096418E"/>
    <w:rsid w:val="009645AA"/>
    <w:rsid w:val="009660FA"/>
    <w:rsid w:val="00966614"/>
    <w:rsid w:val="00967803"/>
    <w:rsid w:val="00970DA6"/>
    <w:rsid w:val="009726DE"/>
    <w:rsid w:val="00974578"/>
    <w:rsid w:val="00974E35"/>
    <w:rsid w:val="00975726"/>
    <w:rsid w:val="00977518"/>
    <w:rsid w:val="00977696"/>
    <w:rsid w:val="00980615"/>
    <w:rsid w:val="00982211"/>
    <w:rsid w:val="009824A5"/>
    <w:rsid w:val="0098262A"/>
    <w:rsid w:val="00983973"/>
    <w:rsid w:val="00983F85"/>
    <w:rsid w:val="009861A4"/>
    <w:rsid w:val="00986FA1"/>
    <w:rsid w:val="00990838"/>
    <w:rsid w:val="00990C6B"/>
    <w:rsid w:val="00990EDA"/>
    <w:rsid w:val="0099442B"/>
    <w:rsid w:val="0099465D"/>
    <w:rsid w:val="0099555E"/>
    <w:rsid w:val="00995DE3"/>
    <w:rsid w:val="0099662E"/>
    <w:rsid w:val="00997112"/>
    <w:rsid w:val="00997E2E"/>
    <w:rsid w:val="009A0C9C"/>
    <w:rsid w:val="009A1C5F"/>
    <w:rsid w:val="009A267A"/>
    <w:rsid w:val="009A3374"/>
    <w:rsid w:val="009A3E5C"/>
    <w:rsid w:val="009A7686"/>
    <w:rsid w:val="009A7F77"/>
    <w:rsid w:val="009B1208"/>
    <w:rsid w:val="009B47B3"/>
    <w:rsid w:val="009B7AF7"/>
    <w:rsid w:val="009B7F2E"/>
    <w:rsid w:val="009C0ABD"/>
    <w:rsid w:val="009C0B38"/>
    <w:rsid w:val="009C14BD"/>
    <w:rsid w:val="009C3224"/>
    <w:rsid w:val="009C3B95"/>
    <w:rsid w:val="009C3DFB"/>
    <w:rsid w:val="009C6A28"/>
    <w:rsid w:val="009C6FF8"/>
    <w:rsid w:val="009D092A"/>
    <w:rsid w:val="009D31C6"/>
    <w:rsid w:val="009D3892"/>
    <w:rsid w:val="009D4218"/>
    <w:rsid w:val="009D67B7"/>
    <w:rsid w:val="009D774B"/>
    <w:rsid w:val="009E0739"/>
    <w:rsid w:val="009E1DD5"/>
    <w:rsid w:val="009E2171"/>
    <w:rsid w:val="009E5237"/>
    <w:rsid w:val="009E615E"/>
    <w:rsid w:val="009E62B5"/>
    <w:rsid w:val="009E6A92"/>
    <w:rsid w:val="009E7C58"/>
    <w:rsid w:val="009F016C"/>
    <w:rsid w:val="009F28F0"/>
    <w:rsid w:val="009F33FC"/>
    <w:rsid w:val="009F3690"/>
    <w:rsid w:val="009F4413"/>
    <w:rsid w:val="009F4AD2"/>
    <w:rsid w:val="009F6207"/>
    <w:rsid w:val="00A00FC6"/>
    <w:rsid w:val="00A017B0"/>
    <w:rsid w:val="00A03B39"/>
    <w:rsid w:val="00A05F5F"/>
    <w:rsid w:val="00A067FA"/>
    <w:rsid w:val="00A11461"/>
    <w:rsid w:val="00A13E1F"/>
    <w:rsid w:val="00A14B5D"/>
    <w:rsid w:val="00A14E3F"/>
    <w:rsid w:val="00A2098B"/>
    <w:rsid w:val="00A231EA"/>
    <w:rsid w:val="00A2334B"/>
    <w:rsid w:val="00A2379A"/>
    <w:rsid w:val="00A23B91"/>
    <w:rsid w:val="00A25216"/>
    <w:rsid w:val="00A25DCA"/>
    <w:rsid w:val="00A3190A"/>
    <w:rsid w:val="00A355AF"/>
    <w:rsid w:val="00A36EA1"/>
    <w:rsid w:val="00A37D63"/>
    <w:rsid w:val="00A41654"/>
    <w:rsid w:val="00A4198D"/>
    <w:rsid w:val="00A424CA"/>
    <w:rsid w:val="00A42BA6"/>
    <w:rsid w:val="00A444FB"/>
    <w:rsid w:val="00A4495C"/>
    <w:rsid w:val="00A45F0C"/>
    <w:rsid w:val="00A50ABE"/>
    <w:rsid w:val="00A5181E"/>
    <w:rsid w:val="00A52CC1"/>
    <w:rsid w:val="00A577B8"/>
    <w:rsid w:val="00A620CC"/>
    <w:rsid w:val="00A658A9"/>
    <w:rsid w:val="00A66403"/>
    <w:rsid w:val="00A67531"/>
    <w:rsid w:val="00A7100B"/>
    <w:rsid w:val="00A7120D"/>
    <w:rsid w:val="00A71AE7"/>
    <w:rsid w:val="00A749D9"/>
    <w:rsid w:val="00A806FE"/>
    <w:rsid w:val="00A81ABD"/>
    <w:rsid w:val="00A832CB"/>
    <w:rsid w:val="00A83A89"/>
    <w:rsid w:val="00A844EF"/>
    <w:rsid w:val="00A868CB"/>
    <w:rsid w:val="00A87974"/>
    <w:rsid w:val="00A91E45"/>
    <w:rsid w:val="00A94AEF"/>
    <w:rsid w:val="00A9565C"/>
    <w:rsid w:val="00A95A59"/>
    <w:rsid w:val="00A9750E"/>
    <w:rsid w:val="00A97959"/>
    <w:rsid w:val="00AA09DF"/>
    <w:rsid w:val="00AA2FE2"/>
    <w:rsid w:val="00AA4283"/>
    <w:rsid w:val="00AA4E6A"/>
    <w:rsid w:val="00AA575B"/>
    <w:rsid w:val="00AA5BC5"/>
    <w:rsid w:val="00AA7831"/>
    <w:rsid w:val="00AA7BC0"/>
    <w:rsid w:val="00AB302E"/>
    <w:rsid w:val="00AB6870"/>
    <w:rsid w:val="00AC3D91"/>
    <w:rsid w:val="00AC440A"/>
    <w:rsid w:val="00AC58A1"/>
    <w:rsid w:val="00AC6B3A"/>
    <w:rsid w:val="00AC6F10"/>
    <w:rsid w:val="00AD17F1"/>
    <w:rsid w:val="00AD38E2"/>
    <w:rsid w:val="00AD62F6"/>
    <w:rsid w:val="00AD7CEB"/>
    <w:rsid w:val="00AE09E2"/>
    <w:rsid w:val="00AE1898"/>
    <w:rsid w:val="00AE3CB2"/>
    <w:rsid w:val="00AE3D3B"/>
    <w:rsid w:val="00AE6F79"/>
    <w:rsid w:val="00AF0EF3"/>
    <w:rsid w:val="00AF38F4"/>
    <w:rsid w:val="00AF616A"/>
    <w:rsid w:val="00AF7B5F"/>
    <w:rsid w:val="00B002AF"/>
    <w:rsid w:val="00B014D6"/>
    <w:rsid w:val="00B017C4"/>
    <w:rsid w:val="00B017CE"/>
    <w:rsid w:val="00B028E2"/>
    <w:rsid w:val="00B02F63"/>
    <w:rsid w:val="00B109EF"/>
    <w:rsid w:val="00B1234C"/>
    <w:rsid w:val="00B127E3"/>
    <w:rsid w:val="00B13B74"/>
    <w:rsid w:val="00B1472D"/>
    <w:rsid w:val="00B15208"/>
    <w:rsid w:val="00B162D8"/>
    <w:rsid w:val="00B17A81"/>
    <w:rsid w:val="00B17E76"/>
    <w:rsid w:val="00B20866"/>
    <w:rsid w:val="00B22411"/>
    <w:rsid w:val="00B23461"/>
    <w:rsid w:val="00B23764"/>
    <w:rsid w:val="00B25C23"/>
    <w:rsid w:val="00B26374"/>
    <w:rsid w:val="00B2648A"/>
    <w:rsid w:val="00B30AB5"/>
    <w:rsid w:val="00B312DF"/>
    <w:rsid w:val="00B32862"/>
    <w:rsid w:val="00B32F28"/>
    <w:rsid w:val="00B3381D"/>
    <w:rsid w:val="00B341C6"/>
    <w:rsid w:val="00B35434"/>
    <w:rsid w:val="00B35C7A"/>
    <w:rsid w:val="00B36865"/>
    <w:rsid w:val="00B37065"/>
    <w:rsid w:val="00B4132F"/>
    <w:rsid w:val="00B42036"/>
    <w:rsid w:val="00B435D9"/>
    <w:rsid w:val="00B44C66"/>
    <w:rsid w:val="00B473D3"/>
    <w:rsid w:val="00B51A0F"/>
    <w:rsid w:val="00B53CB9"/>
    <w:rsid w:val="00B55E81"/>
    <w:rsid w:val="00B6044D"/>
    <w:rsid w:val="00B61244"/>
    <w:rsid w:val="00B6157F"/>
    <w:rsid w:val="00B61CC9"/>
    <w:rsid w:val="00B62EE0"/>
    <w:rsid w:val="00B63516"/>
    <w:rsid w:val="00B64C3C"/>
    <w:rsid w:val="00B6650E"/>
    <w:rsid w:val="00B66D17"/>
    <w:rsid w:val="00B708D2"/>
    <w:rsid w:val="00B722BF"/>
    <w:rsid w:val="00B7383F"/>
    <w:rsid w:val="00B75132"/>
    <w:rsid w:val="00B756EB"/>
    <w:rsid w:val="00B76AE9"/>
    <w:rsid w:val="00B76D62"/>
    <w:rsid w:val="00B77389"/>
    <w:rsid w:val="00B84901"/>
    <w:rsid w:val="00B85614"/>
    <w:rsid w:val="00B87228"/>
    <w:rsid w:val="00B91A15"/>
    <w:rsid w:val="00B92274"/>
    <w:rsid w:val="00B929A0"/>
    <w:rsid w:val="00B9324F"/>
    <w:rsid w:val="00B946C1"/>
    <w:rsid w:val="00B94B2D"/>
    <w:rsid w:val="00B97AC5"/>
    <w:rsid w:val="00BA4605"/>
    <w:rsid w:val="00BA4990"/>
    <w:rsid w:val="00BA5434"/>
    <w:rsid w:val="00BA5F93"/>
    <w:rsid w:val="00BB19EC"/>
    <w:rsid w:val="00BB32F4"/>
    <w:rsid w:val="00BB56E1"/>
    <w:rsid w:val="00BB60B5"/>
    <w:rsid w:val="00BC0D95"/>
    <w:rsid w:val="00BC2318"/>
    <w:rsid w:val="00BC4BC7"/>
    <w:rsid w:val="00BC51E6"/>
    <w:rsid w:val="00BC557B"/>
    <w:rsid w:val="00BC5704"/>
    <w:rsid w:val="00BC6486"/>
    <w:rsid w:val="00BC78D7"/>
    <w:rsid w:val="00BD1172"/>
    <w:rsid w:val="00BD11CB"/>
    <w:rsid w:val="00BD1408"/>
    <w:rsid w:val="00BD1A36"/>
    <w:rsid w:val="00BD24F6"/>
    <w:rsid w:val="00BD2CDA"/>
    <w:rsid w:val="00BD2F8F"/>
    <w:rsid w:val="00BD327C"/>
    <w:rsid w:val="00BD5372"/>
    <w:rsid w:val="00BD5E6D"/>
    <w:rsid w:val="00BD62E9"/>
    <w:rsid w:val="00BE09E5"/>
    <w:rsid w:val="00BE136C"/>
    <w:rsid w:val="00BE1682"/>
    <w:rsid w:val="00BE22C8"/>
    <w:rsid w:val="00BE4635"/>
    <w:rsid w:val="00BE6B53"/>
    <w:rsid w:val="00BF1852"/>
    <w:rsid w:val="00BF507B"/>
    <w:rsid w:val="00BF5DF2"/>
    <w:rsid w:val="00BF7EB1"/>
    <w:rsid w:val="00C02081"/>
    <w:rsid w:val="00C03098"/>
    <w:rsid w:val="00C03E0E"/>
    <w:rsid w:val="00C04739"/>
    <w:rsid w:val="00C04BFF"/>
    <w:rsid w:val="00C06AFA"/>
    <w:rsid w:val="00C10500"/>
    <w:rsid w:val="00C1285A"/>
    <w:rsid w:val="00C13808"/>
    <w:rsid w:val="00C142EF"/>
    <w:rsid w:val="00C16894"/>
    <w:rsid w:val="00C17032"/>
    <w:rsid w:val="00C1716C"/>
    <w:rsid w:val="00C171D8"/>
    <w:rsid w:val="00C17E15"/>
    <w:rsid w:val="00C20C78"/>
    <w:rsid w:val="00C212C0"/>
    <w:rsid w:val="00C2562D"/>
    <w:rsid w:val="00C25635"/>
    <w:rsid w:val="00C26737"/>
    <w:rsid w:val="00C2778E"/>
    <w:rsid w:val="00C27FE8"/>
    <w:rsid w:val="00C309F5"/>
    <w:rsid w:val="00C33E7E"/>
    <w:rsid w:val="00C355E4"/>
    <w:rsid w:val="00C37914"/>
    <w:rsid w:val="00C40793"/>
    <w:rsid w:val="00C40BC6"/>
    <w:rsid w:val="00C419A2"/>
    <w:rsid w:val="00C42517"/>
    <w:rsid w:val="00C45002"/>
    <w:rsid w:val="00C46AE3"/>
    <w:rsid w:val="00C51656"/>
    <w:rsid w:val="00C55818"/>
    <w:rsid w:val="00C57060"/>
    <w:rsid w:val="00C578C2"/>
    <w:rsid w:val="00C57FF2"/>
    <w:rsid w:val="00C60269"/>
    <w:rsid w:val="00C623AC"/>
    <w:rsid w:val="00C63213"/>
    <w:rsid w:val="00C63969"/>
    <w:rsid w:val="00C65AB2"/>
    <w:rsid w:val="00C718DD"/>
    <w:rsid w:val="00C72A6C"/>
    <w:rsid w:val="00C72FA7"/>
    <w:rsid w:val="00C76BC1"/>
    <w:rsid w:val="00C84C18"/>
    <w:rsid w:val="00C911FE"/>
    <w:rsid w:val="00C92443"/>
    <w:rsid w:val="00C932CC"/>
    <w:rsid w:val="00C93B73"/>
    <w:rsid w:val="00C979A8"/>
    <w:rsid w:val="00CA0952"/>
    <w:rsid w:val="00CA326E"/>
    <w:rsid w:val="00CA4725"/>
    <w:rsid w:val="00CA552C"/>
    <w:rsid w:val="00CB10F9"/>
    <w:rsid w:val="00CB14CD"/>
    <w:rsid w:val="00CB1EA4"/>
    <w:rsid w:val="00CB3163"/>
    <w:rsid w:val="00CB433D"/>
    <w:rsid w:val="00CB4CA0"/>
    <w:rsid w:val="00CB5D88"/>
    <w:rsid w:val="00CB6331"/>
    <w:rsid w:val="00CB79F9"/>
    <w:rsid w:val="00CC0D17"/>
    <w:rsid w:val="00CC283F"/>
    <w:rsid w:val="00CC4155"/>
    <w:rsid w:val="00CC47D9"/>
    <w:rsid w:val="00CC7339"/>
    <w:rsid w:val="00CD1CA9"/>
    <w:rsid w:val="00CD2207"/>
    <w:rsid w:val="00CD4446"/>
    <w:rsid w:val="00CE0E62"/>
    <w:rsid w:val="00CE3604"/>
    <w:rsid w:val="00CE3C7C"/>
    <w:rsid w:val="00CE3EE7"/>
    <w:rsid w:val="00CE406E"/>
    <w:rsid w:val="00CE4095"/>
    <w:rsid w:val="00CE50BC"/>
    <w:rsid w:val="00CE6D23"/>
    <w:rsid w:val="00CE6F37"/>
    <w:rsid w:val="00CE7C33"/>
    <w:rsid w:val="00CF26D1"/>
    <w:rsid w:val="00CF660B"/>
    <w:rsid w:val="00D01FCD"/>
    <w:rsid w:val="00D025DE"/>
    <w:rsid w:val="00D02F76"/>
    <w:rsid w:val="00D067E0"/>
    <w:rsid w:val="00D06912"/>
    <w:rsid w:val="00D07ECD"/>
    <w:rsid w:val="00D11D17"/>
    <w:rsid w:val="00D12417"/>
    <w:rsid w:val="00D12A02"/>
    <w:rsid w:val="00D12B1B"/>
    <w:rsid w:val="00D13F71"/>
    <w:rsid w:val="00D16197"/>
    <w:rsid w:val="00D17517"/>
    <w:rsid w:val="00D207F7"/>
    <w:rsid w:val="00D20F1F"/>
    <w:rsid w:val="00D2106C"/>
    <w:rsid w:val="00D21699"/>
    <w:rsid w:val="00D21A7C"/>
    <w:rsid w:val="00D23703"/>
    <w:rsid w:val="00D24557"/>
    <w:rsid w:val="00D314FA"/>
    <w:rsid w:val="00D33A91"/>
    <w:rsid w:val="00D34BBD"/>
    <w:rsid w:val="00D35180"/>
    <w:rsid w:val="00D35DFF"/>
    <w:rsid w:val="00D36A0F"/>
    <w:rsid w:val="00D3729D"/>
    <w:rsid w:val="00D40F8C"/>
    <w:rsid w:val="00D43617"/>
    <w:rsid w:val="00D43802"/>
    <w:rsid w:val="00D447D0"/>
    <w:rsid w:val="00D44B5D"/>
    <w:rsid w:val="00D474BB"/>
    <w:rsid w:val="00D50540"/>
    <w:rsid w:val="00D532BE"/>
    <w:rsid w:val="00D5584C"/>
    <w:rsid w:val="00D560A4"/>
    <w:rsid w:val="00D570D8"/>
    <w:rsid w:val="00D61D65"/>
    <w:rsid w:val="00D66EA5"/>
    <w:rsid w:val="00D725FC"/>
    <w:rsid w:val="00D75DD4"/>
    <w:rsid w:val="00D76824"/>
    <w:rsid w:val="00D806F1"/>
    <w:rsid w:val="00D8089E"/>
    <w:rsid w:val="00D80A44"/>
    <w:rsid w:val="00D80AAB"/>
    <w:rsid w:val="00D8123D"/>
    <w:rsid w:val="00D82EAF"/>
    <w:rsid w:val="00D84186"/>
    <w:rsid w:val="00D850C2"/>
    <w:rsid w:val="00D85B4A"/>
    <w:rsid w:val="00D87F8D"/>
    <w:rsid w:val="00D95309"/>
    <w:rsid w:val="00DA0381"/>
    <w:rsid w:val="00DA1022"/>
    <w:rsid w:val="00DA11FA"/>
    <w:rsid w:val="00DA2715"/>
    <w:rsid w:val="00DA46A4"/>
    <w:rsid w:val="00DB0F56"/>
    <w:rsid w:val="00DB1BD2"/>
    <w:rsid w:val="00DB3913"/>
    <w:rsid w:val="00DB4BEF"/>
    <w:rsid w:val="00DB4D62"/>
    <w:rsid w:val="00DB4DB2"/>
    <w:rsid w:val="00DB5C77"/>
    <w:rsid w:val="00DB5F13"/>
    <w:rsid w:val="00DB6002"/>
    <w:rsid w:val="00DB7543"/>
    <w:rsid w:val="00DC14B1"/>
    <w:rsid w:val="00DC219D"/>
    <w:rsid w:val="00DC3CA5"/>
    <w:rsid w:val="00DC6183"/>
    <w:rsid w:val="00DD0BE4"/>
    <w:rsid w:val="00DD3DEC"/>
    <w:rsid w:val="00DD41C4"/>
    <w:rsid w:val="00DD4FD4"/>
    <w:rsid w:val="00DD6018"/>
    <w:rsid w:val="00DD6ACF"/>
    <w:rsid w:val="00DD7248"/>
    <w:rsid w:val="00DE0285"/>
    <w:rsid w:val="00DE15F8"/>
    <w:rsid w:val="00DE1E6E"/>
    <w:rsid w:val="00DE2CAB"/>
    <w:rsid w:val="00DE4570"/>
    <w:rsid w:val="00DE4BF1"/>
    <w:rsid w:val="00DE58D0"/>
    <w:rsid w:val="00DE5B5A"/>
    <w:rsid w:val="00DE5D6C"/>
    <w:rsid w:val="00DE72C3"/>
    <w:rsid w:val="00DE7BA3"/>
    <w:rsid w:val="00DF1BDF"/>
    <w:rsid w:val="00DF2490"/>
    <w:rsid w:val="00DF2BA6"/>
    <w:rsid w:val="00DF4F10"/>
    <w:rsid w:val="00E0187F"/>
    <w:rsid w:val="00E023DC"/>
    <w:rsid w:val="00E04C55"/>
    <w:rsid w:val="00E04E2B"/>
    <w:rsid w:val="00E05802"/>
    <w:rsid w:val="00E06FE9"/>
    <w:rsid w:val="00E0791A"/>
    <w:rsid w:val="00E10A07"/>
    <w:rsid w:val="00E117CA"/>
    <w:rsid w:val="00E1200C"/>
    <w:rsid w:val="00E12F94"/>
    <w:rsid w:val="00E15786"/>
    <w:rsid w:val="00E1639C"/>
    <w:rsid w:val="00E17AB2"/>
    <w:rsid w:val="00E21332"/>
    <w:rsid w:val="00E21770"/>
    <w:rsid w:val="00E22C97"/>
    <w:rsid w:val="00E23A42"/>
    <w:rsid w:val="00E24770"/>
    <w:rsid w:val="00E25EDA"/>
    <w:rsid w:val="00E3280A"/>
    <w:rsid w:val="00E3395A"/>
    <w:rsid w:val="00E3413E"/>
    <w:rsid w:val="00E4020A"/>
    <w:rsid w:val="00E40E95"/>
    <w:rsid w:val="00E4362F"/>
    <w:rsid w:val="00E44DC4"/>
    <w:rsid w:val="00E47E91"/>
    <w:rsid w:val="00E52AFE"/>
    <w:rsid w:val="00E54BAA"/>
    <w:rsid w:val="00E54E24"/>
    <w:rsid w:val="00E5658A"/>
    <w:rsid w:val="00E576F5"/>
    <w:rsid w:val="00E60415"/>
    <w:rsid w:val="00E60527"/>
    <w:rsid w:val="00E6103C"/>
    <w:rsid w:val="00E63915"/>
    <w:rsid w:val="00E643ED"/>
    <w:rsid w:val="00E70E4E"/>
    <w:rsid w:val="00E72F2E"/>
    <w:rsid w:val="00E73047"/>
    <w:rsid w:val="00E77389"/>
    <w:rsid w:val="00E81264"/>
    <w:rsid w:val="00E82C4E"/>
    <w:rsid w:val="00E833B9"/>
    <w:rsid w:val="00E83561"/>
    <w:rsid w:val="00E866AA"/>
    <w:rsid w:val="00E86A01"/>
    <w:rsid w:val="00E8787C"/>
    <w:rsid w:val="00E87A30"/>
    <w:rsid w:val="00E90100"/>
    <w:rsid w:val="00E905DC"/>
    <w:rsid w:val="00E9703B"/>
    <w:rsid w:val="00EA0D64"/>
    <w:rsid w:val="00EA0E31"/>
    <w:rsid w:val="00EA0F9B"/>
    <w:rsid w:val="00EA1919"/>
    <w:rsid w:val="00EA4397"/>
    <w:rsid w:val="00EA7A1C"/>
    <w:rsid w:val="00EB0034"/>
    <w:rsid w:val="00EB46A1"/>
    <w:rsid w:val="00EB48A9"/>
    <w:rsid w:val="00EB53F5"/>
    <w:rsid w:val="00EB5FEC"/>
    <w:rsid w:val="00EC2C45"/>
    <w:rsid w:val="00EC373A"/>
    <w:rsid w:val="00EC40C8"/>
    <w:rsid w:val="00EC4C90"/>
    <w:rsid w:val="00EC4D12"/>
    <w:rsid w:val="00ED567C"/>
    <w:rsid w:val="00ED6B7D"/>
    <w:rsid w:val="00ED77DC"/>
    <w:rsid w:val="00EE24FA"/>
    <w:rsid w:val="00EE4AAA"/>
    <w:rsid w:val="00EE5EA0"/>
    <w:rsid w:val="00EE7CF9"/>
    <w:rsid w:val="00EF03BC"/>
    <w:rsid w:val="00EF0A1D"/>
    <w:rsid w:val="00EF1399"/>
    <w:rsid w:val="00EF250F"/>
    <w:rsid w:val="00EF2D4D"/>
    <w:rsid w:val="00EF2EC3"/>
    <w:rsid w:val="00EF32C1"/>
    <w:rsid w:val="00EF41B5"/>
    <w:rsid w:val="00EF753F"/>
    <w:rsid w:val="00F016CD"/>
    <w:rsid w:val="00F01721"/>
    <w:rsid w:val="00F02CAB"/>
    <w:rsid w:val="00F03AFB"/>
    <w:rsid w:val="00F044D3"/>
    <w:rsid w:val="00F04A9B"/>
    <w:rsid w:val="00F05B3C"/>
    <w:rsid w:val="00F05F4C"/>
    <w:rsid w:val="00F06C13"/>
    <w:rsid w:val="00F10653"/>
    <w:rsid w:val="00F10801"/>
    <w:rsid w:val="00F113F8"/>
    <w:rsid w:val="00F14961"/>
    <w:rsid w:val="00F14DC3"/>
    <w:rsid w:val="00F2073B"/>
    <w:rsid w:val="00F23A84"/>
    <w:rsid w:val="00F23BEC"/>
    <w:rsid w:val="00F2449E"/>
    <w:rsid w:val="00F24DF5"/>
    <w:rsid w:val="00F2642E"/>
    <w:rsid w:val="00F27F77"/>
    <w:rsid w:val="00F31BBD"/>
    <w:rsid w:val="00F328F7"/>
    <w:rsid w:val="00F32EBD"/>
    <w:rsid w:val="00F3380E"/>
    <w:rsid w:val="00F35950"/>
    <w:rsid w:val="00F36275"/>
    <w:rsid w:val="00F368EF"/>
    <w:rsid w:val="00F37D14"/>
    <w:rsid w:val="00F40B4E"/>
    <w:rsid w:val="00F440DE"/>
    <w:rsid w:val="00F45D4F"/>
    <w:rsid w:val="00F47C44"/>
    <w:rsid w:val="00F47E98"/>
    <w:rsid w:val="00F50A85"/>
    <w:rsid w:val="00F537D3"/>
    <w:rsid w:val="00F540B6"/>
    <w:rsid w:val="00F55166"/>
    <w:rsid w:val="00F55365"/>
    <w:rsid w:val="00F56B4F"/>
    <w:rsid w:val="00F57F95"/>
    <w:rsid w:val="00F60E38"/>
    <w:rsid w:val="00F63F09"/>
    <w:rsid w:val="00F64025"/>
    <w:rsid w:val="00F64C76"/>
    <w:rsid w:val="00F705BF"/>
    <w:rsid w:val="00F71AFC"/>
    <w:rsid w:val="00F736CD"/>
    <w:rsid w:val="00F73BD3"/>
    <w:rsid w:val="00F74E29"/>
    <w:rsid w:val="00F76034"/>
    <w:rsid w:val="00F83F5F"/>
    <w:rsid w:val="00F84074"/>
    <w:rsid w:val="00F847D4"/>
    <w:rsid w:val="00F86637"/>
    <w:rsid w:val="00F91121"/>
    <w:rsid w:val="00F9120B"/>
    <w:rsid w:val="00F91255"/>
    <w:rsid w:val="00F92C4E"/>
    <w:rsid w:val="00F936D9"/>
    <w:rsid w:val="00F95CAC"/>
    <w:rsid w:val="00F96546"/>
    <w:rsid w:val="00FA066B"/>
    <w:rsid w:val="00FA088B"/>
    <w:rsid w:val="00FA095E"/>
    <w:rsid w:val="00FA1EB3"/>
    <w:rsid w:val="00FA2CAC"/>
    <w:rsid w:val="00FA30AD"/>
    <w:rsid w:val="00FA3BCF"/>
    <w:rsid w:val="00FA5F1D"/>
    <w:rsid w:val="00FA6469"/>
    <w:rsid w:val="00FA7A43"/>
    <w:rsid w:val="00FB3DD1"/>
    <w:rsid w:val="00FB50DC"/>
    <w:rsid w:val="00FB661B"/>
    <w:rsid w:val="00FB6EED"/>
    <w:rsid w:val="00FB7D92"/>
    <w:rsid w:val="00FC1E04"/>
    <w:rsid w:val="00FC32CF"/>
    <w:rsid w:val="00FC344E"/>
    <w:rsid w:val="00FC4FFF"/>
    <w:rsid w:val="00FC6AB5"/>
    <w:rsid w:val="00FC72C2"/>
    <w:rsid w:val="00FD07CA"/>
    <w:rsid w:val="00FD4418"/>
    <w:rsid w:val="00FE0745"/>
    <w:rsid w:val="00FE11E2"/>
    <w:rsid w:val="00FE2F4F"/>
    <w:rsid w:val="00FE4A1B"/>
    <w:rsid w:val="00FE6196"/>
    <w:rsid w:val="00FE756C"/>
    <w:rsid w:val="00FE7D07"/>
    <w:rsid w:val="00FF012B"/>
    <w:rsid w:val="00FF0247"/>
    <w:rsid w:val="00FF4A5E"/>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5AE43"/>
  <w15:docId w15:val="{1C0329E2-626B-4C5D-A879-2A2AF544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character" w:styleId="FollowedHyperlink">
    <w:name w:val="FollowedHyperlink"/>
    <w:basedOn w:val="DefaultParagraphFont"/>
    <w:uiPriority w:val="99"/>
    <w:semiHidden/>
    <w:unhideWhenUsed/>
    <w:rsid w:val="00B017C4"/>
    <w:rPr>
      <w:color w:val="800080"/>
      <w:u w:val="single"/>
    </w:rPr>
  </w:style>
  <w:style w:type="character" w:customStyle="1" w:styleId="CommentTextChar">
    <w:name w:val="Comment Text Char"/>
    <w:basedOn w:val="DefaultParagraphFont"/>
    <w:link w:val="CommentText"/>
    <w:semiHidden/>
    <w:rsid w:val="00595B10"/>
    <w:rPr>
      <w:lang w:val="en-US" w:eastAsia="en-US"/>
    </w:rPr>
  </w:style>
  <w:style w:type="paragraph" w:customStyle="1" w:styleId="ACMABodyText">
    <w:name w:val="ACMA Body Text"/>
    <w:link w:val="ACMABodyTextChar1"/>
    <w:qFormat/>
    <w:rsid w:val="00827C9F"/>
    <w:pPr>
      <w:suppressAutoHyphens/>
      <w:spacing w:before="80" w:after="120" w:line="280" w:lineRule="atLeast"/>
    </w:pPr>
    <w:rPr>
      <w:snapToGrid w:val="0"/>
      <w:sz w:val="24"/>
      <w:lang w:eastAsia="en-US"/>
    </w:rPr>
  </w:style>
  <w:style w:type="character" w:customStyle="1" w:styleId="ACMABodyTextChar1">
    <w:name w:val="ACMA Body Text Char1"/>
    <w:basedOn w:val="DefaultParagraphFont"/>
    <w:link w:val="ACMABodyText"/>
    <w:rsid w:val="00827C9F"/>
    <w:rPr>
      <w:snapToGrid w:val="0"/>
      <w:sz w:val="24"/>
      <w:lang w:eastAsia="en-US"/>
    </w:rPr>
  </w:style>
  <w:style w:type="paragraph" w:customStyle="1" w:styleId="definition">
    <w:name w:val="definition"/>
    <w:basedOn w:val="Normal"/>
    <w:rsid w:val="00F016CD"/>
    <w:pPr>
      <w:spacing w:before="80" w:line="260" w:lineRule="exact"/>
      <w:ind w:left="964"/>
      <w:jc w:val="both"/>
    </w:pPr>
    <w:rPr>
      <w:lang w:val="en-AU" w:eastAsia="en-AU"/>
    </w:rPr>
  </w:style>
  <w:style w:type="paragraph" w:styleId="DocumentMap">
    <w:name w:val="Document Map"/>
    <w:basedOn w:val="Normal"/>
    <w:link w:val="DocumentMapChar"/>
    <w:uiPriority w:val="99"/>
    <w:semiHidden/>
    <w:unhideWhenUsed/>
    <w:rsid w:val="00BD2CDA"/>
    <w:rPr>
      <w:rFonts w:ascii="Tahoma" w:hAnsi="Tahoma" w:cs="Tahoma"/>
      <w:sz w:val="16"/>
      <w:szCs w:val="16"/>
    </w:rPr>
  </w:style>
  <w:style w:type="character" w:customStyle="1" w:styleId="DocumentMapChar">
    <w:name w:val="Document Map Char"/>
    <w:basedOn w:val="DefaultParagraphFont"/>
    <w:link w:val="DocumentMap"/>
    <w:uiPriority w:val="99"/>
    <w:semiHidden/>
    <w:rsid w:val="00BD2CDA"/>
    <w:rPr>
      <w:rFonts w:ascii="Tahoma" w:hAnsi="Tahoma" w:cs="Tahoma"/>
      <w:sz w:val="16"/>
      <w:szCs w:val="16"/>
      <w:lang w:val="en-US" w:eastAsia="en-US"/>
    </w:rPr>
  </w:style>
  <w:style w:type="paragraph" w:customStyle="1" w:styleId="ACMAHeading2">
    <w:name w:val="ACMA Heading 2"/>
    <w:next w:val="ACMABodyText"/>
    <w:rsid w:val="00076844"/>
    <w:pPr>
      <w:keepNext/>
      <w:suppressAutoHyphens/>
      <w:spacing w:before="240"/>
      <w:outlineLvl w:val="2"/>
    </w:pPr>
    <w:rPr>
      <w:rFonts w:ascii="Arial" w:hAnsi="Arial"/>
      <w:b/>
      <w:caps/>
      <w:sz w:val="26"/>
      <w:szCs w:val="26"/>
      <w:lang w:val="en-US" w:eastAsia="en-US"/>
    </w:rPr>
  </w:style>
  <w:style w:type="character" w:customStyle="1" w:styleId="ACMABodyTextChar">
    <w:name w:val="ACMA Body Text Char"/>
    <w:basedOn w:val="DefaultParagraphFont"/>
    <w:rsid w:val="00076844"/>
    <w:rPr>
      <w:snapToGrid w:val="0"/>
      <w:sz w:val="24"/>
      <w:lang w:eastAsia="en-US"/>
    </w:rPr>
  </w:style>
  <w:style w:type="character" w:customStyle="1" w:styleId="FootnoteTextChar">
    <w:name w:val="Footnote Text Char"/>
    <w:basedOn w:val="DefaultParagraphFont"/>
    <w:link w:val="FootnoteText"/>
    <w:semiHidden/>
    <w:rsid w:val="00566F87"/>
    <w:rPr>
      <w:lang w:val="en-US" w:eastAsia="en-US"/>
    </w:rPr>
  </w:style>
  <w:style w:type="character" w:customStyle="1" w:styleId="ACMAFootnoteTextCharChar">
    <w:name w:val="ACMA Footnote Text Char Char"/>
    <w:basedOn w:val="DefaultParagraphFont"/>
    <w:rsid w:val="00797BC3"/>
    <w:rPr>
      <w:lang w:val="en-AU" w:eastAsia="en-US" w:bidi="ar-SA"/>
    </w:rPr>
  </w:style>
  <w:style w:type="paragraph" w:styleId="Revision">
    <w:name w:val="Revision"/>
    <w:hidden/>
    <w:uiPriority w:val="99"/>
    <w:semiHidden/>
    <w:rsid w:val="009C3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632">
      <w:bodyDiv w:val="1"/>
      <w:marLeft w:val="0"/>
      <w:marRight w:val="0"/>
      <w:marTop w:val="0"/>
      <w:marBottom w:val="0"/>
      <w:divBdr>
        <w:top w:val="none" w:sz="0" w:space="0" w:color="auto"/>
        <w:left w:val="none" w:sz="0" w:space="0" w:color="auto"/>
        <w:bottom w:val="none" w:sz="0" w:space="0" w:color="auto"/>
        <w:right w:val="none" w:sz="0" w:space="0" w:color="auto"/>
      </w:divBdr>
    </w:div>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919006">
      <w:bodyDiv w:val="1"/>
      <w:marLeft w:val="0"/>
      <w:marRight w:val="0"/>
      <w:marTop w:val="0"/>
      <w:marBottom w:val="0"/>
      <w:divBdr>
        <w:top w:val="none" w:sz="0" w:space="0" w:color="auto"/>
        <w:left w:val="none" w:sz="0" w:space="0" w:color="auto"/>
        <w:bottom w:val="none" w:sz="0" w:space="0" w:color="auto"/>
        <w:right w:val="none" w:sz="0" w:space="0" w:color="auto"/>
      </w:divBdr>
    </w:div>
    <w:div w:id="402996797">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244330">
      <w:bodyDiv w:val="1"/>
      <w:marLeft w:val="0"/>
      <w:marRight w:val="0"/>
      <w:marTop w:val="0"/>
      <w:marBottom w:val="0"/>
      <w:divBdr>
        <w:top w:val="none" w:sz="0" w:space="0" w:color="auto"/>
        <w:left w:val="none" w:sz="0" w:space="0" w:color="auto"/>
        <w:bottom w:val="none" w:sz="0" w:space="0" w:color="auto"/>
        <w:right w:val="none" w:sz="0" w:space="0" w:color="auto"/>
      </w:divBdr>
      <w:divsChild>
        <w:div w:id="766541537">
          <w:marLeft w:val="0"/>
          <w:marRight w:val="0"/>
          <w:marTop w:val="0"/>
          <w:marBottom w:val="0"/>
          <w:divBdr>
            <w:top w:val="none" w:sz="0" w:space="0" w:color="auto"/>
            <w:left w:val="none" w:sz="0" w:space="0" w:color="auto"/>
            <w:bottom w:val="none" w:sz="0" w:space="0" w:color="auto"/>
            <w:right w:val="none" w:sz="0" w:space="0" w:color="auto"/>
          </w:divBdr>
          <w:divsChild>
            <w:div w:id="625162815">
              <w:marLeft w:val="0"/>
              <w:marRight w:val="0"/>
              <w:marTop w:val="0"/>
              <w:marBottom w:val="0"/>
              <w:divBdr>
                <w:top w:val="none" w:sz="0" w:space="0" w:color="auto"/>
                <w:left w:val="none" w:sz="0" w:space="0" w:color="auto"/>
                <w:bottom w:val="none" w:sz="0" w:space="0" w:color="auto"/>
                <w:right w:val="none" w:sz="0" w:space="0" w:color="auto"/>
              </w:divBdr>
              <w:divsChild>
                <w:div w:id="1861115671">
                  <w:marLeft w:val="0"/>
                  <w:marRight w:val="0"/>
                  <w:marTop w:val="0"/>
                  <w:marBottom w:val="0"/>
                  <w:divBdr>
                    <w:top w:val="none" w:sz="0" w:space="0" w:color="auto"/>
                    <w:left w:val="none" w:sz="0" w:space="0" w:color="auto"/>
                    <w:bottom w:val="none" w:sz="0" w:space="0" w:color="auto"/>
                    <w:right w:val="none" w:sz="0" w:space="0" w:color="auto"/>
                  </w:divBdr>
                  <w:divsChild>
                    <w:div w:id="2017076977">
                      <w:marLeft w:val="0"/>
                      <w:marRight w:val="0"/>
                      <w:marTop w:val="0"/>
                      <w:marBottom w:val="0"/>
                      <w:divBdr>
                        <w:top w:val="none" w:sz="0" w:space="0" w:color="auto"/>
                        <w:left w:val="none" w:sz="0" w:space="0" w:color="auto"/>
                        <w:bottom w:val="none" w:sz="0" w:space="0" w:color="auto"/>
                        <w:right w:val="none" w:sz="0" w:space="0" w:color="auto"/>
                      </w:divBdr>
                      <w:divsChild>
                        <w:div w:id="507719610">
                          <w:marLeft w:val="0"/>
                          <w:marRight w:val="0"/>
                          <w:marTop w:val="0"/>
                          <w:marBottom w:val="0"/>
                          <w:divBdr>
                            <w:top w:val="single" w:sz="6" w:space="0" w:color="828282"/>
                            <w:left w:val="single" w:sz="6" w:space="0" w:color="828282"/>
                            <w:bottom w:val="single" w:sz="6" w:space="0" w:color="828282"/>
                            <w:right w:val="single" w:sz="6" w:space="0" w:color="828282"/>
                          </w:divBdr>
                          <w:divsChild>
                            <w:div w:id="1315647866">
                              <w:marLeft w:val="0"/>
                              <w:marRight w:val="0"/>
                              <w:marTop w:val="0"/>
                              <w:marBottom w:val="0"/>
                              <w:divBdr>
                                <w:top w:val="none" w:sz="0" w:space="0" w:color="auto"/>
                                <w:left w:val="none" w:sz="0" w:space="0" w:color="auto"/>
                                <w:bottom w:val="none" w:sz="0" w:space="0" w:color="auto"/>
                                <w:right w:val="none" w:sz="0" w:space="0" w:color="auto"/>
                              </w:divBdr>
                              <w:divsChild>
                                <w:div w:id="2001419841">
                                  <w:marLeft w:val="0"/>
                                  <w:marRight w:val="0"/>
                                  <w:marTop w:val="0"/>
                                  <w:marBottom w:val="0"/>
                                  <w:divBdr>
                                    <w:top w:val="none" w:sz="0" w:space="0" w:color="auto"/>
                                    <w:left w:val="none" w:sz="0" w:space="0" w:color="auto"/>
                                    <w:bottom w:val="none" w:sz="0" w:space="0" w:color="auto"/>
                                    <w:right w:val="none" w:sz="0" w:space="0" w:color="auto"/>
                                  </w:divBdr>
                                  <w:divsChild>
                                    <w:div w:id="1504738349">
                                      <w:marLeft w:val="0"/>
                                      <w:marRight w:val="0"/>
                                      <w:marTop w:val="0"/>
                                      <w:marBottom w:val="0"/>
                                      <w:divBdr>
                                        <w:top w:val="none" w:sz="0" w:space="0" w:color="auto"/>
                                        <w:left w:val="none" w:sz="0" w:space="0" w:color="auto"/>
                                        <w:bottom w:val="none" w:sz="0" w:space="0" w:color="auto"/>
                                        <w:right w:val="none" w:sz="0" w:space="0" w:color="auto"/>
                                      </w:divBdr>
                                      <w:divsChild>
                                        <w:div w:id="921567408">
                                          <w:marLeft w:val="0"/>
                                          <w:marRight w:val="0"/>
                                          <w:marTop w:val="0"/>
                                          <w:marBottom w:val="0"/>
                                          <w:divBdr>
                                            <w:top w:val="none" w:sz="0" w:space="0" w:color="auto"/>
                                            <w:left w:val="none" w:sz="0" w:space="0" w:color="auto"/>
                                            <w:bottom w:val="none" w:sz="0" w:space="0" w:color="auto"/>
                                            <w:right w:val="none" w:sz="0" w:space="0" w:color="auto"/>
                                          </w:divBdr>
                                          <w:divsChild>
                                            <w:div w:id="1692146855">
                                              <w:marLeft w:val="0"/>
                                              <w:marRight w:val="0"/>
                                              <w:marTop w:val="0"/>
                                              <w:marBottom w:val="0"/>
                                              <w:divBdr>
                                                <w:top w:val="none" w:sz="0" w:space="0" w:color="auto"/>
                                                <w:left w:val="none" w:sz="0" w:space="0" w:color="auto"/>
                                                <w:bottom w:val="none" w:sz="0" w:space="0" w:color="auto"/>
                                                <w:right w:val="none" w:sz="0" w:space="0" w:color="auto"/>
                                              </w:divBdr>
                                              <w:divsChild>
                                                <w:div w:id="970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049642">
      <w:bodyDiv w:val="1"/>
      <w:marLeft w:val="0"/>
      <w:marRight w:val="0"/>
      <w:marTop w:val="0"/>
      <w:marBottom w:val="0"/>
      <w:divBdr>
        <w:top w:val="none" w:sz="0" w:space="0" w:color="auto"/>
        <w:left w:val="none" w:sz="0" w:space="0" w:color="auto"/>
        <w:bottom w:val="none" w:sz="0" w:space="0" w:color="auto"/>
        <w:right w:val="none" w:sz="0" w:space="0" w:color="auto"/>
      </w:divBdr>
    </w:div>
    <w:div w:id="1758357456">
      <w:bodyDiv w:val="1"/>
      <w:marLeft w:val="0"/>
      <w:marRight w:val="0"/>
      <w:marTop w:val="0"/>
      <w:marBottom w:val="0"/>
      <w:divBdr>
        <w:top w:val="none" w:sz="0" w:space="0" w:color="auto"/>
        <w:left w:val="none" w:sz="0" w:space="0" w:color="auto"/>
        <w:bottom w:val="none" w:sz="0" w:space="0" w:color="auto"/>
        <w:right w:val="none" w:sz="0" w:space="0" w:color="auto"/>
      </w:divBdr>
    </w:div>
    <w:div w:id="18841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file:///C:/Users/ddambiec/AppData/Local/Microsoft/Windows/Temporary%20Internet%20Files/Content.Outlook/00IFG55I/www.acm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Details/F2017L00517"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Users/ddambiec/AppData/Local/Microsoft/Windows/Temporary%20Internet%20Files/Content.Outlook/00IFG55I/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BB1241F13DB42BBEB45D2361A6BA7" ma:contentTypeVersion="6" ma:contentTypeDescription="Create a new document." ma:contentTypeScope="" ma:versionID="af528ee356c9b0c803a18b5d00d6286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4b8ec43-391f-4ce4-8841-d6a482add564">UQVA7MFFXVNW-1658559656-699</_dlc_DocId>
    <_dlc_DocIdUrl xmlns="04b8ec43-391f-4ce4-8841-d6a482add564">
      <Url>http://collaboration/organisation/auth/Chair/Auth/_layouts/15/DocIdRedir.aspx?ID=UQVA7MFFXVNW-1658559656-699</Url>
      <Description>UQVA7MFFXVNW-1658559656-699</Description>
    </_dlc_DocIdUrl>
    <Category xmlns="3f364d92-07cb-4b3e-a872-160096f8dd54">(none)</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7391-3785-4CB1-89CC-463DAD337A32}">
  <ds:schemaRefs>
    <ds:schemaRef ds:uri="http://schemas.microsoft.com/sharepoint/events"/>
  </ds:schemaRefs>
</ds:datastoreItem>
</file>

<file path=customXml/itemProps2.xml><?xml version="1.0" encoding="utf-8"?>
<ds:datastoreItem xmlns:ds="http://schemas.openxmlformats.org/officeDocument/2006/customXml" ds:itemID="{5178BDF2-A455-4878-94C7-3A39A0B61247}">
  <ds:schemaRefs>
    <ds:schemaRef ds:uri="http://schemas.microsoft.com/sharepoint/v3/contenttype/forms"/>
  </ds:schemaRefs>
</ds:datastoreItem>
</file>

<file path=customXml/itemProps3.xml><?xml version="1.0" encoding="utf-8"?>
<ds:datastoreItem xmlns:ds="http://schemas.openxmlformats.org/officeDocument/2006/customXml" ds:itemID="{2C5D3662-AF6A-4EB4-8B6C-2C686903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6E93C-1DFA-4D48-8E4B-92F56DC18E0E}">
  <ds:schemaRef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3f364d92-07cb-4b3e-a872-160096f8dd54"/>
    <ds:schemaRef ds:uri="http://purl.org/dc/elements/1.1/"/>
    <ds:schemaRef ds:uri="http://schemas.microsoft.com/office/infopath/2007/PartnerControls"/>
    <ds:schemaRef ds:uri="04b8ec43-391f-4ce4-8841-d6a482add564"/>
    <ds:schemaRef ds:uri="http://www.w3.org/XML/1998/namespace"/>
  </ds:schemaRefs>
</ds:datastoreItem>
</file>

<file path=customXml/itemProps5.xml><?xml version="1.0" encoding="utf-8"?>
<ds:datastoreItem xmlns:ds="http://schemas.openxmlformats.org/officeDocument/2006/customXml" ds:itemID="{DBDE7C33-C341-481F-AF39-C194ED38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1753</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12342</CharactersWithSpaces>
  <SharedDoc>false</SharedDoc>
  <HLinks>
    <vt:vector size="72" baseType="variant">
      <vt:variant>
        <vt:i4>1572920</vt:i4>
      </vt:variant>
      <vt:variant>
        <vt:i4>33</vt:i4>
      </vt:variant>
      <vt:variant>
        <vt:i4>0</vt:i4>
      </vt:variant>
      <vt:variant>
        <vt:i4>5</vt:i4>
      </vt:variant>
      <vt:variant>
        <vt:lpwstr>http://www.acma.gov.au/WEB/STANDARD/1001/pc=PC_410300</vt:lpwstr>
      </vt:variant>
      <vt:variant>
        <vt:lpwstr/>
      </vt:variant>
      <vt:variant>
        <vt:i4>6029403</vt:i4>
      </vt:variant>
      <vt:variant>
        <vt:i4>30</vt:i4>
      </vt:variant>
      <vt:variant>
        <vt:i4>0</vt:i4>
      </vt:variant>
      <vt:variant>
        <vt:i4>5</vt:i4>
      </vt:variant>
      <vt:variant>
        <vt:lpwstr>http://www.erodocdb.dk/doks/relation.aspx?docid=1693</vt:lpwstr>
      </vt:variant>
      <vt:variant>
        <vt:lpwstr/>
      </vt:variant>
      <vt:variant>
        <vt:i4>7733314</vt:i4>
      </vt:variant>
      <vt:variant>
        <vt:i4>27</vt:i4>
      </vt:variant>
      <vt:variant>
        <vt:i4>0</vt:i4>
      </vt:variant>
      <vt:variant>
        <vt:i4>5</vt:i4>
      </vt:variant>
      <vt:variant>
        <vt:lpwstr>http://www.acma.gov.au/WEB/STANDARD/pc=PC_495</vt:lpwstr>
      </vt:variant>
      <vt:variant>
        <vt:lpwstr/>
      </vt:variant>
      <vt:variant>
        <vt:i4>2752612</vt:i4>
      </vt:variant>
      <vt:variant>
        <vt:i4>24</vt:i4>
      </vt:variant>
      <vt:variant>
        <vt:i4>0</vt:i4>
      </vt:variant>
      <vt:variant>
        <vt:i4>5</vt:i4>
      </vt:variant>
      <vt:variant>
        <vt:lpwstr>http://www.itu.int/</vt:lpwstr>
      </vt:variant>
      <vt:variant>
        <vt:lpwstr/>
      </vt:variant>
      <vt:variant>
        <vt:i4>5636161</vt:i4>
      </vt:variant>
      <vt:variant>
        <vt:i4>21</vt:i4>
      </vt:variant>
      <vt:variant>
        <vt:i4>0</vt:i4>
      </vt:variant>
      <vt:variant>
        <vt:i4>5</vt:i4>
      </vt:variant>
      <vt:variant>
        <vt:lpwstr>http://www.ga.gov.au/</vt:lpwstr>
      </vt:variant>
      <vt:variant>
        <vt:lpwstr/>
      </vt:variant>
      <vt:variant>
        <vt:i4>5636161</vt:i4>
      </vt:variant>
      <vt:variant>
        <vt:i4>18</vt:i4>
      </vt:variant>
      <vt:variant>
        <vt:i4>0</vt:i4>
      </vt:variant>
      <vt:variant>
        <vt:i4>5</vt:i4>
      </vt:variant>
      <vt:variant>
        <vt:lpwstr>http://www.ga.gov.au/</vt:lpwstr>
      </vt:variant>
      <vt:variant>
        <vt:lpwstr/>
      </vt:variant>
      <vt:variant>
        <vt:i4>6160468</vt:i4>
      </vt:variant>
      <vt:variant>
        <vt:i4>15</vt:i4>
      </vt:variant>
      <vt:variant>
        <vt:i4>0</vt:i4>
      </vt:variant>
      <vt:variant>
        <vt:i4>5</vt:i4>
      </vt:variant>
      <vt:variant>
        <vt:lpwstr>http://www.comlaw.gov.au/</vt:lpwstr>
      </vt:variant>
      <vt:variant>
        <vt:lpwstr/>
      </vt:variant>
      <vt:variant>
        <vt:i4>6160468</vt:i4>
      </vt:variant>
      <vt:variant>
        <vt:i4>12</vt:i4>
      </vt:variant>
      <vt:variant>
        <vt:i4>0</vt:i4>
      </vt:variant>
      <vt:variant>
        <vt:i4>5</vt:i4>
      </vt:variant>
      <vt:variant>
        <vt:lpwstr>http://www.comlaw.gov.au/</vt:lpwstr>
      </vt:variant>
      <vt:variant>
        <vt:lpwstr/>
      </vt:variant>
      <vt:variant>
        <vt:i4>3997730</vt:i4>
      </vt:variant>
      <vt:variant>
        <vt:i4>9</vt:i4>
      </vt:variant>
      <vt:variant>
        <vt:i4>0</vt:i4>
      </vt:variant>
      <vt:variant>
        <vt:i4>5</vt:i4>
      </vt:variant>
      <vt:variant>
        <vt:lpwstr>http://www.acma.gov.au/</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Chris Fogarty</dc:creator>
  <cp:lastModifiedBy>Stephen A Jones (VIC)</cp:lastModifiedBy>
  <cp:revision>6</cp:revision>
  <cp:lastPrinted>2012-08-10T06:45:00Z</cp:lastPrinted>
  <dcterms:created xsi:type="dcterms:W3CDTF">2017-08-14T02:28:00Z</dcterms:created>
  <dcterms:modified xsi:type="dcterms:W3CDTF">2017-08-17T01:07:00Z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b888a077-b07e-43e3-9bed-af652ce35101</vt:lpwstr>
  </property>
  <property fmtid="{D5CDD505-2E9C-101B-9397-08002B2CF9AE}" pid="4" name="ContentTypeId">
    <vt:lpwstr>0x010100F55BB1241F13DB42BBEB45D2361A6BA7</vt:lpwstr>
  </property>
</Properties>
</file>