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3B371" w14:textId="77777777" w:rsidR="00972161" w:rsidRDefault="00972161"/>
    <w:p w14:paraId="7E27BE34" w14:textId="77777777" w:rsidR="00217F47" w:rsidRPr="002E7454" w:rsidRDefault="00217F47" w:rsidP="00217F47">
      <w:pPr>
        <w:keepNext/>
        <w:autoSpaceDE w:val="0"/>
        <w:autoSpaceDN w:val="0"/>
        <w:adjustRightInd w:val="0"/>
        <w:spacing w:before="100" w:after="100" w:line="240" w:lineRule="auto"/>
        <w:jc w:val="center"/>
        <w:outlineLvl w:val="1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2E7454">
        <w:rPr>
          <w:rFonts w:ascii="Times New Roman" w:hAnsi="Times New Roman" w:cs="Times New Roman"/>
          <w:b/>
          <w:bCs/>
          <w:kern w:val="36"/>
          <w:sz w:val="28"/>
          <w:szCs w:val="28"/>
        </w:rPr>
        <w:t>EXPLANATORY STATEMENT</w:t>
      </w:r>
    </w:p>
    <w:p w14:paraId="55B8CE05" w14:textId="77777777" w:rsidR="00217F47" w:rsidRPr="002E7454" w:rsidRDefault="00217F47" w:rsidP="00217F47">
      <w:pPr>
        <w:keepNext/>
        <w:autoSpaceDE w:val="0"/>
        <w:autoSpaceDN w:val="0"/>
        <w:adjustRightInd w:val="0"/>
        <w:spacing w:before="100" w:after="10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E7454">
        <w:rPr>
          <w:rFonts w:ascii="Times New Roman" w:hAnsi="Times New Roman" w:cs="Times New Roman"/>
          <w:b/>
          <w:bCs/>
          <w:sz w:val="28"/>
          <w:szCs w:val="28"/>
          <w:u w:val="single"/>
        </w:rPr>
        <w:t>Issued by authority of the Minister for Revenue and Financial Services</w:t>
      </w:r>
    </w:p>
    <w:p w14:paraId="2DC47CD8" w14:textId="77777777" w:rsidR="00217F47" w:rsidRPr="002E7454" w:rsidRDefault="00217F47" w:rsidP="00217F47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7454">
        <w:rPr>
          <w:rFonts w:ascii="Times New Roman" w:hAnsi="Times New Roman" w:cs="Times New Roman"/>
          <w:i/>
          <w:iCs/>
          <w:sz w:val="24"/>
          <w:szCs w:val="24"/>
        </w:rPr>
        <w:t>Corporations Act 2001</w:t>
      </w:r>
    </w:p>
    <w:p w14:paraId="65F63AF1" w14:textId="77777777" w:rsidR="00217F47" w:rsidRPr="002E7454" w:rsidRDefault="00217F47" w:rsidP="00217F47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7454">
        <w:rPr>
          <w:rFonts w:ascii="Times New Roman" w:hAnsi="Times New Roman" w:cs="Times New Roman"/>
          <w:i/>
          <w:iCs/>
          <w:sz w:val="24"/>
          <w:szCs w:val="24"/>
        </w:rPr>
        <w:t>Insolvency Practice Rules (Corporations) Amendment 2017 (No. 1)</w:t>
      </w:r>
    </w:p>
    <w:p w14:paraId="32400C8A" w14:textId="77777777" w:rsidR="00217F47" w:rsidRDefault="00217F47" w:rsidP="00217F47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14:paraId="5F02788E" w14:textId="77777777" w:rsidR="0024119B" w:rsidRDefault="0024119B" w:rsidP="00217F47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105-1 of Schedule 2 to </w:t>
      </w:r>
      <w:r w:rsidRPr="00C01140">
        <w:rPr>
          <w:rFonts w:ascii="Times New Roman" w:hAnsi="Times New Roman" w:cs="Times New Roman"/>
          <w:sz w:val="24"/>
          <w:szCs w:val="24"/>
        </w:rPr>
        <w:t xml:space="preserve">the </w:t>
      </w:r>
      <w:r w:rsidRPr="00931FB7">
        <w:rPr>
          <w:rFonts w:ascii="Times New Roman" w:hAnsi="Times New Roman" w:cs="Times New Roman"/>
          <w:i/>
          <w:sz w:val="24"/>
          <w:szCs w:val="24"/>
        </w:rPr>
        <w:t>Corporations Act 2001</w:t>
      </w:r>
      <w:r>
        <w:rPr>
          <w:rFonts w:ascii="Times New Roman" w:hAnsi="Times New Roman" w:cs="Times New Roman"/>
          <w:sz w:val="24"/>
          <w:szCs w:val="24"/>
        </w:rPr>
        <w:t xml:space="preserve">(the Act) provides that the Minister may make rules prescribing matters required or permitted by Schedule 2 of the Act to be prescribed or necessary or convenient to be prescribed. </w:t>
      </w:r>
    </w:p>
    <w:p w14:paraId="13F2A76A" w14:textId="0E6856F3" w:rsidR="0024119B" w:rsidRDefault="0024119B" w:rsidP="00217F47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217F47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 xml:space="preserve">insolvency provisions of </w:t>
      </w:r>
      <w:r w:rsidRPr="00217F47">
        <w:rPr>
          <w:rFonts w:ascii="Times New Roman" w:hAnsi="Times New Roman" w:cs="Times New Roman"/>
          <w:sz w:val="24"/>
          <w:szCs w:val="24"/>
        </w:rPr>
        <w:t xml:space="preserve">the Act </w:t>
      </w:r>
      <w:r>
        <w:rPr>
          <w:rFonts w:ascii="Times New Roman" w:hAnsi="Times New Roman" w:cs="Times New Roman"/>
          <w:sz w:val="24"/>
          <w:szCs w:val="24"/>
        </w:rPr>
        <w:t xml:space="preserve">were amended by the </w:t>
      </w:r>
      <w:r w:rsidRPr="00217F47">
        <w:rPr>
          <w:rFonts w:ascii="Times New Roman" w:hAnsi="Times New Roman" w:cs="Times New Roman"/>
          <w:i/>
          <w:iCs/>
          <w:sz w:val="24"/>
          <w:szCs w:val="24"/>
        </w:rPr>
        <w:t>Insolvency Law Reform Act 2016</w:t>
      </w:r>
      <w:r>
        <w:rPr>
          <w:rFonts w:ascii="Times New Roman" w:hAnsi="Times New Roman" w:cs="Times New Roman"/>
          <w:sz w:val="24"/>
          <w:szCs w:val="24"/>
        </w:rPr>
        <w:t xml:space="preserve"> (the Amending Act) to implement the Australian Government's corporate insolvency reforms. </w:t>
      </w:r>
      <w:r w:rsidRPr="0042547E">
        <w:rPr>
          <w:rFonts w:ascii="Times New Roman" w:hAnsi="Times New Roman" w:cs="Times New Roman"/>
          <w:sz w:val="24"/>
          <w:szCs w:val="24"/>
        </w:rPr>
        <w:t>A number of legisla</w:t>
      </w:r>
      <w:r>
        <w:rPr>
          <w:rFonts w:ascii="Times New Roman" w:hAnsi="Times New Roman" w:cs="Times New Roman"/>
          <w:sz w:val="24"/>
          <w:szCs w:val="24"/>
        </w:rPr>
        <w:t>tive instruments, including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915">
        <w:rPr>
          <w:rFonts w:ascii="Times New Roman" w:hAnsi="Times New Roman" w:cs="Times New Roman"/>
          <w:sz w:val="24"/>
          <w:szCs w:val="24"/>
        </w:rPr>
        <w:t>the</w:t>
      </w:r>
      <w:r w:rsidRPr="00964712">
        <w:rPr>
          <w:rFonts w:ascii="Times New Roman" w:hAnsi="Times New Roman" w:cs="Times New Roman"/>
          <w:i/>
          <w:sz w:val="24"/>
          <w:szCs w:val="24"/>
        </w:rPr>
        <w:t xml:space="preserve"> Insolvency Practice Rules (Corporations) 2016</w:t>
      </w:r>
      <w:r>
        <w:rPr>
          <w:rFonts w:ascii="Times New Roman" w:hAnsi="Times New Roman" w:cs="Times New Roman"/>
          <w:sz w:val="24"/>
          <w:szCs w:val="24"/>
        </w:rPr>
        <w:t xml:space="preserve"> (the Rules) were made</w:t>
      </w:r>
      <w:r w:rsidRPr="00425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part of</w:t>
      </w:r>
      <w:r w:rsidRPr="0042547E">
        <w:rPr>
          <w:rFonts w:ascii="Times New Roman" w:hAnsi="Times New Roman" w:cs="Times New Roman"/>
          <w:sz w:val="24"/>
          <w:szCs w:val="24"/>
        </w:rPr>
        <w:t xml:space="preserve"> the reforms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E13B1D" w14:textId="39CA9862" w:rsidR="0024119B" w:rsidRDefault="0024119B" w:rsidP="0024119B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Rules were made by the Minister on 12 December 2016. Parts 1 and 2 of the Rules commenced immediately after the commencement (on 1 March 2017) of Schedule 1 to the Amending Act, and Part 3 of the Rules will commence on 1 September 2017.</w:t>
      </w:r>
      <w:r w:rsidRPr="002411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217F47">
        <w:rPr>
          <w:rFonts w:ascii="Times New Roman" w:hAnsi="Times New Roman" w:cs="Times New Roman"/>
          <w:i/>
          <w:iCs/>
          <w:sz w:val="24"/>
          <w:szCs w:val="24"/>
        </w:rPr>
        <w:t xml:space="preserve">Insolvency Practice Rules (Corporations) </w:t>
      </w:r>
      <w:r>
        <w:rPr>
          <w:rFonts w:ascii="Times New Roman" w:hAnsi="Times New Roman" w:cs="Times New Roman"/>
          <w:i/>
          <w:iCs/>
          <w:sz w:val="24"/>
          <w:szCs w:val="24"/>
        </w:rPr>
        <w:t>Amendment 2017 (No. 1)</w:t>
      </w:r>
      <w:r>
        <w:rPr>
          <w:rFonts w:ascii="Times New Roman" w:hAnsi="Times New Roman" w:cs="Times New Roman"/>
          <w:sz w:val="24"/>
          <w:szCs w:val="24"/>
        </w:rPr>
        <w:t xml:space="preserve"> (the Instrument) makes minor technical amendments to clarify the operation of the rules. </w:t>
      </w:r>
    </w:p>
    <w:p w14:paraId="104910A8" w14:textId="7A6A7B2A" w:rsidR="00876F77" w:rsidRPr="000E42F0" w:rsidRDefault="000E42F0" w:rsidP="00876F77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42F0">
        <w:rPr>
          <w:rFonts w:ascii="Times New Roman" w:hAnsi="Times New Roman" w:cs="Times New Roman"/>
          <w:b/>
          <w:sz w:val="24"/>
          <w:szCs w:val="24"/>
        </w:rPr>
        <w:t xml:space="preserve">Overview of the </w:t>
      </w:r>
      <w:r w:rsidR="00876F77" w:rsidRPr="000E42F0">
        <w:rPr>
          <w:rFonts w:ascii="Times New Roman" w:hAnsi="Times New Roman" w:cs="Times New Roman"/>
          <w:b/>
          <w:sz w:val="24"/>
          <w:szCs w:val="24"/>
        </w:rPr>
        <w:t>Instrument</w:t>
      </w:r>
    </w:p>
    <w:p w14:paraId="102F9D81" w14:textId="4448A009" w:rsidR="000E68AA" w:rsidRDefault="00876F77" w:rsidP="00876F77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Instrument makes a number of minor </w:t>
      </w:r>
      <w:r w:rsidR="0042547E">
        <w:rPr>
          <w:rFonts w:ascii="Times New Roman" w:hAnsi="Times New Roman" w:cs="Times New Roman"/>
          <w:sz w:val="24"/>
          <w:szCs w:val="24"/>
        </w:rPr>
        <w:t xml:space="preserve">technical </w:t>
      </w:r>
      <w:r>
        <w:rPr>
          <w:rFonts w:ascii="Times New Roman" w:hAnsi="Times New Roman" w:cs="Times New Roman"/>
          <w:sz w:val="24"/>
          <w:szCs w:val="24"/>
        </w:rPr>
        <w:t xml:space="preserve">amendments to Part 3 of the Rules to clarify </w:t>
      </w:r>
      <w:r w:rsidR="00571C83">
        <w:rPr>
          <w:rFonts w:ascii="Times New Roman" w:hAnsi="Times New Roman" w:cs="Times New Roman"/>
          <w:sz w:val="24"/>
          <w:szCs w:val="24"/>
        </w:rPr>
        <w:t xml:space="preserve">their </w:t>
      </w:r>
      <w:r>
        <w:rPr>
          <w:rFonts w:ascii="Times New Roman" w:hAnsi="Times New Roman" w:cs="Times New Roman"/>
          <w:sz w:val="24"/>
          <w:szCs w:val="24"/>
        </w:rPr>
        <w:t xml:space="preserve">operation.  </w:t>
      </w:r>
    </w:p>
    <w:p w14:paraId="42A92D61" w14:textId="63445C4E" w:rsidR="00876F77" w:rsidRDefault="00876F77" w:rsidP="00876F77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E0974">
        <w:rPr>
          <w:rFonts w:ascii="Times New Roman" w:hAnsi="Times New Roman" w:cs="Times New Roman"/>
          <w:sz w:val="24"/>
          <w:szCs w:val="24"/>
        </w:rPr>
        <w:t>Instrument amends the Rules to</w:t>
      </w:r>
      <w:r w:rsidR="000E42F0">
        <w:rPr>
          <w:rFonts w:ascii="Times New Roman" w:hAnsi="Times New Roman" w:cs="Times New Roman"/>
          <w:sz w:val="24"/>
          <w:szCs w:val="24"/>
        </w:rPr>
        <w:t>:</w:t>
      </w:r>
    </w:p>
    <w:p w14:paraId="2A4BDE56" w14:textId="60959998" w:rsidR="00FB65EC" w:rsidRDefault="00876F77" w:rsidP="00876F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876F77">
        <w:rPr>
          <w:rFonts w:ascii="Times New Roman" w:hAnsi="Times New Roman" w:cs="Times New Roman"/>
          <w:sz w:val="24"/>
          <w:szCs w:val="24"/>
        </w:rPr>
        <w:t xml:space="preserve">specify </w:t>
      </w:r>
      <w:r w:rsidR="00FB65EC">
        <w:rPr>
          <w:rFonts w:ascii="Times New Roman" w:hAnsi="Times New Roman" w:cs="Times New Roman"/>
          <w:sz w:val="24"/>
          <w:szCs w:val="24"/>
        </w:rPr>
        <w:t>the timeframe within which certain reports</w:t>
      </w:r>
      <w:r w:rsidR="000E42F0">
        <w:rPr>
          <w:rFonts w:ascii="Times New Roman" w:hAnsi="Times New Roman" w:cs="Times New Roman"/>
          <w:sz w:val="24"/>
          <w:szCs w:val="24"/>
        </w:rPr>
        <w:t xml:space="preserve">, </w:t>
      </w:r>
      <w:r w:rsidR="00FB65EC">
        <w:rPr>
          <w:rFonts w:ascii="Times New Roman" w:hAnsi="Times New Roman" w:cs="Times New Roman"/>
          <w:sz w:val="24"/>
          <w:szCs w:val="24"/>
        </w:rPr>
        <w:t xml:space="preserve">notices </w:t>
      </w:r>
      <w:r w:rsidR="000E42F0">
        <w:rPr>
          <w:rFonts w:ascii="Times New Roman" w:hAnsi="Times New Roman" w:cs="Times New Roman"/>
          <w:sz w:val="24"/>
          <w:szCs w:val="24"/>
        </w:rPr>
        <w:t xml:space="preserve">and declarations </w:t>
      </w:r>
      <w:r w:rsidR="00FB65EC">
        <w:rPr>
          <w:rFonts w:ascii="Times New Roman" w:hAnsi="Times New Roman" w:cs="Times New Roman"/>
          <w:sz w:val="24"/>
          <w:szCs w:val="24"/>
        </w:rPr>
        <w:t>must be lodged with ASIC;</w:t>
      </w:r>
    </w:p>
    <w:p w14:paraId="192F05C9" w14:textId="51FCE9FA" w:rsidR="00FB65EC" w:rsidRDefault="00F30DD0" w:rsidP="00876F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clarify the </w:t>
      </w:r>
      <w:r w:rsidRPr="00F30DD0">
        <w:rPr>
          <w:rFonts w:ascii="Times New Roman" w:hAnsi="Times New Roman" w:cs="Times New Roman"/>
          <w:sz w:val="24"/>
          <w:szCs w:val="24"/>
        </w:rPr>
        <w:t>scope of</w:t>
      </w:r>
      <w:r w:rsidR="00FB65EC">
        <w:rPr>
          <w:rFonts w:ascii="Times New Roman" w:hAnsi="Times New Roman"/>
          <w:sz w:val="24"/>
        </w:rPr>
        <w:t xml:space="preserve"> voting restrictions on </w:t>
      </w:r>
      <w:r w:rsidRPr="00F30DD0">
        <w:rPr>
          <w:rFonts w:ascii="Times New Roman" w:hAnsi="Times New Roman" w:cs="Times New Roman"/>
          <w:sz w:val="24"/>
          <w:szCs w:val="24"/>
        </w:rPr>
        <w:t>proxy</w:t>
      </w:r>
      <w:r>
        <w:rPr>
          <w:rFonts w:ascii="Times New Roman" w:hAnsi="Times New Roman" w:cs="Times New Roman"/>
          <w:sz w:val="24"/>
          <w:szCs w:val="24"/>
        </w:rPr>
        <w:t xml:space="preserve"> holders</w:t>
      </w:r>
      <w:r w:rsidR="00FB65EC">
        <w:rPr>
          <w:rFonts w:ascii="Times New Roman" w:hAnsi="Times New Roman" w:cs="Times New Roman"/>
          <w:sz w:val="24"/>
          <w:szCs w:val="24"/>
        </w:rPr>
        <w:t>;</w:t>
      </w:r>
    </w:p>
    <w:p w14:paraId="3D8BAD3B" w14:textId="3BE107A6" w:rsidR="00FB65EC" w:rsidRDefault="00FB65EC" w:rsidP="000E42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align the operation of rules governing the admission of proofs of debt for the purposes of voting, the rules about counting a majority of votes, and the rules about the giving of notice when an external administrator considers a direction to convene a meeting is unreasonable</w:t>
      </w:r>
      <w:r w:rsidR="00A03FC7">
        <w:rPr>
          <w:rFonts w:ascii="Times New Roman" w:hAnsi="Times New Roman" w:cs="Times New Roman"/>
          <w:sz w:val="24"/>
          <w:szCs w:val="24"/>
        </w:rPr>
        <w:t>;</w:t>
      </w:r>
      <w:r w:rsidR="00571C83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11F19221" w14:textId="5036F94C" w:rsidR="00A03FC7" w:rsidRPr="000E42F0" w:rsidRDefault="003F6915" w:rsidP="000E42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clarify</w:t>
      </w:r>
      <w:r w:rsidR="001E0974">
        <w:rPr>
          <w:rFonts w:ascii="Times New Roman" w:hAnsi="Times New Roman" w:cs="Times New Roman"/>
          <w:sz w:val="24"/>
          <w:szCs w:val="24"/>
        </w:rPr>
        <w:t xml:space="preserve"> </w:t>
      </w:r>
      <w:r w:rsidR="00805B9D">
        <w:rPr>
          <w:rFonts w:ascii="Times New Roman" w:hAnsi="Times New Roman" w:cs="Times New Roman"/>
          <w:sz w:val="24"/>
          <w:szCs w:val="24"/>
        </w:rPr>
        <w:t xml:space="preserve">the operation of </w:t>
      </w:r>
      <w:r w:rsidR="001E0974">
        <w:rPr>
          <w:rFonts w:ascii="Times New Roman" w:hAnsi="Times New Roman" w:cs="Times New Roman"/>
          <w:sz w:val="24"/>
          <w:szCs w:val="24"/>
        </w:rPr>
        <w:t>some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974">
        <w:rPr>
          <w:rFonts w:ascii="Times New Roman" w:hAnsi="Times New Roman" w:cs="Times New Roman"/>
          <w:sz w:val="24"/>
          <w:szCs w:val="24"/>
        </w:rPr>
        <w:t>provisions</w:t>
      </w:r>
      <w:r w:rsidR="00A03FC7">
        <w:rPr>
          <w:rFonts w:ascii="Times New Roman" w:hAnsi="Times New Roman" w:cs="Times New Roman"/>
          <w:sz w:val="24"/>
          <w:szCs w:val="24"/>
        </w:rPr>
        <w:t>.</w:t>
      </w:r>
    </w:p>
    <w:p w14:paraId="6821F779" w14:textId="05242A1F" w:rsidR="00217F47" w:rsidRDefault="000E42F0">
      <w:pPr>
        <w:rPr>
          <w:rFonts w:ascii="Times New Roman" w:hAnsi="Times New Roman" w:cs="Times New Roman"/>
          <w:sz w:val="24"/>
          <w:szCs w:val="24"/>
          <w:u w:val="single"/>
        </w:rPr>
      </w:pPr>
      <w:r w:rsidRPr="000E42F0">
        <w:rPr>
          <w:rFonts w:ascii="Times New Roman" w:hAnsi="Times New Roman" w:cs="Times New Roman"/>
          <w:sz w:val="24"/>
          <w:szCs w:val="24"/>
        </w:rPr>
        <w:t xml:space="preserve">Details of the Instrument are set out in </w:t>
      </w:r>
      <w:r w:rsidRPr="000E42F0">
        <w:rPr>
          <w:rFonts w:ascii="Times New Roman" w:hAnsi="Times New Roman" w:cs="Times New Roman"/>
          <w:sz w:val="24"/>
          <w:szCs w:val="24"/>
          <w:u w:val="single"/>
        </w:rPr>
        <w:t>Attachment A</w:t>
      </w:r>
      <w:r w:rsidR="001E097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D60ED85" w14:textId="1535FCE6" w:rsidR="0024119B" w:rsidRDefault="00CE40CE">
      <w:pPr>
        <w:rPr>
          <w:rFonts w:ascii="Times New Roman" w:hAnsi="Times New Roman" w:cs="Times New Roman"/>
          <w:sz w:val="24"/>
          <w:szCs w:val="24"/>
        </w:rPr>
      </w:pPr>
      <w:r w:rsidRPr="00931FB7">
        <w:rPr>
          <w:rFonts w:ascii="Times New Roman" w:hAnsi="Times New Roman" w:cs="Times New Roman"/>
          <w:sz w:val="24"/>
          <w:szCs w:val="24"/>
        </w:rPr>
        <w:t xml:space="preserve">The amendments have been informed by feedback on the operation of the Rules received from </w:t>
      </w:r>
      <w:r w:rsidR="0024119B">
        <w:rPr>
          <w:rFonts w:ascii="Times New Roman" w:hAnsi="Times New Roman" w:cs="Times New Roman"/>
          <w:sz w:val="24"/>
          <w:szCs w:val="24"/>
        </w:rPr>
        <w:t>the Australian Restructuring and Turnaround Association</w:t>
      </w:r>
      <w:r w:rsidR="0024119B" w:rsidRPr="00931FB7">
        <w:rPr>
          <w:rFonts w:ascii="Times New Roman" w:hAnsi="Times New Roman" w:cs="Times New Roman"/>
          <w:sz w:val="24"/>
          <w:szCs w:val="24"/>
        </w:rPr>
        <w:t xml:space="preserve"> </w:t>
      </w:r>
      <w:r w:rsidRPr="00931FB7">
        <w:rPr>
          <w:rFonts w:ascii="Times New Roman" w:hAnsi="Times New Roman" w:cs="Times New Roman"/>
          <w:sz w:val="24"/>
          <w:szCs w:val="24"/>
        </w:rPr>
        <w:t xml:space="preserve">and </w:t>
      </w:r>
      <w:r w:rsidR="003F6915" w:rsidRPr="00931FB7">
        <w:rPr>
          <w:rFonts w:ascii="Times New Roman" w:hAnsi="Times New Roman" w:cs="Times New Roman"/>
          <w:sz w:val="24"/>
          <w:szCs w:val="24"/>
        </w:rPr>
        <w:t xml:space="preserve">the </w:t>
      </w:r>
      <w:r w:rsidRPr="00931FB7">
        <w:rPr>
          <w:rFonts w:ascii="Times New Roman" w:hAnsi="Times New Roman" w:cs="Times New Roman"/>
          <w:sz w:val="24"/>
          <w:szCs w:val="24"/>
        </w:rPr>
        <w:t>A</w:t>
      </w:r>
      <w:r w:rsidR="003F6915" w:rsidRPr="00931FB7">
        <w:rPr>
          <w:rFonts w:ascii="Times New Roman" w:hAnsi="Times New Roman" w:cs="Times New Roman"/>
          <w:sz w:val="24"/>
          <w:szCs w:val="24"/>
        </w:rPr>
        <w:t xml:space="preserve">ustralian </w:t>
      </w:r>
      <w:r w:rsidRPr="00931FB7">
        <w:rPr>
          <w:rFonts w:ascii="Times New Roman" w:hAnsi="Times New Roman" w:cs="Times New Roman"/>
          <w:sz w:val="24"/>
          <w:szCs w:val="24"/>
        </w:rPr>
        <w:t>S</w:t>
      </w:r>
      <w:r w:rsidR="003F6915" w:rsidRPr="00931FB7">
        <w:rPr>
          <w:rFonts w:ascii="Times New Roman" w:hAnsi="Times New Roman" w:cs="Times New Roman"/>
          <w:sz w:val="24"/>
          <w:szCs w:val="24"/>
        </w:rPr>
        <w:t xml:space="preserve">ecurities and Investments </w:t>
      </w:r>
      <w:r w:rsidRPr="00931FB7">
        <w:rPr>
          <w:rFonts w:ascii="Times New Roman" w:hAnsi="Times New Roman" w:cs="Times New Roman"/>
          <w:sz w:val="24"/>
          <w:szCs w:val="24"/>
        </w:rPr>
        <w:t>C</w:t>
      </w:r>
      <w:r w:rsidR="003F6915" w:rsidRPr="003F6915">
        <w:rPr>
          <w:rFonts w:ascii="Times New Roman" w:hAnsi="Times New Roman" w:cs="Times New Roman"/>
          <w:sz w:val="24"/>
          <w:szCs w:val="24"/>
        </w:rPr>
        <w:t>ommission</w:t>
      </w:r>
      <w:r w:rsidRPr="003F6915">
        <w:rPr>
          <w:rFonts w:ascii="Times New Roman" w:hAnsi="Times New Roman" w:cs="Times New Roman"/>
          <w:sz w:val="24"/>
          <w:szCs w:val="24"/>
        </w:rPr>
        <w:t>.</w:t>
      </w:r>
    </w:p>
    <w:p w14:paraId="08F46E2E" w14:textId="6CDCC4E4" w:rsidR="000E42F0" w:rsidRPr="00376E31" w:rsidRDefault="00241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instrument is a legislative instrument for the purposes of the </w:t>
      </w:r>
      <w:r w:rsidRPr="00931FB7">
        <w:rPr>
          <w:rFonts w:ascii="Times New Roman" w:hAnsi="Times New Roman" w:cs="Times New Roman"/>
          <w:i/>
          <w:sz w:val="24"/>
          <w:szCs w:val="24"/>
        </w:rPr>
        <w:t>Legislation Act 2003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6967E1" w14:textId="77777777" w:rsidR="00B02B41" w:rsidRDefault="00B02B41" w:rsidP="00B02B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Instrument commences immediately after Part 3 of the Rules commence.</w:t>
      </w:r>
    </w:p>
    <w:p w14:paraId="4451EA99" w14:textId="04C2D449" w:rsidR="007F5AFF" w:rsidRDefault="007F5AFF" w:rsidP="00B02B41">
      <w:pPr>
        <w:rPr>
          <w:rFonts w:ascii="Times New Roman" w:hAnsi="Times New Roman" w:cs="Times New Roman"/>
          <w:sz w:val="24"/>
          <w:szCs w:val="24"/>
        </w:rPr>
      </w:pPr>
      <w:r w:rsidRPr="00931FB7">
        <w:rPr>
          <w:rFonts w:ascii="Times New Roman" w:hAnsi="Times New Roman" w:cs="Times New Roman"/>
          <w:sz w:val="24"/>
          <w:szCs w:val="24"/>
        </w:rPr>
        <w:t>The Office of Best Practice Regulation has advised that a Regulation Impact Statement is not required for the Instrument</w:t>
      </w:r>
      <w:r w:rsidRPr="003F69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F8921" w14:textId="77777777" w:rsidR="000E68AA" w:rsidRDefault="000E68AA">
      <w:pPr>
        <w:rPr>
          <w:rFonts w:ascii="Times New Roman" w:hAnsi="Times New Roman" w:cs="Times New Roman"/>
          <w:sz w:val="24"/>
          <w:szCs w:val="24"/>
        </w:rPr>
      </w:pPr>
    </w:p>
    <w:p w14:paraId="433160D3" w14:textId="4BE01380" w:rsidR="000E68AA" w:rsidRPr="000E68AA" w:rsidRDefault="000E68AA" w:rsidP="000E68AA">
      <w:pPr>
        <w:pStyle w:val="Heading3"/>
        <w:jc w:val="center"/>
      </w:pPr>
      <w:r>
        <w:rPr>
          <w:szCs w:val="24"/>
        </w:rPr>
        <w:br w:type="page"/>
      </w:r>
      <w:r w:rsidRPr="000E68AA">
        <w:lastRenderedPageBreak/>
        <w:t>Statement of Compatibility with Human Rights</w:t>
      </w:r>
    </w:p>
    <w:p w14:paraId="585C6621" w14:textId="77777777" w:rsidR="000E68AA" w:rsidRPr="000E68AA" w:rsidRDefault="000E68AA" w:rsidP="000E68AA">
      <w:pPr>
        <w:spacing w:before="240"/>
        <w:jc w:val="center"/>
        <w:rPr>
          <w:rFonts w:ascii="Times New Roman" w:hAnsi="Times New Roman" w:cs="Times New Roman"/>
          <w:i/>
        </w:rPr>
      </w:pPr>
      <w:r w:rsidRPr="000E68AA">
        <w:rPr>
          <w:rFonts w:ascii="Times New Roman" w:hAnsi="Times New Roman" w:cs="Times New Roman"/>
          <w:i/>
        </w:rPr>
        <w:t>Prepared in accordance with Part 3 of the Human Rights (Parliamentary Scrutiny) Act 2011</w:t>
      </w:r>
    </w:p>
    <w:p w14:paraId="2499659E" w14:textId="77777777" w:rsidR="000E68AA" w:rsidRPr="000E68AA" w:rsidRDefault="000E68AA" w:rsidP="000E68AA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8AA">
        <w:rPr>
          <w:rFonts w:ascii="Times New Roman" w:hAnsi="Times New Roman" w:cs="Times New Roman"/>
          <w:b/>
          <w:i/>
          <w:iCs/>
          <w:sz w:val="24"/>
          <w:szCs w:val="24"/>
        </w:rPr>
        <w:t>Insolvency Practice Rules (Corporations) Amendment 2017 (No. 1)</w:t>
      </w:r>
    </w:p>
    <w:p w14:paraId="45BC55E7" w14:textId="1CCECCD5" w:rsidR="000E68AA" w:rsidRPr="000E68AA" w:rsidRDefault="00376E31" w:rsidP="000E68AA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0E68AA" w:rsidRPr="000E68AA">
        <w:rPr>
          <w:rFonts w:ascii="Times New Roman" w:hAnsi="Times New Roman" w:cs="Times New Roman"/>
          <w:sz w:val="24"/>
          <w:szCs w:val="24"/>
        </w:rPr>
        <w:t xml:space="preserve"> </w:t>
      </w:r>
      <w:r w:rsidR="000E68AA" w:rsidRPr="000E68AA">
        <w:rPr>
          <w:rFonts w:ascii="Times New Roman" w:hAnsi="Times New Roman" w:cs="Times New Roman"/>
          <w:i/>
          <w:iCs/>
          <w:sz w:val="24"/>
          <w:szCs w:val="24"/>
        </w:rPr>
        <w:t>Insolvency Practice Rules (Corporations) Amendment 2017 (No. 1)</w:t>
      </w:r>
      <w:r w:rsidR="000E68AA" w:rsidRPr="000E68A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E68AA" w:rsidRPr="000E68AA">
        <w:rPr>
          <w:rFonts w:ascii="Times New Roman" w:hAnsi="Times New Roman" w:cs="Times New Roman"/>
          <w:sz w:val="24"/>
          <w:szCs w:val="24"/>
        </w:rPr>
        <w:t xml:space="preserve">Instrument) is compatible with the human rights and freedoms recognised or declared in the international instruments listed in section 3 of the </w:t>
      </w:r>
      <w:r w:rsidR="000E68AA" w:rsidRPr="000E68AA">
        <w:rPr>
          <w:rFonts w:ascii="Times New Roman" w:hAnsi="Times New Roman" w:cs="Times New Roman"/>
          <w:i/>
          <w:sz w:val="24"/>
          <w:szCs w:val="24"/>
        </w:rPr>
        <w:t>Human Rights (Parliamentary Scrutiny) Act 2011</w:t>
      </w:r>
      <w:r w:rsidR="000E68AA" w:rsidRPr="000E68AA">
        <w:rPr>
          <w:rFonts w:ascii="Times New Roman" w:hAnsi="Times New Roman" w:cs="Times New Roman"/>
          <w:sz w:val="24"/>
          <w:szCs w:val="24"/>
        </w:rPr>
        <w:t>.</w:t>
      </w:r>
    </w:p>
    <w:p w14:paraId="1D05B113" w14:textId="0F8E46C7" w:rsidR="000E68AA" w:rsidRPr="000E68AA" w:rsidRDefault="000E68AA" w:rsidP="000E68AA">
      <w:pPr>
        <w:rPr>
          <w:rFonts w:ascii="Times New Roman" w:hAnsi="Times New Roman" w:cs="Times New Roman"/>
          <w:b/>
          <w:sz w:val="24"/>
          <w:szCs w:val="24"/>
        </w:rPr>
      </w:pPr>
      <w:r w:rsidRPr="000E68AA">
        <w:rPr>
          <w:rFonts w:ascii="Times New Roman" w:hAnsi="Times New Roman" w:cs="Times New Roman"/>
          <w:b/>
          <w:sz w:val="24"/>
          <w:szCs w:val="24"/>
        </w:rPr>
        <w:t>Overview of the Instrument</w:t>
      </w:r>
    </w:p>
    <w:p w14:paraId="64BEF55E" w14:textId="734ABC3E" w:rsidR="000E68AA" w:rsidRDefault="000E68AA" w:rsidP="000E68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Instrument</w:t>
      </w:r>
      <w:r w:rsidRPr="000E68AA">
        <w:rPr>
          <w:rFonts w:ascii="Times New Roman" w:hAnsi="Times New Roman" w:cs="Times New Roman"/>
          <w:sz w:val="24"/>
          <w:szCs w:val="24"/>
        </w:rPr>
        <w:t xml:space="preserve"> makes </w:t>
      </w:r>
      <w:r w:rsidR="00376E31">
        <w:rPr>
          <w:rFonts w:ascii="Times New Roman" w:hAnsi="Times New Roman" w:cs="Times New Roman"/>
          <w:sz w:val="24"/>
          <w:szCs w:val="24"/>
        </w:rPr>
        <w:t xml:space="preserve">minor technical </w:t>
      </w:r>
      <w:r w:rsidRPr="000E68AA">
        <w:rPr>
          <w:rFonts w:ascii="Times New Roman" w:hAnsi="Times New Roman" w:cs="Times New Roman"/>
          <w:sz w:val="24"/>
          <w:szCs w:val="24"/>
        </w:rPr>
        <w:t>amendments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A47B94">
        <w:rPr>
          <w:rFonts w:ascii="Times New Roman" w:hAnsi="Times New Roman" w:cs="Times New Roman"/>
          <w:sz w:val="24"/>
          <w:szCs w:val="24"/>
        </w:rPr>
        <w:t xml:space="preserve"> Part 3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712">
        <w:rPr>
          <w:rFonts w:ascii="Times New Roman" w:hAnsi="Times New Roman" w:cs="Times New Roman"/>
          <w:i/>
          <w:sz w:val="24"/>
          <w:szCs w:val="24"/>
        </w:rPr>
        <w:t>the Insolvency Practice Rules (Corporations) 2016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76E3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Rules) to clarify </w:t>
      </w:r>
      <w:r w:rsidR="00376E31">
        <w:rPr>
          <w:rFonts w:ascii="Times New Roman" w:hAnsi="Times New Roman" w:cs="Times New Roman"/>
          <w:sz w:val="24"/>
          <w:szCs w:val="24"/>
        </w:rPr>
        <w:t xml:space="preserve">their </w:t>
      </w:r>
      <w:r>
        <w:rPr>
          <w:rFonts w:ascii="Times New Roman" w:hAnsi="Times New Roman" w:cs="Times New Roman"/>
          <w:sz w:val="24"/>
          <w:szCs w:val="24"/>
        </w:rPr>
        <w:t xml:space="preserve">operation.  </w:t>
      </w:r>
      <w:r w:rsidR="00A47B94">
        <w:rPr>
          <w:rFonts w:ascii="Times New Roman" w:hAnsi="Times New Roman" w:cs="Times New Roman"/>
          <w:sz w:val="24"/>
          <w:szCs w:val="24"/>
        </w:rPr>
        <w:t xml:space="preserve">The </w:t>
      </w:r>
      <w:r w:rsidR="00376E31">
        <w:rPr>
          <w:rFonts w:ascii="Times New Roman" w:hAnsi="Times New Roman" w:cs="Times New Roman"/>
          <w:sz w:val="24"/>
          <w:szCs w:val="24"/>
        </w:rPr>
        <w:t xml:space="preserve">Instrument </w:t>
      </w:r>
      <w:r w:rsidR="00A47B94">
        <w:rPr>
          <w:rFonts w:ascii="Times New Roman" w:hAnsi="Times New Roman" w:cs="Times New Roman"/>
          <w:sz w:val="24"/>
          <w:szCs w:val="24"/>
        </w:rPr>
        <w:t>will commence immediately after</w:t>
      </w:r>
      <w:r w:rsidR="00376E31">
        <w:rPr>
          <w:rFonts w:ascii="Times New Roman" w:hAnsi="Times New Roman" w:cs="Times New Roman"/>
          <w:sz w:val="24"/>
          <w:szCs w:val="24"/>
        </w:rPr>
        <w:t xml:space="preserve"> the commencement of</w:t>
      </w:r>
      <w:r w:rsidR="00A47B94">
        <w:rPr>
          <w:rFonts w:ascii="Times New Roman" w:hAnsi="Times New Roman" w:cs="Times New Roman"/>
          <w:sz w:val="24"/>
          <w:szCs w:val="24"/>
        </w:rPr>
        <w:t xml:space="preserve"> Part 3 of the Rules on 1 September 2017. </w:t>
      </w:r>
    </w:p>
    <w:p w14:paraId="566E6B6F" w14:textId="3347C254" w:rsidR="00A03FC7" w:rsidRDefault="00A03FC7" w:rsidP="00A03FC7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76E31">
        <w:rPr>
          <w:rFonts w:ascii="Times New Roman" w:hAnsi="Times New Roman" w:cs="Times New Roman"/>
          <w:sz w:val="24"/>
          <w:szCs w:val="24"/>
        </w:rPr>
        <w:t>instrument amends the rules to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51C5C83" w14:textId="77777777" w:rsidR="00A03FC7" w:rsidRDefault="00A03FC7" w:rsidP="00A03FC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876F77">
        <w:rPr>
          <w:rFonts w:ascii="Times New Roman" w:hAnsi="Times New Roman" w:cs="Times New Roman"/>
          <w:sz w:val="24"/>
          <w:szCs w:val="24"/>
        </w:rPr>
        <w:t xml:space="preserve">specify </w:t>
      </w:r>
      <w:r>
        <w:rPr>
          <w:rFonts w:ascii="Times New Roman" w:hAnsi="Times New Roman" w:cs="Times New Roman"/>
          <w:sz w:val="24"/>
          <w:szCs w:val="24"/>
        </w:rPr>
        <w:t>the timeframe within which certain reports, notices and declarations must be lodged with ASIC;</w:t>
      </w:r>
    </w:p>
    <w:p w14:paraId="0C15E99B" w14:textId="3644200A" w:rsidR="00A03FC7" w:rsidRDefault="00F30DD0" w:rsidP="00A03FC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clarify the </w:t>
      </w:r>
      <w:r w:rsidRPr="0068407D">
        <w:rPr>
          <w:rFonts w:ascii="Times New Roman" w:hAnsi="Times New Roman" w:cs="Times New Roman"/>
          <w:sz w:val="24"/>
          <w:szCs w:val="24"/>
        </w:rPr>
        <w:t>scope of voting restrictions on proxy</w:t>
      </w:r>
      <w:r>
        <w:rPr>
          <w:rFonts w:ascii="Times New Roman" w:hAnsi="Times New Roman" w:cs="Times New Roman"/>
          <w:sz w:val="24"/>
          <w:szCs w:val="24"/>
        </w:rPr>
        <w:t xml:space="preserve"> holders</w:t>
      </w:r>
      <w:r w:rsidR="00A03FC7">
        <w:rPr>
          <w:rFonts w:ascii="Times New Roman" w:hAnsi="Times New Roman" w:cs="Times New Roman"/>
          <w:sz w:val="24"/>
          <w:szCs w:val="24"/>
        </w:rPr>
        <w:t>;</w:t>
      </w:r>
    </w:p>
    <w:p w14:paraId="3FAF94E2" w14:textId="4BDFC39B" w:rsidR="00A03FC7" w:rsidRDefault="00A03FC7" w:rsidP="00A03FC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align and make internally consistent, the operation of rules governing the admission of proofs of debt for the purposes of voting, the rules about counting a majority of votes, and the rules about the giving of notice when an external administrator considers a direction to convene a meeting is unreasonable;</w:t>
      </w:r>
    </w:p>
    <w:p w14:paraId="3B617BA3" w14:textId="6E8DED42" w:rsidR="00A03FC7" w:rsidRDefault="00376E31" w:rsidP="00A03FC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clarify </w:t>
      </w:r>
      <w:r w:rsidR="00805B9D">
        <w:rPr>
          <w:rFonts w:ascii="Times New Roman" w:hAnsi="Times New Roman" w:cs="Times New Roman"/>
          <w:sz w:val="24"/>
          <w:szCs w:val="24"/>
        </w:rPr>
        <w:t xml:space="preserve">the operation of </w:t>
      </w:r>
      <w:r>
        <w:rPr>
          <w:rFonts w:ascii="Times New Roman" w:hAnsi="Times New Roman" w:cs="Times New Roman"/>
          <w:sz w:val="24"/>
          <w:szCs w:val="24"/>
        </w:rPr>
        <w:t>some provisions</w:t>
      </w:r>
      <w:r w:rsidR="00A03FC7">
        <w:rPr>
          <w:rFonts w:ascii="Times New Roman" w:hAnsi="Times New Roman" w:cs="Times New Roman"/>
          <w:sz w:val="24"/>
          <w:szCs w:val="24"/>
        </w:rPr>
        <w:t>.</w:t>
      </w:r>
    </w:p>
    <w:p w14:paraId="2A698A01" w14:textId="77777777" w:rsidR="00A03FC7" w:rsidRPr="000E42F0" w:rsidRDefault="00A03FC7" w:rsidP="00A03F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14:paraId="75495241" w14:textId="18E56FD7" w:rsidR="008A05F1" w:rsidRPr="0090595C" w:rsidRDefault="008A05F1" w:rsidP="000E68AA">
      <w:pPr>
        <w:rPr>
          <w:rFonts w:ascii="Times New Roman" w:hAnsi="Times New Roman" w:cs="Times New Roman"/>
          <w:b/>
          <w:sz w:val="24"/>
          <w:szCs w:val="24"/>
        </w:rPr>
      </w:pPr>
      <w:r w:rsidRPr="0090595C">
        <w:rPr>
          <w:rFonts w:ascii="Times New Roman" w:hAnsi="Times New Roman" w:cs="Times New Roman"/>
          <w:b/>
          <w:sz w:val="24"/>
          <w:szCs w:val="24"/>
        </w:rPr>
        <w:t>Conclusion</w:t>
      </w:r>
    </w:p>
    <w:p w14:paraId="7D59B548" w14:textId="15287366" w:rsidR="00A03FC7" w:rsidRDefault="00A03FC7" w:rsidP="000E68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Instrument does not affect or limit any human rights </w:t>
      </w:r>
      <w:r w:rsidRPr="000E68AA">
        <w:rPr>
          <w:rFonts w:ascii="Times New Roman" w:hAnsi="Times New Roman" w:cs="Times New Roman"/>
          <w:sz w:val="24"/>
          <w:szCs w:val="24"/>
        </w:rPr>
        <w:t xml:space="preserve">and freedoms recognised or declared in the international instruments listed in section 3 of the </w:t>
      </w:r>
      <w:r w:rsidRPr="000E68AA">
        <w:rPr>
          <w:rFonts w:ascii="Times New Roman" w:hAnsi="Times New Roman" w:cs="Times New Roman"/>
          <w:i/>
          <w:sz w:val="24"/>
          <w:szCs w:val="24"/>
        </w:rPr>
        <w:t>Human Rights (Parliamentary Scrutiny) Act 2011</w:t>
      </w:r>
      <w:r w:rsidRPr="000E68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953B0" w14:textId="77777777" w:rsidR="008A05F1" w:rsidRDefault="008A0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729264B" w14:textId="77777777" w:rsidR="008A05F1" w:rsidRPr="008A05F1" w:rsidRDefault="008A05F1" w:rsidP="008A05F1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Cs w:val="24"/>
          <w:lang w:val="en-US"/>
        </w:rPr>
      </w:pPr>
      <w:r w:rsidRPr="008A05F1">
        <w:rPr>
          <w:rFonts w:ascii="Times New Roman" w:hAnsi="Times New Roman" w:cs="Times New Roman"/>
          <w:b/>
          <w:bCs/>
          <w:szCs w:val="24"/>
          <w:u w:val="single"/>
        </w:rPr>
        <w:lastRenderedPageBreak/>
        <w:t>ATTACHMENT A</w:t>
      </w:r>
    </w:p>
    <w:p w14:paraId="20AEBA61" w14:textId="3C3EE32C" w:rsidR="008A05F1" w:rsidRPr="003E2FCA" w:rsidRDefault="008A05F1" w:rsidP="008A05F1">
      <w:pPr>
        <w:rPr>
          <w:rFonts w:ascii="Times New Roman" w:hAnsi="Times New Roman" w:cs="Times New Roman"/>
          <w:i/>
          <w:sz w:val="24"/>
          <w:szCs w:val="24"/>
        </w:rPr>
      </w:pPr>
      <w:r w:rsidRPr="003E2F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Details of the </w:t>
      </w:r>
      <w:r w:rsidR="0008219B" w:rsidRPr="003E2FCA">
        <w:rPr>
          <w:rFonts w:ascii="Times New Roman" w:hAnsi="Times New Roman" w:cs="Times New Roman"/>
          <w:b/>
          <w:i/>
          <w:sz w:val="24"/>
          <w:szCs w:val="24"/>
          <w:u w:val="single"/>
        </w:rPr>
        <w:t>Insolvency Practice Rules (Corporations) Amendment 2017 (No.1)</w:t>
      </w:r>
    </w:p>
    <w:p w14:paraId="6A30D861" w14:textId="539DD74A" w:rsidR="008A05F1" w:rsidRPr="003E2FCA" w:rsidRDefault="008A05F1" w:rsidP="008A05F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E2FCA">
        <w:rPr>
          <w:rFonts w:ascii="Times New Roman" w:hAnsi="Times New Roman" w:cs="Times New Roman"/>
          <w:sz w:val="24"/>
          <w:szCs w:val="24"/>
          <w:lang w:val="en-US"/>
        </w:rPr>
        <w:t xml:space="preserve">This Attachment sets out further details of the </w:t>
      </w:r>
      <w:r w:rsidR="0008219B" w:rsidRPr="003E2F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Insolvency Practice Rules (Corporations) Amendment 2017 (No.1) </w:t>
      </w:r>
      <w:r w:rsidRPr="003E2FCA">
        <w:rPr>
          <w:rFonts w:ascii="Times New Roman" w:hAnsi="Times New Roman" w:cs="Times New Roman"/>
          <w:sz w:val="24"/>
          <w:szCs w:val="24"/>
          <w:lang w:val="en-US"/>
        </w:rPr>
        <w:t>(the Instrument). All references are to the Instrument unless otherwise stated.</w:t>
      </w:r>
    </w:p>
    <w:p w14:paraId="6EE9E377" w14:textId="422AAACF" w:rsidR="008A05F1" w:rsidRPr="003E2FCA" w:rsidRDefault="00805B9D" w:rsidP="008A05F1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</w:t>
      </w:r>
      <w:r w:rsidRPr="003E2F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A05F1" w:rsidRPr="003E2F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 – </w:t>
      </w:r>
      <w:r w:rsidR="0066103F" w:rsidRPr="003E2FCA">
        <w:rPr>
          <w:rFonts w:ascii="Times New Roman" w:hAnsi="Times New Roman" w:cs="Times New Roman"/>
          <w:b/>
          <w:bCs/>
          <w:sz w:val="24"/>
          <w:szCs w:val="24"/>
          <w:u w:val="single"/>
        </w:rPr>
        <w:t>Name</w:t>
      </w:r>
    </w:p>
    <w:p w14:paraId="28E9A755" w14:textId="74D94F6C" w:rsidR="008A05F1" w:rsidRPr="003E2FCA" w:rsidRDefault="008A05F1" w:rsidP="008A05F1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3E2FCA">
        <w:rPr>
          <w:rFonts w:ascii="Times New Roman" w:hAnsi="Times New Roman" w:cs="Times New Roman"/>
          <w:sz w:val="24"/>
          <w:szCs w:val="24"/>
        </w:rPr>
        <w:t xml:space="preserve">This </w:t>
      </w:r>
      <w:r w:rsidR="00805B9D">
        <w:rPr>
          <w:rFonts w:ascii="Times New Roman" w:hAnsi="Times New Roman" w:cs="Times New Roman"/>
          <w:sz w:val="24"/>
          <w:szCs w:val="24"/>
        </w:rPr>
        <w:t>section</w:t>
      </w:r>
      <w:r w:rsidR="00805B9D" w:rsidRPr="003E2FCA">
        <w:rPr>
          <w:rFonts w:ascii="Times New Roman" w:hAnsi="Times New Roman" w:cs="Times New Roman"/>
          <w:sz w:val="24"/>
          <w:szCs w:val="24"/>
        </w:rPr>
        <w:t xml:space="preserve"> </w:t>
      </w:r>
      <w:r w:rsidRPr="003E2FCA">
        <w:rPr>
          <w:rFonts w:ascii="Times New Roman" w:hAnsi="Times New Roman" w:cs="Times New Roman"/>
          <w:sz w:val="24"/>
          <w:szCs w:val="24"/>
        </w:rPr>
        <w:t xml:space="preserve">provides that the title of the Instrument is the </w:t>
      </w:r>
      <w:r w:rsidR="0066103F" w:rsidRPr="003E2FCA">
        <w:rPr>
          <w:rFonts w:ascii="Times New Roman" w:hAnsi="Times New Roman" w:cs="Times New Roman"/>
          <w:i/>
          <w:sz w:val="24"/>
          <w:szCs w:val="24"/>
          <w:lang w:val="en-US"/>
        </w:rPr>
        <w:t>Insolvency Practice Rules (Corporations) Amendment 2017 (No.1).</w:t>
      </w:r>
    </w:p>
    <w:p w14:paraId="17DB5ABA" w14:textId="0EC112E7" w:rsidR="0066103F" w:rsidRPr="003E2FCA" w:rsidRDefault="00805B9D" w:rsidP="0066103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</w:t>
      </w:r>
      <w:r w:rsidRPr="003E2F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6103F" w:rsidRPr="003E2FCA">
        <w:rPr>
          <w:rFonts w:ascii="Times New Roman" w:hAnsi="Times New Roman" w:cs="Times New Roman"/>
          <w:b/>
          <w:bCs/>
          <w:sz w:val="24"/>
          <w:szCs w:val="24"/>
          <w:u w:val="single"/>
        </w:rPr>
        <w:t>2 – Commencement</w:t>
      </w:r>
    </w:p>
    <w:p w14:paraId="77436F5A" w14:textId="0E942840" w:rsidR="008A05F1" w:rsidRPr="003E2FCA" w:rsidRDefault="008A05F1" w:rsidP="0066103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3E2FCA">
        <w:rPr>
          <w:rFonts w:ascii="Times New Roman" w:hAnsi="Times New Roman" w:cs="Times New Roman"/>
          <w:sz w:val="24"/>
          <w:szCs w:val="24"/>
        </w:rPr>
        <w:t xml:space="preserve">This </w:t>
      </w:r>
      <w:r w:rsidR="00805B9D">
        <w:rPr>
          <w:rFonts w:ascii="Times New Roman" w:hAnsi="Times New Roman" w:cs="Times New Roman"/>
          <w:sz w:val="24"/>
          <w:szCs w:val="24"/>
        </w:rPr>
        <w:t>section</w:t>
      </w:r>
      <w:r w:rsidR="00805B9D" w:rsidRPr="003E2FCA">
        <w:rPr>
          <w:rFonts w:ascii="Times New Roman" w:hAnsi="Times New Roman" w:cs="Times New Roman"/>
          <w:sz w:val="24"/>
          <w:szCs w:val="24"/>
        </w:rPr>
        <w:t xml:space="preserve"> </w:t>
      </w:r>
      <w:r w:rsidRPr="003E2FCA">
        <w:rPr>
          <w:rFonts w:ascii="Times New Roman" w:hAnsi="Times New Roman" w:cs="Times New Roman"/>
          <w:sz w:val="24"/>
          <w:szCs w:val="24"/>
        </w:rPr>
        <w:t xml:space="preserve">provides that the Instrument will commence </w:t>
      </w:r>
      <w:r w:rsidR="0066103F" w:rsidRPr="00805B9D">
        <w:rPr>
          <w:rFonts w:ascii="Times New Roman" w:hAnsi="Times New Roman" w:cs="Times New Roman"/>
          <w:sz w:val="24"/>
          <w:szCs w:val="24"/>
        </w:rPr>
        <w:t>immedia</w:t>
      </w:r>
      <w:r w:rsidR="0096238D" w:rsidRPr="00805B9D">
        <w:rPr>
          <w:rFonts w:ascii="Times New Roman" w:hAnsi="Times New Roman" w:cs="Times New Roman"/>
          <w:sz w:val="24"/>
          <w:szCs w:val="24"/>
        </w:rPr>
        <w:t xml:space="preserve">tely after the commencement of </w:t>
      </w:r>
      <w:r w:rsidR="0066103F" w:rsidRPr="00805B9D">
        <w:rPr>
          <w:rFonts w:ascii="Times New Roman" w:hAnsi="Times New Roman" w:cs="Times New Roman"/>
          <w:sz w:val="24"/>
          <w:szCs w:val="24"/>
        </w:rPr>
        <w:t xml:space="preserve">Part 3 of the </w:t>
      </w:r>
      <w:r w:rsidR="0066103F" w:rsidRPr="00805B9D">
        <w:rPr>
          <w:rFonts w:ascii="Times New Roman" w:hAnsi="Times New Roman" w:cs="Times New Roman"/>
          <w:i/>
          <w:sz w:val="24"/>
          <w:szCs w:val="24"/>
        </w:rPr>
        <w:t>Insolvency Practice Rules (Corporations) 2016</w:t>
      </w:r>
      <w:r w:rsidR="009375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758C">
        <w:rPr>
          <w:rFonts w:ascii="Times New Roman" w:hAnsi="Times New Roman" w:cs="Times New Roman"/>
          <w:sz w:val="24"/>
          <w:szCs w:val="24"/>
        </w:rPr>
        <w:t>(the Rules)</w:t>
      </w:r>
      <w:r w:rsidRPr="00805B9D">
        <w:rPr>
          <w:rFonts w:ascii="Times New Roman" w:hAnsi="Times New Roman" w:cs="Times New Roman"/>
          <w:sz w:val="24"/>
          <w:szCs w:val="24"/>
        </w:rPr>
        <w:t>.</w:t>
      </w:r>
      <w:r w:rsidRPr="003E2F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CF7A8B" w14:textId="7DB58E30" w:rsidR="00BF41B9" w:rsidRPr="003E2FCA" w:rsidRDefault="00805B9D" w:rsidP="00BF41B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</w:t>
      </w:r>
      <w:r w:rsidRPr="003E2F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F41B9" w:rsidRPr="003E2FCA">
        <w:rPr>
          <w:rFonts w:ascii="Times New Roman" w:hAnsi="Times New Roman" w:cs="Times New Roman"/>
          <w:b/>
          <w:bCs/>
          <w:sz w:val="24"/>
          <w:szCs w:val="24"/>
          <w:u w:val="single"/>
        </w:rPr>
        <w:t>3 – Authority</w:t>
      </w:r>
    </w:p>
    <w:p w14:paraId="2880B7A3" w14:textId="6185F3C7" w:rsidR="00BF41B9" w:rsidRPr="003E2FCA" w:rsidRDefault="00764B78" w:rsidP="000E68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805B9D">
        <w:rPr>
          <w:rFonts w:ascii="Times New Roman" w:hAnsi="Times New Roman" w:cs="Times New Roman"/>
          <w:sz w:val="24"/>
          <w:szCs w:val="24"/>
        </w:rPr>
        <w:t xml:space="preserve">section </w:t>
      </w:r>
      <w:r w:rsidR="00BF41B9" w:rsidRPr="003E2FCA">
        <w:rPr>
          <w:rFonts w:ascii="Times New Roman" w:hAnsi="Times New Roman" w:cs="Times New Roman"/>
          <w:sz w:val="24"/>
          <w:szCs w:val="24"/>
        </w:rPr>
        <w:t xml:space="preserve">provides that the Instrument is made under the </w:t>
      </w:r>
      <w:r w:rsidR="00BF41B9" w:rsidRPr="00805B9D">
        <w:rPr>
          <w:rFonts w:ascii="Times New Roman" w:hAnsi="Times New Roman" w:cs="Times New Roman"/>
          <w:i/>
          <w:sz w:val="24"/>
          <w:szCs w:val="24"/>
        </w:rPr>
        <w:t>Corporations Act 2001</w:t>
      </w:r>
      <w:r w:rsidR="00BF41B9" w:rsidRPr="003E2FCA">
        <w:rPr>
          <w:rFonts w:ascii="Times New Roman" w:hAnsi="Times New Roman" w:cs="Times New Roman"/>
          <w:sz w:val="24"/>
          <w:szCs w:val="24"/>
        </w:rPr>
        <w:t>.</w:t>
      </w:r>
    </w:p>
    <w:p w14:paraId="15BD53BD" w14:textId="59774FF5" w:rsidR="00BF41B9" w:rsidRPr="003E2FCA" w:rsidRDefault="00805B9D" w:rsidP="00BF41B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</w:t>
      </w:r>
      <w:r w:rsidRPr="003E2F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F41B9" w:rsidRPr="003E2FCA">
        <w:rPr>
          <w:rFonts w:ascii="Times New Roman" w:hAnsi="Times New Roman" w:cs="Times New Roman"/>
          <w:b/>
          <w:bCs/>
          <w:sz w:val="24"/>
          <w:szCs w:val="24"/>
          <w:u w:val="single"/>
        </w:rPr>
        <w:t>4 – Schedules</w:t>
      </w:r>
    </w:p>
    <w:p w14:paraId="7AFE0BD5" w14:textId="45F4CE14" w:rsidR="00BF41B9" w:rsidRPr="003E2FCA" w:rsidRDefault="00BF41B9" w:rsidP="00BF41B9">
      <w:pPr>
        <w:rPr>
          <w:rFonts w:ascii="Times New Roman" w:hAnsi="Times New Roman" w:cs="Times New Roman"/>
          <w:sz w:val="24"/>
          <w:szCs w:val="24"/>
        </w:rPr>
      </w:pPr>
      <w:r w:rsidRPr="003E2FCA">
        <w:rPr>
          <w:rFonts w:ascii="Times New Roman" w:hAnsi="Times New Roman" w:cs="Times New Roman"/>
          <w:sz w:val="24"/>
          <w:szCs w:val="24"/>
        </w:rPr>
        <w:t xml:space="preserve">This </w:t>
      </w:r>
      <w:r w:rsidR="00805B9D">
        <w:rPr>
          <w:rFonts w:ascii="Times New Roman" w:hAnsi="Times New Roman" w:cs="Times New Roman"/>
          <w:sz w:val="24"/>
          <w:szCs w:val="24"/>
        </w:rPr>
        <w:t>section</w:t>
      </w:r>
      <w:r w:rsidR="00805B9D" w:rsidRPr="003E2FCA">
        <w:rPr>
          <w:rFonts w:ascii="Times New Roman" w:hAnsi="Times New Roman" w:cs="Times New Roman"/>
          <w:sz w:val="24"/>
          <w:szCs w:val="24"/>
        </w:rPr>
        <w:t xml:space="preserve"> </w:t>
      </w:r>
      <w:r w:rsidRPr="003E2FCA">
        <w:rPr>
          <w:rFonts w:ascii="Times New Roman" w:hAnsi="Times New Roman" w:cs="Times New Roman"/>
          <w:sz w:val="24"/>
          <w:szCs w:val="24"/>
        </w:rPr>
        <w:t xml:space="preserve">provides that each instrument that is specified in a Schedule to </w:t>
      </w:r>
      <w:r w:rsidR="0093758C" w:rsidRPr="003E2FCA">
        <w:rPr>
          <w:rFonts w:ascii="Times New Roman" w:hAnsi="Times New Roman" w:cs="Times New Roman"/>
          <w:sz w:val="24"/>
          <w:szCs w:val="24"/>
        </w:rPr>
        <w:t>th</w:t>
      </w:r>
      <w:r w:rsidR="0093758C">
        <w:rPr>
          <w:rFonts w:ascii="Times New Roman" w:hAnsi="Times New Roman" w:cs="Times New Roman"/>
          <w:sz w:val="24"/>
          <w:szCs w:val="24"/>
        </w:rPr>
        <w:t>e</w:t>
      </w:r>
      <w:r w:rsidR="0093758C" w:rsidRPr="003E2FCA">
        <w:rPr>
          <w:rFonts w:ascii="Times New Roman" w:hAnsi="Times New Roman" w:cs="Times New Roman"/>
          <w:sz w:val="24"/>
          <w:szCs w:val="24"/>
        </w:rPr>
        <w:t xml:space="preserve"> </w:t>
      </w:r>
      <w:r w:rsidR="0093758C">
        <w:rPr>
          <w:rFonts w:ascii="Times New Roman" w:hAnsi="Times New Roman" w:cs="Times New Roman"/>
          <w:sz w:val="24"/>
          <w:szCs w:val="24"/>
        </w:rPr>
        <w:t>I</w:t>
      </w:r>
      <w:r w:rsidR="0093758C" w:rsidRPr="003E2FCA">
        <w:rPr>
          <w:rFonts w:ascii="Times New Roman" w:hAnsi="Times New Roman" w:cs="Times New Roman"/>
          <w:sz w:val="24"/>
          <w:szCs w:val="24"/>
        </w:rPr>
        <w:t xml:space="preserve">nstrument </w:t>
      </w:r>
      <w:r w:rsidRPr="003E2FCA">
        <w:rPr>
          <w:rFonts w:ascii="Times New Roman" w:hAnsi="Times New Roman" w:cs="Times New Roman"/>
          <w:sz w:val="24"/>
          <w:szCs w:val="24"/>
        </w:rPr>
        <w:t xml:space="preserve">is amended or repealed as set out in the applicable items in the Schedule concerned, and any other item in a Schedule to </w:t>
      </w:r>
      <w:r w:rsidR="0093758C" w:rsidRPr="003E2FCA">
        <w:rPr>
          <w:rFonts w:ascii="Times New Roman" w:hAnsi="Times New Roman" w:cs="Times New Roman"/>
          <w:sz w:val="24"/>
          <w:szCs w:val="24"/>
        </w:rPr>
        <w:t>th</w:t>
      </w:r>
      <w:r w:rsidR="0093758C">
        <w:rPr>
          <w:rFonts w:ascii="Times New Roman" w:hAnsi="Times New Roman" w:cs="Times New Roman"/>
          <w:sz w:val="24"/>
          <w:szCs w:val="24"/>
        </w:rPr>
        <w:t>e</w:t>
      </w:r>
      <w:r w:rsidR="0093758C" w:rsidRPr="003E2FCA">
        <w:rPr>
          <w:rFonts w:ascii="Times New Roman" w:hAnsi="Times New Roman" w:cs="Times New Roman"/>
          <w:sz w:val="24"/>
          <w:szCs w:val="24"/>
        </w:rPr>
        <w:t xml:space="preserve"> </w:t>
      </w:r>
      <w:r w:rsidR="0093758C">
        <w:rPr>
          <w:rFonts w:ascii="Times New Roman" w:hAnsi="Times New Roman" w:cs="Times New Roman"/>
          <w:sz w:val="24"/>
          <w:szCs w:val="24"/>
        </w:rPr>
        <w:t>I</w:t>
      </w:r>
      <w:r w:rsidR="0093758C" w:rsidRPr="003E2FCA">
        <w:rPr>
          <w:rFonts w:ascii="Times New Roman" w:hAnsi="Times New Roman" w:cs="Times New Roman"/>
          <w:sz w:val="24"/>
          <w:szCs w:val="24"/>
        </w:rPr>
        <w:t xml:space="preserve">nstrument </w:t>
      </w:r>
      <w:r w:rsidRPr="003E2FCA">
        <w:rPr>
          <w:rFonts w:ascii="Times New Roman" w:hAnsi="Times New Roman" w:cs="Times New Roman"/>
          <w:sz w:val="24"/>
          <w:szCs w:val="24"/>
        </w:rPr>
        <w:t>has effect according to its terms.</w:t>
      </w:r>
    </w:p>
    <w:p w14:paraId="48BF3AA7" w14:textId="0E020C04" w:rsidR="00BF41B9" w:rsidRPr="003E2FCA" w:rsidRDefault="00BF41B9" w:rsidP="00BF41B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2F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Schedule 1 – Amendments </w:t>
      </w:r>
    </w:p>
    <w:p w14:paraId="7F93BC7B" w14:textId="21831D3F" w:rsidR="00BF41B9" w:rsidRPr="003E2FCA" w:rsidRDefault="00BF41B9" w:rsidP="00BF41B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3E2FCA">
        <w:rPr>
          <w:rFonts w:ascii="Times New Roman" w:hAnsi="Times New Roman" w:cs="Times New Roman"/>
          <w:bCs/>
          <w:sz w:val="24"/>
          <w:szCs w:val="24"/>
        </w:rPr>
        <w:t xml:space="preserve">Schedule 1 of the Instrument sets out amendments to the </w:t>
      </w:r>
      <w:r w:rsidR="0093758C">
        <w:rPr>
          <w:rFonts w:ascii="Times New Roman" w:hAnsi="Times New Roman" w:cs="Times New Roman"/>
          <w:sz w:val="24"/>
          <w:szCs w:val="24"/>
          <w:lang w:val="en-US"/>
        </w:rPr>
        <w:t>Rules</w:t>
      </w:r>
      <w:r w:rsidR="00E400D6" w:rsidRPr="003E2F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400D6" w:rsidRPr="003E2FCA">
        <w:rPr>
          <w:rFonts w:ascii="Times New Roman" w:hAnsi="Times New Roman" w:cs="Times New Roman"/>
          <w:sz w:val="24"/>
          <w:szCs w:val="24"/>
          <w:lang w:val="en-US"/>
        </w:rPr>
        <w:t>as follows</w:t>
      </w:r>
      <w:r w:rsidR="00E400D6" w:rsidRPr="003E2FCA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3E2FC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8A2D70A" w14:textId="0562D179" w:rsidR="00BF41B9" w:rsidRPr="003E2FCA" w:rsidRDefault="00BF41B9" w:rsidP="00BF41B9">
      <w:pPr>
        <w:rPr>
          <w:rFonts w:ascii="Times New Roman" w:hAnsi="Times New Roman" w:cs="Times New Roman"/>
          <w:i/>
          <w:sz w:val="24"/>
          <w:szCs w:val="24"/>
        </w:rPr>
      </w:pPr>
      <w:r w:rsidRPr="003E2FCA">
        <w:rPr>
          <w:rFonts w:ascii="Times New Roman" w:hAnsi="Times New Roman" w:cs="Times New Roman"/>
          <w:i/>
          <w:sz w:val="24"/>
          <w:szCs w:val="24"/>
        </w:rPr>
        <w:t>Item 1</w:t>
      </w:r>
      <w:r w:rsidR="00C01140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3E2FCA">
        <w:rPr>
          <w:rFonts w:ascii="Times New Roman" w:hAnsi="Times New Roman" w:cs="Times New Roman"/>
          <w:i/>
          <w:sz w:val="24"/>
          <w:szCs w:val="24"/>
        </w:rPr>
        <w:t xml:space="preserve"> paragraph 70-30(2)(c) </w:t>
      </w:r>
    </w:p>
    <w:p w14:paraId="73B4AA5F" w14:textId="782EFD8F" w:rsidR="00BF41B9" w:rsidRPr="003E2FCA" w:rsidRDefault="00BF41B9" w:rsidP="00BF41B9">
      <w:pPr>
        <w:rPr>
          <w:rFonts w:ascii="Times New Roman" w:hAnsi="Times New Roman" w:cs="Times New Roman"/>
          <w:sz w:val="24"/>
          <w:szCs w:val="24"/>
        </w:rPr>
      </w:pPr>
      <w:r w:rsidRPr="003E2FCA">
        <w:rPr>
          <w:rFonts w:ascii="Times New Roman" w:hAnsi="Times New Roman" w:cs="Times New Roman"/>
          <w:sz w:val="24"/>
          <w:szCs w:val="24"/>
        </w:rPr>
        <w:t xml:space="preserve">Item 1 of Schedule 1 </w:t>
      </w:r>
      <w:r w:rsidR="0094262C">
        <w:rPr>
          <w:rFonts w:ascii="Times New Roman" w:hAnsi="Times New Roman" w:cs="Times New Roman"/>
          <w:sz w:val="24"/>
          <w:szCs w:val="24"/>
        </w:rPr>
        <w:t>substitutes the</w:t>
      </w:r>
      <w:r w:rsidR="00E400D6" w:rsidRPr="003E2FCA">
        <w:rPr>
          <w:rFonts w:ascii="Times New Roman" w:hAnsi="Times New Roman" w:cs="Times New Roman"/>
          <w:sz w:val="24"/>
          <w:szCs w:val="24"/>
        </w:rPr>
        <w:t xml:space="preserve"> reference to 'vol</w:t>
      </w:r>
      <w:r w:rsidR="00931FB7">
        <w:rPr>
          <w:rFonts w:ascii="Times New Roman" w:hAnsi="Times New Roman" w:cs="Times New Roman"/>
          <w:sz w:val="24"/>
          <w:szCs w:val="24"/>
        </w:rPr>
        <w:t>untary winding up' in paragraph </w:t>
      </w:r>
      <w:r w:rsidR="00E400D6" w:rsidRPr="003E2FCA">
        <w:rPr>
          <w:rFonts w:ascii="Times New Roman" w:hAnsi="Times New Roman" w:cs="Times New Roman"/>
          <w:sz w:val="24"/>
          <w:szCs w:val="24"/>
        </w:rPr>
        <w:t>70</w:t>
      </w:r>
      <w:r w:rsidR="006938F1">
        <w:rPr>
          <w:rFonts w:ascii="Times New Roman" w:hAnsi="Times New Roman" w:cs="Times New Roman"/>
          <w:sz w:val="24"/>
          <w:szCs w:val="24"/>
        </w:rPr>
        <w:noBreakHyphen/>
      </w:r>
      <w:r w:rsidR="00E400D6" w:rsidRPr="003E2FCA">
        <w:rPr>
          <w:rFonts w:ascii="Times New Roman" w:hAnsi="Times New Roman" w:cs="Times New Roman"/>
          <w:sz w:val="24"/>
          <w:szCs w:val="24"/>
        </w:rPr>
        <w:t>30(2)(c)</w:t>
      </w:r>
      <w:r w:rsidR="00E400D6" w:rsidRPr="003E2F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262C">
        <w:rPr>
          <w:rFonts w:ascii="Times New Roman" w:hAnsi="Times New Roman" w:cs="Times New Roman"/>
          <w:sz w:val="24"/>
          <w:szCs w:val="24"/>
        </w:rPr>
        <w:t>with</w:t>
      </w:r>
      <w:r w:rsidR="00E400D6" w:rsidRPr="003E2FCA">
        <w:rPr>
          <w:rFonts w:ascii="Times New Roman" w:hAnsi="Times New Roman" w:cs="Times New Roman"/>
          <w:sz w:val="24"/>
          <w:szCs w:val="24"/>
        </w:rPr>
        <w:t xml:space="preserve"> 'voluntary administration'.</w:t>
      </w:r>
      <w:r w:rsidR="003E2FCA" w:rsidRPr="003E2FC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BEDAEDE" w14:textId="7E9BE610" w:rsidR="00BF41B9" w:rsidRPr="003E2FCA" w:rsidRDefault="00BF41B9" w:rsidP="00BF41B9">
      <w:pPr>
        <w:rPr>
          <w:rFonts w:ascii="Times New Roman" w:hAnsi="Times New Roman" w:cs="Times New Roman"/>
          <w:i/>
          <w:sz w:val="24"/>
          <w:szCs w:val="24"/>
        </w:rPr>
      </w:pPr>
      <w:r w:rsidRPr="003E2FCA">
        <w:rPr>
          <w:rFonts w:ascii="Times New Roman" w:hAnsi="Times New Roman" w:cs="Times New Roman"/>
          <w:i/>
          <w:sz w:val="24"/>
          <w:szCs w:val="24"/>
        </w:rPr>
        <w:t>Item 2</w:t>
      </w:r>
      <w:r w:rsidR="00E400D6" w:rsidRPr="003E2FCA">
        <w:rPr>
          <w:rFonts w:ascii="Times New Roman" w:hAnsi="Times New Roman" w:cs="Times New Roman"/>
          <w:i/>
          <w:sz w:val="24"/>
          <w:szCs w:val="24"/>
        </w:rPr>
        <w:t xml:space="preserve"> – subsection 70-40(3)</w:t>
      </w:r>
    </w:p>
    <w:p w14:paraId="5078A0F4" w14:textId="28C15661" w:rsidR="0001586C" w:rsidRDefault="00BF41B9" w:rsidP="00BF41B9">
      <w:pPr>
        <w:rPr>
          <w:rFonts w:ascii="Times New Roman" w:hAnsi="Times New Roman" w:cs="Times New Roman"/>
          <w:i/>
          <w:sz w:val="24"/>
          <w:szCs w:val="24"/>
        </w:rPr>
      </w:pPr>
      <w:r w:rsidRPr="003E2FCA">
        <w:rPr>
          <w:rFonts w:ascii="Times New Roman" w:hAnsi="Times New Roman" w:cs="Times New Roman"/>
          <w:sz w:val="24"/>
          <w:szCs w:val="24"/>
        </w:rPr>
        <w:t>Item 2 of Schedule 1</w:t>
      </w:r>
      <w:r w:rsidR="00D94B64">
        <w:rPr>
          <w:rFonts w:ascii="Times New Roman" w:hAnsi="Times New Roman" w:cs="Times New Roman"/>
          <w:sz w:val="24"/>
          <w:szCs w:val="24"/>
        </w:rPr>
        <w:t xml:space="preserve"> amends subsection 70-40(3) to clarify that a liquidator is required to provide reports about dividends within three months of the liquidator’s appointment rather than </w:t>
      </w:r>
      <w:r w:rsidR="003E2FCA" w:rsidRPr="003E2FCA">
        <w:rPr>
          <w:rFonts w:ascii="Times New Roman" w:hAnsi="Times New Roman" w:cs="Times New Roman"/>
          <w:sz w:val="24"/>
          <w:szCs w:val="24"/>
        </w:rPr>
        <w:t>the commencement of the winding up</w:t>
      </w:r>
      <w:r w:rsidR="00773110">
        <w:rPr>
          <w:rFonts w:ascii="Times New Roman" w:hAnsi="Times New Roman" w:cs="Times New Roman"/>
          <w:sz w:val="24"/>
          <w:szCs w:val="24"/>
        </w:rPr>
        <w:t xml:space="preserve"> of a company</w:t>
      </w:r>
      <w:r w:rsidR="00D94B64">
        <w:rPr>
          <w:rFonts w:ascii="Times New Roman" w:hAnsi="Times New Roman" w:cs="Times New Roman"/>
          <w:sz w:val="24"/>
          <w:szCs w:val="24"/>
        </w:rPr>
        <w:t>.</w:t>
      </w:r>
      <w:r w:rsidR="003E2FCA" w:rsidRPr="003E2FCA">
        <w:rPr>
          <w:rFonts w:ascii="Times New Roman" w:hAnsi="Times New Roman" w:cs="Times New Roman"/>
          <w:sz w:val="24"/>
          <w:szCs w:val="24"/>
        </w:rPr>
        <w:t xml:space="preserve"> This amendment is necessary </w:t>
      </w:r>
      <w:r w:rsidR="00773110">
        <w:rPr>
          <w:rFonts w:ascii="Times New Roman" w:hAnsi="Times New Roman" w:cs="Times New Roman"/>
          <w:sz w:val="24"/>
          <w:szCs w:val="24"/>
        </w:rPr>
        <w:t>to address cases where there is a deemed commencement of the winding up of a company because a voluntary administration preceded the liquidator’s appointment.</w:t>
      </w:r>
      <w:r w:rsidR="00773110">
        <w:rPr>
          <w:rFonts w:ascii="Times New Roman" w:hAnsi="Times New Roman" w:cs="Times New Roman"/>
          <w:sz w:val="24"/>
          <w:szCs w:val="24"/>
        </w:rPr>
        <w:br/>
      </w:r>
    </w:p>
    <w:p w14:paraId="3EC38503" w14:textId="77777777" w:rsidR="0001586C" w:rsidRPr="003E2FCA" w:rsidRDefault="0001586C" w:rsidP="00BF41B9">
      <w:pPr>
        <w:rPr>
          <w:rFonts w:ascii="Times New Roman" w:hAnsi="Times New Roman" w:cs="Times New Roman"/>
          <w:sz w:val="24"/>
          <w:szCs w:val="24"/>
        </w:rPr>
      </w:pPr>
    </w:p>
    <w:p w14:paraId="07324D18" w14:textId="459B7041" w:rsidR="00BF41B9" w:rsidRPr="007F69DE" w:rsidRDefault="00BF41B9" w:rsidP="00BF41B9">
      <w:pPr>
        <w:rPr>
          <w:rFonts w:ascii="Times New Roman" w:hAnsi="Times New Roman" w:cs="Times New Roman"/>
          <w:sz w:val="24"/>
          <w:szCs w:val="24"/>
        </w:rPr>
      </w:pPr>
      <w:r w:rsidRPr="00773110">
        <w:rPr>
          <w:rFonts w:ascii="Times New Roman" w:hAnsi="Times New Roman" w:cs="Times New Roman"/>
          <w:i/>
          <w:sz w:val="24"/>
          <w:szCs w:val="24"/>
        </w:rPr>
        <w:t>Item</w:t>
      </w:r>
      <w:r w:rsidR="007F69DE">
        <w:rPr>
          <w:rFonts w:ascii="Times New Roman" w:hAnsi="Times New Roman" w:cs="Times New Roman"/>
          <w:i/>
          <w:sz w:val="24"/>
          <w:szCs w:val="24"/>
        </w:rPr>
        <w:t>s</w:t>
      </w:r>
      <w:r w:rsidRPr="00773110">
        <w:rPr>
          <w:rFonts w:ascii="Times New Roman" w:hAnsi="Times New Roman" w:cs="Times New Roman"/>
          <w:i/>
          <w:sz w:val="24"/>
          <w:szCs w:val="24"/>
        </w:rPr>
        <w:t xml:space="preserve"> 3</w:t>
      </w:r>
      <w:r w:rsidR="0011322E" w:rsidRPr="007731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69DE">
        <w:rPr>
          <w:rFonts w:ascii="Times New Roman" w:hAnsi="Times New Roman" w:cs="Times New Roman"/>
          <w:i/>
          <w:sz w:val="24"/>
          <w:szCs w:val="24"/>
        </w:rPr>
        <w:t xml:space="preserve">and 4 </w:t>
      </w:r>
      <w:r w:rsidR="0011322E" w:rsidRPr="00773110">
        <w:rPr>
          <w:rFonts w:ascii="Times New Roman" w:hAnsi="Times New Roman" w:cs="Times New Roman"/>
          <w:i/>
          <w:sz w:val="24"/>
          <w:szCs w:val="24"/>
        </w:rPr>
        <w:t>–subsection</w:t>
      </w:r>
      <w:r w:rsidR="007F69DE">
        <w:rPr>
          <w:rFonts w:ascii="Times New Roman" w:hAnsi="Times New Roman" w:cs="Times New Roman"/>
          <w:i/>
          <w:sz w:val="24"/>
          <w:szCs w:val="24"/>
        </w:rPr>
        <w:t xml:space="preserve">s </w:t>
      </w:r>
      <w:r w:rsidR="0011322E" w:rsidRPr="00773110">
        <w:rPr>
          <w:rFonts w:ascii="Times New Roman" w:hAnsi="Times New Roman" w:cs="Times New Roman"/>
          <w:i/>
          <w:sz w:val="24"/>
          <w:szCs w:val="24"/>
        </w:rPr>
        <w:t>75-40(3)</w:t>
      </w:r>
      <w:r w:rsidR="007F69DE">
        <w:rPr>
          <w:rFonts w:ascii="Times New Roman" w:hAnsi="Times New Roman" w:cs="Times New Roman"/>
          <w:sz w:val="24"/>
          <w:szCs w:val="24"/>
        </w:rPr>
        <w:t xml:space="preserve"> and 75-40(4)</w:t>
      </w:r>
    </w:p>
    <w:p w14:paraId="2FC43EC1" w14:textId="5ADABC1D" w:rsidR="00BF41B9" w:rsidRPr="00773110" w:rsidRDefault="00BF41B9" w:rsidP="00BF41B9">
      <w:pPr>
        <w:rPr>
          <w:rFonts w:ascii="Times New Roman" w:hAnsi="Times New Roman" w:cs="Times New Roman"/>
          <w:sz w:val="24"/>
          <w:szCs w:val="24"/>
        </w:rPr>
      </w:pPr>
      <w:r w:rsidRPr="00773110">
        <w:rPr>
          <w:rFonts w:ascii="Times New Roman" w:hAnsi="Times New Roman" w:cs="Times New Roman"/>
          <w:sz w:val="24"/>
          <w:szCs w:val="24"/>
        </w:rPr>
        <w:t>Item</w:t>
      </w:r>
      <w:r w:rsidR="00F006FF">
        <w:rPr>
          <w:rFonts w:ascii="Times New Roman" w:hAnsi="Times New Roman" w:cs="Times New Roman"/>
          <w:sz w:val="24"/>
          <w:szCs w:val="24"/>
        </w:rPr>
        <w:t>s</w:t>
      </w:r>
      <w:r w:rsidRPr="00773110">
        <w:rPr>
          <w:rFonts w:ascii="Times New Roman" w:hAnsi="Times New Roman" w:cs="Times New Roman"/>
          <w:sz w:val="24"/>
          <w:szCs w:val="24"/>
        </w:rPr>
        <w:t xml:space="preserve"> 3 </w:t>
      </w:r>
      <w:r w:rsidR="00F006FF">
        <w:rPr>
          <w:rFonts w:ascii="Times New Roman" w:hAnsi="Times New Roman" w:cs="Times New Roman"/>
          <w:sz w:val="24"/>
          <w:szCs w:val="24"/>
        </w:rPr>
        <w:t xml:space="preserve">and 4 </w:t>
      </w:r>
      <w:r w:rsidRPr="00773110">
        <w:rPr>
          <w:rFonts w:ascii="Times New Roman" w:hAnsi="Times New Roman" w:cs="Times New Roman"/>
          <w:sz w:val="24"/>
          <w:szCs w:val="24"/>
        </w:rPr>
        <w:t xml:space="preserve">of Schedule 1 </w:t>
      </w:r>
      <w:r w:rsidR="00CA404E">
        <w:rPr>
          <w:rFonts w:ascii="Times New Roman" w:hAnsi="Times New Roman" w:cs="Times New Roman"/>
          <w:sz w:val="24"/>
          <w:szCs w:val="24"/>
        </w:rPr>
        <w:t>clarif</w:t>
      </w:r>
      <w:r w:rsidR="00F006FF">
        <w:rPr>
          <w:rFonts w:ascii="Times New Roman" w:hAnsi="Times New Roman" w:cs="Times New Roman"/>
          <w:sz w:val="24"/>
          <w:szCs w:val="24"/>
        </w:rPr>
        <w:t>y</w:t>
      </w:r>
      <w:r w:rsidR="00CA404E">
        <w:rPr>
          <w:rFonts w:ascii="Times New Roman" w:hAnsi="Times New Roman" w:cs="Times New Roman"/>
          <w:sz w:val="24"/>
          <w:szCs w:val="24"/>
        </w:rPr>
        <w:t xml:space="preserve"> that the </w:t>
      </w:r>
      <w:r w:rsidR="00A34B35" w:rsidRPr="00773110">
        <w:rPr>
          <w:rFonts w:ascii="Times New Roman" w:hAnsi="Times New Roman" w:cs="Times New Roman"/>
          <w:sz w:val="24"/>
          <w:szCs w:val="24"/>
        </w:rPr>
        <w:t xml:space="preserve">lodgement of a notice for a meeting of a committee of inspection </w:t>
      </w:r>
      <w:r w:rsidR="00F81193">
        <w:rPr>
          <w:rFonts w:ascii="Times New Roman" w:hAnsi="Times New Roman" w:cs="Times New Roman"/>
          <w:sz w:val="24"/>
          <w:szCs w:val="24"/>
        </w:rPr>
        <w:t xml:space="preserve">is required </w:t>
      </w:r>
      <w:r w:rsidR="00A34B35" w:rsidRPr="00773110">
        <w:rPr>
          <w:rFonts w:ascii="Times New Roman" w:hAnsi="Times New Roman" w:cs="Times New Roman"/>
          <w:sz w:val="24"/>
          <w:szCs w:val="24"/>
        </w:rPr>
        <w:t>at least 5 business days before the meeting is held</w:t>
      </w:r>
      <w:r w:rsidR="00F81193">
        <w:rPr>
          <w:rFonts w:ascii="Times New Roman" w:hAnsi="Times New Roman" w:cs="Times New Roman"/>
          <w:sz w:val="24"/>
          <w:szCs w:val="24"/>
        </w:rPr>
        <w:t xml:space="preserve"> unless it</w:t>
      </w:r>
      <w:r w:rsidR="006938F1">
        <w:rPr>
          <w:rFonts w:ascii="Times New Roman" w:hAnsi="Times New Roman" w:cs="Times New Roman"/>
          <w:sz w:val="24"/>
          <w:szCs w:val="24"/>
        </w:rPr>
        <w:t xml:space="preserve"> </w:t>
      </w:r>
      <w:r w:rsidR="00A34B35" w:rsidRPr="00773110">
        <w:rPr>
          <w:rFonts w:ascii="Times New Roman" w:hAnsi="Times New Roman" w:cs="Times New Roman"/>
          <w:sz w:val="24"/>
          <w:szCs w:val="24"/>
        </w:rPr>
        <w:t>is not practicable</w:t>
      </w:r>
      <w:r w:rsidR="00EA300A">
        <w:rPr>
          <w:rFonts w:ascii="Times New Roman" w:hAnsi="Times New Roman" w:cs="Times New Roman"/>
          <w:sz w:val="24"/>
          <w:szCs w:val="24"/>
        </w:rPr>
        <w:t>,</w:t>
      </w:r>
      <w:r w:rsidR="00F81193">
        <w:rPr>
          <w:rFonts w:ascii="Times New Roman" w:hAnsi="Times New Roman" w:cs="Times New Roman"/>
          <w:sz w:val="24"/>
          <w:szCs w:val="24"/>
        </w:rPr>
        <w:t xml:space="preserve"> in which case the lodgement must be </w:t>
      </w:r>
      <w:r w:rsidR="00F006FF">
        <w:rPr>
          <w:rFonts w:ascii="Times New Roman" w:hAnsi="Times New Roman" w:cs="Times New Roman"/>
          <w:sz w:val="24"/>
          <w:szCs w:val="24"/>
        </w:rPr>
        <w:t>made</w:t>
      </w:r>
      <w:r w:rsidR="00F006FF" w:rsidRPr="00773110">
        <w:rPr>
          <w:rFonts w:ascii="Times New Roman" w:hAnsi="Times New Roman" w:cs="Times New Roman"/>
          <w:sz w:val="24"/>
          <w:szCs w:val="24"/>
        </w:rPr>
        <w:t xml:space="preserve"> as</w:t>
      </w:r>
      <w:r w:rsidR="00A34B35" w:rsidRPr="00773110">
        <w:rPr>
          <w:rFonts w:ascii="Times New Roman" w:hAnsi="Times New Roman" w:cs="Times New Roman"/>
          <w:sz w:val="24"/>
          <w:szCs w:val="24"/>
        </w:rPr>
        <w:t xml:space="preserve"> soon as practicable</w:t>
      </w:r>
      <w:r w:rsidR="00EA300A">
        <w:rPr>
          <w:rFonts w:ascii="Times New Roman" w:hAnsi="Times New Roman" w:cs="Times New Roman"/>
          <w:sz w:val="24"/>
          <w:szCs w:val="24"/>
        </w:rPr>
        <w:t xml:space="preserve"> (which may be after the meeting has been held)</w:t>
      </w:r>
      <w:r w:rsidR="00A34B35" w:rsidRPr="00773110">
        <w:rPr>
          <w:rFonts w:ascii="Times New Roman" w:hAnsi="Times New Roman" w:cs="Times New Roman"/>
          <w:sz w:val="24"/>
          <w:szCs w:val="24"/>
        </w:rPr>
        <w:t>.</w:t>
      </w:r>
    </w:p>
    <w:p w14:paraId="4E62B610" w14:textId="61652341" w:rsidR="00BF41B9" w:rsidRPr="00773110" w:rsidRDefault="00BF41B9" w:rsidP="00BF41B9">
      <w:pPr>
        <w:rPr>
          <w:rFonts w:ascii="Times New Roman" w:hAnsi="Times New Roman" w:cs="Times New Roman"/>
          <w:i/>
          <w:sz w:val="24"/>
          <w:szCs w:val="24"/>
        </w:rPr>
      </w:pPr>
      <w:r w:rsidRPr="00773110">
        <w:rPr>
          <w:rFonts w:ascii="Times New Roman" w:hAnsi="Times New Roman" w:cs="Times New Roman"/>
          <w:i/>
          <w:sz w:val="24"/>
          <w:szCs w:val="24"/>
        </w:rPr>
        <w:t>Item</w:t>
      </w:r>
      <w:r w:rsidR="007F69DE">
        <w:rPr>
          <w:rFonts w:ascii="Times New Roman" w:hAnsi="Times New Roman" w:cs="Times New Roman"/>
          <w:i/>
          <w:sz w:val="24"/>
          <w:szCs w:val="24"/>
        </w:rPr>
        <w:t>s</w:t>
      </w:r>
      <w:r w:rsidRPr="00773110">
        <w:rPr>
          <w:rFonts w:ascii="Times New Roman" w:hAnsi="Times New Roman" w:cs="Times New Roman"/>
          <w:i/>
          <w:sz w:val="24"/>
          <w:szCs w:val="24"/>
        </w:rPr>
        <w:t xml:space="preserve"> 5</w:t>
      </w:r>
      <w:r w:rsidR="005F40F7" w:rsidRPr="007731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06FF">
        <w:rPr>
          <w:rFonts w:ascii="Times New Roman" w:hAnsi="Times New Roman" w:cs="Times New Roman"/>
          <w:i/>
          <w:sz w:val="24"/>
          <w:szCs w:val="24"/>
        </w:rPr>
        <w:t xml:space="preserve">and 7 </w:t>
      </w:r>
      <w:r w:rsidR="005F40F7" w:rsidRPr="00773110">
        <w:rPr>
          <w:rFonts w:ascii="Times New Roman" w:hAnsi="Times New Roman" w:cs="Times New Roman"/>
          <w:i/>
          <w:sz w:val="24"/>
          <w:szCs w:val="24"/>
        </w:rPr>
        <w:t>– section 75-88</w:t>
      </w:r>
      <w:r w:rsidR="00F006FF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="00F006FF" w:rsidRPr="00773110">
        <w:rPr>
          <w:rFonts w:ascii="Times New Roman" w:hAnsi="Times New Roman" w:cs="Times New Roman"/>
          <w:i/>
          <w:sz w:val="24"/>
          <w:szCs w:val="24"/>
        </w:rPr>
        <w:t>subsection</w:t>
      </w:r>
      <w:r w:rsidR="007B67E1">
        <w:rPr>
          <w:rFonts w:ascii="Times New Roman" w:hAnsi="Times New Roman" w:cs="Times New Roman"/>
          <w:i/>
          <w:sz w:val="24"/>
          <w:szCs w:val="24"/>
        </w:rPr>
        <w:t>s</w:t>
      </w:r>
      <w:r w:rsidR="00F006FF" w:rsidRPr="00773110">
        <w:rPr>
          <w:rFonts w:ascii="Times New Roman" w:hAnsi="Times New Roman" w:cs="Times New Roman"/>
          <w:i/>
          <w:sz w:val="24"/>
          <w:szCs w:val="24"/>
        </w:rPr>
        <w:t xml:space="preserve"> 75-100(3) and (4)</w:t>
      </w:r>
    </w:p>
    <w:p w14:paraId="2B3B9094" w14:textId="65201EA1" w:rsidR="00F006FF" w:rsidRPr="00773110" w:rsidRDefault="00BF41B9" w:rsidP="006535E9">
      <w:pPr>
        <w:rPr>
          <w:rFonts w:ascii="Times New Roman" w:hAnsi="Times New Roman" w:cs="Times New Roman"/>
          <w:sz w:val="24"/>
          <w:szCs w:val="24"/>
        </w:rPr>
      </w:pPr>
      <w:r w:rsidRPr="00773110">
        <w:rPr>
          <w:rFonts w:ascii="Times New Roman" w:hAnsi="Times New Roman" w:cs="Times New Roman"/>
          <w:sz w:val="24"/>
          <w:szCs w:val="24"/>
        </w:rPr>
        <w:t>Item</w:t>
      </w:r>
      <w:r w:rsidR="00040AC0">
        <w:rPr>
          <w:rFonts w:ascii="Times New Roman" w:hAnsi="Times New Roman" w:cs="Times New Roman"/>
          <w:sz w:val="24"/>
          <w:szCs w:val="24"/>
        </w:rPr>
        <w:t>s</w:t>
      </w:r>
      <w:r w:rsidRPr="00773110">
        <w:rPr>
          <w:rFonts w:ascii="Times New Roman" w:hAnsi="Times New Roman" w:cs="Times New Roman"/>
          <w:sz w:val="24"/>
          <w:szCs w:val="24"/>
        </w:rPr>
        <w:t xml:space="preserve"> 5 </w:t>
      </w:r>
      <w:r w:rsidR="00040AC0">
        <w:rPr>
          <w:rFonts w:ascii="Times New Roman" w:hAnsi="Times New Roman" w:cs="Times New Roman"/>
          <w:sz w:val="24"/>
          <w:szCs w:val="24"/>
        </w:rPr>
        <w:t xml:space="preserve">and 7 </w:t>
      </w:r>
      <w:r w:rsidRPr="00773110">
        <w:rPr>
          <w:rFonts w:ascii="Times New Roman" w:hAnsi="Times New Roman" w:cs="Times New Roman"/>
          <w:sz w:val="24"/>
          <w:szCs w:val="24"/>
        </w:rPr>
        <w:t xml:space="preserve">of Schedule </w:t>
      </w:r>
      <w:r w:rsidR="00040AC0">
        <w:rPr>
          <w:rFonts w:ascii="Times New Roman" w:hAnsi="Times New Roman" w:cs="Times New Roman"/>
          <w:sz w:val="24"/>
          <w:szCs w:val="24"/>
        </w:rPr>
        <w:t>1</w:t>
      </w:r>
      <w:r w:rsidR="006535E9" w:rsidRPr="006535E9">
        <w:t xml:space="preserve"> </w:t>
      </w:r>
      <w:r w:rsidR="006535E9" w:rsidRPr="006535E9">
        <w:rPr>
          <w:rFonts w:ascii="Times New Roman" w:hAnsi="Times New Roman" w:cs="Times New Roman"/>
          <w:sz w:val="24"/>
          <w:szCs w:val="24"/>
        </w:rPr>
        <w:t>reconcile rules for</w:t>
      </w:r>
      <w:r w:rsidR="006535E9">
        <w:rPr>
          <w:rFonts w:ascii="Times New Roman" w:hAnsi="Times New Roman" w:cs="Times New Roman"/>
          <w:sz w:val="24"/>
          <w:szCs w:val="24"/>
        </w:rPr>
        <w:t xml:space="preserve"> the</w:t>
      </w:r>
      <w:r w:rsidR="006535E9" w:rsidRPr="006535E9">
        <w:rPr>
          <w:rFonts w:ascii="Times New Roman" w:hAnsi="Times New Roman" w:cs="Times New Roman"/>
          <w:sz w:val="24"/>
          <w:szCs w:val="24"/>
        </w:rPr>
        <w:t xml:space="preserve"> admission and rejection of proofs of debt for the purposes of voting at meetings.</w:t>
      </w:r>
      <w:r w:rsidR="00040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52FC8D" w14:textId="48C4289B" w:rsidR="00BF41B9" w:rsidRPr="003E2FCA" w:rsidRDefault="00BF41B9" w:rsidP="00BF41B9">
      <w:pPr>
        <w:rPr>
          <w:rFonts w:ascii="Times New Roman" w:hAnsi="Times New Roman" w:cs="Times New Roman"/>
          <w:i/>
          <w:sz w:val="24"/>
          <w:szCs w:val="24"/>
        </w:rPr>
      </w:pPr>
      <w:r w:rsidRPr="003E2FCA">
        <w:rPr>
          <w:rFonts w:ascii="Times New Roman" w:hAnsi="Times New Roman" w:cs="Times New Roman"/>
          <w:i/>
          <w:sz w:val="24"/>
          <w:szCs w:val="24"/>
        </w:rPr>
        <w:t>Item 6</w:t>
      </w:r>
      <w:r w:rsidR="00213003">
        <w:rPr>
          <w:rFonts w:ascii="Times New Roman" w:hAnsi="Times New Roman" w:cs="Times New Roman"/>
          <w:i/>
          <w:sz w:val="24"/>
          <w:szCs w:val="24"/>
        </w:rPr>
        <w:t xml:space="preserve"> – section 75-97</w:t>
      </w:r>
    </w:p>
    <w:p w14:paraId="56D9F7D5" w14:textId="31574A65" w:rsidR="006938F1" w:rsidRPr="003E2FCA" w:rsidRDefault="00BF41B9" w:rsidP="00BF41B9">
      <w:pPr>
        <w:rPr>
          <w:rFonts w:ascii="Times New Roman" w:hAnsi="Times New Roman" w:cs="Times New Roman"/>
          <w:sz w:val="24"/>
          <w:szCs w:val="24"/>
        </w:rPr>
      </w:pPr>
      <w:r w:rsidRPr="003E2FCA">
        <w:rPr>
          <w:rFonts w:ascii="Times New Roman" w:hAnsi="Times New Roman" w:cs="Times New Roman"/>
          <w:sz w:val="24"/>
          <w:szCs w:val="24"/>
        </w:rPr>
        <w:t>Item 6 of Schedule 1</w:t>
      </w:r>
      <w:r w:rsidR="00213003">
        <w:rPr>
          <w:rFonts w:ascii="Times New Roman" w:hAnsi="Times New Roman" w:cs="Times New Roman"/>
          <w:sz w:val="24"/>
          <w:szCs w:val="24"/>
        </w:rPr>
        <w:t xml:space="preserve"> </w:t>
      </w:r>
      <w:r w:rsidR="00040AC0" w:rsidRPr="00040AC0">
        <w:rPr>
          <w:rFonts w:ascii="Times New Roman" w:hAnsi="Times New Roman" w:cs="Times New Roman"/>
          <w:sz w:val="24"/>
          <w:szCs w:val="24"/>
        </w:rPr>
        <w:t xml:space="preserve">clarifies that only holders of general proxies are prohibited from exercising </w:t>
      </w:r>
      <w:r w:rsidR="00040AC0">
        <w:rPr>
          <w:rFonts w:ascii="Times New Roman" w:hAnsi="Times New Roman" w:cs="Times New Roman"/>
          <w:sz w:val="24"/>
          <w:szCs w:val="24"/>
        </w:rPr>
        <w:t>a</w:t>
      </w:r>
      <w:r w:rsidR="00040AC0" w:rsidRPr="00040AC0">
        <w:rPr>
          <w:rFonts w:ascii="Times New Roman" w:hAnsi="Times New Roman" w:cs="Times New Roman"/>
          <w:sz w:val="24"/>
          <w:szCs w:val="24"/>
        </w:rPr>
        <w:t xml:space="preserve"> proxy in the specified circumstances </w:t>
      </w:r>
      <w:r w:rsidR="007F2B08">
        <w:rPr>
          <w:rFonts w:ascii="Times New Roman" w:hAnsi="Times New Roman" w:cs="Times New Roman"/>
          <w:sz w:val="24"/>
          <w:szCs w:val="24"/>
        </w:rPr>
        <w:t>in</w:t>
      </w:r>
      <w:r w:rsidR="00040AC0" w:rsidRPr="00040AC0">
        <w:rPr>
          <w:rFonts w:ascii="Times New Roman" w:hAnsi="Times New Roman" w:cs="Times New Roman"/>
          <w:sz w:val="24"/>
          <w:szCs w:val="24"/>
        </w:rPr>
        <w:t xml:space="preserve"> </w:t>
      </w:r>
      <w:r w:rsidR="007F2B08">
        <w:rPr>
          <w:rFonts w:ascii="Times New Roman" w:hAnsi="Times New Roman" w:cs="Times New Roman"/>
          <w:sz w:val="24"/>
          <w:szCs w:val="24"/>
        </w:rPr>
        <w:t>section 75-97</w:t>
      </w:r>
      <w:r w:rsidR="00040AC0" w:rsidRPr="00040AC0">
        <w:rPr>
          <w:rFonts w:ascii="Times New Roman" w:hAnsi="Times New Roman" w:cs="Times New Roman"/>
          <w:sz w:val="24"/>
          <w:szCs w:val="24"/>
        </w:rPr>
        <w:t>.</w:t>
      </w:r>
      <w:r w:rsidR="002130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C03FA6" w14:textId="30D9BC01" w:rsidR="00BF41B9" w:rsidRPr="003E2FCA" w:rsidRDefault="00BF41B9" w:rsidP="00BF41B9">
      <w:pPr>
        <w:rPr>
          <w:rFonts w:ascii="Times New Roman" w:hAnsi="Times New Roman" w:cs="Times New Roman"/>
          <w:i/>
          <w:sz w:val="24"/>
          <w:szCs w:val="24"/>
        </w:rPr>
      </w:pPr>
      <w:r w:rsidRPr="003E2FCA">
        <w:rPr>
          <w:rFonts w:ascii="Times New Roman" w:hAnsi="Times New Roman" w:cs="Times New Roman"/>
          <w:i/>
          <w:sz w:val="24"/>
          <w:szCs w:val="24"/>
        </w:rPr>
        <w:t>Item 8</w:t>
      </w:r>
      <w:r w:rsidR="000416FF">
        <w:rPr>
          <w:rFonts w:ascii="Times New Roman" w:hAnsi="Times New Roman" w:cs="Times New Roman"/>
          <w:i/>
          <w:sz w:val="24"/>
          <w:szCs w:val="24"/>
        </w:rPr>
        <w:t xml:space="preserve"> – paragraph 75-120(2)(b)</w:t>
      </w:r>
      <w:r w:rsidR="006938F1">
        <w:rPr>
          <w:rFonts w:ascii="Times New Roman" w:hAnsi="Times New Roman" w:cs="Times New Roman"/>
          <w:i/>
          <w:sz w:val="24"/>
          <w:szCs w:val="24"/>
        </w:rPr>
        <w:t>.</w:t>
      </w:r>
    </w:p>
    <w:p w14:paraId="2C140591" w14:textId="3F3CFFD4" w:rsidR="00503451" w:rsidRDefault="00BF41B9" w:rsidP="00BF41B9">
      <w:pPr>
        <w:rPr>
          <w:rFonts w:ascii="Times New Roman" w:hAnsi="Times New Roman" w:cs="Times New Roman"/>
          <w:sz w:val="24"/>
          <w:szCs w:val="24"/>
        </w:rPr>
      </w:pPr>
      <w:r w:rsidRPr="003E2FCA">
        <w:rPr>
          <w:rFonts w:ascii="Times New Roman" w:hAnsi="Times New Roman" w:cs="Times New Roman"/>
          <w:sz w:val="24"/>
          <w:szCs w:val="24"/>
        </w:rPr>
        <w:t xml:space="preserve">Item 8 of Schedule 1 </w:t>
      </w:r>
      <w:r w:rsidR="007F2B08">
        <w:rPr>
          <w:rFonts w:ascii="Times New Roman" w:hAnsi="Times New Roman" w:cs="Times New Roman"/>
          <w:sz w:val="24"/>
          <w:szCs w:val="24"/>
        </w:rPr>
        <w:t>substitu</w:t>
      </w:r>
      <w:r w:rsidR="00503451">
        <w:rPr>
          <w:rFonts w:ascii="Times New Roman" w:hAnsi="Times New Roman" w:cs="Times New Roman"/>
          <w:sz w:val="24"/>
          <w:szCs w:val="24"/>
        </w:rPr>
        <w:t xml:space="preserve">tes the reference to ‘articles of the company’ </w:t>
      </w:r>
      <w:r w:rsidR="007F2B08">
        <w:rPr>
          <w:rFonts w:ascii="Times New Roman" w:hAnsi="Times New Roman" w:cs="Times New Roman"/>
          <w:sz w:val="24"/>
          <w:szCs w:val="24"/>
        </w:rPr>
        <w:t xml:space="preserve">in </w:t>
      </w:r>
      <w:r w:rsidR="007F2B08" w:rsidRPr="00C01140">
        <w:rPr>
          <w:rFonts w:ascii="Times New Roman" w:hAnsi="Times New Roman" w:cs="Times New Roman"/>
          <w:sz w:val="24"/>
          <w:szCs w:val="24"/>
        </w:rPr>
        <w:t>paragraph 75</w:t>
      </w:r>
      <w:r w:rsidR="007F2B08">
        <w:rPr>
          <w:rFonts w:ascii="Times New Roman" w:hAnsi="Times New Roman" w:cs="Times New Roman"/>
          <w:sz w:val="24"/>
          <w:szCs w:val="24"/>
        </w:rPr>
        <w:noBreakHyphen/>
      </w:r>
      <w:r w:rsidR="007F2B08" w:rsidRPr="00931FB7">
        <w:rPr>
          <w:rFonts w:ascii="Times New Roman" w:hAnsi="Times New Roman" w:cs="Times New Roman"/>
          <w:sz w:val="24"/>
          <w:szCs w:val="24"/>
        </w:rPr>
        <w:t>120(2)(b)</w:t>
      </w:r>
      <w:r w:rsidR="007F2B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2B08">
        <w:rPr>
          <w:rFonts w:ascii="Times New Roman" w:hAnsi="Times New Roman" w:cs="Times New Roman"/>
          <w:sz w:val="24"/>
          <w:szCs w:val="24"/>
        </w:rPr>
        <w:t>with</w:t>
      </w:r>
      <w:r w:rsidR="00503451">
        <w:rPr>
          <w:rFonts w:ascii="Times New Roman" w:hAnsi="Times New Roman" w:cs="Times New Roman"/>
          <w:sz w:val="24"/>
          <w:szCs w:val="24"/>
        </w:rPr>
        <w:t xml:space="preserve"> ‘company’s constitution’. </w:t>
      </w:r>
    </w:p>
    <w:p w14:paraId="47C9B4CD" w14:textId="03E228C3" w:rsidR="00BF41B9" w:rsidRPr="003E2FCA" w:rsidRDefault="00BF41B9" w:rsidP="00BF41B9">
      <w:pPr>
        <w:rPr>
          <w:rFonts w:ascii="Times New Roman" w:hAnsi="Times New Roman" w:cs="Times New Roman"/>
          <w:i/>
          <w:sz w:val="24"/>
          <w:szCs w:val="24"/>
        </w:rPr>
      </w:pPr>
      <w:r w:rsidRPr="003E2FCA">
        <w:rPr>
          <w:rFonts w:ascii="Times New Roman" w:hAnsi="Times New Roman" w:cs="Times New Roman"/>
          <w:i/>
          <w:sz w:val="24"/>
          <w:szCs w:val="24"/>
        </w:rPr>
        <w:t>Item 9</w:t>
      </w:r>
      <w:r w:rsidR="00F7238E">
        <w:rPr>
          <w:rFonts w:ascii="Times New Roman" w:hAnsi="Times New Roman" w:cs="Times New Roman"/>
          <w:i/>
          <w:sz w:val="24"/>
          <w:szCs w:val="24"/>
        </w:rPr>
        <w:t xml:space="preserve"> – paragraph 75-130(6)(b)</w:t>
      </w:r>
    </w:p>
    <w:p w14:paraId="2029ED66" w14:textId="164282A1" w:rsidR="00BF41B9" w:rsidRPr="003E2FCA" w:rsidRDefault="00BF41B9" w:rsidP="00BF41B9">
      <w:pPr>
        <w:rPr>
          <w:rFonts w:ascii="Times New Roman" w:hAnsi="Times New Roman" w:cs="Times New Roman"/>
          <w:sz w:val="24"/>
          <w:szCs w:val="24"/>
        </w:rPr>
      </w:pPr>
      <w:r w:rsidRPr="003E2FCA">
        <w:rPr>
          <w:rFonts w:ascii="Times New Roman" w:hAnsi="Times New Roman" w:cs="Times New Roman"/>
          <w:sz w:val="24"/>
          <w:szCs w:val="24"/>
        </w:rPr>
        <w:t xml:space="preserve">Item 9 of Schedule 1 </w:t>
      </w:r>
      <w:r w:rsidR="00F7238E">
        <w:rPr>
          <w:rFonts w:ascii="Times New Roman" w:hAnsi="Times New Roman" w:cs="Times New Roman"/>
          <w:sz w:val="24"/>
          <w:szCs w:val="24"/>
        </w:rPr>
        <w:t xml:space="preserve">provides for a five day lodgement period for a notice of the outcome of a proposal put to creditors without a meeting. Prior to the amendment, there was no lodgement period specified for this notice. </w:t>
      </w:r>
    </w:p>
    <w:p w14:paraId="03851C21" w14:textId="6EF077D2" w:rsidR="00BF41B9" w:rsidRPr="003E2FCA" w:rsidRDefault="00BF41B9" w:rsidP="00BF41B9">
      <w:pPr>
        <w:rPr>
          <w:rFonts w:ascii="Times New Roman" w:hAnsi="Times New Roman" w:cs="Times New Roman"/>
          <w:i/>
          <w:sz w:val="24"/>
          <w:szCs w:val="24"/>
        </w:rPr>
      </w:pPr>
      <w:r w:rsidRPr="003E2FCA">
        <w:rPr>
          <w:rFonts w:ascii="Times New Roman" w:hAnsi="Times New Roman" w:cs="Times New Roman"/>
          <w:i/>
          <w:sz w:val="24"/>
          <w:szCs w:val="24"/>
        </w:rPr>
        <w:t>Item</w:t>
      </w:r>
      <w:r w:rsidR="0080050F">
        <w:rPr>
          <w:rFonts w:ascii="Times New Roman" w:hAnsi="Times New Roman" w:cs="Times New Roman"/>
          <w:i/>
          <w:sz w:val="24"/>
          <w:szCs w:val="24"/>
        </w:rPr>
        <w:t>s</w:t>
      </w:r>
      <w:r w:rsidRPr="003E2FCA">
        <w:rPr>
          <w:rFonts w:ascii="Times New Roman" w:hAnsi="Times New Roman" w:cs="Times New Roman"/>
          <w:i/>
          <w:sz w:val="24"/>
          <w:szCs w:val="24"/>
        </w:rPr>
        <w:t xml:space="preserve"> 10</w:t>
      </w:r>
      <w:r w:rsidR="0080050F">
        <w:rPr>
          <w:rFonts w:ascii="Times New Roman" w:hAnsi="Times New Roman" w:cs="Times New Roman"/>
          <w:i/>
          <w:sz w:val="24"/>
          <w:szCs w:val="24"/>
        </w:rPr>
        <w:t xml:space="preserve"> and 11</w:t>
      </w:r>
      <w:r w:rsidR="00F7238E">
        <w:rPr>
          <w:rFonts w:ascii="Times New Roman" w:hAnsi="Times New Roman" w:cs="Times New Roman"/>
          <w:i/>
          <w:sz w:val="24"/>
          <w:szCs w:val="24"/>
        </w:rPr>
        <w:t xml:space="preserve">- paragraph </w:t>
      </w:r>
      <w:r w:rsidR="0080050F">
        <w:rPr>
          <w:rFonts w:ascii="Times New Roman" w:hAnsi="Times New Roman" w:cs="Times New Roman"/>
          <w:i/>
          <w:sz w:val="24"/>
          <w:szCs w:val="24"/>
        </w:rPr>
        <w:t>s</w:t>
      </w:r>
      <w:r w:rsidR="00F7238E">
        <w:rPr>
          <w:rFonts w:ascii="Times New Roman" w:hAnsi="Times New Roman" w:cs="Times New Roman"/>
          <w:i/>
          <w:sz w:val="24"/>
          <w:szCs w:val="24"/>
        </w:rPr>
        <w:t>75-135(2)(b)</w:t>
      </w:r>
      <w:r w:rsidR="0080050F">
        <w:rPr>
          <w:rFonts w:ascii="Times New Roman" w:hAnsi="Times New Roman" w:cs="Times New Roman"/>
          <w:i/>
          <w:sz w:val="24"/>
          <w:szCs w:val="24"/>
        </w:rPr>
        <w:t xml:space="preserve"> and (c)</w:t>
      </w:r>
    </w:p>
    <w:p w14:paraId="4C4C5F7C" w14:textId="517ABB5D" w:rsidR="006938F1" w:rsidRPr="003E2FCA" w:rsidRDefault="00BF41B9" w:rsidP="00BF41B9">
      <w:pPr>
        <w:rPr>
          <w:rFonts w:ascii="Times New Roman" w:hAnsi="Times New Roman" w:cs="Times New Roman"/>
          <w:sz w:val="24"/>
          <w:szCs w:val="24"/>
        </w:rPr>
      </w:pPr>
      <w:r w:rsidRPr="003E2FCA">
        <w:rPr>
          <w:rFonts w:ascii="Times New Roman" w:hAnsi="Times New Roman" w:cs="Times New Roman"/>
          <w:sz w:val="24"/>
          <w:szCs w:val="24"/>
        </w:rPr>
        <w:t xml:space="preserve">Item 10 of Schedule 1 </w:t>
      </w:r>
      <w:r w:rsidR="00F7238E">
        <w:rPr>
          <w:rFonts w:ascii="Times New Roman" w:hAnsi="Times New Roman" w:cs="Times New Roman"/>
          <w:sz w:val="24"/>
          <w:szCs w:val="24"/>
        </w:rPr>
        <w:t xml:space="preserve">omits paragraph 75-135(2)(b), as that paragraph repeated the requirement in paragraph </w:t>
      </w:r>
      <w:r w:rsidR="0080050F">
        <w:rPr>
          <w:rFonts w:ascii="Times New Roman" w:hAnsi="Times New Roman" w:cs="Times New Roman"/>
          <w:sz w:val="24"/>
          <w:szCs w:val="24"/>
        </w:rPr>
        <w:t>75-135(2)</w:t>
      </w:r>
      <w:r w:rsidR="00F7238E">
        <w:rPr>
          <w:rFonts w:ascii="Times New Roman" w:hAnsi="Times New Roman" w:cs="Times New Roman"/>
          <w:sz w:val="24"/>
          <w:szCs w:val="24"/>
        </w:rPr>
        <w:t xml:space="preserve">(a) in relation to the passing of a resolution by a majority of contributories without a meeting. </w:t>
      </w:r>
    </w:p>
    <w:p w14:paraId="68F7C3AD" w14:textId="0C83B8EB" w:rsidR="00BF41B9" w:rsidRPr="003E2FCA" w:rsidRDefault="00BF41B9" w:rsidP="00BF41B9">
      <w:pPr>
        <w:rPr>
          <w:rFonts w:ascii="Times New Roman" w:hAnsi="Times New Roman" w:cs="Times New Roman"/>
          <w:i/>
          <w:sz w:val="24"/>
          <w:szCs w:val="24"/>
        </w:rPr>
      </w:pPr>
      <w:r w:rsidRPr="003E2FCA">
        <w:rPr>
          <w:rFonts w:ascii="Times New Roman" w:hAnsi="Times New Roman" w:cs="Times New Roman"/>
          <w:i/>
          <w:sz w:val="24"/>
          <w:szCs w:val="24"/>
        </w:rPr>
        <w:t>Item 12</w:t>
      </w:r>
      <w:r w:rsidR="00F7238E">
        <w:rPr>
          <w:rFonts w:ascii="Times New Roman" w:hAnsi="Times New Roman" w:cs="Times New Roman"/>
          <w:i/>
          <w:sz w:val="24"/>
          <w:szCs w:val="24"/>
        </w:rPr>
        <w:t xml:space="preserve"> – after subsection 75-135(2)</w:t>
      </w:r>
    </w:p>
    <w:p w14:paraId="041AB01F" w14:textId="51D60716" w:rsidR="00BF41B9" w:rsidRPr="003E2FCA" w:rsidRDefault="00BF41B9" w:rsidP="00BF41B9">
      <w:pPr>
        <w:rPr>
          <w:rFonts w:ascii="Times New Roman" w:hAnsi="Times New Roman" w:cs="Times New Roman"/>
          <w:sz w:val="24"/>
          <w:szCs w:val="24"/>
        </w:rPr>
      </w:pPr>
      <w:r w:rsidRPr="003E2FCA">
        <w:rPr>
          <w:rFonts w:ascii="Times New Roman" w:hAnsi="Times New Roman" w:cs="Times New Roman"/>
          <w:sz w:val="24"/>
          <w:szCs w:val="24"/>
        </w:rPr>
        <w:t xml:space="preserve">Item 12 of Schedule 1 </w:t>
      </w:r>
      <w:r w:rsidR="00F7238E">
        <w:rPr>
          <w:rFonts w:ascii="Times New Roman" w:hAnsi="Times New Roman" w:cs="Times New Roman"/>
          <w:sz w:val="24"/>
          <w:szCs w:val="24"/>
        </w:rPr>
        <w:t>inserts a new subsection 75-135(</w:t>
      </w:r>
      <w:r w:rsidR="00FA6667">
        <w:rPr>
          <w:rFonts w:ascii="Times New Roman" w:hAnsi="Times New Roman" w:cs="Times New Roman"/>
          <w:sz w:val="24"/>
          <w:szCs w:val="24"/>
        </w:rPr>
        <w:t xml:space="preserve">2A) after subsection 75-135(2). </w:t>
      </w:r>
      <w:r w:rsidR="006938F1">
        <w:rPr>
          <w:rFonts w:ascii="Times New Roman" w:hAnsi="Times New Roman" w:cs="Times New Roman"/>
          <w:sz w:val="24"/>
          <w:szCs w:val="24"/>
        </w:rPr>
        <w:t>The new provision</w:t>
      </w:r>
      <w:r w:rsidR="00F7238E">
        <w:rPr>
          <w:rFonts w:ascii="Times New Roman" w:hAnsi="Times New Roman" w:cs="Times New Roman"/>
          <w:sz w:val="24"/>
          <w:szCs w:val="24"/>
        </w:rPr>
        <w:t xml:space="preserve"> </w:t>
      </w:r>
      <w:r w:rsidR="00BD50FB">
        <w:rPr>
          <w:rFonts w:ascii="Times New Roman" w:hAnsi="Times New Roman" w:cs="Times New Roman"/>
          <w:sz w:val="24"/>
          <w:szCs w:val="24"/>
        </w:rPr>
        <w:t>provides for the manner in which a majority is counted for a proposal put to contributories witho</w:t>
      </w:r>
      <w:r w:rsidR="0096238D">
        <w:rPr>
          <w:rFonts w:ascii="Times New Roman" w:hAnsi="Times New Roman" w:cs="Times New Roman"/>
          <w:sz w:val="24"/>
          <w:szCs w:val="24"/>
        </w:rPr>
        <w:t>ut a meeting of contributories</w:t>
      </w:r>
      <w:r w:rsidR="006938F1">
        <w:rPr>
          <w:rFonts w:ascii="Times New Roman" w:hAnsi="Times New Roman" w:cs="Times New Roman"/>
          <w:sz w:val="24"/>
          <w:szCs w:val="24"/>
        </w:rPr>
        <w:t>. The provision</w:t>
      </w:r>
      <w:r w:rsidR="00BD50FB">
        <w:rPr>
          <w:rFonts w:ascii="Times New Roman" w:hAnsi="Times New Roman" w:cs="Times New Roman"/>
          <w:sz w:val="24"/>
          <w:szCs w:val="24"/>
        </w:rPr>
        <w:t xml:space="preserve"> </w:t>
      </w:r>
      <w:r w:rsidR="00F7238E">
        <w:rPr>
          <w:rFonts w:ascii="Times New Roman" w:hAnsi="Times New Roman" w:cs="Times New Roman"/>
          <w:sz w:val="24"/>
          <w:szCs w:val="24"/>
        </w:rPr>
        <w:t xml:space="preserve">replicates the </w:t>
      </w:r>
      <w:r w:rsidR="00BD50FB">
        <w:rPr>
          <w:rFonts w:ascii="Times New Roman" w:hAnsi="Times New Roman" w:cs="Times New Roman"/>
          <w:sz w:val="24"/>
          <w:szCs w:val="24"/>
        </w:rPr>
        <w:t xml:space="preserve">substance of </w:t>
      </w:r>
      <w:r w:rsidR="00F7238E">
        <w:rPr>
          <w:rFonts w:ascii="Times New Roman" w:hAnsi="Times New Roman" w:cs="Times New Roman"/>
          <w:sz w:val="24"/>
          <w:szCs w:val="24"/>
        </w:rPr>
        <w:t>subsection 75-120(2)</w:t>
      </w:r>
      <w:r w:rsidR="00BD50F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41FBEF4" w14:textId="156CE1BC" w:rsidR="00BF41B9" w:rsidRPr="003E2FCA" w:rsidRDefault="00BF41B9" w:rsidP="00BF41B9">
      <w:pPr>
        <w:rPr>
          <w:rFonts w:ascii="Times New Roman" w:hAnsi="Times New Roman" w:cs="Times New Roman"/>
          <w:i/>
          <w:sz w:val="24"/>
          <w:szCs w:val="24"/>
        </w:rPr>
      </w:pPr>
      <w:r w:rsidRPr="003E2FCA">
        <w:rPr>
          <w:rFonts w:ascii="Times New Roman" w:hAnsi="Times New Roman" w:cs="Times New Roman"/>
          <w:i/>
          <w:sz w:val="24"/>
          <w:szCs w:val="24"/>
        </w:rPr>
        <w:t>Item 13</w:t>
      </w:r>
      <w:r w:rsidR="00BD50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196C">
        <w:rPr>
          <w:rFonts w:ascii="Times New Roman" w:hAnsi="Times New Roman" w:cs="Times New Roman"/>
          <w:i/>
          <w:sz w:val="24"/>
          <w:szCs w:val="24"/>
        </w:rPr>
        <w:t>–</w:t>
      </w:r>
      <w:r w:rsidR="00BD50FB">
        <w:rPr>
          <w:rFonts w:ascii="Times New Roman" w:hAnsi="Times New Roman" w:cs="Times New Roman"/>
          <w:i/>
          <w:sz w:val="24"/>
          <w:szCs w:val="24"/>
        </w:rPr>
        <w:t xml:space="preserve"> paragr</w:t>
      </w:r>
      <w:r w:rsidR="00AF196C">
        <w:rPr>
          <w:rFonts w:ascii="Times New Roman" w:hAnsi="Times New Roman" w:cs="Times New Roman"/>
          <w:i/>
          <w:sz w:val="24"/>
          <w:szCs w:val="24"/>
        </w:rPr>
        <w:t>aph 75-135(5)(b)</w:t>
      </w:r>
    </w:p>
    <w:p w14:paraId="046C795D" w14:textId="5D4F4F63" w:rsidR="0001586C" w:rsidRPr="00931FB7" w:rsidRDefault="00BF41B9" w:rsidP="00BF41B9">
      <w:pPr>
        <w:rPr>
          <w:rFonts w:ascii="Times New Roman" w:hAnsi="Times New Roman" w:cs="Times New Roman"/>
          <w:i/>
          <w:sz w:val="24"/>
          <w:szCs w:val="24"/>
        </w:rPr>
      </w:pPr>
      <w:r w:rsidRPr="003E2FCA">
        <w:rPr>
          <w:rFonts w:ascii="Times New Roman" w:hAnsi="Times New Roman" w:cs="Times New Roman"/>
          <w:sz w:val="24"/>
          <w:szCs w:val="24"/>
        </w:rPr>
        <w:t xml:space="preserve">Item 13 of Schedule 1 </w:t>
      </w:r>
      <w:r w:rsidR="00AF196C">
        <w:rPr>
          <w:rFonts w:ascii="Times New Roman" w:hAnsi="Times New Roman" w:cs="Times New Roman"/>
          <w:sz w:val="24"/>
          <w:szCs w:val="24"/>
        </w:rPr>
        <w:t>imposes a</w:t>
      </w:r>
      <w:r w:rsidR="00172A8F">
        <w:rPr>
          <w:rFonts w:ascii="Times New Roman" w:hAnsi="Times New Roman" w:cs="Times New Roman"/>
          <w:sz w:val="24"/>
          <w:szCs w:val="24"/>
        </w:rPr>
        <w:t xml:space="preserve"> 5 business day</w:t>
      </w:r>
      <w:r w:rsidR="00AF196C">
        <w:rPr>
          <w:rFonts w:ascii="Times New Roman" w:hAnsi="Times New Roman" w:cs="Times New Roman"/>
          <w:sz w:val="24"/>
          <w:szCs w:val="24"/>
        </w:rPr>
        <w:t xml:space="preserve"> time </w:t>
      </w:r>
      <w:r w:rsidR="00172A8F">
        <w:rPr>
          <w:rFonts w:ascii="Times New Roman" w:hAnsi="Times New Roman" w:cs="Times New Roman"/>
          <w:sz w:val="24"/>
          <w:szCs w:val="24"/>
        </w:rPr>
        <w:t xml:space="preserve">period </w:t>
      </w:r>
      <w:r w:rsidR="00AF196C">
        <w:rPr>
          <w:rFonts w:ascii="Times New Roman" w:hAnsi="Times New Roman" w:cs="Times New Roman"/>
          <w:sz w:val="24"/>
          <w:szCs w:val="24"/>
        </w:rPr>
        <w:t>within which a notice of the outcome of a proposal put to con</w:t>
      </w:r>
      <w:r w:rsidR="0096238D">
        <w:rPr>
          <w:rFonts w:ascii="Times New Roman" w:hAnsi="Times New Roman" w:cs="Times New Roman"/>
          <w:sz w:val="24"/>
          <w:szCs w:val="24"/>
        </w:rPr>
        <w:t>tributories without a meeting</w:t>
      </w:r>
      <w:r w:rsidR="00172A8F">
        <w:rPr>
          <w:rFonts w:ascii="Times New Roman" w:hAnsi="Times New Roman" w:cs="Times New Roman"/>
          <w:sz w:val="24"/>
          <w:szCs w:val="24"/>
        </w:rPr>
        <w:t xml:space="preserve"> must be lodged with ASIC</w:t>
      </w:r>
      <w:r w:rsidR="009623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D28BCB" w14:textId="77777777" w:rsidR="0001586C" w:rsidRDefault="0001586C" w:rsidP="00BF41B9">
      <w:pPr>
        <w:rPr>
          <w:rFonts w:ascii="Times New Roman" w:hAnsi="Times New Roman" w:cs="Times New Roman"/>
          <w:i/>
          <w:sz w:val="24"/>
          <w:szCs w:val="24"/>
        </w:rPr>
      </w:pPr>
    </w:p>
    <w:p w14:paraId="4149E46E" w14:textId="77777777" w:rsidR="0001586C" w:rsidRDefault="0001586C" w:rsidP="00BF41B9">
      <w:pPr>
        <w:rPr>
          <w:rFonts w:ascii="Times New Roman" w:hAnsi="Times New Roman" w:cs="Times New Roman"/>
          <w:i/>
          <w:sz w:val="24"/>
          <w:szCs w:val="24"/>
        </w:rPr>
      </w:pPr>
    </w:p>
    <w:p w14:paraId="021D580C" w14:textId="27701238" w:rsidR="00BF41B9" w:rsidRPr="003E2FCA" w:rsidRDefault="00BF41B9" w:rsidP="00BF41B9">
      <w:pPr>
        <w:rPr>
          <w:rFonts w:ascii="Times New Roman" w:hAnsi="Times New Roman" w:cs="Times New Roman"/>
          <w:i/>
          <w:sz w:val="24"/>
          <w:szCs w:val="24"/>
        </w:rPr>
      </w:pPr>
      <w:r w:rsidRPr="003E2FCA">
        <w:rPr>
          <w:rFonts w:ascii="Times New Roman" w:hAnsi="Times New Roman" w:cs="Times New Roman"/>
          <w:i/>
          <w:sz w:val="24"/>
          <w:szCs w:val="24"/>
        </w:rPr>
        <w:t>Item 14</w:t>
      </w:r>
      <w:r w:rsidR="00AF196C">
        <w:rPr>
          <w:rFonts w:ascii="Times New Roman" w:hAnsi="Times New Roman" w:cs="Times New Roman"/>
          <w:i/>
          <w:sz w:val="24"/>
          <w:szCs w:val="24"/>
        </w:rPr>
        <w:t xml:space="preserve"> – paragraph 75-195(5)(a)</w:t>
      </w:r>
    </w:p>
    <w:p w14:paraId="3AC76FE5" w14:textId="58C7788D" w:rsidR="00BF41B9" w:rsidRPr="003E2FCA" w:rsidRDefault="00BF41B9" w:rsidP="00BF41B9">
      <w:pPr>
        <w:rPr>
          <w:rFonts w:ascii="Times New Roman" w:hAnsi="Times New Roman" w:cs="Times New Roman"/>
          <w:sz w:val="24"/>
          <w:szCs w:val="24"/>
        </w:rPr>
      </w:pPr>
      <w:r w:rsidRPr="003E2FCA">
        <w:rPr>
          <w:rFonts w:ascii="Times New Roman" w:hAnsi="Times New Roman" w:cs="Times New Roman"/>
          <w:sz w:val="24"/>
          <w:szCs w:val="24"/>
        </w:rPr>
        <w:t xml:space="preserve">Item 14 of Schedule </w:t>
      </w:r>
      <w:r w:rsidR="006938F1">
        <w:rPr>
          <w:rFonts w:ascii="Times New Roman" w:hAnsi="Times New Roman" w:cs="Times New Roman"/>
          <w:sz w:val="24"/>
          <w:szCs w:val="24"/>
        </w:rPr>
        <w:t xml:space="preserve">1 </w:t>
      </w:r>
      <w:r w:rsidR="00172A8F">
        <w:rPr>
          <w:rFonts w:ascii="Times New Roman" w:hAnsi="Times New Roman" w:cs="Times New Roman"/>
          <w:sz w:val="24"/>
          <w:szCs w:val="24"/>
        </w:rPr>
        <w:t>amends an incorrect reference</w:t>
      </w:r>
      <w:r w:rsidR="00DD0AA9">
        <w:rPr>
          <w:rFonts w:ascii="Times New Roman" w:hAnsi="Times New Roman" w:cs="Times New Roman"/>
          <w:sz w:val="24"/>
          <w:szCs w:val="24"/>
        </w:rPr>
        <w:t xml:space="preserve"> in paragraph 75-195(5)(a)</w:t>
      </w:r>
      <w:r w:rsidR="00172A8F">
        <w:rPr>
          <w:rFonts w:ascii="Times New Roman" w:hAnsi="Times New Roman" w:cs="Times New Roman"/>
          <w:sz w:val="24"/>
          <w:szCs w:val="24"/>
        </w:rPr>
        <w:t xml:space="preserve"> to </w:t>
      </w:r>
      <w:r w:rsidR="00DD0AA9">
        <w:rPr>
          <w:rFonts w:ascii="Times New Roman" w:hAnsi="Times New Roman" w:cs="Times New Roman"/>
          <w:sz w:val="24"/>
          <w:szCs w:val="24"/>
        </w:rPr>
        <w:t>clarify</w:t>
      </w:r>
      <w:r w:rsidR="00172A8F">
        <w:rPr>
          <w:rFonts w:ascii="Times New Roman" w:hAnsi="Times New Roman" w:cs="Times New Roman"/>
          <w:sz w:val="24"/>
          <w:szCs w:val="24"/>
        </w:rPr>
        <w:t xml:space="preserve"> that it is the person or body </w:t>
      </w:r>
      <w:r w:rsidR="00C9334F">
        <w:rPr>
          <w:rFonts w:ascii="Times New Roman" w:hAnsi="Times New Roman" w:cs="Times New Roman"/>
          <w:sz w:val="24"/>
          <w:szCs w:val="24"/>
        </w:rPr>
        <w:t>that gives</w:t>
      </w:r>
      <w:r w:rsidR="00172A8F">
        <w:rPr>
          <w:rFonts w:ascii="Times New Roman" w:hAnsi="Times New Roman" w:cs="Times New Roman"/>
          <w:sz w:val="24"/>
          <w:szCs w:val="24"/>
        </w:rPr>
        <w:t xml:space="preserve"> a direction to an external administrator</w:t>
      </w:r>
      <w:r w:rsidR="00C9334F">
        <w:rPr>
          <w:rFonts w:ascii="Times New Roman" w:hAnsi="Times New Roman" w:cs="Times New Roman"/>
          <w:sz w:val="24"/>
          <w:szCs w:val="24"/>
        </w:rPr>
        <w:t xml:space="preserve"> to convene a meeting</w:t>
      </w:r>
      <w:r w:rsidR="00172A8F">
        <w:rPr>
          <w:rFonts w:ascii="Times New Roman" w:hAnsi="Times New Roman" w:cs="Times New Roman"/>
          <w:sz w:val="24"/>
          <w:szCs w:val="24"/>
        </w:rPr>
        <w:t xml:space="preserve"> </w:t>
      </w:r>
      <w:r w:rsidR="00DD0AA9">
        <w:rPr>
          <w:rFonts w:ascii="Times New Roman" w:hAnsi="Times New Roman" w:cs="Times New Roman"/>
          <w:sz w:val="24"/>
          <w:szCs w:val="24"/>
        </w:rPr>
        <w:t>that may</w:t>
      </w:r>
      <w:r w:rsidR="00C9334F">
        <w:rPr>
          <w:rFonts w:ascii="Times New Roman" w:hAnsi="Times New Roman" w:cs="Times New Roman"/>
          <w:sz w:val="24"/>
          <w:szCs w:val="24"/>
        </w:rPr>
        <w:t xml:space="preserve"> agree to bear the costs of compliance with that direct</w:t>
      </w:r>
      <w:r w:rsidR="00DD0AA9">
        <w:rPr>
          <w:rFonts w:ascii="Times New Roman" w:hAnsi="Times New Roman" w:cs="Times New Roman"/>
          <w:sz w:val="24"/>
          <w:szCs w:val="24"/>
        </w:rPr>
        <w:t>ion</w:t>
      </w:r>
      <w:r w:rsidR="00C01140">
        <w:rPr>
          <w:rFonts w:ascii="Times New Roman" w:hAnsi="Times New Roman" w:cs="Times New Roman"/>
          <w:sz w:val="24"/>
          <w:szCs w:val="24"/>
        </w:rPr>
        <w:t xml:space="preserve"> in order for the direction to be deemed reasonable</w:t>
      </w:r>
      <w:r w:rsidR="00C9334F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D6CE07E" w14:textId="2E9C4FBA" w:rsidR="00BF41B9" w:rsidRPr="003E2FCA" w:rsidRDefault="00BF41B9" w:rsidP="00BF41B9">
      <w:pPr>
        <w:rPr>
          <w:rFonts w:ascii="Times New Roman" w:hAnsi="Times New Roman" w:cs="Times New Roman"/>
          <w:i/>
          <w:sz w:val="24"/>
          <w:szCs w:val="24"/>
        </w:rPr>
      </w:pPr>
      <w:r w:rsidRPr="003E2FCA">
        <w:rPr>
          <w:rFonts w:ascii="Times New Roman" w:hAnsi="Times New Roman" w:cs="Times New Roman"/>
          <w:i/>
          <w:sz w:val="24"/>
          <w:szCs w:val="24"/>
        </w:rPr>
        <w:t>Item 15</w:t>
      </w:r>
      <w:r w:rsidR="00C01140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F77677">
        <w:rPr>
          <w:rFonts w:ascii="Times New Roman" w:hAnsi="Times New Roman" w:cs="Times New Roman"/>
          <w:i/>
          <w:sz w:val="24"/>
          <w:szCs w:val="24"/>
        </w:rPr>
        <w:t>after section 75-195</w:t>
      </w:r>
    </w:p>
    <w:p w14:paraId="3F0EAB54" w14:textId="2452EBAD" w:rsidR="00C01140" w:rsidRDefault="00BF41B9" w:rsidP="00BF41B9">
      <w:pPr>
        <w:rPr>
          <w:rFonts w:ascii="Times New Roman" w:hAnsi="Times New Roman" w:cs="Times New Roman"/>
          <w:sz w:val="24"/>
          <w:szCs w:val="24"/>
        </w:rPr>
      </w:pPr>
      <w:r w:rsidRPr="003E2FCA">
        <w:rPr>
          <w:rFonts w:ascii="Times New Roman" w:hAnsi="Times New Roman" w:cs="Times New Roman"/>
          <w:sz w:val="24"/>
          <w:szCs w:val="24"/>
        </w:rPr>
        <w:t xml:space="preserve">Item 15 of Schedule 1 </w:t>
      </w:r>
      <w:r w:rsidR="00F77677">
        <w:rPr>
          <w:rFonts w:ascii="Times New Roman" w:hAnsi="Times New Roman" w:cs="Times New Roman"/>
          <w:sz w:val="24"/>
          <w:szCs w:val="24"/>
        </w:rPr>
        <w:t xml:space="preserve">inserts </w:t>
      </w:r>
      <w:r w:rsidR="00EF12C7">
        <w:rPr>
          <w:rFonts w:ascii="Times New Roman" w:hAnsi="Times New Roman" w:cs="Times New Roman"/>
          <w:sz w:val="24"/>
          <w:szCs w:val="24"/>
        </w:rPr>
        <w:t>a</w:t>
      </w:r>
      <w:r w:rsidR="00F77677">
        <w:rPr>
          <w:rFonts w:ascii="Times New Roman" w:hAnsi="Times New Roman" w:cs="Times New Roman"/>
          <w:sz w:val="24"/>
          <w:szCs w:val="24"/>
        </w:rPr>
        <w:t xml:space="preserve"> new section</w:t>
      </w:r>
      <w:r w:rsidR="00EF12C7">
        <w:rPr>
          <w:rFonts w:ascii="Times New Roman" w:hAnsi="Times New Roman" w:cs="Times New Roman"/>
          <w:sz w:val="24"/>
          <w:szCs w:val="24"/>
        </w:rPr>
        <w:t xml:space="preserve"> that</w:t>
      </w:r>
      <w:r w:rsidR="00F77677">
        <w:rPr>
          <w:rFonts w:ascii="Times New Roman" w:hAnsi="Times New Roman" w:cs="Times New Roman"/>
          <w:sz w:val="24"/>
          <w:szCs w:val="24"/>
        </w:rPr>
        <w:t xml:space="preserve"> pr</w:t>
      </w:r>
      <w:r w:rsidR="00B53921">
        <w:rPr>
          <w:rFonts w:ascii="Times New Roman" w:hAnsi="Times New Roman" w:cs="Times New Roman"/>
          <w:sz w:val="24"/>
          <w:szCs w:val="24"/>
        </w:rPr>
        <w:t xml:space="preserve">ovides for a notice and recordkeeping requirement </w:t>
      </w:r>
      <w:r w:rsidR="00F77677">
        <w:rPr>
          <w:rFonts w:ascii="Times New Roman" w:hAnsi="Times New Roman" w:cs="Times New Roman"/>
          <w:sz w:val="24"/>
          <w:szCs w:val="24"/>
        </w:rPr>
        <w:t xml:space="preserve">where an external administrator considers that a direction to convene a meeting </w:t>
      </w:r>
      <w:r w:rsidR="00B53921">
        <w:rPr>
          <w:rFonts w:ascii="Times New Roman" w:hAnsi="Times New Roman" w:cs="Times New Roman"/>
          <w:sz w:val="24"/>
          <w:szCs w:val="24"/>
        </w:rPr>
        <w:t>of a pooled group</w:t>
      </w:r>
      <w:r w:rsidR="00F77677">
        <w:rPr>
          <w:rFonts w:ascii="Times New Roman" w:hAnsi="Times New Roman" w:cs="Times New Roman"/>
          <w:sz w:val="24"/>
          <w:szCs w:val="24"/>
        </w:rPr>
        <w:t xml:space="preserve"> is unreasonable.</w:t>
      </w:r>
      <w:r w:rsidR="00B539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A80F0D" w14:textId="5C1FE8FB" w:rsidR="00C01140" w:rsidRDefault="00B53921" w:rsidP="00BF4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notice must be given to the person or body giving the direction, and state that it is not reasonable to comply with the direction and the reasons why. A written record of the fact that the direction was not complied with and the reasons must be recorded in the books required to be kept under section 70-10 of the Insolvency Practice Schedule (Corporations). </w:t>
      </w:r>
    </w:p>
    <w:p w14:paraId="44ED0595" w14:textId="30A2C069" w:rsidR="00BF41B9" w:rsidRPr="003E2FCA" w:rsidRDefault="00F77677" w:rsidP="00BF4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notice </w:t>
      </w:r>
      <w:r w:rsidR="00EF12C7">
        <w:rPr>
          <w:rFonts w:ascii="Times New Roman" w:hAnsi="Times New Roman" w:cs="Times New Roman"/>
          <w:sz w:val="24"/>
          <w:szCs w:val="24"/>
        </w:rPr>
        <w:t xml:space="preserve">requirements imposed under this new provision are </w:t>
      </w:r>
      <w:r>
        <w:rPr>
          <w:rFonts w:ascii="Times New Roman" w:hAnsi="Times New Roman" w:cs="Times New Roman"/>
          <w:sz w:val="24"/>
          <w:szCs w:val="24"/>
        </w:rPr>
        <w:t xml:space="preserve">equivalent </w:t>
      </w:r>
      <w:r w:rsidR="00B53921">
        <w:rPr>
          <w:rFonts w:ascii="Times New Roman" w:hAnsi="Times New Roman" w:cs="Times New Roman"/>
          <w:sz w:val="24"/>
          <w:szCs w:val="24"/>
        </w:rPr>
        <w:t xml:space="preserve">to </w:t>
      </w:r>
      <w:r w:rsidR="00EF12C7">
        <w:rPr>
          <w:rFonts w:ascii="Times New Roman" w:hAnsi="Times New Roman" w:cs="Times New Roman"/>
          <w:sz w:val="24"/>
          <w:szCs w:val="24"/>
        </w:rPr>
        <w:t xml:space="preserve">the existing notice obligations relating to </w:t>
      </w:r>
      <w:r>
        <w:rPr>
          <w:rFonts w:ascii="Times New Roman" w:hAnsi="Times New Roman" w:cs="Times New Roman"/>
          <w:sz w:val="24"/>
          <w:szCs w:val="24"/>
        </w:rPr>
        <w:t>directions to convene a meeting of creditors</w:t>
      </w:r>
      <w:r w:rsidR="00EF12C7">
        <w:rPr>
          <w:rFonts w:ascii="Times New Roman" w:hAnsi="Times New Roman" w:cs="Times New Roman"/>
          <w:sz w:val="24"/>
          <w:szCs w:val="24"/>
        </w:rPr>
        <w:t xml:space="preserve"> under section</w:t>
      </w:r>
      <w:r w:rsidR="00C01140">
        <w:rPr>
          <w:rFonts w:ascii="Times New Roman" w:hAnsi="Times New Roman" w:cs="Times New Roman"/>
          <w:sz w:val="24"/>
          <w:szCs w:val="24"/>
        </w:rPr>
        <w:t> </w:t>
      </w:r>
      <w:r w:rsidR="00EF12C7">
        <w:rPr>
          <w:rFonts w:ascii="Times New Roman" w:hAnsi="Times New Roman" w:cs="Times New Roman"/>
          <w:sz w:val="24"/>
          <w:szCs w:val="24"/>
        </w:rPr>
        <w:t>75</w:t>
      </w:r>
      <w:r w:rsidR="00EF12C7">
        <w:rPr>
          <w:rFonts w:ascii="Times New Roman" w:hAnsi="Times New Roman" w:cs="Times New Roman"/>
          <w:sz w:val="24"/>
          <w:szCs w:val="24"/>
        </w:rPr>
        <w:noBreakHyphen/>
        <w:t>255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FC0DBA" w14:textId="369CC7D8" w:rsidR="00BF41B9" w:rsidRPr="003E2FCA" w:rsidRDefault="00BF41B9" w:rsidP="00BF41B9">
      <w:pPr>
        <w:rPr>
          <w:rFonts w:ascii="Times New Roman" w:hAnsi="Times New Roman" w:cs="Times New Roman"/>
          <w:i/>
          <w:sz w:val="24"/>
          <w:szCs w:val="24"/>
        </w:rPr>
      </w:pPr>
      <w:r w:rsidRPr="003E2FCA">
        <w:rPr>
          <w:rFonts w:ascii="Times New Roman" w:hAnsi="Times New Roman" w:cs="Times New Roman"/>
          <w:i/>
          <w:sz w:val="24"/>
          <w:szCs w:val="24"/>
        </w:rPr>
        <w:t>Item 16</w:t>
      </w:r>
      <w:r w:rsidR="003A5970">
        <w:rPr>
          <w:rFonts w:ascii="Times New Roman" w:hAnsi="Times New Roman" w:cs="Times New Roman"/>
          <w:i/>
          <w:sz w:val="24"/>
          <w:szCs w:val="24"/>
        </w:rPr>
        <w:t xml:space="preserve"> – subsection 75-225(4)</w:t>
      </w:r>
    </w:p>
    <w:p w14:paraId="71F6A11E" w14:textId="77777777" w:rsidR="000513A8" w:rsidRDefault="00BF41B9" w:rsidP="00BF41B9">
      <w:pPr>
        <w:rPr>
          <w:rFonts w:ascii="Times New Roman" w:hAnsi="Times New Roman" w:cs="Times New Roman"/>
          <w:sz w:val="24"/>
          <w:szCs w:val="24"/>
        </w:rPr>
      </w:pPr>
      <w:r w:rsidRPr="003E2FCA">
        <w:rPr>
          <w:rFonts w:ascii="Times New Roman" w:hAnsi="Times New Roman" w:cs="Times New Roman"/>
          <w:sz w:val="24"/>
          <w:szCs w:val="24"/>
        </w:rPr>
        <w:t xml:space="preserve">Item 16 of Schedule 1 </w:t>
      </w:r>
      <w:r w:rsidR="000416E4">
        <w:rPr>
          <w:rFonts w:ascii="Times New Roman" w:hAnsi="Times New Roman" w:cs="Times New Roman"/>
          <w:sz w:val="24"/>
          <w:szCs w:val="24"/>
        </w:rPr>
        <w:t>imposes a 2 business day time period within which notices to creditors to convene a meeting and the related external administrator’s re</w:t>
      </w:r>
      <w:r w:rsidR="000513A8">
        <w:rPr>
          <w:rFonts w:ascii="Times New Roman" w:hAnsi="Times New Roman" w:cs="Times New Roman"/>
          <w:sz w:val="24"/>
          <w:szCs w:val="24"/>
        </w:rPr>
        <w:t xml:space="preserve">port must be lodged with ASIC. </w:t>
      </w:r>
    </w:p>
    <w:p w14:paraId="4124520E" w14:textId="075E61DE" w:rsidR="00BF41B9" w:rsidRPr="003E2FCA" w:rsidRDefault="00BF41B9" w:rsidP="00BF41B9">
      <w:pPr>
        <w:rPr>
          <w:rFonts w:ascii="Times New Roman" w:hAnsi="Times New Roman" w:cs="Times New Roman"/>
          <w:i/>
          <w:sz w:val="24"/>
          <w:szCs w:val="24"/>
        </w:rPr>
      </w:pPr>
      <w:r w:rsidRPr="003E2FCA">
        <w:rPr>
          <w:rFonts w:ascii="Times New Roman" w:hAnsi="Times New Roman" w:cs="Times New Roman"/>
          <w:i/>
          <w:sz w:val="24"/>
          <w:szCs w:val="24"/>
        </w:rPr>
        <w:t>Item 17</w:t>
      </w:r>
      <w:r w:rsidR="008645BE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D731AC">
        <w:rPr>
          <w:rFonts w:ascii="Times New Roman" w:hAnsi="Times New Roman" w:cs="Times New Roman"/>
          <w:i/>
          <w:sz w:val="24"/>
          <w:szCs w:val="24"/>
        </w:rPr>
        <w:t xml:space="preserve"> s</w:t>
      </w:r>
      <w:r w:rsidR="008645BE">
        <w:rPr>
          <w:rFonts w:ascii="Times New Roman" w:hAnsi="Times New Roman" w:cs="Times New Roman"/>
          <w:i/>
          <w:sz w:val="24"/>
          <w:szCs w:val="24"/>
        </w:rPr>
        <w:t>ubsection 75-265(6)</w:t>
      </w:r>
    </w:p>
    <w:p w14:paraId="3D018EF7" w14:textId="76705124" w:rsidR="00C01140" w:rsidRDefault="00BF41B9" w:rsidP="00BF41B9">
      <w:pPr>
        <w:rPr>
          <w:rFonts w:ascii="Times New Roman" w:hAnsi="Times New Roman" w:cs="Times New Roman"/>
          <w:sz w:val="24"/>
          <w:szCs w:val="24"/>
        </w:rPr>
      </w:pPr>
      <w:r w:rsidRPr="003E2FCA">
        <w:rPr>
          <w:rFonts w:ascii="Times New Roman" w:hAnsi="Times New Roman" w:cs="Times New Roman"/>
          <w:sz w:val="24"/>
          <w:szCs w:val="24"/>
        </w:rPr>
        <w:t>Item 17 of Schedule 1</w:t>
      </w:r>
      <w:r w:rsidR="00D731AC">
        <w:rPr>
          <w:rFonts w:ascii="Times New Roman" w:hAnsi="Times New Roman" w:cs="Times New Roman"/>
          <w:sz w:val="24"/>
          <w:szCs w:val="24"/>
        </w:rPr>
        <w:t xml:space="preserve"> clarifies the person who</w:t>
      </w:r>
      <w:r w:rsidR="008645BE">
        <w:rPr>
          <w:rFonts w:ascii="Times New Roman" w:hAnsi="Times New Roman" w:cs="Times New Roman"/>
          <w:sz w:val="24"/>
          <w:szCs w:val="24"/>
        </w:rPr>
        <w:t xml:space="preserve"> must lodge copies of the documents</w:t>
      </w:r>
      <w:r w:rsidR="00D219DB">
        <w:rPr>
          <w:rFonts w:ascii="Times New Roman" w:hAnsi="Times New Roman" w:cs="Times New Roman"/>
          <w:sz w:val="24"/>
          <w:szCs w:val="24"/>
        </w:rPr>
        <w:t xml:space="preserve"> relating to meetings to remove an external administrator and appoint another person as external administrator</w:t>
      </w:r>
      <w:r w:rsidR="00D731AC">
        <w:rPr>
          <w:rFonts w:ascii="Times New Roman" w:hAnsi="Times New Roman" w:cs="Times New Roman"/>
          <w:sz w:val="24"/>
          <w:szCs w:val="24"/>
        </w:rPr>
        <w:t>, and the timeframe for doing so</w:t>
      </w:r>
      <w:r w:rsidR="00D219DB">
        <w:rPr>
          <w:rFonts w:ascii="Times New Roman" w:hAnsi="Times New Roman" w:cs="Times New Roman"/>
          <w:sz w:val="24"/>
          <w:szCs w:val="24"/>
        </w:rPr>
        <w:t xml:space="preserve">. </w:t>
      </w:r>
      <w:r w:rsidR="00D731AC">
        <w:rPr>
          <w:rFonts w:ascii="Times New Roman" w:hAnsi="Times New Roman" w:cs="Times New Roman"/>
          <w:sz w:val="24"/>
          <w:szCs w:val="24"/>
        </w:rPr>
        <w:t xml:space="preserve">The provision provides those documents must be lodged within 5 business days of the meeting, by the person who is the external administrator following the meeting. </w:t>
      </w:r>
    </w:p>
    <w:p w14:paraId="26FC3DF7" w14:textId="7FD67A4F" w:rsidR="008645BE" w:rsidRPr="003E2FCA" w:rsidRDefault="008645BE" w:rsidP="00BF4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Prior to the amendment </w:t>
      </w:r>
      <w:r w:rsidR="0096238D">
        <w:rPr>
          <w:rFonts w:ascii="Times New Roman" w:hAnsi="Times New Roman" w:cs="Times New Roman"/>
          <w:sz w:val="24"/>
          <w:szCs w:val="24"/>
        </w:rPr>
        <w:t xml:space="preserve">made by this item </w:t>
      </w:r>
      <w:r>
        <w:rPr>
          <w:rFonts w:ascii="Times New Roman" w:hAnsi="Times New Roman" w:cs="Times New Roman"/>
          <w:sz w:val="24"/>
          <w:szCs w:val="24"/>
        </w:rPr>
        <w:t xml:space="preserve">the subsection was silent about the timeframe for lodgement, and </w:t>
      </w:r>
      <w:r w:rsidR="0096238D">
        <w:rPr>
          <w:rFonts w:ascii="Times New Roman" w:hAnsi="Times New Roman" w:cs="Times New Roman"/>
          <w:sz w:val="24"/>
          <w:szCs w:val="24"/>
        </w:rPr>
        <w:t xml:space="preserve">about </w:t>
      </w:r>
      <w:r>
        <w:rPr>
          <w:rFonts w:ascii="Times New Roman" w:hAnsi="Times New Roman" w:cs="Times New Roman"/>
          <w:sz w:val="24"/>
          <w:szCs w:val="24"/>
        </w:rPr>
        <w:t xml:space="preserve">the person responsible for </w:t>
      </w:r>
      <w:r w:rsidR="00A213E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lodgement. </w:t>
      </w:r>
    </w:p>
    <w:p w14:paraId="28269D2B" w14:textId="4C44D2F8" w:rsidR="00BF41B9" w:rsidRPr="003E2FCA" w:rsidRDefault="00BF41B9" w:rsidP="00BF41B9">
      <w:pPr>
        <w:rPr>
          <w:rFonts w:ascii="Times New Roman" w:hAnsi="Times New Roman" w:cs="Times New Roman"/>
          <w:i/>
          <w:sz w:val="24"/>
          <w:szCs w:val="24"/>
        </w:rPr>
      </w:pPr>
      <w:r w:rsidRPr="003E2FCA">
        <w:rPr>
          <w:rFonts w:ascii="Times New Roman" w:hAnsi="Times New Roman" w:cs="Times New Roman"/>
          <w:i/>
          <w:sz w:val="24"/>
          <w:szCs w:val="24"/>
        </w:rPr>
        <w:t>Item 18</w:t>
      </w:r>
      <w:r w:rsidR="00D731AC">
        <w:rPr>
          <w:rFonts w:ascii="Times New Roman" w:hAnsi="Times New Roman" w:cs="Times New Roman"/>
          <w:i/>
          <w:sz w:val="24"/>
          <w:szCs w:val="24"/>
        </w:rPr>
        <w:t xml:space="preserve"> – section 90-18</w:t>
      </w:r>
    </w:p>
    <w:p w14:paraId="6C684CE4" w14:textId="57790803" w:rsidR="00BF41B9" w:rsidRPr="003E2FCA" w:rsidRDefault="00BF41B9" w:rsidP="00BF41B9">
      <w:pPr>
        <w:rPr>
          <w:rFonts w:ascii="Times New Roman" w:hAnsi="Times New Roman" w:cs="Times New Roman"/>
          <w:sz w:val="24"/>
          <w:szCs w:val="24"/>
        </w:rPr>
      </w:pPr>
      <w:r w:rsidRPr="003E2FCA">
        <w:rPr>
          <w:rFonts w:ascii="Times New Roman" w:hAnsi="Times New Roman" w:cs="Times New Roman"/>
          <w:sz w:val="24"/>
          <w:szCs w:val="24"/>
        </w:rPr>
        <w:t xml:space="preserve">Item 18 of Schedule 1 </w:t>
      </w:r>
      <w:r w:rsidR="0001586C">
        <w:rPr>
          <w:rFonts w:ascii="Times New Roman" w:hAnsi="Times New Roman" w:cs="Times New Roman"/>
          <w:sz w:val="24"/>
          <w:szCs w:val="24"/>
        </w:rPr>
        <w:t xml:space="preserve">replaces </w:t>
      </w:r>
      <w:r w:rsidR="00D731AC">
        <w:rPr>
          <w:rFonts w:ascii="Times New Roman" w:hAnsi="Times New Roman" w:cs="Times New Roman"/>
          <w:sz w:val="24"/>
          <w:szCs w:val="24"/>
        </w:rPr>
        <w:t>a number of</w:t>
      </w:r>
      <w:r w:rsidR="00F30DD0">
        <w:rPr>
          <w:rFonts w:ascii="Times New Roman" w:hAnsi="Times New Roman" w:cs="Times New Roman"/>
          <w:sz w:val="24"/>
          <w:szCs w:val="24"/>
        </w:rPr>
        <w:t xml:space="preserve"> </w:t>
      </w:r>
      <w:r w:rsidR="00D731AC">
        <w:rPr>
          <w:rFonts w:ascii="Times New Roman" w:hAnsi="Times New Roman" w:cs="Times New Roman"/>
          <w:sz w:val="24"/>
          <w:szCs w:val="24"/>
        </w:rPr>
        <w:t xml:space="preserve">references to </w:t>
      </w:r>
      <w:r w:rsidR="0001586C">
        <w:rPr>
          <w:rFonts w:ascii="Times New Roman" w:hAnsi="Times New Roman" w:cs="Times New Roman"/>
          <w:sz w:val="24"/>
          <w:szCs w:val="24"/>
        </w:rPr>
        <w:t xml:space="preserve">an </w:t>
      </w:r>
      <w:r w:rsidR="00D731AC">
        <w:rPr>
          <w:rFonts w:ascii="Times New Roman" w:hAnsi="Times New Roman" w:cs="Times New Roman"/>
          <w:sz w:val="24"/>
          <w:szCs w:val="24"/>
        </w:rPr>
        <w:t xml:space="preserve">"external </w:t>
      </w:r>
      <w:r w:rsidR="0001586C">
        <w:rPr>
          <w:rFonts w:ascii="Times New Roman" w:hAnsi="Times New Roman" w:cs="Times New Roman"/>
          <w:sz w:val="24"/>
          <w:szCs w:val="24"/>
        </w:rPr>
        <w:t>administrator” and a</w:t>
      </w:r>
      <w:r w:rsidR="00D731AC">
        <w:rPr>
          <w:rFonts w:ascii="Times New Roman" w:hAnsi="Times New Roman" w:cs="Times New Roman"/>
          <w:sz w:val="24"/>
          <w:szCs w:val="24"/>
        </w:rPr>
        <w:t xml:space="preserve"> "reviewing liquidator" </w:t>
      </w:r>
      <w:r w:rsidR="00F30DD0">
        <w:rPr>
          <w:rFonts w:ascii="Times New Roman" w:hAnsi="Times New Roman" w:cs="Times New Roman"/>
          <w:sz w:val="24"/>
          <w:szCs w:val="24"/>
        </w:rPr>
        <w:t xml:space="preserve">with </w:t>
      </w:r>
      <w:r w:rsidR="00D731AC">
        <w:rPr>
          <w:rFonts w:ascii="Times New Roman" w:hAnsi="Times New Roman" w:cs="Times New Roman"/>
          <w:sz w:val="24"/>
          <w:szCs w:val="24"/>
        </w:rPr>
        <w:t>reference</w:t>
      </w:r>
      <w:r w:rsidR="00F30DD0">
        <w:rPr>
          <w:rFonts w:ascii="Times New Roman" w:hAnsi="Times New Roman" w:cs="Times New Roman"/>
          <w:sz w:val="24"/>
          <w:szCs w:val="24"/>
        </w:rPr>
        <w:t>s</w:t>
      </w:r>
      <w:r w:rsidR="00D731AC">
        <w:rPr>
          <w:rFonts w:ascii="Times New Roman" w:hAnsi="Times New Roman" w:cs="Times New Roman"/>
          <w:sz w:val="24"/>
          <w:szCs w:val="24"/>
        </w:rPr>
        <w:t xml:space="preserve"> to "registered liquidator"</w:t>
      </w:r>
      <w:r w:rsidR="00F30DD0">
        <w:rPr>
          <w:rFonts w:ascii="Times New Roman" w:hAnsi="Times New Roman" w:cs="Times New Roman"/>
          <w:sz w:val="24"/>
          <w:szCs w:val="24"/>
        </w:rPr>
        <w:t xml:space="preserve">, </w:t>
      </w:r>
      <w:r w:rsidR="000F6F6C">
        <w:rPr>
          <w:rFonts w:ascii="Times New Roman" w:hAnsi="Times New Roman" w:cs="Times New Roman"/>
          <w:sz w:val="24"/>
          <w:szCs w:val="24"/>
        </w:rPr>
        <w:t>for clarity</w:t>
      </w:r>
      <w:r w:rsidR="009C62C3">
        <w:rPr>
          <w:rFonts w:ascii="Times New Roman" w:hAnsi="Times New Roman" w:cs="Times New Roman"/>
          <w:sz w:val="24"/>
          <w:szCs w:val="24"/>
        </w:rPr>
        <w:t>.</w:t>
      </w:r>
    </w:p>
    <w:p w14:paraId="75939EB6" w14:textId="3E9C61C9" w:rsidR="00BF41B9" w:rsidRPr="003E2FCA" w:rsidRDefault="00BF41B9" w:rsidP="00BF41B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F41B9" w:rsidRPr="003E2F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72F"/>
    <w:multiLevelType w:val="hybridMultilevel"/>
    <w:tmpl w:val="A61E3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21ACD"/>
    <w:multiLevelType w:val="hybridMultilevel"/>
    <w:tmpl w:val="E5127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7509EE"/>
    <w:multiLevelType w:val="hybridMultilevel"/>
    <w:tmpl w:val="31C4A3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47"/>
    <w:rsid w:val="0001586C"/>
    <w:rsid w:val="00040AC0"/>
    <w:rsid w:val="000416E4"/>
    <w:rsid w:val="000416FF"/>
    <w:rsid w:val="000513A8"/>
    <w:rsid w:val="00051749"/>
    <w:rsid w:val="0008219B"/>
    <w:rsid w:val="000C5AAB"/>
    <w:rsid w:val="000E42F0"/>
    <w:rsid w:val="000E68AA"/>
    <w:rsid w:val="000F6F6C"/>
    <w:rsid w:val="0011322E"/>
    <w:rsid w:val="00165DD9"/>
    <w:rsid w:val="001666CA"/>
    <w:rsid w:val="00172A8F"/>
    <w:rsid w:val="00182952"/>
    <w:rsid w:val="0019024C"/>
    <w:rsid w:val="00194AE8"/>
    <w:rsid w:val="001C5DD0"/>
    <w:rsid w:val="001E0974"/>
    <w:rsid w:val="00213003"/>
    <w:rsid w:val="00217F47"/>
    <w:rsid w:val="0024119B"/>
    <w:rsid w:val="002426DA"/>
    <w:rsid w:val="002E7454"/>
    <w:rsid w:val="00376E31"/>
    <w:rsid w:val="003A5970"/>
    <w:rsid w:val="003E2FCA"/>
    <w:rsid w:val="003F6915"/>
    <w:rsid w:val="004037B6"/>
    <w:rsid w:val="0042547E"/>
    <w:rsid w:val="00484779"/>
    <w:rsid w:val="004C137C"/>
    <w:rsid w:val="00503451"/>
    <w:rsid w:val="00543C5F"/>
    <w:rsid w:val="00571C83"/>
    <w:rsid w:val="005F40F7"/>
    <w:rsid w:val="00634459"/>
    <w:rsid w:val="006535E9"/>
    <w:rsid w:val="0066103F"/>
    <w:rsid w:val="006938F1"/>
    <w:rsid w:val="00754D22"/>
    <w:rsid w:val="00764B78"/>
    <w:rsid w:val="00773110"/>
    <w:rsid w:val="007844DD"/>
    <w:rsid w:val="007B2D18"/>
    <w:rsid w:val="007B67E1"/>
    <w:rsid w:val="007F2B08"/>
    <w:rsid w:val="007F5AFF"/>
    <w:rsid w:val="007F69DE"/>
    <w:rsid w:val="0080050F"/>
    <w:rsid w:val="00805B9D"/>
    <w:rsid w:val="008200D0"/>
    <w:rsid w:val="008645BE"/>
    <w:rsid w:val="00876F77"/>
    <w:rsid w:val="008A05F1"/>
    <w:rsid w:val="0090595C"/>
    <w:rsid w:val="00931FB7"/>
    <w:rsid w:val="0093758C"/>
    <w:rsid w:val="0094262C"/>
    <w:rsid w:val="0096238D"/>
    <w:rsid w:val="00964712"/>
    <w:rsid w:val="00972161"/>
    <w:rsid w:val="009C62C3"/>
    <w:rsid w:val="00A03FC7"/>
    <w:rsid w:val="00A213EA"/>
    <w:rsid w:val="00A34B35"/>
    <w:rsid w:val="00A47B94"/>
    <w:rsid w:val="00AE1454"/>
    <w:rsid w:val="00AF196C"/>
    <w:rsid w:val="00B02B41"/>
    <w:rsid w:val="00B32F30"/>
    <w:rsid w:val="00B53921"/>
    <w:rsid w:val="00BD50FB"/>
    <w:rsid w:val="00BF41B9"/>
    <w:rsid w:val="00C01140"/>
    <w:rsid w:val="00C926FF"/>
    <w:rsid w:val="00C9334F"/>
    <w:rsid w:val="00CA404E"/>
    <w:rsid w:val="00CB616F"/>
    <w:rsid w:val="00CE40CE"/>
    <w:rsid w:val="00CE6247"/>
    <w:rsid w:val="00D015B9"/>
    <w:rsid w:val="00D219DB"/>
    <w:rsid w:val="00D731AC"/>
    <w:rsid w:val="00D94B64"/>
    <w:rsid w:val="00DA126A"/>
    <w:rsid w:val="00DD0AA9"/>
    <w:rsid w:val="00E25553"/>
    <w:rsid w:val="00E30642"/>
    <w:rsid w:val="00E400D6"/>
    <w:rsid w:val="00EA300A"/>
    <w:rsid w:val="00EC277B"/>
    <w:rsid w:val="00EF12C7"/>
    <w:rsid w:val="00F006FF"/>
    <w:rsid w:val="00F30DD0"/>
    <w:rsid w:val="00F456BA"/>
    <w:rsid w:val="00F7238E"/>
    <w:rsid w:val="00F77677"/>
    <w:rsid w:val="00F81193"/>
    <w:rsid w:val="00F921A4"/>
    <w:rsid w:val="00FA6667"/>
    <w:rsid w:val="00FB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52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8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0E68AA"/>
    <w:pPr>
      <w:keepLines w:val="0"/>
      <w:tabs>
        <w:tab w:val="left" w:pos="1987"/>
      </w:tabs>
      <w:spacing w:before="240" w:after="120" w:line="240" w:lineRule="auto"/>
      <w:outlineLvl w:val="2"/>
    </w:pPr>
    <w:rPr>
      <w:rFonts w:ascii="Times New Roman" w:eastAsia="Times New Roman" w:hAnsi="Times New Roman" w:cs="Times New Roman"/>
      <w:bCs w:val="0"/>
      <w:color w:val="auto"/>
      <w:kern w:val="28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uiPriority w:val="99"/>
    <w:rsid w:val="00217F47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H2">
    <w:name w:val="H2"/>
    <w:basedOn w:val="Normal"/>
    <w:next w:val="Normal"/>
    <w:uiPriority w:val="99"/>
    <w:rsid w:val="00217F47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76F7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5A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A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A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A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A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AFF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E68AA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68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8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0E68AA"/>
    <w:pPr>
      <w:keepLines w:val="0"/>
      <w:tabs>
        <w:tab w:val="left" w:pos="1987"/>
      </w:tabs>
      <w:spacing w:before="240" w:after="120" w:line="240" w:lineRule="auto"/>
      <w:outlineLvl w:val="2"/>
    </w:pPr>
    <w:rPr>
      <w:rFonts w:ascii="Times New Roman" w:eastAsia="Times New Roman" w:hAnsi="Times New Roman" w:cs="Times New Roman"/>
      <w:bCs w:val="0"/>
      <w:color w:val="auto"/>
      <w:kern w:val="28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uiPriority w:val="99"/>
    <w:rsid w:val="00217F47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H2">
    <w:name w:val="H2"/>
    <w:basedOn w:val="Normal"/>
    <w:next w:val="Normal"/>
    <w:uiPriority w:val="99"/>
    <w:rsid w:val="00217F47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76F7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5A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A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A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A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A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AFF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E68AA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68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3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38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51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33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94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8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03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227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4909" ma:contentTypeDescription=" " ma:contentTypeScope="" ma:versionID="86329bf01f9b25d44353f5fbcd2653b2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32f1aaaa33c51780a447a63930c25cc4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9f7bc583-7cbe-45b9-a2bd-8bbb6543b37e">
      <Value>24</Value>
    </TaxCatchAl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_dlc_DocId xmlns="9f7bc583-7cbe-45b9-a2bd-8bbb6543b37e">2017RG-111-7471</_dlc_DocId>
    <_dlc_DocIdUrl xmlns="9f7bc583-7cbe-45b9-a2bd-8bbb6543b37e">
      <Url>http://tweb/sites/rg/ldp/lmu/_layouts/15/DocIdRedir.aspx?ID=2017RG-111-7471</Url>
      <Description>2017RG-111-7471</Description>
    </_dlc_DocIdUrl>
  </documentManagement>
</p:properties>
</file>

<file path=customXml/item4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23500-6B2D-4D94-966F-A5AD82E59F2B}"/>
</file>

<file path=customXml/itemProps2.xml><?xml version="1.0" encoding="utf-8"?>
<ds:datastoreItem xmlns:ds="http://schemas.openxmlformats.org/officeDocument/2006/customXml" ds:itemID="{2A37A7BC-3882-499D-8691-F537D633D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D11C91-4792-484A-8BC8-5CF911FAFF57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sharepoint/v4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507a8a59-704d-43cf-b103-02b0cd527a9d"/>
    <ds:schemaRef ds:uri="9f7bc583-7cbe-45b9-a2bd-8bbb6543b37e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E4CFE98-7505-4788-91F3-D5EDB58272D3}"/>
</file>

<file path=customXml/itemProps5.xml><?xml version="1.0" encoding="utf-8"?>
<ds:datastoreItem xmlns:ds="http://schemas.openxmlformats.org/officeDocument/2006/customXml" ds:itemID="{A4AA09DF-E04C-4B5A-853B-D4EC083C2A36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0EE4E5DE-3F7C-4B7E-AD9D-8232F6EE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kathleen.cuneo</dc:creator>
  <cp:lastModifiedBy>Treasury</cp:lastModifiedBy>
  <cp:revision>7</cp:revision>
  <cp:lastPrinted>2017-08-14T03:06:00Z</cp:lastPrinted>
  <dcterms:created xsi:type="dcterms:W3CDTF">2017-08-10T07:31:00Z</dcterms:created>
  <dcterms:modified xsi:type="dcterms:W3CDTF">2017-08-14T05:04:00Z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SecurityClassification">
    <vt:lpwstr>7;#Sensitive|19fd2cb8-3e97-4464-ae71-8c2c2095d028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UniqueId">
    <vt:lpwstr>{a183fc47-f19a-4faf-b52e-352974420332}</vt:lpwstr>
  </property>
  <property fmtid="{D5CDD505-2E9C-101B-9397-08002B2CF9AE}" pid="6" name="RecordPoint_SubmissionCompleted">
    <vt:lpwstr/>
  </property>
  <property fmtid="{D5CDD505-2E9C-101B-9397-08002B2CF9AE}" pid="7" name="RecordPoint_ActiveItemWebId">
    <vt:lpwstr>{2602612e-a30f-4de0-b9eb-e01e73dc8005}</vt:lpwstr>
  </property>
  <property fmtid="{D5CDD505-2E9C-101B-9397-08002B2CF9AE}" pid="8" name="RecordPoint_ActiveItemSiteId">
    <vt:lpwstr>{5b52b9a5-e5b2-4521-8814-a1e24ca2869d}</vt:lpwstr>
  </property>
  <property fmtid="{D5CDD505-2E9C-101B-9397-08002B2CF9AE}" pid="9" name="RecordPoint_ActiveItemListId">
    <vt:lpwstr>{1a010be9-83b3-4740-abb7-452f2d1120fe}</vt:lpwstr>
  </property>
  <property fmtid="{D5CDD505-2E9C-101B-9397-08002B2CF9AE}" pid="10" name="RecordPoint_RecordNumberSubmitted">
    <vt:lpwstr/>
  </property>
  <property fmtid="{D5CDD505-2E9C-101B-9397-08002B2CF9AE}" pid="11" name="TSYRecordClass">
    <vt:lpwstr>11</vt:lpwstr>
  </property>
  <property fmtid="{D5CDD505-2E9C-101B-9397-08002B2CF9AE}" pid="12" name="_dlc_DocIdItemGuid">
    <vt:lpwstr>a183fc47-f19a-4faf-b52e-352974420332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_AdHocReviewCycleID">
    <vt:i4>856294072</vt:i4>
  </property>
  <property fmtid="{D5CDD505-2E9C-101B-9397-08002B2CF9AE}" pid="17" name="_NewReviewCycle">
    <vt:lpwstr/>
  </property>
  <property fmtid="{D5CDD505-2E9C-101B-9397-08002B2CF9AE}" pid="18" name="_EmailSubject">
    <vt:lpwstr>Insolvency Practice Rules</vt:lpwstr>
  </property>
  <property fmtid="{D5CDD505-2E9C-101B-9397-08002B2CF9AE}" pid="19" name="_AuthorEmail">
    <vt:lpwstr>Nik.Wahi@TREASURY.GOV.AU</vt:lpwstr>
  </property>
  <property fmtid="{D5CDD505-2E9C-101B-9397-08002B2CF9AE}" pid="20" name="_AuthorEmailDisplayName">
    <vt:lpwstr>Wahi, Nik</vt:lpwstr>
  </property>
</Properties>
</file>