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73010" w:rsidRDefault="00F73010" w:rsidP="00F7301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4pt" o:ole="" fillcolor="window">
            <v:imagedata r:id="rId7" o:title=""/>
          </v:shape>
          <o:OLEObject Type="Embed" ProgID="Word.Picture.8" ShapeID="_x0000_i1025" DrawAspect="Content" ObjectID="_1579893753" r:id="rId8"/>
        </w:object>
      </w:r>
    </w:p>
    <w:p w:rsidR="00F73010" w:rsidRPr="00E500D4" w:rsidRDefault="00F73010" w:rsidP="00F73010">
      <w:pPr>
        <w:pStyle w:val="ShortT"/>
        <w:spacing w:before="240"/>
      </w:pPr>
      <w:r>
        <w:t xml:space="preserve">Private Health Insurance (Prostheses) Rules 2017 (No. </w:t>
      </w:r>
      <w:r w:rsidR="008D7396">
        <w:t>2</w:t>
      </w:r>
      <w:r>
        <w:t>)</w:t>
      </w:r>
    </w:p>
    <w:p w:rsidR="00F73010" w:rsidRDefault="00F73010" w:rsidP="00F73010">
      <w:pPr>
        <w:pStyle w:val="MadeunderText"/>
      </w:pPr>
      <w:r>
        <w:t>made under item 4 of section 333-20 of the</w:t>
      </w:r>
    </w:p>
    <w:p w:rsidR="00F73010" w:rsidRPr="00012572" w:rsidRDefault="00F73010" w:rsidP="00F73010">
      <w:pPr>
        <w:pStyle w:val="CompiledMadeUnder"/>
        <w:spacing w:before="240"/>
      </w:pPr>
      <w:r>
        <w:t>Private Health Insurance Act 2007</w:t>
      </w:r>
    </w:p>
    <w:p w:rsidR="00F73010" w:rsidRPr="00444DB0" w:rsidRDefault="00F73010" w:rsidP="00F73010">
      <w:pPr>
        <w:spacing w:before="1000" w:line="260" w:lineRule="atLeast"/>
        <w:rPr>
          <w:rFonts w:ascii="Times New Roman" w:hAnsi="Times New Roman"/>
          <w:b/>
          <w:sz w:val="32"/>
          <w:szCs w:val="32"/>
        </w:rPr>
      </w:pPr>
      <w:r>
        <w:rPr>
          <w:rFonts w:ascii="Times New Roman" w:hAnsi="Times New Roman"/>
          <w:b/>
          <w:sz w:val="32"/>
          <w:szCs w:val="32"/>
        </w:rPr>
        <w:t xml:space="preserve">Compilation No. </w:t>
      </w:r>
      <w:r w:rsidR="00F809EE">
        <w:rPr>
          <w:rFonts w:ascii="Times New Roman" w:hAnsi="Times New Roman"/>
          <w:b/>
          <w:sz w:val="32"/>
          <w:szCs w:val="32"/>
        </w:rPr>
        <w:t>3</w:t>
      </w:r>
    </w:p>
    <w:p w:rsidR="00F73010" w:rsidRPr="00A576DE" w:rsidRDefault="00F73010" w:rsidP="00F73010">
      <w:pPr>
        <w:spacing w:before="480" w:line="260" w:lineRule="atLeast"/>
        <w:rPr>
          <w:rFonts w:ascii="Times New Roman" w:hAnsi="Times New Roman"/>
          <w:sz w:val="24"/>
          <w:szCs w:val="24"/>
        </w:rPr>
      </w:pPr>
      <w:r w:rsidRPr="00A576DE">
        <w:rPr>
          <w:rFonts w:ascii="Times New Roman" w:hAnsi="Times New Roman"/>
          <w:b/>
          <w:sz w:val="24"/>
          <w:szCs w:val="24"/>
        </w:rPr>
        <w:t xml:space="preserve">Compilation date: </w:t>
      </w:r>
      <w:r w:rsidRPr="00A576DE">
        <w:rPr>
          <w:rFonts w:ascii="Times New Roman" w:hAnsi="Times New Roman"/>
          <w:b/>
          <w:sz w:val="24"/>
          <w:szCs w:val="24"/>
        </w:rPr>
        <w:tab/>
      </w:r>
      <w:r w:rsidRPr="00A576DE">
        <w:rPr>
          <w:rFonts w:ascii="Times New Roman" w:hAnsi="Times New Roman"/>
          <w:b/>
          <w:sz w:val="24"/>
          <w:szCs w:val="24"/>
        </w:rPr>
        <w:tab/>
      </w:r>
      <w:r w:rsidRPr="00A576DE">
        <w:rPr>
          <w:rFonts w:ascii="Times New Roman" w:hAnsi="Times New Roman"/>
          <w:b/>
          <w:sz w:val="24"/>
          <w:szCs w:val="24"/>
        </w:rPr>
        <w:tab/>
      </w:r>
      <w:r w:rsidR="007D2C58">
        <w:rPr>
          <w:rFonts w:ascii="Times New Roman" w:hAnsi="Times New Roman"/>
          <w:bCs/>
          <w:sz w:val="24"/>
          <w:szCs w:val="24"/>
          <w:lang w:val="en-US"/>
        </w:rPr>
        <w:t>1 February 2018</w:t>
      </w:r>
    </w:p>
    <w:p w:rsidR="00F73010" w:rsidRPr="00A576DE" w:rsidRDefault="00F73010" w:rsidP="00F73010">
      <w:pPr>
        <w:spacing w:before="240" w:line="260" w:lineRule="atLeast"/>
        <w:rPr>
          <w:rFonts w:ascii="Times New Roman" w:hAnsi="Times New Roman"/>
          <w:sz w:val="24"/>
          <w:szCs w:val="24"/>
        </w:rPr>
      </w:pPr>
      <w:r w:rsidRPr="00A576DE">
        <w:rPr>
          <w:rFonts w:ascii="Times New Roman" w:hAnsi="Times New Roman"/>
          <w:b/>
          <w:sz w:val="24"/>
          <w:szCs w:val="24"/>
        </w:rPr>
        <w:t>Includes amendments up to:</w:t>
      </w:r>
      <w:r w:rsidRPr="00A576DE">
        <w:rPr>
          <w:rFonts w:ascii="Times New Roman" w:hAnsi="Times New Roman"/>
          <w:b/>
          <w:sz w:val="24"/>
          <w:szCs w:val="24"/>
        </w:rPr>
        <w:tab/>
      </w:r>
      <w:r w:rsidRPr="00A576DE">
        <w:rPr>
          <w:rFonts w:ascii="Times New Roman" w:hAnsi="Times New Roman"/>
          <w:bCs/>
          <w:sz w:val="24"/>
          <w:szCs w:val="24"/>
          <w:lang w:val="en-US"/>
        </w:rPr>
        <w:t>F2017L0</w:t>
      </w:r>
      <w:r>
        <w:rPr>
          <w:rFonts w:ascii="Times New Roman" w:hAnsi="Times New Roman"/>
          <w:bCs/>
          <w:sz w:val="24"/>
          <w:szCs w:val="24"/>
          <w:lang w:val="en-US"/>
        </w:rPr>
        <w:t>1</w:t>
      </w:r>
      <w:r w:rsidR="007E491A">
        <w:rPr>
          <w:rFonts w:ascii="Times New Roman" w:hAnsi="Times New Roman"/>
          <w:bCs/>
          <w:sz w:val="24"/>
          <w:szCs w:val="24"/>
          <w:lang w:val="en-US"/>
        </w:rPr>
        <w:t>513</w:t>
      </w:r>
    </w:p>
    <w:p w:rsidR="00F73010" w:rsidRDefault="00F73010" w:rsidP="00F73010">
      <w:pPr>
        <w:spacing w:before="240" w:line="260" w:lineRule="atLeast"/>
        <w:rPr>
          <w:rFonts w:ascii="Times New Roman" w:hAnsi="Times New Roman"/>
          <w:sz w:val="24"/>
          <w:szCs w:val="24"/>
        </w:rPr>
      </w:pPr>
      <w:r w:rsidRPr="00A576DE">
        <w:rPr>
          <w:rFonts w:ascii="Times New Roman" w:hAnsi="Times New Roman"/>
          <w:b/>
          <w:sz w:val="24"/>
          <w:szCs w:val="24"/>
        </w:rPr>
        <w:t>Registered:</w:t>
      </w:r>
      <w:r w:rsidRPr="00A576DE">
        <w:rPr>
          <w:rFonts w:ascii="Times New Roman" w:hAnsi="Times New Roman"/>
          <w:b/>
          <w:sz w:val="24"/>
          <w:szCs w:val="24"/>
        </w:rPr>
        <w:tab/>
      </w:r>
      <w:r w:rsidRPr="00A576DE">
        <w:rPr>
          <w:rFonts w:ascii="Times New Roman" w:hAnsi="Times New Roman"/>
          <w:b/>
          <w:sz w:val="24"/>
          <w:szCs w:val="24"/>
        </w:rPr>
        <w:tab/>
      </w:r>
      <w:r w:rsidRPr="00A576DE">
        <w:rPr>
          <w:rFonts w:ascii="Times New Roman" w:hAnsi="Times New Roman"/>
          <w:b/>
          <w:sz w:val="24"/>
          <w:szCs w:val="24"/>
        </w:rPr>
        <w:tab/>
      </w:r>
      <w:r w:rsidRPr="00A576DE">
        <w:rPr>
          <w:rFonts w:ascii="Times New Roman" w:hAnsi="Times New Roman"/>
          <w:b/>
          <w:sz w:val="24"/>
          <w:szCs w:val="24"/>
        </w:rPr>
        <w:tab/>
      </w:r>
      <w:r w:rsidR="001D442E">
        <w:rPr>
          <w:rFonts w:ascii="Times New Roman" w:hAnsi="Times New Roman"/>
          <w:sz w:val="24"/>
          <w:szCs w:val="24"/>
        </w:rPr>
        <w:t>12</w:t>
      </w:r>
      <w:r w:rsidR="00D32EE4" w:rsidRPr="00D32EE4">
        <w:rPr>
          <w:rFonts w:ascii="Times New Roman" w:hAnsi="Times New Roman"/>
          <w:sz w:val="24"/>
          <w:szCs w:val="24"/>
        </w:rPr>
        <w:t xml:space="preserve"> February 2018</w:t>
      </w:r>
    </w:p>
    <w:p w:rsidR="00FA4227" w:rsidRPr="00FA4227" w:rsidRDefault="00FA4227" w:rsidP="00FA4227">
      <w:pPr>
        <w:spacing w:before="120"/>
        <w:rPr>
          <w:rFonts w:ascii="Times New Roman" w:hAnsi="Times New Roman" w:cs="Times New Roman"/>
          <w:sz w:val="24"/>
        </w:rPr>
      </w:pPr>
      <w:r w:rsidRPr="00FA4227">
        <w:rPr>
          <w:rFonts w:ascii="Times New Roman" w:hAnsi="Times New Roman" w:cs="Times New Roman"/>
          <w:sz w:val="24"/>
        </w:rPr>
        <w:t>This compilation is in 5 volumes</w:t>
      </w:r>
    </w:p>
    <w:p w:rsidR="00FA4227" w:rsidRPr="00FA4227" w:rsidRDefault="00FA4227" w:rsidP="00FA4227">
      <w:pPr>
        <w:spacing w:before="240" w:after="0" w:line="240" w:lineRule="auto"/>
        <w:rPr>
          <w:rFonts w:ascii="Times New Roman" w:eastAsia="Calibri" w:hAnsi="Times New Roman" w:cs="Times New Roman"/>
          <w:sz w:val="24"/>
          <w:szCs w:val="24"/>
        </w:rPr>
      </w:pPr>
      <w:r w:rsidRPr="00FA4227">
        <w:rPr>
          <w:rFonts w:ascii="Times New Roman" w:eastAsia="Calibri" w:hAnsi="Times New Roman" w:cs="Times New Roman"/>
          <w:sz w:val="24"/>
          <w:szCs w:val="24"/>
        </w:rPr>
        <w:t>Volume 1:</w:t>
      </w:r>
      <w:r w:rsidRPr="00FA4227">
        <w:rPr>
          <w:rFonts w:ascii="Times New Roman" w:eastAsia="Calibri" w:hAnsi="Times New Roman" w:cs="Times New Roman"/>
          <w:sz w:val="24"/>
          <w:szCs w:val="24"/>
        </w:rPr>
        <w:tab/>
        <w:t>Parts 1–3</w:t>
      </w:r>
    </w:p>
    <w:p w:rsidR="00FA4227" w:rsidRPr="00FA4227" w:rsidRDefault="00FA4227" w:rsidP="00FA4227">
      <w:pPr>
        <w:spacing w:after="0" w:line="240" w:lineRule="auto"/>
        <w:rPr>
          <w:rFonts w:ascii="Times New Roman" w:eastAsia="Calibri" w:hAnsi="Times New Roman" w:cs="Times New Roman"/>
          <w:sz w:val="24"/>
          <w:szCs w:val="24"/>
        </w:rPr>
      </w:pPr>
      <w:r w:rsidRPr="00FA4227">
        <w:rPr>
          <w:rFonts w:ascii="Times New Roman" w:eastAsia="Calibri" w:hAnsi="Times New Roman" w:cs="Times New Roman"/>
          <w:sz w:val="24"/>
          <w:szCs w:val="24"/>
        </w:rPr>
        <w:t>Volume 2:</w:t>
      </w:r>
      <w:r w:rsidRPr="00FA4227">
        <w:rPr>
          <w:rFonts w:ascii="Times New Roman" w:eastAsia="Calibri" w:hAnsi="Times New Roman" w:cs="Times New Roman"/>
          <w:sz w:val="24"/>
          <w:szCs w:val="24"/>
        </w:rPr>
        <w:tab/>
        <w:t>Schedule, Part A (Categories 01–13)</w:t>
      </w:r>
    </w:p>
    <w:p w:rsidR="00FA4227" w:rsidRPr="00FA4227" w:rsidRDefault="00FA4227" w:rsidP="00FA4227">
      <w:pPr>
        <w:spacing w:after="0" w:line="240" w:lineRule="auto"/>
        <w:rPr>
          <w:rFonts w:ascii="Times New Roman" w:eastAsia="Calibri" w:hAnsi="Times New Roman" w:cs="Times New Roman"/>
          <w:sz w:val="24"/>
          <w:szCs w:val="24"/>
        </w:rPr>
      </w:pPr>
      <w:r w:rsidRPr="00FA4227">
        <w:rPr>
          <w:rFonts w:ascii="Times New Roman" w:eastAsia="Calibri" w:hAnsi="Times New Roman" w:cs="Times New Roman"/>
          <w:sz w:val="24"/>
          <w:szCs w:val="24"/>
        </w:rPr>
        <w:t>Volume 3:</w:t>
      </w:r>
      <w:r w:rsidRPr="00FA4227">
        <w:rPr>
          <w:rFonts w:ascii="Times New Roman" w:eastAsia="Calibri" w:hAnsi="Times New Roman" w:cs="Times New Roman"/>
          <w:sz w:val="24"/>
          <w:szCs w:val="24"/>
        </w:rPr>
        <w:tab/>
        <w:t>Schedule, Part B - Human Tissue List</w:t>
      </w:r>
    </w:p>
    <w:p w:rsidR="00FA4227" w:rsidRPr="00FA4227" w:rsidRDefault="00FA4227" w:rsidP="00FA4227">
      <w:pPr>
        <w:spacing w:after="0" w:line="240" w:lineRule="auto"/>
        <w:rPr>
          <w:rFonts w:ascii="Times New Roman" w:eastAsia="Calibri" w:hAnsi="Times New Roman" w:cs="Times New Roman"/>
          <w:b/>
          <w:sz w:val="24"/>
          <w:szCs w:val="24"/>
        </w:rPr>
      </w:pPr>
      <w:r w:rsidRPr="00FA4227">
        <w:rPr>
          <w:rFonts w:ascii="Times New Roman" w:eastAsia="Calibri" w:hAnsi="Times New Roman" w:cs="Times New Roman"/>
          <w:b/>
          <w:sz w:val="24"/>
          <w:szCs w:val="24"/>
        </w:rPr>
        <w:t>Volume 4:</w:t>
      </w:r>
      <w:r w:rsidRPr="00FA4227">
        <w:rPr>
          <w:rFonts w:ascii="Times New Roman" w:eastAsia="Calibri" w:hAnsi="Times New Roman" w:cs="Times New Roman"/>
          <w:b/>
          <w:sz w:val="24"/>
          <w:szCs w:val="24"/>
        </w:rPr>
        <w:tab/>
        <w:t>Schedule, Part C - Prostheses List</w:t>
      </w:r>
    </w:p>
    <w:p w:rsidR="00FA4227" w:rsidRPr="00FA4227" w:rsidRDefault="00FA4227" w:rsidP="00FA4227">
      <w:pPr>
        <w:spacing w:after="0" w:line="240" w:lineRule="auto"/>
        <w:rPr>
          <w:rFonts w:ascii="Times New Roman" w:eastAsia="Calibri" w:hAnsi="Times New Roman" w:cs="Times New Roman"/>
          <w:sz w:val="24"/>
          <w:szCs w:val="24"/>
        </w:rPr>
      </w:pPr>
      <w:r w:rsidRPr="00FA4227">
        <w:rPr>
          <w:rFonts w:ascii="Times New Roman" w:eastAsia="Calibri" w:hAnsi="Times New Roman" w:cs="Times New Roman"/>
          <w:sz w:val="24"/>
          <w:szCs w:val="24"/>
        </w:rPr>
        <w:t>Volume 5:</w:t>
      </w:r>
      <w:r w:rsidRPr="00FA4227">
        <w:rPr>
          <w:rFonts w:ascii="Times New Roman" w:eastAsia="Calibri" w:hAnsi="Times New Roman" w:cs="Times New Roman"/>
          <w:sz w:val="24"/>
          <w:szCs w:val="24"/>
        </w:rPr>
        <w:tab/>
        <w:t>Endnotes</w:t>
      </w:r>
    </w:p>
    <w:p w:rsidR="00FA4227" w:rsidRPr="00FA4227" w:rsidRDefault="00FA4227" w:rsidP="00FA4227">
      <w:pPr>
        <w:spacing w:before="120"/>
        <w:rPr>
          <w:rFonts w:ascii="Times New Roman" w:hAnsi="Times New Roman" w:cs="Times New Roman"/>
          <w:sz w:val="24"/>
        </w:rPr>
      </w:pPr>
      <w:r w:rsidRPr="00FA4227">
        <w:rPr>
          <w:rFonts w:ascii="Times New Roman" w:hAnsi="Times New Roman" w:cs="Times New Roman"/>
          <w:sz w:val="24"/>
        </w:rPr>
        <w:t>Each volume has its own contents</w:t>
      </w:r>
    </w:p>
    <w:p w:rsidR="00FA4227" w:rsidRPr="00FA4227" w:rsidRDefault="00FA4227" w:rsidP="00FA4227">
      <w:pPr>
        <w:rPr>
          <w:rFonts w:ascii="Times New Roman" w:hAnsi="Times New Roman" w:cs="Times New Roman"/>
          <w:b/>
        </w:rPr>
      </w:pPr>
    </w:p>
    <w:p w:rsidR="00F73010" w:rsidRPr="00A576DE" w:rsidRDefault="00F73010" w:rsidP="00F73010">
      <w:pPr>
        <w:pageBreakBefore/>
        <w:spacing w:after="0" w:line="240" w:lineRule="auto"/>
        <w:rPr>
          <w:rFonts w:ascii="Times New Roman" w:eastAsia="Times New Roman" w:hAnsi="Times New Roman" w:cs="Arial"/>
          <w:b/>
          <w:sz w:val="32"/>
          <w:szCs w:val="32"/>
        </w:rPr>
      </w:pPr>
      <w:r w:rsidRPr="00A576DE">
        <w:rPr>
          <w:rFonts w:ascii="Times New Roman" w:eastAsia="Times New Roman" w:hAnsi="Times New Roman" w:cs="Arial"/>
          <w:b/>
          <w:sz w:val="32"/>
          <w:szCs w:val="32"/>
        </w:rPr>
        <w:lastRenderedPageBreak/>
        <w:t>About this compilation</w:t>
      </w:r>
    </w:p>
    <w:p w:rsidR="00F73010" w:rsidRPr="00444DB0" w:rsidRDefault="00F73010" w:rsidP="00F73010">
      <w:pPr>
        <w:spacing w:before="120" w:after="120"/>
        <w:rPr>
          <w:rFonts w:ascii="Times New Roman" w:hAnsi="Times New Roman"/>
        </w:rPr>
      </w:pPr>
      <w:r w:rsidRPr="00444DB0">
        <w:rPr>
          <w:rFonts w:ascii="Times New Roman" w:hAnsi="Times New Roman"/>
          <w:b/>
        </w:rPr>
        <w:t>This compilation</w:t>
      </w:r>
    </w:p>
    <w:p w:rsidR="00F73010" w:rsidRPr="00A576DE" w:rsidRDefault="00F73010" w:rsidP="00F73010">
      <w:pPr>
        <w:spacing w:before="120" w:after="120" w:line="240" w:lineRule="auto"/>
        <w:rPr>
          <w:rFonts w:ascii="Times New Roman" w:eastAsia="Times New Roman" w:hAnsi="Times New Roman" w:cs="Arial"/>
        </w:rPr>
      </w:pPr>
      <w:r w:rsidRPr="00A576DE">
        <w:rPr>
          <w:rFonts w:ascii="Times New Roman" w:eastAsia="Times New Roman" w:hAnsi="Times New Roman" w:cs="Arial"/>
        </w:rPr>
        <w:t xml:space="preserve">This is a compilation of the </w:t>
      </w:r>
      <w:r w:rsidRPr="00A576DE">
        <w:rPr>
          <w:rFonts w:ascii="Times New Roman" w:eastAsia="Times New Roman" w:hAnsi="Times New Roman" w:cs="Arial"/>
          <w:i/>
        </w:rPr>
        <w:fldChar w:fldCharType="begin"/>
      </w:r>
      <w:r w:rsidRPr="00A576DE">
        <w:rPr>
          <w:rFonts w:ascii="Times New Roman" w:eastAsia="Times New Roman" w:hAnsi="Times New Roman" w:cs="Arial"/>
          <w:i/>
        </w:rPr>
        <w:instrText xml:space="preserve"> STYLEREF  ShortT </w:instrText>
      </w:r>
      <w:r w:rsidRPr="00A576DE">
        <w:rPr>
          <w:rFonts w:ascii="Times New Roman" w:eastAsia="Times New Roman" w:hAnsi="Times New Roman" w:cs="Arial"/>
          <w:i/>
        </w:rPr>
        <w:fldChar w:fldCharType="separate"/>
      </w:r>
      <w:r w:rsidR="00053DF3">
        <w:rPr>
          <w:rFonts w:ascii="Times New Roman" w:eastAsia="Times New Roman" w:hAnsi="Times New Roman" w:cs="Arial"/>
          <w:i/>
          <w:noProof/>
        </w:rPr>
        <w:t>Private Health Insurance (Prostheses) Rules 2017 (No. 2)</w:t>
      </w:r>
      <w:r w:rsidRPr="00A576DE">
        <w:rPr>
          <w:rFonts w:ascii="Times New Roman" w:eastAsia="Times New Roman" w:hAnsi="Times New Roman" w:cs="Arial"/>
          <w:i/>
        </w:rPr>
        <w:fldChar w:fldCharType="end"/>
      </w:r>
      <w:r w:rsidRPr="00A576DE">
        <w:rPr>
          <w:rFonts w:ascii="Times New Roman" w:eastAsia="Times New Roman" w:hAnsi="Times New Roman" w:cs="Arial"/>
        </w:rPr>
        <w:t xml:space="preserve"> that shows the text of the law as amended and in force on </w:t>
      </w:r>
      <w:r w:rsidR="007D2C58">
        <w:rPr>
          <w:rFonts w:ascii="Times New Roman" w:eastAsia="Times New Roman" w:hAnsi="Times New Roman" w:cs="Arial"/>
        </w:rPr>
        <w:t>1 February 2018</w:t>
      </w:r>
      <w:r w:rsidRPr="00A576DE">
        <w:rPr>
          <w:rFonts w:ascii="Times New Roman" w:eastAsia="Times New Roman" w:hAnsi="Times New Roman" w:cs="Arial"/>
        </w:rPr>
        <w:t xml:space="preserve"> (the </w:t>
      </w:r>
      <w:r w:rsidRPr="002D22B0">
        <w:rPr>
          <w:rFonts w:ascii="Times New Roman" w:eastAsia="Times New Roman" w:hAnsi="Times New Roman" w:cs="Arial"/>
          <w:b/>
          <w:i/>
        </w:rPr>
        <w:t>compilation date</w:t>
      </w:r>
      <w:r w:rsidRPr="00A576DE">
        <w:rPr>
          <w:rFonts w:ascii="Times New Roman" w:eastAsia="Times New Roman" w:hAnsi="Times New Roman" w:cs="Arial"/>
        </w:rPr>
        <w:t>).</w:t>
      </w:r>
    </w:p>
    <w:p w:rsidR="00F73010" w:rsidRPr="00A576DE" w:rsidRDefault="00F73010" w:rsidP="00F73010">
      <w:pPr>
        <w:spacing w:before="120" w:after="120" w:line="240" w:lineRule="auto"/>
        <w:rPr>
          <w:rFonts w:ascii="Times New Roman" w:eastAsia="Times New Roman" w:hAnsi="Times New Roman" w:cs="Arial"/>
        </w:rPr>
      </w:pPr>
      <w:r w:rsidRPr="00A576DE">
        <w:rPr>
          <w:rFonts w:ascii="Times New Roman" w:eastAsia="Times New Roman" w:hAnsi="Times New Roman" w:cs="Arial"/>
        </w:rPr>
        <w:t xml:space="preserve">The notes at the end of this compilation (the </w:t>
      </w:r>
      <w:r w:rsidRPr="002D22B0">
        <w:rPr>
          <w:rFonts w:ascii="Times New Roman" w:eastAsia="Times New Roman" w:hAnsi="Times New Roman" w:cs="Arial"/>
          <w:b/>
          <w:i/>
        </w:rPr>
        <w:t>endnotes</w:t>
      </w:r>
      <w:r w:rsidRPr="00A576DE">
        <w:rPr>
          <w:rFonts w:ascii="Times New Roman" w:eastAsia="Times New Roman" w:hAnsi="Times New Roman" w:cs="Arial"/>
        </w:rPr>
        <w:t>) include information about amending laws and the amendment history of provisions of the compiled law.</w:t>
      </w:r>
    </w:p>
    <w:p w:rsidR="00F73010" w:rsidRPr="00A576DE" w:rsidRDefault="00F73010" w:rsidP="00F73010">
      <w:pPr>
        <w:tabs>
          <w:tab w:val="left" w:pos="5640"/>
        </w:tabs>
        <w:spacing w:before="120" w:after="120"/>
        <w:rPr>
          <w:rFonts w:ascii="Times New Roman" w:hAnsi="Times New Roman"/>
          <w:b/>
        </w:rPr>
      </w:pPr>
      <w:r w:rsidRPr="00A576DE">
        <w:rPr>
          <w:rFonts w:ascii="Times New Roman" w:hAnsi="Times New Roman"/>
          <w:b/>
        </w:rPr>
        <w:t>Uncommenced amendments</w:t>
      </w:r>
    </w:p>
    <w:p w:rsidR="00F73010" w:rsidRPr="00A576DE" w:rsidRDefault="00F73010" w:rsidP="00F73010">
      <w:pPr>
        <w:spacing w:after="120" w:line="240" w:lineRule="auto"/>
        <w:rPr>
          <w:rFonts w:ascii="Times New Roman" w:eastAsia="Times New Roman" w:hAnsi="Times New Roman" w:cs="Arial"/>
        </w:rPr>
      </w:pPr>
      <w:r w:rsidRPr="00A576DE">
        <w:rPr>
          <w:rFonts w:ascii="Times New Roman" w:eastAsia="Times New Roman" w:hAnsi="Times New Roman" w:cs="Arial"/>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73010" w:rsidRPr="00A576DE" w:rsidRDefault="00F73010" w:rsidP="00F73010">
      <w:pPr>
        <w:spacing w:before="120" w:after="120" w:line="240" w:lineRule="auto"/>
        <w:rPr>
          <w:rFonts w:ascii="Times New Roman" w:eastAsia="Times New Roman" w:hAnsi="Times New Roman" w:cs="Arial"/>
          <w:b/>
        </w:rPr>
      </w:pPr>
      <w:r w:rsidRPr="00A576DE">
        <w:rPr>
          <w:rFonts w:ascii="Times New Roman" w:eastAsia="Times New Roman" w:hAnsi="Times New Roman" w:cs="Arial"/>
          <w:b/>
        </w:rPr>
        <w:t>Application, saving and transitional provisions for provisions and amendments</w:t>
      </w:r>
    </w:p>
    <w:p w:rsidR="00F73010" w:rsidRPr="00A576DE" w:rsidRDefault="00F73010" w:rsidP="00F73010">
      <w:pPr>
        <w:spacing w:after="120" w:line="240" w:lineRule="auto"/>
        <w:rPr>
          <w:rFonts w:ascii="Times New Roman" w:eastAsia="Times New Roman" w:hAnsi="Times New Roman" w:cs="Arial"/>
        </w:rPr>
      </w:pPr>
      <w:r w:rsidRPr="00A576DE">
        <w:rPr>
          <w:rFonts w:ascii="Times New Roman" w:eastAsia="Times New Roman" w:hAnsi="Times New Roman" w:cs="Arial"/>
        </w:rPr>
        <w:t>If the operation of a provision or amendment of the compiled law is affected by an application, saving or transitional provision that is not included in this compilation, details are included in the endnotes.</w:t>
      </w:r>
    </w:p>
    <w:p w:rsidR="00F73010" w:rsidRPr="00A576DE" w:rsidRDefault="00F73010" w:rsidP="00F73010">
      <w:pPr>
        <w:spacing w:after="120"/>
        <w:rPr>
          <w:rFonts w:ascii="Times New Roman" w:hAnsi="Times New Roman"/>
          <w:b/>
        </w:rPr>
      </w:pPr>
      <w:r w:rsidRPr="00A576DE">
        <w:rPr>
          <w:rFonts w:ascii="Times New Roman" w:hAnsi="Times New Roman"/>
          <w:b/>
        </w:rPr>
        <w:t>Editorial changes</w:t>
      </w:r>
    </w:p>
    <w:p w:rsidR="00F73010" w:rsidRPr="00A576DE" w:rsidRDefault="00F73010" w:rsidP="00F73010">
      <w:pPr>
        <w:spacing w:after="120" w:line="240" w:lineRule="auto"/>
        <w:rPr>
          <w:rFonts w:ascii="Times New Roman" w:eastAsia="Times New Roman" w:hAnsi="Times New Roman" w:cs="Arial"/>
        </w:rPr>
      </w:pPr>
      <w:r w:rsidRPr="00A576DE">
        <w:rPr>
          <w:rFonts w:ascii="Times New Roman" w:eastAsia="Times New Roman" w:hAnsi="Times New Roman" w:cs="Arial"/>
        </w:rPr>
        <w:t>For more information about any editorial changes made in this compilation, see the endnotes.</w:t>
      </w:r>
    </w:p>
    <w:p w:rsidR="00F73010" w:rsidRPr="00A576DE" w:rsidRDefault="00F73010" w:rsidP="00F73010">
      <w:pPr>
        <w:spacing w:before="120" w:after="120"/>
        <w:rPr>
          <w:rFonts w:ascii="Times New Roman" w:hAnsi="Times New Roman"/>
          <w:b/>
        </w:rPr>
      </w:pPr>
      <w:r w:rsidRPr="00A576DE">
        <w:rPr>
          <w:rFonts w:ascii="Times New Roman" w:hAnsi="Times New Roman"/>
          <w:b/>
        </w:rPr>
        <w:t>Modifications</w:t>
      </w:r>
    </w:p>
    <w:p w:rsidR="00F73010" w:rsidRPr="00A576DE" w:rsidRDefault="00F73010" w:rsidP="00F73010">
      <w:pPr>
        <w:spacing w:after="120" w:line="240" w:lineRule="auto"/>
        <w:rPr>
          <w:rFonts w:ascii="Times New Roman" w:eastAsia="Times New Roman" w:hAnsi="Times New Roman" w:cs="Arial"/>
        </w:rPr>
      </w:pPr>
      <w:r w:rsidRPr="00A576DE">
        <w:rPr>
          <w:rFonts w:ascii="Times New Roman" w:eastAsia="Times New Roman" w:hAnsi="Times New Roman"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73010" w:rsidRPr="00A576DE" w:rsidRDefault="00F73010" w:rsidP="00F73010">
      <w:pPr>
        <w:spacing w:before="80" w:after="120"/>
        <w:rPr>
          <w:rFonts w:ascii="Times New Roman" w:hAnsi="Times New Roman"/>
          <w:b/>
        </w:rPr>
      </w:pPr>
      <w:r w:rsidRPr="00A576DE">
        <w:rPr>
          <w:rFonts w:ascii="Times New Roman" w:hAnsi="Times New Roman"/>
          <w:b/>
        </w:rPr>
        <w:t>Self-repealing provisions</w:t>
      </w:r>
    </w:p>
    <w:p w:rsidR="00F73010" w:rsidRDefault="00F73010" w:rsidP="00F73010">
      <w:pPr>
        <w:spacing w:after="120" w:line="240" w:lineRule="auto"/>
        <w:rPr>
          <w:rFonts w:ascii="Times New Roman" w:eastAsia="Times New Roman" w:hAnsi="Times New Roman" w:cs="Arial"/>
        </w:rPr>
      </w:pPr>
      <w:r w:rsidRPr="00A576DE">
        <w:rPr>
          <w:rFonts w:ascii="Times New Roman" w:eastAsia="Times New Roman" w:hAnsi="Times New Roman" w:cs="Arial"/>
        </w:rPr>
        <w:t>If a provision of the compiled law has been repealed in accordance with a provision of the law, details are included in the endnotes.</w:t>
      </w:r>
    </w:p>
    <w:p w:rsidR="00F73010" w:rsidRPr="003503EA" w:rsidRDefault="00F73010" w:rsidP="00F73010">
      <w:pPr>
        <w:keepNext/>
        <w:keepLines/>
        <w:spacing w:after="0" w:line="240" w:lineRule="auto"/>
        <w:rPr>
          <w:sz w:val="16"/>
          <w:szCs w:val="20"/>
        </w:rPr>
      </w:pPr>
      <w:r w:rsidRPr="003503EA">
        <w:rPr>
          <w:sz w:val="16"/>
          <w:szCs w:val="20"/>
        </w:rPr>
        <w:t xml:space="preserve">  </w:t>
      </w:r>
    </w:p>
    <w:p w:rsidR="00F73010" w:rsidRPr="003503EA" w:rsidRDefault="00F73010" w:rsidP="00F73010">
      <w:pPr>
        <w:keepNext/>
        <w:keepLines/>
        <w:spacing w:after="0" w:line="240" w:lineRule="auto"/>
        <w:rPr>
          <w:sz w:val="16"/>
          <w:szCs w:val="20"/>
        </w:rPr>
      </w:pPr>
      <w:r w:rsidRPr="003503EA">
        <w:rPr>
          <w:sz w:val="16"/>
          <w:szCs w:val="20"/>
        </w:rPr>
        <w:t xml:space="preserve">  </w:t>
      </w:r>
    </w:p>
    <w:p w:rsidR="00F73010" w:rsidRPr="003503EA" w:rsidRDefault="00F73010" w:rsidP="00F73010">
      <w:pPr>
        <w:keepNext/>
        <w:keepLines/>
        <w:spacing w:after="0" w:line="240" w:lineRule="auto"/>
        <w:rPr>
          <w:sz w:val="16"/>
          <w:szCs w:val="20"/>
        </w:rPr>
      </w:pPr>
      <w:r w:rsidRPr="003503EA">
        <w:rPr>
          <w:sz w:val="16"/>
          <w:szCs w:val="20"/>
        </w:rPr>
        <w:t xml:space="preserve">  </w:t>
      </w:r>
    </w:p>
    <w:p w:rsidR="00F73010" w:rsidRPr="003503EA" w:rsidRDefault="00F73010" w:rsidP="00F73010">
      <w:pPr>
        <w:spacing w:after="0" w:line="240" w:lineRule="auto"/>
        <w:rPr>
          <w:szCs w:val="20"/>
        </w:rPr>
        <w:sectPr w:rsidR="00F73010" w:rsidRPr="003503EA" w:rsidSect="00053909">
          <w:headerReference w:type="even" r:id="rId9"/>
          <w:headerReference w:type="default" r:id="rId10"/>
          <w:footerReference w:type="even" r:id="rId11"/>
          <w:footerReference w:type="default" r:id="rId12"/>
          <w:headerReference w:type="first" r:id="rId13"/>
          <w:footerReference w:type="first" r:id="rId14"/>
          <w:pgSz w:w="11907" w:h="16839" w:code="9"/>
          <w:pgMar w:top="1532" w:right="2410" w:bottom="4253" w:left="2410" w:header="720" w:footer="3402" w:gutter="0"/>
          <w:cols w:space="708"/>
          <w:titlePg/>
          <w:docGrid w:linePitch="360"/>
        </w:sectPr>
      </w:pPr>
    </w:p>
    <w:p w:rsidR="000E69B9" w:rsidRPr="00093AE9" w:rsidRDefault="000E69B9" w:rsidP="000E69B9">
      <w:pPr>
        <w:spacing w:before="60" w:after="60"/>
        <w:rPr>
          <w:rFonts w:ascii="Times New Roman" w:hAnsi="Times New Roman" w:cs="Times New Roman"/>
          <w:b/>
          <w:noProof/>
          <w:sz w:val="48"/>
        </w:rPr>
      </w:pPr>
      <w:r w:rsidRPr="00093AE9">
        <w:rPr>
          <w:rFonts w:ascii="Times New Roman" w:hAnsi="Times New Roman" w:cs="Times New Roman"/>
          <w:b/>
          <w:noProof/>
          <w:sz w:val="48"/>
        </w:rPr>
        <w:lastRenderedPageBreak/>
        <w:t>Schedule Prosthe</w:t>
      </w:r>
      <w:r>
        <w:rPr>
          <w:rFonts w:ascii="Times New Roman" w:hAnsi="Times New Roman" w:cs="Times New Roman"/>
          <w:b/>
          <w:noProof/>
          <w:sz w:val="48"/>
        </w:rPr>
        <w:t>ses List - Part C</w:t>
      </w:r>
      <w:r>
        <w:rPr>
          <w:rFonts w:ascii="Times New Roman" w:hAnsi="Times New Roman" w:cs="Times New Roman"/>
          <w:b/>
          <w:noProof/>
          <w:sz w:val="48"/>
        </w:rPr>
        <w:tab/>
      </w:r>
      <w:r>
        <w:rPr>
          <w:rFonts w:ascii="Times New Roman" w:hAnsi="Times New Roman" w:cs="Times New Roman"/>
          <w:b/>
          <w:noProof/>
          <w:sz w:val="48"/>
        </w:rPr>
        <w:tab/>
      </w:r>
      <w:r>
        <w:rPr>
          <w:rFonts w:ascii="Times New Roman" w:hAnsi="Times New Roman" w:cs="Times New Roman"/>
          <w:b/>
          <w:noProof/>
          <w:sz w:val="48"/>
        </w:rPr>
        <w:tab/>
      </w:r>
      <w:r>
        <w:rPr>
          <w:rFonts w:ascii="Times New Roman" w:hAnsi="Times New Roman" w:cs="Times New Roman"/>
          <w:b/>
          <w:noProof/>
          <w:sz w:val="48"/>
        </w:rPr>
        <w:tab/>
      </w:r>
      <w:r>
        <w:rPr>
          <w:rFonts w:ascii="Times New Roman" w:hAnsi="Times New Roman" w:cs="Times New Roman"/>
          <w:b/>
          <w:noProof/>
          <w:sz w:val="48"/>
        </w:rPr>
        <w:tab/>
      </w:r>
      <w:r>
        <w:rPr>
          <w:rFonts w:ascii="Times New Roman" w:hAnsi="Times New Roman" w:cs="Times New Roman"/>
          <w:b/>
          <w:noProof/>
          <w:sz w:val="48"/>
        </w:rPr>
        <w:tab/>
      </w:r>
      <w:r>
        <w:rPr>
          <w:rFonts w:ascii="Times New Roman" w:hAnsi="Times New Roman" w:cs="Times New Roman"/>
          <w:b/>
          <w:noProof/>
          <w:sz w:val="48"/>
        </w:rPr>
        <w:tab/>
      </w:r>
      <w:r>
        <w:rPr>
          <w:rFonts w:ascii="Times New Roman" w:hAnsi="Times New Roman" w:cs="Times New Roman"/>
          <w:b/>
          <w:noProof/>
          <w:sz w:val="48"/>
        </w:rPr>
        <w:tab/>
        <w:t>August</w:t>
      </w:r>
      <w:r w:rsidRPr="00093AE9">
        <w:rPr>
          <w:rFonts w:ascii="Times New Roman" w:hAnsi="Times New Roman" w:cs="Times New Roman"/>
          <w:b/>
          <w:noProof/>
          <w:sz w:val="48"/>
        </w:rPr>
        <w:t xml:space="preserve"> 2017</w:t>
      </w:r>
    </w:p>
    <w:p w:rsidR="000E69B9" w:rsidRPr="00093AE9" w:rsidRDefault="000E69B9" w:rsidP="000E69B9">
      <w:pPr>
        <w:spacing w:before="60" w:after="60"/>
        <w:rPr>
          <w:rFonts w:ascii="Times New Roman" w:hAnsi="Times New Roman" w:cs="Times New Roman"/>
          <w:b/>
          <w:noProof/>
          <w:sz w:val="28"/>
        </w:rPr>
      </w:pPr>
      <w:r w:rsidRPr="00093AE9">
        <w:rPr>
          <w:rFonts w:ascii="Times New Roman" w:hAnsi="Times New Roman" w:cs="Times New Roman"/>
          <w:b/>
          <w:noProof/>
          <w:sz w:val="28"/>
        </w:rPr>
        <w:t>03 - General Miscellaneous</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Billing Code</w:t>
            </w:r>
          </w:p>
        </w:tc>
        <w:tc>
          <w:tcPr>
            <w:tcW w:w="3119"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Product Name</w:t>
            </w:r>
          </w:p>
        </w:tc>
        <w:tc>
          <w:tcPr>
            <w:tcW w:w="4394"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Description</w:t>
            </w:r>
          </w:p>
        </w:tc>
        <w:tc>
          <w:tcPr>
            <w:tcW w:w="4094"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Size</w:t>
            </w:r>
          </w:p>
        </w:tc>
        <w:tc>
          <w:tcPr>
            <w:tcW w:w="987"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Min Benefit</w:t>
            </w:r>
          </w:p>
        </w:tc>
        <w:tc>
          <w:tcPr>
            <w:tcW w:w="1015"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Max Benefit</w:t>
            </w:r>
          </w:p>
        </w:tc>
        <w:tc>
          <w:tcPr>
            <w:tcW w:w="1072"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Note</w:t>
            </w:r>
          </w:p>
        </w:tc>
      </w:tr>
    </w:tbl>
    <w:p w:rsidR="000E69B9" w:rsidRPr="00093AE9" w:rsidRDefault="000E69B9" w:rsidP="000E69B9">
      <w:pPr>
        <w:spacing w:before="60" w:after="60"/>
        <w:rPr>
          <w:rFonts w:ascii="Times New Roman" w:hAnsi="Times New Roman" w:cs="Times New Roman"/>
          <w:b/>
          <w:noProof/>
          <w:sz w:val="28"/>
        </w:rPr>
      </w:pPr>
      <w:r w:rsidRPr="00093AE9">
        <w:rPr>
          <w:rFonts w:ascii="Times New Roman" w:hAnsi="Times New Roman" w:cs="Times New Roman"/>
          <w:b/>
          <w:noProof/>
          <w:sz w:val="28"/>
        </w:rPr>
        <w:t>03.02.03 - Infusion Pumps, Battery Powered</w:t>
      </w:r>
    </w:p>
    <w:p w:rsidR="000E69B9" w:rsidRPr="00093AE9" w:rsidRDefault="000E69B9" w:rsidP="000E69B9">
      <w:pPr>
        <w:spacing w:before="60" w:after="60"/>
        <w:rPr>
          <w:rFonts w:ascii="Times New Roman" w:hAnsi="Times New Roman" w:cs="Times New Roman"/>
          <w:b/>
          <w:noProof/>
          <w:sz w:val="24"/>
        </w:rPr>
      </w:pPr>
      <w:r w:rsidRPr="00093AE9">
        <w:rPr>
          <w:rFonts w:ascii="Times New Roman" w:hAnsi="Times New Roman" w:cs="Times New Roman"/>
          <w:b/>
          <w:noProof/>
          <w:sz w:val="24"/>
        </w:rPr>
        <w:t xml:space="preserve">   03.02.03.02 - Insulin infusion pump (as 3.2.3.1) with integral calculator to determine boluses and active insulin</w:t>
      </w:r>
    </w:p>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Managing Diabetes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DF001</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DANAIIS Insulin Pump</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Continuous insulin infusion pump</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75mm x 45mm x 19mm</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3840</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DE, SS</w:t>
      </w:r>
    </w:p>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Australasian Medical &amp; Scientific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AN011</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Animas Vibe/One Touch Vibe Plus Insulin Pump</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Ambulatory insulin infusion pump with real-time continuous glucose monitoring (CGM) capability</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8.26 x 5.08 x 2.18cm</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8592</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Managing Diabetes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DF002</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DANAR Insulin Pump</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The DANAR Insulin Pump is a small device about the size of a pager. It holds up to 300 units of insulin, which is delivered continuously through a small tube to the patient. The DANAR Insulin Pump also has an integrated blood glucose meter and remote control via bluetooth communication.</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75 x 45 x 19mm, 60grams</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8592</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Medical Specialties Australasia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MS066</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Cellnovo Insulin Infusion System</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Continuous Subcutaneous Insulin Infusion Pump</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The Cellnovo Insulin Infusion System is only available in one size.</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8592</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ROCHE DIABETES CARE AUSTRALIA PTY LIMITED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RB001</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Accu-Chek Combo System</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Insulin delivery device capable of remotely receiving and acting on information about blood glucose levels, performing bolus calculation and bolus advice on additional parameters than what is normally provided.</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The Accu-Chek Combo System is only available in one size.</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8592</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RB002</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ACCU-CHEK Insight System</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Insulin delivery device capable of remotely receiving and acting on information about blood glucose levels, performing bolus calculation and bolus advice on additional parameters than what is normally provided.</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No variable sizes offered. Only one system provided.</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8592</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sz w:val="24"/>
        </w:rPr>
      </w:pPr>
      <w:r w:rsidRPr="00093AE9">
        <w:rPr>
          <w:rFonts w:ascii="Times New Roman" w:hAnsi="Times New Roman" w:cs="Times New Roman"/>
          <w:b/>
          <w:noProof/>
          <w:sz w:val="24"/>
        </w:rPr>
        <w:t xml:space="preserve">   03.02.03.03 - Device has capability to automatically adjust the insulin delivery based on continuous glucose monitoring data</w:t>
      </w:r>
    </w:p>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Medtronic Australasia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MC839</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Medtronic MiniMed Insulin Infusion Pump</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Paradigm Veo Model MMT-554. 'Smart' Insulin Pump with REAL-Time continuous glucose monitoring capability, incorporating a low glucose suspend and with remote control.</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5.1 x 7.6 x 2.0cm</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9120</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MC840</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Medtronic MiniMed Insulin Infusion Pump</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Paradigm Veo Model MMT-754. 'Smart' Insulin Pump with REAL-Time continuous glucose monitoring capability, incorporating a low glucose suspend and with remote control.</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5.1 x 9.4 x 2.0cm</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9120</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MI150</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MiniMed 640G Insulin Pump</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MiniMed 640G Insulin Pump with SmartGuard Technology and continuous glucose monitoring capability, designed to automatically suspend insulin delivery before dangerous lows occur, and automatically resume after levels recover.</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1.8ml and 3.0ml</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9120</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sz w:val="28"/>
        </w:rPr>
      </w:pPr>
      <w:r w:rsidRPr="00093AE9">
        <w:rPr>
          <w:rFonts w:ascii="Times New Roman" w:hAnsi="Times New Roman" w:cs="Times New Roman"/>
          <w:b/>
          <w:noProof/>
          <w:sz w:val="28"/>
        </w:rPr>
        <w:t>08 - Cardiac</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Billing Code</w:t>
            </w:r>
          </w:p>
        </w:tc>
        <w:tc>
          <w:tcPr>
            <w:tcW w:w="3119"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Product Name</w:t>
            </w:r>
          </w:p>
        </w:tc>
        <w:tc>
          <w:tcPr>
            <w:tcW w:w="4394"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Description</w:t>
            </w:r>
          </w:p>
        </w:tc>
        <w:tc>
          <w:tcPr>
            <w:tcW w:w="4094"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Size</w:t>
            </w:r>
          </w:p>
        </w:tc>
        <w:tc>
          <w:tcPr>
            <w:tcW w:w="987"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Min Benefit</w:t>
            </w:r>
          </w:p>
        </w:tc>
        <w:tc>
          <w:tcPr>
            <w:tcW w:w="1015"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Max Benefit</w:t>
            </w:r>
          </w:p>
        </w:tc>
        <w:tc>
          <w:tcPr>
            <w:tcW w:w="1072" w:type="dxa"/>
          </w:tcPr>
          <w:p w:rsidR="000E69B9" w:rsidRPr="00093AE9" w:rsidRDefault="000E69B9" w:rsidP="00663F88">
            <w:pPr>
              <w:spacing w:before="60" w:after="60"/>
              <w:rPr>
                <w:rFonts w:ascii="Times New Roman" w:hAnsi="Times New Roman" w:cs="Times New Roman"/>
                <w:b/>
                <w:noProof/>
                <w:sz w:val="18"/>
              </w:rPr>
            </w:pPr>
            <w:r w:rsidRPr="00093AE9">
              <w:rPr>
                <w:rFonts w:ascii="Times New Roman" w:hAnsi="Times New Roman" w:cs="Times New Roman"/>
                <w:b/>
                <w:noProof/>
                <w:sz w:val="18"/>
              </w:rPr>
              <w:t>Note</w:t>
            </w:r>
          </w:p>
        </w:tc>
      </w:tr>
    </w:tbl>
    <w:p w:rsidR="000E69B9" w:rsidRPr="00093AE9" w:rsidRDefault="000E69B9" w:rsidP="000E69B9">
      <w:pPr>
        <w:spacing w:before="60" w:after="60"/>
        <w:rPr>
          <w:rFonts w:ascii="Times New Roman" w:hAnsi="Times New Roman" w:cs="Times New Roman"/>
          <w:b/>
          <w:noProof/>
          <w:sz w:val="28"/>
        </w:rPr>
      </w:pPr>
      <w:r w:rsidRPr="00093AE9">
        <w:rPr>
          <w:rFonts w:ascii="Times New Roman" w:hAnsi="Times New Roman" w:cs="Times New Roman"/>
          <w:b/>
          <w:noProof/>
          <w:sz w:val="28"/>
        </w:rPr>
        <w:t>08.14.01 - Implantable Cardiac Event Recorders</w:t>
      </w:r>
    </w:p>
    <w:p w:rsidR="000E69B9" w:rsidRPr="00093AE9" w:rsidRDefault="000E69B9" w:rsidP="000E69B9">
      <w:pPr>
        <w:spacing w:before="60" w:after="60"/>
        <w:rPr>
          <w:rFonts w:ascii="Times New Roman" w:hAnsi="Times New Roman" w:cs="Times New Roman"/>
          <w:b/>
          <w:noProof/>
          <w:sz w:val="24"/>
        </w:rPr>
      </w:pPr>
      <w:r w:rsidRPr="00093AE9">
        <w:rPr>
          <w:rFonts w:ascii="Times New Roman" w:hAnsi="Times New Roman" w:cs="Times New Roman"/>
          <w:b/>
          <w:noProof/>
          <w:sz w:val="24"/>
        </w:rPr>
        <w:t xml:space="preserve">    </w:t>
      </w:r>
    </w:p>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MC763</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Reveal XT</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Reveal XT Insertable Cardiac Monitor</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61 x 19 x 8 mm with a volume of 9cc</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3276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St Jude Medical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SJ152</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SJM Confirm Model DM2102</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Implantable cardiac monitor with atrial fibrillation monitoring.</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6.5cc, 12g</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3276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i</w:t>
      </w:r>
    </w:p>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Biotronik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BT186</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BioMonitor 2-AF  Implantable Cardiac Monitor</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Implantable cardiac monitor for continuous remote monitoring of patients with Atrial Fibrillation (AF) or unexplained syncope</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88.4 mm x 15.2 mm x 6.2 mm , 10.1g , 5cm3</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3276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Medtronic Australasia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MI141</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Reveal LINQ</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Insertable Cardiac Monitor</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45 x 7 x 3.5mm, 1.18cc</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3276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St Jude Medical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SJ390</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Confirm RX</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Insertable Cardiac Monitor</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5cm X 0.95cm X 0.33cm</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3276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sz w:val="28"/>
        </w:rPr>
      </w:pPr>
      <w:r w:rsidRPr="00093AE9">
        <w:rPr>
          <w:rFonts w:ascii="Times New Roman" w:hAnsi="Times New Roman" w:cs="Times New Roman"/>
          <w:b/>
          <w:noProof/>
          <w:sz w:val="28"/>
        </w:rPr>
        <w:t>08.16.01 - Remote Monitoring System</w:t>
      </w:r>
    </w:p>
    <w:p w:rsidR="000E69B9" w:rsidRPr="00093AE9" w:rsidRDefault="000E69B9" w:rsidP="000E69B9">
      <w:pPr>
        <w:spacing w:before="60" w:after="60"/>
        <w:rPr>
          <w:rFonts w:ascii="Times New Roman" w:hAnsi="Times New Roman" w:cs="Times New Roman"/>
          <w:b/>
          <w:noProof/>
          <w:sz w:val="24"/>
        </w:rPr>
      </w:pPr>
      <w:r w:rsidRPr="00093AE9">
        <w:rPr>
          <w:rFonts w:ascii="Times New Roman" w:hAnsi="Times New Roman" w:cs="Times New Roman"/>
          <w:b/>
          <w:noProof/>
          <w:sz w:val="24"/>
        </w:rPr>
        <w:t xml:space="preserve">   </w:t>
      </w:r>
    </w:p>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r>
    </w:p>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Boston Scientific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BS294</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Latitude Communicator</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 xml:space="preserve">Remote patient management system for implanted cardiac devices </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One size only</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1646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Biotronik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BT179</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Cardio Messenger II-S 3G</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Bedside/Remote transmitter w/ ICD device life network access to Biotronik standard home monitoring data management service.</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Bedside Device - 203 x 136mm x 80mm, 450 grams</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1646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BT187</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CardioMessenger Smart 3G</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Bedside/Remote transmitter w/ pacemaker/ICD device life network access to Biotronik standard home monitoring data management service.</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Length - 130mm, Width - 65mm,  Height - 13mm        Weight - 75g</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1646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Medtronic Australasia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MI180</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MyCareLink Patient Monitor</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Electronic cellular patient monitor which gathers and transmits cardiac information from an implanted cardiac device (CIED) to your health care professional for assessment.</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One size</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1646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r w:rsidR="000E69B9" w:rsidRPr="00093AE9" w:rsidTr="00663F88">
        <w:tc>
          <w:tcPr>
            <w:tcW w:w="1242" w:type="dxa"/>
          </w:tcPr>
          <w:p w:rsidR="000E69B9" w:rsidRPr="00093AE9" w:rsidRDefault="000E69B9" w:rsidP="002163E6">
            <w:pPr>
              <w:keepNext/>
              <w:spacing w:before="60" w:after="60"/>
              <w:rPr>
                <w:rFonts w:ascii="Times New Roman" w:hAnsi="Times New Roman" w:cs="Times New Roman"/>
                <w:noProof/>
                <w:sz w:val="18"/>
              </w:rPr>
            </w:pPr>
            <w:r w:rsidRPr="00093AE9">
              <w:rPr>
                <w:rFonts w:ascii="Times New Roman" w:hAnsi="Times New Roman" w:cs="Times New Roman"/>
                <w:noProof/>
                <w:sz w:val="18"/>
              </w:rPr>
              <w:t>MI196</w:t>
            </w:r>
          </w:p>
        </w:tc>
        <w:tc>
          <w:tcPr>
            <w:tcW w:w="3119" w:type="dxa"/>
          </w:tcPr>
          <w:p w:rsidR="000E69B9" w:rsidRPr="00093AE9" w:rsidRDefault="000E69B9" w:rsidP="002163E6">
            <w:pPr>
              <w:keepNext/>
              <w:spacing w:before="60" w:after="60"/>
              <w:rPr>
                <w:rFonts w:ascii="Times New Roman" w:hAnsi="Times New Roman" w:cs="Times New Roman"/>
                <w:noProof/>
                <w:sz w:val="18"/>
              </w:rPr>
            </w:pPr>
            <w:r w:rsidRPr="00093AE9">
              <w:rPr>
                <w:rFonts w:ascii="Times New Roman" w:hAnsi="Times New Roman" w:cs="Times New Roman"/>
                <w:noProof/>
                <w:sz w:val="18"/>
              </w:rPr>
              <w:t>MyCareLink Smart Patient Reader</w:t>
            </w:r>
          </w:p>
        </w:tc>
        <w:tc>
          <w:tcPr>
            <w:tcW w:w="4394" w:type="dxa"/>
          </w:tcPr>
          <w:p w:rsidR="000E69B9" w:rsidRPr="00093AE9" w:rsidRDefault="000E69B9" w:rsidP="002163E6">
            <w:pPr>
              <w:keepNext/>
              <w:spacing w:before="60" w:after="60"/>
              <w:rPr>
                <w:rFonts w:ascii="Times New Roman" w:hAnsi="Times New Roman" w:cs="Times New Roman"/>
                <w:noProof/>
                <w:sz w:val="18"/>
              </w:rPr>
            </w:pPr>
            <w:r w:rsidRPr="00093AE9">
              <w:rPr>
                <w:rFonts w:ascii="Times New Roman" w:hAnsi="Times New Roman" w:cs="Times New Roman"/>
                <w:noProof/>
                <w:sz w:val="18"/>
              </w:rPr>
              <w:t>Electronic cellular patient reader which gathers and transmits cardiac information from an implanted cardiac device (CIED) to your health care professional for assessment.</w:t>
            </w:r>
          </w:p>
        </w:tc>
        <w:tc>
          <w:tcPr>
            <w:tcW w:w="4094" w:type="dxa"/>
          </w:tcPr>
          <w:p w:rsidR="000E69B9" w:rsidRPr="00093AE9" w:rsidRDefault="000E69B9" w:rsidP="002163E6">
            <w:pPr>
              <w:keepNext/>
              <w:spacing w:before="60" w:after="60"/>
              <w:rPr>
                <w:rFonts w:ascii="Times New Roman" w:hAnsi="Times New Roman" w:cs="Times New Roman"/>
                <w:noProof/>
                <w:sz w:val="18"/>
              </w:rPr>
            </w:pPr>
            <w:r w:rsidRPr="00093AE9">
              <w:rPr>
                <w:rFonts w:ascii="Times New Roman" w:hAnsi="Times New Roman" w:cs="Times New Roman"/>
                <w:noProof/>
                <w:sz w:val="18"/>
              </w:rPr>
              <w:t>One size only</w:t>
            </w:r>
          </w:p>
        </w:tc>
        <w:tc>
          <w:tcPr>
            <w:tcW w:w="987" w:type="dxa"/>
          </w:tcPr>
          <w:p w:rsidR="000E69B9" w:rsidRPr="00093AE9" w:rsidRDefault="000E69B9" w:rsidP="002163E6">
            <w:pPr>
              <w:keepNext/>
              <w:spacing w:before="60" w:after="60"/>
              <w:rPr>
                <w:rFonts w:ascii="Times New Roman" w:hAnsi="Times New Roman" w:cs="Times New Roman"/>
                <w:noProof/>
                <w:sz w:val="18"/>
              </w:rPr>
            </w:pPr>
            <w:r w:rsidRPr="00093AE9">
              <w:rPr>
                <w:rFonts w:ascii="Times New Roman" w:hAnsi="Times New Roman" w:cs="Times New Roman"/>
                <w:noProof/>
                <w:sz w:val="18"/>
              </w:rPr>
              <w:t>1646</w:t>
            </w:r>
          </w:p>
        </w:tc>
        <w:tc>
          <w:tcPr>
            <w:tcW w:w="1015" w:type="dxa"/>
          </w:tcPr>
          <w:p w:rsidR="000E69B9" w:rsidRPr="00093AE9" w:rsidRDefault="000E69B9" w:rsidP="002163E6">
            <w:pPr>
              <w:keepNext/>
              <w:spacing w:before="60" w:after="60"/>
              <w:rPr>
                <w:rFonts w:ascii="Times New Roman" w:hAnsi="Times New Roman" w:cs="Times New Roman"/>
                <w:noProof/>
                <w:sz w:val="18"/>
              </w:rPr>
            </w:pPr>
          </w:p>
        </w:tc>
        <w:tc>
          <w:tcPr>
            <w:tcW w:w="1072" w:type="dxa"/>
          </w:tcPr>
          <w:p w:rsidR="000E69B9" w:rsidRPr="00093AE9" w:rsidRDefault="000E69B9" w:rsidP="002163E6">
            <w:pPr>
              <w:keepNext/>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Livanova Australia Pty Limited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SA173</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Smartview Remote Monitoring Solution</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The Smartview PSTN monitor and Smartview Monitor GPRS - Pacemaker programmer is designed to allow physicians and nurses following patients with a Sorin PARADYMTM RF or INTENSIA family of ICD and CRT-D devices to access valuable cardiac data and alert messages from the device while the patient is at home.</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Single Device Product</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1646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r w:rsidRPr="00093AE9">
        <w:rPr>
          <w:rFonts w:ascii="Times New Roman" w:hAnsi="Times New Roman" w:cs="Times New Roman"/>
          <w:b/>
          <w:noProof/>
        </w:rPr>
        <w:tab/>
        <w:t xml:space="preserve">   St Jude Medical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SJ369</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Merlin@Home wireless</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Home cardiac monitor (RF) with landline, cellular and broadband connectivity</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one size</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1646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r w:rsidR="000E69B9" w:rsidRPr="00093AE9" w:rsidTr="00663F88">
        <w:tc>
          <w:tcPr>
            <w:tcW w:w="1242"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SJ370</w:t>
            </w:r>
          </w:p>
        </w:tc>
        <w:tc>
          <w:tcPr>
            <w:tcW w:w="3119"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Merlin@Home Inductive</w:t>
            </w:r>
          </w:p>
        </w:tc>
        <w:tc>
          <w:tcPr>
            <w:tcW w:w="43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Home cardiac monitor (inductive) with landline, cellular and broadband connectivity</w:t>
            </w:r>
          </w:p>
        </w:tc>
        <w:tc>
          <w:tcPr>
            <w:tcW w:w="4094"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 xml:space="preserve">one size </w:t>
            </w:r>
          </w:p>
        </w:tc>
        <w:tc>
          <w:tcPr>
            <w:tcW w:w="987" w:type="dxa"/>
          </w:tcPr>
          <w:p w:rsidR="000E69B9" w:rsidRPr="00093AE9" w:rsidRDefault="000E69B9" w:rsidP="00663F88">
            <w:pPr>
              <w:spacing w:before="60" w:after="60"/>
              <w:rPr>
                <w:rFonts w:ascii="Times New Roman" w:hAnsi="Times New Roman" w:cs="Times New Roman"/>
                <w:noProof/>
                <w:sz w:val="18"/>
              </w:rPr>
            </w:pPr>
            <w:r w:rsidRPr="00093AE9">
              <w:rPr>
                <w:rFonts w:ascii="Times New Roman" w:hAnsi="Times New Roman" w:cs="Times New Roman"/>
                <w:noProof/>
                <w:sz w:val="18"/>
              </w:rPr>
              <w:t>1646</w:t>
            </w:r>
          </w:p>
        </w:tc>
        <w:tc>
          <w:tcPr>
            <w:tcW w:w="1015" w:type="dxa"/>
          </w:tcPr>
          <w:p w:rsidR="000E69B9" w:rsidRPr="00093AE9" w:rsidRDefault="000E69B9" w:rsidP="00663F88">
            <w:pPr>
              <w:spacing w:before="60" w:after="60"/>
              <w:rPr>
                <w:rFonts w:ascii="Times New Roman" w:hAnsi="Times New Roman" w:cs="Times New Roman"/>
                <w:noProof/>
                <w:sz w:val="18"/>
              </w:rPr>
            </w:pPr>
          </w:p>
        </w:tc>
        <w:tc>
          <w:tcPr>
            <w:tcW w:w="1072" w:type="dxa"/>
          </w:tcPr>
          <w:p w:rsidR="000E69B9" w:rsidRPr="00093AE9" w:rsidRDefault="000E69B9" w:rsidP="00663F88">
            <w:pPr>
              <w:spacing w:before="60" w:after="60"/>
              <w:rPr>
                <w:rFonts w:ascii="Times New Roman" w:hAnsi="Times New Roman" w:cs="Times New Roman"/>
                <w:noProof/>
                <w:sz w:val="18"/>
              </w:rPr>
            </w:pPr>
          </w:p>
        </w:tc>
      </w:tr>
    </w:tbl>
    <w:p w:rsidR="000E69B9" w:rsidRPr="00093AE9" w:rsidRDefault="000E69B9" w:rsidP="000E69B9">
      <w:pPr>
        <w:spacing w:before="60" w:after="60"/>
        <w:rPr>
          <w:rFonts w:ascii="Times New Roman" w:hAnsi="Times New Roman" w:cs="Times New Roman"/>
          <w:b/>
          <w:noProof/>
        </w:rPr>
      </w:pPr>
    </w:p>
    <w:p w:rsidR="00C15068" w:rsidRPr="00F2790F" w:rsidRDefault="00C15068" w:rsidP="00F2790F">
      <w:pPr>
        <w:spacing w:before="60" w:after="60"/>
        <w:rPr>
          <w:rFonts w:ascii="Times New Roman" w:hAnsi="Times New Roman" w:cs="Times New Roman"/>
          <w:b/>
          <w:noProof/>
        </w:rPr>
      </w:pPr>
    </w:p>
    <w:sectPr w:rsidR="00C15068" w:rsidRPr="00F2790F" w:rsidSect="00053909">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422" w:right="403" w:bottom="1134" w:left="403" w:header="709" w:footer="7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20" w:rsidRDefault="00A67620" w:rsidP="00A67620">
      <w:pPr>
        <w:spacing w:after="0" w:line="240" w:lineRule="auto"/>
      </w:pPr>
      <w:r>
        <w:separator/>
      </w:r>
    </w:p>
  </w:endnote>
  <w:endnote w:type="continuationSeparator" w:id="0">
    <w:p w:rsidR="00A67620" w:rsidRDefault="00A67620" w:rsidP="00A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60E09083-8906-44BB-8386-38C0F1E831EA}"/>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10" w:rsidRDefault="00F73010">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10" w:rsidRPr="00DB6985" w:rsidRDefault="00F73010" w:rsidP="00935B29">
    <w:pPr>
      <w:pBdr>
        <w:top w:val="single" w:sz="6" w:space="0" w:color="auto"/>
      </w:pBdr>
      <w:spacing w:before="120"/>
      <w:jc w:val="righ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10" w:rsidRPr="00975A24" w:rsidRDefault="00F73010" w:rsidP="00935B29">
    <w:pPr>
      <w:pStyle w:val="Footer"/>
      <w:tabs>
        <w:tab w:val="clear" w:pos="4153"/>
        <w:tab w:val="clear" w:pos="8306"/>
        <w:tab w:val="center" w:pos="4150"/>
        <w:tab w:val="right" w:pos="8307"/>
      </w:tabs>
      <w:spacing w:before="120"/>
      <w:rPr>
        <w:sz w:val="22"/>
        <w:szCs w:val="22"/>
      </w:rPr>
    </w:pPr>
    <w:r w:rsidRPr="00975A24">
      <w:rPr>
        <w:sz w:val="22"/>
        <w:szCs w:val="22"/>
      </w:rP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B5" w:rsidRDefault="00053909">
    <w:pPr>
      <w:pBdr>
        <w:top w:val="single" w:sz="6" w:space="1" w:color="auto"/>
      </w:pBdr>
      <w:jc w:val="right"/>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832" w:type="dxa"/>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758"/>
      <w:gridCol w:w="1373"/>
    </w:tblGrid>
    <w:tr w:rsidR="00D32EE4" w:rsidRPr="007B3B51" w:rsidTr="009A0842">
      <w:tc>
        <w:tcPr>
          <w:tcW w:w="1701" w:type="dxa"/>
        </w:tcPr>
        <w:p w:rsidR="00D32EE4" w:rsidRPr="007B3B51" w:rsidRDefault="00D32EE4" w:rsidP="00A62900">
          <w:pPr>
            <w:spacing w:before="60"/>
            <w:rPr>
              <w:i/>
              <w:sz w:val="16"/>
              <w:szCs w:val="16"/>
            </w:rPr>
          </w:pPr>
        </w:p>
      </w:tc>
      <w:tc>
        <w:tcPr>
          <w:tcW w:w="12758" w:type="dxa"/>
        </w:tcPr>
        <w:p w:rsidR="00D32EE4" w:rsidRPr="007B3B51" w:rsidRDefault="00D32EE4" w:rsidP="00A62900">
          <w:pPr>
            <w:spacing w:before="60"/>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3909">
            <w:rPr>
              <w:i/>
              <w:noProof/>
              <w:sz w:val="16"/>
              <w:szCs w:val="16"/>
            </w:rPr>
            <w:t>Private Health Insurance (Prostheses) Rules 2017 (No. 2)</w:t>
          </w:r>
          <w:r w:rsidRPr="007B3B51">
            <w:rPr>
              <w:i/>
              <w:sz w:val="16"/>
              <w:szCs w:val="16"/>
            </w:rPr>
            <w:fldChar w:fldCharType="end"/>
          </w:r>
        </w:p>
      </w:tc>
      <w:tc>
        <w:tcPr>
          <w:tcW w:w="1373" w:type="dxa"/>
        </w:tcPr>
        <w:p w:rsidR="00D32EE4" w:rsidRPr="007B3B51" w:rsidRDefault="00D32EE4" w:rsidP="00A62900">
          <w:pPr>
            <w:spacing w:before="60"/>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3909">
            <w:rPr>
              <w:i/>
              <w:noProof/>
              <w:sz w:val="16"/>
              <w:szCs w:val="16"/>
            </w:rPr>
            <w:t>4</w:t>
          </w:r>
          <w:r w:rsidRPr="007B3B51">
            <w:rPr>
              <w:i/>
              <w:sz w:val="16"/>
              <w:szCs w:val="16"/>
            </w:rPr>
            <w:fldChar w:fldCharType="end"/>
          </w:r>
        </w:p>
      </w:tc>
    </w:tr>
  </w:tbl>
  <w:p w:rsidR="00D32EE4" w:rsidRPr="0098022D" w:rsidRDefault="00D32EE4" w:rsidP="00D32EE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B5" w:rsidRPr="00E268C8" w:rsidRDefault="00143010" w:rsidP="007031F0">
    <w:pPr>
      <w:pStyle w:val="Footer"/>
      <w:tabs>
        <w:tab w:val="clear" w:pos="4153"/>
        <w:tab w:val="clear" w:pos="8306"/>
        <w:tab w:val="center" w:pos="4150"/>
        <w:tab w:val="right" w:pos="8307"/>
      </w:tabs>
      <w:spacing w:before="120"/>
      <w:rPr>
        <w:sz w:val="22"/>
        <w:szCs w:val="22"/>
      </w:rPr>
    </w:pPr>
    <w:r w:rsidRPr="00E268C8">
      <w:rPr>
        <w:sz w:val="22"/>
        <w:szCs w:val="22"/>
      </w:rPr>
      <w:t>Prepared by the Office of Parliamentary Counsel, Canberra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20" w:rsidRDefault="00A67620" w:rsidP="00A67620">
      <w:pPr>
        <w:spacing w:after="0" w:line="240" w:lineRule="auto"/>
      </w:pPr>
      <w:r>
        <w:separator/>
      </w:r>
    </w:p>
  </w:footnote>
  <w:footnote w:type="continuationSeparator" w:id="0">
    <w:p w:rsidR="00A67620" w:rsidRDefault="00A67620" w:rsidP="00A6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10" w:rsidRDefault="00F73010" w:rsidP="00935B29">
    <w:pPr>
      <w:pStyle w:val="Header"/>
      <w:pBdr>
        <w:bottom w:val="single" w:sz="6" w:space="1" w:color="auto"/>
      </w:pBdr>
    </w:pPr>
  </w:p>
  <w:p w:rsidR="00F73010" w:rsidRDefault="00F73010" w:rsidP="00935B29">
    <w:pPr>
      <w:pStyle w:val="Header"/>
      <w:pBdr>
        <w:bottom w:val="single" w:sz="6" w:space="1" w:color="auto"/>
      </w:pBdr>
    </w:pPr>
  </w:p>
  <w:p w:rsidR="00F73010" w:rsidRPr="001E77D2" w:rsidRDefault="00F73010" w:rsidP="00935B29">
    <w:pPr>
      <w:pStyle w:val="Heade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10" w:rsidRDefault="00F73010" w:rsidP="00935B29">
    <w:pPr>
      <w:pStyle w:val="Header"/>
      <w:pBdr>
        <w:bottom w:val="single" w:sz="4" w:space="1" w:color="auto"/>
      </w:pBdr>
    </w:pPr>
  </w:p>
  <w:p w:rsidR="00F73010" w:rsidRDefault="00F73010" w:rsidP="00935B29">
    <w:pPr>
      <w:pStyle w:val="Header"/>
      <w:pBdr>
        <w:bottom w:val="single" w:sz="4" w:space="1" w:color="auto"/>
      </w:pBdr>
    </w:pPr>
  </w:p>
  <w:p w:rsidR="00F73010" w:rsidRPr="001E77D2" w:rsidRDefault="00F73010" w:rsidP="00935B2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10" w:rsidRPr="005F1388" w:rsidRDefault="00F73010" w:rsidP="00935B29">
    <w:pPr>
      <w:pStyle w:val="Heade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B5" w:rsidRDefault="00053909" w:rsidP="007031F0">
    <w:pPr>
      <w:pStyle w:val="Header"/>
      <w:pBdr>
        <w:bottom w:val="single" w:sz="6" w:space="1" w:color="auto"/>
      </w:pBdr>
    </w:pPr>
  </w:p>
  <w:p w:rsidR="008144B5" w:rsidRDefault="00053909" w:rsidP="007031F0">
    <w:pPr>
      <w:pStyle w:val="Header"/>
      <w:pBdr>
        <w:bottom w:val="single" w:sz="6" w:space="1" w:color="auto"/>
      </w:pBdr>
    </w:pPr>
  </w:p>
  <w:p w:rsidR="008144B5" w:rsidRPr="001E77D2" w:rsidRDefault="00053909" w:rsidP="007031F0">
    <w:pPr>
      <w:pStyle w:val="Header"/>
      <w:pBdr>
        <w:bottom w:val="single" w:sz="6"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B5" w:rsidRDefault="00053909" w:rsidP="007031F0">
    <w:pPr>
      <w:pStyle w:val="Header"/>
      <w:pBdr>
        <w:bottom w:val="single" w:sz="4" w:space="1" w:color="auto"/>
      </w:pBdr>
    </w:pPr>
  </w:p>
  <w:p w:rsidR="008144B5" w:rsidRDefault="00053909" w:rsidP="007031F0">
    <w:pPr>
      <w:pStyle w:val="Header"/>
      <w:pBdr>
        <w:bottom w:val="single" w:sz="4" w:space="1" w:color="auto"/>
      </w:pBdr>
    </w:pPr>
  </w:p>
  <w:p w:rsidR="008144B5" w:rsidRPr="001E77D2" w:rsidRDefault="00053909" w:rsidP="007031F0">
    <w:pPr>
      <w:pStyle w:val="Header"/>
      <w:pBdr>
        <w:bottom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B5" w:rsidRPr="005F1388" w:rsidRDefault="00053909" w:rsidP="007031F0">
    <w:pPr>
      <w:pStyle w:val="Heade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0F"/>
    <w:rsid w:val="00053909"/>
    <w:rsid w:val="00053DF3"/>
    <w:rsid w:val="00095221"/>
    <w:rsid w:val="000E69B9"/>
    <w:rsid w:val="0014004B"/>
    <w:rsid w:val="00143010"/>
    <w:rsid w:val="001D442E"/>
    <w:rsid w:val="001E1863"/>
    <w:rsid w:val="00206BB4"/>
    <w:rsid w:val="002163E6"/>
    <w:rsid w:val="00237B96"/>
    <w:rsid w:val="002B47D7"/>
    <w:rsid w:val="002D22B0"/>
    <w:rsid w:val="003515E0"/>
    <w:rsid w:val="00355B17"/>
    <w:rsid w:val="003C1005"/>
    <w:rsid w:val="004E231A"/>
    <w:rsid w:val="005376D5"/>
    <w:rsid w:val="005B0AF1"/>
    <w:rsid w:val="006479B8"/>
    <w:rsid w:val="006A3BF3"/>
    <w:rsid w:val="006C0C61"/>
    <w:rsid w:val="00774CD4"/>
    <w:rsid w:val="007774C7"/>
    <w:rsid w:val="00784675"/>
    <w:rsid w:val="007903CC"/>
    <w:rsid w:val="007C0656"/>
    <w:rsid w:val="007D2C58"/>
    <w:rsid w:val="007E491A"/>
    <w:rsid w:val="00800B89"/>
    <w:rsid w:val="00887CC2"/>
    <w:rsid w:val="008A1C8D"/>
    <w:rsid w:val="008D7396"/>
    <w:rsid w:val="00953279"/>
    <w:rsid w:val="009A0040"/>
    <w:rsid w:val="009A0842"/>
    <w:rsid w:val="009C6919"/>
    <w:rsid w:val="00A67620"/>
    <w:rsid w:val="00A814B9"/>
    <w:rsid w:val="00AD6C42"/>
    <w:rsid w:val="00C15068"/>
    <w:rsid w:val="00C70174"/>
    <w:rsid w:val="00D32EE4"/>
    <w:rsid w:val="00DC79C9"/>
    <w:rsid w:val="00E95BE9"/>
    <w:rsid w:val="00EA3742"/>
    <w:rsid w:val="00EE5F79"/>
    <w:rsid w:val="00F2790F"/>
    <w:rsid w:val="00F679E1"/>
    <w:rsid w:val="00F73010"/>
    <w:rsid w:val="00F809EE"/>
    <w:rsid w:val="00FA4227"/>
    <w:rsid w:val="00FC6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06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656"/>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F73010"/>
    <w:pPr>
      <w:tabs>
        <w:tab w:val="center" w:pos="4153"/>
        <w:tab w:val="right" w:pos="8306"/>
      </w:tabs>
      <w:autoSpaceDE w:val="0"/>
      <w:autoSpaceDN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73010"/>
    <w:rPr>
      <w:rFonts w:ascii="Times New Roman" w:eastAsia="Times New Roman" w:hAnsi="Times New Roman" w:cs="Times New Roman"/>
      <w:sz w:val="24"/>
      <w:szCs w:val="24"/>
    </w:rPr>
  </w:style>
  <w:style w:type="paragraph" w:styleId="Header">
    <w:name w:val="header"/>
    <w:basedOn w:val="Normal"/>
    <w:link w:val="HeaderChar"/>
    <w:rsid w:val="00F73010"/>
    <w:pPr>
      <w:tabs>
        <w:tab w:val="center" w:pos="4153"/>
        <w:tab w:val="right" w:pos="8306"/>
      </w:tabs>
      <w:autoSpaceDE w:val="0"/>
      <w:autoSpaceDN w:val="0"/>
      <w:spacing w:after="0" w:line="240" w:lineRule="auto"/>
    </w:pPr>
    <w:rPr>
      <w:rFonts w:ascii="Arial" w:eastAsia="Times New Roman" w:hAnsi="Arial" w:cs="Arial"/>
      <w:b/>
      <w:bCs/>
      <w:sz w:val="18"/>
      <w:szCs w:val="18"/>
    </w:rPr>
  </w:style>
  <w:style w:type="character" w:customStyle="1" w:styleId="HeaderChar">
    <w:name w:val="Header Char"/>
    <w:basedOn w:val="DefaultParagraphFont"/>
    <w:link w:val="Header"/>
    <w:rsid w:val="00F73010"/>
    <w:rPr>
      <w:rFonts w:ascii="Arial" w:eastAsia="Times New Roman" w:hAnsi="Arial" w:cs="Arial"/>
      <w:b/>
      <w:bCs/>
      <w:sz w:val="18"/>
      <w:szCs w:val="18"/>
    </w:rPr>
  </w:style>
  <w:style w:type="paragraph" w:customStyle="1" w:styleId="ShortT">
    <w:name w:val="ShortT"/>
    <w:basedOn w:val="Normal"/>
    <w:next w:val="Normal"/>
    <w:qFormat/>
    <w:rsid w:val="00F73010"/>
    <w:pPr>
      <w:spacing w:after="0" w:line="240" w:lineRule="auto"/>
    </w:pPr>
    <w:rPr>
      <w:rFonts w:ascii="Times New Roman" w:eastAsia="Times New Roman" w:hAnsi="Times New Roman" w:cs="Times New Roman"/>
      <w:b/>
      <w:sz w:val="40"/>
      <w:szCs w:val="20"/>
      <w:lang w:eastAsia="en-AU"/>
    </w:rPr>
  </w:style>
  <w:style w:type="paragraph" w:customStyle="1" w:styleId="CompiledMadeUnder">
    <w:name w:val="CompiledMadeUnder"/>
    <w:basedOn w:val="Normal"/>
    <w:next w:val="Normal"/>
    <w:rsid w:val="00F73010"/>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F73010"/>
    <w:pPr>
      <w:spacing w:before="240" w:after="0" w:line="260" w:lineRule="atLeast"/>
    </w:pPr>
    <w:rPr>
      <w:rFonts w:ascii="Times New Roman" w:eastAsia="Times New Roman" w:hAnsi="Times New Roman" w:cs="Times New Roman"/>
      <w:sz w:val="24"/>
      <w:szCs w:val="24"/>
      <w:lang w:eastAsia="en-AU"/>
    </w:rPr>
  </w:style>
  <w:style w:type="table" w:styleId="TableGrid">
    <w:name w:val="Table Grid"/>
    <w:basedOn w:val="TableNormal"/>
    <w:uiPriority w:val="59"/>
    <w:rsid w:val="00A6762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4C7"/>
    <w:pPr>
      <w:spacing w:after="0" w:line="240" w:lineRule="auto"/>
    </w:pPr>
  </w:style>
  <w:style w:type="paragraph" w:styleId="BalloonText">
    <w:name w:val="Balloon Text"/>
    <w:basedOn w:val="Normal"/>
    <w:link w:val="BalloonTextChar"/>
    <w:uiPriority w:val="99"/>
    <w:semiHidden/>
    <w:unhideWhenUsed/>
    <w:rsid w:val="00777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06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656"/>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F73010"/>
    <w:pPr>
      <w:tabs>
        <w:tab w:val="center" w:pos="4153"/>
        <w:tab w:val="right" w:pos="8306"/>
      </w:tabs>
      <w:autoSpaceDE w:val="0"/>
      <w:autoSpaceDN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73010"/>
    <w:rPr>
      <w:rFonts w:ascii="Times New Roman" w:eastAsia="Times New Roman" w:hAnsi="Times New Roman" w:cs="Times New Roman"/>
      <w:sz w:val="24"/>
      <w:szCs w:val="24"/>
    </w:rPr>
  </w:style>
  <w:style w:type="paragraph" w:styleId="Header">
    <w:name w:val="header"/>
    <w:basedOn w:val="Normal"/>
    <w:link w:val="HeaderChar"/>
    <w:rsid w:val="00F73010"/>
    <w:pPr>
      <w:tabs>
        <w:tab w:val="center" w:pos="4153"/>
        <w:tab w:val="right" w:pos="8306"/>
      </w:tabs>
      <w:autoSpaceDE w:val="0"/>
      <w:autoSpaceDN w:val="0"/>
      <w:spacing w:after="0" w:line="240" w:lineRule="auto"/>
    </w:pPr>
    <w:rPr>
      <w:rFonts w:ascii="Arial" w:eastAsia="Times New Roman" w:hAnsi="Arial" w:cs="Arial"/>
      <w:b/>
      <w:bCs/>
      <w:sz w:val="18"/>
      <w:szCs w:val="18"/>
    </w:rPr>
  </w:style>
  <w:style w:type="character" w:customStyle="1" w:styleId="HeaderChar">
    <w:name w:val="Header Char"/>
    <w:basedOn w:val="DefaultParagraphFont"/>
    <w:link w:val="Header"/>
    <w:rsid w:val="00F73010"/>
    <w:rPr>
      <w:rFonts w:ascii="Arial" w:eastAsia="Times New Roman" w:hAnsi="Arial" w:cs="Arial"/>
      <w:b/>
      <w:bCs/>
      <w:sz w:val="18"/>
      <w:szCs w:val="18"/>
    </w:rPr>
  </w:style>
  <w:style w:type="paragraph" w:customStyle="1" w:styleId="ShortT">
    <w:name w:val="ShortT"/>
    <w:basedOn w:val="Normal"/>
    <w:next w:val="Normal"/>
    <w:qFormat/>
    <w:rsid w:val="00F73010"/>
    <w:pPr>
      <w:spacing w:after="0" w:line="240" w:lineRule="auto"/>
    </w:pPr>
    <w:rPr>
      <w:rFonts w:ascii="Times New Roman" w:eastAsia="Times New Roman" w:hAnsi="Times New Roman" w:cs="Times New Roman"/>
      <w:b/>
      <w:sz w:val="40"/>
      <w:szCs w:val="20"/>
      <w:lang w:eastAsia="en-AU"/>
    </w:rPr>
  </w:style>
  <w:style w:type="paragraph" w:customStyle="1" w:styleId="CompiledMadeUnder">
    <w:name w:val="CompiledMadeUnder"/>
    <w:basedOn w:val="Normal"/>
    <w:next w:val="Normal"/>
    <w:rsid w:val="00F73010"/>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F73010"/>
    <w:pPr>
      <w:spacing w:before="240" w:after="0" w:line="260" w:lineRule="atLeast"/>
    </w:pPr>
    <w:rPr>
      <w:rFonts w:ascii="Times New Roman" w:eastAsia="Times New Roman" w:hAnsi="Times New Roman" w:cs="Times New Roman"/>
      <w:sz w:val="24"/>
      <w:szCs w:val="24"/>
      <w:lang w:eastAsia="en-AU"/>
    </w:rPr>
  </w:style>
  <w:style w:type="table" w:styleId="TableGrid">
    <w:name w:val="Table Grid"/>
    <w:basedOn w:val="TableNormal"/>
    <w:uiPriority w:val="59"/>
    <w:rsid w:val="00A6762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4C7"/>
    <w:pPr>
      <w:spacing w:after="0" w:line="240" w:lineRule="auto"/>
    </w:pPr>
  </w:style>
  <w:style w:type="paragraph" w:styleId="BalloonText">
    <w:name w:val="Balloon Text"/>
    <w:basedOn w:val="Normal"/>
    <w:link w:val="BalloonTextChar"/>
    <w:uiPriority w:val="99"/>
    <w:semiHidden/>
    <w:unhideWhenUsed/>
    <w:rsid w:val="00777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CONSOLINST_New.DOTX</Template>
  <TotalTime>0</TotalTime>
  <Pages>6</Pages>
  <Words>1161</Words>
  <Characters>6475</Characters>
  <Application>Microsoft Office Word</Application>
  <DocSecurity>0</DocSecurity>
  <PresentationFormat/>
  <Lines>307</Lines>
  <Paragraphs>177</Paragraphs>
  <ScaleCrop>false</ScaleCrop>
  <HeadingPairs>
    <vt:vector size="2" baseType="variant">
      <vt:variant>
        <vt:lpstr>Title</vt:lpstr>
      </vt:variant>
      <vt:variant>
        <vt:i4>1</vt:i4>
      </vt:variant>
    </vt:vector>
  </HeadingPairs>
  <TitlesOfParts>
    <vt:vector size="1" baseType="lpstr">
      <vt:lpstr>Private Health Insurance (Prostheses) Rules 2017 (No. 2)</vt:lpstr>
    </vt:vector>
  </TitlesOfParts>
  <Manager/>
  <Company/>
  <LinksUpToDate>false</LinksUpToDate>
  <CharactersWithSpaces>7563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(Prostheses) Rules 2017 (No. 2)</dc:title>
  <dc:subject/>
  <dc:creator/>
  <cp:keywords/>
  <dc:description/>
  <cp:lastModifiedBy/>
  <cp:revision>1</cp:revision>
  <cp:lastPrinted>2018-02-06T05:49:00Z</cp:lastPrinted>
  <dcterms:created xsi:type="dcterms:W3CDTF">2018-02-11T11:35:00Z</dcterms:created>
  <dcterms:modified xsi:type="dcterms:W3CDTF">2018-02-11T11:35:00Z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Private Health Insurance (Prostheses) Rules 2017 (No. 2)</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DoNotAsk">
    <vt:lpwstr>0</vt:lpwstr>
  </property>
  <property fmtid="{D5CDD505-2E9C-101B-9397-08002B2CF9AE}" pid="10" name="ChangedTitle">
    <vt:lpwstr/>
  </property>
</Properties>
</file>