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26" w:rsidRPr="0041614D" w:rsidRDefault="00DD2F26" w:rsidP="00DD2F26">
      <w:pPr>
        <w:jc w:val="center"/>
        <w:rPr>
          <w:rFonts w:ascii="Arial" w:hAnsi="Arial" w:cs="Arial"/>
          <w:b/>
          <w:szCs w:val="24"/>
        </w:rPr>
      </w:pPr>
      <w:bookmarkStart w:id="0" w:name="_GoBack"/>
      <w:bookmarkEnd w:id="0"/>
      <w:r w:rsidRPr="0041614D">
        <w:rPr>
          <w:rFonts w:ascii="Arial" w:hAnsi="Arial" w:cs="Arial"/>
          <w:b/>
          <w:szCs w:val="24"/>
        </w:rPr>
        <w:t>EXPLANATORY STATEMENT</w:t>
      </w:r>
    </w:p>
    <w:p w:rsidR="008C4685" w:rsidRPr="0041614D" w:rsidRDefault="008C4685" w:rsidP="00DD2F26">
      <w:pPr>
        <w:jc w:val="center"/>
        <w:rPr>
          <w:rFonts w:ascii="Arial" w:hAnsi="Arial" w:cs="Arial"/>
          <w:szCs w:val="24"/>
          <w:u w:val="single"/>
        </w:rPr>
      </w:pPr>
    </w:p>
    <w:p w:rsidR="00DD2F26" w:rsidRPr="0041614D" w:rsidRDefault="00DD2F26" w:rsidP="00DD2F26">
      <w:pPr>
        <w:jc w:val="center"/>
        <w:rPr>
          <w:rFonts w:ascii="Arial" w:hAnsi="Arial" w:cs="Arial"/>
          <w:szCs w:val="24"/>
          <w:u w:val="single"/>
        </w:rPr>
      </w:pPr>
      <w:r w:rsidRPr="0041614D">
        <w:rPr>
          <w:rFonts w:ascii="Arial" w:hAnsi="Arial" w:cs="Arial"/>
          <w:szCs w:val="24"/>
          <w:u w:val="single"/>
        </w:rPr>
        <w:t>Issued by the Authority</w:t>
      </w:r>
      <w:r w:rsidR="00457E00" w:rsidRPr="0041614D">
        <w:rPr>
          <w:rFonts w:ascii="Arial" w:hAnsi="Arial" w:cs="Arial"/>
          <w:szCs w:val="24"/>
          <w:u w:val="single"/>
        </w:rPr>
        <w:t xml:space="preserve"> of</w:t>
      </w:r>
      <w:r w:rsidRPr="0041614D">
        <w:rPr>
          <w:rFonts w:ascii="Arial" w:hAnsi="Arial" w:cs="Arial"/>
          <w:szCs w:val="24"/>
          <w:u w:val="single"/>
        </w:rPr>
        <w:t xml:space="preserve"> the </w:t>
      </w:r>
      <w:r w:rsidR="000114DA" w:rsidRPr="0041614D">
        <w:rPr>
          <w:rFonts w:ascii="Arial" w:hAnsi="Arial" w:cs="Arial"/>
          <w:szCs w:val="24"/>
          <w:u w:val="single"/>
        </w:rPr>
        <w:t>Minister for Social Services</w:t>
      </w:r>
    </w:p>
    <w:p w:rsidR="00DD2F26" w:rsidRPr="0041614D" w:rsidRDefault="00DD2F26" w:rsidP="00DD2F26">
      <w:pPr>
        <w:jc w:val="center"/>
        <w:rPr>
          <w:rFonts w:ascii="Arial" w:hAnsi="Arial" w:cs="Arial"/>
          <w:szCs w:val="24"/>
          <w:u w:val="single"/>
        </w:rPr>
      </w:pPr>
    </w:p>
    <w:p w:rsidR="00DD2F26" w:rsidRPr="0041614D" w:rsidRDefault="00DD2F26" w:rsidP="00DD2F26">
      <w:pPr>
        <w:jc w:val="center"/>
        <w:rPr>
          <w:rFonts w:ascii="Arial" w:hAnsi="Arial" w:cs="Arial"/>
          <w:i/>
          <w:iCs/>
          <w:szCs w:val="24"/>
        </w:rPr>
      </w:pPr>
      <w:r w:rsidRPr="0041614D">
        <w:rPr>
          <w:rFonts w:ascii="Arial" w:hAnsi="Arial" w:cs="Arial"/>
          <w:i/>
          <w:iCs/>
          <w:szCs w:val="24"/>
        </w:rPr>
        <w:t>Child Support (</w:t>
      </w:r>
      <w:r w:rsidR="00F84B9D" w:rsidRPr="0041614D">
        <w:rPr>
          <w:rFonts w:ascii="Arial" w:hAnsi="Arial" w:cs="Arial"/>
          <w:i/>
          <w:iCs/>
          <w:szCs w:val="24"/>
        </w:rPr>
        <w:t>Assessment</w:t>
      </w:r>
      <w:r w:rsidRPr="0041614D">
        <w:rPr>
          <w:rFonts w:ascii="Arial" w:hAnsi="Arial" w:cs="Arial"/>
          <w:i/>
          <w:iCs/>
          <w:szCs w:val="24"/>
        </w:rPr>
        <w:t>) Act 198</w:t>
      </w:r>
      <w:r w:rsidR="00F84B9D" w:rsidRPr="0041614D">
        <w:rPr>
          <w:rFonts w:ascii="Arial" w:hAnsi="Arial" w:cs="Arial"/>
          <w:i/>
          <w:iCs/>
          <w:szCs w:val="24"/>
        </w:rPr>
        <w:t>9</w:t>
      </w:r>
    </w:p>
    <w:p w:rsidR="00CF01EC" w:rsidRPr="0041614D" w:rsidRDefault="00CF01EC" w:rsidP="00DD2F26">
      <w:pPr>
        <w:jc w:val="center"/>
        <w:rPr>
          <w:rFonts w:ascii="Arial" w:hAnsi="Arial" w:cs="Arial"/>
          <w:iCs/>
          <w:szCs w:val="24"/>
        </w:rPr>
      </w:pPr>
      <w:proofErr w:type="gramStart"/>
      <w:r w:rsidRPr="0041614D">
        <w:rPr>
          <w:rFonts w:ascii="Arial" w:hAnsi="Arial" w:cs="Arial"/>
          <w:iCs/>
          <w:szCs w:val="24"/>
        </w:rPr>
        <w:t>and</w:t>
      </w:r>
      <w:proofErr w:type="gramEnd"/>
      <w:r w:rsidRPr="0041614D">
        <w:rPr>
          <w:rFonts w:ascii="Arial" w:hAnsi="Arial" w:cs="Arial"/>
          <w:iCs/>
          <w:szCs w:val="24"/>
        </w:rPr>
        <w:t xml:space="preserve"> the</w:t>
      </w:r>
    </w:p>
    <w:p w:rsidR="00CF01EC" w:rsidRPr="0041614D" w:rsidRDefault="00CF01EC" w:rsidP="00DD2F26">
      <w:pPr>
        <w:jc w:val="center"/>
        <w:rPr>
          <w:rFonts w:ascii="Arial" w:hAnsi="Arial" w:cs="Arial"/>
          <w:i/>
          <w:iCs/>
          <w:szCs w:val="24"/>
        </w:rPr>
      </w:pPr>
      <w:r w:rsidRPr="0041614D">
        <w:rPr>
          <w:rFonts w:ascii="Arial" w:hAnsi="Arial" w:cs="Arial"/>
          <w:i/>
          <w:iCs/>
          <w:szCs w:val="24"/>
        </w:rPr>
        <w:t>Child Support (</w:t>
      </w:r>
      <w:r w:rsidR="00F84B9D" w:rsidRPr="0041614D">
        <w:rPr>
          <w:rFonts w:ascii="Arial" w:hAnsi="Arial" w:cs="Arial"/>
          <w:i/>
          <w:iCs/>
          <w:szCs w:val="24"/>
        </w:rPr>
        <w:t>Registration and Collection</w:t>
      </w:r>
      <w:r w:rsidRPr="0041614D">
        <w:rPr>
          <w:rFonts w:ascii="Arial" w:hAnsi="Arial" w:cs="Arial"/>
          <w:i/>
          <w:iCs/>
          <w:szCs w:val="24"/>
        </w:rPr>
        <w:t>) Act 198</w:t>
      </w:r>
      <w:r w:rsidR="00F84B9D" w:rsidRPr="0041614D">
        <w:rPr>
          <w:rFonts w:ascii="Arial" w:hAnsi="Arial" w:cs="Arial"/>
          <w:i/>
          <w:iCs/>
          <w:szCs w:val="24"/>
        </w:rPr>
        <w:t>8</w:t>
      </w:r>
    </w:p>
    <w:p w:rsidR="00644812" w:rsidRPr="0041614D" w:rsidRDefault="00644812" w:rsidP="00DD2F26">
      <w:pPr>
        <w:jc w:val="center"/>
        <w:rPr>
          <w:rFonts w:ascii="Arial" w:hAnsi="Arial" w:cs="Arial"/>
          <w:i/>
          <w:iCs/>
          <w:szCs w:val="24"/>
        </w:rPr>
      </w:pPr>
    </w:p>
    <w:p w:rsidR="00FE6F1F" w:rsidRPr="0041614D" w:rsidRDefault="00CF01EC" w:rsidP="00CF01EC">
      <w:pPr>
        <w:tabs>
          <w:tab w:val="left" w:pos="2160"/>
        </w:tabs>
        <w:jc w:val="center"/>
        <w:rPr>
          <w:rFonts w:ascii="Arial" w:hAnsi="Arial" w:cs="Arial"/>
          <w:szCs w:val="24"/>
        </w:rPr>
      </w:pPr>
      <w:r w:rsidRPr="0041614D">
        <w:rPr>
          <w:rFonts w:ascii="Arial" w:hAnsi="Arial" w:cs="Arial"/>
          <w:i/>
          <w:szCs w:val="24"/>
        </w:rPr>
        <w:t>Child Support Legislation (Exclusion of Courts of Summary Jurisdiction) Proclamation 2017</w:t>
      </w:r>
    </w:p>
    <w:p w:rsidR="00CF01EC" w:rsidRPr="0041614D" w:rsidRDefault="00CF01EC" w:rsidP="0039254C">
      <w:pPr>
        <w:tabs>
          <w:tab w:val="left" w:pos="2160"/>
        </w:tabs>
        <w:jc w:val="both"/>
        <w:rPr>
          <w:rFonts w:ascii="Arial" w:hAnsi="Arial" w:cs="Arial"/>
          <w:b/>
          <w:szCs w:val="24"/>
        </w:rPr>
      </w:pPr>
    </w:p>
    <w:p w:rsidR="0039254C" w:rsidRPr="0041614D" w:rsidRDefault="0039254C" w:rsidP="0039254C">
      <w:pPr>
        <w:tabs>
          <w:tab w:val="left" w:pos="2160"/>
        </w:tabs>
        <w:jc w:val="both"/>
        <w:rPr>
          <w:rFonts w:ascii="Arial" w:hAnsi="Arial" w:cs="Arial"/>
          <w:b/>
          <w:szCs w:val="24"/>
        </w:rPr>
      </w:pPr>
      <w:r w:rsidRPr="0041614D">
        <w:rPr>
          <w:rFonts w:ascii="Arial" w:hAnsi="Arial" w:cs="Arial"/>
          <w:b/>
          <w:szCs w:val="24"/>
        </w:rPr>
        <w:t>Summary</w:t>
      </w:r>
    </w:p>
    <w:p w:rsidR="0039254C" w:rsidRPr="0041614D" w:rsidRDefault="0039254C" w:rsidP="0039254C">
      <w:pPr>
        <w:tabs>
          <w:tab w:val="left" w:pos="2160"/>
        </w:tabs>
        <w:jc w:val="both"/>
        <w:rPr>
          <w:rFonts w:ascii="Arial" w:hAnsi="Arial" w:cs="Arial"/>
          <w:szCs w:val="24"/>
        </w:rPr>
      </w:pPr>
    </w:p>
    <w:p w:rsidR="00CF01EC" w:rsidRPr="0041614D" w:rsidRDefault="00FE6F1F" w:rsidP="0039254C">
      <w:pPr>
        <w:tabs>
          <w:tab w:val="left" w:pos="2160"/>
        </w:tabs>
        <w:jc w:val="both"/>
        <w:rPr>
          <w:rFonts w:ascii="Arial" w:hAnsi="Arial" w:cs="Arial"/>
          <w:szCs w:val="24"/>
        </w:rPr>
      </w:pPr>
      <w:r w:rsidRPr="0041614D">
        <w:rPr>
          <w:rFonts w:ascii="Arial" w:hAnsi="Arial" w:cs="Arial"/>
          <w:szCs w:val="24"/>
        </w:rPr>
        <w:t xml:space="preserve">Subsection </w:t>
      </w:r>
      <w:r w:rsidR="00CF01EC" w:rsidRPr="0041614D">
        <w:rPr>
          <w:rFonts w:ascii="Arial" w:hAnsi="Arial" w:cs="Arial"/>
          <w:szCs w:val="24"/>
        </w:rPr>
        <w:t xml:space="preserve">99(3) of the </w:t>
      </w:r>
      <w:r w:rsidR="00CF01EC" w:rsidRPr="0041614D">
        <w:rPr>
          <w:rFonts w:ascii="Arial" w:hAnsi="Arial" w:cs="Arial"/>
          <w:i/>
          <w:szCs w:val="24"/>
        </w:rPr>
        <w:t xml:space="preserve">Child Support (Assessment) Act 1989 </w:t>
      </w:r>
      <w:r w:rsidR="00CF01EC" w:rsidRPr="0041614D">
        <w:rPr>
          <w:rFonts w:ascii="Arial" w:hAnsi="Arial" w:cs="Arial"/>
          <w:szCs w:val="24"/>
        </w:rPr>
        <w:t xml:space="preserve">(the Assessment Act) and subsection </w:t>
      </w:r>
      <w:r w:rsidRPr="0041614D">
        <w:rPr>
          <w:rFonts w:ascii="Arial" w:hAnsi="Arial" w:cs="Arial"/>
          <w:szCs w:val="24"/>
        </w:rPr>
        <w:t xml:space="preserve">104(3) of the </w:t>
      </w:r>
      <w:r w:rsidRPr="0041614D">
        <w:rPr>
          <w:rFonts w:ascii="Arial" w:hAnsi="Arial" w:cs="Arial"/>
          <w:i/>
          <w:iCs/>
          <w:szCs w:val="24"/>
        </w:rPr>
        <w:t>Child Support (Registration and Collection) Act 1988</w:t>
      </w:r>
      <w:r w:rsidRPr="0041614D">
        <w:rPr>
          <w:rFonts w:ascii="Arial" w:hAnsi="Arial" w:cs="Arial"/>
          <w:szCs w:val="24"/>
        </w:rPr>
        <w:t xml:space="preserve"> </w:t>
      </w:r>
      <w:r w:rsidR="00644812" w:rsidRPr="0041614D">
        <w:rPr>
          <w:rFonts w:ascii="Arial" w:hAnsi="Arial" w:cs="Arial"/>
          <w:szCs w:val="24"/>
        </w:rPr>
        <w:t xml:space="preserve">(the </w:t>
      </w:r>
      <w:r w:rsidR="00CF01EC" w:rsidRPr="0041614D">
        <w:rPr>
          <w:rFonts w:ascii="Arial" w:hAnsi="Arial" w:cs="Arial"/>
          <w:szCs w:val="24"/>
        </w:rPr>
        <w:t>Registration</w:t>
      </w:r>
      <w:r w:rsidR="00137027" w:rsidRPr="0041614D">
        <w:rPr>
          <w:rFonts w:ascii="Arial" w:hAnsi="Arial" w:cs="Arial"/>
          <w:szCs w:val="24"/>
        </w:rPr>
        <w:t xml:space="preserve"> and Collection</w:t>
      </w:r>
      <w:r w:rsidR="00CF01EC" w:rsidRPr="0041614D">
        <w:rPr>
          <w:rFonts w:ascii="Arial" w:hAnsi="Arial" w:cs="Arial"/>
          <w:szCs w:val="24"/>
        </w:rPr>
        <w:t xml:space="preserve"> </w:t>
      </w:r>
      <w:r w:rsidR="001F72BC" w:rsidRPr="0041614D">
        <w:rPr>
          <w:rFonts w:ascii="Arial" w:hAnsi="Arial" w:cs="Arial"/>
          <w:szCs w:val="24"/>
        </w:rPr>
        <w:t>Act) provide</w:t>
      </w:r>
      <w:r w:rsidR="00644812" w:rsidRPr="0041614D">
        <w:rPr>
          <w:rFonts w:ascii="Arial" w:hAnsi="Arial" w:cs="Arial"/>
          <w:szCs w:val="24"/>
        </w:rPr>
        <w:t xml:space="preserve"> that the Governor-General may fix a date by Proclamation on and after which proceedings in relation to matters arising under the </w:t>
      </w:r>
      <w:r w:rsidR="00CF01EC" w:rsidRPr="0041614D">
        <w:rPr>
          <w:rFonts w:ascii="Arial" w:hAnsi="Arial" w:cs="Arial"/>
          <w:szCs w:val="24"/>
        </w:rPr>
        <w:t xml:space="preserve">Assessment </w:t>
      </w:r>
      <w:r w:rsidR="00644812" w:rsidRPr="0041614D">
        <w:rPr>
          <w:rFonts w:ascii="Arial" w:hAnsi="Arial" w:cs="Arial"/>
          <w:szCs w:val="24"/>
        </w:rPr>
        <w:t>Act</w:t>
      </w:r>
      <w:r w:rsidR="00CF01EC" w:rsidRPr="0041614D">
        <w:rPr>
          <w:rFonts w:ascii="Arial" w:hAnsi="Arial" w:cs="Arial"/>
          <w:szCs w:val="24"/>
        </w:rPr>
        <w:t xml:space="preserve"> or </w:t>
      </w:r>
      <w:r w:rsidR="00E50FBA" w:rsidRPr="0041614D">
        <w:rPr>
          <w:rFonts w:ascii="Arial" w:hAnsi="Arial" w:cs="Arial"/>
          <w:szCs w:val="24"/>
        </w:rPr>
        <w:t xml:space="preserve">the </w:t>
      </w:r>
      <w:r w:rsidR="00CF01EC" w:rsidRPr="0041614D">
        <w:rPr>
          <w:rFonts w:ascii="Arial" w:hAnsi="Arial" w:cs="Arial"/>
          <w:szCs w:val="24"/>
        </w:rPr>
        <w:t>Registration</w:t>
      </w:r>
      <w:r w:rsidR="00137027" w:rsidRPr="0041614D">
        <w:rPr>
          <w:rFonts w:ascii="Arial" w:hAnsi="Arial" w:cs="Arial"/>
          <w:szCs w:val="24"/>
        </w:rPr>
        <w:t xml:space="preserve"> and Collection</w:t>
      </w:r>
      <w:r w:rsidR="00CF01EC" w:rsidRPr="0041614D">
        <w:rPr>
          <w:rFonts w:ascii="Arial" w:hAnsi="Arial" w:cs="Arial"/>
          <w:szCs w:val="24"/>
        </w:rPr>
        <w:t xml:space="preserve"> Act</w:t>
      </w:r>
      <w:r w:rsidR="00644812" w:rsidRPr="0041614D">
        <w:rPr>
          <w:rFonts w:ascii="Arial" w:hAnsi="Arial" w:cs="Arial"/>
          <w:szCs w:val="24"/>
        </w:rPr>
        <w:t xml:space="preserve"> may not be instituted in, or transferred to, a court of summary jurisdiction in </w:t>
      </w:r>
      <w:r w:rsidR="00CF01EC" w:rsidRPr="0041614D">
        <w:rPr>
          <w:rFonts w:ascii="Arial" w:hAnsi="Arial" w:cs="Arial"/>
          <w:szCs w:val="24"/>
        </w:rPr>
        <w:t>a specified State or Territory.</w:t>
      </w:r>
    </w:p>
    <w:p w:rsidR="00CF01EC" w:rsidRPr="0041614D" w:rsidRDefault="00CF01EC" w:rsidP="0039254C">
      <w:pPr>
        <w:tabs>
          <w:tab w:val="left" w:pos="2160"/>
        </w:tabs>
        <w:jc w:val="both"/>
        <w:rPr>
          <w:rFonts w:ascii="Arial" w:hAnsi="Arial" w:cs="Arial"/>
          <w:szCs w:val="24"/>
        </w:rPr>
      </w:pPr>
    </w:p>
    <w:p w:rsidR="00644812" w:rsidRPr="0041614D" w:rsidRDefault="00644812" w:rsidP="0039254C">
      <w:pPr>
        <w:tabs>
          <w:tab w:val="left" w:pos="2160"/>
        </w:tabs>
        <w:jc w:val="both"/>
        <w:rPr>
          <w:rFonts w:ascii="Arial" w:hAnsi="Arial" w:cs="Arial"/>
          <w:szCs w:val="24"/>
        </w:rPr>
      </w:pPr>
      <w:r w:rsidRPr="0041614D">
        <w:rPr>
          <w:rFonts w:ascii="Arial" w:hAnsi="Arial" w:cs="Arial"/>
          <w:szCs w:val="24"/>
        </w:rPr>
        <w:t>Paragraph</w:t>
      </w:r>
      <w:r w:rsidR="00CF01EC" w:rsidRPr="0041614D">
        <w:rPr>
          <w:rFonts w:ascii="Arial" w:hAnsi="Arial" w:cs="Arial"/>
          <w:szCs w:val="24"/>
        </w:rPr>
        <w:t xml:space="preserve"> 99(4</w:t>
      </w:r>
      <w:proofErr w:type="gramStart"/>
      <w:r w:rsidR="00CF01EC" w:rsidRPr="0041614D">
        <w:rPr>
          <w:rFonts w:ascii="Arial" w:hAnsi="Arial" w:cs="Arial"/>
          <w:szCs w:val="24"/>
        </w:rPr>
        <w:t>)(</w:t>
      </w:r>
      <w:proofErr w:type="gramEnd"/>
      <w:r w:rsidR="00CF01EC" w:rsidRPr="0041614D">
        <w:rPr>
          <w:rFonts w:ascii="Arial" w:hAnsi="Arial" w:cs="Arial"/>
          <w:szCs w:val="24"/>
        </w:rPr>
        <w:t>b) of the Assessment Act and</w:t>
      </w:r>
      <w:r w:rsidRPr="0041614D">
        <w:rPr>
          <w:rFonts w:ascii="Arial" w:hAnsi="Arial" w:cs="Arial"/>
          <w:szCs w:val="24"/>
        </w:rPr>
        <w:t xml:space="preserve"> </w:t>
      </w:r>
      <w:r w:rsidR="00AB7A5E" w:rsidRPr="0041614D">
        <w:rPr>
          <w:rFonts w:ascii="Arial" w:hAnsi="Arial" w:cs="Arial"/>
          <w:szCs w:val="24"/>
        </w:rPr>
        <w:t xml:space="preserve">paragraph </w:t>
      </w:r>
      <w:r w:rsidRPr="0041614D">
        <w:rPr>
          <w:rFonts w:ascii="Arial" w:hAnsi="Arial" w:cs="Arial"/>
          <w:szCs w:val="24"/>
        </w:rPr>
        <w:t xml:space="preserve">104(4)(b) of the </w:t>
      </w:r>
      <w:r w:rsidR="00CF01EC" w:rsidRPr="0041614D">
        <w:rPr>
          <w:rFonts w:ascii="Arial" w:hAnsi="Arial" w:cs="Arial"/>
          <w:szCs w:val="24"/>
        </w:rPr>
        <w:t>Registration</w:t>
      </w:r>
      <w:r w:rsidR="00137027" w:rsidRPr="0041614D">
        <w:rPr>
          <w:rFonts w:ascii="Arial" w:hAnsi="Arial" w:cs="Arial"/>
          <w:szCs w:val="24"/>
        </w:rPr>
        <w:t xml:space="preserve"> and Collection</w:t>
      </w:r>
      <w:r w:rsidR="00CF01EC" w:rsidRPr="0041614D">
        <w:rPr>
          <w:rFonts w:ascii="Arial" w:hAnsi="Arial" w:cs="Arial"/>
          <w:szCs w:val="24"/>
        </w:rPr>
        <w:t xml:space="preserve"> Act</w:t>
      </w:r>
      <w:r w:rsidR="001F72BC" w:rsidRPr="0041614D">
        <w:rPr>
          <w:rFonts w:ascii="Arial" w:hAnsi="Arial" w:cs="Arial"/>
          <w:szCs w:val="24"/>
        </w:rPr>
        <w:t xml:space="preserve"> provide</w:t>
      </w:r>
      <w:r w:rsidRPr="0041614D">
        <w:rPr>
          <w:rFonts w:ascii="Arial" w:hAnsi="Arial" w:cs="Arial"/>
          <w:szCs w:val="24"/>
        </w:rPr>
        <w:t xml:space="preserve"> that a </w:t>
      </w:r>
      <w:r w:rsidR="0041614D">
        <w:rPr>
          <w:rFonts w:ascii="Arial" w:hAnsi="Arial" w:cs="Arial"/>
          <w:szCs w:val="24"/>
        </w:rPr>
        <w:t>p</w:t>
      </w:r>
      <w:r w:rsidR="0041614D" w:rsidRPr="0041614D">
        <w:rPr>
          <w:rFonts w:ascii="Arial" w:hAnsi="Arial" w:cs="Arial"/>
          <w:szCs w:val="24"/>
        </w:rPr>
        <w:t xml:space="preserve">roclamation </w:t>
      </w:r>
      <w:r w:rsidRPr="0041614D">
        <w:rPr>
          <w:rFonts w:ascii="Arial" w:hAnsi="Arial" w:cs="Arial"/>
          <w:szCs w:val="24"/>
        </w:rPr>
        <w:t>under subsection</w:t>
      </w:r>
      <w:r w:rsidR="00137027" w:rsidRPr="0041614D">
        <w:rPr>
          <w:rFonts w:ascii="Arial" w:hAnsi="Arial" w:cs="Arial"/>
          <w:szCs w:val="24"/>
        </w:rPr>
        <w:t xml:space="preserve"> 99(3) of the Assessment Act and subsection</w:t>
      </w:r>
      <w:r w:rsidRPr="0041614D">
        <w:rPr>
          <w:rFonts w:ascii="Arial" w:hAnsi="Arial" w:cs="Arial"/>
          <w:szCs w:val="24"/>
        </w:rPr>
        <w:t xml:space="preserve"> 104(3)</w:t>
      </w:r>
      <w:r w:rsidR="00137027" w:rsidRPr="0041614D">
        <w:rPr>
          <w:rFonts w:ascii="Arial" w:hAnsi="Arial" w:cs="Arial"/>
          <w:szCs w:val="24"/>
        </w:rPr>
        <w:t xml:space="preserve"> of the Registration and Collection Act</w:t>
      </w:r>
      <w:r w:rsidRPr="0041614D">
        <w:rPr>
          <w:rFonts w:ascii="Arial" w:hAnsi="Arial" w:cs="Arial"/>
          <w:szCs w:val="24"/>
        </w:rPr>
        <w:t xml:space="preserve"> may be expressed to apply to the institution of proceedings in, or the transfer of proceedings to, a court of summary jurisdiction in a specified part of a State or Territory.</w:t>
      </w:r>
    </w:p>
    <w:p w:rsidR="00644812" w:rsidRPr="0041614D" w:rsidRDefault="00644812" w:rsidP="0039254C">
      <w:pPr>
        <w:tabs>
          <w:tab w:val="left" w:pos="2160"/>
        </w:tabs>
        <w:jc w:val="both"/>
        <w:rPr>
          <w:rFonts w:ascii="Arial" w:hAnsi="Arial" w:cs="Arial"/>
          <w:szCs w:val="24"/>
        </w:rPr>
      </w:pPr>
    </w:p>
    <w:p w:rsidR="00644812" w:rsidRPr="0041614D" w:rsidRDefault="00644812" w:rsidP="0039254C">
      <w:pPr>
        <w:tabs>
          <w:tab w:val="left" w:pos="2160"/>
        </w:tabs>
        <w:jc w:val="both"/>
        <w:rPr>
          <w:rFonts w:ascii="Arial" w:hAnsi="Arial" w:cs="Arial"/>
          <w:szCs w:val="24"/>
        </w:rPr>
      </w:pPr>
      <w:r w:rsidRPr="0041614D">
        <w:rPr>
          <w:rFonts w:ascii="Arial" w:hAnsi="Arial" w:cs="Arial"/>
          <w:szCs w:val="24"/>
        </w:rPr>
        <w:t xml:space="preserve">The Proclamation states that, on and after </w:t>
      </w:r>
      <w:r w:rsidR="0039254C" w:rsidRPr="0041614D">
        <w:rPr>
          <w:rFonts w:ascii="Arial" w:hAnsi="Arial" w:cs="Arial"/>
          <w:szCs w:val="24"/>
        </w:rPr>
        <w:t>1 October 2017</w:t>
      </w:r>
      <w:r w:rsidRPr="0041614D">
        <w:rPr>
          <w:rFonts w:ascii="Arial" w:hAnsi="Arial" w:cs="Arial"/>
          <w:szCs w:val="24"/>
        </w:rPr>
        <w:t>, proceedings under the</w:t>
      </w:r>
      <w:r w:rsidR="001F72BC" w:rsidRPr="0041614D">
        <w:rPr>
          <w:rFonts w:ascii="Arial" w:hAnsi="Arial" w:cs="Arial"/>
          <w:szCs w:val="24"/>
        </w:rPr>
        <w:t xml:space="preserve"> Assessment</w:t>
      </w:r>
      <w:r w:rsidRPr="0041614D">
        <w:rPr>
          <w:rFonts w:ascii="Arial" w:hAnsi="Arial" w:cs="Arial"/>
          <w:szCs w:val="24"/>
        </w:rPr>
        <w:t xml:space="preserve"> Act</w:t>
      </w:r>
      <w:r w:rsidR="001F72BC" w:rsidRPr="0041614D">
        <w:rPr>
          <w:rFonts w:ascii="Arial" w:hAnsi="Arial" w:cs="Arial"/>
          <w:szCs w:val="24"/>
        </w:rPr>
        <w:t xml:space="preserve"> or </w:t>
      </w:r>
      <w:r w:rsidR="00E50FBA" w:rsidRPr="0041614D">
        <w:rPr>
          <w:rFonts w:ascii="Arial" w:hAnsi="Arial" w:cs="Arial"/>
          <w:szCs w:val="24"/>
        </w:rPr>
        <w:t xml:space="preserve">the </w:t>
      </w:r>
      <w:r w:rsidR="001F72BC" w:rsidRPr="0041614D">
        <w:rPr>
          <w:rFonts w:ascii="Arial" w:hAnsi="Arial" w:cs="Arial"/>
          <w:szCs w:val="24"/>
        </w:rPr>
        <w:t xml:space="preserve">Registration </w:t>
      </w:r>
      <w:r w:rsidR="005911E8" w:rsidRPr="0041614D">
        <w:rPr>
          <w:rFonts w:ascii="Arial" w:hAnsi="Arial" w:cs="Arial"/>
          <w:szCs w:val="24"/>
        </w:rPr>
        <w:t xml:space="preserve">and Collection </w:t>
      </w:r>
      <w:r w:rsidR="001F72BC" w:rsidRPr="0041614D">
        <w:rPr>
          <w:rFonts w:ascii="Arial" w:hAnsi="Arial" w:cs="Arial"/>
          <w:szCs w:val="24"/>
        </w:rPr>
        <w:t>Act</w:t>
      </w:r>
      <w:r w:rsidRPr="0041614D">
        <w:rPr>
          <w:rFonts w:ascii="Arial" w:hAnsi="Arial" w:cs="Arial"/>
          <w:i/>
          <w:iCs/>
          <w:szCs w:val="24"/>
        </w:rPr>
        <w:t xml:space="preserve"> </w:t>
      </w:r>
      <w:r w:rsidRPr="0041614D">
        <w:rPr>
          <w:rFonts w:ascii="Arial" w:hAnsi="Arial" w:cs="Arial"/>
          <w:szCs w:val="24"/>
        </w:rPr>
        <w:t xml:space="preserve">may not be instituted in, or transferred to, </w:t>
      </w:r>
      <w:r w:rsidR="00666F24" w:rsidRPr="0041614D">
        <w:rPr>
          <w:rFonts w:ascii="Arial" w:hAnsi="Arial" w:cs="Arial"/>
          <w:szCs w:val="24"/>
        </w:rPr>
        <w:t xml:space="preserve">the Central Local Court, </w:t>
      </w:r>
      <w:r w:rsidRPr="0041614D">
        <w:rPr>
          <w:rFonts w:ascii="Arial" w:hAnsi="Arial" w:cs="Arial"/>
          <w:szCs w:val="24"/>
        </w:rPr>
        <w:t xml:space="preserve">the </w:t>
      </w:r>
      <w:r w:rsidR="001F72BC" w:rsidRPr="0041614D">
        <w:rPr>
          <w:rFonts w:ascii="Arial" w:hAnsi="Arial" w:cs="Arial"/>
          <w:szCs w:val="24"/>
        </w:rPr>
        <w:t xml:space="preserve">Downing Centre Local Court, </w:t>
      </w:r>
      <w:r w:rsidRPr="0041614D">
        <w:rPr>
          <w:rFonts w:ascii="Arial" w:hAnsi="Arial" w:cs="Arial"/>
          <w:szCs w:val="24"/>
        </w:rPr>
        <w:t xml:space="preserve">the </w:t>
      </w:r>
      <w:r w:rsidR="005911E8" w:rsidRPr="0041614D">
        <w:rPr>
          <w:rFonts w:ascii="Arial" w:hAnsi="Arial" w:cs="Arial"/>
          <w:szCs w:val="24"/>
        </w:rPr>
        <w:t xml:space="preserve">Local Court </w:t>
      </w:r>
      <w:r w:rsidR="00666F24" w:rsidRPr="0041614D">
        <w:rPr>
          <w:rFonts w:ascii="Arial" w:hAnsi="Arial" w:cs="Arial"/>
          <w:szCs w:val="24"/>
        </w:rPr>
        <w:t>Newto</w:t>
      </w:r>
      <w:r w:rsidR="00E6762B" w:rsidRPr="0041614D">
        <w:rPr>
          <w:rFonts w:ascii="Arial" w:hAnsi="Arial" w:cs="Arial"/>
          <w:szCs w:val="24"/>
        </w:rPr>
        <w:t>w</w:t>
      </w:r>
      <w:r w:rsidR="00666F24" w:rsidRPr="0041614D">
        <w:rPr>
          <w:rFonts w:ascii="Arial" w:hAnsi="Arial" w:cs="Arial"/>
          <w:szCs w:val="24"/>
        </w:rPr>
        <w:t>n</w:t>
      </w:r>
      <w:r w:rsidR="001F72BC" w:rsidRPr="0041614D">
        <w:rPr>
          <w:rFonts w:ascii="Arial" w:hAnsi="Arial" w:cs="Arial"/>
          <w:szCs w:val="24"/>
        </w:rPr>
        <w:t xml:space="preserve"> </w:t>
      </w:r>
      <w:r w:rsidRPr="0041614D">
        <w:rPr>
          <w:rFonts w:ascii="Arial" w:hAnsi="Arial" w:cs="Arial"/>
          <w:szCs w:val="24"/>
        </w:rPr>
        <w:t xml:space="preserve">and the </w:t>
      </w:r>
      <w:r w:rsidR="000602AE" w:rsidRPr="0041614D">
        <w:rPr>
          <w:rFonts w:ascii="Arial" w:hAnsi="Arial" w:cs="Arial"/>
          <w:szCs w:val="24"/>
        </w:rPr>
        <w:t xml:space="preserve">Local Court </w:t>
      </w:r>
      <w:r w:rsidR="00666F24" w:rsidRPr="0041614D">
        <w:rPr>
          <w:rFonts w:ascii="Arial" w:hAnsi="Arial" w:cs="Arial"/>
          <w:szCs w:val="24"/>
        </w:rPr>
        <w:t>North Sydney</w:t>
      </w:r>
      <w:r w:rsidRPr="0041614D">
        <w:rPr>
          <w:rFonts w:ascii="Arial" w:hAnsi="Arial" w:cs="Arial"/>
          <w:szCs w:val="24"/>
        </w:rPr>
        <w:t>, all located in New South Wales</w:t>
      </w:r>
      <w:r w:rsidR="00816B53" w:rsidRPr="0041614D">
        <w:rPr>
          <w:rFonts w:ascii="Arial" w:hAnsi="Arial" w:cs="Arial"/>
          <w:szCs w:val="24"/>
        </w:rPr>
        <w:t xml:space="preserve"> (NSW)</w:t>
      </w:r>
      <w:r w:rsidRPr="0041614D">
        <w:rPr>
          <w:rFonts w:ascii="Arial" w:hAnsi="Arial" w:cs="Arial"/>
          <w:szCs w:val="24"/>
        </w:rPr>
        <w:t>.</w:t>
      </w:r>
    </w:p>
    <w:p w:rsidR="00E60BE3" w:rsidRPr="0041614D" w:rsidRDefault="00E60BE3" w:rsidP="0039254C">
      <w:pPr>
        <w:tabs>
          <w:tab w:val="left" w:pos="2160"/>
        </w:tabs>
        <w:jc w:val="both"/>
        <w:rPr>
          <w:rFonts w:ascii="Arial" w:hAnsi="Arial" w:cs="Arial"/>
          <w:szCs w:val="24"/>
        </w:rPr>
      </w:pPr>
    </w:p>
    <w:p w:rsidR="00E60BE3" w:rsidRPr="0041614D" w:rsidRDefault="00E60BE3" w:rsidP="00E60BE3">
      <w:pPr>
        <w:tabs>
          <w:tab w:val="left" w:pos="2160"/>
        </w:tabs>
        <w:jc w:val="both"/>
        <w:rPr>
          <w:rFonts w:ascii="Arial" w:hAnsi="Arial" w:cs="Arial"/>
          <w:szCs w:val="24"/>
        </w:rPr>
      </w:pPr>
      <w:r w:rsidRPr="0041614D">
        <w:rPr>
          <w:rFonts w:ascii="Arial" w:hAnsi="Arial" w:cs="Arial"/>
          <w:szCs w:val="24"/>
        </w:rPr>
        <w:t xml:space="preserve">The Proclamation is a legislative instrument for the purposes of the </w:t>
      </w:r>
      <w:r w:rsidRPr="0041614D">
        <w:rPr>
          <w:rFonts w:ascii="Arial" w:hAnsi="Arial" w:cs="Arial"/>
          <w:i/>
          <w:szCs w:val="24"/>
        </w:rPr>
        <w:t>Legislat</w:t>
      </w:r>
      <w:r w:rsidR="000602AE" w:rsidRPr="0041614D">
        <w:rPr>
          <w:rFonts w:ascii="Arial" w:hAnsi="Arial" w:cs="Arial"/>
          <w:i/>
          <w:szCs w:val="24"/>
        </w:rPr>
        <w:t>ion</w:t>
      </w:r>
      <w:r w:rsidRPr="0041614D">
        <w:rPr>
          <w:rFonts w:ascii="Arial" w:hAnsi="Arial" w:cs="Arial"/>
          <w:i/>
          <w:szCs w:val="24"/>
        </w:rPr>
        <w:t xml:space="preserve"> Act 2003</w:t>
      </w:r>
      <w:r w:rsidRPr="0041614D">
        <w:rPr>
          <w:rFonts w:ascii="Arial" w:hAnsi="Arial" w:cs="Arial"/>
          <w:szCs w:val="24"/>
        </w:rPr>
        <w:t xml:space="preserve"> and commences on 1 October 2017.</w:t>
      </w:r>
    </w:p>
    <w:p w:rsidR="0039254C" w:rsidRPr="0041614D" w:rsidRDefault="0039254C" w:rsidP="0039254C">
      <w:pPr>
        <w:tabs>
          <w:tab w:val="left" w:pos="2160"/>
        </w:tabs>
        <w:jc w:val="both"/>
        <w:rPr>
          <w:rFonts w:ascii="Arial" w:hAnsi="Arial" w:cs="Arial"/>
          <w:szCs w:val="24"/>
        </w:rPr>
      </w:pPr>
    </w:p>
    <w:p w:rsidR="0039254C" w:rsidRPr="0041614D" w:rsidRDefault="0039254C" w:rsidP="0039254C">
      <w:pPr>
        <w:tabs>
          <w:tab w:val="left" w:pos="2160"/>
        </w:tabs>
        <w:jc w:val="both"/>
        <w:rPr>
          <w:rFonts w:ascii="Arial" w:hAnsi="Arial" w:cs="Arial"/>
          <w:szCs w:val="24"/>
        </w:rPr>
      </w:pPr>
      <w:r w:rsidRPr="0041614D">
        <w:rPr>
          <w:rFonts w:ascii="Arial" w:hAnsi="Arial" w:cs="Arial"/>
          <w:b/>
          <w:szCs w:val="24"/>
        </w:rPr>
        <w:t>Background</w:t>
      </w:r>
    </w:p>
    <w:p w:rsidR="0039254C" w:rsidRPr="0041614D" w:rsidRDefault="0039254C" w:rsidP="0039254C">
      <w:pPr>
        <w:tabs>
          <w:tab w:val="left" w:pos="2160"/>
        </w:tabs>
        <w:jc w:val="both"/>
        <w:rPr>
          <w:rFonts w:ascii="Arial" w:hAnsi="Arial" w:cs="Arial"/>
          <w:szCs w:val="24"/>
        </w:rPr>
      </w:pPr>
    </w:p>
    <w:p w:rsidR="00A55709" w:rsidRPr="0041614D" w:rsidRDefault="0039254C" w:rsidP="00E60BE3">
      <w:pPr>
        <w:tabs>
          <w:tab w:val="left" w:pos="2160"/>
        </w:tabs>
        <w:jc w:val="both"/>
        <w:rPr>
          <w:rFonts w:ascii="Arial" w:hAnsi="Arial" w:cs="Arial"/>
          <w:szCs w:val="24"/>
        </w:rPr>
      </w:pPr>
      <w:r w:rsidRPr="0041614D">
        <w:rPr>
          <w:rFonts w:ascii="Arial" w:hAnsi="Arial" w:cs="Arial"/>
          <w:szCs w:val="24"/>
        </w:rPr>
        <w:t xml:space="preserve">This Proclamation has been made </w:t>
      </w:r>
      <w:r w:rsidR="00AB7A5E" w:rsidRPr="0041614D">
        <w:rPr>
          <w:rFonts w:ascii="Arial" w:hAnsi="Arial" w:cs="Arial"/>
          <w:szCs w:val="24"/>
        </w:rPr>
        <w:t>due to the expiry of</w:t>
      </w:r>
      <w:r w:rsidRPr="0041614D">
        <w:rPr>
          <w:rFonts w:ascii="Arial" w:hAnsi="Arial" w:cs="Arial"/>
          <w:szCs w:val="24"/>
        </w:rPr>
        <w:t xml:space="preserve"> the </w:t>
      </w:r>
      <w:r w:rsidR="001F72BC" w:rsidRPr="0041614D">
        <w:rPr>
          <w:rFonts w:ascii="Arial" w:hAnsi="Arial" w:cs="Arial"/>
          <w:i/>
          <w:szCs w:val="24"/>
        </w:rPr>
        <w:t xml:space="preserve">Summary Courts Jurisdiction – Child Support (Assessment) Proclamation 2007 </w:t>
      </w:r>
      <w:r w:rsidR="001F72BC" w:rsidRPr="0041614D">
        <w:rPr>
          <w:rFonts w:ascii="Arial" w:hAnsi="Arial" w:cs="Arial"/>
          <w:szCs w:val="24"/>
        </w:rPr>
        <w:t xml:space="preserve">and the </w:t>
      </w:r>
      <w:r w:rsidRPr="0041614D">
        <w:rPr>
          <w:rFonts w:ascii="Arial" w:hAnsi="Arial" w:cs="Arial"/>
          <w:i/>
          <w:szCs w:val="24"/>
        </w:rPr>
        <w:t>Summary Courts Jurisdiction – Child Support (Registration and Collection) Proclamation 2007</w:t>
      </w:r>
      <w:r w:rsidR="00AB7A5E" w:rsidRPr="0041614D">
        <w:rPr>
          <w:rFonts w:ascii="Arial" w:hAnsi="Arial" w:cs="Arial"/>
          <w:i/>
          <w:szCs w:val="24"/>
        </w:rPr>
        <w:t xml:space="preserve"> </w:t>
      </w:r>
      <w:r w:rsidR="00A55709" w:rsidRPr="0041614D">
        <w:rPr>
          <w:rFonts w:ascii="Arial" w:hAnsi="Arial" w:cs="Arial"/>
          <w:szCs w:val="24"/>
        </w:rPr>
        <w:t xml:space="preserve">(the 2007 Proclamations) </w:t>
      </w:r>
      <w:r w:rsidR="00AB7A5E" w:rsidRPr="0041614D">
        <w:rPr>
          <w:rFonts w:ascii="Arial" w:hAnsi="Arial" w:cs="Arial"/>
          <w:szCs w:val="24"/>
        </w:rPr>
        <w:t>on 1 October 2017</w:t>
      </w:r>
      <w:r w:rsidR="00E60BE3" w:rsidRPr="0041614D">
        <w:rPr>
          <w:rFonts w:ascii="Arial" w:hAnsi="Arial" w:cs="Arial"/>
          <w:szCs w:val="24"/>
        </w:rPr>
        <w:t xml:space="preserve">. </w:t>
      </w:r>
    </w:p>
    <w:p w:rsidR="00A55709" w:rsidRPr="0041614D" w:rsidRDefault="00A55709" w:rsidP="00E60BE3">
      <w:pPr>
        <w:tabs>
          <w:tab w:val="left" w:pos="2160"/>
        </w:tabs>
        <w:jc w:val="both"/>
        <w:rPr>
          <w:rFonts w:ascii="Arial" w:hAnsi="Arial" w:cs="Arial"/>
          <w:szCs w:val="24"/>
        </w:rPr>
      </w:pPr>
    </w:p>
    <w:p w:rsidR="00414D38" w:rsidRPr="0041614D" w:rsidRDefault="00C27622" w:rsidP="00E60BE3">
      <w:pPr>
        <w:tabs>
          <w:tab w:val="left" w:pos="2160"/>
        </w:tabs>
        <w:jc w:val="both"/>
        <w:rPr>
          <w:rFonts w:ascii="Arial" w:hAnsi="Arial" w:cs="Arial"/>
          <w:szCs w:val="24"/>
        </w:rPr>
      </w:pPr>
      <w:r w:rsidRPr="0041614D">
        <w:rPr>
          <w:rFonts w:ascii="Arial" w:hAnsi="Arial" w:cs="Arial"/>
          <w:szCs w:val="24"/>
        </w:rPr>
        <w:t xml:space="preserve">The 2007 Proclamations cease operation on 1 October 2017 due to the sunsetting provisions in the </w:t>
      </w:r>
      <w:r w:rsidRPr="0041614D">
        <w:rPr>
          <w:rFonts w:ascii="Arial" w:hAnsi="Arial" w:cs="Arial"/>
          <w:i/>
          <w:szCs w:val="24"/>
        </w:rPr>
        <w:t>Legislation Act 2003</w:t>
      </w:r>
      <w:r w:rsidRPr="0041614D">
        <w:rPr>
          <w:rFonts w:ascii="Arial" w:hAnsi="Arial" w:cs="Arial"/>
          <w:szCs w:val="24"/>
        </w:rPr>
        <w:t>.</w:t>
      </w:r>
    </w:p>
    <w:p w:rsidR="00414D38" w:rsidRPr="0041614D" w:rsidRDefault="00414D38" w:rsidP="00E60BE3">
      <w:pPr>
        <w:tabs>
          <w:tab w:val="left" w:pos="2160"/>
        </w:tabs>
        <w:jc w:val="both"/>
        <w:rPr>
          <w:rFonts w:ascii="Arial" w:hAnsi="Arial" w:cs="Arial"/>
          <w:szCs w:val="24"/>
        </w:rPr>
      </w:pPr>
    </w:p>
    <w:p w:rsidR="00707DB1" w:rsidRPr="0041614D" w:rsidRDefault="000602AE" w:rsidP="000602AE">
      <w:pPr>
        <w:tabs>
          <w:tab w:val="left" w:pos="2160"/>
        </w:tabs>
        <w:jc w:val="both"/>
        <w:rPr>
          <w:rFonts w:ascii="Arial" w:hAnsi="Arial" w:cs="Arial"/>
          <w:iCs/>
          <w:szCs w:val="24"/>
        </w:rPr>
      </w:pPr>
      <w:r w:rsidRPr="0041614D">
        <w:rPr>
          <w:rFonts w:ascii="Arial" w:hAnsi="Arial" w:cs="Arial"/>
          <w:szCs w:val="24"/>
        </w:rPr>
        <w:t>T</w:t>
      </w:r>
      <w:r w:rsidR="00414D38" w:rsidRPr="0041614D">
        <w:rPr>
          <w:rFonts w:ascii="Arial" w:hAnsi="Arial" w:cs="Arial"/>
          <w:szCs w:val="24"/>
        </w:rPr>
        <w:t>he NSW Government relocated the St James Local Court</w:t>
      </w:r>
      <w:r w:rsidR="00414D38" w:rsidRPr="0041614D">
        <w:rPr>
          <w:rFonts w:ascii="Arial" w:hAnsi="Arial" w:cs="Arial"/>
          <w:i/>
          <w:szCs w:val="24"/>
        </w:rPr>
        <w:t xml:space="preserve"> </w:t>
      </w:r>
      <w:r w:rsidR="00414D38" w:rsidRPr="0041614D">
        <w:rPr>
          <w:rFonts w:ascii="Arial" w:hAnsi="Arial" w:cs="Arial"/>
          <w:szCs w:val="24"/>
        </w:rPr>
        <w:t>Sydney to the Children’s Court complex in Parramatta</w:t>
      </w:r>
      <w:r w:rsidRPr="0041614D">
        <w:rPr>
          <w:rFonts w:ascii="Arial" w:hAnsi="Arial" w:cs="Arial"/>
          <w:szCs w:val="24"/>
        </w:rPr>
        <w:t xml:space="preserve"> on 13 November 2006</w:t>
      </w:r>
      <w:r w:rsidR="00414D38" w:rsidRPr="0041614D">
        <w:rPr>
          <w:rFonts w:ascii="Arial" w:hAnsi="Arial" w:cs="Arial"/>
          <w:szCs w:val="24"/>
        </w:rPr>
        <w:t xml:space="preserve">. The St James Court had provided specialist family law services pursuant to an agreement </w:t>
      </w:r>
      <w:r w:rsidR="00414D38" w:rsidRPr="0041614D">
        <w:rPr>
          <w:rFonts w:ascii="Arial" w:hAnsi="Arial" w:cs="Arial"/>
          <w:szCs w:val="24"/>
        </w:rPr>
        <w:lastRenderedPageBreak/>
        <w:t xml:space="preserve">between the Commonwealth and NSW under the </w:t>
      </w:r>
      <w:r w:rsidR="00BB37D9" w:rsidRPr="0041614D">
        <w:rPr>
          <w:rFonts w:ascii="Arial" w:hAnsi="Arial" w:cs="Arial"/>
          <w:szCs w:val="24"/>
        </w:rPr>
        <w:t xml:space="preserve">Assessment </w:t>
      </w:r>
      <w:r w:rsidR="00414D38" w:rsidRPr="0041614D">
        <w:rPr>
          <w:rFonts w:ascii="Arial" w:hAnsi="Arial" w:cs="Arial"/>
          <w:iCs/>
          <w:szCs w:val="24"/>
        </w:rPr>
        <w:t>Act</w:t>
      </w:r>
      <w:r w:rsidR="00BB37D9" w:rsidRPr="0041614D">
        <w:rPr>
          <w:rFonts w:ascii="Arial" w:hAnsi="Arial" w:cs="Arial"/>
          <w:iCs/>
          <w:szCs w:val="24"/>
        </w:rPr>
        <w:t xml:space="preserve"> and </w:t>
      </w:r>
      <w:r w:rsidR="00E50FBA" w:rsidRPr="0041614D">
        <w:rPr>
          <w:rFonts w:ascii="Arial" w:hAnsi="Arial" w:cs="Arial"/>
          <w:iCs/>
          <w:szCs w:val="24"/>
        </w:rPr>
        <w:t xml:space="preserve">the </w:t>
      </w:r>
      <w:r w:rsidR="00BB37D9" w:rsidRPr="0041614D">
        <w:rPr>
          <w:rFonts w:ascii="Arial" w:hAnsi="Arial" w:cs="Arial"/>
          <w:iCs/>
          <w:szCs w:val="24"/>
        </w:rPr>
        <w:t>Registration</w:t>
      </w:r>
      <w:r w:rsidRPr="0041614D">
        <w:rPr>
          <w:rFonts w:ascii="Arial" w:hAnsi="Arial" w:cs="Arial"/>
          <w:iCs/>
          <w:szCs w:val="24"/>
        </w:rPr>
        <w:t xml:space="preserve"> and Collection</w:t>
      </w:r>
      <w:r w:rsidR="00BB37D9" w:rsidRPr="0041614D">
        <w:rPr>
          <w:rFonts w:ascii="Arial" w:hAnsi="Arial" w:cs="Arial"/>
          <w:iCs/>
          <w:szCs w:val="24"/>
        </w:rPr>
        <w:t xml:space="preserve"> Act</w:t>
      </w:r>
      <w:r w:rsidR="00414D38" w:rsidRPr="0041614D">
        <w:rPr>
          <w:rFonts w:ascii="Arial" w:hAnsi="Arial" w:cs="Arial"/>
          <w:szCs w:val="24"/>
        </w:rPr>
        <w:t>.</w:t>
      </w:r>
      <w:r w:rsidR="00BB37D9" w:rsidRPr="0041614D">
        <w:rPr>
          <w:rFonts w:ascii="Arial" w:hAnsi="Arial" w:cs="Arial"/>
          <w:szCs w:val="24"/>
        </w:rPr>
        <w:t xml:space="preserve"> </w:t>
      </w:r>
      <w:r w:rsidR="00414D38" w:rsidRPr="0041614D">
        <w:rPr>
          <w:rFonts w:ascii="Arial" w:hAnsi="Arial" w:cs="Arial"/>
          <w:iCs/>
          <w:szCs w:val="24"/>
        </w:rPr>
        <w:t>The NSW Attorney</w:t>
      </w:r>
      <w:r w:rsidR="00AA2EC4" w:rsidRPr="0041614D">
        <w:rPr>
          <w:rFonts w:ascii="Arial" w:hAnsi="Arial" w:cs="Arial"/>
          <w:iCs/>
          <w:szCs w:val="24"/>
        </w:rPr>
        <w:t xml:space="preserve"> </w:t>
      </w:r>
      <w:r w:rsidR="00414D38" w:rsidRPr="0041614D">
        <w:rPr>
          <w:rFonts w:ascii="Arial" w:hAnsi="Arial" w:cs="Arial"/>
          <w:iCs/>
          <w:szCs w:val="24"/>
        </w:rPr>
        <w:t xml:space="preserve">General subsequently requested a Proclamation be made to prevent family law proceedings that would previously have been dealt with </w:t>
      </w:r>
      <w:r w:rsidRPr="0041614D">
        <w:rPr>
          <w:rFonts w:ascii="Arial" w:hAnsi="Arial" w:cs="Arial"/>
          <w:iCs/>
          <w:szCs w:val="24"/>
        </w:rPr>
        <w:t>in</w:t>
      </w:r>
      <w:r w:rsidR="00414D38" w:rsidRPr="0041614D">
        <w:rPr>
          <w:rFonts w:ascii="Arial" w:hAnsi="Arial" w:cs="Arial"/>
          <w:iCs/>
          <w:szCs w:val="24"/>
        </w:rPr>
        <w:t xml:space="preserve"> the St James Court being lodged in, or transferred to, nearby Local Courts that lack specialist family law expertise.</w:t>
      </w:r>
    </w:p>
    <w:p w:rsidR="00707DB1" w:rsidRPr="0041614D" w:rsidRDefault="00707DB1" w:rsidP="000602AE">
      <w:pPr>
        <w:tabs>
          <w:tab w:val="left" w:pos="2160"/>
        </w:tabs>
        <w:jc w:val="both"/>
        <w:rPr>
          <w:rFonts w:ascii="Arial" w:hAnsi="Arial" w:cs="Arial"/>
          <w:iCs/>
          <w:szCs w:val="24"/>
        </w:rPr>
      </w:pPr>
    </w:p>
    <w:p w:rsidR="000602AE" w:rsidRPr="0041614D" w:rsidRDefault="000602AE" w:rsidP="000602AE">
      <w:pPr>
        <w:tabs>
          <w:tab w:val="left" w:pos="2160"/>
        </w:tabs>
        <w:jc w:val="both"/>
        <w:rPr>
          <w:rFonts w:ascii="Arial" w:hAnsi="Arial" w:cs="Arial"/>
          <w:iCs/>
          <w:szCs w:val="24"/>
        </w:rPr>
      </w:pPr>
      <w:r w:rsidRPr="0041614D">
        <w:rPr>
          <w:rFonts w:ascii="Arial" w:hAnsi="Arial" w:cs="Arial"/>
          <w:iCs/>
          <w:szCs w:val="24"/>
        </w:rPr>
        <w:t xml:space="preserve">The presence of the Family Court of Australia and the Federal </w:t>
      </w:r>
      <w:r w:rsidR="00816B53" w:rsidRPr="0041614D">
        <w:rPr>
          <w:rFonts w:ascii="Arial" w:hAnsi="Arial" w:cs="Arial"/>
          <w:iCs/>
          <w:szCs w:val="24"/>
        </w:rPr>
        <w:t>Circuit</w:t>
      </w:r>
      <w:r w:rsidRPr="0041614D">
        <w:rPr>
          <w:rFonts w:ascii="Arial" w:hAnsi="Arial" w:cs="Arial"/>
          <w:iCs/>
          <w:szCs w:val="24"/>
        </w:rPr>
        <w:t xml:space="preserve"> Court in the Sydney C</w:t>
      </w:r>
      <w:r w:rsidR="00707DB1" w:rsidRPr="0041614D">
        <w:rPr>
          <w:rFonts w:ascii="Arial" w:hAnsi="Arial" w:cs="Arial"/>
          <w:iCs/>
          <w:szCs w:val="24"/>
        </w:rPr>
        <w:t xml:space="preserve">entral </w:t>
      </w:r>
      <w:r w:rsidRPr="0041614D">
        <w:rPr>
          <w:rFonts w:ascii="Arial" w:hAnsi="Arial" w:cs="Arial"/>
          <w:iCs/>
          <w:szCs w:val="24"/>
        </w:rPr>
        <w:t>B</w:t>
      </w:r>
      <w:r w:rsidR="00707DB1" w:rsidRPr="0041614D">
        <w:rPr>
          <w:rFonts w:ascii="Arial" w:hAnsi="Arial" w:cs="Arial"/>
          <w:iCs/>
          <w:szCs w:val="24"/>
        </w:rPr>
        <w:t xml:space="preserve">usiness </w:t>
      </w:r>
      <w:r w:rsidRPr="0041614D">
        <w:rPr>
          <w:rFonts w:ascii="Arial" w:hAnsi="Arial" w:cs="Arial"/>
          <w:iCs/>
          <w:szCs w:val="24"/>
        </w:rPr>
        <w:t>D</w:t>
      </w:r>
      <w:r w:rsidR="00707DB1" w:rsidRPr="0041614D">
        <w:rPr>
          <w:rFonts w:ascii="Arial" w:hAnsi="Arial" w:cs="Arial"/>
          <w:iCs/>
          <w:szCs w:val="24"/>
        </w:rPr>
        <w:t>istrict</w:t>
      </w:r>
      <w:r w:rsidRPr="0041614D">
        <w:rPr>
          <w:rFonts w:ascii="Arial" w:hAnsi="Arial" w:cs="Arial"/>
          <w:iCs/>
          <w:szCs w:val="24"/>
        </w:rPr>
        <w:t xml:space="preserve"> presents an alternative to matters being instituted in or transferred to the Local Courts.</w:t>
      </w:r>
    </w:p>
    <w:p w:rsidR="00816B53" w:rsidRPr="0041614D" w:rsidRDefault="00816B53" w:rsidP="000602AE">
      <w:pPr>
        <w:tabs>
          <w:tab w:val="left" w:pos="2160"/>
        </w:tabs>
        <w:jc w:val="both"/>
        <w:rPr>
          <w:rFonts w:ascii="Arial" w:hAnsi="Arial" w:cs="Arial"/>
          <w:szCs w:val="24"/>
        </w:rPr>
      </w:pPr>
    </w:p>
    <w:p w:rsidR="00414D38" w:rsidRPr="0041614D" w:rsidRDefault="00E60BE3" w:rsidP="00E60BE3">
      <w:pPr>
        <w:tabs>
          <w:tab w:val="left" w:pos="2160"/>
        </w:tabs>
        <w:jc w:val="both"/>
        <w:rPr>
          <w:rFonts w:ascii="Arial" w:hAnsi="Arial" w:cs="Arial"/>
          <w:iCs/>
          <w:szCs w:val="24"/>
        </w:rPr>
      </w:pPr>
      <w:r w:rsidRPr="0041614D">
        <w:rPr>
          <w:rFonts w:ascii="Arial" w:hAnsi="Arial" w:cs="Arial"/>
          <w:szCs w:val="24"/>
        </w:rPr>
        <w:t>Th</w:t>
      </w:r>
      <w:r w:rsidR="00414D38" w:rsidRPr="0041614D">
        <w:rPr>
          <w:rFonts w:ascii="Arial" w:hAnsi="Arial" w:cs="Arial"/>
          <w:szCs w:val="24"/>
        </w:rPr>
        <w:t>is</w:t>
      </w:r>
      <w:r w:rsidRPr="0041614D">
        <w:rPr>
          <w:rFonts w:ascii="Arial" w:hAnsi="Arial" w:cs="Arial"/>
          <w:szCs w:val="24"/>
        </w:rPr>
        <w:t xml:space="preserve"> Proclamation has been made to</w:t>
      </w:r>
      <w:r w:rsidR="00644812" w:rsidRPr="0041614D">
        <w:rPr>
          <w:rFonts w:ascii="Arial" w:hAnsi="Arial" w:cs="Arial"/>
          <w:iCs/>
          <w:szCs w:val="24"/>
        </w:rPr>
        <w:t xml:space="preserve"> </w:t>
      </w:r>
      <w:r w:rsidR="00414D38" w:rsidRPr="0041614D">
        <w:rPr>
          <w:rFonts w:ascii="Arial" w:hAnsi="Arial" w:cs="Arial"/>
          <w:iCs/>
          <w:szCs w:val="24"/>
        </w:rPr>
        <w:t xml:space="preserve">continue this arrangement at the request of the NSW Department of Justice, as the Local Courts listed in the Proclamation continue to lack specialist family law expertise. </w:t>
      </w:r>
      <w:r w:rsidR="00BB37D9" w:rsidRPr="0041614D">
        <w:rPr>
          <w:rFonts w:ascii="Arial" w:hAnsi="Arial" w:cs="Arial"/>
          <w:iCs/>
          <w:szCs w:val="24"/>
        </w:rPr>
        <w:t xml:space="preserve"> </w:t>
      </w:r>
    </w:p>
    <w:p w:rsidR="00644812" w:rsidRPr="0041614D" w:rsidRDefault="00644812" w:rsidP="0039254C">
      <w:pPr>
        <w:jc w:val="both"/>
        <w:rPr>
          <w:rFonts w:ascii="Arial" w:hAnsi="Arial" w:cs="Arial"/>
          <w:szCs w:val="24"/>
        </w:rPr>
      </w:pPr>
    </w:p>
    <w:p w:rsidR="00E60BE3" w:rsidRPr="0041614D" w:rsidRDefault="00E60BE3" w:rsidP="0039254C">
      <w:pPr>
        <w:jc w:val="both"/>
        <w:rPr>
          <w:rFonts w:ascii="Arial" w:hAnsi="Arial" w:cs="Arial"/>
          <w:b/>
          <w:szCs w:val="24"/>
        </w:rPr>
      </w:pPr>
      <w:r w:rsidRPr="0041614D">
        <w:rPr>
          <w:rFonts w:ascii="Arial" w:hAnsi="Arial" w:cs="Arial"/>
          <w:b/>
          <w:szCs w:val="24"/>
        </w:rPr>
        <w:t>Explanation of the Provisions</w:t>
      </w:r>
    </w:p>
    <w:p w:rsidR="00E60BE3" w:rsidRPr="0041614D" w:rsidRDefault="00E60BE3" w:rsidP="0039254C">
      <w:pPr>
        <w:jc w:val="both"/>
        <w:rPr>
          <w:rFonts w:ascii="Arial" w:hAnsi="Arial" w:cs="Arial"/>
          <w:b/>
          <w:szCs w:val="24"/>
        </w:rPr>
      </w:pPr>
    </w:p>
    <w:p w:rsidR="00E60BE3" w:rsidRPr="0041614D" w:rsidRDefault="00E60BE3" w:rsidP="00E60BE3">
      <w:pPr>
        <w:jc w:val="both"/>
        <w:rPr>
          <w:rFonts w:ascii="Arial" w:hAnsi="Arial" w:cs="Arial"/>
          <w:szCs w:val="24"/>
        </w:rPr>
      </w:pPr>
      <w:r w:rsidRPr="0041614D">
        <w:rPr>
          <w:rFonts w:ascii="Arial" w:hAnsi="Arial" w:cs="Arial"/>
          <w:szCs w:val="24"/>
        </w:rPr>
        <w:t xml:space="preserve">Section 1 of the Proclamation states the name of the </w:t>
      </w:r>
      <w:r w:rsidR="00414D38" w:rsidRPr="0041614D">
        <w:rPr>
          <w:rFonts w:ascii="Arial" w:hAnsi="Arial" w:cs="Arial"/>
          <w:szCs w:val="24"/>
        </w:rPr>
        <w:t>P</w:t>
      </w:r>
      <w:r w:rsidRPr="0041614D">
        <w:rPr>
          <w:rFonts w:ascii="Arial" w:hAnsi="Arial" w:cs="Arial"/>
          <w:szCs w:val="24"/>
        </w:rPr>
        <w:t>roclamation.</w:t>
      </w:r>
    </w:p>
    <w:p w:rsidR="00E60BE3" w:rsidRPr="0041614D" w:rsidRDefault="00E60BE3" w:rsidP="00E60BE3">
      <w:pPr>
        <w:jc w:val="both"/>
        <w:rPr>
          <w:rFonts w:ascii="Arial" w:hAnsi="Arial" w:cs="Arial"/>
          <w:szCs w:val="24"/>
        </w:rPr>
      </w:pPr>
    </w:p>
    <w:p w:rsidR="00E60BE3" w:rsidRPr="0041614D" w:rsidRDefault="00E60BE3" w:rsidP="00E60BE3">
      <w:pPr>
        <w:jc w:val="both"/>
        <w:rPr>
          <w:rFonts w:ascii="Arial" w:hAnsi="Arial" w:cs="Arial"/>
          <w:szCs w:val="24"/>
        </w:rPr>
      </w:pPr>
      <w:r w:rsidRPr="0041614D">
        <w:rPr>
          <w:rFonts w:ascii="Arial" w:hAnsi="Arial" w:cs="Arial"/>
          <w:szCs w:val="24"/>
        </w:rPr>
        <w:t xml:space="preserve">Section 2 provides that the </w:t>
      </w:r>
      <w:r w:rsidR="0097743D" w:rsidRPr="0041614D">
        <w:rPr>
          <w:rFonts w:ascii="Arial" w:hAnsi="Arial" w:cs="Arial"/>
          <w:szCs w:val="24"/>
        </w:rPr>
        <w:t>Proclamation</w:t>
      </w:r>
      <w:r w:rsidRPr="0041614D">
        <w:rPr>
          <w:rFonts w:ascii="Arial" w:hAnsi="Arial" w:cs="Arial"/>
          <w:szCs w:val="24"/>
        </w:rPr>
        <w:t xml:space="preserve"> commences on 1 October 2017.</w:t>
      </w:r>
    </w:p>
    <w:p w:rsidR="00E60BE3" w:rsidRPr="0041614D" w:rsidRDefault="00E60BE3" w:rsidP="0039254C">
      <w:pPr>
        <w:jc w:val="both"/>
        <w:rPr>
          <w:rFonts w:ascii="Arial" w:hAnsi="Arial" w:cs="Arial"/>
          <w:szCs w:val="24"/>
        </w:rPr>
      </w:pPr>
    </w:p>
    <w:p w:rsidR="00414D38" w:rsidRPr="0041614D" w:rsidRDefault="00E60BE3" w:rsidP="0039254C">
      <w:pPr>
        <w:jc w:val="both"/>
        <w:rPr>
          <w:rFonts w:ascii="Arial" w:hAnsi="Arial" w:cs="Arial"/>
          <w:szCs w:val="24"/>
        </w:rPr>
      </w:pPr>
      <w:r w:rsidRPr="0041614D">
        <w:rPr>
          <w:rFonts w:ascii="Arial" w:hAnsi="Arial" w:cs="Arial"/>
          <w:szCs w:val="24"/>
        </w:rPr>
        <w:t xml:space="preserve">Section 3 provides </w:t>
      </w:r>
      <w:r w:rsidR="00414D38" w:rsidRPr="0041614D">
        <w:rPr>
          <w:rFonts w:ascii="Arial" w:hAnsi="Arial" w:cs="Arial"/>
          <w:szCs w:val="24"/>
        </w:rPr>
        <w:t xml:space="preserve">that the authority for making this Proclamation is </w:t>
      </w:r>
      <w:r w:rsidR="00E50FBA" w:rsidRPr="0041614D">
        <w:rPr>
          <w:rFonts w:ascii="Arial" w:hAnsi="Arial" w:cs="Arial"/>
          <w:szCs w:val="24"/>
        </w:rPr>
        <w:t>sub</w:t>
      </w:r>
      <w:r w:rsidR="00414D38" w:rsidRPr="0041614D">
        <w:rPr>
          <w:rFonts w:ascii="Arial" w:hAnsi="Arial" w:cs="Arial"/>
          <w:szCs w:val="24"/>
        </w:rPr>
        <w:t xml:space="preserve">section 99(3) of the Assessment Act and </w:t>
      </w:r>
      <w:r w:rsidR="00E50FBA" w:rsidRPr="0041614D">
        <w:rPr>
          <w:rFonts w:ascii="Arial" w:hAnsi="Arial" w:cs="Arial"/>
          <w:szCs w:val="24"/>
        </w:rPr>
        <w:t>sub</w:t>
      </w:r>
      <w:r w:rsidR="00414D38" w:rsidRPr="0041614D">
        <w:rPr>
          <w:rFonts w:ascii="Arial" w:hAnsi="Arial" w:cs="Arial"/>
          <w:szCs w:val="24"/>
        </w:rPr>
        <w:t>section 104(3) of the Registration</w:t>
      </w:r>
      <w:r w:rsidR="00E50FBA" w:rsidRPr="0041614D">
        <w:rPr>
          <w:rFonts w:ascii="Arial" w:hAnsi="Arial" w:cs="Arial"/>
          <w:szCs w:val="24"/>
        </w:rPr>
        <w:t xml:space="preserve"> and Collection</w:t>
      </w:r>
      <w:r w:rsidR="00414D38" w:rsidRPr="0041614D">
        <w:rPr>
          <w:rFonts w:ascii="Arial" w:hAnsi="Arial" w:cs="Arial"/>
          <w:szCs w:val="24"/>
        </w:rPr>
        <w:t xml:space="preserve"> Act</w:t>
      </w:r>
      <w:r w:rsidRPr="0041614D">
        <w:rPr>
          <w:rFonts w:ascii="Arial" w:hAnsi="Arial" w:cs="Arial"/>
          <w:szCs w:val="24"/>
        </w:rPr>
        <w:t>.</w:t>
      </w:r>
    </w:p>
    <w:p w:rsidR="00414D38" w:rsidRPr="0041614D" w:rsidRDefault="00414D38" w:rsidP="0039254C">
      <w:pPr>
        <w:jc w:val="both"/>
        <w:rPr>
          <w:rFonts w:ascii="Arial" w:hAnsi="Arial" w:cs="Arial"/>
          <w:szCs w:val="24"/>
        </w:rPr>
      </w:pPr>
    </w:p>
    <w:p w:rsidR="00414D38" w:rsidRPr="0041614D" w:rsidRDefault="00414D38" w:rsidP="0039254C">
      <w:pPr>
        <w:jc w:val="both"/>
        <w:rPr>
          <w:rFonts w:ascii="Arial" w:hAnsi="Arial" w:cs="Arial"/>
          <w:szCs w:val="24"/>
        </w:rPr>
      </w:pPr>
      <w:r w:rsidRPr="0041614D">
        <w:rPr>
          <w:rFonts w:ascii="Arial" w:hAnsi="Arial" w:cs="Arial"/>
          <w:szCs w:val="24"/>
        </w:rPr>
        <w:t xml:space="preserve">Section 4 provides that each instrument specified in a Schedule to the Proclamation is amended or repealed as set out in the Schedule, and any other item in a Schedule to the Proclamation has effect according to its terms. </w:t>
      </w:r>
    </w:p>
    <w:p w:rsidR="00414D38" w:rsidRPr="0041614D" w:rsidRDefault="00414D38" w:rsidP="0039254C">
      <w:pPr>
        <w:jc w:val="both"/>
        <w:rPr>
          <w:rFonts w:ascii="Arial" w:hAnsi="Arial" w:cs="Arial"/>
          <w:szCs w:val="24"/>
        </w:rPr>
      </w:pPr>
    </w:p>
    <w:p w:rsidR="00E60BE3" w:rsidRPr="0041614D" w:rsidRDefault="00414D38" w:rsidP="0039254C">
      <w:pPr>
        <w:jc w:val="both"/>
        <w:rPr>
          <w:rFonts w:ascii="Arial" w:hAnsi="Arial" w:cs="Arial"/>
          <w:szCs w:val="24"/>
        </w:rPr>
      </w:pPr>
      <w:r w:rsidRPr="0041614D">
        <w:rPr>
          <w:rFonts w:ascii="Arial" w:hAnsi="Arial" w:cs="Arial"/>
          <w:szCs w:val="24"/>
        </w:rPr>
        <w:t>Section 5 provides that on or after 1 October 2017, proceedings in relation to matters arising under the Assessment Act or the Registration</w:t>
      </w:r>
      <w:r w:rsidR="00E50FBA" w:rsidRPr="0041614D">
        <w:rPr>
          <w:rFonts w:ascii="Arial" w:hAnsi="Arial" w:cs="Arial"/>
          <w:szCs w:val="24"/>
        </w:rPr>
        <w:t xml:space="preserve"> and Collection</w:t>
      </w:r>
      <w:r w:rsidRPr="0041614D">
        <w:rPr>
          <w:rFonts w:ascii="Arial" w:hAnsi="Arial" w:cs="Arial"/>
          <w:szCs w:val="24"/>
        </w:rPr>
        <w:t xml:space="preserve"> Act may not be instituted in</w:t>
      </w:r>
      <w:r w:rsidR="003F2A33" w:rsidRPr="0041614D">
        <w:rPr>
          <w:rFonts w:ascii="Arial" w:hAnsi="Arial" w:cs="Arial"/>
          <w:szCs w:val="24"/>
        </w:rPr>
        <w:t>,</w:t>
      </w:r>
      <w:r w:rsidRPr="0041614D">
        <w:rPr>
          <w:rFonts w:ascii="Arial" w:hAnsi="Arial" w:cs="Arial"/>
          <w:szCs w:val="24"/>
        </w:rPr>
        <w:t xml:space="preserve"> </w:t>
      </w:r>
      <w:r w:rsidR="00AF2D75" w:rsidRPr="0041614D">
        <w:rPr>
          <w:rFonts w:ascii="Arial" w:hAnsi="Arial" w:cs="Arial"/>
          <w:szCs w:val="24"/>
        </w:rPr>
        <w:t>or transferred to, a court of summary jurisdiction in N</w:t>
      </w:r>
      <w:r w:rsidR="003F2A33" w:rsidRPr="0041614D">
        <w:rPr>
          <w:rFonts w:ascii="Arial" w:hAnsi="Arial" w:cs="Arial"/>
          <w:szCs w:val="24"/>
        </w:rPr>
        <w:t>SW</w:t>
      </w:r>
      <w:r w:rsidR="00AF2D75" w:rsidRPr="0041614D">
        <w:rPr>
          <w:rFonts w:ascii="Arial" w:hAnsi="Arial" w:cs="Arial"/>
          <w:szCs w:val="24"/>
        </w:rPr>
        <w:t xml:space="preserve"> listed in the table in the section. </w:t>
      </w:r>
      <w:r w:rsidR="00731BD6" w:rsidRPr="0041614D">
        <w:rPr>
          <w:rFonts w:ascii="Arial" w:hAnsi="Arial" w:cs="Arial"/>
          <w:szCs w:val="24"/>
        </w:rPr>
        <w:t xml:space="preserve">The table lists the Central Local Court, the Downing Centre Local Court, the </w:t>
      </w:r>
      <w:r w:rsidR="003F2A33" w:rsidRPr="0041614D">
        <w:rPr>
          <w:rFonts w:ascii="Arial" w:hAnsi="Arial" w:cs="Arial"/>
          <w:szCs w:val="24"/>
        </w:rPr>
        <w:t xml:space="preserve">Local Court </w:t>
      </w:r>
      <w:r w:rsidR="00731BD6" w:rsidRPr="0041614D">
        <w:rPr>
          <w:rFonts w:ascii="Arial" w:hAnsi="Arial" w:cs="Arial"/>
          <w:szCs w:val="24"/>
        </w:rPr>
        <w:t>Newto</w:t>
      </w:r>
      <w:r w:rsidR="00E6762B" w:rsidRPr="0041614D">
        <w:rPr>
          <w:rFonts w:ascii="Arial" w:hAnsi="Arial" w:cs="Arial"/>
          <w:szCs w:val="24"/>
        </w:rPr>
        <w:t>w</w:t>
      </w:r>
      <w:r w:rsidR="00731BD6" w:rsidRPr="0041614D">
        <w:rPr>
          <w:rFonts w:ascii="Arial" w:hAnsi="Arial" w:cs="Arial"/>
          <w:szCs w:val="24"/>
        </w:rPr>
        <w:t xml:space="preserve">n and the </w:t>
      </w:r>
      <w:r w:rsidR="003F2A33" w:rsidRPr="0041614D">
        <w:rPr>
          <w:rFonts w:ascii="Arial" w:hAnsi="Arial" w:cs="Arial"/>
          <w:szCs w:val="24"/>
        </w:rPr>
        <w:t xml:space="preserve">Local Court </w:t>
      </w:r>
      <w:r w:rsidR="00731BD6" w:rsidRPr="0041614D">
        <w:rPr>
          <w:rFonts w:ascii="Arial" w:hAnsi="Arial" w:cs="Arial"/>
          <w:szCs w:val="24"/>
        </w:rPr>
        <w:t>North Sydney.</w:t>
      </w:r>
    </w:p>
    <w:p w:rsidR="00C52578" w:rsidRPr="0041614D" w:rsidRDefault="00C52578" w:rsidP="0039254C">
      <w:pPr>
        <w:jc w:val="both"/>
        <w:rPr>
          <w:rFonts w:ascii="Arial" w:hAnsi="Arial" w:cs="Arial"/>
          <w:szCs w:val="24"/>
        </w:rPr>
      </w:pPr>
    </w:p>
    <w:p w:rsidR="00644812" w:rsidRPr="0041614D" w:rsidRDefault="00C52578" w:rsidP="0039254C">
      <w:pPr>
        <w:jc w:val="both"/>
        <w:rPr>
          <w:rFonts w:ascii="Arial" w:hAnsi="Arial" w:cs="Arial"/>
          <w:szCs w:val="24"/>
        </w:rPr>
      </w:pPr>
      <w:r w:rsidRPr="0041614D">
        <w:rPr>
          <w:rFonts w:ascii="Arial" w:hAnsi="Arial" w:cs="Arial"/>
          <w:szCs w:val="24"/>
        </w:rPr>
        <w:t xml:space="preserve">Items 1 and 2 of Schedule 1 repeal two Proclamations. These are the </w:t>
      </w:r>
      <w:r w:rsidRPr="0041614D">
        <w:rPr>
          <w:rFonts w:ascii="Arial" w:hAnsi="Arial" w:cs="Arial"/>
          <w:i/>
          <w:szCs w:val="24"/>
        </w:rPr>
        <w:t xml:space="preserve">Summary Courts Jurisdiction – Child Support (Assessment) Proclamation 2007 </w:t>
      </w:r>
      <w:r w:rsidRPr="0041614D">
        <w:rPr>
          <w:rFonts w:ascii="Arial" w:hAnsi="Arial" w:cs="Arial"/>
          <w:szCs w:val="24"/>
        </w:rPr>
        <w:t xml:space="preserve">and the </w:t>
      </w:r>
      <w:r w:rsidRPr="0041614D">
        <w:rPr>
          <w:rFonts w:ascii="Arial" w:hAnsi="Arial" w:cs="Arial"/>
          <w:i/>
          <w:szCs w:val="24"/>
        </w:rPr>
        <w:t>Summary Courts Jurisdiction – Child Support (Registration and Collection) Proclamation 2007.</w:t>
      </w:r>
      <w:r w:rsidRPr="0041614D">
        <w:rPr>
          <w:rFonts w:ascii="Arial" w:hAnsi="Arial" w:cs="Arial"/>
          <w:szCs w:val="24"/>
        </w:rPr>
        <w:t xml:space="preserve"> </w:t>
      </w:r>
    </w:p>
    <w:p w:rsidR="00E60BE3" w:rsidRPr="0041614D" w:rsidRDefault="00E60BE3" w:rsidP="0039254C">
      <w:pPr>
        <w:jc w:val="both"/>
        <w:rPr>
          <w:rFonts w:ascii="Arial" w:hAnsi="Arial" w:cs="Arial"/>
          <w:szCs w:val="24"/>
        </w:rPr>
      </w:pPr>
    </w:p>
    <w:p w:rsidR="00354BEE" w:rsidRPr="00354BEE" w:rsidRDefault="00354BEE" w:rsidP="0039254C">
      <w:pPr>
        <w:jc w:val="both"/>
        <w:rPr>
          <w:rFonts w:ascii="Arial" w:hAnsi="Arial" w:cs="Arial"/>
          <w:b/>
          <w:szCs w:val="24"/>
        </w:rPr>
      </w:pPr>
      <w:r w:rsidRPr="00354BEE">
        <w:rPr>
          <w:rFonts w:ascii="Arial" w:hAnsi="Arial" w:cs="Arial"/>
          <w:b/>
          <w:szCs w:val="24"/>
        </w:rPr>
        <w:t xml:space="preserve">Regulation Impact Statement </w:t>
      </w:r>
    </w:p>
    <w:p w:rsidR="00354BEE" w:rsidRDefault="00354BEE" w:rsidP="0039254C">
      <w:pPr>
        <w:jc w:val="both"/>
        <w:rPr>
          <w:rFonts w:ascii="Arial" w:hAnsi="Arial" w:cs="Arial"/>
          <w:szCs w:val="24"/>
        </w:rPr>
      </w:pPr>
    </w:p>
    <w:p w:rsidR="00414D38" w:rsidRPr="0041614D" w:rsidRDefault="00354BEE" w:rsidP="0039254C">
      <w:pPr>
        <w:jc w:val="both"/>
        <w:rPr>
          <w:rFonts w:ascii="Arial" w:hAnsi="Arial" w:cs="Arial"/>
          <w:szCs w:val="24"/>
          <w:highlight w:val="yellow"/>
        </w:rPr>
      </w:pPr>
      <w:r w:rsidRPr="00354BEE">
        <w:rPr>
          <w:rFonts w:ascii="Arial" w:hAnsi="Arial" w:cs="Arial"/>
          <w:szCs w:val="24"/>
        </w:rPr>
        <w:t xml:space="preserve">The Office of Best Practice Regulation (OBPR) </w:t>
      </w:r>
      <w:r>
        <w:rPr>
          <w:rFonts w:ascii="Arial" w:hAnsi="Arial" w:cs="Arial"/>
          <w:szCs w:val="24"/>
        </w:rPr>
        <w:t xml:space="preserve">was consulted about this instrument and </w:t>
      </w:r>
      <w:r w:rsidRPr="00354BEE">
        <w:rPr>
          <w:rFonts w:ascii="Arial" w:hAnsi="Arial" w:cs="Arial"/>
          <w:szCs w:val="24"/>
        </w:rPr>
        <w:t>has advised that this proposal is minor and machinery in nature, with no impact on regulatory costs.</w:t>
      </w:r>
      <w:r>
        <w:rPr>
          <w:rFonts w:ascii="Arial" w:hAnsi="Arial" w:cs="Arial"/>
          <w:szCs w:val="24"/>
        </w:rPr>
        <w:t xml:space="preserve"> A Regulation Impact Statement is therefore not required.</w:t>
      </w:r>
      <w:r w:rsidR="00644812" w:rsidRPr="0041614D">
        <w:rPr>
          <w:rFonts w:ascii="Arial" w:hAnsi="Arial" w:cs="Arial"/>
          <w:szCs w:val="24"/>
          <w:highlight w:val="yellow"/>
        </w:rPr>
        <w:t xml:space="preserve">  </w:t>
      </w:r>
    </w:p>
    <w:p w:rsidR="00414D38" w:rsidRPr="0041614D" w:rsidRDefault="00414D38" w:rsidP="0039254C">
      <w:pPr>
        <w:jc w:val="both"/>
        <w:rPr>
          <w:rFonts w:ascii="Arial" w:hAnsi="Arial" w:cs="Arial"/>
          <w:szCs w:val="24"/>
          <w:highlight w:val="yellow"/>
        </w:rPr>
      </w:pPr>
    </w:p>
    <w:p w:rsidR="00354BEE" w:rsidRDefault="00354BEE" w:rsidP="00354BEE">
      <w:pPr>
        <w:jc w:val="both"/>
        <w:rPr>
          <w:rFonts w:ascii="Arial" w:hAnsi="Arial" w:cs="Arial"/>
          <w:b/>
          <w:szCs w:val="24"/>
        </w:rPr>
      </w:pPr>
      <w:r>
        <w:rPr>
          <w:rFonts w:ascii="Arial" w:hAnsi="Arial" w:cs="Arial"/>
          <w:b/>
          <w:szCs w:val="24"/>
        </w:rPr>
        <w:br w:type="column"/>
      </w:r>
      <w:r w:rsidRPr="0041614D">
        <w:rPr>
          <w:rFonts w:ascii="Arial" w:hAnsi="Arial" w:cs="Arial"/>
          <w:b/>
          <w:szCs w:val="24"/>
        </w:rPr>
        <w:lastRenderedPageBreak/>
        <w:t>Consultation</w:t>
      </w:r>
    </w:p>
    <w:p w:rsidR="00354BEE" w:rsidRPr="0041614D" w:rsidRDefault="00354BEE" w:rsidP="00354BEE">
      <w:pPr>
        <w:jc w:val="both"/>
        <w:rPr>
          <w:rFonts w:ascii="Arial" w:hAnsi="Arial" w:cs="Arial"/>
          <w:b/>
          <w:szCs w:val="24"/>
        </w:rPr>
      </w:pPr>
    </w:p>
    <w:p w:rsidR="00731BD6" w:rsidRPr="00731BD6" w:rsidRDefault="00644812" w:rsidP="008D54D4">
      <w:pPr>
        <w:jc w:val="both"/>
        <w:rPr>
          <w:rFonts w:ascii="Arial" w:hAnsi="Arial" w:cs="Arial"/>
          <w:b/>
          <w:bCs/>
          <w:color w:val="0070C0"/>
          <w:szCs w:val="24"/>
        </w:rPr>
      </w:pPr>
      <w:r w:rsidRPr="0041614D">
        <w:rPr>
          <w:rFonts w:ascii="Arial" w:hAnsi="Arial" w:cs="Arial"/>
          <w:szCs w:val="24"/>
        </w:rPr>
        <w:t xml:space="preserve">The </w:t>
      </w:r>
      <w:r w:rsidR="00CF01EC" w:rsidRPr="0041614D">
        <w:rPr>
          <w:rFonts w:ascii="Arial" w:hAnsi="Arial" w:cs="Arial"/>
          <w:szCs w:val="24"/>
        </w:rPr>
        <w:t>NSW Department of Justice</w:t>
      </w:r>
      <w:r w:rsidRPr="0041614D">
        <w:rPr>
          <w:rFonts w:ascii="Arial" w:hAnsi="Arial" w:cs="Arial"/>
          <w:szCs w:val="24"/>
        </w:rPr>
        <w:t xml:space="preserve"> </w:t>
      </w:r>
      <w:r w:rsidR="00CF01EC" w:rsidRPr="0041614D">
        <w:rPr>
          <w:rFonts w:ascii="Arial" w:hAnsi="Arial" w:cs="Arial"/>
          <w:szCs w:val="24"/>
        </w:rPr>
        <w:t>was</w:t>
      </w:r>
      <w:r w:rsidRPr="0041614D">
        <w:rPr>
          <w:rFonts w:ascii="Arial" w:hAnsi="Arial" w:cs="Arial"/>
          <w:szCs w:val="24"/>
        </w:rPr>
        <w:t xml:space="preserve"> consulted and did not oppose this legislative instrument.</w:t>
      </w: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731BD6">
      <w:pPr>
        <w:spacing w:before="360" w:after="120"/>
        <w:jc w:val="center"/>
        <w:rPr>
          <w:rFonts w:ascii="Arial" w:hAnsi="Arial" w:cs="Arial"/>
          <w:b/>
          <w:szCs w:val="24"/>
        </w:rPr>
      </w:pPr>
    </w:p>
    <w:p w:rsidR="00A303DE" w:rsidRDefault="00A303DE" w:rsidP="00A303DE">
      <w:pPr>
        <w:spacing w:before="360" w:after="120"/>
        <w:rPr>
          <w:rFonts w:ascii="Arial" w:hAnsi="Arial" w:cs="Arial"/>
          <w:b/>
          <w:szCs w:val="24"/>
        </w:rPr>
      </w:pPr>
    </w:p>
    <w:p w:rsidR="00703D1B" w:rsidRDefault="00703D1B" w:rsidP="00731BD6">
      <w:pPr>
        <w:spacing w:before="360" w:after="120"/>
        <w:jc w:val="center"/>
        <w:rPr>
          <w:rFonts w:ascii="Arial" w:hAnsi="Arial" w:cs="Arial"/>
          <w:b/>
          <w:szCs w:val="24"/>
        </w:rPr>
      </w:pPr>
    </w:p>
    <w:p w:rsidR="00703D1B" w:rsidRDefault="00703D1B" w:rsidP="00731BD6">
      <w:pPr>
        <w:spacing w:before="360" w:after="120"/>
        <w:jc w:val="center"/>
        <w:rPr>
          <w:rFonts w:ascii="Arial" w:hAnsi="Arial" w:cs="Arial"/>
          <w:b/>
          <w:szCs w:val="24"/>
        </w:rPr>
      </w:pPr>
    </w:p>
    <w:p w:rsidR="00703D1B" w:rsidRDefault="00703D1B" w:rsidP="00731BD6">
      <w:pPr>
        <w:spacing w:before="360" w:after="120"/>
        <w:jc w:val="center"/>
        <w:rPr>
          <w:rFonts w:ascii="Arial" w:hAnsi="Arial" w:cs="Arial"/>
          <w:b/>
          <w:szCs w:val="24"/>
        </w:rPr>
      </w:pPr>
    </w:p>
    <w:p w:rsidR="00731BD6" w:rsidRPr="00731BD6" w:rsidRDefault="00731BD6" w:rsidP="00731BD6">
      <w:pPr>
        <w:spacing w:before="360" w:after="120"/>
        <w:jc w:val="center"/>
        <w:rPr>
          <w:rFonts w:ascii="Arial" w:hAnsi="Arial" w:cs="Arial"/>
          <w:b/>
          <w:szCs w:val="24"/>
        </w:rPr>
      </w:pPr>
      <w:r w:rsidRPr="00731BD6">
        <w:rPr>
          <w:rFonts w:ascii="Arial" w:hAnsi="Arial" w:cs="Arial"/>
          <w:b/>
          <w:szCs w:val="24"/>
        </w:rPr>
        <w:t>Statement of Compatibility with Human Rights</w:t>
      </w:r>
    </w:p>
    <w:p w:rsidR="00731BD6" w:rsidRPr="00731BD6" w:rsidRDefault="00731BD6" w:rsidP="00731BD6">
      <w:pPr>
        <w:spacing w:before="120" w:after="120"/>
        <w:jc w:val="center"/>
        <w:rPr>
          <w:rFonts w:ascii="Arial" w:hAnsi="Arial" w:cs="Arial"/>
          <w:szCs w:val="24"/>
        </w:rPr>
      </w:pPr>
      <w:r w:rsidRPr="00731BD6">
        <w:rPr>
          <w:rFonts w:ascii="Arial" w:hAnsi="Arial" w:cs="Arial"/>
          <w:i/>
          <w:szCs w:val="24"/>
        </w:rPr>
        <w:t>Prepared in accordance with Part 3 of the Human Rights (Parliamentary Scrutiny) Act 2011</w:t>
      </w:r>
    </w:p>
    <w:p w:rsidR="00731BD6" w:rsidRPr="00731BD6" w:rsidRDefault="00731BD6" w:rsidP="00731BD6">
      <w:pPr>
        <w:spacing w:before="120" w:after="120"/>
        <w:jc w:val="center"/>
        <w:rPr>
          <w:rFonts w:ascii="Arial" w:hAnsi="Arial" w:cs="Arial"/>
          <w:szCs w:val="24"/>
        </w:rPr>
      </w:pPr>
    </w:p>
    <w:p w:rsidR="00731BD6" w:rsidRPr="00731BD6" w:rsidRDefault="001F0D81" w:rsidP="00731BD6">
      <w:pPr>
        <w:spacing w:before="120" w:after="120"/>
        <w:jc w:val="center"/>
        <w:rPr>
          <w:rFonts w:ascii="Arial" w:hAnsi="Arial" w:cs="Arial"/>
          <w:b/>
          <w:szCs w:val="24"/>
        </w:rPr>
      </w:pPr>
      <w:r>
        <w:rPr>
          <w:rFonts w:ascii="Arial" w:hAnsi="Arial" w:cs="Arial"/>
          <w:b/>
          <w:szCs w:val="24"/>
        </w:rPr>
        <w:t>Child Support Legislation (Exclusion of Courts of Summary Jurisdiction) Proclamation 2017</w:t>
      </w:r>
    </w:p>
    <w:p w:rsidR="00731BD6" w:rsidRPr="00731BD6" w:rsidRDefault="00731BD6" w:rsidP="00731BD6">
      <w:pPr>
        <w:spacing w:before="120" w:after="120"/>
        <w:jc w:val="center"/>
        <w:rPr>
          <w:rFonts w:ascii="Arial" w:hAnsi="Arial" w:cs="Arial"/>
          <w:szCs w:val="24"/>
        </w:rPr>
      </w:pPr>
    </w:p>
    <w:p w:rsidR="00731BD6" w:rsidRPr="00731BD6" w:rsidRDefault="00731BD6" w:rsidP="00731BD6">
      <w:pPr>
        <w:spacing w:before="120" w:after="120"/>
        <w:jc w:val="center"/>
        <w:rPr>
          <w:rFonts w:ascii="Arial" w:hAnsi="Arial" w:cs="Arial"/>
          <w:szCs w:val="24"/>
        </w:rPr>
      </w:pPr>
      <w:r w:rsidRPr="00731BD6">
        <w:rPr>
          <w:rFonts w:ascii="Arial" w:hAnsi="Arial" w:cs="Arial"/>
          <w:szCs w:val="24"/>
        </w:rPr>
        <w:t xml:space="preserve">The </w:t>
      </w:r>
      <w:r w:rsidR="00002047">
        <w:rPr>
          <w:rFonts w:ascii="Arial" w:hAnsi="Arial" w:cs="Arial"/>
          <w:szCs w:val="24"/>
        </w:rPr>
        <w:t>Proclamation</w:t>
      </w:r>
      <w:r w:rsidR="001F0D81">
        <w:rPr>
          <w:rFonts w:ascii="Arial" w:hAnsi="Arial" w:cs="Arial"/>
          <w:szCs w:val="24"/>
        </w:rPr>
        <w:t xml:space="preserve"> is</w:t>
      </w:r>
      <w:r w:rsidR="00816B53">
        <w:rPr>
          <w:rFonts w:ascii="Arial" w:hAnsi="Arial" w:cs="Arial"/>
          <w:szCs w:val="24"/>
        </w:rPr>
        <w:t xml:space="preserve"> </w:t>
      </w:r>
      <w:r w:rsidRPr="00731BD6">
        <w:rPr>
          <w:rFonts w:ascii="Arial" w:hAnsi="Arial" w:cs="Arial"/>
          <w:szCs w:val="24"/>
        </w:rPr>
        <w:t xml:space="preserve">compatible with the human rights and freedoms recognised or declared in the international instruments listed in section 3 of the </w:t>
      </w:r>
      <w:r w:rsidRPr="00731BD6">
        <w:rPr>
          <w:rFonts w:ascii="Arial" w:hAnsi="Arial" w:cs="Arial"/>
          <w:i/>
          <w:szCs w:val="24"/>
        </w:rPr>
        <w:t>Human Rights (Parliamentary Scrutiny) Act 2011</w:t>
      </w:r>
      <w:r w:rsidRPr="00731BD6">
        <w:rPr>
          <w:rFonts w:ascii="Arial" w:hAnsi="Arial" w:cs="Arial"/>
          <w:szCs w:val="24"/>
        </w:rPr>
        <w:t>.</w:t>
      </w:r>
    </w:p>
    <w:p w:rsidR="00731BD6" w:rsidRPr="00731BD6" w:rsidRDefault="00731BD6" w:rsidP="00731BD6">
      <w:pPr>
        <w:spacing w:before="240" w:after="120"/>
        <w:jc w:val="both"/>
        <w:rPr>
          <w:rFonts w:ascii="Arial" w:hAnsi="Arial" w:cs="Arial"/>
          <w:b/>
          <w:szCs w:val="24"/>
        </w:rPr>
      </w:pPr>
      <w:r w:rsidRPr="00731BD6">
        <w:rPr>
          <w:rFonts w:ascii="Arial" w:hAnsi="Arial" w:cs="Arial"/>
          <w:b/>
          <w:szCs w:val="24"/>
        </w:rPr>
        <w:t>Overview of the legislative instrument</w:t>
      </w:r>
    </w:p>
    <w:p w:rsidR="00707DB1" w:rsidRPr="008D54D4" w:rsidRDefault="00707DB1" w:rsidP="00226D23">
      <w:pPr>
        <w:tabs>
          <w:tab w:val="left" w:pos="2160"/>
        </w:tabs>
        <w:jc w:val="both"/>
        <w:rPr>
          <w:rFonts w:ascii="Arial" w:hAnsi="Arial" w:cs="Arial"/>
          <w:szCs w:val="24"/>
        </w:rPr>
      </w:pPr>
      <w:r w:rsidRPr="008D54D4">
        <w:rPr>
          <w:rFonts w:ascii="Arial" w:hAnsi="Arial" w:cs="Arial"/>
          <w:szCs w:val="24"/>
        </w:rPr>
        <w:t xml:space="preserve">The Proclamation has been made due to the sunsetting of the </w:t>
      </w:r>
      <w:r w:rsidRPr="0041614D">
        <w:rPr>
          <w:rFonts w:ascii="Arial" w:hAnsi="Arial" w:cs="Arial"/>
          <w:i/>
          <w:szCs w:val="24"/>
        </w:rPr>
        <w:t>Summary Courts Jurisdiction – Child Support (Assessment) Proclamation 2007</w:t>
      </w:r>
      <w:r w:rsidRPr="008D54D4">
        <w:rPr>
          <w:rFonts w:ascii="Arial" w:hAnsi="Arial" w:cs="Arial"/>
          <w:szCs w:val="24"/>
        </w:rPr>
        <w:t xml:space="preserve"> and the </w:t>
      </w:r>
      <w:r w:rsidRPr="0041614D">
        <w:rPr>
          <w:rFonts w:ascii="Arial" w:hAnsi="Arial" w:cs="Arial"/>
          <w:i/>
          <w:szCs w:val="24"/>
        </w:rPr>
        <w:t>Summary Courts Jurisdiction – Child Support (Registration and Collection) Proclamation 2007</w:t>
      </w:r>
      <w:r w:rsidRPr="008D54D4">
        <w:rPr>
          <w:rFonts w:ascii="Arial" w:hAnsi="Arial" w:cs="Arial"/>
          <w:szCs w:val="24"/>
        </w:rPr>
        <w:t xml:space="preserve"> (the 2007 Proclamations) on 1 October 2017. </w:t>
      </w:r>
    </w:p>
    <w:p w:rsidR="00707DB1" w:rsidRPr="008D54D4" w:rsidRDefault="00707DB1" w:rsidP="00226D23">
      <w:pPr>
        <w:tabs>
          <w:tab w:val="left" w:pos="2160"/>
        </w:tabs>
        <w:jc w:val="both"/>
        <w:rPr>
          <w:rFonts w:ascii="Arial" w:hAnsi="Arial" w:cs="Arial"/>
          <w:szCs w:val="24"/>
        </w:rPr>
      </w:pPr>
    </w:p>
    <w:p w:rsidR="00226D23" w:rsidRPr="008D54D4" w:rsidRDefault="00226D23" w:rsidP="00226D23">
      <w:pPr>
        <w:tabs>
          <w:tab w:val="left" w:pos="2160"/>
        </w:tabs>
        <w:jc w:val="both"/>
        <w:rPr>
          <w:rFonts w:ascii="Arial" w:hAnsi="Arial" w:cs="Arial"/>
          <w:szCs w:val="24"/>
        </w:rPr>
      </w:pPr>
      <w:r w:rsidRPr="008D54D4">
        <w:rPr>
          <w:rFonts w:ascii="Arial" w:hAnsi="Arial" w:cs="Arial"/>
          <w:szCs w:val="24"/>
        </w:rPr>
        <w:t xml:space="preserve">The Proclamation states that, on and after 1 October 2017, proceedings under the </w:t>
      </w:r>
      <w:r w:rsidRPr="0041614D">
        <w:rPr>
          <w:rFonts w:ascii="Arial" w:hAnsi="Arial" w:cs="Arial"/>
          <w:i/>
          <w:szCs w:val="24"/>
        </w:rPr>
        <w:t>Child Support (Assessment) Act 1989</w:t>
      </w:r>
      <w:r w:rsidRPr="008D54D4">
        <w:rPr>
          <w:rFonts w:ascii="Arial" w:hAnsi="Arial" w:cs="Arial"/>
          <w:szCs w:val="24"/>
        </w:rPr>
        <w:t xml:space="preserve"> (the Assessment Act) or the </w:t>
      </w:r>
      <w:r w:rsidRPr="0041614D">
        <w:rPr>
          <w:rFonts w:ascii="Arial" w:hAnsi="Arial" w:cs="Arial"/>
          <w:i/>
          <w:szCs w:val="24"/>
        </w:rPr>
        <w:t>Child Support (Registration and Collection) Act 1988</w:t>
      </w:r>
      <w:r w:rsidRPr="008D54D4">
        <w:rPr>
          <w:rFonts w:ascii="Arial" w:hAnsi="Arial" w:cs="Arial"/>
          <w:szCs w:val="24"/>
        </w:rPr>
        <w:t xml:space="preserve"> (the Registration and Collection Act) may not be instituted in, or transferred to, the Central Local Court, the Downing Centre Local Court, the Local Court Newto</w:t>
      </w:r>
      <w:r w:rsidR="00E6762B" w:rsidRPr="008D54D4">
        <w:rPr>
          <w:rFonts w:ascii="Arial" w:hAnsi="Arial" w:cs="Arial"/>
          <w:szCs w:val="24"/>
        </w:rPr>
        <w:t>w</w:t>
      </w:r>
      <w:r w:rsidRPr="008D54D4">
        <w:rPr>
          <w:rFonts w:ascii="Arial" w:hAnsi="Arial" w:cs="Arial"/>
          <w:szCs w:val="24"/>
        </w:rPr>
        <w:t>n and the Local Court North Sydney, all located in New South Wales</w:t>
      </w:r>
      <w:r w:rsidR="00707DB1" w:rsidRPr="008D54D4">
        <w:rPr>
          <w:rFonts w:ascii="Arial" w:hAnsi="Arial" w:cs="Arial"/>
          <w:szCs w:val="24"/>
        </w:rPr>
        <w:t xml:space="preserve"> (NSW)</w:t>
      </w:r>
      <w:r w:rsidRPr="008D54D4">
        <w:rPr>
          <w:rFonts w:ascii="Arial" w:hAnsi="Arial" w:cs="Arial"/>
          <w:szCs w:val="24"/>
        </w:rPr>
        <w:t>.</w:t>
      </w:r>
    </w:p>
    <w:p w:rsidR="00707DB1" w:rsidRPr="008D54D4" w:rsidRDefault="00707DB1" w:rsidP="00226D23">
      <w:pPr>
        <w:tabs>
          <w:tab w:val="left" w:pos="2160"/>
        </w:tabs>
        <w:jc w:val="both"/>
        <w:rPr>
          <w:rFonts w:ascii="Arial" w:hAnsi="Arial" w:cs="Arial"/>
          <w:szCs w:val="24"/>
        </w:rPr>
      </w:pPr>
    </w:p>
    <w:p w:rsidR="00707DB1" w:rsidRPr="008D54D4" w:rsidRDefault="00707DB1" w:rsidP="00707DB1">
      <w:pPr>
        <w:tabs>
          <w:tab w:val="left" w:pos="2160"/>
        </w:tabs>
        <w:jc w:val="both"/>
        <w:rPr>
          <w:rFonts w:ascii="Arial" w:hAnsi="Arial" w:cs="Arial"/>
          <w:szCs w:val="24"/>
        </w:rPr>
      </w:pPr>
      <w:r w:rsidRPr="008D54D4">
        <w:rPr>
          <w:rFonts w:ascii="Arial" w:hAnsi="Arial" w:cs="Arial"/>
          <w:szCs w:val="24"/>
        </w:rPr>
        <w:t xml:space="preserve">The NSW Government relocated the St James Local Court Sydney to the Children’s Court complex in Parramatta on 13 November 2006. The St James Court had provided specialist family law services pursuant to an agreement between the Commonwealth and NSW under the Assessment Act and the Registration and Collection Act. The NSW Attorney General subsequently requested a Proclamation be made to prevent family law proceedings that would previously have been dealt with in the St James Court being lodged in, or transferred to, nearby Local Courts that lack specialist family law expertise. </w:t>
      </w:r>
    </w:p>
    <w:p w:rsidR="00707DB1" w:rsidRPr="008D54D4" w:rsidRDefault="00707DB1" w:rsidP="00707DB1">
      <w:pPr>
        <w:tabs>
          <w:tab w:val="left" w:pos="2160"/>
        </w:tabs>
        <w:jc w:val="both"/>
        <w:rPr>
          <w:rFonts w:ascii="Arial" w:hAnsi="Arial" w:cs="Arial"/>
          <w:szCs w:val="24"/>
        </w:rPr>
      </w:pPr>
    </w:p>
    <w:p w:rsidR="00707DB1" w:rsidRPr="008D54D4" w:rsidRDefault="00707DB1" w:rsidP="00707DB1">
      <w:pPr>
        <w:tabs>
          <w:tab w:val="left" w:pos="2160"/>
        </w:tabs>
        <w:jc w:val="both"/>
        <w:rPr>
          <w:rFonts w:ascii="Arial" w:hAnsi="Arial" w:cs="Arial"/>
          <w:szCs w:val="24"/>
        </w:rPr>
      </w:pPr>
      <w:r w:rsidRPr="008D54D4">
        <w:rPr>
          <w:rFonts w:ascii="Arial" w:hAnsi="Arial" w:cs="Arial"/>
          <w:szCs w:val="24"/>
        </w:rPr>
        <w:t xml:space="preserve">The presence of the Family Court of Australia and the Federal </w:t>
      </w:r>
      <w:r w:rsidR="00816B53" w:rsidRPr="008D54D4">
        <w:rPr>
          <w:rFonts w:ascii="Arial" w:hAnsi="Arial" w:cs="Arial"/>
          <w:szCs w:val="24"/>
        </w:rPr>
        <w:t>Circuit</w:t>
      </w:r>
      <w:r w:rsidRPr="008D54D4">
        <w:rPr>
          <w:rFonts w:ascii="Arial" w:hAnsi="Arial" w:cs="Arial"/>
          <w:szCs w:val="24"/>
        </w:rPr>
        <w:t xml:space="preserve"> Court in the Sydney Central Business District presents an alternative to matters being instituted in or transferred to the Local Courts.</w:t>
      </w:r>
    </w:p>
    <w:p w:rsidR="00816B53" w:rsidRPr="008D54D4" w:rsidRDefault="00816B53" w:rsidP="00707DB1">
      <w:pPr>
        <w:tabs>
          <w:tab w:val="left" w:pos="2160"/>
        </w:tabs>
        <w:jc w:val="both"/>
        <w:rPr>
          <w:rFonts w:ascii="Arial" w:hAnsi="Arial" w:cs="Arial"/>
          <w:szCs w:val="24"/>
        </w:rPr>
      </w:pPr>
    </w:p>
    <w:p w:rsidR="00707DB1" w:rsidRPr="008D54D4" w:rsidRDefault="00707DB1" w:rsidP="00707DB1">
      <w:pPr>
        <w:tabs>
          <w:tab w:val="left" w:pos="2160"/>
        </w:tabs>
        <w:jc w:val="both"/>
        <w:rPr>
          <w:rFonts w:ascii="Arial" w:hAnsi="Arial" w:cs="Arial"/>
          <w:szCs w:val="24"/>
        </w:rPr>
      </w:pPr>
      <w:r w:rsidRPr="008D54D4">
        <w:rPr>
          <w:rFonts w:ascii="Arial" w:hAnsi="Arial" w:cs="Arial"/>
          <w:szCs w:val="24"/>
        </w:rPr>
        <w:t xml:space="preserve">This Proclamation has been made to ensure the continuity of these arrangements, as the Local Courts referred to in the Proclamation continue to lack specialist family law expertise.  </w:t>
      </w:r>
    </w:p>
    <w:p w:rsidR="00226D23" w:rsidRDefault="00226D23" w:rsidP="00226D23">
      <w:pPr>
        <w:tabs>
          <w:tab w:val="left" w:pos="2160"/>
        </w:tabs>
        <w:jc w:val="both"/>
        <w:rPr>
          <w:szCs w:val="24"/>
        </w:rPr>
      </w:pPr>
    </w:p>
    <w:p w:rsidR="00731BD6" w:rsidRPr="00731BD6" w:rsidRDefault="00731BD6" w:rsidP="00731BD6">
      <w:pPr>
        <w:spacing w:before="120" w:after="120"/>
        <w:rPr>
          <w:rFonts w:ascii="Arial" w:hAnsi="Arial" w:cs="Arial"/>
          <w:szCs w:val="24"/>
        </w:rPr>
      </w:pPr>
    </w:p>
    <w:p w:rsidR="00703D1B" w:rsidRDefault="00703D1B" w:rsidP="00731BD6">
      <w:pPr>
        <w:spacing w:before="240" w:after="120"/>
        <w:rPr>
          <w:rFonts w:ascii="Arial" w:hAnsi="Arial" w:cs="Arial"/>
          <w:b/>
          <w:szCs w:val="24"/>
        </w:rPr>
      </w:pPr>
    </w:p>
    <w:p w:rsidR="00731BD6" w:rsidRPr="00731BD6" w:rsidRDefault="00731BD6" w:rsidP="00731BD6">
      <w:pPr>
        <w:spacing w:before="240" w:after="120"/>
        <w:rPr>
          <w:rFonts w:ascii="Arial" w:hAnsi="Arial" w:cs="Arial"/>
          <w:b/>
          <w:szCs w:val="24"/>
        </w:rPr>
      </w:pPr>
      <w:r w:rsidRPr="00731BD6">
        <w:rPr>
          <w:rFonts w:ascii="Arial" w:hAnsi="Arial" w:cs="Arial"/>
          <w:b/>
          <w:szCs w:val="24"/>
        </w:rPr>
        <w:lastRenderedPageBreak/>
        <w:t>Human rights implications</w:t>
      </w:r>
    </w:p>
    <w:p w:rsidR="00731BD6" w:rsidRPr="00731BD6" w:rsidRDefault="00731BD6" w:rsidP="00731BD6">
      <w:pPr>
        <w:spacing w:before="120" w:after="120"/>
        <w:rPr>
          <w:rFonts w:ascii="Arial" w:hAnsi="Arial" w:cs="Arial"/>
          <w:szCs w:val="24"/>
        </w:rPr>
      </w:pPr>
      <w:r w:rsidRPr="00731BD6">
        <w:rPr>
          <w:rFonts w:ascii="Arial" w:hAnsi="Arial" w:cs="Arial"/>
          <w:szCs w:val="24"/>
        </w:rPr>
        <w:t xml:space="preserve">The </w:t>
      </w:r>
      <w:r w:rsidR="00002047">
        <w:rPr>
          <w:rFonts w:ascii="Arial" w:hAnsi="Arial" w:cs="Arial"/>
          <w:szCs w:val="24"/>
        </w:rPr>
        <w:t xml:space="preserve">Proclamation </w:t>
      </w:r>
      <w:r w:rsidRPr="00731BD6">
        <w:rPr>
          <w:rFonts w:ascii="Arial" w:hAnsi="Arial" w:cs="Arial"/>
          <w:szCs w:val="24"/>
        </w:rPr>
        <w:t>do</w:t>
      </w:r>
      <w:r w:rsidR="00002047">
        <w:rPr>
          <w:rFonts w:ascii="Arial" w:hAnsi="Arial" w:cs="Arial"/>
          <w:szCs w:val="24"/>
        </w:rPr>
        <w:t>es</w:t>
      </w:r>
      <w:r w:rsidRPr="00731BD6">
        <w:rPr>
          <w:rFonts w:ascii="Arial" w:hAnsi="Arial" w:cs="Arial"/>
          <w:szCs w:val="24"/>
        </w:rPr>
        <w:t xml:space="preserve"> not engage any of the applicable rights or freedoms.</w:t>
      </w:r>
    </w:p>
    <w:p w:rsidR="00731BD6" w:rsidRPr="00731BD6" w:rsidRDefault="00731BD6" w:rsidP="00731BD6">
      <w:pPr>
        <w:spacing w:before="240" w:after="120"/>
        <w:rPr>
          <w:rFonts w:ascii="Arial" w:hAnsi="Arial" w:cs="Arial"/>
          <w:b/>
          <w:szCs w:val="24"/>
        </w:rPr>
      </w:pPr>
      <w:r w:rsidRPr="00731BD6">
        <w:rPr>
          <w:rFonts w:ascii="Arial" w:hAnsi="Arial" w:cs="Arial"/>
          <w:b/>
          <w:szCs w:val="24"/>
        </w:rPr>
        <w:t>Conclusion</w:t>
      </w:r>
    </w:p>
    <w:p w:rsidR="00731BD6" w:rsidRPr="00731BD6" w:rsidRDefault="00731BD6" w:rsidP="00731BD6">
      <w:pPr>
        <w:spacing w:before="120" w:after="120"/>
        <w:rPr>
          <w:rFonts w:ascii="Arial" w:hAnsi="Arial" w:cs="Arial"/>
          <w:szCs w:val="24"/>
        </w:rPr>
      </w:pPr>
      <w:r w:rsidRPr="00731BD6">
        <w:rPr>
          <w:rFonts w:ascii="Arial" w:hAnsi="Arial" w:cs="Arial"/>
          <w:szCs w:val="24"/>
        </w:rPr>
        <w:t xml:space="preserve">The </w:t>
      </w:r>
      <w:r w:rsidR="00002047">
        <w:rPr>
          <w:rFonts w:ascii="Arial" w:hAnsi="Arial" w:cs="Arial"/>
          <w:szCs w:val="24"/>
        </w:rPr>
        <w:t>Proclamation</w:t>
      </w:r>
      <w:r w:rsidR="001F0D81">
        <w:rPr>
          <w:rFonts w:ascii="Arial" w:hAnsi="Arial" w:cs="Arial"/>
          <w:szCs w:val="24"/>
        </w:rPr>
        <w:t xml:space="preserve"> is </w:t>
      </w:r>
      <w:r w:rsidRPr="00731BD6">
        <w:rPr>
          <w:rFonts w:ascii="Arial" w:hAnsi="Arial" w:cs="Arial"/>
          <w:szCs w:val="24"/>
        </w:rPr>
        <w:t xml:space="preserve">compatible with human rights as </w:t>
      </w:r>
      <w:r w:rsidR="001F0D81">
        <w:rPr>
          <w:rFonts w:ascii="Arial" w:hAnsi="Arial" w:cs="Arial"/>
          <w:szCs w:val="24"/>
        </w:rPr>
        <w:t>it</w:t>
      </w:r>
      <w:r w:rsidR="001F0D81" w:rsidRPr="00731BD6">
        <w:rPr>
          <w:rFonts w:ascii="Arial" w:hAnsi="Arial" w:cs="Arial"/>
          <w:szCs w:val="24"/>
        </w:rPr>
        <w:t xml:space="preserve"> </w:t>
      </w:r>
      <w:r w:rsidRPr="00731BD6">
        <w:rPr>
          <w:rFonts w:ascii="Arial" w:hAnsi="Arial" w:cs="Arial"/>
          <w:szCs w:val="24"/>
        </w:rPr>
        <w:t>do</w:t>
      </w:r>
      <w:r w:rsidR="001F0D81">
        <w:rPr>
          <w:rFonts w:ascii="Arial" w:hAnsi="Arial" w:cs="Arial"/>
          <w:szCs w:val="24"/>
        </w:rPr>
        <w:t>es</w:t>
      </w:r>
      <w:r w:rsidRPr="00731BD6">
        <w:rPr>
          <w:rFonts w:ascii="Arial" w:hAnsi="Arial" w:cs="Arial"/>
          <w:szCs w:val="24"/>
        </w:rPr>
        <w:t xml:space="preserve"> not raise any human rights issues.</w:t>
      </w:r>
    </w:p>
    <w:p w:rsidR="00731BD6" w:rsidRPr="00731BD6" w:rsidRDefault="00731BD6" w:rsidP="00731BD6">
      <w:pPr>
        <w:spacing w:before="120" w:after="120"/>
        <w:jc w:val="center"/>
        <w:rPr>
          <w:rFonts w:ascii="Arial" w:hAnsi="Arial" w:cs="Arial"/>
          <w:szCs w:val="24"/>
        </w:rPr>
      </w:pPr>
    </w:p>
    <w:p w:rsidR="00CF01EC" w:rsidRPr="00731BD6" w:rsidRDefault="001F0D81" w:rsidP="00F1209E">
      <w:pPr>
        <w:spacing w:before="120" w:after="120"/>
        <w:jc w:val="center"/>
        <w:rPr>
          <w:rFonts w:ascii="Arial" w:hAnsi="Arial" w:cs="Arial"/>
          <w:b/>
          <w:bCs/>
          <w:szCs w:val="24"/>
        </w:rPr>
      </w:pPr>
      <w:r>
        <w:rPr>
          <w:rFonts w:ascii="Arial" w:hAnsi="Arial" w:cs="Arial"/>
          <w:b/>
          <w:szCs w:val="24"/>
        </w:rPr>
        <w:t>Minister for Social Services, the Hon Christian Porter MP</w:t>
      </w:r>
    </w:p>
    <w:sectPr w:rsidR="00CF01EC" w:rsidRPr="00731BD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24" w:rsidRDefault="00CD5124" w:rsidP="009E07DD">
      <w:r>
        <w:separator/>
      </w:r>
    </w:p>
  </w:endnote>
  <w:endnote w:type="continuationSeparator" w:id="0">
    <w:p w:rsidR="00CD5124" w:rsidRDefault="00CD5124" w:rsidP="009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24" w:rsidRDefault="00CD5124" w:rsidP="009E07DD">
      <w:r>
        <w:separator/>
      </w:r>
    </w:p>
  </w:footnote>
  <w:footnote w:type="continuationSeparator" w:id="0">
    <w:p w:rsidR="00CD5124" w:rsidRDefault="00CD5124" w:rsidP="009E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DD" w:rsidRDefault="009E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A5"/>
    <w:rsid w:val="00002047"/>
    <w:rsid w:val="000114DA"/>
    <w:rsid w:val="000459B8"/>
    <w:rsid w:val="000602AE"/>
    <w:rsid w:val="00084D11"/>
    <w:rsid w:val="000A2D58"/>
    <w:rsid w:val="000D3DA5"/>
    <w:rsid w:val="001337C0"/>
    <w:rsid w:val="00137027"/>
    <w:rsid w:val="001C3E99"/>
    <w:rsid w:val="001F0D81"/>
    <w:rsid w:val="001F58D4"/>
    <w:rsid w:val="001F72BC"/>
    <w:rsid w:val="002009F7"/>
    <w:rsid w:val="002174FD"/>
    <w:rsid w:val="00226D23"/>
    <w:rsid w:val="00233CE8"/>
    <w:rsid w:val="0024179B"/>
    <w:rsid w:val="00246391"/>
    <w:rsid w:val="002A22FC"/>
    <w:rsid w:val="00346A2D"/>
    <w:rsid w:val="00354BEE"/>
    <w:rsid w:val="00363983"/>
    <w:rsid w:val="00370BC7"/>
    <w:rsid w:val="00376FDA"/>
    <w:rsid w:val="0039254C"/>
    <w:rsid w:val="003A53B0"/>
    <w:rsid w:val="003F2A33"/>
    <w:rsid w:val="00414D38"/>
    <w:rsid w:val="0041614D"/>
    <w:rsid w:val="00457E00"/>
    <w:rsid w:val="004B285C"/>
    <w:rsid w:val="004F40E9"/>
    <w:rsid w:val="005911E8"/>
    <w:rsid w:val="005E318C"/>
    <w:rsid w:val="00633069"/>
    <w:rsid w:val="00644812"/>
    <w:rsid w:val="006453A0"/>
    <w:rsid w:val="00666F24"/>
    <w:rsid w:val="00703D1B"/>
    <w:rsid w:val="00705D56"/>
    <w:rsid w:val="00707DB1"/>
    <w:rsid w:val="0071779E"/>
    <w:rsid w:val="00731BD6"/>
    <w:rsid w:val="0075131D"/>
    <w:rsid w:val="007656D9"/>
    <w:rsid w:val="007B226A"/>
    <w:rsid w:val="007F1EFB"/>
    <w:rsid w:val="00816B53"/>
    <w:rsid w:val="00860A48"/>
    <w:rsid w:val="0089741F"/>
    <w:rsid w:val="008A45E5"/>
    <w:rsid w:val="008B39BB"/>
    <w:rsid w:val="008C4685"/>
    <w:rsid w:val="008D54D4"/>
    <w:rsid w:val="008E6FC4"/>
    <w:rsid w:val="0097743D"/>
    <w:rsid w:val="00995504"/>
    <w:rsid w:val="009E07DD"/>
    <w:rsid w:val="00A303DE"/>
    <w:rsid w:val="00A433EA"/>
    <w:rsid w:val="00A43B1D"/>
    <w:rsid w:val="00A55709"/>
    <w:rsid w:val="00A94356"/>
    <w:rsid w:val="00AA141B"/>
    <w:rsid w:val="00AA2EC4"/>
    <w:rsid w:val="00AA44D0"/>
    <w:rsid w:val="00AB7A5E"/>
    <w:rsid w:val="00AD7700"/>
    <w:rsid w:val="00AF2D75"/>
    <w:rsid w:val="00B308EE"/>
    <w:rsid w:val="00BB37D9"/>
    <w:rsid w:val="00C27622"/>
    <w:rsid w:val="00C52578"/>
    <w:rsid w:val="00C64007"/>
    <w:rsid w:val="00C97A01"/>
    <w:rsid w:val="00CD170F"/>
    <w:rsid w:val="00CD5124"/>
    <w:rsid w:val="00CF01EC"/>
    <w:rsid w:val="00D02ECE"/>
    <w:rsid w:val="00D74724"/>
    <w:rsid w:val="00DC7286"/>
    <w:rsid w:val="00DD2F26"/>
    <w:rsid w:val="00E147E3"/>
    <w:rsid w:val="00E412D0"/>
    <w:rsid w:val="00E50FBA"/>
    <w:rsid w:val="00E60BE3"/>
    <w:rsid w:val="00E6762B"/>
    <w:rsid w:val="00E84118"/>
    <w:rsid w:val="00E86DFA"/>
    <w:rsid w:val="00EC690E"/>
    <w:rsid w:val="00F1209E"/>
    <w:rsid w:val="00F84B9D"/>
    <w:rsid w:val="00F979BA"/>
    <w:rsid w:val="00FE6472"/>
    <w:rsid w:val="00FE6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DD2F26"/>
    <w:pPr>
      <w:numPr>
        <w:ilvl w:val="12"/>
      </w:numPr>
      <w:spacing w:before="240"/>
    </w:pPr>
  </w:style>
  <w:style w:type="character" w:customStyle="1" w:styleId="ParagraphChar">
    <w:name w:val="Paragraph Char"/>
    <w:link w:val="Paragraph"/>
    <w:rsid w:val="00DD2F26"/>
    <w:rPr>
      <w:sz w:val="24"/>
      <w:lang w:val="en-AU" w:eastAsia="en-AU" w:bidi="ar-SA"/>
    </w:rPr>
  </w:style>
  <w:style w:type="paragraph" w:styleId="Header">
    <w:name w:val="header"/>
    <w:basedOn w:val="Normal"/>
    <w:link w:val="HeaderChar"/>
    <w:uiPriority w:val="99"/>
    <w:unhideWhenUsed/>
    <w:rsid w:val="009E07DD"/>
    <w:pPr>
      <w:tabs>
        <w:tab w:val="center" w:pos="4513"/>
        <w:tab w:val="right" w:pos="9026"/>
      </w:tabs>
    </w:pPr>
  </w:style>
  <w:style w:type="character" w:customStyle="1" w:styleId="HeaderChar">
    <w:name w:val="Header Char"/>
    <w:link w:val="Header"/>
    <w:uiPriority w:val="99"/>
    <w:rsid w:val="009E07DD"/>
    <w:rPr>
      <w:sz w:val="24"/>
    </w:rPr>
  </w:style>
  <w:style w:type="paragraph" w:styleId="Footer">
    <w:name w:val="footer"/>
    <w:basedOn w:val="Normal"/>
    <w:link w:val="FooterChar"/>
    <w:uiPriority w:val="99"/>
    <w:unhideWhenUsed/>
    <w:rsid w:val="009E07DD"/>
    <w:pPr>
      <w:tabs>
        <w:tab w:val="center" w:pos="4513"/>
        <w:tab w:val="right" w:pos="9026"/>
      </w:tabs>
    </w:pPr>
  </w:style>
  <w:style w:type="character" w:customStyle="1" w:styleId="FooterChar">
    <w:name w:val="Footer Char"/>
    <w:link w:val="Footer"/>
    <w:uiPriority w:val="99"/>
    <w:rsid w:val="009E07DD"/>
    <w:rPr>
      <w:sz w:val="24"/>
    </w:rPr>
  </w:style>
  <w:style w:type="character" w:styleId="CommentReference">
    <w:name w:val="annotation reference"/>
    <w:uiPriority w:val="99"/>
    <w:semiHidden/>
    <w:unhideWhenUsed/>
    <w:rsid w:val="00346A2D"/>
    <w:rPr>
      <w:sz w:val="16"/>
      <w:szCs w:val="16"/>
    </w:rPr>
  </w:style>
  <w:style w:type="paragraph" w:styleId="CommentText">
    <w:name w:val="annotation text"/>
    <w:basedOn w:val="Normal"/>
    <w:link w:val="CommentTextChar"/>
    <w:uiPriority w:val="99"/>
    <w:semiHidden/>
    <w:unhideWhenUsed/>
    <w:rsid w:val="00346A2D"/>
    <w:rPr>
      <w:sz w:val="20"/>
    </w:rPr>
  </w:style>
  <w:style w:type="character" w:customStyle="1" w:styleId="CommentTextChar">
    <w:name w:val="Comment Text Char"/>
    <w:basedOn w:val="DefaultParagraphFont"/>
    <w:link w:val="CommentText"/>
    <w:uiPriority w:val="99"/>
    <w:semiHidden/>
    <w:rsid w:val="00346A2D"/>
  </w:style>
  <w:style w:type="paragraph" w:styleId="CommentSubject">
    <w:name w:val="annotation subject"/>
    <w:basedOn w:val="CommentText"/>
    <w:next w:val="CommentText"/>
    <w:link w:val="CommentSubjectChar"/>
    <w:uiPriority w:val="99"/>
    <w:semiHidden/>
    <w:unhideWhenUsed/>
    <w:rsid w:val="00346A2D"/>
    <w:rPr>
      <w:b/>
      <w:bCs/>
    </w:rPr>
  </w:style>
  <w:style w:type="character" w:customStyle="1" w:styleId="CommentSubjectChar">
    <w:name w:val="Comment Subject Char"/>
    <w:link w:val="CommentSubject"/>
    <w:uiPriority w:val="99"/>
    <w:semiHidden/>
    <w:rsid w:val="00346A2D"/>
    <w:rPr>
      <w:b/>
      <w:bCs/>
    </w:rPr>
  </w:style>
  <w:style w:type="paragraph" w:styleId="BalloonText">
    <w:name w:val="Balloon Text"/>
    <w:basedOn w:val="Normal"/>
    <w:link w:val="BalloonTextChar"/>
    <w:uiPriority w:val="99"/>
    <w:semiHidden/>
    <w:unhideWhenUsed/>
    <w:rsid w:val="00346A2D"/>
    <w:rPr>
      <w:rFonts w:ascii="Tahoma" w:hAnsi="Tahoma" w:cs="Tahoma"/>
      <w:sz w:val="16"/>
      <w:szCs w:val="16"/>
    </w:rPr>
  </w:style>
  <w:style w:type="character" w:customStyle="1" w:styleId="BalloonTextChar">
    <w:name w:val="Balloon Text Char"/>
    <w:link w:val="BalloonText"/>
    <w:uiPriority w:val="99"/>
    <w:semiHidden/>
    <w:rsid w:val="00346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DD2F26"/>
    <w:pPr>
      <w:numPr>
        <w:ilvl w:val="12"/>
      </w:numPr>
      <w:spacing w:before="240"/>
    </w:pPr>
  </w:style>
  <w:style w:type="character" w:customStyle="1" w:styleId="ParagraphChar">
    <w:name w:val="Paragraph Char"/>
    <w:link w:val="Paragraph"/>
    <w:rsid w:val="00DD2F26"/>
    <w:rPr>
      <w:sz w:val="24"/>
      <w:lang w:val="en-AU" w:eastAsia="en-AU" w:bidi="ar-SA"/>
    </w:rPr>
  </w:style>
  <w:style w:type="paragraph" w:styleId="Header">
    <w:name w:val="header"/>
    <w:basedOn w:val="Normal"/>
    <w:link w:val="HeaderChar"/>
    <w:uiPriority w:val="99"/>
    <w:unhideWhenUsed/>
    <w:rsid w:val="009E07DD"/>
    <w:pPr>
      <w:tabs>
        <w:tab w:val="center" w:pos="4513"/>
        <w:tab w:val="right" w:pos="9026"/>
      </w:tabs>
    </w:pPr>
  </w:style>
  <w:style w:type="character" w:customStyle="1" w:styleId="HeaderChar">
    <w:name w:val="Header Char"/>
    <w:link w:val="Header"/>
    <w:uiPriority w:val="99"/>
    <w:rsid w:val="009E07DD"/>
    <w:rPr>
      <w:sz w:val="24"/>
    </w:rPr>
  </w:style>
  <w:style w:type="paragraph" w:styleId="Footer">
    <w:name w:val="footer"/>
    <w:basedOn w:val="Normal"/>
    <w:link w:val="FooterChar"/>
    <w:uiPriority w:val="99"/>
    <w:unhideWhenUsed/>
    <w:rsid w:val="009E07DD"/>
    <w:pPr>
      <w:tabs>
        <w:tab w:val="center" w:pos="4513"/>
        <w:tab w:val="right" w:pos="9026"/>
      </w:tabs>
    </w:pPr>
  </w:style>
  <w:style w:type="character" w:customStyle="1" w:styleId="FooterChar">
    <w:name w:val="Footer Char"/>
    <w:link w:val="Footer"/>
    <w:uiPriority w:val="99"/>
    <w:rsid w:val="009E07DD"/>
    <w:rPr>
      <w:sz w:val="24"/>
    </w:rPr>
  </w:style>
  <w:style w:type="character" w:styleId="CommentReference">
    <w:name w:val="annotation reference"/>
    <w:uiPriority w:val="99"/>
    <w:semiHidden/>
    <w:unhideWhenUsed/>
    <w:rsid w:val="00346A2D"/>
    <w:rPr>
      <w:sz w:val="16"/>
      <w:szCs w:val="16"/>
    </w:rPr>
  </w:style>
  <w:style w:type="paragraph" w:styleId="CommentText">
    <w:name w:val="annotation text"/>
    <w:basedOn w:val="Normal"/>
    <w:link w:val="CommentTextChar"/>
    <w:uiPriority w:val="99"/>
    <w:semiHidden/>
    <w:unhideWhenUsed/>
    <w:rsid w:val="00346A2D"/>
    <w:rPr>
      <w:sz w:val="20"/>
    </w:rPr>
  </w:style>
  <w:style w:type="character" w:customStyle="1" w:styleId="CommentTextChar">
    <w:name w:val="Comment Text Char"/>
    <w:basedOn w:val="DefaultParagraphFont"/>
    <w:link w:val="CommentText"/>
    <w:uiPriority w:val="99"/>
    <w:semiHidden/>
    <w:rsid w:val="00346A2D"/>
  </w:style>
  <w:style w:type="paragraph" w:styleId="CommentSubject">
    <w:name w:val="annotation subject"/>
    <w:basedOn w:val="CommentText"/>
    <w:next w:val="CommentText"/>
    <w:link w:val="CommentSubjectChar"/>
    <w:uiPriority w:val="99"/>
    <w:semiHidden/>
    <w:unhideWhenUsed/>
    <w:rsid w:val="00346A2D"/>
    <w:rPr>
      <w:b/>
      <w:bCs/>
    </w:rPr>
  </w:style>
  <w:style w:type="character" w:customStyle="1" w:styleId="CommentSubjectChar">
    <w:name w:val="Comment Subject Char"/>
    <w:link w:val="CommentSubject"/>
    <w:uiPriority w:val="99"/>
    <w:semiHidden/>
    <w:rsid w:val="00346A2D"/>
    <w:rPr>
      <w:b/>
      <w:bCs/>
    </w:rPr>
  </w:style>
  <w:style w:type="paragraph" w:styleId="BalloonText">
    <w:name w:val="Balloon Text"/>
    <w:basedOn w:val="Normal"/>
    <w:link w:val="BalloonTextChar"/>
    <w:uiPriority w:val="99"/>
    <w:semiHidden/>
    <w:unhideWhenUsed/>
    <w:rsid w:val="00346A2D"/>
    <w:rPr>
      <w:rFonts w:ascii="Tahoma" w:hAnsi="Tahoma" w:cs="Tahoma"/>
      <w:sz w:val="16"/>
      <w:szCs w:val="16"/>
    </w:rPr>
  </w:style>
  <w:style w:type="character" w:customStyle="1" w:styleId="BalloonTextChar">
    <w:name w:val="Balloon Text Char"/>
    <w:link w:val="BalloonText"/>
    <w:uiPriority w:val="99"/>
    <w:semiHidden/>
    <w:rsid w:val="0034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2FDDFA0-B61A-4CE6-AB15-78FFFA084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2729356D1DF40872B260B2690BE72" ma:contentTypeVersion="" ma:contentTypeDescription="PDMS Document Site Content Type" ma:contentTypeScope="" ma:versionID="0ca3e2ae3967c3ed0df645cd3fa5fbb5">
  <xsd:schema xmlns:xsd="http://www.w3.org/2001/XMLSchema" xmlns:xs="http://www.w3.org/2001/XMLSchema" xmlns:p="http://schemas.microsoft.com/office/2006/metadata/properties" xmlns:ns2="02FDDFA0-B61A-4CE6-AB15-78FFFA084249" targetNamespace="http://schemas.microsoft.com/office/2006/metadata/properties" ma:root="true" ma:fieldsID="f90cb2caa0b2d391573e337809502f09" ns2:_="">
    <xsd:import namespace="02FDDFA0-B61A-4CE6-AB15-78FFFA0842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DFA0-B61A-4CE6-AB15-78FFFA0842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580FB-61D1-4B7F-9573-FE25A5A4251C}">
  <ds:schemaRefs>
    <ds:schemaRef ds:uri="02FDDFA0-B61A-4CE6-AB15-78FFFA084249"/>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EECBB9-50E0-4939-94BC-E9B0E2F9EF0B}">
  <ds:schemaRefs>
    <ds:schemaRef ds:uri="http://schemas.microsoft.com/sharepoint/v3/contenttype/forms"/>
  </ds:schemaRefs>
</ds:datastoreItem>
</file>

<file path=customXml/itemProps3.xml><?xml version="1.0" encoding="utf-8"?>
<ds:datastoreItem xmlns:ds="http://schemas.openxmlformats.org/officeDocument/2006/customXml" ds:itemID="{DF74E447-0FFB-4648-89C3-1F686B89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DFA0-B61A-4CE6-AB15-78FFFA08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6038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7113</CharactersWithSpaces>
  <SharedDoc>false</SharedDoc>
  <HLinks>
    <vt:vector size="18" baseType="variant">
      <vt:variant>
        <vt:i4>6684771</vt:i4>
      </vt:variant>
      <vt:variant>
        <vt:i4>6</vt:i4>
      </vt:variant>
      <vt:variant>
        <vt:i4>0</vt:i4>
      </vt:variant>
      <vt:variant>
        <vt:i4>5</vt:i4>
      </vt:variant>
      <vt:variant>
        <vt:lpwstr>http://www.ag.gov.au/RightsAndProtections/HumanRights/PublicSectorGuidanceSheets/Pages/Permissiblelimitations.aspx</vt:lpwstr>
      </vt:variant>
      <vt:variant>
        <vt:lpwstr/>
      </vt:variant>
      <vt:variant>
        <vt:i4>4390970</vt:i4>
      </vt:variant>
      <vt:variant>
        <vt:i4>3</vt:i4>
      </vt:variant>
      <vt:variant>
        <vt:i4>0</vt:i4>
      </vt:variant>
      <vt:variant>
        <vt:i4>5</vt:i4>
      </vt:variant>
      <vt:variant>
        <vt:lpwstr>http://www.aph.gov.au/Parliamentary_Business/Committees/Joint/Human_Rights/Guidance_Notes_and_Resources</vt:lpwstr>
      </vt:variant>
      <vt:variant>
        <vt:lpwstr/>
      </vt:variant>
      <vt:variant>
        <vt:i4>4390970</vt:i4>
      </vt:variant>
      <vt:variant>
        <vt:i4>0</vt:i4>
      </vt:variant>
      <vt:variant>
        <vt:i4>0</vt:i4>
      </vt:variant>
      <vt:variant>
        <vt:i4>5</vt:i4>
      </vt:variant>
      <vt:variant>
        <vt:lpwstr>http://www.aph.gov.au/Parliamentary_Business/Committees/Joint/Human_Rights/Guidance_Notes_and_Resources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2007-03-26T04:10:00Z</cp:lastPrinted>
  <dcterms:created xsi:type="dcterms:W3CDTF">2017-08-21T23:13:00Z</dcterms:created>
  <dcterms:modified xsi:type="dcterms:W3CDTF">2017-08-21T23:13:00Z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0x010100266966F133664895A6EE3632470D45F500CEF2729356D1DF40872B260B2690BE72</vt:lpwstr>
  </property>
</Properties>
</file>