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F5F5A" w14:textId="77777777" w:rsidR="00245E51" w:rsidRPr="00824A97" w:rsidRDefault="00245E51" w:rsidP="00245E51">
      <w:pPr>
        <w:pStyle w:val="Title"/>
        <w:rPr>
          <w:u w:val="none"/>
        </w:rPr>
      </w:pPr>
      <w:r>
        <w:rPr>
          <w:u w:val="none"/>
        </w:rPr>
        <w:t>Explanatory Statement</w:t>
      </w:r>
    </w:p>
    <w:p w14:paraId="13C9D617" w14:textId="77777777" w:rsidR="00245E51" w:rsidRPr="00824A97" w:rsidRDefault="00245E51" w:rsidP="00245E51">
      <w:pPr>
        <w:rPr>
          <w:sz w:val="24"/>
        </w:rPr>
      </w:pPr>
    </w:p>
    <w:p w14:paraId="4126F464" w14:textId="77777777" w:rsidR="00245E51" w:rsidRPr="00824A97" w:rsidRDefault="00245E51" w:rsidP="00245E51">
      <w:pPr>
        <w:pStyle w:val="Heading1"/>
      </w:pPr>
      <w:r w:rsidRPr="00824A97">
        <w:t>Broadcasting Services Act 1992</w:t>
      </w:r>
    </w:p>
    <w:p w14:paraId="0E7A7779" w14:textId="77777777" w:rsidR="00245E51" w:rsidRPr="00824A97" w:rsidRDefault="00245E51" w:rsidP="00245E51"/>
    <w:p w14:paraId="0B4619F4" w14:textId="77777777" w:rsidR="00245E51" w:rsidRPr="00824A97" w:rsidRDefault="00245E51" w:rsidP="00245E51">
      <w:pPr>
        <w:jc w:val="center"/>
        <w:rPr>
          <w:b/>
          <w:sz w:val="28"/>
          <w:szCs w:val="28"/>
        </w:rPr>
      </w:pPr>
      <w:r w:rsidRPr="00824A97">
        <w:rPr>
          <w:b/>
          <w:sz w:val="28"/>
          <w:szCs w:val="28"/>
        </w:rPr>
        <w:t xml:space="preserve">Broadcasting Services (Events) Notice (No. 1) </w:t>
      </w:r>
      <w:r>
        <w:rPr>
          <w:b/>
          <w:sz w:val="28"/>
          <w:szCs w:val="28"/>
        </w:rPr>
        <w:t>2010</w:t>
      </w:r>
    </w:p>
    <w:p w14:paraId="1B5E5393" w14:textId="24E4A37B" w:rsidR="00245E51" w:rsidRPr="00824A97" w:rsidRDefault="00245E51" w:rsidP="00245E51">
      <w:pPr>
        <w:jc w:val="center"/>
        <w:rPr>
          <w:b/>
          <w:sz w:val="28"/>
          <w:szCs w:val="28"/>
        </w:rPr>
      </w:pPr>
      <w:r w:rsidRPr="00824A97">
        <w:rPr>
          <w:b/>
          <w:sz w:val="28"/>
          <w:szCs w:val="28"/>
        </w:rPr>
        <w:t xml:space="preserve">(Amendment No. </w:t>
      </w:r>
      <w:r w:rsidR="00B42893">
        <w:rPr>
          <w:b/>
          <w:sz w:val="28"/>
          <w:szCs w:val="28"/>
        </w:rPr>
        <w:t>7</w:t>
      </w:r>
      <w:r>
        <w:rPr>
          <w:b/>
          <w:sz w:val="28"/>
          <w:szCs w:val="28"/>
        </w:rPr>
        <w:t xml:space="preserve"> of 201</w:t>
      </w:r>
      <w:r w:rsidR="00B42893">
        <w:rPr>
          <w:b/>
          <w:sz w:val="28"/>
          <w:szCs w:val="28"/>
        </w:rPr>
        <w:t>7</w:t>
      </w:r>
      <w:r w:rsidRPr="00824A97">
        <w:rPr>
          <w:b/>
          <w:sz w:val="28"/>
          <w:szCs w:val="28"/>
        </w:rPr>
        <w:t>)</w:t>
      </w:r>
    </w:p>
    <w:p w14:paraId="0CB8EF25" w14:textId="77777777" w:rsidR="00245E51" w:rsidRPr="00824A97" w:rsidRDefault="00245E51" w:rsidP="00245E51">
      <w:pPr>
        <w:pStyle w:val="BodyText3"/>
      </w:pPr>
    </w:p>
    <w:p w14:paraId="2DBB0F85" w14:textId="77777777" w:rsidR="00245E51" w:rsidRPr="00824A97" w:rsidRDefault="00245E51" w:rsidP="00245E51">
      <w:pPr>
        <w:pStyle w:val="BodyText3"/>
      </w:pPr>
    </w:p>
    <w:p w14:paraId="7C4F3A2E" w14:textId="77777777" w:rsidR="00245E51" w:rsidRPr="00824A97" w:rsidRDefault="00245E51" w:rsidP="00245E51">
      <w:pPr>
        <w:pStyle w:val="BodyText"/>
      </w:pPr>
      <w:r w:rsidRPr="00824A97">
        <w:t xml:space="preserve">Issued by the Authority of the Minister for Communications </w:t>
      </w:r>
    </w:p>
    <w:p w14:paraId="0677E0E3" w14:textId="77777777" w:rsidR="00245E51" w:rsidRPr="00824A97" w:rsidRDefault="00245E51" w:rsidP="00245E51">
      <w:pPr>
        <w:rPr>
          <w:sz w:val="24"/>
        </w:rPr>
      </w:pPr>
    </w:p>
    <w:p w14:paraId="3FFB26C7" w14:textId="77777777" w:rsidR="00245E51" w:rsidRPr="0023682E" w:rsidRDefault="00245E51" w:rsidP="00245E51">
      <w:pPr>
        <w:rPr>
          <w:sz w:val="24"/>
          <w:u w:val="single"/>
        </w:rPr>
      </w:pPr>
      <w:r w:rsidRPr="0023682E">
        <w:rPr>
          <w:sz w:val="24"/>
          <w:u w:val="single"/>
        </w:rPr>
        <w:t>Purpose</w:t>
      </w:r>
    </w:p>
    <w:p w14:paraId="210B709E" w14:textId="77777777" w:rsidR="00245E51" w:rsidRPr="0023682E" w:rsidRDefault="00245E51" w:rsidP="00245E51">
      <w:pPr>
        <w:rPr>
          <w:sz w:val="24"/>
          <w:szCs w:val="24"/>
        </w:rPr>
      </w:pPr>
    </w:p>
    <w:p w14:paraId="4EEC2C72" w14:textId="78A8F3D4" w:rsidR="00245E51" w:rsidRPr="0023682E" w:rsidRDefault="00245E51" w:rsidP="00245E51">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B42893">
        <w:rPr>
          <w:i/>
          <w:sz w:val="24"/>
          <w:szCs w:val="24"/>
        </w:rPr>
        <w:t>7</w:t>
      </w:r>
      <w:r w:rsidR="00FA2CE7">
        <w:rPr>
          <w:i/>
          <w:sz w:val="24"/>
          <w:szCs w:val="24"/>
        </w:rPr>
        <w:t xml:space="preserve"> </w:t>
      </w:r>
      <w:r w:rsidRPr="0023682E">
        <w:rPr>
          <w:i/>
          <w:sz w:val="24"/>
          <w:szCs w:val="24"/>
        </w:rPr>
        <w:t>of 201</w:t>
      </w:r>
      <w:r w:rsidR="00B42893">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55720374" w14:textId="77777777" w:rsidR="00245E51" w:rsidRPr="0023682E" w:rsidRDefault="00245E51" w:rsidP="00245E51">
      <w:pPr>
        <w:rPr>
          <w:sz w:val="24"/>
          <w:szCs w:val="24"/>
        </w:rPr>
      </w:pPr>
    </w:p>
    <w:p w14:paraId="11FB6484" w14:textId="022B0674" w:rsidR="00245E51" w:rsidRPr="0023682E" w:rsidRDefault="00245E51" w:rsidP="00245E51">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w:t>
      </w:r>
      <w:r w:rsidR="00B52D9F">
        <w:rPr>
          <w:sz w:val="24"/>
          <w:szCs w:val="24"/>
        </w:rPr>
        <w:t xml:space="preserve"> </w:t>
      </w:r>
      <w:r w:rsidR="001859A1">
        <w:rPr>
          <w:sz w:val="24"/>
          <w:szCs w:val="24"/>
        </w:rPr>
        <w:t xml:space="preserve">international </w:t>
      </w:r>
      <w:r w:rsidR="00B52D9F">
        <w:rPr>
          <w:sz w:val="24"/>
          <w:szCs w:val="24"/>
        </w:rPr>
        <w:t>netball</w:t>
      </w:r>
      <w:r w:rsidRPr="0023682E">
        <w:rPr>
          <w:sz w:val="24"/>
          <w:szCs w:val="24"/>
        </w:rPr>
        <w:t xml:space="preserve"> events from the Principal Notice to permit the events to be premiered on a free-to-air te</w:t>
      </w:r>
      <w:r>
        <w:rPr>
          <w:sz w:val="24"/>
          <w:szCs w:val="24"/>
        </w:rPr>
        <w:t>levision digital multichannel.</w:t>
      </w:r>
      <w:r w:rsidR="005E4F5C">
        <w:rPr>
          <w:sz w:val="24"/>
          <w:szCs w:val="24"/>
        </w:rPr>
        <w:t xml:space="preserve"> </w:t>
      </w:r>
      <w:r w:rsidR="00893585">
        <w:rPr>
          <w:sz w:val="24"/>
          <w:szCs w:val="24"/>
        </w:rPr>
        <w:t xml:space="preserve">The Notice also removes a spent provision from the Principal Notice. </w:t>
      </w:r>
      <w:r w:rsidR="005E4F5C">
        <w:rPr>
          <w:sz w:val="24"/>
          <w:szCs w:val="24"/>
        </w:rPr>
        <w:t xml:space="preserve"> </w:t>
      </w:r>
    </w:p>
    <w:p w14:paraId="744BDA97" w14:textId="77777777" w:rsidR="00245E51" w:rsidRPr="0023682E" w:rsidRDefault="00245E51" w:rsidP="00245E51">
      <w:pPr>
        <w:rPr>
          <w:sz w:val="24"/>
          <w:szCs w:val="24"/>
        </w:rPr>
      </w:pPr>
    </w:p>
    <w:p w14:paraId="1D0DCD5E" w14:textId="507D869D" w:rsidR="00245E51" w:rsidRPr="0023682E" w:rsidRDefault="00245E51" w:rsidP="00245E51">
      <w:pPr>
        <w:rPr>
          <w:sz w:val="24"/>
          <w:szCs w:val="24"/>
        </w:rPr>
      </w:pPr>
      <w:r w:rsidRPr="0023682E">
        <w:rPr>
          <w:sz w:val="24"/>
          <w:szCs w:val="24"/>
        </w:rPr>
        <w:t xml:space="preserve">This Notice is a legislative instrument for the purposes of </w:t>
      </w:r>
      <w:r w:rsidR="00491B3C">
        <w:rPr>
          <w:sz w:val="24"/>
          <w:szCs w:val="24"/>
        </w:rPr>
        <w:t xml:space="preserve">subsection 8(2) </w:t>
      </w:r>
      <w:r w:rsidRPr="0023682E">
        <w:rPr>
          <w:sz w:val="24"/>
          <w:szCs w:val="24"/>
        </w:rPr>
        <w:t xml:space="preserve">of the </w:t>
      </w:r>
      <w:r w:rsidR="00A6741D">
        <w:rPr>
          <w:i/>
          <w:sz w:val="24"/>
          <w:szCs w:val="24"/>
        </w:rPr>
        <w:t>Legislation</w:t>
      </w:r>
      <w:r w:rsidRPr="0023682E">
        <w:rPr>
          <w:i/>
          <w:sz w:val="24"/>
          <w:szCs w:val="24"/>
        </w:rPr>
        <w:t xml:space="preserve"> Act 2003</w:t>
      </w:r>
      <w:r w:rsidRPr="0023682E">
        <w:rPr>
          <w:sz w:val="24"/>
          <w:szCs w:val="24"/>
        </w:rPr>
        <w:t>.</w:t>
      </w:r>
    </w:p>
    <w:p w14:paraId="358C4207" w14:textId="77777777" w:rsidR="00245E51" w:rsidRPr="0023682E" w:rsidRDefault="00245E51" w:rsidP="00245E51">
      <w:pPr>
        <w:rPr>
          <w:sz w:val="24"/>
          <w:szCs w:val="24"/>
        </w:rPr>
      </w:pPr>
    </w:p>
    <w:p w14:paraId="60CDC6D4" w14:textId="77777777" w:rsidR="00245E51" w:rsidRPr="0023682E" w:rsidRDefault="00245E51" w:rsidP="00245E51">
      <w:pPr>
        <w:rPr>
          <w:sz w:val="24"/>
          <w:u w:val="single"/>
        </w:rPr>
      </w:pPr>
      <w:r w:rsidRPr="0023682E">
        <w:rPr>
          <w:sz w:val="24"/>
          <w:u w:val="single"/>
        </w:rPr>
        <w:t>Background</w:t>
      </w:r>
    </w:p>
    <w:p w14:paraId="5151AD5F" w14:textId="77777777" w:rsidR="00245E51" w:rsidRPr="0023682E" w:rsidRDefault="00245E51" w:rsidP="00245E51">
      <w:pPr>
        <w:rPr>
          <w:sz w:val="24"/>
        </w:rPr>
      </w:pPr>
    </w:p>
    <w:p w14:paraId="4575071A" w14:textId="77777777" w:rsidR="00245E51" w:rsidRPr="0023682E" w:rsidRDefault="00245E51" w:rsidP="00245E51">
      <w:pPr>
        <w:rPr>
          <w:i/>
          <w:sz w:val="24"/>
        </w:rPr>
      </w:pPr>
      <w:r w:rsidRPr="0023682E">
        <w:rPr>
          <w:i/>
          <w:sz w:val="24"/>
        </w:rPr>
        <w:t xml:space="preserve">Legislative background </w:t>
      </w:r>
    </w:p>
    <w:p w14:paraId="359E585F" w14:textId="77777777" w:rsidR="00245E51" w:rsidRPr="0023682E" w:rsidRDefault="00245E51" w:rsidP="00245E51">
      <w:pPr>
        <w:rPr>
          <w:sz w:val="24"/>
        </w:rPr>
      </w:pPr>
    </w:p>
    <w:p w14:paraId="3FBAE64E" w14:textId="77777777" w:rsidR="00655362" w:rsidRPr="0023682E" w:rsidRDefault="00655362" w:rsidP="00655362">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Pr="0023682E">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002214CF" w14:textId="77777777" w:rsidR="00655362" w:rsidRPr="0023682E" w:rsidRDefault="00655362" w:rsidP="00655362">
      <w:pPr>
        <w:pStyle w:val="Heading1"/>
        <w:keepNext w:val="0"/>
        <w:jc w:val="left"/>
        <w:rPr>
          <w:i w:val="0"/>
          <w:szCs w:val="24"/>
        </w:rPr>
      </w:pPr>
    </w:p>
    <w:p w14:paraId="3684EDD7" w14:textId="77777777" w:rsidR="00655362" w:rsidRPr="0023682E" w:rsidRDefault="00655362" w:rsidP="00655362">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24A52421" w14:textId="77777777" w:rsidR="00655362" w:rsidRPr="0023682E" w:rsidRDefault="00655362" w:rsidP="00655362">
      <w:pPr>
        <w:rPr>
          <w:sz w:val="24"/>
          <w:szCs w:val="24"/>
        </w:rPr>
      </w:pPr>
    </w:p>
    <w:p w14:paraId="2BCDB66A" w14:textId="7D289637" w:rsidR="00245E51" w:rsidRDefault="00655362" w:rsidP="00245E51">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 xml:space="preserve">se events) are not shown on the broadcasters’ standard definition or high definition </w:t>
      </w:r>
      <w:r w:rsidRPr="0023682E">
        <w:rPr>
          <w:sz w:val="24"/>
          <w:szCs w:val="24"/>
        </w:rPr>
        <w:lastRenderedPageBreak/>
        <w:t>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19842267" w14:textId="77777777" w:rsidR="00893585" w:rsidRPr="0023682E" w:rsidRDefault="00893585" w:rsidP="00245E51">
      <w:pPr>
        <w:rPr>
          <w:sz w:val="24"/>
          <w:szCs w:val="24"/>
        </w:rPr>
      </w:pPr>
    </w:p>
    <w:p w14:paraId="24C9145D" w14:textId="77777777" w:rsidR="00655362" w:rsidRDefault="00245E51" w:rsidP="00245E51">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r w:rsidR="00964B4D">
        <w:rPr>
          <w:sz w:val="24"/>
          <w:szCs w:val="24"/>
        </w:rPr>
        <w:t xml:space="preserve"> </w:t>
      </w:r>
    </w:p>
    <w:p w14:paraId="322DB11E" w14:textId="290AD9FF" w:rsidR="005E4F5C" w:rsidRDefault="00655362" w:rsidP="00245E51">
      <w:pPr>
        <w:rPr>
          <w:sz w:val="24"/>
          <w:szCs w:val="24"/>
        </w:rPr>
      </w:pPr>
      <w:r>
        <w:rPr>
          <w:sz w:val="24"/>
          <w:szCs w:val="24"/>
        </w:rPr>
        <w:t>The purpose of the</w:t>
      </w:r>
      <w:r w:rsidR="00245E51" w:rsidRPr="00B818F3">
        <w:rPr>
          <w:sz w:val="24"/>
          <w:szCs w:val="24"/>
        </w:rPr>
        <w:t xml:space="preserve"> Notice is </w:t>
      </w:r>
      <w:r w:rsidR="00893585">
        <w:rPr>
          <w:sz w:val="24"/>
          <w:szCs w:val="24"/>
        </w:rPr>
        <w:t xml:space="preserve">to </w:t>
      </w:r>
      <w:r w:rsidR="00245E51" w:rsidRPr="00B818F3">
        <w:rPr>
          <w:sz w:val="24"/>
          <w:szCs w:val="24"/>
        </w:rPr>
        <w:t>remove from the current anti-siphoning list</w:t>
      </w:r>
      <w:r w:rsidR="00B15CE5">
        <w:rPr>
          <w:sz w:val="24"/>
          <w:szCs w:val="24"/>
        </w:rPr>
        <w:t xml:space="preserve"> </w:t>
      </w:r>
      <w:r w:rsidR="00987BFF">
        <w:rPr>
          <w:sz w:val="24"/>
          <w:szCs w:val="24"/>
        </w:rPr>
        <w:t>four</w:t>
      </w:r>
      <w:r w:rsidR="00BB5D33">
        <w:rPr>
          <w:sz w:val="24"/>
          <w:szCs w:val="24"/>
        </w:rPr>
        <w:t xml:space="preserve"> </w:t>
      </w:r>
      <w:r w:rsidR="00022128">
        <w:rPr>
          <w:sz w:val="24"/>
          <w:szCs w:val="24"/>
        </w:rPr>
        <w:t xml:space="preserve">international </w:t>
      </w:r>
      <w:r w:rsidR="00BB5D33">
        <w:rPr>
          <w:sz w:val="24"/>
          <w:szCs w:val="24"/>
        </w:rPr>
        <w:t>netball</w:t>
      </w:r>
      <w:r w:rsidR="003E6A68">
        <w:rPr>
          <w:sz w:val="24"/>
          <w:szCs w:val="24"/>
        </w:rPr>
        <w:t xml:space="preserve"> </w:t>
      </w:r>
      <w:r w:rsidR="00BB5D33">
        <w:rPr>
          <w:sz w:val="24"/>
          <w:szCs w:val="24"/>
        </w:rPr>
        <w:t>matches</w:t>
      </w:r>
      <w:r w:rsidR="00113AF6">
        <w:rPr>
          <w:sz w:val="24"/>
          <w:szCs w:val="24"/>
        </w:rPr>
        <w:t xml:space="preserve"> </w:t>
      </w:r>
      <w:r w:rsidR="00A66FCC" w:rsidRPr="00B42893">
        <w:rPr>
          <w:sz w:val="24"/>
          <w:szCs w:val="24"/>
        </w:rPr>
        <w:t xml:space="preserve">involving the senior Australian representative team </w:t>
      </w:r>
      <w:r w:rsidR="00B42893" w:rsidRPr="00B42893">
        <w:rPr>
          <w:sz w:val="24"/>
          <w:szCs w:val="24"/>
        </w:rPr>
        <w:t>to be played on 30 August, 3 September, 5 October and 11 October 2017.</w:t>
      </w:r>
      <w:r w:rsidR="003E6A68">
        <w:rPr>
          <w:sz w:val="24"/>
          <w:szCs w:val="24"/>
        </w:rPr>
        <w:t xml:space="preserve"> </w:t>
      </w:r>
      <w:r w:rsidR="009B004B" w:rsidRPr="00B818F3">
        <w:rPr>
          <w:sz w:val="24"/>
          <w:szCs w:val="24"/>
        </w:rPr>
        <w:t>The event</w:t>
      </w:r>
      <w:r w:rsidR="003A0419">
        <w:rPr>
          <w:sz w:val="24"/>
          <w:szCs w:val="24"/>
        </w:rPr>
        <w:t>s</w:t>
      </w:r>
      <w:r w:rsidR="009B004B" w:rsidRPr="00B818F3">
        <w:rPr>
          <w:sz w:val="24"/>
          <w:szCs w:val="24"/>
        </w:rPr>
        <w:t xml:space="preserve"> to be removed </w:t>
      </w:r>
      <w:r w:rsidR="003A0419">
        <w:rPr>
          <w:sz w:val="24"/>
          <w:szCs w:val="24"/>
        </w:rPr>
        <w:t>are</w:t>
      </w:r>
      <w:r w:rsidR="009B004B" w:rsidRPr="00B818F3">
        <w:rPr>
          <w:sz w:val="24"/>
          <w:szCs w:val="24"/>
        </w:rPr>
        <w:t xml:space="preserve"> th</w:t>
      </w:r>
      <w:r w:rsidR="003A0419">
        <w:rPr>
          <w:sz w:val="24"/>
          <w:szCs w:val="24"/>
        </w:rPr>
        <w:t>ose</w:t>
      </w:r>
      <w:r w:rsidR="009B004B" w:rsidRPr="00B818F3">
        <w:rPr>
          <w:sz w:val="24"/>
          <w:szCs w:val="24"/>
        </w:rPr>
        <w:t xml:space="preserve"> specified </w:t>
      </w:r>
      <w:r w:rsidR="00120FD7">
        <w:rPr>
          <w:sz w:val="24"/>
          <w:szCs w:val="24"/>
        </w:rPr>
        <w:t xml:space="preserve">as exceptions </w:t>
      </w:r>
      <w:r w:rsidR="009B004B" w:rsidRPr="00B818F3">
        <w:rPr>
          <w:sz w:val="24"/>
          <w:szCs w:val="24"/>
        </w:rPr>
        <w:t>in</w:t>
      </w:r>
      <w:r w:rsidR="00F543BF">
        <w:rPr>
          <w:sz w:val="24"/>
          <w:szCs w:val="24"/>
        </w:rPr>
        <w:t xml:space="preserve"> </w:t>
      </w:r>
      <w:r w:rsidR="00FC6362">
        <w:rPr>
          <w:sz w:val="24"/>
          <w:szCs w:val="24"/>
        </w:rPr>
        <w:t>c</w:t>
      </w:r>
      <w:r w:rsidR="00F543BF">
        <w:rPr>
          <w:sz w:val="24"/>
          <w:szCs w:val="24"/>
        </w:rPr>
        <w:t>lause</w:t>
      </w:r>
      <w:r w:rsidR="009B004B" w:rsidRPr="00B818F3">
        <w:rPr>
          <w:sz w:val="24"/>
          <w:szCs w:val="24"/>
        </w:rPr>
        <w:t xml:space="preserve"> </w:t>
      </w:r>
      <w:r w:rsidR="00BB5D33">
        <w:rPr>
          <w:sz w:val="24"/>
          <w:szCs w:val="24"/>
        </w:rPr>
        <w:t>10</w:t>
      </w:r>
      <w:r w:rsidR="009B004B" w:rsidRPr="00B818F3">
        <w:rPr>
          <w:sz w:val="24"/>
          <w:szCs w:val="24"/>
        </w:rPr>
        <w:t>.</w:t>
      </w:r>
      <w:r w:rsidR="00113AF6">
        <w:rPr>
          <w:sz w:val="24"/>
          <w:szCs w:val="24"/>
        </w:rPr>
        <w:t>1</w:t>
      </w:r>
      <w:r w:rsidR="009B004B" w:rsidRPr="00B818F3">
        <w:rPr>
          <w:sz w:val="24"/>
          <w:szCs w:val="24"/>
        </w:rPr>
        <w:t xml:space="preserve"> of the Schedule to the Prin</w:t>
      </w:r>
      <w:r w:rsidR="00022128">
        <w:rPr>
          <w:sz w:val="24"/>
          <w:szCs w:val="24"/>
        </w:rPr>
        <w:t>cipal Notice, as amended by the</w:t>
      </w:r>
      <w:r w:rsidR="009B004B" w:rsidRPr="00B818F3">
        <w:rPr>
          <w:sz w:val="24"/>
          <w:szCs w:val="24"/>
        </w:rPr>
        <w:t xml:space="preserve"> Notice.</w:t>
      </w:r>
      <w:r w:rsidR="00893585">
        <w:rPr>
          <w:sz w:val="24"/>
          <w:szCs w:val="24"/>
        </w:rPr>
        <w:t xml:space="preserve"> The Notice also removes spent provisions from the Principal Notice concerning past international netball matches. </w:t>
      </w:r>
      <w:r w:rsidR="00113AF6">
        <w:rPr>
          <w:sz w:val="24"/>
          <w:szCs w:val="24"/>
        </w:rPr>
        <w:t xml:space="preserve"> </w:t>
      </w:r>
    </w:p>
    <w:p w14:paraId="34CDECED" w14:textId="77777777" w:rsidR="005E4F5C" w:rsidRDefault="005E4F5C" w:rsidP="00245E51">
      <w:pPr>
        <w:rPr>
          <w:sz w:val="24"/>
          <w:szCs w:val="24"/>
        </w:rPr>
      </w:pPr>
    </w:p>
    <w:p w14:paraId="0410537B" w14:textId="2D2043A2" w:rsidR="007616BE" w:rsidRPr="00B361B7" w:rsidRDefault="00137F21" w:rsidP="007616BE">
      <w:pPr>
        <w:rPr>
          <w:i/>
          <w:sz w:val="24"/>
          <w:szCs w:val="24"/>
        </w:rPr>
      </w:pPr>
      <w:r>
        <w:rPr>
          <w:i/>
          <w:sz w:val="24"/>
          <w:szCs w:val="24"/>
        </w:rPr>
        <w:t>201</w:t>
      </w:r>
      <w:r w:rsidR="00B42893">
        <w:rPr>
          <w:i/>
          <w:sz w:val="24"/>
          <w:szCs w:val="24"/>
        </w:rPr>
        <w:t>7</w:t>
      </w:r>
      <w:r>
        <w:rPr>
          <w:i/>
          <w:sz w:val="24"/>
          <w:szCs w:val="24"/>
        </w:rPr>
        <w:t xml:space="preserve"> Netball </w:t>
      </w:r>
      <w:r w:rsidR="00E26733">
        <w:rPr>
          <w:i/>
          <w:sz w:val="24"/>
          <w:szCs w:val="24"/>
        </w:rPr>
        <w:t>Matches</w:t>
      </w:r>
      <w:r>
        <w:rPr>
          <w:i/>
          <w:sz w:val="24"/>
          <w:szCs w:val="24"/>
        </w:rPr>
        <w:t xml:space="preserve"> </w:t>
      </w:r>
    </w:p>
    <w:p w14:paraId="015F35FB" w14:textId="77777777" w:rsidR="007616BE" w:rsidRDefault="007616BE" w:rsidP="007616BE">
      <w:pPr>
        <w:rPr>
          <w:sz w:val="24"/>
          <w:szCs w:val="24"/>
        </w:rPr>
      </w:pPr>
    </w:p>
    <w:p w14:paraId="5B1D411F" w14:textId="62F3440D" w:rsidR="00A66FCC" w:rsidRPr="003A0419" w:rsidRDefault="00A66FCC" w:rsidP="00A66FCC">
      <w:pPr>
        <w:rPr>
          <w:sz w:val="24"/>
          <w:szCs w:val="24"/>
        </w:rPr>
      </w:pPr>
      <w:r w:rsidRPr="00B361B7">
        <w:rPr>
          <w:sz w:val="24"/>
          <w:szCs w:val="24"/>
        </w:rPr>
        <w:t>The 201</w:t>
      </w:r>
      <w:r>
        <w:rPr>
          <w:sz w:val="24"/>
          <w:szCs w:val="24"/>
        </w:rPr>
        <w:t xml:space="preserve">7 Netball Quad Series and the 2017 Constellation Cup will be </w:t>
      </w:r>
      <w:r w:rsidRPr="00B361B7">
        <w:rPr>
          <w:sz w:val="24"/>
          <w:szCs w:val="24"/>
        </w:rPr>
        <w:t>held in various locations across Australia</w:t>
      </w:r>
      <w:r>
        <w:rPr>
          <w:sz w:val="24"/>
          <w:szCs w:val="24"/>
        </w:rPr>
        <w:t xml:space="preserve"> and New Zealand between 26 August and 14 October 2017. </w:t>
      </w:r>
    </w:p>
    <w:p w14:paraId="15AE716E" w14:textId="77777777" w:rsidR="00A66FCC" w:rsidRPr="007616BE" w:rsidRDefault="00A66FCC" w:rsidP="007616BE">
      <w:pPr>
        <w:rPr>
          <w:sz w:val="24"/>
          <w:szCs w:val="24"/>
        </w:rPr>
      </w:pPr>
    </w:p>
    <w:p w14:paraId="40796759" w14:textId="77777777" w:rsidR="00B52D9F" w:rsidRDefault="00DB7912" w:rsidP="00DB7912">
      <w:pPr>
        <w:rPr>
          <w:sz w:val="24"/>
          <w:szCs w:val="24"/>
          <w:lang w:val="en-GB"/>
        </w:rPr>
      </w:pPr>
      <w:r w:rsidRPr="00987BFF">
        <w:rPr>
          <w:sz w:val="24"/>
          <w:szCs w:val="24"/>
          <w:lang w:val="en-GB"/>
        </w:rPr>
        <w:t xml:space="preserve">The Notice will remove from the </w:t>
      </w:r>
      <w:r w:rsidR="00A66FCC">
        <w:rPr>
          <w:sz w:val="24"/>
          <w:szCs w:val="24"/>
          <w:lang w:val="en-GB"/>
        </w:rPr>
        <w:t>Principal Notice</w:t>
      </w:r>
      <w:r w:rsidR="005E4F5C" w:rsidRPr="00987BFF">
        <w:rPr>
          <w:sz w:val="24"/>
          <w:szCs w:val="24"/>
          <w:lang w:val="en-GB"/>
        </w:rPr>
        <w:t xml:space="preserve"> </w:t>
      </w:r>
      <w:r w:rsidR="00B52D9F">
        <w:rPr>
          <w:sz w:val="24"/>
          <w:szCs w:val="24"/>
          <w:lang w:val="en-GB"/>
        </w:rPr>
        <w:t xml:space="preserve">the following </w:t>
      </w:r>
      <w:r w:rsidR="008D6968">
        <w:rPr>
          <w:sz w:val="24"/>
          <w:szCs w:val="24"/>
          <w:lang w:val="en-GB"/>
        </w:rPr>
        <w:t xml:space="preserve">four </w:t>
      </w:r>
      <w:r w:rsidR="00022128">
        <w:rPr>
          <w:sz w:val="24"/>
          <w:szCs w:val="24"/>
          <w:lang w:val="en-GB"/>
        </w:rPr>
        <w:t xml:space="preserve">international </w:t>
      </w:r>
      <w:r w:rsidR="00655362">
        <w:rPr>
          <w:sz w:val="24"/>
          <w:szCs w:val="24"/>
          <w:lang w:val="en-GB"/>
        </w:rPr>
        <w:t xml:space="preserve">netball </w:t>
      </w:r>
      <w:r w:rsidR="004358A9" w:rsidRPr="00987BFF">
        <w:rPr>
          <w:sz w:val="24"/>
          <w:szCs w:val="24"/>
          <w:lang w:val="en-GB"/>
        </w:rPr>
        <w:t>match</w:t>
      </w:r>
      <w:r w:rsidR="008D6968">
        <w:rPr>
          <w:sz w:val="24"/>
          <w:szCs w:val="24"/>
          <w:lang w:val="en-GB"/>
        </w:rPr>
        <w:t>es to be played as part of these two tournaments</w:t>
      </w:r>
      <w:r w:rsidR="00B52D9F">
        <w:rPr>
          <w:sz w:val="24"/>
          <w:szCs w:val="24"/>
          <w:lang w:val="en-GB"/>
        </w:rPr>
        <w:t>:</w:t>
      </w:r>
    </w:p>
    <w:p w14:paraId="25EBBE08" w14:textId="204DB8DC" w:rsidR="00B52D9F" w:rsidRPr="00B52D9F" w:rsidRDefault="008D6968" w:rsidP="00B52D9F">
      <w:pPr>
        <w:pStyle w:val="ListParagraph"/>
        <w:numPr>
          <w:ilvl w:val="0"/>
          <w:numId w:val="2"/>
        </w:numPr>
        <w:rPr>
          <w:rFonts w:ascii="Times New Roman" w:hAnsi="Times New Roman" w:cs="Times New Roman"/>
          <w:sz w:val="24"/>
          <w:szCs w:val="24"/>
          <w:lang w:val="en-GB"/>
        </w:rPr>
      </w:pPr>
      <w:r w:rsidRPr="00B52D9F">
        <w:rPr>
          <w:rFonts w:ascii="Times New Roman" w:hAnsi="Times New Roman" w:cs="Times New Roman"/>
          <w:sz w:val="24"/>
          <w:szCs w:val="24"/>
          <w:lang w:val="en-GB"/>
        </w:rPr>
        <w:t>the match t</w:t>
      </w:r>
      <w:r w:rsidR="00137F21" w:rsidRPr="00B52D9F">
        <w:rPr>
          <w:rFonts w:ascii="Times New Roman" w:hAnsi="Times New Roman" w:cs="Times New Roman"/>
          <w:sz w:val="24"/>
          <w:szCs w:val="24"/>
          <w:lang w:val="en-GB"/>
        </w:rPr>
        <w:t xml:space="preserve">o be played </w:t>
      </w:r>
      <w:r w:rsidR="005E4F5C" w:rsidRPr="00B52D9F">
        <w:rPr>
          <w:rFonts w:ascii="Times New Roman" w:hAnsi="Times New Roman" w:cs="Times New Roman"/>
          <w:sz w:val="24"/>
          <w:szCs w:val="24"/>
          <w:lang w:val="en-GB"/>
        </w:rPr>
        <w:t xml:space="preserve">in Australia </w:t>
      </w:r>
      <w:r w:rsidR="00137F21" w:rsidRPr="00B52D9F">
        <w:rPr>
          <w:rFonts w:ascii="Times New Roman" w:hAnsi="Times New Roman" w:cs="Times New Roman"/>
          <w:sz w:val="24"/>
          <w:szCs w:val="24"/>
          <w:lang w:val="en-GB"/>
        </w:rPr>
        <w:t xml:space="preserve">between Australia and </w:t>
      </w:r>
      <w:r w:rsidR="00B42893" w:rsidRPr="00B52D9F">
        <w:rPr>
          <w:rFonts w:ascii="Times New Roman" w:hAnsi="Times New Roman" w:cs="Times New Roman"/>
          <w:sz w:val="24"/>
          <w:szCs w:val="24"/>
          <w:lang w:val="en-GB"/>
        </w:rPr>
        <w:t>South Africa</w:t>
      </w:r>
      <w:r w:rsidR="005E4F5C" w:rsidRPr="00B52D9F">
        <w:rPr>
          <w:rFonts w:ascii="Times New Roman" w:hAnsi="Times New Roman" w:cs="Times New Roman"/>
          <w:sz w:val="24"/>
          <w:szCs w:val="24"/>
          <w:lang w:val="en-GB"/>
        </w:rPr>
        <w:t xml:space="preserve"> </w:t>
      </w:r>
      <w:r w:rsidR="00137F21" w:rsidRPr="00B52D9F">
        <w:rPr>
          <w:rFonts w:ascii="Times New Roman" w:hAnsi="Times New Roman" w:cs="Times New Roman"/>
          <w:sz w:val="24"/>
          <w:szCs w:val="24"/>
          <w:lang w:val="en-GB"/>
        </w:rPr>
        <w:t xml:space="preserve">on </w:t>
      </w:r>
      <w:r w:rsidR="00B42893" w:rsidRPr="00B52D9F">
        <w:rPr>
          <w:rFonts w:ascii="Times New Roman" w:hAnsi="Times New Roman" w:cs="Times New Roman"/>
          <w:sz w:val="24"/>
          <w:szCs w:val="24"/>
          <w:lang w:val="en-GB"/>
        </w:rPr>
        <w:t>30</w:t>
      </w:r>
      <w:r w:rsidR="004358A9" w:rsidRPr="00B52D9F">
        <w:rPr>
          <w:rFonts w:ascii="Times New Roman" w:hAnsi="Times New Roman" w:cs="Times New Roman"/>
          <w:sz w:val="24"/>
          <w:szCs w:val="24"/>
          <w:lang w:val="en-GB"/>
        </w:rPr>
        <w:t xml:space="preserve"> August 201</w:t>
      </w:r>
      <w:r w:rsidR="00B42893" w:rsidRPr="00B52D9F">
        <w:rPr>
          <w:rFonts w:ascii="Times New Roman" w:hAnsi="Times New Roman" w:cs="Times New Roman"/>
          <w:sz w:val="24"/>
          <w:szCs w:val="24"/>
          <w:lang w:val="en-GB"/>
        </w:rPr>
        <w:t>7</w:t>
      </w:r>
      <w:r w:rsidRPr="00B52D9F">
        <w:rPr>
          <w:rFonts w:ascii="Times New Roman" w:hAnsi="Times New Roman" w:cs="Times New Roman"/>
          <w:sz w:val="24"/>
          <w:szCs w:val="24"/>
          <w:lang w:val="en-GB"/>
        </w:rPr>
        <w:t xml:space="preserve">; </w:t>
      </w:r>
    </w:p>
    <w:p w14:paraId="132E7754" w14:textId="77777777" w:rsidR="00B52D9F" w:rsidRPr="00B52D9F" w:rsidRDefault="008D6968" w:rsidP="00B52D9F">
      <w:pPr>
        <w:pStyle w:val="ListParagraph"/>
        <w:numPr>
          <w:ilvl w:val="0"/>
          <w:numId w:val="2"/>
        </w:numPr>
        <w:rPr>
          <w:rFonts w:ascii="Times New Roman" w:hAnsi="Times New Roman" w:cs="Times New Roman"/>
          <w:sz w:val="24"/>
          <w:szCs w:val="24"/>
          <w:lang w:val="en-GB"/>
        </w:rPr>
      </w:pPr>
      <w:r w:rsidRPr="00B52D9F">
        <w:rPr>
          <w:rFonts w:ascii="Times New Roman" w:hAnsi="Times New Roman" w:cs="Times New Roman"/>
          <w:sz w:val="24"/>
          <w:szCs w:val="24"/>
          <w:lang w:val="en-GB"/>
        </w:rPr>
        <w:t xml:space="preserve">the matches to be played </w:t>
      </w:r>
      <w:r w:rsidR="00022128" w:rsidRPr="00B52D9F">
        <w:rPr>
          <w:rFonts w:ascii="Times New Roman" w:hAnsi="Times New Roman" w:cs="Times New Roman"/>
          <w:sz w:val="24"/>
          <w:szCs w:val="24"/>
          <w:lang w:val="en-GB"/>
        </w:rPr>
        <w:t xml:space="preserve">in </w:t>
      </w:r>
      <w:r w:rsidR="00B42893" w:rsidRPr="00B52D9F">
        <w:rPr>
          <w:rFonts w:ascii="Times New Roman" w:hAnsi="Times New Roman" w:cs="Times New Roman"/>
          <w:sz w:val="24"/>
          <w:szCs w:val="24"/>
          <w:lang w:val="en-GB"/>
        </w:rPr>
        <w:t>New Zealand</w:t>
      </w:r>
      <w:r w:rsidR="00022128" w:rsidRPr="00B52D9F">
        <w:rPr>
          <w:rFonts w:ascii="Times New Roman" w:hAnsi="Times New Roman" w:cs="Times New Roman"/>
          <w:sz w:val="24"/>
          <w:szCs w:val="24"/>
          <w:lang w:val="en-GB"/>
        </w:rPr>
        <w:t xml:space="preserve"> between Australia and New </w:t>
      </w:r>
      <w:r w:rsidR="00987BFF" w:rsidRPr="00B52D9F">
        <w:rPr>
          <w:rFonts w:ascii="Times New Roman" w:hAnsi="Times New Roman" w:cs="Times New Roman"/>
          <w:sz w:val="24"/>
          <w:szCs w:val="24"/>
          <w:lang w:val="en-GB"/>
        </w:rPr>
        <w:t xml:space="preserve">Zealand </w:t>
      </w:r>
      <w:r w:rsidR="00B42893" w:rsidRPr="00B52D9F">
        <w:rPr>
          <w:rFonts w:ascii="Times New Roman" w:hAnsi="Times New Roman" w:cs="Times New Roman"/>
          <w:sz w:val="24"/>
          <w:szCs w:val="24"/>
          <w:lang w:val="en-GB"/>
        </w:rPr>
        <w:t>on 3</w:t>
      </w:r>
      <w:r w:rsidR="00022128" w:rsidRPr="00B52D9F">
        <w:rPr>
          <w:rFonts w:ascii="Times New Roman" w:hAnsi="Times New Roman" w:cs="Times New Roman"/>
          <w:sz w:val="24"/>
          <w:szCs w:val="24"/>
          <w:lang w:val="en-GB"/>
        </w:rPr>
        <w:t> </w:t>
      </w:r>
      <w:r w:rsidR="00B42893" w:rsidRPr="00B52D9F">
        <w:rPr>
          <w:rFonts w:ascii="Times New Roman" w:hAnsi="Times New Roman" w:cs="Times New Roman"/>
          <w:sz w:val="24"/>
          <w:szCs w:val="24"/>
          <w:lang w:val="en-GB"/>
        </w:rPr>
        <w:t>September and</w:t>
      </w:r>
      <w:r w:rsidR="00655362" w:rsidRPr="00B52D9F">
        <w:rPr>
          <w:rFonts w:ascii="Times New Roman" w:hAnsi="Times New Roman" w:cs="Times New Roman"/>
          <w:sz w:val="24"/>
          <w:szCs w:val="24"/>
          <w:lang w:val="en-GB"/>
        </w:rPr>
        <w:t xml:space="preserve"> </w:t>
      </w:r>
      <w:r w:rsidR="00B42893" w:rsidRPr="00B52D9F">
        <w:rPr>
          <w:rFonts w:ascii="Times New Roman" w:hAnsi="Times New Roman" w:cs="Times New Roman"/>
          <w:sz w:val="24"/>
          <w:szCs w:val="24"/>
          <w:lang w:val="en-GB"/>
        </w:rPr>
        <w:t>5</w:t>
      </w:r>
      <w:r w:rsidR="00655362" w:rsidRPr="00B52D9F">
        <w:rPr>
          <w:rFonts w:ascii="Times New Roman" w:hAnsi="Times New Roman" w:cs="Times New Roman"/>
          <w:sz w:val="24"/>
          <w:szCs w:val="24"/>
          <w:lang w:val="en-GB"/>
        </w:rPr>
        <w:t> </w:t>
      </w:r>
      <w:r w:rsidR="00712CB9" w:rsidRPr="00B52D9F">
        <w:rPr>
          <w:rFonts w:ascii="Times New Roman" w:hAnsi="Times New Roman" w:cs="Times New Roman"/>
          <w:sz w:val="24"/>
          <w:szCs w:val="24"/>
          <w:lang w:val="en-GB"/>
        </w:rPr>
        <w:t xml:space="preserve">October 2017; and </w:t>
      </w:r>
    </w:p>
    <w:p w14:paraId="7D22391E" w14:textId="60B998D3" w:rsidR="00DB7912" w:rsidRPr="00B52D9F" w:rsidRDefault="00712CB9" w:rsidP="00B52D9F">
      <w:pPr>
        <w:pStyle w:val="ListParagraph"/>
        <w:numPr>
          <w:ilvl w:val="0"/>
          <w:numId w:val="2"/>
        </w:numPr>
        <w:rPr>
          <w:rFonts w:ascii="Times New Roman" w:hAnsi="Times New Roman" w:cs="Times New Roman"/>
          <w:sz w:val="24"/>
          <w:szCs w:val="24"/>
          <w:lang w:val="en-GB"/>
        </w:rPr>
      </w:pPr>
      <w:r w:rsidRPr="00B52D9F">
        <w:rPr>
          <w:rFonts w:ascii="Times New Roman" w:hAnsi="Times New Roman" w:cs="Times New Roman"/>
          <w:sz w:val="24"/>
          <w:szCs w:val="24"/>
          <w:lang w:val="en-GB"/>
        </w:rPr>
        <w:t xml:space="preserve">the match </w:t>
      </w:r>
      <w:r w:rsidR="00B42893" w:rsidRPr="00B52D9F">
        <w:rPr>
          <w:rFonts w:ascii="Times New Roman" w:hAnsi="Times New Roman" w:cs="Times New Roman"/>
          <w:sz w:val="24"/>
          <w:szCs w:val="24"/>
          <w:lang w:val="en-GB"/>
        </w:rPr>
        <w:t>to be played in Australia between Australia and New Zealand on 11</w:t>
      </w:r>
      <w:r w:rsidR="001859A1">
        <w:rPr>
          <w:rFonts w:ascii="Times New Roman" w:hAnsi="Times New Roman" w:cs="Times New Roman"/>
          <w:sz w:val="24"/>
          <w:szCs w:val="24"/>
          <w:lang w:val="en-GB"/>
        </w:rPr>
        <w:t> </w:t>
      </w:r>
      <w:r w:rsidR="00B42893" w:rsidRPr="00B52D9F">
        <w:rPr>
          <w:rFonts w:ascii="Times New Roman" w:hAnsi="Times New Roman" w:cs="Times New Roman"/>
          <w:sz w:val="24"/>
          <w:szCs w:val="24"/>
          <w:lang w:val="en-GB"/>
        </w:rPr>
        <w:t>O</w:t>
      </w:r>
      <w:r w:rsidR="00987BFF" w:rsidRPr="00B52D9F">
        <w:rPr>
          <w:rFonts w:ascii="Times New Roman" w:hAnsi="Times New Roman" w:cs="Times New Roman"/>
          <w:sz w:val="24"/>
          <w:szCs w:val="24"/>
          <w:lang w:val="en-GB"/>
        </w:rPr>
        <w:t>ctober 201</w:t>
      </w:r>
      <w:r w:rsidR="00B42893" w:rsidRPr="00B52D9F">
        <w:rPr>
          <w:rFonts w:ascii="Times New Roman" w:hAnsi="Times New Roman" w:cs="Times New Roman"/>
          <w:sz w:val="24"/>
          <w:szCs w:val="24"/>
          <w:lang w:val="en-GB"/>
        </w:rPr>
        <w:t>7</w:t>
      </w:r>
      <w:r w:rsidR="00B956BB" w:rsidRPr="00B52D9F">
        <w:rPr>
          <w:rFonts w:ascii="Times New Roman" w:hAnsi="Times New Roman" w:cs="Times New Roman"/>
          <w:sz w:val="24"/>
          <w:szCs w:val="24"/>
          <w:lang w:val="en-GB"/>
        </w:rPr>
        <w:t>.</w:t>
      </w:r>
    </w:p>
    <w:p w14:paraId="69DD070C" w14:textId="3AA89E32" w:rsidR="003A0419" w:rsidRDefault="00DB7912" w:rsidP="003A0419">
      <w:r>
        <w:rPr>
          <w:sz w:val="24"/>
          <w:szCs w:val="24"/>
          <w:lang w:val="en-GB"/>
        </w:rPr>
        <w:t>These</w:t>
      </w:r>
      <w:r w:rsidR="003A0419">
        <w:rPr>
          <w:sz w:val="24"/>
          <w:szCs w:val="24"/>
          <w:lang w:val="en-GB"/>
        </w:rPr>
        <w:t xml:space="preserve"> amendment</w:t>
      </w:r>
      <w:r>
        <w:rPr>
          <w:sz w:val="24"/>
          <w:szCs w:val="24"/>
          <w:lang w:val="en-GB"/>
        </w:rPr>
        <w:t>s</w:t>
      </w:r>
      <w:r w:rsidR="003A0419" w:rsidRPr="00E650C3">
        <w:rPr>
          <w:sz w:val="24"/>
          <w:szCs w:val="24"/>
          <w:lang w:val="en-GB"/>
        </w:rPr>
        <w:t xml:space="preserve"> will allow </w:t>
      </w:r>
      <w:r w:rsidR="003A0419">
        <w:rPr>
          <w:sz w:val="24"/>
          <w:szCs w:val="24"/>
          <w:lang w:val="en-GB"/>
        </w:rPr>
        <w:t xml:space="preserve">(but not require) </w:t>
      </w:r>
      <w:r w:rsidR="003A0419" w:rsidRPr="00E650C3">
        <w:rPr>
          <w:sz w:val="24"/>
          <w:szCs w:val="24"/>
          <w:lang w:val="en-GB"/>
        </w:rPr>
        <w:t>the free-to-air broadcaster</w:t>
      </w:r>
      <w:r w:rsidR="003A0419">
        <w:rPr>
          <w:sz w:val="24"/>
          <w:szCs w:val="24"/>
          <w:lang w:val="en-GB"/>
        </w:rPr>
        <w:t xml:space="preserve"> that hold</w:t>
      </w:r>
      <w:r w:rsidR="0099217A">
        <w:rPr>
          <w:sz w:val="24"/>
          <w:szCs w:val="24"/>
          <w:lang w:val="en-GB"/>
        </w:rPr>
        <w:t>s</w:t>
      </w:r>
      <w:r w:rsidR="003A0419" w:rsidRPr="00E650C3">
        <w:rPr>
          <w:sz w:val="24"/>
          <w:szCs w:val="24"/>
          <w:lang w:val="en-GB"/>
        </w:rPr>
        <w:t xml:space="preserve"> the</w:t>
      </w:r>
      <w:r w:rsidR="003A0419">
        <w:rPr>
          <w:sz w:val="24"/>
          <w:szCs w:val="24"/>
          <w:lang w:val="en-GB"/>
        </w:rPr>
        <w:t xml:space="preserve"> free-to-air </w:t>
      </w:r>
      <w:r w:rsidR="003A0419" w:rsidRPr="00E650C3">
        <w:rPr>
          <w:sz w:val="24"/>
          <w:szCs w:val="24"/>
          <w:lang w:val="en-GB"/>
        </w:rPr>
        <w:t>broadcast rights to th</w:t>
      </w:r>
      <w:r>
        <w:rPr>
          <w:sz w:val="24"/>
          <w:szCs w:val="24"/>
          <w:lang w:val="en-GB"/>
        </w:rPr>
        <w:t>ese</w:t>
      </w:r>
      <w:r w:rsidR="003A0419">
        <w:rPr>
          <w:sz w:val="24"/>
          <w:szCs w:val="24"/>
          <w:lang w:val="en-GB"/>
        </w:rPr>
        <w:t xml:space="preserve"> match</w:t>
      </w:r>
      <w:r>
        <w:rPr>
          <w:sz w:val="24"/>
          <w:szCs w:val="24"/>
          <w:lang w:val="en-GB"/>
        </w:rPr>
        <w:t>es</w:t>
      </w:r>
      <w:r w:rsidR="000026B0">
        <w:rPr>
          <w:sz w:val="24"/>
          <w:szCs w:val="24"/>
          <w:lang w:val="en-GB"/>
        </w:rPr>
        <w:t xml:space="preserve"> (</w:t>
      </w:r>
      <w:r w:rsidR="00A66FCC">
        <w:rPr>
          <w:sz w:val="24"/>
          <w:szCs w:val="24"/>
          <w:lang w:val="en-GB"/>
        </w:rPr>
        <w:t xml:space="preserve">the </w:t>
      </w:r>
      <w:r w:rsidR="00CE7DEE">
        <w:rPr>
          <w:sz w:val="24"/>
          <w:szCs w:val="24"/>
          <w:lang w:val="en-GB"/>
        </w:rPr>
        <w:t>Nine</w:t>
      </w:r>
      <w:r w:rsidR="000026B0">
        <w:rPr>
          <w:sz w:val="24"/>
          <w:szCs w:val="24"/>
          <w:lang w:val="en-GB"/>
        </w:rPr>
        <w:t xml:space="preserve"> </w:t>
      </w:r>
      <w:r w:rsidR="00CE7DEE">
        <w:rPr>
          <w:sz w:val="24"/>
          <w:szCs w:val="24"/>
          <w:lang w:val="en-GB"/>
        </w:rPr>
        <w:t xml:space="preserve">Network </w:t>
      </w:r>
      <w:r w:rsidR="00022128">
        <w:rPr>
          <w:sz w:val="24"/>
          <w:szCs w:val="24"/>
          <w:lang w:val="en-GB"/>
        </w:rPr>
        <w:t xml:space="preserve">and its </w:t>
      </w:r>
      <w:r w:rsidR="000026B0">
        <w:rPr>
          <w:sz w:val="24"/>
          <w:szCs w:val="24"/>
          <w:lang w:val="en-GB"/>
        </w:rPr>
        <w:t xml:space="preserve">affiliates) </w:t>
      </w:r>
      <w:r w:rsidR="003A0419" w:rsidRPr="00E650C3">
        <w:rPr>
          <w:sz w:val="24"/>
          <w:szCs w:val="24"/>
          <w:lang w:val="en-GB"/>
        </w:rPr>
        <w:t>to premiere</w:t>
      </w:r>
      <w:r w:rsidR="003A0419">
        <w:rPr>
          <w:sz w:val="24"/>
          <w:szCs w:val="24"/>
          <w:lang w:val="en-GB"/>
        </w:rPr>
        <w:t xml:space="preserve"> coverage of</w:t>
      </w:r>
      <w:r w:rsidR="003A0419" w:rsidRPr="00E650C3">
        <w:rPr>
          <w:sz w:val="24"/>
          <w:szCs w:val="24"/>
          <w:lang w:val="en-GB"/>
        </w:rPr>
        <w:t xml:space="preserve"> </w:t>
      </w:r>
      <w:r w:rsidR="003A0419">
        <w:rPr>
          <w:sz w:val="24"/>
          <w:szCs w:val="24"/>
          <w:lang w:val="en-GB"/>
        </w:rPr>
        <w:t>the</w:t>
      </w:r>
      <w:r w:rsidR="00F16333">
        <w:rPr>
          <w:sz w:val="24"/>
          <w:szCs w:val="24"/>
          <w:lang w:val="en-GB"/>
        </w:rPr>
        <w:t xml:space="preserve"> ‘delisted’</w:t>
      </w:r>
      <w:r w:rsidR="003A0419">
        <w:rPr>
          <w:sz w:val="24"/>
          <w:szCs w:val="24"/>
          <w:lang w:val="en-GB"/>
        </w:rPr>
        <w:t xml:space="preserve"> event</w:t>
      </w:r>
      <w:r>
        <w:rPr>
          <w:sz w:val="24"/>
          <w:szCs w:val="24"/>
          <w:lang w:val="en-GB"/>
        </w:rPr>
        <w:t>s</w:t>
      </w:r>
      <w:r w:rsidR="00F53087">
        <w:rPr>
          <w:sz w:val="24"/>
          <w:szCs w:val="24"/>
          <w:lang w:val="en-GB"/>
        </w:rPr>
        <w:t xml:space="preserve"> on a digital multichannel. </w:t>
      </w:r>
    </w:p>
    <w:p w14:paraId="5F643492" w14:textId="77777777" w:rsidR="003A0419" w:rsidRDefault="003A0419" w:rsidP="003A0419">
      <w:pPr>
        <w:rPr>
          <w:sz w:val="24"/>
          <w:szCs w:val="24"/>
          <w:lang w:val="en-GB"/>
        </w:rPr>
      </w:pPr>
    </w:p>
    <w:p w14:paraId="22419D62" w14:textId="1B491665" w:rsidR="003A0419" w:rsidRDefault="003A0419" w:rsidP="003A0419">
      <w:pPr>
        <w:rPr>
          <w:sz w:val="24"/>
          <w:szCs w:val="24"/>
        </w:rPr>
      </w:pPr>
      <w:r w:rsidRPr="00E650C3">
        <w:rPr>
          <w:sz w:val="24"/>
          <w:szCs w:val="24"/>
        </w:rPr>
        <w:t xml:space="preserve">Removing </w:t>
      </w:r>
      <w:r>
        <w:rPr>
          <w:sz w:val="24"/>
          <w:szCs w:val="24"/>
        </w:rPr>
        <w:t>the</w:t>
      </w:r>
      <w:r w:rsidR="00022128">
        <w:rPr>
          <w:sz w:val="24"/>
          <w:szCs w:val="24"/>
        </w:rPr>
        <w:t>se</w:t>
      </w:r>
      <w:r w:rsidRPr="00E650C3">
        <w:rPr>
          <w:sz w:val="24"/>
          <w:szCs w:val="24"/>
        </w:rPr>
        <w:t xml:space="preserve"> </w:t>
      </w:r>
      <w:r w:rsidR="00A66FCC">
        <w:rPr>
          <w:sz w:val="24"/>
          <w:szCs w:val="24"/>
        </w:rPr>
        <w:t>events</w:t>
      </w:r>
      <w:r w:rsidRPr="00E650C3">
        <w:rPr>
          <w:sz w:val="24"/>
          <w:szCs w:val="24"/>
        </w:rPr>
        <w:t xml:space="preserve"> from the anti-siphoning list will provide for flexibility in the free-to-air television coverage of the</w:t>
      </w:r>
      <w:r w:rsidR="00A66FCC">
        <w:rPr>
          <w:sz w:val="24"/>
          <w:szCs w:val="24"/>
        </w:rPr>
        <w:t xml:space="preserve"> matches in question and thus </w:t>
      </w:r>
      <w:r w:rsidRPr="00E650C3">
        <w:rPr>
          <w:sz w:val="24"/>
          <w:szCs w:val="24"/>
        </w:rPr>
        <w:t>enhance the viewing experience for Australian audiences.</w:t>
      </w:r>
      <w:r w:rsidR="00B90E98">
        <w:rPr>
          <w:sz w:val="24"/>
          <w:szCs w:val="24"/>
        </w:rPr>
        <w:t xml:space="preserve"> </w:t>
      </w:r>
    </w:p>
    <w:p w14:paraId="53D635BF" w14:textId="77777777" w:rsidR="003A0419" w:rsidRDefault="003A0419" w:rsidP="00245E51">
      <w:pPr>
        <w:rPr>
          <w:sz w:val="24"/>
          <w:szCs w:val="24"/>
        </w:rPr>
      </w:pPr>
    </w:p>
    <w:p w14:paraId="0C0B4C9E" w14:textId="77777777" w:rsidR="00022128" w:rsidRPr="00022128" w:rsidRDefault="00022128" w:rsidP="00022128">
      <w:pPr>
        <w:rPr>
          <w:b/>
          <w:sz w:val="24"/>
          <w:szCs w:val="24"/>
        </w:rPr>
      </w:pPr>
      <w:r w:rsidRPr="00022128">
        <w:rPr>
          <w:b/>
          <w:sz w:val="24"/>
          <w:szCs w:val="24"/>
        </w:rPr>
        <w:t>Consultation</w:t>
      </w:r>
    </w:p>
    <w:p w14:paraId="288713CE" w14:textId="77777777" w:rsidR="00022128" w:rsidRPr="0023682E" w:rsidRDefault="00022128" w:rsidP="00022128">
      <w:pPr>
        <w:rPr>
          <w:sz w:val="24"/>
          <w:szCs w:val="24"/>
        </w:rPr>
      </w:pPr>
    </w:p>
    <w:p w14:paraId="1D3521AF" w14:textId="49571F0C" w:rsidR="00202F95" w:rsidRPr="005E4F5C" w:rsidRDefault="004F68B7" w:rsidP="00202F95">
      <w:pPr>
        <w:rPr>
          <w:sz w:val="24"/>
          <w:szCs w:val="24"/>
        </w:rPr>
      </w:pPr>
      <w:r w:rsidRPr="00427C4B">
        <w:rPr>
          <w:sz w:val="24"/>
          <w:szCs w:val="24"/>
        </w:rPr>
        <w:t>The Department of Communications and the Arts</w:t>
      </w:r>
      <w:r>
        <w:rPr>
          <w:sz w:val="24"/>
          <w:szCs w:val="24"/>
        </w:rPr>
        <w:t>,</w:t>
      </w:r>
      <w:r w:rsidRPr="00427C4B">
        <w:rPr>
          <w:sz w:val="24"/>
          <w:szCs w:val="24"/>
        </w:rPr>
        <w:t xml:space="preserve"> </w:t>
      </w:r>
      <w:r>
        <w:rPr>
          <w:sz w:val="24"/>
          <w:szCs w:val="24"/>
        </w:rPr>
        <w:t>on behalf of the Minister for Communications</w:t>
      </w:r>
      <w:bookmarkStart w:id="0" w:name="_GoBack"/>
      <w:bookmarkEnd w:id="0"/>
      <w:r>
        <w:rPr>
          <w:sz w:val="24"/>
          <w:szCs w:val="24"/>
        </w:rPr>
        <w:t xml:space="preserve">, consulted with the </w:t>
      </w:r>
      <w:r w:rsidR="00CE7DEE">
        <w:rPr>
          <w:sz w:val="24"/>
          <w:szCs w:val="24"/>
        </w:rPr>
        <w:t>Nine</w:t>
      </w:r>
      <w:r w:rsidR="00CE7DEE" w:rsidRPr="005E4F5C">
        <w:rPr>
          <w:sz w:val="24"/>
          <w:szCs w:val="24"/>
        </w:rPr>
        <w:t xml:space="preserve"> </w:t>
      </w:r>
      <w:r w:rsidR="00022128" w:rsidRPr="005E4F5C">
        <w:rPr>
          <w:sz w:val="24"/>
          <w:szCs w:val="24"/>
        </w:rPr>
        <w:t xml:space="preserve">Network </w:t>
      </w:r>
      <w:r w:rsidR="00022128">
        <w:rPr>
          <w:sz w:val="24"/>
          <w:szCs w:val="24"/>
        </w:rPr>
        <w:t>and Netball Australia in relation to the</w:t>
      </w:r>
      <w:r w:rsidR="00022128" w:rsidRPr="005E4F5C">
        <w:rPr>
          <w:sz w:val="24"/>
          <w:szCs w:val="24"/>
        </w:rPr>
        <w:t xml:space="preserve"> Notice. </w:t>
      </w:r>
      <w:r>
        <w:rPr>
          <w:sz w:val="24"/>
          <w:szCs w:val="24"/>
        </w:rPr>
        <w:t xml:space="preserve">The </w:t>
      </w:r>
      <w:r w:rsidR="00CE7DEE">
        <w:rPr>
          <w:sz w:val="24"/>
          <w:szCs w:val="24"/>
        </w:rPr>
        <w:t>Nine Network</w:t>
      </w:r>
      <w:r w:rsidR="00022128" w:rsidRPr="005E4F5C">
        <w:rPr>
          <w:sz w:val="24"/>
          <w:szCs w:val="24"/>
        </w:rPr>
        <w:t xml:space="preserve"> holds the free-to-air broadcast rights to the matches affected by this Notice.</w:t>
      </w:r>
    </w:p>
    <w:p w14:paraId="33501AF0" w14:textId="77777777" w:rsidR="001B7869" w:rsidRPr="00530749" w:rsidRDefault="001B7869" w:rsidP="001B7869">
      <w:pPr>
        <w:shd w:val="clear" w:color="auto" w:fill="FFFFFF"/>
        <w:spacing w:before="100" w:beforeAutospacing="1" w:after="100" w:afterAutospacing="1"/>
        <w:rPr>
          <w:sz w:val="24"/>
          <w:szCs w:val="24"/>
          <w:lang w:val="en-US"/>
        </w:rPr>
      </w:pPr>
      <w:r>
        <w:rPr>
          <w:sz w:val="24"/>
          <w:szCs w:val="24"/>
          <w:lang w:val="en-US"/>
        </w:rPr>
        <w:t xml:space="preserve">Further information about the Notice is at </w:t>
      </w:r>
      <w:r>
        <w:rPr>
          <w:b/>
          <w:bCs/>
          <w:sz w:val="24"/>
          <w:szCs w:val="24"/>
          <w:lang w:val="en-US"/>
        </w:rPr>
        <w:t>Attachment 1</w:t>
      </w:r>
      <w:r w:rsidRPr="00530749">
        <w:rPr>
          <w:sz w:val="24"/>
          <w:szCs w:val="24"/>
          <w:lang w:val="en-US"/>
        </w:rPr>
        <w:t>.</w:t>
      </w:r>
    </w:p>
    <w:p w14:paraId="23263CA9" w14:textId="77777777" w:rsidR="001B7869" w:rsidRPr="00530749" w:rsidRDefault="001B7869" w:rsidP="001B7869">
      <w:pPr>
        <w:shd w:val="clear" w:color="auto" w:fill="FFFFFF"/>
        <w:spacing w:before="100" w:beforeAutospacing="1" w:after="100" w:afterAutospacing="1"/>
        <w:rPr>
          <w:sz w:val="24"/>
          <w:szCs w:val="24"/>
        </w:rPr>
      </w:pPr>
      <w:r w:rsidRPr="00530749">
        <w:rPr>
          <w:sz w:val="24"/>
          <w:szCs w:val="24"/>
        </w:rPr>
        <w:lastRenderedPageBreak/>
        <w:t xml:space="preserve">A statement of compatibility with human rights for the purposes of Part 3 of the </w:t>
      </w:r>
      <w:r w:rsidRPr="00530749">
        <w:rPr>
          <w:i/>
          <w:sz w:val="24"/>
          <w:szCs w:val="24"/>
        </w:rPr>
        <w:t>Human Rights (Parliamentary Scrutiny) Act</w:t>
      </w:r>
      <w:r w:rsidRPr="00530749">
        <w:rPr>
          <w:sz w:val="24"/>
          <w:szCs w:val="24"/>
        </w:rPr>
        <w:t xml:space="preserve"> </w:t>
      </w:r>
      <w:r w:rsidRPr="00F26BD6">
        <w:rPr>
          <w:i/>
          <w:sz w:val="24"/>
          <w:szCs w:val="24"/>
        </w:rPr>
        <w:t>2011</w:t>
      </w:r>
      <w:r w:rsidRPr="00530749">
        <w:rPr>
          <w:sz w:val="24"/>
          <w:szCs w:val="24"/>
        </w:rPr>
        <w:t xml:space="preserve"> is set out in </w:t>
      </w:r>
      <w:r w:rsidRPr="00530749">
        <w:rPr>
          <w:b/>
          <w:sz w:val="24"/>
          <w:szCs w:val="24"/>
        </w:rPr>
        <w:t xml:space="preserve">Attachment </w:t>
      </w:r>
      <w:r>
        <w:rPr>
          <w:b/>
          <w:sz w:val="24"/>
          <w:szCs w:val="24"/>
        </w:rPr>
        <w:t>2</w:t>
      </w:r>
      <w:r w:rsidRPr="00530749">
        <w:rPr>
          <w:sz w:val="24"/>
          <w:szCs w:val="24"/>
        </w:rPr>
        <w:t>.</w:t>
      </w:r>
    </w:p>
    <w:p w14:paraId="772C5D7E" w14:textId="77777777" w:rsidR="001B7869" w:rsidRDefault="001B7869" w:rsidP="00245E51">
      <w:pPr>
        <w:rPr>
          <w:sz w:val="24"/>
          <w:szCs w:val="24"/>
        </w:rPr>
      </w:pPr>
    </w:p>
    <w:p w14:paraId="18895534" w14:textId="77777777" w:rsidR="001B7869" w:rsidRDefault="001B7869" w:rsidP="001B7869">
      <w:pPr>
        <w:keepNext/>
        <w:ind w:right="91"/>
        <w:jc w:val="right"/>
        <w:rPr>
          <w:b/>
          <w:sz w:val="24"/>
          <w:szCs w:val="24"/>
        </w:rPr>
      </w:pPr>
    </w:p>
    <w:p w14:paraId="12564279" w14:textId="77777777" w:rsidR="001B7869" w:rsidRDefault="001B7869">
      <w:pPr>
        <w:spacing w:after="200" w:line="276" w:lineRule="auto"/>
        <w:rPr>
          <w:b/>
          <w:sz w:val="24"/>
          <w:szCs w:val="24"/>
        </w:rPr>
      </w:pPr>
      <w:r>
        <w:rPr>
          <w:b/>
          <w:sz w:val="24"/>
          <w:szCs w:val="24"/>
        </w:rPr>
        <w:br w:type="page"/>
      </w:r>
    </w:p>
    <w:p w14:paraId="64B86180" w14:textId="679676BE" w:rsidR="001B7869" w:rsidRDefault="001B7869" w:rsidP="001B7869">
      <w:pPr>
        <w:keepNext/>
        <w:ind w:right="91"/>
        <w:jc w:val="right"/>
        <w:rPr>
          <w:b/>
          <w:sz w:val="24"/>
          <w:szCs w:val="24"/>
        </w:rPr>
      </w:pPr>
      <w:r>
        <w:rPr>
          <w:b/>
          <w:sz w:val="24"/>
          <w:szCs w:val="24"/>
        </w:rPr>
        <w:lastRenderedPageBreak/>
        <w:t>Attachment 1</w:t>
      </w:r>
    </w:p>
    <w:p w14:paraId="39C476CD" w14:textId="77777777" w:rsidR="001B7869" w:rsidRDefault="001B7869" w:rsidP="00245E51">
      <w:pPr>
        <w:keepNext/>
        <w:ind w:right="91"/>
        <w:rPr>
          <w:b/>
          <w:sz w:val="24"/>
          <w:szCs w:val="24"/>
        </w:rPr>
      </w:pPr>
    </w:p>
    <w:p w14:paraId="6339401F" w14:textId="77777777" w:rsidR="00245E51" w:rsidRPr="00022128" w:rsidRDefault="00245E51" w:rsidP="00245E51">
      <w:pPr>
        <w:keepNext/>
        <w:ind w:right="91"/>
        <w:rPr>
          <w:b/>
          <w:sz w:val="24"/>
          <w:szCs w:val="24"/>
        </w:rPr>
      </w:pPr>
      <w:r w:rsidRPr="00022128">
        <w:rPr>
          <w:b/>
          <w:sz w:val="24"/>
          <w:szCs w:val="24"/>
        </w:rPr>
        <w:t>Notes on Clauses</w:t>
      </w:r>
    </w:p>
    <w:p w14:paraId="265DD4E8" w14:textId="77777777" w:rsidR="00245E51" w:rsidRPr="0023682E" w:rsidRDefault="00245E51" w:rsidP="00245E51">
      <w:pPr>
        <w:keepNext/>
        <w:ind w:right="91"/>
        <w:rPr>
          <w:sz w:val="24"/>
          <w:szCs w:val="24"/>
        </w:rPr>
      </w:pPr>
    </w:p>
    <w:p w14:paraId="78BD947B" w14:textId="0FB8AC6E" w:rsidR="00245E51" w:rsidRPr="0023682E" w:rsidRDefault="00245E51" w:rsidP="00245E51">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the </w:t>
      </w:r>
      <w:r w:rsidRPr="001B7869">
        <w:rPr>
          <w:i/>
          <w:iCs/>
          <w:sz w:val="24"/>
          <w:szCs w:val="24"/>
        </w:rPr>
        <w:t xml:space="preserve">Broadcasting Services (Events) Notice (No. 1) 2010 (Amendment No. </w:t>
      </w:r>
      <w:r w:rsidR="00D46542" w:rsidRPr="001B7869">
        <w:rPr>
          <w:i/>
          <w:iCs/>
          <w:sz w:val="24"/>
          <w:szCs w:val="24"/>
        </w:rPr>
        <w:t>7</w:t>
      </w:r>
      <w:r w:rsidRPr="001B7869">
        <w:rPr>
          <w:i/>
          <w:iCs/>
          <w:sz w:val="24"/>
          <w:szCs w:val="24"/>
        </w:rPr>
        <w:t xml:space="preserve"> of 201</w:t>
      </w:r>
      <w:r w:rsidR="00D46542" w:rsidRPr="001B7869">
        <w:rPr>
          <w:i/>
          <w:iCs/>
          <w:sz w:val="24"/>
          <w:szCs w:val="24"/>
        </w:rPr>
        <w:t>7</w:t>
      </w:r>
      <w:r w:rsidRPr="001B7869">
        <w:rPr>
          <w:i/>
          <w:iCs/>
          <w:sz w:val="24"/>
          <w:szCs w:val="24"/>
        </w:rPr>
        <w:t>)</w:t>
      </w:r>
      <w:r w:rsidRPr="0023682E">
        <w:rPr>
          <w:iCs/>
          <w:sz w:val="24"/>
          <w:szCs w:val="24"/>
        </w:rPr>
        <w:t>.</w:t>
      </w:r>
    </w:p>
    <w:p w14:paraId="1BF62879" w14:textId="77777777" w:rsidR="00245E51" w:rsidRPr="0023682E" w:rsidRDefault="00245E51" w:rsidP="00245E51">
      <w:pPr>
        <w:ind w:right="91"/>
        <w:rPr>
          <w:sz w:val="24"/>
          <w:szCs w:val="24"/>
        </w:rPr>
      </w:pPr>
    </w:p>
    <w:p w14:paraId="4D7B721D" w14:textId="0DA08633" w:rsidR="00245E51" w:rsidRPr="0023682E" w:rsidRDefault="00245E51" w:rsidP="00245E51">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sidR="00022128">
        <w:rPr>
          <w:sz w:val="24"/>
          <w:szCs w:val="24"/>
        </w:rPr>
        <w:t>Legislation</w:t>
      </w:r>
      <w:r w:rsidRPr="0023682E">
        <w:rPr>
          <w:sz w:val="24"/>
          <w:szCs w:val="24"/>
        </w:rPr>
        <w:t>.</w:t>
      </w:r>
    </w:p>
    <w:p w14:paraId="13D5994E" w14:textId="77777777" w:rsidR="00245E51" w:rsidRPr="0023682E" w:rsidRDefault="00245E51" w:rsidP="00245E51">
      <w:pPr>
        <w:ind w:right="91"/>
        <w:rPr>
          <w:sz w:val="24"/>
          <w:szCs w:val="24"/>
        </w:rPr>
      </w:pPr>
    </w:p>
    <w:p w14:paraId="4D20F66D" w14:textId="580EA81D" w:rsidR="001F10CE" w:rsidRDefault="001F10CE" w:rsidP="00245E51">
      <w:pPr>
        <w:ind w:right="91"/>
        <w:rPr>
          <w:sz w:val="24"/>
          <w:szCs w:val="24"/>
        </w:rPr>
      </w:pPr>
      <w:r>
        <w:rPr>
          <w:sz w:val="24"/>
          <w:szCs w:val="24"/>
          <w:u w:val="single"/>
        </w:rPr>
        <w:t>Section</w:t>
      </w:r>
      <w:r w:rsidRPr="0023682E">
        <w:rPr>
          <w:sz w:val="24"/>
          <w:szCs w:val="24"/>
          <w:u w:val="single"/>
        </w:rPr>
        <w:t xml:space="preserve"> </w:t>
      </w:r>
      <w:r w:rsidR="00D817D8">
        <w:rPr>
          <w:sz w:val="24"/>
          <w:szCs w:val="24"/>
          <w:u w:val="single"/>
        </w:rPr>
        <w:t>3</w:t>
      </w:r>
      <w:r w:rsidRPr="00D060D7">
        <w:rPr>
          <w:sz w:val="24"/>
          <w:szCs w:val="24"/>
        </w:rPr>
        <w:t xml:space="preserve"> </w:t>
      </w:r>
      <w:r>
        <w:rPr>
          <w:sz w:val="24"/>
          <w:szCs w:val="24"/>
        </w:rPr>
        <w:t xml:space="preserve">provides that </w:t>
      </w:r>
      <w:r w:rsidR="001D0752">
        <w:rPr>
          <w:sz w:val="24"/>
          <w:szCs w:val="24"/>
        </w:rPr>
        <w:t xml:space="preserve">the </w:t>
      </w:r>
      <w:r>
        <w:rPr>
          <w:sz w:val="24"/>
          <w:szCs w:val="24"/>
        </w:rPr>
        <w:t>Notice is made under s</w:t>
      </w:r>
      <w:r w:rsidRPr="001F10CE">
        <w:rPr>
          <w:sz w:val="24"/>
          <w:szCs w:val="24"/>
        </w:rPr>
        <w:t xml:space="preserve">ubsection 115(2) of the BSA. </w:t>
      </w:r>
    </w:p>
    <w:p w14:paraId="6A2AF346" w14:textId="77777777" w:rsidR="001F10CE" w:rsidRDefault="001F10CE" w:rsidP="00245E51">
      <w:pPr>
        <w:ind w:right="91"/>
        <w:rPr>
          <w:sz w:val="24"/>
          <w:szCs w:val="24"/>
          <w:u w:val="single"/>
        </w:rPr>
      </w:pPr>
    </w:p>
    <w:p w14:paraId="046705DA" w14:textId="4E24FF04" w:rsidR="00245E51" w:rsidRPr="0023682E" w:rsidRDefault="00245E51" w:rsidP="00245E51">
      <w:pPr>
        <w:ind w:right="91"/>
        <w:rPr>
          <w:sz w:val="24"/>
          <w:szCs w:val="24"/>
        </w:rPr>
      </w:pPr>
      <w:r>
        <w:rPr>
          <w:sz w:val="24"/>
          <w:szCs w:val="24"/>
          <w:u w:val="single"/>
        </w:rPr>
        <w:t>Section</w:t>
      </w:r>
      <w:r w:rsidRPr="0023682E">
        <w:rPr>
          <w:sz w:val="24"/>
          <w:szCs w:val="24"/>
          <w:u w:val="single"/>
        </w:rPr>
        <w:t xml:space="preserve"> </w:t>
      </w:r>
      <w:r w:rsidR="00D817D8">
        <w:rPr>
          <w:sz w:val="24"/>
          <w:szCs w:val="24"/>
          <w:u w:val="single"/>
        </w:rPr>
        <w:t>4</w:t>
      </w:r>
      <w:r w:rsidRPr="0023682E">
        <w:rPr>
          <w:sz w:val="24"/>
          <w:szCs w:val="24"/>
        </w:rPr>
        <w:t xml:space="preserve"> </w:t>
      </w:r>
      <w:r>
        <w:rPr>
          <w:sz w:val="24"/>
          <w:szCs w:val="24"/>
        </w:rPr>
        <w:t>provides that the</w:t>
      </w:r>
      <w:r w:rsidR="00537875">
        <w:rPr>
          <w:sz w:val="24"/>
          <w:szCs w:val="24"/>
        </w:rPr>
        <w:t xml:space="preserve"> Principal Notice </w:t>
      </w:r>
      <w:r>
        <w:rPr>
          <w:iCs/>
          <w:sz w:val="24"/>
          <w:szCs w:val="24"/>
        </w:rPr>
        <w:t>is amen</w:t>
      </w:r>
      <w:r w:rsidR="00537875">
        <w:rPr>
          <w:iCs/>
          <w:sz w:val="24"/>
          <w:szCs w:val="24"/>
        </w:rPr>
        <w:t xml:space="preserve">ded in accordance with the item contained in </w:t>
      </w:r>
      <w:r>
        <w:rPr>
          <w:iCs/>
          <w:sz w:val="24"/>
          <w:szCs w:val="24"/>
        </w:rPr>
        <w:t>Schedule</w:t>
      </w:r>
      <w:r w:rsidR="00537875">
        <w:rPr>
          <w:iCs/>
          <w:sz w:val="24"/>
          <w:szCs w:val="24"/>
        </w:rPr>
        <w:t xml:space="preserve"> 1 to the Notice</w:t>
      </w:r>
      <w:r>
        <w:rPr>
          <w:iCs/>
          <w:sz w:val="24"/>
          <w:szCs w:val="24"/>
        </w:rPr>
        <w:t>.</w:t>
      </w:r>
    </w:p>
    <w:p w14:paraId="1E20D1D7" w14:textId="77777777" w:rsidR="001B7869" w:rsidRDefault="001B7869" w:rsidP="00245E51">
      <w:pPr>
        <w:ind w:right="91"/>
        <w:rPr>
          <w:sz w:val="24"/>
          <w:szCs w:val="24"/>
          <w:u w:val="single"/>
        </w:rPr>
      </w:pPr>
    </w:p>
    <w:p w14:paraId="776B7129" w14:textId="6C1EE89D" w:rsidR="00245E51" w:rsidRPr="00537875" w:rsidRDefault="00245E51" w:rsidP="00245E51">
      <w:pPr>
        <w:ind w:right="91"/>
        <w:rPr>
          <w:sz w:val="24"/>
          <w:szCs w:val="24"/>
          <w:u w:val="single"/>
        </w:rPr>
      </w:pPr>
      <w:r w:rsidRPr="00537875">
        <w:rPr>
          <w:sz w:val="24"/>
          <w:szCs w:val="24"/>
          <w:u w:val="single"/>
        </w:rPr>
        <w:t>Schedule</w:t>
      </w:r>
      <w:r w:rsidR="00F57517" w:rsidRPr="00537875">
        <w:rPr>
          <w:sz w:val="24"/>
          <w:szCs w:val="24"/>
          <w:u w:val="single"/>
        </w:rPr>
        <w:t xml:space="preserve"> 1</w:t>
      </w:r>
      <w:r w:rsidRPr="00537875">
        <w:rPr>
          <w:sz w:val="24"/>
          <w:szCs w:val="24"/>
          <w:u w:val="single"/>
        </w:rPr>
        <w:t xml:space="preserve"> - Amendments</w:t>
      </w:r>
    </w:p>
    <w:p w14:paraId="6FE11B04" w14:textId="77777777" w:rsidR="00245E51" w:rsidRDefault="00245E51" w:rsidP="00245E51">
      <w:pPr>
        <w:rPr>
          <w:sz w:val="24"/>
          <w:szCs w:val="24"/>
        </w:rPr>
      </w:pPr>
    </w:p>
    <w:p w14:paraId="5F644B41" w14:textId="10BE5FB3" w:rsidR="001D0752" w:rsidRPr="001D0752" w:rsidRDefault="005E4F5C" w:rsidP="00F9497F">
      <w:pPr>
        <w:rPr>
          <w:sz w:val="24"/>
          <w:szCs w:val="24"/>
        </w:rPr>
      </w:pPr>
      <w:r w:rsidRPr="001B7869">
        <w:rPr>
          <w:sz w:val="24"/>
          <w:szCs w:val="24"/>
        </w:rPr>
        <w:t>Item 1</w:t>
      </w:r>
      <w:r w:rsidRPr="005E4F5C">
        <w:rPr>
          <w:sz w:val="24"/>
          <w:szCs w:val="24"/>
        </w:rPr>
        <w:t xml:space="preserve"> </w:t>
      </w:r>
      <w:r w:rsidR="00537875">
        <w:rPr>
          <w:sz w:val="24"/>
          <w:szCs w:val="24"/>
        </w:rPr>
        <w:t>of Schedule 1 of the Notice repeals clause 10.1 of the Schedule to the Principal Notice and substitutes it with a new clause 10.1.</w:t>
      </w:r>
      <w:r w:rsidR="00D817D8">
        <w:rPr>
          <w:sz w:val="24"/>
          <w:szCs w:val="24"/>
        </w:rPr>
        <w:t xml:space="preserve"> </w:t>
      </w:r>
      <w:r w:rsidR="001D0752" w:rsidRPr="001D0752">
        <w:rPr>
          <w:sz w:val="24"/>
          <w:szCs w:val="24"/>
          <w:lang w:val="en-GB"/>
        </w:rPr>
        <w:t>Clause 10.1 of the Schedule to the Principal Notice specifies that international netball matches involving the senior Australian representative team played in Australia or New Zealand are included in the anti-siphoning list.</w:t>
      </w:r>
    </w:p>
    <w:p w14:paraId="434021BF" w14:textId="77777777" w:rsidR="001D0752" w:rsidRDefault="001D0752" w:rsidP="00F9497F">
      <w:pPr>
        <w:rPr>
          <w:sz w:val="24"/>
          <w:szCs w:val="24"/>
        </w:rPr>
      </w:pPr>
    </w:p>
    <w:p w14:paraId="1451AC26" w14:textId="5BD8164B" w:rsidR="00B52D9F" w:rsidRDefault="005E4F5C" w:rsidP="00F9497F">
      <w:pPr>
        <w:rPr>
          <w:sz w:val="24"/>
          <w:szCs w:val="24"/>
        </w:rPr>
      </w:pPr>
      <w:r w:rsidRPr="005E4F5C">
        <w:rPr>
          <w:sz w:val="24"/>
          <w:szCs w:val="24"/>
        </w:rPr>
        <w:t xml:space="preserve">The </w:t>
      </w:r>
      <w:r w:rsidR="00537875">
        <w:rPr>
          <w:sz w:val="24"/>
          <w:szCs w:val="24"/>
        </w:rPr>
        <w:t xml:space="preserve">effect of the </w:t>
      </w:r>
      <w:r w:rsidRPr="005E4F5C">
        <w:rPr>
          <w:sz w:val="24"/>
          <w:szCs w:val="24"/>
        </w:rPr>
        <w:t xml:space="preserve">amendment </w:t>
      </w:r>
      <w:r w:rsidR="00537875">
        <w:rPr>
          <w:sz w:val="24"/>
          <w:szCs w:val="24"/>
        </w:rPr>
        <w:t xml:space="preserve">is that the </w:t>
      </w:r>
      <w:r w:rsidR="00B52D9F">
        <w:rPr>
          <w:sz w:val="24"/>
          <w:szCs w:val="24"/>
        </w:rPr>
        <w:t xml:space="preserve">following four </w:t>
      </w:r>
      <w:r w:rsidR="00993A88">
        <w:rPr>
          <w:sz w:val="24"/>
          <w:szCs w:val="24"/>
        </w:rPr>
        <w:t xml:space="preserve">international netball </w:t>
      </w:r>
      <w:r w:rsidR="004358A9">
        <w:rPr>
          <w:sz w:val="24"/>
          <w:szCs w:val="24"/>
          <w:lang w:val="en-GB"/>
        </w:rPr>
        <w:t>match</w:t>
      </w:r>
      <w:r w:rsidR="00987BFF">
        <w:rPr>
          <w:sz w:val="24"/>
          <w:szCs w:val="24"/>
          <w:lang w:val="en-GB"/>
        </w:rPr>
        <w:t>es</w:t>
      </w:r>
      <w:r w:rsidR="00B52D9F">
        <w:rPr>
          <w:sz w:val="24"/>
          <w:szCs w:val="24"/>
          <w:lang w:val="en-GB"/>
        </w:rPr>
        <w:t xml:space="preserve"> </w:t>
      </w:r>
      <w:r w:rsidR="001859A1">
        <w:rPr>
          <w:sz w:val="24"/>
          <w:szCs w:val="24"/>
        </w:rPr>
        <w:t xml:space="preserve">will be </w:t>
      </w:r>
      <w:r w:rsidR="00B52D9F">
        <w:rPr>
          <w:sz w:val="24"/>
          <w:szCs w:val="24"/>
        </w:rPr>
        <w:t>excluded from the anti-siphoning list:</w:t>
      </w:r>
    </w:p>
    <w:p w14:paraId="095B28AE" w14:textId="2E4EEFCB" w:rsidR="00B52D9F" w:rsidRPr="00597883" w:rsidRDefault="00B52D9F" w:rsidP="00597883">
      <w:pPr>
        <w:pStyle w:val="ListParagraph"/>
        <w:numPr>
          <w:ilvl w:val="0"/>
          <w:numId w:val="2"/>
        </w:numPr>
        <w:rPr>
          <w:rFonts w:ascii="Times New Roman" w:hAnsi="Times New Roman" w:cs="Times New Roman"/>
          <w:sz w:val="24"/>
          <w:szCs w:val="24"/>
        </w:rPr>
      </w:pPr>
      <w:r w:rsidRPr="00597883">
        <w:rPr>
          <w:rFonts w:ascii="Times New Roman" w:hAnsi="Times New Roman" w:cs="Times New Roman"/>
          <w:sz w:val="24"/>
          <w:szCs w:val="24"/>
          <w:lang w:val="en-GB"/>
        </w:rPr>
        <w:t xml:space="preserve">the match </w:t>
      </w:r>
      <w:r w:rsidR="004358A9" w:rsidRPr="00597883">
        <w:rPr>
          <w:rFonts w:ascii="Times New Roman" w:hAnsi="Times New Roman" w:cs="Times New Roman"/>
          <w:sz w:val="24"/>
          <w:szCs w:val="24"/>
          <w:lang w:val="en-GB"/>
        </w:rPr>
        <w:t xml:space="preserve">to be played in </w:t>
      </w:r>
      <w:r w:rsidR="00D46542" w:rsidRPr="00597883">
        <w:rPr>
          <w:rFonts w:ascii="Times New Roman" w:hAnsi="Times New Roman" w:cs="Times New Roman"/>
          <w:sz w:val="24"/>
          <w:szCs w:val="24"/>
          <w:lang w:val="en-GB"/>
        </w:rPr>
        <w:t xml:space="preserve">Australia between Australia and South Africa on 30 </w:t>
      </w:r>
      <w:r w:rsidR="00DE3317">
        <w:rPr>
          <w:rFonts w:ascii="Times New Roman" w:hAnsi="Times New Roman" w:cs="Times New Roman"/>
          <w:sz w:val="24"/>
          <w:szCs w:val="24"/>
          <w:lang w:val="en-GB"/>
        </w:rPr>
        <w:t> </w:t>
      </w:r>
      <w:r w:rsidR="00D46542" w:rsidRPr="00597883">
        <w:rPr>
          <w:rFonts w:ascii="Times New Roman" w:hAnsi="Times New Roman" w:cs="Times New Roman"/>
          <w:sz w:val="24"/>
          <w:szCs w:val="24"/>
          <w:lang w:val="en-GB"/>
        </w:rPr>
        <w:t>August 2017</w:t>
      </w:r>
      <w:r w:rsidRPr="00597883">
        <w:rPr>
          <w:rFonts w:ascii="Times New Roman" w:hAnsi="Times New Roman" w:cs="Times New Roman"/>
          <w:sz w:val="24"/>
          <w:szCs w:val="24"/>
          <w:lang w:val="en-GB"/>
        </w:rPr>
        <w:t>;</w:t>
      </w:r>
    </w:p>
    <w:p w14:paraId="7C07EB74" w14:textId="5835B34B" w:rsidR="00B52D9F" w:rsidRPr="00597883" w:rsidRDefault="00B52D9F" w:rsidP="00597883">
      <w:pPr>
        <w:pStyle w:val="ListParagraph"/>
        <w:numPr>
          <w:ilvl w:val="0"/>
          <w:numId w:val="2"/>
        </w:numPr>
        <w:rPr>
          <w:rFonts w:ascii="Times New Roman" w:hAnsi="Times New Roman" w:cs="Times New Roman"/>
          <w:sz w:val="24"/>
          <w:szCs w:val="24"/>
        </w:rPr>
      </w:pPr>
      <w:r w:rsidRPr="00597883">
        <w:rPr>
          <w:rFonts w:ascii="Times New Roman" w:hAnsi="Times New Roman" w:cs="Times New Roman"/>
          <w:sz w:val="24"/>
          <w:szCs w:val="24"/>
          <w:lang w:val="en-GB"/>
        </w:rPr>
        <w:t xml:space="preserve">the matches to be played </w:t>
      </w:r>
      <w:r w:rsidR="00D46542" w:rsidRPr="00597883">
        <w:rPr>
          <w:rFonts w:ascii="Times New Roman" w:hAnsi="Times New Roman" w:cs="Times New Roman"/>
          <w:sz w:val="24"/>
          <w:szCs w:val="24"/>
          <w:lang w:val="en-GB"/>
        </w:rPr>
        <w:t xml:space="preserve"> in New Zealand between Australia and New Zealand on 3 September 2017 and 5 October 2017</w:t>
      </w:r>
      <w:r w:rsidRPr="00597883">
        <w:rPr>
          <w:rFonts w:ascii="Times New Roman" w:hAnsi="Times New Roman" w:cs="Times New Roman"/>
          <w:sz w:val="24"/>
          <w:szCs w:val="24"/>
          <w:lang w:val="en-GB"/>
        </w:rPr>
        <w:t xml:space="preserve">; and </w:t>
      </w:r>
    </w:p>
    <w:p w14:paraId="78CEC21F" w14:textId="067C4CFD" w:rsidR="001B7869" w:rsidRPr="00597883" w:rsidRDefault="00B52D9F" w:rsidP="00597883">
      <w:pPr>
        <w:pStyle w:val="ListParagraph"/>
        <w:numPr>
          <w:ilvl w:val="0"/>
          <w:numId w:val="2"/>
        </w:numPr>
        <w:rPr>
          <w:rFonts w:ascii="Times New Roman" w:hAnsi="Times New Roman" w:cs="Times New Roman"/>
          <w:sz w:val="24"/>
          <w:szCs w:val="24"/>
        </w:rPr>
      </w:pPr>
      <w:r w:rsidRPr="00597883">
        <w:rPr>
          <w:rFonts w:ascii="Times New Roman" w:hAnsi="Times New Roman" w:cs="Times New Roman"/>
          <w:sz w:val="24"/>
          <w:szCs w:val="24"/>
          <w:lang w:val="en-GB"/>
        </w:rPr>
        <w:t xml:space="preserve">the match to be played </w:t>
      </w:r>
      <w:r w:rsidR="00D46542" w:rsidRPr="00597883">
        <w:rPr>
          <w:rFonts w:ascii="Times New Roman" w:hAnsi="Times New Roman" w:cs="Times New Roman"/>
          <w:sz w:val="24"/>
          <w:szCs w:val="24"/>
          <w:lang w:val="en-GB"/>
        </w:rPr>
        <w:t>in Australia between Australia and New Zealand on 11 October 2017</w:t>
      </w:r>
      <w:r w:rsidR="00537875" w:rsidRPr="00597883">
        <w:rPr>
          <w:rFonts w:ascii="Times New Roman" w:hAnsi="Times New Roman" w:cs="Times New Roman"/>
          <w:sz w:val="24"/>
          <w:szCs w:val="24"/>
        </w:rPr>
        <w:t xml:space="preserve">. </w:t>
      </w:r>
    </w:p>
    <w:p w14:paraId="1B003AD1" w14:textId="77777777" w:rsidR="001B7869" w:rsidRDefault="001B7869" w:rsidP="00F9497F">
      <w:pPr>
        <w:rPr>
          <w:sz w:val="24"/>
          <w:szCs w:val="24"/>
        </w:rPr>
      </w:pPr>
    </w:p>
    <w:p w14:paraId="39C339D1" w14:textId="2EFA1F77" w:rsidR="00022128" w:rsidRPr="00F9497F" w:rsidRDefault="00537875" w:rsidP="00F9497F">
      <w:pPr>
        <w:rPr>
          <w:sz w:val="24"/>
          <w:szCs w:val="24"/>
        </w:rPr>
      </w:pPr>
      <w:r>
        <w:rPr>
          <w:sz w:val="24"/>
          <w:szCs w:val="24"/>
        </w:rPr>
        <w:t xml:space="preserve">All other international netball matches </w:t>
      </w:r>
      <w:r w:rsidRPr="005E4F5C">
        <w:rPr>
          <w:sz w:val="24"/>
          <w:szCs w:val="24"/>
        </w:rPr>
        <w:t>involving the senior Australian representative team played in Australia or New Zealand</w:t>
      </w:r>
      <w:r>
        <w:rPr>
          <w:sz w:val="24"/>
          <w:szCs w:val="24"/>
        </w:rPr>
        <w:t xml:space="preserve"> will continue to be specified in clause 10.1 of the </w:t>
      </w:r>
      <w:r w:rsidR="00C62523">
        <w:rPr>
          <w:sz w:val="24"/>
          <w:szCs w:val="24"/>
        </w:rPr>
        <w:t>Schedule</w:t>
      </w:r>
      <w:r>
        <w:rPr>
          <w:sz w:val="24"/>
          <w:szCs w:val="24"/>
        </w:rPr>
        <w:t xml:space="preserve"> to the Principal Notice.</w:t>
      </w:r>
      <w:r w:rsidR="00022128">
        <w:rPr>
          <w:sz w:val="24"/>
          <w:szCs w:val="24"/>
          <w:u w:val="single"/>
        </w:rPr>
        <w:br w:type="page"/>
      </w:r>
    </w:p>
    <w:p w14:paraId="72DD300D" w14:textId="53C99F45" w:rsidR="001B7869" w:rsidRDefault="001B7869" w:rsidP="001B7869">
      <w:pPr>
        <w:jc w:val="right"/>
        <w:rPr>
          <w:b/>
          <w:sz w:val="24"/>
          <w:szCs w:val="24"/>
        </w:rPr>
      </w:pPr>
      <w:r>
        <w:rPr>
          <w:b/>
          <w:sz w:val="24"/>
          <w:szCs w:val="24"/>
        </w:rPr>
        <w:lastRenderedPageBreak/>
        <w:t>Attachment 2</w:t>
      </w:r>
    </w:p>
    <w:p w14:paraId="29C21B32" w14:textId="77777777" w:rsidR="001B7869" w:rsidRDefault="001B7869" w:rsidP="00022128">
      <w:pPr>
        <w:jc w:val="center"/>
        <w:rPr>
          <w:b/>
          <w:sz w:val="24"/>
          <w:szCs w:val="24"/>
        </w:rPr>
      </w:pPr>
    </w:p>
    <w:p w14:paraId="0369762E" w14:textId="77777777" w:rsidR="00022128" w:rsidRDefault="00245E51" w:rsidP="00022128">
      <w:pPr>
        <w:jc w:val="center"/>
        <w:rPr>
          <w:sz w:val="24"/>
          <w:szCs w:val="24"/>
          <w:u w:val="single"/>
        </w:rPr>
      </w:pPr>
      <w:r w:rsidRPr="00022128">
        <w:rPr>
          <w:b/>
          <w:sz w:val="24"/>
          <w:szCs w:val="24"/>
        </w:rPr>
        <w:t>Statement of Compatibility with Human Rights</w:t>
      </w:r>
    </w:p>
    <w:p w14:paraId="6E155C73" w14:textId="77777777" w:rsidR="00022128" w:rsidRDefault="00022128" w:rsidP="00022128">
      <w:pPr>
        <w:jc w:val="center"/>
        <w:rPr>
          <w:sz w:val="24"/>
          <w:szCs w:val="24"/>
          <w:u w:val="single"/>
        </w:rPr>
      </w:pPr>
    </w:p>
    <w:p w14:paraId="09E3F2A9" w14:textId="4488ACC6" w:rsidR="00245E51" w:rsidRPr="006C4FEF" w:rsidRDefault="00245E51" w:rsidP="00022128">
      <w:pPr>
        <w:jc w:val="center"/>
        <w:rPr>
          <w:sz w:val="24"/>
          <w:szCs w:val="24"/>
          <w:u w:val="single"/>
        </w:rPr>
      </w:pPr>
      <w:r w:rsidRPr="006C4FEF">
        <w:rPr>
          <w:sz w:val="24"/>
          <w:szCs w:val="24"/>
          <w:u w:val="single"/>
        </w:rPr>
        <w:t xml:space="preserve">(prepared in accordance with Part 3 of the </w:t>
      </w:r>
      <w:r w:rsidRPr="006C4FEF">
        <w:rPr>
          <w:i/>
          <w:sz w:val="24"/>
          <w:szCs w:val="24"/>
          <w:u w:val="single"/>
        </w:rPr>
        <w:t>Human Rights (Parliamentary Scrutiny) Act 2011</w:t>
      </w:r>
      <w:r w:rsidRPr="006C4FEF">
        <w:rPr>
          <w:sz w:val="24"/>
          <w:szCs w:val="24"/>
          <w:u w:val="single"/>
        </w:rPr>
        <w:t>)</w:t>
      </w:r>
    </w:p>
    <w:p w14:paraId="08E0F778" w14:textId="77777777" w:rsidR="00245E51" w:rsidRDefault="00245E51" w:rsidP="00245E51">
      <w:pPr>
        <w:rPr>
          <w:sz w:val="24"/>
          <w:szCs w:val="24"/>
        </w:rPr>
      </w:pPr>
    </w:p>
    <w:p w14:paraId="137FE2B6" w14:textId="5C362146" w:rsidR="00022128" w:rsidRPr="003B50A6" w:rsidRDefault="00022128" w:rsidP="00022128">
      <w:pPr>
        <w:rPr>
          <w:sz w:val="24"/>
          <w:szCs w:val="24"/>
        </w:rPr>
      </w:pPr>
      <w:r w:rsidRPr="008F3FB6">
        <w:rPr>
          <w:sz w:val="24"/>
          <w:szCs w:val="24"/>
        </w:rPr>
        <w:t>Th</w:t>
      </w:r>
      <w:r>
        <w:rPr>
          <w:sz w:val="24"/>
          <w:szCs w:val="24"/>
        </w:rPr>
        <w:t xml:space="preserve">e </w:t>
      </w:r>
      <w:r w:rsidRPr="00E52E0F">
        <w:rPr>
          <w:i/>
          <w:sz w:val="24"/>
          <w:szCs w:val="24"/>
        </w:rPr>
        <w:t>Broadcasting Services (Events) Noti</w:t>
      </w:r>
      <w:r w:rsidR="001B7869">
        <w:rPr>
          <w:i/>
          <w:sz w:val="24"/>
          <w:szCs w:val="24"/>
        </w:rPr>
        <w:t>ce (No. 1) 2010 (Amendment No. 7</w:t>
      </w:r>
      <w:r w:rsidRPr="00E52E0F">
        <w:rPr>
          <w:i/>
          <w:sz w:val="24"/>
          <w:szCs w:val="24"/>
        </w:rPr>
        <w:t xml:space="preserve"> of 201</w:t>
      </w:r>
      <w:r w:rsidR="001B7869">
        <w:rPr>
          <w:i/>
          <w:sz w:val="24"/>
          <w:szCs w:val="24"/>
        </w:rPr>
        <w:t>7</w:t>
      </w:r>
      <w:r w:rsidRPr="00E52E0F">
        <w:rPr>
          <w:i/>
          <w:sz w:val="24"/>
          <w:szCs w:val="24"/>
        </w:rPr>
        <w:t>)</w:t>
      </w:r>
      <w:r>
        <w:rPr>
          <w:sz w:val="24"/>
          <w:szCs w:val="24"/>
        </w:rPr>
        <w:t xml:space="preserve"> (</w:t>
      </w:r>
      <w:r w:rsidR="00993A88">
        <w:rPr>
          <w:sz w:val="24"/>
          <w:szCs w:val="24"/>
        </w:rPr>
        <w:t xml:space="preserve">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w:t>
      </w:r>
      <w:r w:rsidR="00993A88">
        <w:rPr>
          <w:sz w:val="24"/>
          <w:szCs w:val="24"/>
        </w:rPr>
        <w:t xml:space="preserve">the </w:t>
      </w:r>
      <w:r w:rsidRPr="00F45174">
        <w:rPr>
          <w:sz w:val="24"/>
          <w:szCs w:val="24"/>
        </w:rPr>
        <w:t>Principal Notice</w:t>
      </w:r>
      <w:r>
        <w:rPr>
          <w:sz w:val="24"/>
          <w:szCs w:val="24"/>
        </w:rPr>
        <w:t xml:space="preserve">) to exclude from the Principal Notice </w:t>
      </w:r>
      <w:r w:rsidR="00993A88">
        <w:rPr>
          <w:sz w:val="24"/>
          <w:szCs w:val="24"/>
        </w:rPr>
        <w:t>four international netball matches to be played in Australia involving the senior Australian representative team</w:t>
      </w:r>
      <w:r w:rsidR="001859A1">
        <w:rPr>
          <w:sz w:val="24"/>
          <w:szCs w:val="24"/>
        </w:rPr>
        <w:t xml:space="preserve"> as part of the </w:t>
      </w:r>
      <w:r w:rsidR="001859A1" w:rsidRPr="00B361B7">
        <w:rPr>
          <w:sz w:val="24"/>
          <w:szCs w:val="24"/>
        </w:rPr>
        <w:t>201</w:t>
      </w:r>
      <w:r w:rsidR="001859A1">
        <w:rPr>
          <w:sz w:val="24"/>
          <w:szCs w:val="24"/>
        </w:rPr>
        <w:t>7 Netball Quad Series and the 2017 Constellation Cup tournaments</w:t>
      </w:r>
      <w:r>
        <w:rPr>
          <w:sz w:val="24"/>
          <w:szCs w:val="24"/>
          <w:lang w:val="en-GB"/>
        </w:rPr>
        <w:t>.</w:t>
      </w:r>
    </w:p>
    <w:p w14:paraId="2C2924FA" w14:textId="77777777" w:rsidR="00022128" w:rsidRDefault="00022128" w:rsidP="00022128">
      <w:pPr>
        <w:rPr>
          <w:sz w:val="24"/>
          <w:szCs w:val="24"/>
        </w:rPr>
      </w:pPr>
    </w:p>
    <w:p w14:paraId="417C61E3" w14:textId="72F652B0" w:rsidR="00022128" w:rsidRDefault="00022128" w:rsidP="00022128">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Pr="00F45174">
        <w:rPr>
          <w:sz w:val="24"/>
          <w:szCs w:val="24"/>
        </w:rPr>
        <w:t xml:space="preserve"> certain </w:t>
      </w:r>
      <w:r w:rsidR="00993A88">
        <w:rPr>
          <w:sz w:val="24"/>
          <w:szCs w:val="24"/>
        </w:rPr>
        <w:t>international netball</w:t>
      </w:r>
      <w:r>
        <w:rPr>
          <w:sz w:val="24"/>
          <w:szCs w:val="24"/>
        </w:rPr>
        <w:t xml:space="preserve"> matches 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 increase live coverage of those</w:t>
      </w:r>
      <w:r w:rsidRPr="00F45174">
        <w:rPr>
          <w:sz w:val="24"/>
          <w:szCs w:val="24"/>
        </w:rPr>
        <w:t xml:space="preserve"> </w:t>
      </w:r>
      <w:r>
        <w:rPr>
          <w:sz w:val="24"/>
          <w:szCs w:val="24"/>
        </w:rPr>
        <w:t>matches</w:t>
      </w:r>
      <w:r w:rsidRPr="00F45174">
        <w:rPr>
          <w:sz w:val="24"/>
          <w:szCs w:val="24"/>
        </w:rPr>
        <w:t>. This will enhance the viewing experience for Australian audiences.</w:t>
      </w:r>
    </w:p>
    <w:p w14:paraId="5BC41DDA" w14:textId="77777777" w:rsidR="00022128" w:rsidRPr="008F3FB6" w:rsidRDefault="00022128" w:rsidP="00022128">
      <w:pPr>
        <w:rPr>
          <w:sz w:val="24"/>
          <w:szCs w:val="24"/>
        </w:rPr>
      </w:pPr>
    </w:p>
    <w:p w14:paraId="0DBA0C9D" w14:textId="77777777" w:rsidR="00022128" w:rsidRPr="008F3FB6" w:rsidRDefault="00022128" w:rsidP="00022128">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3582A366" w14:textId="77777777" w:rsidR="00022128" w:rsidRPr="008F3FB6" w:rsidRDefault="00022128" w:rsidP="00022128">
      <w:pPr>
        <w:rPr>
          <w:sz w:val="24"/>
          <w:szCs w:val="24"/>
        </w:rPr>
      </w:pPr>
    </w:p>
    <w:p w14:paraId="6FC35B04" w14:textId="7B944C24" w:rsidR="00022128" w:rsidRPr="008F3FB6" w:rsidRDefault="00022128" w:rsidP="00022128">
      <w:pPr>
        <w:rPr>
          <w:sz w:val="24"/>
          <w:szCs w:val="24"/>
        </w:rPr>
      </w:pPr>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993A88">
        <w:rPr>
          <w:sz w:val="24"/>
          <w:szCs w:val="24"/>
        </w:rPr>
        <w:t>international netball matches</w:t>
      </w:r>
      <w:r w:rsidRPr="00E650C3">
        <w:rPr>
          <w:sz w:val="24"/>
          <w:szCs w:val="24"/>
          <w:lang w:val="en-GB"/>
        </w:rPr>
        <w:t>.</w:t>
      </w:r>
    </w:p>
    <w:p w14:paraId="747CCB9D" w14:textId="77777777" w:rsidR="00245E51" w:rsidRDefault="00245E51" w:rsidP="00245E51">
      <w:pPr>
        <w:rPr>
          <w:sz w:val="24"/>
          <w:szCs w:val="24"/>
        </w:rPr>
      </w:pPr>
    </w:p>
    <w:sectPr w:rsidR="00245E51" w:rsidSect="00893585">
      <w:headerReference w:type="default" r:id="rId11"/>
      <w:footerReference w:type="first" r:id="rId12"/>
      <w:pgSz w:w="11906" w:h="16838" w:code="9"/>
      <w:pgMar w:top="1440" w:right="1797" w:bottom="1276"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32CDA" w14:textId="77777777" w:rsidR="00893585" w:rsidRDefault="00893585">
      <w:r>
        <w:separator/>
      </w:r>
    </w:p>
  </w:endnote>
  <w:endnote w:type="continuationSeparator" w:id="0">
    <w:p w14:paraId="347895E9" w14:textId="77777777" w:rsidR="00893585" w:rsidRDefault="00893585">
      <w:r>
        <w:continuationSeparator/>
      </w:r>
    </w:p>
  </w:endnote>
  <w:endnote w:type="continuationNotice" w:id="1">
    <w:p w14:paraId="3E48AA06" w14:textId="77777777" w:rsidR="00BA4F61" w:rsidRDefault="00BA4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5FF3" w14:textId="77777777" w:rsidR="00893585" w:rsidRDefault="00893585">
    <w:pPr>
      <w:pStyle w:val="Footer"/>
      <w:jc w:val="center"/>
    </w:pPr>
  </w:p>
  <w:p w14:paraId="06EDED2F" w14:textId="77777777" w:rsidR="00893585" w:rsidRDefault="00893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EDC2D" w14:textId="77777777" w:rsidR="00893585" w:rsidRDefault="00893585">
      <w:r>
        <w:separator/>
      </w:r>
    </w:p>
  </w:footnote>
  <w:footnote w:type="continuationSeparator" w:id="0">
    <w:p w14:paraId="488F0DDF" w14:textId="77777777" w:rsidR="00893585" w:rsidRDefault="00893585">
      <w:r>
        <w:continuationSeparator/>
      </w:r>
    </w:p>
  </w:footnote>
  <w:footnote w:type="continuationNotice" w:id="1">
    <w:p w14:paraId="6B1D7F91" w14:textId="77777777" w:rsidR="00BA4F61" w:rsidRDefault="00BA4F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A532" w14:textId="77777777" w:rsidR="00893585" w:rsidRDefault="00893585">
    <w:pPr>
      <w:pStyle w:val="Header"/>
    </w:pPr>
    <w:r>
      <w:tab/>
    </w:r>
    <w:r>
      <w:rPr>
        <w:rStyle w:val="PageNumber"/>
      </w:rPr>
      <w:fldChar w:fldCharType="begin"/>
    </w:r>
    <w:r>
      <w:rPr>
        <w:rStyle w:val="PageNumber"/>
      </w:rPr>
      <w:instrText xml:space="preserve"> PAGE </w:instrText>
    </w:r>
    <w:r>
      <w:rPr>
        <w:rStyle w:val="PageNumber"/>
      </w:rPr>
      <w:fldChar w:fldCharType="separate"/>
    </w:r>
    <w:r w:rsidR="00BB03B9">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735A9"/>
    <w:multiLevelType w:val="hybridMultilevel"/>
    <w:tmpl w:val="A1CA6F58"/>
    <w:lvl w:ilvl="0" w:tplc="A16AFF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371D6E"/>
    <w:multiLevelType w:val="hybridMultilevel"/>
    <w:tmpl w:val="E02A28E0"/>
    <w:lvl w:ilvl="0" w:tplc="F0B286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51"/>
    <w:rsid w:val="000026B0"/>
    <w:rsid w:val="00012999"/>
    <w:rsid w:val="00022128"/>
    <w:rsid w:val="00056013"/>
    <w:rsid w:val="000A63CD"/>
    <w:rsid w:val="000C7CF6"/>
    <w:rsid w:val="00113AF6"/>
    <w:rsid w:val="00120FD7"/>
    <w:rsid w:val="00137F21"/>
    <w:rsid w:val="0016559D"/>
    <w:rsid w:val="00185579"/>
    <w:rsid w:val="001859A1"/>
    <w:rsid w:val="00186F6C"/>
    <w:rsid w:val="00196B1C"/>
    <w:rsid w:val="00197D93"/>
    <w:rsid w:val="001B0CF7"/>
    <w:rsid w:val="001B7869"/>
    <w:rsid w:val="001C0AA9"/>
    <w:rsid w:val="001C30BA"/>
    <w:rsid w:val="001D0752"/>
    <w:rsid w:val="001D521D"/>
    <w:rsid w:val="001E15A0"/>
    <w:rsid w:val="001F10CE"/>
    <w:rsid w:val="00202F95"/>
    <w:rsid w:val="00226163"/>
    <w:rsid w:val="00245E51"/>
    <w:rsid w:val="0026379E"/>
    <w:rsid w:val="00296344"/>
    <w:rsid w:val="002A5BB6"/>
    <w:rsid w:val="002C3083"/>
    <w:rsid w:val="002F1EF4"/>
    <w:rsid w:val="00304E97"/>
    <w:rsid w:val="00332A06"/>
    <w:rsid w:val="003465BD"/>
    <w:rsid w:val="00390016"/>
    <w:rsid w:val="00390655"/>
    <w:rsid w:val="00393010"/>
    <w:rsid w:val="003A0419"/>
    <w:rsid w:val="003D59BB"/>
    <w:rsid w:val="003E49C0"/>
    <w:rsid w:val="003E6A68"/>
    <w:rsid w:val="004358A9"/>
    <w:rsid w:val="004373F7"/>
    <w:rsid w:val="004440C2"/>
    <w:rsid w:val="00444C17"/>
    <w:rsid w:val="00484052"/>
    <w:rsid w:val="00491B3C"/>
    <w:rsid w:val="004A7C18"/>
    <w:rsid w:val="004F42F3"/>
    <w:rsid w:val="004F68B7"/>
    <w:rsid w:val="00537875"/>
    <w:rsid w:val="00586816"/>
    <w:rsid w:val="00597883"/>
    <w:rsid w:val="005A01F0"/>
    <w:rsid w:val="005D1EAD"/>
    <w:rsid w:val="005E4F5C"/>
    <w:rsid w:val="005F484D"/>
    <w:rsid w:val="00633BE3"/>
    <w:rsid w:val="00655362"/>
    <w:rsid w:val="006625DA"/>
    <w:rsid w:val="00673E61"/>
    <w:rsid w:val="0068254E"/>
    <w:rsid w:val="006C1F38"/>
    <w:rsid w:val="00705F2A"/>
    <w:rsid w:val="00712CB9"/>
    <w:rsid w:val="00732D3A"/>
    <w:rsid w:val="00737451"/>
    <w:rsid w:val="00761680"/>
    <w:rsid w:val="007616BE"/>
    <w:rsid w:val="007803F4"/>
    <w:rsid w:val="00793CD0"/>
    <w:rsid w:val="007C6643"/>
    <w:rsid w:val="00827C12"/>
    <w:rsid w:val="00842291"/>
    <w:rsid w:val="00861DB4"/>
    <w:rsid w:val="00866DB8"/>
    <w:rsid w:val="00893585"/>
    <w:rsid w:val="008A7E13"/>
    <w:rsid w:val="008C766E"/>
    <w:rsid w:val="008D6968"/>
    <w:rsid w:val="008E3FCC"/>
    <w:rsid w:val="00900F00"/>
    <w:rsid w:val="00901621"/>
    <w:rsid w:val="00911326"/>
    <w:rsid w:val="00932766"/>
    <w:rsid w:val="00944144"/>
    <w:rsid w:val="00964B4D"/>
    <w:rsid w:val="00987BFF"/>
    <w:rsid w:val="0099217A"/>
    <w:rsid w:val="00993A88"/>
    <w:rsid w:val="009B004B"/>
    <w:rsid w:val="009B70CC"/>
    <w:rsid w:val="009D1654"/>
    <w:rsid w:val="00A513B5"/>
    <w:rsid w:val="00A66FCC"/>
    <w:rsid w:val="00A6741D"/>
    <w:rsid w:val="00A82DB7"/>
    <w:rsid w:val="00AB18B2"/>
    <w:rsid w:val="00AB697F"/>
    <w:rsid w:val="00AC5ABC"/>
    <w:rsid w:val="00AF19A7"/>
    <w:rsid w:val="00B1257A"/>
    <w:rsid w:val="00B14EA8"/>
    <w:rsid w:val="00B15CE5"/>
    <w:rsid w:val="00B42893"/>
    <w:rsid w:val="00B43B04"/>
    <w:rsid w:val="00B52D9F"/>
    <w:rsid w:val="00B90E98"/>
    <w:rsid w:val="00B956BB"/>
    <w:rsid w:val="00BA4F61"/>
    <w:rsid w:val="00BB03B9"/>
    <w:rsid w:val="00BB5D33"/>
    <w:rsid w:val="00BC3D6C"/>
    <w:rsid w:val="00BC578C"/>
    <w:rsid w:val="00BE5290"/>
    <w:rsid w:val="00C51A78"/>
    <w:rsid w:val="00C559CF"/>
    <w:rsid w:val="00C62523"/>
    <w:rsid w:val="00C665CC"/>
    <w:rsid w:val="00C84636"/>
    <w:rsid w:val="00C87F05"/>
    <w:rsid w:val="00CE7DEE"/>
    <w:rsid w:val="00CF2AE3"/>
    <w:rsid w:val="00D060D7"/>
    <w:rsid w:val="00D07991"/>
    <w:rsid w:val="00D2786D"/>
    <w:rsid w:val="00D46542"/>
    <w:rsid w:val="00D615FF"/>
    <w:rsid w:val="00D817D8"/>
    <w:rsid w:val="00D8472E"/>
    <w:rsid w:val="00DB2D2B"/>
    <w:rsid w:val="00DB7912"/>
    <w:rsid w:val="00DB7BED"/>
    <w:rsid w:val="00DD653B"/>
    <w:rsid w:val="00DE3317"/>
    <w:rsid w:val="00DE3A5E"/>
    <w:rsid w:val="00DF22E0"/>
    <w:rsid w:val="00E24ADE"/>
    <w:rsid w:val="00E26733"/>
    <w:rsid w:val="00E94CB8"/>
    <w:rsid w:val="00E96107"/>
    <w:rsid w:val="00EC65A2"/>
    <w:rsid w:val="00EF7112"/>
    <w:rsid w:val="00F16333"/>
    <w:rsid w:val="00F40588"/>
    <w:rsid w:val="00F53087"/>
    <w:rsid w:val="00F534AD"/>
    <w:rsid w:val="00F543BF"/>
    <w:rsid w:val="00F57517"/>
    <w:rsid w:val="00F838F3"/>
    <w:rsid w:val="00F9497F"/>
    <w:rsid w:val="00FA2CE7"/>
    <w:rsid w:val="00FB6623"/>
    <w:rsid w:val="00FC2489"/>
    <w:rsid w:val="00FC6362"/>
    <w:rsid w:val="00FF1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9FD7"/>
  <w15:docId w15:val="{8E06D26E-EB20-491E-9C4F-0AD65612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5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45E51"/>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E51"/>
    <w:rPr>
      <w:rFonts w:ascii="Times New Roman" w:eastAsia="Times New Roman" w:hAnsi="Times New Roman" w:cs="Times New Roman"/>
      <w:i/>
      <w:sz w:val="24"/>
      <w:szCs w:val="20"/>
      <w:lang w:eastAsia="en-AU"/>
    </w:rPr>
  </w:style>
  <w:style w:type="paragraph" w:styleId="Title">
    <w:name w:val="Title"/>
    <w:basedOn w:val="Normal"/>
    <w:link w:val="TitleChar"/>
    <w:qFormat/>
    <w:rsid w:val="00245E51"/>
    <w:pPr>
      <w:jc w:val="center"/>
    </w:pPr>
    <w:rPr>
      <w:b/>
      <w:sz w:val="24"/>
      <w:u w:val="single"/>
      <w:lang w:val="en-GB" w:eastAsia="en-US"/>
    </w:rPr>
  </w:style>
  <w:style w:type="character" w:customStyle="1" w:styleId="TitleChar">
    <w:name w:val="Title Char"/>
    <w:basedOn w:val="DefaultParagraphFont"/>
    <w:link w:val="Title"/>
    <w:rsid w:val="00245E51"/>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45E51"/>
    <w:rPr>
      <w:sz w:val="24"/>
      <w:u w:val="single"/>
      <w:lang w:val="en-GB" w:eastAsia="en-US"/>
    </w:rPr>
  </w:style>
  <w:style w:type="character" w:customStyle="1" w:styleId="BodyText3Char">
    <w:name w:val="Body Text 3 Char"/>
    <w:basedOn w:val="DefaultParagraphFont"/>
    <w:link w:val="BodyText3"/>
    <w:rsid w:val="00245E51"/>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45E51"/>
    <w:pPr>
      <w:jc w:val="center"/>
    </w:pPr>
    <w:rPr>
      <w:sz w:val="24"/>
    </w:rPr>
  </w:style>
  <w:style w:type="character" w:customStyle="1" w:styleId="BodyTextChar">
    <w:name w:val="Body Text Char"/>
    <w:basedOn w:val="DefaultParagraphFont"/>
    <w:link w:val="BodyText"/>
    <w:rsid w:val="00245E51"/>
    <w:rPr>
      <w:rFonts w:ascii="Times New Roman" w:eastAsia="Times New Roman" w:hAnsi="Times New Roman" w:cs="Times New Roman"/>
      <w:sz w:val="24"/>
      <w:szCs w:val="20"/>
      <w:lang w:eastAsia="en-AU"/>
    </w:rPr>
  </w:style>
  <w:style w:type="paragraph" w:styleId="Header">
    <w:name w:val="header"/>
    <w:basedOn w:val="Normal"/>
    <w:link w:val="HeaderChar"/>
    <w:rsid w:val="00245E51"/>
    <w:pPr>
      <w:tabs>
        <w:tab w:val="center" w:pos="4320"/>
        <w:tab w:val="right" w:pos="8640"/>
      </w:tabs>
    </w:pPr>
    <w:rPr>
      <w:sz w:val="24"/>
    </w:rPr>
  </w:style>
  <w:style w:type="character" w:customStyle="1" w:styleId="HeaderChar">
    <w:name w:val="Header Char"/>
    <w:basedOn w:val="DefaultParagraphFont"/>
    <w:link w:val="Header"/>
    <w:rsid w:val="00245E51"/>
    <w:rPr>
      <w:rFonts w:ascii="Times New Roman" w:eastAsia="Times New Roman" w:hAnsi="Times New Roman" w:cs="Times New Roman"/>
      <w:sz w:val="24"/>
      <w:szCs w:val="20"/>
      <w:lang w:eastAsia="en-AU"/>
    </w:rPr>
  </w:style>
  <w:style w:type="character" w:styleId="PageNumber">
    <w:name w:val="page number"/>
    <w:basedOn w:val="DefaultParagraphFont"/>
    <w:rsid w:val="00245E51"/>
  </w:style>
  <w:style w:type="paragraph" w:styleId="Footer">
    <w:name w:val="footer"/>
    <w:basedOn w:val="Normal"/>
    <w:link w:val="FooterChar"/>
    <w:uiPriority w:val="99"/>
    <w:unhideWhenUsed/>
    <w:rsid w:val="00245E51"/>
    <w:pPr>
      <w:tabs>
        <w:tab w:val="center" w:pos="4513"/>
        <w:tab w:val="right" w:pos="9026"/>
      </w:tabs>
    </w:pPr>
  </w:style>
  <w:style w:type="character" w:customStyle="1" w:styleId="FooterChar">
    <w:name w:val="Footer Char"/>
    <w:basedOn w:val="DefaultParagraphFont"/>
    <w:link w:val="Footer"/>
    <w:uiPriority w:val="99"/>
    <w:rsid w:val="00245E51"/>
    <w:rPr>
      <w:rFonts w:ascii="Times New Roman" w:eastAsia="Times New Roman" w:hAnsi="Times New Roman" w:cs="Times New Roman"/>
      <w:sz w:val="20"/>
      <w:szCs w:val="20"/>
      <w:lang w:eastAsia="en-AU"/>
    </w:rPr>
  </w:style>
  <w:style w:type="paragraph" w:customStyle="1" w:styleId="Schedulepara">
    <w:name w:val="Schedule para"/>
    <w:basedOn w:val="Normal"/>
    <w:rsid w:val="00245E51"/>
    <w:pPr>
      <w:tabs>
        <w:tab w:val="right" w:pos="567"/>
      </w:tabs>
      <w:spacing w:before="180" w:line="260" w:lineRule="exact"/>
      <w:ind w:left="964" w:hanging="964"/>
      <w:jc w:val="both"/>
    </w:pPr>
    <w:rPr>
      <w:noProof/>
      <w:sz w:val="24"/>
      <w:szCs w:val="24"/>
      <w:lang w:eastAsia="en-US"/>
    </w:rPr>
  </w:style>
  <w:style w:type="character" w:styleId="CommentReference">
    <w:name w:val="annotation reference"/>
    <w:basedOn w:val="DefaultParagraphFont"/>
    <w:uiPriority w:val="99"/>
    <w:semiHidden/>
    <w:unhideWhenUsed/>
    <w:rsid w:val="00C84636"/>
    <w:rPr>
      <w:sz w:val="16"/>
      <w:szCs w:val="16"/>
    </w:rPr>
  </w:style>
  <w:style w:type="paragraph" w:styleId="CommentText">
    <w:name w:val="annotation text"/>
    <w:basedOn w:val="Normal"/>
    <w:link w:val="CommentTextChar"/>
    <w:uiPriority w:val="99"/>
    <w:semiHidden/>
    <w:unhideWhenUsed/>
    <w:rsid w:val="00C84636"/>
  </w:style>
  <w:style w:type="character" w:customStyle="1" w:styleId="CommentTextChar">
    <w:name w:val="Comment Text Char"/>
    <w:basedOn w:val="DefaultParagraphFont"/>
    <w:link w:val="CommentText"/>
    <w:uiPriority w:val="99"/>
    <w:semiHidden/>
    <w:rsid w:val="00C8463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84636"/>
    <w:rPr>
      <w:b/>
      <w:bCs/>
    </w:rPr>
  </w:style>
  <w:style w:type="character" w:customStyle="1" w:styleId="CommentSubjectChar">
    <w:name w:val="Comment Subject Char"/>
    <w:basedOn w:val="CommentTextChar"/>
    <w:link w:val="CommentSubject"/>
    <w:uiPriority w:val="99"/>
    <w:semiHidden/>
    <w:rsid w:val="00C8463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84636"/>
    <w:rPr>
      <w:rFonts w:ascii="Tahoma" w:hAnsi="Tahoma" w:cs="Tahoma"/>
      <w:sz w:val="16"/>
      <w:szCs w:val="16"/>
    </w:rPr>
  </w:style>
  <w:style w:type="character" w:customStyle="1" w:styleId="BalloonTextChar">
    <w:name w:val="Balloon Text Char"/>
    <w:basedOn w:val="DefaultParagraphFont"/>
    <w:link w:val="BalloonText"/>
    <w:uiPriority w:val="99"/>
    <w:semiHidden/>
    <w:rsid w:val="00C84636"/>
    <w:rPr>
      <w:rFonts w:ascii="Tahoma" w:eastAsia="Times New Roman" w:hAnsi="Tahoma" w:cs="Tahoma"/>
      <w:sz w:val="16"/>
      <w:szCs w:val="16"/>
      <w:lang w:eastAsia="en-AU"/>
    </w:rPr>
  </w:style>
  <w:style w:type="paragraph" w:styleId="ListParagraph">
    <w:name w:val="List Paragraph"/>
    <w:basedOn w:val="Normal"/>
    <w:uiPriority w:val="34"/>
    <w:qFormat/>
    <w:rsid w:val="00BC578C"/>
    <w:pPr>
      <w:spacing w:after="200" w:line="276" w:lineRule="auto"/>
      <w:ind w:left="720"/>
      <w:contextualSpacing/>
    </w:pPr>
    <w:rPr>
      <w:rFonts w:asciiTheme="minorHAnsi" w:eastAsiaTheme="minorEastAsia" w:hAnsiTheme="minorHAnsi" w:cstheme="minorBidi"/>
      <w:sz w:val="22"/>
      <w:szCs w:val="22"/>
    </w:rPr>
  </w:style>
  <w:style w:type="character" w:customStyle="1" w:styleId="Text-Normal">
    <w:name w:val="Text - Normal"/>
    <w:uiPriority w:val="1"/>
    <w:unhideWhenUsed/>
    <w:qFormat/>
    <w:locked/>
    <w:rsid w:val="00987B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CF51E81173941F4FAA93008D682B97BF" ma:contentTypeVersion="18" ma:contentTypeDescription="106" ma:contentTypeScope="" ma:versionID="89c3a53b6926d1907ea0e8c95096a36f">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65fcc6ef396426b9c231bd6b3bc54de xmlns="4597da67-68a3-4e9d-8803-ba3e1787ab6c">
      <Terms xmlns="http://schemas.microsoft.com/office/infopath/2007/PartnerControls"/>
    </e65fcc6ef396426b9c231bd6b3bc54de>
    <TaxCatchAll xmlns="4597da67-68a3-4e9d-8803-ba3e1787ab6c">
      <Value>131</Value>
    </TaxCatchAll>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Commercial Broadcasting Policy [Organization] [internal] [29930]</TermName>
          <TermId xmlns="http://schemas.microsoft.com/office/infopath/2007/PartnerControls">100bca1c-3b2a-4dd9-a388-4c0fdff09169</TermId>
        </TermInfo>
      </Terms>
    </me786d0e3c9949dc83d6a9826d3f7afb>
    <TrimUDF_String_39 xmlns="4597da67-68a3-4e9d-8803-ba3e1787ab6c" xsi:nil="true"/>
    <trimRootDocACLCanUpdateDocument xmlns="4597da67-68a3-4e9d-8803-ba3e1787ab6c" xsi:nil="true"/>
    <l30152c64bc5409cb0d6af5fc7998329 xmlns="4597da67-68a3-4e9d-8803-ba3e1787ab6c">
      <Terms xmlns="http://schemas.microsoft.com/office/infopath/2007/PartnerControls"/>
    </l30152c64bc5409cb0d6af5fc7998329>
    <TrimUDF_String_40 xmlns="4597da67-68a3-4e9d-8803-ba3e1787ab6c" xsi:nil="true"/>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UDF_String_696 xmlns="4597da67-68a3-4e9d-8803-ba3e1787ab6c" xsi:nil="true"/>
    <trimRootDocACLCanContributeDocuments xmlns="4597da67-68a3-4e9d-8803-ba3e1787ab6c" xsi:nil="true"/>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UDF_Text_706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7D7A-5701-4771-A641-5CA2399E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029CD-7841-4D66-91B4-923F717535A3}">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597da67-68a3-4e9d-8803-ba3e1787ab6c"/>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0A7E8E-0C8A-43BA-B843-73C7F1DD70C0}">
  <ds:schemaRefs>
    <ds:schemaRef ds:uri="http://schemas.microsoft.com/sharepoint/v3/contenttype/forms"/>
  </ds:schemaRefs>
</ds:datastoreItem>
</file>

<file path=customXml/itemProps4.xml><?xml version="1.0" encoding="utf-8"?>
<ds:datastoreItem xmlns:ds="http://schemas.openxmlformats.org/officeDocument/2006/customXml" ds:itemID="{22DEDE80-5E61-48AD-B5B7-E757E01E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77070D47.dotm</Template>
  <TotalTime>0</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ES - Broadcasting Services Events Notice No 1 of 2010 (Amendment No 7 o 2017)</vt:lpstr>
    </vt:vector>
  </TitlesOfParts>
  <Company>DBCDE</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of 2010 (Amendment No 7 o 2017) - FINAL1.docx</dc:title>
  <dc:creator>Daniel Vigilante</dc:creator>
  <cp:lastModifiedBy>Penprase, James</cp:lastModifiedBy>
  <cp:revision>3</cp:revision>
  <cp:lastPrinted>2014-09-18T00:14:00Z</cp:lastPrinted>
  <dcterms:created xsi:type="dcterms:W3CDTF">2017-08-13T05:26:00Z</dcterms:created>
  <dcterms:modified xsi:type="dcterms:W3CDTF">2017-08-13T05:29:00Z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0x010100407620DDFF47524F86BCF55EDD3946430100CF51E81173941F4FAA93008D682B97BF</vt:lpwstr>
  </property>
  <property fmtid="{D5CDD505-2E9C-101B-9397-08002B2CF9AE}" pid="4" name="TrimRevisionNumber">
    <vt:i4>2</vt:i4>
  </property>
  <property fmtid="{D5CDD505-2E9C-101B-9397-08002B2CF9AE}" pid="5" name="trimRootDocClassification">
    <vt:lpwstr/>
  </property>
  <property fmtid="{D5CDD505-2E9C-101B-9397-08002B2CF9AE}" pid="6" name="trimRootDocAssignee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ootDocOwnerLocation">
    <vt:lpwstr>131;#Commercial Broadcasting Policy [Organization] [internal] [29930]|100bca1c-3b2a-4dd9-a388-4c0fdff09169</vt:lpwstr>
  </property>
  <property fmtid="{D5CDD505-2E9C-101B-9397-08002B2CF9AE}" pid="14" name="trimRootDocACLCanContributeDocuments_List">
    <vt:lpwstr/>
  </property>
</Properties>
</file>