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91" w:rsidRDefault="002B3B91" w:rsidP="002B3B91">
      <w:pPr>
        <w:jc w:val="center"/>
        <w:rPr>
          <w:b/>
          <w:sz w:val="28"/>
        </w:rPr>
      </w:pPr>
      <w:r>
        <w:rPr>
          <w:b/>
          <w:sz w:val="28"/>
        </w:rPr>
        <w:t>EXPLANATORY STATEMENT</w:t>
      </w:r>
    </w:p>
    <w:p w:rsidR="002B3B91" w:rsidRDefault="002B3B91" w:rsidP="002B3B91">
      <w:pPr>
        <w:jc w:val="center"/>
        <w:rPr>
          <w:b/>
          <w:sz w:val="28"/>
        </w:rPr>
      </w:pPr>
    </w:p>
    <w:p w:rsidR="00EE3F23" w:rsidRDefault="00EE3F23" w:rsidP="002B3B91">
      <w:pPr>
        <w:jc w:val="center"/>
        <w:rPr>
          <w:b/>
          <w:sz w:val="28"/>
        </w:rPr>
      </w:pPr>
    </w:p>
    <w:p w:rsidR="002B3B91" w:rsidRDefault="002B3B91" w:rsidP="002B3B91">
      <w:pPr>
        <w:jc w:val="center"/>
        <w:rPr>
          <w:b/>
          <w:sz w:val="28"/>
        </w:rPr>
      </w:pPr>
    </w:p>
    <w:p w:rsidR="002B3B91" w:rsidRDefault="002B3B91" w:rsidP="002B3B91">
      <w:pPr>
        <w:pStyle w:val="Heading3"/>
      </w:pPr>
      <w:r>
        <w:t>Issued by the authority of the Chief Justice of the Federal Court of Australia on behalf of the Judges of the Court</w:t>
      </w:r>
    </w:p>
    <w:p w:rsidR="002B3B91" w:rsidRDefault="002B3B91" w:rsidP="002B3B91">
      <w:pPr>
        <w:jc w:val="center"/>
        <w:rPr>
          <w:b/>
          <w:sz w:val="28"/>
        </w:rPr>
      </w:pPr>
    </w:p>
    <w:p w:rsidR="00EE3F23" w:rsidRDefault="00EE3F23" w:rsidP="002B3B91">
      <w:pPr>
        <w:jc w:val="center"/>
        <w:rPr>
          <w:b/>
          <w:sz w:val="28"/>
        </w:rPr>
      </w:pPr>
    </w:p>
    <w:p w:rsidR="002B3B91" w:rsidRDefault="002B3B91" w:rsidP="002B3B91">
      <w:pPr>
        <w:jc w:val="center"/>
        <w:rPr>
          <w:b/>
          <w:sz w:val="28"/>
        </w:rPr>
      </w:pPr>
      <w:r>
        <w:rPr>
          <w:b/>
          <w:sz w:val="28"/>
        </w:rPr>
        <w:t>Federal Court (Bankruptcy)</w:t>
      </w:r>
      <w:r w:rsidR="0019551F">
        <w:rPr>
          <w:b/>
          <w:sz w:val="28"/>
        </w:rPr>
        <w:t xml:space="preserve"> </w:t>
      </w:r>
      <w:r w:rsidR="000E1295">
        <w:rPr>
          <w:b/>
          <w:sz w:val="28"/>
        </w:rPr>
        <w:t>Amendment (I</w:t>
      </w:r>
      <w:r w:rsidR="005D07D2">
        <w:rPr>
          <w:b/>
          <w:sz w:val="28"/>
        </w:rPr>
        <w:t>nsolvency and Other Measures) Rules 2017</w:t>
      </w:r>
    </w:p>
    <w:p w:rsidR="002B3B91" w:rsidRDefault="002B3B91" w:rsidP="002B3B91">
      <w:pPr>
        <w:rPr>
          <w:b/>
        </w:rPr>
      </w:pPr>
    </w:p>
    <w:p w:rsidR="002B3B91" w:rsidRPr="00DA28C9" w:rsidRDefault="00DA28C9" w:rsidP="00DA28C9">
      <w:pPr>
        <w:spacing w:after="80"/>
        <w:rPr>
          <w:b/>
        </w:rPr>
      </w:pPr>
      <w:r w:rsidRPr="00DA28C9">
        <w:rPr>
          <w:b/>
        </w:rPr>
        <w:t>Authority for Federal Court Rules</w:t>
      </w:r>
    </w:p>
    <w:p w:rsidR="002B3B91" w:rsidRDefault="002B3B91" w:rsidP="002B3B91">
      <w:r>
        <w:t xml:space="preserve">Section 59 of the </w:t>
      </w:r>
      <w:r>
        <w:rPr>
          <w:i/>
        </w:rPr>
        <w:t xml:space="preserve">Federal Court of Australia Act 1976 </w:t>
      </w:r>
      <w:r>
        <w:t xml:space="preserve">permits the Judges of the Federal Court of Australia (Federal Court) or a majority of them, to make Rules of Court not inconsistent with the Act. These rules may provide for the practice and procedure to be followed in the Court and in Registries of the Court. They may extend to all matters incidental to any such practice or procedure that </w:t>
      </w:r>
      <w:proofErr w:type="gramStart"/>
      <w:r>
        <w:t>are</w:t>
      </w:r>
      <w:proofErr w:type="gramEnd"/>
      <w:r>
        <w:t xml:space="preserve"> necessary or convenient to be prescribed for the conduct of any business of the Court.</w:t>
      </w:r>
    </w:p>
    <w:p w:rsidR="002B3B91" w:rsidRDefault="002B3B91" w:rsidP="002B3B91"/>
    <w:p w:rsidR="002B3B91" w:rsidRDefault="002B3B91" w:rsidP="002B3B91">
      <w:r>
        <w:t xml:space="preserve">Under sub-section 59 (4) of the </w:t>
      </w:r>
      <w:r>
        <w:rPr>
          <w:i/>
        </w:rPr>
        <w:t>Federal Court of Australia Act</w:t>
      </w:r>
      <w:r>
        <w:t xml:space="preserve"> </w:t>
      </w:r>
      <w:r>
        <w:rPr>
          <w:i/>
        </w:rPr>
        <w:t>1976</w:t>
      </w:r>
      <w:r>
        <w:t xml:space="preserve">, the </w:t>
      </w:r>
      <w:r>
        <w:rPr>
          <w:i/>
        </w:rPr>
        <w:t>Legislati</w:t>
      </w:r>
      <w:r w:rsidR="002B644A">
        <w:rPr>
          <w:i/>
        </w:rPr>
        <w:t>on</w:t>
      </w:r>
      <w:r>
        <w:rPr>
          <w:i/>
        </w:rPr>
        <w:t xml:space="preserve"> Act 2003 </w:t>
      </w:r>
      <w:r>
        <w:t xml:space="preserve">(other than sections </w:t>
      </w:r>
      <w:r w:rsidR="002B644A">
        <w:t xml:space="preserve">8, 9, 10 </w:t>
      </w:r>
      <w:r>
        <w:t xml:space="preserve">and 16 of that Act) applies in relation to rules of court made by the Court under the </w:t>
      </w:r>
      <w:r>
        <w:rPr>
          <w:i/>
        </w:rPr>
        <w:t>Federal Court of Australia Act</w:t>
      </w:r>
      <w:r>
        <w:t xml:space="preserve"> </w:t>
      </w:r>
      <w:r>
        <w:rPr>
          <w:i/>
        </w:rPr>
        <w:t xml:space="preserve">1976 </w:t>
      </w:r>
      <w:r>
        <w:t xml:space="preserve">or another Act: </w:t>
      </w:r>
    </w:p>
    <w:p w:rsidR="002B3B91" w:rsidRDefault="002B3B91" w:rsidP="002B3B91">
      <w:pPr>
        <w:numPr>
          <w:ilvl w:val="0"/>
          <w:numId w:val="1"/>
        </w:numPr>
      </w:pPr>
      <w:r>
        <w:t xml:space="preserve">as if a reference to a legislative instrument were a reference to a rule of court; and </w:t>
      </w:r>
    </w:p>
    <w:p w:rsidR="002B3B91" w:rsidRDefault="002B3B91" w:rsidP="002B3B91">
      <w:pPr>
        <w:numPr>
          <w:ilvl w:val="0"/>
          <w:numId w:val="1"/>
        </w:numPr>
      </w:pPr>
      <w:r>
        <w:t xml:space="preserve">as if a reference to a rule-maker were a reference to the Chief Justice acting on behalf of the Judges of the Court; and </w:t>
      </w:r>
    </w:p>
    <w:p w:rsidR="002B3B91" w:rsidRDefault="002B3B91" w:rsidP="002B3B91">
      <w:pPr>
        <w:numPr>
          <w:ilvl w:val="0"/>
          <w:numId w:val="1"/>
        </w:numPr>
      </w:pPr>
      <w:proofErr w:type="gramStart"/>
      <w:r>
        <w:t>subject</w:t>
      </w:r>
      <w:proofErr w:type="gramEnd"/>
      <w:r>
        <w:t xml:space="preserve"> to such further modifications or adaptations as are provided for in regulations made under section 59A of the </w:t>
      </w:r>
      <w:r>
        <w:rPr>
          <w:i/>
        </w:rPr>
        <w:t>Federal Court of Australia Act</w:t>
      </w:r>
      <w:r>
        <w:t xml:space="preserve"> </w:t>
      </w:r>
      <w:r>
        <w:rPr>
          <w:i/>
        </w:rPr>
        <w:t>1976</w:t>
      </w:r>
      <w:r>
        <w:t>.</w:t>
      </w:r>
    </w:p>
    <w:p w:rsidR="002B3B91" w:rsidRDefault="002B3B91" w:rsidP="002B3B91"/>
    <w:p w:rsidR="0019551F" w:rsidRPr="0019551F" w:rsidRDefault="008D4347" w:rsidP="00DA28C9">
      <w:pPr>
        <w:spacing w:after="80"/>
        <w:rPr>
          <w:b/>
        </w:rPr>
      </w:pPr>
      <w:r>
        <w:rPr>
          <w:b/>
        </w:rPr>
        <w:t>Background to the Federal Court (Bankruptcy) Rules 2016</w:t>
      </w:r>
    </w:p>
    <w:p w:rsidR="00A90FF1" w:rsidRDefault="008D4347" w:rsidP="002B3B91">
      <w:r>
        <w:t xml:space="preserve">The Federal Court has jurisdiction under the </w:t>
      </w:r>
      <w:r>
        <w:rPr>
          <w:i/>
        </w:rPr>
        <w:t>Bankruptcy Act 1966</w:t>
      </w:r>
      <w:r w:rsidR="001F4285">
        <w:t xml:space="preserve"> to deal with a range of proceedings</w:t>
      </w:r>
      <w:r w:rsidR="00D517DE">
        <w:t xml:space="preserve"> and matters</w:t>
      </w:r>
      <w:r w:rsidR="005153F8">
        <w:t xml:space="preserve"> which is concurrent with that of the </w:t>
      </w:r>
      <w:r>
        <w:t xml:space="preserve">Federal </w:t>
      </w:r>
      <w:r w:rsidR="005153F8">
        <w:t xml:space="preserve">Circuit </w:t>
      </w:r>
      <w:r>
        <w:t xml:space="preserve">Court of Australia </w:t>
      </w:r>
      <w:r w:rsidR="00BC2125">
        <w:t xml:space="preserve">(Federal Circuit Court) </w:t>
      </w:r>
      <w:r w:rsidR="005153F8">
        <w:t xml:space="preserve">in bankruptcy.  The Family Court of Australia (Family Court) also has jurisdiction under the Bankruptcy Act limited to circumstances where proceedings for property settlement or spousal maintenance under the </w:t>
      </w:r>
      <w:r w:rsidR="005153F8">
        <w:rPr>
          <w:i/>
        </w:rPr>
        <w:t xml:space="preserve">Family Law Act </w:t>
      </w:r>
      <w:r w:rsidR="005153F8" w:rsidRPr="005005D8">
        <w:rPr>
          <w:i/>
        </w:rPr>
        <w:t>1975</w:t>
      </w:r>
      <w:r w:rsidR="005153F8">
        <w:t xml:space="preserve"> </w:t>
      </w:r>
      <w:r w:rsidR="00A90FF1">
        <w:t xml:space="preserve">are current </w:t>
      </w:r>
      <w:r w:rsidR="005153F8">
        <w:t>in the Family Court.</w:t>
      </w:r>
    </w:p>
    <w:p w:rsidR="00A90FF1" w:rsidRDefault="00A90FF1" w:rsidP="002B3B91"/>
    <w:p w:rsidR="0019551F" w:rsidRDefault="00D517DE" w:rsidP="002B3B91">
      <w:r>
        <w:t>In addition</w:t>
      </w:r>
      <w:r w:rsidR="003B075A">
        <w:t>,</w:t>
      </w:r>
      <w:r>
        <w:t xml:space="preserve"> the Federal Court has jurisdiction under the </w:t>
      </w:r>
      <w:r>
        <w:rPr>
          <w:i/>
        </w:rPr>
        <w:t>Cross-Border Insolvency Act 2008</w:t>
      </w:r>
      <w:r>
        <w:t xml:space="preserve"> to deal with a range of proceedings involving a debtor who is an individual.  The Federal Court also has jurisdiction under the Cross-Border Insolvency Act to deal with a range of proceedings involving a debtor </w:t>
      </w:r>
      <w:r w:rsidRPr="003B075A">
        <w:rPr>
          <w:u w:val="single"/>
        </w:rPr>
        <w:t>other than</w:t>
      </w:r>
      <w:r>
        <w:t xml:space="preserve"> an individu</w:t>
      </w:r>
      <w:r w:rsidR="00DA28C9">
        <w:t xml:space="preserve">al.  That latter jurisdiction is shared with </w:t>
      </w:r>
      <w:r>
        <w:t xml:space="preserve">the Supreme Courts of </w:t>
      </w:r>
      <w:r w:rsidR="00DA28C9">
        <w:t xml:space="preserve">each of </w:t>
      </w:r>
      <w:r>
        <w:t xml:space="preserve">the States and Territories of </w:t>
      </w:r>
      <w:r w:rsidR="00DA28C9">
        <w:t>Australia.</w:t>
      </w:r>
    </w:p>
    <w:p w:rsidR="001F4285" w:rsidRDefault="001F4285" w:rsidP="002B3B91"/>
    <w:p w:rsidR="00A90FF1" w:rsidRDefault="00DA28C9" w:rsidP="002B3B91">
      <w:r>
        <w:t xml:space="preserve">With effect from </w:t>
      </w:r>
      <w:r w:rsidR="000E1295">
        <w:t>1 April 201</w:t>
      </w:r>
      <w:r w:rsidR="001F4285">
        <w:t>6</w:t>
      </w:r>
      <w:r w:rsidR="0001403D">
        <w:t>,</w:t>
      </w:r>
      <w:r w:rsidR="001F4285">
        <w:t xml:space="preserve"> the Judges of the Federal Court made the </w:t>
      </w:r>
      <w:r w:rsidR="001F4285" w:rsidRPr="0001403D">
        <w:rPr>
          <w:i/>
        </w:rPr>
        <w:t>Federal Court (Bankruptcy) Rules</w:t>
      </w:r>
      <w:r w:rsidR="000E1295" w:rsidRPr="0001403D">
        <w:rPr>
          <w:i/>
        </w:rPr>
        <w:t xml:space="preserve"> 2016</w:t>
      </w:r>
      <w:r w:rsidR="003B075A">
        <w:rPr>
          <w:i/>
        </w:rPr>
        <w:t>.</w:t>
      </w:r>
      <w:r w:rsidR="003B075A">
        <w:t xml:space="preserve">  Parts 1 to 13 deal with </w:t>
      </w:r>
      <w:r>
        <w:t xml:space="preserve">the practice and procedure followed in proceedings </w:t>
      </w:r>
      <w:r w:rsidR="00046022">
        <w:t xml:space="preserve">in the Federal Court </w:t>
      </w:r>
      <w:r>
        <w:t xml:space="preserve">under the Bankruptcy Act.  These </w:t>
      </w:r>
      <w:r w:rsidR="003B075A">
        <w:t xml:space="preserve">Parts </w:t>
      </w:r>
      <w:r w:rsidR="0001403D">
        <w:t xml:space="preserve">are closely </w:t>
      </w:r>
      <w:r>
        <w:t>harmonised with</w:t>
      </w:r>
      <w:r w:rsidR="00BC2125">
        <w:t xml:space="preserve"> the rules for proceedings under the Bankruptcy Act in the Federal </w:t>
      </w:r>
      <w:r w:rsidR="00BC2125">
        <w:lastRenderedPageBreak/>
        <w:t>Circuit Court (</w:t>
      </w:r>
      <w:r w:rsidR="00BC2125" w:rsidRPr="000E1295">
        <w:rPr>
          <w:i/>
        </w:rPr>
        <w:t>Federal Circ</w:t>
      </w:r>
      <w:r w:rsidR="0001403D">
        <w:rPr>
          <w:i/>
        </w:rPr>
        <w:t>uit Court (Bankruptcy) Rules 201</w:t>
      </w:r>
      <w:r w:rsidR="00BC2125" w:rsidRPr="000E1295">
        <w:rPr>
          <w:i/>
        </w:rPr>
        <w:t>6</w:t>
      </w:r>
      <w:r w:rsidR="00BC2125">
        <w:t>)</w:t>
      </w:r>
      <w:r w:rsidR="0001403D">
        <w:t>.</w:t>
      </w:r>
      <w:r w:rsidR="00BC2125">
        <w:t xml:space="preserve"> </w:t>
      </w:r>
      <w:r w:rsidR="0001403D">
        <w:t xml:space="preserve"> S</w:t>
      </w:r>
      <w:r w:rsidR="00BC2125">
        <w:t xml:space="preserve">ome rules in the </w:t>
      </w:r>
      <w:r w:rsidR="00BC2125" w:rsidRPr="0001403D">
        <w:rPr>
          <w:i/>
        </w:rPr>
        <w:t xml:space="preserve">Family Law Rules </w:t>
      </w:r>
      <w:r w:rsidR="00922250" w:rsidRPr="0001403D">
        <w:rPr>
          <w:i/>
        </w:rPr>
        <w:t>2004</w:t>
      </w:r>
      <w:r w:rsidR="00922250">
        <w:t xml:space="preserve"> relevant to proceedings under the Bankruptcy Act in </w:t>
      </w:r>
      <w:r w:rsidR="00A90FF1">
        <w:t xml:space="preserve">which </w:t>
      </w:r>
      <w:r w:rsidR="00922250">
        <w:t>the Family Court</w:t>
      </w:r>
      <w:r w:rsidR="00A90FF1">
        <w:t xml:space="preserve"> has jurisdiction</w:t>
      </w:r>
      <w:r w:rsidR="0001403D">
        <w:t xml:space="preserve"> are also harmonised with relevant rules of the Federal Court and Federal Circuit Court in bankruptcy</w:t>
      </w:r>
      <w:r w:rsidR="00A90FF1">
        <w:t>.</w:t>
      </w:r>
    </w:p>
    <w:p w:rsidR="00B237A8" w:rsidRDefault="00B237A8" w:rsidP="002B3B91"/>
    <w:p w:rsidR="00B237A8" w:rsidRDefault="00793C0D" w:rsidP="002B3B91">
      <w:r>
        <w:t>To ensure that the harmonised rules for proceedings under the Bankruptcy Act remain current</w:t>
      </w:r>
      <w:r w:rsidR="00523EA0">
        <w:t xml:space="preserve">, relevant and appropriate, the Chief Justice of the Federal Court and Chief Judge of the Federal Circuit Court </w:t>
      </w:r>
      <w:r w:rsidR="00AF5C96">
        <w:t xml:space="preserve">have </w:t>
      </w:r>
      <w:r w:rsidR="00523EA0">
        <w:t>established a Harmonised Bankruptcy Rules Monitoring Committee.  The Committee is chaired by a Judge of the Federal Court and comprised of Judges and Registrar</w:t>
      </w:r>
      <w:r w:rsidR="00AF5C96">
        <w:t>s</w:t>
      </w:r>
      <w:r w:rsidR="00523EA0">
        <w:t xml:space="preserve"> from each of the </w:t>
      </w:r>
      <w:r w:rsidR="00AF5C96">
        <w:t>Federal Court, Family Court and Federal Circuit Court as well as an experienced insolvency practitioner nominated by the Law Council of Australia.  Changes to these rules are developed upon the advice of the Committee</w:t>
      </w:r>
      <w:r w:rsidR="006B0E93">
        <w:t xml:space="preserve">.  Its </w:t>
      </w:r>
      <w:r w:rsidR="00AF5C96">
        <w:t xml:space="preserve">recommendations </w:t>
      </w:r>
      <w:r w:rsidR="006B0E93">
        <w:t xml:space="preserve">are </w:t>
      </w:r>
      <w:r w:rsidR="00AF5C96">
        <w:t xml:space="preserve">referred to the </w:t>
      </w:r>
      <w:r w:rsidR="006B0E93">
        <w:t>Rules C</w:t>
      </w:r>
      <w:r w:rsidR="00AF5C96">
        <w:t>ommittee of each Court for consideration and, if agreed, implementation through the</w:t>
      </w:r>
      <w:r w:rsidR="006B0E93">
        <w:t xml:space="preserve"> usual processes</w:t>
      </w:r>
      <w:r w:rsidR="00BA7D90">
        <w:t xml:space="preserve"> of the relevant Court.</w:t>
      </w:r>
    </w:p>
    <w:p w:rsidR="00793C0D" w:rsidRDefault="00793C0D" w:rsidP="002B3B91"/>
    <w:p w:rsidR="00046022" w:rsidRDefault="003B075A" w:rsidP="002B3B91">
      <w:r>
        <w:t xml:space="preserve">Part 14 of the </w:t>
      </w:r>
      <w:r w:rsidRPr="003B075A">
        <w:t>Federal Court (Bankruptcy) Rules</w:t>
      </w:r>
      <w:r>
        <w:rPr>
          <w:i/>
        </w:rPr>
        <w:t xml:space="preserve"> </w:t>
      </w:r>
      <w:r>
        <w:t xml:space="preserve">deals with </w:t>
      </w:r>
      <w:r w:rsidR="000576E1">
        <w:t xml:space="preserve">the practice and procedure followed in proceedings </w:t>
      </w:r>
      <w:r w:rsidR="00046022">
        <w:t xml:space="preserve">in the Federal Court </w:t>
      </w:r>
      <w:r w:rsidR="000576E1">
        <w:t xml:space="preserve">under the Cross-Border Insolvency Act involving a debtor who is an individual.  This Part </w:t>
      </w:r>
      <w:r w:rsidR="00612499">
        <w:t>is</w:t>
      </w:r>
      <w:r w:rsidR="00192147">
        <w:t xml:space="preserve"> modelled on </w:t>
      </w:r>
      <w:r w:rsidR="00612499">
        <w:t xml:space="preserve">rules developed </w:t>
      </w:r>
      <w:r w:rsidR="00192147">
        <w:t>by</w:t>
      </w:r>
      <w:r w:rsidR="00612499">
        <w:t xml:space="preserve"> the </w:t>
      </w:r>
      <w:r w:rsidR="00192147">
        <w:t xml:space="preserve">Harmonisation of Rules Committee established by the </w:t>
      </w:r>
      <w:r w:rsidR="00612499">
        <w:t xml:space="preserve">Council of Chief Justices of </w:t>
      </w:r>
      <w:r w:rsidR="00192147">
        <w:t xml:space="preserve">Australia and New Zealand and </w:t>
      </w:r>
      <w:r>
        <w:t xml:space="preserve">is </w:t>
      </w:r>
      <w:r w:rsidR="00192147">
        <w:t xml:space="preserve">harmonised with Part 15A of the </w:t>
      </w:r>
      <w:r w:rsidR="00192147" w:rsidRPr="003B075A">
        <w:rPr>
          <w:i/>
        </w:rPr>
        <w:t>Federal Court (Corporations) Rules 2000</w:t>
      </w:r>
      <w:r w:rsidR="00192147">
        <w:t xml:space="preserve"> for proceedings in the Federa</w:t>
      </w:r>
      <w:r w:rsidR="0058671F">
        <w:t>l Court under the Cross-Border I</w:t>
      </w:r>
      <w:r w:rsidR="00192147">
        <w:t xml:space="preserve">nsolvency Act by a debtor </w:t>
      </w:r>
      <w:r w:rsidR="00192147" w:rsidRPr="003B075A">
        <w:rPr>
          <w:u w:val="single"/>
        </w:rPr>
        <w:t>other than</w:t>
      </w:r>
      <w:r w:rsidR="00192147">
        <w:t xml:space="preserve"> an individual and</w:t>
      </w:r>
      <w:r w:rsidR="00046022">
        <w:t xml:space="preserve"> similar rules for proceedings under that Act involving such a debtor of each of the St</w:t>
      </w:r>
      <w:r>
        <w:t>ate and Territory Supreme Courts</w:t>
      </w:r>
      <w:r w:rsidR="00046022">
        <w:t>.</w:t>
      </w:r>
    </w:p>
    <w:p w:rsidR="00046022" w:rsidRDefault="00046022" w:rsidP="002B3B91"/>
    <w:p w:rsidR="003B075A" w:rsidRDefault="003B075A" w:rsidP="002B3B91">
      <w:r>
        <w:rPr>
          <w:b/>
        </w:rPr>
        <w:t>Insolvency Reform</w:t>
      </w:r>
    </w:p>
    <w:p w:rsidR="003B075A" w:rsidRDefault="003B075A" w:rsidP="002B3B91"/>
    <w:p w:rsidR="006908E4" w:rsidRDefault="00FC459D" w:rsidP="002B3B91">
      <w:r>
        <w:t xml:space="preserve">Following extensive community consultation, </w:t>
      </w:r>
      <w:r w:rsidR="007B142B">
        <w:t xml:space="preserve">significant regulatory reforms of Australia’s insolvency laws and industry were </w:t>
      </w:r>
      <w:r w:rsidR="006908E4">
        <w:t xml:space="preserve">made </w:t>
      </w:r>
      <w:r w:rsidR="007B142B">
        <w:t xml:space="preserve">by </w:t>
      </w:r>
      <w:r>
        <w:t xml:space="preserve">the </w:t>
      </w:r>
      <w:r w:rsidR="00C27E55">
        <w:rPr>
          <w:i/>
        </w:rPr>
        <w:t>Insolvency Law Reform Act 20</w:t>
      </w:r>
      <w:r>
        <w:rPr>
          <w:i/>
        </w:rPr>
        <w:t>16</w:t>
      </w:r>
      <w:r w:rsidR="007B142B">
        <w:rPr>
          <w:i/>
        </w:rPr>
        <w:t>.</w:t>
      </w:r>
      <w:r w:rsidR="007B142B">
        <w:t xml:space="preserve">  </w:t>
      </w:r>
      <w:r w:rsidR="006908E4">
        <w:t>These included a large number of amendments to the Bankruptcy Act.  The first tranche of these, largely concerned with registration and discipline of insolvency practitioners, commenced on 1 March 2017 and the second tranche, dealing with insolvency administration processes, commences on 1 September 2017.</w:t>
      </w:r>
    </w:p>
    <w:p w:rsidR="006908E4" w:rsidRDefault="006908E4" w:rsidP="002B3B91"/>
    <w:p w:rsidR="003B075A" w:rsidRDefault="006908E4" w:rsidP="002B3B91">
      <w:r>
        <w:t xml:space="preserve">As part of the </w:t>
      </w:r>
      <w:r w:rsidR="004A122E">
        <w:t xml:space="preserve">second tranche of the </w:t>
      </w:r>
      <w:r>
        <w:t>reforms</w:t>
      </w:r>
      <w:r w:rsidR="004A122E">
        <w:t xml:space="preserve">, the </w:t>
      </w:r>
      <w:r w:rsidR="004A122E" w:rsidRPr="004A122E">
        <w:rPr>
          <w:i/>
        </w:rPr>
        <w:t>Insolvency Practice Schedule (Bankruptcy)</w:t>
      </w:r>
      <w:r w:rsidR="004A122E">
        <w:t xml:space="preserve"> (supported by the </w:t>
      </w:r>
      <w:r w:rsidR="004A122E" w:rsidRPr="004A122E">
        <w:rPr>
          <w:i/>
        </w:rPr>
        <w:t>Insolvency Practice Rules (Bankruptcy) 2016</w:t>
      </w:r>
      <w:r w:rsidR="004A122E">
        <w:t>) will tak</w:t>
      </w:r>
      <w:r w:rsidR="00561C75">
        <w:t xml:space="preserve">e effect as Schedule 2 to the Bankruptcy Act.  </w:t>
      </w:r>
      <w:r w:rsidR="004A122E">
        <w:t xml:space="preserve">In conjunction, a </w:t>
      </w:r>
      <w:r>
        <w:t xml:space="preserve">number of </w:t>
      </w:r>
      <w:r w:rsidR="004A122E">
        <w:t xml:space="preserve">procedural </w:t>
      </w:r>
      <w:r>
        <w:t xml:space="preserve">provisions of the former Bankruptcy Act </w:t>
      </w:r>
      <w:r w:rsidR="004A122E">
        <w:t>are replaced by equivalent provisions in the new Insolvency Practice Schedule (Bankruptcy).</w:t>
      </w:r>
    </w:p>
    <w:p w:rsidR="004A122E" w:rsidRDefault="004A122E" w:rsidP="002B3B91"/>
    <w:p w:rsidR="004A122E" w:rsidRDefault="004A122E" w:rsidP="002B3B91">
      <w:r>
        <w:t>Consequently, a small number of minor technical changes</w:t>
      </w:r>
      <w:r w:rsidR="00B237A8">
        <w:t xml:space="preserve"> are required to the harmonised bankruptcy rules for proceedings under the Bankruptcy Act of the Federal Court and Federal Circuit Court.</w:t>
      </w:r>
      <w:r w:rsidR="002F52C3">
        <w:t xml:space="preserve">  These involve </w:t>
      </w:r>
      <w:r w:rsidR="00C6565E">
        <w:t xml:space="preserve">removing or </w:t>
      </w:r>
      <w:r w:rsidR="002F52C3">
        <w:t>substituting a number of references in rules and notes to rules to repealed sections of the Bankruptcy Act with references</w:t>
      </w:r>
      <w:r w:rsidR="00C6565E">
        <w:t>, where appropriate,</w:t>
      </w:r>
      <w:r w:rsidR="002F52C3">
        <w:t xml:space="preserve"> to equivalent replacement provisions in the new Insolvency Practice Schedule (Bankruptcy).  In addition, </w:t>
      </w:r>
      <w:r w:rsidR="00BE4058">
        <w:t xml:space="preserve">one rule is substituted.  It is </w:t>
      </w:r>
      <w:r w:rsidR="002F52C3">
        <w:t>in substantially the same terms as the existing rule but referenc</w:t>
      </w:r>
      <w:r w:rsidR="00BE4058">
        <w:t>es</w:t>
      </w:r>
      <w:r w:rsidR="002F52C3">
        <w:t>, rather than a repealed section of the Bankruptcy Act, the equivalent provision of the new Insolvency Practice Schedule (Bankruptcy)</w:t>
      </w:r>
      <w:r w:rsidR="00BE4058">
        <w:t xml:space="preserve"> and clarifies that, if the Court makes the order sought under the rule, the applicant must serve a copy of the order on the Official </w:t>
      </w:r>
      <w:r w:rsidR="00C472BC">
        <w:t>Receiver</w:t>
      </w:r>
      <w:r w:rsidR="00BE4058">
        <w:t>.</w:t>
      </w:r>
    </w:p>
    <w:p w:rsidR="00B237A8" w:rsidRDefault="00B237A8" w:rsidP="002B3B91"/>
    <w:p w:rsidR="00B237A8" w:rsidRPr="00B237A8" w:rsidRDefault="00B237A8" w:rsidP="002B3B91">
      <w:pPr>
        <w:rPr>
          <w:b/>
        </w:rPr>
      </w:pPr>
      <w:r>
        <w:rPr>
          <w:b/>
        </w:rPr>
        <w:t xml:space="preserve">Powers </w:t>
      </w:r>
      <w:r w:rsidR="006B0E93">
        <w:rPr>
          <w:b/>
        </w:rPr>
        <w:t xml:space="preserve">that may be </w:t>
      </w:r>
      <w:proofErr w:type="gramStart"/>
      <w:r w:rsidR="006B0E93">
        <w:rPr>
          <w:b/>
        </w:rPr>
        <w:t>Exercised</w:t>
      </w:r>
      <w:proofErr w:type="gramEnd"/>
      <w:r w:rsidR="006B0E93">
        <w:rPr>
          <w:b/>
        </w:rPr>
        <w:t xml:space="preserve"> by a Registrar </w:t>
      </w:r>
      <w:r>
        <w:rPr>
          <w:b/>
        </w:rPr>
        <w:t>in Bankruptcy Proceedings</w:t>
      </w:r>
    </w:p>
    <w:p w:rsidR="00B237A8" w:rsidRDefault="00B237A8" w:rsidP="002B3B91"/>
    <w:p w:rsidR="00187358" w:rsidRDefault="00C27E55" w:rsidP="00793C0D">
      <w:r>
        <w:t>Section 81 of t</w:t>
      </w:r>
      <w:r w:rsidR="00C95C10">
        <w:t xml:space="preserve">he </w:t>
      </w:r>
      <w:r>
        <w:t>Bankruptcy Act provides express</w:t>
      </w:r>
      <w:r w:rsidR="00C95C10">
        <w:t xml:space="preserve">ly that certain powers </w:t>
      </w:r>
      <w:r w:rsidR="000669C5">
        <w:t xml:space="preserve">under that Act </w:t>
      </w:r>
      <w:r w:rsidR="00C95C10">
        <w:t>may be exercised by Registrars</w:t>
      </w:r>
      <w:r w:rsidR="00187358">
        <w:t>.</w:t>
      </w:r>
      <w:r w:rsidR="00C95C10">
        <w:t xml:space="preserve">  </w:t>
      </w:r>
      <w:r w:rsidR="000669C5">
        <w:t>In addition, the Federal Court of Australia Act provides, subject to some limitations, that specific powers of the Cour</w:t>
      </w:r>
      <w:r w:rsidR="00187358">
        <w:t>t may be exercised by a Registrar, including a power of the Court prescribed by rules of court (see section 35A).</w:t>
      </w:r>
    </w:p>
    <w:p w:rsidR="00187358" w:rsidRDefault="00187358" w:rsidP="00793C0D"/>
    <w:p w:rsidR="000E2A26" w:rsidRDefault="00187358" w:rsidP="00793C0D">
      <w:r>
        <w:t xml:space="preserve">The harmonised rules for proceedings under the Bankruptcy Act of the Federal Court and Federal Circuit Court set out </w:t>
      </w:r>
      <w:r w:rsidR="007C391F">
        <w:t xml:space="preserve">the powers of the Court under a provision of the Bankruptcy Act which may be exercised by Registrars.  Unlike the </w:t>
      </w:r>
      <w:r w:rsidR="007C391F">
        <w:rPr>
          <w:i/>
        </w:rPr>
        <w:t xml:space="preserve">Federal Court Rules 2011, </w:t>
      </w:r>
      <w:r w:rsidR="007C391F" w:rsidRPr="00BA7D90">
        <w:t>Federal</w:t>
      </w:r>
      <w:r w:rsidR="00BA7D90">
        <w:t xml:space="preserve"> Court (Corporations) Rules</w:t>
      </w:r>
      <w:r w:rsidR="007C391F">
        <w:rPr>
          <w:i/>
        </w:rPr>
        <w:t xml:space="preserve"> </w:t>
      </w:r>
      <w:r w:rsidR="007C391F">
        <w:t xml:space="preserve">and </w:t>
      </w:r>
      <w:r w:rsidR="007C391F">
        <w:rPr>
          <w:i/>
        </w:rPr>
        <w:t>Federal Court</w:t>
      </w:r>
      <w:r w:rsidR="000E2A26">
        <w:rPr>
          <w:i/>
        </w:rPr>
        <w:t xml:space="preserve"> </w:t>
      </w:r>
      <w:r w:rsidR="007C391F">
        <w:rPr>
          <w:i/>
        </w:rPr>
        <w:t xml:space="preserve">(Criminal Proceedings) Rules </w:t>
      </w:r>
      <w:r w:rsidR="007C391F" w:rsidRPr="007C391F">
        <w:t>2016</w:t>
      </w:r>
      <w:r w:rsidR="00C12F3D">
        <w:t>,</w:t>
      </w:r>
      <w:r w:rsidR="007C391F">
        <w:t xml:space="preserve"> there is </w:t>
      </w:r>
      <w:r w:rsidR="00C12F3D">
        <w:t xml:space="preserve">little </w:t>
      </w:r>
      <w:r w:rsidR="007C391F">
        <w:t>guidance in the harmonised bankruptcy rules on specific powers of the Court under provisions of the rules themselves</w:t>
      </w:r>
      <w:r w:rsidR="000E2A26">
        <w:t xml:space="preserve"> </w:t>
      </w:r>
      <w:r w:rsidR="007C391F">
        <w:t>which may be exercised by Registrar</w:t>
      </w:r>
      <w:r w:rsidR="00C12F3D">
        <w:t xml:space="preserve">s other than for some </w:t>
      </w:r>
      <w:r w:rsidR="00767BB9">
        <w:t>particular</w:t>
      </w:r>
      <w:r w:rsidR="00C12F3D">
        <w:t xml:space="preserve"> powers under some individual rules</w:t>
      </w:r>
      <w:r w:rsidR="00EE3F23">
        <w:t xml:space="preserve"> and by reference to the powers under a provision of the Act which have been delegated to Registrars</w:t>
      </w:r>
      <w:r w:rsidR="00C12F3D">
        <w:t>.</w:t>
      </w:r>
    </w:p>
    <w:p w:rsidR="000E2A26" w:rsidRDefault="000E2A26" w:rsidP="00793C0D"/>
    <w:p w:rsidR="00C12F3D" w:rsidRDefault="000E2A26" w:rsidP="00793C0D">
      <w:r>
        <w:t xml:space="preserve">To remove uncertainty, </w:t>
      </w:r>
      <w:r w:rsidR="00C12F3D">
        <w:t>a list of the powers of the Court under a provision of the rules which may be exercised by Registrars over and above those powers included in individual rules has been added.</w:t>
      </w:r>
    </w:p>
    <w:p w:rsidR="00C12F3D" w:rsidRDefault="00C12F3D" w:rsidP="00793C0D"/>
    <w:p w:rsidR="00D92432" w:rsidRPr="00D92432" w:rsidRDefault="00D92432" w:rsidP="00B2475D">
      <w:pPr>
        <w:rPr>
          <w:b/>
        </w:rPr>
      </w:pPr>
      <w:r>
        <w:rPr>
          <w:b/>
        </w:rPr>
        <w:t>Consultation</w:t>
      </w:r>
    </w:p>
    <w:p w:rsidR="002B3B91" w:rsidRDefault="002B3B91" w:rsidP="002B3B91">
      <w:pPr>
        <w:rPr>
          <w:szCs w:val="24"/>
        </w:rPr>
      </w:pPr>
    </w:p>
    <w:p w:rsidR="00763B3F" w:rsidRDefault="006B0E93" w:rsidP="002B3B91">
      <w:r>
        <w:rPr>
          <w:szCs w:val="24"/>
        </w:rPr>
        <w:t xml:space="preserve">The amendment rules are made on the advice of the </w:t>
      </w:r>
      <w:r w:rsidR="002B3B91">
        <w:t>Harmonised Bankruptcy Rules Monitoring Committee</w:t>
      </w:r>
      <w:r>
        <w:t>.  The Federal Court and Federal Circuit Court have also consulted with the</w:t>
      </w:r>
      <w:r w:rsidR="00320DAA">
        <w:t xml:space="preserve"> </w:t>
      </w:r>
      <w:r w:rsidR="008D20C4">
        <w:t>Australian Financial Security Authority</w:t>
      </w:r>
      <w:r w:rsidR="00763B3F">
        <w:t xml:space="preserve"> (the agency with regulatory and administrative responsibilities under the Bankruptcy Act)</w:t>
      </w:r>
      <w:r w:rsidR="00320DAA">
        <w:t xml:space="preserve"> and the </w:t>
      </w:r>
      <w:r>
        <w:t xml:space="preserve">Australian Restructuring Insolvency </w:t>
      </w:r>
      <w:r w:rsidR="00C27E55">
        <w:t xml:space="preserve">and </w:t>
      </w:r>
      <w:r w:rsidR="00B17468">
        <w:t>Turnaround Association</w:t>
      </w:r>
      <w:r w:rsidR="00763B3F">
        <w:t xml:space="preserve"> (the peak body representing insolvency practitioners in Australia) in relation to the amendment rules.  As the amendment rules involve only technical changes, primarily consequential to insolvency law reform which has been the subject of considerable community consultation over several years, further consultation is unnecessary.</w:t>
      </w:r>
    </w:p>
    <w:p w:rsidR="003603C9" w:rsidRDefault="003603C9" w:rsidP="002B3B91"/>
    <w:p w:rsidR="00D92432" w:rsidRPr="00D92432" w:rsidRDefault="00D92432" w:rsidP="002B3B91">
      <w:pPr>
        <w:rPr>
          <w:b/>
        </w:rPr>
      </w:pPr>
      <w:r>
        <w:rPr>
          <w:b/>
        </w:rPr>
        <w:t>Human Rights Scrutiny</w:t>
      </w:r>
    </w:p>
    <w:p w:rsidR="00D92432" w:rsidRDefault="00D92432" w:rsidP="002B3B91"/>
    <w:p w:rsidR="002B3B91" w:rsidRDefault="003603C9" w:rsidP="002B3B91">
      <w:r>
        <w:t>Subsection 8(8)</w:t>
      </w:r>
      <w:r w:rsidR="002B3B91">
        <w:t xml:space="preserve"> of the </w:t>
      </w:r>
      <w:r w:rsidR="002B3B91" w:rsidRPr="005005D8">
        <w:t>Legislati</w:t>
      </w:r>
      <w:r w:rsidRPr="005005D8">
        <w:t>on</w:t>
      </w:r>
      <w:r w:rsidR="005005D8" w:rsidRPr="005005D8">
        <w:t xml:space="preserve"> Act</w:t>
      </w:r>
      <w:r w:rsidR="002B3B91" w:rsidRPr="005005D8">
        <w:t xml:space="preserve"> provides</w:t>
      </w:r>
      <w:r w:rsidR="002B3B91">
        <w:t xml:space="preserve"> that Rules of Court made for the Federal Court are not legislative instruments for the purposes of that Act.  As a result</w:t>
      </w:r>
      <w:r w:rsidR="00C27E55">
        <w:t>,</w:t>
      </w:r>
      <w:r w:rsidR="002B3B91">
        <w:t xml:space="preserve"> the </w:t>
      </w:r>
      <w:r w:rsidR="002B3B91">
        <w:rPr>
          <w:i/>
        </w:rPr>
        <w:t>Human Rights (Parliamentary Scrutiny) Act 2011</w:t>
      </w:r>
      <w:r w:rsidR="002B3B91">
        <w:t xml:space="preserve"> does not apply to any such Rules of Court and no statement of compatibility for the purposes of that latter Act is included in this Explanatory Statement.</w:t>
      </w:r>
    </w:p>
    <w:p w:rsidR="002B3B91" w:rsidRDefault="002B3B91" w:rsidP="002B3B91"/>
    <w:p w:rsidR="00D92432" w:rsidRPr="00D92432" w:rsidRDefault="00D92432" w:rsidP="002B3B91">
      <w:pPr>
        <w:rPr>
          <w:b/>
        </w:rPr>
      </w:pPr>
      <w:r>
        <w:rPr>
          <w:b/>
        </w:rPr>
        <w:t xml:space="preserve">Explanation and Commencement of the Rules </w:t>
      </w:r>
    </w:p>
    <w:p w:rsidR="00D92432" w:rsidRDefault="00D92432" w:rsidP="002B3B91"/>
    <w:p w:rsidR="002B3B91" w:rsidRDefault="002B3B91" w:rsidP="002B3B91">
      <w:r>
        <w:t xml:space="preserve">Details of the Rules are in the </w:t>
      </w:r>
      <w:r w:rsidRPr="0093665A">
        <w:t>Attachment</w:t>
      </w:r>
      <w:r>
        <w:t xml:space="preserve">. </w:t>
      </w:r>
    </w:p>
    <w:p w:rsidR="002B3B91" w:rsidRDefault="002B3B91" w:rsidP="002B3B91"/>
    <w:p w:rsidR="002B3B91" w:rsidRDefault="0075303B" w:rsidP="002B3B91">
      <w:r>
        <w:t xml:space="preserve">The </w:t>
      </w:r>
      <w:r w:rsidR="00B237A8">
        <w:t>Rules commence on 1 September 2017</w:t>
      </w:r>
      <w:r w:rsidR="002B3B91">
        <w:t>.</w:t>
      </w:r>
      <w:bookmarkStart w:id="0" w:name="_GoBack"/>
      <w:bookmarkEnd w:id="0"/>
    </w:p>
    <w:p w:rsidR="002B3B91" w:rsidRDefault="002B3B91" w:rsidP="002B3B91"/>
    <w:p w:rsidR="002B3B91" w:rsidRDefault="002B3B91" w:rsidP="002B3B91">
      <w:pPr>
        <w:pStyle w:val="Heading1"/>
        <w:tabs>
          <w:tab w:val="clear" w:pos="-720"/>
          <w:tab w:val="clear" w:pos="0"/>
        </w:tabs>
        <w:suppressAutoHyphens w:val="0"/>
        <w:spacing w:line="240" w:lineRule="auto"/>
        <w:ind w:left="1560" w:hanging="1560"/>
        <w:jc w:val="right"/>
        <w:rPr>
          <w:b/>
          <w:spacing w:val="0"/>
        </w:rPr>
      </w:pPr>
      <w:r>
        <w:rPr>
          <w:b/>
        </w:rPr>
        <w:br w:type="page"/>
      </w:r>
      <w:r>
        <w:rPr>
          <w:b/>
          <w:spacing w:val="0"/>
        </w:rPr>
        <w:lastRenderedPageBreak/>
        <w:t>ATTACHMENT</w:t>
      </w:r>
    </w:p>
    <w:p w:rsidR="002B3B91" w:rsidRDefault="002B3B91" w:rsidP="002B3B91"/>
    <w:p w:rsidR="002B3B91" w:rsidRPr="00C27E55" w:rsidRDefault="002B3B91" w:rsidP="002B3B91">
      <w:pPr>
        <w:jc w:val="center"/>
        <w:rPr>
          <w:b/>
          <w:bCs/>
        </w:rPr>
      </w:pPr>
      <w:r w:rsidRPr="00C27E55">
        <w:rPr>
          <w:b/>
          <w:bCs/>
        </w:rPr>
        <w:t>Federal Court (Bankruptcy)</w:t>
      </w:r>
      <w:r w:rsidRPr="00C27E55">
        <w:rPr>
          <w:b/>
          <w:szCs w:val="24"/>
        </w:rPr>
        <w:t xml:space="preserve"> </w:t>
      </w:r>
      <w:r w:rsidR="008F209F" w:rsidRPr="00C27E55">
        <w:rPr>
          <w:b/>
          <w:szCs w:val="24"/>
        </w:rPr>
        <w:t xml:space="preserve">Amendment (Insolvency and Other Measures) </w:t>
      </w:r>
      <w:r w:rsidR="008F209F" w:rsidRPr="00C27E55">
        <w:rPr>
          <w:b/>
          <w:bCs/>
        </w:rPr>
        <w:t>Rules 2017</w:t>
      </w:r>
    </w:p>
    <w:p w:rsidR="008D21B0" w:rsidRDefault="008D21B0" w:rsidP="002B3B91">
      <w:pPr>
        <w:pStyle w:val="Heading1"/>
        <w:tabs>
          <w:tab w:val="clear" w:pos="-720"/>
          <w:tab w:val="clear" w:pos="0"/>
        </w:tabs>
        <w:suppressAutoHyphens w:val="0"/>
        <w:spacing w:line="240" w:lineRule="auto"/>
        <w:ind w:left="1560" w:hanging="1560"/>
        <w:rPr>
          <w:b/>
          <w:spacing w:val="0"/>
        </w:rPr>
      </w:pPr>
    </w:p>
    <w:p w:rsidR="002B3B91" w:rsidRPr="00E37CE6" w:rsidRDefault="008F209F" w:rsidP="002B3B91">
      <w:pPr>
        <w:pStyle w:val="Heading1"/>
        <w:tabs>
          <w:tab w:val="clear" w:pos="-720"/>
          <w:tab w:val="clear" w:pos="0"/>
        </w:tabs>
        <w:suppressAutoHyphens w:val="0"/>
        <w:spacing w:line="240" w:lineRule="auto"/>
        <w:ind w:left="1560" w:hanging="1560"/>
        <w:rPr>
          <w:b/>
          <w:spacing w:val="0"/>
          <w:szCs w:val="24"/>
        </w:rPr>
      </w:pPr>
      <w:r>
        <w:rPr>
          <w:b/>
          <w:spacing w:val="0"/>
          <w:szCs w:val="24"/>
        </w:rPr>
        <w:t>Outline</w:t>
      </w:r>
    </w:p>
    <w:p w:rsidR="008D21B0" w:rsidRDefault="008D21B0" w:rsidP="008D21B0"/>
    <w:p w:rsidR="00E37CE6" w:rsidRDefault="008F209F" w:rsidP="008D21B0">
      <w:r>
        <w:t>Rules 1 to 3 deal with formal matters, including the name of the Rules, the commencement date and the source of authority to make the Rules of Court.  Rule 4 provides the details of the amendments made by the Ru</w:t>
      </w:r>
      <w:r w:rsidR="00C27E55">
        <w:t>les are set out in the Schedule</w:t>
      </w:r>
      <w:r>
        <w:t>.</w:t>
      </w:r>
    </w:p>
    <w:p w:rsidR="00E37CE6" w:rsidRDefault="00E37CE6" w:rsidP="008D21B0"/>
    <w:p w:rsidR="008F209F" w:rsidRPr="008F209F" w:rsidRDefault="008F209F" w:rsidP="008D21B0">
      <w:pPr>
        <w:rPr>
          <w:b/>
        </w:rPr>
      </w:pPr>
      <w:r>
        <w:rPr>
          <w:b/>
        </w:rPr>
        <w:t>Rule 1 - Name</w:t>
      </w:r>
    </w:p>
    <w:p w:rsidR="008F209F" w:rsidRPr="008D21B0" w:rsidRDefault="008F209F" w:rsidP="008D21B0"/>
    <w:p w:rsidR="002B3B91" w:rsidRDefault="008F209F" w:rsidP="002B3B91">
      <w:r>
        <w:t>Rule 1 provides that the Rules are named the</w:t>
      </w:r>
      <w:r w:rsidR="002B3B91">
        <w:t xml:space="preserve"> </w:t>
      </w:r>
      <w:r w:rsidR="002B3B91">
        <w:rPr>
          <w:i/>
        </w:rPr>
        <w:t>Federal Court (Bankruptcy)</w:t>
      </w:r>
      <w:r w:rsidR="0075303B">
        <w:rPr>
          <w:i/>
        </w:rPr>
        <w:t xml:space="preserve"> </w:t>
      </w:r>
      <w:r>
        <w:rPr>
          <w:i/>
        </w:rPr>
        <w:t>Amendment (Insolvency and Other Measures) Rules 2017</w:t>
      </w:r>
      <w:r w:rsidR="002B3B91">
        <w:t>.</w:t>
      </w:r>
    </w:p>
    <w:p w:rsidR="008F209F" w:rsidRDefault="008F209F" w:rsidP="002B3B91"/>
    <w:p w:rsidR="008F209F" w:rsidRPr="008F209F" w:rsidRDefault="008F209F" w:rsidP="002B3B91">
      <w:pPr>
        <w:rPr>
          <w:b/>
        </w:rPr>
      </w:pPr>
      <w:r>
        <w:rPr>
          <w:b/>
        </w:rPr>
        <w:t>Rule 2 - Commencement</w:t>
      </w:r>
    </w:p>
    <w:p w:rsidR="002B3B91" w:rsidRDefault="002B3B91" w:rsidP="002B3B91">
      <w:pPr>
        <w:ind w:left="1560" w:hanging="1560"/>
      </w:pPr>
    </w:p>
    <w:p w:rsidR="002B3B91" w:rsidRDefault="00E37CE6" w:rsidP="002B3B91">
      <w:pPr>
        <w:ind w:left="1560" w:hanging="1560"/>
      </w:pPr>
      <w:r>
        <w:t>Rule 2 provides that the</w:t>
      </w:r>
      <w:r w:rsidR="00DB26BD">
        <w:t>se</w:t>
      </w:r>
      <w:r w:rsidR="002B3B91">
        <w:t xml:space="preserve"> Rules commence on </w:t>
      </w:r>
      <w:r w:rsidR="0075303B">
        <w:t xml:space="preserve">1 </w:t>
      </w:r>
      <w:r w:rsidR="008F209F">
        <w:t>September 2017</w:t>
      </w:r>
      <w:r w:rsidR="002B3B91">
        <w:t>.</w:t>
      </w:r>
    </w:p>
    <w:p w:rsidR="008F209F" w:rsidRDefault="008F209F" w:rsidP="002B3B91">
      <w:pPr>
        <w:ind w:left="1560" w:hanging="1560"/>
      </w:pPr>
    </w:p>
    <w:p w:rsidR="008F209F" w:rsidRPr="008F209F" w:rsidRDefault="008F209F" w:rsidP="002B3B91">
      <w:pPr>
        <w:ind w:left="1560" w:hanging="1560"/>
        <w:rPr>
          <w:b/>
        </w:rPr>
      </w:pPr>
      <w:r>
        <w:rPr>
          <w:b/>
        </w:rPr>
        <w:t>Rule 3 - Authority</w:t>
      </w:r>
    </w:p>
    <w:p w:rsidR="002B3B91" w:rsidRDefault="002B3B91" w:rsidP="002B3B91">
      <w:pPr>
        <w:ind w:left="1560" w:hanging="1560"/>
      </w:pPr>
    </w:p>
    <w:p w:rsidR="002B3B91" w:rsidRPr="0067462F" w:rsidRDefault="00E37CE6" w:rsidP="002B3B91">
      <w:r>
        <w:t xml:space="preserve">Rule 3 </w:t>
      </w:r>
      <w:r w:rsidR="002B3B91">
        <w:t xml:space="preserve">provides that these Rules are made under the </w:t>
      </w:r>
      <w:r w:rsidR="002B3B91">
        <w:rPr>
          <w:i/>
        </w:rPr>
        <w:t>Federal Court of Australia Act 1976</w:t>
      </w:r>
      <w:r w:rsidR="002B3B91">
        <w:t>.</w:t>
      </w:r>
    </w:p>
    <w:p w:rsidR="002B3B91" w:rsidRDefault="002B3B91" w:rsidP="002B3B91"/>
    <w:p w:rsidR="008F209F" w:rsidRPr="008F209F" w:rsidRDefault="008F209F" w:rsidP="002B3B91">
      <w:pPr>
        <w:rPr>
          <w:b/>
        </w:rPr>
      </w:pPr>
      <w:r>
        <w:rPr>
          <w:b/>
        </w:rPr>
        <w:t>Rule 4 - Schedules</w:t>
      </w:r>
    </w:p>
    <w:p w:rsidR="008F209F" w:rsidRDefault="008F209F" w:rsidP="002B3B91"/>
    <w:p w:rsidR="00793C0D" w:rsidRDefault="00E37CE6" w:rsidP="002B3B91">
      <w:r>
        <w:t>R</w:t>
      </w:r>
      <w:r w:rsidR="002B3B91">
        <w:t xml:space="preserve">ule </w:t>
      </w:r>
      <w:r>
        <w:t xml:space="preserve">4 </w:t>
      </w:r>
      <w:r w:rsidR="002B3B91">
        <w:t xml:space="preserve">provides that </w:t>
      </w:r>
      <w:r>
        <w:t>the</w:t>
      </w:r>
      <w:r w:rsidR="00793C0D">
        <w:t xml:space="preserve"> instrument specified in the Schedule, namely the </w:t>
      </w:r>
      <w:r w:rsidR="00793C0D" w:rsidRPr="0001403D">
        <w:rPr>
          <w:i/>
        </w:rPr>
        <w:t>Federal Court (Bankruptcy) Rules 2016</w:t>
      </w:r>
      <w:r w:rsidR="00793C0D">
        <w:rPr>
          <w:i/>
        </w:rPr>
        <w:t xml:space="preserve">, </w:t>
      </w:r>
      <w:r w:rsidR="00793C0D">
        <w:t>is amended or repealed as set out in the items in the Schedule to the Rules.</w:t>
      </w:r>
    </w:p>
    <w:p w:rsidR="00793C0D" w:rsidRDefault="00793C0D" w:rsidP="002B3B91"/>
    <w:p w:rsidR="00793C0D" w:rsidRPr="00793C0D" w:rsidRDefault="00793C0D" w:rsidP="002B3B91">
      <w:pPr>
        <w:rPr>
          <w:b/>
        </w:rPr>
      </w:pPr>
      <w:r>
        <w:rPr>
          <w:b/>
        </w:rPr>
        <w:t>Schedule 1 - Amendments</w:t>
      </w:r>
    </w:p>
    <w:p w:rsidR="00793C0D" w:rsidRDefault="00793C0D" w:rsidP="002B3B91"/>
    <w:p w:rsidR="00793C0D" w:rsidRDefault="002E0C0A" w:rsidP="002B3B91">
      <w:r>
        <w:rPr>
          <w:u w:val="single"/>
        </w:rPr>
        <w:t xml:space="preserve">Item 1 - </w:t>
      </w:r>
      <w:r w:rsidR="002049BC">
        <w:rPr>
          <w:u w:val="single"/>
        </w:rPr>
        <w:t>Rule 2.01 (paragraphs (f) and (g) of note 1)</w:t>
      </w:r>
    </w:p>
    <w:p w:rsidR="002049BC" w:rsidRDefault="002049BC" w:rsidP="002B3B91"/>
    <w:p w:rsidR="002049BC" w:rsidRDefault="002049BC" w:rsidP="002B3B91">
      <w:proofErr w:type="spellStart"/>
      <w:r>
        <w:t>Subrule</w:t>
      </w:r>
      <w:proofErr w:type="spellEnd"/>
      <w:r>
        <w:t xml:space="preserve"> 2.01(1) requires that a person making an application to the Court under the Bankruptcy Act do</w:t>
      </w:r>
      <w:r w:rsidR="00BA7D90">
        <w:t>es</w:t>
      </w:r>
      <w:r>
        <w:t xml:space="preserve"> so in accordance with Form B2 (Application) if the application is not </w:t>
      </w:r>
      <w:r w:rsidR="0020456F">
        <w:t xml:space="preserve">made </w:t>
      </w:r>
      <w:r>
        <w:t xml:space="preserve">in a proceeding that is already commenced in the Court.  Note 1 to rule 2.01 provides </w:t>
      </w:r>
      <w:r w:rsidR="00BA7D90">
        <w:t xml:space="preserve">a </w:t>
      </w:r>
      <w:r w:rsidR="00481276">
        <w:t xml:space="preserve">non-exhaustive list of </w:t>
      </w:r>
      <w:r>
        <w:t>examples of applications that must be made using Form B2</w:t>
      </w:r>
      <w:r w:rsidR="00481276">
        <w:t>.  It i</w:t>
      </w:r>
      <w:r>
        <w:t xml:space="preserve">ncludes applications </w:t>
      </w:r>
      <w:r w:rsidR="00481276">
        <w:t>objecting to the appointment of a person as a trustee under subsection 157(6) of the Bankruptcy Act</w:t>
      </w:r>
      <w:r>
        <w:t xml:space="preserve"> (item (f)) </w:t>
      </w:r>
      <w:r w:rsidR="00481276">
        <w:t>and for an appeal from a decision of the Inspector-General in Bankruptcy in relation to a review under subsection 167(6) of that Act (item (g)).</w:t>
      </w:r>
    </w:p>
    <w:p w:rsidR="00481276" w:rsidRDefault="00481276" w:rsidP="002B3B91"/>
    <w:p w:rsidR="00481276" w:rsidRDefault="00481276" w:rsidP="002B3B91">
      <w:r>
        <w:t xml:space="preserve">As a result of the Insolvency Law Reform Act, sections 157 and 167 of the Bankruptcy Act are repealed and replaced by </w:t>
      </w:r>
      <w:r w:rsidR="0020456F">
        <w:t>section</w:t>
      </w:r>
      <w:r w:rsidR="004C4D5A">
        <w:t>s</w:t>
      </w:r>
      <w:r w:rsidR="0020456F">
        <w:t xml:space="preserve"> 90-15</w:t>
      </w:r>
      <w:r w:rsidR="004C4D5A">
        <w:t xml:space="preserve"> and 90-20</w:t>
      </w:r>
      <w:r w:rsidR="0020456F">
        <w:t xml:space="preserve"> and subsection 90-21(3) of the new Insolvency Practice Schedule (Bankruptcy).</w:t>
      </w:r>
    </w:p>
    <w:p w:rsidR="0020456F" w:rsidRDefault="0020456F" w:rsidP="002B3B91"/>
    <w:p w:rsidR="0020456F" w:rsidRDefault="0020456F" w:rsidP="002B3B91">
      <w:r>
        <w:t xml:space="preserve">Paragraphs (f) and (g) are repealed from Note 1.  As the note is a non-exhaustive list, it is not necessary to replace </w:t>
      </w:r>
      <w:r w:rsidR="00660C32">
        <w:t xml:space="preserve">the paragraphs with updated </w:t>
      </w:r>
      <w:r>
        <w:t>references to section</w:t>
      </w:r>
      <w:r w:rsidR="004C4D5A">
        <w:t>s</w:t>
      </w:r>
      <w:r>
        <w:t xml:space="preserve"> 90-15</w:t>
      </w:r>
      <w:r w:rsidR="004C4D5A">
        <w:t xml:space="preserve"> and 90-</w:t>
      </w:r>
      <w:r w:rsidR="004C4D5A">
        <w:lastRenderedPageBreak/>
        <w:t>20</w:t>
      </w:r>
      <w:r>
        <w:t xml:space="preserve"> and subsection 90-21(3) of the new Schedule.  In </w:t>
      </w:r>
      <w:r w:rsidR="00660C32">
        <w:t>any event</w:t>
      </w:r>
      <w:r>
        <w:t xml:space="preserve">, </w:t>
      </w:r>
      <w:r w:rsidR="00660C32">
        <w:t xml:space="preserve">section 90-15 of the new Schedule is a general power and may require </w:t>
      </w:r>
      <w:r w:rsidR="00B149E5">
        <w:t xml:space="preserve">that </w:t>
      </w:r>
      <w:r w:rsidR="00660C32">
        <w:t xml:space="preserve">applications under it </w:t>
      </w:r>
      <w:r w:rsidR="00B149E5">
        <w:t xml:space="preserve">be made </w:t>
      </w:r>
      <w:r w:rsidR="00660C32">
        <w:t xml:space="preserve">using either Form B2 or Form B3 (Interim Application) depending on individual circumstances and the operation of </w:t>
      </w:r>
      <w:proofErr w:type="spellStart"/>
      <w:r w:rsidR="00660C32">
        <w:t>subrule</w:t>
      </w:r>
      <w:proofErr w:type="spellEnd"/>
      <w:r w:rsidR="00660C32">
        <w:t xml:space="preserve"> 2.01(1).  Inclusion of a reference to new section 90-15 could, as a result, confuse.</w:t>
      </w:r>
    </w:p>
    <w:p w:rsidR="00660C32" w:rsidRDefault="00660C32" w:rsidP="002B3B91"/>
    <w:p w:rsidR="00791915" w:rsidRDefault="002E0C0A" w:rsidP="002B3B91">
      <w:r>
        <w:rPr>
          <w:u w:val="single"/>
        </w:rPr>
        <w:t xml:space="preserve">Item 2 - </w:t>
      </w:r>
      <w:proofErr w:type="spellStart"/>
      <w:r w:rsidR="00791915">
        <w:rPr>
          <w:u w:val="single"/>
        </w:rPr>
        <w:t>Subrule</w:t>
      </w:r>
      <w:proofErr w:type="spellEnd"/>
      <w:r w:rsidR="00791915">
        <w:rPr>
          <w:u w:val="single"/>
        </w:rPr>
        <w:t xml:space="preserve"> 2.02(1)</w:t>
      </w:r>
    </w:p>
    <w:p w:rsidR="00791915" w:rsidRDefault="00791915" w:rsidP="002B3B91"/>
    <w:p w:rsidR="00791915" w:rsidRDefault="00EE3F23" w:rsidP="002B3B91">
      <w:proofErr w:type="spellStart"/>
      <w:r>
        <w:t>Subrule</w:t>
      </w:r>
      <w:proofErr w:type="spellEnd"/>
      <w:r>
        <w:t xml:space="preserve"> 2.02(1) provides</w:t>
      </w:r>
      <w:r w:rsidR="00E42FA1">
        <w:t xml:space="preserve"> that, for the purposes of section 35A of the Federal Court of Australia Act, </w:t>
      </w:r>
      <w:r>
        <w:t>the powers of the Court that may be exercised by a Registrar under a provision of the Bankruptcy A</w:t>
      </w:r>
      <w:r w:rsidR="0074307E">
        <w:t>ct are as set out in Schedule 1</w:t>
      </w:r>
      <w:r>
        <w:t>.</w:t>
      </w:r>
    </w:p>
    <w:p w:rsidR="00EE3F23" w:rsidRDefault="00EE3F23" w:rsidP="002B3B91"/>
    <w:p w:rsidR="00767BB9" w:rsidRDefault="00EE3F23" w:rsidP="002B3B91">
      <w:r>
        <w:t>The existing rules provide little guidance on the powers of the Co</w:t>
      </w:r>
      <w:r w:rsidR="00767BB9">
        <w:t>urt under the r</w:t>
      </w:r>
      <w:r>
        <w:t xml:space="preserve">ules </w:t>
      </w:r>
      <w:r w:rsidR="001940F4">
        <w:t xml:space="preserve">for </w:t>
      </w:r>
      <w:r w:rsidR="00B149E5">
        <w:t>Bankruptcy Act proceedings</w:t>
      </w:r>
      <w:r w:rsidR="001940F4">
        <w:t xml:space="preserve"> </w:t>
      </w:r>
      <w:r>
        <w:t>themselves which</w:t>
      </w:r>
      <w:r w:rsidR="00767BB9">
        <w:t xml:space="preserve"> can be exercised by Registrars, although some individual rules provide that particular powers may be so exercised and the powers under a provision of the Act </w:t>
      </w:r>
      <w:r w:rsidR="0074307E">
        <w:t xml:space="preserve">that may be exercised by a Registrar </w:t>
      </w:r>
      <w:r w:rsidR="00B149E5">
        <w:t xml:space="preserve">may </w:t>
      </w:r>
      <w:r w:rsidR="0074307E">
        <w:t>also assist</w:t>
      </w:r>
      <w:r w:rsidR="00767BB9">
        <w:t>.</w:t>
      </w:r>
    </w:p>
    <w:p w:rsidR="0074307E" w:rsidRDefault="0074307E" w:rsidP="002B3B91"/>
    <w:p w:rsidR="0074307E" w:rsidRDefault="0074307E" w:rsidP="0074307E">
      <w:r>
        <w:t xml:space="preserve">For clarification, </w:t>
      </w:r>
      <w:proofErr w:type="spellStart"/>
      <w:r>
        <w:t>subrule</w:t>
      </w:r>
      <w:proofErr w:type="spellEnd"/>
      <w:r>
        <w:t xml:space="preserve"> 2.02(1) is repealed and a new </w:t>
      </w:r>
      <w:proofErr w:type="spellStart"/>
      <w:r>
        <w:t>subrule</w:t>
      </w:r>
      <w:proofErr w:type="spellEnd"/>
      <w:r>
        <w:t xml:space="preserve"> substituted providing that</w:t>
      </w:r>
      <w:r w:rsidR="00E42FA1">
        <w:t>, for the purposes of section 35A of the Federal Court of Australia Act,</w:t>
      </w:r>
      <w:r>
        <w:t xml:space="preserve"> the powers of the Court that may be exercised by a Registrar under a provision of the Bankruptcy Act are set out in Part 1 of Schedule 1 and the powers of the Court under a provision of the rules </w:t>
      </w:r>
      <w:r w:rsidR="001940F4">
        <w:t xml:space="preserve">for proceedings under the Bankruptcy Act </w:t>
      </w:r>
      <w:r>
        <w:t>that may be exercised by a Registrar are set out in Part 2 of Schedule 1.</w:t>
      </w:r>
    </w:p>
    <w:p w:rsidR="004C4D5A" w:rsidRPr="00791915" w:rsidRDefault="004C4D5A" w:rsidP="002B3B91"/>
    <w:p w:rsidR="00793C0D" w:rsidRDefault="002E0C0A" w:rsidP="002B3B91">
      <w:r>
        <w:rPr>
          <w:u w:val="single"/>
        </w:rPr>
        <w:t xml:space="preserve">Items 3 and 4 - </w:t>
      </w:r>
      <w:r w:rsidR="00791915">
        <w:rPr>
          <w:u w:val="single"/>
        </w:rPr>
        <w:t xml:space="preserve">New </w:t>
      </w:r>
      <w:proofErr w:type="spellStart"/>
      <w:r w:rsidR="00791915">
        <w:rPr>
          <w:u w:val="single"/>
        </w:rPr>
        <w:t>subrule</w:t>
      </w:r>
      <w:r w:rsidR="00E117C3">
        <w:rPr>
          <w:u w:val="single"/>
        </w:rPr>
        <w:t>s</w:t>
      </w:r>
      <w:proofErr w:type="spellEnd"/>
      <w:r w:rsidR="00791915">
        <w:rPr>
          <w:u w:val="single"/>
        </w:rPr>
        <w:t xml:space="preserve"> 6.11(4)</w:t>
      </w:r>
      <w:r w:rsidR="00E117C3">
        <w:rPr>
          <w:u w:val="single"/>
        </w:rPr>
        <w:t xml:space="preserve"> and 6.16(4)</w:t>
      </w:r>
    </w:p>
    <w:p w:rsidR="00791915" w:rsidRDefault="00791915" w:rsidP="002B3B91"/>
    <w:p w:rsidR="00791915" w:rsidRDefault="00E117C3" w:rsidP="002B3B91">
      <w:r>
        <w:t xml:space="preserve">Rules 6.11 and 6.16 are in identical terms.  Rule 6.11 relates to a summons to examine a relevant person in relation to that person’s bankruptcy issued under subsection 81(1) of the Bankruptcy Act.  Rule 6.16 relates to a summons to examine an examinable person in relation to a relevant person regarding the </w:t>
      </w:r>
      <w:r w:rsidR="008A25D0">
        <w:t>latter’s</w:t>
      </w:r>
      <w:r>
        <w:t xml:space="preserve"> bankruptcy</w:t>
      </w:r>
      <w:r w:rsidR="008A25D0">
        <w:t xml:space="preserve"> also issued under subsection 81(1) of the Act.</w:t>
      </w:r>
    </w:p>
    <w:p w:rsidR="008A25D0" w:rsidRDefault="008A25D0" w:rsidP="002B3B91"/>
    <w:p w:rsidR="00B71EF0" w:rsidRDefault="008A25D0" w:rsidP="002B3B91">
      <w:r>
        <w:t>Section 81 of the Act permits a relevant summons to be issued by the Court or a Registrar.  Rules 6.11 and 6.16 permit a person who has been served with such a summons to apply for an order to discharge the summons and sets out the procedural requirements for such an application</w:t>
      </w:r>
      <w:r w:rsidR="005571F7">
        <w:t xml:space="preserve">.  Neither the Bankruptcy Act nor existing rules 6.11 and 6.16 provide any explicit guidance on whether such an application must be heard by the Court or a Registrar.  In </w:t>
      </w:r>
      <w:proofErr w:type="spellStart"/>
      <w:r w:rsidR="00946947">
        <w:rPr>
          <w:i/>
        </w:rPr>
        <w:t>Travaglini</w:t>
      </w:r>
      <w:proofErr w:type="spellEnd"/>
      <w:r w:rsidR="00946947">
        <w:rPr>
          <w:i/>
        </w:rPr>
        <w:t xml:space="preserve"> v </w:t>
      </w:r>
      <w:proofErr w:type="spellStart"/>
      <w:r w:rsidR="00946947">
        <w:rPr>
          <w:i/>
        </w:rPr>
        <w:t>Raccu</w:t>
      </w:r>
      <w:r w:rsidR="005571F7">
        <w:rPr>
          <w:i/>
        </w:rPr>
        <w:t>ia</w:t>
      </w:r>
      <w:proofErr w:type="spellEnd"/>
      <w:r w:rsidR="005571F7">
        <w:rPr>
          <w:i/>
        </w:rPr>
        <w:t xml:space="preserve"> </w:t>
      </w:r>
      <w:r w:rsidR="005571F7">
        <w:t xml:space="preserve">[2007] FMCA 777, Federal Magistrate Lucev (as he was then) found, at [14] and [15], that as a Registrar had power to issue such a summons it follows that a Registrar has power to discharge such a summons and to hear an application for an order </w:t>
      </w:r>
      <w:r w:rsidR="00B71EF0">
        <w:t>for that discharge.</w:t>
      </w:r>
    </w:p>
    <w:p w:rsidR="00B71EF0" w:rsidRDefault="00B71EF0" w:rsidP="002B3B91"/>
    <w:p w:rsidR="00B71EF0" w:rsidRDefault="00B71EF0" w:rsidP="002B3B91">
      <w:r>
        <w:t>For clarification, the Federal Circu</w:t>
      </w:r>
      <w:r w:rsidR="00946947">
        <w:t>it Court (Bankruptcy) Rules</w:t>
      </w:r>
      <w:r>
        <w:t xml:space="preserve"> include </w:t>
      </w:r>
      <w:proofErr w:type="spellStart"/>
      <w:r>
        <w:t>subrules</w:t>
      </w:r>
      <w:proofErr w:type="spellEnd"/>
      <w:r>
        <w:t xml:space="preserve"> 6.11(4) and 6.16(4) </w:t>
      </w:r>
      <w:r w:rsidR="00CF713B">
        <w:t>each of which provides</w:t>
      </w:r>
      <w:r>
        <w:t xml:space="preserve"> that an order discharging a summons may be made by the Court or a Registrar.</w:t>
      </w:r>
    </w:p>
    <w:p w:rsidR="00B71EF0" w:rsidRDefault="00B71EF0" w:rsidP="002B3B91"/>
    <w:p w:rsidR="008A25D0" w:rsidRDefault="00CF713B" w:rsidP="002B3B91">
      <w:r>
        <w:t>To restore harmony</w:t>
      </w:r>
      <w:r w:rsidR="00B71EF0">
        <w:t xml:space="preserve"> between the relevant rules of the Federal Court and Federal Circuit Court and to remove any doubt in regard to the handling of such summonses in the </w:t>
      </w:r>
      <w:r>
        <w:lastRenderedPageBreak/>
        <w:t xml:space="preserve">Federal Court, new </w:t>
      </w:r>
      <w:proofErr w:type="spellStart"/>
      <w:r>
        <w:t>subrules</w:t>
      </w:r>
      <w:proofErr w:type="spellEnd"/>
      <w:r w:rsidR="00B71EF0">
        <w:t xml:space="preserve"> 6.11(4) and 6.16(4) are added </w:t>
      </w:r>
      <w:r>
        <w:t xml:space="preserve">which are </w:t>
      </w:r>
      <w:r w:rsidR="00B71EF0">
        <w:t xml:space="preserve">identical to </w:t>
      </w:r>
      <w:r>
        <w:t xml:space="preserve">those already included in the Federal Circuit Court </w:t>
      </w:r>
      <w:r w:rsidR="00946947">
        <w:t>(Bankruptcy) Rules</w:t>
      </w:r>
      <w:r>
        <w:t xml:space="preserve"> as above.</w:t>
      </w:r>
    </w:p>
    <w:p w:rsidR="00791915" w:rsidRDefault="00791915" w:rsidP="00791915"/>
    <w:p w:rsidR="00791915" w:rsidRDefault="002E0C0A" w:rsidP="00791915">
      <w:r>
        <w:rPr>
          <w:u w:val="single"/>
        </w:rPr>
        <w:t xml:space="preserve">Item 5 - </w:t>
      </w:r>
      <w:r w:rsidR="00791915">
        <w:rPr>
          <w:u w:val="single"/>
        </w:rPr>
        <w:t>Rule 8.01</w:t>
      </w:r>
    </w:p>
    <w:p w:rsidR="00791915" w:rsidRDefault="00791915" w:rsidP="00791915"/>
    <w:p w:rsidR="00CB6845" w:rsidRDefault="00561C75" w:rsidP="00791915">
      <w:r>
        <w:t xml:space="preserve">Rule 8.01 requires that an application objecting to the appointment of a person as a trustee under section 157(6) of the Bankruptcy Act </w:t>
      </w:r>
      <w:proofErr w:type="gramStart"/>
      <w:r>
        <w:t>be</w:t>
      </w:r>
      <w:proofErr w:type="gramEnd"/>
      <w:r>
        <w:t xml:space="preserve"> accompanied by an affidavit</w:t>
      </w:r>
      <w:r w:rsidR="004270B2">
        <w:t xml:space="preserve"> and that</w:t>
      </w:r>
      <w:r>
        <w:t xml:space="preserve"> the application and supporting affidavit be served on the trustee and any petitioning creditor at least 28 days before the date fixed for the hearing of the objection</w:t>
      </w:r>
      <w:r w:rsidR="004270B2">
        <w:t>.  I</w:t>
      </w:r>
      <w:r>
        <w:t xml:space="preserve">n addition, </w:t>
      </w:r>
      <w:r w:rsidR="004270B2">
        <w:t xml:space="preserve">those documents must be served </w:t>
      </w:r>
      <w:r>
        <w:t>on each other person know</w:t>
      </w:r>
      <w:r w:rsidR="00C27E55">
        <w:t>n</w:t>
      </w:r>
      <w:r>
        <w:t xml:space="preserve"> to the objecting creditor to be a creditor of the bankrupt or estate of the deceased person</w:t>
      </w:r>
      <w:r w:rsidR="00CB6845">
        <w:t xml:space="preserve"> at least 14 days before the date fixed for the hearing of the objection.  A note to the rule refers to subsection 157(7A) of the Act</w:t>
      </w:r>
      <w:r w:rsidR="00C472BC">
        <w:t>.  That subsection provides</w:t>
      </w:r>
      <w:r w:rsidR="00CB6845">
        <w:t xml:space="preserve"> that, if the Court cancels the appointment of a trustee and appoints another </w:t>
      </w:r>
      <w:proofErr w:type="gramStart"/>
      <w:r w:rsidR="00CB6845">
        <w:t>trustee,</w:t>
      </w:r>
      <w:proofErr w:type="gramEnd"/>
      <w:r w:rsidR="00CB6845">
        <w:t xml:space="preserve"> the objecting creditor must give the Official </w:t>
      </w:r>
      <w:r w:rsidR="00C472BC">
        <w:t>Receiver</w:t>
      </w:r>
      <w:r w:rsidR="00CB6845">
        <w:t xml:space="preserve"> written notice of the cancellation and appointment as soon as practicable.</w:t>
      </w:r>
    </w:p>
    <w:p w:rsidR="00CB6845" w:rsidRDefault="00CB6845" w:rsidP="00791915"/>
    <w:p w:rsidR="00CB6845" w:rsidRDefault="00CB6845" w:rsidP="00CB6845">
      <w:r>
        <w:t>As a result of the Insolvency Law Reform Act, section 157 of the Act is repealed and replaced by section</w:t>
      </w:r>
      <w:r w:rsidR="004C4D5A">
        <w:t>s</w:t>
      </w:r>
      <w:r>
        <w:t xml:space="preserve"> 90-15 </w:t>
      </w:r>
      <w:r w:rsidR="004C4D5A">
        <w:t xml:space="preserve">and 90-20 </w:t>
      </w:r>
      <w:r>
        <w:t>of the new Insolvency Practice Schedule (Bankruptcy).</w:t>
      </w:r>
    </w:p>
    <w:p w:rsidR="004C4D5A" w:rsidRDefault="004C4D5A" w:rsidP="00CB6845"/>
    <w:p w:rsidR="00CB6845" w:rsidRDefault="004C4D5A" w:rsidP="00791915">
      <w:r>
        <w:t xml:space="preserve">Rule 8.01 is repealed and a new rule is substituted.  The new rule is in substantially the same terms as the existing rule but references section 90-20 of the new Schedule and clarifies that if the Court makes </w:t>
      </w:r>
      <w:r w:rsidR="004270B2">
        <w:t xml:space="preserve">under section 90-15 of the new Schedule </w:t>
      </w:r>
      <w:r>
        <w:t xml:space="preserve">the order sought, the applicant must, as soon as practicable, serve a copy of the order on the Official </w:t>
      </w:r>
      <w:r w:rsidR="00EC073E">
        <w:t>Receiver</w:t>
      </w:r>
      <w:r>
        <w:t>.</w:t>
      </w:r>
    </w:p>
    <w:p w:rsidR="00791915" w:rsidRPr="00791915" w:rsidRDefault="00791915" w:rsidP="00791915"/>
    <w:p w:rsidR="00791915" w:rsidRDefault="002E0C0A" w:rsidP="002B3B91">
      <w:r>
        <w:rPr>
          <w:u w:val="single"/>
        </w:rPr>
        <w:t xml:space="preserve">Item 6 - </w:t>
      </w:r>
      <w:r w:rsidR="00791915">
        <w:rPr>
          <w:u w:val="single"/>
        </w:rPr>
        <w:t>Paragraph 8.02(3</w:t>
      </w:r>
      <w:proofErr w:type="gramStart"/>
      <w:r w:rsidR="00791915">
        <w:rPr>
          <w:u w:val="single"/>
        </w:rPr>
        <w:t>)(</w:t>
      </w:r>
      <w:proofErr w:type="gramEnd"/>
      <w:r w:rsidR="00791915">
        <w:rPr>
          <w:u w:val="single"/>
        </w:rPr>
        <w:t>b)</w:t>
      </w:r>
    </w:p>
    <w:p w:rsidR="00791915" w:rsidRDefault="00791915" w:rsidP="002B3B91"/>
    <w:p w:rsidR="00791915" w:rsidRDefault="00791915" w:rsidP="002B3B91">
      <w:r>
        <w:t>Rule 8.02 deals with an application for the release of a trustee from the trusteeship of an estate</w:t>
      </w:r>
      <w:r w:rsidR="00D029F8">
        <w:t xml:space="preserve"> under subsection 183(1) of the Bankruptcy</w:t>
      </w:r>
      <w:r>
        <w:t xml:space="preserve"> Act.</w:t>
      </w:r>
      <w:r w:rsidR="00D029F8">
        <w:t xml:space="preserve">  </w:t>
      </w:r>
      <w:proofErr w:type="spellStart"/>
      <w:r w:rsidR="00D029F8">
        <w:t>Subrule</w:t>
      </w:r>
      <w:proofErr w:type="spellEnd"/>
      <w:r w:rsidR="00D029F8">
        <w:t xml:space="preserve"> (3) requires that the affidavit in support of such an application must have attached to it “a copy of the most recent account required under subsection 173(1) of the Bankruptcy Act”.</w:t>
      </w:r>
    </w:p>
    <w:p w:rsidR="00D029F8" w:rsidRDefault="00D029F8" w:rsidP="002B3B91"/>
    <w:p w:rsidR="00D029F8" w:rsidRDefault="00D029F8" w:rsidP="002B3B91">
      <w:r>
        <w:t xml:space="preserve">Section 173, which requires a trustee to keep accounts and records relating to an estate, is repealed by the Insolvency Law Reform Act and is replaced by section 70-10 of the new Insolvency Practice Schedule (Bankruptcy).  New section 70-10 requires that </w:t>
      </w:r>
      <w:r w:rsidR="00561C75">
        <w:t>a trustee keep books.</w:t>
      </w:r>
    </w:p>
    <w:p w:rsidR="00561C75" w:rsidRDefault="00561C75" w:rsidP="002B3B91"/>
    <w:p w:rsidR="00561C75" w:rsidRDefault="00561C75" w:rsidP="002B3B91">
      <w:r>
        <w:t>Pa</w:t>
      </w:r>
      <w:r w:rsidR="00C27E55">
        <w:t>ragraph 8.02(3)(b) is amended by</w:t>
      </w:r>
      <w:r>
        <w:t xml:space="preserve"> omitting “the most recent account required under subsection 173(1) of the Bankruptcy Act” and substituting “the books referred to in section 70-10 of Schedule 2 to the Bankruptcy Act in relation to the estate”.</w:t>
      </w:r>
    </w:p>
    <w:p w:rsidR="00791915" w:rsidRDefault="00791915" w:rsidP="002B3B91"/>
    <w:p w:rsidR="00791915" w:rsidRDefault="002E0C0A" w:rsidP="002B3B91">
      <w:r>
        <w:rPr>
          <w:u w:val="single"/>
        </w:rPr>
        <w:t xml:space="preserve">Item 7 - </w:t>
      </w:r>
      <w:r w:rsidR="00791915">
        <w:rPr>
          <w:u w:val="single"/>
        </w:rPr>
        <w:t>Part 15</w:t>
      </w:r>
    </w:p>
    <w:p w:rsidR="00791915" w:rsidRDefault="00791915" w:rsidP="002B3B91"/>
    <w:p w:rsidR="00C95F23" w:rsidRDefault="00C95F23" w:rsidP="002B3B91">
      <w:r>
        <w:t>The Insolvency Law Reform Act contains extensive transitional provisions.</w:t>
      </w:r>
    </w:p>
    <w:p w:rsidR="00C95F23" w:rsidRDefault="00C95F23" w:rsidP="002B3B91"/>
    <w:p w:rsidR="00152AD4" w:rsidRPr="00B90E4D" w:rsidRDefault="00152AD4" w:rsidP="00B90E4D">
      <w:r w:rsidRPr="00B90E4D">
        <w:t xml:space="preserve">The Insolvency Law Reform Act repeals section 173 of the Bankruptcy Act. </w:t>
      </w:r>
      <w:r>
        <w:t xml:space="preserve"> </w:t>
      </w:r>
      <w:r w:rsidRPr="00B90E4D">
        <w:t xml:space="preserve">Item 143 of Schedule 1 to the Insolvency Law Reform Act (as affected by section 4 of the Insolvency Law Reform (Transitional Provisions) Regulation 2016) provides that the requirements in </w:t>
      </w:r>
      <w:r w:rsidRPr="00B90E4D">
        <w:lastRenderedPageBreak/>
        <w:t>section 173 of the Bankruptcy Act relating to the keeping of accounts and records continue to apply in relation to events occurring before 1 September 2017 despite the repeal of that section.</w:t>
      </w:r>
      <w:r>
        <w:t xml:space="preserve"> </w:t>
      </w:r>
      <w:r w:rsidRPr="00B90E4D">
        <w:t xml:space="preserve"> For any estate under administration which commenced before 1 September 2017, the accounts and records required to be kept under section 173 of the Bankruptcy Act will be relevant to any application for the release of a trustee from the trusteeship of the estate. </w:t>
      </w:r>
    </w:p>
    <w:p w:rsidR="00C95F23" w:rsidRDefault="00C95F23" w:rsidP="002B3B91"/>
    <w:p w:rsidR="00C95F23" w:rsidRDefault="00FE7272" w:rsidP="002B3B91">
      <w:r>
        <w:t>Part 15</w:t>
      </w:r>
      <w:r w:rsidR="004270B2">
        <w:t>,</w:t>
      </w:r>
      <w:r>
        <w:t xml:space="preserve"> containing transitional provisions relating to the amending rule</w:t>
      </w:r>
      <w:r w:rsidR="004270B2">
        <w:t>,</w:t>
      </w:r>
      <w:r>
        <w:t xml:space="preserve"> </w:t>
      </w:r>
      <w:proofErr w:type="gramStart"/>
      <w:r>
        <w:t>is</w:t>
      </w:r>
      <w:proofErr w:type="gramEnd"/>
      <w:r>
        <w:t xml:space="preserve"> added.</w:t>
      </w:r>
    </w:p>
    <w:p w:rsidR="00FE7272" w:rsidRDefault="00FE7272" w:rsidP="002B3B91"/>
    <w:p w:rsidR="00152AD4" w:rsidRPr="00B90E4D" w:rsidRDefault="00152AD4" w:rsidP="00B90E4D">
      <w:r w:rsidRPr="00B90E4D">
        <w:t>Rule 15.01 applies if an application is made after 1 September 2017 under paragraph 8.02(1</w:t>
      </w:r>
      <w:proofErr w:type="gramStart"/>
      <w:r w:rsidRPr="00B90E4D">
        <w:t>)(</w:t>
      </w:r>
      <w:proofErr w:type="gramEnd"/>
      <w:r w:rsidRPr="00B90E4D">
        <w:t xml:space="preserve">b) of the rules for proceedings under the Bankruptcy Act and, because of item 143 of the Insolvency Law Reform Act, the trustee is required to keep accounts and records (the old accounts) in relation to the estate under section 173 of the Bankruptcy Act (as in force before it was repealed by </w:t>
      </w:r>
      <w:r w:rsidRPr="00152AD4">
        <w:t>the Insolvency Law Reform Act).</w:t>
      </w:r>
      <w:r>
        <w:t xml:space="preserve"> </w:t>
      </w:r>
      <w:r w:rsidRPr="00B90E4D">
        <w:t xml:space="preserve"> In that event, in addition to the books referred to in paragraph 8.02(3</w:t>
      </w:r>
      <w:proofErr w:type="gramStart"/>
      <w:r w:rsidRPr="00B90E4D">
        <w:t>)(</w:t>
      </w:r>
      <w:proofErr w:type="gramEnd"/>
      <w:r w:rsidRPr="00B90E4D">
        <w:t>b) of the rules, the old accounts must be attached to the affidavit supporting the application.</w:t>
      </w:r>
    </w:p>
    <w:p w:rsidR="00791915" w:rsidRDefault="00791915" w:rsidP="002B3B91"/>
    <w:p w:rsidR="00791915" w:rsidRDefault="002E0C0A" w:rsidP="002B3B91">
      <w:r>
        <w:rPr>
          <w:u w:val="single"/>
        </w:rPr>
        <w:t xml:space="preserve">Items 8 and 9 - </w:t>
      </w:r>
      <w:r w:rsidR="00791915">
        <w:rPr>
          <w:u w:val="single"/>
        </w:rPr>
        <w:t>Schedule 1</w:t>
      </w:r>
    </w:p>
    <w:p w:rsidR="00791915" w:rsidRDefault="00791915" w:rsidP="002B3B91"/>
    <w:p w:rsidR="00791915" w:rsidRDefault="0074307E" w:rsidP="002B3B91">
      <w:r>
        <w:t xml:space="preserve">As noted in relation to the repeal and substitution of </w:t>
      </w:r>
      <w:proofErr w:type="spellStart"/>
      <w:r>
        <w:t>subrule</w:t>
      </w:r>
      <w:proofErr w:type="spellEnd"/>
      <w:r>
        <w:t xml:space="preserve"> 2.02(1) above, for clarity, better guidance on the powers of the Court under the </w:t>
      </w:r>
      <w:r w:rsidR="00E42FA1">
        <w:t xml:space="preserve">harmonised rules </w:t>
      </w:r>
      <w:r w:rsidR="00C27E55">
        <w:t>for Bankruptcy Act proceedings ha</w:t>
      </w:r>
      <w:r w:rsidR="00E42FA1">
        <w:t>s being added.</w:t>
      </w:r>
    </w:p>
    <w:p w:rsidR="00E42FA1" w:rsidRDefault="00E42FA1" w:rsidP="002B3B91"/>
    <w:p w:rsidR="00E42FA1" w:rsidRDefault="00E42FA1" w:rsidP="002B3B91">
      <w:r>
        <w:t>The existing Schedule 1 lists the powers of the Court under a provision of the Act which may be exercised by Registrars.  This list is retained unchanged but named as “Part 1 –Bankruptcy Act”.</w:t>
      </w:r>
    </w:p>
    <w:p w:rsidR="00E42FA1" w:rsidRDefault="00E42FA1" w:rsidP="002B3B91"/>
    <w:p w:rsidR="00E42FA1" w:rsidRPr="00791915" w:rsidRDefault="00E42FA1" w:rsidP="002B3B91">
      <w:r>
        <w:t>Schedule 1 is also amended by adding a new part</w:t>
      </w:r>
      <w:r w:rsidR="001940F4">
        <w:t>,</w:t>
      </w:r>
      <w:r>
        <w:t xml:space="preserve"> named “Part 2 – Federal Court (Bankruptcy) Rules 2016”</w:t>
      </w:r>
      <w:r w:rsidR="001940F4">
        <w:t>,</w:t>
      </w:r>
      <w:r>
        <w:t xml:space="preserve"> listing the powers of the Court under the rules </w:t>
      </w:r>
      <w:r w:rsidR="001940F4">
        <w:t xml:space="preserve">for proceedings under the Bankruptcy Act </w:t>
      </w:r>
      <w:r>
        <w:t xml:space="preserve">which may be exercised by </w:t>
      </w:r>
      <w:r w:rsidR="001940F4">
        <w:t xml:space="preserve">Registrars.  These are the powers under rule 1.04, rule 2.03, rule 2.06, </w:t>
      </w:r>
      <w:proofErr w:type="spellStart"/>
      <w:r w:rsidR="001940F4">
        <w:t>subrule</w:t>
      </w:r>
      <w:proofErr w:type="spellEnd"/>
      <w:r w:rsidR="001940F4">
        <w:t xml:space="preserve"> 3.03(5), rule 4.05, rule 6.02, rule 6.07, rule 6.13, paragraph 8.02(4)(c), rule 11.02,</w:t>
      </w:r>
      <w:r w:rsidR="00C27E55">
        <w:t xml:space="preserve"> rule 11.05 and </w:t>
      </w:r>
      <w:r w:rsidR="001940F4">
        <w:t xml:space="preserve">rule 13.01.  </w:t>
      </w:r>
      <w:r w:rsidR="00F50287">
        <w:t xml:space="preserve">To avoid confusion, rule provisions which explicitly confer on Registrars particular powers (for example rules 6.09, 6.10 and 12.02 as well as new </w:t>
      </w:r>
      <w:proofErr w:type="spellStart"/>
      <w:r w:rsidR="00F50287">
        <w:t>subrules</w:t>
      </w:r>
      <w:proofErr w:type="spellEnd"/>
      <w:r w:rsidR="00F50287">
        <w:t xml:space="preserve"> 6.11(4) and 6.16(4)) are not included in this list.</w:t>
      </w:r>
    </w:p>
    <w:sectPr w:rsidR="00E42FA1" w:rsidRPr="00791915" w:rsidSect="00EE3F23">
      <w:headerReference w:type="even" r:id="rId9"/>
      <w:headerReference w:type="default" r:id="rId10"/>
      <w:footerReference w:type="even" r:id="rId11"/>
      <w:footerReference w:type="default" r:id="rId12"/>
      <w:headerReference w:type="first" r:id="rId13"/>
      <w:footerReference w:type="first" r:id="rId14"/>
      <w:pgSz w:w="12240" w:h="15840"/>
      <w:pgMar w:top="1134" w:right="1797" w:bottom="1134"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2A" w:rsidRDefault="00615A2A">
      <w:r>
        <w:separator/>
      </w:r>
    </w:p>
  </w:endnote>
  <w:endnote w:type="continuationSeparator" w:id="0">
    <w:p w:rsidR="00615A2A" w:rsidRDefault="0061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Default="00BE694A" w:rsidP="00B45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94A" w:rsidRDefault="00BE694A" w:rsidP="00B459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Pr="001D7C43" w:rsidRDefault="00BE694A" w:rsidP="00B459B0">
    <w:pPr>
      <w:pStyle w:val="Footer"/>
      <w:framePr w:wrap="around" w:vAnchor="text" w:hAnchor="margin" w:xAlign="right" w:y="1"/>
      <w:rPr>
        <w:rStyle w:val="PageNumber"/>
        <w:rFonts w:ascii="Arial" w:hAnsi="Arial" w:cs="Arial"/>
        <w:sz w:val="20"/>
      </w:rPr>
    </w:pPr>
    <w:r w:rsidRPr="001D7C43">
      <w:rPr>
        <w:rStyle w:val="PageNumber"/>
        <w:rFonts w:ascii="Arial" w:hAnsi="Arial" w:cs="Arial"/>
        <w:sz w:val="20"/>
      </w:rPr>
      <w:fldChar w:fldCharType="begin"/>
    </w:r>
    <w:r w:rsidRPr="001D7C43">
      <w:rPr>
        <w:rStyle w:val="PageNumber"/>
        <w:rFonts w:ascii="Arial" w:hAnsi="Arial" w:cs="Arial"/>
        <w:sz w:val="20"/>
      </w:rPr>
      <w:instrText xml:space="preserve">PAGE  </w:instrText>
    </w:r>
    <w:r w:rsidRPr="001D7C43">
      <w:rPr>
        <w:rStyle w:val="PageNumber"/>
        <w:rFonts w:ascii="Arial" w:hAnsi="Arial" w:cs="Arial"/>
        <w:sz w:val="20"/>
      </w:rPr>
      <w:fldChar w:fldCharType="separate"/>
    </w:r>
    <w:r w:rsidR="00B90E4D">
      <w:rPr>
        <w:rStyle w:val="PageNumber"/>
        <w:rFonts w:ascii="Arial" w:hAnsi="Arial" w:cs="Arial"/>
        <w:noProof/>
        <w:sz w:val="20"/>
      </w:rPr>
      <w:t>7</w:t>
    </w:r>
    <w:r w:rsidRPr="001D7C43">
      <w:rPr>
        <w:rStyle w:val="PageNumber"/>
        <w:rFonts w:ascii="Arial" w:hAnsi="Arial" w:cs="Arial"/>
        <w:sz w:val="20"/>
      </w:rPr>
      <w:fldChar w:fldCharType="end"/>
    </w:r>
  </w:p>
  <w:p w:rsidR="00BE694A" w:rsidRPr="00BA0C4E" w:rsidRDefault="00BE694A" w:rsidP="00B459B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00" w:rsidRDefault="00E71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2A" w:rsidRDefault="00615A2A">
      <w:r>
        <w:separator/>
      </w:r>
    </w:p>
  </w:footnote>
  <w:footnote w:type="continuationSeparator" w:id="0">
    <w:p w:rsidR="00615A2A" w:rsidRDefault="00615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00" w:rsidRDefault="00E71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00" w:rsidRDefault="00E712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00" w:rsidRDefault="00E71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82F"/>
    <w:multiLevelType w:val="hybridMultilevel"/>
    <w:tmpl w:val="D57EEAF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4D5103D"/>
    <w:multiLevelType w:val="hybridMultilevel"/>
    <w:tmpl w:val="65BC6BC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nsid w:val="0DC2762C"/>
    <w:multiLevelType w:val="hybridMultilevel"/>
    <w:tmpl w:val="611E1B3A"/>
    <w:lvl w:ilvl="0" w:tplc="10BA1316">
      <w:start w:val="1"/>
      <w:numFmt w:val="bullet"/>
      <w:lvlText w:val=""/>
      <w:lvlJc w:val="left"/>
      <w:pPr>
        <w:tabs>
          <w:tab w:val="num" w:pos="567"/>
        </w:tabs>
        <w:ind w:left="567" w:hanging="567"/>
      </w:pPr>
      <w:rPr>
        <w:rFonts w:ascii="Symbol" w:hAnsi="Symbol" w:hint="default"/>
      </w:rPr>
    </w:lvl>
    <w:lvl w:ilvl="1" w:tplc="DF90510C">
      <w:start w:val="1"/>
      <w:numFmt w:val="bullet"/>
      <w:lvlText w:val=""/>
      <w:lvlJc w:val="left"/>
      <w:pPr>
        <w:tabs>
          <w:tab w:val="num" w:pos="1647"/>
        </w:tabs>
        <w:ind w:left="1647" w:hanging="56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CFE6379"/>
    <w:multiLevelType w:val="hybridMultilevel"/>
    <w:tmpl w:val="AADAFAA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EA8550B"/>
    <w:multiLevelType w:val="hybridMultilevel"/>
    <w:tmpl w:val="86EA3AB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20836D9"/>
    <w:multiLevelType w:val="multilevel"/>
    <w:tmpl w:val="9DA0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414A1"/>
    <w:multiLevelType w:val="hybridMultilevel"/>
    <w:tmpl w:val="187C8F52"/>
    <w:lvl w:ilvl="0" w:tplc="0C090003">
      <w:start w:val="1"/>
      <w:numFmt w:val="bullet"/>
      <w:lvlText w:val="o"/>
      <w:lvlJc w:val="left"/>
      <w:pPr>
        <w:tabs>
          <w:tab w:val="num" w:pos="987"/>
        </w:tabs>
        <w:ind w:left="987" w:hanging="567"/>
      </w:pPr>
      <w:rPr>
        <w:rFonts w:ascii="Courier New" w:hAnsi="Courier New" w:cs="Courier New"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7">
    <w:nsid w:val="22ED18EC"/>
    <w:multiLevelType w:val="hybridMultilevel"/>
    <w:tmpl w:val="951CE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D420BA"/>
    <w:multiLevelType w:val="hybridMultilevel"/>
    <w:tmpl w:val="BB9A84CC"/>
    <w:lvl w:ilvl="0" w:tplc="0C090001">
      <w:start w:val="1"/>
      <w:numFmt w:val="bullet"/>
      <w:lvlText w:val=""/>
      <w:lvlJc w:val="left"/>
      <w:pPr>
        <w:tabs>
          <w:tab w:val="num" w:pos="987"/>
        </w:tabs>
        <w:ind w:left="987" w:hanging="567"/>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9">
    <w:nsid w:val="25B24E93"/>
    <w:multiLevelType w:val="hybridMultilevel"/>
    <w:tmpl w:val="50C03EA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64C641F"/>
    <w:multiLevelType w:val="hybridMultilevel"/>
    <w:tmpl w:val="7B20EE6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8A27CD4"/>
    <w:multiLevelType w:val="hybridMultilevel"/>
    <w:tmpl w:val="28C67B68"/>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2">
    <w:nsid w:val="2BED5D94"/>
    <w:multiLevelType w:val="hybridMultilevel"/>
    <w:tmpl w:val="7F1E4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090196"/>
    <w:multiLevelType w:val="hybridMultilevel"/>
    <w:tmpl w:val="2AD6B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CD62A2"/>
    <w:multiLevelType w:val="hybridMultilevel"/>
    <w:tmpl w:val="4C62BBE2"/>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5">
    <w:nsid w:val="33561C14"/>
    <w:multiLevelType w:val="hybridMultilevel"/>
    <w:tmpl w:val="BCAEDC5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35B708C"/>
    <w:multiLevelType w:val="hybridMultilevel"/>
    <w:tmpl w:val="DBB64E2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5BE073B"/>
    <w:multiLevelType w:val="hybridMultilevel"/>
    <w:tmpl w:val="1B8E711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A800D84"/>
    <w:multiLevelType w:val="hybridMultilevel"/>
    <w:tmpl w:val="873ED848"/>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4868CF"/>
    <w:multiLevelType w:val="hybridMultilevel"/>
    <w:tmpl w:val="2A6CC5D6"/>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D30261B"/>
    <w:multiLevelType w:val="hybridMultilevel"/>
    <w:tmpl w:val="10669C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41FE6911"/>
    <w:multiLevelType w:val="hybridMultilevel"/>
    <w:tmpl w:val="11E28B1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34A381E"/>
    <w:multiLevelType w:val="hybridMultilevel"/>
    <w:tmpl w:val="104C6ED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3D61D90"/>
    <w:multiLevelType w:val="hybridMultilevel"/>
    <w:tmpl w:val="839C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292643"/>
    <w:multiLevelType w:val="hybridMultilevel"/>
    <w:tmpl w:val="13C003E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7C80F88"/>
    <w:multiLevelType w:val="hybridMultilevel"/>
    <w:tmpl w:val="EA32345A"/>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7">
    <w:nsid w:val="4F9B22EE"/>
    <w:multiLevelType w:val="hybridMultilevel"/>
    <w:tmpl w:val="6D641FCA"/>
    <w:lvl w:ilvl="0" w:tplc="DF90510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0917E3A"/>
    <w:multiLevelType w:val="hybridMultilevel"/>
    <w:tmpl w:val="7D6AEE1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48527FD"/>
    <w:multiLevelType w:val="multilevel"/>
    <w:tmpl w:val="933C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FC52BF"/>
    <w:multiLevelType w:val="hybridMultilevel"/>
    <w:tmpl w:val="798A24B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5F172CF8"/>
    <w:multiLevelType w:val="hybridMultilevel"/>
    <w:tmpl w:val="D7EE4EB0"/>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0C40FFC"/>
    <w:multiLevelType w:val="hybridMultilevel"/>
    <w:tmpl w:val="DBCCB8F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3">
    <w:nsid w:val="610A0000"/>
    <w:multiLevelType w:val="hybridMultilevel"/>
    <w:tmpl w:val="5F22235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6E964653"/>
    <w:multiLevelType w:val="hybridMultilevel"/>
    <w:tmpl w:val="38AA1B6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18A78FC"/>
    <w:multiLevelType w:val="hybridMultilevel"/>
    <w:tmpl w:val="80CEBD4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4983E9F"/>
    <w:multiLevelType w:val="hybridMultilevel"/>
    <w:tmpl w:val="001C69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0BA1316">
      <w:start w:val="1"/>
      <w:numFmt w:val="bullet"/>
      <w:lvlText w:val=""/>
      <w:lvlJc w:val="left"/>
      <w:pPr>
        <w:tabs>
          <w:tab w:val="num" w:pos="567"/>
        </w:tabs>
        <w:ind w:left="567" w:hanging="567"/>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5243E01"/>
    <w:multiLevelType w:val="hybridMultilevel"/>
    <w:tmpl w:val="FD5EB8D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70842E7"/>
    <w:multiLevelType w:val="hybridMultilevel"/>
    <w:tmpl w:val="961E9E6A"/>
    <w:lvl w:ilvl="0" w:tplc="B5982302">
      <w:start w:val="1"/>
      <w:numFmt w:val="decimal"/>
      <w:lvlText w:val="%1."/>
      <w:lvlJc w:val="left"/>
      <w:pPr>
        <w:tabs>
          <w:tab w:val="num" w:pos="2127"/>
        </w:tabs>
        <w:ind w:left="2127" w:hanging="567"/>
      </w:pPr>
      <w:rPr>
        <w:rFonts w:hint="default"/>
        <w:sz w:val="24"/>
        <w:szCs w:val="24"/>
      </w:rPr>
    </w:lvl>
    <w:lvl w:ilvl="1" w:tplc="04090003">
      <w:start w:val="1"/>
      <w:numFmt w:val="decimal"/>
      <w:lvlText w:val="%2."/>
      <w:lvlJc w:val="left"/>
      <w:pPr>
        <w:tabs>
          <w:tab w:val="num" w:pos="3000"/>
        </w:tabs>
        <w:ind w:left="3000" w:hanging="360"/>
      </w:pPr>
    </w:lvl>
    <w:lvl w:ilvl="2" w:tplc="04090005">
      <w:start w:val="1"/>
      <w:numFmt w:val="decimal"/>
      <w:lvlText w:val="%3."/>
      <w:lvlJc w:val="left"/>
      <w:pPr>
        <w:tabs>
          <w:tab w:val="num" w:pos="3720"/>
        </w:tabs>
        <w:ind w:left="3720" w:hanging="360"/>
      </w:pPr>
    </w:lvl>
    <w:lvl w:ilvl="3" w:tplc="04090001">
      <w:start w:val="1"/>
      <w:numFmt w:val="decimal"/>
      <w:lvlText w:val="%4."/>
      <w:lvlJc w:val="left"/>
      <w:pPr>
        <w:tabs>
          <w:tab w:val="num" w:pos="4440"/>
        </w:tabs>
        <w:ind w:left="4440" w:hanging="360"/>
      </w:pPr>
    </w:lvl>
    <w:lvl w:ilvl="4" w:tplc="04090003">
      <w:start w:val="1"/>
      <w:numFmt w:val="decimal"/>
      <w:lvlText w:val="%5."/>
      <w:lvlJc w:val="left"/>
      <w:pPr>
        <w:tabs>
          <w:tab w:val="num" w:pos="5160"/>
        </w:tabs>
        <w:ind w:left="5160" w:hanging="360"/>
      </w:pPr>
    </w:lvl>
    <w:lvl w:ilvl="5" w:tplc="04090005">
      <w:start w:val="1"/>
      <w:numFmt w:val="decimal"/>
      <w:lvlText w:val="%6."/>
      <w:lvlJc w:val="left"/>
      <w:pPr>
        <w:tabs>
          <w:tab w:val="num" w:pos="5880"/>
        </w:tabs>
        <w:ind w:left="5880" w:hanging="360"/>
      </w:pPr>
    </w:lvl>
    <w:lvl w:ilvl="6" w:tplc="04090001">
      <w:start w:val="1"/>
      <w:numFmt w:val="decimal"/>
      <w:lvlText w:val="%7."/>
      <w:lvlJc w:val="left"/>
      <w:pPr>
        <w:tabs>
          <w:tab w:val="num" w:pos="6600"/>
        </w:tabs>
        <w:ind w:left="6600" w:hanging="360"/>
      </w:pPr>
    </w:lvl>
    <w:lvl w:ilvl="7" w:tplc="04090003">
      <w:start w:val="1"/>
      <w:numFmt w:val="decimal"/>
      <w:lvlText w:val="%8."/>
      <w:lvlJc w:val="left"/>
      <w:pPr>
        <w:tabs>
          <w:tab w:val="num" w:pos="7320"/>
        </w:tabs>
        <w:ind w:left="7320" w:hanging="360"/>
      </w:pPr>
    </w:lvl>
    <w:lvl w:ilvl="8" w:tplc="04090005">
      <w:start w:val="1"/>
      <w:numFmt w:val="decimal"/>
      <w:lvlText w:val="%9."/>
      <w:lvlJc w:val="left"/>
      <w:pPr>
        <w:tabs>
          <w:tab w:val="num" w:pos="8040"/>
        </w:tabs>
        <w:ind w:left="8040" w:hanging="360"/>
      </w:pPr>
    </w:lvl>
  </w:abstractNum>
  <w:abstractNum w:abstractNumId="39">
    <w:nsid w:val="7805303C"/>
    <w:multiLevelType w:val="hybridMultilevel"/>
    <w:tmpl w:val="57FCCFC6"/>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8"/>
  </w:num>
  <w:num w:numId="3">
    <w:abstractNumId w:val="13"/>
  </w:num>
  <w:num w:numId="4">
    <w:abstractNumId w:val="7"/>
  </w:num>
  <w:num w:numId="5">
    <w:abstractNumId w:val="27"/>
  </w:num>
  <w:num w:numId="6">
    <w:abstractNumId w:val="20"/>
  </w:num>
  <w:num w:numId="7">
    <w:abstractNumId w:val="8"/>
  </w:num>
  <w:num w:numId="8">
    <w:abstractNumId w:val="18"/>
  </w:num>
  <w:num w:numId="9">
    <w:abstractNumId w:val="36"/>
  </w:num>
  <w:num w:numId="10">
    <w:abstractNumId w:val="17"/>
  </w:num>
  <w:num w:numId="11">
    <w:abstractNumId w:val="2"/>
  </w:num>
  <w:num w:numId="12">
    <w:abstractNumId w:val="39"/>
  </w:num>
  <w:num w:numId="13">
    <w:abstractNumId w:val="25"/>
  </w:num>
  <w:num w:numId="14">
    <w:abstractNumId w:val="37"/>
  </w:num>
  <w:num w:numId="15">
    <w:abstractNumId w:val="35"/>
  </w:num>
  <w:num w:numId="16">
    <w:abstractNumId w:val="16"/>
  </w:num>
  <w:num w:numId="17">
    <w:abstractNumId w:val="4"/>
  </w:num>
  <w:num w:numId="18">
    <w:abstractNumId w:val="1"/>
  </w:num>
  <w:num w:numId="19">
    <w:abstractNumId w:val="3"/>
  </w:num>
  <w:num w:numId="20">
    <w:abstractNumId w:val="15"/>
  </w:num>
  <w:num w:numId="21">
    <w:abstractNumId w:val="30"/>
  </w:num>
  <w:num w:numId="22">
    <w:abstractNumId w:val="23"/>
  </w:num>
  <w:num w:numId="23">
    <w:abstractNumId w:val="34"/>
  </w:num>
  <w:num w:numId="24">
    <w:abstractNumId w:val="31"/>
  </w:num>
  <w:num w:numId="25">
    <w:abstractNumId w:val="0"/>
  </w:num>
  <w:num w:numId="26">
    <w:abstractNumId w:val="26"/>
  </w:num>
  <w:num w:numId="27">
    <w:abstractNumId w:val="33"/>
  </w:num>
  <w:num w:numId="28">
    <w:abstractNumId w:val="11"/>
  </w:num>
  <w:num w:numId="29">
    <w:abstractNumId w:val="28"/>
  </w:num>
  <w:num w:numId="30">
    <w:abstractNumId w:val="32"/>
  </w:num>
  <w:num w:numId="31">
    <w:abstractNumId w:val="14"/>
  </w:num>
  <w:num w:numId="32">
    <w:abstractNumId w:val="22"/>
  </w:num>
  <w:num w:numId="33">
    <w:abstractNumId w:val="9"/>
  </w:num>
  <w:num w:numId="34">
    <w:abstractNumId w:val="10"/>
  </w:num>
  <w:num w:numId="35">
    <w:abstractNumId w:val="21"/>
  </w:num>
  <w:num w:numId="36">
    <w:abstractNumId w:val="6"/>
  </w:num>
  <w:num w:numId="37">
    <w:abstractNumId w:val="12"/>
  </w:num>
  <w:num w:numId="38">
    <w:abstractNumId w:val="24"/>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91"/>
    <w:rsid w:val="00003194"/>
    <w:rsid w:val="0001403D"/>
    <w:rsid w:val="000204AD"/>
    <w:rsid w:val="00046022"/>
    <w:rsid w:val="000576E1"/>
    <w:rsid w:val="000669C5"/>
    <w:rsid w:val="00094A0A"/>
    <w:rsid w:val="000B63A0"/>
    <w:rsid w:val="000C6E0C"/>
    <w:rsid w:val="000C7379"/>
    <w:rsid w:val="000E1295"/>
    <w:rsid w:val="000E2A26"/>
    <w:rsid w:val="000F3536"/>
    <w:rsid w:val="000F4B60"/>
    <w:rsid w:val="00115FF8"/>
    <w:rsid w:val="0012051F"/>
    <w:rsid w:val="00152AD4"/>
    <w:rsid w:val="00163DE7"/>
    <w:rsid w:val="00187358"/>
    <w:rsid w:val="00192147"/>
    <w:rsid w:val="001940F4"/>
    <w:rsid w:val="0019551F"/>
    <w:rsid w:val="001E6F7D"/>
    <w:rsid w:val="001F4285"/>
    <w:rsid w:val="0020456F"/>
    <w:rsid w:val="002049BC"/>
    <w:rsid w:val="002158AB"/>
    <w:rsid w:val="002314CA"/>
    <w:rsid w:val="00236712"/>
    <w:rsid w:val="00275938"/>
    <w:rsid w:val="00277217"/>
    <w:rsid w:val="002A3D0C"/>
    <w:rsid w:val="002A61E0"/>
    <w:rsid w:val="002A6341"/>
    <w:rsid w:val="002B3B91"/>
    <w:rsid w:val="002B644A"/>
    <w:rsid w:val="002E0C0A"/>
    <w:rsid w:val="002E1263"/>
    <w:rsid w:val="002F52C3"/>
    <w:rsid w:val="003157F8"/>
    <w:rsid w:val="00320DAA"/>
    <w:rsid w:val="003603C9"/>
    <w:rsid w:val="003B075A"/>
    <w:rsid w:val="003D4B80"/>
    <w:rsid w:val="004270B2"/>
    <w:rsid w:val="00481276"/>
    <w:rsid w:val="00485495"/>
    <w:rsid w:val="004A122E"/>
    <w:rsid w:val="004A5AD5"/>
    <w:rsid w:val="004C1F52"/>
    <w:rsid w:val="004C4D5A"/>
    <w:rsid w:val="004C700B"/>
    <w:rsid w:val="004D220E"/>
    <w:rsid w:val="004F6AFE"/>
    <w:rsid w:val="005005D8"/>
    <w:rsid w:val="005153F8"/>
    <w:rsid w:val="00516E5B"/>
    <w:rsid w:val="00523EA0"/>
    <w:rsid w:val="00541657"/>
    <w:rsid w:val="005571F7"/>
    <w:rsid w:val="00561C75"/>
    <w:rsid w:val="0058671F"/>
    <w:rsid w:val="005A45BD"/>
    <w:rsid w:val="005B01D9"/>
    <w:rsid w:val="005B0BD8"/>
    <w:rsid w:val="005C3153"/>
    <w:rsid w:val="005D07D2"/>
    <w:rsid w:val="005E3C36"/>
    <w:rsid w:val="0060741E"/>
    <w:rsid w:val="00612499"/>
    <w:rsid w:val="00615A2A"/>
    <w:rsid w:val="00636D35"/>
    <w:rsid w:val="00660C32"/>
    <w:rsid w:val="006908E4"/>
    <w:rsid w:val="006B0E93"/>
    <w:rsid w:val="006B5FD8"/>
    <w:rsid w:val="006F77B2"/>
    <w:rsid w:val="007075E5"/>
    <w:rsid w:val="00731FDA"/>
    <w:rsid w:val="00735AEE"/>
    <w:rsid w:val="00740FF6"/>
    <w:rsid w:val="0074307E"/>
    <w:rsid w:val="0074317A"/>
    <w:rsid w:val="0075303B"/>
    <w:rsid w:val="00763B3F"/>
    <w:rsid w:val="00767BB9"/>
    <w:rsid w:val="00771564"/>
    <w:rsid w:val="00774A7F"/>
    <w:rsid w:val="007767E3"/>
    <w:rsid w:val="00785494"/>
    <w:rsid w:val="00791915"/>
    <w:rsid w:val="0079194F"/>
    <w:rsid w:val="00793C0D"/>
    <w:rsid w:val="00795249"/>
    <w:rsid w:val="007979E3"/>
    <w:rsid w:val="007B142B"/>
    <w:rsid w:val="007B61DB"/>
    <w:rsid w:val="007B662E"/>
    <w:rsid w:val="007C391F"/>
    <w:rsid w:val="007D2613"/>
    <w:rsid w:val="007D6D93"/>
    <w:rsid w:val="007E1174"/>
    <w:rsid w:val="00824DD4"/>
    <w:rsid w:val="008338D1"/>
    <w:rsid w:val="0086776E"/>
    <w:rsid w:val="00895C37"/>
    <w:rsid w:val="008A25D0"/>
    <w:rsid w:val="008B612C"/>
    <w:rsid w:val="008C7E63"/>
    <w:rsid w:val="008D20C4"/>
    <w:rsid w:val="008D21B0"/>
    <w:rsid w:val="008D4347"/>
    <w:rsid w:val="008E197A"/>
    <w:rsid w:val="008F209F"/>
    <w:rsid w:val="00902B30"/>
    <w:rsid w:val="00922250"/>
    <w:rsid w:val="0094336E"/>
    <w:rsid w:val="00946947"/>
    <w:rsid w:val="009730F2"/>
    <w:rsid w:val="00973B5A"/>
    <w:rsid w:val="00992F35"/>
    <w:rsid w:val="00995AA0"/>
    <w:rsid w:val="009C7E8C"/>
    <w:rsid w:val="009E315A"/>
    <w:rsid w:val="00A020E9"/>
    <w:rsid w:val="00A576DB"/>
    <w:rsid w:val="00A60946"/>
    <w:rsid w:val="00A616F3"/>
    <w:rsid w:val="00A85A12"/>
    <w:rsid w:val="00A90FF1"/>
    <w:rsid w:val="00AB422B"/>
    <w:rsid w:val="00AC06A6"/>
    <w:rsid w:val="00AE616A"/>
    <w:rsid w:val="00AF5C96"/>
    <w:rsid w:val="00B05FA8"/>
    <w:rsid w:val="00B149E5"/>
    <w:rsid w:val="00B17468"/>
    <w:rsid w:val="00B237A8"/>
    <w:rsid w:val="00B23907"/>
    <w:rsid w:val="00B2475D"/>
    <w:rsid w:val="00B31901"/>
    <w:rsid w:val="00B459B0"/>
    <w:rsid w:val="00B71EF0"/>
    <w:rsid w:val="00B87682"/>
    <w:rsid w:val="00B90E4D"/>
    <w:rsid w:val="00BA7D90"/>
    <w:rsid w:val="00BA7DB1"/>
    <w:rsid w:val="00BA7DB6"/>
    <w:rsid w:val="00BC2125"/>
    <w:rsid w:val="00BC462C"/>
    <w:rsid w:val="00BE4058"/>
    <w:rsid w:val="00BE4DE1"/>
    <w:rsid w:val="00BE694A"/>
    <w:rsid w:val="00C10FD3"/>
    <w:rsid w:val="00C11753"/>
    <w:rsid w:val="00C12F3D"/>
    <w:rsid w:val="00C23192"/>
    <w:rsid w:val="00C27E55"/>
    <w:rsid w:val="00C472BC"/>
    <w:rsid w:val="00C6565E"/>
    <w:rsid w:val="00C84D3E"/>
    <w:rsid w:val="00C95C10"/>
    <w:rsid w:val="00C95F23"/>
    <w:rsid w:val="00CB6845"/>
    <w:rsid w:val="00CD7773"/>
    <w:rsid w:val="00CF713B"/>
    <w:rsid w:val="00D029F8"/>
    <w:rsid w:val="00D05478"/>
    <w:rsid w:val="00D517DE"/>
    <w:rsid w:val="00D55E2B"/>
    <w:rsid w:val="00D64A55"/>
    <w:rsid w:val="00D66CB0"/>
    <w:rsid w:val="00D749BE"/>
    <w:rsid w:val="00D90BB3"/>
    <w:rsid w:val="00D92432"/>
    <w:rsid w:val="00DA28C9"/>
    <w:rsid w:val="00DB26BD"/>
    <w:rsid w:val="00DD7FF5"/>
    <w:rsid w:val="00DE25DD"/>
    <w:rsid w:val="00DE4431"/>
    <w:rsid w:val="00DF6108"/>
    <w:rsid w:val="00E0032E"/>
    <w:rsid w:val="00E117C3"/>
    <w:rsid w:val="00E25B67"/>
    <w:rsid w:val="00E2694A"/>
    <w:rsid w:val="00E37CE6"/>
    <w:rsid w:val="00E42FA1"/>
    <w:rsid w:val="00E63C4F"/>
    <w:rsid w:val="00E650EF"/>
    <w:rsid w:val="00E71200"/>
    <w:rsid w:val="00E715F1"/>
    <w:rsid w:val="00EA2FFD"/>
    <w:rsid w:val="00EB25E5"/>
    <w:rsid w:val="00EC073E"/>
    <w:rsid w:val="00ED4BD8"/>
    <w:rsid w:val="00EE3F23"/>
    <w:rsid w:val="00EF2CAF"/>
    <w:rsid w:val="00F12634"/>
    <w:rsid w:val="00F16027"/>
    <w:rsid w:val="00F25978"/>
    <w:rsid w:val="00F31031"/>
    <w:rsid w:val="00F33630"/>
    <w:rsid w:val="00F42E1A"/>
    <w:rsid w:val="00F50287"/>
    <w:rsid w:val="00F50809"/>
    <w:rsid w:val="00F54606"/>
    <w:rsid w:val="00FA0880"/>
    <w:rsid w:val="00FC459D"/>
    <w:rsid w:val="00FC7C10"/>
    <w:rsid w:val="00FD6A18"/>
    <w:rsid w:val="00FE7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uiPriority w:val="99"/>
    <w:rsid w:val="002B3B91"/>
    <w:pPr>
      <w:tabs>
        <w:tab w:val="center" w:pos="4153"/>
        <w:tab w:val="right" w:pos="8306"/>
      </w:tabs>
    </w:pPr>
  </w:style>
  <w:style w:type="character" w:customStyle="1" w:styleId="FooterChar">
    <w:name w:val="Footer Char"/>
    <w:basedOn w:val="DefaultParagraphFont"/>
    <w:link w:val="Footer"/>
    <w:uiPriority w:val="99"/>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93C0D"/>
    <w:pPr>
      <w:spacing w:after="300"/>
    </w:pPr>
    <w:rPr>
      <w:rFonts w:ascii="Arial" w:hAnsi="Arial" w:cs="Arial"/>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uiPriority w:val="99"/>
    <w:rsid w:val="002B3B91"/>
    <w:pPr>
      <w:tabs>
        <w:tab w:val="center" w:pos="4153"/>
        <w:tab w:val="right" w:pos="8306"/>
      </w:tabs>
    </w:pPr>
  </w:style>
  <w:style w:type="character" w:customStyle="1" w:styleId="FooterChar">
    <w:name w:val="Footer Char"/>
    <w:basedOn w:val="DefaultParagraphFont"/>
    <w:link w:val="Footer"/>
    <w:uiPriority w:val="99"/>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93C0D"/>
    <w:pPr>
      <w:spacing w:after="300"/>
    </w:pPr>
    <w:rPr>
      <w:rFonts w:ascii="Arial" w:hAnsi="Arial" w:cs="Arial"/>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65732">
      <w:bodyDiv w:val="1"/>
      <w:marLeft w:val="0"/>
      <w:marRight w:val="0"/>
      <w:marTop w:val="0"/>
      <w:marBottom w:val="0"/>
      <w:divBdr>
        <w:top w:val="none" w:sz="0" w:space="0" w:color="auto"/>
        <w:left w:val="none" w:sz="0" w:space="0" w:color="auto"/>
        <w:bottom w:val="none" w:sz="0" w:space="0" w:color="auto"/>
        <w:right w:val="none" w:sz="0" w:space="0" w:color="auto"/>
      </w:divBdr>
    </w:div>
    <w:div w:id="788937003">
      <w:bodyDiv w:val="1"/>
      <w:marLeft w:val="0"/>
      <w:marRight w:val="0"/>
      <w:marTop w:val="0"/>
      <w:marBottom w:val="0"/>
      <w:divBdr>
        <w:top w:val="none" w:sz="0" w:space="0" w:color="auto"/>
        <w:left w:val="none" w:sz="0" w:space="0" w:color="auto"/>
        <w:bottom w:val="none" w:sz="0" w:space="0" w:color="auto"/>
        <w:right w:val="none" w:sz="0" w:space="0" w:color="auto"/>
      </w:divBdr>
    </w:div>
    <w:div w:id="975333572">
      <w:bodyDiv w:val="1"/>
      <w:marLeft w:val="0"/>
      <w:marRight w:val="0"/>
      <w:marTop w:val="0"/>
      <w:marBottom w:val="0"/>
      <w:divBdr>
        <w:top w:val="none" w:sz="0" w:space="0" w:color="auto"/>
        <w:left w:val="none" w:sz="0" w:space="0" w:color="auto"/>
        <w:bottom w:val="none" w:sz="0" w:space="0" w:color="auto"/>
        <w:right w:val="none" w:sz="0" w:space="0" w:color="auto"/>
      </w:divBdr>
      <w:divsChild>
        <w:div w:id="251819588">
          <w:marLeft w:val="0"/>
          <w:marRight w:val="0"/>
          <w:marTop w:val="0"/>
          <w:marBottom w:val="0"/>
          <w:divBdr>
            <w:top w:val="none" w:sz="0" w:space="0" w:color="auto"/>
            <w:left w:val="none" w:sz="0" w:space="0" w:color="auto"/>
            <w:bottom w:val="none" w:sz="0" w:space="0" w:color="auto"/>
            <w:right w:val="none" w:sz="0" w:space="0" w:color="auto"/>
          </w:divBdr>
          <w:divsChild>
            <w:div w:id="1878154090">
              <w:marLeft w:val="0"/>
              <w:marRight w:val="0"/>
              <w:marTop w:val="0"/>
              <w:marBottom w:val="0"/>
              <w:divBdr>
                <w:top w:val="none" w:sz="0" w:space="0" w:color="auto"/>
                <w:left w:val="none" w:sz="0" w:space="0" w:color="auto"/>
                <w:bottom w:val="none" w:sz="0" w:space="0" w:color="auto"/>
                <w:right w:val="none" w:sz="0" w:space="0" w:color="auto"/>
              </w:divBdr>
              <w:divsChild>
                <w:div w:id="591861054">
                  <w:marLeft w:val="0"/>
                  <w:marRight w:val="0"/>
                  <w:marTop w:val="0"/>
                  <w:marBottom w:val="0"/>
                  <w:divBdr>
                    <w:top w:val="none" w:sz="0" w:space="0" w:color="auto"/>
                    <w:left w:val="none" w:sz="0" w:space="0" w:color="auto"/>
                    <w:bottom w:val="none" w:sz="0" w:space="0" w:color="auto"/>
                    <w:right w:val="none" w:sz="0" w:space="0" w:color="auto"/>
                  </w:divBdr>
                  <w:divsChild>
                    <w:div w:id="330452118">
                      <w:marLeft w:val="0"/>
                      <w:marRight w:val="0"/>
                      <w:marTop w:val="0"/>
                      <w:marBottom w:val="0"/>
                      <w:divBdr>
                        <w:top w:val="none" w:sz="0" w:space="0" w:color="auto"/>
                        <w:left w:val="none" w:sz="0" w:space="0" w:color="auto"/>
                        <w:bottom w:val="none" w:sz="0" w:space="0" w:color="auto"/>
                        <w:right w:val="none" w:sz="0" w:space="0" w:color="auto"/>
                      </w:divBdr>
                      <w:divsChild>
                        <w:div w:id="1112625034">
                          <w:marLeft w:val="0"/>
                          <w:marRight w:val="0"/>
                          <w:marTop w:val="0"/>
                          <w:marBottom w:val="0"/>
                          <w:divBdr>
                            <w:top w:val="none" w:sz="0" w:space="0" w:color="auto"/>
                            <w:left w:val="none" w:sz="0" w:space="0" w:color="auto"/>
                            <w:bottom w:val="none" w:sz="0" w:space="0" w:color="auto"/>
                            <w:right w:val="none" w:sz="0" w:space="0" w:color="auto"/>
                          </w:divBdr>
                          <w:divsChild>
                            <w:div w:id="1665936572">
                              <w:marLeft w:val="0"/>
                              <w:marRight w:val="0"/>
                              <w:marTop w:val="0"/>
                              <w:marBottom w:val="0"/>
                              <w:divBdr>
                                <w:top w:val="none" w:sz="0" w:space="0" w:color="auto"/>
                                <w:left w:val="none" w:sz="0" w:space="0" w:color="auto"/>
                                <w:bottom w:val="none" w:sz="0" w:space="0" w:color="auto"/>
                                <w:right w:val="none" w:sz="0" w:space="0" w:color="auto"/>
                              </w:divBdr>
                              <w:divsChild>
                                <w:div w:id="445545326">
                                  <w:marLeft w:val="0"/>
                                  <w:marRight w:val="0"/>
                                  <w:marTop w:val="0"/>
                                  <w:marBottom w:val="0"/>
                                  <w:divBdr>
                                    <w:top w:val="none" w:sz="0" w:space="0" w:color="auto"/>
                                    <w:left w:val="none" w:sz="0" w:space="0" w:color="auto"/>
                                    <w:bottom w:val="none" w:sz="0" w:space="0" w:color="auto"/>
                                    <w:right w:val="none" w:sz="0" w:space="0" w:color="auto"/>
                                  </w:divBdr>
                                  <w:divsChild>
                                    <w:div w:id="14511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0B5E-FF4F-440B-A8C6-403CC94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Cho</dc:creator>
  <cp:lastModifiedBy>Jessica Der Matossian</cp:lastModifiedBy>
  <cp:revision>2</cp:revision>
  <cp:lastPrinted>2017-08-16T04:31:00Z</cp:lastPrinted>
  <dcterms:created xsi:type="dcterms:W3CDTF">2017-08-16T04:39:00Z</dcterms:created>
  <dcterms:modified xsi:type="dcterms:W3CDTF">2017-08-16T04:39:00Z</dcterms:modified>
</cp:coreProperties>
</file>