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64C9F" w14:textId="7740F3D6" w:rsidR="004A6A57" w:rsidRPr="00620D87" w:rsidRDefault="004A6A57" w:rsidP="00DD635A">
      <w:pPr>
        <w:spacing w:after="240"/>
        <w:jc w:val="center"/>
        <w:rPr>
          <w:rFonts w:cs="Arial"/>
          <w:b/>
          <w:bCs/>
          <w:szCs w:val="20"/>
        </w:rPr>
      </w:pPr>
      <w:bookmarkStart w:id="0" w:name="_GoBack"/>
      <w:bookmarkEnd w:id="0"/>
      <w:r w:rsidRPr="00620D87">
        <w:rPr>
          <w:rFonts w:cs="Arial"/>
          <w:b/>
          <w:bCs/>
          <w:szCs w:val="20"/>
        </w:rPr>
        <w:t xml:space="preserve">ASIC </w:t>
      </w:r>
      <w:r w:rsidR="00121198" w:rsidRPr="00620D87">
        <w:rPr>
          <w:rFonts w:cs="Arial"/>
          <w:b/>
          <w:bCs/>
          <w:szCs w:val="20"/>
        </w:rPr>
        <w:t>CREDIT (</w:t>
      </w:r>
      <w:r w:rsidR="00600CE2" w:rsidRPr="00600CE2">
        <w:rPr>
          <w:rFonts w:cs="Arial"/>
          <w:b/>
          <w:bCs/>
          <w:szCs w:val="20"/>
        </w:rPr>
        <w:t>F</w:t>
      </w:r>
      <w:r w:rsidR="00600CE2">
        <w:rPr>
          <w:rFonts w:cs="Arial"/>
          <w:b/>
          <w:bCs/>
          <w:szCs w:val="20"/>
        </w:rPr>
        <w:t>LEXIBLE CREDIT COST ARRANGEMENTS</w:t>
      </w:r>
      <w:r w:rsidR="00C54D8D">
        <w:rPr>
          <w:rFonts w:cs="Arial"/>
          <w:b/>
          <w:bCs/>
          <w:szCs w:val="20"/>
        </w:rPr>
        <w:t>) INSTRUMENT 2017/780</w:t>
      </w:r>
    </w:p>
    <w:p w14:paraId="4656396B" w14:textId="77777777" w:rsidR="0031058C" w:rsidRPr="00620D87" w:rsidRDefault="0031058C" w:rsidP="00DD635A">
      <w:pPr>
        <w:spacing w:after="240"/>
        <w:jc w:val="center"/>
        <w:rPr>
          <w:rFonts w:cs="Arial"/>
          <w:b/>
          <w:bCs/>
          <w:szCs w:val="20"/>
        </w:rPr>
      </w:pPr>
    </w:p>
    <w:p w14:paraId="74E5868C" w14:textId="77777777" w:rsidR="004A6A57" w:rsidRPr="00620D87" w:rsidRDefault="004A6A57" w:rsidP="00DD635A">
      <w:pPr>
        <w:spacing w:after="240"/>
        <w:jc w:val="center"/>
        <w:rPr>
          <w:rFonts w:cs="Arial"/>
          <w:b/>
          <w:bCs/>
          <w:szCs w:val="20"/>
        </w:rPr>
      </w:pPr>
      <w:r w:rsidRPr="00620D87">
        <w:rPr>
          <w:rFonts w:cs="Arial"/>
          <w:b/>
          <w:bCs/>
          <w:szCs w:val="20"/>
        </w:rPr>
        <w:t>EXPLANATORY STATEMENT</w:t>
      </w:r>
    </w:p>
    <w:p w14:paraId="2467B068" w14:textId="77777777" w:rsidR="004A6A57" w:rsidRPr="00620D87" w:rsidRDefault="004A6A57" w:rsidP="00DD635A">
      <w:pPr>
        <w:spacing w:after="240"/>
        <w:jc w:val="center"/>
        <w:rPr>
          <w:rFonts w:cs="Arial"/>
          <w:b/>
          <w:bCs/>
          <w:szCs w:val="20"/>
        </w:rPr>
      </w:pPr>
    </w:p>
    <w:p w14:paraId="38E74FE3" w14:textId="77777777" w:rsidR="004A6A57" w:rsidRPr="00620D87" w:rsidRDefault="004A6A57" w:rsidP="00DD635A">
      <w:pPr>
        <w:spacing w:after="240"/>
        <w:jc w:val="center"/>
        <w:rPr>
          <w:rFonts w:cs="Arial"/>
          <w:szCs w:val="20"/>
        </w:rPr>
      </w:pPr>
      <w:r w:rsidRPr="00620D87">
        <w:rPr>
          <w:rFonts w:cs="Arial"/>
          <w:szCs w:val="20"/>
        </w:rPr>
        <w:t>Prepared by the Australian Securities and Investments Commission</w:t>
      </w:r>
    </w:p>
    <w:p w14:paraId="1CF08398" w14:textId="77777777" w:rsidR="004A6A57" w:rsidRPr="00620D87" w:rsidRDefault="004A6A57" w:rsidP="00DD635A">
      <w:pPr>
        <w:spacing w:after="240"/>
        <w:jc w:val="center"/>
        <w:rPr>
          <w:rFonts w:cs="Arial"/>
          <w:i/>
          <w:iCs/>
          <w:szCs w:val="20"/>
        </w:rPr>
      </w:pPr>
    </w:p>
    <w:p w14:paraId="51F526AC" w14:textId="0BCA7EDA" w:rsidR="004A6A57" w:rsidRPr="00620D87" w:rsidRDefault="004B79C3" w:rsidP="00DD635A">
      <w:pPr>
        <w:spacing w:after="240"/>
        <w:jc w:val="center"/>
        <w:rPr>
          <w:rFonts w:cs="Arial"/>
          <w:i/>
          <w:iCs/>
          <w:szCs w:val="20"/>
        </w:rPr>
      </w:pPr>
      <w:r w:rsidRPr="00620D87">
        <w:rPr>
          <w:rFonts w:cs="Arial"/>
          <w:i/>
          <w:iCs/>
          <w:szCs w:val="20"/>
        </w:rPr>
        <w:t xml:space="preserve">National Consumer Credit Protection Act </w:t>
      </w:r>
      <w:r w:rsidR="00121198" w:rsidRPr="00620D87">
        <w:rPr>
          <w:rFonts w:cs="Arial"/>
          <w:i/>
          <w:iCs/>
          <w:szCs w:val="20"/>
        </w:rPr>
        <w:t>2009</w:t>
      </w:r>
    </w:p>
    <w:p w14:paraId="0B72EF66" w14:textId="77777777" w:rsidR="00121198" w:rsidRPr="00620D87" w:rsidRDefault="00121198" w:rsidP="00DD635A">
      <w:pPr>
        <w:spacing w:after="240"/>
        <w:rPr>
          <w:rFonts w:cs="Arial"/>
          <w:szCs w:val="20"/>
        </w:rPr>
      </w:pPr>
    </w:p>
    <w:p w14:paraId="6EF75CD9" w14:textId="73C20833" w:rsidR="004B79C3" w:rsidRPr="00620D87" w:rsidRDefault="004A6A57" w:rsidP="00DD635A">
      <w:pPr>
        <w:spacing w:after="240"/>
        <w:rPr>
          <w:rFonts w:cs="Arial"/>
          <w:szCs w:val="20"/>
        </w:rPr>
      </w:pPr>
      <w:r w:rsidRPr="00620D87">
        <w:rPr>
          <w:rFonts w:cs="Arial"/>
          <w:szCs w:val="20"/>
        </w:rPr>
        <w:t>The Australian Securities and Investments Commission (</w:t>
      </w:r>
      <w:r w:rsidRPr="00620D87">
        <w:rPr>
          <w:rFonts w:cs="Arial"/>
          <w:b/>
          <w:i/>
          <w:szCs w:val="20"/>
        </w:rPr>
        <w:t>ASIC</w:t>
      </w:r>
      <w:r w:rsidRPr="00620D87">
        <w:rPr>
          <w:rFonts w:cs="Arial"/>
          <w:szCs w:val="20"/>
        </w:rPr>
        <w:t xml:space="preserve">) makes </w:t>
      </w:r>
      <w:r w:rsidR="00121198" w:rsidRPr="00620D87">
        <w:rPr>
          <w:rFonts w:cs="Arial"/>
          <w:i/>
          <w:szCs w:val="20"/>
        </w:rPr>
        <w:t>ASIC Credit (</w:t>
      </w:r>
      <w:r w:rsidR="00E35B37">
        <w:rPr>
          <w:rFonts w:cs="Arial"/>
          <w:i/>
          <w:szCs w:val="20"/>
        </w:rPr>
        <w:t xml:space="preserve">Flexible Credit Cost </w:t>
      </w:r>
      <w:r w:rsidR="00121198" w:rsidRPr="00620D87">
        <w:rPr>
          <w:rFonts w:cs="Arial"/>
          <w:i/>
          <w:szCs w:val="20"/>
        </w:rPr>
        <w:t>Arrangements) Instrument 2017/</w:t>
      </w:r>
      <w:r w:rsidR="00C54D8D">
        <w:rPr>
          <w:rFonts w:cs="Arial"/>
          <w:i/>
          <w:szCs w:val="20"/>
        </w:rPr>
        <w:t>780</w:t>
      </w:r>
      <w:r w:rsidR="00121198" w:rsidRPr="00620D87">
        <w:rPr>
          <w:rFonts w:cs="Arial"/>
          <w:i/>
          <w:szCs w:val="20"/>
        </w:rPr>
        <w:t xml:space="preserve"> </w:t>
      </w:r>
      <w:r w:rsidRPr="00620D87">
        <w:rPr>
          <w:rFonts w:cs="Arial"/>
          <w:szCs w:val="20"/>
        </w:rPr>
        <w:t>under</w:t>
      </w:r>
      <w:r w:rsidR="004B79C3" w:rsidRPr="00620D87">
        <w:rPr>
          <w:rFonts w:cs="Arial"/>
          <w:szCs w:val="20"/>
        </w:rPr>
        <w:t xml:space="preserve"> paragraph 1</w:t>
      </w:r>
      <w:r w:rsidR="00121198" w:rsidRPr="00620D87">
        <w:rPr>
          <w:rFonts w:cs="Arial"/>
          <w:szCs w:val="20"/>
        </w:rPr>
        <w:t>09</w:t>
      </w:r>
      <w:r w:rsidR="004B79C3" w:rsidRPr="00620D87">
        <w:rPr>
          <w:rFonts w:cs="Arial"/>
          <w:szCs w:val="20"/>
        </w:rPr>
        <w:t>(3</w:t>
      </w:r>
      <w:proofErr w:type="gramStart"/>
      <w:r w:rsidR="004B79C3" w:rsidRPr="00620D87">
        <w:rPr>
          <w:rFonts w:cs="Arial"/>
          <w:szCs w:val="20"/>
        </w:rPr>
        <w:t>)(</w:t>
      </w:r>
      <w:proofErr w:type="gramEnd"/>
      <w:r w:rsidR="004B79C3" w:rsidRPr="00620D87">
        <w:rPr>
          <w:rFonts w:cs="Arial"/>
          <w:szCs w:val="20"/>
        </w:rPr>
        <w:t xml:space="preserve">d) of the </w:t>
      </w:r>
      <w:r w:rsidR="004B79C3" w:rsidRPr="00620D87">
        <w:rPr>
          <w:rFonts w:cs="Arial"/>
          <w:i/>
          <w:iCs/>
          <w:szCs w:val="20"/>
        </w:rPr>
        <w:t>National Con</w:t>
      </w:r>
      <w:r w:rsidR="00121198" w:rsidRPr="00620D87">
        <w:rPr>
          <w:rFonts w:cs="Arial"/>
          <w:i/>
          <w:iCs/>
          <w:szCs w:val="20"/>
        </w:rPr>
        <w:t>sumer Credit Protection Act 2009</w:t>
      </w:r>
      <w:r w:rsidR="004B79C3" w:rsidRPr="00620D87">
        <w:rPr>
          <w:rFonts w:cs="Arial"/>
          <w:szCs w:val="20"/>
        </w:rPr>
        <w:t xml:space="preserve"> (the</w:t>
      </w:r>
      <w:r w:rsidR="004B79C3" w:rsidRPr="00620D87">
        <w:rPr>
          <w:rFonts w:cs="Arial"/>
          <w:b/>
          <w:i/>
          <w:szCs w:val="20"/>
        </w:rPr>
        <w:t xml:space="preserve"> </w:t>
      </w:r>
      <w:r w:rsidR="00655C61" w:rsidRPr="00620D87">
        <w:rPr>
          <w:rFonts w:cs="Arial"/>
          <w:b/>
          <w:i/>
          <w:szCs w:val="20"/>
        </w:rPr>
        <w:t xml:space="preserve">National Credit </w:t>
      </w:r>
      <w:r w:rsidR="004B79C3" w:rsidRPr="00620D87">
        <w:rPr>
          <w:rFonts w:cs="Arial"/>
          <w:b/>
          <w:i/>
          <w:szCs w:val="20"/>
        </w:rPr>
        <w:t>Act</w:t>
      </w:r>
      <w:r w:rsidR="004B79C3" w:rsidRPr="00620D87">
        <w:rPr>
          <w:rFonts w:cs="Arial"/>
          <w:szCs w:val="20"/>
        </w:rPr>
        <w:t>).</w:t>
      </w:r>
    </w:p>
    <w:p w14:paraId="1F113CAD" w14:textId="0613B056" w:rsidR="0031058C" w:rsidRPr="00620D87" w:rsidRDefault="004B79C3" w:rsidP="00DD635A">
      <w:pPr>
        <w:spacing w:after="240"/>
        <w:rPr>
          <w:rFonts w:cs="Arial"/>
          <w:szCs w:val="20"/>
        </w:rPr>
      </w:pPr>
      <w:r w:rsidRPr="00620D87">
        <w:rPr>
          <w:rFonts w:cs="Arial"/>
          <w:szCs w:val="20"/>
        </w:rPr>
        <w:t xml:space="preserve">ASIC may declare </w:t>
      </w:r>
      <w:r w:rsidR="00121198" w:rsidRPr="00620D87">
        <w:rPr>
          <w:rFonts w:cs="Arial"/>
          <w:szCs w:val="20"/>
        </w:rPr>
        <w:t>the provisions to which Part 2-6</w:t>
      </w:r>
      <w:r w:rsidRPr="00620D87">
        <w:rPr>
          <w:rFonts w:cs="Arial"/>
          <w:szCs w:val="20"/>
        </w:rPr>
        <w:t xml:space="preserve"> of the </w:t>
      </w:r>
      <w:r w:rsidR="00655C61" w:rsidRPr="00620D87">
        <w:rPr>
          <w:rFonts w:cs="Arial"/>
          <w:szCs w:val="20"/>
        </w:rPr>
        <w:t xml:space="preserve">National Credit </w:t>
      </w:r>
      <w:r w:rsidR="00121198" w:rsidRPr="00620D87">
        <w:rPr>
          <w:rFonts w:cs="Arial"/>
          <w:szCs w:val="20"/>
        </w:rPr>
        <w:t>Act applies (including Chapter 2</w:t>
      </w:r>
      <w:r w:rsidRPr="00620D87">
        <w:rPr>
          <w:rFonts w:cs="Arial"/>
          <w:szCs w:val="20"/>
        </w:rPr>
        <w:t xml:space="preserve"> of the </w:t>
      </w:r>
      <w:r w:rsidR="00655C61" w:rsidRPr="00620D87">
        <w:rPr>
          <w:rFonts w:cs="Arial"/>
          <w:szCs w:val="20"/>
        </w:rPr>
        <w:t xml:space="preserve">National Credit </w:t>
      </w:r>
      <w:r w:rsidRPr="00620D87">
        <w:rPr>
          <w:rFonts w:cs="Arial"/>
          <w:szCs w:val="20"/>
        </w:rPr>
        <w:t xml:space="preserve">Act and definitions in the </w:t>
      </w:r>
      <w:r w:rsidR="00655C61" w:rsidRPr="00620D87">
        <w:rPr>
          <w:rFonts w:cs="Arial"/>
          <w:szCs w:val="20"/>
        </w:rPr>
        <w:t xml:space="preserve">National Credit </w:t>
      </w:r>
      <w:r w:rsidRPr="00620D87">
        <w:rPr>
          <w:rFonts w:cs="Arial"/>
          <w:szCs w:val="20"/>
        </w:rPr>
        <w:t>Act as they apply</w:t>
      </w:r>
      <w:r w:rsidR="00F644FA" w:rsidRPr="00620D87">
        <w:rPr>
          <w:rFonts w:cs="Arial"/>
          <w:szCs w:val="20"/>
        </w:rPr>
        <w:t xml:space="preserve"> to references in that Chapter)</w:t>
      </w:r>
      <w:r w:rsidRPr="00620D87">
        <w:rPr>
          <w:rFonts w:cs="Arial"/>
          <w:szCs w:val="20"/>
        </w:rPr>
        <w:t xml:space="preserve"> apply in relation to a class of persons or credit </w:t>
      </w:r>
      <w:r w:rsidR="009C5F98">
        <w:rPr>
          <w:rFonts w:cs="Arial"/>
          <w:szCs w:val="20"/>
        </w:rPr>
        <w:t xml:space="preserve">activities </w:t>
      </w:r>
      <w:r w:rsidRPr="00620D87">
        <w:rPr>
          <w:rFonts w:cs="Arial"/>
          <w:szCs w:val="20"/>
        </w:rPr>
        <w:t xml:space="preserve">as if the provisions were omitted, modified or varied </w:t>
      </w:r>
      <w:r w:rsidR="009C5F98">
        <w:rPr>
          <w:rFonts w:cs="Arial"/>
          <w:szCs w:val="20"/>
        </w:rPr>
        <w:t xml:space="preserve">as </w:t>
      </w:r>
      <w:r w:rsidRPr="00620D87">
        <w:rPr>
          <w:rFonts w:cs="Arial"/>
          <w:szCs w:val="20"/>
        </w:rPr>
        <w:t xml:space="preserve">specified </w:t>
      </w:r>
      <w:r w:rsidR="009C5F98">
        <w:rPr>
          <w:rFonts w:cs="Arial"/>
          <w:szCs w:val="20"/>
        </w:rPr>
        <w:t xml:space="preserve">in the declaration </w:t>
      </w:r>
      <w:r w:rsidR="00214AAA" w:rsidRPr="00620D87">
        <w:rPr>
          <w:rFonts w:cs="Arial"/>
          <w:szCs w:val="20"/>
        </w:rPr>
        <w:t>(paragraph 1</w:t>
      </w:r>
      <w:r w:rsidR="00121198" w:rsidRPr="00620D87">
        <w:rPr>
          <w:rFonts w:cs="Arial"/>
          <w:szCs w:val="20"/>
        </w:rPr>
        <w:t>09</w:t>
      </w:r>
      <w:r w:rsidR="00214AAA" w:rsidRPr="00620D87">
        <w:rPr>
          <w:rFonts w:cs="Arial"/>
          <w:szCs w:val="20"/>
        </w:rPr>
        <w:t>(3</w:t>
      </w:r>
      <w:proofErr w:type="gramStart"/>
      <w:r w:rsidR="00214AAA" w:rsidRPr="00620D87">
        <w:rPr>
          <w:rFonts w:cs="Arial"/>
          <w:szCs w:val="20"/>
        </w:rPr>
        <w:t>)(</w:t>
      </w:r>
      <w:proofErr w:type="gramEnd"/>
      <w:r w:rsidR="00214AAA" w:rsidRPr="00620D87">
        <w:rPr>
          <w:rFonts w:cs="Arial"/>
          <w:szCs w:val="20"/>
        </w:rPr>
        <w:t xml:space="preserve">d) of the </w:t>
      </w:r>
      <w:r w:rsidR="00655C61" w:rsidRPr="00620D87">
        <w:rPr>
          <w:rFonts w:cs="Arial"/>
          <w:szCs w:val="20"/>
        </w:rPr>
        <w:t xml:space="preserve">National Credit </w:t>
      </w:r>
      <w:r w:rsidR="00214AAA" w:rsidRPr="00620D87">
        <w:rPr>
          <w:rFonts w:cs="Arial"/>
          <w:szCs w:val="20"/>
        </w:rPr>
        <w:t>Act)</w:t>
      </w:r>
      <w:r w:rsidR="004A6A57" w:rsidRPr="00620D87">
        <w:rPr>
          <w:rFonts w:cs="Arial"/>
          <w:szCs w:val="20"/>
        </w:rPr>
        <w:t>.</w:t>
      </w:r>
    </w:p>
    <w:p w14:paraId="1E7B04F2" w14:textId="519F24A1" w:rsidR="004A6A57" w:rsidRPr="00620D87" w:rsidRDefault="004A6A57" w:rsidP="00DF5FCC">
      <w:pPr>
        <w:pStyle w:val="Heading1"/>
        <w:spacing w:before="480" w:after="240"/>
        <w:rPr>
          <w:szCs w:val="20"/>
        </w:rPr>
      </w:pPr>
      <w:r w:rsidRPr="00620D87">
        <w:rPr>
          <w:szCs w:val="20"/>
        </w:rPr>
        <w:t>Background</w:t>
      </w:r>
    </w:p>
    <w:p w14:paraId="6F3097FA" w14:textId="45B947F0" w:rsidR="003D39A6" w:rsidRPr="00620D87" w:rsidRDefault="00D46E82" w:rsidP="00D46E82">
      <w:pPr>
        <w:pStyle w:val="Heading2"/>
        <w:spacing w:before="480" w:after="240"/>
        <w:rPr>
          <w:rFonts w:cs="Arial"/>
          <w:bCs/>
          <w:szCs w:val="20"/>
        </w:rPr>
      </w:pPr>
      <w:r w:rsidRPr="00620D87">
        <w:rPr>
          <w:rFonts w:cs="Arial"/>
          <w:szCs w:val="20"/>
        </w:rPr>
        <w:t>F</w:t>
      </w:r>
      <w:r w:rsidR="00CB6469" w:rsidRPr="00620D87">
        <w:rPr>
          <w:rFonts w:cs="Arial"/>
          <w:szCs w:val="20"/>
        </w:rPr>
        <w:t>lex commission arran</w:t>
      </w:r>
      <w:r w:rsidRPr="00620D87">
        <w:rPr>
          <w:rFonts w:cs="Arial"/>
          <w:szCs w:val="20"/>
        </w:rPr>
        <w:t>gements</w:t>
      </w:r>
    </w:p>
    <w:p w14:paraId="591C877D" w14:textId="0F191976" w:rsidR="00121198" w:rsidRPr="00620D87" w:rsidRDefault="002C3896" w:rsidP="00DD635A">
      <w:pPr>
        <w:spacing w:after="240"/>
        <w:rPr>
          <w:rFonts w:cs="Arial"/>
          <w:szCs w:val="20"/>
        </w:rPr>
      </w:pPr>
      <w:r>
        <w:rPr>
          <w:rFonts w:cs="Arial"/>
          <w:szCs w:val="20"/>
        </w:rPr>
        <w:t>'</w:t>
      </w:r>
      <w:r w:rsidR="00EF44F0">
        <w:rPr>
          <w:rFonts w:cs="Arial"/>
          <w:szCs w:val="20"/>
        </w:rPr>
        <w:t>F</w:t>
      </w:r>
      <w:r w:rsidR="00121198" w:rsidRPr="00620D87">
        <w:rPr>
          <w:rFonts w:cs="Arial"/>
          <w:szCs w:val="20"/>
        </w:rPr>
        <w:t>lex commission</w:t>
      </w:r>
      <w:r w:rsidR="00EF44F0">
        <w:rPr>
          <w:rFonts w:cs="Arial"/>
          <w:szCs w:val="20"/>
        </w:rPr>
        <w:t>s</w:t>
      </w:r>
      <w:r>
        <w:rPr>
          <w:rFonts w:cs="Arial"/>
          <w:szCs w:val="20"/>
        </w:rPr>
        <w:t>'</w:t>
      </w:r>
      <w:r w:rsidR="00121198" w:rsidRPr="00620D87">
        <w:rPr>
          <w:rFonts w:cs="Arial"/>
          <w:szCs w:val="20"/>
        </w:rPr>
        <w:t xml:space="preserve"> refers to an arrangement whereby an intermediary </w:t>
      </w:r>
      <w:r w:rsidR="000846E8" w:rsidRPr="00620D87">
        <w:rPr>
          <w:rFonts w:cs="Arial"/>
          <w:szCs w:val="20"/>
        </w:rPr>
        <w:t xml:space="preserve">(generally a car dealer) </w:t>
      </w:r>
      <w:r w:rsidR="00121198" w:rsidRPr="00620D87">
        <w:rPr>
          <w:rFonts w:cs="Arial"/>
          <w:szCs w:val="20"/>
        </w:rPr>
        <w:t xml:space="preserve">who sells a loan to </w:t>
      </w:r>
      <w:r w:rsidR="000846E8" w:rsidRPr="00620D87">
        <w:rPr>
          <w:rFonts w:cs="Arial"/>
          <w:szCs w:val="20"/>
        </w:rPr>
        <w:t xml:space="preserve">a </w:t>
      </w:r>
      <w:r w:rsidR="00121198" w:rsidRPr="00620D87">
        <w:rPr>
          <w:rFonts w:cs="Arial"/>
          <w:szCs w:val="20"/>
        </w:rPr>
        <w:t xml:space="preserve">consumer earns a larger commission from the credit provider the higher the </w:t>
      </w:r>
      <w:r w:rsidR="000846E8" w:rsidRPr="00620D87">
        <w:rPr>
          <w:rFonts w:cs="Arial"/>
          <w:szCs w:val="20"/>
        </w:rPr>
        <w:t xml:space="preserve">contract </w:t>
      </w:r>
      <w:r w:rsidR="00191BE2">
        <w:rPr>
          <w:rFonts w:cs="Arial"/>
          <w:szCs w:val="20"/>
        </w:rPr>
        <w:t>annual percentage rate</w:t>
      </w:r>
      <w:r w:rsidR="00121198" w:rsidRPr="00620D87">
        <w:rPr>
          <w:rFonts w:cs="Arial"/>
          <w:szCs w:val="20"/>
        </w:rPr>
        <w:t xml:space="preserve"> </w:t>
      </w:r>
      <w:r w:rsidR="000846E8" w:rsidRPr="00620D87">
        <w:rPr>
          <w:rFonts w:cs="Arial"/>
          <w:szCs w:val="20"/>
        </w:rPr>
        <w:t xml:space="preserve">is </w:t>
      </w:r>
      <w:r w:rsidR="00121198" w:rsidRPr="00620D87">
        <w:rPr>
          <w:rFonts w:cs="Arial"/>
          <w:szCs w:val="20"/>
        </w:rPr>
        <w:t xml:space="preserve">above a benchmark </w:t>
      </w:r>
      <w:r w:rsidR="00C54D8D">
        <w:rPr>
          <w:rFonts w:cs="Arial"/>
          <w:szCs w:val="20"/>
        </w:rPr>
        <w:t xml:space="preserve">or base interest </w:t>
      </w:r>
      <w:r w:rsidR="00121198" w:rsidRPr="00620D87">
        <w:rPr>
          <w:rFonts w:cs="Arial"/>
          <w:szCs w:val="20"/>
        </w:rPr>
        <w:t>rate.</w:t>
      </w:r>
      <w:r w:rsidR="00F644FA" w:rsidRPr="00620D87">
        <w:rPr>
          <w:rFonts w:cs="Arial"/>
          <w:szCs w:val="20"/>
        </w:rPr>
        <w:t xml:space="preserve"> </w:t>
      </w:r>
    </w:p>
    <w:p w14:paraId="4B8F6987" w14:textId="27F88D6D" w:rsidR="00D46E82" w:rsidRPr="003657F5" w:rsidRDefault="007B5FA4" w:rsidP="003657F5">
      <w:pPr>
        <w:pStyle w:val="Heading2"/>
        <w:spacing w:before="480" w:after="240"/>
        <w:rPr>
          <w:rFonts w:cs="Arial"/>
          <w:szCs w:val="20"/>
        </w:rPr>
      </w:pPr>
      <w:r>
        <w:rPr>
          <w:rFonts w:cs="Arial"/>
          <w:szCs w:val="20"/>
        </w:rPr>
        <w:t xml:space="preserve">ASIC's response to the consumer harm from </w:t>
      </w:r>
      <w:r w:rsidR="002C3896">
        <w:rPr>
          <w:rFonts w:cs="Arial"/>
          <w:szCs w:val="20"/>
        </w:rPr>
        <w:t>f</w:t>
      </w:r>
      <w:r w:rsidR="002C3896" w:rsidRPr="003657F5">
        <w:rPr>
          <w:rFonts w:cs="Arial"/>
          <w:szCs w:val="20"/>
        </w:rPr>
        <w:t>lex commission arrangements</w:t>
      </w:r>
      <w:r w:rsidR="002C3896" w:rsidRPr="002C3896">
        <w:rPr>
          <w:rFonts w:cs="Arial"/>
          <w:szCs w:val="20"/>
        </w:rPr>
        <w:t xml:space="preserve"> in the car finance market</w:t>
      </w:r>
    </w:p>
    <w:p w14:paraId="528D6097" w14:textId="0ECD9AB9" w:rsidR="002C3896" w:rsidRDefault="00B53BED" w:rsidP="00212C33">
      <w:pPr>
        <w:spacing w:after="240"/>
        <w:rPr>
          <w:rFonts w:cs="Arial"/>
          <w:szCs w:val="20"/>
        </w:rPr>
      </w:pPr>
      <w:r w:rsidRPr="00620D87">
        <w:rPr>
          <w:rFonts w:cs="Arial"/>
          <w:szCs w:val="20"/>
        </w:rPr>
        <w:t>ASIC</w:t>
      </w:r>
      <w:r w:rsidR="002C3896">
        <w:rPr>
          <w:rFonts w:cs="Arial"/>
          <w:szCs w:val="20"/>
        </w:rPr>
        <w:t xml:space="preserve"> has undertaken detailed research on the e</w:t>
      </w:r>
      <w:r w:rsidR="002C3896" w:rsidRPr="00563327">
        <w:rPr>
          <w:rFonts w:cs="Arial"/>
          <w:szCs w:val="20"/>
        </w:rPr>
        <w:t>ffect o</w:t>
      </w:r>
      <w:r w:rsidR="002C3896">
        <w:rPr>
          <w:rFonts w:cs="Arial"/>
          <w:szCs w:val="20"/>
        </w:rPr>
        <w:t>f</w:t>
      </w:r>
      <w:r w:rsidR="002C3896" w:rsidRPr="00563327">
        <w:rPr>
          <w:rFonts w:cs="Arial"/>
          <w:szCs w:val="20"/>
        </w:rPr>
        <w:t xml:space="preserve"> </w:t>
      </w:r>
      <w:r w:rsidR="002C3896">
        <w:rPr>
          <w:rFonts w:cs="Arial"/>
          <w:szCs w:val="20"/>
        </w:rPr>
        <w:t>f</w:t>
      </w:r>
      <w:r w:rsidR="002C3896" w:rsidRPr="00563327">
        <w:rPr>
          <w:rFonts w:cs="Arial"/>
          <w:szCs w:val="20"/>
        </w:rPr>
        <w:t>lex commission arrangements in the car finance market</w:t>
      </w:r>
      <w:r w:rsidR="002C3896">
        <w:rPr>
          <w:rFonts w:cs="Arial"/>
          <w:szCs w:val="20"/>
        </w:rPr>
        <w:t>. This analysis is set out in detail in our Regulation Impact Statement</w:t>
      </w:r>
      <w:r w:rsidR="00EF44F0">
        <w:rPr>
          <w:rFonts w:cs="Arial"/>
          <w:szCs w:val="20"/>
        </w:rPr>
        <w:t xml:space="preserve"> </w:t>
      </w:r>
      <w:r w:rsidR="0046251C">
        <w:rPr>
          <w:rFonts w:cs="Arial"/>
          <w:szCs w:val="20"/>
        </w:rPr>
        <w:t xml:space="preserve">published on 3 March 2017 </w:t>
      </w:r>
      <w:r w:rsidR="00EF44F0">
        <w:rPr>
          <w:rFonts w:cs="Arial"/>
          <w:szCs w:val="20"/>
        </w:rPr>
        <w:t>(RIS)</w:t>
      </w:r>
      <w:r w:rsidR="00C54D8D">
        <w:rPr>
          <w:rFonts w:cs="Arial"/>
          <w:szCs w:val="20"/>
        </w:rPr>
        <w:t xml:space="preserve">, available at: </w:t>
      </w:r>
      <w:r w:rsidR="00390DC2">
        <w:rPr>
          <w:rFonts w:ascii="Helv" w:eastAsiaTheme="minorHAnsi" w:hAnsi="Helv" w:cs="Helv"/>
          <w:color w:val="000000"/>
          <w:szCs w:val="20"/>
        </w:rPr>
        <w:t>http://asic.gov.au/regulatory-resources/find-a-document/consultation-papers/cp-279-flex-commission-arrangements-in-the-car-finance-industry</w:t>
      </w:r>
      <w:r w:rsidR="00390DC2" w:rsidRPr="00FF51D7">
        <w:rPr>
          <w:rFonts w:ascii="Helv" w:eastAsiaTheme="minorHAnsi" w:hAnsi="Helv" w:cs="Helv"/>
          <w:color w:val="000000"/>
          <w:szCs w:val="20"/>
        </w:rPr>
        <w:t>/</w:t>
      </w:r>
      <w:r w:rsidR="00390DC2" w:rsidRPr="00FF51D7" w:rsidDel="00390DC2">
        <w:rPr>
          <w:rFonts w:cs="Arial"/>
          <w:szCs w:val="20"/>
        </w:rPr>
        <w:t xml:space="preserve"> </w:t>
      </w:r>
    </w:p>
    <w:p w14:paraId="3753F6A7" w14:textId="5D956B22" w:rsidR="002C3896" w:rsidRPr="002C3896" w:rsidRDefault="00EF44F0" w:rsidP="00212C33">
      <w:pPr>
        <w:spacing w:after="240"/>
        <w:rPr>
          <w:rFonts w:cs="Arial"/>
          <w:szCs w:val="20"/>
        </w:rPr>
      </w:pPr>
      <w:r>
        <w:rPr>
          <w:rFonts w:cs="Arial"/>
          <w:szCs w:val="20"/>
        </w:rPr>
        <w:t>The</w:t>
      </w:r>
      <w:r w:rsidR="002C3896">
        <w:rPr>
          <w:rFonts w:cs="Arial"/>
          <w:szCs w:val="20"/>
        </w:rPr>
        <w:t xml:space="preserve"> key findings</w:t>
      </w:r>
      <w:r>
        <w:rPr>
          <w:rFonts w:cs="Arial"/>
          <w:szCs w:val="20"/>
        </w:rPr>
        <w:t xml:space="preserve"> in our RIS</w:t>
      </w:r>
      <w:r w:rsidR="002C3896">
        <w:rPr>
          <w:rFonts w:cs="Arial"/>
          <w:szCs w:val="20"/>
        </w:rPr>
        <w:t xml:space="preserve"> are that flex commissions distort pricing arrangements and</w:t>
      </w:r>
      <w:r w:rsidR="002C3896" w:rsidRPr="002C3896">
        <w:rPr>
          <w:rFonts w:cs="Arial"/>
          <w:szCs w:val="20"/>
        </w:rPr>
        <w:t xml:space="preserve"> are </w:t>
      </w:r>
      <w:proofErr w:type="gramStart"/>
      <w:r w:rsidR="002C3896" w:rsidRPr="002C3896">
        <w:rPr>
          <w:rFonts w:cs="Arial"/>
          <w:szCs w:val="20"/>
        </w:rPr>
        <w:t>a remuneration</w:t>
      </w:r>
      <w:proofErr w:type="gramEnd"/>
      <w:r w:rsidR="002C3896" w:rsidRPr="002C3896">
        <w:rPr>
          <w:rFonts w:cs="Arial"/>
          <w:szCs w:val="20"/>
        </w:rPr>
        <w:t xml:space="preserve"> structure that:</w:t>
      </w:r>
    </w:p>
    <w:p w14:paraId="30B21696" w14:textId="6DF81F98" w:rsidR="007B5FA4" w:rsidRDefault="007B5FA4" w:rsidP="00AB0F9E">
      <w:pPr>
        <w:pStyle w:val="ListParagraph"/>
        <w:numPr>
          <w:ilvl w:val="0"/>
          <w:numId w:val="13"/>
        </w:numPr>
        <w:spacing w:after="240"/>
        <w:rPr>
          <w:rFonts w:cs="Arial"/>
          <w:szCs w:val="20"/>
        </w:rPr>
      </w:pPr>
      <w:r>
        <w:rPr>
          <w:rFonts w:cs="Arial"/>
          <w:szCs w:val="20"/>
        </w:rPr>
        <w:t xml:space="preserve">means the </w:t>
      </w:r>
      <w:r w:rsidRPr="002C3896">
        <w:rPr>
          <w:rFonts w:cs="Arial"/>
          <w:szCs w:val="20"/>
        </w:rPr>
        <w:t>interest rate charged to the consumer is not related to their credit rating or the risk of default, but to their financial sophistication, degree of financial literacy and capacity to negotiate to protect their interests</w:t>
      </w:r>
      <w:r>
        <w:rPr>
          <w:rFonts w:cs="Arial"/>
          <w:szCs w:val="20"/>
        </w:rPr>
        <w:t>;</w:t>
      </w:r>
    </w:p>
    <w:p w14:paraId="2B2A3465" w14:textId="06471D8A" w:rsidR="002C3896" w:rsidRPr="002C3896" w:rsidRDefault="002C3896" w:rsidP="00AB0F9E">
      <w:pPr>
        <w:pStyle w:val="ListParagraph"/>
        <w:numPr>
          <w:ilvl w:val="0"/>
          <w:numId w:val="13"/>
        </w:numPr>
        <w:spacing w:after="240"/>
        <w:rPr>
          <w:rFonts w:cs="Arial"/>
          <w:szCs w:val="20"/>
        </w:rPr>
      </w:pPr>
      <w:r w:rsidRPr="002C3896">
        <w:rPr>
          <w:rFonts w:cs="Arial"/>
          <w:szCs w:val="20"/>
        </w:rPr>
        <w:t>provides an incentive for sales intermediaries to increase the price of a credit contract in a way that does not relate to the credit risk of the particular consumer;</w:t>
      </w:r>
    </w:p>
    <w:p w14:paraId="50BC022F" w14:textId="77777777" w:rsidR="0009058C" w:rsidRDefault="007B5FA4" w:rsidP="00AB0F9E">
      <w:pPr>
        <w:pStyle w:val="ListParagraph"/>
        <w:numPr>
          <w:ilvl w:val="0"/>
          <w:numId w:val="13"/>
        </w:numPr>
        <w:spacing w:after="240"/>
        <w:rPr>
          <w:rFonts w:cs="Arial"/>
          <w:szCs w:val="20"/>
        </w:rPr>
      </w:pPr>
      <w:r w:rsidRPr="0009058C">
        <w:rPr>
          <w:rFonts w:cs="Arial"/>
          <w:szCs w:val="20"/>
        </w:rPr>
        <w:t xml:space="preserve">operates in a way that </w:t>
      </w:r>
      <w:r w:rsidR="002C3896" w:rsidRPr="0009058C">
        <w:rPr>
          <w:rFonts w:cs="Arial"/>
          <w:szCs w:val="20"/>
        </w:rPr>
        <w:t>is not transparent for consumers</w:t>
      </w:r>
      <w:r w:rsidRPr="0009058C">
        <w:rPr>
          <w:rFonts w:cs="Arial"/>
          <w:szCs w:val="20"/>
        </w:rPr>
        <w:t xml:space="preserve"> or understood by them at the point of sale</w:t>
      </w:r>
      <w:r w:rsidR="002C3896" w:rsidRPr="0009058C">
        <w:rPr>
          <w:rFonts w:cs="Arial"/>
          <w:szCs w:val="20"/>
        </w:rPr>
        <w:t>; and</w:t>
      </w:r>
    </w:p>
    <w:p w14:paraId="7001C3B4" w14:textId="57ACA488" w:rsidR="002C3896" w:rsidRPr="0009058C" w:rsidRDefault="002C3896" w:rsidP="00AB0F9E">
      <w:pPr>
        <w:pStyle w:val="ListParagraph"/>
        <w:numPr>
          <w:ilvl w:val="0"/>
          <w:numId w:val="13"/>
        </w:numPr>
        <w:spacing w:after="240"/>
        <w:rPr>
          <w:rFonts w:cs="Arial"/>
          <w:szCs w:val="20"/>
        </w:rPr>
      </w:pPr>
      <w:proofErr w:type="gramStart"/>
      <w:r w:rsidRPr="0009058C">
        <w:rPr>
          <w:rFonts w:cs="Arial"/>
          <w:szCs w:val="20"/>
        </w:rPr>
        <w:lastRenderedPageBreak/>
        <w:t>can</w:t>
      </w:r>
      <w:proofErr w:type="gramEnd"/>
      <w:r w:rsidRPr="0009058C">
        <w:rPr>
          <w:rFonts w:cs="Arial"/>
          <w:szCs w:val="20"/>
        </w:rPr>
        <w:t xml:space="preserve"> operate unfairly in any individual transaction.</w:t>
      </w:r>
    </w:p>
    <w:p w14:paraId="247BAACB" w14:textId="0005DC56" w:rsidR="002C3896" w:rsidRDefault="002C3896" w:rsidP="003657F5">
      <w:pPr>
        <w:spacing w:after="240"/>
        <w:rPr>
          <w:rFonts w:cs="Arial"/>
          <w:szCs w:val="20"/>
        </w:rPr>
      </w:pPr>
      <w:r>
        <w:rPr>
          <w:rFonts w:cs="Arial"/>
          <w:szCs w:val="20"/>
        </w:rPr>
        <w:t xml:space="preserve">ASIC has decided to prohibit flex commissions </w:t>
      </w:r>
      <w:r w:rsidR="00EF44F0">
        <w:rPr>
          <w:rFonts w:cs="Arial"/>
          <w:szCs w:val="20"/>
        </w:rPr>
        <w:t xml:space="preserve">through the introduction of a legislative instrument </w:t>
      </w:r>
      <w:r>
        <w:rPr>
          <w:rFonts w:cs="Arial"/>
          <w:szCs w:val="20"/>
        </w:rPr>
        <w:t>as we consider:</w:t>
      </w:r>
    </w:p>
    <w:p w14:paraId="04763F29" w14:textId="7BBCFB00" w:rsidR="002C3896" w:rsidRDefault="002C3896" w:rsidP="00AB0F9E">
      <w:pPr>
        <w:pStyle w:val="ListParagraph"/>
        <w:numPr>
          <w:ilvl w:val="0"/>
          <w:numId w:val="14"/>
        </w:numPr>
        <w:spacing w:after="240"/>
        <w:rPr>
          <w:rFonts w:cs="Arial"/>
          <w:szCs w:val="20"/>
        </w:rPr>
      </w:pPr>
      <w:r>
        <w:rPr>
          <w:rFonts w:cs="Arial"/>
          <w:szCs w:val="20"/>
        </w:rPr>
        <w:t>it</w:t>
      </w:r>
      <w:r w:rsidRPr="002C3896">
        <w:rPr>
          <w:rFonts w:cs="Arial"/>
          <w:szCs w:val="20"/>
        </w:rPr>
        <w:t xml:space="preserve"> is </w:t>
      </w:r>
      <w:r>
        <w:rPr>
          <w:rFonts w:cs="Arial"/>
          <w:szCs w:val="20"/>
        </w:rPr>
        <w:t>the</w:t>
      </w:r>
      <w:r w:rsidRPr="002C3896">
        <w:rPr>
          <w:rFonts w:cs="Arial"/>
          <w:szCs w:val="20"/>
        </w:rPr>
        <w:t xml:space="preserve"> m</w:t>
      </w:r>
      <w:r>
        <w:rPr>
          <w:rFonts w:cs="Arial"/>
          <w:szCs w:val="20"/>
        </w:rPr>
        <w:t xml:space="preserve">ost </w:t>
      </w:r>
      <w:r w:rsidRPr="002C3896">
        <w:rPr>
          <w:rFonts w:cs="Arial"/>
          <w:szCs w:val="20"/>
        </w:rPr>
        <w:t xml:space="preserve">effective way of addressing the identified consumer harm </w:t>
      </w:r>
      <w:r w:rsidR="007B5FA4">
        <w:rPr>
          <w:rFonts w:cs="Arial"/>
          <w:szCs w:val="20"/>
        </w:rPr>
        <w:t>from distortions in pricing that disproportionately affect vulnerable consumers;</w:t>
      </w:r>
    </w:p>
    <w:p w14:paraId="30EB7995" w14:textId="446F1ED2" w:rsidR="002C3896" w:rsidRPr="002C3896" w:rsidRDefault="007B5FA4" w:rsidP="00AB0F9E">
      <w:pPr>
        <w:pStyle w:val="ListParagraph"/>
        <w:numPr>
          <w:ilvl w:val="0"/>
          <w:numId w:val="14"/>
        </w:numPr>
        <w:spacing w:after="240"/>
        <w:rPr>
          <w:rFonts w:cs="Arial"/>
          <w:szCs w:val="20"/>
        </w:rPr>
      </w:pPr>
      <w:r>
        <w:rPr>
          <w:rFonts w:cs="Arial"/>
          <w:szCs w:val="20"/>
        </w:rPr>
        <w:t>i</w:t>
      </w:r>
      <w:r w:rsidR="002C3896" w:rsidRPr="002C3896">
        <w:rPr>
          <w:rFonts w:cs="Arial"/>
          <w:szCs w:val="20"/>
        </w:rPr>
        <w:t xml:space="preserve">t is expected to result in a reduction in average interest rates, as a result of more visible competition through advertising (given the </w:t>
      </w:r>
      <w:r w:rsidR="00911744">
        <w:rPr>
          <w:rFonts w:cs="Arial"/>
          <w:szCs w:val="20"/>
        </w:rPr>
        <w:t xml:space="preserve">practical </w:t>
      </w:r>
      <w:r w:rsidR="002C3896" w:rsidRPr="002C3896">
        <w:rPr>
          <w:rFonts w:cs="Arial"/>
          <w:szCs w:val="20"/>
        </w:rPr>
        <w:t xml:space="preserve">constraints </w:t>
      </w:r>
      <w:r w:rsidR="00911744">
        <w:rPr>
          <w:rFonts w:cs="Arial"/>
          <w:szCs w:val="20"/>
        </w:rPr>
        <w:t xml:space="preserve">on </w:t>
      </w:r>
      <w:r w:rsidR="00911744" w:rsidRPr="002C3896">
        <w:rPr>
          <w:rFonts w:cs="Arial"/>
          <w:szCs w:val="20"/>
        </w:rPr>
        <w:t xml:space="preserve">lenders being able to advertise interest rates </w:t>
      </w:r>
      <w:r w:rsidR="00911744">
        <w:rPr>
          <w:rFonts w:cs="Arial"/>
          <w:szCs w:val="20"/>
        </w:rPr>
        <w:t xml:space="preserve">affected by </w:t>
      </w:r>
      <w:r w:rsidR="002C3896" w:rsidRPr="002C3896">
        <w:rPr>
          <w:rFonts w:cs="Arial"/>
          <w:szCs w:val="20"/>
        </w:rPr>
        <w:t xml:space="preserve">the discretion under flex commissions </w:t>
      </w:r>
      <w:r w:rsidR="00911744">
        <w:rPr>
          <w:rFonts w:cs="Arial"/>
          <w:szCs w:val="20"/>
        </w:rPr>
        <w:t>arrangements</w:t>
      </w:r>
      <w:r w:rsidR="002C3896" w:rsidRPr="002C3896">
        <w:rPr>
          <w:rFonts w:cs="Arial"/>
          <w:szCs w:val="20"/>
        </w:rPr>
        <w:t>), more efficient pricing models, and lower losses through defaults</w:t>
      </w:r>
      <w:r>
        <w:rPr>
          <w:rFonts w:cs="Arial"/>
          <w:szCs w:val="20"/>
        </w:rPr>
        <w:t>; and</w:t>
      </w:r>
    </w:p>
    <w:p w14:paraId="355792DD" w14:textId="00B56834" w:rsidR="002C3896" w:rsidRPr="002C3896" w:rsidRDefault="007B5FA4" w:rsidP="00AB0F9E">
      <w:pPr>
        <w:pStyle w:val="ListParagraph"/>
        <w:numPr>
          <w:ilvl w:val="0"/>
          <w:numId w:val="14"/>
        </w:numPr>
        <w:spacing w:after="240"/>
        <w:rPr>
          <w:rFonts w:cs="Arial"/>
          <w:szCs w:val="20"/>
        </w:rPr>
      </w:pPr>
      <w:proofErr w:type="gramStart"/>
      <w:r>
        <w:rPr>
          <w:rFonts w:cs="Arial"/>
          <w:szCs w:val="20"/>
        </w:rPr>
        <w:t>i</w:t>
      </w:r>
      <w:r w:rsidR="002C3896" w:rsidRPr="002C3896">
        <w:rPr>
          <w:rFonts w:cs="Arial"/>
          <w:szCs w:val="20"/>
        </w:rPr>
        <w:t>t</w:t>
      </w:r>
      <w:proofErr w:type="gramEnd"/>
      <w:r w:rsidR="002C3896" w:rsidRPr="002C3896">
        <w:rPr>
          <w:rFonts w:cs="Arial"/>
          <w:szCs w:val="20"/>
        </w:rPr>
        <w:t xml:space="preserve"> provides a comprehensive and competitively neutral solution where all </w:t>
      </w:r>
      <w:r w:rsidR="00923001">
        <w:rPr>
          <w:rFonts w:cs="Arial"/>
          <w:szCs w:val="20"/>
        </w:rPr>
        <w:t xml:space="preserve">holders of an </w:t>
      </w:r>
      <w:r w:rsidR="00923001" w:rsidRPr="00395962">
        <w:rPr>
          <w:rFonts w:cs="Arial"/>
          <w:szCs w:val="20"/>
        </w:rPr>
        <w:t>Australian credit</w:t>
      </w:r>
      <w:r w:rsidR="00923001" w:rsidRPr="008F3739">
        <w:rPr>
          <w:rFonts w:cs="Arial"/>
          <w:szCs w:val="20"/>
        </w:rPr>
        <w:t xml:space="preserve"> licence</w:t>
      </w:r>
      <w:r w:rsidR="00923001">
        <w:rPr>
          <w:rFonts w:cs="Arial"/>
          <w:szCs w:val="20"/>
        </w:rPr>
        <w:t xml:space="preserve"> (ACL) </w:t>
      </w:r>
      <w:r w:rsidR="002C3896" w:rsidRPr="002C3896">
        <w:rPr>
          <w:rFonts w:cs="Arial"/>
          <w:szCs w:val="20"/>
        </w:rPr>
        <w:t>have to change their commission arrangements in the same way at the same time.</w:t>
      </w:r>
    </w:p>
    <w:p w14:paraId="45C8A382" w14:textId="77777777" w:rsidR="008F1E00" w:rsidRPr="00620D87" w:rsidRDefault="008F1E00" w:rsidP="008F1E00">
      <w:pPr>
        <w:pStyle w:val="Heading2"/>
        <w:spacing w:before="480" w:after="240"/>
        <w:rPr>
          <w:rFonts w:cs="Arial"/>
          <w:szCs w:val="20"/>
        </w:rPr>
      </w:pPr>
      <w:r w:rsidRPr="00620D87">
        <w:rPr>
          <w:rFonts w:cs="Arial"/>
          <w:szCs w:val="20"/>
        </w:rPr>
        <w:t xml:space="preserve">Legislative context </w:t>
      </w:r>
    </w:p>
    <w:p w14:paraId="73BF7C0A" w14:textId="6CC9A23B" w:rsidR="00EB2534" w:rsidRDefault="008F1E00" w:rsidP="008F1E00">
      <w:pPr>
        <w:spacing w:after="240"/>
        <w:rPr>
          <w:rFonts w:cs="Arial"/>
          <w:szCs w:val="20"/>
        </w:rPr>
      </w:pPr>
      <w:r w:rsidRPr="00620D87">
        <w:rPr>
          <w:rFonts w:cs="Arial"/>
          <w:szCs w:val="20"/>
        </w:rPr>
        <w:t xml:space="preserve">Section 47 of the National Credit Act requires </w:t>
      </w:r>
      <w:r w:rsidR="00C54D8D">
        <w:rPr>
          <w:rFonts w:cs="Arial"/>
          <w:szCs w:val="20"/>
        </w:rPr>
        <w:t xml:space="preserve">holders of an </w:t>
      </w:r>
      <w:r w:rsidR="00C54D8D" w:rsidRPr="00395962">
        <w:rPr>
          <w:rFonts w:cs="Arial"/>
          <w:szCs w:val="20"/>
        </w:rPr>
        <w:t>A</w:t>
      </w:r>
      <w:r w:rsidR="00923001">
        <w:rPr>
          <w:rFonts w:cs="Arial"/>
          <w:szCs w:val="20"/>
        </w:rPr>
        <w:t>CL</w:t>
      </w:r>
      <w:r w:rsidR="00C54D8D">
        <w:rPr>
          <w:rFonts w:cs="Arial"/>
          <w:szCs w:val="20"/>
        </w:rPr>
        <w:t xml:space="preserve"> to </w:t>
      </w:r>
      <w:r w:rsidRPr="00620D87">
        <w:rPr>
          <w:rFonts w:cs="Arial"/>
          <w:szCs w:val="20"/>
        </w:rPr>
        <w:t>conduct their business in accordance with a number of specific obligations</w:t>
      </w:r>
      <w:r w:rsidR="00EB2534">
        <w:rPr>
          <w:rFonts w:cs="Arial"/>
          <w:szCs w:val="20"/>
        </w:rPr>
        <w:t>, including obligations:</w:t>
      </w:r>
    </w:p>
    <w:p w14:paraId="466436EC" w14:textId="50C6046C" w:rsidR="00303BFD" w:rsidRDefault="00303BFD" w:rsidP="00AB0F9E">
      <w:pPr>
        <w:pStyle w:val="ListParagraph"/>
        <w:numPr>
          <w:ilvl w:val="0"/>
          <w:numId w:val="15"/>
        </w:numPr>
        <w:spacing w:after="240"/>
        <w:rPr>
          <w:rFonts w:cs="Arial"/>
          <w:szCs w:val="20"/>
        </w:rPr>
      </w:pPr>
      <w:r w:rsidRPr="003657F5">
        <w:rPr>
          <w:rFonts w:cs="Arial"/>
          <w:szCs w:val="20"/>
        </w:rPr>
        <w:t xml:space="preserve">Under </w:t>
      </w:r>
      <w:proofErr w:type="gramStart"/>
      <w:r w:rsidRPr="003657F5">
        <w:rPr>
          <w:rFonts w:cs="Arial"/>
          <w:szCs w:val="20"/>
        </w:rPr>
        <w:t>s47(</w:t>
      </w:r>
      <w:proofErr w:type="gramEnd"/>
      <w:r w:rsidRPr="003657F5">
        <w:rPr>
          <w:rFonts w:cs="Arial"/>
          <w:szCs w:val="20"/>
        </w:rPr>
        <w:t>1)(a)</w:t>
      </w:r>
      <w:r w:rsidR="0046251C">
        <w:rPr>
          <w:rFonts w:cs="Arial"/>
          <w:szCs w:val="20"/>
        </w:rPr>
        <w:t xml:space="preserve"> </w:t>
      </w:r>
      <w:r w:rsidRPr="00303BFD">
        <w:rPr>
          <w:rFonts w:cs="Arial"/>
          <w:szCs w:val="20"/>
        </w:rPr>
        <w:t>—</w:t>
      </w:r>
      <w:r w:rsidR="0046251C">
        <w:rPr>
          <w:rFonts w:cs="Arial"/>
          <w:szCs w:val="20"/>
        </w:rPr>
        <w:t xml:space="preserve"> </w:t>
      </w:r>
      <w:r w:rsidRPr="00303BFD">
        <w:rPr>
          <w:rFonts w:cs="Arial"/>
          <w:szCs w:val="20"/>
        </w:rPr>
        <w:t xml:space="preserve">to </w:t>
      </w:r>
      <w:r w:rsidR="00EB2534" w:rsidRPr="0009058C">
        <w:rPr>
          <w:rFonts w:cs="Arial"/>
          <w:szCs w:val="20"/>
        </w:rPr>
        <w:t>do all things necessary to ensure that the credit activities authorised by the licence are engaged in efficiently, honestly and fairly</w:t>
      </w:r>
      <w:r w:rsidR="00EF44F0">
        <w:rPr>
          <w:rFonts w:cs="Arial"/>
          <w:szCs w:val="20"/>
        </w:rPr>
        <w:t>.</w:t>
      </w:r>
    </w:p>
    <w:p w14:paraId="57E7DCAB" w14:textId="300B7629" w:rsidR="00EB2534" w:rsidRPr="003657F5" w:rsidRDefault="00303BFD" w:rsidP="00AB0F9E">
      <w:pPr>
        <w:pStyle w:val="ListParagraph"/>
        <w:numPr>
          <w:ilvl w:val="0"/>
          <w:numId w:val="15"/>
        </w:numPr>
        <w:spacing w:after="240"/>
        <w:rPr>
          <w:rFonts w:cs="Arial"/>
          <w:szCs w:val="20"/>
        </w:rPr>
      </w:pPr>
      <w:r>
        <w:rPr>
          <w:rFonts w:cs="Arial"/>
          <w:szCs w:val="20"/>
        </w:rPr>
        <w:t xml:space="preserve">Under </w:t>
      </w:r>
      <w:r w:rsidR="00EB2534" w:rsidRPr="003657F5">
        <w:rPr>
          <w:rFonts w:cs="Arial"/>
          <w:szCs w:val="20"/>
        </w:rPr>
        <w:t>s47(1)(b)</w:t>
      </w:r>
      <w:r w:rsidR="0046251C">
        <w:rPr>
          <w:rFonts w:cs="Arial"/>
          <w:szCs w:val="20"/>
        </w:rPr>
        <w:t xml:space="preserve"> </w:t>
      </w:r>
      <w:r w:rsidRPr="00563327">
        <w:rPr>
          <w:rFonts w:cs="Arial"/>
          <w:szCs w:val="20"/>
        </w:rPr>
        <w:t>—</w:t>
      </w:r>
      <w:r w:rsidR="0046251C">
        <w:rPr>
          <w:rFonts w:cs="Arial"/>
          <w:szCs w:val="20"/>
        </w:rPr>
        <w:t xml:space="preserve"> </w:t>
      </w:r>
      <w:r w:rsidR="00EB2534" w:rsidRPr="003657F5">
        <w:rPr>
          <w:rFonts w:cs="Arial"/>
          <w:szCs w:val="20"/>
        </w:rPr>
        <w:t xml:space="preserve">to </w:t>
      </w:r>
      <w:r w:rsidR="00945F5C">
        <w:rPr>
          <w:rFonts w:cs="Arial"/>
          <w:szCs w:val="20"/>
        </w:rPr>
        <w:t xml:space="preserve">have in place adequate arrangements to </w:t>
      </w:r>
      <w:r w:rsidR="00EB2534" w:rsidRPr="003657F5">
        <w:rPr>
          <w:rFonts w:cs="Arial"/>
          <w:szCs w:val="20"/>
        </w:rPr>
        <w:t>ensure that their clients of the licensee are not disadvantaged by any conflic</w:t>
      </w:r>
      <w:r w:rsidR="00EB2534" w:rsidRPr="00303BFD">
        <w:rPr>
          <w:rFonts w:cs="Arial"/>
          <w:szCs w:val="20"/>
        </w:rPr>
        <w:t>t of interest in relation to credit activities engaged in by the licensee or its representatives</w:t>
      </w:r>
      <w:r>
        <w:rPr>
          <w:rFonts w:cs="Arial"/>
          <w:szCs w:val="20"/>
        </w:rPr>
        <w:t>.</w:t>
      </w:r>
    </w:p>
    <w:p w14:paraId="53B00878" w14:textId="37A74F1B" w:rsidR="00CA1C2C" w:rsidRPr="00620D87" w:rsidRDefault="008F1E00" w:rsidP="00212C33">
      <w:pPr>
        <w:spacing w:after="240"/>
        <w:rPr>
          <w:rFonts w:cs="Arial"/>
          <w:szCs w:val="20"/>
        </w:rPr>
      </w:pPr>
      <w:r w:rsidRPr="00620D87">
        <w:rPr>
          <w:rFonts w:cs="Arial"/>
          <w:szCs w:val="20"/>
        </w:rPr>
        <w:t xml:space="preserve">ASIC's view is that </w:t>
      </w:r>
      <w:r w:rsidR="003657F5" w:rsidRPr="00620D87">
        <w:rPr>
          <w:rFonts w:cs="Arial"/>
          <w:szCs w:val="20"/>
        </w:rPr>
        <w:t xml:space="preserve">flex commission arrangements </w:t>
      </w:r>
      <w:r w:rsidRPr="00620D87">
        <w:rPr>
          <w:rFonts w:cs="Arial"/>
          <w:szCs w:val="20"/>
        </w:rPr>
        <w:t>are, by their nature, inconsistent with the expected standards of conduct of a licensee</w:t>
      </w:r>
      <w:r w:rsidR="003657F5">
        <w:rPr>
          <w:rFonts w:cs="Arial"/>
          <w:szCs w:val="20"/>
        </w:rPr>
        <w:t xml:space="preserve"> (for the reasons summarised in Part B above</w:t>
      </w:r>
      <w:r w:rsidR="0046251C">
        <w:rPr>
          <w:rFonts w:cs="Arial"/>
          <w:szCs w:val="20"/>
        </w:rPr>
        <w:t xml:space="preserve">, and as discussed in detail in ASIC's RIS). </w:t>
      </w:r>
    </w:p>
    <w:p w14:paraId="3AFF81D8" w14:textId="73492D10" w:rsidR="004A6A57" w:rsidRPr="00620D87" w:rsidRDefault="004A6A57" w:rsidP="000C1414">
      <w:pPr>
        <w:pStyle w:val="Heading1"/>
        <w:spacing w:before="480" w:after="240"/>
        <w:rPr>
          <w:szCs w:val="20"/>
        </w:rPr>
      </w:pPr>
      <w:r w:rsidRPr="00620D87">
        <w:rPr>
          <w:szCs w:val="20"/>
        </w:rPr>
        <w:t xml:space="preserve">Purpose of the </w:t>
      </w:r>
      <w:r w:rsidR="000846E8" w:rsidRPr="00620D87">
        <w:rPr>
          <w:szCs w:val="20"/>
        </w:rPr>
        <w:t>legislative instrument</w:t>
      </w:r>
    </w:p>
    <w:p w14:paraId="3441C86A" w14:textId="62A0B3AD" w:rsidR="00D413A4" w:rsidRPr="00620D87" w:rsidRDefault="00D413A4" w:rsidP="00D413A4">
      <w:pPr>
        <w:spacing w:after="240"/>
        <w:rPr>
          <w:rFonts w:cs="Arial"/>
          <w:szCs w:val="20"/>
        </w:rPr>
      </w:pPr>
      <w:r w:rsidRPr="00620D87">
        <w:rPr>
          <w:rFonts w:cs="Arial"/>
          <w:szCs w:val="20"/>
        </w:rPr>
        <w:t xml:space="preserve">The objectives of the </w:t>
      </w:r>
      <w:r w:rsidR="00B4670D">
        <w:rPr>
          <w:rFonts w:cs="Arial"/>
          <w:szCs w:val="20"/>
        </w:rPr>
        <w:t xml:space="preserve">instrument </w:t>
      </w:r>
      <w:r w:rsidRPr="00620D87">
        <w:rPr>
          <w:rFonts w:cs="Arial"/>
          <w:szCs w:val="20"/>
        </w:rPr>
        <w:t>are to:</w:t>
      </w:r>
    </w:p>
    <w:p w14:paraId="5AB26279" w14:textId="09F98EB1" w:rsidR="00D413A4" w:rsidRPr="00620D87" w:rsidRDefault="00D413A4" w:rsidP="00AB0F9E">
      <w:pPr>
        <w:pStyle w:val="ListParagraph"/>
        <w:numPr>
          <w:ilvl w:val="0"/>
          <w:numId w:val="3"/>
        </w:numPr>
        <w:spacing w:after="240"/>
        <w:rPr>
          <w:rFonts w:cs="Arial"/>
          <w:szCs w:val="20"/>
        </w:rPr>
      </w:pPr>
      <w:r w:rsidRPr="00620D87">
        <w:rPr>
          <w:rFonts w:cs="Arial"/>
          <w:szCs w:val="20"/>
        </w:rPr>
        <w:t>Prohibit the payment of flex-commissions</w:t>
      </w:r>
      <w:r w:rsidR="0046251C">
        <w:rPr>
          <w:rFonts w:cs="Arial"/>
          <w:szCs w:val="20"/>
        </w:rPr>
        <w:t xml:space="preserve"> </w:t>
      </w:r>
      <w:r w:rsidRPr="00620D87">
        <w:rPr>
          <w:rFonts w:cs="Arial"/>
          <w:szCs w:val="20"/>
        </w:rPr>
        <w:t>(that is, arrangements with adverse consequences to the consumer where the higher the cost of credit the greater the commissions earnt).</w:t>
      </w:r>
    </w:p>
    <w:p w14:paraId="08789F3E" w14:textId="5808905A" w:rsidR="00D413A4" w:rsidRPr="00620D87" w:rsidRDefault="00D413A4" w:rsidP="00AB0F9E">
      <w:pPr>
        <w:pStyle w:val="ListParagraph"/>
        <w:numPr>
          <w:ilvl w:val="0"/>
          <w:numId w:val="3"/>
        </w:numPr>
        <w:spacing w:after="240"/>
        <w:rPr>
          <w:rFonts w:cs="Arial"/>
          <w:szCs w:val="20"/>
        </w:rPr>
      </w:pPr>
      <w:r w:rsidRPr="00620D87">
        <w:rPr>
          <w:rFonts w:cs="Arial"/>
          <w:szCs w:val="20"/>
        </w:rPr>
        <w:t xml:space="preserve">Provide for a limited exception to the prohibition that </w:t>
      </w:r>
      <w:r w:rsidR="00EF44F0" w:rsidRPr="00620D87">
        <w:rPr>
          <w:rFonts w:cs="Arial"/>
          <w:szCs w:val="20"/>
        </w:rPr>
        <w:t>allow</w:t>
      </w:r>
      <w:r w:rsidR="00EF44F0">
        <w:rPr>
          <w:rFonts w:cs="Arial"/>
          <w:szCs w:val="20"/>
        </w:rPr>
        <w:t>s</w:t>
      </w:r>
      <w:r w:rsidR="00EF44F0" w:rsidRPr="00620D87">
        <w:rPr>
          <w:rFonts w:cs="Arial"/>
          <w:szCs w:val="20"/>
        </w:rPr>
        <w:t xml:space="preserve"> lower commissions to be paid where the price of credit reduces </w:t>
      </w:r>
      <w:r w:rsidR="00EF44F0">
        <w:rPr>
          <w:rFonts w:cs="Arial"/>
          <w:szCs w:val="20"/>
        </w:rPr>
        <w:t xml:space="preserve">so that the outcome provides a benefit to </w:t>
      </w:r>
      <w:r w:rsidRPr="00620D87">
        <w:rPr>
          <w:rFonts w:cs="Arial"/>
          <w:szCs w:val="20"/>
        </w:rPr>
        <w:t>the consumer</w:t>
      </w:r>
      <w:r w:rsidR="00EF44F0">
        <w:rPr>
          <w:rFonts w:cs="Arial"/>
          <w:szCs w:val="20"/>
        </w:rPr>
        <w:t>.</w:t>
      </w:r>
      <w:r w:rsidRPr="00620D87">
        <w:rPr>
          <w:rFonts w:cs="Arial"/>
          <w:szCs w:val="20"/>
        </w:rPr>
        <w:t xml:space="preserve"> </w:t>
      </w:r>
    </w:p>
    <w:p w14:paraId="1F1D65ED" w14:textId="7D564039" w:rsidR="00302D90" w:rsidRDefault="00D413A4" w:rsidP="00302D90">
      <w:pPr>
        <w:pStyle w:val="ListParagraph"/>
        <w:numPr>
          <w:ilvl w:val="0"/>
          <w:numId w:val="3"/>
        </w:numPr>
        <w:spacing w:after="240"/>
        <w:rPr>
          <w:rFonts w:cs="Arial"/>
          <w:szCs w:val="20"/>
        </w:rPr>
      </w:pPr>
      <w:r w:rsidRPr="00620D87">
        <w:rPr>
          <w:rFonts w:cs="Arial"/>
          <w:szCs w:val="20"/>
        </w:rPr>
        <w:t>Address the risk of avoidance by casting the prohibition in broad terms</w:t>
      </w:r>
      <w:r w:rsidR="00923001">
        <w:rPr>
          <w:rFonts w:cs="Arial"/>
          <w:szCs w:val="20"/>
        </w:rPr>
        <w:t xml:space="preserve"> (including addressing conduct in relation to consumer leases and some fees and charges)</w:t>
      </w:r>
      <w:r w:rsidRPr="00620D87">
        <w:rPr>
          <w:rFonts w:cs="Arial"/>
          <w:szCs w:val="20"/>
        </w:rPr>
        <w:t xml:space="preserve">. </w:t>
      </w:r>
    </w:p>
    <w:p w14:paraId="50AE7FFC" w14:textId="12F4AFCD" w:rsidR="00302D90" w:rsidRDefault="00302D90" w:rsidP="00302D90">
      <w:pPr>
        <w:spacing w:after="240"/>
        <w:rPr>
          <w:rFonts w:cs="Arial"/>
          <w:szCs w:val="20"/>
        </w:rPr>
      </w:pPr>
      <w:r w:rsidRPr="00B9737F">
        <w:rPr>
          <w:rFonts w:cs="Arial"/>
          <w:szCs w:val="20"/>
        </w:rPr>
        <w:t xml:space="preserve">ASIC proposes to monitor the </w:t>
      </w:r>
      <w:r>
        <w:rPr>
          <w:rFonts w:cs="Arial"/>
          <w:szCs w:val="20"/>
        </w:rPr>
        <w:t>effectiveness of the legislative instrument by requiring holders of an ACL to provide ASIC with information about the annual percentage rate and the credit fees and charges under their credit contracts both before and after the commencement of the instrument (</w:t>
      </w:r>
      <w:r w:rsidRPr="00B9737F">
        <w:rPr>
          <w:rFonts w:cs="Arial"/>
          <w:szCs w:val="20"/>
        </w:rPr>
        <w:t xml:space="preserve">through its existing powers under the National Credit Act). </w:t>
      </w:r>
    </w:p>
    <w:p w14:paraId="35043648" w14:textId="7A73E6A9" w:rsidR="00A20DF4" w:rsidRPr="00C54D8D" w:rsidRDefault="00302D90" w:rsidP="00A20DF4">
      <w:pPr>
        <w:spacing w:after="240"/>
        <w:rPr>
          <w:rFonts w:cs="Arial"/>
          <w:szCs w:val="20"/>
        </w:rPr>
      </w:pPr>
      <w:r w:rsidRPr="00B9737F">
        <w:rPr>
          <w:rFonts w:cs="Arial"/>
          <w:szCs w:val="20"/>
        </w:rPr>
        <w:t xml:space="preserve">This will enable </w:t>
      </w:r>
      <w:r>
        <w:rPr>
          <w:rFonts w:cs="Arial"/>
          <w:szCs w:val="20"/>
        </w:rPr>
        <w:t>ASIC</w:t>
      </w:r>
      <w:r w:rsidRPr="00B9737F">
        <w:rPr>
          <w:rFonts w:cs="Arial"/>
          <w:szCs w:val="20"/>
        </w:rPr>
        <w:t xml:space="preserve"> to </w:t>
      </w:r>
      <w:r w:rsidR="00C54D8D">
        <w:rPr>
          <w:rFonts w:cs="Arial"/>
          <w:szCs w:val="20"/>
        </w:rPr>
        <w:t xml:space="preserve">identify practices </w:t>
      </w:r>
      <w:r>
        <w:rPr>
          <w:rFonts w:cs="Arial"/>
          <w:szCs w:val="20"/>
        </w:rPr>
        <w:t>that may seek to avoid or reduce the effectiveness of the changes introduced by the legislative instrument</w:t>
      </w:r>
      <w:r w:rsidR="009F49CE">
        <w:rPr>
          <w:rFonts w:cs="Arial"/>
          <w:szCs w:val="20"/>
        </w:rPr>
        <w:t>,</w:t>
      </w:r>
      <w:r>
        <w:rPr>
          <w:rFonts w:cs="Arial"/>
          <w:szCs w:val="20"/>
        </w:rPr>
        <w:t xml:space="preserve"> </w:t>
      </w:r>
      <w:r w:rsidRPr="00B9737F">
        <w:rPr>
          <w:rFonts w:cs="Arial"/>
          <w:szCs w:val="20"/>
        </w:rPr>
        <w:t xml:space="preserve">and determine whether further modification of the </w:t>
      </w:r>
      <w:r w:rsidRPr="00B9737F">
        <w:rPr>
          <w:rFonts w:cs="Arial"/>
          <w:szCs w:val="20"/>
        </w:rPr>
        <w:lastRenderedPageBreak/>
        <w:t xml:space="preserve">National Credit Act </w:t>
      </w:r>
      <w:r w:rsidR="00923001">
        <w:rPr>
          <w:rFonts w:cs="Arial"/>
          <w:szCs w:val="20"/>
        </w:rPr>
        <w:t>is</w:t>
      </w:r>
      <w:r w:rsidRPr="00B9737F">
        <w:rPr>
          <w:rFonts w:cs="Arial"/>
          <w:szCs w:val="20"/>
        </w:rPr>
        <w:t xml:space="preserve"> required to </w:t>
      </w:r>
      <w:r w:rsidR="009F49CE">
        <w:rPr>
          <w:rFonts w:cs="Arial"/>
          <w:szCs w:val="20"/>
        </w:rPr>
        <w:t xml:space="preserve">respond to any such conduct. </w:t>
      </w:r>
      <w:r w:rsidR="00A20DF4" w:rsidRPr="00C54D8D">
        <w:rPr>
          <w:rFonts w:cs="Arial"/>
          <w:szCs w:val="20"/>
        </w:rPr>
        <w:t>If, for example, ASIC found that a significant percentage of</w:t>
      </w:r>
      <w:r w:rsidR="00D87283">
        <w:rPr>
          <w:rFonts w:cs="Arial"/>
          <w:szCs w:val="20"/>
        </w:rPr>
        <w:t xml:space="preserve"> </w:t>
      </w:r>
      <w:r w:rsidR="00A20DF4" w:rsidRPr="00C54D8D">
        <w:rPr>
          <w:rFonts w:cs="Arial"/>
          <w:szCs w:val="20"/>
        </w:rPr>
        <w:t xml:space="preserve">consumers </w:t>
      </w:r>
      <w:r w:rsidR="00C54D8D" w:rsidRPr="00C54D8D">
        <w:rPr>
          <w:rFonts w:cs="Arial"/>
          <w:szCs w:val="20"/>
        </w:rPr>
        <w:t>who c</w:t>
      </w:r>
      <w:r w:rsidR="00923001">
        <w:rPr>
          <w:rFonts w:cs="Arial"/>
          <w:szCs w:val="20"/>
        </w:rPr>
        <w:t xml:space="preserve">an </w:t>
      </w:r>
      <w:r w:rsidR="00C54D8D" w:rsidRPr="00C54D8D">
        <w:rPr>
          <w:rFonts w:cs="Arial"/>
          <w:szCs w:val="20"/>
        </w:rPr>
        <w:t xml:space="preserve">be characterised as financially vulnerable </w:t>
      </w:r>
      <w:r w:rsidR="00A20DF4" w:rsidRPr="00C54D8D">
        <w:rPr>
          <w:rFonts w:cs="Arial"/>
          <w:szCs w:val="20"/>
        </w:rPr>
        <w:t xml:space="preserve">were being provided credit contracts with </w:t>
      </w:r>
      <w:r w:rsidR="00D87283">
        <w:rPr>
          <w:rFonts w:cs="Arial"/>
          <w:szCs w:val="20"/>
        </w:rPr>
        <w:t xml:space="preserve">excessive annual percentage rates, that may raise questions as to whether the </w:t>
      </w:r>
      <w:r w:rsidR="00923001">
        <w:rPr>
          <w:rFonts w:cs="Arial"/>
          <w:szCs w:val="20"/>
        </w:rPr>
        <w:t xml:space="preserve">licensee was engaging in </w:t>
      </w:r>
      <w:r w:rsidR="00D87283">
        <w:rPr>
          <w:rFonts w:cs="Arial"/>
          <w:szCs w:val="20"/>
        </w:rPr>
        <w:t>credit activities</w:t>
      </w:r>
      <w:r w:rsidR="00D87283" w:rsidRPr="00323278">
        <w:rPr>
          <w:rFonts w:cs="Arial"/>
          <w:szCs w:val="20"/>
        </w:rPr>
        <w:t xml:space="preserve"> engaged in efficiently, honestly and fairly</w:t>
      </w:r>
      <w:r w:rsidR="00D87283">
        <w:rPr>
          <w:rFonts w:cs="Arial"/>
          <w:szCs w:val="20"/>
        </w:rPr>
        <w:t xml:space="preserve"> and whether c</w:t>
      </w:r>
      <w:r w:rsidR="00EC77A9">
        <w:rPr>
          <w:rFonts w:cs="Arial"/>
          <w:szCs w:val="20"/>
        </w:rPr>
        <w:t xml:space="preserve">onsumers </w:t>
      </w:r>
      <w:r w:rsidR="00D87283">
        <w:rPr>
          <w:rFonts w:cs="Arial"/>
          <w:szCs w:val="20"/>
        </w:rPr>
        <w:t xml:space="preserve">were </w:t>
      </w:r>
      <w:r w:rsidR="00EC77A9">
        <w:rPr>
          <w:rFonts w:cs="Arial"/>
          <w:szCs w:val="20"/>
        </w:rPr>
        <w:t xml:space="preserve">continuing to </w:t>
      </w:r>
      <w:r w:rsidR="00D87283">
        <w:rPr>
          <w:rFonts w:cs="Arial"/>
          <w:szCs w:val="20"/>
        </w:rPr>
        <w:t>be disadvantaged by any conflicts of interest</w:t>
      </w:r>
      <w:r w:rsidR="00A20DF4" w:rsidRPr="00C54D8D">
        <w:rPr>
          <w:rFonts w:cs="Arial"/>
          <w:szCs w:val="20"/>
        </w:rPr>
        <w:t xml:space="preserve">. </w:t>
      </w:r>
      <w:r w:rsidR="00C54D8D" w:rsidRPr="00C54D8D">
        <w:rPr>
          <w:rFonts w:cs="Arial"/>
          <w:szCs w:val="20"/>
        </w:rPr>
        <w:t xml:space="preserve">Licensees </w:t>
      </w:r>
      <w:r w:rsidR="00A20DF4" w:rsidRPr="00C54D8D">
        <w:rPr>
          <w:rFonts w:cs="Arial"/>
          <w:szCs w:val="20"/>
        </w:rPr>
        <w:t>can reasonably expect</w:t>
      </w:r>
      <w:r w:rsidR="00C54D8D" w:rsidRPr="00C54D8D">
        <w:rPr>
          <w:rFonts w:cs="Arial"/>
          <w:szCs w:val="20"/>
        </w:rPr>
        <w:t xml:space="preserve"> </w:t>
      </w:r>
      <w:r w:rsidR="00A20DF4" w:rsidRPr="00C54D8D">
        <w:rPr>
          <w:rFonts w:cs="Arial"/>
          <w:szCs w:val="20"/>
        </w:rPr>
        <w:t xml:space="preserve">that ASIC would </w:t>
      </w:r>
      <w:r w:rsidR="00C54D8D" w:rsidRPr="00C54D8D">
        <w:rPr>
          <w:rFonts w:cs="Arial"/>
          <w:szCs w:val="20"/>
        </w:rPr>
        <w:t xml:space="preserve">investigate the reasons for such an outcome and, if necessary, </w:t>
      </w:r>
      <w:r w:rsidR="00A20DF4" w:rsidRPr="00C54D8D">
        <w:rPr>
          <w:rFonts w:cs="Arial"/>
          <w:szCs w:val="20"/>
        </w:rPr>
        <w:t xml:space="preserve">introduce further obligations to address the practices driving these outcomes.  </w:t>
      </w:r>
    </w:p>
    <w:p w14:paraId="0F43FDFB" w14:textId="110BA3CF" w:rsidR="006611B0" w:rsidRPr="00620D87" w:rsidRDefault="006611B0" w:rsidP="000C1414">
      <w:pPr>
        <w:pStyle w:val="Heading1"/>
        <w:spacing w:before="480" w:after="240"/>
        <w:rPr>
          <w:szCs w:val="20"/>
        </w:rPr>
      </w:pPr>
      <w:r w:rsidRPr="00620D87">
        <w:rPr>
          <w:szCs w:val="20"/>
        </w:rPr>
        <w:t xml:space="preserve">Operation of the </w:t>
      </w:r>
      <w:r w:rsidR="00B4670D">
        <w:rPr>
          <w:szCs w:val="20"/>
        </w:rPr>
        <w:t>legislative instrument</w:t>
      </w:r>
    </w:p>
    <w:p w14:paraId="75AE7ACA" w14:textId="1AA49E7C" w:rsidR="00C54D8D" w:rsidRPr="000C574F" w:rsidRDefault="00C54D8D" w:rsidP="00C54D8D">
      <w:pPr>
        <w:spacing w:after="240"/>
        <w:rPr>
          <w:rFonts w:cs="Arial"/>
          <w:szCs w:val="20"/>
        </w:rPr>
      </w:pPr>
      <w:r w:rsidRPr="00620D87">
        <w:rPr>
          <w:rFonts w:cs="Arial"/>
          <w:szCs w:val="20"/>
        </w:rPr>
        <w:t>Th</w:t>
      </w:r>
      <w:r w:rsidR="00945F5C">
        <w:rPr>
          <w:rFonts w:cs="Arial"/>
          <w:szCs w:val="20"/>
        </w:rPr>
        <w:t>is</w:t>
      </w:r>
      <w:r w:rsidRPr="00620D87">
        <w:rPr>
          <w:rFonts w:cs="Arial"/>
          <w:szCs w:val="20"/>
        </w:rPr>
        <w:t xml:space="preserve"> </w:t>
      </w:r>
      <w:r>
        <w:rPr>
          <w:rFonts w:cs="Arial"/>
          <w:szCs w:val="20"/>
        </w:rPr>
        <w:t xml:space="preserve">part of the Explanatory Statement primarily </w:t>
      </w:r>
      <w:r w:rsidRPr="00620D87">
        <w:rPr>
          <w:rFonts w:cs="Arial"/>
          <w:szCs w:val="20"/>
        </w:rPr>
        <w:t xml:space="preserve">describes </w:t>
      </w:r>
      <w:r>
        <w:rPr>
          <w:rFonts w:cs="Arial"/>
          <w:szCs w:val="20"/>
        </w:rPr>
        <w:t>the</w:t>
      </w:r>
      <w:r w:rsidRPr="00620D87">
        <w:rPr>
          <w:rFonts w:cs="Arial"/>
          <w:szCs w:val="20"/>
        </w:rPr>
        <w:t xml:space="preserve"> operation </w:t>
      </w:r>
      <w:r>
        <w:rPr>
          <w:rFonts w:cs="Arial"/>
          <w:szCs w:val="20"/>
        </w:rPr>
        <w:t xml:space="preserve">of the legislative instrument </w:t>
      </w:r>
      <w:r w:rsidRPr="00620D87">
        <w:rPr>
          <w:rFonts w:cs="Arial"/>
          <w:szCs w:val="20"/>
        </w:rPr>
        <w:t xml:space="preserve">by reference to credit contracts </w:t>
      </w:r>
      <w:r>
        <w:rPr>
          <w:rFonts w:cs="Arial"/>
          <w:szCs w:val="20"/>
        </w:rPr>
        <w:t xml:space="preserve">(to limit the extent to which there is repetition). </w:t>
      </w:r>
      <w:r w:rsidR="00945F5C">
        <w:rPr>
          <w:rFonts w:cs="Arial"/>
          <w:szCs w:val="20"/>
        </w:rPr>
        <w:t xml:space="preserve">The legislative instrument also operates in relation to certain consumer leases. </w:t>
      </w:r>
      <w:r>
        <w:rPr>
          <w:rFonts w:cs="Arial"/>
          <w:szCs w:val="20"/>
        </w:rPr>
        <w:t xml:space="preserve">Specific references to </w:t>
      </w:r>
      <w:r w:rsidRPr="00620D87">
        <w:rPr>
          <w:rFonts w:cs="Arial"/>
          <w:szCs w:val="20"/>
        </w:rPr>
        <w:t>consumer leases</w:t>
      </w:r>
      <w:r>
        <w:rPr>
          <w:rFonts w:cs="Arial"/>
          <w:szCs w:val="20"/>
        </w:rPr>
        <w:t xml:space="preserve"> are limited to situations where the difference in legal structure affects the way in which the provisions apply. </w:t>
      </w:r>
      <w:r>
        <w:t xml:space="preserve">As discussed in detail in the RIS </w:t>
      </w:r>
      <w:r w:rsidRPr="00620D87">
        <w:t xml:space="preserve">flex commission arrangements do not currently operate in </w:t>
      </w:r>
      <w:r>
        <w:t>relation to consumer leases</w:t>
      </w:r>
      <w:r w:rsidRPr="00620D87">
        <w:t>. However, extending the application of the instrument to consumer leases ensure</w:t>
      </w:r>
      <w:r>
        <w:t>s</w:t>
      </w:r>
      <w:r w:rsidRPr="00620D87">
        <w:t xml:space="preserve"> </w:t>
      </w:r>
      <w:r>
        <w:t xml:space="preserve">competitive </w:t>
      </w:r>
      <w:r w:rsidRPr="00620D87">
        <w:t>neutrality and address</w:t>
      </w:r>
      <w:r>
        <w:t>es</w:t>
      </w:r>
      <w:r w:rsidRPr="00620D87">
        <w:t xml:space="preserve"> the risk of arbitrage</w:t>
      </w:r>
      <w:r>
        <w:t xml:space="preserve">. If the prohibition did not extend to </w:t>
      </w:r>
      <w:r w:rsidRPr="00620D87">
        <w:t>consumer leases</w:t>
      </w:r>
      <w:r>
        <w:t xml:space="preserve"> there is a risk that 'flex-commission' practices could migrate to this product, with </w:t>
      </w:r>
      <w:r w:rsidRPr="00620D87">
        <w:t xml:space="preserve">intermediaries </w:t>
      </w:r>
      <w:r>
        <w:t xml:space="preserve">encouraging consumers to </w:t>
      </w:r>
      <w:r w:rsidRPr="00620D87">
        <w:t>financ</w:t>
      </w:r>
      <w:r>
        <w:t>e</w:t>
      </w:r>
      <w:r w:rsidRPr="00620D87">
        <w:t xml:space="preserve"> car</w:t>
      </w:r>
      <w:r w:rsidR="00923001">
        <w:t>s</w:t>
      </w:r>
      <w:r w:rsidRPr="00620D87">
        <w:t xml:space="preserve"> through consumer leases rather than credit contracts</w:t>
      </w:r>
      <w:r>
        <w:t>.</w:t>
      </w:r>
      <w:r w:rsidRPr="00620D87">
        <w:t xml:space="preserve"> </w:t>
      </w:r>
    </w:p>
    <w:p w14:paraId="1179C867" w14:textId="7D68921D" w:rsidR="00C109E2" w:rsidRDefault="00D413A4" w:rsidP="00C109E2">
      <w:pPr>
        <w:spacing w:after="240"/>
        <w:rPr>
          <w:rFonts w:cs="Arial"/>
          <w:szCs w:val="20"/>
          <w:u w:val="single"/>
        </w:rPr>
      </w:pPr>
      <w:r>
        <w:rPr>
          <w:rFonts w:cs="Arial"/>
          <w:szCs w:val="20"/>
          <w:u w:val="single"/>
        </w:rPr>
        <w:t xml:space="preserve">Summary of Provisions </w:t>
      </w:r>
    </w:p>
    <w:p w14:paraId="2F95D199" w14:textId="34CA25CD" w:rsidR="00945F5C" w:rsidRDefault="00945F5C" w:rsidP="00D413A4">
      <w:pPr>
        <w:spacing w:after="240"/>
        <w:rPr>
          <w:rFonts w:cs="Arial"/>
          <w:szCs w:val="20"/>
        </w:rPr>
      </w:pPr>
      <w:r>
        <w:rPr>
          <w:rFonts w:cs="Arial"/>
          <w:szCs w:val="20"/>
        </w:rPr>
        <w:t>The following provides a high level summary of key provisions. More detailed information about their operation is contained later in this Explanatory Statement.</w:t>
      </w:r>
    </w:p>
    <w:p w14:paraId="4337CF45" w14:textId="27905190" w:rsidR="00157DC7" w:rsidRDefault="00B4670D" w:rsidP="00D413A4">
      <w:pPr>
        <w:spacing w:after="240"/>
        <w:rPr>
          <w:rFonts w:cs="Arial"/>
          <w:szCs w:val="20"/>
        </w:rPr>
      </w:pPr>
      <w:r>
        <w:rPr>
          <w:rFonts w:cs="Arial"/>
          <w:szCs w:val="20"/>
        </w:rPr>
        <w:t xml:space="preserve">The instrument inserts new </w:t>
      </w:r>
      <w:r w:rsidR="003B1631">
        <w:rPr>
          <w:rFonts w:cs="Arial"/>
          <w:szCs w:val="20"/>
        </w:rPr>
        <w:t xml:space="preserve">(modified) </w:t>
      </w:r>
      <w:r>
        <w:rPr>
          <w:rFonts w:cs="Arial"/>
          <w:szCs w:val="20"/>
        </w:rPr>
        <w:t>section</w:t>
      </w:r>
      <w:r w:rsidR="00080780">
        <w:rPr>
          <w:rFonts w:cs="Arial"/>
          <w:szCs w:val="20"/>
        </w:rPr>
        <w:t>s</w:t>
      </w:r>
      <w:r>
        <w:rPr>
          <w:rFonts w:cs="Arial"/>
          <w:szCs w:val="20"/>
        </w:rPr>
        <w:t xml:space="preserve"> 53A</w:t>
      </w:r>
      <w:r w:rsidR="000553A2">
        <w:rPr>
          <w:rFonts w:cs="Arial"/>
          <w:szCs w:val="20"/>
        </w:rPr>
        <w:t xml:space="preserve"> and</w:t>
      </w:r>
      <w:r w:rsidR="00157DC7">
        <w:rPr>
          <w:rFonts w:cs="Arial"/>
          <w:szCs w:val="20"/>
        </w:rPr>
        <w:t xml:space="preserve"> 53B</w:t>
      </w:r>
      <w:r w:rsidR="00080780">
        <w:rPr>
          <w:rFonts w:cs="Arial"/>
          <w:szCs w:val="20"/>
        </w:rPr>
        <w:t xml:space="preserve"> into the National Credit Act</w:t>
      </w:r>
      <w:r>
        <w:rPr>
          <w:rFonts w:cs="Arial"/>
          <w:szCs w:val="20"/>
        </w:rPr>
        <w:t>. Th</w:t>
      </w:r>
      <w:r w:rsidR="00B825A4">
        <w:rPr>
          <w:rFonts w:cs="Arial"/>
          <w:szCs w:val="20"/>
        </w:rPr>
        <w:t>e</w:t>
      </w:r>
      <w:r>
        <w:rPr>
          <w:rFonts w:cs="Arial"/>
          <w:szCs w:val="20"/>
        </w:rPr>
        <w:t xml:space="preserve"> new section</w:t>
      </w:r>
      <w:r w:rsidR="00157DC7">
        <w:rPr>
          <w:rFonts w:cs="Arial"/>
          <w:szCs w:val="20"/>
        </w:rPr>
        <w:t>s</w:t>
      </w:r>
      <w:r w:rsidR="00911744">
        <w:rPr>
          <w:rFonts w:cs="Arial"/>
          <w:szCs w:val="20"/>
        </w:rPr>
        <w:t xml:space="preserve"> create obligation</w:t>
      </w:r>
      <w:r w:rsidR="003B1631">
        <w:rPr>
          <w:rFonts w:cs="Arial"/>
          <w:szCs w:val="20"/>
        </w:rPr>
        <w:t>s</w:t>
      </w:r>
      <w:r w:rsidR="00911744">
        <w:rPr>
          <w:rFonts w:cs="Arial"/>
          <w:szCs w:val="20"/>
        </w:rPr>
        <w:t xml:space="preserve"> on licensees and some exempt special purpose funding entities</w:t>
      </w:r>
      <w:r w:rsidR="009D3BFF">
        <w:rPr>
          <w:rFonts w:cs="Arial"/>
          <w:szCs w:val="20"/>
        </w:rPr>
        <w:t xml:space="preserve"> involved in providing credit contracts or consumer leases</w:t>
      </w:r>
      <w:r w:rsidR="00911744">
        <w:rPr>
          <w:rFonts w:cs="Arial"/>
          <w:szCs w:val="20"/>
        </w:rPr>
        <w:t xml:space="preserve"> to not pay benefits, including commissions, to a person who introduces </w:t>
      </w:r>
      <w:r w:rsidR="009D3BFF">
        <w:rPr>
          <w:rFonts w:cs="Arial"/>
          <w:szCs w:val="20"/>
        </w:rPr>
        <w:t xml:space="preserve">that </w:t>
      </w:r>
      <w:r w:rsidR="00911744">
        <w:rPr>
          <w:rFonts w:cs="Arial"/>
          <w:szCs w:val="20"/>
        </w:rPr>
        <w:t xml:space="preserve">business if that person has a discretion to influence the </w:t>
      </w:r>
      <w:r w:rsidR="009D3BFF">
        <w:rPr>
          <w:rFonts w:cs="Arial"/>
          <w:szCs w:val="20"/>
        </w:rPr>
        <w:t xml:space="preserve">cost paid by </w:t>
      </w:r>
      <w:r w:rsidR="00911744">
        <w:rPr>
          <w:rFonts w:cs="Arial"/>
          <w:szCs w:val="20"/>
        </w:rPr>
        <w:t>the consumer and the amount of the</w:t>
      </w:r>
      <w:r w:rsidR="009D3BFF">
        <w:rPr>
          <w:rFonts w:cs="Arial"/>
          <w:szCs w:val="20"/>
        </w:rPr>
        <w:t>ir</w:t>
      </w:r>
      <w:r w:rsidR="00911744">
        <w:rPr>
          <w:rFonts w:cs="Arial"/>
          <w:szCs w:val="20"/>
        </w:rPr>
        <w:t xml:space="preserve"> benefit is determined by </w:t>
      </w:r>
      <w:r w:rsidR="009D3BFF">
        <w:rPr>
          <w:rFonts w:cs="Arial"/>
          <w:szCs w:val="20"/>
        </w:rPr>
        <w:t xml:space="preserve">reference to </w:t>
      </w:r>
      <w:r w:rsidR="00911744">
        <w:rPr>
          <w:rFonts w:cs="Arial"/>
          <w:szCs w:val="20"/>
        </w:rPr>
        <w:t xml:space="preserve">that cost. </w:t>
      </w:r>
    </w:p>
    <w:p w14:paraId="4E39EB24" w14:textId="097887C2" w:rsidR="00D413A4" w:rsidRPr="00620D87" w:rsidRDefault="00911744" w:rsidP="00D413A4">
      <w:pPr>
        <w:spacing w:after="240"/>
        <w:rPr>
          <w:rFonts w:cs="Arial"/>
          <w:szCs w:val="20"/>
        </w:rPr>
      </w:pPr>
      <w:r>
        <w:rPr>
          <w:rFonts w:cs="Arial"/>
          <w:szCs w:val="20"/>
        </w:rPr>
        <w:t xml:space="preserve">The </w:t>
      </w:r>
      <w:r w:rsidR="00C54D8D">
        <w:rPr>
          <w:rFonts w:cs="Arial"/>
          <w:szCs w:val="20"/>
        </w:rPr>
        <w:t xml:space="preserve">key </w:t>
      </w:r>
      <w:r w:rsidR="00080780">
        <w:rPr>
          <w:rFonts w:cs="Arial"/>
          <w:szCs w:val="20"/>
        </w:rPr>
        <w:t xml:space="preserve">provisions </w:t>
      </w:r>
      <w:r w:rsidR="00C54D8D">
        <w:rPr>
          <w:rFonts w:cs="Arial"/>
          <w:szCs w:val="20"/>
        </w:rPr>
        <w:t>are</w:t>
      </w:r>
      <w:r w:rsidR="00D413A4" w:rsidRPr="00620D87">
        <w:rPr>
          <w:rFonts w:cs="Arial"/>
          <w:szCs w:val="20"/>
        </w:rPr>
        <w:t>:</w:t>
      </w:r>
    </w:p>
    <w:p w14:paraId="6695BF34" w14:textId="4F7EC29B" w:rsidR="000553A2" w:rsidRPr="000553A2" w:rsidRDefault="00945F5C" w:rsidP="00AB0F9E">
      <w:pPr>
        <w:pStyle w:val="ListParagraph"/>
        <w:numPr>
          <w:ilvl w:val="0"/>
          <w:numId w:val="4"/>
        </w:numPr>
        <w:spacing w:after="240"/>
        <w:rPr>
          <w:rFonts w:cs="Arial"/>
          <w:szCs w:val="20"/>
        </w:rPr>
      </w:pPr>
      <w:r>
        <w:rPr>
          <w:rFonts w:cs="Arial"/>
          <w:szCs w:val="20"/>
        </w:rPr>
        <w:t xml:space="preserve">Section </w:t>
      </w:r>
      <w:r w:rsidR="000553A2">
        <w:rPr>
          <w:rFonts w:cs="Arial"/>
          <w:szCs w:val="20"/>
        </w:rPr>
        <w:t xml:space="preserve">2 of the instrument </w:t>
      </w:r>
      <w:r w:rsidR="000553A2" w:rsidRPr="00620D87">
        <w:rPr>
          <w:rFonts w:cs="Arial"/>
          <w:szCs w:val="20"/>
        </w:rPr>
        <w:t>—</w:t>
      </w:r>
      <w:r w:rsidR="000553A2">
        <w:rPr>
          <w:rFonts w:cs="Arial"/>
          <w:szCs w:val="20"/>
        </w:rPr>
        <w:t xml:space="preserve"> states that the </w:t>
      </w:r>
      <w:proofErr w:type="gramStart"/>
      <w:r w:rsidR="000553A2">
        <w:rPr>
          <w:rFonts w:cs="Arial"/>
          <w:szCs w:val="20"/>
        </w:rPr>
        <w:t>start date</w:t>
      </w:r>
      <w:proofErr w:type="gramEnd"/>
      <w:r w:rsidR="000553A2">
        <w:rPr>
          <w:rFonts w:cs="Arial"/>
          <w:szCs w:val="20"/>
        </w:rPr>
        <w:t xml:space="preserve"> is 1 November 2018 (to </w:t>
      </w:r>
      <w:r w:rsidR="000553A2">
        <w:t>allow a reasonable period of time for lenders and intermediaries to move to new remuneration arrangements, and for lenders to develop new pricing models).</w:t>
      </w:r>
    </w:p>
    <w:p w14:paraId="6C54A6FA" w14:textId="2A71811D" w:rsidR="000553A2" w:rsidRDefault="00057D1E" w:rsidP="00AB0F9E">
      <w:pPr>
        <w:pStyle w:val="ListParagraph"/>
        <w:numPr>
          <w:ilvl w:val="0"/>
          <w:numId w:val="4"/>
        </w:numPr>
        <w:spacing w:after="240"/>
        <w:rPr>
          <w:rFonts w:cs="Arial"/>
          <w:szCs w:val="20"/>
        </w:rPr>
      </w:pPr>
      <w:r>
        <w:rPr>
          <w:rFonts w:cs="Arial"/>
          <w:szCs w:val="20"/>
        </w:rPr>
        <w:t>Paragraph</w:t>
      </w:r>
      <w:r w:rsidR="00945F5C">
        <w:rPr>
          <w:rFonts w:cs="Arial"/>
          <w:szCs w:val="20"/>
        </w:rPr>
        <w:t xml:space="preserve"> </w:t>
      </w:r>
      <w:r w:rsidR="000553A2">
        <w:rPr>
          <w:rFonts w:cs="Arial"/>
          <w:szCs w:val="20"/>
        </w:rPr>
        <w:t>5</w:t>
      </w:r>
      <w:r>
        <w:rPr>
          <w:rFonts w:cs="Arial"/>
          <w:szCs w:val="20"/>
        </w:rPr>
        <w:t>(a)</w:t>
      </w:r>
      <w:r w:rsidR="000553A2">
        <w:rPr>
          <w:rFonts w:cs="Arial"/>
          <w:szCs w:val="20"/>
        </w:rPr>
        <w:t xml:space="preserve"> of the instrument</w:t>
      </w:r>
      <w:r w:rsidR="000553A2" w:rsidRPr="00620D87">
        <w:rPr>
          <w:rFonts w:cs="Arial"/>
          <w:szCs w:val="20"/>
        </w:rPr>
        <w:t>—</w:t>
      </w:r>
      <w:r w:rsidR="000553A2">
        <w:rPr>
          <w:rFonts w:cs="Arial"/>
          <w:szCs w:val="20"/>
        </w:rPr>
        <w:t xml:space="preserve"> </w:t>
      </w:r>
      <w:r>
        <w:rPr>
          <w:rFonts w:cs="Arial"/>
          <w:szCs w:val="20"/>
        </w:rPr>
        <w:t xml:space="preserve">modifies subsection 5(1) of the National Credit Act to contain </w:t>
      </w:r>
      <w:r w:rsidR="000553A2" w:rsidRPr="00620D87">
        <w:rPr>
          <w:rFonts w:cs="Arial"/>
          <w:szCs w:val="20"/>
        </w:rPr>
        <w:t xml:space="preserve">the definitions of words and phrases used in </w:t>
      </w:r>
      <w:r>
        <w:rPr>
          <w:rFonts w:cs="Arial"/>
          <w:szCs w:val="20"/>
        </w:rPr>
        <w:t>notional</w:t>
      </w:r>
      <w:r w:rsidRPr="00620D87">
        <w:rPr>
          <w:rFonts w:cs="Arial"/>
          <w:szCs w:val="20"/>
        </w:rPr>
        <w:t xml:space="preserve"> </w:t>
      </w:r>
      <w:r w:rsidR="000553A2" w:rsidRPr="00620D87">
        <w:rPr>
          <w:rFonts w:cs="Arial"/>
          <w:szCs w:val="20"/>
        </w:rPr>
        <w:t>section</w:t>
      </w:r>
      <w:r w:rsidR="000553A2">
        <w:rPr>
          <w:rFonts w:cs="Arial"/>
          <w:szCs w:val="20"/>
        </w:rPr>
        <w:t>s</w:t>
      </w:r>
      <w:r w:rsidR="000553A2" w:rsidRPr="00620D87">
        <w:rPr>
          <w:rFonts w:cs="Arial"/>
          <w:szCs w:val="20"/>
        </w:rPr>
        <w:t xml:space="preserve"> 53A</w:t>
      </w:r>
      <w:r w:rsidR="000553A2">
        <w:rPr>
          <w:rFonts w:cs="Arial"/>
          <w:szCs w:val="20"/>
        </w:rPr>
        <w:t xml:space="preserve"> and 53B. In particular the </w:t>
      </w:r>
      <w:r w:rsidR="00923001">
        <w:rPr>
          <w:rFonts w:cs="Arial"/>
          <w:szCs w:val="20"/>
        </w:rPr>
        <w:t xml:space="preserve">phrase </w:t>
      </w:r>
      <w:r w:rsidR="000553A2" w:rsidRPr="00157DC7">
        <w:rPr>
          <w:rFonts w:cs="Arial"/>
          <w:szCs w:val="20"/>
        </w:rPr>
        <w:t>'determines, proposes or influences'</w:t>
      </w:r>
      <w:r w:rsidR="000553A2">
        <w:rPr>
          <w:rFonts w:cs="Arial"/>
          <w:szCs w:val="20"/>
        </w:rPr>
        <w:t xml:space="preserve"> </w:t>
      </w:r>
      <w:r w:rsidR="00923001">
        <w:rPr>
          <w:rFonts w:cs="Arial"/>
          <w:szCs w:val="20"/>
        </w:rPr>
        <w:t xml:space="preserve">is defined to exclude </w:t>
      </w:r>
      <w:r w:rsidR="000553A2">
        <w:rPr>
          <w:rFonts w:cs="Arial"/>
          <w:szCs w:val="20"/>
        </w:rPr>
        <w:t>a number of circumstances where the prohibition does not apply.</w:t>
      </w:r>
    </w:p>
    <w:p w14:paraId="1EFEA6D6" w14:textId="285AA90B" w:rsidR="00D413A4" w:rsidRPr="00620D87" w:rsidRDefault="00D413A4" w:rsidP="00AB0F9E">
      <w:pPr>
        <w:pStyle w:val="ListParagraph"/>
        <w:numPr>
          <w:ilvl w:val="0"/>
          <w:numId w:val="4"/>
        </w:numPr>
        <w:spacing w:after="240"/>
        <w:rPr>
          <w:rFonts w:cs="Arial"/>
          <w:szCs w:val="20"/>
        </w:rPr>
      </w:pPr>
      <w:r w:rsidRPr="00620D87">
        <w:rPr>
          <w:rFonts w:cs="Arial"/>
          <w:szCs w:val="20"/>
        </w:rPr>
        <w:t xml:space="preserve">Subsection </w:t>
      </w:r>
      <w:r w:rsidR="00080780">
        <w:rPr>
          <w:rFonts w:cs="Arial"/>
          <w:szCs w:val="20"/>
        </w:rPr>
        <w:t>53A</w:t>
      </w:r>
      <w:r w:rsidRPr="00620D87">
        <w:rPr>
          <w:rFonts w:cs="Arial"/>
          <w:szCs w:val="20"/>
        </w:rPr>
        <w:t>(1) —</w:t>
      </w:r>
      <w:r w:rsidR="0006171E">
        <w:rPr>
          <w:rFonts w:cs="Arial"/>
          <w:szCs w:val="20"/>
        </w:rPr>
        <w:t xml:space="preserve"> </w:t>
      </w:r>
      <w:r w:rsidRPr="00620D87">
        <w:rPr>
          <w:rFonts w:cs="Arial"/>
          <w:szCs w:val="20"/>
        </w:rPr>
        <w:t xml:space="preserve">describes the scope of the prohibition, both by reference to the class of persons </w:t>
      </w:r>
      <w:r w:rsidR="00C37F42">
        <w:rPr>
          <w:rFonts w:cs="Arial"/>
          <w:szCs w:val="20"/>
        </w:rPr>
        <w:t>(</w:t>
      </w:r>
      <w:r w:rsidR="00C54D8D">
        <w:rPr>
          <w:rFonts w:cs="Arial"/>
          <w:szCs w:val="20"/>
        </w:rPr>
        <w:t xml:space="preserve">primarily </w:t>
      </w:r>
      <w:r w:rsidR="00945F5C">
        <w:rPr>
          <w:rFonts w:cs="Arial"/>
          <w:szCs w:val="20"/>
        </w:rPr>
        <w:t xml:space="preserve">licensees and exempt special purpose funding entities who are </w:t>
      </w:r>
      <w:r w:rsidR="00C54D8D">
        <w:rPr>
          <w:rFonts w:cs="Arial"/>
          <w:szCs w:val="20"/>
        </w:rPr>
        <w:t>credit providers and lessors, referred to collectively as '</w:t>
      </w:r>
      <w:r w:rsidR="00C37F42">
        <w:rPr>
          <w:rFonts w:cs="Arial"/>
          <w:szCs w:val="20"/>
        </w:rPr>
        <w:t>regulated persons</w:t>
      </w:r>
      <w:r w:rsidR="00C54D8D">
        <w:rPr>
          <w:rFonts w:cs="Arial"/>
          <w:szCs w:val="20"/>
        </w:rPr>
        <w:t>'</w:t>
      </w:r>
      <w:r w:rsidR="00C37F42">
        <w:rPr>
          <w:rFonts w:cs="Arial"/>
          <w:szCs w:val="20"/>
        </w:rPr>
        <w:t xml:space="preserve">) </w:t>
      </w:r>
      <w:r w:rsidRPr="00620D87">
        <w:rPr>
          <w:rFonts w:cs="Arial"/>
          <w:szCs w:val="20"/>
        </w:rPr>
        <w:t>and the conduct th</w:t>
      </w:r>
      <w:r w:rsidR="00C37F42">
        <w:rPr>
          <w:rFonts w:cs="Arial"/>
          <w:szCs w:val="20"/>
        </w:rPr>
        <w:t>at trigger</w:t>
      </w:r>
      <w:r w:rsidR="009D3BFF">
        <w:rPr>
          <w:rFonts w:cs="Arial"/>
          <w:szCs w:val="20"/>
        </w:rPr>
        <w:t>s</w:t>
      </w:r>
      <w:r w:rsidR="00C37F42">
        <w:rPr>
          <w:rFonts w:cs="Arial"/>
          <w:szCs w:val="20"/>
        </w:rPr>
        <w:t xml:space="preserve"> the prohibition</w:t>
      </w:r>
      <w:r w:rsidR="009D3BFF">
        <w:rPr>
          <w:rFonts w:cs="Arial"/>
          <w:szCs w:val="20"/>
        </w:rPr>
        <w:t xml:space="preserve"> (entering into a flexible credit cost arrangement)</w:t>
      </w:r>
      <w:r w:rsidR="00C37F42">
        <w:rPr>
          <w:rFonts w:cs="Arial"/>
          <w:szCs w:val="20"/>
        </w:rPr>
        <w:t>.</w:t>
      </w:r>
      <w:r w:rsidRPr="00620D87">
        <w:rPr>
          <w:rFonts w:cs="Arial"/>
          <w:szCs w:val="20"/>
        </w:rPr>
        <w:t xml:space="preserve"> </w:t>
      </w:r>
    </w:p>
    <w:p w14:paraId="52654260" w14:textId="57EE97EA" w:rsidR="00D413A4" w:rsidRPr="001B1847" w:rsidRDefault="00D413A4" w:rsidP="00AB0F9E">
      <w:pPr>
        <w:pStyle w:val="ListParagraph"/>
        <w:numPr>
          <w:ilvl w:val="0"/>
          <w:numId w:val="4"/>
        </w:numPr>
        <w:spacing w:after="240"/>
        <w:rPr>
          <w:rFonts w:cs="Arial"/>
          <w:szCs w:val="20"/>
        </w:rPr>
      </w:pPr>
      <w:r w:rsidRPr="001B1847">
        <w:rPr>
          <w:rFonts w:cs="Arial"/>
          <w:szCs w:val="20"/>
        </w:rPr>
        <w:t xml:space="preserve"> Subsection</w:t>
      </w:r>
      <w:r w:rsidR="00080780">
        <w:rPr>
          <w:rFonts w:cs="Arial"/>
          <w:szCs w:val="20"/>
        </w:rPr>
        <w:t xml:space="preserve"> 53A</w:t>
      </w:r>
      <w:r w:rsidRPr="001B1847">
        <w:rPr>
          <w:rFonts w:cs="Arial"/>
          <w:szCs w:val="20"/>
        </w:rPr>
        <w:t>(2) —</w:t>
      </w:r>
      <w:r w:rsidR="0006171E" w:rsidRPr="001B1847">
        <w:rPr>
          <w:rFonts w:cs="Arial"/>
          <w:szCs w:val="20"/>
        </w:rPr>
        <w:t xml:space="preserve"> </w:t>
      </w:r>
      <w:r w:rsidRPr="001B1847">
        <w:rPr>
          <w:rFonts w:cs="Arial"/>
          <w:szCs w:val="20"/>
        </w:rPr>
        <w:t xml:space="preserve">introduces a prohibition on giving benefits </w:t>
      </w:r>
      <w:r w:rsidR="00080780">
        <w:rPr>
          <w:rFonts w:cs="Arial"/>
          <w:szCs w:val="20"/>
        </w:rPr>
        <w:t>(</w:t>
      </w:r>
      <w:r w:rsidR="003B1631">
        <w:rPr>
          <w:rFonts w:cs="Arial"/>
          <w:szCs w:val="20"/>
        </w:rPr>
        <w:t xml:space="preserve">including </w:t>
      </w:r>
      <w:r w:rsidR="00080780">
        <w:rPr>
          <w:rFonts w:cs="Arial"/>
          <w:szCs w:val="20"/>
        </w:rPr>
        <w:t xml:space="preserve">commissions) </w:t>
      </w:r>
      <w:r w:rsidRPr="001B1847">
        <w:rPr>
          <w:rFonts w:cs="Arial"/>
          <w:szCs w:val="20"/>
        </w:rPr>
        <w:t>under a flexible credit cost arrangement</w:t>
      </w:r>
      <w:r w:rsidR="00911744">
        <w:rPr>
          <w:rFonts w:cs="Arial"/>
          <w:szCs w:val="20"/>
        </w:rPr>
        <w:t xml:space="preserve"> </w:t>
      </w:r>
      <w:r w:rsidR="00C54D8D">
        <w:rPr>
          <w:rFonts w:cs="Arial"/>
          <w:szCs w:val="20"/>
        </w:rPr>
        <w:t xml:space="preserve">where the amount of the benefit is </w:t>
      </w:r>
      <w:r w:rsidR="00911744">
        <w:rPr>
          <w:rFonts w:cs="Arial"/>
          <w:szCs w:val="20"/>
        </w:rPr>
        <w:t xml:space="preserve">determined by reference to the </w:t>
      </w:r>
      <w:r w:rsidR="00057D1E">
        <w:rPr>
          <w:rFonts w:cs="Arial"/>
          <w:szCs w:val="20"/>
        </w:rPr>
        <w:t>annual percentage rate under the credit contract</w:t>
      </w:r>
      <w:r w:rsidRPr="001B1847">
        <w:rPr>
          <w:rFonts w:cs="Arial"/>
          <w:szCs w:val="20"/>
        </w:rPr>
        <w:t>.</w:t>
      </w:r>
    </w:p>
    <w:p w14:paraId="11B03153" w14:textId="72125CA3" w:rsidR="00D413A4" w:rsidRPr="00620D87" w:rsidRDefault="00D413A4" w:rsidP="00AB0F9E">
      <w:pPr>
        <w:pStyle w:val="ListParagraph"/>
        <w:numPr>
          <w:ilvl w:val="0"/>
          <w:numId w:val="4"/>
        </w:numPr>
        <w:spacing w:after="240"/>
        <w:rPr>
          <w:rFonts w:cs="Arial"/>
          <w:szCs w:val="20"/>
        </w:rPr>
      </w:pPr>
      <w:r w:rsidRPr="00620D87">
        <w:rPr>
          <w:rFonts w:cs="Arial"/>
          <w:szCs w:val="20"/>
        </w:rPr>
        <w:t xml:space="preserve">Subsection </w:t>
      </w:r>
      <w:r w:rsidR="00080780">
        <w:rPr>
          <w:rFonts w:cs="Arial"/>
          <w:szCs w:val="20"/>
        </w:rPr>
        <w:t>53A</w:t>
      </w:r>
      <w:r w:rsidRPr="00620D87">
        <w:rPr>
          <w:rFonts w:cs="Arial"/>
          <w:szCs w:val="20"/>
        </w:rPr>
        <w:t>(</w:t>
      </w:r>
      <w:r w:rsidR="001B1847">
        <w:rPr>
          <w:rFonts w:cs="Arial"/>
          <w:szCs w:val="20"/>
        </w:rPr>
        <w:t>3</w:t>
      </w:r>
      <w:r w:rsidRPr="00620D87">
        <w:rPr>
          <w:rFonts w:cs="Arial"/>
          <w:szCs w:val="20"/>
        </w:rPr>
        <w:t>) —</w:t>
      </w:r>
      <w:r w:rsidR="0006171E">
        <w:rPr>
          <w:rFonts w:cs="Arial"/>
          <w:szCs w:val="20"/>
        </w:rPr>
        <w:t xml:space="preserve"> </w:t>
      </w:r>
      <w:r w:rsidRPr="00620D87">
        <w:rPr>
          <w:rFonts w:cs="Arial"/>
          <w:szCs w:val="20"/>
        </w:rPr>
        <w:t>creates exemption</w:t>
      </w:r>
      <w:r w:rsidR="00C54D8D">
        <w:rPr>
          <w:rFonts w:cs="Arial"/>
          <w:szCs w:val="20"/>
        </w:rPr>
        <w:t>s</w:t>
      </w:r>
      <w:r w:rsidRPr="00620D87">
        <w:rPr>
          <w:rFonts w:cs="Arial"/>
          <w:szCs w:val="20"/>
        </w:rPr>
        <w:t xml:space="preserve"> to the prohibition</w:t>
      </w:r>
      <w:r w:rsidR="00C54D8D">
        <w:rPr>
          <w:rFonts w:cs="Arial"/>
          <w:szCs w:val="20"/>
        </w:rPr>
        <w:t xml:space="preserve">, including </w:t>
      </w:r>
      <w:r w:rsidRPr="00620D87">
        <w:rPr>
          <w:rFonts w:cs="Arial"/>
          <w:szCs w:val="20"/>
        </w:rPr>
        <w:t xml:space="preserve">where the </w:t>
      </w:r>
      <w:r w:rsidR="003B1631">
        <w:rPr>
          <w:rFonts w:cs="Arial"/>
          <w:szCs w:val="20"/>
        </w:rPr>
        <w:t xml:space="preserve">annual percentage rate </w:t>
      </w:r>
      <w:r w:rsidRPr="00620D87">
        <w:rPr>
          <w:rFonts w:cs="Arial"/>
          <w:szCs w:val="20"/>
        </w:rPr>
        <w:t xml:space="preserve">of </w:t>
      </w:r>
      <w:r w:rsidR="00EF44F0">
        <w:rPr>
          <w:rFonts w:cs="Arial"/>
          <w:szCs w:val="20"/>
        </w:rPr>
        <w:t xml:space="preserve">a </w:t>
      </w:r>
      <w:r w:rsidRPr="00620D87">
        <w:rPr>
          <w:rFonts w:cs="Arial"/>
          <w:szCs w:val="20"/>
        </w:rPr>
        <w:t xml:space="preserve">credit </w:t>
      </w:r>
      <w:r w:rsidR="00EF44F0">
        <w:rPr>
          <w:rFonts w:cs="Arial"/>
          <w:szCs w:val="20"/>
        </w:rPr>
        <w:t xml:space="preserve">contract </w:t>
      </w:r>
      <w:r w:rsidRPr="00620D87">
        <w:rPr>
          <w:rFonts w:cs="Arial"/>
          <w:szCs w:val="20"/>
        </w:rPr>
        <w:t>is reduced by a maximum of 200 basis points, or the cost of a consumer lease is reduced by a maximum of 4% of the rental charges.</w:t>
      </w:r>
    </w:p>
    <w:p w14:paraId="13E9D575" w14:textId="15F96F64" w:rsidR="00080780" w:rsidRDefault="00080780" w:rsidP="00AB0F9E">
      <w:pPr>
        <w:pStyle w:val="ListParagraph"/>
        <w:numPr>
          <w:ilvl w:val="0"/>
          <w:numId w:val="4"/>
        </w:numPr>
        <w:spacing w:after="240"/>
        <w:rPr>
          <w:rFonts w:cs="Arial"/>
          <w:szCs w:val="20"/>
        </w:rPr>
      </w:pPr>
      <w:r>
        <w:rPr>
          <w:rFonts w:cs="Arial"/>
          <w:szCs w:val="20"/>
        </w:rPr>
        <w:t>Sub</w:t>
      </w:r>
      <w:r w:rsidRPr="00620D87">
        <w:rPr>
          <w:rFonts w:cs="Arial"/>
          <w:szCs w:val="20"/>
        </w:rPr>
        <w:t xml:space="preserve">section </w:t>
      </w:r>
      <w:r>
        <w:rPr>
          <w:rFonts w:cs="Arial"/>
          <w:szCs w:val="20"/>
        </w:rPr>
        <w:t>53A</w:t>
      </w:r>
      <w:r w:rsidRPr="00620D87">
        <w:rPr>
          <w:rFonts w:cs="Arial"/>
          <w:szCs w:val="20"/>
        </w:rPr>
        <w:t>(</w:t>
      </w:r>
      <w:r>
        <w:rPr>
          <w:rFonts w:cs="Arial"/>
          <w:szCs w:val="20"/>
        </w:rPr>
        <w:t>4</w:t>
      </w:r>
      <w:r w:rsidRPr="00620D87">
        <w:rPr>
          <w:rFonts w:cs="Arial"/>
          <w:szCs w:val="20"/>
        </w:rPr>
        <w:t>) —</w:t>
      </w:r>
      <w:r>
        <w:rPr>
          <w:rFonts w:cs="Arial"/>
          <w:szCs w:val="20"/>
        </w:rPr>
        <w:t xml:space="preserve"> </w:t>
      </w:r>
      <w:r w:rsidRPr="00620D87">
        <w:rPr>
          <w:rFonts w:cs="Arial"/>
          <w:szCs w:val="20"/>
        </w:rPr>
        <w:t xml:space="preserve">provides that the prohibition does not apply to benefits given </w:t>
      </w:r>
      <w:r w:rsidR="009D3BFF">
        <w:rPr>
          <w:rFonts w:cs="Arial"/>
          <w:szCs w:val="20"/>
        </w:rPr>
        <w:t xml:space="preserve">by a regulated person either to </w:t>
      </w:r>
      <w:r w:rsidRPr="00620D87">
        <w:rPr>
          <w:rFonts w:cs="Arial"/>
          <w:szCs w:val="20"/>
        </w:rPr>
        <w:t>a director or employee</w:t>
      </w:r>
      <w:r>
        <w:rPr>
          <w:rFonts w:cs="Arial"/>
          <w:szCs w:val="20"/>
        </w:rPr>
        <w:t xml:space="preserve"> or a related body corporate of the regulated person, or</w:t>
      </w:r>
      <w:r w:rsidRPr="00C37F42">
        <w:rPr>
          <w:rFonts w:cs="Arial"/>
          <w:szCs w:val="20"/>
        </w:rPr>
        <w:t xml:space="preserve"> </w:t>
      </w:r>
      <w:r w:rsidR="009D3BFF">
        <w:rPr>
          <w:rFonts w:cs="Arial"/>
          <w:szCs w:val="20"/>
        </w:rPr>
        <w:t xml:space="preserve">to </w:t>
      </w:r>
      <w:r w:rsidRPr="00620D87">
        <w:rPr>
          <w:rFonts w:cs="Arial"/>
          <w:szCs w:val="20"/>
        </w:rPr>
        <w:t>a director or employee</w:t>
      </w:r>
      <w:r>
        <w:rPr>
          <w:rFonts w:cs="Arial"/>
          <w:szCs w:val="20"/>
        </w:rPr>
        <w:t xml:space="preserve"> o</w:t>
      </w:r>
      <w:r w:rsidR="003B1631">
        <w:rPr>
          <w:rFonts w:cs="Arial"/>
          <w:szCs w:val="20"/>
        </w:rPr>
        <w:t xml:space="preserve">f any </w:t>
      </w:r>
      <w:r>
        <w:rPr>
          <w:rFonts w:cs="Arial"/>
          <w:szCs w:val="20"/>
        </w:rPr>
        <w:t>related body corporate.</w:t>
      </w:r>
    </w:p>
    <w:p w14:paraId="4B4A77DA" w14:textId="25E32071" w:rsidR="00080780" w:rsidRPr="00620D87" w:rsidRDefault="00080780" w:rsidP="00AB0F9E">
      <w:pPr>
        <w:pStyle w:val="ListParagraph"/>
        <w:numPr>
          <w:ilvl w:val="0"/>
          <w:numId w:val="4"/>
        </w:numPr>
        <w:spacing w:after="240"/>
        <w:rPr>
          <w:rFonts w:cs="Arial"/>
          <w:szCs w:val="20"/>
        </w:rPr>
      </w:pPr>
      <w:r>
        <w:rPr>
          <w:rFonts w:cs="Arial"/>
          <w:szCs w:val="20"/>
        </w:rPr>
        <w:t>Sub</w:t>
      </w:r>
      <w:r w:rsidRPr="00620D87">
        <w:rPr>
          <w:rFonts w:cs="Arial"/>
          <w:szCs w:val="20"/>
        </w:rPr>
        <w:t>section</w:t>
      </w:r>
      <w:r>
        <w:rPr>
          <w:rFonts w:cs="Arial"/>
          <w:szCs w:val="20"/>
        </w:rPr>
        <w:t xml:space="preserve"> </w:t>
      </w:r>
      <w:proofErr w:type="gramStart"/>
      <w:r>
        <w:rPr>
          <w:rFonts w:cs="Arial"/>
          <w:szCs w:val="20"/>
        </w:rPr>
        <w:t>53A</w:t>
      </w:r>
      <w:r w:rsidRPr="00620D87">
        <w:rPr>
          <w:rFonts w:cs="Arial"/>
          <w:szCs w:val="20"/>
        </w:rPr>
        <w:t>(</w:t>
      </w:r>
      <w:proofErr w:type="gramEnd"/>
      <w:r>
        <w:rPr>
          <w:rFonts w:cs="Arial"/>
          <w:szCs w:val="20"/>
        </w:rPr>
        <w:t>5</w:t>
      </w:r>
      <w:r w:rsidRPr="00620D87">
        <w:rPr>
          <w:rFonts w:cs="Arial"/>
          <w:szCs w:val="20"/>
        </w:rPr>
        <w:t>) —</w:t>
      </w:r>
      <w:r>
        <w:rPr>
          <w:rFonts w:cs="Arial"/>
          <w:szCs w:val="20"/>
        </w:rPr>
        <w:t xml:space="preserve"> </w:t>
      </w:r>
      <w:r w:rsidRPr="00620D87">
        <w:rPr>
          <w:rFonts w:cs="Arial"/>
          <w:szCs w:val="20"/>
        </w:rPr>
        <w:t xml:space="preserve">creates an offence for a breach of the prohibition in sub-section (2). </w:t>
      </w:r>
    </w:p>
    <w:p w14:paraId="2239885A" w14:textId="4F11F41E" w:rsidR="00080780" w:rsidRDefault="0006171E" w:rsidP="00AB0F9E">
      <w:pPr>
        <w:pStyle w:val="ListParagraph"/>
        <w:numPr>
          <w:ilvl w:val="0"/>
          <w:numId w:val="4"/>
        </w:numPr>
        <w:spacing w:after="240"/>
        <w:rPr>
          <w:rFonts w:cs="Arial"/>
          <w:szCs w:val="20"/>
        </w:rPr>
      </w:pPr>
      <w:r>
        <w:rPr>
          <w:rFonts w:cs="Arial"/>
          <w:szCs w:val="20"/>
        </w:rPr>
        <w:t>Sub</w:t>
      </w:r>
      <w:r w:rsidR="00D413A4" w:rsidRPr="00620D87">
        <w:rPr>
          <w:rFonts w:cs="Arial"/>
          <w:szCs w:val="20"/>
        </w:rPr>
        <w:t>section</w:t>
      </w:r>
      <w:r w:rsidR="00EC77A9">
        <w:rPr>
          <w:rFonts w:cs="Arial"/>
          <w:szCs w:val="20"/>
        </w:rPr>
        <w:t>s</w:t>
      </w:r>
      <w:r w:rsidR="00D413A4" w:rsidRPr="00620D87">
        <w:rPr>
          <w:rFonts w:cs="Arial"/>
          <w:szCs w:val="20"/>
        </w:rPr>
        <w:t xml:space="preserve"> </w:t>
      </w:r>
      <w:proofErr w:type="gramStart"/>
      <w:r w:rsidR="00080780">
        <w:rPr>
          <w:rFonts w:cs="Arial"/>
          <w:szCs w:val="20"/>
        </w:rPr>
        <w:t>53B</w:t>
      </w:r>
      <w:r w:rsidR="00D413A4" w:rsidRPr="00620D87">
        <w:rPr>
          <w:rFonts w:cs="Arial"/>
          <w:szCs w:val="20"/>
        </w:rPr>
        <w:t>(</w:t>
      </w:r>
      <w:proofErr w:type="gramEnd"/>
      <w:r w:rsidR="00080780">
        <w:rPr>
          <w:rFonts w:cs="Arial"/>
          <w:szCs w:val="20"/>
        </w:rPr>
        <w:t>1</w:t>
      </w:r>
      <w:r w:rsidR="00D413A4" w:rsidRPr="00620D87">
        <w:rPr>
          <w:rFonts w:cs="Arial"/>
          <w:szCs w:val="20"/>
        </w:rPr>
        <w:t xml:space="preserve">) </w:t>
      </w:r>
      <w:r w:rsidR="00EC77A9">
        <w:rPr>
          <w:rFonts w:cs="Arial"/>
          <w:szCs w:val="20"/>
        </w:rPr>
        <w:t xml:space="preserve">and (2) </w:t>
      </w:r>
      <w:r w:rsidR="00D413A4" w:rsidRPr="00620D87">
        <w:rPr>
          <w:rFonts w:cs="Arial"/>
          <w:szCs w:val="20"/>
        </w:rPr>
        <w:t>—</w:t>
      </w:r>
      <w:r>
        <w:rPr>
          <w:rFonts w:cs="Arial"/>
          <w:szCs w:val="20"/>
        </w:rPr>
        <w:t xml:space="preserve"> </w:t>
      </w:r>
      <w:r w:rsidR="00D413A4" w:rsidRPr="00620D87">
        <w:rPr>
          <w:rFonts w:cs="Arial"/>
          <w:szCs w:val="20"/>
        </w:rPr>
        <w:t>introduce a second prohibition</w:t>
      </w:r>
      <w:r w:rsidR="009D3BFF">
        <w:rPr>
          <w:rFonts w:cs="Arial"/>
          <w:szCs w:val="20"/>
        </w:rPr>
        <w:t xml:space="preserve">, </w:t>
      </w:r>
      <w:r w:rsidR="00057D1E">
        <w:rPr>
          <w:rFonts w:cs="Arial"/>
          <w:szCs w:val="20"/>
        </w:rPr>
        <w:t xml:space="preserve">providing that if certain </w:t>
      </w:r>
      <w:r w:rsidR="003B1631">
        <w:rPr>
          <w:rFonts w:cs="Arial"/>
          <w:szCs w:val="20"/>
        </w:rPr>
        <w:t>credit fees and charges or consumer lease fees and charges</w:t>
      </w:r>
      <w:r w:rsidR="00057D1E">
        <w:rPr>
          <w:rFonts w:cs="Arial"/>
          <w:szCs w:val="20"/>
        </w:rPr>
        <w:t xml:space="preserve"> are</w:t>
      </w:r>
      <w:r w:rsidR="003B1631">
        <w:rPr>
          <w:rFonts w:cs="Arial"/>
          <w:szCs w:val="20"/>
        </w:rPr>
        <w:t xml:space="preserve"> </w:t>
      </w:r>
      <w:r w:rsidR="00057D1E">
        <w:rPr>
          <w:rFonts w:cs="Arial"/>
          <w:szCs w:val="20"/>
        </w:rPr>
        <w:t xml:space="preserve">above a maximum amount specified by a regulated person, a benefit </w:t>
      </w:r>
      <w:r w:rsidR="00EC77A9">
        <w:rPr>
          <w:rFonts w:cs="Arial"/>
          <w:szCs w:val="20"/>
        </w:rPr>
        <w:t xml:space="preserve">(including fees or commissions) </w:t>
      </w:r>
      <w:r w:rsidR="00057D1E">
        <w:rPr>
          <w:rFonts w:cs="Arial"/>
          <w:szCs w:val="20"/>
        </w:rPr>
        <w:t xml:space="preserve">must not be </w:t>
      </w:r>
      <w:r w:rsidR="009D3BFF">
        <w:rPr>
          <w:rFonts w:cs="Arial"/>
          <w:szCs w:val="20"/>
        </w:rPr>
        <w:t>paid</w:t>
      </w:r>
      <w:r w:rsidR="00906318">
        <w:rPr>
          <w:rFonts w:cs="Arial"/>
          <w:szCs w:val="20"/>
        </w:rPr>
        <w:t xml:space="preserve"> </w:t>
      </w:r>
      <w:r w:rsidR="00EC77A9">
        <w:rPr>
          <w:rFonts w:cs="Arial"/>
          <w:szCs w:val="20"/>
        </w:rPr>
        <w:t xml:space="preserve">or given </w:t>
      </w:r>
      <w:r w:rsidR="00906318">
        <w:rPr>
          <w:rFonts w:cs="Arial"/>
          <w:szCs w:val="20"/>
        </w:rPr>
        <w:t>by a regulated person</w:t>
      </w:r>
      <w:r w:rsidR="009D3BFF">
        <w:rPr>
          <w:rFonts w:cs="Arial"/>
          <w:szCs w:val="20"/>
        </w:rPr>
        <w:t xml:space="preserve"> to two classes of introducers</w:t>
      </w:r>
      <w:r w:rsidR="003B1631">
        <w:rPr>
          <w:rFonts w:cs="Arial"/>
          <w:szCs w:val="20"/>
        </w:rPr>
        <w:t>:</w:t>
      </w:r>
      <w:r w:rsidR="00C37F42">
        <w:rPr>
          <w:rFonts w:cs="Arial"/>
          <w:szCs w:val="20"/>
        </w:rPr>
        <w:t xml:space="preserve"> </w:t>
      </w:r>
      <w:r w:rsidR="009D3BFF">
        <w:rPr>
          <w:rFonts w:cs="Arial"/>
          <w:szCs w:val="20"/>
        </w:rPr>
        <w:t xml:space="preserve">a person who is </w:t>
      </w:r>
      <w:r w:rsidR="009D3BFF" w:rsidRPr="005E278C">
        <w:rPr>
          <w:rFonts w:cs="Arial"/>
          <w:szCs w:val="20"/>
        </w:rPr>
        <w:t>providing credit services as a representative</w:t>
      </w:r>
      <w:r w:rsidR="003B1631">
        <w:rPr>
          <w:rFonts w:cs="Arial"/>
          <w:szCs w:val="20"/>
        </w:rPr>
        <w:t xml:space="preserve"> of a credit provider</w:t>
      </w:r>
      <w:r w:rsidR="009D3BFF" w:rsidRPr="005E278C">
        <w:rPr>
          <w:rFonts w:cs="Arial"/>
          <w:szCs w:val="20"/>
        </w:rPr>
        <w:t xml:space="preserve"> o</w:t>
      </w:r>
      <w:r w:rsidR="009D3BFF">
        <w:rPr>
          <w:rFonts w:cs="Arial"/>
          <w:szCs w:val="20"/>
        </w:rPr>
        <w:t xml:space="preserve">r a person who is a </w:t>
      </w:r>
      <w:r w:rsidR="009D3BFF" w:rsidRPr="005E278C">
        <w:rPr>
          <w:rFonts w:cs="Arial"/>
          <w:szCs w:val="20"/>
        </w:rPr>
        <w:t>linked supplier of the credit provider</w:t>
      </w:r>
      <w:r w:rsidR="009D3BFF">
        <w:rPr>
          <w:rFonts w:cs="Arial"/>
          <w:szCs w:val="20"/>
        </w:rPr>
        <w:t>.</w:t>
      </w:r>
    </w:p>
    <w:p w14:paraId="37288B71" w14:textId="4C5C7873" w:rsidR="00080780" w:rsidRPr="007F2966" w:rsidRDefault="00080780" w:rsidP="00AB0F9E">
      <w:pPr>
        <w:pStyle w:val="ListParagraph"/>
        <w:numPr>
          <w:ilvl w:val="0"/>
          <w:numId w:val="4"/>
        </w:numPr>
        <w:spacing w:after="240"/>
        <w:rPr>
          <w:rFonts w:cs="Arial"/>
          <w:szCs w:val="20"/>
        </w:rPr>
      </w:pPr>
      <w:r w:rsidRPr="007F2966">
        <w:rPr>
          <w:rFonts w:cs="Arial"/>
          <w:szCs w:val="20"/>
        </w:rPr>
        <w:t xml:space="preserve">Subsections </w:t>
      </w:r>
      <w:proofErr w:type="gramStart"/>
      <w:r w:rsidRPr="007F2966">
        <w:rPr>
          <w:rFonts w:cs="Arial"/>
          <w:szCs w:val="20"/>
        </w:rPr>
        <w:t>53B(</w:t>
      </w:r>
      <w:proofErr w:type="gramEnd"/>
      <w:r w:rsidRPr="007F2966">
        <w:rPr>
          <w:rFonts w:cs="Arial"/>
          <w:szCs w:val="20"/>
        </w:rPr>
        <w:t xml:space="preserve">3) and (4)—create obligations </w:t>
      </w:r>
      <w:r w:rsidR="009D3BFF" w:rsidRPr="007F2966">
        <w:rPr>
          <w:rFonts w:cs="Arial"/>
          <w:szCs w:val="20"/>
        </w:rPr>
        <w:t xml:space="preserve">on regulated persons </w:t>
      </w:r>
      <w:r w:rsidRPr="007F2966">
        <w:rPr>
          <w:rFonts w:cs="Arial"/>
          <w:szCs w:val="20"/>
        </w:rPr>
        <w:t>by</w:t>
      </w:r>
      <w:r w:rsidR="009D3BFF" w:rsidRPr="007F2966">
        <w:rPr>
          <w:rFonts w:cs="Arial"/>
          <w:szCs w:val="20"/>
        </w:rPr>
        <w:t xml:space="preserve">, first, </w:t>
      </w:r>
      <w:r w:rsidR="007F2966" w:rsidRPr="007F2966">
        <w:rPr>
          <w:rFonts w:cs="Arial"/>
          <w:szCs w:val="20"/>
        </w:rPr>
        <w:t>prevent</w:t>
      </w:r>
      <w:r w:rsidR="007F2966">
        <w:rPr>
          <w:rFonts w:cs="Arial"/>
          <w:szCs w:val="20"/>
        </w:rPr>
        <w:t>ing</w:t>
      </w:r>
      <w:r w:rsidR="007F2966" w:rsidRPr="007F2966">
        <w:rPr>
          <w:rFonts w:cs="Arial"/>
          <w:szCs w:val="20"/>
        </w:rPr>
        <w:t xml:space="preserve"> them from determining the amount of these fees and charges by reference to any revenue lost as a result of the prohibition in section 53A, and, second, </w:t>
      </w:r>
      <w:r w:rsidR="007F2966">
        <w:rPr>
          <w:rFonts w:cs="Arial"/>
          <w:szCs w:val="20"/>
        </w:rPr>
        <w:t>r</w:t>
      </w:r>
      <w:r w:rsidRPr="007F2966">
        <w:rPr>
          <w:rFonts w:cs="Arial"/>
          <w:szCs w:val="20"/>
        </w:rPr>
        <w:t>equir</w:t>
      </w:r>
      <w:r w:rsidR="009D3BFF" w:rsidRPr="007F2966">
        <w:rPr>
          <w:rFonts w:cs="Arial"/>
          <w:szCs w:val="20"/>
        </w:rPr>
        <w:t>ing</w:t>
      </w:r>
      <w:r w:rsidRPr="007F2966">
        <w:rPr>
          <w:rFonts w:cs="Arial"/>
          <w:szCs w:val="20"/>
        </w:rPr>
        <w:t xml:space="preserve"> </w:t>
      </w:r>
      <w:r w:rsidR="009D3BFF" w:rsidRPr="007F2966">
        <w:rPr>
          <w:rFonts w:cs="Arial"/>
          <w:szCs w:val="20"/>
        </w:rPr>
        <w:t xml:space="preserve">them </w:t>
      </w:r>
      <w:r w:rsidRPr="007F2966">
        <w:rPr>
          <w:rFonts w:cs="Arial"/>
          <w:szCs w:val="20"/>
        </w:rPr>
        <w:t xml:space="preserve">to keep written records of the basis on which they determine the </w:t>
      </w:r>
      <w:r w:rsidR="003B1631">
        <w:rPr>
          <w:rFonts w:cs="Arial"/>
          <w:szCs w:val="20"/>
        </w:rPr>
        <w:t xml:space="preserve">maximum </w:t>
      </w:r>
      <w:r w:rsidRPr="007F2966">
        <w:rPr>
          <w:rFonts w:cs="Arial"/>
          <w:szCs w:val="20"/>
        </w:rPr>
        <w:t xml:space="preserve">amount that can be charged for </w:t>
      </w:r>
      <w:r w:rsidR="003B1631">
        <w:rPr>
          <w:rFonts w:cs="Arial"/>
          <w:szCs w:val="20"/>
        </w:rPr>
        <w:t xml:space="preserve">these </w:t>
      </w:r>
      <w:r w:rsidRPr="007F2966">
        <w:rPr>
          <w:rFonts w:cs="Arial"/>
          <w:szCs w:val="20"/>
        </w:rPr>
        <w:t>fees and charges</w:t>
      </w:r>
      <w:r w:rsidR="007F2966">
        <w:rPr>
          <w:rFonts w:cs="Arial"/>
          <w:szCs w:val="20"/>
        </w:rPr>
        <w:t>.</w:t>
      </w:r>
      <w:r w:rsidRPr="007F2966">
        <w:rPr>
          <w:rFonts w:cs="Arial"/>
          <w:szCs w:val="20"/>
        </w:rPr>
        <w:t xml:space="preserve"> </w:t>
      </w:r>
    </w:p>
    <w:p w14:paraId="04ECA52C" w14:textId="6968DBFF" w:rsidR="00EC77A9" w:rsidRDefault="00EC77A9" w:rsidP="00AB0F9E">
      <w:pPr>
        <w:pStyle w:val="ListParagraph"/>
        <w:numPr>
          <w:ilvl w:val="0"/>
          <w:numId w:val="4"/>
        </w:numPr>
        <w:spacing w:after="240"/>
        <w:rPr>
          <w:rFonts w:cs="Arial"/>
          <w:szCs w:val="20"/>
        </w:rPr>
      </w:pPr>
      <w:r>
        <w:rPr>
          <w:rFonts w:cs="Arial"/>
          <w:szCs w:val="20"/>
        </w:rPr>
        <w:t>Sub</w:t>
      </w:r>
      <w:r w:rsidRPr="00620D87">
        <w:rPr>
          <w:rFonts w:cs="Arial"/>
          <w:szCs w:val="20"/>
        </w:rPr>
        <w:t xml:space="preserve">section </w:t>
      </w:r>
      <w:r>
        <w:rPr>
          <w:rFonts w:cs="Arial"/>
          <w:szCs w:val="20"/>
        </w:rPr>
        <w:t>53A</w:t>
      </w:r>
      <w:r w:rsidRPr="00620D87">
        <w:rPr>
          <w:rFonts w:cs="Arial"/>
          <w:szCs w:val="20"/>
        </w:rPr>
        <w:t>(</w:t>
      </w:r>
      <w:r>
        <w:rPr>
          <w:rFonts w:cs="Arial"/>
          <w:szCs w:val="20"/>
        </w:rPr>
        <w:t>5</w:t>
      </w:r>
      <w:r w:rsidRPr="00620D87">
        <w:rPr>
          <w:rFonts w:cs="Arial"/>
          <w:szCs w:val="20"/>
        </w:rPr>
        <w:t>) —</w:t>
      </w:r>
      <w:r>
        <w:rPr>
          <w:rFonts w:cs="Arial"/>
          <w:szCs w:val="20"/>
        </w:rPr>
        <w:t xml:space="preserve"> </w:t>
      </w:r>
      <w:r w:rsidRPr="00620D87">
        <w:rPr>
          <w:rFonts w:cs="Arial"/>
          <w:szCs w:val="20"/>
        </w:rPr>
        <w:t xml:space="preserve">provides that the prohibition does not apply to benefits given </w:t>
      </w:r>
      <w:r>
        <w:rPr>
          <w:rFonts w:cs="Arial"/>
          <w:szCs w:val="20"/>
        </w:rPr>
        <w:t xml:space="preserve">by a regulated person either to </w:t>
      </w:r>
      <w:r w:rsidRPr="00620D87">
        <w:rPr>
          <w:rFonts w:cs="Arial"/>
          <w:szCs w:val="20"/>
        </w:rPr>
        <w:t>a director or employee</w:t>
      </w:r>
      <w:r>
        <w:rPr>
          <w:rFonts w:cs="Arial"/>
          <w:szCs w:val="20"/>
        </w:rPr>
        <w:t xml:space="preserve"> or a related body corporate of the regulated person, or</w:t>
      </w:r>
      <w:r w:rsidRPr="00C37F42">
        <w:rPr>
          <w:rFonts w:cs="Arial"/>
          <w:szCs w:val="20"/>
        </w:rPr>
        <w:t xml:space="preserve"> </w:t>
      </w:r>
      <w:r>
        <w:rPr>
          <w:rFonts w:cs="Arial"/>
          <w:szCs w:val="20"/>
        </w:rPr>
        <w:t xml:space="preserve">to </w:t>
      </w:r>
      <w:r w:rsidRPr="00620D87">
        <w:rPr>
          <w:rFonts w:cs="Arial"/>
          <w:szCs w:val="20"/>
        </w:rPr>
        <w:t>a director or employee</w:t>
      </w:r>
      <w:r>
        <w:rPr>
          <w:rFonts w:cs="Arial"/>
          <w:szCs w:val="20"/>
        </w:rPr>
        <w:t xml:space="preserve"> of any related body corporate.</w:t>
      </w:r>
    </w:p>
    <w:p w14:paraId="4D9AC3EF" w14:textId="1285C24D" w:rsidR="00080780" w:rsidRPr="00620D87" w:rsidRDefault="00080780" w:rsidP="00AB0F9E">
      <w:pPr>
        <w:pStyle w:val="ListParagraph"/>
        <w:numPr>
          <w:ilvl w:val="0"/>
          <w:numId w:val="4"/>
        </w:numPr>
        <w:spacing w:after="240"/>
        <w:rPr>
          <w:rFonts w:cs="Arial"/>
          <w:szCs w:val="20"/>
        </w:rPr>
      </w:pPr>
      <w:r>
        <w:rPr>
          <w:rFonts w:cs="Arial"/>
          <w:szCs w:val="20"/>
        </w:rPr>
        <w:t>Sub</w:t>
      </w:r>
      <w:r w:rsidRPr="00620D87">
        <w:rPr>
          <w:rFonts w:cs="Arial"/>
          <w:szCs w:val="20"/>
        </w:rPr>
        <w:t>section</w:t>
      </w:r>
      <w:r>
        <w:rPr>
          <w:rFonts w:cs="Arial"/>
          <w:szCs w:val="20"/>
        </w:rPr>
        <w:t xml:space="preserve"> </w:t>
      </w:r>
      <w:proofErr w:type="gramStart"/>
      <w:r>
        <w:rPr>
          <w:rFonts w:cs="Arial"/>
          <w:szCs w:val="20"/>
        </w:rPr>
        <w:t>53B</w:t>
      </w:r>
      <w:r w:rsidRPr="00620D87">
        <w:rPr>
          <w:rFonts w:cs="Arial"/>
          <w:szCs w:val="20"/>
        </w:rPr>
        <w:t>(</w:t>
      </w:r>
      <w:proofErr w:type="gramEnd"/>
      <w:r w:rsidR="00EC77A9">
        <w:rPr>
          <w:rFonts w:cs="Arial"/>
          <w:szCs w:val="20"/>
        </w:rPr>
        <w:t>6</w:t>
      </w:r>
      <w:r w:rsidRPr="00620D87">
        <w:rPr>
          <w:rFonts w:cs="Arial"/>
          <w:szCs w:val="20"/>
        </w:rPr>
        <w:t>) —</w:t>
      </w:r>
      <w:r>
        <w:rPr>
          <w:rFonts w:cs="Arial"/>
          <w:szCs w:val="20"/>
        </w:rPr>
        <w:t xml:space="preserve"> </w:t>
      </w:r>
      <w:r w:rsidRPr="00620D87">
        <w:rPr>
          <w:rFonts w:cs="Arial"/>
          <w:szCs w:val="20"/>
        </w:rPr>
        <w:t xml:space="preserve">creates an offence for a breach of the </w:t>
      </w:r>
      <w:r>
        <w:rPr>
          <w:rFonts w:cs="Arial"/>
          <w:szCs w:val="20"/>
        </w:rPr>
        <w:t xml:space="preserve">requirements </w:t>
      </w:r>
      <w:r w:rsidRPr="00620D87">
        <w:rPr>
          <w:rFonts w:cs="Arial"/>
          <w:szCs w:val="20"/>
        </w:rPr>
        <w:t>in sub-section</w:t>
      </w:r>
      <w:r>
        <w:rPr>
          <w:rFonts w:cs="Arial"/>
          <w:szCs w:val="20"/>
        </w:rPr>
        <w:t>s</w:t>
      </w:r>
      <w:r w:rsidRPr="00620D87">
        <w:rPr>
          <w:rFonts w:cs="Arial"/>
          <w:szCs w:val="20"/>
        </w:rPr>
        <w:t xml:space="preserve"> (</w:t>
      </w:r>
      <w:r>
        <w:rPr>
          <w:rFonts w:cs="Arial"/>
          <w:szCs w:val="20"/>
        </w:rPr>
        <w:t>1</w:t>
      </w:r>
      <w:r w:rsidRPr="00620D87">
        <w:rPr>
          <w:rFonts w:cs="Arial"/>
          <w:szCs w:val="20"/>
        </w:rPr>
        <w:t>)</w:t>
      </w:r>
      <w:r>
        <w:rPr>
          <w:rFonts w:cs="Arial"/>
          <w:szCs w:val="20"/>
        </w:rPr>
        <w:t>, (3) or (4)</w:t>
      </w:r>
      <w:r w:rsidRPr="00620D87">
        <w:rPr>
          <w:rFonts w:cs="Arial"/>
          <w:szCs w:val="20"/>
        </w:rPr>
        <w:t xml:space="preserve">. </w:t>
      </w:r>
    </w:p>
    <w:p w14:paraId="7BD57FEA" w14:textId="0520CF66" w:rsidR="00611E7E" w:rsidRPr="00620D87" w:rsidRDefault="00EF44F0" w:rsidP="00611E7E">
      <w:pPr>
        <w:spacing w:after="240"/>
        <w:rPr>
          <w:rFonts w:cs="Arial"/>
          <w:szCs w:val="20"/>
          <w:u w:val="single"/>
        </w:rPr>
      </w:pPr>
      <w:r>
        <w:rPr>
          <w:rFonts w:cs="Arial"/>
          <w:szCs w:val="20"/>
          <w:u w:val="single"/>
        </w:rPr>
        <w:t xml:space="preserve">Key elements of the prohibition in </w:t>
      </w:r>
      <w:r w:rsidR="00D413A4">
        <w:rPr>
          <w:rFonts w:cs="Arial"/>
          <w:szCs w:val="20"/>
          <w:u w:val="single"/>
        </w:rPr>
        <w:t>modified section</w:t>
      </w:r>
      <w:r w:rsidR="00157DC7">
        <w:rPr>
          <w:rFonts w:cs="Arial"/>
          <w:szCs w:val="20"/>
          <w:u w:val="single"/>
        </w:rPr>
        <w:t>s</w:t>
      </w:r>
      <w:r w:rsidR="00D413A4">
        <w:rPr>
          <w:rFonts w:cs="Arial"/>
          <w:szCs w:val="20"/>
          <w:u w:val="single"/>
        </w:rPr>
        <w:t xml:space="preserve"> 53A</w:t>
      </w:r>
      <w:r w:rsidR="00157DC7">
        <w:rPr>
          <w:rFonts w:cs="Arial"/>
          <w:szCs w:val="20"/>
          <w:u w:val="single"/>
        </w:rPr>
        <w:t xml:space="preserve"> and 53B</w:t>
      </w:r>
    </w:p>
    <w:p w14:paraId="03D6F4CF" w14:textId="0388A4E9" w:rsidR="00057D1E" w:rsidRDefault="00057D1E" w:rsidP="00611E7E">
      <w:pPr>
        <w:spacing w:after="240"/>
        <w:rPr>
          <w:rFonts w:cs="Arial"/>
          <w:szCs w:val="20"/>
        </w:rPr>
      </w:pPr>
      <w:r>
        <w:rPr>
          <w:rFonts w:cs="Arial"/>
          <w:szCs w:val="20"/>
        </w:rPr>
        <w:t xml:space="preserve">The following </w:t>
      </w:r>
      <w:r w:rsidR="00EC77A9">
        <w:rPr>
          <w:rFonts w:cs="Arial"/>
          <w:szCs w:val="20"/>
        </w:rPr>
        <w:t xml:space="preserve">part </w:t>
      </w:r>
      <w:r>
        <w:rPr>
          <w:rFonts w:cs="Arial"/>
          <w:szCs w:val="20"/>
        </w:rPr>
        <w:t>summarises k</w:t>
      </w:r>
      <w:r w:rsidRPr="00057D1E">
        <w:rPr>
          <w:rFonts w:cs="Arial"/>
          <w:szCs w:val="20"/>
        </w:rPr>
        <w:t xml:space="preserve">ey elements of the prohibition in </w:t>
      </w:r>
      <w:r w:rsidR="00923001">
        <w:rPr>
          <w:rFonts w:cs="Arial"/>
          <w:szCs w:val="20"/>
        </w:rPr>
        <w:t xml:space="preserve">modified </w:t>
      </w:r>
      <w:r w:rsidRPr="00057D1E">
        <w:rPr>
          <w:rFonts w:cs="Arial"/>
          <w:szCs w:val="20"/>
        </w:rPr>
        <w:t>sections 53A and 53B</w:t>
      </w:r>
      <w:r>
        <w:rPr>
          <w:rFonts w:cs="Arial"/>
          <w:szCs w:val="20"/>
        </w:rPr>
        <w:t xml:space="preserve"> of the National Credit Act. </w:t>
      </w:r>
      <w:r w:rsidR="00923001">
        <w:rPr>
          <w:rFonts w:cs="Arial"/>
          <w:szCs w:val="20"/>
        </w:rPr>
        <w:t>A m</w:t>
      </w:r>
      <w:r>
        <w:rPr>
          <w:rFonts w:cs="Arial"/>
          <w:szCs w:val="20"/>
        </w:rPr>
        <w:t xml:space="preserve">ore detailed </w:t>
      </w:r>
      <w:r w:rsidR="00923001">
        <w:rPr>
          <w:rFonts w:cs="Arial"/>
          <w:szCs w:val="20"/>
        </w:rPr>
        <w:t xml:space="preserve">description of </w:t>
      </w:r>
      <w:r>
        <w:rPr>
          <w:rFonts w:cs="Arial"/>
          <w:szCs w:val="20"/>
        </w:rPr>
        <w:t xml:space="preserve">their operation is </w:t>
      </w:r>
      <w:r w:rsidR="00923001">
        <w:rPr>
          <w:rFonts w:cs="Arial"/>
          <w:szCs w:val="20"/>
        </w:rPr>
        <w:t xml:space="preserve">included </w:t>
      </w:r>
      <w:r>
        <w:rPr>
          <w:rFonts w:cs="Arial"/>
          <w:szCs w:val="20"/>
        </w:rPr>
        <w:t>later in this Explanatory Statement.</w:t>
      </w:r>
    </w:p>
    <w:p w14:paraId="2F096431" w14:textId="3CE41CF8" w:rsidR="00611E7E" w:rsidRPr="00620D87" w:rsidRDefault="00611E7E" w:rsidP="00611E7E">
      <w:pPr>
        <w:spacing w:after="240"/>
        <w:rPr>
          <w:rFonts w:cs="Arial"/>
          <w:szCs w:val="20"/>
        </w:rPr>
      </w:pPr>
      <w:r w:rsidRPr="00620D87">
        <w:rPr>
          <w:rFonts w:cs="Arial"/>
          <w:szCs w:val="20"/>
        </w:rPr>
        <w:t>The instrument operates as follows:</w:t>
      </w:r>
    </w:p>
    <w:p w14:paraId="5147B205" w14:textId="3173D057" w:rsidR="00FC53BC" w:rsidRDefault="00611E7E" w:rsidP="00AB0F9E">
      <w:pPr>
        <w:pStyle w:val="ListParagraph"/>
        <w:numPr>
          <w:ilvl w:val="0"/>
          <w:numId w:val="2"/>
        </w:numPr>
        <w:spacing w:after="240"/>
        <w:rPr>
          <w:rFonts w:cs="Arial"/>
          <w:szCs w:val="20"/>
        </w:rPr>
      </w:pPr>
      <w:r w:rsidRPr="00620D87">
        <w:rPr>
          <w:rFonts w:cs="Arial"/>
          <w:szCs w:val="20"/>
        </w:rPr>
        <w:t>S</w:t>
      </w:r>
      <w:r w:rsidR="0006171E">
        <w:rPr>
          <w:rFonts w:cs="Arial"/>
          <w:szCs w:val="20"/>
        </w:rPr>
        <w:t>ubs</w:t>
      </w:r>
      <w:r w:rsidRPr="00620D87">
        <w:rPr>
          <w:rFonts w:cs="Arial"/>
          <w:szCs w:val="20"/>
        </w:rPr>
        <w:t xml:space="preserve">ection </w:t>
      </w:r>
      <w:proofErr w:type="gramStart"/>
      <w:r w:rsidRPr="00620D87">
        <w:rPr>
          <w:rFonts w:cs="Arial"/>
          <w:szCs w:val="20"/>
        </w:rPr>
        <w:t>53A(</w:t>
      </w:r>
      <w:proofErr w:type="gramEnd"/>
      <w:r w:rsidRPr="00620D87">
        <w:rPr>
          <w:rFonts w:cs="Arial"/>
          <w:szCs w:val="20"/>
        </w:rPr>
        <w:t>1) describes the persons the prohibition applies to</w:t>
      </w:r>
      <w:r w:rsidR="007F2966">
        <w:rPr>
          <w:rFonts w:cs="Arial"/>
          <w:szCs w:val="20"/>
        </w:rPr>
        <w:t xml:space="preserve">. These persons are </w:t>
      </w:r>
      <w:r w:rsidR="00FC53BC">
        <w:rPr>
          <w:rFonts w:cs="Arial"/>
          <w:szCs w:val="20"/>
        </w:rPr>
        <w:t xml:space="preserve"> referred to collectively as </w:t>
      </w:r>
      <w:r w:rsidR="00FC53BC" w:rsidRPr="00620D87">
        <w:rPr>
          <w:rFonts w:cs="Arial"/>
          <w:szCs w:val="20"/>
        </w:rPr>
        <w:t>'regulated person</w:t>
      </w:r>
      <w:r w:rsidR="00FC53BC">
        <w:rPr>
          <w:rFonts w:cs="Arial"/>
          <w:szCs w:val="20"/>
        </w:rPr>
        <w:t>s</w:t>
      </w:r>
      <w:r w:rsidR="00FC53BC" w:rsidRPr="00620D87">
        <w:rPr>
          <w:rFonts w:cs="Arial"/>
          <w:szCs w:val="20"/>
        </w:rPr>
        <w:t>'</w:t>
      </w:r>
      <w:r w:rsidR="007F2966">
        <w:rPr>
          <w:rFonts w:cs="Arial"/>
          <w:szCs w:val="20"/>
        </w:rPr>
        <w:t xml:space="preserve"> and </w:t>
      </w:r>
      <w:r w:rsidR="00FC53BC">
        <w:rPr>
          <w:rFonts w:cs="Arial"/>
          <w:szCs w:val="20"/>
        </w:rPr>
        <w:t>are</w:t>
      </w:r>
      <w:r w:rsidRPr="00620D87">
        <w:rPr>
          <w:rFonts w:cs="Arial"/>
          <w:szCs w:val="20"/>
        </w:rPr>
        <w:t xml:space="preserve">: </w:t>
      </w:r>
    </w:p>
    <w:p w14:paraId="68929AF5" w14:textId="21D18083" w:rsidR="009C21BB" w:rsidRDefault="007F2966" w:rsidP="00AB0F9E">
      <w:pPr>
        <w:pStyle w:val="ListParagraph"/>
        <w:numPr>
          <w:ilvl w:val="1"/>
          <w:numId w:val="2"/>
        </w:numPr>
        <w:spacing w:after="240"/>
        <w:rPr>
          <w:rFonts w:cs="Arial"/>
          <w:szCs w:val="20"/>
        </w:rPr>
      </w:pPr>
      <w:r>
        <w:rPr>
          <w:rFonts w:cs="Arial"/>
          <w:szCs w:val="20"/>
        </w:rPr>
        <w:t xml:space="preserve">The </w:t>
      </w:r>
      <w:r w:rsidR="00FC53BC" w:rsidRPr="00395962">
        <w:rPr>
          <w:rFonts w:cs="Arial"/>
          <w:szCs w:val="20"/>
        </w:rPr>
        <w:t xml:space="preserve">holder of an </w:t>
      </w:r>
      <w:r w:rsidR="008F3739">
        <w:rPr>
          <w:rFonts w:cs="Arial"/>
          <w:szCs w:val="20"/>
        </w:rPr>
        <w:t>ACL</w:t>
      </w:r>
      <w:r w:rsidR="00611E7E" w:rsidRPr="007C64B1">
        <w:rPr>
          <w:rFonts w:cs="Arial"/>
          <w:szCs w:val="20"/>
        </w:rPr>
        <w:t xml:space="preserve"> </w:t>
      </w:r>
      <w:r w:rsidR="0006171E" w:rsidRPr="00395962">
        <w:rPr>
          <w:rFonts w:cs="Arial"/>
          <w:szCs w:val="20"/>
        </w:rPr>
        <w:t>wh</w:t>
      </w:r>
      <w:r w:rsidR="00FC53BC" w:rsidRPr="008F3739">
        <w:rPr>
          <w:rFonts w:cs="Arial"/>
          <w:szCs w:val="20"/>
        </w:rPr>
        <w:t xml:space="preserve">o </w:t>
      </w:r>
      <w:r w:rsidR="0006171E" w:rsidRPr="008F3739">
        <w:rPr>
          <w:rFonts w:cs="Arial"/>
          <w:szCs w:val="20"/>
        </w:rPr>
        <w:t xml:space="preserve">is </w:t>
      </w:r>
      <w:r w:rsidRPr="008F3739">
        <w:rPr>
          <w:rFonts w:cs="Arial"/>
          <w:szCs w:val="20"/>
        </w:rPr>
        <w:t>a credit provider</w:t>
      </w:r>
      <w:r>
        <w:rPr>
          <w:rFonts w:cs="Arial"/>
          <w:szCs w:val="20"/>
        </w:rPr>
        <w:t>.</w:t>
      </w:r>
    </w:p>
    <w:p w14:paraId="3858ACA6" w14:textId="4C0F0791" w:rsidR="00611E7E" w:rsidRPr="007F2966" w:rsidRDefault="007F2966" w:rsidP="00AB0F9E">
      <w:pPr>
        <w:pStyle w:val="ListParagraph"/>
        <w:numPr>
          <w:ilvl w:val="1"/>
          <w:numId w:val="2"/>
        </w:numPr>
        <w:spacing w:after="240"/>
        <w:rPr>
          <w:rFonts w:cs="Arial"/>
          <w:szCs w:val="20"/>
        </w:rPr>
      </w:pPr>
      <w:r w:rsidRPr="007F2966">
        <w:rPr>
          <w:rFonts w:cs="Arial"/>
          <w:szCs w:val="20"/>
        </w:rPr>
        <w:t>Both parties to a servicing agreement between a special purpose funding entity and the licensee who assumes the responsibilities of a credit provider under that agreement (</w:t>
      </w:r>
      <w:r>
        <w:rPr>
          <w:rFonts w:cs="Arial"/>
          <w:szCs w:val="20"/>
        </w:rPr>
        <w:t xml:space="preserve">noting that </w:t>
      </w:r>
      <w:r w:rsidR="0006171E" w:rsidRPr="007F2966">
        <w:rPr>
          <w:rFonts w:cs="Arial"/>
          <w:szCs w:val="20"/>
        </w:rPr>
        <w:t>exempt special purpose funding entit</w:t>
      </w:r>
      <w:r>
        <w:rPr>
          <w:rFonts w:cs="Arial"/>
          <w:szCs w:val="20"/>
        </w:rPr>
        <w:t xml:space="preserve">ies </w:t>
      </w:r>
      <w:r w:rsidR="009C21BB" w:rsidRPr="007F2966">
        <w:rPr>
          <w:rFonts w:cs="Arial"/>
          <w:szCs w:val="20"/>
        </w:rPr>
        <w:t>are exempt from the requirement to hold an ACL under Credit Regulation 23B of the National Consumer Credit Protection Regulations 2010 (National Credit Regulations)</w:t>
      </w:r>
      <w:r w:rsidR="003B1631">
        <w:rPr>
          <w:rFonts w:cs="Arial"/>
          <w:szCs w:val="20"/>
        </w:rPr>
        <w:t>)</w:t>
      </w:r>
      <w:r w:rsidR="009C21BB" w:rsidRPr="007F2966">
        <w:rPr>
          <w:rFonts w:cs="Arial"/>
          <w:szCs w:val="20"/>
        </w:rPr>
        <w:t>.</w:t>
      </w:r>
    </w:p>
    <w:p w14:paraId="27EDB258" w14:textId="6DF2CDB9" w:rsidR="00CC1AA2" w:rsidRPr="00620D87" w:rsidRDefault="00CC1AA2" w:rsidP="00AB0F9E">
      <w:pPr>
        <w:pStyle w:val="ListParagraph"/>
        <w:numPr>
          <w:ilvl w:val="0"/>
          <w:numId w:val="2"/>
        </w:numPr>
        <w:spacing w:after="240"/>
        <w:rPr>
          <w:rFonts w:cs="Arial"/>
          <w:szCs w:val="20"/>
        </w:rPr>
      </w:pPr>
      <w:r w:rsidRPr="00620D87">
        <w:rPr>
          <w:rFonts w:cs="Arial"/>
          <w:szCs w:val="20"/>
        </w:rPr>
        <w:t>S</w:t>
      </w:r>
      <w:r w:rsidR="0006171E">
        <w:rPr>
          <w:rFonts w:cs="Arial"/>
          <w:szCs w:val="20"/>
        </w:rPr>
        <w:t>ubs</w:t>
      </w:r>
      <w:r w:rsidRPr="00620D87">
        <w:rPr>
          <w:rFonts w:cs="Arial"/>
          <w:szCs w:val="20"/>
        </w:rPr>
        <w:t xml:space="preserve">ection </w:t>
      </w:r>
      <w:proofErr w:type="gramStart"/>
      <w:r w:rsidRPr="00620D87">
        <w:rPr>
          <w:rFonts w:cs="Arial"/>
          <w:szCs w:val="20"/>
        </w:rPr>
        <w:t>53A(</w:t>
      </w:r>
      <w:proofErr w:type="gramEnd"/>
      <w:r w:rsidRPr="00620D87">
        <w:rPr>
          <w:rFonts w:cs="Arial"/>
          <w:szCs w:val="20"/>
        </w:rPr>
        <w:t>1) describes the circumstances for operation of the prohibition</w:t>
      </w:r>
      <w:r w:rsidR="00C54D8D">
        <w:rPr>
          <w:rFonts w:cs="Arial"/>
          <w:szCs w:val="20"/>
        </w:rPr>
        <w:t>, namely that</w:t>
      </w:r>
      <w:r w:rsidR="008F3739">
        <w:rPr>
          <w:rFonts w:cs="Arial"/>
          <w:szCs w:val="20"/>
        </w:rPr>
        <w:t xml:space="preserve"> </w:t>
      </w:r>
      <w:r w:rsidR="00977A87">
        <w:rPr>
          <w:rFonts w:cs="Arial"/>
          <w:szCs w:val="20"/>
        </w:rPr>
        <w:t xml:space="preserve">a </w:t>
      </w:r>
      <w:r w:rsidRPr="00620D87">
        <w:rPr>
          <w:rFonts w:cs="Arial"/>
          <w:szCs w:val="20"/>
        </w:rPr>
        <w:t xml:space="preserve">regulated person has entered into a </w:t>
      </w:r>
      <w:r w:rsidR="008F3739">
        <w:rPr>
          <w:rFonts w:cs="Arial"/>
          <w:szCs w:val="20"/>
        </w:rPr>
        <w:t>'</w:t>
      </w:r>
      <w:r w:rsidRPr="00620D87">
        <w:rPr>
          <w:rFonts w:cs="Arial"/>
          <w:szCs w:val="20"/>
        </w:rPr>
        <w:t>flexible credit cost arrangement</w:t>
      </w:r>
      <w:r w:rsidR="008F3739">
        <w:rPr>
          <w:rFonts w:cs="Arial"/>
          <w:szCs w:val="20"/>
        </w:rPr>
        <w:t>'</w:t>
      </w:r>
      <w:r w:rsidRPr="00620D87">
        <w:rPr>
          <w:rFonts w:cs="Arial"/>
          <w:szCs w:val="20"/>
        </w:rPr>
        <w:t xml:space="preserve"> in relation to a credit contract. </w:t>
      </w:r>
    </w:p>
    <w:p w14:paraId="277A9D29" w14:textId="16CB2C91" w:rsidR="00CC1AA2" w:rsidRPr="009C21BB" w:rsidRDefault="00911744" w:rsidP="00AB0F9E">
      <w:pPr>
        <w:pStyle w:val="ListParagraph"/>
        <w:numPr>
          <w:ilvl w:val="0"/>
          <w:numId w:val="2"/>
        </w:numPr>
        <w:spacing w:after="240"/>
        <w:rPr>
          <w:rFonts w:cs="Arial"/>
          <w:szCs w:val="20"/>
        </w:rPr>
      </w:pPr>
      <w:r w:rsidRPr="009C21BB">
        <w:rPr>
          <w:rFonts w:cs="Arial"/>
          <w:szCs w:val="20"/>
        </w:rPr>
        <w:t>The term 'f</w:t>
      </w:r>
      <w:r w:rsidR="00CC1AA2" w:rsidRPr="009C21BB">
        <w:rPr>
          <w:rFonts w:cs="Arial"/>
          <w:szCs w:val="20"/>
        </w:rPr>
        <w:t>lexible credit cost arrangement</w:t>
      </w:r>
      <w:r w:rsidRPr="009C21BB">
        <w:rPr>
          <w:rFonts w:cs="Arial"/>
          <w:szCs w:val="20"/>
        </w:rPr>
        <w:t>'</w:t>
      </w:r>
      <w:r w:rsidR="00CC1AA2" w:rsidRPr="009C21BB">
        <w:rPr>
          <w:rFonts w:cs="Arial"/>
          <w:szCs w:val="20"/>
        </w:rPr>
        <w:t xml:space="preserve"> is defined in </w:t>
      </w:r>
      <w:r w:rsidR="00057D1E">
        <w:rPr>
          <w:rFonts w:cs="Arial"/>
          <w:szCs w:val="20"/>
        </w:rPr>
        <w:t xml:space="preserve">subsection </w:t>
      </w:r>
      <w:r w:rsidR="000553A2">
        <w:rPr>
          <w:rFonts w:cs="Arial"/>
          <w:szCs w:val="20"/>
        </w:rPr>
        <w:t>5</w:t>
      </w:r>
      <w:r w:rsidR="00057D1E">
        <w:rPr>
          <w:rFonts w:cs="Arial"/>
          <w:szCs w:val="20"/>
        </w:rPr>
        <w:t>(1)</w:t>
      </w:r>
      <w:r w:rsidR="000553A2">
        <w:rPr>
          <w:rFonts w:cs="Arial"/>
          <w:szCs w:val="20"/>
        </w:rPr>
        <w:t xml:space="preserve"> of the</w:t>
      </w:r>
      <w:r w:rsidR="00057D1E">
        <w:rPr>
          <w:rFonts w:cs="Arial"/>
          <w:szCs w:val="20"/>
        </w:rPr>
        <w:t xml:space="preserve"> National Credit Act (as modified by the</w:t>
      </w:r>
      <w:r w:rsidR="000553A2">
        <w:rPr>
          <w:rFonts w:cs="Arial"/>
          <w:szCs w:val="20"/>
        </w:rPr>
        <w:t xml:space="preserve"> instrument</w:t>
      </w:r>
      <w:r w:rsidR="00057D1E">
        <w:rPr>
          <w:rFonts w:cs="Arial"/>
          <w:szCs w:val="20"/>
        </w:rPr>
        <w:t>)</w:t>
      </w:r>
      <w:r w:rsidR="000553A2">
        <w:rPr>
          <w:rFonts w:cs="Arial"/>
          <w:szCs w:val="20"/>
        </w:rPr>
        <w:t xml:space="preserve"> </w:t>
      </w:r>
      <w:r w:rsidR="00CC1AA2" w:rsidRPr="009C21BB">
        <w:rPr>
          <w:rFonts w:cs="Arial"/>
          <w:szCs w:val="20"/>
        </w:rPr>
        <w:t>as</w:t>
      </w:r>
      <w:r w:rsidR="008F3739" w:rsidRPr="009C21BB">
        <w:rPr>
          <w:rFonts w:cs="Arial"/>
          <w:szCs w:val="20"/>
        </w:rPr>
        <w:t xml:space="preserve"> a </w:t>
      </w:r>
      <w:r w:rsidR="00CC1AA2" w:rsidRPr="009C21BB">
        <w:rPr>
          <w:rFonts w:cs="Arial"/>
          <w:szCs w:val="20"/>
        </w:rPr>
        <w:t>contract, arrangement or understanding</w:t>
      </w:r>
      <w:r w:rsidR="007F2966">
        <w:rPr>
          <w:rFonts w:cs="Arial"/>
          <w:szCs w:val="20"/>
        </w:rPr>
        <w:t xml:space="preserve"> between </w:t>
      </w:r>
      <w:r w:rsidR="00CC1AA2" w:rsidRPr="009C21BB">
        <w:rPr>
          <w:rFonts w:cs="Arial"/>
          <w:szCs w:val="20"/>
        </w:rPr>
        <w:t xml:space="preserve">a regulated person </w:t>
      </w:r>
      <w:r w:rsidR="007F2966">
        <w:rPr>
          <w:rFonts w:cs="Arial"/>
          <w:szCs w:val="20"/>
        </w:rPr>
        <w:t xml:space="preserve">and </w:t>
      </w:r>
      <w:r w:rsidR="00CC1AA2" w:rsidRPr="009C21BB">
        <w:rPr>
          <w:rFonts w:cs="Arial"/>
          <w:szCs w:val="20"/>
        </w:rPr>
        <w:t>another person (</w:t>
      </w:r>
      <w:r w:rsidR="008F3739" w:rsidRPr="009C21BB">
        <w:rPr>
          <w:rFonts w:cs="Arial"/>
          <w:szCs w:val="20"/>
        </w:rPr>
        <w:t>'the</w:t>
      </w:r>
      <w:r w:rsidR="00CC1AA2" w:rsidRPr="009C21BB">
        <w:rPr>
          <w:rFonts w:cs="Arial"/>
          <w:szCs w:val="20"/>
        </w:rPr>
        <w:t xml:space="preserve"> introducer</w:t>
      </w:r>
      <w:r w:rsidR="008F3739" w:rsidRPr="009C21BB">
        <w:rPr>
          <w:rFonts w:cs="Arial"/>
          <w:szCs w:val="20"/>
        </w:rPr>
        <w:t>'</w:t>
      </w:r>
      <w:r w:rsidR="00CC1AA2" w:rsidRPr="009C21BB">
        <w:rPr>
          <w:rFonts w:cs="Arial"/>
          <w:szCs w:val="20"/>
        </w:rPr>
        <w:t>)</w:t>
      </w:r>
      <w:r w:rsidR="008F3739" w:rsidRPr="009C21BB">
        <w:rPr>
          <w:rFonts w:cs="Arial"/>
          <w:szCs w:val="20"/>
        </w:rPr>
        <w:t xml:space="preserve">, </w:t>
      </w:r>
      <w:r w:rsidR="007F2966">
        <w:rPr>
          <w:rFonts w:cs="Arial"/>
          <w:szCs w:val="20"/>
        </w:rPr>
        <w:t xml:space="preserve">which allows the introducer </w:t>
      </w:r>
      <w:r w:rsidR="008F3739" w:rsidRPr="009C21BB">
        <w:rPr>
          <w:rFonts w:cs="Arial"/>
          <w:szCs w:val="20"/>
        </w:rPr>
        <w:t>or an associated person,</w:t>
      </w:r>
      <w:r w:rsidR="00CC1AA2" w:rsidRPr="009C21BB">
        <w:rPr>
          <w:rFonts w:cs="Arial"/>
          <w:szCs w:val="20"/>
        </w:rPr>
        <w:t xml:space="preserve"> </w:t>
      </w:r>
      <w:r w:rsidR="008F3739" w:rsidRPr="009C21BB">
        <w:rPr>
          <w:rFonts w:cs="Arial"/>
          <w:szCs w:val="20"/>
        </w:rPr>
        <w:t xml:space="preserve">to </w:t>
      </w:r>
      <w:r w:rsidR="00CC1AA2" w:rsidRPr="009C21BB">
        <w:rPr>
          <w:rFonts w:cs="Arial"/>
          <w:szCs w:val="20"/>
        </w:rPr>
        <w:t>determine, propose or influence</w:t>
      </w:r>
      <w:r w:rsidR="009C21BB" w:rsidRPr="009C21BB">
        <w:rPr>
          <w:rFonts w:cs="Arial"/>
          <w:szCs w:val="20"/>
        </w:rPr>
        <w:t xml:space="preserve"> </w:t>
      </w:r>
      <w:r w:rsidR="00CC1AA2" w:rsidRPr="009C21BB">
        <w:rPr>
          <w:rFonts w:cs="Arial"/>
          <w:szCs w:val="20"/>
        </w:rPr>
        <w:t>the annual percentage rate</w:t>
      </w:r>
      <w:r w:rsidR="008F3739" w:rsidRPr="009C21BB">
        <w:rPr>
          <w:rFonts w:cs="Arial"/>
          <w:szCs w:val="20"/>
        </w:rPr>
        <w:t xml:space="preserve"> under the credit contract</w:t>
      </w:r>
      <w:r w:rsidR="009C21BB">
        <w:rPr>
          <w:rFonts w:cs="Arial"/>
          <w:szCs w:val="20"/>
        </w:rPr>
        <w:t>.</w:t>
      </w:r>
    </w:p>
    <w:p w14:paraId="71DB86CB" w14:textId="6D1839B9" w:rsidR="008F3739" w:rsidRPr="00620D87" w:rsidRDefault="00977A87" w:rsidP="00AB0F9E">
      <w:pPr>
        <w:pStyle w:val="ListParagraph"/>
        <w:numPr>
          <w:ilvl w:val="0"/>
          <w:numId w:val="2"/>
        </w:numPr>
        <w:spacing w:after="240"/>
        <w:rPr>
          <w:rFonts w:cs="Arial"/>
          <w:szCs w:val="20"/>
        </w:rPr>
      </w:pPr>
      <w:r>
        <w:rPr>
          <w:rFonts w:cs="Arial"/>
          <w:szCs w:val="20"/>
        </w:rPr>
        <w:t>S</w:t>
      </w:r>
      <w:r w:rsidR="00DA26CB">
        <w:rPr>
          <w:rFonts w:cs="Arial"/>
          <w:szCs w:val="20"/>
        </w:rPr>
        <w:t>ubs</w:t>
      </w:r>
      <w:r w:rsidR="00CC1AA2" w:rsidRPr="00620D87">
        <w:rPr>
          <w:rFonts w:cs="Arial"/>
          <w:szCs w:val="20"/>
        </w:rPr>
        <w:t xml:space="preserve">ection 53A(2) </w:t>
      </w:r>
      <w:r w:rsidR="008F3739">
        <w:rPr>
          <w:rFonts w:cs="Arial"/>
          <w:szCs w:val="20"/>
        </w:rPr>
        <w:t>prohibit</w:t>
      </w:r>
      <w:r>
        <w:rPr>
          <w:rFonts w:cs="Arial"/>
          <w:szCs w:val="20"/>
        </w:rPr>
        <w:t>s</w:t>
      </w:r>
      <w:r w:rsidR="008F3739">
        <w:rPr>
          <w:rFonts w:cs="Arial"/>
          <w:szCs w:val="20"/>
        </w:rPr>
        <w:t xml:space="preserve"> </w:t>
      </w:r>
      <w:r w:rsidR="00CC1AA2" w:rsidRPr="00620D87">
        <w:rPr>
          <w:rFonts w:cs="Arial"/>
          <w:szCs w:val="20"/>
        </w:rPr>
        <w:t xml:space="preserve">a regulated person </w:t>
      </w:r>
      <w:r w:rsidR="008F3739">
        <w:rPr>
          <w:rFonts w:cs="Arial"/>
          <w:szCs w:val="20"/>
        </w:rPr>
        <w:t>from giving</w:t>
      </w:r>
      <w:r w:rsidR="008F3739" w:rsidRPr="008F3739">
        <w:rPr>
          <w:rFonts w:cs="Arial"/>
          <w:szCs w:val="20"/>
        </w:rPr>
        <w:t xml:space="preserve"> </w:t>
      </w:r>
      <w:r>
        <w:rPr>
          <w:rFonts w:cs="Arial"/>
          <w:szCs w:val="20"/>
        </w:rPr>
        <w:t xml:space="preserve">the introducer or an associated person </w:t>
      </w:r>
      <w:r w:rsidR="008F3739" w:rsidRPr="00620D87">
        <w:rPr>
          <w:rFonts w:cs="Arial"/>
          <w:szCs w:val="20"/>
        </w:rPr>
        <w:t xml:space="preserve">monetary or non-monetary benefits (such as commissions) </w:t>
      </w:r>
      <w:r w:rsidR="008F3739">
        <w:rPr>
          <w:rFonts w:cs="Arial"/>
          <w:szCs w:val="20"/>
        </w:rPr>
        <w:t xml:space="preserve">where </w:t>
      </w:r>
      <w:r w:rsidR="008F3739" w:rsidRPr="00620D87">
        <w:rPr>
          <w:rFonts w:cs="Arial"/>
          <w:szCs w:val="20"/>
        </w:rPr>
        <w:t>the following conditions</w:t>
      </w:r>
      <w:r w:rsidR="008F3739">
        <w:rPr>
          <w:rFonts w:cs="Arial"/>
          <w:szCs w:val="20"/>
        </w:rPr>
        <w:t xml:space="preserve"> are satisfied</w:t>
      </w:r>
      <w:r w:rsidR="008F3739" w:rsidRPr="00620D87">
        <w:rPr>
          <w:rFonts w:cs="Arial"/>
          <w:szCs w:val="20"/>
        </w:rPr>
        <w:t>:</w:t>
      </w:r>
    </w:p>
    <w:p w14:paraId="0DCEFE61" w14:textId="50D9C5BF" w:rsidR="008F3739" w:rsidRPr="00620D87" w:rsidRDefault="008F3739" w:rsidP="00AB0F9E">
      <w:pPr>
        <w:pStyle w:val="ListParagraph"/>
        <w:numPr>
          <w:ilvl w:val="1"/>
          <w:numId w:val="2"/>
        </w:numPr>
        <w:spacing w:after="240"/>
        <w:rPr>
          <w:rFonts w:cs="Arial"/>
          <w:szCs w:val="20"/>
        </w:rPr>
      </w:pPr>
      <w:r w:rsidRPr="00620D87">
        <w:rPr>
          <w:rFonts w:cs="Arial"/>
          <w:szCs w:val="20"/>
        </w:rPr>
        <w:t>the amount of the benefit is determined by reference to the annual percentage rate under the contract; and</w:t>
      </w:r>
    </w:p>
    <w:p w14:paraId="7CBFD0C8" w14:textId="5F378243" w:rsidR="008F3739" w:rsidRPr="007C64B1" w:rsidRDefault="008F3739" w:rsidP="00AB0F9E">
      <w:pPr>
        <w:pStyle w:val="ListParagraph"/>
        <w:numPr>
          <w:ilvl w:val="1"/>
          <w:numId w:val="2"/>
        </w:numPr>
        <w:spacing w:after="240"/>
        <w:rPr>
          <w:rFonts w:cs="Arial"/>
          <w:szCs w:val="20"/>
        </w:rPr>
      </w:pPr>
      <w:proofErr w:type="gramStart"/>
      <w:r w:rsidRPr="007C64B1">
        <w:rPr>
          <w:rFonts w:cs="Arial"/>
          <w:szCs w:val="20"/>
        </w:rPr>
        <w:t>the</w:t>
      </w:r>
      <w:proofErr w:type="gramEnd"/>
      <w:r w:rsidRPr="007C64B1">
        <w:rPr>
          <w:rFonts w:cs="Arial"/>
          <w:szCs w:val="20"/>
        </w:rPr>
        <w:t xml:space="preserve"> introducer or an associated person has determined, proposed or influenced the annual percentage rate</w:t>
      </w:r>
      <w:r w:rsidR="007F2966">
        <w:rPr>
          <w:rFonts w:cs="Arial"/>
          <w:szCs w:val="20"/>
        </w:rPr>
        <w:t xml:space="preserve"> (or the cost to the consumer)</w:t>
      </w:r>
      <w:r w:rsidR="00156C35">
        <w:rPr>
          <w:rFonts w:cs="Arial"/>
          <w:szCs w:val="20"/>
        </w:rPr>
        <w:t>.</w:t>
      </w:r>
    </w:p>
    <w:p w14:paraId="572A553F" w14:textId="77777777" w:rsidR="000553A2" w:rsidRDefault="00EF7C6B" w:rsidP="00AB0F9E">
      <w:pPr>
        <w:pStyle w:val="ListParagraph"/>
        <w:numPr>
          <w:ilvl w:val="0"/>
          <w:numId w:val="2"/>
        </w:numPr>
        <w:spacing w:after="240"/>
        <w:rPr>
          <w:rFonts w:cs="Arial"/>
          <w:szCs w:val="20"/>
        </w:rPr>
      </w:pPr>
      <w:r w:rsidRPr="009C21BB">
        <w:rPr>
          <w:rFonts w:cs="Arial"/>
          <w:szCs w:val="20"/>
        </w:rPr>
        <w:t>S</w:t>
      </w:r>
      <w:r w:rsidR="00DA26CB" w:rsidRPr="009C21BB">
        <w:rPr>
          <w:rFonts w:cs="Arial"/>
          <w:szCs w:val="20"/>
        </w:rPr>
        <w:t>ub</w:t>
      </w:r>
      <w:r w:rsidR="008B7CDC" w:rsidRPr="009C21BB">
        <w:rPr>
          <w:rFonts w:cs="Arial"/>
          <w:szCs w:val="20"/>
        </w:rPr>
        <w:t>s</w:t>
      </w:r>
      <w:r w:rsidRPr="009C21BB">
        <w:rPr>
          <w:rFonts w:cs="Arial"/>
          <w:szCs w:val="20"/>
        </w:rPr>
        <w:t>ection 53A(</w:t>
      </w:r>
      <w:r w:rsidR="008B7CDC" w:rsidRPr="009C21BB">
        <w:rPr>
          <w:rFonts w:cs="Arial"/>
          <w:szCs w:val="20"/>
        </w:rPr>
        <w:t>3</w:t>
      </w:r>
      <w:r w:rsidRPr="009C21BB">
        <w:rPr>
          <w:rFonts w:cs="Arial"/>
          <w:szCs w:val="20"/>
        </w:rPr>
        <w:t>)</w:t>
      </w:r>
      <w:r w:rsidR="00C109E2" w:rsidRPr="009C21BB">
        <w:rPr>
          <w:rFonts w:cs="Arial"/>
          <w:szCs w:val="20"/>
        </w:rPr>
        <w:t xml:space="preserve"> </w:t>
      </w:r>
      <w:r w:rsidRPr="009C21BB">
        <w:rPr>
          <w:rFonts w:cs="Arial"/>
          <w:szCs w:val="20"/>
        </w:rPr>
        <w:t>provide</w:t>
      </w:r>
      <w:r w:rsidR="009C21BB" w:rsidRPr="009C21BB">
        <w:rPr>
          <w:rFonts w:cs="Arial"/>
          <w:szCs w:val="20"/>
        </w:rPr>
        <w:t>s</w:t>
      </w:r>
      <w:r w:rsidRPr="009C21BB">
        <w:rPr>
          <w:rFonts w:cs="Arial"/>
          <w:szCs w:val="20"/>
        </w:rPr>
        <w:t xml:space="preserve"> for </w:t>
      </w:r>
      <w:r w:rsidR="007F2966">
        <w:rPr>
          <w:rFonts w:cs="Arial"/>
          <w:szCs w:val="20"/>
        </w:rPr>
        <w:t xml:space="preserve">an </w:t>
      </w:r>
      <w:r w:rsidRPr="009C21BB">
        <w:rPr>
          <w:rFonts w:cs="Arial"/>
          <w:szCs w:val="20"/>
        </w:rPr>
        <w:t xml:space="preserve">exemption to the prohibition, by allowing for variable benefits to be payable </w:t>
      </w:r>
      <w:r w:rsidR="00C109E2" w:rsidRPr="009C21BB">
        <w:rPr>
          <w:rFonts w:cs="Arial"/>
          <w:szCs w:val="20"/>
        </w:rPr>
        <w:t>where</w:t>
      </w:r>
      <w:r w:rsidR="007F2966">
        <w:rPr>
          <w:rFonts w:cs="Arial"/>
          <w:szCs w:val="20"/>
        </w:rPr>
        <w:t>,</w:t>
      </w:r>
      <w:r w:rsidR="00C109E2" w:rsidRPr="009C21BB">
        <w:rPr>
          <w:rFonts w:cs="Arial"/>
          <w:szCs w:val="20"/>
        </w:rPr>
        <w:t xml:space="preserve"> </w:t>
      </w:r>
      <w:r w:rsidR="007F2966">
        <w:rPr>
          <w:rFonts w:cs="Arial"/>
          <w:szCs w:val="20"/>
        </w:rPr>
        <w:t xml:space="preserve">in summary, </w:t>
      </w:r>
      <w:r w:rsidR="000553A2">
        <w:rPr>
          <w:rFonts w:cs="Arial"/>
          <w:szCs w:val="20"/>
        </w:rPr>
        <w:t>either:</w:t>
      </w:r>
    </w:p>
    <w:p w14:paraId="69B33771" w14:textId="3F481A34" w:rsidR="006307BE" w:rsidRPr="00977A87" w:rsidRDefault="000553A2" w:rsidP="000553A2">
      <w:pPr>
        <w:pStyle w:val="ListParagraph"/>
        <w:numPr>
          <w:ilvl w:val="1"/>
          <w:numId w:val="2"/>
        </w:numPr>
        <w:spacing w:after="240"/>
        <w:rPr>
          <w:rFonts w:cs="Arial"/>
          <w:szCs w:val="20"/>
        </w:rPr>
      </w:pPr>
      <w:r>
        <w:rPr>
          <w:rFonts w:cs="Arial"/>
          <w:szCs w:val="20"/>
        </w:rPr>
        <w:t>T</w:t>
      </w:r>
      <w:r w:rsidR="007F2966" w:rsidRPr="009C21BB">
        <w:rPr>
          <w:rFonts w:cs="Arial"/>
          <w:szCs w:val="20"/>
        </w:rPr>
        <w:t>he introducer or an associated person reduces the interest rate nominated by the regulated person by a maximum of 200 basis points</w:t>
      </w:r>
      <w:r>
        <w:rPr>
          <w:rFonts w:cs="Arial"/>
          <w:szCs w:val="20"/>
        </w:rPr>
        <w:t xml:space="preserve"> (so </w:t>
      </w:r>
      <w:r w:rsidR="006307BE" w:rsidRPr="009C21BB">
        <w:rPr>
          <w:rFonts w:cs="Arial"/>
          <w:szCs w:val="20"/>
        </w:rPr>
        <w:t>that, for example, a lower commission can be paid based on the lower interest rate under the contract, rather than the interest rate initially specified</w:t>
      </w:r>
      <w:r w:rsidR="00156C35" w:rsidRPr="009C21BB">
        <w:rPr>
          <w:rFonts w:cs="Arial"/>
          <w:szCs w:val="20"/>
        </w:rPr>
        <w:t xml:space="preserve"> by the r</w:t>
      </w:r>
      <w:r w:rsidR="00156C35" w:rsidRPr="00977A87">
        <w:rPr>
          <w:rFonts w:cs="Arial"/>
          <w:szCs w:val="20"/>
        </w:rPr>
        <w:t>egulated person</w:t>
      </w:r>
      <w:r w:rsidRPr="00977A87">
        <w:rPr>
          <w:rFonts w:cs="Arial"/>
          <w:szCs w:val="20"/>
        </w:rPr>
        <w:t>)</w:t>
      </w:r>
      <w:r w:rsidR="009C21BB" w:rsidRPr="00977A87">
        <w:rPr>
          <w:rFonts w:cs="Arial"/>
          <w:szCs w:val="20"/>
        </w:rPr>
        <w:t>.</w:t>
      </w:r>
    </w:p>
    <w:p w14:paraId="1459EBBF" w14:textId="556B66D7" w:rsidR="000553A2" w:rsidRPr="00FF51D7" w:rsidRDefault="00977A87" w:rsidP="003C58ED">
      <w:pPr>
        <w:pStyle w:val="ListParagraph"/>
        <w:numPr>
          <w:ilvl w:val="1"/>
          <w:numId w:val="2"/>
        </w:numPr>
        <w:spacing w:after="240"/>
        <w:rPr>
          <w:rFonts w:cs="Arial"/>
          <w:szCs w:val="20"/>
        </w:rPr>
      </w:pPr>
      <w:r w:rsidRPr="00977A87">
        <w:rPr>
          <w:rFonts w:cs="Arial"/>
          <w:szCs w:val="20"/>
        </w:rPr>
        <w:t xml:space="preserve">The introducer or an associated person reduces the interest rate nominated by the regulated person by more than 200 basis points — but with the exemption only applying if the same benefits </w:t>
      </w:r>
      <w:r w:rsidRPr="00FF51D7">
        <w:rPr>
          <w:rFonts w:cs="Arial"/>
          <w:szCs w:val="20"/>
        </w:rPr>
        <w:t>are given as if the contract had been written at 200 basis points below the nominated interest rate.</w:t>
      </w:r>
    </w:p>
    <w:p w14:paraId="0D8FAC26" w14:textId="2340FB5C" w:rsidR="003B1631" w:rsidRPr="003B1631" w:rsidRDefault="003B1631" w:rsidP="003B1631">
      <w:pPr>
        <w:pStyle w:val="ListParagraph"/>
        <w:numPr>
          <w:ilvl w:val="0"/>
          <w:numId w:val="2"/>
        </w:numPr>
        <w:spacing w:after="240"/>
        <w:rPr>
          <w:rFonts w:cs="Arial"/>
          <w:szCs w:val="20"/>
        </w:rPr>
      </w:pPr>
      <w:r w:rsidRPr="003B1631">
        <w:rPr>
          <w:rFonts w:cs="Arial"/>
          <w:szCs w:val="20"/>
        </w:rPr>
        <w:t xml:space="preserve">Section 53B prohibits a regulated person who is a party to a flexible credit cost arrangement giving a benefit to the introducer or an associated person </w:t>
      </w:r>
      <w:r w:rsidR="00296D45">
        <w:rPr>
          <w:rFonts w:cs="Arial"/>
          <w:szCs w:val="20"/>
        </w:rPr>
        <w:t xml:space="preserve">in circumstances where the introducer or associated person is </w:t>
      </w:r>
      <w:r w:rsidRPr="003B1631">
        <w:rPr>
          <w:rFonts w:cs="Arial"/>
          <w:szCs w:val="20"/>
        </w:rPr>
        <w:t>to receive or be paid fees and charges at a higher rate than permitted by the provision. The elements of th</w:t>
      </w:r>
      <w:r w:rsidR="00923001">
        <w:rPr>
          <w:rFonts w:cs="Arial"/>
          <w:szCs w:val="20"/>
        </w:rPr>
        <w:t>is</w:t>
      </w:r>
      <w:r w:rsidRPr="003B1631">
        <w:rPr>
          <w:rFonts w:cs="Arial"/>
          <w:szCs w:val="20"/>
        </w:rPr>
        <w:t xml:space="preserve"> prohibition are: </w:t>
      </w:r>
    </w:p>
    <w:p w14:paraId="5BCBDBE2" w14:textId="0F095FA4" w:rsidR="003B1631" w:rsidRPr="00A804F7" w:rsidRDefault="003B1631" w:rsidP="003B1631">
      <w:pPr>
        <w:pStyle w:val="ListParagraph"/>
        <w:numPr>
          <w:ilvl w:val="1"/>
          <w:numId w:val="2"/>
        </w:numPr>
        <w:spacing w:after="240"/>
        <w:rPr>
          <w:rFonts w:cs="Arial"/>
          <w:szCs w:val="20"/>
        </w:rPr>
      </w:pPr>
      <w:r>
        <w:rPr>
          <w:rFonts w:cs="Arial"/>
          <w:szCs w:val="20"/>
        </w:rPr>
        <w:t>It applies to a regulated person who is a party to a flexible credit cost arrangement</w:t>
      </w:r>
      <w:r>
        <w:t>.</w:t>
      </w:r>
    </w:p>
    <w:p w14:paraId="6724CE46" w14:textId="0EF7C72D" w:rsidR="003B1631" w:rsidRDefault="003B1631" w:rsidP="003B1631">
      <w:pPr>
        <w:pStyle w:val="ListParagraph"/>
        <w:numPr>
          <w:ilvl w:val="1"/>
          <w:numId w:val="2"/>
        </w:numPr>
        <w:spacing w:after="240"/>
        <w:rPr>
          <w:rFonts w:cs="Arial"/>
          <w:szCs w:val="20"/>
        </w:rPr>
      </w:pPr>
      <w:r>
        <w:rPr>
          <w:rFonts w:cs="Arial"/>
          <w:szCs w:val="20"/>
        </w:rPr>
        <w:t xml:space="preserve">It applies </w:t>
      </w:r>
      <w:r w:rsidR="00296D45">
        <w:rPr>
          <w:rFonts w:cs="Arial"/>
          <w:szCs w:val="20"/>
        </w:rPr>
        <w:t xml:space="preserve">in relation </w:t>
      </w:r>
      <w:r>
        <w:rPr>
          <w:rFonts w:cs="Arial"/>
          <w:szCs w:val="20"/>
        </w:rPr>
        <w:t>to</w:t>
      </w:r>
      <w:r w:rsidR="00296D45">
        <w:rPr>
          <w:rFonts w:cs="Arial"/>
          <w:szCs w:val="20"/>
        </w:rPr>
        <w:t xml:space="preserve"> certain</w:t>
      </w:r>
      <w:r>
        <w:rPr>
          <w:rFonts w:cs="Arial"/>
          <w:szCs w:val="20"/>
        </w:rPr>
        <w:t xml:space="preserve"> credit fees</w:t>
      </w:r>
      <w:r w:rsidR="00977A87">
        <w:rPr>
          <w:rFonts w:cs="Arial"/>
          <w:szCs w:val="20"/>
        </w:rPr>
        <w:t xml:space="preserve"> and</w:t>
      </w:r>
      <w:r>
        <w:rPr>
          <w:rFonts w:cs="Arial"/>
          <w:szCs w:val="20"/>
        </w:rPr>
        <w:t xml:space="preserve"> charges. </w:t>
      </w:r>
    </w:p>
    <w:p w14:paraId="0A0A5369" w14:textId="298A8B7E" w:rsidR="003B1631" w:rsidRPr="00A804F7" w:rsidRDefault="003B1631" w:rsidP="003B1631">
      <w:pPr>
        <w:pStyle w:val="ListParagraph"/>
        <w:numPr>
          <w:ilvl w:val="1"/>
          <w:numId w:val="2"/>
        </w:numPr>
        <w:spacing w:after="240"/>
        <w:rPr>
          <w:rFonts w:cs="Arial"/>
          <w:szCs w:val="20"/>
        </w:rPr>
      </w:pPr>
      <w:r w:rsidRPr="00A804F7">
        <w:rPr>
          <w:rFonts w:cs="Arial"/>
          <w:szCs w:val="20"/>
        </w:rPr>
        <w:t xml:space="preserve">The obligation does not apply </w:t>
      </w:r>
      <w:r w:rsidR="00296D45">
        <w:rPr>
          <w:rFonts w:cs="Arial"/>
          <w:szCs w:val="20"/>
        </w:rPr>
        <w:t xml:space="preserve">in relation </w:t>
      </w:r>
      <w:r w:rsidRPr="00A804F7">
        <w:rPr>
          <w:rFonts w:cs="Arial"/>
          <w:szCs w:val="20"/>
        </w:rPr>
        <w:t xml:space="preserve">to all introducers but only where the fee </w:t>
      </w:r>
      <w:r>
        <w:rPr>
          <w:rFonts w:cs="Arial"/>
          <w:szCs w:val="20"/>
        </w:rPr>
        <w:t xml:space="preserve">or charge </w:t>
      </w:r>
      <w:r w:rsidRPr="00A804F7">
        <w:rPr>
          <w:rFonts w:cs="Arial"/>
          <w:szCs w:val="20"/>
        </w:rPr>
        <w:t>is payable to a person who is either:</w:t>
      </w:r>
    </w:p>
    <w:p w14:paraId="492E9FE9" w14:textId="77777777" w:rsidR="003B1631" w:rsidRPr="005E278C" w:rsidRDefault="003B1631" w:rsidP="003B1631">
      <w:pPr>
        <w:pStyle w:val="ListParagraph"/>
        <w:numPr>
          <w:ilvl w:val="2"/>
          <w:numId w:val="2"/>
        </w:numPr>
        <w:spacing w:after="240"/>
        <w:rPr>
          <w:rFonts w:cs="Arial"/>
          <w:szCs w:val="20"/>
        </w:rPr>
      </w:pPr>
      <w:r w:rsidRPr="005E278C">
        <w:rPr>
          <w:rFonts w:cs="Arial"/>
          <w:szCs w:val="20"/>
        </w:rPr>
        <w:t>providing credit services as a representative of the credit provider for the credit contract; or</w:t>
      </w:r>
    </w:p>
    <w:p w14:paraId="1CB99366" w14:textId="77777777" w:rsidR="003B1631" w:rsidRDefault="003B1631" w:rsidP="003B1631">
      <w:pPr>
        <w:pStyle w:val="ListParagraph"/>
        <w:numPr>
          <w:ilvl w:val="2"/>
          <w:numId w:val="2"/>
        </w:numPr>
        <w:spacing w:after="240"/>
        <w:rPr>
          <w:rFonts w:cs="Arial"/>
          <w:szCs w:val="20"/>
        </w:rPr>
      </w:pPr>
      <w:proofErr w:type="gramStart"/>
      <w:r w:rsidRPr="005E278C">
        <w:rPr>
          <w:rFonts w:cs="Arial"/>
          <w:szCs w:val="20"/>
        </w:rPr>
        <w:t>a</w:t>
      </w:r>
      <w:proofErr w:type="gramEnd"/>
      <w:r w:rsidRPr="005E278C">
        <w:rPr>
          <w:rFonts w:cs="Arial"/>
          <w:szCs w:val="20"/>
        </w:rPr>
        <w:t xml:space="preserve"> linked supplier of the credit provider</w:t>
      </w:r>
      <w:r>
        <w:rPr>
          <w:rFonts w:cs="Arial"/>
          <w:szCs w:val="20"/>
        </w:rPr>
        <w:t>.</w:t>
      </w:r>
    </w:p>
    <w:p w14:paraId="16587D29" w14:textId="466350E6" w:rsidR="003B1631" w:rsidRDefault="00296D45" w:rsidP="003B1631">
      <w:pPr>
        <w:pStyle w:val="ListParagraph"/>
        <w:numPr>
          <w:ilvl w:val="1"/>
          <w:numId w:val="2"/>
        </w:numPr>
        <w:spacing w:after="240"/>
        <w:rPr>
          <w:rFonts w:cs="Arial"/>
          <w:szCs w:val="20"/>
        </w:rPr>
      </w:pPr>
      <w:r>
        <w:rPr>
          <w:rFonts w:cs="Arial"/>
          <w:szCs w:val="20"/>
        </w:rPr>
        <w:t>No benefit may be given to the introducer or associated person</w:t>
      </w:r>
      <w:r w:rsidR="00906318">
        <w:rPr>
          <w:rFonts w:cs="Arial"/>
          <w:szCs w:val="20"/>
        </w:rPr>
        <w:t xml:space="preserve"> by the regulated person</w:t>
      </w:r>
      <w:r>
        <w:rPr>
          <w:rFonts w:cs="Arial"/>
          <w:szCs w:val="20"/>
        </w:rPr>
        <w:t xml:space="preserve"> if t</w:t>
      </w:r>
      <w:r w:rsidR="003B1631">
        <w:rPr>
          <w:rFonts w:cs="Arial"/>
          <w:szCs w:val="20"/>
        </w:rPr>
        <w:t>he amount of the fee or charge exceed</w:t>
      </w:r>
      <w:r w:rsidR="00906318">
        <w:rPr>
          <w:rFonts w:cs="Arial"/>
          <w:szCs w:val="20"/>
        </w:rPr>
        <w:t>s</w:t>
      </w:r>
      <w:r w:rsidR="003B1631">
        <w:rPr>
          <w:rFonts w:cs="Arial"/>
          <w:szCs w:val="20"/>
        </w:rPr>
        <w:t xml:space="preserve"> the higher of:</w:t>
      </w:r>
    </w:p>
    <w:p w14:paraId="5BC63DD9" w14:textId="77777777" w:rsidR="003B1631" w:rsidRDefault="003B1631" w:rsidP="003B1631">
      <w:pPr>
        <w:pStyle w:val="ListParagraph"/>
        <w:numPr>
          <w:ilvl w:val="2"/>
          <w:numId w:val="2"/>
        </w:numPr>
        <w:spacing w:after="240"/>
        <w:rPr>
          <w:rFonts w:cs="Arial"/>
          <w:szCs w:val="20"/>
        </w:rPr>
      </w:pPr>
      <w:r>
        <w:t xml:space="preserve">the amount (if any) specified by a regulated person; or </w:t>
      </w:r>
    </w:p>
    <w:p w14:paraId="5F3F9143" w14:textId="77777777" w:rsidR="003B1631" w:rsidRPr="005E2B47" w:rsidRDefault="003B1631" w:rsidP="003B1631">
      <w:pPr>
        <w:pStyle w:val="ListParagraph"/>
        <w:numPr>
          <w:ilvl w:val="2"/>
          <w:numId w:val="2"/>
        </w:numPr>
        <w:spacing w:after="240"/>
        <w:rPr>
          <w:rFonts w:cs="Arial"/>
          <w:szCs w:val="20"/>
        </w:rPr>
      </w:pPr>
      <w:r w:rsidRPr="005E2B47">
        <w:rPr>
          <w:rFonts w:cs="Arial"/>
          <w:szCs w:val="20"/>
        </w:rPr>
        <w:t>$0 (so that if the regulated person does not specify a fee then the introducer cannot charge any fees).</w:t>
      </w:r>
    </w:p>
    <w:p w14:paraId="24B4929B" w14:textId="77777777" w:rsidR="003B1631" w:rsidRDefault="003B1631" w:rsidP="003B1631">
      <w:pPr>
        <w:pStyle w:val="ListParagraph"/>
        <w:numPr>
          <w:ilvl w:val="1"/>
          <w:numId w:val="2"/>
        </w:numPr>
        <w:spacing w:after="240"/>
        <w:rPr>
          <w:rFonts w:cs="Arial"/>
          <w:szCs w:val="20"/>
        </w:rPr>
      </w:pPr>
      <w:r w:rsidRPr="005E2B47">
        <w:rPr>
          <w:rFonts w:cs="Arial"/>
          <w:szCs w:val="20"/>
        </w:rPr>
        <w:t>The regulated person must not determine the amount of specified fees or charges by reference to the loss or potential loss of revenue by the introducer, or associated person, as a result of the prohibition in section 53A.</w:t>
      </w:r>
    </w:p>
    <w:p w14:paraId="700FC934" w14:textId="77777777" w:rsidR="00624234" w:rsidRPr="001932A4" w:rsidRDefault="00624234" w:rsidP="00FF51D7">
      <w:pPr>
        <w:pStyle w:val="ListParagraph"/>
        <w:numPr>
          <w:ilvl w:val="0"/>
          <w:numId w:val="2"/>
        </w:numPr>
        <w:spacing w:after="240"/>
        <w:rPr>
          <w:rFonts w:cs="Arial"/>
          <w:szCs w:val="20"/>
        </w:rPr>
      </w:pPr>
      <w:r w:rsidRPr="001932A4">
        <w:rPr>
          <w:rFonts w:cs="Arial"/>
          <w:szCs w:val="20"/>
        </w:rPr>
        <w:t>The instrument introduces penalties:</w:t>
      </w:r>
    </w:p>
    <w:p w14:paraId="6E781F54" w14:textId="45ACBA00" w:rsidR="00624234" w:rsidRPr="00E94673" w:rsidRDefault="00624234" w:rsidP="00FF51D7">
      <w:pPr>
        <w:pStyle w:val="LI-Sectionparaa"/>
        <w:numPr>
          <w:ilvl w:val="1"/>
          <w:numId w:val="2"/>
        </w:numPr>
        <w:spacing w:before="0" w:afterLines="100" w:after="240" w:line="259" w:lineRule="auto"/>
        <w:rPr>
          <w:rFonts w:cs="Arial"/>
          <w:szCs w:val="20"/>
        </w:rPr>
      </w:pPr>
      <w:r w:rsidRPr="00FF51D7">
        <w:rPr>
          <w:rFonts w:ascii="Arial" w:hAnsi="Arial" w:cs="Arial"/>
          <w:sz w:val="20"/>
          <w:szCs w:val="20"/>
        </w:rPr>
        <w:t>A breach of the prohibition on giving benefits under subsection 53A(2) can incur a c</w:t>
      </w:r>
      <w:r w:rsidRPr="00FF51D7">
        <w:rPr>
          <w:rFonts w:ascii="Arial" w:hAnsi="Arial" w:cs="Arial"/>
          <w:sz w:val="20"/>
          <w:szCs w:val="20"/>
          <w:lang w:eastAsia="en-US"/>
        </w:rPr>
        <w:t>ivil penalty</w:t>
      </w:r>
      <w:r w:rsidRPr="00624234">
        <w:rPr>
          <w:rFonts w:ascii="Arial" w:hAnsi="Arial" w:cs="Arial"/>
          <w:sz w:val="20"/>
          <w:szCs w:val="20"/>
          <w:lang w:eastAsia="en-US"/>
        </w:rPr>
        <w:t xml:space="preserve"> of up to</w:t>
      </w:r>
      <w:r w:rsidRPr="00FF51D7">
        <w:rPr>
          <w:rFonts w:ascii="Arial" w:hAnsi="Arial" w:cs="Arial"/>
          <w:sz w:val="20"/>
          <w:szCs w:val="20"/>
          <w:lang w:eastAsia="en-US"/>
        </w:rPr>
        <w:t xml:space="preserve"> 2,000 penalty units</w:t>
      </w:r>
      <w:r w:rsidRPr="00624234">
        <w:rPr>
          <w:rFonts w:ascii="Arial" w:hAnsi="Arial" w:cs="Arial"/>
          <w:sz w:val="20"/>
          <w:szCs w:val="20"/>
          <w:lang w:eastAsia="en-US"/>
        </w:rPr>
        <w:t>, and a c</w:t>
      </w:r>
      <w:r w:rsidRPr="00FF51D7">
        <w:rPr>
          <w:rFonts w:ascii="Arial" w:hAnsi="Arial" w:cs="Arial"/>
          <w:sz w:val="20"/>
          <w:szCs w:val="20"/>
        </w:rPr>
        <w:t>riminal penalty of a maximum of 100 penalty units, or 2 years imprisonment (or both).</w:t>
      </w:r>
    </w:p>
    <w:p w14:paraId="67807245" w14:textId="4E91438A" w:rsidR="00624234" w:rsidRPr="00E94673" w:rsidRDefault="00624234" w:rsidP="00FF51D7">
      <w:pPr>
        <w:pStyle w:val="LI-Sectionparaa"/>
        <w:numPr>
          <w:ilvl w:val="1"/>
          <w:numId w:val="2"/>
        </w:numPr>
        <w:spacing w:before="0" w:afterLines="100" w:after="240" w:line="259" w:lineRule="auto"/>
        <w:rPr>
          <w:rFonts w:cs="Arial"/>
          <w:szCs w:val="20"/>
        </w:rPr>
      </w:pPr>
      <w:r w:rsidRPr="00FF51D7">
        <w:rPr>
          <w:rFonts w:ascii="Arial" w:hAnsi="Arial" w:cs="Arial"/>
          <w:sz w:val="20"/>
          <w:szCs w:val="20"/>
        </w:rPr>
        <w:t>A breach of the prohibition on giving benefits under subsection 53</w:t>
      </w:r>
      <w:r>
        <w:rPr>
          <w:rFonts w:ascii="Arial" w:hAnsi="Arial" w:cs="Arial"/>
          <w:sz w:val="20"/>
          <w:szCs w:val="20"/>
        </w:rPr>
        <w:t>B</w:t>
      </w:r>
      <w:r w:rsidRPr="00FF51D7">
        <w:rPr>
          <w:rFonts w:ascii="Arial" w:hAnsi="Arial" w:cs="Arial"/>
          <w:sz w:val="20"/>
          <w:szCs w:val="20"/>
        </w:rPr>
        <w:t>(</w:t>
      </w:r>
      <w:r w:rsidR="00923001">
        <w:rPr>
          <w:rFonts w:ascii="Arial" w:hAnsi="Arial" w:cs="Arial"/>
          <w:sz w:val="20"/>
          <w:szCs w:val="20"/>
        </w:rPr>
        <w:t>1</w:t>
      </w:r>
      <w:r w:rsidRPr="00FF51D7">
        <w:rPr>
          <w:rFonts w:ascii="Arial" w:hAnsi="Arial" w:cs="Arial"/>
          <w:sz w:val="20"/>
          <w:szCs w:val="20"/>
        </w:rPr>
        <w:t>)</w:t>
      </w:r>
      <w:r>
        <w:rPr>
          <w:rFonts w:ascii="Arial" w:hAnsi="Arial" w:cs="Arial"/>
          <w:sz w:val="20"/>
          <w:szCs w:val="20"/>
        </w:rPr>
        <w:t xml:space="preserve">, and of the additional requirements </w:t>
      </w:r>
      <w:r w:rsidR="00923001">
        <w:rPr>
          <w:rFonts w:ascii="Arial" w:hAnsi="Arial" w:cs="Arial"/>
          <w:sz w:val="20"/>
          <w:szCs w:val="20"/>
        </w:rPr>
        <w:t xml:space="preserve">in </w:t>
      </w:r>
      <w:r w:rsidR="00923001" w:rsidRPr="00416674">
        <w:rPr>
          <w:rFonts w:ascii="Arial" w:hAnsi="Arial" w:cs="Arial"/>
          <w:sz w:val="20"/>
          <w:szCs w:val="20"/>
        </w:rPr>
        <w:t>subsection</w:t>
      </w:r>
      <w:r w:rsidR="00923001">
        <w:rPr>
          <w:rFonts w:ascii="Arial" w:hAnsi="Arial" w:cs="Arial"/>
          <w:sz w:val="20"/>
          <w:szCs w:val="20"/>
        </w:rPr>
        <w:t>s</w:t>
      </w:r>
      <w:r w:rsidR="00923001" w:rsidRPr="00416674">
        <w:rPr>
          <w:rFonts w:ascii="Arial" w:hAnsi="Arial" w:cs="Arial"/>
          <w:sz w:val="20"/>
          <w:szCs w:val="20"/>
        </w:rPr>
        <w:t xml:space="preserve"> 53</w:t>
      </w:r>
      <w:r w:rsidR="00923001">
        <w:rPr>
          <w:rFonts w:ascii="Arial" w:hAnsi="Arial" w:cs="Arial"/>
          <w:sz w:val="20"/>
          <w:szCs w:val="20"/>
        </w:rPr>
        <w:t>B</w:t>
      </w:r>
      <w:r w:rsidR="00923001" w:rsidRPr="00416674">
        <w:rPr>
          <w:rFonts w:ascii="Arial" w:hAnsi="Arial" w:cs="Arial"/>
          <w:sz w:val="20"/>
          <w:szCs w:val="20"/>
        </w:rPr>
        <w:t>(</w:t>
      </w:r>
      <w:r w:rsidR="00923001">
        <w:rPr>
          <w:rFonts w:ascii="Arial" w:hAnsi="Arial" w:cs="Arial"/>
          <w:sz w:val="20"/>
          <w:szCs w:val="20"/>
        </w:rPr>
        <w:t>3</w:t>
      </w:r>
      <w:r w:rsidR="00923001" w:rsidRPr="00416674">
        <w:rPr>
          <w:rFonts w:ascii="Arial" w:hAnsi="Arial" w:cs="Arial"/>
          <w:sz w:val="20"/>
          <w:szCs w:val="20"/>
        </w:rPr>
        <w:t>)</w:t>
      </w:r>
      <w:r w:rsidR="00923001">
        <w:rPr>
          <w:rFonts w:ascii="Arial" w:hAnsi="Arial" w:cs="Arial"/>
          <w:sz w:val="20"/>
          <w:szCs w:val="20"/>
        </w:rPr>
        <w:t xml:space="preserve"> and (4) (</w:t>
      </w:r>
      <w:r>
        <w:rPr>
          <w:rFonts w:ascii="Arial" w:hAnsi="Arial" w:cs="Arial"/>
          <w:sz w:val="20"/>
          <w:szCs w:val="20"/>
        </w:rPr>
        <w:t xml:space="preserve">to </w:t>
      </w:r>
      <w:r w:rsidRPr="00FF51D7">
        <w:rPr>
          <w:rFonts w:ascii="Arial" w:hAnsi="Arial" w:cs="Arial"/>
          <w:sz w:val="20"/>
          <w:szCs w:val="20"/>
        </w:rPr>
        <w:t xml:space="preserve">not determine the amount of </w:t>
      </w:r>
      <w:r w:rsidR="00923001">
        <w:rPr>
          <w:rFonts w:ascii="Arial" w:hAnsi="Arial" w:cs="Arial"/>
          <w:sz w:val="20"/>
          <w:szCs w:val="20"/>
        </w:rPr>
        <w:t xml:space="preserve">the </w:t>
      </w:r>
      <w:r w:rsidRPr="00FF51D7">
        <w:rPr>
          <w:rFonts w:ascii="Arial" w:hAnsi="Arial" w:cs="Arial"/>
          <w:sz w:val="20"/>
          <w:szCs w:val="20"/>
        </w:rPr>
        <w:t xml:space="preserve">fees or charges by reference to </w:t>
      </w:r>
      <w:r w:rsidR="00923001">
        <w:rPr>
          <w:rFonts w:ascii="Arial" w:hAnsi="Arial" w:cs="Arial"/>
          <w:sz w:val="20"/>
          <w:szCs w:val="20"/>
        </w:rPr>
        <w:t xml:space="preserve">any </w:t>
      </w:r>
      <w:r w:rsidRPr="00FF51D7">
        <w:rPr>
          <w:rFonts w:ascii="Arial" w:hAnsi="Arial" w:cs="Arial"/>
          <w:sz w:val="20"/>
          <w:szCs w:val="20"/>
        </w:rPr>
        <w:t xml:space="preserve">loss of revenue </w:t>
      </w:r>
      <w:r>
        <w:rPr>
          <w:rFonts w:ascii="Arial" w:hAnsi="Arial" w:cs="Arial"/>
          <w:sz w:val="20"/>
          <w:szCs w:val="20"/>
        </w:rPr>
        <w:t xml:space="preserve">and to </w:t>
      </w:r>
      <w:r w:rsidRPr="00FF51D7">
        <w:rPr>
          <w:rFonts w:ascii="Arial" w:hAnsi="Arial" w:cs="Arial"/>
          <w:sz w:val="20"/>
          <w:szCs w:val="20"/>
        </w:rPr>
        <w:t xml:space="preserve">keep written records of the basis for determining </w:t>
      </w:r>
      <w:r w:rsidR="00923001">
        <w:rPr>
          <w:rFonts w:ascii="Arial" w:hAnsi="Arial" w:cs="Arial"/>
          <w:sz w:val="20"/>
          <w:szCs w:val="20"/>
        </w:rPr>
        <w:t xml:space="preserve">these amounts </w:t>
      </w:r>
      <w:r w:rsidRPr="00FF51D7">
        <w:rPr>
          <w:rFonts w:ascii="Arial" w:hAnsi="Arial" w:cs="Arial"/>
          <w:sz w:val="20"/>
          <w:szCs w:val="20"/>
        </w:rPr>
        <w:t>for a period of 7 years</w:t>
      </w:r>
      <w:r w:rsidR="00923001">
        <w:rPr>
          <w:rFonts w:ascii="Arial" w:hAnsi="Arial" w:cs="Arial"/>
          <w:sz w:val="20"/>
          <w:szCs w:val="20"/>
        </w:rPr>
        <w:t>)</w:t>
      </w:r>
      <w:r>
        <w:rPr>
          <w:rFonts w:ascii="Arial" w:hAnsi="Arial" w:cs="Arial"/>
          <w:sz w:val="20"/>
          <w:szCs w:val="20"/>
        </w:rPr>
        <w:t xml:space="preserve"> </w:t>
      </w:r>
      <w:r w:rsidRPr="002E38BA">
        <w:rPr>
          <w:rFonts w:ascii="Arial" w:hAnsi="Arial" w:cs="Arial"/>
          <w:sz w:val="20"/>
          <w:szCs w:val="20"/>
        </w:rPr>
        <w:t>can incur a c</w:t>
      </w:r>
      <w:r w:rsidRPr="002E38BA">
        <w:rPr>
          <w:rFonts w:ascii="Arial" w:hAnsi="Arial" w:cs="Arial"/>
          <w:sz w:val="20"/>
          <w:szCs w:val="20"/>
          <w:lang w:eastAsia="en-US"/>
        </w:rPr>
        <w:t>ivil penalty of up to 2,000 penalty units, and a c</w:t>
      </w:r>
      <w:r w:rsidRPr="002E38BA">
        <w:rPr>
          <w:rFonts w:ascii="Arial" w:hAnsi="Arial" w:cs="Arial"/>
          <w:sz w:val="20"/>
          <w:szCs w:val="20"/>
        </w:rPr>
        <w:t>riminal penalty of a maximum of 100 penalty units, or 2 years imprisonment (or both).</w:t>
      </w:r>
    </w:p>
    <w:p w14:paraId="6D8FAD3D" w14:textId="1BAF389E" w:rsidR="00B8423E" w:rsidRDefault="00C109E2" w:rsidP="003B1631">
      <w:pPr>
        <w:spacing w:after="240"/>
        <w:rPr>
          <w:rFonts w:cs="Arial"/>
          <w:szCs w:val="20"/>
          <w:u w:val="single"/>
        </w:rPr>
      </w:pPr>
      <w:r w:rsidRPr="003B1631">
        <w:rPr>
          <w:rFonts w:cs="Arial"/>
          <w:szCs w:val="20"/>
          <w:u w:val="single"/>
        </w:rPr>
        <w:t>Detailed Explanation</w:t>
      </w:r>
    </w:p>
    <w:p w14:paraId="1DC102AB" w14:textId="75ACE9ED" w:rsidR="00E30CB3" w:rsidRDefault="00E30CB3" w:rsidP="003B1631">
      <w:pPr>
        <w:spacing w:after="240"/>
        <w:rPr>
          <w:rFonts w:cs="Arial"/>
          <w:szCs w:val="20"/>
        </w:rPr>
      </w:pPr>
      <w:r w:rsidRPr="002748EA">
        <w:rPr>
          <w:rFonts w:cs="Arial"/>
          <w:szCs w:val="20"/>
        </w:rPr>
        <w:t xml:space="preserve">This part of the Explanatory Statement </w:t>
      </w:r>
      <w:r>
        <w:rPr>
          <w:rFonts w:cs="Arial"/>
          <w:szCs w:val="20"/>
        </w:rPr>
        <w:t xml:space="preserve">discusses the operation of </w:t>
      </w:r>
      <w:r w:rsidRPr="00FC53BC">
        <w:rPr>
          <w:rFonts w:cs="Arial"/>
          <w:szCs w:val="20"/>
        </w:rPr>
        <w:t>modified section</w:t>
      </w:r>
      <w:r>
        <w:rPr>
          <w:rFonts w:cs="Arial"/>
          <w:szCs w:val="20"/>
        </w:rPr>
        <w:t>s</w:t>
      </w:r>
      <w:r w:rsidRPr="00FC53BC">
        <w:rPr>
          <w:rFonts w:cs="Arial"/>
          <w:szCs w:val="20"/>
        </w:rPr>
        <w:t xml:space="preserve"> 53A</w:t>
      </w:r>
      <w:r w:rsidR="000553A2">
        <w:rPr>
          <w:rFonts w:cs="Arial"/>
          <w:szCs w:val="20"/>
        </w:rPr>
        <w:t xml:space="preserve"> and</w:t>
      </w:r>
      <w:r>
        <w:rPr>
          <w:rFonts w:cs="Arial"/>
          <w:szCs w:val="20"/>
        </w:rPr>
        <w:t xml:space="preserve"> 53B in detail</w:t>
      </w:r>
      <w:r w:rsidRPr="00620D87">
        <w:rPr>
          <w:rFonts w:cs="Arial"/>
          <w:szCs w:val="20"/>
        </w:rPr>
        <w:t xml:space="preserve">. </w:t>
      </w:r>
      <w:r>
        <w:rPr>
          <w:rFonts w:cs="Arial"/>
          <w:szCs w:val="20"/>
        </w:rPr>
        <w:t xml:space="preserve">In this </w:t>
      </w:r>
      <w:r w:rsidRPr="002748EA">
        <w:rPr>
          <w:rFonts w:cs="Arial"/>
          <w:szCs w:val="20"/>
        </w:rPr>
        <w:t>part of the Explanatory Statement</w:t>
      </w:r>
      <w:r>
        <w:rPr>
          <w:rFonts w:cs="Arial"/>
          <w:szCs w:val="20"/>
        </w:rPr>
        <w:t xml:space="preserve"> the phrase 'cost of finance' refers to:</w:t>
      </w:r>
    </w:p>
    <w:p w14:paraId="70E8EC60" w14:textId="3D6DF0D0" w:rsidR="002E1A84" w:rsidRPr="002E1A84" w:rsidRDefault="002E1A84" w:rsidP="002E1A84">
      <w:pPr>
        <w:pStyle w:val="ListParagraph"/>
        <w:numPr>
          <w:ilvl w:val="0"/>
          <w:numId w:val="24"/>
        </w:numPr>
        <w:spacing w:after="240"/>
        <w:rPr>
          <w:rFonts w:cs="Arial"/>
          <w:szCs w:val="20"/>
          <w:u w:val="single"/>
        </w:rPr>
      </w:pPr>
      <w:r>
        <w:rPr>
          <w:rFonts w:cs="Arial"/>
          <w:szCs w:val="20"/>
        </w:rPr>
        <w:t xml:space="preserve">in the case of </w:t>
      </w:r>
      <w:r w:rsidRPr="002E1A84">
        <w:rPr>
          <w:rFonts w:cs="Arial"/>
          <w:szCs w:val="20"/>
        </w:rPr>
        <w:t xml:space="preserve">a credit contract — </w:t>
      </w:r>
      <w:r>
        <w:t>the amount of the annual percentage rate; and</w:t>
      </w:r>
    </w:p>
    <w:p w14:paraId="42D29FA0" w14:textId="272B58E6" w:rsidR="00E30CB3" w:rsidRPr="002E1A84" w:rsidRDefault="002E1A84" w:rsidP="002E1A84">
      <w:pPr>
        <w:pStyle w:val="ListParagraph"/>
        <w:numPr>
          <w:ilvl w:val="0"/>
          <w:numId w:val="24"/>
        </w:numPr>
        <w:spacing w:after="240"/>
        <w:rPr>
          <w:rFonts w:cs="Arial"/>
          <w:szCs w:val="20"/>
          <w:u w:val="single"/>
        </w:rPr>
      </w:pPr>
      <w:proofErr w:type="gramStart"/>
      <w:r>
        <w:rPr>
          <w:rFonts w:cs="Arial"/>
          <w:szCs w:val="20"/>
        </w:rPr>
        <w:t>in</w:t>
      </w:r>
      <w:proofErr w:type="gramEnd"/>
      <w:r>
        <w:rPr>
          <w:rFonts w:cs="Arial"/>
          <w:szCs w:val="20"/>
        </w:rPr>
        <w:t xml:space="preserve"> the case of </w:t>
      </w:r>
      <w:r w:rsidRPr="002E1A84">
        <w:rPr>
          <w:rFonts w:cs="Arial"/>
          <w:szCs w:val="20"/>
        </w:rPr>
        <w:t>a c</w:t>
      </w:r>
      <w:r>
        <w:rPr>
          <w:rFonts w:cs="Arial"/>
          <w:szCs w:val="20"/>
        </w:rPr>
        <w:t xml:space="preserve">onsumer lease </w:t>
      </w:r>
      <w:r w:rsidRPr="002E1A84">
        <w:rPr>
          <w:rFonts w:cs="Arial"/>
          <w:szCs w:val="20"/>
        </w:rPr>
        <w:t xml:space="preserve">— </w:t>
      </w:r>
      <w:r>
        <w:t>the amount of the rental charge.</w:t>
      </w:r>
    </w:p>
    <w:p w14:paraId="2BDEE686" w14:textId="7B173FD1" w:rsidR="00BB5DFC" w:rsidRPr="00620D87" w:rsidRDefault="00BB5DFC" w:rsidP="00BB5DFC">
      <w:pPr>
        <w:spacing w:after="240"/>
        <w:rPr>
          <w:rFonts w:cs="Arial"/>
          <w:i/>
          <w:szCs w:val="20"/>
        </w:rPr>
      </w:pPr>
      <w:r w:rsidRPr="00620D87">
        <w:rPr>
          <w:rFonts w:cs="Arial"/>
          <w:i/>
          <w:szCs w:val="20"/>
        </w:rPr>
        <w:t xml:space="preserve">Scope of the prohibition </w:t>
      </w:r>
    </w:p>
    <w:p w14:paraId="130E6C1A" w14:textId="255F2534" w:rsidR="00393B9F" w:rsidRDefault="00BB5DFC" w:rsidP="0067640D">
      <w:pPr>
        <w:spacing w:after="240"/>
        <w:rPr>
          <w:rFonts w:cs="Arial"/>
          <w:szCs w:val="20"/>
        </w:rPr>
      </w:pPr>
      <w:r w:rsidRPr="00620D87">
        <w:rPr>
          <w:rFonts w:cs="Arial"/>
          <w:szCs w:val="20"/>
        </w:rPr>
        <w:t>S</w:t>
      </w:r>
      <w:r w:rsidR="00DA26CB">
        <w:rPr>
          <w:rFonts w:cs="Arial"/>
          <w:szCs w:val="20"/>
        </w:rPr>
        <w:t>ubs</w:t>
      </w:r>
      <w:r w:rsidRPr="00620D87">
        <w:rPr>
          <w:rFonts w:cs="Arial"/>
          <w:szCs w:val="20"/>
        </w:rPr>
        <w:t xml:space="preserve">ection </w:t>
      </w:r>
      <w:proofErr w:type="gramStart"/>
      <w:r w:rsidRPr="00620D87">
        <w:rPr>
          <w:rFonts w:cs="Arial"/>
          <w:szCs w:val="20"/>
        </w:rPr>
        <w:t>53A(</w:t>
      </w:r>
      <w:proofErr w:type="gramEnd"/>
      <w:r w:rsidRPr="00620D87">
        <w:rPr>
          <w:rFonts w:cs="Arial"/>
          <w:szCs w:val="20"/>
        </w:rPr>
        <w:t xml:space="preserve">1) describes the </w:t>
      </w:r>
      <w:r w:rsidR="00393B9F">
        <w:rPr>
          <w:rFonts w:cs="Arial"/>
          <w:szCs w:val="20"/>
        </w:rPr>
        <w:t>scope of the prohibition by reference to</w:t>
      </w:r>
      <w:r w:rsidR="0067640D">
        <w:rPr>
          <w:rFonts w:cs="Arial"/>
          <w:szCs w:val="20"/>
        </w:rPr>
        <w:t xml:space="preserve"> both t</w:t>
      </w:r>
      <w:r w:rsidR="00393B9F">
        <w:rPr>
          <w:rFonts w:cs="Arial"/>
          <w:szCs w:val="20"/>
        </w:rPr>
        <w:t xml:space="preserve">he </w:t>
      </w:r>
      <w:r w:rsidRPr="00393B9F">
        <w:rPr>
          <w:rFonts w:cs="Arial"/>
          <w:szCs w:val="20"/>
        </w:rPr>
        <w:t xml:space="preserve">persons </w:t>
      </w:r>
      <w:r w:rsidR="0067640D">
        <w:rPr>
          <w:rFonts w:cs="Arial"/>
          <w:szCs w:val="20"/>
        </w:rPr>
        <w:t xml:space="preserve">and the type of remuneration arrangements it </w:t>
      </w:r>
      <w:r w:rsidRPr="00393B9F">
        <w:rPr>
          <w:rFonts w:cs="Arial"/>
          <w:szCs w:val="20"/>
        </w:rPr>
        <w:t>applies to</w:t>
      </w:r>
      <w:r w:rsidR="0067640D">
        <w:rPr>
          <w:rFonts w:cs="Arial"/>
          <w:szCs w:val="20"/>
        </w:rPr>
        <w:t>.</w:t>
      </w:r>
    </w:p>
    <w:p w14:paraId="08F579DA" w14:textId="3259B8E7" w:rsidR="0067640D" w:rsidRDefault="0067640D" w:rsidP="0067640D">
      <w:pPr>
        <w:spacing w:after="240"/>
        <w:rPr>
          <w:rFonts w:cs="Arial"/>
          <w:szCs w:val="20"/>
        </w:rPr>
      </w:pPr>
      <w:r>
        <w:rPr>
          <w:rFonts w:cs="Arial"/>
          <w:szCs w:val="20"/>
        </w:rPr>
        <w:t xml:space="preserve">The persons it applies to are referred to collectively as </w:t>
      </w:r>
      <w:r w:rsidRPr="00620D87">
        <w:rPr>
          <w:rFonts w:cs="Arial"/>
          <w:szCs w:val="20"/>
        </w:rPr>
        <w:t>'regulated person</w:t>
      </w:r>
      <w:r>
        <w:rPr>
          <w:rFonts w:cs="Arial"/>
          <w:szCs w:val="20"/>
        </w:rPr>
        <w:t>s</w:t>
      </w:r>
      <w:r w:rsidRPr="00620D87">
        <w:rPr>
          <w:rFonts w:cs="Arial"/>
          <w:szCs w:val="20"/>
        </w:rPr>
        <w:t>'</w:t>
      </w:r>
      <w:r>
        <w:rPr>
          <w:rFonts w:cs="Arial"/>
          <w:szCs w:val="20"/>
        </w:rPr>
        <w:t xml:space="preserve"> and are</w:t>
      </w:r>
      <w:r w:rsidRPr="00620D87">
        <w:rPr>
          <w:rFonts w:cs="Arial"/>
          <w:szCs w:val="20"/>
        </w:rPr>
        <w:t xml:space="preserve">: </w:t>
      </w:r>
    </w:p>
    <w:p w14:paraId="4C504DAD" w14:textId="77777777" w:rsidR="0067640D" w:rsidRPr="0067640D" w:rsidRDefault="0067640D" w:rsidP="00AB0F9E">
      <w:pPr>
        <w:pStyle w:val="ListParagraph"/>
        <w:numPr>
          <w:ilvl w:val="0"/>
          <w:numId w:val="22"/>
        </w:numPr>
        <w:spacing w:after="240"/>
        <w:rPr>
          <w:rFonts w:cs="Arial"/>
          <w:szCs w:val="20"/>
        </w:rPr>
      </w:pPr>
      <w:r w:rsidRPr="0067640D">
        <w:rPr>
          <w:rFonts w:cs="Arial"/>
          <w:szCs w:val="20"/>
        </w:rPr>
        <w:t>The holder of an Australian credit licence (ACL) who is a credit provider.</w:t>
      </w:r>
    </w:p>
    <w:p w14:paraId="3FC0C981" w14:textId="102B6764" w:rsidR="0067640D" w:rsidRPr="0067640D" w:rsidRDefault="0067640D" w:rsidP="00AB0F9E">
      <w:pPr>
        <w:pStyle w:val="ListParagraph"/>
        <w:numPr>
          <w:ilvl w:val="0"/>
          <w:numId w:val="22"/>
        </w:numPr>
        <w:spacing w:after="240"/>
        <w:rPr>
          <w:rFonts w:cs="Arial"/>
          <w:szCs w:val="20"/>
        </w:rPr>
      </w:pPr>
      <w:r w:rsidRPr="0067640D">
        <w:rPr>
          <w:rFonts w:cs="Arial"/>
          <w:szCs w:val="20"/>
        </w:rPr>
        <w:t>Both parties to a servicing agreement between a special purpose funding entity and the licensee who assumes the responsibilities of a credit provider under that agreement.</w:t>
      </w:r>
    </w:p>
    <w:p w14:paraId="1006DE32" w14:textId="05972149" w:rsidR="0067640D" w:rsidRPr="0067640D" w:rsidRDefault="0067640D" w:rsidP="0067640D">
      <w:pPr>
        <w:autoSpaceDE w:val="0"/>
        <w:autoSpaceDN w:val="0"/>
        <w:adjustRightInd w:val="0"/>
        <w:spacing w:afterLines="0" w:after="0" w:line="240" w:lineRule="auto"/>
        <w:rPr>
          <w:rFonts w:cs="Arial"/>
          <w:szCs w:val="20"/>
        </w:rPr>
      </w:pPr>
      <w:r w:rsidRPr="0067640D">
        <w:rPr>
          <w:rFonts w:cs="Arial"/>
          <w:szCs w:val="20"/>
        </w:rPr>
        <w:t>Paragraph 53A(1)(b) applies the prohibition to exempt special purpose funding entities and to licensees who are party to a servicing agreement with an exempt special purpose funding entity, but not themselves the credit provider or lessor. This ensures regulatory consistency in the application of the prohibition to different business models.</w:t>
      </w:r>
    </w:p>
    <w:p w14:paraId="1EF8BB7B" w14:textId="77777777" w:rsidR="0067640D" w:rsidRDefault="0067640D" w:rsidP="0008675B">
      <w:pPr>
        <w:autoSpaceDE w:val="0"/>
        <w:autoSpaceDN w:val="0"/>
        <w:adjustRightInd w:val="0"/>
        <w:spacing w:afterLines="0" w:after="0" w:line="240" w:lineRule="auto"/>
        <w:rPr>
          <w:rFonts w:cs="Arial"/>
          <w:szCs w:val="20"/>
        </w:rPr>
      </w:pPr>
    </w:p>
    <w:p w14:paraId="02F0EA1C" w14:textId="22087715" w:rsidR="00201B3A" w:rsidRDefault="0008675B" w:rsidP="0008675B">
      <w:pPr>
        <w:autoSpaceDE w:val="0"/>
        <w:autoSpaceDN w:val="0"/>
        <w:adjustRightInd w:val="0"/>
        <w:spacing w:afterLines="0" w:after="0" w:line="240" w:lineRule="auto"/>
        <w:rPr>
          <w:rFonts w:cs="Arial"/>
          <w:szCs w:val="20"/>
        </w:rPr>
      </w:pPr>
      <w:r w:rsidRPr="00201B3A">
        <w:rPr>
          <w:rFonts w:cs="Arial"/>
          <w:szCs w:val="20"/>
        </w:rPr>
        <w:t xml:space="preserve">In general terms, an exempt </w:t>
      </w:r>
      <w:r w:rsidRPr="00393B9F">
        <w:rPr>
          <w:rFonts w:cs="Arial"/>
          <w:szCs w:val="20"/>
        </w:rPr>
        <w:t xml:space="preserve">special purpose funding entity </w:t>
      </w:r>
      <w:r>
        <w:rPr>
          <w:rFonts w:cs="Arial"/>
          <w:szCs w:val="20"/>
        </w:rPr>
        <w:t>is a</w:t>
      </w:r>
      <w:r w:rsidR="0067640D">
        <w:rPr>
          <w:rFonts w:cs="Arial"/>
          <w:szCs w:val="20"/>
        </w:rPr>
        <w:t xml:space="preserve"> </w:t>
      </w:r>
      <w:r w:rsidRPr="00201B3A">
        <w:rPr>
          <w:rFonts w:cs="Arial"/>
          <w:szCs w:val="20"/>
        </w:rPr>
        <w:t>vehicle established to raise or receive funds from investors</w:t>
      </w:r>
      <w:r w:rsidR="008A40C9">
        <w:rPr>
          <w:rFonts w:cs="Arial"/>
          <w:szCs w:val="20"/>
        </w:rPr>
        <w:t xml:space="preserve"> or a securitisation entity</w:t>
      </w:r>
      <w:r w:rsidR="009C350C">
        <w:rPr>
          <w:rFonts w:cs="Arial"/>
          <w:szCs w:val="20"/>
        </w:rPr>
        <w:t xml:space="preserve"> </w:t>
      </w:r>
      <w:r w:rsidR="0067640D">
        <w:rPr>
          <w:rFonts w:cs="Arial"/>
          <w:szCs w:val="20"/>
        </w:rPr>
        <w:t xml:space="preserve">that </w:t>
      </w:r>
      <w:r w:rsidRPr="00201B3A">
        <w:rPr>
          <w:rFonts w:cs="Arial"/>
          <w:szCs w:val="20"/>
        </w:rPr>
        <w:t xml:space="preserve">usually has no employees and acts through a servicing agreement with a third party who </w:t>
      </w:r>
      <w:r w:rsidR="0067640D">
        <w:rPr>
          <w:rFonts w:cs="Arial"/>
          <w:szCs w:val="20"/>
        </w:rPr>
        <w:t xml:space="preserve">must </w:t>
      </w:r>
      <w:r w:rsidR="00E30CB3">
        <w:rPr>
          <w:rFonts w:cs="Arial"/>
          <w:szCs w:val="20"/>
        </w:rPr>
        <w:t xml:space="preserve">hold an ACL </w:t>
      </w:r>
      <w:r w:rsidR="0067640D">
        <w:rPr>
          <w:rFonts w:cs="Arial"/>
          <w:szCs w:val="20"/>
        </w:rPr>
        <w:t xml:space="preserve">and who </w:t>
      </w:r>
      <w:r w:rsidR="00E30CB3">
        <w:rPr>
          <w:rFonts w:cs="Arial"/>
          <w:szCs w:val="20"/>
        </w:rPr>
        <w:t xml:space="preserve">is required to </w:t>
      </w:r>
      <w:r w:rsidR="0067640D">
        <w:rPr>
          <w:rFonts w:cs="Arial"/>
          <w:szCs w:val="20"/>
        </w:rPr>
        <w:t xml:space="preserve">meet the obligations of </w:t>
      </w:r>
      <w:r w:rsidR="00E30CB3">
        <w:rPr>
          <w:rFonts w:cs="Arial"/>
          <w:szCs w:val="20"/>
        </w:rPr>
        <w:t xml:space="preserve">a </w:t>
      </w:r>
      <w:r w:rsidR="0067640D">
        <w:rPr>
          <w:rFonts w:cs="Arial"/>
          <w:szCs w:val="20"/>
        </w:rPr>
        <w:t xml:space="preserve">credit provider under the agreement.  A </w:t>
      </w:r>
      <w:r w:rsidR="0067640D" w:rsidRPr="00620D87">
        <w:rPr>
          <w:rFonts w:cs="Arial"/>
          <w:szCs w:val="20"/>
        </w:rPr>
        <w:t>special purpose funding entity</w:t>
      </w:r>
      <w:r w:rsidR="0067640D">
        <w:rPr>
          <w:rFonts w:cs="Arial"/>
          <w:szCs w:val="20"/>
        </w:rPr>
        <w:t xml:space="preserve"> therefore does not need to hold an ACL if it operates under the exemption in the National Credit Regulations. </w:t>
      </w:r>
    </w:p>
    <w:p w14:paraId="3481195C" w14:textId="77777777" w:rsidR="00201B3A" w:rsidRDefault="00201B3A" w:rsidP="0008675B">
      <w:pPr>
        <w:autoSpaceDE w:val="0"/>
        <w:autoSpaceDN w:val="0"/>
        <w:adjustRightInd w:val="0"/>
        <w:spacing w:afterLines="0" w:after="0" w:line="240" w:lineRule="auto"/>
        <w:rPr>
          <w:rFonts w:cs="Arial"/>
          <w:szCs w:val="20"/>
        </w:rPr>
      </w:pPr>
    </w:p>
    <w:p w14:paraId="61AE9E87" w14:textId="0D069109" w:rsidR="00935998" w:rsidRDefault="00BB5DFC" w:rsidP="00201B3A">
      <w:pPr>
        <w:spacing w:after="240"/>
        <w:rPr>
          <w:rFonts w:cs="Arial"/>
          <w:szCs w:val="20"/>
        </w:rPr>
      </w:pPr>
      <w:r w:rsidRPr="00620D87">
        <w:rPr>
          <w:rFonts w:cs="Arial"/>
          <w:szCs w:val="20"/>
        </w:rPr>
        <w:t>S</w:t>
      </w:r>
      <w:r w:rsidR="000C574F">
        <w:rPr>
          <w:rFonts w:cs="Arial"/>
          <w:szCs w:val="20"/>
        </w:rPr>
        <w:t>ub</w:t>
      </w:r>
      <w:r w:rsidR="00373677">
        <w:rPr>
          <w:rFonts w:cs="Arial"/>
          <w:szCs w:val="20"/>
        </w:rPr>
        <w:t xml:space="preserve">section </w:t>
      </w:r>
      <w:proofErr w:type="gramStart"/>
      <w:r w:rsidRPr="00620D87">
        <w:rPr>
          <w:rFonts w:cs="Arial"/>
          <w:szCs w:val="20"/>
        </w:rPr>
        <w:t>53A(</w:t>
      </w:r>
      <w:proofErr w:type="gramEnd"/>
      <w:r w:rsidRPr="00620D87">
        <w:rPr>
          <w:rFonts w:cs="Arial"/>
          <w:szCs w:val="20"/>
        </w:rPr>
        <w:t xml:space="preserve">1) </w:t>
      </w:r>
      <w:r w:rsidR="00E30CB3">
        <w:rPr>
          <w:rFonts w:cs="Arial"/>
          <w:szCs w:val="20"/>
        </w:rPr>
        <w:t xml:space="preserve">also </w:t>
      </w:r>
      <w:r w:rsidRPr="00620D87">
        <w:rPr>
          <w:rFonts w:cs="Arial"/>
          <w:szCs w:val="20"/>
        </w:rPr>
        <w:t>describes the circumstances for operation of the prohibition</w:t>
      </w:r>
      <w:r w:rsidR="002E1A84">
        <w:rPr>
          <w:rFonts w:cs="Arial"/>
          <w:szCs w:val="20"/>
        </w:rPr>
        <w:t xml:space="preserve">, namely that </w:t>
      </w:r>
      <w:r w:rsidRPr="00620D87">
        <w:rPr>
          <w:rFonts w:cs="Arial"/>
          <w:szCs w:val="20"/>
        </w:rPr>
        <w:t>the regulated person has entered into a flexible credit cost arrangement in relation to a credit contract</w:t>
      </w:r>
      <w:r w:rsidR="00201B3A" w:rsidRPr="00393B9F">
        <w:rPr>
          <w:rFonts w:cs="Arial"/>
          <w:szCs w:val="20"/>
        </w:rPr>
        <w:t>.</w:t>
      </w:r>
      <w:r w:rsidR="00201B3A">
        <w:rPr>
          <w:rFonts w:cs="Arial"/>
          <w:szCs w:val="20"/>
        </w:rPr>
        <w:t xml:space="preserve"> </w:t>
      </w:r>
      <w:r w:rsidR="0067640D">
        <w:rPr>
          <w:rFonts w:cs="Arial"/>
          <w:szCs w:val="20"/>
        </w:rPr>
        <w:t>The phrase '</w:t>
      </w:r>
      <w:r w:rsidR="00935998">
        <w:rPr>
          <w:rFonts w:cs="Arial"/>
          <w:szCs w:val="20"/>
        </w:rPr>
        <w:t xml:space="preserve">flexible </w:t>
      </w:r>
      <w:r w:rsidR="00935998" w:rsidRPr="00620D87">
        <w:rPr>
          <w:rFonts w:cs="Arial"/>
          <w:szCs w:val="20"/>
        </w:rPr>
        <w:t>credit cost arrangement</w:t>
      </w:r>
      <w:r w:rsidR="0067640D">
        <w:rPr>
          <w:rFonts w:cs="Arial"/>
          <w:szCs w:val="20"/>
        </w:rPr>
        <w:t xml:space="preserve">' is </w:t>
      </w:r>
      <w:r w:rsidR="00935998">
        <w:rPr>
          <w:rFonts w:cs="Arial"/>
          <w:szCs w:val="20"/>
        </w:rPr>
        <w:t xml:space="preserve">defined in </w:t>
      </w:r>
      <w:r w:rsidR="00FC7241">
        <w:rPr>
          <w:rFonts w:cs="Arial"/>
          <w:szCs w:val="20"/>
        </w:rPr>
        <w:t>subsection 5(1) of the National Credit Act (as modified by section</w:t>
      </w:r>
      <w:r w:rsidR="000553A2">
        <w:rPr>
          <w:rFonts w:cs="Arial"/>
          <w:szCs w:val="20"/>
        </w:rPr>
        <w:t xml:space="preserve"> 5 of the instrument</w:t>
      </w:r>
      <w:r w:rsidR="00FC7241">
        <w:rPr>
          <w:rFonts w:cs="Arial"/>
          <w:szCs w:val="20"/>
        </w:rPr>
        <w:t>)</w:t>
      </w:r>
      <w:r w:rsidR="0067640D">
        <w:rPr>
          <w:rFonts w:cs="Arial"/>
          <w:szCs w:val="20"/>
        </w:rPr>
        <w:t xml:space="preserve">. It </w:t>
      </w:r>
      <w:r w:rsidR="00935998">
        <w:rPr>
          <w:rFonts w:cs="Arial"/>
          <w:szCs w:val="20"/>
        </w:rPr>
        <w:t xml:space="preserve">captures current flex commission arrangements </w:t>
      </w:r>
      <w:r w:rsidR="00244688">
        <w:rPr>
          <w:rFonts w:cs="Arial"/>
          <w:szCs w:val="20"/>
        </w:rPr>
        <w:t xml:space="preserve">under which </w:t>
      </w:r>
      <w:r w:rsidR="00935998">
        <w:rPr>
          <w:rFonts w:cs="Arial"/>
          <w:szCs w:val="20"/>
        </w:rPr>
        <w:t>car dealers can nominate or select the annual percentage rate from a range agreed to with the credit provider.</w:t>
      </w:r>
    </w:p>
    <w:p w14:paraId="7286F7F4" w14:textId="12C4D912" w:rsidR="00201B3A" w:rsidRDefault="00594D23" w:rsidP="00201B3A">
      <w:pPr>
        <w:spacing w:after="240"/>
        <w:rPr>
          <w:rFonts w:cs="Arial"/>
          <w:szCs w:val="20"/>
        </w:rPr>
      </w:pPr>
      <w:r>
        <w:rPr>
          <w:rFonts w:cs="Arial"/>
          <w:szCs w:val="20"/>
        </w:rPr>
        <w:t xml:space="preserve">The key elements of a </w:t>
      </w:r>
      <w:r w:rsidR="00201B3A">
        <w:rPr>
          <w:rFonts w:cs="Arial"/>
          <w:szCs w:val="20"/>
        </w:rPr>
        <w:t xml:space="preserve">flexible </w:t>
      </w:r>
      <w:r w:rsidR="00201B3A" w:rsidRPr="00620D87">
        <w:rPr>
          <w:rFonts w:cs="Arial"/>
          <w:szCs w:val="20"/>
        </w:rPr>
        <w:t>credit cost arrangement</w:t>
      </w:r>
      <w:r>
        <w:rPr>
          <w:rFonts w:cs="Arial"/>
          <w:szCs w:val="20"/>
        </w:rPr>
        <w:t xml:space="preserve"> </w:t>
      </w:r>
      <w:r w:rsidR="00201B3A">
        <w:rPr>
          <w:rFonts w:cs="Arial"/>
          <w:szCs w:val="20"/>
        </w:rPr>
        <w:t>a</w:t>
      </w:r>
      <w:r>
        <w:rPr>
          <w:rFonts w:cs="Arial"/>
          <w:szCs w:val="20"/>
        </w:rPr>
        <w:t>re</w:t>
      </w:r>
      <w:r w:rsidR="00201B3A">
        <w:rPr>
          <w:rFonts w:cs="Arial"/>
          <w:szCs w:val="20"/>
        </w:rPr>
        <w:t>:</w:t>
      </w:r>
    </w:p>
    <w:p w14:paraId="4469BA05" w14:textId="68B5B320" w:rsidR="00201B3A" w:rsidRPr="00594D23" w:rsidRDefault="00594D23" w:rsidP="00AB0F9E">
      <w:pPr>
        <w:pStyle w:val="ListParagraph"/>
        <w:numPr>
          <w:ilvl w:val="0"/>
          <w:numId w:val="7"/>
        </w:numPr>
        <w:spacing w:after="240"/>
        <w:rPr>
          <w:rFonts w:cs="Arial"/>
          <w:szCs w:val="20"/>
        </w:rPr>
      </w:pPr>
      <w:r>
        <w:t xml:space="preserve">It is </w:t>
      </w:r>
      <w:r w:rsidR="00201B3A">
        <w:t>a contract, arrangement or understanding</w:t>
      </w:r>
      <w:r>
        <w:t xml:space="preserve"> </w:t>
      </w:r>
      <w:r w:rsidR="0046251C" w:rsidRPr="00563327">
        <w:rPr>
          <w:rFonts w:cs="Arial"/>
          <w:szCs w:val="20"/>
        </w:rPr>
        <w:t>—</w:t>
      </w:r>
      <w:r>
        <w:t xml:space="preserve"> so there is no need for a formal contract </w:t>
      </w:r>
      <w:r w:rsidR="00246770">
        <w:t xml:space="preserve">or written agreement </w:t>
      </w:r>
      <w:r>
        <w:t>between the parties.</w:t>
      </w:r>
    </w:p>
    <w:p w14:paraId="06F7E715" w14:textId="6101DFFA" w:rsidR="00201B3A" w:rsidRPr="0067640D" w:rsidRDefault="00594D23" w:rsidP="00AB0F9E">
      <w:pPr>
        <w:pStyle w:val="ListParagraph"/>
        <w:numPr>
          <w:ilvl w:val="0"/>
          <w:numId w:val="7"/>
        </w:numPr>
        <w:spacing w:after="240"/>
        <w:rPr>
          <w:rFonts w:cs="Arial"/>
          <w:szCs w:val="20"/>
        </w:rPr>
      </w:pPr>
      <w:r>
        <w:t xml:space="preserve">It is </w:t>
      </w:r>
      <w:r w:rsidR="00201B3A">
        <w:t xml:space="preserve">between </w:t>
      </w:r>
      <w:r>
        <w:t xml:space="preserve">a regulated person and another person, described as an introducer </w:t>
      </w:r>
      <w:r w:rsidR="0046251C" w:rsidRPr="00563327">
        <w:rPr>
          <w:rFonts w:cs="Arial"/>
          <w:szCs w:val="20"/>
        </w:rPr>
        <w:t>—</w:t>
      </w:r>
      <w:r>
        <w:t xml:space="preserve"> the term introducer is used as it covers persons engag</w:t>
      </w:r>
      <w:r w:rsidR="00246770">
        <w:t>ing</w:t>
      </w:r>
      <w:r>
        <w:t xml:space="preserve"> in credit activities in different </w:t>
      </w:r>
      <w:r w:rsidR="00923001">
        <w:t xml:space="preserve">legal </w:t>
      </w:r>
      <w:r>
        <w:t>capacities (</w:t>
      </w:r>
      <w:r w:rsidR="00156C35">
        <w:t xml:space="preserve">whether </w:t>
      </w:r>
      <w:r>
        <w:t>as a licensee in their own right, as a credit representative</w:t>
      </w:r>
      <w:r w:rsidR="00156C35">
        <w:t xml:space="preserve"> or as a person who is exempt under regulation 23). </w:t>
      </w:r>
    </w:p>
    <w:p w14:paraId="7ED619F8" w14:textId="008D82EC" w:rsidR="0067640D" w:rsidRPr="007C64B1" w:rsidRDefault="0067640D" w:rsidP="00AB0F9E">
      <w:pPr>
        <w:pStyle w:val="ListParagraph"/>
        <w:numPr>
          <w:ilvl w:val="0"/>
          <w:numId w:val="7"/>
        </w:numPr>
        <w:spacing w:after="240"/>
        <w:rPr>
          <w:rFonts w:cs="Arial"/>
          <w:szCs w:val="20"/>
        </w:rPr>
      </w:pPr>
      <w:r>
        <w:rPr>
          <w:rFonts w:cs="Arial"/>
          <w:szCs w:val="20"/>
        </w:rPr>
        <w:t xml:space="preserve">It applies to conduct both by the introducer or by an </w:t>
      </w:r>
      <w:r>
        <w:t xml:space="preserve">associated person </w:t>
      </w:r>
      <w:r w:rsidRPr="00563327">
        <w:rPr>
          <w:rFonts w:cs="Arial"/>
          <w:szCs w:val="20"/>
        </w:rPr>
        <w:t>—</w:t>
      </w:r>
      <w:r>
        <w:t xml:space="preserve"> this captures a broad range of business models where the agreement may be with one person, but the regulated conduct is undertaken or engaged in by another person.</w:t>
      </w:r>
    </w:p>
    <w:p w14:paraId="2C03D035" w14:textId="3846CEC2" w:rsidR="00594D23" w:rsidRPr="00594D23" w:rsidRDefault="00594D23" w:rsidP="00AB0F9E">
      <w:pPr>
        <w:pStyle w:val="ListParagraph"/>
        <w:numPr>
          <w:ilvl w:val="0"/>
          <w:numId w:val="7"/>
        </w:numPr>
        <w:spacing w:after="240"/>
        <w:rPr>
          <w:rFonts w:cs="Arial"/>
          <w:szCs w:val="20"/>
        </w:rPr>
      </w:pPr>
      <w:r>
        <w:t>The introducer or an associated person will provide credit services in relation to the credit contract</w:t>
      </w:r>
      <w:r w:rsidR="002E1A84">
        <w:t xml:space="preserve"> </w:t>
      </w:r>
      <w:r w:rsidR="0067640D" w:rsidRPr="00563327">
        <w:rPr>
          <w:rFonts w:cs="Arial"/>
          <w:szCs w:val="20"/>
        </w:rPr>
        <w:t>—</w:t>
      </w:r>
      <w:r w:rsidR="0067640D">
        <w:rPr>
          <w:rFonts w:cs="Arial"/>
          <w:szCs w:val="20"/>
        </w:rPr>
        <w:t xml:space="preserve"> they </w:t>
      </w:r>
      <w:r w:rsidR="009C350C">
        <w:t>will usually introduce the consumer to the regulated person, rather than the consumer approaching the regulated person directly</w:t>
      </w:r>
      <w:r>
        <w:t>.</w:t>
      </w:r>
    </w:p>
    <w:p w14:paraId="7CCC12E5" w14:textId="0F76B432" w:rsidR="00594D23" w:rsidRPr="000C574F" w:rsidRDefault="00594D23" w:rsidP="00AB0F9E">
      <w:pPr>
        <w:pStyle w:val="ListParagraph"/>
        <w:numPr>
          <w:ilvl w:val="0"/>
          <w:numId w:val="7"/>
        </w:numPr>
        <w:spacing w:after="240"/>
        <w:rPr>
          <w:rFonts w:cs="Arial"/>
          <w:szCs w:val="20"/>
        </w:rPr>
      </w:pPr>
      <w:r>
        <w:t>The introducer (or an associated person) is able</w:t>
      </w:r>
      <w:r w:rsidR="0067640D">
        <w:t xml:space="preserve"> </w:t>
      </w:r>
      <w:r>
        <w:t xml:space="preserve">to determine, propose or influence the cost of finance </w:t>
      </w:r>
      <w:r w:rsidR="003001D8">
        <w:t>to the consumer</w:t>
      </w:r>
      <w:r>
        <w:t>.</w:t>
      </w:r>
      <w:r w:rsidR="00156C35">
        <w:t xml:space="preserve"> </w:t>
      </w:r>
    </w:p>
    <w:p w14:paraId="14362A6E" w14:textId="4FF6AC68" w:rsidR="008B7CDC" w:rsidRDefault="008B7CDC" w:rsidP="000C574F">
      <w:pPr>
        <w:spacing w:after="240"/>
      </w:pPr>
      <w:r>
        <w:rPr>
          <w:rFonts w:cs="Arial"/>
          <w:szCs w:val="20"/>
        </w:rPr>
        <w:t xml:space="preserve">The definition of a flexible </w:t>
      </w:r>
      <w:r w:rsidRPr="00620D87">
        <w:rPr>
          <w:rFonts w:cs="Arial"/>
          <w:szCs w:val="20"/>
        </w:rPr>
        <w:t>credit cost arrangement</w:t>
      </w:r>
      <w:r>
        <w:rPr>
          <w:rFonts w:cs="Arial"/>
          <w:szCs w:val="20"/>
        </w:rPr>
        <w:t xml:space="preserve"> </w:t>
      </w:r>
      <w:r w:rsidR="002E1A84">
        <w:rPr>
          <w:rFonts w:cs="Arial"/>
          <w:szCs w:val="20"/>
        </w:rPr>
        <w:t xml:space="preserve">in </w:t>
      </w:r>
      <w:r w:rsidR="00FC7241">
        <w:rPr>
          <w:rFonts w:cs="Arial"/>
          <w:szCs w:val="20"/>
        </w:rPr>
        <w:t xml:space="preserve">section </w:t>
      </w:r>
      <w:r w:rsidR="000553A2">
        <w:rPr>
          <w:rFonts w:cs="Arial"/>
          <w:szCs w:val="20"/>
        </w:rPr>
        <w:t>5</w:t>
      </w:r>
      <w:r w:rsidR="00FC7241">
        <w:rPr>
          <w:rFonts w:cs="Arial"/>
          <w:szCs w:val="20"/>
        </w:rPr>
        <w:t>(1) of the National Credit Act (as modified by section 5</w:t>
      </w:r>
      <w:r w:rsidR="000553A2">
        <w:rPr>
          <w:rFonts w:cs="Arial"/>
          <w:szCs w:val="20"/>
        </w:rPr>
        <w:t xml:space="preserve"> of the instrument</w:t>
      </w:r>
      <w:r w:rsidR="00FC7241">
        <w:rPr>
          <w:rFonts w:cs="Arial"/>
          <w:szCs w:val="20"/>
        </w:rPr>
        <w:t>)</w:t>
      </w:r>
      <w:r w:rsidR="000553A2">
        <w:rPr>
          <w:rFonts w:cs="Arial"/>
          <w:szCs w:val="20"/>
        </w:rPr>
        <w:t xml:space="preserve"> </w:t>
      </w:r>
      <w:r>
        <w:rPr>
          <w:rFonts w:cs="Arial"/>
          <w:szCs w:val="20"/>
        </w:rPr>
        <w:t xml:space="preserve">specifically excludes a servicing agreement between an </w:t>
      </w:r>
      <w:r w:rsidRPr="00201B3A">
        <w:rPr>
          <w:rFonts w:cs="Arial"/>
          <w:szCs w:val="20"/>
        </w:rPr>
        <w:t xml:space="preserve">exempt </w:t>
      </w:r>
      <w:r w:rsidRPr="00393B9F">
        <w:rPr>
          <w:rFonts w:cs="Arial"/>
          <w:szCs w:val="20"/>
        </w:rPr>
        <w:t>special purpose funding entity</w:t>
      </w:r>
      <w:r>
        <w:rPr>
          <w:rFonts w:cs="Arial"/>
          <w:szCs w:val="20"/>
        </w:rPr>
        <w:t xml:space="preserve"> and the licensee also party to that agreement. The effect of this exclusion is </w:t>
      </w:r>
      <w:r w:rsidR="00612C95">
        <w:rPr>
          <w:rFonts w:cs="Arial"/>
          <w:szCs w:val="20"/>
        </w:rPr>
        <w:t xml:space="preserve">that the prohibition will not apply to these agreements, but will extend to any </w:t>
      </w:r>
      <w:r>
        <w:rPr>
          <w:rFonts w:cs="Arial"/>
          <w:szCs w:val="20"/>
        </w:rPr>
        <w:t xml:space="preserve">'downstream' arrangements </w:t>
      </w:r>
      <w:r w:rsidR="00612C95">
        <w:rPr>
          <w:rFonts w:cs="Arial"/>
          <w:szCs w:val="20"/>
        </w:rPr>
        <w:t xml:space="preserve">between the licensee and </w:t>
      </w:r>
      <w:r>
        <w:rPr>
          <w:rFonts w:cs="Arial"/>
          <w:szCs w:val="20"/>
        </w:rPr>
        <w:t>its representatives</w:t>
      </w:r>
      <w:r w:rsidR="00612C95">
        <w:rPr>
          <w:rFonts w:cs="Arial"/>
          <w:szCs w:val="20"/>
        </w:rPr>
        <w:t>.</w:t>
      </w:r>
      <w:r>
        <w:rPr>
          <w:rFonts w:cs="Arial"/>
          <w:szCs w:val="20"/>
        </w:rPr>
        <w:t xml:space="preserve"> </w:t>
      </w:r>
    </w:p>
    <w:p w14:paraId="397AFA84" w14:textId="0162FE33" w:rsidR="00894DF4" w:rsidRPr="00620D87" w:rsidRDefault="00EC4F0F" w:rsidP="00894DF4">
      <w:pPr>
        <w:spacing w:after="240"/>
        <w:rPr>
          <w:rFonts w:cs="Arial"/>
          <w:i/>
          <w:szCs w:val="20"/>
        </w:rPr>
      </w:pPr>
      <w:r>
        <w:rPr>
          <w:rFonts w:cs="Arial"/>
          <w:i/>
          <w:szCs w:val="20"/>
        </w:rPr>
        <w:t xml:space="preserve">Operation of </w:t>
      </w:r>
      <w:r w:rsidR="00894DF4" w:rsidRPr="00620D87">
        <w:rPr>
          <w:rFonts w:cs="Arial"/>
          <w:i/>
          <w:szCs w:val="20"/>
        </w:rPr>
        <w:t xml:space="preserve">the prohibition </w:t>
      </w:r>
    </w:p>
    <w:p w14:paraId="4C0003FC" w14:textId="78495FA2" w:rsidR="000C574F" w:rsidRPr="00620D87" w:rsidRDefault="000C574F" w:rsidP="000C574F">
      <w:pPr>
        <w:spacing w:after="240"/>
        <w:rPr>
          <w:rFonts w:cs="Arial"/>
          <w:szCs w:val="20"/>
        </w:rPr>
      </w:pPr>
      <w:r w:rsidRPr="00620D87">
        <w:rPr>
          <w:rFonts w:cs="Arial"/>
          <w:szCs w:val="20"/>
        </w:rPr>
        <w:t>S</w:t>
      </w:r>
      <w:r>
        <w:rPr>
          <w:rFonts w:cs="Arial"/>
          <w:szCs w:val="20"/>
        </w:rPr>
        <w:t>ub</w:t>
      </w:r>
      <w:r w:rsidR="00246770">
        <w:rPr>
          <w:rFonts w:cs="Arial"/>
          <w:szCs w:val="20"/>
        </w:rPr>
        <w:t xml:space="preserve">section </w:t>
      </w:r>
      <w:proofErr w:type="gramStart"/>
      <w:r w:rsidRPr="00620D87">
        <w:rPr>
          <w:rFonts w:cs="Arial"/>
          <w:szCs w:val="20"/>
        </w:rPr>
        <w:t>53A(</w:t>
      </w:r>
      <w:proofErr w:type="gramEnd"/>
      <w:r>
        <w:rPr>
          <w:rFonts w:cs="Arial"/>
          <w:szCs w:val="20"/>
        </w:rPr>
        <w:t>2</w:t>
      </w:r>
      <w:r w:rsidRPr="00620D87">
        <w:rPr>
          <w:rFonts w:cs="Arial"/>
          <w:szCs w:val="20"/>
        </w:rPr>
        <w:t xml:space="preserve">) </w:t>
      </w:r>
      <w:r>
        <w:rPr>
          <w:rFonts w:cs="Arial"/>
          <w:szCs w:val="20"/>
        </w:rPr>
        <w:t>prohibits a regulated person from</w:t>
      </w:r>
      <w:r w:rsidRPr="00620D87">
        <w:rPr>
          <w:rFonts w:cs="Arial"/>
          <w:szCs w:val="20"/>
        </w:rPr>
        <w:t>, in su</w:t>
      </w:r>
      <w:r>
        <w:rPr>
          <w:rFonts w:cs="Arial"/>
          <w:szCs w:val="20"/>
        </w:rPr>
        <w:t>mmary</w:t>
      </w:r>
      <w:r w:rsidRPr="00620D87">
        <w:rPr>
          <w:rFonts w:cs="Arial"/>
          <w:szCs w:val="20"/>
        </w:rPr>
        <w:t xml:space="preserve">, giving either the introducer or an associated person any monetary or non-monetary benefits (such as commissions) where both the following </w:t>
      </w:r>
      <w:r w:rsidR="00935998">
        <w:rPr>
          <w:rFonts w:cs="Arial"/>
          <w:szCs w:val="20"/>
        </w:rPr>
        <w:t>requirements are satisfied</w:t>
      </w:r>
      <w:r w:rsidRPr="00620D87">
        <w:rPr>
          <w:rFonts w:cs="Arial"/>
          <w:szCs w:val="20"/>
        </w:rPr>
        <w:t>:</w:t>
      </w:r>
    </w:p>
    <w:p w14:paraId="67ABEEE8" w14:textId="6939C64C" w:rsidR="002E1A84" w:rsidRPr="002E1A84" w:rsidRDefault="00977A87" w:rsidP="00AB0F9E">
      <w:pPr>
        <w:pStyle w:val="ListParagraph"/>
        <w:numPr>
          <w:ilvl w:val="0"/>
          <w:numId w:val="10"/>
        </w:numPr>
        <w:spacing w:after="240"/>
        <w:rPr>
          <w:rFonts w:cs="Arial"/>
          <w:szCs w:val="20"/>
        </w:rPr>
      </w:pPr>
      <w:r>
        <w:rPr>
          <w:rFonts w:cs="Arial"/>
          <w:szCs w:val="20"/>
        </w:rPr>
        <w:t>T</w:t>
      </w:r>
      <w:r w:rsidR="000C574F" w:rsidRPr="002E1A84">
        <w:rPr>
          <w:rFonts w:cs="Arial"/>
          <w:szCs w:val="20"/>
        </w:rPr>
        <w:t xml:space="preserve">he amount of the benefit is determined by reference to either the annual percentage rate under </w:t>
      </w:r>
      <w:r w:rsidR="002E1A84" w:rsidRPr="002E1A84">
        <w:rPr>
          <w:rFonts w:cs="Arial"/>
          <w:szCs w:val="20"/>
        </w:rPr>
        <w:t xml:space="preserve">a credit </w:t>
      </w:r>
      <w:r w:rsidR="000C574F" w:rsidRPr="002E1A84">
        <w:rPr>
          <w:rFonts w:cs="Arial"/>
          <w:szCs w:val="20"/>
        </w:rPr>
        <w:t>contract</w:t>
      </w:r>
      <w:r w:rsidR="002E1A84" w:rsidRPr="002E1A84">
        <w:rPr>
          <w:rFonts w:cs="Arial"/>
          <w:szCs w:val="20"/>
        </w:rPr>
        <w:t xml:space="preserve"> or the </w:t>
      </w:r>
      <w:r w:rsidR="002E1A84">
        <w:t xml:space="preserve">rental charge under a </w:t>
      </w:r>
      <w:r w:rsidR="002E1A84" w:rsidRPr="002E1A84">
        <w:rPr>
          <w:rFonts w:cs="Arial"/>
          <w:szCs w:val="20"/>
        </w:rPr>
        <w:t>consumer lease</w:t>
      </w:r>
      <w:r w:rsidR="002E1A84">
        <w:rPr>
          <w:rFonts w:cs="Arial"/>
          <w:szCs w:val="20"/>
        </w:rPr>
        <w:t>.</w:t>
      </w:r>
      <w:r w:rsidR="002E1A84" w:rsidRPr="002E1A84">
        <w:rPr>
          <w:rFonts w:cs="Arial"/>
          <w:szCs w:val="20"/>
        </w:rPr>
        <w:t xml:space="preserve"> </w:t>
      </w:r>
    </w:p>
    <w:p w14:paraId="374DFFB6" w14:textId="6879503C" w:rsidR="000C574F" w:rsidRDefault="00977A87" w:rsidP="00AB0F9E">
      <w:pPr>
        <w:pStyle w:val="ListParagraph"/>
        <w:numPr>
          <w:ilvl w:val="0"/>
          <w:numId w:val="10"/>
        </w:numPr>
        <w:spacing w:after="240"/>
        <w:rPr>
          <w:rFonts w:cs="Arial"/>
          <w:szCs w:val="20"/>
        </w:rPr>
      </w:pPr>
      <w:r>
        <w:rPr>
          <w:rFonts w:cs="Arial"/>
          <w:szCs w:val="20"/>
        </w:rPr>
        <w:t>T</w:t>
      </w:r>
      <w:r w:rsidR="000C574F" w:rsidRPr="000C574F">
        <w:rPr>
          <w:rFonts w:cs="Arial"/>
          <w:szCs w:val="20"/>
        </w:rPr>
        <w:t>he introducer or an associated person has determined, proposed or influenced the amount of the annual percentage rate</w:t>
      </w:r>
      <w:r w:rsidR="002E1A84">
        <w:rPr>
          <w:rFonts w:cs="Arial"/>
          <w:szCs w:val="20"/>
        </w:rPr>
        <w:t xml:space="preserve"> </w:t>
      </w:r>
      <w:r w:rsidR="002E1A84" w:rsidRPr="002E1A84">
        <w:rPr>
          <w:rFonts w:cs="Arial"/>
          <w:szCs w:val="20"/>
        </w:rPr>
        <w:t xml:space="preserve">or the </w:t>
      </w:r>
      <w:r w:rsidR="002E1A84">
        <w:t>rental charge</w:t>
      </w:r>
      <w:r w:rsidR="00EC4F0F">
        <w:rPr>
          <w:rFonts w:cs="Arial"/>
          <w:szCs w:val="20"/>
        </w:rPr>
        <w:t>.</w:t>
      </w:r>
    </w:p>
    <w:p w14:paraId="7ECFD578" w14:textId="2E59ACAF" w:rsidR="00244688" w:rsidRDefault="00935998" w:rsidP="00EC4F0F">
      <w:pPr>
        <w:spacing w:after="240"/>
        <w:rPr>
          <w:rFonts w:cs="Arial"/>
          <w:szCs w:val="20"/>
        </w:rPr>
      </w:pPr>
      <w:r>
        <w:t xml:space="preserve">As both </w:t>
      </w:r>
      <w:r>
        <w:rPr>
          <w:rFonts w:cs="Arial"/>
          <w:szCs w:val="20"/>
        </w:rPr>
        <w:t>requirements need to be satisfied the prohibition does not apply where</w:t>
      </w:r>
      <w:r w:rsidR="009C350C">
        <w:rPr>
          <w:rFonts w:cs="Arial"/>
          <w:szCs w:val="20"/>
        </w:rPr>
        <w:t xml:space="preserve">: </w:t>
      </w:r>
    </w:p>
    <w:p w14:paraId="21AEBC62" w14:textId="3F8D3BD9" w:rsidR="00244688" w:rsidRPr="00244688" w:rsidRDefault="00935998" w:rsidP="00AB0F9E">
      <w:pPr>
        <w:pStyle w:val="ListParagraph"/>
        <w:numPr>
          <w:ilvl w:val="0"/>
          <w:numId w:val="19"/>
        </w:numPr>
        <w:spacing w:after="240"/>
      </w:pPr>
      <w:r w:rsidRPr="00244688">
        <w:rPr>
          <w:rFonts w:cs="Arial"/>
          <w:szCs w:val="20"/>
        </w:rPr>
        <w:t>the amount of any commission is determined by reference to the annual percentage rate</w:t>
      </w:r>
      <w:r w:rsidR="002E1A84">
        <w:rPr>
          <w:rFonts w:cs="Arial"/>
          <w:szCs w:val="20"/>
        </w:rPr>
        <w:t xml:space="preserve"> </w:t>
      </w:r>
      <w:r w:rsidR="002E1A84" w:rsidRPr="002E1A84">
        <w:rPr>
          <w:rFonts w:cs="Arial"/>
          <w:szCs w:val="20"/>
        </w:rPr>
        <w:t xml:space="preserve">or the </w:t>
      </w:r>
      <w:r w:rsidR="002E1A84">
        <w:t>rental charge</w:t>
      </w:r>
      <w:r w:rsidRPr="00244688">
        <w:rPr>
          <w:rFonts w:cs="Arial"/>
          <w:szCs w:val="20"/>
        </w:rPr>
        <w:t>, but the introducer does not have any discretion or capacity to influence this rate</w:t>
      </w:r>
      <w:r w:rsidR="00F14A2D">
        <w:rPr>
          <w:rFonts w:cs="Arial"/>
          <w:szCs w:val="20"/>
        </w:rPr>
        <w:t xml:space="preserve">; </w:t>
      </w:r>
      <w:r w:rsidR="00244688">
        <w:rPr>
          <w:rFonts w:cs="Arial"/>
          <w:szCs w:val="20"/>
        </w:rPr>
        <w:t>or</w:t>
      </w:r>
    </w:p>
    <w:p w14:paraId="6119187E" w14:textId="11080CF4" w:rsidR="00935998" w:rsidRDefault="00244688" w:rsidP="00AB0F9E">
      <w:pPr>
        <w:pStyle w:val="ListParagraph"/>
        <w:numPr>
          <w:ilvl w:val="0"/>
          <w:numId w:val="19"/>
        </w:numPr>
        <w:spacing w:after="240"/>
      </w:pPr>
      <w:proofErr w:type="gramStart"/>
      <w:r>
        <w:rPr>
          <w:rFonts w:cs="Arial"/>
          <w:szCs w:val="20"/>
        </w:rPr>
        <w:t>the</w:t>
      </w:r>
      <w:proofErr w:type="gramEnd"/>
      <w:r>
        <w:rPr>
          <w:rFonts w:cs="Arial"/>
          <w:szCs w:val="20"/>
        </w:rPr>
        <w:t xml:space="preserve"> introducer </w:t>
      </w:r>
      <w:r w:rsidR="00977A87">
        <w:rPr>
          <w:rFonts w:cs="Arial"/>
          <w:szCs w:val="20"/>
        </w:rPr>
        <w:t xml:space="preserve">is able </w:t>
      </w:r>
      <w:r>
        <w:rPr>
          <w:rFonts w:cs="Arial"/>
          <w:szCs w:val="20"/>
        </w:rPr>
        <w:t xml:space="preserve">to influence the annual percentage rate, but the amount of any commission will not be affected by </w:t>
      </w:r>
      <w:r w:rsidR="002E1A84">
        <w:rPr>
          <w:rFonts w:cs="Arial"/>
          <w:szCs w:val="20"/>
        </w:rPr>
        <w:t xml:space="preserve">any variation in the cost of finance </w:t>
      </w:r>
      <w:r>
        <w:rPr>
          <w:rFonts w:cs="Arial"/>
          <w:szCs w:val="20"/>
        </w:rPr>
        <w:t>(e.g. a flat rate of commission applies regardless of the annual percentage rate at which the contract is written)</w:t>
      </w:r>
      <w:r w:rsidR="00935998" w:rsidRPr="00244688">
        <w:rPr>
          <w:rFonts w:cs="Arial"/>
          <w:szCs w:val="20"/>
        </w:rPr>
        <w:t>.</w:t>
      </w:r>
    </w:p>
    <w:p w14:paraId="6A91ED89" w14:textId="13D19598" w:rsidR="00EC4F0F" w:rsidRDefault="00EC4F0F" w:rsidP="00EC4F0F">
      <w:pPr>
        <w:spacing w:after="240"/>
        <w:rPr>
          <w:rFonts w:cs="Arial"/>
          <w:szCs w:val="20"/>
        </w:rPr>
      </w:pPr>
      <w:r>
        <w:t>The phrase '</w:t>
      </w:r>
      <w:r w:rsidRPr="00620D87">
        <w:rPr>
          <w:rFonts w:cs="Arial"/>
          <w:szCs w:val="20"/>
        </w:rPr>
        <w:t>monetary or non-monetary benefits</w:t>
      </w:r>
      <w:r>
        <w:rPr>
          <w:rFonts w:cs="Arial"/>
          <w:szCs w:val="20"/>
        </w:rPr>
        <w:t xml:space="preserve">' is to be given a broad interpretation and recognises that remuneration in this market can be given in a variety of different ways, apart from payments that are commonly recognised as commissions. </w:t>
      </w:r>
    </w:p>
    <w:p w14:paraId="4ACFAC72" w14:textId="11A3C068" w:rsidR="00F14A2D" w:rsidRDefault="00EC4F0F" w:rsidP="00EC4F0F">
      <w:pPr>
        <w:spacing w:after="240"/>
      </w:pPr>
      <w:r>
        <w:rPr>
          <w:rFonts w:cs="Arial"/>
          <w:szCs w:val="20"/>
        </w:rPr>
        <w:t>The phrase '</w:t>
      </w:r>
      <w:r w:rsidRPr="000C574F">
        <w:rPr>
          <w:rFonts w:cs="Arial"/>
          <w:szCs w:val="20"/>
        </w:rPr>
        <w:t>determine</w:t>
      </w:r>
      <w:r w:rsidR="000553A2">
        <w:rPr>
          <w:rFonts w:cs="Arial"/>
          <w:szCs w:val="20"/>
        </w:rPr>
        <w:t>s</w:t>
      </w:r>
      <w:r w:rsidRPr="000C574F">
        <w:rPr>
          <w:rFonts w:cs="Arial"/>
          <w:szCs w:val="20"/>
        </w:rPr>
        <w:t>, propose</w:t>
      </w:r>
      <w:r w:rsidR="000553A2">
        <w:rPr>
          <w:rFonts w:cs="Arial"/>
          <w:szCs w:val="20"/>
        </w:rPr>
        <w:t>s</w:t>
      </w:r>
      <w:r w:rsidRPr="000C574F">
        <w:rPr>
          <w:rFonts w:cs="Arial"/>
          <w:szCs w:val="20"/>
        </w:rPr>
        <w:t xml:space="preserve"> or influence</w:t>
      </w:r>
      <w:r w:rsidR="000553A2">
        <w:rPr>
          <w:rFonts w:cs="Arial"/>
          <w:szCs w:val="20"/>
        </w:rPr>
        <w:t>s</w:t>
      </w:r>
      <w:r>
        <w:rPr>
          <w:rFonts w:cs="Arial"/>
          <w:szCs w:val="20"/>
        </w:rPr>
        <w:t xml:space="preserve">' </w:t>
      </w:r>
      <w:r w:rsidR="000553A2">
        <w:rPr>
          <w:rFonts w:cs="Arial"/>
          <w:szCs w:val="20"/>
        </w:rPr>
        <w:t xml:space="preserve">in defined in </w:t>
      </w:r>
      <w:r w:rsidR="00FC7241">
        <w:rPr>
          <w:rFonts w:cs="Arial"/>
          <w:szCs w:val="20"/>
        </w:rPr>
        <w:t xml:space="preserve">section </w:t>
      </w:r>
      <w:r w:rsidR="000553A2">
        <w:rPr>
          <w:rFonts w:cs="Arial"/>
          <w:szCs w:val="20"/>
        </w:rPr>
        <w:t>5</w:t>
      </w:r>
      <w:r w:rsidR="00FC7241">
        <w:rPr>
          <w:rFonts w:cs="Arial"/>
          <w:szCs w:val="20"/>
        </w:rPr>
        <w:t>(1) of the National Credit Act (as modified by section 5</w:t>
      </w:r>
      <w:r w:rsidR="000553A2">
        <w:rPr>
          <w:rFonts w:cs="Arial"/>
          <w:szCs w:val="20"/>
        </w:rPr>
        <w:t xml:space="preserve"> of the instrument</w:t>
      </w:r>
      <w:r w:rsidR="00FC7241">
        <w:rPr>
          <w:rFonts w:cs="Arial"/>
          <w:szCs w:val="20"/>
        </w:rPr>
        <w:t>)</w:t>
      </w:r>
      <w:r w:rsidR="000553A2">
        <w:rPr>
          <w:rFonts w:cs="Arial"/>
          <w:szCs w:val="20"/>
        </w:rPr>
        <w:t xml:space="preserve"> to </w:t>
      </w:r>
      <w:r>
        <w:rPr>
          <w:rFonts w:cs="Arial"/>
          <w:szCs w:val="20"/>
        </w:rPr>
        <w:t>encompass current practices where introducers have the discretion to set the annual percentage rate within a range agreed between the parties.</w:t>
      </w:r>
      <w:r w:rsidR="00F14A2D">
        <w:rPr>
          <w:rFonts w:cs="Arial"/>
          <w:szCs w:val="20"/>
        </w:rPr>
        <w:t xml:space="preserve"> </w:t>
      </w:r>
      <w:r w:rsidR="000553A2">
        <w:rPr>
          <w:rFonts w:cs="Arial"/>
          <w:szCs w:val="20"/>
        </w:rPr>
        <w:t>The definition</w:t>
      </w:r>
      <w:r w:rsidRPr="00B14609">
        <w:t xml:space="preserve"> </w:t>
      </w:r>
      <w:r w:rsidR="000553A2">
        <w:t xml:space="preserve">contains four circumstances that do not fall within it, </w:t>
      </w:r>
      <w:r w:rsidR="00F14A2D">
        <w:t>so that a person who only engages in conduct as described in th</w:t>
      </w:r>
      <w:r w:rsidR="00923001">
        <w:t xml:space="preserve">e definition </w:t>
      </w:r>
      <w:r w:rsidR="00F14A2D">
        <w:t xml:space="preserve">will not be a party to a </w:t>
      </w:r>
      <w:r w:rsidR="00F14A2D">
        <w:rPr>
          <w:rFonts w:cs="Arial"/>
          <w:szCs w:val="20"/>
        </w:rPr>
        <w:t xml:space="preserve">flexible </w:t>
      </w:r>
      <w:r w:rsidR="00F14A2D" w:rsidRPr="00620D87">
        <w:rPr>
          <w:rFonts w:cs="Arial"/>
          <w:szCs w:val="20"/>
        </w:rPr>
        <w:t>credit cost arrangement</w:t>
      </w:r>
      <w:r w:rsidR="00F14A2D">
        <w:rPr>
          <w:rFonts w:cs="Arial"/>
          <w:szCs w:val="20"/>
        </w:rPr>
        <w:t>.</w:t>
      </w:r>
    </w:p>
    <w:p w14:paraId="2DD9AF9C" w14:textId="7AD37681" w:rsidR="00E61A41" w:rsidRDefault="00F14A2D" w:rsidP="00EC4F0F">
      <w:pPr>
        <w:spacing w:after="240"/>
      </w:pPr>
      <w:r>
        <w:t xml:space="preserve">The restrictions on the meaning of </w:t>
      </w:r>
      <w:r>
        <w:rPr>
          <w:rFonts w:cs="Arial"/>
          <w:szCs w:val="20"/>
        </w:rPr>
        <w:t>'</w:t>
      </w:r>
      <w:r w:rsidRPr="000C574F">
        <w:rPr>
          <w:rFonts w:cs="Arial"/>
          <w:szCs w:val="20"/>
        </w:rPr>
        <w:t>determine</w:t>
      </w:r>
      <w:r w:rsidR="000553A2">
        <w:rPr>
          <w:rFonts w:cs="Arial"/>
          <w:szCs w:val="20"/>
        </w:rPr>
        <w:t>s</w:t>
      </w:r>
      <w:r w:rsidRPr="000C574F">
        <w:rPr>
          <w:rFonts w:cs="Arial"/>
          <w:szCs w:val="20"/>
        </w:rPr>
        <w:t>, propose</w:t>
      </w:r>
      <w:r w:rsidR="000553A2">
        <w:rPr>
          <w:rFonts w:cs="Arial"/>
          <w:szCs w:val="20"/>
        </w:rPr>
        <w:t>s</w:t>
      </w:r>
      <w:r w:rsidRPr="000C574F">
        <w:rPr>
          <w:rFonts w:cs="Arial"/>
          <w:szCs w:val="20"/>
        </w:rPr>
        <w:t xml:space="preserve"> or influence</w:t>
      </w:r>
      <w:r w:rsidR="000553A2">
        <w:rPr>
          <w:rFonts w:cs="Arial"/>
          <w:szCs w:val="20"/>
        </w:rPr>
        <w:t>s</w:t>
      </w:r>
      <w:r>
        <w:rPr>
          <w:rFonts w:cs="Arial"/>
          <w:szCs w:val="20"/>
        </w:rPr>
        <w:t>' are</w:t>
      </w:r>
      <w:r w:rsidR="00E61A41">
        <w:t>:</w:t>
      </w:r>
    </w:p>
    <w:p w14:paraId="768DC5E7" w14:textId="28C0D567" w:rsidR="00EC4F0F" w:rsidRPr="00A4479B" w:rsidRDefault="00F14A2D" w:rsidP="00AB0F9E">
      <w:pPr>
        <w:pStyle w:val="ListParagraph"/>
        <w:numPr>
          <w:ilvl w:val="0"/>
          <w:numId w:val="20"/>
        </w:numPr>
        <w:spacing w:after="240"/>
      </w:pPr>
      <w:r>
        <w:t xml:space="preserve">Paragraph (a) </w:t>
      </w:r>
      <w:r w:rsidR="000553A2">
        <w:t xml:space="preserve">of the definition </w:t>
      </w:r>
      <w:r w:rsidR="00EC4F0F">
        <w:t xml:space="preserve">provides that an </w:t>
      </w:r>
      <w:r w:rsidR="00EC4F0F" w:rsidRPr="00620D87">
        <w:t>introducer or an associated person</w:t>
      </w:r>
      <w:r w:rsidR="00EC4F0F">
        <w:t xml:space="preserve"> will not be seen as </w:t>
      </w:r>
      <w:r w:rsidR="002E1A84">
        <w:t xml:space="preserve">determining, </w:t>
      </w:r>
      <w:r w:rsidR="00EC4F0F">
        <w:t xml:space="preserve">proposing or </w:t>
      </w:r>
      <w:r w:rsidR="00EC4F0F" w:rsidRPr="00A4479B">
        <w:t>influenc</w:t>
      </w:r>
      <w:r w:rsidR="00EC4F0F">
        <w:t>ing</w:t>
      </w:r>
      <w:r w:rsidR="00EC4F0F" w:rsidRPr="00A4479B">
        <w:t xml:space="preserve"> the cost of </w:t>
      </w:r>
      <w:r w:rsidR="002E1A84">
        <w:t xml:space="preserve">finance </w:t>
      </w:r>
      <w:r w:rsidR="00323278">
        <w:t xml:space="preserve">merely </w:t>
      </w:r>
      <w:r w:rsidR="00EC4F0F">
        <w:t>b</w:t>
      </w:r>
      <w:r w:rsidR="00EC4F0F" w:rsidRPr="00A4479B">
        <w:t xml:space="preserve">y </w:t>
      </w:r>
      <w:r w:rsidR="00EC4F0F">
        <w:t xml:space="preserve">proposing or </w:t>
      </w:r>
      <w:r w:rsidR="00EC4F0F" w:rsidRPr="00A4479B">
        <w:t xml:space="preserve">influencing the </w:t>
      </w:r>
      <w:r>
        <w:t xml:space="preserve">type or identity </w:t>
      </w:r>
      <w:r w:rsidR="00EC4F0F" w:rsidRPr="00A4479B">
        <w:t>of goods to be purchased or rented</w:t>
      </w:r>
      <w:r w:rsidR="00EC4F0F">
        <w:t>. Some credit providers may have pricing models in which the cost of finance varies according</w:t>
      </w:r>
      <w:r w:rsidR="00977A87">
        <w:t>, for example,</w:t>
      </w:r>
      <w:r w:rsidR="00EC4F0F">
        <w:t xml:space="preserve"> to the age or make of car. The provision ensures conduct affecting the consumer's choice in relation to the goods is not covered by the prohibition, notwithstanding that this may have an indirect effect on the cost of finance to the consumer.</w:t>
      </w:r>
    </w:p>
    <w:p w14:paraId="244053F5" w14:textId="6016B5BC" w:rsidR="007C64B1" w:rsidRDefault="00352DB2" w:rsidP="00AB0F9E">
      <w:pPr>
        <w:pStyle w:val="ListParagraph"/>
        <w:numPr>
          <w:ilvl w:val="0"/>
          <w:numId w:val="20"/>
        </w:numPr>
        <w:spacing w:after="240"/>
      </w:pPr>
      <w:r>
        <w:t>Secondly,</w:t>
      </w:r>
      <w:r w:rsidR="00EA5640">
        <w:t xml:space="preserve"> paragraph (b) </w:t>
      </w:r>
      <w:r>
        <w:t xml:space="preserve">provides that </w:t>
      </w:r>
      <w:r w:rsidR="00EC4F0F" w:rsidRPr="00D6764F">
        <w:t xml:space="preserve">the prohibition does not apply to conduct by the </w:t>
      </w:r>
      <w:r w:rsidR="00EC4F0F" w:rsidRPr="00620D87">
        <w:t>introducer or an associated person</w:t>
      </w:r>
      <w:r w:rsidR="00EC4F0F">
        <w:t xml:space="preserve"> in </w:t>
      </w:r>
      <w:r w:rsidR="00323278">
        <w:t xml:space="preserve">merely </w:t>
      </w:r>
      <w:r w:rsidR="00EC4F0F" w:rsidRPr="00D6764F">
        <w:t>providing the credit provider or lessor with information about</w:t>
      </w:r>
      <w:r w:rsidR="00246770">
        <w:t xml:space="preserve">: </w:t>
      </w:r>
    </w:p>
    <w:p w14:paraId="3849E590" w14:textId="2762EAB9" w:rsidR="007C64B1" w:rsidRDefault="00EC4F0F" w:rsidP="00AB0F9E">
      <w:pPr>
        <w:pStyle w:val="ListParagraph"/>
        <w:numPr>
          <w:ilvl w:val="1"/>
          <w:numId w:val="20"/>
        </w:numPr>
        <w:spacing w:after="240"/>
      </w:pPr>
      <w:r w:rsidRPr="00D6764F">
        <w:t>any of the consumer’s requirements and objectives in relation to the credit contract</w:t>
      </w:r>
      <w:r w:rsidR="00246770">
        <w:t>;</w:t>
      </w:r>
      <w:r w:rsidRPr="00D6764F">
        <w:t xml:space="preserve"> or consumer lease</w:t>
      </w:r>
      <w:r w:rsidR="007C64B1">
        <w:t>; or</w:t>
      </w:r>
    </w:p>
    <w:p w14:paraId="18D38E3B" w14:textId="52A07B4B" w:rsidR="007C64B1" w:rsidRDefault="00EC4F0F" w:rsidP="00AB0F9E">
      <w:pPr>
        <w:pStyle w:val="ListParagraph"/>
        <w:numPr>
          <w:ilvl w:val="1"/>
          <w:numId w:val="20"/>
        </w:numPr>
        <w:spacing w:after="240"/>
      </w:pPr>
      <w:proofErr w:type="gramStart"/>
      <w:r w:rsidRPr="00D6764F">
        <w:t>their</w:t>
      </w:r>
      <w:proofErr w:type="gramEnd"/>
      <w:r w:rsidRPr="00D6764F">
        <w:t xml:space="preserve"> financial situation. </w:t>
      </w:r>
    </w:p>
    <w:p w14:paraId="5225070B" w14:textId="515A1CE9" w:rsidR="00E61A41" w:rsidRDefault="00E61A41" w:rsidP="00E61A41">
      <w:pPr>
        <w:spacing w:after="240"/>
        <w:ind w:left="720"/>
      </w:pPr>
      <w:r>
        <w:t>Again, t</w:t>
      </w:r>
      <w:r w:rsidRPr="00D6764F">
        <w:t xml:space="preserve">his conduct </w:t>
      </w:r>
      <w:r>
        <w:t xml:space="preserve">could be characterised as </w:t>
      </w:r>
      <w:r w:rsidRPr="00D6764F">
        <w:t xml:space="preserve">indirectly </w:t>
      </w:r>
      <w:r>
        <w:t xml:space="preserve">affecting </w:t>
      </w:r>
      <w:r w:rsidRPr="00D6764F">
        <w:t xml:space="preserve">the cost of </w:t>
      </w:r>
      <w:r>
        <w:t>finance where, for example,</w:t>
      </w:r>
      <w:r w:rsidR="002E1A84">
        <w:t xml:space="preserve"> a credit provider charges a higher annual percentage rate to consumers categorised as at higher risk of default, based on their </w:t>
      </w:r>
      <w:r w:rsidRPr="00D6764F">
        <w:t>financial situation</w:t>
      </w:r>
      <w:r>
        <w:t xml:space="preserve">. The </w:t>
      </w:r>
      <w:r w:rsidR="00977A87">
        <w:t xml:space="preserve">limitation in the definition </w:t>
      </w:r>
      <w:r>
        <w:t>make</w:t>
      </w:r>
      <w:r w:rsidR="008E164A">
        <w:t>s</w:t>
      </w:r>
      <w:r>
        <w:t xml:space="preserve"> </w:t>
      </w:r>
      <w:r w:rsidR="00977A87">
        <w:t xml:space="preserve">it </w:t>
      </w:r>
      <w:r>
        <w:t>explicit that the prohibition does not apply to this conduct</w:t>
      </w:r>
      <w:r w:rsidR="002E1A84">
        <w:t>.</w:t>
      </w:r>
    </w:p>
    <w:p w14:paraId="726F981F" w14:textId="7DC6C005" w:rsidR="00EA5640" w:rsidRPr="002E1A84" w:rsidRDefault="00EA5640" w:rsidP="00AB0F9E">
      <w:pPr>
        <w:pStyle w:val="ListParagraph"/>
        <w:numPr>
          <w:ilvl w:val="0"/>
          <w:numId w:val="20"/>
        </w:numPr>
        <w:spacing w:after="240"/>
      </w:pPr>
      <w:r w:rsidRPr="002E1A84">
        <w:t>P</w:t>
      </w:r>
      <w:r w:rsidRPr="002E1A84">
        <w:rPr>
          <w:rFonts w:cs="Arial"/>
          <w:szCs w:val="20"/>
        </w:rPr>
        <w:t>aragraph</w:t>
      </w:r>
      <w:r w:rsidR="000553A2">
        <w:rPr>
          <w:rFonts w:cs="Arial"/>
          <w:szCs w:val="20"/>
        </w:rPr>
        <w:t xml:space="preserve"> </w:t>
      </w:r>
      <w:r w:rsidRPr="002E1A84">
        <w:rPr>
          <w:rFonts w:cs="Arial"/>
          <w:szCs w:val="20"/>
        </w:rPr>
        <w:t>(</w:t>
      </w:r>
      <w:r w:rsidR="000553A2">
        <w:rPr>
          <w:rFonts w:cs="Arial"/>
          <w:szCs w:val="20"/>
        </w:rPr>
        <w:t>c</w:t>
      </w:r>
      <w:r w:rsidRPr="002E1A84">
        <w:rPr>
          <w:rFonts w:cs="Arial"/>
          <w:szCs w:val="20"/>
        </w:rPr>
        <w:t xml:space="preserve">) states that </w:t>
      </w:r>
      <w:r w:rsidRPr="002E1A84">
        <w:t xml:space="preserve">merely providing the credit provider or lessor with other factual information (that is, factual information other than in the specific circumstances specified in paragraphs </w:t>
      </w:r>
      <w:r w:rsidRPr="002E1A84">
        <w:rPr>
          <w:rFonts w:cs="Arial"/>
          <w:szCs w:val="20"/>
        </w:rPr>
        <w:t xml:space="preserve">paragraph </w:t>
      </w:r>
      <w:proofErr w:type="gramStart"/>
      <w:r w:rsidRPr="002E1A84">
        <w:rPr>
          <w:rFonts w:cs="Arial"/>
          <w:szCs w:val="20"/>
        </w:rPr>
        <w:t>53C(</w:t>
      </w:r>
      <w:proofErr w:type="gramEnd"/>
      <w:r w:rsidRPr="002E1A84">
        <w:rPr>
          <w:rFonts w:cs="Arial"/>
          <w:szCs w:val="20"/>
        </w:rPr>
        <w:t>2)(b) and (c)) will not amount to conduct that can be characterised as having 'determined, proposed or influenced' the cost to the consumer.</w:t>
      </w:r>
    </w:p>
    <w:p w14:paraId="4AB6C8C8" w14:textId="29094594" w:rsidR="00E61A41" w:rsidRDefault="00EA5640" w:rsidP="00AB0F9E">
      <w:pPr>
        <w:pStyle w:val="ListParagraph"/>
        <w:numPr>
          <w:ilvl w:val="0"/>
          <w:numId w:val="20"/>
        </w:numPr>
        <w:spacing w:after="240"/>
      </w:pPr>
      <w:r w:rsidRPr="00EA5640">
        <w:rPr>
          <w:rFonts w:cs="Arial"/>
          <w:szCs w:val="20"/>
        </w:rPr>
        <w:t>Finally, p</w:t>
      </w:r>
      <w:r w:rsidR="00E61A41" w:rsidRPr="00EA5640">
        <w:rPr>
          <w:rFonts w:cs="Arial"/>
          <w:szCs w:val="20"/>
        </w:rPr>
        <w:t>aragraph</w:t>
      </w:r>
      <w:r w:rsidR="000553A2">
        <w:rPr>
          <w:rFonts w:cs="Arial"/>
          <w:szCs w:val="20"/>
        </w:rPr>
        <w:t xml:space="preserve"> </w:t>
      </w:r>
      <w:r w:rsidR="00E61A41" w:rsidRPr="00EA5640">
        <w:rPr>
          <w:rFonts w:cs="Arial"/>
          <w:szCs w:val="20"/>
        </w:rPr>
        <w:t>(d) limits the operation of the prohibition by providing that it does</w:t>
      </w:r>
      <w:r w:rsidR="00E61A41" w:rsidRPr="00212C33">
        <w:rPr>
          <w:rFonts w:cs="Arial"/>
          <w:szCs w:val="20"/>
        </w:rPr>
        <w:t xml:space="preserve"> not apply to the introducer or an associated person determining, proposing or influencing the cost to the consumer of the transaction before there has been any contact with a prospective debtor. </w:t>
      </w:r>
      <w:r w:rsidR="00E61A41" w:rsidRPr="00B14609">
        <w:t xml:space="preserve">This means that the prohibition is limited to circumstances where the benefits payable will directly affect the cost to an individual or identified consumer. </w:t>
      </w:r>
      <w:r w:rsidR="00E61A41" w:rsidRPr="00212C33">
        <w:rPr>
          <w:rFonts w:cs="Arial"/>
          <w:szCs w:val="20"/>
        </w:rPr>
        <w:t xml:space="preserve"> The prohibition, for example, would not apply to negotiations between the regulated person and the introducer in relation to the commission </w:t>
      </w:r>
      <w:r w:rsidR="00E61A41" w:rsidRPr="00212C33">
        <w:t>rates that the regulated person sets, including, for example, allowing for promotional periods in which credit contracts may be offered at a discounted annual percentage rate,</w:t>
      </w:r>
      <w:r w:rsidR="00E61A41">
        <w:t xml:space="preserve"> with different commission payme</w:t>
      </w:r>
      <w:r w:rsidR="00E61A41" w:rsidRPr="00212C33">
        <w:t>nts applying</w:t>
      </w:r>
      <w:r w:rsidR="00E61A41">
        <w:t>.</w:t>
      </w:r>
    </w:p>
    <w:p w14:paraId="118082A3" w14:textId="77777777" w:rsidR="00A804F7" w:rsidRPr="00620D87" w:rsidRDefault="00A804F7" w:rsidP="00A804F7">
      <w:pPr>
        <w:spacing w:after="240"/>
        <w:rPr>
          <w:rFonts w:cs="Arial"/>
          <w:i/>
          <w:szCs w:val="20"/>
        </w:rPr>
      </w:pPr>
      <w:r w:rsidRPr="00620D87">
        <w:rPr>
          <w:rFonts w:cs="Arial"/>
          <w:i/>
          <w:szCs w:val="20"/>
        </w:rPr>
        <w:t>Exceptions to the prohibition</w:t>
      </w:r>
      <w:r>
        <w:rPr>
          <w:rFonts w:cs="Arial"/>
          <w:i/>
          <w:szCs w:val="20"/>
        </w:rPr>
        <w:t xml:space="preserve"> </w:t>
      </w:r>
      <w:r w:rsidRPr="00620D87">
        <w:rPr>
          <w:rFonts w:cs="Arial"/>
          <w:i/>
          <w:szCs w:val="20"/>
        </w:rPr>
        <w:t>—</w:t>
      </w:r>
      <w:r>
        <w:rPr>
          <w:rFonts w:cs="Arial"/>
          <w:i/>
          <w:szCs w:val="20"/>
        </w:rPr>
        <w:t xml:space="preserve"> </w:t>
      </w:r>
      <w:r w:rsidRPr="00620D87">
        <w:rPr>
          <w:rFonts w:cs="Arial"/>
          <w:i/>
          <w:szCs w:val="20"/>
        </w:rPr>
        <w:t xml:space="preserve">permissible reductions in cost to the consumer </w:t>
      </w:r>
    </w:p>
    <w:p w14:paraId="0A2067BB" w14:textId="37F28992" w:rsidR="00A804F7" w:rsidRDefault="00A804F7" w:rsidP="00A804F7">
      <w:pPr>
        <w:spacing w:after="240"/>
        <w:rPr>
          <w:rFonts w:cs="Arial"/>
          <w:szCs w:val="20"/>
        </w:rPr>
      </w:pPr>
      <w:r>
        <w:rPr>
          <w:rFonts w:cs="Arial"/>
          <w:szCs w:val="20"/>
        </w:rPr>
        <w:t xml:space="preserve">Subsection </w:t>
      </w:r>
      <w:proofErr w:type="gramStart"/>
      <w:r w:rsidRPr="00620D87">
        <w:rPr>
          <w:rFonts w:cs="Arial"/>
          <w:szCs w:val="20"/>
        </w:rPr>
        <w:t>53A(</w:t>
      </w:r>
      <w:proofErr w:type="gramEnd"/>
      <w:r>
        <w:rPr>
          <w:rFonts w:cs="Arial"/>
          <w:szCs w:val="20"/>
        </w:rPr>
        <w:t>3</w:t>
      </w:r>
      <w:r w:rsidRPr="00620D87">
        <w:rPr>
          <w:rFonts w:cs="Arial"/>
          <w:szCs w:val="20"/>
        </w:rPr>
        <w:t>) provide</w:t>
      </w:r>
      <w:r>
        <w:rPr>
          <w:rFonts w:cs="Arial"/>
          <w:szCs w:val="20"/>
        </w:rPr>
        <w:t>s</w:t>
      </w:r>
      <w:r w:rsidRPr="00620D87">
        <w:rPr>
          <w:rFonts w:cs="Arial"/>
          <w:szCs w:val="20"/>
        </w:rPr>
        <w:t xml:space="preserve"> </w:t>
      </w:r>
      <w:r>
        <w:rPr>
          <w:rFonts w:cs="Arial"/>
          <w:szCs w:val="20"/>
        </w:rPr>
        <w:t xml:space="preserve">an </w:t>
      </w:r>
      <w:r w:rsidRPr="00620D87">
        <w:rPr>
          <w:rFonts w:cs="Arial"/>
          <w:szCs w:val="20"/>
        </w:rPr>
        <w:t xml:space="preserve">exemptions to the prohibition, by allowing for variable benefits to be payable where the outcome operates in favour of the consumer through a reduction in the cost of </w:t>
      </w:r>
      <w:r>
        <w:rPr>
          <w:rFonts w:cs="Arial"/>
          <w:szCs w:val="20"/>
        </w:rPr>
        <w:t>finance</w:t>
      </w:r>
      <w:r w:rsidRPr="00620D87">
        <w:rPr>
          <w:rFonts w:cs="Arial"/>
          <w:szCs w:val="20"/>
        </w:rPr>
        <w:t xml:space="preserve">. </w:t>
      </w:r>
    </w:p>
    <w:p w14:paraId="260DE395" w14:textId="77777777" w:rsidR="00CD47E7" w:rsidRDefault="00A804F7" w:rsidP="00CD47E7">
      <w:pPr>
        <w:spacing w:after="240"/>
        <w:rPr>
          <w:rFonts w:cs="Arial"/>
          <w:szCs w:val="20"/>
        </w:rPr>
      </w:pPr>
      <w:r>
        <w:rPr>
          <w:rFonts w:cs="Arial"/>
          <w:szCs w:val="20"/>
        </w:rPr>
        <w:t xml:space="preserve">Subsection </w:t>
      </w:r>
      <w:r w:rsidRPr="00620D87">
        <w:rPr>
          <w:rFonts w:cs="Arial"/>
          <w:szCs w:val="20"/>
        </w:rPr>
        <w:t>53A(</w:t>
      </w:r>
      <w:r>
        <w:rPr>
          <w:rFonts w:cs="Arial"/>
          <w:szCs w:val="20"/>
        </w:rPr>
        <w:t>3</w:t>
      </w:r>
      <w:r w:rsidRPr="00620D87">
        <w:rPr>
          <w:rFonts w:cs="Arial"/>
          <w:szCs w:val="20"/>
        </w:rPr>
        <w:t>) provides</w:t>
      </w:r>
      <w:r>
        <w:rPr>
          <w:rFonts w:cs="Arial"/>
          <w:szCs w:val="20"/>
        </w:rPr>
        <w:t>,</w:t>
      </w:r>
      <w:r w:rsidR="002E1A84">
        <w:rPr>
          <w:rFonts w:cs="Arial"/>
          <w:szCs w:val="20"/>
        </w:rPr>
        <w:t xml:space="preserve"> </w:t>
      </w:r>
      <w:r>
        <w:rPr>
          <w:rFonts w:cs="Arial"/>
          <w:szCs w:val="20"/>
        </w:rPr>
        <w:t>in relation to credit contracts,</w:t>
      </w:r>
      <w:r w:rsidRPr="00620D87">
        <w:rPr>
          <w:rFonts w:cs="Arial"/>
          <w:szCs w:val="20"/>
        </w:rPr>
        <w:t xml:space="preserve"> that the amount of the benefits can vary</w:t>
      </w:r>
      <w:r>
        <w:rPr>
          <w:rFonts w:cs="Arial"/>
          <w:szCs w:val="20"/>
        </w:rPr>
        <w:t xml:space="preserve"> wh</w:t>
      </w:r>
      <w:r w:rsidRPr="00620D87">
        <w:rPr>
          <w:rFonts w:cs="Arial"/>
          <w:szCs w:val="20"/>
        </w:rPr>
        <w:t xml:space="preserve">ere the introducer or an associated person </w:t>
      </w:r>
      <w:r>
        <w:t xml:space="preserve">determines, proposes or influences a reduction in the annual percentage rate provided the reduction is not less than </w:t>
      </w:r>
      <w:r w:rsidRPr="00620D87">
        <w:rPr>
          <w:rFonts w:cs="Arial"/>
          <w:szCs w:val="20"/>
        </w:rPr>
        <w:t>200 basis</w:t>
      </w:r>
      <w:r w:rsidR="00CD47E7">
        <w:rPr>
          <w:rFonts w:cs="Arial"/>
          <w:szCs w:val="20"/>
        </w:rPr>
        <w:t>.</w:t>
      </w:r>
    </w:p>
    <w:p w14:paraId="25593658" w14:textId="6185EF28" w:rsidR="00CD47E7" w:rsidRDefault="00CD47E7" w:rsidP="00CD47E7">
      <w:pPr>
        <w:spacing w:after="240"/>
        <w:rPr>
          <w:rFonts w:cs="Arial"/>
          <w:szCs w:val="20"/>
        </w:rPr>
      </w:pPr>
      <w:r>
        <w:rPr>
          <w:rFonts w:cs="Arial"/>
          <w:szCs w:val="20"/>
        </w:rPr>
        <w:t>In order for the regulated person to be able to rely on the exception the following requirements must be met:</w:t>
      </w:r>
    </w:p>
    <w:p w14:paraId="2FB2FFAF" w14:textId="080E0D8F" w:rsidR="00CD47E7" w:rsidRPr="00CD47E7" w:rsidRDefault="00CD47E7" w:rsidP="00CD47E7">
      <w:pPr>
        <w:pStyle w:val="ListParagraph"/>
        <w:numPr>
          <w:ilvl w:val="0"/>
          <w:numId w:val="25"/>
        </w:numPr>
        <w:spacing w:after="240"/>
        <w:rPr>
          <w:rFonts w:cs="Arial"/>
          <w:szCs w:val="20"/>
        </w:rPr>
      </w:pPr>
      <w:r>
        <w:t xml:space="preserve">If the annual </w:t>
      </w:r>
      <w:r w:rsidRPr="00CD47E7">
        <w:t>percentage rate is not less than the rate that is 200 basis points less than the specified rate</w:t>
      </w:r>
      <w:r w:rsidR="00977A87">
        <w:t xml:space="preserve"> (with this rate called the 'base rate') </w:t>
      </w:r>
      <w:r w:rsidRPr="00CD47E7">
        <w:rPr>
          <w:rFonts w:cs="Arial"/>
          <w:szCs w:val="20"/>
        </w:rPr>
        <w:t>— the regulated person can pay commissions that vary according to the rate payable under the credit contract; and</w:t>
      </w:r>
    </w:p>
    <w:p w14:paraId="08753DF6" w14:textId="5C0C2195" w:rsidR="00CD47E7" w:rsidRPr="00CD47E7" w:rsidRDefault="00CD47E7" w:rsidP="00CD47E7">
      <w:pPr>
        <w:pStyle w:val="ListParagraph"/>
        <w:numPr>
          <w:ilvl w:val="0"/>
          <w:numId w:val="25"/>
        </w:numPr>
        <w:spacing w:after="240"/>
        <w:rPr>
          <w:rFonts w:cs="Arial"/>
          <w:szCs w:val="20"/>
        </w:rPr>
      </w:pPr>
      <w:r w:rsidRPr="00CD47E7">
        <w:rPr>
          <w:rFonts w:cs="Arial"/>
          <w:szCs w:val="20"/>
        </w:rPr>
        <w:t xml:space="preserve"> </w:t>
      </w:r>
      <w:r w:rsidRPr="00CD47E7">
        <w:t xml:space="preserve">If the annual percentage rate is </w:t>
      </w:r>
      <w:r w:rsidR="00977A87">
        <w:t xml:space="preserve">less than the base rate </w:t>
      </w:r>
      <w:r w:rsidRPr="00CD47E7">
        <w:rPr>
          <w:rFonts w:cs="Arial"/>
          <w:szCs w:val="20"/>
        </w:rPr>
        <w:t xml:space="preserve">— the regulated person can pay commissions but they </w:t>
      </w:r>
      <w:r w:rsidR="00977A87">
        <w:rPr>
          <w:rFonts w:cs="Arial"/>
          <w:szCs w:val="20"/>
        </w:rPr>
        <w:t>must be determined using the base rate</w:t>
      </w:r>
      <w:r w:rsidRPr="00CD47E7">
        <w:rPr>
          <w:rFonts w:cs="Arial"/>
          <w:szCs w:val="20"/>
        </w:rPr>
        <w:t xml:space="preserve">. </w:t>
      </w:r>
    </w:p>
    <w:p w14:paraId="312DF268" w14:textId="77777777" w:rsidR="00A804F7" w:rsidRPr="00977A87" w:rsidRDefault="00A804F7" w:rsidP="00A804F7">
      <w:pPr>
        <w:spacing w:after="240"/>
        <w:rPr>
          <w:rFonts w:cs="Arial"/>
          <w:szCs w:val="20"/>
        </w:rPr>
      </w:pPr>
      <w:r w:rsidRPr="00977A87">
        <w:rPr>
          <w:rFonts w:cs="Arial"/>
          <w:szCs w:val="20"/>
        </w:rPr>
        <w:t>The intended outcomes can be illustrated by an example in which the specified rate for a car loan is 7%, and this annual percentage rate is subsequently reduced during negotiations with the consumer:</w:t>
      </w:r>
    </w:p>
    <w:p w14:paraId="4AB96097" w14:textId="4EEC20E7" w:rsidR="00A804F7" w:rsidRPr="00FF51D7" w:rsidRDefault="00A804F7" w:rsidP="00AB0F9E">
      <w:pPr>
        <w:pStyle w:val="ListParagraph"/>
        <w:numPr>
          <w:ilvl w:val="0"/>
          <w:numId w:val="8"/>
        </w:numPr>
        <w:spacing w:after="240"/>
        <w:rPr>
          <w:rFonts w:cs="Arial"/>
          <w:szCs w:val="20"/>
        </w:rPr>
      </w:pPr>
      <w:r w:rsidRPr="00FF51D7">
        <w:rPr>
          <w:rFonts w:cs="Arial"/>
          <w:szCs w:val="20"/>
        </w:rPr>
        <w:t xml:space="preserve">If the annual percentage rate is reduced to </w:t>
      </w:r>
      <w:r w:rsidR="00977A87" w:rsidRPr="00FF51D7">
        <w:rPr>
          <w:rFonts w:cs="Arial"/>
          <w:szCs w:val="20"/>
        </w:rPr>
        <w:t>the base rate (</w:t>
      </w:r>
      <w:r w:rsidRPr="00FF51D7">
        <w:rPr>
          <w:rFonts w:cs="Arial"/>
          <w:szCs w:val="20"/>
        </w:rPr>
        <w:t>5%</w:t>
      </w:r>
      <w:r w:rsidR="00977A87" w:rsidRPr="00FF51D7">
        <w:rPr>
          <w:rFonts w:cs="Arial"/>
          <w:szCs w:val="20"/>
        </w:rPr>
        <w:t xml:space="preserve">) </w:t>
      </w:r>
      <w:r w:rsidRPr="00FF51D7">
        <w:rPr>
          <w:rFonts w:cs="Arial"/>
          <w:szCs w:val="20"/>
        </w:rPr>
        <w:t xml:space="preserve"> — the regulated person can pay commissions at a lower rate, as it is a permissible reduction under subsection 53A(3); and</w:t>
      </w:r>
    </w:p>
    <w:p w14:paraId="65CA947E" w14:textId="5016DCF0" w:rsidR="00A20DF4" w:rsidRPr="00FF51D7" w:rsidRDefault="00A804F7" w:rsidP="00AB0F9E">
      <w:pPr>
        <w:pStyle w:val="ListParagraph"/>
        <w:numPr>
          <w:ilvl w:val="0"/>
          <w:numId w:val="8"/>
        </w:numPr>
        <w:spacing w:after="240"/>
        <w:rPr>
          <w:rFonts w:cs="Arial"/>
          <w:szCs w:val="20"/>
        </w:rPr>
      </w:pPr>
      <w:r w:rsidRPr="00FF51D7">
        <w:rPr>
          <w:rFonts w:cs="Arial"/>
          <w:szCs w:val="20"/>
        </w:rPr>
        <w:t>If the annual percentage rate is</w:t>
      </w:r>
      <w:r w:rsidR="00977A87" w:rsidRPr="00FF51D7">
        <w:rPr>
          <w:rFonts w:cs="Arial"/>
          <w:szCs w:val="20"/>
        </w:rPr>
        <w:t xml:space="preserve"> less than the base rate (for example, </w:t>
      </w:r>
      <w:r w:rsidRPr="00FF51D7">
        <w:rPr>
          <w:rFonts w:cs="Arial"/>
          <w:szCs w:val="20"/>
        </w:rPr>
        <w:t>4%</w:t>
      </w:r>
      <w:r w:rsidR="00977A87" w:rsidRPr="00FF51D7">
        <w:rPr>
          <w:rFonts w:cs="Arial"/>
          <w:szCs w:val="20"/>
        </w:rPr>
        <w:t>)</w:t>
      </w:r>
      <w:r w:rsidRPr="00FF51D7">
        <w:rPr>
          <w:rFonts w:cs="Arial"/>
          <w:szCs w:val="20"/>
        </w:rPr>
        <w:t xml:space="preserve"> — the regulated person can</w:t>
      </w:r>
      <w:r w:rsidR="00A20DF4" w:rsidRPr="00FF51D7">
        <w:rPr>
          <w:rFonts w:cs="Arial"/>
          <w:szCs w:val="20"/>
        </w:rPr>
        <w:t xml:space="preserve"> only </w:t>
      </w:r>
      <w:r w:rsidRPr="00FF51D7">
        <w:rPr>
          <w:rFonts w:cs="Arial"/>
          <w:szCs w:val="20"/>
        </w:rPr>
        <w:t xml:space="preserve">pay commissions at </w:t>
      </w:r>
      <w:r w:rsidR="00A20DF4" w:rsidRPr="00FF51D7">
        <w:rPr>
          <w:rFonts w:cs="Arial"/>
          <w:szCs w:val="20"/>
        </w:rPr>
        <w:t>the rate that they would be payable if the annual percentage rate was 5%.</w:t>
      </w:r>
    </w:p>
    <w:p w14:paraId="1E965691" w14:textId="6C78F8C5" w:rsidR="00A804F7" w:rsidRPr="00FF51D7" w:rsidRDefault="00977A87">
      <w:pPr>
        <w:spacing w:after="240"/>
        <w:rPr>
          <w:rFonts w:cs="Arial"/>
          <w:szCs w:val="20"/>
        </w:rPr>
      </w:pPr>
      <w:r w:rsidRPr="00AA286C">
        <w:rPr>
          <w:rFonts w:cs="Arial"/>
          <w:szCs w:val="20"/>
        </w:rPr>
        <w:t>Th</w:t>
      </w:r>
      <w:r w:rsidRPr="00390DC2">
        <w:rPr>
          <w:rFonts w:cs="Arial"/>
          <w:szCs w:val="20"/>
        </w:rPr>
        <w:t xml:space="preserve">is outcome </w:t>
      </w:r>
      <w:r w:rsidRPr="00FF51D7">
        <w:rPr>
          <w:rFonts w:cs="Arial"/>
          <w:szCs w:val="20"/>
        </w:rPr>
        <w:t xml:space="preserve">permits a lower commission to be paid based on a lower annual percentage rate. It therefore enables consumers to </w:t>
      </w:r>
      <w:r w:rsidR="00906AF0" w:rsidRPr="00FF51D7">
        <w:rPr>
          <w:rFonts w:cs="Arial"/>
          <w:szCs w:val="20"/>
        </w:rPr>
        <w:t xml:space="preserve">benefit from lower annual percentage rates, while still enabling introducers to receive benefits when finalising the financing of the vehicle. ASIC considers that allowing a constrained discretion structured in this way will </w:t>
      </w:r>
      <w:r w:rsidR="00390DC2">
        <w:rPr>
          <w:rFonts w:cs="Arial"/>
          <w:szCs w:val="20"/>
        </w:rPr>
        <w:t>address the harm of vulnerable consumers being charged uncompetitive rate</w:t>
      </w:r>
      <w:r w:rsidR="00390DC2" w:rsidRPr="00AA286C">
        <w:rPr>
          <w:rFonts w:cs="Arial"/>
          <w:szCs w:val="20"/>
        </w:rPr>
        <w:t>s</w:t>
      </w:r>
      <w:r w:rsidR="00390DC2" w:rsidRPr="00923001">
        <w:rPr>
          <w:rFonts w:cs="Arial"/>
          <w:szCs w:val="20"/>
        </w:rPr>
        <w:t xml:space="preserve"> </w:t>
      </w:r>
      <w:r w:rsidR="00390DC2">
        <w:rPr>
          <w:rFonts w:cs="Arial"/>
          <w:szCs w:val="20"/>
        </w:rPr>
        <w:t xml:space="preserve">and </w:t>
      </w:r>
      <w:r w:rsidR="00906AF0" w:rsidRPr="00FF51D7">
        <w:rPr>
          <w:rFonts w:cs="Arial"/>
          <w:szCs w:val="20"/>
        </w:rPr>
        <w:t xml:space="preserve">operate to the advantage of </w:t>
      </w:r>
      <w:r w:rsidR="002A2847" w:rsidRPr="00FF51D7">
        <w:rPr>
          <w:rFonts w:cs="Arial"/>
          <w:szCs w:val="20"/>
        </w:rPr>
        <w:t xml:space="preserve">consumers. </w:t>
      </w:r>
      <w:r w:rsidR="00A20DF4" w:rsidRPr="00FF51D7">
        <w:rPr>
          <w:rFonts w:cs="Arial"/>
          <w:szCs w:val="20"/>
        </w:rPr>
        <w:t xml:space="preserve">Further, ASIC will be undertaking monitoring to test the extent to which </w:t>
      </w:r>
      <w:r w:rsidR="00323278" w:rsidRPr="00923001">
        <w:rPr>
          <w:rFonts w:cs="Arial"/>
          <w:szCs w:val="20"/>
        </w:rPr>
        <w:t xml:space="preserve">the relevant credit activities are being engaged in efficiently, honestly and fairly and that clients are not being disadvantaged by any conflicts of interest (including by examining whether </w:t>
      </w:r>
      <w:r w:rsidR="00EC77A9" w:rsidRPr="00923001">
        <w:rPr>
          <w:rFonts w:cs="Arial"/>
          <w:szCs w:val="20"/>
        </w:rPr>
        <w:t>some classes of</w:t>
      </w:r>
      <w:r w:rsidR="00923001">
        <w:rPr>
          <w:rFonts w:cs="Arial"/>
          <w:szCs w:val="20"/>
        </w:rPr>
        <w:t xml:space="preserve"> </w:t>
      </w:r>
      <w:r w:rsidR="00A20DF4" w:rsidRPr="00FF51D7">
        <w:rPr>
          <w:rFonts w:cs="Arial"/>
          <w:szCs w:val="20"/>
        </w:rPr>
        <w:t xml:space="preserve">consumers are </w:t>
      </w:r>
      <w:r w:rsidR="00EC77A9" w:rsidRPr="00923001">
        <w:rPr>
          <w:rFonts w:cs="Arial"/>
          <w:szCs w:val="20"/>
        </w:rPr>
        <w:t xml:space="preserve">not </w:t>
      </w:r>
      <w:r w:rsidR="00A20DF4" w:rsidRPr="00FF51D7">
        <w:rPr>
          <w:rFonts w:cs="Arial"/>
          <w:szCs w:val="20"/>
        </w:rPr>
        <w:t>being offered competitive rates</w:t>
      </w:r>
      <w:r w:rsidR="00323278" w:rsidRPr="00923001">
        <w:rPr>
          <w:rFonts w:cs="Arial"/>
          <w:szCs w:val="20"/>
        </w:rPr>
        <w:t>)</w:t>
      </w:r>
      <w:r w:rsidR="00D677BE" w:rsidRPr="00FF51D7">
        <w:rPr>
          <w:rFonts w:cs="Arial"/>
          <w:szCs w:val="20"/>
        </w:rPr>
        <w:t>.</w:t>
      </w:r>
    </w:p>
    <w:p w14:paraId="38FE6A4C" w14:textId="77EC9DC2" w:rsidR="00A804F7" w:rsidRDefault="00A804F7" w:rsidP="00FF51D7">
      <w:pPr>
        <w:spacing w:after="240"/>
        <w:rPr>
          <w:rFonts w:cs="Arial"/>
          <w:szCs w:val="20"/>
        </w:rPr>
      </w:pPr>
      <w:r w:rsidRPr="00AA286C">
        <w:rPr>
          <w:rFonts w:cs="Arial"/>
          <w:szCs w:val="20"/>
        </w:rPr>
        <w:t xml:space="preserve">Paragraph </w:t>
      </w:r>
      <w:proofErr w:type="gramStart"/>
      <w:r w:rsidRPr="00AA286C">
        <w:rPr>
          <w:rFonts w:cs="Arial"/>
          <w:szCs w:val="20"/>
        </w:rPr>
        <w:t>53A(</w:t>
      </w:r>
      <w:proofErr w:type="gramEnd"/>
      <w:r w:rsidRPr="00AA286C">
        <w:rPr>
          <w:rFonts w:cs="Arial"/>
          <w:szCs w:val="20"/>
        </w:rPr>
        <w:t>3)(b) also allows for variable benefits to be payable in relation to consumer leases</w:t>
      </w:r>
      <w:r w:rsidRPr="006805EA">
        <w:rPr>
          <w:rFonts w:cs="Arial"/>
          <w:szCs w:val="20"/>
        </w:rPr>
        <w:t xml:space="preserve">. The exception to the prohibition </w:t>
      </w:r>
      <w:r>
        <w:rPr>
          <w:rFonts w:cs="Arial"/>
          <w:szCs w:val="20"/>
        </w:rPr>
        <w:t>operates in a different way given that the cost of consumer leases is not determined by reference to an annual percentage rate.</w:t>
      </w:r>
    </w:p>
    <w:p w14:paraId="1340C49F" w14:textId="77777777" w:rsidR="00A804F7" w:rsidRDefault="00A804F7" w:rsidP="00FF51D7">
      <w:pPr>
        <w:spacing w:after="240"/>
        <w:rPr>
          <w:rFonts w:cs="Arial"/>
          <w:szCs w:val="20"/>
        </w:rPr>
      </w:pPr>
      <w:r w:rsidRPr="00620D87">
        <w:rPr>
          <w:rFonts w:cs="Arial"/>
          <w:szCs w:val="20"/>
        </w:rPr>
        <w:t>The prohibition</w:t>
      </w:r>
      <w:r>
        <w:rPr>
          <w:rFonts w:cs="Arial"/>
          <w:szCs w:val="20"/>
        </w:rPr>
        <w:t xml:space="preserve"> in relation to consumer leases in paragraph </w:t>
      </w:r>
      <w:r w:rsidRPr="00A846BC">
        <w:rPr>
          <w:rFonts w:cs="Arial"/>
          <w:szCs w:val="20"/>
        </w:rPr>
        <w:t>53A(</w:t>
      </w:r>
      <w:r>
        <w:rPr>
          <w:rFonts w:cs="Arial"/>
          <w:szCs w:val="20"/>
        </w:rPr>
        <w:t>3</w:t>
      </w:r>
      <w:r w:rsidRPr="00A846BC">
        <w:rPr>
          <w:rFonts w:cs="Arial"/>
          <w:szCs w:val="20"/>
        </w:rPr>
        <w:t>)</w:t>
      </w:r>
      <w:r>
        <w:rPr>
          <w:rFonts w:cs="Arial"/>
          <w:szCs w:val="20"/>
        </w:rPr>
        <w:t xml:space="preserve">(b) operates </w:t>
      </w:r>
      <w:r w:rsidRPr="00620D87">
        <w:rPr>
          <w:rFonts w:cs="Arial"/>
          <w:szCs w:val="20"/>
        </w:rPr>
        <w:t>by reference to the</w:t>
      </w:r>
      <w:r>
        <w:rPr>
          <w:rFonts w:cs="Arial"/>
          <w:szCs w:val="20"/>
        </w:rPr>
        <w:t xml:space="preserve"> difference between </w:t>
      </w:r>
      <w:r w:rsidRPr="006805EA">
        <w:rPr>
          <w:rFonts w:cs="Arial"/>
          <w:szCs w:val="20"/>
        </w:rPr>
        <w:t>the cash price of the goods</w:t>
      </w:r>
      <w:r>
        <w:rPr>
          <w:rFonts w:cs="Arial"/>
          <w:szCs w:val="20"/>
        </w:rPr>
        <w:t xml:space="preserve"> and the total </w:t>
      </w:r>
      <w:r w:rsidRPr="006805EA">
        <w:rPr>
          <w:rFonts w:cs="Arial"/>
          <w:szCs w:val="20"/>
        </w:rPr>
        <w:t>the rental payable under the lease</w:t>
      </w:r>
      <w:r>
        <w:rPr>
          <w:rFonts w:cs="Arial"/>
          <w:szCs w:val="20"/>
        </w:rPr>
        <w:t xml:space="preserve">, with this figure defined as the </w:t>
      </w:r>
      <w:r w:rsidRPr="006805EA">
        <w:rPr>
          <w:rFonts w:cs="Arial"/>
          <w:szCs w:val="20"/>
        </w:rPr>
        <w:t>rental charge</w:t>
      </w:r>
      <w:r>
        <w:rPr>
          <w:rFonts w:cs="Arial"/>
          <w:szCs w:val="20"/>
        </w:rPr>
        <w:t>. The exception in s</w:t>
      </w:r>
      <w:r w:rsidRPr="00A846BC">
        <w:rPr>
          <w:rFonts w:cs="Arial"/>
          <w:szCs w:val="20"/>
        </w:rPr>
        <w:t>ub</w:t>
      </w:r>
      <w:r>
        <w:rPr>
          <w:rFonts w:cs="Arial"/>
          <w:szCs w:val="20"/>
        </w:rPr>
        <w:t xml:space="preserve">section </w:t>
      </w:r>
      <w:r w:rsidRPr="00A846BC">
        <w:rPr>
          <w:rFonts w:cs="Arial"/>
          <w:szCs w:val="20"/>
        </w:rPr>
        <w:t>53A(</w:t>
      </w:r>
      <w:r>
        <w:rPr>
          <w:rFonts w:cs="Arial"/>
          <w:szCs w:val="20"/>
        </w:rPr>
        <w:t>3</w:t>
      </w:r>
      <w:r w:rsidRPr="00A846BC">
        <w:rPr>
          <w:rFonts w:cs="Arial"/>
          <w:szCs w:val="20"/>
        </w:rPr>
        <w:t>)</w:t>
      </w:r>
      <w:r>
        <w:rPr>
          <w:rFonts w:cs="Arial"/>
          <w:szCs w:val="20"/>
        </w:rPr>
        <w:t xml:space="preserve"> allows variable benefits to be paid provided there is a reduction of not less than 4% of the specified </w:t>
      </w:r>
      <w:r w:rsidRPr="006805EA">
        <w:rPr>
          <w:rFonts w:cs="Arial"/>
          <w:szCs w:val="20"/>
        </w:rPr>
        <w:t>rental charge</w:t>
      </w:r>
      <w:r>
        <w:rPr>
          <w:rFonts w:cs="Arial"/>
          <w:szCs w:val="20"/>
        </w:rPr>
        <w:t>.</w:t>
      </w:r>
    </w:p>
    <w:p w14:paraId="36C3C787" w14:textId="77777777" w:rsidR="00A804F7" w:rsidRPr="00FF51D7" w:rsidRDefault="00A804F7" w:rsidP="00FF51D7">
      <w:pPr>
        <w:spacing w:after="240"/>
        <w:rPr>
          <w:rFonts w:cs="Arial"/>
          <w:szCs w:val="20"/>
        </w:rPr>
      </w:pPr>
      <w:r>
        <w:rPr>
          <w:rFonts w:cs="Arial"/>
          <w:szCs w:val="20"/>
        </w:rPr>
        <w:t xml:space="preserve">For example, if the consumer is leasing goods with a cash price of $15,000 and the total rental payable is $25,000 the rental charge will be $10,000. The permissible reduction will therefore be 4% of $10,000 or $400. </w:t>
      </w:r>
    </w:p>
    <w:p w14:paraId="19D482A7" w14:textId="2AD09B34" w:rsidR="00A804F7" w:rsidRPr="003F3957" w:rsidRDefault="002E1A84" w:rsidP="008B2385">
      <w:pPr>
        <w:spacing w:after="240"/>
        <w:rPr>
          <w:rFonts w:cs="Arial"/>
          <w:i/>
          <w:szCs w:val="20"/>
        </w:rPr>
      </w:pPr>
      <w:r w:rsidRPr="003F3957">
        <w:rPr>
          <w:rFonts w:cs="Arial"/>
          <w:i/>
          <w:szCs w:val="20"/>
        </w:rPr>
        <w:t>F</w:t>
      </w:r>
      <w:r w:rsidR="00A804F7" w:rsidRPr="003F3957">
        <w:rPr>
          <w:rFonts w:cs="Arial"/>
          <w:i/>
          <w:szCs w:val="20"/>
        </w:rPr>
        <w:t>ees and charges</w:t>
      </w:r>
      <w:r w:rsidRPr="003F3957">
        <w:rPr>
          <w:rFonts w:cs="Arial"/>
          <w:i/>
          <w:szCs w:val="20"/>
        </w:rPr>
        <w:t xml:space="preserve"> — exceeding maximum figure allowed</w:t>
      </w:r>
      <w:r w:rsidR="00A804F7" w:rsidRPr="003F3957">
        <w:rPr>
          <w:rFonts w:cs="Arial"/>
          <w:i/>
          <w:szCs w:val="20"/>
        </w:rPr>
        <w:t xml:space="preserve"> </w:t>
      </w:r>
    </w:p>
    <w:p w14:paraId="49F49DFC" w14:textId="05FD727A" w:rsidR="00296D45" w:rsidRPr="001932A4" w:rsidRDefault="00A804F7" w:rsidP="00A804F7">
      <w:pPr>
        <w:spacing w:after="240"/>
        <w:rPr>
          <w:rFonts w:cs="Arial"/>
          <w:szCs w:val="20"/>
        </w:rPr>
      </w:pPr>
      <w:r w:rsidRPr="001932A4">
        <w:rPr>
          <w:rFonts w:cs="Arial"/>
          <w:szCs w:val="20"/>
        </w:rPr>
        <w:t xml:space="preserve">Section 53B contains a </w:t>
      </w:r>
      <w:r w:rsidR="00782F9A" w:rsidRPr="00FF51D7">
        <w:rPr>
          <w:rFonts w:cs="Arial"/>
          <w:szCs w:val="20"/>
        </w:rPr>
        <w:t xml:space="preserve">prohibition on the payment of </w:t>
      </w:r>
      <w:r w:rsidR="008E164A" w:rsidRPr="001932A4">
        <w:rPr>
          <w:rFonts w:cs="Arial"/>
          <w:szCs w:val="20"/>
        </w:rPr>
        <w:t>benefit</w:t>
      </w:r>
      <w:r w:rsidR="00782F9A" w:rsidRPr="00FF51D7">
        <w:rPr>
          <w:rFonts w:cs="Arial"/>
          <w:szCs w:val="20"/>
        </w:rPr>
        <w:t>s</w:t>
      </w:r>
      <w:r w:rsidR="008E164A" w:rsidRPr="001932A4">
        <w:rPr>
          <w:rFonts w:cs="Arial"/>
          <w:szCs w:val="20"/>
        </w:rPr>
        <w:t xml:space="preserve"> </w:t>
      </w:r>
      <w:r w:rsidRPr="001932A4">
        <w:rPr>
          <w:rFonts w:cs="Arial"/>
          <w:szCs w:val="20"/>
        </w:rPr>
        <w:t>in re</w:t>
      </w:r>
      <w:r w:rsidR="00782F9A" w:rsidRPr="00FF51D7">
        <w:rPr>
          <w:rFonts w:cs="Arial"/>
          <w:szCs w:val="20"/>
        </w:rPr>
        <w:t xml:space="preserve">spect of transactions </w:t>
      </w:r>
      <w:r w:rsidR="008E164A" w:rsidRPr="001932A4">
        <w:rPr>
          <w:rFonts w:cs="Arial"/>
          <w:szCs w:val="20"/>
        </w:rPr>
        <w:t xml:space="preserve">where </w:t>
      </w:r>
      <w:r w:rsidRPr="001932A4">
        <w:rPr>
          <w:rFonts w:cs="Arial"/>
          <w:szCs w:val="20"/>
        </w:rPr>
        <w:t>consumers hav</w:t>
      </w:r>
      <w:r w:rsidR="008E164A" w:rsidRPr="001932A4">
        <w:rPr>
          <w:rFonts w:cs="Arial"/>
          <w:szCs w:val="20"/>
        </w:rPr>
        <w:t>e</w:t>
      </w:r>
      <w:r w:rsidRPr="001932A4">
        <w:rPr>
          <w:rFonts w:cs="Arial"/>
          <w:szCs w:val="20"/>
        </w:rPr>
        <w:t xml:space="preserve"> to pay fees and charges that are above a maximum</w:t>
      </w:r>
      <w:r w:rsidR="002C1D5D" w:rsidRPr="001932A4">
        <w:rPr>
          <w:rFonts w:cs="Arial"/>
          <w:szCs w:val="20"/>
        </w:rPr>
        <w:t xml:space="preserve"> figure</w:t>
      </w:r>
      <w:r w:rsidRPr="001932A4">
        <w:rPr>
          <w:rFonts w:cs="Arial"/>
          <w:szCs w:val="20"/>
        </w:rPr>
        <w:t>.</w:t>
      </w:r>
      <w:r w:rsidR="002C1D5D" w:rsidRPr="001932A4">
        <w:rPr>
          <w:rFonts w:cs="Arial"/>
          <w:szCs w:val="20"/>
        </w:rPr>
        <w:t xml:space="preserve"> In summary it applies </w:t>
      </w:r>
      <w:r w:rsidR="008E164A" w:rsidRPr="001932A4">
        <w:rPr>
          <w:rFonts w:cs="Arial"/>
          <w:szCs w:val="20"/>
        </w:rPr>
        <w:t xml:space="preserve">in relation </w:t>
      </w:r>
      <w:r w:rsidR="002C1D5D" w:rsidRPr="001932A4">
        <w:rPr>
          <w:rFonts w:cs="Arial"/>
          <w:szCs w:val="20"/>
        </w:rPr>
        <w:t xml:space="preserve">to credit fees and charges payable to some introducers under a flexible credit cost arrangement and requires the regulated person to specify a maximum amount that can be charged (or, should the regulated person not </w:t>
      </w:r>
      <w:r w:rsidR="00782F9A" w:rsidRPr="00FF51D7">
        <w:rPr>
          <w:rFonts w:cs="Arial"/>
          <w:szCs w:val="20"/>
        </w:rPr>
        <w:t xml:space="preserve">nominate a </w:t>
      </w:r>
      <w:r w:rsidR="002C1D5D" w:rsidRPr="001932A4">
        <w:rPr>
          <w:rFonts w:cs="Arial"/>
          <w:szCs w:val="20"/>
        </w:rPr>
        <w:t>specif</w:t>
      </w:r>
      <w:r w:rsidR="00782F9A" w:rsidRPr="00FF51D7">
        <w:rPr>
          <w:rFonts w:cs="Arial"/>
          <w:szCs w:val="20"/>
        </w:rPr>
        <w:t xml:space="preserve">ied </w:t>
      </w:r>
      <w:r w:rsidR="002C1D5D" w:rsidRPr="001932A4">
        <w:rPr>
          <w:rFonts w:cs="Arial"/>
          <w:szCs w:val="20"/>
        </w:rPr>
        <w:t>amount</w:t>
      </w:r>
      <w:r w:rsidR="00782F9A" w:rsidRPr="00FF51D7">
        <w:rPr>
          <w:rFonts w:cs="Arial"/>
          <w:szCs w:val="20"/>
        </w:rPr>
        <w:t>,</w:t>
      </w:r>
      <w:r w:rsidR="002C1D5D" w:rsidRPr="001932A4">
        <w:rPr>
          <w:rFonts w:cs="Arial"/>
          <w:szCs w:val="20"/>
        </w:rPr>
        <w:t xml:space="preserve"> the </w:t>
      </w:r>
      <w:r w:rsidR="00296D45" w:rsidRPr="001932A4">
        <w:rPr>
          <w:rFonts w:cs="Arial"/>
          <w:szCs w:val="20"/>
        </w:rPr>
        <w:t xml:space="preserve">specified </w:t>
      </w:r>
      <w:r w:rsidR="00782F9A" w:rsidRPr="00FF51D7">
        <w:rPr>
          <w:rFonts w:cs="Arial"/>
          <w:szCs w:val="20"/>
        </w:rPr>
        <w:t xml:space="preserve">maximum </w:t>
      </w:r>
      <w:r w:rsidR="00296D45" w:rsidRPr="001932A4">
        <w:rPr>
          <w:rFonts w:cs="Arial"/>
          <w:szCs w:val="20"/>
        </w:rPr>
        <w:t>is taken to be $0</w:t>
      </w:r>
      <w:r w:rsidR="00906AF0" w:rsidRPr="001932A4">
        <w:rPr>
          <w:rFonts w:cs="Arial"/>
          <w:szCs w:val="20"/>
        </w:rPr>
        <w:t>)</w:t>
      </w:r>
      <w:r w:rsidR="002C1D5D" w:rsidRPr="001932A4">
        <w:rPr>
          <w:rFonts w:cs="Arial"/>
          <w:szCs w:val="20"/>
        </w:rPr>
        <w:t>.</w:t>
      </w:r>
      <w:r w:rsidR="00D87283" w:rsidRPr="001932A4">
        <w:rPr>
          <w:rFonts w:cs="Arial"/>
          <w:szCs w:val="20"/>
        </w:rPr>
        <w:t xml:space="preserve"> </w:t>
      </w:r>
    </w:p>
    <w:p w14:paraId="3DDE9B77" w14:textId="227703C3" w:rsidR="00A727D9" w:rsidRDefault="005F402B" w:rsidP="00A727D9">
      <w:pPr>
        <w:spacing w:after="240"/>
        <w:rPr>
          <w:rFonts w:cs="Arial"/>
          <w:szCs w:val="20"/>
        </w:rPr>
      </w:pPr>
      <w:r>
        <w:rPr>
          <w:rFonts w:cs="Arial"/>
          <w:szCs w:val="20"/>
        </w:rPr>
        <w:t xml:space="preserve">The </w:t>
      </w:r>
      <w:r w:rsidR="00AB0F9E">
        <w:rPr>
          <w:rFonts w:cs="Arial"/>
          <w:szCs w:val="20"/>
        </w:rPr>
        <w:t xml:space="preserve">prohibition applies </w:t>
      </w:r>
      <w:r w:rsidR="00323278">
        <w:rPr>
          <w:rFonts w:cs="Arial"/>
          <w:szCs w:val="20"/>
        </w:rPr>
        <w:t xml:space="preserve">in relation </w:t>
      </w:r>
      <w:r w:rsidR="00AB0F9E">
        <w:rPr>
          <w:rFonts w:cs="Arial"/>
          <w:szCs w:val="20"/>
        </w:rPr>
        <w:t xml:space="preserve">to </w:t>
      </w:r>
      <w:r>
        <w:rPr>
          <w:rFonts w:cs="Arial"/>
          <w:szCs w:val="20"/>
        </w:rPr>
        <w:t>'</w:t>
      </w:r>
      <w:r w:rsidR="00AB0F9E">
        <w:rPr>
          <w:rFonts w:cs="Arial"/>
          <w:szCs w:val="20"/>
        </w:rPr>
        <w:t xml:space="preserve">credit </w:t>
      </w:r>
      <w:r w:rsidRPr="00620D87">
        <w:rPr>
          <w:rFonts w:cs="Arial"/>
          <w:szCs w:val="20"/>
        </w:rPr>
        <w:t>fees and charges</w:t>
      </w:r>
      <w:r>
        <w:rPr>
          <w:rFonts w:cs="Arial"/>
          <w:szCs w:val="20"/>
        </w:rPr>
        <w:t xml:space="preserve">' </w:t>
      </w:r>
      <w:r w:rsidR="00AB0F9E">
        <w:rPr>
          <w:rFonts w:cs="Arial"/>
          <w:szCs w:val="20"/>
        </w:rPr>
        <w:t xml:space="preserve">or 'consumer lease fees and charges' where the </w:t>
      </w:r>
      <w:r w:rsidR="00A727D9">
        <w:rPr>
          <w:rFonts w:cs="Arial"/>
          <w:szCs w:val="20"/>
        </w:rPr>
        <w:t>fee</w:t>
      </w:r>
      <w:r w:rsidR="00296D45">
        <w:rPr>
          <w:rFonts w:cs="Arial"/>
          <w:szCs w:val="20"/>
        </w:rPr>
        <w:t>s and charges</w:t>
      </w:r>
      <w:r w:rsidR="00A727D9">
        <w:rPr>
          <w:rFonts w:cs="Arial"/>
          <w:szCs w:val="20"/>
        </w:rPr>
        <w:t xml:space="preserve"> </w:t>
      </w:r>
      <w:r w:rsidR="00296D45">
        <w:rPr>
          <w:rFonts w:cs="Arial"/>
          <w:szCs w:val="20"/>
        </w:rPr>
        <w:t>are</w:t>
      </w:r>
      <w:r w:rsidR="00A727D9">
        <w:rPr>
          <w:rFonts w:cs="Arial"/>
          <w:szCs w:val="20"/>
        </w:rPr>
        <w:t xml:space="preserve"> payable</w:t>
      </w:r>
      <w:r w:rsidR="00296D45">
        <w:rPr>
          <w:rFonts w:cs="Arial"/>
          <w:szCs w:val="20"/>
        </w:rPr>
        <w:t xml:space="preserve"> to the introducer or an associated person</w:t>
      </w:r>
      <w:r w:rsidR="00782F9A">
        <w:rPr>
          <w:rFonts w:cs="Arial"/>
          <w:szCs w:val="20"/>
        </w:rPr>
        <w:t xml:space="preserve"> who </w:t>
      </w:r>
      <w:r w:rsidR="00A727D9">
        <w:rPr>
          <w:rFonts w:cs="Arial"/>
          <w:szCs w:val="20"/>
        </w:rPr>
        <w:t>is either:</w:t>
      </w:r>
    </w:p>
    <w:p w14:paraId="1FFEF993" w14:textId="77777777" w:rsidR="00A727D9" w:rsidRPr="005E278C" w:rsidRDefault="00A727D9" w:rsidP="00AB0F9E">
      <w:pPr>
        <w:pStyle w:val="ListParagraph"/>
        <w:numPr>
          <w:ilvl w:val="0"/>
          <w:numId w:val="21"/>
        </w:numPr>
        <w:spacing w:after="240"/>
        <w:rPr>
          <w:rFonts w:cs="Arial"/>
          <w:szCs w:val="20"/>
        </w:rPr>
      </w:pPr>
      <w:r w:rsidRPr="005E278C">
        <w:rPr>
          <w:rFonts w:cs="Arial"/>
          <w:szCs w:val="20"/>
        </w:rPr>
        <w:t>providing credit services as a representative  of the credit provider for the credit contract; or</w:t>
      </w:r>
    </w:p>
    <w:p w14:paraId="13B951F9" w14:textId="77777777" w:rsidR="00A727D9" w:rsidRDefault="00A727D9" w:rsidP="00AB0F9E">
      <w:pPr>
        <w:pStyle w:val="ListParagraph"/>
        <w:numPr>
          <w:ilvl w:val="0"/>
          <w:numId w:val="21"/>
        </w:numPr>
        <w:spacing w:after="240"/>
        <w:rPr>
          <w:rFonts w:cs="Arial"/>
          <w:szCs w:val="20"/>
        </w:rPr>
      </w:pPr>
      <w:proofErr w:type="gramStart"/>
      <w:r w:rsidRPr="005E278C">
        <w:rPr>
          <w:rFonts w:cs="Arial"/>
          <w:szCs w:val="20"/>
        </w:rPr>
        <w:t>a</w:t>
      </w:r>
      <w:proofErr w:type="gramEnd"/>
      <w:r w:rsidRPr="005E278C">
        <w:rPr>
          <w:rFonts w:cs="Arial"/>
          <w:szCs w:val="20"/>
        </w:rPr>
        <w:t xml:space="preserve"> linked supplier of the credit provider</w:t>
      </w:r>
      <w:r>
        <w:rPr>
          <w:rFonts w:cs="Arial"/>
          <w:szCs w:val="20"/>
        </w:rPr>
        <w:t>.</w:t>
      </w:r>
    </w:p>
    <w:p w14:paraId="17620FEF" w14:textId="77777777" w:rsidR="002C1D5D" w:rsidRDefault="00644501" w:rsidP="00A02E39">
      <w:pPr>
        <w:spacing w:after="240"/>
      </w:pPr>
      <w:r w:rsidRPr="00B9737F">
        <w:t xml:space="preserve">The </w:t>
      </w:r>
      <w:r w:rsidR="00A02E39" w:rsidRPr="00B9737F">
        <w:t>int</w:t>
      </w:r>
      <w:r w:rsidRPr="00B9737F">
        <w:t>e</w:t>
      </w:r>
      <w:r w:rsidR="00A02E39" w:rsidRPr="00B9737F">
        <w:t xml:space="preserve">nded scope </w:t>
      </w:r>
      <w:r w:rsidRPr="00B9737F">
        <w:t xml:space="preserve">of the definition is </w:t>
      </w:r>
      <w:r w:rsidR="00A02E39" w:rsidRPr="00B9737F">
        <w:t xml:space="preserve">illustrated by </w:t>
      </w:r>
      <w:r w:rsidRPr="00B9737F">
        <w:t xml:space="preserve">the </w:t>
      </w:r>
      <w:r w:rsidR="00A02E39" w:rsidRPr="00B9737F">
        <w:t>following examples</w:t>
      </w:r>
      <w:r w:rsidR="002C1D5D">
        <w:t>:</w:t>
      </w:r>
    </w:p>
    <w:p w14:paraId="2BB05B47" w14:textId="02998B4B" w:rsidR="007C64B1" w:rsidRPr="00B9737F" w:rsidRDefault="002C1D5D" w:rsidP="00AB0F9E">
      <w:pPr>
        <w:pStyle w:val="ListParagraph"/>
        <w:numPr>
          <w:ilvl w:val="0"/>
          <w:numId w:val="9"/>
        </w:numPr>
        <w:spacing w:after="240"/>
        <w:rPr>
          <w:rFonts w:cs="Arial"/>
          <w:szCs w:val="20"/>
        </w:rPr>
      </w:pPr>
      <w:r>
        <w:t>A</w:t>
      </w:r>
      <w:r w:rsidR="00644501" w:rsidRPr="00B9737F">
        <w:t xml:space="preserve"> car dealer is operating under </w:t>
      </w:r>
      <w:r w:rsidR="007C64B1" w:rsidRPr="00B9737F">
        <w:t xml:space="preserve">the 'point of sale' exemption in </w:t>
      </w:r>
      <w:r>
        <w:t>National Credit R</w:t>
      </w:r>
      <w:r w:rsidR="00644501" w:rsidRPr="00B9737F">
        <w:t>egulation 23</w:t>
      </w:r>
      <w:r w:rsidR="0046251C" w:rsidRPr="00B9737F">
        <w:t xml:space="preserve"> </w:t>
      </w:r>
      <w:r w:rsidR="0046251C" w:rsidRPr="00B9737F">
        <w:rPr>
          <w:rFonts w:cs="Arial"/>
          <w:szCs w:val="20"/>
        </w:rPr>
        <w:t xml:space="preserve">— </w:t>
      </w:r>
      <w:r w:rsidR="00644501" w:rsidRPr="00B9737F">
        <w:rPr>
          <w:rFonts w:cs="Arial"/>
          <w:szCs w:val="20"/>
        </w:rPr>
        <w:t xml:space="preserve">the </w:t>
      </w:r>
      <w:r w:rsidR="005F402B" w:rsidRPr="00B9737F">
        <w:rPr>
          <w:rFonts w:cs="Arial"/>
          <w:szCs w:val="20"/>
        </w:rPr>
        <w:t xml:space="preserve">restriction </w:t>
      </w:r>
      <w:r w:rsidR="00644501" w:rsidRPr="00B9737F">
        <w:rPr>
          <w:rFonts w:cs="Arial"/>
          <w:szCs w:val="20"/>
        </w:rPr>
        <w:t xml:space="preserve">applies </w:t>
      </w:r>
      <w:r w:rsidR="00296D45">
        <w:rPr>
          <w:rFonts w:cs="Arial"/>
          <w:szCs w:val="20"/>
        </w:rPr>
        <w:t xml:space="preserve">in relation </w:t>
      </w:r>
      <w:r w:rsidR="007C64B1" w:rsidRPr="00B9737F">
        <w:rPr>
          <w:rFonts w:cs="Arial"/>
          <w:szCs w:val="20"/>
        </w:rPr>
        <w:t>to</w:t>
      </w:r>
      <w:r>
        <w:rPr>
          <w:rFonts w:cs="Arial"/>
          <w:szCs w:val="20"/>
        </w:rPr>
        <w:t xml:space="preserve"> credit</w:t>
      </w:r>
      <w:r w:rsidR="007C64B1" w:rsidRPr="00B9737F">
        <w:rPr>
          <w:rFonts w:cs="Arial"/>
          <w:szCs w:val="20"/>
        </w:rPr>
        <w:t xml:space="preserve"> </w:t>
      </w:r>
      <w:r w:rsidR="00B16109" w:rsidRPr="00B9737F">
        <w:rPr>
          <w:rFonts w:cs="Arial"/>
          <w:szCs w:val="20"/>
        </w:rPr>
        <w:t xml:space="preserve">fees and charges </w:t>
      </w:r>
      <w:r w:rsidR="00CC1014" w:rsidRPr="00B9737F">
        <w:rPr>
          <w:rFonts w:cs="Arial"/>
          <w:szCs w:val="20"/>
        </w:rPr>
        <w:t xml:space="preserve">payable to </w:t>
      </w:r>
      <w:r w:rsidR="00B16109" w:rsidRPr="00B9737F">
        <w:rPr>
          <w:rFonts w:cs="Arial"/>
          <w:szCs w:val="20"/>
        </w:rPr>
        <w:t xml:space="preserve">the car dealer </w:t>
      </w:r>
      <w:r w:rsidR="00CC1014" w:rsidRPr="00B9737F">
        <w:rPr>
          <w:rFonts w:cs="Arial"/>
          <w:szCs w:val="20"/>
        </w:rPr>
        <w:t xml:space="preserve">where </w:t>
      </w:r>
      <w:r w:rsidR="007C64B1" w:rsidRPr="00B9737F">
        <w:rPr>
          <w:rFonts w:cs="Arial"/>
          <w:szCs w:val="20"/>
        </w:rPr>
        <w:t>either:</w:t>
      </w:r>
    </w:p>
    <w:p w14:paraId="526C70D8" w14:textId="0B1EC61E" w:rsidR="007C64B1" w:rsidRPr="00B9737F" w:rsidRDefault="00CC1014" w:rsidP="00AB0F9E">
      <w:pPr>
        <w:pStyle w:val="ListParagraph"/>
        <w:numPr>
          <w:ilvl w:val="1"/>
          <w:numId w:val="9"/>
        </w:numPr>
        <w:spacing w:after="240"/>
        <w:rPr>
          <w:rFonts w:cs="Arial"/>
          <w:szCs w:val="20"/>
        </w:rPr>
      </w:pPr>
      <w:r w:rsidRPr="00B9737F">
        <w:rPr>
          <w:rFonts w:cs="Arial"/>
          <w:szCs w:val="20"/>
        </w:rPr>
        <w:t>they are</w:t>
      </w:r>
      <w:r w:rsidR="00644501" w:rsidRPr="00B9737F">
        <w:rPr>
          <w:rFonts w:cs="Arial"/>
          <w:szCs w:val="20"/>
        </w:rPr>
        <w:t xml:space="preserve"> engaging in credit services as a representative of </w:t>
      </w:r>
      <w:r w:rsidR="00A84014" w:rsidRPr="00B9737F">
        <w:rPr>
          <w:rFonts w:cs="Arial"/>
          <w:szCs w:val="20"/>
        </w:rPr>
        <w:t>the</w:t>
      </w:r>
      <w:r w:rsidR="00644501" w:rsidRPr="00B9737F">
        <w:rPr>
          <w:rFonts w:cs="Arial"/>
          <w:szCs w:val="20"/>
        </w:rPr>
        <w:t xml:space="preserve"> regulated person</w:t>
      </w:r>
      <w:r w:rsidR="002C1D5D">
        <w:rPr>
          <w:rFonts w:cs="Arial"/>
          <w:szCs w:val="20"/>
        </w:rPr>
        <w:t xml:space="preserve"> (as will usually be the case given the terms of the exemption)</w:t>
      </w:r>
      <w:r w:rsidR="0046251C" w:rsidRPr="00B9737F">
        <w:rPr>
          <w:rFonts w:cs="Arial"/>
          <w:szCs w:val="20"/>
        </w:rPr>
        <w:t>;</w:t>
      </w:r>
      <w:r w:rsidR="00E24B30" w:rsidRPr="00B9737F">
        <w:rPr>
          <w:rFonts w:cs="Arial"/>
          <w:szCs w:val="20"/>
        </w:rPr>
        <w:t xml:space="preserve"> or </w:t>
      </w:r>
    </w:p>
    <w:p w14:paraId="409C5D44" w14:textId="46FF2A82" w:rsidR="00644501" w:rsidRPr="00B9737F" w:rsidRDefault="007C64B1" w:rsidP="00AB0F9E">
      <w:pPr>
        <w:pStyle w:val="ListParagraph"/>
        <w:numPr>
          <w:ilvl w:val="1"/>
          <w:numId w:val="9"/>
        </w:numPr>
        <w:spacing w:after="240"/>
        <w:rPr>
          <w:rFonts w:cs="Arial"/>
          <w:szCs w:val="20"/>
        </w:rPr>
      </w:pPr>
      <w:proofErr w:type="gramStart"/>
      <w:r w:rsidRPr="00B9737F">
        <w:rPr>
          <w:rFonts w:cs="Arial"/>
          <w:szCs w:val="20"/>
        </w:rPr>
        <w:t>they</w:t>
      </w:r>
      <w:proofErr w:type="gramEnd"/>
      <w:r w:rsidRPr="00B9737F">
        <w:rPr>
          <w:rFonts w:cs="Arial"/>
          <w:szCs w:val="20"/>
        </w:rPr>
        <w:t xml:space="preserve"> </w:t>
      </w:r>
      <w:r w:rsidR="00B16109" w:rsidRPr="00B9737F">
        <w:rPr>
          <w:rFonts w:cs="Arial"/>
          <w:szCs w:val="20"/>
        </w:rPr>
        <w:t>are</w:t>
      </w:r>
      <w:r w:rsidR="00E24B30" w:rsidRPr="00B9737F">
        <w:rPr>
          <w:rFonts w:cs="Arial"/>
          <w:szCs w:val="20"/>
        </w:rPr>
        <w:t xml:space="preserve"> </w:t>
      </w:r>
      <w:r w:rsidR="00B16109" w:rsidRPr="00B9737F">
        <w:rPr>
          <w:rFonts w:cs="Arial"/>
          <w:szCs w:val="20"/>
        </w:rPr>
        <w:t xml:space="preserve">supplying </w:t>
      </w:r>
      <w:r w:rsidRPr="00B9737F">
        <w:rPr>
          <w:rFonts w:cs="Arial"/>
          <w:szCs w:val="20"/>
        </w:rPr>
        <w:t xml:space="preserve">vehicles financed through </w:t>
      </w:r>
      <w:r w:rsidR="00B16109" w:rsidRPr="00B9737F">
        <w:rPr>
          <w:rFonts w:cs="Arial"/>
          <w:szCs w:val="20"/>
        </w:rPr>
        <w:t>credit contracts where the credit provider is a linked credit provider</w:t>
      </w:r>
      <w:r w:rsidR="00644501" w:rsidRPr="00B9737F">
        <w:rPr>
          <w:rFonts w:cs="Arial"/>
          <w:szCs w:val="20"/>
        </w:rPr>
        <w:t>.</w:t>
      </w:r>
    </w:p>
    <w:p w14:paraId="5C1E88CB" w14:textId="7AB9BF9E" w:rsidR="00644501" w:rsidRPr="00B9737F" w:rsidRDefault="00644501" w:rsidP="00AB0F9E">
      <w:pPr>
        <w:pStyle w:val="ListParagraph"/>
        <w:numPr>
          <w:ilvl w:val="0"/>
          <w:numId w:val="9"/>
        </w:numPr>
        <w:spacing w:after="240"/>
        <w:rPr>
          <w:rFonts w:cs="Arial"/>
          <w:szCs w:val="20"/>
        </w:rPr>
      </w:pPr>
      <w:r w:rsidRPr="00B9737F">
        <w:t xml:space="preserve"> A car dealer holds an</w:t>
      </w:r>
      <w:r w:rsidR="00A84014" w:rsidRPr="00B9737F">
        <w:t xml:space="preserve"> ACL</w:t>
      </w:r>
      <w:r w:rsidR="0046251C" w:rsidRPr="00B9737F">
        <w:t xml:space="preserve"> </w:t>
      </w:r>
      <w:r w:rsidR="0046251C" w:rsidRPr="00B9737F">
        <w:rPr>
          <w:rFonts w:cs="Arial"/>
          <w:szCs w:val="20"/>
        </w:rPr>
        <w:t xml:space="preserve">— </w:t>
      </w:r>
      <w:r w:rsidRPr="00B9737F">
        <w:rPr>
          <w:rFonts w:cs="Arial"/>
          <w:szCs w:val="20"/>
        </w:rPr>
        <w:t xml:space="preserve">the </w:t>
      </w:r>
      <w:r w:rsidR="005F402B" w:rsidRPr="00B9737F">
        <w:rPr>
          <w:rFonts w:cs="Arial"/>
          <w:szCs w:val="20"/>
        </w:rPr>
        <w:t xml:space="preserve">restriction </w:t>
      </w:r>
      <w:r w:rsidRPr="00B9737F">
        <w:rPr>
          <w:rFonts w:cs="Arial"/>
          <w:szCs w:val="20"/>
        </w:rPr>
        <w:t xml:space="preserve">will only apply in relation to </w:t>
      </w:r>
      <w:r w:rsidR="002C1D5D">
        <w:rPr>
          <w:rFonts w:cs="Arial"/>
          <w:szCs w:val="20"/>
        </w:rPr>
        <w:t xml:space="preserve">credit </w:t>
      </w:r>
      <w:r w:rsidR="00B16109" w:rsidRPr="00B9737F">
        <w:rPr>
          <w:rFonts w:cs="Arial"/>
          <w:szCs w:val="20"/>
        </w:rPr>
        <w:t xml:space="preserve">fees or charges if </w:t>
      </w:r>
      <w:r w:rsidRPr="00B9737F">
        <w:rPr>
          <w:rFonts w:cs="Arial"/>
          <w:szCs w:val="20"/>
        </w:rPr>
        <w:t>the credit provider is a linked credit provider</w:t>
      </w:r>
      <w:r w:rsidR="007C64B1" w:rsidRPr="00B9737F">
        <w:rPr>
          <w:rFonts w:cs="Arial"/>
          <w:szCs w:val="20"/>
        </w:rPr>
        <w:t xml:space="preserve"> in respect of the vehicle financed under the credit contract</w:t>
      </w:r>
      <w:r w:rsidR="003F3957">
        <w:rPr>
          <w:rFonts w:cs="Arial"/>
          <w:szCs w:val="20"/>
        </w:rPr>
        <w:t xml:space="preserve"> (as is typically the case in these arrangements)</w:t>
      </w:r>
      <w:r w:rsidRPr="00B9737F">
        <w:rPr>
          <w:rFonts w:cs="Arial"/>
          <w:szCs w:val="20"/>
        </w:rPr>
        <w:t>.</w:t>
      </w:r>
    </w:p>
    <w:p w14:paraId="09A07E6F" w14:textId="6C7AE0E3" w:rsidR="00644501" w:rsidRPr="00B9737F" w:rsidRDefault="00644501" w:rsidP="00AB0F9E">
      <w:pPr>
        <w:pStyle w:val="ListParagraph"/>
        <w:numPr>
          <w:ilvl w:val="0"/>
          <w:numId w:val="9"/>
        </w:numPr>
        <w:spacing w:after="240"/>
        <w:rPr>
          <w:rFonts w:cs="Arial"/>
          <w:szCs w:val="20"/>
        </w:rPr>
      </w:pPr>
      <w:r w:rsidRPr="00B9737F">
        <w:t>A fee is charged by a finance broker who holds an</w:t>
      </w:r>
      <w:r w:rsidR="00A84014" w:rsidRPr="00B9737F">
        <w:t xml:space="preserve"> ACL</w:t>
      </w:r>
      <w:r w:rsidR="0046251C" w:rsidRPr="00B9737F">
        <w:t xml:space="preserve"> </w:t>
      </w:r>
      <w:r w:rsidR="0046251C" w:rsidRPr="00B9737F">
        <w:rPr>
          <w:rFonts w:cs="Arial"/>
          <w:szCs w:val="20"/>
        </w:rPr>
        <w:t xml:space="preserve">— </w:t>
      </w:r>
      <w:r w:rsidRPr="00B9737F">
        <w:rPr>
          <w:rFonts w:cs="Arial"/>
          <w:szCs w:val="20"/>
        </w:rPr>
        <w:t xml:space="preserve">the </w:t>
      </w:r>
      <w:r w:rsidR="005F402B" w:rsidRPr="00B9737F">
        <w:rPr>
          <w:rFonts w:cs="Arial"/>
          <w:szCs w:val="20"/>
        </w:rPr>
        <w:t xml:space="preserve">restriction </w:t>
      </w:r>
      <w:r w:rsidRPr="00B9737F">
        <w:rPr>
          <w:rFonts w:cs="Arial"/>
          <w:szCs w:val="20"/>
        </w:rPr>
        <w:t xml:space="preserve">will not apply </w:t>
      </w:r>
      <w:r w:rsidR="00906318">
        <w:rPr>
          <w:rFonts w:cs="Arial"/>
          <w:szCs w:val="20"/>
        </w:rPr>
        <w:t xml:space="preserve">in relation </w:t>
      </w:r>
      <w:r w:rsidRPr="00B9737F">
        <w:rPr>
          <w:rFonts w:cs="Arial"/>
          <w:szCs w:val="20"/>
        </w:rPr>
        <w:t xml:space="preserve">to </w:t>
      </w:r>
      <w:r w:rsidR="002C1D5D">
        <w:rPr>
          <w:rFonts w:cs="Arial"/>
          <w:szCs w:val="20"/>
        </w:rPr>
        <w:t xml:space="preserve">them, </w:t>
      </w:r>
      <w:r w:rsidRPr="00B9737F">
        <w:rPr>
          <w:rFonts w:cs="Arial"/>
          <w:szCs w:val="20"/>
        </w:rPr>
        <w:t>as they are not supplying goods or services in relation to credit contracts where the credit provider is a linked credit provider.</w:t>
      </w:r>
    </w:p>
    <w:p w14:paraId="38CC7C04" w14:textId="5AEE279B" w:rsidR="004C7DAA" w:rsidRDefault="008C0A88" w:rsidP="000F71D6">
      <w:pPr>
        <w:spacing w:after="240"/>
      </w:pPr>
      <w:r>
        <w:rPr>
          <w:rFonts w:cs="Arial"/>
          <w:szCs w:val="20"/>
        </w:rPr>
        <w:t>Sub</w:t>
      </w:r>
      <w:r w:rsidR="00177837">
        <w:rPr>
          <w:rFonts w:cs="Arial"/>
          <w:szCs w:val="20"/>
        </w:rPr>
        <w:t xml:space="preserve">section </w:t>
      </w:r>
      <w:r>
        <w:rPr>
          <w:rFonts w:cs="Arial"/>
          <w:szCs w:val="20"/>
        </w:rPr>
        <w:t>53</w:t>
      </w:r>
      <w:r w:rsidR="00733BB6">
        <w:rPr>
          <w:rFonts w:cs="Arial"/>
          <w:szCs w:val="20"/>
        </w:rPr>
        <w:t>B</w:t>
      </w:r>
      <w:r>
        <w:rPr>
          <w:rFonts w:cs="Arial"/>
          <w:szCs w:val="20"/>
        </w:rPr>
        <w:t xml:space="preserve"> restrict</w:t>
      </w:r>
      <w:r w:rsidR="002C1D5D">
        <w:rPr>
          <w:rFonts w:cs="Arial"/>
          <w:szCs w:val="20"/>
        </w:rPr>
        <w:t xml:space="preserve">s </w:t>
      </w:r>
      <w:r w:rsidR="004C7DAA">
        <w:t>the amount of any relevant credit fees and charges</w:t>
      </w:r>
      <w:r w:rsidR="002C1D5D">
        <w:t xml:space="preserve"> as it</w:t>
      </w:r>
      <w:r w:rsidR="00296D45">
        <w:t xml:space="preserve">s effect is </w:t>
      </w:r>
      <w:r w:rsidR="004C7DAA">
        <w:t>that:</w:t>
      </w:r>
    </w:p>
    <w:p w14:paraId="1BD93A55" w14:textId="2716C01B" w:rsidR="004C7DAA" w:rsidRPr="004C7DAA" w:rsidRDefault="004C7DAA" w:rsidP="00AB0F9E">
      <w:pPr>
        <w:pStyle w:val="ListParagraph"/>
        <w:numPr>
          <w:ilvl w:val="0"/>
          <w:numId w:val="11"/>
        </w:numPr>
        <w:spacing w:after="240"/>
        <w:rPr>
          <w:rFonts w:cs="Arial"/>
          <w:szCs w:val="20"/>
        </w:rPr>
      </w:pPr>
      <w:r>
        <w:t xml:space="preserve">a regulated person </w:t>
      </w:r>
      <w:r w:rsidR="002C1D5D">
        <w:t xml:space="preserve">may </w:t>
      </w:r>
      <w:r>
        <w:t>specify a maximum amount that can be charged</w:t>
      </w:r>
      <w:r w:rsidR="00B9737F">
        <w:t xml:space="preserve"> </w:t>
      </w:r>
      <w:r w:rsidR="00121F80" w:rsidRPr="00B9737F">
        <w:rPr>
          <w:rFonts w:cs="Arial"/>
          <w:szCs w:val="20"/>
        </w:rPr>
        <w:t xml:space="preserve">— </w:t>
      </w:r>
      <w:r w:rsidR="00B9737F">
        <w:t>a</w:t>
      </w:r>
      <w:r w:rsidR="002C1D5D">
        <w:t xml:space="preserve">nd that </w:t>
      </w:r>
      <w:r w:rsidR="00B9737F">
        <w:t>if no such amount is specified</w:t>
      </w:r>
      <w:r w:rsidR="00296D45">
        <w:t>, the specified amount is taken to be $0</w:t>
      </w:r>
      <w:r>
        <w:t>;</w:t>
      </w:r>
    </w:p>
    <w:p w14:paraId="743959E9" w14:textId="2CA1DCF9" w:rsidR="003E57BA" w:rsidRPr="004C7DAA" w:rsidRDefault="00296D45" w:rsidP="00AB0F9E">
      <w:pPr>
        <w:pStyle w:val="ListParagraph"/>
        <w:numPr>
          <w:ilvl w:val="0"/>
          <w:numId w:val="11"/>
        </w:numPr>
        <w:spacing w:after="240"/>
        <w:rPr>
          <w:rFonts w:cs="Arial"/>
          <w:szCs w:val="20"/>
        </w:rPr>
      </w:pPr>
      <w:r>
        <w:t xml:space="preserve">if the relevant credit fees and charges exceed the specified amount, no benefit can be provided by the regulated person to the </w:t>
      </w:r>
      <w:r w:rsidR="004C7DAA">
        <w:t>introducer or an associated person; and</w:t>
      </w:r>
    </w:p>
    <w:p w14:paraId="06EB9155" w14:textId="58A7062F" w:rsidR="004C7DAA" w:rsidRPr="004C7DAA" w:rsidRDefault="004C7DAA" w:rsidP="00AB0F9E">
      <w:pPr>
        <w:pStyle w:val="ListParagraph"/>
        <w:numPr>
          <w:ilvl w:val="0"/>
          <w:numId w:val="11"/>
        </w:numPr>
        <w:spacing w:after="240"/>
        <w:rPr>
          <w:rFonts w:cs="Arial"/>
          <w:szCs w:val="20"/>
        </w:rPr>
      </w:pPr>
      <w:proofErr w:type="gramStart"/>
      <w:r>
        <w:t>the</w:t>
      </w:r>
      <w:proofErr w:type="gramEnd"/>
      <w:r>
        <w:t xml:space="preserve"> introducer or an associated person can determine, propose or influence the charging of a lower amount for </w:t>
      </w:r>
      <w:r w:rsidR="00906AF0">
        <w:t xml:space="preserve">the </w:t>
      </w:r>
      <w:r w:rsidR="00906318">
        <w:t xml:space="preserve">credit </w:t>
      </w:r>
      <w:r>
        <w:t>fees and charges (including a reduction to zero dollars).</w:t>
      </w:r>
    </w:p>
    <w:p w14:paraId="4BC4B332" w14:textId="012A5DC3" w:rsidR="00805622" w:rsidRDefault="001A5E07" w:rsidP="00A02E39">
      <w:pPr>
        <w:pStyle w:val="Default"/>
        <w:spacing w:after="240"/>
        <w:ind w:left="49"/>
        <w:rPr>
          <w:rFonts w:ascii="Arial" w:hAnsi="Arial" w:cs="Arial"/>
          <w:sz w:val="20"/>
          <w:szCs w:val="20"/>
        </w:rPr>
      </w:pPr>
      <w:r w:rsidRPr="00395962">
        <w:rPr>
          <w:rFonts w:ascii="Arial" w:hAnsi="Arial" w:cs="Arial"/>
          <w:sz w:val="20"/>
          <w:szCs w:val="20"/>
        </w:rPr>
        <w:t>Modified section 53</w:t>
      </w:r>
      <w:r w:rsidR="00733BB6">
        <w:rPr>
          <w:rFonts w:ascii="Arial" w:hAnsi="Arial" w:cs="Arial"/>
          <w:sz w:val="20"/>
          <w:szCs w:val="20"/>
        </w:rPr>
        <w:t>B</w:t>
      </w:r>
      <w:r w:rsidRPr="00395962">
        <w:rPr>
          <w:rFonts w:ascii="Arial" w:hAnsi="Arial" w:cs="Arial"/>
          <w:sz w:val="20"/>
          <w:szCs w:val="20"/>
        </w:rPr>
        <w:t xml:space="preserve"> does not prescribe any maximum figure or cap on the amount of any specified fees or charges</w:t>
      </w:r>
      <w:r w:rsidR="00177837" w:rsidRPr="00395962">
        <w:rPr>
          <w:rFonts w:ascii="Arial" w:hAnsi="Arial" w:cs="Arial"/>
          <w:sz w:val="20"/>
          <w:szCs w:val="20"/>
        </w:rPr>
        <w:t xml:space="preserve">, and gives </w:t>
      </w:r>
      <w:r w:rsidRPr="00395962">
        <w:rPr>
          <w:rFonts w:ascii="Arial" w:hAnsi="Arial" w:cs="Arial"/>
          <w:sz w:val="20"/>
          <w:szCs w:val="20"/>
        </w:rPr>
        <w:t>the regulated person discretion to nominate this amount</w:t>
      </w:r>
      <w:r w:rsidR="00177837" w:rsidRPr="00395962">
        <w:rPr>
          <w:rFonts w:ascii="Arial" w:hAnsi="Arial" w:cs="Arial"/>
          <w:sz w:val="20"/>
          <w:szCs w:val="20"/>
        </w:rPr>
        <w:t xml:space="preserve">. </w:t>
      </w:r>
      <w:r w:rsidR="00805622">
        <w:rPr>
          <w:rFonts w:ascii="Arial" w:hAnsi="Arial" w:cs="Arial"/>
          <w:sz w:val="20"/>
          <w:szCs w:val="20"/>
        </w:rPr>
        <w:t xml:space="preserve">ASIC has chosen not to impose a cap itself but to introduce an indirect form of control by allowing regulated persons to do so. However, </w:t>
      </w:r>
      <w:r w:rsidR="00805622" w:rsidRPr="00B9737F">
        <w:rPr>
          <w:rFonts w:ascii="Arial" w:hAnsi="Arial" w:cs="Arial"/>
          <w:sz w:val="20"/>
          <w:szCs w:val="20"/>
        </w:rPr>
        <w:t xml:space="preserve">ASIC proposes to monitor the </w:t>
      </w:r>
      <w:r w:rsidR="003F3957">
        <w:rPr>
          <w:rFonts w:ascii="Arial" w:hAnsi="Arial" w:cs="Arial"/>
          <w:sz w:val="20"/>
          <w:szCs w:val="20"/>
        </w:rPr>
        <w:t xml:space="preserve">amount of these </w:t>
      </w:r>
      <w:r w:rsidR="00805622" w:rsidRPr="00B9737F">
        <w:rPr>
          <w:rFonts w:ascii="Arial" w:hAnsi="Arial" w:cs="Arial"/>
          <w:sz w:val="20"/>
          <w:szCs w:val="20"/>
        </w:rPr>
        <w:t xml:space="preserve">fees or charges following commencement of the prohibition (through its existing powers under the National Credit Act). This will enable it to </w:t>
      </w:r>
      <w:r w:rsidR="00906AF0">
        <w:rPr>
          <w:rFonts w:ascii="Arial" w:hAnsi="Arial" w:cs="Arial"/>
          <w:sz w:val="20"/>
          <w:szCs w:val="20"/>
        </w:rPr>
        <w:t xml:space="preserve">assess whether </w:t>
      </w:r>
      <w:r w:rsidR="00805622" w:rsidRPr="00B9737F">
        <w:rPr>
          <w:rFonts w:ascii="Arial" w:hAnsi="Arial" w:cs="Arial"/>
          <w:sz w:val="20"/>
          <w:szCs w:val="20"/>
        </w:rPr>
        <w:t>further modification</w:t>
      </w:r>
      <w:r w:rsidR="00906AF0">
        <w:rPr>
          <w:rFonts w:ascii="Arial" w:hAnsi="Arial" w:cs="Arial"/>
          <w:sz w:val="20"/>
          <w:szCs w:val="20"/>
        </w:rPr>
        <w:t>s</w:t>
      </w:r>
      <w:r w:rsidR="00805622" w:rsidRPr="00B9737F">
        <w:rPr>
          <w:rFonts w:ascii="Arial" w:hAnsi="Arial" w:cs="Arial"/>
          <w:sz w:val="20"/>
          <w:szCs w:val="20"/>
        </w:rPr>
        <w:t xml:space="preserve"> of the National Credit Act </w:t>
      </w:r>
      <w:r w:rsidR="00906AF0">
        <w:rPr>
          <w:rFonts w:ascii="Arial" w:hAnsi="Arial" w:cs="Arial"/>
          <w:sz w:val="20"/>
          <w:szCs w:val="20"/>
        </w:rPr>
        <w:t>may be</w:t>
      </w:r>
      <w:r w:rsidR="00A76CB6">
        <w:rPr>
          <w:rFonts w:ascii="Arial" w:hAnsi="Arial" w:cs="Arial"/>
          <w:sz w:val="20"/>
          <w:szCs w:val="20"/>
        </w:rPr>
        <w:t xml:space="preserve"> </w:t>
      </w:r>
      <w:r w:rsidR="00805622" w:rsidRPr="00B9737F">
        <w:rPr>
          <w:rFonts w:ascii="Arial" w:hAnsi="Arial" w:cs="Arial"/>
          <w:sz w:val="20"/>
          <w:szCs w:val="20"/>
        </w:rPr>
        <w:t xml:space="preserve">required to address any excessive increases in the amounts </w:t>
      </w:r>
      <w:r w:rsidR="003F3957">
        <w:rPr>
          <w:rFonts w:ascii="Arial" w:hAnsi="Arial" w:cs="Arial"/>
          <w:sz w:val="20"/>
          <w:szCs w:val="20"/>
        </w:rPr>
        <w:t>being paid by consumers.</w:t>
      </w:r>
    </w:p>
    <w:p w14:paraId="32300E66" w14:textId="48614C49" w:rsidR="001A5E07" w:rsidRPr="00395962" w:rsidRDefault="00906AF0" w:rsidP="00A02E39">
      <w:pPr>
        <w:pStyle w:val="Default"/>
        <w:spacing w:after="240"/>
        <w:ind w:left="49"/>
        <w:rPr>
          <w:rFonts w:ascii="Arial" w:hAnsi="Arial" w:cs="Arial"/>
          <w:sz w:val="20"/>
          <w:szCs w:val="20"/>
        </w:rPr>
      </w:pPr>
      <w:r>
        <w:rPr>
          <w:rFonts w:ascii="Arial" w:hAnsi="Arial" w:cs="Arial"/>
          <w:sz w:val="20"/>
          <w:szCs w:val="20"/>
        </w:rPr>
        <w:t xml:space="preserve">The instrument also </w:t>
      </w:r>
      <w:r w:rsidR="001A5E07" w:rsidRPr="00395962">
        <w:rPr>
          <w:rFonts w:ascii="Arial" w:hAnsi="Arial" w:cs="Arial"/>
          <w:sz w:val="20"/>
          <w:szCs w:val="20"/>
        </w:rPr>
        <w:t>introduce</w:t>
      </w:r>
      <w:r>
        <w:rPr>
          <w:rFonts w:ascii="Arial" w:hAnsi="Arial" w:cs="Arial"/>
          <w:sz w:val="20"/>
          <w:szCs w:val="20"/>
        </w:rPr>
        <w:t>s</w:t>
      </w:r>
      <w:r w:rsidR="001A5E07" w:rsidRPr="00395962">
        <w:rPr>
          <w:rFonts w:ascii="Arial" w:hAnsi="Arial" w:cs="Arial"/>
          <w:sz w:val="20"/>
          <w:szCs w:val="20"/>
        </w:rPr>
        <w:t xml:space="preserve"> procedural requirements in relation to th</w:t>
      </w:r>
      <w:r w:rsidR="00805622">
        <w:rPr>
          <w:rFonts w:ascii="Arial" w:hAnsi="Arial" w:cs="Arial"/>
          <w:sz w:val="20"/>
          <w:szCs w:val="20"/>
        </w:rPr>
        <w:t>e way in which a regulated person determines the maximum amount payable for credit fees and charges.</w:t>
      </w:r>
      <w:r w:rsidR="001A5E07" w:rsidRPr="00395962">
        <w:rPr>
          <w:rFonts w:ascii="Arial" w:hAnsi="Arial" w:cs="Arial"/>
          <w:sz w:val="20"/>
          <w:szCs w:val="20"/>
        </w:rPr>
        <w:t xml:space="preserve"> </w:t>
      </w:r>
    </w:p>
    <w:p w14:paraId="2F43BC9A" w14:textId="57B878B7" w:rsidR="00B9737F" w:rsidRPr="00B9737F" w:rsidRDefault="001A5E07" w:rsidP="001A5E07">
      <w:pPr>
        <w:pStyle w:val="Default"/>
        <w:spacing w:after="240"/>
        <w:ind w:left="49"/>
        <w:rPr>
          <w:rFonts w:ascii="Arial" w:hAnsi="Arial" w:cs="Arial"/>
          <w:sz w:val="20"/>
          <w:szCs w:val="20"/>
        </w:rPr>
      </w:pPr>
      <w:r w:rsidRPr="00B9737F">
        <w:rPr>
          <w:rFonts w:ascii="Arial" w:hAnsi="Arial" w:cs="Arial"/>
          <w:sz w:val="20"/>
          <w:szCs w:val="20"/>
        </w:rPr>
        <w:t>First,</w:t>
      </w:r>
      <w:r w:rsidR="002748EA" w:rsidRPr="00B9737F">
        <w:rPr>
          <w:rFonts w:ascii="Arial" w:hAnsi="Arial" w:cs="Arial"/>
          <w:sz w:val="20"/>
          <w:szCs w:val="20"/>
        </w:rPr>
        <w:t xml:space="preserve"> paragraph 53</w:t>
      </w:r>
      <w:r w:rsidR="00733BB6" w:rsidRPr="00B9737F">
        <w:rPr>
          <w:rFonts w:ascii="Arial" w:hAnsi="Arial" w:cs="Arial"/>
          <w:sz w:val="20"/>
          <w:szCs w:val="20"/>
        </w:rPr>
        <w:t>B</w:t>
      </w:r>
      <w:r w:rsidR="002748EA" w:rsidRPr="00B9737F">
        <w:rPr>
          <w:rFonts w:ascii="Arial" w:hAnsi="Arial" w:cs="Arial"/>
          <w:sz w:val="20"/>
          <w:szCs w:val="20"/>
        </w:rPr>
        <w:t>(</w:t>
      </w:r>
      <w:r w:rsidR="00733BB6" w:rsidRPr="00B9737F">
        <w:rPr>
          <w:rFonts w:ascii="Arial" w:hAnsi="Arial" w:cs="Arial"/>
          <w:sz w:val="20"/>
          <w:szCs w:val="20"/>
        </w:rPr>
        <w:t>3</w:t>
      </w:r>
      <w:r w:rsidR="002748EA" w:rsidRPr="00B9737F">
        <w:rPr>
          <w:rFonts w:ascii="Arial" w:hAnsi="Arial" w:cs="Arial"/>
          <w:sz w:val="20"/>
          <w:szCs w:val="20"/>
        </w:rPr>
        <w:t>) provides that</w:t>
      </w:r>
      <w:r w:rsidRPr="00B9737F">
        <w:rPr>
          <w:rFonts w:ascii="Arial" w:hAnsi="Arial" w:cs="Arial"/>
          <w:sz w:val="20"/>
          <w:szCs w:val="20"/>
        </w:rPr>
        <w:t xml:space="preserve"> the regulated person must not determine the amount of specified fees or charges by reference to the loss or potential loss of revenue by the introducer, or associated person, as a result of the prohibition on the payment of flexible benefits. This means it cannot be set at a </w:t>
      </w:r>
      <w:r w:rsidR="00A846BC" w:rsidRPr="00B9737F">
        <w:rPr>
          <w:rFonts w:ascii="Arial" w:hAnsi="Arial" w:cs="Arial"/>
          <w:sz w:val="20"/>
          <w:szCs w:val="20"/>
        </w:rPr>
        <w:t xml:space="preserve">rate that would compensate the introducer, or </w:t>
      </w:r>
      <w:r w:rsidR="00390DC2">
        <w:rPr>
          <w:rFonts w:ascii="Arial" w:hAnsi="Arial" w:cs="Arial"/>
          <w:sz w:val="20"/>
          <w:szCs w:val="20"/>
        </w:rPr>
        <w:t xml:space="preserve">any </w:t>
      </w:r>
      <w:r w:rsidR="00A846BC" w:rsidRPr="00B9737F">
        <w:rPr>
          <w:rFonts w:ascii="Arial" w:hAnsi="Arial" w:cs="Arial"/>
          <w:sz w:val="20"/>
          <w:szCs w:val="20"/>
        </w:rPr>
        <w:t>associated person</w:t>
      </w:r>
      <w:r w:rsidR="00390DC2">
        <w:rPr>
          <w:rFonts w:ascii="Arial" w:hAnsi="Arial" w:cs="Arial"/>
          <w:sz w:val="20"/>
          <w:szCs w:val="20"/>
        </w:rPr>
        <w:t>,</w:t>
      </w:r>
      <w:r w:rsidR="00A846BC" w:rsidRPr="00B9737F">
        <w:rPr>
          <w:rFonts w:ascii="Arial" w:hAnsi="Arial" w:cs="Arial"/>
          <w:sz w:val="20"/>
          <w:szCs w:val="20"/>
        </w:rPr>
        <w:t xml:space="preserve"> for a reduction in </w:t>
      </w:r>
      <w:r w:rsidR="00805622">
        <w:rPr>
          <w:rFonts w:ascii="Arial" w:hAnsi="Arial" w:cs="Arial"/>
          <w:sz w:val="20"/>
          <w:szCs w:val="20"/>
        </w:rPr>
        <w:t xml:space="preserve">the significant payments earnt through higher interest charges (through the current flex-commission arrangements). </w:t>
      </w:r>
    </w:p>
    <w:p w14:paraId="2D5DBA79" w14:textId="607D0136" w:rsidR="001A5E07" w:rsidRPr="00B9737F" w:rsidRDefault="002748EA" w:rsidP="001A5E07">
      <w:pPr>
        <w:pStyle w:val="Default"/>
        <w:spacing w:after="240"/>
        <w:ind w:left="49"/>
        <w:rPr>
          <w:rFonts w:ascii="Arial" w:hAnsi="Arial" w:cs="Arial"/>
          <w:sz w:val="20"/>
          <w:szCs w:val="20"/>
        </w:rPr>
      </w:pPr>
      <w:r w:rsidRPr="00B9737F">
        <w:rPr>
          <w:rFonts w:ascii="Arial" w:hAnsi="Arial" w:cs="Arial"/>
          <w:sz w:val="20"/>
          <w:szCs w:val="20"/>
        </w:rPr>
        <w:t xml:space="preserve">These fees were typically introduced to compensate the introducer for their time and expense in </w:t>
      </w:r>
      <w:r w:rsidR="00395962" w:rsidRPr="00B9737F">
        <w:rPr>
          <w:rFonts w:ascii="Arial" w:hAnsi="Arial" w:cs="Arial"/>
          <w:sz w:val="20"/>
          <w:szCs w:val="20"/>
        </w:rPr>
        <w:t>providing credit services and it is therefore expected that the maximum fee would be based on an assessment of the value of those services</w:t>
      </w:r>
      <w:r w:rsidR="00782F9A">
        <w:rPr>
          <w:rFonts w:ascii="Arial" w:hAnsi="Arial" w:cs="Arial"/>
          <w:sz w:val="20"/>
          <w:szCs w:val="20"/>
        </w:rPr>
        <w:t xml:space="preserve">, which may vary from introducer to introducer </w:t>
      </w:r>
      <w:r w:rsidR="00395962" w:rsidRPr="00B9737F">
        <w:rPr>
          <w:rFonts w:ascii="Arial" w:hAnsi="Arial" w:cs="Arial"/>
          <w:sz w:val="20"/>
          <w:szCs w:val="20"/>
        </w:rPr>
        <w:t xml:space="preserve">given the </w:t>
      </w:r>
      <w:r w:rsidR="003F3957">
        <w:rPr>
          <w:rFonts w:ascii="Arial" w:hAnsi="Arial" w:cs="Arial"/>
          <w:sz w:val="20"/>
          <w:szCs w:val="20"/>
        </w:rPr>
        <w:t xml:space="preserve">range </w:t>
      </w:r>
      <w:r w:rsidR="00395962" w:rsidRPr="00B9737F">
        <w:rPr>
          <w:rFonts w:ascii="Arial" w:hAnsi="Arial" w:cs="Arial"/>
          <w:sz w:val="20"/>
          <w:szCs w:val="20"/>
        </w:rPr>
        <w:t xml:space="preserve">of business models that exist. The obligation allows </w:t>
      </w:r>
      <w:proofErr w:type="gramStart"/>
      <w:r w:rsidR="00395962" w:rsidRPr="00B9737F">
        <w:rPr>
          <w:rFonts w:ascii="Arial" w:hAnsi="Arial" w:cs="Arial"/>
          <w:sz w:val="20"/>
          <w:szCs w:val="20"/>
        </w:rPr>
        <w:t>a regulated</w:t>
      </w:r>
      <w:proofErr w:type="gramEnd"/>
      <w:r w:rsidR="00395962" w:rsidRPr="00B9737F">
        <w:rPr>
          <w:rFonts w:ascii="Arial" w:hAnsi="Arial" w:cs="Arial"/>
          <w:sz w:val="20"/>
          <w:szCs w:val="20"/>
        </w:rPr>
        <w:t xml:space="preserve"> person flexibility in determining this amount while preventing a transfer of costs from higher annual percentage rates to increased fees. </w:t>
      </w:r>
    </w:p>
    <w:p w14:paraId="05F8E99F" w14:textId="36A45041" w:rsidR="00A846BC" w:rsidRPr="00B9737F" w:rsidRDefault="00A846BC" w:rsidP="001A5E07">
      <w:pPr>
        <w:pStyle w:val="Default"/>
        <w:spacing w:after="240"/>
        <w:ind w:left="49"/>
        <w:rPr>
          <w:rFonts w:ascii="Arial" w:hAnsi="Arial" w:cs="Arial"/>
          <w:sz w:val="20"/>
          <w:szCs w:val="20"/>
        </w:rPr>
      </w:pPr>
      <w:r w:rsidRPr="00B9737F">
        <w:rPr>
          <w:rFonts w:ascii="Arial" w:hAnsi="Arial" w:cs="Arial"/>
          <w:sz w:val="20"/>
          <w:szCs w:val="20"/>
        </w:rPr>
        <w:t xml:space="preserve">Secondly, </w:t>
      </w:r>
      <w:r w:rsidR="002748EA" w:rsidRPr="00B9737F">
        <w:rPr>
          <w:rFonts w:ascii="Arial" w:hAnsi="Arial" w:cs="Arial"/>
          <w:sz w:val="20"/>
          <w:szCs w:val="20"/>
        </w:rPr>
        <w:t xml:space="preserve">subsection </w:t>
      </w:r>
      <w:proofErr w:type="gramStart"/>
      <w:r w:rsidR="002748EA" w:rsidRPr="00B9737F">
        <w:rPr>
          <w:rFonts w:ascii="Arial" w:hAnsi="Arial" w:cs="Arial"/>
          <w:sz w:val="20"/>
          <w:szCs w:val="20"/>
        </w:rPr>
        <w:t>53</w:t>
      </w:r>
      <w:r w:rsidR="00733BB6" w:rsidRPr="00B9737F">
        <w:rPr>
          <w:rFonts w:ascii="Arial" w:hAnsi="Arial" w:cs="Arial"/>
          <w:sz w:val="20"/>
          <w:szCs w:val="20"/>
        </w:rPr>
        <w:t>B</w:t>
      </w:r>
      <w:r w:rsidR="002748EA" w:rsidRPr="00B9737F">
        <w:rPr>
          <w:rFonts w:ascii="Arial" w:hAnsi="Arial" w:cs="Arial"/>
          <w:sz w:val="20"/>
          <w:szCs w:val="20"/>
        </w:rPr>
        <w:t>(</w:t>
      </w:r>
      <w:proofErr w:type="gramEnd"/>
      <w:r w:rsidR="00733BB6" w:rsidRPr="00B9737F">
        <w:rPr>
          <w:rFonts w:ascii="Arial" w:hAnsi="Arial" w:cs="Arial"/>
          <w:sz w:val="20"/>
          <w:szCs w:val="20"/>
        </w:rPr>
        <w:t>4</w:t>
      </w:r>
      <w:r w:rsidR="002748EA" w:rsidRPr="00B9737F">
        <w:rPr>
          <w:rFonts w:ascii="Arial" w:hAnsi="Arial" w:cs="Arial"/>
          <w:sz w:val="20"/>
          <w:szCs w:val="20"/>
        </w:rPr>
        <w:t>)</w:t>
      </w:r>
      <w:r w:rsidR="00395962" w:rsidRPr="00B9737F">
        <w:rPr>
          <w:rFonts w:ascii="Arial" w:hAnsi="Arial" w:cs="Arial"/>
          <w:sz w:val="20"/>
          <w:szCs w:val="20"/>
        </w:rPr>
        <w:t xml:space="preserve"> provides that </w:t>
      </w:r>
      <w:r w:rsidRPr="00B9737F">
        <w:rPr>
          <w:rFonts w:ascii="Arial" w:hAnsi="Arial" w:cs="Arial"/>
          <w:sz w:val="20"/>
          <w:szCs w:val="20"/>
        </w:rPr>
        <w:t xml:space="preserve">the regulated person must </w:t>
      </w:r>
      <w:r w:rsidR="001A5E07" w:rsidRPr="00B9737F">
        <w:rPr>
          <w:rFonts w:ascii="Arial" w:hAnsi="Arial" w:cs="Arial"/>
          <w:sz w:val="20"/>
          <w:szCs w:val="20"/>
        </w:rPr>
        <w:t>keep records of the basis for determining the specified fees or charges for a period of</w:t>
      </w:r>
      <w:r w:rsidR="002748EA" w:rsidRPr="00B9737F">
        <w:rPr>
          <w:rFonts w:ascii="Arial" w:hAnsi="Arial" w:cs="Arial"/>
          <w:sz w:val="20"/>
          <w:szCs w:val="20"/>
        </w:rPr>
        <w:t xml:space="preserve"> seven</w:t>
      </w:r>
      <w:r w:rsidR="001A5E07" w:rsidRPr="00B9737F">
        <w:rPr>
          <w:rFonts w:ascii="Arial" w:hAnsi="Arial" w:cs="Arial"/>
          <w:sz w:val="20"/>
          <w:szCs w:val="20"/>
        </w:rPr>
        <w:t xml:space="preserve"> years.</w:t>
      </w:r>
      <w:r w:rsidRPr="00B9737F">
        <w:rPr>
          <w:rFonts w:ascii="Arial" w:hAnsi="Arial" w:cs="Arial"/>
          <w:sz w:val="20"/>
          <w:szCs w:val="20"/>
        </w:rPr>
        <w:t xml:space="preserve"> This will enable ASIC to test the methodology they used in setting the maximum figure.</w:t>
      </w:r>
      <w:r w:rsidR="00805622">
        <w:rPr>
          <w:rFonts w:ascii="Arial" w:hAnsi="Arial" w:cs="Arial"/>
          <w:sz w:val="20"/>
          <w:szCs w:val="20"/>
        </w:rPr>
        <w:t xml:space="preserve"> If, for example, a regulated person changes the existing arrangements and </w:t>
      </w:r>
      <w:r w:rsidR="00906AF0">
        <w:rPr>
          <w:rFonts w:ascii="Arial" w:hAnsi="Arial" w:cs="Arial"/>
          <w:sz w:val="20"/>
          <w:szCs w:val="20"/>
        </w:rPr>
        <w:t xml:space="preserve">allows introducers to charge </w:t>
      </w:r>
      <w:r w:rsidR="00805622">
        <w:rPr>
          <w:rFonts w:ascii="Arial" w:hAnsi="Arial" w:cs="Arial"/>
          <w:sz w:val="20"/>
          <w:szCs w:val="20"/>
        </w:rPr>
        <w:t xml:space="preserve">credit fees and charges </w:t>
      </w:r>
      <w:r w:rsidR="00906AF0">
        <w:rPr>
          <w:rFonts w:ascii="Arial" w:hAnsi="Arial" w:cs="Arial"/>
          <w:sz w:val="20"/>
          <w:szCs w:val="20"/>
        </w:rPr>
        <w:t xml:space="preserve">that are </w:t>
      </w:r>
      <w:r w:rsidR="00805622">
        <w:rPr>
          <w:rFonts w:ascii="Arial" w:hAnsi="Arial" w:cs="Arial"/>
          <w:sz w:val="20"/>
          <w:szCs w:val="20"/>
        </w:rPr>
        <w:t>substantially higher ASIC will be able to scrutinise and test the underlying methodology.</w:t>
      </w:r>
    </w:p>
    <w:p w14:paraId="745D41CB" w14:textId="39249227" w:rsidR="00A02E39" w:rsidRDefault="003F3957" w:rsidP="004C7DAA">
      <w:pPr>
        <w:pStyle w:val="Default"/>
        <w:spacing w:after="240"/>
        <w:ind w:left="49"/>
        <w:rPr>
          <w:rFonts w:ascii="Arial" w:hAnsi="Arial" w:cs="Arial"/>
          <w:sz w:val="20"/>
          <w:szCs w:val="20"/>
        </w:rPr>
      </w:pPr>
      <w:r>
        <w:rPr>
          <w:rFonts w:ascii="Arial" w:hAnsi="Arial" w:cs="Arial"/>
          <w:sz w:val="20"/>
          <w:szCs w:val="20"/>
        </w:rPr>
        <w:t xml:space="preserve">Section 53B </w:t>
      </w:r>
      <w:r w:rsidR="000C574F" w:rsidRPr="00B9737F">
        <w:rPr>
          <w:rFonts w:ascii="Arial" w:hAnsi="Arial" w:cs="Arial"/>
          <w:sz w:val="20"/>
          <w:szCs w:val="20"/>
        </w:rPr>
        <w:t>appl</w:t>
      </w:r>
      <w:r w:rsidR="00390DC2">
        <w:rPr>
          <w:rFonts w:ascii="Arial" w:hAnsi="Arial" w:cs="Arial"/>
          <w:sz w:val="20"/>
          <w:szCs w:val="20"/>
        </w:rPr>
        <w:t>ies</w:t>
      </w:r>
      <w:r w:rsidR="000C574F" w:rsidRPr="00B9737F">
        <w:rPr>
          <w:rFonts w:ascii="Arial" w:hAnsi="Arial" w:cs="Arial"/>
          <w:sz w:val="20"/>
          <w:szCs w:val="20"/>
        </w:rPr>
        <w:t xml:space="preserve"> the same restrictions and obligation</w:t>
      </w:r>
      <w:r w:rsidR="0029617D" w:rsidRPr="00B9737F">
        <w:rPr>
          <w:rFonts w:ascii="Arial" w:hAnsi="Arial" w:cs="Arial"/>
          <w:sz w:val="20"/>
          <w:szCs w:val="20"/>
        </w:rPr>
        <w:t>s</w:t>
      </w:r>
      <w:r w:rsidR="000C574F" w:rsidRPr="00B9737F">
        <w:rPr>
          <w:rFonts w:ascii="Arial" w:hAnsi="Arial" w:cs="Arial"/>
          <w:sz w:val="20"/>
          <w:szCs w:val="20"/>
        </w:rPr>
        <w:t xml:space="preserve"> to consumer lease fees and charges that operate in the same way as to credit fees and charges </w:t>
      </w:r>
      <w:r w:rsidR="00177837" w:rsidRPr="00B9737F">
        <w:rPr>
          <w:rFonts w:ascii="Arial" w:hAnsi="Arial" w:cs="Arial"/>
          <w:sz w:val="20"/>
          <w:szCs w:val="20"/>
        </w:rPr>
        <w:t>(</w:t>
      </w:r>
      <w:r w:rsidR="000C574F" w:rsidRPr="00B9737F">
        <w:rPr>
          <w:rFonts w:ascii="Arial" w:hAnsi="Arial" w:cs="Arial"/>
          <w:sz w:val="20"/>
          <w:szCs w:val="20"/>
        </w:rPr>
        <w:t>as discussed above).</w:t>
      </w:r>
    </w:p>
    <w:p w14:paraId="0459E320" w14:textId="237DC605" w:rsidR="005431A7" w:rsidRPr="00620D87" w:rsidRDefault="005431A7" w:rsidP="005431A7">
      <w:pPr>
        <w:spacing w:after="240"/>
        <w:rPr>
          <w:rFonts w:cs="Arial"/>
          <w:i/>
          <w:szCs w:val="20"/>
        </w:rPr>
      </w:pPr>
      <w:r>
        <w:rPr>
          <w:rFonts w:cs="Arial"/>
          <w:i/>
          <w:szCs w:val="20"/>
        </w:rPr>
        <w:t xml:space="preserve">Other </w:t>
      </w:r>
      <w:r w:rsidR="00B14609">
        <w:rPr>
          <w:rFonts w:cs="Arial"/>
          <w:i/>
          <w:szCs w:val="20"/>
        </w:rPr>
        <w:t xml:space="preserve">limitations in the scope of </w:t>
      </w:r>
      <w:r w:rsidRPr="00620D87">
        <w:rPr>
          <w:rFonts w:cs="Arial"/>
          <w:i/>
          <w:szCs w:val="20"/>
        </w:rPr>
        <w:t xml:space="preserve">the prohibition </w:t>
      </w:r>
    </w:p>
    <w:p w14:paraId="2EC90599" w14:textId="00D320C7" w:rsidR="005431A7" w:rsidRPr="00620D87" w:rsidRDefault="005431A7" w:rsidP="005431A7">
      <w:pPr>
        <w:spacing w:after="240"/>
        <w:rPr>
          <w:rFonts w:cs="Arial"/>
          <w:szCs w:val="20"/>
        </w:rPr>
      </w:pPr>
      <w:r w:rsidRPr="00620D87">
        <w:rPr>
          <w:rFonts w:cs="Arial"/>
          <w:szCs w:val="20"/>
        </w:rPr>
        <w:t xml:space="preserve">There are </w:t>
      </w:r>
      <w:r w:rsidR="00B14609">
        <w:rPr>
          <w:rFonts w:cs="Arial"/>
          <w:szCs w:val="20"/>
        </w:rPr>
        <w:t>t</w:t>
      </w:r>
      <w:r w:rsidR="003F3957">
        <w:rPr>
          <w:rFonts w:cs="Arial"/>
          <w:szCs w:val="20"/>
        </w:rPr>
        <w:t>hree</w:t>
      </w:r>
      <w:r w:rsidR="00B14609">
        <w:rPr>
          <w:rFonts w:cs="Arial"/>
          <w:szCs w:val="20"/>
        </w:rPr>
        <w:t xml:space="preserve"> other </w:t>
      </w:r>
      <w:r w:rsidRPr="00620D87">
        <w:rPr>
          <w:rFonts w:cs="Arial"/>
          <w:szCs w:val="20"/>
        </w:rPr>
        <w:t xml:space="preserve">limitations in </w:t>
      </w:r>
      <w:r w:rsidR="00D12C80">
        <w:rPr>
          <w:rFonts w:cs="Arial"/>
          <w:szCs w:val="20"/>
        </w:rPr>
        <w:t xml:space="preserve">the </w:t>
      </w:r>
      <w:r w:rsidRPr="00620D87">
        <w:rPr>
          <w:rFonts w:cs="Arial"/>
          <w:szCs w:val="20"/>
        </w:rPr>
        <w:t>scope</w:t>
      </w:r>
      <w:r w:rsidR="00D12C80">
        <w:rPr>
          <w:rFonts w:cs="Arial"/>
          <w:szCs w:val="20"/>
        </w:rPr>
        <w:t xml:space="preserve"> of the prohibition</w:t>
      </w:r>
      <w:r w:rsidR="00FA72DD">
        <w:rPr>
          <w:rFonts w:cs="Arial"/>
          <w:szCs w:val="20"/>
        </w:rPr>
        <w:t>.</w:t>
      </w:r>
    </w:p>
    <w:p w14:paraId="4EF6652E" w14:textId="2B494490" w:rsidR="0034541C" w:rsidRDefault="00805622" w:rsidP="00805622">
      <w:pPr>
        <w:spacing w:after="240"/>
        <w:rPr>
          <w:rFonts w:cs="Arial"/>
          <w:szCs w:val="20"/>
        </w:rPr>
      </w:pPr>
      <w:r>
        <w:rPr>
          <w:rFonts w:cs="Arial"/>
          <w:szCs w:val="20"/>
        </w:rPr>
        <w:t>First, t</w:t>
      </w:r>
      <w:r w:rsidR="005431A7" w:rsidRPr="003001D8">
        <w:rPr>
          <w:rFonts w:cs="Arial"/>
          <w:szCs w:val="20"/>
        </w:rPr>
        <w:t xml:space="preserve">here is an exclusion for </w:t>
      </w:r>
      <w:r w:rsidR="00D12C80">
        <w:rPr>
          <w:rFonts w:cs="Arial"/>
          <w:szCs w:val="20"/>
        </w:rPr>
        <w:t>'</w:t>
      </w:r>
      <w:r w:rsidR="005431A7" w:rsidRPr="003001D8">
        <w:rPr>
          <w:rFonts w:cs="Arial"/>
          <w:szCs w:val="20"/>
        </w:rPr>
        <w:t>home loans</w:t>
      </w:r>
      <w:r w:rsidR="00D12C80">
        <w:rPr>
          <w:rFonts w:cs="Arial"/>
          <w:szCs w:val="20"/>
        </w:rPr>
        <w:t>'</w:t>
      </w:r>
      <w:r w:rsidR="004F03F2">
        <w:rPr>
          <w:rFonts w:cs="Arial"/>
          <w:szCs w:val="20"/>
        </w:rPr>
        <w:t xml:space="preserve"> in that section 53A operates by reference to flexible credit cost arrangements that operate in relation to credit contracts other than home loans</w:t>
      </w:r>
      <w:r w:rsidR="00D12C80">
        <w:rPr>
          <w:rFonts w:cs="Arial"/>
          <w:szCs w:val="20"/>
        </w:rPr>
        <w:t>. Th</w:t>
      </w:r>
      <w:r w:rsidR="00906AF0">
        <w:rPr>
          <w:rFonts w:cs="Arial"/>
          <w:szCs w:val="20"/>
        </w:rPr>
        <w:t>e</w:t>
      </w:r>
      <w:r w:rsidR="00D12C80">
        <w:rPr>
          <w:rFonts w:cs="Arial"/>
          <w:szCs w:val="20"/>
        </w:rPr>
        <w:t xml:space="preserve"> meaning of </w:t>
      </w:r>
      <w:r w:rsidR="005431A7" w:rsidRPr="003001D8">
        <w:rPr>
          <w:rFonts w:cs="Arial"/>
          <w:szCs w:val="20"/>
        </w:rPr>
        <w:t xml:space="preserve">this term </w:t>
      </w:r>
      <w:r w:rsidR="00D12C80">
        <w:rPr>
          <w:rFonts w:cs="Arial"/>
          <w:szCs w:val="20"/>
        </w:rPr>
        <w:t xml:space="preserve">is set out </w:t>
      </w:r>
      <w:r w:rsidR="005431A7" w:rsidRPr="003001D8">
        <w:rPr>
          <w:rFonts w:cs="Arial"/>
          <w:szCs w:val="20"/>
        </w:rPr>
        <w:t xml:space="preserve">in </w:t>
      </w:r>
      <w:r w:rsidR="00FC7241">
        <w:rPr>
          <w:rFonts w:cs="Arial"/>
          <w:szCs w:val="20"/>
        </w:rPr>
        <w:t xml:space="preserve">subsection </w:t>
      </w:r>
      <w:r w:rsidR="00A76CB6">
        <w:rPr>
          <w:rFonts w:cs="Arial"/>
          <w:szCs w:val="20"/>
        </w:rPr>
        <w:t>5</w:t>
      </w:r>
      <w:r w:rsidR="00FC7241">
        <w:rPr>
          <w:rFonts w:cs="Arial"/>
          <w:szCs w:val="20"/>
        </w:rPr>
        <w:t>(1) of the National Credit Act (as modified by section 5</w:t>
      </w:r>
      <w:r w:rsidR="00A76CB6">
        <w:rPr>
          <w:rFonts w:cs="Arial"/>
          <w:szCs w:val="20"/>
        </w:rPr>
        <w:t xml:space="preserve"> of the instrument</w:t>
      </w:r>
      <w:r w:rsidR="00FC7241">
        <w:rPr>
          <w:rFonts w:cs="Arial"/>
          <w:szCs w:val="20"/>
        </w:rPr>
        <w:t>)</w:t>
      </w:r>
      <w:r w:rsidR="005431A7" w:rsidRPr="003001D8">
        <w:rPr>
          <w:rFonts w:cs="Arial"/>
          <w:szCs w:val="20"/>
        </w:rPr>
        <w:t xml:space="preserve">, </w:t>
      </w:r>
      <w:r w:rsidR="00D12C80">
        <w:rPr>
          <w:rFonts w:cs="Arial"/>
          <w:szCs w:val="20"/>
        </w:rPr>
        <w:t xml:space="preserve">and </w:t>
      </w:r>
      <w:r w:rsidR="005431A7" w:rsidRPr="003001D8">
        <w:rPr>
          <w:rFonts w:cs="Arial"/>
          <w:szCs w:val="20"/>
        </w:rPr>
        <w:t>adapt</w:t>
      </w:r>
      <w:r w:rsidR="00D12C80">
        <w:rPr>
          <w:rFonts w:cs="Arial"/>
          <w:szCs w:val="20"/>
        </w:rPr>
        <w:t>s</w:t>
      </w:r>
      <w:r w:rsidR="005431A7" w:rsidRPr="003001D8">
        <w:rPr>
          <w:rFonts w:cs="Arial"/>
          <w:szCs w:val="20"/>
        </w:rPr>
        <w:t xml:space="preserve"> the current definition of a standard home loan in section 133AA of the </w:t>
      </w:r>
      <w:r w:rsidR="0029617D">
        <w:rPr>
          <w:rFonts w:cs="Arial"/>
          <w:szCs w:val="20"/>
        </w:rPr>
        <w:t xml:space="preserve">National </w:t>
      </w:r>
      <w:r w:rsidR="005431A7" w:rsidRPr="003001D8">
        <w:rPr>
          <w:rFonts w:cs="Arial"/>
          <w:szCs w:val="20"/>
        </w:rPr>
        <w:t xml:space="preserve">Credit Act. The exclusion is introduced to avoid the application of the prohibition to white labelling and other arrangements </w:t>
      </w:r>
      <w:r w:rsidR="005431A7">
        <w:rPr>
          <w:rFonts w:cs="Arial"/>
          <w:szCs w:val="20"/>
        </w:rPr>
        <w:t xml:space="preserve">in the home loan market </w:t>
      </w:r>
      <w:r w:rsidR="005431A7" w:rsidRPr="003001D8">
        <w:rPr>
          <w:rFonts w:cs="Arial"/>
          <w:szCs w:val="20"/>
        </w:rPr>
        <w:t xml:space="preserve">where </w:t>
      </w:r>
      <w:r w:rsidR="005431A7">
        <w:rPr>
          <w:rFonts w:cs="Arial"/>
          <w:szCs w:val="20"/>
        </w:rPr>
        <w:t xml:space="preserve">the </w:t>
      </w:r>
      <w:r w:rsidR="005431A7" w:rsidRPr="003001D8">
        <w:rPr>
          <w:rFonts w:cs="Arial"/>
          <w:szCs w:val="20"/>
        </w:rPr>
        <w:t>intermediar</w:t>
      </w:r>
      <w:r w:rsidR="005431A7">
        <w:rPr>
          <w:rFonts w:cs="Arial"/>
          <w:szCs w:val="20"/>
        </w:rPr>
        <w:t xml:space="preserve">y is </w:t>
      </w:r>
      <w:r w:rsidR="005431A7" w:rsidRPr="003001D8">
        <w:rPr>
          <w:rFonts w:cs="Arial"/>
          <w:szCs w:val="20"/>
        </w:rPr>
        <w:t>manag</w:t>
      </w:r>
      <w:r w:rsidR="005431A7">
        <w:rPr>
          <w:rFonts w:cs="Arial"/>
          <w:szCs w:val="20"/>
        </w:rPr>
        <w:t>ing</w:t>
      </w:r>
      <w:r w:rsidR="005431A7" w:rsidRPr="003001D8">
        <w:rPr>
          <w:rFonts w:cs="Arial"/>
          <w:szCs w:val="20"/>
        </w:rPr>
        <w:t xml:space="preserve"> contracts on behalf of the lender</w:t>
      </w:r>
      <w:r w:rsidR="005431A7">
        <w:rPr>
          <w:rFonts w:cs="Arial"/>
          <w:szCs w:val="20"/>
        </w:rPr>
        <w:t>. These transactions operate on a different basis</w:t>
      </w:r>
      <w:r w:rsidR="00177837">
        <w:rPr>
          <w:rFonts w:cs="Arial"/>
          <w:szCs w:val="20"/>
        </w:rPr>
        <w:t>, and in a market that is more transparent in price</w:t>
      </w:r>
      <w:r w:rsidR="005431A7">
        <w:rPr>
          <w:rFonts w:cs="Arial"/>
          <w:szCs w:val="20"/>
        </w:rPr>
        <w:t xml:space="preserve">. The exemption for home loans will allow those arrangements to continue. </w:t>
      </w:r>
    </w:p>
    <w:p w14:paraId="357672B0" w14:textId="7C659754" w:rsidR="0034541C" w:rsidRDefault="0034541C" w:rsidP="00805622">
      <w:pPr>
        <w:spacing w:after="240"/>
        <w:rPr>
          <w:rFonts w:cs="Arial"/>
          <w:szCs w:val="20"/>
        </w:rPr>
      </w:pPr>
      <w:r>
        <w:rPr>
          <w:rFonts w:cs="Arial"/>
          <w:szCs w:val="20"/>
        </w:rPr>
        <w:t>Further, ASIC's consultations with stakeholders did not find any evidence of systemic use of flex-commission in the home loan market where there was both a direct relationship between the annual percentage rate under a home loan and the benefits to any introducer, and that the benefits incentivised the introducer to charge a higher rate.</w:t>
      </w:r>
    </w:p>
    <w:p w14:paraId="24FDCD6E" w14:textId="34D81AF6" w:rsidR="003F3957" w:rsidRDefault="00805622" w:rsidP="003C58ED">
      <w:pPr>
        <w:spacing w:after="240"/>
        <w:rPr>
          <w:rFonts w:cs="Arial"/>
          <w:szCs w:val="20"/>
        </w:rPr>
      </w:pPr>
      <w:r>
        <w:rPr>
          <w:rFonts w:cs="Arial"/>
          <w:szCs w:val="20"/>
        </w:rPr>
        <w:t>Secondly, t</w:t>
      </w:r>
      <w:r w:rsidR="005431A7" w:rsidRPr="00212C33">
        <w:rPr>
          <w:rFonts w:cs="Arial"/>
          <w:szCs w:val="20"/>
        </w:rPr>
        <w:t>he effect of sub</w:t>
      </w:r>
      <w:r w:rsidR="00124017" w:rsidRPr="00212C33">
        <w:rPr>
          <w:rFonts w:cs="Arial"/>
          <w:szCs w:val="20"/>
        </w:rPr>
        <w:t>section</w:t>
      </w:r>
      <w:r w:rsidR="003F3957">
        <w:rPr>
          <w:rFonts w:cs="Arial"/>
          <w:szCs w:val="20"/>
        </w:rPr>
        <w:t>s</w:t>
      </w:r>
      <w:r w:rsidR="00733BB6">
        <w:rPr>
          <w:rFonts w:cs="Arial"/>
          <w:szCs w:val="20"/>
        </w:rPr>
        <w:t xml:space="preserve"> 53A</w:t>
      </w:r>
      <w:r w:rsidR="005431A7" w:rsidRPr="00212C33">
        <w:rPr>
          <w:rFonts w:cs="Arial"/>
          <w:szCs w:val="20"/>
        </w:rPr>
        <w:t>(</w:t>
      </w:r>
      <w:r w:rsidR="00733BB6">
        <w:rPr>
          <w:rFonts w:cs="Arial"/>
          <w:szCs w:val="20"/>
        </w:rPr>
        <w:t>4</w:t>
      </w:r>
      <w:r w:rsidR="005431A7" w:rsidRPr="00212C33">
        <w:rPr>
          <w:rFonts w:cs="Arial"/>
          <w:szCs w:val="20"/>
        </w:rPr>
        <w:t xml:space="preserve">) </w:t>
      </w:r>
      <w:r w:rsidR="003F3957">
        <w:rPr>
          <w:rFonts w:cs="Arial"/>
          <w:szCs w:val="20"/>
        </w:rPr>
        <w:t xml:space="preserve">and 53B(5) </w:t>
      </w:r>
      <w:r w:rsidR="005431A7" w:rsidRPr="00212C33">
        <w:rPr>
          <w:rFonts w:cs="Arial"/>
          <w:szCs w:val="20"/>
        </w:rPr>
        <w:t>is that the prohibition</w:t>
      </w:r>
      <w:r w:rsidR="003F3957">
        <w:rPr>
          <w:rFonts w:cs="Arial"/>
          <w:szCs w:val="20"/>
        </w:rPr>
        <w:t>s</w:t>
      </w:r>
      <w:r w:rsidR="005431A7" w:rsidRPr="00212C33">
        <w:rPr>
          <w:rFonts w:cs="Arial"/>
          <w:szCs w:val="20"/>
        </w:rPr>
        <w:t xml:space="preserve"> do not apply to benefits </w:t>
      </w:r>
      <w:r w:rsidR="00395962" w:rsidRPr="00395962">
        <w:rPr>
          <w:rFonts w:cs="Arial"/>
          <w:szCs w:val="20"/>
        </w:rPr>
        <w:t>given to a director or employee or a related body corporate of the regulated person, or a director or employee or a related body corporate.</w:t>
      </w:r>
    </w:p>
    <w:p w14:paraId="26BBF271" w14:textId="618F1041" w:rsidR="005431A7" w:rsidRDefault="003F3957" w:rsidP="003C58ED">
      <w:pPr>
        <w:spacing w:after="240"/>
      </w:pPr>
      <w:r>
        <w:rPr>
          <w:rFonts w:cs="Arial"/>
          <w:szCs w:val="20"/>
        </w:rPr>
        <w:t xml:space="preserve">Finally, the effect of section 6 is that the prohibitions in the </w:t>
      </w:r>
      <w:r w:rsidRPr="00972F12">
        <w:t xml:space="preserve">instrument do not apply in </w:t>
      </w:r>
      <w:r>
        <w:t xml:space="preserve">relation to </w:t>
      </w:r>
      <w:r w:rsidRPr="00972F12">
        <w:t xml:space="preserve">a credit activity that was </w:t>
      </w:r>
      <w:r>
        <w:t>engaged in,</w:t>
      </w:r>
      <w:r w:rsidRPr="00972F12">
        <w:t xml:space="preserve"> or a credit contract</w:t>
      </w:r>
      <w:r>
        <w:t xml:space="preserve"> or a consumer lease</w:t>
      </w:r>
      <w:r w:rsidRPr="00972F12">
        <w:t xml:space="preserve"> </w:t>
      </w:r>
      <w:r w:rsidRPr="004449AB">
        <w:t>that was entered into</w:t>
      </w:r>
      <w:r>
        <w:t>,</w:t>
      </w:r>
      <w:r w:rsidRPr="004449AB">
        <w:t xml:space="preserve"> before this instrument commences</w:t>
      </w:r>
      <w:r>
        <w:t xml:space="preserve"> (on 1 November 2018).</w:t>
      </w:r>
    </w:p>
    <w:p w14:paraId="20377BFD" w14:textId="39DF63C9" w:rsidR="003C58ED" w:rsidRDefault="003C58ED" w:rsidP="003C58ED">
      <w:pPr>
        <w:spacing w:after="240"/>
        <w:rPr>
          <w:rFonts w:cs="Arial"/>
          <w:i/>
          <w:szCs w:val="20"/>
        </w:rPr>
      </w:pPr>
      <w:r w:rsidRPr="00FF51D7">
        <w:rPr>
          <w:rFonts w:cs="Arial"/>
          <w:i/>
          <w:szCs w:val="20"/>
        </w:rPr>
        <w:t>Commencement and transition</w:t>
      </w:r>
    </w:p>
    <w:p w14:paraId="7C7E3312" w14:textId="2F62C184" w:rsidR="00FA72DD" w:rsidRPr="00FF51D7" w:rsidRDefault="00FA72DD" w:rsidP="00FA72DD">
      <w:pPr>
        <w:spacing w:after="240"/>
        <w:rPr>
          <w:rFonts w:cs="Arial"/>
          <w:szCs w:val="20"/>
        </w:rPr>
      </w:pPr>
      <w:r w:rsidRPr="00FF51D7">
        <w:rPr>
          <w:rFonts w:cs="Arial"/>
          <w:szCs w:val="20"/>
        </w:rPr>
        <w:t>S</w:t>
      </w:r>
      <w:r w:rsidRPr="001932A4">
        <w:rPr>
          <w:rFonts w:cs="Arial"/>
          <w:szCs w:val="20"/>
        </w:rPr>
        <w:t>ection 5 of the instrument</w:t>
      </w:r>
      <w:r>
        <w:rPr>
          <w:rFonts w:cs="Arial"/>
          <w:szCs w:val="20"/>
        </w:rPr>
        <w:t xml:space="preserve"> provides that it </w:t>
      </w:r>
      <w:r w:rsidRPr="001932A4">
        <w:rPr>
          <w:rFonts w:cs="Arial"/>
          <w:szCs w:val="20"/>
        </w:rPr>
        <w:t xml:space="preserve">commences on </w:t>
      </w:r>
      <w:r w:rsidRPr="00E94673">
        <w:rPr>
          <w:rFonts w:cs="Arial"/>
          <w:szCs w:val="20"/>
        </w:rPr>
        <w:t xml:space="preserve">1 November 2018. </w:t>
      </w:r>
      <w:r>
        <w:rPr>
          <w:rFonts w:cs="Arial"/>
          <w:szCs w:val="20"/>
        </w:rPr>
        <w:t xml:space="preserve">It is considered that this </w:t>
      </w:r>
      <w:r w:rsidRPr="00FF51D7">
        <w:rPr>
          <w:rFonts w:cs="Arial"/>
          <w:szCs w:val="20"/>
        </w:rPr>
        <w:t>period of time</w:t>
      </w:r>
      <w:r>
        <w:rPr>
          <w:rFonts w:cs="Arial"/>
          <w:szCs w:val="20"/>
        </w:rPr>
        <w:t xml:space="preserve"> is required as</w:t>
      </w:r>
      <w:r w:rsidRPr="00FF51D7">
        <w:rPr>
          <w:rFonts w:cs="Arial"/>
          <w:szCs w:val="20"/>
        </w:rPr>
        <w:t xml:space="preserve">: </w:t>
      </w:r>
    </w:p>
    <w:p w14:paraId="2A2C2729" w14:textId="77777777" w:rsidR="00FA72DD" w:rsidRDefault="00FA72DD" w:rsidP="00FF51D7">
      <w:pPr>
        <w:pStyle w:val="ListParagraph"/>
        <w:numPr>
          <w:ilvl w:val="0"/>
          <w:numId w:val="28"/>
        </w:numPr>
        <w:spacing w:after="240"/>
        <w:rPr>
          <w:rFonts w:cs="Arial"/>
          <w:szCs w:val="20"/>
        </w:rPr>
      </w:pPr>
      <w:r w:rsidRPr="00FF51D7">
        <w:rPr>
          <w:rFonts w:cs="Arial"/>
          <w:szCs w:val="20"/>
        </w:rPr>
        <w:t xml:space="preserve">lenders </w:t>
      </w:r>
      <w:r>
        <w:rPr>
          <w:rFonts w:cs="Arial"/>
          <w:szCs w:val="20"/>
        </w:rPr>
        <w:t xml:space="preserve">will need </w:t>
      </w:r>
      <w:r w:rsidRPr="00FF51D7">
        <w:rPr>
          <w:rFonts w:cs="Arial"/>
          <w:szCs w:val="20"/>
        </w:rPr>
        <w:t>to develop new pricing models</w:t>
      </w:r>
      <w:r>
        <w:rPr>
          <w:rFonts w:cs="Arial"/>
          <w:szCs w:val="20"/>
        </w:rPr>
        <w:t>; and</w:t>
      </w:r>
    </w:p>
    <w:p w14:paraId="511BFDAB" w14:textId="3E951E1D" w:rsidR="003C58ED" w:rsidRPr="001932A4" w:rsidRDefault="00FA72DD" w:rsidP="00FF51D7">
      <w:pPr>
        <w:pStyle w:val="ListParagraph"/>
        <w:numPr>
          <w:ilvl w:val="0"/>
          <w:numId w:val="28"/>
        </w:numPr>
        <w:spacing w:after="240"/>
        <w:rPr>
          <w:rFonts w:cs="Arial"/>
          <w:szCs w:val="20"/>
        </w:rPr>
      </w:pPr>
      <w:proofErr w:type="gramStart"/>
      <w:r w:rsidRPr="001932A4">
        <w:rPr>
          <w:rFonts w:cs="Arial"/>
          <w:szCs w:val="20"/>
        </w:rPr>
        <w:t>lenders</w:t>
      </w:r>
      <w:proofErr w:type="gramEnd"/>
      <w:r w:rsidRPr="001932A4">
        <w:rPr>
          <w:rFonts w:cs="Arial"/>
          <w:szCs w:val="20"/>
        </w:rPr>
        <w:t xml:space="preserve"> and </w:t>
      </w:r>
      <w:r w:rsidR="003F3957">
        <w:rPr>
          <w:rFonts w:cs="Arial"/>
          <w:szCs w:val="20"/>
        </w:rPr>
        <w:t>introducers will</w:t>
      </w:r>
      <w:r w:rsidRPr="001932A4">
        <w:rPr>
          <w:rFonts w:cs="Arial"/>
          <w:szCs w:val="20"/>
        </w:rPr>
        <w:t xml:space="preserve"> </w:t>
      </w:r>
      <w:r>
        <w:rPr>
          <w:rFonts w:cs="Arial"/>
          <w:szCs w:val="20"/>
        </w:rPr>
        <w:t xml:space="preserve">need to agree on </w:t>
      </w:r>
      <w:r w:rsidRPr="001932A4">
        <w:rPr>
          <w:rFonts w:cs="Arial"/>
          <w:szCs w:val="20"/>
        </w:rPr>
        <w:t>new remuneration arrangements</w:t>
      </w:r>
      <w:r>
        <w:rPr>
          <w:rFonts w:cs="Arial"/>
          <w:szCs w:val="20"/>
        </w:rPr>
        <w:t>.</w:t>
      </w:r>
      <w:r w:rsidRPr="00FF51D7">
        <w:rPr>
          <w:rFonts w:cs="Arial"/>
          <w:szCs w:val="20"/>
        </w:rPr>
        <w:t xml:space="preserve"> </w:t>
      </w:r>
      <w:r w:rsidRPr="00FF51D7" w:rsidDel="00C91475">
        <w:rPr>
          <w:rFonts w:cs="Arial"/>
          <w:szCs w:val="20"/>
        </w:rPr>
        <w:t xml:space="preserve"> </w:t>
      </w:r>
    </w:p>
    <w:p w14:paraId="34F71AE0" w14:textId="37220D18" w:rsidR="004A6A57" w:rsidRPr="00620D87" w:rsidRDefault="004A6A57" w:rsidP="000C1414">
      <w:pPr>
        <w:pStyle w:val="Heading1"/>
        <w:spacing w:before="480" w:after="240"/>
        <w:rPr>
          <w:szCs w:val="20"/>
        </w:rPr>
      </w:pPr>
      <w:r w:rsidRPr="00620D87">
        <w:rPr>
          <w:szCs w:val="20"/>
        </w:rPr>
        <w:t>Consultation</w:t>
      </w:r>
    </w:p>
    <w:p w14:paraId="06DE45C6" w14:textId="64D7FD4D" w:rsidR="003D39A6" w:rsidRPr="00620D87" w:rsidRDefault="005A1709" w:rsidP="005A1709">
      <w:pPr>
        <w:pStyle w:val="Heading2"/>
        <w:spacing w:before="480" w:after="240"/>
        <w:rPr>
          <w:rFonts w:cs="Arial"/>
          <w:i/>
          <w:szCs w:val="20"/>
        </w:rPr>
      </w:pPr>
      <w:r w:rsidRPr="00620D87">
        <w:rPr>
          <w:rFonts w:cs="Arial"/>
          <w:szCs w:val="20"/>
        </w:rPr>
        <w:t xml:space="preserve">Consultation on </w:t>
      </w:r>
      <w:r w:rsidR="00C709E3">
        <w:rPr>
          <w:rFonts w:cs="Arial"/>
          <w:szCs w:val="20"/>
        </w:rPr>
        <w:t xml:space="preserve">regulatory approach </w:t>
      </w:r>
    </w:p>
    <w:p w14:paraId="5E191345" w14:textId="1B2BDF19" w:rsidR="004F526C" w:rsidRPr="00620D87" w:rsidRDefault="00CB41D7" w:rsidP="00DD635A">
      <w:pPr>
        <w:spacing w:after="240" w:line="276" w:lineRule="auto"/>
        <w:contextualSpacing/>
        <w:rPr>
          <w:rFonts w:cs="Arial"/>
          <w:szCs w:val="20"/>
        </w:rPr>
      </w:pPr>
      <w:r w:rsidRPr="00620D87">
        <w:rPr>
          <w:rFonts w:cs="Arial"/>
          <w:szCs w:val="20"/>
        </w:rPr>
        <w:t xml:space="preserve">Before making the decision to </w:t>
      </w:r>
      <w:r w:rsidR="00782F9A">
        <w:rPr>
          <w:rFonts w:cs="Arial"/>
          <w:szCs w:val="20"/>
        </w:rPr>
        <w:t xml:space="preserve">make </w:t>
      </w:r>
      <w:r w:rsidRPr="00620D87">
        <w:rPr>
          <w:rFonts w:cs="Arial"/>
          <w:szCs w:val="20"/>
        </w:rPr>
        <w:t xml:space="preserve">this legislative instrument, </w:t>
      </w:r>
      <w:r w:rsidR="004F526C" w:rsidRPr="00620D87">
        <w:rPr>
          <w:rFonts w:cs="Arial"/>
          <w:szCs w:val="20"/>
        </w:rPr>
        <w:t xml:space="preserve">ASIC consulted </w:t>
      </w:r>
      <w:r w:rsidR="005A1709" w:rsidRPr="00620D87">
        <w:rPr>
          <w:rFonts w:cs="Arial"/>
          <w:szCs w:val="20"/>
        </w:rPr>
        <w:t xml:space="preserve">broadly </w:t>
      </w:r>
      <w:r w:rsidR="004F526C" w:rsidRPr="00620D87">
        <w:rPr>
          <w:rFonts w:cs="Arial"/>
          <w:szCs w:val="20"/>
        </w:rPr>
        <w:t>with</w:t>
      </w:r>
      <w:r w:rsidR="003F3957">
        <w:rPr>
          <w:rFonts w:cs="Arial"/>
          <w:szCs w:val="20"/>
        </w:rPr>
        <w:t xml:space="preserve"> the following</w:t>
      </w:r>
      <w:r w:rsidR="004F526C" w:rsidRPr="00620D87">
        <w:rPr>
          <w:rFonts w:cs="Arial"/>
          <w:szCs w:val="20"/>
        </w:rPr>
        <w:t xml:space="preserve"> industry bodies</w:t>
      </w:r>
      <w:r w:rsidRPr="00620D87">
        <w:rPr>
          <w:rFonts w:cs="Arial"/>
          <w:szCs w:val="20"/>
        </w:rPr>
        <w:t xml:space="preserve"> on the problems raised by flex commissions, possible regulatory options</w:t>
      </w:r>
      <w:r w:rsidR="00782F9A">
        <w:rPr>
          <w:rFonts w:cs="Arial"/>
          <w:szCs w:val="20"/>
        </w:rPr>
        <w:t>, and on the form of the instrument itself</w:t>
      </w:r>
      <w:r w:rsidR="004F526C" w:rsidRPr="00620D87">
        <w:rPr>
          <w:rFonts w:cs="Arial"/>
          <w:szCs w:val="20"/>
        </w:rPr>
        <w:t>:</w:t>
      </w:r>
    </w:p>
    <w:p w14:paraId="03052758" w14:textId="7D1A94E0" w:rsidR="004F526C" w:rsidRPr="00620D87" w:rsidRDefault="004F526C" w:rsidP="00AB0F9E">
      <w:pPr>
        <w:pStyle w:val="ListParagraph"/>
        <w:numPr>
          <w:ilvl w:val="0"/>
          <w:numId w:val="16"/>
        </w:numPr>
        <w:spacing w:after="240" w:line="276" w:lineRule="auto"/>
        <w:rPr>
          <w:rFonts w:cs="Arial"/>
          <w:szCs w:val="20"/>
        </w:rPr>
      </w:pPr>
      <w:r w:rsidRPr="00620D87">
        <w:rPr>
          <w:rFonts w:cs="Arial"/>
          <w:szCs w:val="20"/>
        </w:rPr>
        <w:t>the industry body for lenders in the car finance sector, the Australian Finance Conference;</w:t>
      </w:r>
    </w:p>
    <w:p w14:paraId="77C3164F" w14:textId="11E9B28A" w:rsidR="004F526C" w:rsidRPr="00620D87" w:rsidRDefault="004F526C" w:rsidP="00AB0F9E">
      <w:pPr>
        <w:pStyle w:val="ListParagraph"/>
        <w:numPr>
          <w:ilvl w:val="0"/>
          <w:numId w:val="16"/>
        </w:numPr>
        <w:spacing w:after="240" w:line="276" w:lineRule="auto"/>
        <w:rPr>
          <w:rFonts w:cs="Arial"/>
          <w:szCs w:val="20"/>
        </w:rPr>
      </w:pPr>
      <w:r w:rsidRPr="00620D87">
        <w:rPr>
          <w:rFonts w:cs="Arial"/>
          <w:szCs w:val="20"/>
        </w:rPr>
        <w:t xml:space="preserve">the two industry bodies for the broader loan distribution sector: </w:t>
      </w:r>
    </w:p>
    <w:p w14:paraId="123BCF83" w14:textId="6E449FE1" w:rsidR="004F526C" w:rsidRPr="00620D87" w:rsidRDefault="004F526C" w:rsidP="00AB0F9E">
      <w:pPr>
        <w:pStyle w:val="ListParagraph"/>
        <w:numPr>
          <w:ilvl w:val="1"/>
          <w:numId w:val="16"/>
        </w:numPr>
        <w:spacing w:after="240" w:line="276" w:lineRule="auto"/>
        <w:rPr>
          <w:rFonts w:cs="Arial"/>
          <w:szCs w:val="20"/>
        </w:rPr>
      </w:pPr>
      <w:r w:rsidRPr="00620D87">
        <w:rPr>
          <w:rFonts w:cs="Arial"/>
          <w:szCs w:val="20"/>
        </w:rPr>
        <w:t xml:space="preserve">the Mortgage &amp; Finance Association of Australia, which represents mortgage and finance brokers and other intermediaries, including mortgage management businesses, and both banks and non-bank lenders; and </w:t>
      </w:r>
    </w:p>
    <w:p w14:paraId="1B9493E8" w14:textId="1266F5ED" w:rsidR="004F526C" w:rsidRPr="00620D87" w:rsidRDefault="004F526C" w:rsidP="00AB0F9E">
      <w:pPr>
        <w:pStyle w:val="ListParagraph"/>
        <w:numPr>
          <w:ilvl w:val="1"/>
          <w:numId w:val="16"/>
        </w:numPr>
        <w:spacing w:after="240" w:line="276" w:lineRule="auto"/>
        <w:rPr>
          <w:rFonts w:cs="Arial"/>
          <w:szCs w:val="20"/>
        </w:rPr>
      </w:pPr>
      <w:r w:rsidRPr="00620D87">
        <w:rPr>
          <w:rFonts w:cs="Arial"/>
          <w:szCs w:val="20"/>
        </w:rPr>
        <w:t>the Finance Brokers Association of Australia Limited, a national association representing finance and mortgage loan writers throughout Australia;</w:t>
      </w:r>
    </w:p>
    <w:p w14:paraId="2DFAF16A" w14:textId="558C06C9" w:rsidR="004F526C" w:rsidRPr="00620D87" w:rsidRDefault="004F526C" w:rsidP="00AB0F9E">
      <w:pPr>
        <w:pStyle w:val="ListParagraph"/>
        <w:numPr>
          <w:ilvl w:val="0"/>
          <w:numId w:val="16"/>
        </w:numPr>
        <w:spacing w:after="240" w:line="276" w:lineRule="auto"/>
        <w:rPr>
          <w:rFonts w:cs="Arial"/>
          <w:szCs w:val="20"/>
        </w:rPr>
      </w:pPr>
      <w:r w:rsidRPr="00620D87">
        <w:rPr>
          <w:rFonts w:cs="Arial"/>
          <w:szCs w:val="20"/>
        </w:rPr>
        <w:t xml:space="preserve">the industry body that advocates for Australia’s customer owned banking sector, the Customer Owned Banking Association, which represents mutual banks, credit unions and building societies; </w:t>
      </w:r>
    </w:p>
    <w:p w14:paraId="0F0C49F3" w14:textId="77ED21D6" w:rsidR="004F526C" w:rsidRPr="00620D87" w:rsidRDefault="004F526C" w:rsidP="00AB0F9E">
      <w:pPr>
        <w:pStyle w:val="ListParagraph"/>
        <w:numPr>
          <w:ilvl w:val="0"/>
          <w:numId w:val="16"/>
        </w:numPr>
        <w:spacing w:after="240" w:line="276" w:lineRule="auto"/>
        <w:rPr>
          <w:rFonts w:cs="Arial"/>
          <w:szCs w:val="20"/>
        </w:rPr>
      </w:pPr>
      <w:r w:rsidRPr="00620D87">
        <w:rPr>
          <w:rFonts w:cs="Arial"/>
          <w:szCs w:val="20"/>
        </w:rPr>
        <w:t>the national body for commercial equipment finance brokers, the Commercial Asset Finance Brokers Association of Australia Limited;</w:t>
      </w:r>
    </w:p>
    <w:p w14:paraId="657DABF8" w14:textId="569B2995" w:rsidR="004F526C" w:rsidRPr="00620D87" w:rsidRDefault="004F526C" w:rsidP="00AB0F9E">
      <w:pPr>
        <w:pStyle w:val="ListParagraph"/>
        <w:numPr>
          <w:ilvl w:val="0"/>
          <w:numId w:val="16"/>
        </w:numPr>
        <w:spacing w:after="240" w:line="276" w:lineRule="auto"/>
        <w:rPr>
          <w:rFonts w:cs="Arial"/>
          <w:szCs w:val="20"/>
        </w:rPr>
      </w:pPr>
      <w:r w:rsidRPr="00620D87">
        <w:rPr>
          <w:rFonts w:cs="Arial"/>
          <w:szCs w:val="20"/>
        </w:rPr>
        <w:t>the principal industry body representing franchised new car dealers, the Australian Automotive Dealer Association; and</w:t>
      </w:r>
    </w:p>
    <w:p w14:paraId="213B27E1" w14:textId="056FC164" w:rsidR="004F526C" w:rsidRPr="00620D87" w:rsidRDefault="004F526C" w:rsidP="00AB0F9E">
      <w:pPr>
        <w:pStyle w:val="ListParagraph"/>
        <w:numPr>
          <w:ilvl w:val="0"/>
          <w:numId w:val="16"/>
        </w:numPr>
        <w:spacing w:after="240" w:line="276" w:lineRule="auto"/>
        <w:rPr>
          <w:rFonts w:cs="Arial"/>
          <w:szCs w:val="20"/>
        </w:rPr>
      </w:pPr>
      <w:proofErr w:type="gramStart"/>
      <w:r w:rsidRPr="00620D87">
        <w:rPr>
          <w:rFonts w:cs="Arial"/>
          <w:szCs w:val="20"/>
        </w:rPr>
        <w:t>the</w:t>
      </w:r>
      <w:proofErr w:type="gramEnd"/>
      <w:r w:rsidRPr="00620D87">
        <w:rPr>
          <w:rFonts w:cs="Arial"/>
          <w:szCs w:val="20"/>
        </w:rPr>
        <w:t xml:space="preserve"> Motor Trades Association of Australia Limited, which represents the motor traders associations operating in each State and Territory whose membership includes both new and used car dealerships. </w:t>
      </w:r>
    </w:p>
    <w:p w14:paraId="676D586A" w14:textId="010D8088" w:rsidR="0009058C" w:rsidRDefault="004F526C" w:rsidP="00DD635A">
      <w:pPr>
        <w:spacing w:after="240" w:line="276" w:lineRule="auto"/>
        <w:contextualSpacing/>
        <w:rPr>
          <w:rFonts w:cs="Arial"/>
          <w:szCs w:val="20"/>
        </w:rPr>
      </w:pPr>
      <w:r w:rsidRPr="00620D87">
        <w:rPr>
          <w:rFonts w:cs="Arial"/>
          <w:szCs w:val="20"/>
        </w:rPr>
        <w:t>ASIC also consulted with:</w:t>
      </w:r>
    </w:p>
    <w:p w14:paraId="3F85BA4F" w14:textId="21BCEA69" w:rsidR="004F526C" w:rsidRPr="00620D87" w:rsidRDefault="004F526C" w:rsidP="00AB0F9E">
      <w:pPr>
        <w:pStyle w:val="ListParagraph"/>
        <w:numPr>
          <w:ilvl w:val="0"/>
          <w:numId w:val="17"/>
        </w:numPr>
        <w:spacing w:after="240" w:line="276" w:lineRule="auto"/>
        <w:rPr>
          <w:rFonts w:cs="Arial"/>
          <w:szCs w:val="20"/>
        </w:rPr>
      </w:pPr>
      <w:r w:rsidRPr="00620D87">
        <w:rPr>
          <w:rFonts w:cs="Arial"/>
          <w:szCs w:val="20"/>
        </w:rPr>
        <w:t>lenders who provide car finance, including authorised deposit-taking institutions (ADIs) and non-ADIs, lenders who specialise in this market, and lenders who offer a broad range of credit products, including car loans;</w:t>
      </w:r>
    </w:p>
    <w:p w14:paraId="08494FBB" w14:textId="544A6052" w:rsidR="004F526C" w:rsidRPr="00620D87" w:rsidRDefault="004F526C" w:rsidP="00AB0F9E">
      <w:pPr>
        <w:pStyle w:val="ListParagraph"/>
        <w:numPr>
          <w:ilvl w:val="0"/>
          <w:numId w:val="17"/>
        </w:numPr>
        <w:spacing w:after="240" w:line="276" w:lineRule="auto"/>
        <w:rPr>
          <w:rFonts w:cs="Arial"/>
          <w:szCs w:val="20"/>
        </w:rPr>
      </w:pPr>
      <w:r w:rsidRPr="00620D87">
        <w:rPr>
          <w:rFonts w:cs="Arial"/>
          <w:szCs w:val="20"/>
        </w:rPr>
        <w:t>a number of individual car dealers or dealer groups; and</w:t>
      </w:r>
    </w:p>
    <w:p w14:paraId="7F84630A" w14:textId="6F558628" w:rsidR="004F526C" w:rsidRPr="00620D87" w:rsidRDefault="004F526C" w:rsidP="00AB0F9E">
      <w:pPr>
        <w:pStyle w:val="ListParagraph"/>
        <w:numPr>
          <w:ilvl w:val="0"/>
          <w:numId w:val="17"/>
        </w:numPr>
        <w:spacing w:after="240" w:line="276" w:lineRule="auto"/>
        <w:rPr>
          <w:rFonts w:cs="Arial"/>
          <w:szCs w:val="20"/>
        </w:rPr>
      </w:pPr>
      <w:proofErr w:type="gramStart"/>
      <w:r w:rsidRPr="00620D87">
        <w:rPr>
          <w:rFonts w:cs="Arial"/>
          <w:szCs w:val="20"/>
        </w:rPr>
        <w:t>consumer</w:t>
      </w:r>
      <w:proofErr w:type="gramEnd"/>
      <w:r w:rsidRPr="00620D87">
        <w:rPr>
          <w:rFonts w:cs="Arial"/>
          <w:szCs w:val="20"/>
        </w:rPr>
        <w:t xml:space="preserve"> advocates. </w:t>
      </w:r>
    </w:p>
    <w:p w14:paraId="57D8763A" w14:textId="5AEBEA4A" w:rsidR="00782F9A" w:rsidRDefault="004F526C" w:rsidP="00DD635A">
      <w:pPr>
        <w:spacing w:after="240" w:line="276" w:lineRule="auto"/>
        <w:contextualSpacing/>
        <w:rPr>
          <w:rFonts w:cs="Arial"/>
          <w:szCs w:val="20"/>
        </w:rPr>
      </w:pPr>
      <w:r w:rsidRPr="00620D87">
        <w:rPr>
          <w:rFonts w:cs="Arial"/>
          <w:szCs w:val="20"/>
        </w:rPr>
        <w:t>These consultations were primarily conducted through:</w:t>
      </w:r>
    </w:p>
    <w:p w14:paraId="4FCC7C0E" w14:textId="694E300C" w:rsidR="004F526C" w:rsidRPr="00620D87" w:rsidRDefault="004F526C" w:rsidP="00FF51D7">
      <w:pPr>
        <w:pStyle w:val="ListParagraph"/>
        <w:numPr>
          <w:ilvl w:val="0"/>
          <w:numId w:val="26"/>
        </w:numPr>
        <w:spacing w:after="240" w:line="276" w:lineRule="auto"/>
        <w:contextualSpacing/>
        <w:rPr>
          <w:rFonts w:cs="Arial"/>
          <w:szCs w:val="20"/>
        </w:rPr>
      </w:pPr>
      <w:r w:rsidRPr="00620D87">
        <w:rPr>
          <w:rFonts w:cs="Arial"/>
          <w:szCs w:val="20"/>
        </w:rPr>
        <w:t xml:space="preserve">consultation with targeted stakeholders </w:t>
      </w:r>
      <w:r w:rsidR="00782F9A">
        <w:rPr>
          <w:rFonts w:cs="Arial"/>
          <w:szCs w:val="20"/>
        </w:rPr>
        <w:t xml:space="preserve">on whether ASIC should take action in relation to flex commissions and the advantages and disadvantages of different regulatory options </w:t>
      </w:r>
      <w:r w:rsidRPr="00620D87">
        <w:rPr>
          <w:rFonts w:cs="Arial"/>
          <w:szCs w:val="20"/>
        </w:rPr>
        <w:t xml:space="preserve">in December 2015 and May 2016; </w:t>
      </w:r>
      <w:r w:rsidR="00782F9A">
        <w:rPr>
          <w:rFonts w:cs="Arial"/>
          <w:szCs w:val="20"/>
        </w:rPr>
        <w:br/>
      </w:r>
    </w:p>
    <w:p w14:paraId="72C0182C" w14:textId="1C3D598F" w:rsidR="004F526C" w:rsidRPr="001932A4" w:rsidRDefault="004F526C" w:rsidP="00FF51D7">
      <w:pPr>
        <w:pStyle w:val="ListParagraph"/>
        <w:numPr>
          <w:ilvl w:val="0"/>
          <w:numId w:val="26"/>
        </w:numPr>
        <w:spacing w:after="240" w:line="276" w:lineRule="auto"/>
        <w:contextualSpacing/>
        <w:rPr>
          <w:rFonts w:cs="Arial"/>
          <w:szCs w:val="20"/>
        </w:rPr>
      </w:pPr>
      <w:r w:rsidRPr="001932A4">
        <w:rPr>
          <w:rFonts w:cs="Arial"/>
          <w:szCs w:val="20"/>
        </w:rPr>
        <w:t xml:space="preserve">consideration of written responses based on these consultations; </w:t>
      </w:r>
      <w:r w:rsidR="00C91475">
        <w:rPr>
          <w:rFonts w:cs="Arial"/>
          <w:szCs w:val="20"/>
        </w:rPr>
        <w:t>and</w:t>
      </w:r>
      <w:r w:rsidR="00C91475">
        <w:rPr>
          <w:rFonts w:cs="Arial"/>
          <w:szCs w:val="20"/>
        </w:rPr>
        <w:br/>
      </w:r>
    </w:p>
    <w:p w14:paraId="4E6C5030" w14:textId="78A1772C" w:rsidR="004F526C" w:rsidRPr="00620D87" w:rsidRDefault="00390DC2" w:rsidP="00FF51D7">
      <w:pPr>
        <w:pStyle w:val="ListParagraph"/>
        <w:numPr>
          <w:ilvl w:val="0"/>
          <w:numId w:val="26"/>
        </w:numPr>
        <w:spacing w:after="240" w:line="276" w:lineRule="auto"/>
        <w:contextualSpacing/>
        <w:rPr>
          <w:rFonts w:cs="Arial"/>
          <w:szCs w:val="20"/>
        </w:rPr>
      </w:pPr>
      <w:proofErr w:type="gramStart"/>
      <w:r>
        <w:rPr>
          <w:rFonts w:cs="Arial"/>
          <w:szCs w:val="20"/>
        </w:rPr>
        <w:t>meetings</w:t>
      </w:r>
      <w:proofErr w:type="gramEnd"/>
      <w:r>
        <w:rPr>
          <w:rFonts w:cs="Arial"/>
          <w:szCs w:val="20"/>
        </w:rPr>
        <w:t xml:space="preserve"> </w:t>
      </w:r>
      <w:r w:rsidR="004F526C" w:rsidRPr="00620D87">
        <w:rPr>
          <w:rFonts w:cs="Arial"/>
          <w:szCs w:val="20"/>
        </w:rPr>
        <w:t xml:space="preserve">with representatives of some of the consulted groups. </w:t>
      </w:r>
    </w:p>
    <w:p w14:paraId="1DE43EB8" w14:textId="39A86911" w:rsidR="0009058C" w:rsidRPr="00620D87" w:rsidRDefault="005A1709" w:rsidP="00212C33">
      <w:pPr>
        <w:spacing w:after="240"/>
        <w:rPr>
          <w:rFonts w:cs="Arial"/>
          <w:szCs w:val="20"/>
        </w:rPr>
      </w:pPr>
      <w:r w:rsidRPr="00620D87">
        <w:rPr>
          <w:rFonts w:cs="Arial"/>
          <w:szCs w:val="20"/>
        </w:rPr>
        <w:t>In these consultations, t</w:t>
      </w:r>
      <w:r w:rsidR="00CB41D7" w:rsidRPr="00620D87">
        <w:rPr>
          <w:rFonts w:cs="Arial"/>
          <w:szCs w:val="20"/>
        </w:rPr>
        <w:t>here was broad (but not unanimous) agreement on three issues:</w:t>
      </w:r>
    </w:p>
    <w:p w14:paraId="35105593" w14:textId="5967F0FB" w:rsidR="00CB41D7" w:rsidRPr="00620D87" w:rsidRDefault="00CB41D7" w:rsidP="00AB0F9E">
      <w:pPr>
        <w:pStyle w:val="ListParagraph"/>
        <w:numPr>
          <w:ilvl w:val="0"/>
          <w:numId w:val="18"/>
        </w:numPr>
        <w:spacing w:after="240" w:line="276" w:lineRule="auto"/>
        <w:rPr>
          <w:rFonts w:cs="Arial"/>
          <w:szCs w:val="20"/>
        </w:rPr>
      </w:pPr>
      <w:r w:rsidRPr="00620D87">
        <w:rPr>
          <w:rFonts w:cs="Arial"/>
          <w:szCs w:val="20"/>
        </w:rPr>
        <w:t xml:space="preserve">It was accepted that flex commissions caused harm, although there was disagreement about the extent of this harm, particularly as to whether it only applied to ‘outlier’ transactions with the highest </w:t>
      </w:r>
      <w:r w:rsidR="00191BE2">
        <w:rPr>
          <w:rFonts w:cs="Arial"/>
          <w:szCs w:val="20"/>
        </w:rPr>
        <w:t>annual percentage rate</w:t>
      </w:r>
      <w:r w:rsidRPr="00620D87">
        <w:rPr>
          <w:rFonts w:cs="Arial"/>
          <w:szCs w:val="20"/>
        </w:rPr>
        <w:t>s or more broadly.</w:t>
      </w:r>
    </w:p>
    <w:p w14:paraId="4EAFA9F7" w14:textId="1A5CEA79" w:rsidR="00CB41D7" w:rsidRPr="00620D87" w:rsidRDefault="00CB41D7" w:rsidP="00AB0F9E">
      <w:pPr>
        <w:pStyle w:val="ListParagraph"/>
        <w:numPr>
          <w:ilvl w:val="0"/>
          <w:numId w:val="18"/>
        </w:numPr>
        <w:spacing w:after="240" w:line="276" w:lineRule="auto"/>
        <w:rPr>
          <w:rFonts w:cs="Arial"/>
          <w:szCs w:val="20"/>
        </w:rPr>
      </w:pPr>
      <w:r w:rsidRPr="00620D87">
        <w:rPr>
          <w:rFonts w:cs="Arial"/>
          <w:szCs w:val="20"/>
        </w:rPr>
        <w:t>It was accepted that it was desirable to have a collective and competitively neutral response to address the ‘first mover’ problem, and ensure that there was a smooth transition by lenders.</w:t>
      </w:r>
    </w:p>
    <w:p w14:paraId="61C42DA6" w14:textId="67901728" w:rsidR="00CB41D7" w:rsidRPr="00620D87" w:rsidRDefault="00CB41D7" w:rsidP="00AB0F9E">
      <w:pPr>
        <w:pStyle w:val="ListParagraph"/>
        <w:numPr>
          <w:ilvl w:val="0"/>
          <w:numId w:val="18"/>
        </w:numPr>
        <w:spacing w:after="240" w:line="276" w:lineRule="auto"/>
        <w:rPr>
          <w:rFonts w:cs="Arial"/>
          <w:szCs w:val="20"/>
        </w:rPr>
      </w:pPr>
      <w:r w:rsidRPr="00620D87">
        <w:rPr>
          <w:rFonts w:cs="Arial"/>
          <w:szCs w:val="20"/>
        </w:rPr>
        <w:t>It was accepted that if ASIC did prohibit flex commissions, there was a substitution risk, in that car dealers may seek to recoup lost revenue by charging higher dealer fees.</w:t>
      </w:r>
    </w:p>
    <w:p w14:paraId="75466A7A" w14:textId="7D04F66A" w:rsidR="005A1709" w:rsidRPr="00620D87" w:rsidRDefault="005A1709" w:rsidP="005A1709">
      <w:pPr>
        <w:pStyle w:val="Heading2"/>
        <w:spacing w:before="480" w:after="240"/>
        <w:rPr>
          <w:rFonts w:cs="Arial"/>
          <w:i/>
          <w:szCs w:val="20"/>
        </w:rPr>
      </w:pPr>
      <w:r w:rsidRPr="00620D87">
        <w:rPr>
          <w:rFonts w:cs="Arial"/>
          <w:szCs w:val="20"/>
        </w:rPr>
        <w:t xml:space="preserve">Consultation on </w:t>
      </w:r>
      <w:r w:rsidR="00C709E3">
        <w:rPr>
          <w:rFonts w:cs="Arial"/>
          <w:szCs w:val="20"/>
        </w:rPr>
        <w:t>terms of the instrument</w:t>
      </w:r>
    </w:p>
    <w:p w14:paraId="2B5DEEFD" w14:textId="1CCF199C" w:rsidR="00C91475" w:rsidRPr="00620D87" w:rsidRDefault="004F526C" w:rsidP="001932A4">
      <w:pPr>
        <w:spacing w:after="240"/>
        <w:rPr>
          <w:rFonts w:cs="Arial"/>
          <w:szCs w:val="20"/>
        </w:rPr>
      </w:pPr>
      <w:r w:rsidRPr="00620D87">
        <w:rPr>
          <w:rFonts w:cs="Arial"/>
          <w:szCs w:val="20"/>
        </w:rPr>
        <w:t xml:space="preserve">Following the decision to proceed with making this legislative instrument, ASIC engaged in </w:t>
      </w:r>
      <w:r w:rsidR="00D12C80">
        <w:rPr>
          <w:rFonts w:cs="Arial"/>
          <w:szCs w:val="20"/>
        </w:rPr>
        <w:t xml:space="preserve">further consultation with both industry bodies and other stakeholders </w:t>
      </w:r>
      <w:r w:rsidR="00CB41D7" w:rsidRPr="00620D87">
        <w:rPr>
          <w:rFonts w:cs="Arial"/>
          <w:szCs w:val="20"/>
        </w:rPr>
        <w:t xml:space="preserve">on a draft instrument, to ensure that </w:t>
      </w:r>
      <w:r w:rsidR="00D12C80">
        <w:rPr>
          <w:rFonts w:cs="Arial"/>
          <w:szCs w:val="20"/>
        </w:rPr>
        <w:t xml:space="preserve">it </w:t>
      </w:r>
      <w:r w:rsidR="0046251C">
        <w:rPr>
          <w:rFonts w:cs="Arial"/>
          <w:szCs w:val="20"/>
        </w:rPr>
        <w:t xml:space="preserve">would </w:t>
      </w:r>
      <w:r w:rsidR="00D12C80">
        <w:rPr>
          <w:rFonts w:cs="Arial"/>
          <w:szCs w:val="20"/>
        </w:rPr>
        <w:t xml:space="preserve">operate as intended. </w:t>
      </w:r>
      <w:r w:rsidR="00C91475">
        <w:rPr>
          <w:rFonts w:cs="Arial"/>
          <w:szCs w:val="20"/>
        </w:rPr>
        <w:t xml:space="preserve">This was primarily undertaken through Consultation Paper </w:t>
      </w:r>
      <w:r w:rsidR="00C91475" w:rsidRPr="002E38BA">
        <w:rPr>
          <w:rFonts w:cs="Arial"/>
          <w:szCs w:val="20"/>
        </w:rPr>
        <w:t>279 Flex commission arrangements in the car finance industry</w:t>
      </w:r>
      <w:r w:rsidR="00C91475">
        <w:rPr>
          <w:rFonts w:cs="Arial"/>
          <w:szCs w:val="20"/>
        </w:rPr>
        <w:t xml:space="preserve"> (released in March 2017). </w:t>
      </w:r>
    </w:p>
    <w:p w14:paraId="185D9FAF" w14:textId="77777777" w:rsidR="00492062" w:rsidRPr="00620D87" w:rsidRDefault="00492062" w:rsidP="00DD635A">
      <w:pPr>
        <w:spacing w:after="240"/>
        <w:rPr>
          <w:rFonts w:cs="Arial"/>
          <w:szCs w:val="20"/>
        </w:rPr>
      </w:pPr>
    </w:p>
    <w:p w14:paraId="5AC3BA9D" w14:textId="77777777" w:rsidR="00C1443B" w:rsidRPr="00620D87" w:rsidRDefault="00C1443B" w:rsidP="00DD635A">
      <w:pPr>
        <w:spacing w:after="240" w:line="276" w:lineRule="auto"/>
        <w:rPr>
          <w:rFonts w:cs="Arial"/>
          <w:b/>
          <w:szCs w:val="20"/>
        </w:rPr>
      </w:pPr>
      <w:r w:rsidRPr="00620D87">
        <w:rPr>
          <w:rFonts w:cs="Arial"/>
          <w:b/>
          <w:szCs w:val="20"/>
        </w:rPr>
        <w:br w:type="page"/>
      </w:r>
    </w:p>
    <w:p w14:paraId="21DB0229" w14:textId="77777777" w:rsidR="00492062" w:rsidRPr="00620D87" w:rsidRDefault="00492062" w:rsidP="00DD635A">
      <w:pPr>
        <w:spacing w:after="240"/>
        <w:jc w:val="center"/>
        <w:rPr>
          <w:rFonts w:cs="Arial"/>
          <w:b/>
          <w:szCs w:val="20"/>
        </w:rPr>
      </w:pPr>
      <w:r w:rsidRPr="00620D87">
        <w:rPr>
          <w:rFonts w:cs="Arial"/>
          <w:b/>
          <w:szCs w:val="20"/>
        </w:rPr>
        <w:t>Statement of Compatibility with Human Rights</w:t>
      </w:r>
    </w:p>
    <w:p w14:paraId="69EEB2AA" w14:textId="77777777" w:rsidR="00492062" w:rsidRPr="00620D87" w:rsidRDefault="00492062" w:rsidP="00DD635A">
      <w:pPr>
        <w:spacing w:after="240"/>
        <w:rPr>
          <w:rFonts w:cs="Arial"/>
          <w:i/>
          <w:szCs w:val="20"/>
        </w:rPr>
      </w:pPr>
    </w:p>
    <w:p w14:paraId="05490073" w14:textId="77777777" w:rsidR="00492062" w:rsidRPr="00620D87" w:rsidRDefault="00492062" w:rsidP="00DD635A">
      <w:pPr>
        <w:spacing w:after="240"/>
        <w:jc w:val="center"/>
        <w:rPr>
          <w:rFonts w:cs="Arial"/>
          <w:i/>
          <w:szCs w:val="20"/>
        </w:rPr>
      </w:pPr>
      <w:r w:rsidRPr="00620D87">
        <w:rPr>
          <w:rFonts w:cs="Arial"/>
          <w:i/>
          <w:szCs w:val="20"/>
        </w:rPr>
        <w:t>Prepared in accordance with Part 3 of the Human Rights (Parliamentary Scrutiny) Act 2011</w:t>
      </w:r>
    </w:p>
    <w:p w14:paraId="5CA2E357" w14:textId="77777777" w:rsidR="00492062" w:rsidRPr="00620D87" w:rsidRDefault="00492062" w:rsidP="00DD635A">
      <w:pPr>
        <w:spacing w:after="240"/>
        <w:rPr>
          <w:rFonts w:cs="Arial"/>
          <w:b/>
          <w:i/>
          <w:szCs w:val="20"/>
        </w:rPr>
      </w:pPr>
    </w:p>
    <w:p w14:paraId="6FF856D8" w14:textId="6565C3F9" w:rsidR="00492062" w:rsidRPr="00620D87" w:rsidRDefault="00B825A4" w:rsidP="00DD635A">
      <w:pPr>
        <w:spacing w:after="240"/>
        <w:jc w:val="center"/>
        <w:rPr>
          <w:rFonts w:cs="Arial"/>
          <w:szCs w:val="20"/>
        </w:rPr>
      </w:pPr>
      <w:r w:rsidRPr="00B825A4">
        <w:rPr>
          <w:rFonts w:cs="Arial"/>
          <w:i/>
          <w:szCs w:val="20"/>
        </w:rPr>
        <w:t xml:space="preserve"> </w:t>
      </w:r>
      <w:r w:rsidRPr="00620D87">
        <w:rPr>
          <w:rFonts w:cs="Arial"/>
          <w:i/>
          <w:szCs w:val="20"/>
        </w:rPr>
        <w:t>ASIC Credit (</w:t>
      </w:r>
      <w:r>
        <w:rPr>
          <w:rFonts w:cs="Arial"/>
          <w:i/>
          <w:szCs w:val="20"/>
        </w:rPr>
        <w:t>Flexible Credit Cost Arrangements) Instrument</w:t>
      </w:r>
      <w:r w:rsidRPr="00620D87">
        <w:rPr>
          <w:rFonts w:cs="Arial"/>
          <w:i/>
          <w:szCs w:val="20"/>
        </w:rPr>
        <w:t xml:space="preserve"> 2017/</w:t>
      </w:r>
      <w:r w:rsidR="003C58ED">
        <w:rPr>
          <w:rFonts w:cs="Arial"/>
          <w:i/>
          <w:szCs w:val="20"/>
        </w:rPr>
        <w:t>780</w:t>
      </w:r>
    </w:p>
    <w:p w14:paraId="2273DFA2" w14:textId="3901C2C8" w:rsidR="00492062" w:rsidRPr="00620D87" w:rsidRDefault="00492062" w:rsidP="00DD635A">
      <w:pPr>
        <w:spacing w:after="240"/>
        <w:rPr>
          <w:rFonts w:cs="Arial"/>
          <w:szCs w:val="20"/>
        </w:rPr>
      </w:pPr>
      <w:r w:rsidRPr="00620D87">
        <w:rPr>
          <w:rFonts w:cs="Arial"/>
          <w:szCs w:val="20"/>
        </w:rPr>
        <w:t xml:space="preserve">This </w:t>
      </w:r>
      <w:r w:rsidR="00B825A4">
        <w:rPr>
          <w:rFonts w:cs="Arial"/>
          <w:szCs w:val="20"/>
        </w:rPr>
        <w:t xml:space="preserve">legislative instrument </w:t>
      </w:r>
      <w:r w:rsidRPr="00620D87">
        <w:rPr>
          <w:rFonts w:cs="Arial"/>
          <w:szCs w:val="20"/>
        </w:rPr>
        <w:t xml:space="preserve">is compatible with the human rights and freedoms recognised or declared in the international instruments listed in section 3 of the </w:t>
      </w:r>
      <w:r w:rsidRPr="00620D87">
        <w:rPr>
          <w:rFonts w:cs="Arial"/>
          <w:i/>
          <w:szCs w:val="20"/>
        </w:rPr>
        <w:t>Human Rights (Parliamentary Scrutiny) Act 2011</w:t>
      </w:r>
      <w:r w:rsidRPr="00620D87">
        <w:rPr>
          <w:rFonts w:cs="Arial"/>
          <w:szCs w:val="20"/>
        </w:rPr>
        <w:t>.</w:t>
      </w:r>
    </w:p>
    <w:p w14:paraId="6F91A20E" w14:textId="139A3831" w:rsidR="00492062" w:rsidRPr="00620D87" w:rsidRDefault="00492062" w:rsidP="00DD635A">
      <w:pPr>
        <w:spacing w:after="240"/>
        <w:rPr>
          <w:rFonts w:cs="Arial"/>
          <w:b/>
          <w:szCs w:val="20"/>
        </w:rPr>
      </w:pPr>
      <w:r w:rsidRPr="00620D87">
        <w:rPr>
          <w:rFonts w:cs="Arial"/>
          <w:b/>
          <w:szCs w:val="20"/>
        </w:rPr>
        <w:t xml:space="preserve">Overview of the </w:t>
      </w:r>
      <w:r w:rsidR="00B825A4">
        <w:rPr>
          <w:rFonts w:cs="Arial"/>
          <w:b/>
          <w:szCs w:val="20"/>
        </w:rPr>
        <w:t>legislative instrument</w:t>
      </w:r>
    </w:p>
    <w:p w14:paraId="57D235F6" w14:textId="2CA33504" w:rsidR="00B825A4" w:rsidRDefault="00B825A4" w:rsidP="00B825A4">
      <w:pPr>
        <w:spacing w:after="240"/>
        <w:rPr>
          <w:rFonts w:cs="Arial"/>
          <w:szCs w:val="20"/>
        </w:rPr>
      </w:pPr>
      <w:r>
        <w:rPr>
          <w:rFonts w:cs="Arial"/>
          <w:szCs w:val="20"/>
        </w:rPr>
        <w:t xml:space="preserve">This legislative instrument modifies </w:t>
      </w:r>
      <w:r w:rsidRPr="00620D87">
        <w:rPr>
          <w:rFonts w:cs="Arial"/>
          <w:szCs w:val="20"/>
        </w:rPr>
        <w:t xml:space="preserve">the </w:t>
      </w:r>
      <w:r w:rsidRPr="00620D87">
        <w:rPr>
          <w:rFonts w:cs="Arial"/>
          <w:i/>
          <w:szCs w:val="20"/>
        </w:rPr>
        <w:t>National Consumer Credit Protection Act 2009</w:t>
      </w:r>
      <w:r w:rsidRPr="00620D87">
        <w:rPr>
          <w:rFonts w:cs="Arial"/>
          <w:szCs w:val="20"/>
        </w:rPr>
        <w:t xml:space="preserve"> (</w:t>
      </w:r>
      <w:r w:rsidRPr="00620D87">
        <w:rPr>
          <w:rFonts w:cs="Arial"/>
          <w:b/>
          <w:i/>
          <w:szCs w:val="20"/>
        </w:rPr>
        <w:t>National Credit Act</w:t>
      </w:r>
      <w:r w:rsidRPr="00620D87">
        <w:rPr>
          <w:rFonts w:cs="Arial"/>
          <w:szCs w:val="20"/>
        </w:rPr>
        <w:t xml:space="preserve">) </w:t>
      </w:r>
      <w:r>
        <w:rPr>
          <w:rFonts w:cs="Arial"/>
          <w:szCs w:val="20"/>
        </w:rPr>
        <w:t>by inserting a new provision that prohibits certain conduct.</w:t>
      </w:r>
    </w:p>
    <w:p w14:paraId="1F1D0296" w14:textId="366D082B" w:rsidR="00B825A4" w:rsidRPr="00620D87" w:rsidRDefault="00B825A4" w:rsidP="00B825A4">
      <w:pPr>
        <w:spacing w:after="240"/>
        <w:rPr>
          <w:rFonts w:cs="Arial"/>
          <w:szCs w:val="20"/>
        </w:rPr>
      </w:pPr>
      <w:r w:rsidRPr="00620D87">
        <w:rPr>
          <w:rFonts w:cs="Arial"/>
          <w:szCs w:val="20"/>
        </w:rPr>
        <w:t xml:space="preserve">The objectives of the </w:t>
      </w:r>
      <w:r>
        <w:rPr>
          <w:rFonts w:cs="Arial"/>
          <w:szCs w:val="20"/>
        </w:rPr>
        <w:t xml:space="preserve">instrument </w:t>
      </w:r>
      <w:r w:rsidRPr="00620D87">
        <w:rPr>
          <w:rFonts w:cs="Arial"/>
          <w:szCs w:val="20"/>
        </w:rPr>
        <w:t>are to:</w:t>
      </w:r>
    </w:p>
    <w:p w14:paraId="36F8F202" w14:textId="77777777" w:rsidR="00B825A4" w:rsidRPr="00620D87" w:rsidRDefault="00B825A4" w:rsidP="00AB0F9E">
      <w:pPr>
        <w:pStyle w:val="ListParagraph"/>
        <w:numPr>
          <w:ilvl w:val="0"/>
          <w:numId w:val="12"/>
        </w:numPr>
        <w:spacing w:after="240"/>
        <w:rPr>
          <w:rFonts w:cs="Arial"/>
          <w:szCs w:val="20"/>
        </w:rPr>
      </w:pPr>
      <w:r w:rsidRPr="00620D87">
        <w:rPr>
          <w:rFonts w:cs="Arial"/>
          <w:szCs w:val="20"/>
        </w:rPr>
        <w:t>Prohibit the payment of 'flex-commissions' (that is, arrangements with adverse consequences to the consumer where the higher the cost of credit the greater the commissions earnt).</w:t>
      </w:r>
    </w:p>
    <w:p w14:paraId="07691571" w14:textId="77777777" w:rsidR="00B825A4" w:rsidRPr="00620D87" w:rsidRDefault="00B825A4" w:rsidP="00AB0F9E">
      <w:pPr>
        <w:pStyle w:val="ListParagraph"/>
        <w:numPr>
          <w:ilvl w:val="0"/>
          <w:numId w:val="12"/>
        </w:numPr>
        <w:spacing w:after="240"/>
        <w:rPr>
          <w:rFonts w:cs="Arial"/>
          <w:szCs w:val="20"/>
        </w:rPr>
      </w:pPr>
      <w:r w:rsidRPr="00620D87">
        <w:rPr>
          <w:rFonts w:cs="Arial"/>
          <w:szCs w:val="20"/>
        </w:rPr>
        <w:t>Provide for a limited exception to the prohibition that operates in favour of the consumer (for example, allowing lower commissions to be paid where the price of credit reduces).</w:t>
      </w:r>
    </w:p>
    <w:p w14:paraId="656833F1" w14:textId="77777777" w:rsidR="00B825A4" w:rsidRPr="00620D87" w:rsidRDefault="00B825A4" w:rsidP="00AB0F9E">
      <w:pPr>
        <w:pStyle w:val="ListParagraph"/>
        <w:numPr>
          <w:ilvl w:val="0"/>
          <w:numId w:val="12"/>
        </w:numPr>
        <w:spacing w:after="240"/>
        <w:rPr>
          <w:rFonts w:cs="Arial"/>
          <w:szCs w:val="20"/>
        </w:rPr>
      </w:pPr>
      <w:r w:rsidRPr="00620D87">
        <w:rPr>
          <w:rFonts w:cs="Arial"/>
          <w:szCs w:val="20"/>
        </w:rPr>
        <w:t xml:space="preserve">Address the risk of avoidance by casting the prohibition in broad terms. </w:t>
      </w:r>
    </w:p>
    <w:p w14:paraId="699D7E9D" w14:textId="77777777" w:rsidR="00B825A4" w:rsidRPr="00620D87" w:rsidRDefault="00B825A4" w:rsidP="00B825A4">
      <w:pPr>
        <w:spacing w:after="240"/>
        <w:rPr>
          <w:rFonts w:cs="Arial"/>
          <w:szCs w:val="20"/>
        </w:rPr>
      </w:pPr>
      <w:r>
        <w:rPr>
          <w:rFonts w:cs="Arial"/>
          <w:szCs w:val="20"/>
        </w:rPr>
        <w:t>It is expected the introduction of the prohibition will</w:t>
      </w:r>
      <w:r w:rsidRPr="00620D87">
        <w:rPr>
          <w:rFonts w:cs="Arial"/>
          <w:szCs w:val="20"/>
        </w:rPr>
        <w:t>:</w:t>
      </w:r>
    </w:p>
    <w:p w14:paraId="5A0F339C" w14:textId="77777777" w:rsidR="00B825A4" w:rsidRPr="00620D87" w:rsidRDefault="00B825A4" w:rsidP="00AB0F9E">
      <w:pPr>
        <w:pStyle w:val="ListParagraph"/>
        <w:numPr>
          <w:ilvl w:val="0"/>
          <w:numId w:val="6"/>
        </w:numPr>
        <w:spacing w:after="240"/>
        <w:rPr>
          <w:rFonts w:cs="Arial"/>
          <w:szCs w:val="20"/>
        </w:rPr>
      </w:pPr>
      <w:r w:rsidRPr="00620D87">
        <w:rPr>
          <w:rFonts w:cs="Arial"/>
          <w:szCs w:val="20"/>
        </w:rPr>
        <w:t>encourage lenders to develop more accurate pricing for risk models, in which the cost of credit will be more closely linked to the consumer’s financial circumstances and background; and</w:t>
      </w:r>
    </w:p>
    <w:p w14:paraId="143BDB10" w14:textId="77777777" w:rsidR="00B825A4" w:rsidRPr="00620D87" w:rsidRDefault="00B825A4" w:rsidP="00AB0F9E">
      <w:pPr>
        <w:pStyle w:val="ListParagraph"/>
        <w:numPr>
          <w:ilvl w:val="0"/>
          <w:numId w:val="6"/>
        </w:numPr>
        <w:spacing w:after="240"/>
        <w:rPr>
          <w:rFonts w:cs="Arial"/>
          <w:szCs w:val="20"/>
        </w:rPr>
      </w:pPr>
      <w:proofErr w:type="gramStart"/>
      <w:r w:rsidRPr="00620D87">
        <w:rPr>
          <w:rFonts w:cs="Arial"/>
          <w:szCs w:val="20"/>
        </w:rPr>
        <w:t>produce</w:t>
      </w:r>
      <w:proofErr w:type="gramEnd"/>
      <w:r w:rsidRPr="00620D87">
        <w:rPr>
          <w:rFonts w:cs="Arial"/>
          <w:szCs w:val="20"/>
        </w:rPr>
        <w:t xml:space="preserve"> better outcomes for consumers, including more transparency in the pricing of credit, more efficient pricing models, a reduction in average interest rates as a result of more visible competition through advertising and lower losses through defaults.</w:t>
      </w:r>
    </w:p>
    <w:p w14:paraId="5F69E94C" w14:textId="77777777" w:rsidR="00492062" w:rsidRPr="00620D87" w:rsidRDefault="00492062" w:rsidP="00DD635A">
      <w:pPr>
        <w:spacing w:after="240"/>
        <w:rPr>
          <w:rFonts w:cs="Arial"/>
          <w:b/>
          <w:szCs w:val="20"/>
        </w:rPr>
      </w:pPr>
      <w:r w:rsidRPr="00620D87">
        <w:rPr>
          <w:rFonts w:cs="Arial"/>
          <w:b/>
          <w:szCs w:val="20"/>
        </w:rPr>
        <w:t>Human rights implications</w:t>
      </w:r>
    </w:p>
    <w:p w14:paraId="02125A52" w14:textId="37467670" w:rsidR="00492062" w:rsidRPr="00620D87" w:rsidRDefault="00492062" w:rsidP="00DD635A">
      <w:pPr>
        <w:spacing w:after="240"/>
        <w:rPr>
          <w:rFonts w:cs="Arial"/>
          <w:szCs w:val="20"/>
        </w:rPr>
      </w:pPr>
      <w:r w:rsidRPr="00620D87">
        <w:rPr>
          <w:rFonts w:cs="Arial"/>
          <w:szCs w:val="20"/>
        </w:rPr>
        <w:t xml:space="preserve">This </w:t>
      </w:r>
      <w:r w:rsidR="0046251C">
        <w:rPr>
          <w:rFonts w:cs="Arial"/>
          <w:szCs w:val="20"/>
        </w:rPr>
        <w:t xml:space="preserve">instrument </w:t>
      </w:r>
      <w:r w:rsidRPr="00620D87">
        <w:rPr>
          <w:rFonts w:cs="Arial"/>
          <w:szCs w:val="20"/>
        </w:rPr>
        <w:t>does not engage any of the applicable rights or freedoms.</w:t>
      </w:r>
    </w:p>
    <w:p w14:paraId="78B3B67B" w14:textId="77777777" w:rsidR="00492062" w:rsidRPr="00620D87" w:rsidRDefault="00492062" w:rsidP="00DD635A">
      <w:pPr>
        <w:spacing w:after="240"/>
        <w:rPr>
          <w:rFonts w:cs="Arial"/>
          <w:b/>
          <w:szCs w:val="20"/>
        </w:rPr>
      </w:pPr>
      <w:r w:rsidRPr="00620D87">
        <w:rPr>
          <w:rFonts w:cs="Arial"/>
          <w:b/>
          <w:szCs w:val="20"/>
        </w:rPr>
        <w:t>Conclusion</w:t>
      </w:r>
    </w:p>
    <w:p w14:paraId="4E1DA712" w14:textId="11344261" w:rsidR="00E94673" w:rsidRDefault="00492062">
      <w:pPr>
        <w:spacing w:after="240"/>
        <w:rPr>
          <w:rFonts w:cs="Arial"/>
          <w:szCs w:val="20"/>
        </w:rPr>
      </w:pPr>
      <w:r w:rsidRPr="00620D87">
        <w:rPr>
          <w:rFonts w:cs="Arial"/>
          <w:szCs w:val="20"/>
        </w:rPr>
        <w:t xml:space="preserve">This </w:t>
      </w:r>
      <w:r w:rsidR="0046251C">
        <w:rPr>
          <w:rFonts w:cs="Arial"/>
          <w:szCs w:val="20"/>
        </w:rPr>
        <w:t xml:space="preserve">instrument </w:t>
      </w:r>
      <w:r w:rsidRPr="00620D87">
        <w:rPr>
          <w:rFonts w:cs="Arial"/>
          <w:szCs w:val="20"/>
        </w:rPr>
        <w:t>is compatible with human rights as it does not raise any human rights issues.</w:t>
      </w:r>
      <w:r w:rsidR="003F3957" w:rsidDel="003F3957">
        <w:rPr>
          <w:rFonts w:cs="Arial"/>
          <w:szCs w:val="20"/>
        </w:rPr>
        <w:t xml:space="preserve"> </w:t>
      </w:r>
    </w:p>
    <w:p w14:paraId="53F5F2A9" w14:textId="4D67525C" w:rsidR="00797D44" w:rsidRPr="00620D87" w:rsidRDefault="00797D44" w:rsidP="00BE2427">
      <w:pPr>
        <w:spacing w:after="240"/>
        <w:rPr>
          <w:rFonts w:cs="Arial"/>
          <w:szCs w:val="20"/>
        </w:rPr>
      </w:pPr>
    </w:p>
    <w:sectPr w:rsidR="00797D44" w:rsidRPr="00620D87" w:rsidSect="003F30CC">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A015D" w14:textId="77777777" w:rsidR="00C222E7" w:rsidRDefault="00C222E7" w:rsidP="00DD635A">
      <w:pPr>
        <w:spacing w:after="240"/>
      </w:pPr>
      <w:r>
        <w:separator/>
      </w:r>
    </w:p>
  </w:endnote>
  <w:endnote w:type="continuationSeparator" w:id="0">
    <w:p w14:paraId="4A6E4C17" w14:textId="77777777" w:rsidR="00C222E7" w:rsidRDefault="00C222E7" w:rsidP="00DD635A">
      <w:pPr>
        <w:spacing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4A1C9" w14:textId="77777777" w:rsidR="0046251C" w:rsidRDefault="0046251C" w:rsidP="0046251C">
    <w:pPr>
      <w:pStyle w:val="Footer"/>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42696" w14:textId="77777777" w:rsidR="0046251C" w:rsidRDefault="0046251C" w:rsidP="0046251C">
    <w:pPr>
      <w:pStyle w:val="Footer"/>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3DFE4" w14:textId="77777777" w:rsidR="0046251C" w:rsidRDefault="0046251C" w:rsidP="0046251C">
    <w:pPr>
      <w:pStyle w:val="Foote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05F30" w14:textId="77777777" w:rsidR="00C222E7" w:rsidRDefault="00C222E7" w:rsidP="00DD635A">
      <w:pPr>
        <w:spacing w:after="240"/>
      </w:pPr>
      <w:r>
        <w:separator/>
      </w:r>
    </w:p>
  </w:footnote>
  <w:footnote w:type="continuationSeparator" w:id="0">
    <w:p w14:paraId="16C884A1" w14:textId="77777777" w:rsidR="00C222E7" w:rsidRDefault="00C222E7" w:rsidP="00DD635A">
      <w:pPr>
        <w:spacing w:after="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18B1F" w14:textId="77777777" w:rsidR="0046251C" w:rsidRDefault="0046251C" w:rsidP="0046251C">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33237" w14:textId="6FC5EE45" w:rsidR="00C222E7" w:rsidRDefault="009868E8" w:rsidP="00DD635A">
    <w:pPr>
      <w:pStyle w:val="Header"/>
      <w:spacing w:after="240"/>
      <w:jc w:val="center"/>
    </w:pPr>
    <w:sdt>
      <w:sdtPr>
        <w:id w:val="56591391"/>
        <w:docPartObj>
          <w:docPartGallery w:val="Page Numbers (Top of Page)"/>
          <w:docPartUnique/>
        </w:docPartObj>
      </w:sdtPr>
      <w:sdtEndPr/>
      <w:sdtContent>
        <w:r w:rsidR="00C222E7">
          <w:fldChar w:fldCharType="begin"/>
        </w:r>
        <w:r w:rsidR="00C222E7">
          <w:instrText xml:space="preserve"> PAGE   \* MERGEFORMAT </w:instrText>
        </w:r>
        <w:r w:rsidR="00C222E7">
          <w:fldChar w:fldCharType="separate"/>
        </w:r>
        <w:r>
          <w:rPr>
            <w:noProof/>
          </w:rPr>
          <w:t>14</w:t>
        </w:r>
        <w:r w:rsidR="00C222E7">
          <w:rPr>
            <w:noProof/>
          </w:rPr>
          <w:fldChar w:fldCharType="end"/>
        </w:r>
      </w:sdtContent>
    </w:sdt>
  </w:p>
  <w:p w14:paraId="549A646F" w14:textId="77777777" w:rsidR="00C222E7" w:rsidRDefault="00C222E7" w:rsidP="00DD635A">
    <w:pPr>
      <w:pStyle w:val="Header"/>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857B0" w14:textId="0D9BE4AF" w:rsidR="0046251C" w:rsidRDefault="0046251C" w:rsidP="0046251C">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1AC"/>
    <w:multiLevelType w:val="hybridMultilevel"/>
    <w:tmpl w:val="A3907F12"/>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4F7EAC"/>
    <w:multiLevelType w:val="hybridMultilevel"/>
    <w:tmpl w:val="E13C6B08"/>
    <w:lvl w:ilvl="0" w:tplc="59BC14B0">
      <w:start w:val="1"/>
      <w:numFmt w:val="lowerLetter"/>
      <w:lvlText w:val="(%1)"/>
      <w:lvlJc w:val="left"/>
      <w:pPr>
        <w:ind w:left="769" w:hanging="360"/>
      </w:pPr>
      <w:rPr>
        <w:rFonts w:hint="default"/>
      </w:rPr>
    </w:lvl>
    <w:lvl w:ilvl="1" w:tplc="0C090019">
      <w:start w:val="1"/>
      <w:numFmt w:val="lowerLetter"/>
      <w:lvlText w:val="%2."/>
      <w:lvlJc w:val="left"/>
      <w:pPr>
        <w:ind w:left="1489" w:hanging="360"/>
      </w:pPr>
    </w:lvl>
    <w:lvl w:ilvl="2" w:tplc="0C09001B">
      <w:start w:val="1"/>
      <w:numFmt w:val="lowerRoman"/>
      <w:lvlText w:val="%3."/>
      <w:lvlJc w:val="right"/>
      <w:pPr>
        <w:ind w:left="2209" w:hanging="180"/>
      </w:pPr>
    </w:lvl>
    <w:lvl w:ilvl="3" w:tplc="0C09000F" w:tentative="1">
      <w:start w:val="1"/>
      <w:numFmt w:val="decimal"/>
      <w:lvlText w:val="%4."/>
      <w:lvlJc w:val="left"/>
      <w:pPr>
        <w:ind w:left="2929" w:hanging="360"/>
      </w:pPr>
    </w:lvl>
    <w:lvl w:ilvl="4" w:tplc="0C090019" w:tentative="1">
      <w:start w:val="1"/>
      <w:numFmt w:val="lowerLetter"/>
      <w:lvlText w:val="%5."/>
      <w:lvlJc w:val="left"/>
      <w:pPr>
        <w:ind w:left="3649" w:hanging="360"/>
      </w:pPr>
    </w:lvl>
    <w:lvl w:ilvl="5" w:tplc="0C09001B" w:tentative="1">
      <w:start w:val="1"/>
      <w:numFmt w:val="lowerRoman"/>
      <w:lvlText w:val="%6."/>
      <w:lvlJc w:val="right"/>
      <w:pPr>
        <w:ind w:left="4369" w:hanging="180"/>
      </w:pPr>
    </w:lvl>
    <w:lvl w:ilvl="6" w:tplc="0C09000F" w:tentative="1">
      <w:start w:val="1"/>
      <w:numFmt w:val="decimal"/>
      <w:lvlText w:val="%7."/>
      <w:lvlJc w:val="left"/>
      <w:pPr>
        <w:ind w:left="5089" w:hanging="360"/>
      </w:pPr>
    </w:lvl>
    <w:lvl w:ilvl="7" w:tplc="0C090019" w:tentative="1">
      <w:start w:val="1"/>
      <w:numFmt w:val="lowerLetter"/>
      <w:lvlText w:val="%8."/>
      <w:lvlJc w:val="left"/>
      <w:pPr>
        <w:ind w:left="5809" w:hanging="360"/>
      </w:pPr>
    </w:lvl>
    <w:lvl w:ilvl="8" w:tplc="0C09001B" w:tentative="1">
      <w:start w:val="1"/>
      <w:numFmt w:val="lowerRoman"/>
      <w:lvlText w:val="%9."/>
      <w:lvlJc w:val="right"/>
      <w:pPr>
        <w:ind w:left="6529" w:hanging="180"/>
      </w:pPr>
    </w:lvl>
  </w:abstractNum>
  <w:abstractNum w:abstractNumId="2">
    <w:nsid w:val="0A632240"/>
    <w:multiLevelType w:val="multilevel"/>
    <w:tmpl w:val="B43274EA"/>
    <w:lvl w:ilvl="0">
      <w:start w:val="1"/>
      <w:numFmt w:val="decimal"/>
      <w:pStyle w:val="Heading1"/>
      <w:lvlText w:val="%1."/>
      <w:lvlJc w:val="left"/>
      <w:pPr>
        <w:ind w:left="567" w:hanging="567"/>
      </w:pPr>
      <w:rPr>
        <w:rFonts w:hint="default"/>
      </w:rPr>
    </w:lvl>
    <w:lvl w:ilvl="1">
      <w:start w:val="1"/>
      <w:numFmt w:val="upperLetter"/>
      <w:pStyle w:val="Heading2"/>
      <w:lvlText w:val="%2."/>
      <w:lvlJc w:val="left"/>
      <w:pPr>
        <w:ind w:left="567" w:hanging="567"/>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FDE7DC2"/>
    <w:multiLevelType w:val="hybridMultilevel"/>
    <w:tmpl w:val="829C38FE"/>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714E49"/>
    <w:multiLevelType w:val="hybridMultilevel"/>
    <w:tmpl w:val="1A20A396"/>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E162A5"/>
    <w:multiLevelType w:val="hybridMultilevel"/>
    <w:tmpl w:val="6204B306"/>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7C7B57"/>
    <w:multiLevelType w:val="hybridMultilevel"/>
    <w:tmpl w:val="340E8F5A"/>
    <w:lvl w:ilvl="0" w:tplc="AC7CA852">
      <w:start w:val="1"/>
      <w:numFmt w:val="lowerLetter"/>
      <w:lvlText w:val="(%1)"/>
      <w:lvlJc w:val="left"/>
      <w:pPr>
        <w:ind w:left="778" w:hanging="360"/>
      </w:pPr>
      <w:rPr>
        <w:rFonts w:hint="default"/>
        <w:b w:val="0"/>
        <w:i w:val="0"/>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7">
    <w:nsid w:val="19906E2E"/>
    <w:multiLevelType w:val="hybridMultilevel"/>
    <w:tmpl w:val="65F4A426"/>
    <w:lvl w:ilvl="0" w:tplc="59BC14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897EBB"/>
    <w:multiLevelType w:val="hybridMultilevel"/>
    <w:tmpl w:val="272074B0"/>
    <w:lvl w:ilvl="0" w:tplc="59BC1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FD238F"/>
    <w:multiLevelType w:val="hybridMultilevel"/>
    <w:tmpl w:val="A4305242"/>
    <w:lvl w:ilvl="0" w:tplc="59BC14B0">
      <w:start w:val="1"/>
      <w:numFmt w:val="lowerLetter"/>
      <w:lvlText w:val="(%1)"/>
      <w:lvlJc w:val="left"/>
      <w:pPr>
        <w:ind w:left="769" w:hanging="360"/>
      </w:pPr>
      <w:rPr>
        <w:rFonts w:hint="default"/>
      </w:rPr>
    </w:lvl>
    <w:lvl w:ilvl="1" w:tplc="0C090019" w:tentative="1">
      <w:start w:val="1"/>
      <w:numFmt w:val="lowerLetter"/>
      <w:lvlText w:val="%2."/>
      <w:lvlJc w:val="left"/>
      <w:pPr>
        <w:ind w:left="1489" w:hanging="360"/>
      </w:pPr>
    </w:lvl>
    <w:lvl w:ilvl="2" w:tplc="0C09001B" w:tentative="1">
      <w:start w:val="1"/>
      <w:numFmt w:val="lowerRoman"/>
      <w:lvlText w:val="%3."/>
      <w:lvlJc w:val="right"/>
      <w:pPr>
        <w:ind w:left="2209" w:hanging="180"/>
      </w:pPr>
    </w:lvl>
    <w:lvl w:ilvl="3" w:tplc="0C09000F" w:tentative="1">
      <w:start w:val="1"/>
      <w:numFmt w:val="decimal"/>
      <w:lvlText w:val="%4."/>
      <w:lvlJc w:val="left"/>
      <w:pPr>
        <w:ind w:left="2929" w:hanging="360"/>
      </w:pPr>
    </w:lvl>
    <w:lvl w:ilvl="4" w:tplc="0C090019" w:tentative="1">
      <w:start w:val="1"/>
      <w:numFmt w:val="lowerLetter"/>
      <w:lvlText w:val="%5."/>
      <w:lvlJc w:val="left"/>
      <w:pPr>
        <w:ind w:left="3649" w:hanging="360"/>
      </w:pPr>
    </w:lvl>
    <w:lvl w:ilvl="5" w:tplc="0C09001B" w:tentative="1">
      <w:start w:val="1"/>
      <w:numFmt w:val="lowerRoman"/>
      <w:lvlText w:val="%6."/>
      <w:lvlJc w:val="right"/>
      <w:pPr>
        <w:ind w:left="4369" w:hanging="180"/>
      </w:pPr>
    </w:lvl>
    <w:lvl w:ilvl="6" w:tplc="0C09000F" w:tentative="1">
      <w:start w:val="1"/>
      <w:numFmt w:val="decimal"/>
      <w:lvlText w:val="%7."/>
      <w:lvlJc w:val="left"/>
      <w:pPr>
        <w:ind w:left="5089" w:hanging="360"/>
      </w:pPr>
    </w:lvl>
    <w:lvl w:ilvl="7" w:tplc="0C090019" w:tentative="1">
      <w:start w:val="1"/>
      <w:numFmt w:val="lowerLetter"/>
      <w:lvlText w:val="%8."/>
      <w:lvlJc w:val="left"/>
      <w:pPr>
        <w:ind w:left="5809" w:hanging="360"/>
      </w:pPr>
    </w:lvl>
    <w:lvl w:ilvl="8" w:tplc="0C09001B" w:tentative="1">
      <w:start w:val="1"/>
      <w:numFmt w:val="lowerRoman"/>
      <w:lvlText w:val="%9."/>
      <w:lvlJc w:val="right"/>
      <w:pPr>
        <w:ind w:left="6529" w:hanging="180"/>
      </w:pPr>
    </w:lvl>
  </w:abstractNum>
  <w:abstractNum w:abstractNumId="10">
    <w:nsid w:val="261F3DE3"/>
    <w:multiLevelType w:val="hybridMultilevel"/>
    <w:tmpl w:val="829C38FE"/>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6E31790"/>
    <w:multiLevelType w:val="hybridMultilevel"/>
    <w:tmpl w:val="4B92A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D6214F"/>
    <w:multiLevelType w:val="hybridMultilevel"/>
    <w:tmpl w:val="2A7EADDC"/>
    <w:lvl w:ilvl="0" w:tplc="59BC1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974006"/>
    <w:multiLevelType w:val="hybridMultilevel"/>
    <w:tmpl w:val="6204B306"/>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1EE47B9"/>
    <w:multiLevelType w:val="hybridMultilevel"/>
    <w:tmpl w:val="97AE656E"/>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AA0B6D"/>
    <w:multiLevelType w:val="hybridMultilevel"/>
    <w:tmpl w:val="181E85C4"/>
    <w:lvl w:ilvl="0" w:tplc="59BC14B0">
      <w:start w:val="1"/>
      <w:numFmt w:val="lowerLetter"/>
      <w:lvlText w:val="(%1)"/>
      <w:lvlJc w:val="left"/>
      <w:pPr>
        <w:ind w:left="720" w:hanging="360"/>
      </w:pPr>
      <w:rPr>
        <w:rFonts w:hint="default"/>
      </w:rPr>
    </w:lvl>
    <w:lvl w:ilvl="1" w:tplc="59BC14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5C25E3F"/>
    <w:multiLevelType w:val="hybridMultilevel"/>
    <w:tmpl w:val="12F6DC6E"/>
    <w:lvl w:ilvl="0" w:tplc="59BC14B0">
      <w:start w:val="1"/>
      <w:numFmt w:val="lowerLetter"/>
      <w:lvlText w:val="(%1)"/>
      <w:lvlJc w:val="left"/>
      <w:pPr>
        <w:ind w:left="769" w:hanging="360"/>
      </w:pPr>
      <w:rPr>
        <w:rFonts w:hint="default"/>
      </w:rPr>
    </w:lvl>
    <w:lvl w:ilvl="1" w:tplc="0C090019" w:tentative="1">
      <w:start w:val="1"/>
      <w:numFmt w:val="lowerLetter"/>
      <w:lvlText w:val="%2."/>
      <w:lvlJc w:val="left"/>
      <w:pPr>
        <w:ind w:left="1489" w:hanging="360"/>
      </w:pPr>
    </w:lvl>
    <w:lvl w:ilvl="2" w:tplc="0C09001B" w:tentative="1">
      <w:start w:val="1"/>
      <w:numFmt w:val="lowerRoman"/>
      <w:lvlText w:val="%3."/>
      <w:lvlJc w:val="right"/>
      <w:pPr>
        <w:ind w:left="2209" w:hanging="180"/>
      </w:pPr>
    </w:lvl>
    <w:lvl w:ilvl="3" w:tplc="0C09000F" w:tentative="1">
      <w:start w:val="1"/>
      <w:numFmt w:val="decimal"/>
      <w:lvlText w:val="%4."/>
      <w:lvlJc w:val="left"/>
      <w:pPr>
        <w:ind w:left="2929" w:hanging="360"/>
      </w:pPr>
    </w:lvl>
    <w:lvl w:ilvl="4" w:tplc="0C090019" w:tentative="1">
      <w:start w:val="1"/>
      <w:numFmt w:val="lowerLetter"/>
      <w:lvlText w:val="%5."/>
      <w:lvlJc w:val="left"/>
      <w:pPr>
        <w:ind w:left="3649" w:hanging="360"/>
      </w:pPr>
    </w:lvl>
    <w:lvl w:ilvl="5" w:tplc="0C09001B" w:tentative="1">
      <w:start w:val="1"/>
      <w:numFmt w:val="lowerRoman"/>
      <w:lvlText w:val="%6."/>
      <w:lvlJc w:val="right"/>
      <w:pPr>
        <w:ind w:left="4369" w:hanging="180"/>
      </w:pPr>
    </w:lvl>
    <w:lvl w:ilvl="6" w:tplc="0C09000F" w:tentative="1">
      <w:start w:val="1"/>
      <w:numFmt w:val="decimal"/>
      <w:lvlText w:val="%7."/>
      <w:lvlJc w:val="left"/>
      <w:pPr>
        <w:ind w:left="5089" w:hanging="360"/>
      </w:pPr>
    </w:lvl>
    <w:lvl w:ilvl="7" w:tplc="0C090019" w:tentative="1">
      <w:start w:val="1"/>
      <w:numFmt w:val="lowerLetter"/>
      <w:lvlText w:val="%8."/>
      <w:lvlJc w:val="left"/>
      <w:pPr>
        <w:ind w:left="5809" w:hanging="360"/>
      </w:pPr>
    </w:lvl>
    <w:lvl w:ilvl="8" w:tplc="0C09001B" w:tentative="1">
      <w:start w:val="1"/>
      <w:numFmt w:val="lowerRoman"/>
      <w:lvlText w:val="%9."/>
      <w:lvlJc w:val="right"/>
      <w:pPr>
        <w:ind w:left="6529" w:hanging="180"/>
      </w:pPr>
    </w:lvl>
  </w:abstractNum>
  <w:abstractNum w:abstractNumId="17">
    <w:nsid w:val="47892799"/>
    <w:multiLevelType w:val="hybridMultilevel"/>
    <w:tmpl w:val="272074B0"/>
    <w:lvl w:ilvl="0" w:tplc="59BC1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20965A4"/>
    <w:multiLevelType w:val="hybridMultilevel"/>
    <w:tmpl w:val="2522D88E"/>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21B176E"/>
    <w:multiLevelType w:val="hybridMultilevel"/>
    <w:tmpl w:val="F5A8F314"/>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DC65F7"/>
    <w:multiLevelType w:val="hybridMultilevel"/>
    <w:tmpl w:val="063EEDE8"/>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A257EB2"/>
    <w:multiLevelType w:val="hybridMultilevel"/>
    <w:tmpl w:val="68E22032"/>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1513EB5"/>
    <w:multiLevelType w:val="hybridMultilevel"/>
    <w:tmpl w:val="C7C2EE0C"/>
    <w:lvl w:ilvl="0" w:tplc="59BC14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D62D43"/>
    <w:multiLevelType w:val="hybridMultilevel"/>
    <w:tmpl w:val="5DAA9B96"/>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E910212"/>
    <w:multiLevelType w:val="hybridMultilevel"/>
    <w:tmpl w:val="12F6DC6E"/>
    <w:lvl w:ilvl="0" w:tplc="59BC14B0">
      <w:start w:val="1"/>
      <w:numFmt w:val="lowerLetter"/>
      <w:lvlText w:val="(%1)"/>
      <w:lvlJc w:val="left"/>
      <w:pPr>
        <w:ind w:left="769" w:hanging="360"/>
      </w:pPr>
      <w:rPr>
        <w:rFonts w:hint="default"/>
      </w:rPr>
    </w:lvl>
    <w:lvl w:ilvl="1" w:tplc="0C090019">
      <w:start w:val="1"/>
      <w:numFmt w:val="lowerLetter"/>
      <w:lvlText w:val="%2."/>
      <w:lvlJc w:val="left"/>
      <w:pPr>
        <w:ind w:left="1489" w:hanging="360"/>
      </w:pPr>
    </w:lvl>
    <w:lvl w:ilvl="2" w:tplc="0C09001B" w:tentative="1">
      <w:start w:val="1"/>
      <w:numFmt w:val="lowerRoman"/>
      <w:lvlText w:val="%3."/>
      <w:lvlJc w:val="right"/>
      <w:pPr>
        <w:ind w:left="2209" w:hanging="180"/>
      </w:pPr>
    </w:lvl>
    <w:lvl w:ilvl="3" w:tplc="0C09000F" w:tentative="1">
      <w:start w:val="1"/>
      <w:numFmt w:val="decimal"/>
      <w:lvlText w:val="%4."/>
      <w:lvlJc w:val="left"/>
      <w:pPr>
        <w:ind w:left="2929" w:hanging="360"/>
      </w:pPr>
    </w:lvl>
    <w:lvl w:ilvl="4" w:tplc="0C090019" w:tentative="1">
      <w:start w:val="1"/>
      <w:numFmt w:val="lowerLetter"/>
      <w:lvlText w:val="%5."/>
      <w:lvlJc w:val="left"/>
      <w:pPr>
        <w:ind w:left="3649" w:hanging="360"/>
      </w:pPr>
    </w:lvl>
    <w:lvl w:ilvl="5" w:tplc="0C09001B" w:tentative="1">
      <w:start w:val="1"/>
      <w:numFmt w:val="lowerRoman"/>
      <w:lvlText w:val="%6."/>
      <w:lvlJc w:val="right"/>
      <w:pPr>
        <w:ind w:left="4369" w:hanging="180"/>
      </w:pPr>
    </w:lvl>
    <w:lvl w:ilvl="6" w:tplc="0C09000F" w:tentative="1">
      <w:start w:val="1"/>
      <w:numFmt w:val="decimal"/>
      <w:lvlText w:val="%7."/>
      <w:lvlJc w:val="left"/>
      <w:pPr>
        <w:ind w:left="5089" w:hanging="360"/>
      </w:pPr>
    </w:lvl>
    <w:lvl w:ilvl="7" w:tplc="0C090019" w:tentative="1">
      <w:start w:val="1"/>
      <w:numFmt w:val="lowerLetter"/>
      <w:lvlText w:val="%8."/>
      <w:lvlJc w:val="left"/>
      <w:pPr>
        <w:ind w:left="5809" w:hanging="360"/>
      </w:pPr>
    </w:lvl>
    <w:lvl w:ilvl="8" w:tplc="0C09001B" w:tentative="1">
      <w:start w:val="1"/>
      <w:numFmt w:val="lowerRoman"/>
      <w:lvlText w:val="%9."/>
      <w:lvlJc w:val="right"/>
      <w:pPr>
        <w:ind w:left="6529" w:hanging="180"/>
      </w:pPr>
    </w:lvl>
  </w:abstractNum>
  <w:abstractNum w:abstractNumId="25">
    <w:nsid w:val="6EC303AA"/>
    <w:multiLevelType w:val="hybridMultilevel"/>
    <w:tmpl w:val="732CC6A8"/>
    <w:lvl w:ilvl="0" w:tplc="59BC14B0">
      <w:start w:val="1"/>
      <w:numFmt w:val="lowerLetter"/>
      <w:lvlText w:val="(%1)"/>
      <w:lvlJc w:val="left"/>
      <w:pPr>
        <w:ind w:left="778" w:hanging="360"/>
      </w:pPr>
      <w:rPr>
        <w:rFonts w:hint="default"/>
      </w:rPr>
    </w:lvl>
    <w:lvl w:ilvl="1" w:tplc="0C090019">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26">
    <w:nsid w:val="74472AE2"/>
    <w:multiLevelType w:val="hybridMultilevel"/>
    <w:tmpl w:val="ACA4B5AC"/>
    <w:lvl w:ilvl="0" w:tplc="59BC14B0">
      <w:start w:val="1"/>
      <w:numFmt w:val="lowerLetter"/>
      <w:lvlText w:val="(%1)"/>
      <w:lvlJc w:val="left"/>
      <w:pPr>
        <w:ind w:left="769" w:hanging="360"/>
      </w:pPr>
      <w:rPr>
        <w:rFonts w:hint="default"/>
      </w:rPr>
    </w:lvl>
    <w:lvl w:ilvl="1" w:tplc="0C090019" w:tentative="1">
      <w:start w:val="1"/>
      <w:numFmt w:val="lowerLetter"/>
      <w:lvlText w:val="%2."/>
      <w:lvlJc w:val="left"/>
      <w:pPr>
        <w:ind w:left="1489" w:hanging="360"/>
      </w:pPr>
    </w:lvl>
    <w:lvl w:ilvl="2" w:tplc="0C09001B" w:tentative="1">
      <w:start w:val="1"/>
      <w:numFmt w:val="lowerRoman"/>
      <w:lvlText w:val="%3."/>
      <w:lvlJc w:val="right"/>
      <w:pPr>
        <w:ind w:left="2209" w:hanging="180"/>
      </w:pPr>
    </w:lvl>
    <w:lvl w:ilvl="3" w:tplc="0C09000F" w:tentative="1">
      <w:start w:val="1"/>
      <w:numFmt w:val="decimal"/>
      <w:lvlText w:val="%4."/>
      <w:lvlJc w:val="left"/>
      <w:pPr>
        <w:ind w:left="2929" w:hanging="360"/>
      </w:pPr>
    </w:lvl>
    <w:lvl w:ilvl="4" w:tplc="0C090019" w:tentative="1">
      <w:start w:val="1"/>
      <w:numFmt w:val="lowerLetter"/>
      <w:lvlText w:val="%5."/>
      <w:lvlJc w:val="left"/>
      <w:pPr>
        <w:ind w:left="3649" w:hanging="360"/>
      </w:pPr>
    </w:lvl>
    <w:lvl w:ilvl="5" w:tplc="0C09001B" w:tentative="1">
      <w:start w:val="1"/>
      <w:numFmt w:val="lowerRoman"/>
      <w:lvlText w:val="%6."/>
      <w:lvlJc w:val="right"/>
      <w:pPr>
        <w:ind w:left="4369" w:hanging="180"/>
      </w:pPr>
    </w:lvl>
    <w:lvl w:ilvl="6" w:tplc="0C09000F" w:tentative="1">
      <w:start w:val="1"/>
      <w:numFmt w:val="decimal"/>
      <w:lvlText w:val="%7."/>
      <w:lvlJc w:val="left"/>
      <w:pPr>
        <w:ind w:left="5089" w:hanging="360"/>
      </w:pPr>
    </w:lvl>
    <w:lvl w:ilvl="7" w:tplc="0C090019" w:tentative="1">
      <w:start w:val="1"/>
      <w:numFmt w:val="lowerLetter"/>
      <w:lvlText w:val="%8."/>
      <w:lvlJc w:val="left"/>
      <w:pPr>
        <w:ind w:left="5809" w:hanging="360"/>
      </w:pPr>
    </w:lvl>
    <w:lvl w:ilvl="8" w:tplc="0C09001B" w:tentative="1">
      <w:start w:val="1"/>
      <w:numFmt w:val="lowerRoman"/>
      <w:lvlText w:val="%9."/>
      <w:lvlJc w:val="right"/>
      <w:pPr>
        <w:ind w:left="6529" w:hanging="180"/>
      </w:pPr>
    </w:lvl>
  </w:abstractNum>
  <w:abstractNum w:abstractNumId="27">
    <w:nsid w:val="77816EF6"/>
    <w:multiLevelType w:val="hybridMultilevel"/>
    <w:tmpl w:val="29CE2D3A"/>
    <w:lvl w:ilvl="0" w:tplc="AC7CA852">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4"/>
  </w:num>
  <w:num w:numId="5">
    <w:abstractNumId w:val="9"/>
  </w:num>
  <w:num w:numId="6">
    <w:abstractNumId w:val="22"/>
  </w:num>
  <w:num w:numId="7">
    <w:abstractNumId w:val="0"/>
  </w:num>
  <w:num w:numId="8">
    <w:abstractNumId w:val="26"/>
  </w:num>
  <w:num w:numId="9">
    <w:abstractNumId w:val="24"/>
  </w:num>
  <w:num w:numId="10">
    <w:abstractNumId w:val="15"/>
  </w:num>
  <w:num w:numId="11">
    <w:abstractNumId w:val="16"/>
  </w:num>
  <w:num w:numId="12">
    <w:abstractNumId w:val="3"/>
  </w:num>
  <w:num w:numId="13">
    <w:abstractNumId w:val="18"/>
  </w:num>
  <w:num w:numId="14">
    <w:abstractNumId w:val="21"/>
  </w:num>
  <w:num w:numId="15">
    <w:abstractNumId w:val="20"/>
  </w:num>
  <w:num w:numId="16">
    <w:abstractNumId w:val="1"/>
  </w:num>
  <w:num w:numId="17">
    <w:abstractNumId w:val="5"/>
  </w:num>
  <w:num w:numId="18">
    <w:abstractNumId w:val="13"/>
  </w:num>
  <w:num w:numId="19">
    <w:abstractNumId w:val="7"/>
  </w:num>
  <w:num w:numId="20">
    <w:abstractNumId w:val="25"/>
  </w:num>
  <w:num w:numId="21">
    <w:abstractNumId w:val="17"/>
  </w:num>
  <w:num w:numId="22">
    <w:abstractNumId w:val="14"/>
  </w:num>
  <w:num w:numId="23">
    <w:abstractNumId w:val="12"/>
  </w:num>
  <w:num w:numId="24">
    <w:abstractNumId w:val="27"/>
  </w:num>
  <w:num w:numId="25">
    <w:abstractNumId w:val="6"/>
  </w:num>
  <w:num w:numId="26">
    <w:abstractNumId w:val="19"/>
  </w:num>
  <w:num w:numId="27">
    <w:abstractNumId w:val="11"/>
  </w:num>
  <w:num w:numId="2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57"/>
    <w:rsid w:val="00003914"/>
    <w:rsid w:val="0000538F"/>
    <w:rsid w:val="000064CC"/>
    <w:rsid w:val="000337BB"/>
    <w:rsid w:val="00036D2E"/>
    <w:rsid w:val="000533B3"/>
    <w:rsid w:val="000553A2"/>
    <w:rsid w:val="00057D1E"/>
    <w:rsid w:val="0006171E"/>
    <w:rsid w:val="00065C84"/>
    <w:rsid w:val="00080780"/>
    <w:rsid w:val="00083283"/>
    <w:rsid w:val="000846E8"/>
    <w:rsid w:val="0008675B"/>
    <w:rsid w:val="0009058C"/>
    <w:rsid w:val="000A6C8B"/>
    <w:rsid w:val="000C1414"/>
    <w:rsid w:val="000C40DC"/>
    <w:rsid w:val="000C574F"/>
    <w:rsid w:val="000D16DE"/>
    <w:rsid w:val="000E0499"/>
    <w:rsid w:val="000F0E6A"/>
    <w:rsid w:val="000F24AE"/>
    <w:rsid w:val="000F2BE3"/>
    <w:rsid w:val="000F4C53"/>
    <w:rsid w:val="000F71D6"/>
    <w:rsid w:val="00112177"/>
    <w:rsid w:val="00121198"/>
    <w:rsid w:val="00121F80"/>
    <w:rsid w:val="00124017"/>
    <w:rsid w:val="0012496D"/>
    <w:rsid w:val="001442F1"/>
    <w:rsid w:val="00156C35"/>
    <w:rsid w:val="00157DC7"/>
    <w:rsid w:val="00160C94"/>
    <w:rsid w:val="0017147E"/>
    <w:rsid w:val="00173A84"/>
    <w:rsid w:val="00177837"/>
    <w:rsid w:val="001820DD"/>
    <w:rsid w:val="00191BE2"/>
    <w:rsid w:val="001932A4"/>
    <w:rsid w:val="00197EC4"/>
    <w:rsid w:val="001A2A6C"/>
    <w:rsid w:val="001A5E07"/>
    <w:rsid w:val="001B1847"/>
    <w:rsid w:val="001C34E4"/>
    <w:rsid w:val="001E5C60"/>
    <w:rsid w:val="00201B3A"/>
    <w:rsid w:val="00212C33"/>
    <w:rsid w:val="002130BD"/>
    <w:rsid w:val="00214AAA"/>
    <w:rsid w:val="002222B0"/>
    <w:rsid w:val="002262FD"/>
    <w:rsid w:val="0023716C"/>
    <w:rsid w:val="00244688"/>
    <w:rsid w:val="00246770"/>
    <w:rsid w:val="002469A0"/>
    <w:rsid w:val="002531D0"/>
    <w:rsid w:val="00261D1C"/>
    <w:rsid w:val="002712D1"/>
    <w:rsid w:val="002748EA"/>
    <w:rsid w:val="002838B6"/>
    <w:rsid w:val="00287F84"/>
    <w:rsid w:val="0029617D"/>
    <w:rsid w:val="00296D45"/>
    <w:rsid w:val="002A2847"/>
    <w:rsid w:val="002A3959"/>
    <w:rsid w:val="002B016E"/>
    <w:rsid w:val="002B73A4"/>
    <w:rsid w:val="002C1D5D"/>
    <w:rsid w:val="002C3896"/>
    <w:rsid w:val="002D428A"/>
    <w:rsid w:val="002E1A84"/>
    <w:rsid w:val="002E3760"/>
    <w:rsid w:val="003001D8"/>
    <w:rsid w:val="00302D90"/>
    <w:rsid w:val="00303BFD"/>
    <w:rsid w:val="003068CD"/>
    <w:rsid w:val="0031058C"/>
    <w:rsid w:val="00316CBC"/>
    <w:rsid w:val="003209A6"/>
    <w:rsid w:val="00323278"/>
    <w:rsid w:val="00340F66"/>
    <w:rsid w:val="00342597"/>
    <w:rsid w:val="0034541C"/>
    <w:rsid w:val="00351B0B"/>
    <w:rsid w:val="00352DB2"/>
    <w:rsid w:val="0036317F"/>
    <w:rsid w:val="003657F5"/>
    <w:rsid w:val="00367C17"/>
    <w:rsid w:val="003713A2"/>
    <w:rsid w:val="00373677"/>
    <w:rsid w:val="003812BE"/>
    <w:rsid w:val="00390DC2"/>
    <w:rsid w:val="00393B9F"/>
    <w:rsid w:val="00395962"/>
    <w:rsid w:val="003B1631"/>
    <w:rsid w:val="003C58ED"/>
    <w:rsid w:val="003D39A6"/>
    <w:rsid w:val="003E4D0A"/>
    <w:rsid w:val="003E57BA"/>
    <w:rsid w:val="003F30CC"/>
    <w:rsid w:val="003F3957"/>
    <w:rsid w:val="00402603"/>
    <w:rsid w:val="00404A88"/>
    <w:rsid w:val="00415F53"/>
    <w:rsid w:val="004335CD"/>
    <w:rsid w:val="004336F0"/>
    <w:rsid w:val="00441ACD"/>
    <w:rsid w:val="00455AA2"/>
    <w:rsid w:val="0046251C"/>
    <w:rsid w:val="004656E5"/>
    <w:rsid w:val="0047600F"/>
    <w:rsid w:val="00482153"/>
    <w:rsid w:val="00492062"/>
    <w:rsid w:val="004A193D"/>
    <w:rsid w:val="004A25FA"/>
    <w:rsid w:val="004A6A57"/>
    <w:rsid w:val="004A7AB8"/>
    <w:rsid w:val="004B0C0A"/>
    <w:rsid w:val="004B12BC"/>
    <w:rsid w:val="004B79C3"/>
    <w:rsid w:val="004C7DAA"/>
    <w:rsid w:val="004D2909"/>
    <w:rsid w:val="004E54B9"/>
    <w:rsid w:val="004F0055"/>
    <w:rsid w:val="004F03F2"/>
    <w:rsid w:val="004F526C"/>
    <w:rsid w:val="004F6739"/>
    <w:rsid w:val="005431A7"/>
    <w:rsid w:val="005509E1"/>
    <w:rsid w:val="00553AE1"/>
    <w:rsid w:val="005674F8"/>
    <w:rsid w:val="005757CE"/>
    <w:rsid w:val="005936D4"/>
    <w:rsid w:val="00594D23"/>
    <w:rsid w:val="005A12D5"/>
    <w:rsid w:val="005A1709"/>
    <w:rsid w:val="005A309A"/>
    <w:rsid w:val="005A7920"/>
    <w:rsid w:val="005B4279"/>
    <w:rsid w:val="005C4A9C"/>
    <w:rsid w:val="005E278C"/>
    <w:rsid w:val="005E2B47"/>
    <w:rsid w:val="005F402B"/>
    <w:rsid w:val="005F43F5"/>
    <w:rsid w:val="00600CE2"/>
    <w:rsid w:val="00611E7E"/>
    <w:rsid w:val="00612C95"/>
    <w:rsid w:val="00620D87"/>
    <w:rsid w:val="00624234"/>
    <w:rsid w:val="0062508C"/>
    <w:rsid w:val="006307BE"/>
    <w:rsid w:val="006376CA"/>
    <w:rsid w:val="0064230E"/>
    <w:rsid w:val="00644501"/>
    <w:rsid w:val="00655C61"/>
    <w:rsid w:val="00660DEC"/>
    <w:rsid w:val="006611B0"/>
    <w:rsid w:val="0067640D"/>
    <w:rsid w:val="006805EA"/>
    <w:rsid w:val="00685F93"/>
    <w:rsid w:val="00696D32"/>
    <w:rsid w:val="006E433F"/>
    <w:rsid w:val="006E4835"/>
    <w:rsid w:val="006F7ABE"/>
    <w:rsid w:val="007144CF"/>
    <w:rsid w:val="00722E6B"/>
    <w:rsid w:val="00733BB6"/>
    <w:rsid w:val="00734690"/>
    <w:rsid w:val="00734739"/>
    <w:rsid w:val="00747319"/>
    <w:rsid w:val="007557EA"/>
    <w:rsid w:val="0077187A"/>
    <w:rsid w:val="00782F9A"/>
    <w:rsid w:val="00797D44"/>
    <w:rsid w:val="007A1975"/>
    <w:rsid w:val="007A5221"/>
    <w:rsid w:val="007B30F2"/>
    <w:rsid w:val="007B5FA4"/>
    <w:rsid w:val="007C579D"/>
    <w:rsid w:val="007C64B1"/>
    <w:rsid w:val="007F2966"/>
    <w:rsid w:val="00805622"/>
    <w:rsid w:val="00812837"/>
    <w:rsid w:val="0081779D"/>
    <w:rsid w:val="00823F8F"/>
    <w:rsid w:val="0082638F"/>
    <w:rsid w:val="00837C0B"/>
    <w:rsid w:val="00882A2C"/>
    <w:rsid w:val="00885925"/>
    <w:rsid w:val="00894DF4"/>
    <w:rsid w:val="008954BE"/>
    <w:rsid w:val="00895AFA"/>
    <w:rsid w:val="00897618"/>
    <w:rsid w:val="008A3075"/>
    <w:rsid w:val="008A40C9"/>
    <w:rsid w:val="008A683F"/>
    <w:rsid w:val="008B13FF"/>
    <w:rsid w:val="008B2385"/>
    <w:rsid w:val="008B7CDC"/>
    <w:rsid w:val="008C0A88"/>
    <w:rsid w:val="008C29E8"/>
    <w:rsid w:val="008D4D41"/>
    <w:rsid w:val="008E125E"/>
    <w:rsid w:val="008E164A"/>
    <w:rsid w:val="008E28AB"/>
    <w:rsid w:val="008E335B"/>
    <w:rsid w:val="008E36C4"/>
    <w:rsid w:val="008F1E00"/>
    <w:rsid w:val="008F3739"/>
    <w:rsid w:val="008F5446"/>
    <w:rsid w:val="008F5645"/>
    <w:rsid w:val="008F66DD"/>
    <w:rsid w:val="00904631"/>
    <w:rsid w:val="00906318"/>
    <w:rsid w:val="00906AF0"/>
    <w:rsid w:val="00911744"/>
    <w:rsid w:val="009149DD"/>
    <w:rsid w:val="00917B65"/>
    <w:rsid w:val="00923001"/>
    <w:rsid w:val="00933EC3"/>
    <w:rsid w:val="00934693"/>
    <w:rsid w:val="009352DF"/>
    <w:rsid w:val="00935998"/>
    <w:rsid w:val="00945F5C"/>
    <w:rsid w:val="00977A87"/>
    <w:rsid w:val="009868E8"/>
    <w:rsid w:val="00994F0C"/>
    <w:rsid w:val="00996EE9"/>
    <w:rsid w:val="009A4D22"/>
    <w:rsid w:val="009A5879"/>
    <w:rsid w:val="009A7EAE"/>
    <w:rsid w:val="009B6A87"/>
    <w:rsid w:val="009C0BD0"/>
    <w:rsid w:val="009C21BB"/>
    <w:rsid w:val="009C350C"/>
    <w:rsid w:val="009C5F98"/>
    <w:rsid w:val="009C7C6D"/>
    <w:rsid w:val="009D3BFF"/>
    <w:rsid w:val="009E6249"/>
    <w:rsid w:val="009E6FB9"/>
    <w:rsid w:val="009F49CE"/>
    <w:rsid w:val="00A02E39"/>
    <w:rsid w:val="00A04D53"/>
    <w:rsid w:val="00A06795"/>
    <w:rsid w:val="00A17B89"/>
    <w:rsid w:val="00A20DF4"/>
    <w:rsid w:val="00A21CB9"/>
    <w:rsid w:val="00A2206D"/>
    <w:rsid w:val="00A255E9"/>
    <w:rsid w:val="00A34FCC"/>
    <w:rsid w:val="00A4479B"/>
    <w:rsid w:val="00A727D9"/>
    <w:rsid w:val="00A76CB6"/>
    <w:rsid w:val="00A804F7"/>
    <w:rsid w:val="00A84014"/>
    <w:rsid w:val="00A846BC"/>
    <w:rsid w:val="00A90DC9"/>
    <w:rsid w:val="00AA286C"/>
    <w:rsid w:val="00AB0F9E"/>
    <w:rsid w:val="00AB402E"/>
    <w:rsid w:val="00AC6298"/>
    <w:rsid w:val="00AE203C"/>
    <w:rsid w:val="00AE66D1"/>
    <w:rsid w:val="00AF54A6"/>
    <w:rsid w:val="00B14609"/>
    <w:rsid w:val="00B15095"/>
    <w:rsid w:val="00B16109"/>
    <w:rsid w:val="00B2394F"/>
    <w:rsid w:val="00B4670D"/>
    <w:rsid w:val="00B53BED"/>
    <w:rsid w:val="00B63F23"/>
    <w:rsid w:val="00B824EC"/>
    <w:rsid w:val="00B825A4"/>
    <w:rsid w:val="00B8423E"/>
    <w:rsid w:val="00B94961"/>
    <w:rsid w:val="00B9737F"/>
    <w:rsid w:val="00BA7416"/>
    <w:rsid w:val="00BA7D14"/>
    <w:rsid w:val="00BB54C6"/>
    <w:rsid w:val="00BB5DFC"/>
    <w:rsid w:val="00BC2DE4"/>
    <w:rsid w:val="00BC6299"/>
    <w:rsid w:val="00BD4442"/>
    <w:rsid w:val="00BE2427"/>
    <w:rsid w:val="00BF2439"/>
    <w:rsid w:val="00BF44FD"/>
    <w:rsid w:val="00BF5858"/>
    <w:rsid w:val="00C109E2"/>
    <w:rsid w:val="00C1443B"/>
    <w:rsid w:val="00C222E7"/>
    <w:rsid w:val="00C26195"/>
    <w:rsid w:val="00C37542"/>
    <w:rsid w:val="00C37BFE"/>
    <w:rsid w:val="00C37F42"/>
    <w:rsid w:val="00C46492"/>
    <w:rsid w:val="00C52EBF"/>
    <w:rsid w:val="00C54D8D"/>
    <w:rsid w:val="00C639AF"/>
    <w:rsid w:val="00C709E3"/>
    <w:rsid w:val="00C70E9C"/>
    <w:rsid w:val="00C82DED"/>
    <w:rsid w:val="00C91475"/>
    <w:rsid w:val="00CA1C2C"/>
    <w:rsid w:val="00CB41D7"/>
    <w:rsid w:val="00CB6469"/>
    <w:rsid w:val="00CB7ED3"/>
    <w:rsid w:val="00CC0F68"/>
    <w:rsid w:val="00CC1014"/>
    <w:rsid w:val="00CC1AA2"/>
    <w:rsid w:val="00CD0586"/>
    <w:rsid w:val="00CD47E7"/>
    <w:rsid w:val="00CE68CF"/>
    <w:rsid w:val="00CF5C6F"/>
    <w:rsid w:val="00CF69AC"/>
    <w:rsid w:val="00CF7DEF"/>
    <w:rsid w:val="00D00128"/>
    <w:rsid w:val="00D058D0"/>
    <w:rsid w:val="00D12C80"/>
    <w:rsid w:val="00D31B4E"/>
    <w:rsid w:val="00D413A4"/>
    <w:rsid w:val="00D46E82"/>
    <w:rsid w:val="00D575AD"/>
    <w:rsid w:val="00D6764F"/>
    <w:rsid w:val="00D677BE"/>
    <w:rsid w:val="00D73995"/>
    <w:rsid w:val="00D87283"/>
    <w:rsid w:val="00DA112D"/>
    <w:rsid w:val="00DA26CB"/>
    <w:rsid w:val="00DD1232"/>
    <w:rsid w:val="00DD4704"/>
    <w:rsid w:val="00DD635A"/>
    <w:rsid w:val="00DE2501"/>
    <w:rsid w:val="00DE2BED"/>
    <w:rsid w:val="00DE522B"/>
    <w:rsid w:val="00DE655E"/>
    <w:rsid w:val="00DE731C"/>
    <w:rsid w:val="00DF0E8A"/>
    <w:rsid w:val="00DF5FCC"/>
    <w:rsid w:val="00E114A4"/>
    <w:rsid w:val="00E24B30"/>
    <w:rsid w:val="00E26EB6"/>
    <w:rsid w:val="00E30CB3"/>
    <w:rsid w:val="00E35B37"/>
    <w:rsid w:val="00E3624A"/>
    <w:rsid w:val="00E42ABC"/>
    <w:rsid w:val="00E61A41"/>
    <w:rsid w:val="00E6599B"/>
    <w:rsid w:val="00E83F9C"/>
    <w:rsid w:val="00E844EA"/>
    <w:rsid w:val="00E94673"/>
    <w:rsid w:val="00EA06C2"/>
    <w:rsid w:val="00EA2C14"/>
    <w:rsid w:val="00EA3FA7"/>
    <w:rsid w:val="00EA5640"/>
    <w:rsid w:val="00EB13F4"/>
    <w:rsid w:val="00EB2534"/>
    <w:rsid w:val="00EC1A50"/>
    <w:rsid w:val="00EC4F0F"/>
    <w:rsid w:val="00EC77A9"/>
    <w:rsid w:val="00EC7B2D"/>
    <w:rsid w:val="00ED003C"/>
    <w:rsid w:val="00EE1F8B"/>
    <w:rsid w:val="00EF44F0"/>
    <w:rsid w:val="00EF7C6B"/>
    <w:rsid w:val="00F14A2D"/>
    <w:rsid w:val="00F25BAD"/>
    <w:rsid w:val="00F61C32"/>
    <w:rsid w:val="00F644FA"/>
    <w:rsid w:val="00F77D48"/>
    <w:rsid w:val="00F829AA"/>
    <w:rsid w:val="00F836F5"/>
    <w:rsid w:val="00F90692"/>
    <w:rsid w:val="00F94953"/>
    <w:rsid w:val="00F94FCD"/>
    <w:rsid w:val="00FA72DD"/>
    <w:rsid w:val="00FB2251"/>
    <w:rsid w:val="00FB34AF"/>
    <w:rsid w:val="00FB4BEB"/>
    <w:rsid w:val="00FB781C"/>
    <w:rsid w:val="00FC53BC"/>
    <w:rsid w:val="00FC7241"/>
    <w:rsid w:val="00FD7BD8"/>
    <w:rsid w:val="00FE1B82"/>
    <w:rsid w:val="00FF1609"/>
    <w:rsid w:val="00FF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F90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09"/>
    <w:pPr>
      <w:spacing w:afterLines="100" w:after="100" w:line="259"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DF5FCC"/>
    <w:pPr>
      <w:numPr>
        <w:numId w:val="1"/>
      </w:numPr>
      <w:spacing w:beforeLines="200" w:before="200"/>
      <w:outlineLvl w:val="0"/>
    </w:pPr>
    <w:rPr>
      <w:rFonts w:cs="Arial"/>
      <w:b/>
      <w:bCs/>
    </w:rPr>
  </w:style>
  <w:style w:type="paragraph" w:styleId="Heading2">
    <w:name w:val="heading 2"/>
    <w:basedOn w:val="Normal"/>
    <w:next w:val="Normal"/>
    <w:link w:val="Heading2Char"/>
    <w:uiPriority w:val="9"/>
    <w:unhideWhenUsed/>
    <w:qFormat/>
    <w:rsid w:val="00D46E82"/>
    <w:pPr>
      <w:numPr>
        <w:ilvl w:val="1"/>
        <w:numId w:val="1"/>
      </w:numPr>
      <w:spacing w:beforeLines="200" w:before="20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A57"/>
    <w:pPr>
      <w:ind w:left="720"/>
    </w:pPr>
  </w:style>
  <w:style w:type="paragraph" w:styleId="BalloonText">
    <w:name w:val="Balloon Text"/>
    <w:basedOn w:val="Normal"/>
    <w:link w:val="BalloonTextChar"/>
    <w:uiPriority w:val="99"/>
    <w:semiHidden/>
    <w:unhideWhenUsed/>
    <w:rsid w:val="00FB4BEB"/>
    <w:rPr>
      <w:rFonts w:ascii="Tahoma" w:hAnsi="Tahoma" w:cs="Tahoma"/>
      <w:sz w:val="16"/>
      <w:szCs w:val="16"/>
    </w:rPr>
  </w:style>
  <w:style w:type="character" w:customStyle="1" w:styleId="BalloonTextChar">
    <w:name w:val="Balloon Text Char"/>
    <w:basedOn w:val="DefaultParagraphFont"/>
    <w:link w:val="BalloonText"/>
    <w:uiPriority w:val="99"/>
    <w:semiHidden/>
    <w:rsid w:val="00FB4BEB"/>
    <w:rPr>
      <w:rFonts w:ascii="Tahoma" w:eastAsia="Times New Roman" w:hAnsi="Tahoma" w:cs="Tahoma"/>
      <w:sz w:val="16"/>
      <w:szCs w:val="16"/>
    </w:rPr>
  </w:style>
  <w:style w:type="paragraph" w:styleId="Header">
    <w:name w:val="header"/>
    <w:basedOn w:val="Normal"/>
    <w:link w:val="HeaderChar"/>
    <w:uiPriority w:val="99"/>
    <w:unhideWhenUsed/>
    <w:rsid w:val="003F30CC"/>
    <w:pPr>
      <w:tabs>
        <w:tab w:val="center" w:pos="4513"/>
        <w:tab w:val="right" w:pos="9026"/>
      </w:tabs>
    </w:pPr>
  </w:style>
  <w:style w:type="character" w:customStyle="1" w:styleId="HeaderChar">
    <w:name w:val="Header Char"/>
    <w:basedOn w:val="DefaultParagraphFont"/>
    <w:link w:val="Header"/>
    <w:uiPriority w:val="99"/>
    <w:rsid w:val="003F30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30CC"/>
    <w:pPr>
      <w:tabs>
        <w:tab w:val="center" w:pos="4513"/>
        <w:tab w:val="right" w:pos="9026"/>
      </w:tabs>
    </w:pPr>
  </w:style>
  <w:style w:type="character" w:customStyle="1" w:styleId="FooterChar">
    <w:name w:val="Footer Char"/>
    <w:basedOn w:val="DefaultParagraphFont"/>
    <w:link w:val="Footer"/>
    <w:uiPriority w:val="99"/>
    <w:rsid w:val="003F30C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74F8"/>
    <w:rPr>
      <w:sz w:val="16"/>
      <w:szCs w:val="16"/>
    </w:rPr>
  </w:style>
  <w:style w:type="paragraph" w:styleId="CommentText">
    <w:name w:val="annotation text"/>
    <w:basedOn w:val="Normal"/>
    <w:link w:val="CommentTextChar"/>
    <w:uiPriority w:val="99"/>
    <w:semiHidden/>
    <w:unhideWhenUsed/>
    <w:rsid w:val="005674F8"/>
    <w:rPr>
      <w:szCs w:val="20"/>
    </w:rPr>
  </w:style>
  <w:style w:type="character" w:customStyle="1" w:styleId="CommentTextChar">
    <w:name w:val="Comment Text Char"/>
    <w:basedOn w:val="DefaultParagraphFont"/>
    <w:link w:val="CommentText"/>
    <w:uiPriority w:val="99"/>
    <w:semiHidden/>
    <w:rsid w:val="005674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74F8"/>
    <w:rPr>
      <w:b/>
      <w:bCs/>
    </w:rPr>
  </w:style>
  <w:style w:type="character" w:customStyle="1" w:styleId="CommentSubjectChar">
    <w:name w:val="Comment Subject Char"/>
    <w:basedOn w:val="CommentTextChar"/>
    <w:link w:val="CommentSubject"/>
    <w:uiPriority w:val="99"/>
    <w:semiHidden/>
    <w:rsid w:val="005674F8"/>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F5FCC"/>
    <w:rPr>
      <w:rFonts w:ascii="Arial" w:eastAsia="Times New Roman" w:hAnsi="Arial" w:cs="Arial"/>
      <w:b/>
      <w:bCs/>
      <w:sz w:val="20"/>
      <w:szCs w:val="24"/>
    </w:rPr>
  </w:style>
  <w:style w:type="character" w:customStyle="1" w:styleId="Heading2Char">
    <w:name w:val="Heading 2 Char"/>
    <w:basedOn w:val="DefaultParagraphFont"/>
    <w:link w:val="Heading2"/>
    <w:uiPriority w:val="9"/>
    <w:rsid w:val="00D46E82"/>
    <w:rPr>
      <w:rFonts w:ascii="Arial" w:eastAsia="Times New Roman" w:hAnsi="Arial" w:cs="Times New Roman"/>
      <w:sz w:val="20"/>
      <w:szCs w:val="24"/>
      <w:u w:val="single"/>
    </w:rPr>
  </w:style>
  <w:style w:type="paragraph" w:styleId="FootnoteText">
    <w:name w:val="footnote text"/>
    <w:basedOn w:val="Normal"/>
    <w:link w:val="FootnoteTextChar"/>
    <w:uiPriority w:val="99"/>
    <w:semiHidden/>
    <w:unhideWhenUsed/>
    <w:rsid w:val="00D46E82"/>
    <w:pPr>
      <w:spacing w:after="0" w:line="240" w:lineRule="auto"/>
    </w:pPr>
    <w:rPr>
      <w:szCs w:val="20"/>
    </w:rPr>
  </w:style>
  <w:style w:type="character" w:customStyle="1" w:styleId="FootnoteTextChar">
    <w:name w:val="Footnote Text Char"/>
    <w:basedOn w:val="DefaultParagraphFont"/>
    <w:link w:val="FootnoteText"/>
    <w:uiPriority w:val="99"/>
    <w:semiHidden/>
    <w:rsid w:val="00D46E8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46E82"/>
    <w:rPr>
      <w:vertAlign w:val="superscript"/>
    </w:rPr>
  </w:style>
  <w:style w:type="paragraph" w:customStyle="1" w:styleId="LI-Title">
    <w:name w:val="LI - Title"/>
    <w:basedOn w:val="Normal"/>
    <w:next w:val="Normal"/>
    <w:qFormat/>
    <w:rsid w:val="00B8423E"/>
    <w:pPr>
      <w:pBdr>
        <w:top w:val="single" w:sz="4" w:space="1" w:color="auto"/>
      </w:pBdr>
      <w:spacing w:afterLines="0" w:after="0" w:line="240" w:lineRule="auto"/>
    </w:pPr>
    <w:rPr>
      <w:rFonts w:ascii="Times New Roman" w:hAnsi="Times New Roman"/>
      <w:b/>
      <w:sz w:val="40"/>
      <w:szCs w:val="20"/>
      <w:lang w:eastAsia="en-AU"/>
    </w:rPr>
  </w:style>
  <w:style w:type="paragraph" w:customStyle="1" w:styleId="LI-Sectionparaa">
    <w:name w:val="LI - Section para (a)"/>
    <w:basedOn w:val="Normal"/>
    <w:link w:val="LI-SectionparaaChar"/>
    <w:qFormat/>
    <w:rsid w:val="00B8423E"/>
    <w:pPr>
      <w:spacing w:before="240" w:afterLines="0" w:after="0" w:line="240" w:lineRule="auto"/>
      <w:ind w:left="2835" w:hanging="567"/>
    </w:pPr>
    <w:rPr>
      <w:rFonts w:ascii="Times New Roman" w:hAnsi="Times New Roman"/>
      <w:sz w:val="24"/>
      <w:lang w:eastAsia="en-AU"/>
    </w:rPr>
  </w:style>
  <w:style w:type="character" w:customStyle="1" w:styleId="LI-SectionparaaChar">
    <w:name w:val="LI - Section para (a) Char"/>
    <w:link w:val="LI-Sectionparaa"/>
    <w:rsid w:val="00B8423E"/>
    <w:rPr>
      <w:rFonts w:ascii="Times New Roman" w:eastAsia="Times New Roman" w:hAnsi="Times New Roman" w:cs="Times New Roman"/>
      <w:sz w:val="24"/>
      <w:szCs w:val="24"/>
      <w:lang w:eastAsia="en-AU"/>
    </w:rPr>
  </w:style>
  <w:style w:type="paragraph" w:customStyle="1" w:styleId="Default">
    <w:name w:val="Default"/>
    <w:rsid w:val="00620D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ectionSubsectionText">
    <w:name w:val="LI - Section Subsection Text"/>
    <w:basedOn w:val="Normal"/>
    <w:link w:val="LI-SectionSubsectionTextChar"/>
    <w:qFormat/>
    <w:rsid w:val="00620D87"/>
    <w:pPr>
      <w:spacing w:before="240" w:afterLines="0" w:after="0" w:line="240" w:lineRule="auto"/>
      <w:ind w:left="2268" w:hanging="567"/>
    </w:pPr>
    <w:rPr>
      <w:rFonts w:ascii="Times New Roman" w:hAnsi="Times New Roman"/>
      <w:sz w:val="24"/>
      <w:lang w:eastAsia="en-AU"/>
    </w:rPr>
  </w:style>
  <w:style w:type="character" w:customStyle="1" w:styleId="LI-SectionSubsectionTextChar">
    <w:name w:val="LI - Section Subsection Text Char"/>
    <w:link w:val="LI-SectionSubsectionText"/>
    <w:rsid w:val="00620D87"/>
    <w:rPr>
      <w:rFonts w:ascii="Times New Roman" w:eastAsia="Times New Roman" w:hAnsi="Times New Roman" w:cs="Times New Roman"/>
      <w:sz w:val="24"/>
      <w:szCs w:val="24"/>
      <w:lang w:eastAsia="en-AU"/>
    </w:rPr>
  </w:style>
  <w:style w:type="paragraph" w:styleId="Revision">
    <w:name w:val="Revision"/>
    <w:hidden/>
    <w:uiPriority w:val="99"/>
    <w:semiHidden/>
    <w:rsid w:val="00DE522B"/>
    <w:pPr>
      <w:spacing w:after="0" w:line="240" w:lineRule="auto"/>
    </w:pPr>
    <w:rPr>
      <w:rFonts w:ascii="Arial" w:eastAsia="Times New Roman" w:hAnsi="Arial" w:cs="Times New Roman"/>
      <w:sz w:val="20"/>
      <w:szCs w:val="24"/>
    </w:rPr>
  </w:style>
  <w:style w:type="character" w:styleId="Strong">
    <w:name w:val="Strong"/>
    <w:basedOn w:val="DefaultParagraphFont"/>
    <w:uiPriority w:val="22"/>
    <w:qFormat/>
    <w:rsid w:val="00C914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09"/>
    <w:pPr>
      <w:spacing w:afterLines="100" w:after="100" w:line="259"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DF5FCC"/>
    <w:pPr>
      <w:numPr>
        <w:numId w:val="1"/>
      </w:numPr>
      <w:spacing w:beforeLines="200" w:before="200"/>
      <w:outlineLvl w:val="0"/>
    </w:pPr>
    <w:rPr>
      <w:rFonts w:cs="Arial"/>
      <w:b/>
      <w:bCs/>
    </w:rPr>
  </w:style>
  <w:style w:type="paragraph" w:styleId="Heading2">
    <w:name w:val="heading 2"/>
    <w:basedOn w:val="Normal"/>
    <w:next w:val="Normal"/>
    <w:link w:val="Heading2Char"/>
    <w:uiPriority w:val="9"/>
    <w:unhideWhenUsed/>
    <w:qFormat/>
    <w:rsid w:val="00D46E82"/>
    <w:pPr>
      <w:numPr>
        <w:ilvl w:val="1"/>
        <w:numId w:val="1"/>
      </w:numPr>
      <w:spacing w:beforeLines="200" w:before="20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A57"/>
    <w:pPr>
      <w:ind w:left="720"/>
    </w:pPr>
  </w:style>
  <w:style w:type="paragraph" w:styleId="BalloonText">
    <w:name w:val="Balloon Text"/>
    <w:basedOn w:val="Normal"/>
    <w:link w:val="BalloonTextChar"/>
    <w:uiPriority w:val="99"/>
    <w:semiHidden/>
    <w:unhideWhenUsed/>
    <w:rsid w:val="00FB4BEB"/>
    <w:rPr>
      <w:rFonts w:ascii="Tahoma" w:hAnsi="Tahoma" w:cs="Tahoma"/>
      <w:sz w:val="16"/>
      <w:szCs w:val="16"/>
    </w:rPr>
  </w:style>
  <w:style w:type="character" w:customStyle="1" w:styleId="BalloonTextChar">
    <w:name w:val="Balloon Text Char"/>
    <w:basedOn w:val="DefaultParagraphFont"/>
    <w:link w:val="BalloonText"/>
    <w:uiPriority w:val="99"/>
    <w:semiHidden/>
    <w:rsid w:val="00FB4BEB"/>
    <w:rPr>
      <w:rFonts w:ascii="Tahoma" w:eastAsia="Times New Roman" w:hAnsi="Tahoma" w:cs="Tahoma"/>
      <w:sz w:val="16"/>
      <w:szCs w:val="16"/>
    </w:rPr>
  </w:style>
  <w:style w:type="paragraph" w:styleId="Header">
    <w:name w:val="header"/>
    <w:basedOn w:val="Normal"/>
    <w:link w:val="HeaderChar"/>
    <w:uiPriority w:val="99"/>
    <w:unhideWhenUsed/>
    <w:rsid w:val="003F30CC"/>
    <w:pPr>
      <w:tabs>
        <w:tab w:val="center" w:pos="4513"/>
        <w:tab w:val="right" w:pos="9026"/>
      </w:tabs>
    </w:pPr>
  </w:style>
  <w:style w:type="character" w:customStyle="1" w:styleId="HeaderChar">
    <w:name w:val="Header Char"/>
    <w:basedOn w:val="DefaultParagraphFont"/>
    <w:link w:val="Header"/>
    <w:uiPriority w:val="99"/>
    <w:rsid w:val="003F30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30CC"/>
    <w:pPr>
      <w:tabs>
        <w:tab w:val="center" w:pos="4513"/>
        <w:tab w:val="right" w:pos="9026"/>
      </w:tabs>
    </w:pPr>
  </w:style>
  <w:style w:type="character" w:customStyle="1" w:styleId="FooterChar">
    <w:name w:val="Footer Char"/>
    <w:basedOn w:val="DefaultParagraphFont"/>
    <w:link w:val="Footer"/>
    <w:uiPriority w:val="99"/>
    <w:rsid w:val="003F30C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74F8"/>
    <w:rPr>
      <w:sz w:val="16"/>
      <w:szCs w:val="16"/>
    </w:rPr>
  </w:style>
  <w:style w:type="paragraph" w:styleId="CommentText">
    <w:name w:val="annotation text"/>
    <w:basedOn w:val="Normal"/>
    <w:link w:val="CommentTextChar"/>
    <w:uiPriority w:val="99"/>
    <w:semiHidden/>
    <w:unhideWhenUsed/>
    <w:rsid w:val="005674F8"/>
    <w:rPr>
      <w:szCs w:val="20"/>
    </w:rPr>
  </w:style>
  <w:style w:type="character" w:customStyle="1" w:styleId="CommentTextChar">
    <w:name w:val="Comment Text Char"/>
    <w:basedOn w:val="DefaultParagraphFont"/>
    <w:link w:val="CommentText"/>
    <w:uiPriority w:val="99"/>
    <w:semiHidden/>
    <w:rsid w:val="005674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74F8"/>
    <w:rPr>
      <w:b/>
      <w:bCs/>
    </w:rPr>
  </w:style>
  <w:style w:type="character" w:customStyle="1" w:styleId="CommentSubjectChar">
    <w:name w:val="Comment Subject Char"/>
    <w:basedOn w:val="CommentTextChar"/>
    <w:link w:val="CommentSubject"/>
    <w:uiPriority w:val="99"/>
    <w:semiHidden/>
    <w:rsid w:val="005674F8"/>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F5FCC"/>
    <w:rPr>
      <w:rFonts w:ascii="Arial" w:eastAsia="Times New Roman" w:hAnsi="Arial" w:cs="Arial"/>
      <w:b/>
      <w:bCs/>
      <w:sz w:val="20"/>
      <w:szCs w:val="24"/>
    </w:rPr>
  </w:style>
  <w:style w:type="character" w:customStyle="1" w:styleId="Heading2Char">
    <w:name w:val="Heading 2 Char"/>
    <w:basedOn w:val="DefaultParagraphFont"/>
    <w:link w:val="Heading2"/>
    <w:uiPriority w:val="9"/>
    <w:rsid w:val="00D46E82"/>
    <w:rPr>
      <w:rFonts w:ascii="Arial" w:eastAsia="Times New Roman" w:hAnsi="Arial" w:cs="Times New Roman"/>
      <w:sz w:val="20"/>
      <w:szCs w:val="24"/>
      <w:u w:val="single"/>
    </w:rPr>
  </w:style>
  <w:style w:type="paragraph" w:styleId="FootnoteText">
    <w:name w:val="footnote text"/>
    <w:basedOn w:val="Normal"/>
    <w:link w:val="FootnoteTextChar"/>
    <w:uiPriority w:val="99"/>
    <w:semiHidden/>
    <w:unhideWhenUsed/>
    <w:rsid w:val="00D46E82"/>
    <w:pPr>
      <w:spacing w:after="0" w:line="240" w:lineRule="auto"/>
    </w:pPr>
    <w:rPr>
      <w:szCs w:val="20"/>
    </w:rPr>
  </w:style>
  <w:style w:type="character" w:customStyle="1" w:styleId="FootnoteTextChar">
    <w:name w:val="Footnote Text Char"/>
    <w:basedOn w:val="DefaultParagraphFont"/>
    <w:link w:val="FootnoteText"/>
    <w:uiPriority w:val="99"/>
    <w:semiHidden/>
    <w:rsid w:val="00D46E8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46E82"/>
    <w:rPr>
      <w:vertAlign w:val="superscript"/>
    </w:rPr>
  </w:style>
  <w:style w:type="paragraph" w:customStyle="1" w:styleId="LI-Title">
    <w:name w:val="LI - Title"/>
    <w:basedOn w:val="Normal"/>
    <w:next w:val="Normal"/>
    <w:qFormat/>
    <w:rsid w:val="00B8423E"/>
    <w:pPr>
      <w:pBdr>
        <w:top w:val="single" w:sz="4" w:space="1" w:color="auto"/>
      </w:pBdr>
      <w:spacing w:afterLines="0" w:after="0" w:line="240" w:lineRule="auto"/>
    </w:pPr>
    <w:rPr>
      <w:rFonts w:ascii="Times New Roman" w:hAnsi="Times New Roman"/>
      <w:b/>
      <w:sz w:val="40"/>
      <w:szCs w:val="20"/>
      <w:lang w:eastAsia="en-AU"/>
    </w:rPr>
  </w:style>
  <w:style w:type="paragraph" w:customStyle="1" w:styleId="LI-Sectionparaa">
    <w:name w:val="LI - Section para (a)"/>
    <w:basedOn w:val="Normal"/>
    <w:link w:val="LI-SectionparaaChar"/>
    <w:qFormat/>
    <w:rsid w:val="00B8423E"/>
    <w:pPr>
      <w:spacing w:before="240" w:afterLines="0" w:after="0" w:line="240" w:lineRule="auto"/>
      <w:ind w:left="2835" w:hanging="567"/>
    </w:pPr>
    <w:rPr>
      <w:rFonts w:ascii="Times New Roman" w:hAnsi="Times New Roman"/>
      <w:sz w:val="24"/>
      <w:lang w:eastAsia="en-AU"/>
    </w:rPr>
  </w:style>
  <w:style w:type="character" w:customStyle="1" w:styleId="LI-SectionparaaChar">
    <w:name w:val="LI - Section para (a) Char"/>
    <w:link w:val="LI-Sectionparaa"/>
    <w:rsid w:val="00B8423E"/>
    <w:rPr>
      <w:rFonts w:ascii="Times New Roman" w:eastAsia="Times New Roman" w:hAnsi="Times New Roman" w:cs="Times New Roman"/>
      <w:sz w:val="24"/>
      <w:szCs w:val="24"/>
      <w:lang w:eastAsia="en-AU"/>
    </w:rPr>
  </w:style>
  <w:style w:type="paragraph" w:customStyle="1" w:styleId="Default">
    <w:name w:val="Default"/>
    <w:rsid w:val="00620D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ectionSubsectionText">
    <w:name w:val="LI - Section Subsection Text"/>
    <w:basedOn w:val="Normal"/>
    <w:link w:val="LI-SectionSubsectionTextChar"/>
    <w:qFormat/>
    <w:rsid w:val="00620D87"/>
    <w:pPr>
      <w:spacing w:before="240" w:afterLines="0" w:after="0" w:line="240" w:lineRule="auto"/>
      <w:ind w:left="2268" w:hanging="567"/>
    </w:pPr>
    <w:rPr>
      <w:rFonts w:ascii="Times New Roman" w:hAnsi="Times New Roman"/>
      <w:sz w:val="24"/>
      <w:lang w:eastAsia="en-AU"/>
    </w:rPr>
  </w:style>
  <w:style w:type="character" w:customStyle="1" w:styleId="LI-SectionSubsectionTextChar">
    <w:name w:val="LI - Section Subsection Text Char"/>
    <w:link w:val="LI-SectionSubsectionText"/>
    <w:rsid w:val="00620D87"/>
    <w:rPr>
      <w:rFonts w:ascii="Times New Roman" w:eastAsia="Times New Roman" w:hAnsi="Times New Roman" w:cs="Times New Roman"/>
      <w:sz w:val="24"/>
      <w:szCs w:val="24"/>
      <w:lang w:eastAsia="en-AU"/>
    </w:rPr>
  </w:style>
  <w:style w:type="paragraph" w:styleId="Revision">
    <w:name w:val="Revision"/>
    <w:hidden/>
    <w:uiPriority w:val="99"/>
    <w:semiHidden/>
    <w:rsid w:val="00DE522B"/>
    <w:pPr>
      <w:spacing w:after="0" w:line="240" w:lineRule="auto"/>
    </w:pPr>
    <w:rPr>
      <w:rFonts w:ascii="Arial" w:eastAsia="Times New Roman" w:hAnsi="Arial" w:cs="Times New Roman"/>
      <w:sz w:val="20"/>
      <w:szCs w:val="24"/>
    </w:rPr>
  </w:style>
  <w:style w:type="character" w:styleId="Strong">
    <w:name w:val="Strong"/>
    <w:basedOn w:val="DefaultParagraphFont"/>
    <w:uiPriority w:val="22"/>
    <w:qFormat/>
    <w:rsid w:val="00C91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06310">
      <w:bodyDiv w:val="1"/>
      <w:marLeft w:val="0"/>
      <w:marRight w:val="0"/>
      <w:marTop w:val="0"/>
      <w:marBottom w:val="0"/>
      <w:divBdr>
        <w:top w:val="none" w:sz="0" w:space="0" w:color="auto"/>
        <w:left w:val="none" w:sz="0" w:space="0" w:color="auto"/>
        <w:bottom w:val="none" w:sz="0" w:space="0" w:color="auto"/>
        <w:right w:val="none" w:sz="0" w:space="0" w:color="auto"/>
      </w:divBdr>
    </w:div>
    <w:div w:id="577831494">
      <w:bodyDiv w:val="1"/>
      <w:marLeft w:val="0"/>
      <w:marRight w:val="0"/>
      <w:marTop w:val="0"/>
      <w:marBottom w:val="0"/>
      <w:divBdr>
        <w:top w:val="none" w:sz="0" w:space="0" w:color="auto"/>
        <w:left w:val="none" w:sz="0" w:space="0" w:color="auto"/>
        <w:bottom w:val="none" w:sz="0" w:space="0" w:color="auto"/>
        <w:right w:val="none" w:sz="0" w:space="0" w:color="auto"/>
      </w:divBdr>
    </w:div>
    <w:div w:id="174537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CI Project Document" ma:contentTypeID="0x010100B5F685A1365F544391EF8C813B164F3A5100C3C04E88A2D579458CA224D5DC7400D4" ma:contentTypeVersion="24" ma:contentTypeDescription="" ma:contentTypeScope="" ma:versionID="f725882f9d3f86a321ce7dfa50c50d95">
  <xsd:schema xmlns:xsd="http://www.w3.org/2001/XMLSchema" xmlns:xs="http://www.w3.org/2001/XMLSchema" xmlns:p="http://schemas.microsoft.com/office/2006/metadata/properties" xmlns:ns2="da7a9ac0-bc47-4684-84e6-3a8e9ac80c12" xmlns:ns3="e5394ee9-d54e-4365-a66c-cb7b518cf0c0" xmlns:ns5="17f478ab-373e-4295-9ff0-9b833ad01319" xmlns:ns6="http://schemas.microsoft.com/sharepoint/v4" targetNamespace="http://schemas.microsoft.com/office/2006/metadata/properties" ma:root="true" ma:fieldsID="defca36e8e06023289a6fa5c004aba12" ns2:_="" ns3:_="" ns5:_="" ns6:_="">
    <xsd:import namespace="da7a9ac0-bc47-4684-84e6-3a8e9ac80c12"/>
    <xsd:import namespace="e5394ee9-d54e-4365-a66c-cb7b518cf0c0"/>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gab0373c3c244907b40aef1c6d00c9e5" minOccurs="0"/>
                <xsd:element ref="ns3:f9fd063dea19446dae6187ab416fee23" minOccurs="0"/>
                <xsd:element ref="ns3:f2498d72dff642e385e426f6fcf88a22"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gab0373c3c244907b40aef1c6d00c9e5" ma:index="17" nillable="true" ma:displayName="DCIProjectDocumentType_0" ma:hidden="true" ma:internalName="gab0373c3c244907b40aef1c6d00c9e5"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94ee9-d54e-4365-a66c-cb7b518cf0c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920f16be-53a8-4344-b0f7-a763802d2d1f}" ma:internalName="TaxCatchAll" ma:showField="CatchAllData" ma:web="e5394ee9-d54e-4365-a66c-cb7b518cf0c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20f16be-53a8-4344-b0f7-a763802d2d1f}" ma:internalName="TaxCatchAllLabel" ma:readOnly="true" ma:showField="CatchAllDataLabel" ma:web="e5394ee9-d54e-4365-a66c-cb7b518cf0c0">
      <xsd:complexType>
        <xsd:complexContent>
          <xsd:extension base="dms:MultiChoiceLookup">
            <xsd:sequence>
              <xsd:element name="Value" type="dms:Lookup" maxOccurs="unbounded" minOccurs="0" nillable="true"/>
            </xsd:sequence>
          </xsd:extension>
        </xsd:complexContent>
      </xsd:complexType>
    </xsd:element>
    <xsd:element name="f9fd063dea19446dae6187ab416fee23" ma:index="19" nillable="true" ma:taxonomy="true" ma:internalName="f9fd063dea19446dae6187ab416fee23" ma:taxonomyFieldName="DCIProjectDocumentType" ma:displayName="DCI Project Document Type" ma:fieldId="{f9fd063d-ea19-446d-ae61-87ab416fee23}" ma:sspId="b38671ba-7d76-46f8-b8a5-5fc3a7d6229d" ma:termSetId="7b6d1096-9e77-4fe2-af4f-f9040d1bc293" ma:anchorId="00000000-0000-0000-0000-000000000000" ma:open="false" ma:isKeyword="false">
      <xsd:complexType>
        <xsd:sequence>
          <xsd:element ref="pc:Terms" minOccurs="0" maxOccurs="1"/>
        </xsd:sequence>
      </xsd:complexType>
    </xsd:element>
    <xsd:element name="f2498d72dff642e385e426f6fcf88a22" ma:index="20" ma:taxonomy="true" ma:internalName="f2498d72dff642e385e426f6fcf88a22" ma:taxonomyFieldName="SecurityClassification" ma:displayName="Security Classification" ma:default="6;#Protected|0fdd1a11-afcd-482b-8e90-e57051455132" ma:fieldId="{f2498d72-dff6-42e3-85e4-26f6fcf88a22}"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R20170000580312</RecordNumber>
    <ObjectiveID xmlns="da7a9ac0-bc47-4684-84e6-3a8e9ac80c12" xsi:nil="true"/>
    <f9fd063dea19446dae6187ab416fee23 xmlns="e5394ee9-d54e-4365-a66c-cb7b518cf0c0">
      <Terms xmlns="http://schemas.microsoft.com/office/infopath/2007/PartnerControls"/>
    </f9fd063dea19446dae6187ab416fee23>
    <gab0373c3c244907b40aef1c6d00c9e5 xmlns="da7a9ac0-bc47-4684-84e6-3a8e9ac80c12" xsi:nil="true"/>
    <IconOverlay xmlns="http://schemas.microsoft.com/sharepoint/v4" xsi:nil="true"/>
    <SignificantFlag xmlns="da7a9ac0-bc47-4684-84e6-3a8e9ac80c12">false</SignificantFlag>
    <TaxCatchAll xmlns="e5394ee9-d54e-4365-a66c-cb7b518cf0c0">
      <Value>6</Value>
    </TaxCatchAll>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f2498d72dff642e385e426f6fcf88a22 xmlns="e5394ee9-d54e-4365-a66c-cb7b518cf0c0">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f2498d72dff642e385e426f6fcf88a22>
    <NotesLinks xmlns="da7a9ac0-bc47-4684-84e6-3a8e9ac80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B814-7D64-4B86-9DBB-A2D1F3472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5394ee9-d54e-4365-a66c-cb7b518cf0c0"/>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23E48-FCB4-40FF-ACBC-ADA437364D3C}">
  <ds:schemaRefs>
    <ds:schemaRef ds:uri="17f478ab-373e-4295-9ff0-9b833ad01319"/>
    <ds:schemaRef ds:uri="http://schemas.microsoft.com/sharepoint/v4"/>
    <ds:schemaRef ds:uri="http://purl.org/dc/terms/"/>
    <ds:schemaRef ds:uri="http://schemas.microsoft.com/office/2006/metadata/properties"/>
    <ds:schemaRef ds:uri="e5394ee9-d54e-4365-a66c-cb7b518cf0c0"/>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a7a9ac0-bc47-4684-84e6-3a8e9ac80c12"/>
    <ds:schemaRef ds:uri="http://purl.org/dc/dcmitype/"/>
  </ds:schemaRefs>
</ds:datastoreItem>
</file>

<file path=customXml/itemProps3.xml><?xml version="1.0" encoding="utf-8"?>
<ds:datastoreItem xmlns:ds="http://schemas.openxmlformats.org/officeDocument/2006/customXml" ds:itemID="{6A2FA20C-CF6C-4F27-9BF6-96D98B12EC77}">
  <ds:schemaRefs>
    <ds:schemaRef ds:uri="http://schemas.microsoft.com/sharepoint/v3/contenttype/forms"/>
  </ds:schemaRefs>
</ds:datastoreItem>
</file>

<file path=customXml/itemProps4.xml><?xml version="1.0" encoding="utf-8"?>
<ds:datastoreItem xmlns:ds="http://schemas.openxmlformats.org/officeDocument/2006/customXml" ds:itemID="{0B6E7DB7-2FCA-4ADD-B843-40F6C38E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5785</Words>
  <Characters>32976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Flex LI - explanatory statement (draft 1)</vt:lpstr>
    </vt:vector>
  </TitlesOfParts>
  <Company>Toshiba</Company>
  <LinksUpToDate>false</LinksUpToDate>
  <CharactersWithSpaces>38684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 LI - explanatory statement (draft 1)</dc:title>
  <dc:creator>Oombas</dc:creator>
  <cp:lastModifiedBy>ruki.weerasinghe</cp:lastModifiedBy>
  <cp:revision>2</cp:revision>
  <cp:lastPrinted>2017-09-05T20:16:00Z</cp:lastPrinted>
  <dcterms:created xsi:type="dcterms:W3CDTF">2017-09-06T02:02:00Z</dcterms:created>
  <dcterms:modified xsi:type="dcterms:W3CDTF">2017-09-06T02:02:00Z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B634338</vt:lpwstr>
  </property>
  <property fmtid="{D5CDD505-2E9C-101B-9397-08002B2CF9AE}" pid="4" name="Objective-Title">
    <vt:lpwstr>class order co 13-818 explanatory statement (final)</vt:lpwstr>
  </property>
  <property fmtid="{D5CDD505-2E9C-101B-9397-08002B2CF9AE}" pid="5" name="Objective-Comment">
    <vt:lpwstr/>
  </property>
  <property fmtid="{D5CDD505-2E9C-101B-9397-08002B2CF9AE}" pid="6" name="Objective-CreationStamp">
    <vt:filetime>2013-06-27T23:40:36Z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2013-06-27T23:58:20Z</vt:filetime>
  </property>
  <property fmtid="{D5CDD505-2E9C-101B-9397-08002B2CF9AE}" pid="11" name="Objective-Owner">
    <vt:lpwstr>Fleur Grey</vt:lpwstr>
  </property>
  <property fmtid="{D5CDD505-2E9C-101B-9397-08002B2CF9AE}" pid="12" name="Objective-Path">
    <vt:lpwstr>Fleur Grey:Special Folder - Fleur Grey:</vt:lpwstr>
  </property>
  <property fmtid="{D5CDD505-2E9C-101B-9397-08002B2CF9AE}" pid="13" name="Objective-Parent">
    <vt:lpwstr>Special Folder - Fleur Grey</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ContentTypeId">
    <vt:lpwstr>0x010100B5F685A1365F544391EF8C813B164F3A5100C3C04E88A2D579458CA224D5DC7400D4</vt:lpwstr>
  </property>
  <property fmtid="{D5CDD505-2E9C-101B-9397-08002B2CF9AE}" pid="23" name="Order">
    <vt:r8>13700</vt:r8>
  </property>
  <property fmtid="{D5CDD505-2E9C-101B-9397-08002B2CF9AE}" pid="24" name="SecurityClassification">
    <vt:lpwstr>6;#Protected|0fdd1a11-afcd-482b-8e90-e57051455132</vt:lpwstr>
  </property>
  <property fmtid="{D5CDD505-2E9C-101B-9397-08002B2CF9AE}" pid="25" name="DCIProjectDocumentType">
    <vt:lpwstr/>
  </property>
  <property fmtid="{D5CDD505-2E9C-101B-9397-08002B2CF9AE}" pid="26" name="RecordPoint_WorkflowType">
    <vt:lpwstr>ActiveSubmitStub</vt:lpwstr>
  </property>
  <property fmtid="{D5CDD505-2E9C-101B-9397-08002B2CF9AE}" pid="27" name="RecordPoint_ActiveItemWebId">
    <vt:lpwstr>{e5394ee9-d54e-4365-a66c-cb7b518cf0c0}</vt:lpwstr>
  </property>
  <property fmtid="{D5CDD505-2E9C-101B-9397-08002B2CF9AE}" pid="28" name="RecordPoint_ActiveItemSiteId">
    <vt:lpwstr>{75365e5e-d13a-42ce-8fad-d2a6c6130666}</vt:lpwstr>
  </property>
  <property fmtid="{D5CDD505-2E9C-101B-9397-08002B2CF9AE}" pid="29" name="RecordPoint_ActiveItemListId">
    <vt:lpwstr>{ed737b17-c687-4f9d-9425-81159981246f}</vt:lpwstr>
  </property>
  <property fmtid="{D5CDD505-2E9C-101B-9397-08002B2CF9AE}" pid="30" name="RecordPoint_ActiveItemUniqueId">
    <vt:lpwstr>{7aa5f114-5429-45b6-95f0-90c72620d918}</vt:lpwstr>
  </property>
  <property fmtid="{D5CDD505-2E9C-101B-9397-08002B2CF9AE}" pid="31" name="RecordPoint_RecordNumberSubmitted">
    <vt:lpwstr>R20170000580312</vt:lpwstr>
  </property>
  <property fmtid="{D5CDD505-2E9C-101B-9397-08002B2CF9AE}" pid="32" name="RecordPoint_SubmissionCompleted">
    <vt:lpwstr>2017-09-06T12:00:28.9436455+10:00</vt:lpwstr>
  </property>
  <property fmtid="{D5CDD505-2E9C-101B-9397-08002B2CF9AE}" pid="33" name="RecordPoint_SubmissionDate">
    <vt:lpwstr/>
  </property>
  <property fmtid="{D5CDD505-2E9C-101B-9397-08002B2CF9AE}" pid="34" name="RecordPoint_ActiveItemMoved">
    <vt:lpwstr/>
  </property>
  <property fmtid="{D5CDD505-2E9C-101B-9397-08002B2CF9AE}" pid="35" name="RecordPoint_RecordFormat">
    <vt:lpwstr/>
  </property>
</Properties>
</file>