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Caption w:val="Standard heading"/>
      </w:tblPr>
      <w:tblGrid>
        <w:gridCol w:w="4661"/>
        <w:gridCol w:w="4661"/>
      </w:tblGrid>
      <w:tr w:rsidR="0073339C" w:rsidRPr="004102B6" w14:paraId="13D33E7C" w14:textId="77777777" w:rsidTr="00DF0F06">
        <w:trPr>
          <w:trHeight w:val="564"/>
        </w:trPr>
        <w:tc>
          <w:tcPr>
            <w:tcW w:w="4661" w:type="dxa"/>
            <w:tcBorders>
              <w:top w:val="nil"/>
              <w:left w:val="nil"/>
              <w:bottom w:val="nil"/>
              <w:right w:val="nil"/>
            </w:tcBorders>
            <w:shd w:val="clear" w:color="auto" w:fill="auto"/>
          </w:tcPr>
          <w:p w14:paraId="6ACB7C91" w14:textId="77777777" w:rsidR="0073339C" w:rsidRPr="004102B6" w:rsidRDefault="007971FC">
            <w:pPr>
              <w:pStyle w:val="CoverStandard"/>
              <w:rPr>
                <w:lang w:val="en-AU"/>
              </w:rPr>
            </w:pPr>
            <w:r w:rsidRPr="004102B6">
              <w:rPr>
                <w:lang w:val="en-AU"/>
              </w:rPr>
              <w:t>AASB Standard</w:t>
            </w:r>
          </w:p>
        </w:tc>
        <w:tc>
          <w:tcPr>
            <w:tcW w:w="4661" w:type="dxa"/>
            <w:tcBorders>
              <w:top w:val="nil"/>
              <w:left w:val="nil"/>
              <w:bottom w:val="nil"/>
              <w:right w:val="nil"/>
            </w:tcBorders>
            <w:shd w:val="clear" w:color="auto" w:fill="auto"/>
          </w:tcPr>
          <w:p w14:paraId="1B76A490" w14:textId="02335C52" w:rsidR="0073339C" w:rsidRPr="004102B6" w:rsidRDefault="00F00A34">
            <w:pPr>
              <w:pStyle w:val="CoverNumber"/>
              <w:rPr>
                <w:lang w:val="en-AU"/>
              </w:rPr>
            </w:pPr>
            <w:r>
              <w:rPr>
                <w:lang w:val="en-AU"/>
              </w:rPr>
              <w:t>AASB 2017-3</w:t>
            </w:r>
          </w:p>
          <w:p w14:paraId="3193F2B8" w14:textId="77777777" w:rsidR="0073339C" w:rsidRPr="004102B6" w:rsidRDefault="007971FC">
            <w:pPr>
              <w:pStyle w:val="CoverDate"/>
              <w:rPr>
                <w:lang w:val="en-AU"/>
              </w:rPr>
            </w:pPr>
            <w:r w:rsidRPr="004102B6">
              <w:rPr>
                <w:lang w:val="en-AU"/>
              </w:rPr>
              <w:t>July 2017</w:t>
            </w:r>
          </w:p>
        </w:tc>
      </w:tr>
    </w:tbl>
    <w:p w14:paraId="627C3497" w14:textId="77777777" w:rsidR="0073339C" w:rsidRPr="004102B6" w:rsidRDefault="007971FC" w:rsidP="009849B2">
      <w:pPr>
        <w:pStyle w:val="CoverTitle"/>
        <w:jc w:val="left"/>
        <w:rPr>
          <w:lang w:val="en-AU"/>
        </w:rPr>
      </w:pPr>
      <w:bookmarkStart w:id="0" w:name="DocTitle"/>
      <w:bookmarkStart w:id="1" w:name="_GoBack"/>
      <w:bookmarkEnd w:id="1"/>
      <w:r w:rsidRPr="004102B6">
        <w:rPr>
          <w:rFonts w:eastAsia="Arial Unicode MS" w:cs="Arial Unicode MS"/>
          <w:lang w:val="en-AU"/>
        </w:rPr>
        <w:t>Amendments to Australian Accounting Standards – Clarifications to AASB 4</w:t>
      </w:r>
      <w:bookmarkEnd w:id="0"/>
    </w:p>
    <w:p w14:paraId="102EC063" w14:textId="77777777" w:rsidR="0073339C" w:rsidRPr="004102B6" w:rsidRDefault="0073339C">
      <w:pPr>
        <w:pStyle w:val="Body"/>
      </w:pPr>
    </w:p>
    <w:p w14:paraId="6C974E3C" w14:textId="77777777" w:rsidR="0073339C" w:rsidRPr="004102B6" w:rsidRDefault="007971FC">
      <w:pPr>
        <w:pStyle w:val="Body"/>
        <w:sectPr w:rsidR="0073339C" w:rsidRPr="004102B6">
          <w:pgSz w:w="11900" w:h="16840"/>
          <w:pgMar w:top="1418" w:right="1418" w:bottom="1418" w:left="1418" w:header="709" w:footer="709" w:gutter="0"/>
          <w:cols w:space="720"/>
        </w:sectPr>
      </w:pPr>
      <w:r w:rsidRPr="004102B6">
        <w:rPr>
          <w:noProof/>
        </w:rPr>
        <w:drawing>
          <wp:anchor distT="0" distB="0" distL="0" distR="0" simplePos="0" relativeHeight="251659264" behindDoc="0" locked="0" layoutInCell="1" allowOverlap="1" wp14:anchorId="0B29650A" wp14:editId="4E15E0E3">
            <wp:simplePos x="0" y="0"/>
            <wp:positionH relativeFrom="page">
              <wp:posOffset>900430</wp:posOffset>
            </wp:positionH>
            <wp:positionV relativeFrom="page">
              <wp:posOffset>8460969</wp:posOffset>
            </wp:positionV>
            <wp:extent cx="1677600" cy="1332000"/>
            <wp:effectExtent l="0" t="0" r="0" b="0"/>
            <wp:wrapNone/>
            <wp:docPr id="1073741825" name="officeArt object" descr="Logo of the Australian Accounting Standards Board&#10;&#10;Australian crest, with text naming the Australian Government and the Australian Accounting Standards Board"/>
            <wp:cNvGraphicFramePr/>
            <a:graphic xmlns:a="http://schemas.openxmlformats.org/drawingml/2006/main">
              <a:graphicData uri="http://schemas.openxmlformats.org/drawingml/2006/picture">
                <pic:pic xmlns:pic="http://schemas.openxmlformats.org/drawingml/2006/picture">
                  <pic:nvPicPr>
                    <pic:cNvPr id="1073741825" name="Logo of the Australian Accounting Standards Board&#10;&#10;Australian crest, with text naming the Australian Government and the Australian Accounting Standards Board" descr="Logo of the Australian Accounting Standards BoardAustralian crest, with text naming the Australian Government and the Australian Accounting Standards Board"/>
                    <pic:cNvPicPr>
                      <a:picLocks noChangeAspect="1"/>
                    </pic:cNvPicPr>
                  </pic:nvPicPr>
                  <pic:blipFill>
                    <a:blip r:embed="rId14">
                      <a:extLst/>
                    </a:blip>
                    <a:stretch>
                      <a:fillRect/>
                    </a:stretch>
                  </pic:blipFill>
                  <pic:spPr>
                    <a:xfrm>
                      <a:off x="0" y="0"/>
                      <a:ext cx="1677600" cy="1332000"/>
                    </a:xfrm>
                    <a:prstGeom prst="rect">
                      <a:avLst/>
                    </a:prstGeom>
                    <a:ln w="12700" cap="flat">
                      <a:noFill/>
                      <a:miter lim="400000"/>
                    </a:ln>
                    <a:effectLst/>
                  </pic:spPr>
                </pic:pic>
              </a:graphicData>
            </a:graphic>
          </wp:anchor>
        </w:drawing>
      </w:r>
    </w:p>
    <w:p w14:paraId="03A13D73" w14:textId="77777777" w:rsidR="0073339C" w:rsidRPr="004102B6" w:rsidRDefault="007971FC">
      <w:pPr>
        <w:pStyle w:val="Heading"/>
        <w:rPr>
          <w:lang w:val="en-AU"/>
        </w:rPr>
      </w:pPr>
      <w:r w:rsidRPr="004102B6">
        <w:rPr>
          <w:lang w:val="en-AU"/>
        </w:rPr>
        <w:lastRenderedPageBreak/>
        <w:t>Obtaining a copy of this Accounting Standard</w:t>
      </w:r>
    </w:p>
    <w:p w14:paraId="5BBF1C99" w14:textId="77777777" w:rsidR="0073339C" w:rsidRPr="004102B6" w:rsidRDefault="007971FC">
      <w:pPr>
        <w:pStyle w:val="Body"/>
        <w:spacing w:after="200"/>
      </w:pPr>
      <w:r w:rsidRPr="004102B6">
        <w:t>This Standard is available on the AASB website: www.aasb.gov.au.</w:t>
      </w:r>
    </w:p>
    <w:p w14:paraId="4DB8FFC9" w14:textId="77777777" w:rsidR="0073339C" w:rsidRPr="004102B6" w:rsidRDefault="007971FC">
      <w:pPr>
        <w:pStyle w:val="Body"/>
      </w:pPr>
      <w:r w:rsidRPr="004102B6">
        <w:t>Australian Accounting Standards Board</w:t>
      </w:r>
    </w:p>
    <w:p w14:paraId="4D399291" w14:textId="77777777" w:rsidR="0073339C" w:rsidRPr="004102B6" w:rsidRDefault="007971FC">
      <w:pPr>
        <w:pStyle w:val="Body"/>
      </w:pPr>
      <w:r w:rsidRPr="004102B6">
        <w:t>PO Box 204</w:t>
      </w:r>
    </w:p>
    <w:p w14:paraId="34B8A8A2" w14:textId="77777777" w:rsidR="0073339C" w:rsidRPr="004102B6" w:rsidRDefault="007971FC">
      <w:pPr>
        <w:pStyle w:val="Body"/>
      </w:pPr>
      <w:r w:rsidRPr="004102B6">
        <w:t>Collins Street West</w:t>
      </w:r>
    </w:p>
    <w:p w14:paraId="2B2A0E2B" w14:textId="77777777" w:rsidR="0073339C" w:rsidRPr="004102B6" w:rsidRDefault="007971FC">
      <w:pPr>
        <w:pStyle w:val="Body"/>
      </w:pPr>
      <w:r w:rsidRPr="004102B6">
        <w:t>Victoria   8007</w:t>
      </w:r>
    </w:p>
    <w:p w14:paraId="076E4DC2" w14:textId="77777777" w:rsidR="0073339C" w:rsidRPr="004102B6" w:rsidRDefault="007971FC">
      <w:pPr>
        <w:pStyle w:val="CoverContact"/>
        <w:spacing w:after="200"/>
        <w:rPr>
          <w:lang w:val="en-AU"/>
        </w:rPr>
      </w:pPr>
      <w:r w:rsidRPr="004102B6">
        <w:rPr>
          <w:lang w:val="en-AU"/>
        </w:rPr>
        <w:t>AUSTRALIA</w:t>
      </w:r>
    </w:p>
    <w:p w14:paraId="2DA9BF8E" w14:textId="77777777" w:rsidR="0073339C" w:rsidRPr="004102B6" w:rsidRDefault="007971FC">
      <w:pPr>
        <w:pStyle w:val="CoverContact"/>
        <w:rPr>
          <w:lang w:val="en-AU"/>
        </w:rPr>
      </w:pPr>
      <w:r w:rsidRPr="004102B6">
        <w:rPr>
          <w:lang w:val="en-AU"/>
        </w:rPr>
        <w:t>Phone:</w:t>
      </w:r>
      <w:r w:rsidRPr="004102B6">
        <w:rPr>
          <w:lang w:val="en-AU"/>
        </w:rPr>
        <w:tab/>
        <w:t>(03) 9617 7637</w:t>
      </w:r>
    </w:p>
    <w:p w14:paraId="64266747" w14:textId="77777777" w:rsidR="0073339C" w:rsidRPr="004102B6" w:rsidRDefault="007971FC">
      <w:pPr>
        <w:pStyle w:val="CoverContact"/>
        <w:rPr>
          <w:lang w:val="en-AU"/>
        </w:rPr>
      </w:pPr>
      <w:r w:rsidRPr="004102B6">
        <w:rPr>
          <w:lang w:val="en-AU"/>
        </w:rPr>
        <w:t>E-mail:</w:t>
      </w:r>
      <w:r w:rsidRPr="004102B6">
        <w:rPr>
          <w:lang w:val="en-AU"/>
        </w:rPr>
        <w:tab/>
        <w:t>publications@aasb.gov.au</w:t>
      </w:r>
    </w:p>
    <w:p w14:paraId="3054ED94" w14:textId="77777777" w:rsidR="0073339C" w:rsidRPr="004102B6" w:rsidRDefault="007971FC">
      <w:pPr>
        <w:pStyle w:val="CoverContact"/>
        <w:spacing w:after="240"/>
        <w:rPr>
          <w:lang w:val="en-AU"/>
        </w:rPr>
      </w:pPr>
      <w:r w:rsidRPr="004102B6">
        <w:rPr>
          <w:lang w:val="en-AU"/>
        </w:rPr>
        <w:t>Website:</w:t>
      </w:r>
      <w:r w:rsidRPr="004102B6">
        <w:rPr>
          <w:lang w:val="en-AU"/>
        </w:rPr>
        <w:tab/>
        <w:t>www.aasb.gov.au</w:t>
      </w:r>
    </w:p>
    <w:p w14:paraId="452B17FD" w14:textId="77777777" w:rsidR="0073339C" w:rsidRPr="004102B6" w:rsidRDefault="007971FC">
      <w:pPr>
        <w:pStyle w:val="Heading"/>
        <w:rPr>
          <w:lang w:val="en-AU"/>
        </w:rPr>
      </w:pPr>
      <w:r w:rsidRPr="004102B6">
        <w:rPr>
          <w:lang w:val="en-AU"/>
        </w:rPr>
        <w:t>Other enquiries</w:t>
      </w:r>
    </w:p>
    <w:p w14:paraId="21441ADB" w14:textId="77777777" w:rsidR="0073339C" w:rsidRPr="004102B6" w:rsidRDefault="007971FC">
      <w:pPr>
        <w:pStyle w:val="CoverContact"/>
        <w:rPr>
          <w:lang w:val="en-AU"/>
        </w:rPr>
      </w:pPr>
      <w:r w:rsidRPr="004102B6">
        <w:rPr>
          <w:lang w:val="en-AU"/>
        </w:rPr>
        <w:t>Phone:</w:t>
      </w:r>
      <w:r w:rsidRPr="004102B6">
        <w:rPr>
          <w:lang w:val="en-AU"/>
        </w:rPr>
        <w:tab/>
        <w:t>(03) 9617 7600</w:t>
      </w:r>
    </w:p>
    <w:p w14:paraId="4CC70425" w14:textId="77777777" w:rsidR="0073339C" w:rsidRPr="004102B6" w:rsidRDefault="007971FC">
      <w:pPr>
        <w:pStyle w:val="CoverContact"/>
        <w:rPr>
          <w:lang w:val="en-AU"/>
        </w:rPr>
      </w:pPr>
      <w:r w:rsidRPr="004102B6">
        <w:rPr>
          <w:lang w:val="en-AU"/>
        </w:rPr>
        <w:t>E-mail:</w:t>
      </w:r>
      <w:r w:rsidRPr="004102B6">
        <w:rPr>
          <w:lang w:val="en-AU"/>
        </w:rPr>
        <w:tab/>
        <w:t>standard@aasb.gov.au</w:t>
      </w:r>
    </w:p>
    <w:p w14:paraId="09F6EF50" w14:textId="77777777" w:rsidR="0073339C" w:rsidRPr="004102B6" w:rsidRDefault="007971FC">
      <w:pPr>
        <w:pStyle w:val="NoNumPlain1"/>
        <w:spacing w:before="6240"/>
        <w:rPr>
          <w:lang w:val="en-AU"/>
        </w:rPr>
      </w:pPr>
      <w:r w:rsidRPr="004102B6">
        <w:rPr>
          <w:lang w:val="en-AU"/>
        </w:rPr>
        <w:t>COPYRIGHT</w:t>
      </w:r>
    </w:p>
    <w:p w14:paraId="61478ACE" w14:textId="77777777" w:rsidR="0073339C" w:rsidRPr="004102B6" w:rsidRDefault="007971FC">
      <w:pPr>
        <w:pStyle w:val="NoNumPlain1"/>
        <w:rPr>
          <w:lang w:val="en-AU"/>
        </w:rPr>
      </w:pPr>
      <w:r w:rsidRPr="004102B6">
        <w:rPr>
          <w:lang w:val="en-AU"/>
        </w:rPr>
        <w:t xml:space="preserve">© Commonwealth of Australia </w:t>
      </w:r>
      <w:bookmarkStart w:id="2" w:name="Year"/>
      <w:r w:rsidRPr="004102B6">
        <w:rPr>
          <w:lang w:val="en-AU"/>
        </w:rPr>
        <w:t>2017</w:t>
      </w:r>
      <w:bookmarkEnd w:id="2"/>
    </w:p>
    <w:p w14:paraId="10A4EA43" w14:textId="77777777" w:rsidR="0073339C" w:rsidRPr="004102B6" w:rsidRDefault="007971FC">
      <w:pPr>
        <w:pStyle w:val="NoNumPlain1"/>
        <w:rPr>
          <w:lang w:val="en-AU"/>
        </w:rPr>
      </w:pPr>
      <w:r w:rsidRPr="004102B6">
        <w:rPr>
          <w:lang w:val="en-AU"/>
        </w:rPr>
        <w:t>This AASB Standard contains IFRS Foundation copyright material.  Reproduction within Australia in unaltered form (retaining this notice) is permitted for personal and non-commercial use subject to the inclusion of an acknowledgment of the source.  Requests and enquiries concerning reproduction and rights for commercial purposes within Australia should be addressed to The National Director, Australian Accounting Standards Board, PO Box 204, Collins Street West, Victoria 8007.</w:t>
      </w:r>
    </w:p>
    <w:p w14:paraId="21BBD59F" w14:textId="77777777" w:rsidR="0073339C" w:rsidRPr="004102B6" w:rsidRDefault="007971FC">
      <w:pPr>
        <w:pStyle w:val="Body"/>
        <w:spacing w:after="200"/>
      </w:pPr>
      <w:r w:rsidRPr="004102B6">
        <w:t>All existing rights in this material are reserved outside Australia.  Reproduction outside Australia in unaltered form (retaining this notice) is permitted for personal and non-commercial use only.  Further information and requests for authorisation to reproduce for commercial purposes outside Australia should be addressed to the IFRS Foundation at www.ifrs.org.</w:t>
      </w:r>
    </w:p>
    <w:p w14:paraId="3DFF00F7" w14:textId="77777777" w:rsidR="0073339C" w:rsidRPr="004102B6" w:rsidRDefault="007971FC">
      <w:pPr>
        <w:pStyle w:val="Body"/>
      </w:pPr>
      <w:r w:rsidRPr="004102B6">
        <w:t xml:space="preserve">ISSN </w:t>
      </w:r>
      <w:bookmarkStart w:id="3" w:name="ISSN"/>
      <w:r w:rsidRPr="004102B6">
        <w:t>1036-4803</w:t>
      </w:r>
      <w:bookmarkEnd w:id="3"/>
    </w:p>
    <w:p w14:paraId="7AD4D327" w14:textId="77777777" w:rsidR="0073339C" w:rsidRPr="004102B6" w:rsidRDefault="0073339C">
      <w:pPr>
        <w:pStyle w:val="Body"/>
        <w:sectPr w:rsidR="0073339C" w:rsidRPr="004102B6">
          <w:headerReference w:type="default" r:id="rId15"/>
          <w:footerReference w:type="default" r:id="rId16"/>
          <w:pgSz w:w="11900" w:h="16840"/>
          <w:pgMar w:top="1418" w:right="1418" w:bottom="1418" w:left="1418" w:header="709" w:footer="709" w:gutter="0"/>
          <w:cols w:space="720"/>
        </w:sectPr>
      </w:pPr>
    </w:p>
    <w:p w14:paraId="51B56DB0" w14:textId="77777777" w:rsidR="0073339C" w:rsidRPr="004102B6" w:rsidRDefault="007971FC">
      <w:pPr>
        <w:pStyle w:val="Heading"/>
        <w:rPr>
          <w:lang w:val="en-AU"/>
        </w:rPr>
      </w:pPr>
      <w:r w:rsidRPr="004102B6">
        <w:rPr>
          <w:lang w:val="en-AU"/>
        </w:rPr>
        <w:lastRenderedPageBreak/>
        <w:t>Contents</w:t>
      </w:r>
    </w:p>
    <w:p w14:paraId="383DCFC8" w14:textId="77777777" w:rsidR="0073339C" w:rsidRPr="004102B6" w:rsidRDefault="007971FC">
      <w:pPr>
        <w:pStyle w:val="ContentsCapsPlain"/>
        <w:rPr>
          <w:caps/>
          <w:lang w:val="en-AU"/>
        </w:rPr>
      </w:pPr>
      <w:r w:rsidRPr="004102B6">
        <w:rPr>
          <w:caps/>
          <w:lang w:val="en-AU"/>
        </w:rPr>
        <w:t>Preface</w:t>
      </w:r>
    </w:p>
    <w:p w14:paraId="3658F324" w14:textId="77777777" w:rsidR="0073339C" w:rsidRPr="004102B6" w:rsidRDefault="007971FC">
      <w:pPr>
        <w:pStyle w:val="ContentsCapsBold"/>
        <w:rPr>
          <w:caps/>
          <w:lang w:val="en-AU"/>
        </w:rPr>
      </w:pPr>
      <w:r w:rsidRPr="004102B6">
        <w:rPr>
          <w:caps/>
          <w:lang w:val="en-AU"/>
        </w:rPr>
        <w:t>Accounting Standard</w:t>
      </w:r>
    </w:p>
    <w:p w14:paraId="0D746A7F" w14:textId="7384D587" w:rsidR="0073339C" w:rsidRPr="004102B6" w:rsidRDefault="00F00A34">
      <w:pPr>
        <w:pStyle w:val="ContentsCapsBold"/>
        <w:rPr>
          <w:i/>
          <w:iCs/>
          <w:caps/>
          <w:lang w:val="en-AU"/>
        </w:rPr>
      </w:pPr>
      <w:r>
        <w:rPr>
          <w:caps/>
          <w:lang w:val="en-AU"/>
        </w:rPr>
        <w:t>AASB 2017-3</w:t>
      </w:r>
      <w:r w:rsidR="007971FC" w:rsidRPr="004102B6">
        <w:rPr>
          <w:caps/>
          <w:lang w:val="en-AU"/>
        </w:rPr>
        <w:t xml:space="preserve"> </w:t>
      </w:r>
      <w:r w:rsidR="007971FC" w:rsidRPr="004102B6">
        <w:rPr>
          <w:i/>
          <w:iCs/>
          <w:caps/>
          <w:lang w:val="en-AU"/>
        </w:rPr>
        <w:t>Amendments to Australian Accounting Standards – Clarifications to AASB 4</w:t>
      </w:r>
    </w:p>
    <w:p w14:paraId="46264960" w14:textId="77777777" w:rsidR="0073339C" w:rsidRPr="004102B6" w:rsidRDefault="0073339C">
      <w:pPr>
        <w:pStyle w:val="Body"/>
      </w:pPr>
    </w:p>
    <w:p w14:paraId="45D9CD67" w14:textId="77777777" w:rsidR="0073339C" w:rsidRPr="004102B6" w:rsidRDefault="007971FC">
      <w:pPr>
        <w:pStyle w:val="ContentsParaHead"/>
        <w:rPr>
          <w:lang w:val="en-AU"/>
        </w:rPr>
      </w:pPr>
      <w:r w:rsidRPr="004102B6">
        <w:rPr>
          <w:lang w:val="en-AU"/>
        </w:rPr>
        <w:t>from page</w:t>
      </w:r>
    </w:p>
    <w:p w14:paraId="4FA9C6FA" w14:textId="77777777" w:rsidR="0073339C" w:rsidRPr="004102B6" w:rsidRDefault="007971FC">
      <w:pPr>
        <w:pStyle w:val="ContentsLevel1"/>
        <w:tabs>
          <w:tab w:val="clear" w:pos="9072"/>
          <w:tab w:val="right" w:pos="9044"/>
        </w:tabs>
        <w:rPr>
          <w:b/>
          <w:bCs/>
          <w:caps/>
          <w:lang w:val="en-AU"/>
        </w:rPr>
      </w:pPr>
      <w:bookmarkStart w:id="4" w:name="TOCRange"/>
      <w:r w:rsidRPr="004102B6">
        <w:rPr>
          <w:b/>
          <w:bCs/>
          <w:caps/>
          <w:lang w:val="en-AU"/>
        </w:rPr>
        <w:t>Objective</w:t>
      </w:r>
      <w:r w:rsidRPr="004102B6">
        <w:rPr>
          <w:b/>
          <w:bCs/>
          <w:caps/>
          <w:lang w:val="en-AU"/>
        </w:rPr>
        <w:tab/>
        <w:t>5</w:t>
      </w:r>
    </w:p>
    <w:p w14:paraId="3F434780" w14:textId="77777777" w:rsidR="0073339C" w:rsidRPr="004102B6" w:rsidRDefault="007971FC">
      <w:pPr>
        <w:pStyle w:val="ContentsLevel1"/>
        <w:tabs>
          <w:tab w:val="clear" w:pos="9072"/>
          <w:tab w:val="right" w:pos="9044"/>
        </w:tabs>
        <w:rPr>
          <w:b/>
          <w:bCs/>
          <w:caps/>
          <w:lang w:val="en-AU"/>
        </w:rPr>
      </w:pPr>
      <w:r w:rsidRPr="004102B6">
        <w:rPr>
          <w:b/>
          <w:bCs/>
          <w:caps/>
          <w:lang w:val="en-AU"/>
        </w:rPr>
        <w:t>Application</w:t>
      </w:r>
      <w:r w:rsidRPr="004102B6">
        <w:rPr>
          <w:b/>
          <w:bCs/>
          <w:caps/>
          <w:lang w:val="en-AU"/>
        </w:rPr>
        <w:tab/>
        <w:t>5</w:t>
      </w:r>
    </w:p>
    <w:p w14:paraId="131ADBCF" w14:textId="77777777" w:rsidR="0073339C" w:rsidRPr="004102B6" w:rsidRDefault="007971FC">
      <w:pPr>
        <w:pStyle w:val="ContentsLevel1"/>
        <w:tabs>
          <w:tab w:val="clear" w:pos="9072"/>
          <w:tab w:val="right" w:pos="9044"/>
        </w:tabs>
        <w:rPr>
          <w:b/>
          <w:bCs/>
          <w:caps/>
          <w:lang w:val="en-AU"/>
        </w:rPr>
      </w:pPr>
      <w:r w:rsidRPr="004102B6">
        <w:rPr>
          <w:b/>
          <w:bCs/>
          <w:caps/>
          <w:lang w:val="en-AU"/>
        </w:rPr>
        <w:t>Amendments to AASB 4</w:t>
      </w:r>
      <w:r w:rsidRPr="004102B6">
        <w:rPr>
          <w:b/>
          <w:bCs/>
          <w:caps/>
          <w:lang w:val="en-AU"/>
        </w:rPr>
        <w:tab/>
        <w:t>5</w:t>
      </w:r>
    </w:p>
    <w:p w14:paraId="086F53AB" w14:textId="77777777" w:rsidR="0073339C" w:rsidRPr="004102B6" w:rsidRDefault="007971FC">
      <w:pPr>
        <w:pStyle w:val="ContentsLevel1"/>
        <w:tabs>
          <w:tab w:val="clear" w:pos="9072"/>
          <w:tab w:val="right" w:pos="9044"/>
        </w:tabs>
        <w:spacing w:after="240"/>
        <w:rPr>
          <w:b/>
          <w:bCs/>
          <w:caps/>
          <w:lang w:val="en-AU"/>
        </w:rPr>
      </w:pPr>
      <w:r w:rsidRPr="004102B6">
        <w:rPr>
          <w:b/>
          <w:bCs/>
          <w:caps/>
          <w:lang w:val="en-AU"/>
        </w:rPr>
        <w:t>Commencement of the legislative instrument</w:t>
      </w:r>
      <w:r w:rsidRPr="004102B6">
        <w:rPr>
          <w:b/>
          <w:bCs/>
          <w:caps/>
          <w:lang w:val="en-AU"/>
        </w:rPr>
        <w:tab/>
        <w:t>6</w:t>
      </w:r>
      <w:bookmarkEnd w:id="4"/>
    </w:p>
    <w:p w14:paraId="31E974D4" w14:textId="131AC233" w:rsidR="0073339C" w:rsidRPr="004102B6" w:rsidRDefault="007971FC">
      <w:pPr>
        <w:pStyle w:val="ContentsBox"/>
        <w:rPr>
          <w:lang w:val="en-AU"/>
        </w:rPr>
      </w:pPr>
      <w:r w:rsidRPr="004102B6">
        <w:rPr>
          <w:lang w:val="en-AU"/>
        </w:rPr>
        <w:t xml:space="preserve">Australian Accounting Standard </w:t>
      </w:r>
      <w:r w:rsidR="00F00A34">
        <w:rPr>
          <w:lang w:val="en-AU"/>
        </w:rPr>
        <w:t>AASB 2017-3</w:t>
      </w:r>
      <w:r w:rsidRPr="004102B6">
        <w:rPr>
          <w:lang w:val="en-AU"/>
        </w:rPr>
        <w:t xml:space="preserve"> </w:t>
      </w:r>
      <w:r w:rsidRPr="004102B6">
        <w:rPr>
          <w:i/>
          <w:iCs/>
          <w:lang w:val="en-AU"/>
        </w:rPr>
        <w:t xml:space="preserve">Amendments to Australian Accounting Standards – Clarifications to AASB 4 </w:t>
      </w:r>
      <w:r w:rsidRPr="004102B6">
        <w:rPr>
          <w:lang w:val="en-AU"/>
        </w:rPr>
        <w:t>is set out on pages 5 and 6. All the paragraphs have equal authority.</w:t>
      </w:r>
    </w:p>
    <w:p w14:paraId="6433BB36" w14:textId="77777777" w:rsidR="0073339C" w:rsidRPr="004102B6" w:rsidRDefault="0073339C">
      <w:pPr>
        <w:pStyle w:val="ContentsBox"/>
        <w:pBdr>
          <w:top w:val="nil"/>
          <w:left w:val="nil"/>
          <w:bottom w:val="nil"/>
          <w:right w:val="nil"/>
        </w:pBdr>
        <w:rPr>
          <w:lang w:val="en-AU"/>
        </w:rPr>
      </w:pPr>
    </w:p>
    <w:p w14:paraId="2FA1EA6C" w14:textId="77777777" w:rsidR="0073339C" w:rsidRPr="004102B6" w:rsidRDefault="0073339C">
      <w:pPr>
        <w:pStyle w:val="Body"/>
        <w:sectPr w:rsidR="0073339C" w:rsidRPr="004102B6">
          <w:headerReference w:type="default" r:id="rId17"/>
          <w:footerReference w:type="default" r:id="rId18"/>
          <w:pgSz w:w="11900" w:h="16840"/>
          <w:pgMar w:top="1418" w:right="1418" w:bottom="1418" w:left="1418" w:header="709" w:footer="709" w:gutter="0"/>
          <w:cols w:space="720"/>
        </w:sectPr>
      </w:pPr>
    </w:p>
    <w:p w14:paraId="71AB08F9" w14:textId="77777777" w:rsidR="0073339C" w:rsidRPr="004102B6" w:rsidRDefault="007971FC">
      <w:pPr>
        <w:pStyle w:val="Heading"/>
        <w:rPr>
          <w:lang w:val="en-AU"/>
        </w:rPr>
      </w:pPr>
      <w:r w:rsidRPr="004102B6">
        <w:rPr>
          <w:lang w:val="en-AU"/>
        </w:rPr>
        <w:lastRenderedPageBreak/>
        <w:t>Preface</w:t>
      </w:r>
    </w:p>
    <w:p w14:paraId="49842D32" w14:textId="7558A68F" w:rsidR="0073339C" w:rsidRPr="004102B6" w:rsidRDefault="007971FC">
      <w:pPr>
        <w:pStyle w:val="Heading2"/>
        <w:rPr>
          <w:lang w:val="en-AU"/>
        </w:rPr>
      </w:pPr>
      <w:r w:rsidRPr="004102B6">
        <w:rPr>
          <w:lang w:val="en-AU"/>
        </w:rPr>
        <w:t xml:space="preserve">Standards amended by </w:t>
      </w:r>
      <w:r w:rsidR="00F00A34">
        <w:rPr>
          <w:lang w:val="en-AU"/>
        </w:rPr>
        <w:t>AASB 2017-3</w:t>
      </w:r>
    </w:p>
    <w:p w14:paraId="6EC6B0DA" w14:textId="77777777" w:rsidR="0073339C" w:rsidRPr="004102B6" w:rsidRDefault="007971FC">
      <w:pPr>
        <w:pStyle w:val="NoNumPlain1"/>
        <w:rPr>
          <w:lang w:val="en-AU"/>
        </w:rPr>
      </w:pPr>
      <w:r w:rsidRPr="004102B6">
        <w:rPr>
          <w:lang w:val="en-AU"/>
        </w:rPr>
        <w:t xml:space="preserve">This Standard makes amendments to AASB 4 </w:t>
      </w:r>
      <w:r w:rsidRPr="004102B6">
        <w:rPr>
          <w:i/>
          <w:iCs/>
          <w:lang w:val="en-AU"/>
        </w:rPr>
        <w:t>Insurance Contracts</w:t>
      </w:r>
      <w:r w:rsidRPr="004102B6">
        <w:rPr>
          <w:lang w:val="en-AU"/>
        </w:rPr>
        <w:t xml:space="preserve"> (August 2015, as amended).</w:t>
      </w:r>
    </w:p>
    <w:p w14:paraId="577B854B" w14:textId="77777777" w:rsidR="0073339C" w:rsidRPr="004102B6" w:rsidRDefault="007971FC">
      <w:pPr>
        <w:pStyle w:val="Heading2"/>
        <w:rPr>
          <w:lang w:val="en-AU"/>
        </w:rPr>
      </w:pPr>
      <w:r w:rsidRPr="004102B6">
        <w:rPr>
          <w:lang w:val="en-AU"/>
        </w:rPr>
        <w:t>Main features of this Standard</w:t>
      </w:r>
    </w:p>
    <w:p w14:paraId="38B56FE1" w14:textId="77777777" w:rsidR="0073339C" w:rsidRPr="004102B6" w:rsidRDefault="007971FC">
      <w:pPr>
        <w:pStyle w:val="Heading2Indent1"/>
        <w:rPr>
          <w:lang w:val="en-AU"/>
        </w:rPr>
      </w:pPr>
      <w:r w:rsidRPr="004102B6">
        <w:rPr>
          <w:lang w:val="en-AU"/>
        </w:rPr>
        <w:t>Main requirements</w:t>
      </w:r>
    </w:p>
    <w:p w14:paraId="2391D837" w14:textId="7E971933" w:rsidR="0073339C" w:rsidRPr="004102B6" w:rsidRDefault="007971FC">
      <w:pPr>
        <w:pStyle w:val="NoNumPlain1"/>
        <w:rPr>
          <w:lang w:val="en-AU"/>
        </w:rPr>
      </w:pPr>
      <w:r w:rsidRPr="004102B6">
        <w:rPr>
          <w:lang w:val="en-AU"/>
        </w:rPr>
        <w:t>This Standard amends AASB 4 to confirm that in Australia compliance with AASB 1023</w:t>
      </w:r>
      <w:r w:rsidR="009849B2">
        <w:rPr>
          <w:lang w:val="en-AU"/>
        </w:rPr>
        <w:t xml:space="preserve"> </w:t>
      </w:r>
      <w:r w:rsidR="009849B2">
        <w:rPr>
          <w:i/>
          <w:lang w:val="en-AU"/>
        </w:rPr>
        <w:t>General Insurance Contracts</w:t>
      </w:r>
      <w:r w:rsidR="009849B2">
        <w:rPr>
          <w:lang w:val="en-AU"/>
        </w:rPr>
        <w:t xml:space="preserve"> and AASB 1038 </w:t>
      </w:r>
      <w:r w:rsidR="009849B2">
        <w:rPr>
          <w:i/>
          <w:lang w:val="en-AU"/>
        </w:rPr>
        <w:t>Life Insurance Contracts</w:t>
      </w:r>
      <w:r w:rsidRPr="004102B6">
        <w:rPr>
          <w:lang w:val="en-AU"/>
        </w:rPr>
        <w:t xml:space="preserve"> ensures simultaneous compliance with AASB 4.  AASB 1023 and AASB 1038 address all aspects of recognition, measurement and disclosure of general and life insurance contracts. </w:t>
      </w:r>
      <w:r w:rsidR="009849B2">
        <w:rPr>
          <w:lang w:val="en-AU"/>
        </w:rPr>
        <w:t>T</w:t>
      </w:r>
      <w:r w:rsidRPr="004102B6">
        <w:rPr>
          <w:lang w:val="en-AU"/>
        </w:rPr>
        <w:t>hese Standards address a wider range of accou</w:t>
      </w:r>
      <w:r w:rsidR="009849B2">
        <w:rPr>
          <w:lang w:val="en-AU"/>
        </w:rPr>
        <w:t>nting requirements than AASB 4.</w:t>
      </w:r>
    </w:p>
    <w:p w14:paraId="2D2088C7" w14:textId="5F6A9D4F" w:rsidR="0073339C" w:rsidRPr="004102B6" w:rsidRDefault="007971FC">
      <w:pPr>
        <w:pStyle w:val="NoNumPlain1"/>
        <w:rPr>
          <w:lang w:val="en-AU"/>
        </w:rPr>
      </w:pPr>
      <w:r w:rsidRPr="004102B6">
        <w:rPr>
          <w:lang w:val="en-AU"/>
        </w:rPr>
        <w:t xml:space="preserve">This </w:t>
      </w:r>
      <w:r w:rsidR="009849B2">
        <w:rPr>
          <w:lang w:val="en-AU"/>
        </w:rPr>
        <w:t>Standard also amends</w:t>
      </w:r>
      <w:r w:rsidR="004102B6" w:rsidRPr="004102B6">
        <w:rPr>
          <w:lang w:val="en-AU"/>
        </w:rPr>
        <w:t xml:space="preserve"> </w:t>
      </w:r>
      <w:r w:rsidRPr="004102B6">
        <w:rPr>
          <w:lang w:val="en-AU"/>
        </w:rPr>
        <w:t>AASB 4</w:t>
      </w:r>
      <w:r w:rsidR="009849B2">
        <w:rPr>
          <w:lang w:val="en-AU"/>
        </w:rPr>
        <w:t xml:space="preserve"> to</w:t>
      </w:r>
      <w:r w:rsidRPr="004102B6">
        <w:rPr>
          <w:lang w:val="en-AU"/>
        </w:rPr>
        <w:t xml:space="preserve"> ensure</w:t>
      </w:r>
      <w:r w:rsidR="004102B6" w:rsidRPr="004102B6">
        <w:rPr>
          <w:lang w:val="en-AU"/>
        </w:rPr>
        <w:t xml:space="preserve"> </w:t>
      </w:r>
      <w:r w:rsidRPr="004102B6">
        <w:rPr>
          <w:lang w:val="en-AU"/>
        </w:rPr>
        <w:t>that</w:t>
      </w:r>
      <w:r w:rsidR="009849B2">
        <w:rPr>
          <w:lang w:val="en-AU"/>
        </w:rPr>
        <w:t xml:space="preserve"> the relief available to issuers of insurance contracts set out in</w:t>
      </w:r>
      <w:r w:rsidRPr="004102B6">
        <w:rPr>
          <w:lang w:val="en-AU"/>
        </w:rPr>
        <w:t xml:space="preserve"> AASB 2016-6 </w:t>
      </w:r>
      <w:r w:rsidRPr="004102B6">
        <w:rPr>
          <w:i/>
          <w:iCs/>
          <w:lang w:val="en-AU"/>
        </w:rPr>
        <w:t xml:space="preserve">Amendments to Australian Accounting Standards – Applying AASB 9 </w:t>
      </w:r>
      <w:r w:rsidRPr="004102B6">
        <w:rPr>
          <w:lang w:val="en-AU"/>
        </w:rPr>
        <w:t xml:space="preserve">Financial Instruments </w:t>
      </w:r>
      <w:r w:rsidRPr="004102B6">
        <w:rPr>
          <w:i/>
          <w:iCs/>
          <w:lang w:val="en-AU"/>
        </w:rPr>
        <w:t xml:space="preserve">with AASB 4 </w:t>
      </w:r>
      <w:r w:rsidRPr="004102B6">
        <w:rPr>
          <w:lang w:val="en-AU"/>
        </w:rPr>
        <w:t xml:space="preserve">Insurance Contracts </w:t>
      </w:r>
      <w:r w:rsidR="0071536B">
        <w:rPr>
          <w:lang w:val="en-AU"/>
        </w:rPr>
        <w:t>can</w:t>
      </w:r>
      <w:r w:rsidRPr="004102B6">
        <w:rPr>
          <w:lang w:val="en-AU"/>
        </w:rPr>
        <w:t xml:space="preserve"> be applied by an entity applying either AASB 1023 or AASB 1038 if the entity otherwise meets the qualifying criteria.</w:t>
      </w:r>
    </w:p>
    <w:p w14:paraId="542C091E" w14:textId="77777777" w:rsidR="0073339C" w:rsidRPr="004102B6" w:rsidRDefault="007971FC">
      <w:pPr>
        <w:pStyle w:val="Heading2Indent1"/>
        <w:rPr>
          <w:lang w:val="en-AU"/>
        </w:rPr>
      </w:pPr>
      <w:r w:rsidRPr="004102B6">
        <w:rPr>
          <w:lang w:val="en-AU"/>
        </w:rPr>
        <w:t>Application date</w:t>
      </w:r>
    </w:p>
    <w:p w14:paraId="3866A109" w14:textId="11CC2BB5" w:rsidR="0073339C" w:rsidRPr="004102B6" w:rsidRDefault="007971FC">
      <w:pPr>
        <w:pStyle w:val="NoNumPlain1"/>
        <w:rPr>
          <w:lang w:val="en-AU"/>
        </w:rPr>
      </w:pPr>
      <w:r w:rsidRPr="004102B6">
        <w:rPr>
          <w:lang w:val="en-AU"/>
        </w:rPr>
        <w:t xml:space="preserve">This Standard applies to annual periods </w:t>
      </w:r>
      <w:bookmarkStart w:id="5" w:name="ApplyText"/>
      <w:r w:rsidRPr="004102B6">
        <w:rPr>
          <w:lang w:val="en-AU"/>
        </w:rPr>
        <w:t>beginning</w:t>
      </w:r>
      <w:bookmarkEnd w:id="5"/>
      <w:r w:rsidRPr="004102B6">
        <w:rPr>
          <w:lang w:val="en-AU"/>
        </w:rPr>
        <w:t xml:space="preserve"> on or after </w:t>
      </w:r>
      <w:bookmarkStart w:id="6" w:name="ApplyDate"/>
      <w:r w:rsidRPr="004102B6">
        <w:rPr>
          <w:lang w:val="en-AU"/>
        </w:rPr>
        <w:t>1 January 2018</w:t>
      </w:r>
      <w:bookmarkEnd w:id="6"/>
      <w:r w:rsidRPr="004102B6">
        <w:rPr>
          <w:lang w:val="en-AU"/>
        </w:rPr>
        <w:t xml:space="preserve">.  Earlier application is </w:t>
      </w:r>
      <w:r w:rsidR="004102B6" w:rsidRPr="004102B6">
        <w:rPr>
          <w:lang w:val="en-AU"/>
        </w:rPr>
        <w:t xml:space="preserve">not </w:t>
      </w:r>
      <w:r w:rsidRPr="004102B6">
        <w:rPr>
          <w:lang w:val="en-AU"/>
        </w:rPr>
        <w:t>permitted.</w:t>
      </w:r>
    </w:p>
    <w:p w14:paraId="543CA7A4" w14:textId="77777777" w:rsidR="0073339C" w:rsidRPr="004102B6" w:rsidRDefault="0073339C">
      <w:pPr>
        <w:pStyle w:val="Body"/>
      </w:pPr>
    </w:p>
    <w:p w14:paraId="35F82275" w14:textId="77777777" w:rsidR="0073339C" w:rsidRPr="004102B6" w:rsidRDefault="0073339C">
      <w:pPr>
        <w:pStyle w:val="Body"/>
        <w:sectPr w:rsidR="0073339C" w:rsidRPr="004102B6">
          <w:headerReference w:type="default" r:id="rId19"/>
          <w:footerReference w:type="default" r:id="rId20"/>
          <w:pgSz w:w="11900" w:h="16840"/>
          <w:pgMar w:top="1418" w:right="1418" w:bottom="1418" w:left="1418" w:header="709" w:footer="709" w:gutter="0"/>
          <w:cols w:space="720"/>
        </w:sectPr>
      </w:pPr>
    </w:p>
    <w:p w14:paraId="0B4EC138" w14:textId="009E2687" w:rsidR="0073339C" w:rsidRPr="004102B6" w:rsidRDefault="007971FC">
      <w:pPr>
        <w:pStyle w:val="Heading"/>
        <w:rPr>
          <w:lang w:val="en-AU"/>
        </w:rPr>
      </w:pPr>
      <w:r w:rsidRPr="004102B6">
        <w:rPr>
          <w:lang w:val="en-AU"/>
        </w:rPr>
        <w:lastRenderedPageBreak/>
        <w:t xml:space="preserve">Accounting Standard </w:t>
      </w:r>
      <w:r w:rsidR="00F00A34">
        <w:rPr>
          <w:lang w:val="en-AU"/>
        </w:rPr>
        <w:t>AASB 2017-3</w:t>
      </w:r>
    </w:p>
    <w:p w14:paraId="6757253B" w14:textId="70C1F634" w:rsidR="0073339C" w:rsidRPr="004102B6" w:rsidRDefault="007971FC">
      <w:pPr>
        <w:pStyle w:val="NoNumPlain1"/>
        <w:rPr>
          <w:lang w:val="en-AU"/>
        </w:rPr>
      </w:pPr>
      <w:r w:rsidRPr="004102B6">
        <w:rPr>
          <w:lang w:val="en-AU"/>
        </w:rPr>
        <w:t xml:space="preserve">The Australian Accounting Standards Board makes Accounting Standard </w:t>
      </w:r>
      <w:r w:rsidR="00F00A34">
        <w:rPr>
          <w:lang w:val="en-AU"/>
        </w:rPr>
        <w:t>AASB 2017-3</w:t>
      </w:r>
      <w:r w:rsidRPr="004102B6">
        <w:rPr>
          <w:lang w:val="en-AU"/>
        </w:rPr>
        <w:t xml:space="preserve"> </w:t>
      </w:r>
      <w:r w:rsidRPr="004102B6">
        <w:rPr>
          <w:i/>
          <w:iCs/>
          <w:lang w:val="en-AU"/>
        </w:rPr>
        <w:t>Amendments to Australian Accounting Standards – Clarifications to AASB 4</w:t>
      </w:r>
      <w:bookmarkStart w:id="7" w:name="CorpsAct"/>
      <w:r w:rsidRPr="004102B6">
        <w:rPr>
          <w:i/>
          <w:iCs/>
          <w:lang w:val="en-AU"/>
        </w:rPr>
        <w:t xml:space="preserve"> </w:t>
      </w:r>
      <w:r w:rsidRPr="004102B6">
        <w:rPr>
          <w:lang w:val="en-AU"/>
        </w:rPr>
        <w:t xml:space="preserve">under section 334 of the </w:t>
      </w:r>
      <w:r w:rsidRPr="004102B6">
        <w:rPr>
          <w:i/>
          <w:iCs/>
          <w:lang w:val="en-AU"/>
        </w:rPr>
        <w:t>Corporations Act 2001</w:t>
      </w:r>
      <w:bookmarkEnd w:id="7"/>
      <w:r w:rsidRPr="004102B6">
        <w:rPr>
          <w:lang w:val="en-AU"/>
        </w:rPr>
        <w:t>.</w:t>
      </w:r>
    </w:p>
    <w:tbl>
      <w:tblPr>
        <w:tblW w:w="932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Caption w:val="Making statement"/>
      </w:tblPr>
      <w:tblGrid>
        <w:gridCol w:w="4361"/>
        <w:gridCol w:w="4961"/>
      </w:tblGrid>
      <w:tr w:rsidR="0073339C" w:rsidRPr="004102B6" w14:paraId="2F3A2987" w14:textId="77777777" w:rsidTr="00206477">
        <w:trPr>
          <w:trHeight w:val="192"/>
        </w:trPr>
        <w:tc>
          <w:tcPr>
            <w:tcW w:w="4361" w:type="dxa"/>
            <w:tcBorders>
              <w:top w:val="nil"/>
              <w:left w:val="nil"/>
              <w:bottom w:val="nil"/>
              <w:right w:val="nil"/>
            </w:tcBorders>
            <w:shd w:val="clear" w:color="auto" w:fill="auto"/>
          </w:tcPr>
          <w:p w14:paraId="153C48DD" w14:textId="25021920" w:rsidR="0073339C" w:rsidRPr="00206477" w:rsidRDefault="0073339C">
            <w:pPr>
              <w:rPr>
                <w:sz w:val="18"/>
                <w:szCs w:val="18"/>
                <w:lang w:val="en-AU"/>
              </w:rPr>
            </w:pPr>
          </w:p>
        </w:tc>
        <w:tc>
          <w:tcPr>
            <w:tcW w:w="4961" w:type="dxa"/>
            <w:tcBorders>
              <w:top w:val="nil"/>
              <w:left w:val="nil"/>
              <w:bottom w:val="nil"/>
              <w:right w:val="nil"/>
            </w:tcBorders>
            <w:shd w:val="clear" w:color="auto" w:fill="auto"/>
          </w:tcPr>
          <w:p w14:paraId="44C40680" w14:textId="77777777" w:rsidR="0073339C" w:rsidRPr="004102B6" w:rsidRDefault="007971FC">
            <w:pPr>
              <w:pStyle w:val="Body"/>
              <w:jc w:val="right"/>
            </w:pPr>
            <w:r w:rsidRPr="004102B6">
              <w:t>Kris Peach</w:t>
            </w:r>
          </w:p>
        </w:tc>
      </w:tr>
      <w:tr w:rsidR="0073339C" w:rsidRPr="004102B6" w14:paraId="667FB0A0" w14:textId="77777777" w:rsidTr="00206477">
        <w:trPr>
          <w:trHeight w:val="192"/>
        </w:trPr>
        <w:tc>
          <w:tcPr>
            <w:tcW w:w="4361" w:type="dxa"/>
            <w:tcBorders>
              <w:top w:val="nil"/>
              <w:left w:val="nil"/>
              <w:bottom w:val="nil"/>
              <w:right w:val="nil"/>
            </w:tcBorders>
            <w:shd w:val="clear" w:color="auto" w:fill="auto"/>
          </w:tcPr>
          <w:p w14:paraId="6557EF64" w14:textId="28C36D1A" w:rsidR="0073339C" w:rsidRPr="004102B6" w:rsidRDefault="00B41712" w:rsidP="00B41712">
            <w:pPr>
              <w:pStyle w:val="Body"/>
            </w:pPr>
            <w:r>
              <w:t>Dated 19 July 2017</w:t>
            </w:r>
          </w:p>
        </w:tc>
        <w:tc>
          <w:tcPr>
            <w:tcW w:w="4961" w:type="dxa"/>
            <w:tcBorders>
              <w:top w:val="nil"/>
              <w:left w:val="nil"/>
              <w:bottom w:val="nil"/>
              <w:right w:val="nil"/>
            </w:tcBorders>
            <w:shd w:val="clear" w:color="auto" w:fill="auto"/>
          </w:tcPr>
          <w:p w14:paraId="7987B6E0" w14:textId="77777777" w:rsidR="0073339C" w:rsidRPr="004102B6" w:rsidRDefault="007971FC">
            <w:pPr>
              <w:pStyle w:val="Body"/>
              <w:jc w:val="right"/>
            </w:pPr>
            <w:r w:rsidRPr="004102B6">
              <w:t>Chair – AASB</w:t>
            </w:r>
          </w:p>
        </w:tc>
      </w:tr>
    </w:tbl>
    <w:p w14:paraId="4BA7D0B4" w14:textId="77777777" w:rsidR="0073339C" w:rsidRPr="004102B6" w:rsidRDefault="0073339C">
      <w:pPr>
        <w:pStyle w:val="NoNumPlain1"/>
        <w:widowControl w:val="0"/>
        <w:rPr>
          <w:lang w:val="en-AU"/>
        </w:rPr>
      </w:pPr>
    </w:p>
    <w:p w14:paraId="7FFE566A" w14:textId="4B5ADE78" w:rsidR="0073339C" w:rsidRPr="004102B6" w:rsidRDefault="007971FC">
      <w:pPr>
        <w:pStyle w:val="Heading"/>
        <w:spacing w:after="0"/>
        <w:rPr>
          <w:lang w:val="en-AU"/>
        </w:rPr>
      </w:pPr>
      <w:r w:rsidRPr="004102B6">
        <w:rPr>
          <w:lang w:val="en-AU"/>
        </w:rPr>
        <w:t xml:space="preserve">Accounting Standard </w:t>
      </w:r>
      <w:r w:rsidR="00F00A34">
        <w:rPr>
          <w:lang w:val="en-AU"/>
        </w:rPr>
        <w:t>AASB 2017-3</w:t>
      </w:r>
    </w:p>
    <w:p w14:paraId="5B461638" w14:textId="77777777" w:rsidR="0073339C" w:rsidRPr="004102B6" w:rsidRDefault="007971FC">
      <w:pPr>
        <w:pStyle w:val="Heading1Italic"/>
        <w:spacing w:before="0"/>
        <w:rPr>
          <w:lang w:val="en-AU"/>
        </w:rPr>
      </w:pPr>
      <w:r w:rsidRPr="004102B6">
        <w:rPr>
          <w:lang w:val="en-AU"/>
        </w:rPr>
        <w:t>Amendments to Australian Accounting Standards – Clarifications to AASB 4</w:t>
      </w:r>
    </w:p>
    <w:p w14:paraId="2ACF49F9" w14:textId="77777777" w:rsidR="0073339C" w:rsidRPr="004102B6" w:rsidRDefault="007971FC">
      <w:pPr>
        <w:pStyle w:val="Heading2"/>
        <w:rPr>
          <w:lang w:val="en-AU"/>
        </w:rPr>
      </w:pPr>
      <w:bookmarkStart w:id="8" w:name="TOCStart"/>
      <w:bookmarkEnd w:id="8"/>
      <w:r w:rsidRPr="004102B6">
        <w:rPr>
          <w:lang w:val="en-AU"/>
        </w:rPr>
        <w:t>Objective</w:t>
      </w:r>
    </w:p>
    <w:p w14:paraId="6D5590F3" w14:textId="3B22A71B" w:rsidR="0073339C" w:rsidRPr="004102B6" w:rsidRDefault="007971FC">
      <w:pPr>
        <w:pStyle w:val="NoNumPlain1"/>
        <w:rPr>
          <w:lang w:val="en-AU"/>
        </w:rPr>
      </w:pPr>
      <w:r w:rsidRPr="004102B6">
        <w:rPr>
          <w:lang w:val="en-AU"/>
        </w:rPr>
        <w:t xml:space="preserve">This Standard amends AASB 4 </w:t>
      </w:r>
      <w:r w:rsidRPr="004102B6">
        <w:rPr>
          <w:i/>
          <w:iCs/>
          <w:lang w:val="en-AU"/>
        </w:rPr>
        <w:t>Insurance Contracts</w:t>
      </w:r>
      <w:r w:rsidR="00E649C3">
        <w:rPr>
          <w:iCs/>
          <w:lang w:val="en-AU"/>
        </w:rPr>
        <w:t xml:space="preserve"> (August 2015, as amended)</w:t>
      </w:r>
      <w:r w:rsidRPr="004102B6">
        <w:rPr>
          <w:lang w:val="en-AU"/>
        </w:rPr>
        <w:t xml:space="preserve"> to clarify the interaction between AASB 4 and both AASB 1023 </w:t>
      </w:r>
      <w:r w:rsidRPr="004102B6">
        <w:rPr>
          <w:i/>
          <w:iCs/>
          <w:lang w:val="en-AU"/>
        </w:rPr>
        <w:t>General Insurance Contracts</w:t>
      </w:r>
      <w:r w:rsidRPr="004102B6">
        <w:rPr>
          <w:lang w:val="en-AU"/>
        </w:rPr>
        <w:t xml:space="preserve"> and AASB 1038 </w:t>
      </w:r>
      <w:r w:rsidRPr="004102B6">
        <w:rPr>
          <w:i/>
          <w:iCs/>
          <w:lang w:val="en-AU"/>
        </w:rPr>
        <w:t>Life Insurance Contracts</w:t>
      </w:r>
      <w:r w:rsidRPr="004102B6">
        <w:rPr>
          <w:lang w:val="en-AU"/>
        </w:rPr>
        <w:t>.</w:t>
      </w:r>
    </w:p>
    <w:p w14:paraId="06A69CA9" w14:textId="77777777" w:rsidR="0073339C" w:rsidRPr="004102B6" w:rsidRDefault="007971FC">
      <w:pPr>
        <w:pStyle w:val="Heading2"/>
        <w:rPr>
          <w:lang w:val="en-AU"/>
        </w:rPr>
      </w:pPr>
      <w:r w:rsidRPr="004102B6">
        <w:rPr>
          <w:lang w:val="en-AU"/>
        </w:rPr>
        <w:t>Application</w:t>
      </w:r>
    </w:p>
    <w:p w14:paraId="40D4C5E7" w14:textId="77777777" w:rsidR="0073339C" w:rsidRPr="004102B6" w:rsidRDefault="007971FC">
      <w:pPr>
        <w:pStyle w:val="NoNumPlain1"/>
        <w:rPr>
          <w:i/>
          <w:iCs/>
          <w:lang w:val="en-AU"/>
        </w:rPr>
      </w:pPr>
      <w:r w:rsidRPr="004102B6">
        <w:rPr>
          <w:lang w:val="en-AU"/>
        </w:rPr>
        <w:t xml:space="preserve">The amendments set out in this Standard apply to entities and financial statements in accordance with the application of the other Standards and Interpretations set out in AASB 1057 </w:t>
      </w:r>
      <w:r w:rsidRPr="004102B6">
        <w:rPr>
          <w:i/>
          <w:iCs/>
          <w:lang w:val="en-AU"/>
        </w:rPr>
        <w:t>Application of Australian Accounting Standards</w:t>
      </w:r>
      <w:r w:rsidRPr="004102B6">
        <w:rPr>
          <w:lang w:val="en-AU"/>
        </w:rPr>
        <w:t xml:space="preserve"> (as amended)</w:t>
      </w:r>
      <w:r w:rsidRPr="004102B6">
        <w:rPr>
          <w:i/>
          <w:iCs/>
          <w:lang w:val="en-AU"/>
        </w:rPr>
        <w:t>.</w:t>
      </w:r>
    </w:p>
    <w:p w14:paraId="7E21B130" w14:textId="34FF48FC" w:rsidR="0073339C" w:rsidRPr="004102B6" w:rsidRDefault="007971FC" w:rsidP="004102B6">
      <w:pPr>
        <w:pStyle w:val="NoNumPlain1"/>
        <w:rPr>
          <w:lang w:val="en-AU"/>
        </w:rPr>
      </w:pPr>
      <w:r w:rsidRPr="004102B6">
        <w:rPr>
          <w:lang w:val="en-AU"/>
        </w:rPr>
        <w:t>This Standard applies to annual periods beginning on or after 1 January 2018.</w:t>
      </w:r>
      <w:r w:rsidR="004102B6" w:rsidRPr="004102B6">
        <w:rPr>
          <w:lang w:val="en-AU"/>
        </w:rPr>
        <w:t xml:space="preserve">  Earlier application is not permitted.</w:t>
      </w:r>
    </w:p>
    <w:p w14:paraId="6D978575" w14:textId="77777777" w:rsidR="0073339C" w:rsidRPr="004102B6" w:rsidRDefault="007971FC">
      <w:pPr>
        <w:pStyle w:val="NoNumPlain1"/>
        <w:rPr>
          <w:lang w:val="en-AU"/>
        </w:rPr>
      </w:pPr>
      <w:r w:rsidRPr="004102B6">
        <w:rPr>
          <w:lang w:val="en-AU"/>
        </w:rPr>
        <w:t>This Standard uses underlining, striking out and other typographical material to identify some of the amendments to a Standard, in order to make the amendments more understandable.  However, the amendments made by this Standard do not include that underlining, striking out or other typographical material.  Ellipses (…) are used to help provide the context within which amendments are made and also to indicate text that is not amended.</w:t>
      </w:r>
    </w:p>
    <w:p w14:paraId="68E7BF7B" w14:textId="77777777" w:rsidR="0073339C" w:rsidRPr="004102B6" w:rsidRDefault="007971FC">
      <w:pPr>
        <w:pStyle w:val="Heading2"/>
        <w:rPr>
          <w:lang w:val="en-AU"/>
        </w:rPr>
      </w:pPr>
      <w:r w:rsidRPr="004102B6">
        <w:rPr>
          <w:lang w:val="en-AU"/>
        </w:rPr>
        <w:t xml:space="preserve">Amendments to </w:t>
      </w:r>
      <w:bookmarkStart w:id="9" w:name="StndNo2"/>
      <w:r w:rsidRPr="004102B6">
        <w:rPr>
          <w:lang w:val="en-AU"/>
        </w:rPr>
        <w:t>AASB 4</w:t>
      </w:r>
      <w:bookmarkEnd w:id="9"/>
    </w:p>
    <w:tbl>
      <w:tblPr>
        <w:tblW w:w="920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Caption w:val="Amendment 1"/>
      </w:tblPr>
      <w:tblGrid>
        <w:gridCol w:w="9208"/>
      </w:tblGrid>
      <w:tr w:rsidR="0073339C" w:rsidRPr="004102B6" w14:paraId="12623721" w14:textId="77777777">
        <w:trPr>
          <w:trHeight w:val="204"/>
        </w:trPr>
        <w:tc>
          <w:tcPr>
            <w:tcW w:w="9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DA9B3C4" w14:textId="77777777" w:rsidR="0073339C" w:rsidRPr="004102B6" w:rsidRDefault="007971FC">
            <w:pPr>
              <w:pStyle w:val="Body"/>
              <w:spacing w:before="120"/>
              <w:jc w:val="left"/>
            </w:pPr>
            <w:r w:rsidRPr="004102B6">
              <w:rPr>
                <w:rFonts w:ascii="Arial" w:hAnsi="Arial"/>
                <w:sz w:val="18"/>
                <w:szCs w:val="18"/>
              </w:rPr>
              <w:t>Paragraphs Aus3.1, 20D, 20E and 35E are amended. Paragraph Aus3.2 is added.</w:t>
            </w:r>
          </w:p>
        </w:tc>
      </w:tr>
    </w:tbl>
    <w:p w14:paraId="0ABABB86" w14:textId="77777777" w:rsidR="0073339C" w:rsidRPr="004102B6" w:rsidRDefault="007971FC">
      <w:pPr>
        <w:pStyle w:val="Body"/>
        <w:keepNext/>
        <w:keepLines/>
        <w:pBdr>
          <w:bottom w:val="single" w:sz="4" w:space="0" w:color="000000"/>
        </w:pBdr>
        <w:spacing w:before="400" w:after="200"/>
        <w:jc w:val="left"/>
        <w:outlineLvl w:val="0"/>
        <w:rPr>
          <w:rFonts w:ascii="Arial" w:eastAsia="Arial" w:hAnsi="Arial" w:cs="Arial"/>
          <w:b/>
          <w:bCs/>
          <w:sz w:val="26"/>
          <w:szCs w:val="26"/>
        </w:rPr>
      </w:pPr>
      <w:r w:rsidRPr="004102B6">
        <w:rPr>
          <w:rFonts w:ascii="Arial" w:hAnsi="Arial"/>
          <w:b/>
          <w:bCs/>
          <w:sz w:val="26"/>
          <w:szCs w:val="26"/>
        </w:rPr>
        <w:t>Scope</w:t>
      </w:r>
    </w:p>
    <w:p w14:paraId="38B8CBB0" w14:textId="77777777" w:rsidR="0073339C" w:rsidRPr="004102B6" w:rsidRDefault="007971FC">
      <w:pPr>
        <w:pStyle w:val="Body"/>
        <w:spacing w:before="100"/>
        <w:ind w:left="782" w:hanging="782"/>
      </w:pPr>
      <w:r w:rsidRPr="004102B6">
        <w:tab/>
        <w:t>…</w:t>
      </w:r>
    </w:p>
    <w:p w14:paraId="246AE7C5" w14:textId="77777777" w:rsidR="0073339C" w:rsidRPr="004102B6" w:rsidRDefault="007971FC">
      <w:pPr>
        <w:pStyle w:val="Body"/>
        <w:spacing w:before="100"/>
        <w:ind w:left="782" w:hanging="782"/>
        <w:rPr>
          <w:u w:val="single"/>
        </w:rPr>
      </w:pPr>
      <w:r w:rsidRPr="004102B6">
        <w:t>Aus3.1</w:t>
      </w:r>
      <w:r w:rsidRPr="004102B6">
        <w:tab/>
      </w:r>
      <w:r w:rsidRPr="004102B6">
        <w:rPr>
          <w:strike/>
        </w:rPr>
        <w:t xml:space="preserve">An entity shall not apply this Standard to: </w:t>
      </w:r>
      <w:r w:rsidRPr="004102B6">
        <w:rPr>
          <w:u w:val="single"/>
        </w:rPr>
        <w:t>Notwithstanding paragraph 2, to comply with the requirements of this Standard, an entity shall apply:</w:t>
      </w:r>
    </w:p>
    <w:p w14:paraId="344A3953" w14:textId="77777777" w:rsidR="0073339C" w:rsidRPr="004102B6" w:rsidRDefault="007971FC">
      <w:pPr>
        <w:pStyle w:val="Body"/>
        <w:spacing w:before="100"/>
        <w:ind w:left="1564" w:hanging="782"/>
      </w:pPr>
      <w:r w:rsidRPr="004102B6">
        <w:t>(a)</w:t>
      </w:r>
      <w:r w:rsidRPr="004102B6">
        <w:tab/>
      </w:r>
      <w:r w:rsidRPr="004102B6">
        <w:rPr>
          <w:u w:val="single"/>
        </w:rPr>
        <w:t xml:space="preserve">AASB 1023 </w:t>
      </w:r>
      <w:r w:rsidRPr="004102B6">
        <w:rPr>
          <w:i/>
          <w:iCs/>
          <w:u w:val="single"/>
        </w:rPr>
        <w:t>General Insurance Contracts</w:t>
      </w:r>
      <w:r w:rsidRPr="004102B6">
        <w:rPr>
          <w:u w:val="single"/>
        </w:rPr>
        <w:t xml:space="preserve"> to </w:t>
      </w:r>
      <w:r w:rsidRPr="004102B6">
        <w:rPr>
          <w:i/>
          <w:iCs/>
        </w:rPr>
        <w:t>general insurance contracts</w:t>
      </w:r>
      <w:r w:rsidRPr="004102B6">
        <w:rPr>
          <w:strike/>
        </w:rPr>
        <w:t xml:space="preserve"> (see AASB 1023 </w:t>
      </w:r>
      <w:r w:rsidRPr="004102B6">
        <w:rPr>
          <w:i/>
          <w:iCs/>
          <w:strike/>
        </w:rPr>
        <w:t>General Insurance Contracts</w:t>
      </w:r>
      <w:r w:rsidRPr="004102B6">
        <w:rPr>
          <w:strike/>
        </w:rPr>
        <w:t>)</w:t>
      </w:r>
      <w:r w:rsidRPr="004102B6">
        <w:t>, except for fixed-fee service contracts that meet the definition of an insurance contract under this Standard; and</w:t>
      </w:r>
    </w:p>
    <w:p w14:paraId="1E85E6F1" w14:textId="77777777" w:rsidR="0073339C" w:rsidRPr="004102B6" w:rsidRDefault="007971FC">
      <w:pPr>
        <w:pStyle w:val="Body"/>
        <w:spacing w:before="100"/>
        <w:ind w:left="1564" w:hanging="782"/>
        <w:rPr>
          <w:strike/>
        </w:rPr>
      </w:pPr>
      <w:r w:rsidRPr="004102B6">
        <w:t>(b)</w:t>
      </w:r>
      <w:r w:rsidRPr="004102B6">
        <w:tab/>
      </w:r>
      <w:r w:rsidRPr="004102B6">
        <w:rPr>
          <w:u w:val="single"/>
        </w:rPr>
        <w:t xml:space="preserve">AASB 1038 </w:t>
      </w:r>
      <w:r w:rsidRPr="004102B6">
        <w:rPr>
          <w:i/>
          <w:iCs/>
          <w:u w:val="single"/>
        </w:rPr>
        <w:t>Life Insurance Contracts</w:t>
      </w:r>
      <w:r w:rsidRPr="004102B6">
        <w:rPr>
          <w:u w:val="single"/>
        </w:rPr>
        <w:t xml:space="preserve"> to </w:t>
      </w:r>
      <w:r w:rsidRPr="004102B6">
        <w:rPr>
          <w:i/>
          <w:iCs/>
        </w:rPr>
        <w:t>life insurance contracts</w:t>
      </w:r>
      <w:r w:rsidRPr="004102B6">
        <w:rPr>
          <w:strike/>
        </w:rPr>
        <w:t xml:space="preserve"> (see AASB 1038 </w:t>
      </w:r>
      <w:r w:rsidRPr="004102B6">
        <w:rPr>
          <w:i/>
          <w:iCs/>
          <w:strike/>
        </w:rPr>
        <w:t>Life Insurance Contracts</w:t>
      </w:r>
      <w:r w:rsidRPr="004102B6">
        <w:rPr>
          <w:strike/>
        </w:rPr>
        <w:t>)</w:t>
      </w:r>
      <w:r w:rsidRPr="004102B6">
        <w:t>.</w:t>
      </w:r>
    </w:p>
    <w:p w14:paraId="11F97176" w14:textId="6980A8E1" w:rsidR="0073339C" w:rsidRPr="004102B6" w:rsidRDefault="007971FC">
      <w:pPr>
        <w:pStyle w:val="Body"/>
        <w:spacing w:before="100"/>
        <w:ind w:left="782"/>
        <w:rPr>
          <w:u w:val="single"/>
        </w:rPr>
      </w:pPr>
      <w:r w:rsidRPr="004102B6">
        <w:rPr>
          <w:u w:val="single"/>
        </w:rPr>
        <w:t>Where this Standard provides an accounting policy choice, an entity shall apply that choice in the context of the requirements specified in AASB 1023 and AASB 1038</w:t>
      </w:r>
      <w:r w:rsidR="0071536B">
        <w:rPr>
          <w:u w:val="single"/>
        </w:rPr>
        <w:t>, when applicable</w:t>
      </w:r>
      <w:r w:rsidRPr="004102B6">
        <w:rPr>
          <w:u w:val="single"/>
        </w:rPr>
        <w:t>.</w:t>
      </w:r>
    </w:p>
    <w:p w14:paraId="29828167" w14:textId="351FEF26" w:rsidR="0073339C" w:rsidRPr="004102B6" w:rsidRDefault="007971FC">
      <w:pPr>
        <w:pStyle w:val="Body"/>
        <w:spacing w:before="100"/>
        <w:ind w:left="782" w:hanging="782"/>
        <w:rPr>
          <w:u w:val="single"/>
        </w:rPr>
      </w:pPr>
      <w:r w:rsidRPr="004102B6">
        <w:rPr>
          <w:u w:val="single"/>
        </w:rPr>
        <w:t>Aus3.2</w:t>
      </w:r>
      <w:r w:rsidRPr="004102B6">
        <w:tab/>
      </w:r>
      <w:r w:rsidRPr="004102B6">
        <w:rPr>
          <w:u w:val="single"/>
        </w:rPr>
        <w:t>This Standard includes only limited guidance in accounting for insurance contracts and disclosure requirements. AASB 1023 and AASB 1038 address all aspects of recognition, measurement and disclosure of general</w:t>
      </w:r>
      <w:r w:rsidR="005B25F9" w:rsidRPr="004102B6">
        <w:rPr>
          <w:u w:val="single"/>
        </w:rPr>
        <w:t xml:space="preserve"> insurance contracts</w:t>
      </w:r>
      <w:r w:rsidRPr="004102B6">
        <w:rPr>
          <w:u w:val="single"/>
        </w:rPr>
        <w:t xml:space="preserve"> and life insurance contracts. The requirements of those Standards address a </w:t>
      </w:r>
      <w:r w:rsidRPr="004102B6">
        <w:rPr>
          <w:u w:val="single"/>
        </w:rPr>
        <w:lastRenderedPageBreak/>
        <w:t>wider range of accounting requirements than this Standard, but enable simultaneous compliance with this Standard.</w:t>
      </w:r>
    </w:p>
    <w:p w14:paraId="0EAB157A" w14:textId="77777777" w:rsidR="0073339C" w:rsidRPr="004102B6" w:rsidRDefault="007971FC">
      <w:pPr>
        <w:pStyle w:val="Body"/>
        <w:keepNext/>
        <w:keepLines/>
        <w:pBdr>
          <w:bottom w:val="single" w:sz="4" w:space="0" w:color="000000"/>
        </w:pBdr>
        <w:spacing w:before="400" w:after="200"/>
        <w:jc w:val="left"/>
        <w:outlineLvl w:val="0"/>
        <w:rPr>
          <w:rFonts w:ascii="Arial" w:eastAsia="Arial" w:hAnsi="Arial" w:cs="Arial"/>
          <w:b/>
          <w:bCs/>
          <w:sz w:val="26"/>
          <w:szCs w:val="26"/>
        </w:rPr>
      </w:pPr>
      <w:r w:rsidRPr="004102B6">
        <w:rPr>
          <w:rFonts w:ascii="Arial" w:hAnsi="Arial"/>
          <w:b/>
          <w:bCs/>
          <w:sz w:val="26"/>
          <w:szCs w:val="26"/>
        </w:rPr>
        <w:t>Recognition and measurement</w:t>
      </w:r>
    </w:p>
    <w:p w14:paraId="5463A09E" w14:textId="77777777" w:rsidR="0073339C" w:rsidRPr="004102B6" w:rsidRDefault="007971FC">
      <w:pPr>
        <w:pStyle w:val="Body"/>
        <w:spacing w:before="100"/>
        <w:ind w:left="782" w:hanging="782"/>
      </w:pPr>
      <w:r w:rsidRPr="004102B6">
        <w:tab/>
        <w:t>…</w:t>
      </w:r>
    </w:p>
    <w:p w14:paraId="0D15A930" w14:textId="77777777" w:rsidR="0073339C" w:rsidRPr="004102B6" w:rsidRDefault="007971FC">
      <w:pPr>
        <w:pStyle w:val="Body"/>
        <w:keepNext/>
        <w:keepLines/>
        <w:spacing w:before="240" w:after="200"/>
        <w:ind w:left="782"/>
        <w:jc w:val="left"/>
        <w:outlineLvl w:val="1"/>
        <w:rPr>
          <w:rFonts w:ascii="Arial" w:eastAsia="Arial" w:hAnsi="Arial" w:cs="Arial"/>
          <w:b/>
          <w:bCs/>
          <w:sz w:val="26"/>
          <w:szCs w:val="26"/>
        </w:rPr>
      </w:pPr>
      <w:r w:rsidRPr="004102B6">
        <w:rPr>
          <w:rFonts w:ascii="Arial" w:hAnsi="Arial"/>
          <w:b/>
          <w:bCs/>
          <w:sz w:val="26"/>
          <w:szCs w:val="26"/>
        </w:rPr>
        <w:t>Temporary exemption from AASB 9</w:t>
      </w:r>
    </w:p>
    <w:p w14:paraId="13085D79" w14:textId="77777777" w:rsidR="0073339C" w:rsidRPr="004102B6" w:rsidRDefault="007971FC">
      <w:pPr>
        <w:pStyle w:val="Body"/>
        <w:spacing w:before="100"/>
        <w:ind w:left="782" w:hanging="782"/>
      </w:pPr>
      <w:r w:rsidRPr="004102B6">
        <w:tab/>
        <w:t>…</w:t>
      </w:r>
    </w:p>
    <w:p w14:paraId="42F6A5ED" w14:textId="77777777" w:rsidR="0073339C" w:rsidRPr="004102B6" w:rsidRDefault="007971FC">
      <w:pPr>
        <w:pStyle w:val="Body"/>
        <w:spacing w:before="100"/>
        <w:ind w:left="782" w:hanging="782"/>
      </w:pPr>
      <w:r w:rsidRPr="004102B6">
        <w:t>20D</w:t>
      </w:r>
      <w:r w:rsidRPr="004102B6">
        <w:tab/>
        <w:t>An insurer’s activities are predominantly connected with insurance if, and only if:</w:t>
      </w:r>
    </w:p>
    <w:p w14:paraId="0B484D11" w14:textId="77777777" w:rsidR="0073339C" w:rsidRPr="004102B6" w:rsidRDefault="007971FC">
      <w:pPr>
        <w:pStyle w:val="Body"/>
        <w:spacing w:before="100"/>
        <w:ind w:left="1564" w:hanging="782"/>
      </w:pPr>
      <w:r w:rsidRPr="004102B6">
        <w:t>(a)</w:t>
      </w:r>
      <w:r w:rsidRPr="004102B6">
        <w:tab/>
        <w:t>the carrying amount of its liabilities arising from contracts within the scope of this Standard</w:t>
      </w:r>
      <w:r w:rsidRPr="004102B6">
        <w:rPr>
          <w:u w:val="single"/>
        </w:rPr>
        <w:t>, AASB 1023 and AASB 1038</w:t>
      </w:r>
      <w:r w:rsidRPr="004102B6">
        <w:t>, which includes any deposit components or embedded derivatives unbundled from insurance contracts applying paragraphs 7–12 of this Standard, is significant compared to the total carrying amount of all its liabilities; and</w:t>
      </w:r>
    </w:p>
    <w:p w14:paraId="6FC14217" w14:textId="77777777" w:rsidR="0073339C" w:rsidRPr="004102B6" w:rsidRDefault="007971FC">
      <w:pPr>
        <w:pStyle w:val="Body"/>
        <w:spacing w:before="100"/>
        <w:ind w:left="1564" w:hanging="782"/>
      </w:pPr>
      <w:r w:rsidRPr="004102B6">
        <w:t>(b)</w:t>
      </w:r>
      <w:r w:rsidRPr="004102B6">
        <w:tab/>
        <w:t>…</w:t>
      </w:r>
    </w:p>
    <w:p w14:paraId="6411600B" w14:textId="77777777" w:rsidR="0073339C" w:rsidRPr="004102B6" w:rsidRDefault="007971FC">
      <w:pPr>
        <w:pStyle w:val="Body"/>
        <w:spacing w:before="100"/>
        <w:ind w:left="782" w:hanging="782"/>
      </w:pPr>
      <w:r w:rsidRPr="004102B6">
        <w:t>20E</w:t>
      </w:r>
      <w:r w:rsidRPr="004102B6">
        <w:tab/>
        <w:t>For the purposes of applying paragraph 20D(b), liabilities connected with insurance comprise:</w:t>
      </w:r>
    </w:p>
    <w:p w14:paraId="099E7139" w14:textId="77777777" w:rsidR="0073339C" w:rsidRPr="004102B6" w:rsidRDefault="007971FC">
      <w:pPr>
        <w:pStyle w:val="Body"/>
        <w:spacing w:before="100"/>
        <w:ind w:left="1564" w:hanging="782"/>
      </w:pPr>
      <w:r w:rsidRPr="004102B6">
        <w:t>(a)</w:t>
      </w:r>
      <w:r w:rsidRPr="004102B6">
        <w:tab/>
        <w:t>liabilities arising from contracts within the scope of this Standard</w:t>
      </w:r>
      <w:r w:rsidRPr="004102B6">
        <w:rPr>
          <w:u w:val="single"/>
        </w:rPr>
        <w:t>, AASB 1023 and AASB 1038</w:t>
      </w:r>
      <w:r w:rsidRPr="004102B6">
        <w:t>, as described in paragraph 20D(a);</w:t>
      </w:r>
    </w:p>
    <w:p w14:paraId="1E6A486A" w14:textId="77777777" w:rsidR="0073339C" w:rsidRPr="004102B6" w:rsidRDefault="007971FC">
      <w:pPr>
        <w:pStyle w:val="Body"/>
        <w:spacing w:before="100"/>
        <w:ind w:left="1564" w:hanging="782"/>
      </w:pPr>
      <w:r w:rsidRPr="004102B6">
        <w:t>(b)</w:t>
      </w:r>
      <w:r w:rsidRPr="004102B6">
        <w:tab/>
        <w:t>…</w:t>
      </w:r>
    </w:p>
    <w:p w14:paraId="6E68C087" w14:textId="77777777" w:rsidR="0073339C" w:rsidRPr="004102B6" w:rsidRDefault="007971FC">
      <w:pPr>
        <w:pStyle w:val="Body"/>
        <w:keepNext/>
        <w:keepLines/>
        <w:pBdr>
          <w:bottom w:val="single" w:sz="4" w:space="0" w:color="000000"/>
        </w:pBdr>
        <w:spacing w:before="400" w:after="200"/>
        <w:jc w:val="left"/>
        <w:outlineLvl w:val="0"/>
        <w:rPr>
          <w:rFonts w:ascii="Arial" w:eastAsia="Arial" w:hAnsi="Arial" w:cs="Arial"/>
          <w:b/>
          <w:bCs/>
          <w:sz w:val="26"/>
          <w:szCs w:val="26"/>
        </w:rPr>
      </w:pPr>
      <w:r w:rsidRPr="004102B6">
        <w:rPr>
          <w:rFonts w:ascii="Arial" w:hAnsi="Arial"/>
          <w:b/>
          <w:bCs/>
          <w:sz w:val="26"/>
          <w:szCs w:val="26"/>
        </w:rPr>
        <w:t>Presentation</w:t>
      </w:r>
    </w:p>
    <w:p w14:paraId="43AEF9D2" w14:textId="77777777" w:rsidR="0073339C" w:rsidRPr="004102B6" w:rsidRDefault="007971FC">
      <w:pPr>
        <w:pStyle w:val="Body"/>
        <w:keepNext/>
        <w:keepLines/>
        <w:spacing w:before="240" w:after="200"/>
        <w:ind w:left="782"/>
        <w:jc w:val="left"/>
        <w:outlineLvl w:val="1"/>
        <w:rPr>
          <w:rFonts w:ascii="Arial" w:eastAsia="Arial" w:hAnsi="Arial" w:cs="Arial"/>
          <w:b/>
          <w:bCs/>
          <w:sz w:val="26"/>
          <w:szCs w:val="26"/>
        </w:rPr>
      </w:pPr>
      <w:r w:rsidRPr="004102B6">
        <w:rPr>
          <w:rFonts w:ascii="Arial" w:hAnsi="Arial"/>
          <w:b/>
          <w:bCs/>
          <w:sz w:val="26"/>
          <w:szCs w:val="26"/>
        </w:rPr>
        <w:t>The overlay approach</w:t>
      </w:r>
    </w:p>
    <w:p w14:paraId="2AB2D404" w14:textId="77777777" w:rsidR="0073339C" w:rsidRPr="004102B6" w:rsidRDefault="007971FC">
      <w:pPr>
        <w:pStyle w:val="Body"/>
        <w:spacing w:before="100"/>
        <w:ind w:left="782" w:hanging="782"/>
      </w:pPr>
      <w:r w:rsidRPr="004102B6">
        <w:tab/>
        <w:t>…</w:t>
      </w:r>
    </w:p>
    <w:p w14:paraId="297C786B" w14:textId="77777777" w:rsidR="0073339C" w:rsidRPr="004102B6" w:rsidRDefault="007971FC">
      <w:pPr>
        <w:pStyle w:val="Body"/>
        <w:spacing w:before="100"/>
        <w:ind w:left="782" w:hanging="782"/>
      </w:pPr>
      <w:r w:rsidRPr="004102B6">
        <w:t>35E</w:t>
      </w:r>
      <w:r w:rsidRPr="004102B6">
        <w:tab/>
        <w:t>A financial asset is eligible for designation for the overlay approach if, and only if, the following criteria are met:</w:t>
      </w:r>
    </w:p>
    <w:p w14:paraId="272467FB" w14:textId="77777777" w:rsidR="0073339C" w:rsidRPr="004102B6" w:rsidRDefault="007971FC">
      <w:pPr>
        <w:pStyle w:val="Body"/>
        <w:spacing w:before="100"/>
        <w:ind w:left="1564" w:hanging="782"/>
      </w:pPr>
      <w:r w:rsidRPr="004102B6">
        <w:t>(a)</w:t>
      </w:r>
      <w:r w:rsidRPr="004102B6">
        <w:tab/>
        <w:t>…</w:t>
      </w:r>
    </w:p>
    <w:p w14:paraId="3AB5CA1F" w14:textId="77777777" w:rsidR="0073339C" w:rsidRPr="004102B6" w:rsidRDefault="007971FC">
      <w:pPr>
        <w:pStyle w:val="Body"/>
        <w:spacing w:before="100"/>
        <w:ind w:left="1564" w:hanging="782"/>
      </w:pPr>
      <w:r w:rsidRPr="004102B6">
        <w:t>(b)</w:t>
      </w:r>
      <w:r w:rsidRPr="004102B6">
        <w:tab/>
        <w:t>it is not held in respect of an activity that is unconnected with contracts within the scope of this Standard</w:t>
      </w:r>
      <w:r w:rsidRPr="004102B6">
        <w:rPr>
          <w:u w:val="single"/>
        </w:rPr>
        <w:t>, AASB 1023 or AASB 1038</w:t>
      </w:r>
      <w:r w:rsidRPr="004102B6">
        <w:t>. Examples of financial assets that would not be eligible for the overlay approach are those assets held in respect of banking activities or financial assets held in funds relating to investment contracts that are outside the scope of this Standard</w:t>
      </w:r>
      <w:r w:rsidRPr="004102B6">
        <w:rPr>
          <w:u w:val="single"/>
        </w:rPr>
        <w:t>, AASB 1023 or AASB 1038</w:t>
      </w:r>
      <w:r w:rsidRPr="004102B6">
        <w:t>.</w:t>
      </w:r>
    </w:p>
    <w:p w14:paraId="6B17DB1B" w14:textId="77777777" w:rsidR="0073339C" w:rsidRPr="004102B6" w:rsidRDefault="007971FC">
      <w:pPr>
        <w:pStyle w:val="Heading2"/>
        <w:rPr>
          <w:lang w:val="en-AU"/>
        </w:rPr>
      </w:pPr>
      <w:r w:rsidRPr="004102B6">
        <w:rPr>
          <w:lang w:val="en-AU"/>
        </w:rPr>
        <w:t>Commencement of the legislative instrument</w:t>
      </w:r>
    </w:p>
    <w:p w14:paraId="0D3D7E77" w14:textId="77777777" w:rsidR="0073339C" w:rsidRPr="004102B6" w:rsidRDefault="007971FC">
      <w:pPr>
        <w:pStyle w:val="NoNumPlain1"/>
        <w:rPr>
          <w:lang w:val="en-AU"/>
        </w:rPr>
      </w:pPr>
      <w:r w:rsidRPr="004102B6">
        <w:rPr>
          <w:lang w:val="en-AU"/>
        </w:rPr>
        <w:t xml:space="preserve">For legal purposes, this legislative instrument commences on </w:t>
      </w:r>
      <w:bookmarkStart w:id="10" w:name="CommenceDate"/>
      <w:r w:rsidRPr="004102B6">
        <w:rPr>
          <w:lang w:val="en-AU"/>
        </w:rPr>
        <w:t>31 December 2017</w:t>
      </w:r>
      <w:bookmarkEnd w:id="10"/>
      <w:r w:rsidRPr="004102B6">
        <w:rPr>
          <w:lang w:val="en-AU"/>
        </w:rPr>
        <w:t>.</w:t>
      </w:r>
    </w:p>
    <w:sectPr w:rsidR="0073339C" w:rsidRPr="004102B6">
      <w:headerReference w:type="default" r:id="rId21"/>
      <w:footerReference w:type="default" r:id="rId22"/>
      <w:pgSz w:w="11900" w:h="16840"/>
      <w:pgMar w:top="1418" w:right="1418" w:bottom="1418"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FF75F3" w14:textId="77777777" w:rsidR="005C153E" w:rsidRDefault="007971FC">
      <w:r>
        <w:separator/>
      </w:r>
    </w:p>
  </w:endnote>
  <w:endnote w:type="continuationSeparator" w:id="0">
    <w:p w14:paraId="717E7C02" w14:textId="77777777" w:rsidR="005C153E" w:rsidRDefault="00797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29BCC4" w14:textId="690DDB70" w:rsidR="0073339C" w:rsidRDefault="00F00A34">
    <w:pPr>
      <w:pStyle w:val="Footer"/>
      <w:tabs>
        <w:tab w:val="clear" w:pos="9072"/>
        <w:tab w:val="right" w:pos="9044"/>
      </w:tabs>
    </w:pPr>
    <w:r>
      <w:rPr>
        <w:b/>
        <w:bCs/>
      </w:rPr>
      <w:t>AASB 2017-3</w:t>
    </w:r>
    <w:r w:rsidR="007971FC">
      <w:rPr>
        <w:b/>
        <w:bCs/>
      </w:rPr>
      <w:tab/>
    </w:r>
    <w:r w:rsidR="007971FC">
      <w:fldChar w:fldCharType="begin"/>
    </w:r>
    <w:r w:rsidR="007971FC">
      <w:instrText xml:space="preserve"> PAGE </w:instrText>
    </w:r>
    <w:r w:rsidR="007971FC">
      <w:fldChar w:fldCharType="separate"/>
    </w:r>
    <w:r w:rsidR="00DF0F06">
      <w:rPr>
        <w:noProof/>
      </w:rPr>
      <w:t>2</w:t>
    </w:r>
    <w:r w:rsidR="007971FC">
      <w:fldChar w:fldCharType="end"/>
    </w:r>
    <w:r w:rsidR="007971FC">
      <w:tab/>
    </w:r>
    <w:r w:rsidR="007971FC">
      <w:rPr>
        <w:b/>
        <w:bCs/>
      </w:rPr>
      <w:t>COPYRIGHT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81E45" w14:textId="78300650" w:rsidR="0073339C" w:rsidRDefault="00F00A34">
    <w:pPr>
      <w:pStyle w:val="Footer"/>
      <w:tabs>
        <w:tab w:val="clear" w:pos="9072"/>
        <w:tab w:val="right" w:pos="9044"/>
      </w:tabs>
    </w:pPr>
    <w:r>
      <w:rPr>
        <w:b/>
        <w:bCs/>
      </w:rPr>
      <w:t>AASB 2017-3</w:t>
    </w:r>
    <w:r w:rsidR="007971FC">
      <w:rPr>
        <w:b/>
        <w:bCs/>
      </w:rPr>
      <w:tab/>
    </w:r>
    <w:r w:rsidR="007971FC">
      <w:fldChar w:fldCharType="begin"/>
    </w:r>
    <w:r w:rsidR="007971FC">
      <w:instrText xml:space="preserve"> PAGE </w:instrText>
    </w:r>
    <w:r w:rsidR="007971FC">
      <w:fldChar w:fldCharType="separate"/>
    </w:r>
    <w:r w:rsidR="00DF0F06">
      <w:rPr>
        <w:noProof/>
      </w:rPr>
      <w:t>3</w:t>
    </w:r>
    <w:r w:rsidR="007971FC">
      <w:fldChar w:fldCharType="end"/>
    </w:r>
    <w:r w:rsidR="007971FC">
      <w:tab/>
    </w:r>
    <w:r w:rsidR="007971FC">
      <w:rPr>
        <w:b/>
        <w:bCs/>
      </w:rPr>
      <w:t>CONTENTS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DD07D" w14:textId="7423A9B9" w:rsidR="0073339C" w:rsidRDefault="00F00A34">
    <w:pPr>
      <w:pStyle w:val="Footer"/>
      <w:tabs>
        <w:tab w:val="clear" w:pos="9072"/>
        <w:tab w:val="right" w:pos="9044"/>
      </w:tabs>
    </w:pPr>
    <w:r>
      <w:rPr>
        <w:b/>
        <w:bCs/>
      </w:rPr>
      <w:t>AASB 2017-3</w:t>
    </w:r>
    <w:r w:rsidR="007971FC">
      <w:rPr>
        <w:b/>
        <w:bCs/>
      </w:rPr>
      <w:tab/>
    </w:r>
    <w:r w:rsidR="007971FC">
      <w:fldChar w:fldCharType="begin"/>
    </w:r>
    <w:r w:rsidR="007971FC">
      <w:instrText xml:space="preserve"> PAGE </w:instrText>
    </w:r>
    <w:r w:rsidR="007971FC">
      <w:fldChar w:fldCharType="separate"/>
    </w:r>
    <w:r w:rsidR="00DF0F06">
      <w:rPr>
        <w:noProof/>
      </w:rPr>
      <w:t>4</w:t>
    </w:r>
    <w:r w:rsidR="007971FC">
      <w:fldChar w:fldCharType="end"/>
    </w:r>
    <w:r w:rsidR="007971FC">
      <w:tab/>
    </w:r>
    <w:r w:rsidR="007971FC">
      <w:rPr>
        <w:b/>
        <w:bCs/>
      </w:rPr>
      <w:t>PREFACE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58517" w14:textId="1F6490D8" w:rsidR="0073339C" w:rsidRDefault="00F00A34">
    <w:pPr>
      <w:pStyle w:val="Footer"/>
      <w:tabs>
        <w:tab w:val="clear" w:pos="9072"/>
        <w:tab w:val="right" w:pos="9044"/>
      </w:tabs>
    </w:pPr>
    <w:r>
      <w:rPr>
        <w:b/>
        <w:bCs/>
      </w:rPr>
      <w:t>AASB 2017-3</w:t>
    </w:r>
    <w:r w:rsidR="007971FC">
      <w:rPr>
        <w:b/>
        <w:bCs/>
      </w:rPr>
      <w:tab/>
    </w:r>
    <w:r w:rsidR="007971FC">
      <w:fldChar w:fldCharType="begin"/>
    </w:r>
    <w:r w:rsidR="007971FC">
      <w:instrText xml:space="preserve"> PAGE </w:instrText>
    </w:r>
    <w:r w:rsidR="007971FC">
      <w:fldChar w:fldCharType="separate"/>
    </w:r>
    <w:r w:rsidR="00DF0F06">
      <w:rPr>
        <w:noProof/>
      </w:rPr>
      <w:t>6</w:t>
    </w:r>
    <w:r w:rsidR="007971FC">
      <w:fldChar w:fldCharType="end"/>
    </w:r>
    <w:r w:rsidR="007971FC">
      <w:tab/>
    </w:r>
    <w:r w:rsidR="007971FC">
      <w:rPr>
        <w:b/>
        <w:bCs/>
      </w:rPr>
      <w:t>STANDARD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613D68" w14:textId="77777777" w:rsidR="005C153E" w:rsidRDefault="007971FC">
      <w:r>
        <w:separator/>
      </w:r>
    </w:p>
  </w:footnote>
  <w:footnote w:type="continuationSeparator" w:id="0">
    <w:p w14:paraId="3C13176E" w14:textId="77777777" w:rsidR="005C153E" w:rsidRDefault="007971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02A68F" w14:textId="77777777" w:rsidR="0073339C" w:rsidRDefault="0073339C">
    <w:pPr>
      <w:pStyle w:val="HeaderFoote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461354" w14:textId="77777777" w:rsidR="0073339C" w:rsidRDefault="0073339C">
    <w:pPr>
      <w:pStyle w:val="HeaderFoote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8D53C0" w14:textId="77777777" w:rsidR="0073339C" w:rsidRDefault="0073339C">
    <w:pPr>
      <w:pStyle w:val="HeaderFooter"/>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DCEDC5" w14:textId="77777777" w:rsidR="0073339C" w:rsidRDefault="0073339C">
    <w:pPr>
      <w:pStyle w:val="HeaderFoote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
  <w:rsids>
    <w:rsidRoot w:val="0073339C"/>
    <w:rsid w:val="001F1CB6"/>
    <w:rsid w:val="00206477"/>
    <w:rsid w:val="004102B6"/>
    <w:rsid w:val="004677B3"/>
    <w:rsid w:val="004B0C8B"/>
    <w:rsid w:val="005B25F9"/>
    <w:rsid w:val="005C153E"/>
    <w:rsid w:val="0071536B"/>
    <w:rsid w:val="0073339C"/>
    <w:rsid w:val="007971FC"/>
    <w:rsid w:val="008A4D85"/>
    <w:rsid w:val="008C573E"/>
    <w:rsid w:val="00932DD5"/>
    <w:rsid w:val="009849B2"/>
    <w:rsid w:val="00B41712"/>
    <w:rsid w:val="00DF0F06"/>
    <w:rsid w:val="00E30A8D"/>
    <w:rsid w:val="00E649C3"/>
    <w:rsid w:val="00F00A34"/>
    <w:rsid w:val="00FE41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F3BB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2">
    <w:name w:val="heading 2"/>
    <w:next w:val="Body"/>
    <w:pPr>
      <w:keepNext/>
      <w:pBdr>
        <w:bottom w:val="single" w:sz="4" w:space="0" w:color="000000"/>
      </w:pBdr>
      <w:spacing w:before="600" w:after="200"/>
      <w:outlineLvl w:val="1"/>
    </w:pPr>
    <w:rPr>
      <w:rFonts w:ascii="Arial" w:hAnsi="Arial" w:cs="Arial Unicode MS"/>
      <w:b/>
      <w:bCs/>
      <w:color w:val="000000"/>
      <w:sz w:val="26"/>
      <w:szCs w:val="26"/>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jc w:val="both"/>
    </w:pPr>
    <w:rPr>
      <w:rFonts w:cs="Arial Unicode MS"/>
      <w:color w:val="000000"/>
      <w:sz w:val="19"/>
      <w:szCs w:val="19"/>
      <w:u w:color="000000"/>
    </w:rPr>
  </w:style>
  <w:style w:type="paragraph" w:customStyle="1" w:styleId="CoverStandard">
    <w:name w:val="Cover Standard"/>
    <w:next w:val="Body"/>
    <w:pPr>
      <w:spacing w:line="280" w:lineRule="exact"/>
      <w:jc w:val="both"/>
    </w:pPr>
    <w:rPr>
      <w:rFonts w:cs="Arial Unicode MS"/>
      <w:b/>
      <w:bCs/>
      <w:color w:val="000000"/>
      <w:sz w:val="28"/>
      <w:szCs w:val="28"/>
      <w:u w:color="000000"/>
      <w:lang w:val="en-US"/>
    </w:rPr>
  </w:style>
  <w:style w:type="paragraph" w:customStyle="1" w:styleId="CoverNumber">
    <w:name w:val="Cover Number"/>
    <w:next w:val="Body"/>
    <w:pPr>
      <w:spacing w:line="320" w:lineRule="exact"/>
      <w:jc w:val="right"/>
    </w:pPr>
    <w:rPr>
      <w:rFonts w:cs="Arial Unicode MS"/>
      <w:b/>
      <w:bCs/>
      <w:caps/>
      <w:color w:val="000000"/>
      <w:sz w:val="32"/>
      <w:szCs w:val="32"/>
      <w:u w:color="000000"/>
      <w:lang w:val="en-US"/>
    </w:rPr>
  </w:style>
  <w:style w:type="paragraph" w:customStyle="1" w:styleId="CoverDate">
    <w:name w:val="Cover Date"/>
    <w:next w:val="Body"/>
    <w:pPr>
      <w:spacing w:line="240" w:lineRule="exact"/>
      <w:jc w:val="right"/>
    </w:pPr>
    <w:rPr>
      <w:rFonts w:cs="Arial Unicode MS"/>
      <w:color w:val="000000"/>
      <w:sz w:val="24"/>
      <w:szCs w:val="24"/>
      <w:u w:color="000000"/>
      <w:lang w:val="en-US"/>
    </w:rPr>
  </w:style>
  <w:style w:type="paragraph" w:customStyle="1" w:styleId="CoverTitle">
    <w:name w:val="Cover Title"/>
    <w:pPr>
      <w:spacing w:before="800" w:after="500" w:line="500" w:lineRule="exact"/>
      <w:jc w:val="both"/>
    </w:pPr>
    <w:rPr>
      <w:rFonts w:eastAsia="Times New Roman"/>
      <w:b/>
      <w:bCs/>
      <w:color w:val="000000"/>
      <w:sz w:val="50"/>
      <w:szCs w:val="50"/>
      <w:u w:color="000000"/>
      <w:lang w:val="en-US"/>
    </w:rPr>
  </w:style>
  <w:style w:type="paragraph" w:customStyle="1" w:styleId="CoverSubtitle">
    <w:name w:val="Cover Subtitle"/>
    <w:pPr>
      <w:spacing w:line="500" w:lineRule="exact"/>
      <w:jc w:val="both"/>
    </w:pPr>
    <w:rPr>
      <w:rFonts w:cs="Arial Unicode MS"/>
      <w:b/>
      <w:bCs/>
      <w:color w:val="000000"/>
      <w:sz w:val="40"/>
      <w:szCs w:val="40"/>
      <w:u w:color="000000"/>
      <w:lang w:val="en-US"/>
    </w:rPr>
  </w:style>
  <w:style w:type="paragraph" w:styleId="Footer">
    <w:name w:val="footer"/>
    <w:pPr>
      <w:tabs>
        <w:tab w:val="center" w:pos="4536"/>
        <w:tab w:val="right" w:pos="9072"/>
      </w:tabs>
      <w:jc w:val="both"/>
    </w:pPr>
    <w:rPr>
      <w:rFonts w:cs="Arial Unicode MS"/>
      <w:color w:val="000000"/>
      <w:sz w:val="19"/>
      <w:szCs w:val="19"/>
      <w:u w:color="000000"/>
      <w:lang w:val="en-US"/>
    </w:rPr>
  </w:style>
  <w:style w:type="paragraph" w:customStyle="1" w:styleId="Heading">
    <w:name w:val="Heading"/>
    <w:next w:val="Body"/>
    <w:pPr>
      <w:keepNext/>
      <w:spacing w:before="400" w:after="200"/>
      <w:outlineLvl w:val="0"/>
    </w:pPr>
    <w:rPr>
      <w:rFonts w:ascii="Arial" w:hAnsi="Arial" w:cs="Arial Unicode MS"/>
      <w:b/>
      <w:bCs/>
      <w:color w:val="000000"/>
      <w:sz w:val="26"/>
      <w:szCs w:val="26"/>
      <w:u w:color="000000"/>
      <w:lang w:val="en-US"/>
    </w:rPr>
  </w:style>
  <w:style w:type="paragraph" w:customStyle="1" w:styleId="CoverContact">
    <w:name w:val="Cover Contact"/>
    <w:next w:val="Body"/>
    <w:pPr>
      <w:tabs>
        <w:tab w:val="left" w:pos="907"/>
      </w:tabs>
      <w:jc w:val="both"/>
    </w:pPr>
    <w:rPr>
      <w:rFonts w:cs="Arial Unicode MS"/>
      <w:color w:val="000000"/>
      <w:sz w:val="19"/>
      <w:szCs w:val="19"/>
      <w:u w:color="000000"/>
      <w:lang w:val="en-US"/>
    </w:rPr>
  </w:style>
  <w:style w:type="paragraph" w:customStyle="1" w:styleId="NoNumPlain1">
    <w:name w:val="NoNum Plain1"/>
    <w:pPr>
      <w:spacing w:before="100" w:after="100"/>
      <w:jc w:val="both"/>
    </w:pPr>
    <w:rPr>
      <w:rFonts w:cs="Arial Unicode MS"/>
      <w:color w:val="000000"/>
      <w:sz w:val="19"/>
      <w:szCs w:val="19"/>
      <w:u w:color="000000"/>
      <w:lang w:val="en-US"/>
    </w:rPr>
  </w:style>
  <w:style w:type="paragraph" w:customStyle="1" w:styleId="ContentsCapsPlain">
    <w:name w:val="Contents CapsPlain"/>
    <w:next w:val="ContentsLevel1"/>
    <w:pPr>
      <w:spacing w:after="200"/>
      <w:jc w:val="both"/>
    </w:pPr>
    <w:rPr>
      <w:rFonts w:cs="Arial Unicode MS"/>
      <w:color w:val="000000"/>
      <w:sz w:val="19"/>
      <w:szCs w:val="19"/>
      <w:u w:color="000000"/>
      <w:lang w:val="en-US"/>
    </w:rPr>
  </w:style>
  <w:style w:type="paragraph" w:customStyle="1" w:styleId="ContentsLevel1">
    <w:name w:val="Contents Level1"/>
    <w:pPr>
      <w:tabs>
        <w:tab w:val="right" w:pos="9072"/>
      </w:tabs>
      <w:spacing w:after="60"/>
      <w:ind w:left="170" w:right="1134" w:hanging="170"/>
    </w:pPr>
    <w:rPr>
      <w:rFonts w:cs="Arial Unicode MS"/>
      <w:color w:val="000000"/>
      <w:sz w:val="19"/>
      <w:szCs w:val="19"/>
      <w:u w:color="000000"/>
      <w:lang w:val="en-US"/>
    </w:rPr>
  </w:style>
  <w:style w:type="paragraph" w:customStyle="1" w:styleId="ContentsCapsBold">
    <w:name w:val="Contents CapsBold"/>
    <w:next w:val="ContentsLevel1"/>
    <w:pPr>
      <w:jc w:val="both"/>
    </w:pPr>
    <w:rPr>
      <w:rFonts w:cs="Arial Unicode MS"/>
      <w:b/>
      <w:bCs/>
      <w:color w:val="000000"/>
      <w:sz w:val="19"/>
      <w:szCs w:val="19"/>
      <w:u w:color="000000"/>
      <w:lang w:val="en-US"/>
    </w:rPr>
  </w:style>
  <w:style w:type="paragraph" w:customStyle="1" w:styleId="ContentsParaHead">
    <w:name w:val="Contents ParaHead"/>
    <w:next w:val="Body"/>
    <w:pPr>
      <w:spacing w:after="60"/>
      <w:jc w:val="right"/>
    </w:pPr>
    <w:rPr>
      <w:rFonts w:cs="Arial Unicode MS"/>
      <w:i/>
      <w:iCs/>
      <w:color w:val="000000"/>
      <w:sz w:val="19"/>
      <w:szCs w:val="19"/>
      <w:u w:color="000000"/>
      <w:lang w:val="en-US"/>
    </w:rPr>
  </w:style>
  <w:style w:type="paragraph" w:customStyle="1" w:styleId="ContentsBox">
    <w:name w:val="Contents Box"/>
    <w:pPr>
      <w:pBdr>
        <w:top w:val="single" w:sz="4" w:space="0" w:color="000000"/>
        <w:left w:val="single" w:sz="4" w:space="0" w:color="000000"/>
        <w:bottom w:val="single" w:sz="4" w:space="0" w:color="000000"/>
        <w:right w:val="single" w:sz="4" w:space="0" w:color="000000"/>
      </w:pBdr>
      <w:spacing w:after="100"/>
      <w:jc w:val="both"/>
    </w:pPr>
    <w:rPr>
      <w:rFonts w:cs="Arial Unicode MS"/>
      <w:color w:val="000000"/>
      <w:sz w:val="19"/>
      <w:szCs w:val="19"/>
      <w:u w:color="000000"/>
      <w:lang w:val="en-US"/>
    </w:rPr>
  </w:style>
  <w:style w:type="paragraph" w:customStyle="1" w:styleId="Heading2Indent1">
    <w:name w:val="Heading 2 Indent1"/>
    <w:next w:val="Body"/>
    <w:pPr>
      <w:keepNext/>
      <w:spacing w:before="240" w:after="200"/>
      <w:ind w:left="510"/>
      <w:outlineLvl w:val="1"/>
    </w:pPr>
    <w:rPr>
      <w:rFonts w:ascii="Arial" w:hAnsi="Arial" w:cs="Arial Unicode MS"/>
      <w:b/>
      <w:bCs/>
      <w:color w:val="000000"/>
      <w:sz w:val="26"/>
      <w:szCs w:val="26"/>
      <w:u w:color="000000"/>
      <w:lang w:val="en-US"/>
    </w:rPr>
  </w:style>
  <w:style w:type="paragraph" w:customStyle="1" w:styleId="Heading1Italic">
    <w:name w:val="Heading 1 Italic"/>
    <w:next w:val="Body"/>
    <w:pPr>
      <w:keepNext/>
      <w:spacing w:before="240" w:after="200"/>
      <w:outlineLvl w:val="0"/>
    </w:pPr>
    <w:rPr>
      <w:rFonts w:ascii="Arial" w:hAnsi="Arial" w:cs="Arial Unicode MS"/>
      <w:b/>
      <w:bCs/>
      <w:i/>
      <w:iCs/>
      <w:color w:val="000000"/>
      <w:sz w:val="26"/>
      <w:szCs w:val="26"/>
      <w:u w:color="000000"/>
      <w:lang w:val="en-US"/>
    </w:rPr>
  </w:style>
  <w:style w:type="paragraph" w:styleId="Header">
    <w:name w:val="header"/>
    <w:basedOn w:val="Normal"/>
    <w:link w:val="HeaderChar"/>
    <w:uiPriority w:val="99"/>
    <w:unhideWhenUsed/>
    <w:rsid w:val="004102B6"/>
    <w:pPr>
      <w:tabs>
        <w:tab w:val="center" w:pos="4513"/>
        <w:tab w:val="right" w:pos="9026"/>
      </w:tabs>
    </w:pPr>
  </w:style>
  <w:style w:type="character" w:customStyle="1" w:styleId="HeaderChar">
    <w:name w:val="Header Char"/>
    <w:basedOn w:val="DefaultParagraphFont"/>
    <w:link w:val="Header"/>
    <w:uiPriority w:val="99"/>
    <w:rsid w:val="004102B6"/>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2">
    <w:name w:val="heading 2"/>
    <w:next w:val="Body"/>
    <w:pPr>
      <w:keepNext/>
      <w:pBdr>
        <w:bottom w:val="single" w:sz="4" w:space="0" w:color="000000"/>
      </w:pBdr>
      <w:spacing w:before="600" w:after="200"/>
      <w:outlineLvl w:val="1"/>
    </w:pPr>
    <w:rPr>
      <w:rFonts w:ascii="Arial" w:hAnsi="Arial" w:cs="Arial Unicode MS"/>
      <w:b/>
      <w:bCs/>
      <w:color w:val="000000"/>
      <w:sz w:val="26"/>
      <w:szCs w:val="26"/>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jc w:val="both"/>
    </w:pPr>
    <w:rPr>
      <w:rFonts w:cs="Arial Unicode MS"/>
      <w:color w:val="000000"/>
      <w:sz w:val="19"/>
      <w:szCs w:val="19"/>
      <w:u w:color="000000"/>
    </w:rPr>
  </w:style>
  <w:style w:type="paragraph" w:customStyle="1" w:styleId="CoverStandard">
    <w:name w:val="Cover Standard"/>
    <w:next w:val="Body"/>
    <w:pPr>
      <w:spacing w:line="280" w:lineRule="exact"/>
      <w:jc w:val="both"/>
    </w:pPr>
    <w:rPr>
      <w:rFonts w:cs="Arial Unicode MS"/>
      <w:b/>
      <w:bCs/>
      <w:color w:val="000000"/>
      <w:sz w:val="28"/>
      <w:szCs w:val="28"/>
      <w:u w:color="000000"/>
      <w:lang w:val="en-US"/>
    </w:rPr>
  </w:style>
  <w:style w:type="paragraph" w:customStyle="1" w:styleId="CoverNumber">
    <w:name w:val="Cover Number"/>
    <w:next w:val="Body"/>
    <w:pPr>
      <w:spacing w:line="320" w:lineRule="exact"/>
      <w:jc w:val="right"/>
    </w:pPr>
    <w:rPr>
      <w:rFonts w:cs="Arial Unicode MS"/>
      <w:b/>
      <w:bCs/>
      <w:caps/>
      <w:color w:val="000000"/>
      <w:sz w:val="32"/>
      <w:szCs w:val="32"/>
      <w:u w:color="000000"/>
      <w:lang w:val="en-US"/>
    </w:rPr>
  </w:style>
  <w:style w:type="paragraph" w:customStyle="1" w:styleId="CoverDate">
    <w:name w:val="Cover Date"/>
    <w:next w:val="Body"/>
    <w:pPr>
      <w:spacing w:line="240" w:lineRule="exact"/>
      <w:jc w:val="right"/>
    </w:pPr>
    <w:rPr>
      <w:rFonts w:cs="Arial Unicode MS"/>
      <w:color w:val="000000"/>
      <w:sz w:val="24"/>
      <w:szCs w:val="24"/>
      <w:u w:color="000000"/>
      <w:lang w:val="en-US"/>
    </w:rPr>
  </w:style>
  <w:style w:type="paragraph" w:customStyle="1" w:styleId="CoverTitle">
    <w:name w:val="Cover Title"/>
    <w:pPr>
      <w:spacing w:before="800" w:after="500" w:line="500" w:lineRule="exact"/>
      <w:jc w:val="both"/>
    </w:pPr>
    <w:rPr>
      <w:rFonts w:eastAsia="Times New Roman"/>
      <w:b/>
      <w:bCs/>
      <w:color w:val="000000"/>
      <w:sz w:val="50"/>
      <w:szCs w:val="50"/>
      <w:u w:color="000000"/>
      <w:lang w:val="en-US"/>
    </w:rPr>
  </w:style>
  <w:style w:type="paragraph" w:customStyle="1" w:styleId="CoverSubtitle">
    <w:name w:val="Cover Subtitle"/>
    <w:pPr>
      <w:spacing w:line="500" w:lineRule="exact"/>
      <w:jc w:val="both"/>
    </w:pPr>
    <w:rPr>
      <w:rFonts w:cs="Arial Unicode MS"/>
      <w:b/>
      <w:bCs/>
      <w:color w:val="000000"/>
      <w:sz w:val="40"/>
      <w:szCs w:val="40"/>
      <w:u w:color="000000"/>
      <w:lang w:val="en-US"/>
    </w:rPr>
  </w:style>
  <w:style w:type="paragraph" w:styleId="Footer">
    <w:name w:val="footer"/>
    <w:pPr>
      <w:tabs>
        <w:tab w:val="center" w:pos="4536"/>
        <w:tab w:val="right" w:pos="9072"/>
      </w:tabs>
      <w:jc w:val="both"/>
    </w:pPr>
    <w:rPr>
      <w:rFonts w:cs="Arial Unicode MS"/>
      <w:color w:val="000000"/>
      <w:sz w:val="19"/>
      <w:szCs w:val="19"/>
      <w:u w:color="000000"/>
      <w:lang w:val="en-US"/>
    </w:rPr>
  </w:style>
  <w:style w:type="paragraph" w:customStyle="1" w:styleId="Heading">
    <w:name w:val="Heading"/>
    <w:next w:val="Body"/>
    <w:pPr>
      <w:keepNext/>
      <w:spacing w:before="400" w:after="200"/>
      <w:outlineLvl w:val="0"/>
    </w:pPr>
    <w:rPr>
      <w:rFonts w:ascii="Arial" w:hAnsi="Arial" w:cs="Arial Unicode MS"/>
      <w:b/>
      <w:bCs/>
      <w:color w:val="000000"/>
      <w:sz w:val="26"/>
      <w:szCs w:val="26"/>
      <w:u w:color="000000"/>
      <w:lang w:val="en-US"/>
    </w:rPr>
  </w:style>
  <w:style w:type="paragraph" w:customStyle="1" w:styleId="CoverContact">
    <w:name w:val="Cover Contact"/>
    <w:next w:val="Body"/>
    <w:pPr>
      <w:tabs>
        <w:tab w:val="left" w:pos="907"/>
      </w:tabs>
      <w:jc w:val="both"/>
    </w:pPr>
    <w:rPr>
      <w:rFonts w:cs="Arial Unicode MS"/>
      <w:color w:val="000000"/>
      <w:sz w:val="19"/>
      <w:szCs w:val="19"/>
      <w:u w:color="000000"/>
      <w:lang w:val="en-US"/>
    </w:rPr>
  </w:style>
  <w:style w:type="paragraph" w:customStyle="1" w:styleId="NoNumPlain1">
    <w:name w:val="NoNum Plain1"/>
    <w:pPr>
      <w:spacing w:before="100" w:after="100"/>
      <w:jc w:val="both"/>
    </w:pPr>
    <w:rPr>
      <w:rFonts w:cs="Arial Unicode MS"/>
      <w:color w:val="000000"/>
      <w:sz w:val="19"/>
      <w:szCs w:val="19"/>
      <w:u w:color="000000"/>
      <w:lang w:val="en-US"/>
    </w:rPr>
  </w:style>
  <w:style w:type="paragraph" w:customStyle="1" w:styleId="ContentsCapsPlain">
    <w:name w:val="Contents CapsPlain"/>
    <w:next w:val="ContentsLevel1"/>
    <w:pPr>
      <w:spacing w:after="200"/>
      <w:jc w:val="both"/>
    </w:pPr>
    <w:rPr>
      <w:rFonts w:cs="Arial Unicode MS"/>
      <w:color w:val="000000"/>
      <w:sz w:val="19"/>
      <w:szCs w:val="19"/>
      <w:u w:color="000000"/>
      <w:lang w:val="en-US"/>
    </w:rPr>
  </w:style>
  <w:style w:type="paragraph" w:customStyle="1" w:styleId="ContentsLevel1">
    <w:name w:val="Contents Level1"/>
    <w:pPr>
      <w:tabs>
        <w:tab w:val="right" w:pos="9072"/>
      </w:tabs>
      <w:spacing w:after="60"/>
      <w:ind w:left="170" w:right="1134" w:hanging="170"/>
    </w:pPr>
    <w:rPr>
      <w:rFonts w:cs="Arial Unicode MS"/>
      <w:color w:val="000000"/>
      <w:sz w:val="19"/>
      <w:szCs w:val="19"/>
      <w:u w:color="000000"/>
      <w:lang w:val="en-US"/>
    </w:rPr>
  </w:style>
  <w:style w:type="paragraph" w:customStyle="1" w:styleId="ContentsCapsBold">
    <w:name w:val="Contents CapsBold"/>
    <w:next w:val="ContentsLevel1"/>
    <w:pPr>
      <w:jc w:val="both"/>
    </w:pPr>
    <w:rPr>
      <w:rFonts w:cs="Arial Unicode MS"/>
      <w:b/>
      <w:bCs/>
      <w:color w:val="000000"/>
      <w:sz w:val="19"/>
      <w:szCs w:val="19"/>
      <w:u w:color="000000"/>
      <w:lang w:val="en-US"/>
    </w:rPr>
  </w:style>
  <w:style w:type="paragraph" w:customStyle="1" w:styleId="ContentsParaHead">
    <w:name w:val="Contents ParaHead"/>
    <w:next w:val="Body"/>
    <w:pPr>
      <w:spacing w:after="60"/>
      <w:jc w:val="right"/>
    </w:pPr>
    <w:rPr>
      <w:rFonts w:cs="Arial Unicode MS"/>
      <w:i/>
      <w:iCs/>
      <w:color w:val="000000"/>
      <w:sz w:val="19"/>
      <w:szCs w:val="19"/>
      <w:u w:color="000000"/>
      <w:lang w:val="en-US"/>
    </w:rPr>
  </w:style>
  <w:style w:type="paragraph" w:customStyle="1" w:styleId="ContentsBox">
    <w:name w:val="Contents Box"/>
    <w:pPr>
      <w:pBdr>
        <w:top w:val="single" w:sz="4" w:space="0" w:color="000000"/>
        <w:left w:val="single" w:sz="4" w:space="0" w:color="000000"/>
        <w:bottom w:val="single" w:sz="4" w:space="0" w:color="000000"/>
        <w:right w:val="single" w:sz="4" w:space="0" w:color="000000"/>
      </w:pBdr>
      <w:spacing w:after="100"/>
      <w:jc w:val="both"/>
    </w:pPr>
    <w:rPr>
      <w:rFonts w:cs="Arial Unicode MS"/>
      <w:color w:val="000000"/>
      <w:sz w:val="19"/>
      <w:szCs w:val="19"/>
      <w:u w:color="000000"/>
      <w:lang w:val="en-US"/>
    </w:rPr>
  </w:style>
  <w:style w:type="paragraph" w:customStyle="1" w:styleId="Heading2Indent1">
    <w:name w:val="Heading 2 Indent1"/>
    <w:next w:val="Body"/>
    <w:pPr>
      <w:keepNext/>
      <w:spacing w:before="240" w:after="200"/>
      <w:ind w:left="510"/>
      <w:outlineLvl w:val="1"/>
    </w:pPr>
    <w:rPr>
      <w:rFonts w:ascii="Arial" w:hAnsi="Arial" w:cs="Arial Unicode MS"/>
      <w:b/>
      <w:bCs/>
      <w:color w:val="000000"/>
      <w:sz w:val="26"/>
      <w:szCs w:val="26"/>
      <w:u w:color="000000"/>
      <w:lang w:val="en-US"/>
    </w:rPr>
  </w:style>
  <w:style w:type="paragraph" w:customStyle="1" w:styleId="Heading1Italic">
    <w:name w:val="Heading 1 Italic"/>
    <w:next w:val="Body"/>
    <w:pPr>
      <w:keepNext/>
      <w:spacing w:before="240" w:after="200"/>
      <w:outlineLvl w:val="0"/>
    </w:pPr>
    <w:rPr>
      <w:rFonts w:ascii="Arial" w:hAnsi="Arial" w:cs="Arial Unicode MS"/>
      <w:b/>
      <w:bCs/>
      <w:i/>
      <w:iCs/>
      <w:color w:val="000000"/>
      <w:sz w:val="26"/>
      <w:szCs w:val="26"/>
      <w:u w:color="000000"/>
      <w:lang w:val="en-US"/>
    </w:rPr>
  </w:style>
  <w:style w:type="paragraph" w:styleId="Header">
    <w:name w:val="header"/>
    <w:basedOn w:val="Normal"/>
    <w:link w:val="HeaderChar"/>
    <w:uiPriority w:val="99"/>
    <w:unhideWhenUsed/>
    <w:rsid w:val="004102B6"/>
    <w:pPr>
      <w:tabs>
        <w:tab w:val="center" w:pos="4513"/>
        <w:tab w:val="right" w:pos="9026"/>
      </w:tabs>
    </w:pPr>
  </w:style>
  <w:style w:type="character" w:customStyle="1" w:styleId="HeaderChar">
    <w:name w:val="Header Char"/>
    <w:basedOn w:val="DefaultParagraphFont"/>
    <w:link w:val="Header"/>
    <w:uiPriority w:val="99"/>
    <w:rsid w:val="004102B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MEL_1\AASB_Templates\2010\WordGlobal\AmendingDomestic.do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haredContentType xmlns="Microsoft.SharePoint.Taxonomy.ContentTypeSync" SourceId="70da5c63-8548-4ac8-9616-83b0f373280e"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667561758BF7754DBE55BC17410210CA" ma:contentTypeVersion="0" ma:contentTypeDescription="Create a new document." ma:contentTypeScope="" ma:versionID="fc68969cf865ed97b68aa5b95f98f437">
  <xsd:schema xmlns:xsd="http://www.w3.org/2001/XMLSchema" xmlns:xs="http://www.w3.org/2001/XMLSchema" xmlns:p="http://schemas.microsoft.com/office/2006/metadata/properties" xmlns:ns2="3f4bcce7-ac1a-4c9d-aa3e-7e77695652db" xmlns:ns3="47e576cf-618c-45c9-99ef-ab7e8b777e43" targetNamespace="http://schemas.microsoft.com/office/2006/metadata/properties" ma:root="true" ma:fieldsID="4fa38e2c85037d94aef32f1d4d43a467" ns2:_="" ns3:_="">
    <xsd:import namespace="3f4bcce7-ac1a-4c9d-aa3e-7e77695652db"/>
    <xsd:import namespace="47e576cf-618c-45c9-99ef-ab7e8b777e43"/>
    <xsd:element name="properties">
      <xsd:complexType>
        <xsd:sequence>
          <xsd:element name="documentManagement">
            <xsd:complexType>
              <xsd:all>
                <xsd:element ref="ns2:TaxCatchAll" minOccurs="0"/>
                <xsd:element ref="ns2:TaxCatchAllLabel" minOccurs="0"/>
                <xsd:element ref="ns2:_dlc_DocId" minOccurs="0"/>
                <xsd:element ref="ns2:_dlc_DocIdUrl" minOccurs="0"/>
                <xsd:element ref="ns2:_dlc_DocIdPersistId" minOccurs="0"/>
                <xsd:element ref="ns3:i68dcda424604f4b8ece99fc3619f00c"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1d7f504-621a-4932-9995-223c0b9e0b9b}" ma:internalName="TaxCatchAll" ma:showField="CatchAllData" ma:web="47e576cf-618c-45c9-99ef-ab7e8b777e4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1d7f504-621a-4932-9995-223c0b9e0b9b}" ma:internalName="TaxCatchAllLabel" ma:readOnly="true" ma:showField="CatchAllDataLabel" ma:web="47e576cf-618c-45c9-99ef-ab7e8b777e43">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16"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e576cf-618c-45c9-99ef-ab7e8b777e43" elementFormDefault="qualified">
    <xsd:import namespace="http://schemas.microsoft.com/office/2006/documentManagement/types"/>
    <xsd:import namespace="http://schemas.microsoft.com/office/infopath/2007/PartnerControls"/>
    <xsd:element name="i68dcda424604f4b8ece99fc3619f00c" ma:index="14" nillable="true" ma:taxonomy="true" ma:internalName="i68dcda424604f4b8ece99fc3619f00c" ma:taxonomyFieldName="Term" ma:displayName="Term" ma:default="" ma:fieldId="{268dcda4-2460-4f4b-8ece-99fc3619f00c}" ma:sspId="f2c20519-bfb4-4138-a21e-2e6ee8209940" ma:termSetId="e3959d5c-1f58-4126-9a54-523d5369149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TaxCatchAll xmlns="3f4bcce7-ac1a-4c9d-aa3e-7e77695652db">
      <Value>85</Value>
    </TaxCatchAll>
    <i68dcda424604f4b8ece99fc3619f00c xmlns="47e576cf-618c-45c9-99ef-ab7e8b777e43">
      <Terms xmlns="http://schemas.microsoft.com/office/infopath/2007/PartnerControls">
        <TermInfo xmlns="http://schemas.microsoft.com/office/infopath/2007/PartnerControls">
          <TermName xmlns="http://schemas.microsoft.com/office/infopath/2007/PartnerControls">Standard - Approved</TermName>
          <TermId xmlns="http://schemas.microsoft.com/office/infopath/2007/PartnerControls">dc982c34-0bb8-4570-bc5d-2152be8ac72a</TermId>
        </TermInfo>
      </Terms>
    </i68dcda424604f4b8ece99fc3619f00c>
    <_dlc_DocId xmlns="3f4bcce7-ac1a-4c9d-aa3e-7e77695652db">PRDOC-265407118-11</_dlc_DocId>
    <_dlc_DocIdUrl xmlns="3f4bcce7-ac1a-4c9d-aa3e-7e77695652db">
      <Url>http://hub.aasb.gov.au/sites/stand/aasb17/_layouts/15/DocIdRedir.aspx?ID=PRDOC-265407118-11</Url>
      <Description>PRDOC-265407118-11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EEE55EA6-6326-48F5-B1B3-73D0BEBDB7DD}">
  <ds:schemaRefs>
    <ds:schemaRef ds:uri="http://schemas.microsoft.com/office/2006/metadata/customXsn"/>
  </ds:schemaRefs>
</ds:datastoreItem>
</file>

<file path=customXml/itemProps2.xml><?xml version="1.0" encoding="utf-8"?>
<ds:datastoreItem xmlns:ds="http://schemas.openxmlformats.org/officeDocument/2006/customXml" ds:itemID="{EF285523-604F-4463-9180-55EF858ED465}">
  <ds:schemaRefs>
    <ds:schemaRef ds:uri="Microsoft.SharePoint.Taxonomy.ContentTypeSync"/>
  </ds:schemaRefs>
</ds:datastoreItem>
</file>

<file path=customXml/itemProps3.xml><?xml version="1.0" encoding="utf-8"?>
<ds:datastoreItem xmlns:ds="http://schemas.openxmlformats.org/officeDocument/2006/customXml" ds:itemID="{71BA748D-A89C-4957-87B7-015C2CE82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47e576cf-618c-45c9-99ef-ab7e8b777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8CFB31-8286-4167-A877-FDEAB2D186E6}">
  <ds:schemaRefs>
    <ds:schemaRef ds:uri="47e576cf-618c-45c9-99ef-ab7e8b777e43"/>
    <ds:schemaRef ds:uri="http://purl.org/dc/terms/"/>
    <ds:schemaRef ds:uri="http://schemas.microsoft.com/office/infopath/2007/PartnerControls"/>
    <ds:schemaRef ds:uri="http://www.w3.org/XML/1998/namespace"/>
    <ds:schemaRef ds:uri="http://schemas.microsoft.com/office/2006/documentManagement/types"/>
    <ds:schemaRef ds:uri="http://purl.org/dc/elements/1.1/"/>
    <ds:schemaRef ds:uri="http://purl.org/dc/dcmitype/"/>
    <ds:schemaRef ds:uri="http://schemas.openxmlformats.org/package/2006/metadata/core-properties"/>
    <ds:schemaRef ds:uri="3f4bcce7-ac1a-4c9d-aa3e-7e77695652db"/>
    <ds:schemaRef ds:uri="http://schemas.microsoft.com/office/2006/metadata/properties"/>
  </ds:schemaRefs>
</ds:datastoreItem>
</file>

<file path=customXml/itemProps5.xml><?xml version="1.0" encoding="utf-8"?>
<ds:datastoreItem xmlns:ds="http://schemas.openxmlformats.org/officeDocument/2006/customXml" ds:itemID="{1ECA37A3-70C0-463D-AE34-E310C7AE2F10}">
  <ds:schemaRefs>
    <ds:schemaRef ds:uri="http://schemas.microsoft.com/sharepoint/v3/contenttype/forms"/>
  </ds:schemaRefs>
</ds:datastoreItem>
</file>

<file path=customXml/itemProps6.xml><?xml version="1.0" encoding="utf-8"?>
<ds:datastoreItem xmlns:ds="http://schemas.openxmlformats.org/officeDocument/2006/customXml" ds:itemID="{C2310CAD-51D9-43BD-BFD2-70E48E77DE49}">
  <ds:schemaRefs>
    <ds:schemaRef ds:uri="http://schemas.microsoft.com/sharepoint/events"/>
  </ds:schemaRefs>
</ds:datastoreItem>
</file>

<file path=customXml/itemProps7.xml><?xml version="1.0" encoding="utf-8"?>
<ds:datastoreItem xmlns:ds="http://schemas.openxmlformats.org/officeDocument/2006/customXml" ds:itemID="{D14FF6DB-88A3-409E-9C66-D41D8E16D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AmendingDomestic.dotx</Template>
  <TotalTime>5</TotalTime>
  <Pages>6</Pages>
  <Words>1034</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AASB 2017-3 Amendments to Australian Accounting Standards - Clarifications to AASB 4</vt:lpstr>
    </vt:vector>
  </TitlesOfParts>
  <Company>Tertiary Education Quality and Standards Agency</Company>
  <LinksUpToDate>false</LinksUpToDate>
  <CharactersWithSpaces>6915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AASB 2017-3 Amendments to Australian Accounting Standards - Clarifications to AASB 4</dc:title>
  <dc:creator>Steenkamp, Shaun</dc:creator>
  <cp:lastModifiedBy>Clark M. Anstis</cp:lastModifiedBy>
  <cp:revision>3</cp:revision>
  <dcterms:created xsi:type="dcterms:W3CDTF">2017-07-20T05:58:00Z</dcterms:created>
  <dcterms:modified xsi:type="dcterms:W3CDTF">2017-09-12T09:20:00Z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0x010100667561758BF7754DBE55BC17410210CA</vt:lpwstr>
  </property>
  <property fmtid="{D5CDD505-2E9C-101B-9397-08002B2CF9AE}" pid="3" name="TaxKeyword">
    <vt:lpwstr/>
  </property>
  <property fmtid="{D5CDD505-2E9C-101B-9397-08002B2CF9AE}" pid="4" name="Term">
    <vt:lpwstr>85;#Standard - Approved|dc982c34-0bb8-4570-bc5d-2152be8ac72a</vt:lpwstr>
  </property>
  <property fmtid="{D5CDD505-2E9C-101B-9397-08002B2CF9AE}" pid="5" name="_dlc_DocIdItemGuid">
    <vt:lpwstr>ffd6138a-0840-4c00-9d40-bd67b59fc21d</vt:lpwstr>
  </property>
</Properties>
</file>