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784D" w:rsidRDefault="00193461" w:rsidP="00C63713">
      <w:pPr>
        <w:rPr>
          <w:sz w:val="28"/>
        </w:rPr>
      </w:pPr>
      <w:bookmarkStart w:id="0" w:name="OPCCaretStart"/>
      <w:bookmarkEnd w:id="0"/>
      <w:r w:rsidRPr="00C3784D">
        <w:rPr>
          <w:noProof/>
          <w:lang w:eastAsia="en-AU"/>
        </w:rPr>
        <w:drawing>
          <wp:inline distT="0" distB="0" distL="0" distR="0" wp14:anchorId="0043BA3B" wp14:editId="414C27E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784D" w:rsidRDefault="0048364F" w:rsidP="0048364F">
      <w:pPr>
        <w:rPr>
          <w:sz w:val="19"/>
        </w:rPr>
      </w:pPr>
    </w:p>
    <w:p w:rsidR="0048364F" w:rsidRPr="00C3784D" w:rsidRDefault="00916420" w:rsidP="0048364F">
      <w:pPr>
        <w:pStyle w:val="ShortT"/>
      </w:pPr>
      <w:r w:rsidRPr="00C3784D">
        <w:t>Research Involving Human Embryos Regulations</w:t>
      </w:r>
      <w:r w:rsidR="00C3784D" w:rsidRPr="00C3784D">
        <w:t> </w:t>
      </w:r>
      <w:r w:rsidRPr="00C3784D">
        <w:t>2017</w:t>
      </w:r>
    </w:p>
    <w:p w:rsidR="00916420" w:rsidRPr="00C3784D" w:rsidRDefault="00916420" w:rsidP="009411BB">
      <w:pPr>
        <w:pStyle w:val="SignCoverPageStart"/>
        <w:spacing w:before="240"/>
        <w:rPr>
          <w:szCs w:val="22"/>
        </w:rPr>
      </w:pPr>
      <w:r w:rsidRPr="00C3784D">
        <w:rPr>
          <w:szCs w:val="22"/>
        </w:rPr>
        <w:t>I, General the Honourable Sir Peter Cosgrove AK MC (</w:t>
      </w:r>
      <w:proofErr w:type="spellStart"/>
      <w:r w:rsidRPr="00C3784D">
        <w:rPr>
          <w:szCs w:val="22"/>
        </w:rPr>
        <w:t>Ret’d</w:t>
      </w:r>
      <w:proofErr w:type="spellEnd"/>
      <w:r w:rsidRPr="00C3784D">
        <w:rPr>
          <w:szCs w:val="22"/>
        </w:rPr>
        <w:t xml:space="preserve">), </w:t>
      </w:r>
      <w:r w:rsidR="00C3784D" w:rsidRPr="00C3784D">
        <w:rPr>
          <w:szCs w:val="22"/>
        </w:rPr>
        <w:t>Governor</w:t>
      </w:r>
      <w:r w:rsidR="00C3784D">
        <w:rPr>
          <w:szCs w:val="22"/>
        </w:rPr>
        <w:noBreakHyphen/>
      </w:r>
      <w:r w:rsidR="00C3784D" w:rsidRPr="00C3784D">
        <w:rPr>
          <w:szCs w:val="22"/>
        </w:rPr>
        <w:t>General</w:t>
      </w:r>
      <w:r w:rsidRPr="00C3784D">
        <w:rPr>
          <w:szCs w:val="22"/>
        </w:rPr>
        <w:t xml:space="preserve"> of the Commonwealth of Australia, acting with the advice of the Federal Executive Council, make the following regulation</w:t>
      </w:r>
      <w:r w:rsidR="00B661B8" w:rsidRPr="00C3784D">
        <w:rPr>
          <w:szCs w:val="22"/>
        </w:rPr>
        <w:t>s</w:t>
      </w:r>
      <w:r w:rsidRPr="00C3784D">
        <w:rPr>
          <w:szCs w:val="22"/>
        </w:rPr>
        <w:t>.</w:t>
      </w:r>
    </w:p>
    <w:p w:rsidR="00916420" w:rsidRPr="00C3784D" w:rsidRDefault="00916420" w:rsidP="009411BB">
      <w:pPr>
        <w:keepNext/>
        <w:spacing w:before="720" w:line="240" w:lineRule="atLeast"/>
        <w:ind w:right="397"/>
        <w:jc w:val="both"/>
        <w:rPr>
          <w:szCs w:val="22"/>
        </w:rPr>
      </w:pPr>
      <w:r w:rsidRPr="00C3784D">
        <w:rPr>
          <w:szCs w:val="22"/>
        </w:rPr>
        <w:t xml:space="preserve">Dated </w:t>
      </w:r>
      <w:bookmarkStart w:id="1" w:name="BKCheck15B_1"/>
      <w:bookmarkEnd w:id="1"/>
      <w:r w:rsidRPr="00C3784D">
        <w:rPr>
          <w:szCs w:val="22"/>
        </w:rPr>
        <w:fldChar w:fldCharType="begin"/>
      </w:r>
      <w:r w:rsidRPr="00C3784D">
        <w:rPr>
          <w:szCs w:val="22"/>
        </w:rPr>
        <w:instrText xml:space="preserve"> DOCPROPERTY  DateMade </w:instrText>
      </w:r>
      <w:r w:rsidRPr="00C3784D">
        <w:rPr>
          <w:szCs w:val="22"/>
        </w:rPr>
        <w:fldChar w:fldCharType="separate"/>
      </w:r>
      <w:r w:rsidR="00295453">
        <w:rPr>
          <w:szCs w:val="22"/>
        </w:rPr>
        <w:t>18 September 2017</w:t>
      </w:r>
      <w:r w:rsidRPr="00C3784D">
        <w:rPr>
          <w:szCs w:val="22"/>
        </w:rPr>
        <w:fldChar w:fldCharType="end"/>
      </w:r>
    </w:p>
    <w:p w:rsidR="00916420" w:rsidRPr="00C3784D" w:rsidRDefault="00916420" w:rsidP="009411B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784D">
        <w:rPr>
          <w:szCs w:val="22"/>
        </w:rPr>
        <w:t>Peter Cosgrove</w:t>
      </w:r>
    </w:p>
    <w:p w:rsidR="00916420" w:rsidRPr="00C3784D" w:rsidRDefault="00C3784D" w:rsidP="009411B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784D">
        <w:rPr>
          <w:szCs w:val="22"/>
        </w:rPr>
        <w:t>Governor</w:t>
      </w:r>
      <w:r>
        <w:rPr>
          <w:szCs w:val="22"/>
        </w:rPr>
        <w:noBreakHyphen/>
      </w:r>
      <w:r w:rsidRPr="00C3784D">
        <w:rPr>
          <w:szCs w:val="22"/>
        </w:rPr>
        <w:t>General</w:t>
      </w:r>
    </w:p>
    <w:p w:rsidR="00916420" w:rsidRPr="00C3784D" w:rsidRDefault="00916420" w:rsidP="009411B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784D">
        <w:rPr>
          <w:szCs w:val="22"/>
        </w:rPr>
        <w:t>By His Excellency’s Command</w:t>
      </w:r>
    </w:p>
    <w:p w:rsidR="00916420" w:rsidRPr="00C3784D" w:rsidRDefault="00916420" w:rsidP="009411B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784D">
        <w:rPr>
          <w:szCs w:val="22"/>
        </w:rPr>
        <w:t>Greg Hunt</w:t>
      </w:r>
    </w:p>
    <w:p w:rsidR="00916420" w:rsidRPr="00C3784D" w:rsidRDefault="00916420" w:rsidP="009411BB">
      <w:pPr>
        <w:pStyle w:val="SignCoverPageEnd"/>
        <w:rPr>
          <w:szCs w:val="22"/>
        </w:rPr>
      </w:pPr>
      <w:r w:rsidRPr="00C3784D">
        <w:rPr>
          <w:szCs w:val="22"/>
        </w:rPr>
        <w:t>Minister for Health</w:t>
      </w:r>
    </w:p>
    <w:p w:rsidR="00916420" w:rsidRPr="00C3784D" w:rsidRDefault="00916420" w:rsidP="009411BB"/>
    <w:p w:rsidR="00916420" w:rsidRPr="00C3784D" w:rsidRDefault="00916420" w:rsidP="009411BB"/>
    <w:p w:rsidR="00916420" w:rsidRPr="00C3784D" w:rsidRDefault="00916420" w:rsidP="009411BB"/>
    <w:p w:rsidR="00916420" w:rsidRPr="00C3784D" w:rsidRDefault="00916420" w:rsidP="00916420"/>
    <w:p w:rsidR="0048364F" w:rsidRPr="00C3784D" w:rsidRDefault="0048364F" w:rsidP="0048364F">
      <w:pPr>
        <w:pStyle w:val="Header"/>
        <w:tabs>
          <w:tab w:val="clear" w:pos="4150"/>
          <w:tab w:val="clear" w:pos="8307"/>
        </w:tabs>
      </w:pPr>
      <w:r w:rsidRPr="00C3784D">
        <w:rPr>
          <w:rStyle w:val="CharChapNo"/>
        </w:rPr>
        <w:t xml:space="preserve"> </w:t>
      </w:r>
      <w:r w:rsidRPr="00C3784D">
        <w:rPr>
          <w:rStyle w:val="CharChapText"/>
        </w:rPr>
        <w:t xml:space="preserve"> </w:t>
      </w:r>
    </w:p>
    <w:p w:rsidR="0048364F" w:rsidRPr="00C3784D" w:rsidRDefault="0048364F" w:rsidP="0048364F">
      <w:pPr>
        <w:pStyle w:val="Header"/>
        <w:tabs>
          <w:tab w:val="clear" w:pos="4150"/>
          <w:tab w:val="clear" w:pos="8307"/>
        </w:tabs>
      </w:pPr>
      <w:r w:rsidRPr="00C3784D">
        <w:rPr>
          <w:rStyle w:val="CharPartNo"/>
        </w:rPr>
        <w:t xml:space="preserve"> </w:t>
      </w:r>
      <w:r w:rsidRPr="00C3784D">
        <w:rPr>
          <w:rStyle w:val="CharPartText"/>
        </w:rPr>
        <w:t xml:space="preserve"> </w:t>
      </w:r>
    </w:p>
    <w:p w:rsidR="0048364F" w:rsidRPr="00C3784D" w:rsidRDefault="0048364F" w:rsidP="0048364F">
      <w:pPr>
        <w:sectPr w:rsidR="0048364F" w:rsidRPr="00C3784D" w:rsidSect="002266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C3784D" w:rsidRDefault="0048364F" w:rsidP="00517CED">
      <w:pPr>
        <w:rPr>
          <w:sz w:val="36"/>
        </w:rPr>
      </w:pPr>
      <w:r w:rsidRPr="00C3784D">
        <w:rPr>
          <w:sz w:val="36"/>
        </w:rPr>
        <w:lastRenderedPageBreak/>
        <w:t>Contents</w:t>
      </w:r>
    </w:p>
    <w:bookmarkStart w:id="2" w:name="BKCheck15B_2"/>
    <w:bookmarkEnd w:id="2"/>
    <w:p w:rsidR="00AF6494" w:rsidRPr="00C3784D" w:rsidRDefault="00AF6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84D">
        <w:fldChar w:fldCharType="begin"/>
      </w:r>
      <w:r w:rsidRPr="00C3784D">
        <w:instrText xml:space="preserve"> TOC \o "1-9" </w:instrText>
      </w:r>
      <w:r w:rsidRPr="00C3784D">
        <w:fldChar w:fldCharType="separate"/>
      </w:r>
      <w:r w:rsidRPr="00C3784D">
        <w:rPr>
          <w:noProof/>
        </w:rPr>
        <w:t>Part</w:t>
      </w:r>
      <w:r w:rsidR="00C3784D" w:rsidRPr="00C3784D">
        <w:rPr>
          <w:noProof/>
        </w:rPr>
        <w:t> </w:t>
      </w:r>
      <w:r w:rsidRPr="00C3784D">
        <w:rPr>
          <w:noProof/>
        </w:rPr>
        <w:t>1—Preliminary</w:t>
      </w:r>
      <w:r w:rsidRPr="00C3784D">
        <w:rPr>
          <w:b w:val="0"/>
          <w:noProof/>
          <w:sz w:val="18"/>
        </w:rPr>
        <w:tab/>
      </w:r>
      <w:r w:rsidRPr="00C3784D">
        <w:rPr>
          <w:b w:val="0"/>
          <w:noProof/>
          <w:sz w:val="18"/>
        </w:rPr>
        <w:fldChar w:fldCharType="begin"/>
      </w:r>
      <w:r w:rsidRPr="00C3784D">
        <w:rPr>
          <w:b w:val="0"/>
          <w:noProof/>
          <w:sz w:val="18"/>
        </w:rPr>
        <w:instrText xml:space="preserve"> PAGEREF _Toc484163911 \h </w:instrText>
      </w:r>
      <w:r w:rsidRPr="00C3784D">
        <w:rPr>
          <w:b w:val="0"/>
          <w:noProof/>
          <w:sz w:val="18"/>
        </w:rPr>
      </w:r>
      <w:r w:rsidRPr="00C3784D">
        <w:rPr>
          <w:b w:val="0"/>
          <w:noProof/>
          <w:sz w:val="18"/>
        </w:rPr>
        <w:fldChar w:fldCharType="separate"/>
      </w:r>
      <w:r w:rsidR="00295453">
        <w:rPr>
          <w:b w:val="0"/>
          <w:noProof/>
          <w:sz w:val="18"/>
        </w:rPr>
        <w:t>1</w:t>
      </w:r>
      <w:r w:rsidRPr="00C3784D">
        <w:rPr>
          <w:b w:val="0"/>
          <w:noProof/>
          <w:sz w:val="18"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1</w:t>
      </w:r>
      <w:r w:rsidRPr="00C3784D">
        <w:rPr>
          <w:noProof/>
        </w:rPr>
        <w:tab/>
        <w:t>Name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_Toc484163912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1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2</w:t>
      </w:r>
      <w:r w:rsidRPr="00C3784D">
        <w:rPr>
          <w:noProof/>
        </w:rPr>
        <w:tab/>
        <w:t>Commencement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_Toc484163913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1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3</w:t>
      </w:r>
      <w:r w:rsidRPr="00C3784D">
        <w:rPr>
          <w:noProof/>
        </w:rPr>
        <w:tab/>
        <w:t>Authority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_Toc484163914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1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4</w:t>
      </w:r>
      <w:r w:rsidRPr="00C3784D">
        <w:rPr>
          <w:noProof/>
        </w:rPr>
        <w:tab/>
        <w:t>Schedules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_Toc484163915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1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5</w:t>
      </w:r>
      <w:r w:rsidRPr="00C3784D">
        <w:rPr>
          <w:noProof/>
        </w:rPr>
        <w:tab/>
        <w:t>Definitions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_Toc484163916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1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84D">
        <w:rPr>
          <w:noProof/>
        </w:rPr>
        <w:t>Part</w:t>
      </w:r>
      <w:r w:rsidR="00C3784D" w:rsidRPr="00C3784D">
        <w:rPr>
          <w:noProof/>
        </w:rPr>
        <w:t> </w:t>
      </w:r>
      <w:r w:rsidRPr="00C3784D">
        <w:rPr>
          <w:noProof/>
        </w:rPr>
        <w:t>2—Regulation of the use of excess ART embryos, other embryos and human eggs</w:t>
      </w:r>
      <w:r w:rsidRPr="00C3784D">
        <w:rPr>
          <w:b w:val="0"/>
          <w:noProof/>
          <w:sz w:val="18"/>
        </w:rPr>
        <w:tab/>
      </w:r>
      <w:r w:rsidRPr="00C3784D">
        <w:rPr>
          <w:b w:val="0"/>
          <w:noProof/>
          <w:sz w:val="18"/>
        </w:rPr>
        <w:fldChar w:fldCharType="begin"/>
      </w:r>
      <w:r w:rsidRPr="00C3784D">
        <w:rPr>
          <w:b w:val="0"/>
          <w:noProof/>
          <w:sz w:val="18"/>
        </w:rPr>
        <w:instrText xml:space="preserve"> PAGEREF _Toc484163917 \h </w:instrText>
      </w:r>
      <w:r w:rsidRPr="00C3784D">
        <w:rPr>
          <w:b w:val="0"/>
          <w:noProof/>
          <w:sz w:val="18"/>
        </w:rPr>
      </w:r>
      <w:r w:rsidRPr="00C3784D">
        <w:rPr>
          <w:b w:val="0"/>
          <w:noProof/>
          <w:sz w:val="18"/>
        </w:rPr>
        <w:fldChar w:fldCharType="separate"/>
      </w:r>
      <w:r w:rsidR="00295453">
        <w:rPr>
          <w:b w:val="0"/>
          <w:noProof/>
          <w:sz w:val="18"/>
        </w:rPr>
        <w:t>3</w:t>
      </w:r>
      <w:r w:rsidRPr="00C3784D">
        <w:rPr>
          <w:b w:val="0"/>
          <w:noProof/>
          <w:sz w:val="18"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6</w:t>
      </w:r>
      <w:r w:rsidRPr="00C3784D">
        <w:rPr>
          <w:noProof/>
        </w:rPr>
        <w:tab/>
        <w:t xml:space="preserve">Definition of </w:t>
      </w:r>
      <w:r w:rsidRPr="00C3784D">
        <w:rPr>
          <w:i/>
          <w:noProof/>
        </w:rPr>
        <w:t>unsuitable for implantation</w:t>
      </w:r>
      <w:r w:rsidRPr="00C3784D">
        <w:rPr>
          <w:noProof/>
        </w:rPr>
        <w:t>—prescribed guidelines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_Toc484163918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3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7</w:t>
      </w:r>
      <w:r w:rsidRPr="00C3784D">
        <w:rPr>
          <w:noProof/>
        </w:rPr>
        <w:tab/>
        <w:t xml:space="preserve">Definition of </w:t>
      </w:r>
      <w:r w:rsidRPr="00C3784D">
        <w:rPr>
          <w:i/>
          <w:noProof/>
        </w:rPr>
        <w:t>proper consent</w:t>
      </w:r>
      <w:r w:rsidRPr="00C3784D">
        <w:rPr>
          <w:noProof/>
        </w:rPr>
        <w:t>—prescribed guidelines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_Toc484163919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3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8</w:t>
      </w:r>
      <w:r w:rsidRPr="00C3784D">
        <w:rPr>
          <w:noProof/>
        </w:rPr>
        <w:tab/>
        <w:t>Membership of NHMRC Licensing Committee—prescribed bodies from which nominations must be sought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_Toc484163920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3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9</w:t>
      </w:r>
      <w:r w:rsidRPr="00C3784D">
        <w:rPr>
          <w:noProof/>
        </w:rPr>
        <w:tab/>
        <w:t>Determination by NHMRC Licensing Committee of licence applications—prescribed guidelines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_Toc484163921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4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84D">
        <w:rPr>
          <w:noProof/>
        </w:rPr>
        <w:t>Part</w:t>
      </w:r>
      <w:r w:rsidR="00C3784D" w:rsidRPr="00C3784D">
        <w:rPr>
          <w:noProof/>
        </w:rPr>
        <w:t> </w:t>
      </w:r>
      <w:r w:rsidRPr="00C3784D">
        <w:rPr>
          <w:noProof/>
        </w:rPr>
        <w:t>3—Miscellaneous</w:t>
      </w:r>
      <w:r w:rsidRPr="00C3784D">
        <w:rPr>
          <w:b w:val="0"/>
          <w:noProof/>
          <w:sz w:val="18"/>
        </w:rPr>
        <w:tab/>
      </w:r>
      <w:r w:rsidRPr="00C3784D">
        <w:rPr>
          <w:b w:val="0"/>
          <w:noProof/>
          <w:sz w:val="18"/>
        </w:rPr>
        <w:fldChar w:fldCharType="begin"/>
      </w:r>
      <w:r w:rsidRPr="00C3784D">
        <w:rPr>
          <w:b w:val="0"/>
          <w:noProof/>
          <w:sz w:val="18"/>
        </w:rPr>
        <w:instrText xml:space="preserve"> PAGEREF _Toc484163922 \h </w:instrText>
      </w:r>
      <w:r w:rsidRPr="00C3784D">
        <w:rPr>
          <w:b w:val="0"/>
          <w:noProof/>
          <w:sz w:val="18"/>
        </w:rPr>
      </w:r>
      <w:r w:rsidRPr="00C3784D">
        <w:rPr>
          <w:b w:val="0"/>
          <w:noProof/>
          <w:sz w:val="18"/>
        </w:rPr>
        <w:fldChar w:fldCharType="separate"/>
      </w:r>
      <w:r w:rsidR="00295453">
        <w:rPr>
          <w:b w:val="0"/>
          <w:noProof/>
          <w:sz w:val="18"/>
        </w:rPr>
        <w:t>5</w:t>
      </w:r>
      <w:r w:rsidRPr="00C3784D">
        <w:rPr>
          <w:b w:val="0"/>
          <w:noProof/>
          <w:sz w:val="18"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10</w:t>
      </w:r>
      <w:r w:rsidRPr="00C3784D">
        <w:rPr>
          <w:noProof/>
        </w:rPr>
        <w:tab/>
        <w:t>Form of identity card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_Toc484163923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5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84D">
        <w:rPr>
          <w:noProof/>
        </w:rPr>
        <w:t>Part</w:t>
      </w:r>
      <w:r w:rsidR="00C3784D" w:rsidRPr="00C3784D">
        <w:rPr>
          <w:noProof/>
        </w:rPr>
        <w:t> </w:t>
      </w:r>
      <w:r w:rsidRPr="00C3784D">
        <w:rPr>
          <w:noProof/>
        </w:rPr>
        <w:t>4—Transitional, savings and application provisions</w:t>
      </w:r>
      <w:r w:rsidRPr="00C3784D">
        <w:rPr>
          <w:b w:val="0"/>
          <w:noProof/>
          <w:sz w:val="18"/>
        </w:rPr>
        <w:tab/>
      </w:r>
      <w:r w:rsidRPr="00C3784D">
        <w:rPr>
          <w:b w:val="0"/>
          <w:noProof/>
          <w:sz w:val="18"/>
        </w:rPr>
        <w:fldChar w:fldCharType="begin"/>
      </w:r>
      <w:r w:rsidRPr="00C3784D">
        <w:rPr>
          <w:b w:val="0"/>
          <w:noProof/>
          <w:sz w:val="18"/>
        </w:rPr>
        <w:instrText xml:space="preserve"> PAGEREF _Toc484163924 \h </w:instrText>
      </w:r>
      <w:r w:rsidRPr="00C3784D">
        <w:rPr>
          <w:b w:val="0"/>
          <w:noProof/>
          <w:sz w:val="18"/>
        </w:rPr>
      </w:r>
      <w:r w:rsidRPr="00C3784D">
        <w:rPr>
          <w:b w:val="0"/>
          <w:noProof/>
          <w:sz w:val="18"/>
        </w:rPr>
        <w:fldChar w:fldCharType="separate"/>
      </w:r>
      <w:r w:rsidR="00295453">
        <w:rPr>
          <w:b w:val="0"/>
          <w:noProof/>
          <w:sz w:val="18"/>
        </w:rPr>
        <w:t>6</w:t>
      </w:r>
      <w:r w:rsidRPr="00C3784D">
        <w:rPr>
          <w:b w:val="0"/>
          <w:noProof/>
          <w:sz w:val="18"/>
        </w:rPr>
        <w:fldChar w:fldCharType="end"/>
      </w:r>
    </w:p>
    <w:p w:rsidR="00AF6494" w:rsidRPr="00C3784D" w:rsidRDefault="00AF6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84D">
        <w:rPr>
          <w:noProof/>
        </w:rPr>
        <w:t>11</w:t>
      </w:r>
      <w:r w:rsidRPr="00C3784D">
        <w:rPr>
          <w:noProof/>
        </w:rPr>
        <w:tab/>
        <w:t>Licence applications</w:t>
      </w:r>
      <w:r w:rsidRPr="00C3784D">
        <w:rPr>
          <w:noProof/>
        </w:rPr>
        <w:tab/>
      </w:r>
      <w:r w:rsidRPr="00C3784D">
        <w:rPr>
          <w:noProof/>
        </w:rPr>
        <w:fldChar w:fldCharType="begin"/>
      </w:r>
      <w:r w:rsidRPr="00C3784D">
        <w:rPr>
          <w:noProof/>
        </w:rPr>
        <w:instrText xml:space="preserve"> PAGEREF _Toc484163925 \h </w:instrText>
      </w:r>
      <w:r w:rsidRPr="00C3784D">
        <w:rPr>
          <w:noProof/>
        </w:rPr>
      </w:r>
      <w:r w:rsidRPr="00C3784D">
        <w:rPr>
          <w:noProof/>
        </w:rPr>
        <w:fldChar w:fldCharType="separate"/>
      </w:r>
      <w:r w:rsidR="00295453">
        <w:rPr>
          <w:noProof/>
        </w:rPr>
        <w:t>6</w:t>
      </w:r>
      <w:r w:rsidRPr="00C3784D">
        <w:rPr>
          <w:noProof/>
        </w:rPr>
        <w:fldChar w:fldCharType="end"/>
      </w:r>
    </w:p>
    <w:p w:rsidR="00AF6494" w:rsidRPr="00C3784D" w:rsidRDefault="00AF64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84D">
        <w:rPr>
          <w:noProof/>
        </w:rPr>
        <w:t>Schedule</w:t>
      </w:r>
      <w:r w:rsidR="00C3784D" w:rsidRPr="00C3784D">
        <w:rPr>
          <w:noProof/>
        </w:rPr>
        <w:t> </w:t>
      </w:r>
      <w:r w:rsidRPr="00C3784D">
        <w:rPr>
          <w:noProof/>
        </w:rPr>
        <w:t>1—Repeals</w:t>
      </w:r>
      <w:r w:rsidRPr="00C3784D">
        <w:rPr>
          <w:b w:val="0"/>
          <w:noProof/>
          <w:sz w:val="18"/>
        </w:rPr>
        <w:tab/>
      </w:r>
      <w:r w:rsidRPr="00C3784D">
        <w:rPr>
          <w:b w:val="0"/>
          <w:noProof/>
          <w:sz w:val="18"/>
        </w:rPr>
        <w:fldChar w:fldCharType="begin"/>
      </w:r>
      <w:r w:rsidRPr="00C3784D">
        <w:rPr>
          <w:b w:val="0"/>
          <w:noProof/>
          <w:sz w:val="18"/>
        </w:rPr>
        <w:instrText xml:space="preserve"> PAGEREF _Toc484163926 \h </w:instrText>
      </w:r>
      <w:r w:rsidRPr="00C3784D">
        <w:rPr>
          <w:b w:val="0"/>
          <w:noProof/>
          <w:sz w:val="18"/>
        </w:rPr>
      </w:r>
      <w:r w:rsidRPr="00C3784D">
        <w:rPr>
          <w:b w:val="0"/>
          <w:noProof/>
          <w:sz w:val="18"/>
        </w:rPr>
        <w:fldChar w:fldCharType="separate"/>
      </w:r>
      <w:r w:rsidR="00295453">
        <w:rPr>
          <w:b w:val="0"/>
          <w:noProof/>
          <w:sz w:val="18"/>
        </w:rPr>
        <w:t>7</w:t>
      </w:r>
      <w:r w:rsidRPr="00C3784D">
        <w:rPr>
          <w:b w:val="0"/>
          <w:noProof/>
          <w:sz w:val="18"/>
        </w:rPr>
        <w:fldChar w:fldCharType="end"/>
      </w:r>
    </w:p>
    <w:p w:rsidR="00AF6494" w:rsidRPr="00C3784D" w:rsidRDefault="00AF64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84D">
        <w:rPr>
          <w:noProof/>
        </w:rPr>
        <w:t>Research Involving Human Embryos Regulations</w:t>
      </w:r>
      <w:r w:rsidR="00C3784D" w:rsidRPr="00C3784D">
        <w:rPr>
          <w:noProof/>
        </w:rPr>
        <w:t> </w:t>
      </w:r>
      <w:r w:rsidRPr="00C3784D">
        <w:rPr>
          <w:noProof/>
        </w:rPr>
        <w:t>2003</w:t>
      </w:r>
      <w:r w:rsidRPr="00C3784D">
        <w:rPr>
          <w:i w:val="0"/>
          <w:noProof/>
          <w:sz w:val="18"/>
        </w:rPr>
        <w:tab/>
      </w:r>
      <w:r w:rsidRPr="00C3784D">
        <w:rPr>
          <w:i w:val="0"/>
          <w:noProof/>
          <w:sz w:val="18"/>
        </w:rPr>
        <w:fldChar w:fldCharType="begin"/>
      </w:r>
      <w:r w:rsidRPr="00C3784D">
        <w:rPr>
          <w:i w:val="0"/>
          <w:noProof/>
          <w:sz w:val="18"/>
        </w:rPr>
        <w:instrText xml:space="preserve"> PAGEREF _Toc484163927 \h </w:instrText>
      </w:r>
      <w:r w:rsidRPr="00C3784D">
        <w:rPr>
          <w:i w:val="0"/>
          <w:noProof/>
          <w:sz w:val="18"/>
        </w:rPr>
      </w:r>
      <w:r w:rsidRPr="00C3784D">
        <w:rPr>
          <w:i w:val="0"/>
          <w:noProof/>
          <w:sz w:val="18"/>
        </w:rPr>
        <w:fldChar w:fldCharType="separate"/>
      </w:r>
      <w:r w:rsidR="00295453">
        <w:rPr>
          <w:i w:val="0"/>
          <w:noProof/>
          <w:sz w:val="18"/>
        </w:rPr>
        <w:t>7</w:t>
      </w:r>
      <w:r w:rsidRPr="00C3784D">
        <w:rPr>
          <w:i w:val="0"/>
          <w:noProof/>
          <w:sz w:val="18"/>
        </w:rPr>
        <w:fldChar w:fldCharType="end"/>
      </w:r>
    </w:p>
    <w:p w:rsidR="00833416" w:rsidRPr="00C3784D" w:rsidRDefault="00AF6494" w:rsidP="0048364F">
      <w:r w:rsidRPr="00C3784D">
        <w:fldChar w:fldCharType="end"/>
      </w:r>
    </w:p>
    <w:p w:rsidR="00722023" w:rsidRPr="00C3784D" w:rsidRDefault="00722023" w:rsidP="0048364F">
      <w:pPr>
        <w:sectPr w:rsidR="00722023" w:rsidRPr="00C3784D" w:rsidSect="002266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B72C4" w:rsidRPr="00C3784D" w:rsidRDefault="008B72C4" w:rsidP="008B72C4">
      <w:pPr>
        <w:pStyle w:val="ActHead2"/>
        <w:pageBreakBefore/>
      </w:pPr>
      <w:bookmarkStart w:id="3" w:name="_Toc484163911"/>
      <w:r w:rsidRPr="00C3784D">
        <w:rPr>
          <w:rStyle w:val="CharPartNo"/>
        </w:rPr>
        <w:lastRenderedPageBreak/>
        <w:t>Part</w:t>
      </w:r>
      <w:r w:rsidR="00C3784D" w:rsidRPr="00C3784D">
        <w:rPr>
          <w:rStyle w:val="CharPartNo"/>
        </w:rPr>
        <w:t> </w:t>
      </w:r>
      <w:r w:rsidRPr="00C3784D">
        <w:rPr>
          <w:rStyle w:val="CharPartNo"/>
        </w:rPr>
        <w:t>1</w:t>
      </w:r>
      <w:r w:rsidRPr="00C3784D">
        <w:t>—</w:t>
      </w:r>
      <w:r w:rsidRPr="00C3784D">
        <w:rPr>
          <w:rStyle w:val="CharPartText"/>
        </w:rPr>
        <w:t>Preliminary</w:t>
      </w:r>
      <w:bookmarkEnd w:id="3"/>
    </w:p>
    <w:p w:rsidR="008B72C4" w:rsidRPr="00C3784D" w:rsidRDefault="008B72C4" w:rsidP="008B72C4">
      <w:pPr>
        <w:pStyle w:val="Header"/>
      </w:pPr>
      <w:r w:rsidRPr="00C3784D">
        <w:rPr>
          <w:rStyle w:val="CharDivNo"/>
        </w:rPr>
        <w:t xml:space="preserve"> </w:t>
      </w:r>
      <w:r w:rsidRPr="00C3784D">
        <w:rPr>
          <w:rStyle w:val="CharDivText"/>
        </w:rPr>
        <w:t xml:space="preserve"> </w:t>
      </w:r>
    </w:p>
    <w:p w:rsidR="0048364F" w:rsidRPr="00C3784D" w:rsidRDefault="0048364F" w:rsidP="0048364F">
      <w:pPr>
        <w:pStyle w:val="ActHead5"/>
      </w:pPr>
      <w:bookmarkStart w:id="4" w:name="_Toc484163912"/>
      <w:r w:rsidRPr="00C3784D">
        <w:rPr>
          <w:rStyle w:val="CharSectno"/>
        </w:rPr>
        <w:t>1</w:t>
      </w:r>
      <w:r w:rsidRPr="00C3784D">
        <w:t xml:space="preserve">  </w:t>
      </w:r>
      <w:r w:rsidR="004F676E" w:rsidRPr="00C3784D">
        <w:t>Name</w:t>
      </w:r>
      <w:bookmarkEnd w:id="4"/>
    </w:p>
    <w:p w:rsidR="0048364F" w:rsidRPr="00C3784D" w:rsidRDefault="0048364F" w:rsidP="0048364F">
      <w:pPr>
        <w:pStyle w:val="subsection"/>
      </w:pPr>
      <w:r w:rsidRPr="00C3784D">
        <w:tab/>
      </w:r>
      <w:r w:rsidRPr="00C3784D">
        <w:tab/>
        <w:t>Th</w:t>
      </w:r>
      <w:r w:rsidR="00F24C35" w:rsidRPr="00C3784D">
        <w:t>is</w:t>
      </w:r>
      <w:r w:rsidR="00B661B8" w:rsidRPr="00C3784D">
        <w:t xml:space="preserve"> instrument</w:t>
      </w:r>
      <w:r w:rsidRPr="00C3784D">
        <w:t xml:space="preserve"> </w:t>
      </w:r>
      <w:r w:rsidR="00F24C35" w:rsidRPr="00C3784D">
        <w:t>is</w:t>
      </w:r>
      <w:r w:rsidR="003801D0" w:rsidRPr="00C3784D">
        <w:t xml:space="preserve"> the</w:t>
      </w:r>
      <w:r w:rsidRPr="00C3784D">
        <w:t xml:space="preserve"> </w:t>
      </w:r>
      <w:bookmarkStart w:id="5" w:name="BKCheck15B_3"/>
      <w:bookmarkEnd w:id="5"/>
      <w:r w:rsidR="00CB0180" w:rsidRPr="00C3784D">
        <w:rPr>
          <w:i/>
        </w:rPr>
        <w:fldChar w:fldCharType="begin"/>
      </w:r>
      <w:r w:rsidR="00CB0180" w:rsidRPr="00C3784D">
        <w:rPr>
          <w:i/>
        </w:rPr>
        <w:instrText xml:space="preserve"> STYLEREF  ShortT </w:instrText>
      </w:r>
      <w:r w:rsidR="00CB0180" w:rsidRPr="00C3784D">
        <w:rPr>
          <w:i/>
        </w:rPr>
        <w:fldChar w:fldCharType="separate"/>
      </w:r>
      <w:r w:rsidR="00295453">
        <w:rPr>
          <w:i/>
          <w:noProof/>
        </w:rPr>
        <w:t>Research Involving Human Embryos Regulations 2017</w:t>
      </w:r>
      <w:r w:rsidR="00CB0180" w:rsidRPr="00C3784D">
        <w:rPr>
          <w:i/>
        </w:rPr>
        <w:fldChar w:fldCharType="end"/>
      </w:r>
      <w:r w:rsidRPr="00C3784D">
        <w:t>.</w:t>
      </w:r>
    </w:p>
    <w:p w:rsidR="0048364F" w:rsidRPr="00C3784D" w:rsidRDefault="0048364F" w:rsidP="0048364F">
      <w:pPr>
        <w:pStyle w:val="ActHead5"/>
      </w:pPr>
      <w:bookmarkStart w:id="6" w:name="_Toc484163913"/>
      <w:r w:rsidRPr="00C3784D">
        <w:rPr>
          <w:rStyle w:val="CharSectno"/>
        </w:rPr>
        <w:t>2</w:t>
      </w:r>
      <w:r w:rsidRPr="00C3784D">
        <w:t xml:space="preserve">  Commencement</w:t>
      </w:r>
      <w:bookmarkEnd w:id="6"/>
    </w:p>
    <w:p w:rsidR="00916420" w:rsidRPr="00C3784D" w:rsidRDefault="00916420" w:rsidP="009411BB">
      <w:pPr>
        <w:pStyle w:val="subsection"/>
      </w:pPr>
      <w:r w:rsidRPr="00C3784D">
        <w:tab/>
        <w:t>(1)</w:t>
      </w:r>
      <w:r w:rsidRPr="00C3784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16420" w:rsidRPr="00C3784D" w:rsidRDefault="00916420" w:rsidP="009411B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16420" w:rsidRPr="00C3784D" w:rsidTr="008B72C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Commencement information</w:t>
            </w:r>
          </w:p>
        </w:tc>
      </w:tr>
      <w:tr w:rsidR="00916420" w:rsidRPr="00C3784D" w:rsidTr="008B72C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Column 3</w:t>
            </w:r>
          </w:p>
        </w:tc>
      </w:tr>
      <w:tr w:rsidR="00916420" w:rsidRPr="00C3784D" w:rsidTr="008B72C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Heading"/>
            </w:pPr>
            <w:r w:rsidRPr="00C3784D">
              <w:t>Date/Details</w:t>
            </w:r>
          </w:p>
        </w:tc>
      </w:tr>
      <w:tr w:rsidR="00916420" w:rsidRPr="00C3784D" w:rsidTr="008B72C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6420" w:rsidRPr="00C3784D" w:rsidRDefault="00916420" w:rsidP="009411BB">
            <w:pPr>
              <w:pStyle w:val="Tabletext"/>
            </w:pPr>
            <w:r w:rsidRPr="00C3784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6420" w:rsidRPr="00C3784D" w:rsidRDefault="00916420" w:rsidP="009411BB">
            <w:pPr>
              <w:pStyle w:val="Tabletext"/>
            </w:pPr>
            <w:r w:rsidRPr="00C3784D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6420" w:rsidRPr="00C3784D" w:rsidRDefault="00981F63" w:rsidP="009411BB">
            <w:pPr>
              <w:pStyle w:val="Tabletext"/>
            </w:pPr>
            <w:r>
              <w:t>20 September 2017</w:t>
            </w:r>
          </w:p>
        </w:tc>
      </w:tr>
    </w:tbl>
    <w:p w:rsidR="00916420" w:rsidRPr="00C3784D" w:rsidRDefault="00916420" w:rsidP="009411BB">
      <w:pPr>
        <w:pStyle w:val="notetext"/>
      </w:pPr>
      <w:r w:rsidRPr="00C3784D">
        <w:rPr>
          <w:snapToGrid w:val="0"/>
          <w:lang w:eastAsia="en-US"/>
        </w:rPr>
        <w:t>Note:</w:t>
      </w:r>
      <w:r w:rsidRPr="00C3784D">
        <w:rPr>
          <w:snapToGrid w:val="0"/>
          <w:lang w:eastAsia="en-US"/>
        </w:rPr>
        <w:tab/>
        <w:t xml:space="preserve">This table relates only to the provisions of this </w:t>
      </w:r>
      <w:r w:rsidRPr="00C3784D">
        <w:t xml:space="preserve">instrument </w:t>
      </w:r>
      <w:r w:rsidRPr="00C3784D">
        <w:rPr>
          <w:snapToGrid w:val="0"/>
          <w:lang w:eastAsia="en-US"/>
        </w:rPr>
        <w:t xml:space="preserve">as originally made. It will not be amended to deal with any later amendments of this </w:t>
      </w:r>
      <w:r w:rsidRPr="00C3784D">
        <w:t>instrument</w:t>
      </w:r>
      <w:r w:rsidRPr="00C3784D">
        <w:rPr>
          <w:snapToGrid w:val="0"/>
          <w:lang w:eastAsia="en-US"/>
        </w:rPr>
        <w:t>.</w:t>
      </w:r>
    </w:p>
    <w:p w:rsidR="00916420" w:rsidRPr="00C3784D" w:rsidRDefault="00916420" w:rsidP="009411BB">
      <w:pPr>
        <w:pStyle w:val="subsection"/>
      </w:pPr>
      <w:r w:rsidRPr="00C3784D">
        <w:tab/>
        <w:t>(2)</w:t>
      </w:r>
      <w:r w:rsidRPr="00C3784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3784D" w:rsidRDefault="007769D4" w:rsidP="007769D4">
      <w:pPr>
        <w:pStyle w:val="ActHead5"/>
      </w:pPr>
      <w:bookmarkStart w:id="7" w:name="_Toc484163914"/>
      <w:r w:rsidRPr="00C3784D">
        <w:rPr>
          <w:rStyle w:val="CharSectno"/>
        </w:rPr>
        <w:t>3</w:t>
      </w:r>
      <w:r w:rsidRPr="00C3784D">
        <w:t xml:space="preserve">  Authority</w:t>
      </w:r>
      <w:bookmarkEnd w:id="7"/>
    </w:p>
    <w:p w:rsidR="007769D4" w:rsidRPr="00C3784D" w:rsidRDefault="007769D4" w:rsidP="007769D4">
      <w:pPr>
        <w:pStyle w:val="subsection"/>
      </w:pPr>
      <w:bookmarkStart w:id="8" w:name="_GoBack"/>
      <w:bookmarkEnd w:id="8"/>
      <w:r w:rsidRPr="00C3784D">
        <w:tab/>
      </w:r>
      <w:r w:rsidRPr="00C3784D">
        <w:tab/>
      </w:r>
      <w:r w:rsidR="00AF0336" w:rsidRPr="00C3784D">
        <w:t xml:space="preserve">This </w:t>
      </w:r>
      <w:r w:rsidR="00916420" w:rsidRPr="00C3784D">
        <w:t>instrument</w:t>
      </w:r>
      <w:r w:rsidR="00AF0336" w:rsidRPr="00C3784D">
        <w:t xml:space="preserve"> is made under the </w:t>
      </w:r>
      <w:r w:rsidR="00916420" w:rsidRPr="00C3784D">
        <w:rPr>
          <w:i/>
        </w:rPr>
        <w:t>Research Involving Human Embryos Act 2002</w:t>
      </w:r>
      <w:r w:rsidR="00D83D21" w:rsidRPr="00C3784D">
        <w:rPr>
          <w:i/>
        </w:rPr>
        <w:t>.</w:t>
      </w:r>
    </w:p>
    <w:p w:rsidR="00557C7A" w:rsidRPr="00C3784D" w:rsidRDefault="007769D4" w:rsidP="00557C7A">
      <w:pPr>
        <w:pStyle w:val="ActHead5"/>
      </w:pPr>
      <w:bookmarkStart w:id="9" w:name="_Toc484163915"/>
      <w:r w:rsidRPr="00C3784D">
        <w:rPr>
          <w:rStyle w:val="CharSectno"/>
        </w:rPr>
        <w:t>4</w:t>
      </w:r>
      <w:r w:rsidR="00557C7A" w:rsidRPr="00C3784D">
        <w:t xml:space="preserve">  </w:t>
      </w:r>
      <w:r w:rsidR="00B332B8" w:rsidRPr="00C3784D">
        <w:t>Schedules</w:t>
      </w:r>
      <w:bookmarkEnd w:id="9"/>
    </w:p>
    <w:p w:rsidR="000F6B02" w:rsidRPr="00C3784D" w:rsidRDefault="00557C7A" w:rsidP="000F6B02">
      <w:pPr>
        <w:pStyle w:val="subsection"/>
      </w:pPr>
      <w:r w:rsidRPr="00C3784D">
        <w:tab/>
      </w:r>
      <w:r w:rsidRPr="00C3784D">
        <w:tab/>
      </w:r>
      <w:r w:rsidR="000F6B02" w:rsidRPr="00C3784D">
        <w:t xml:space="preserve">Each instrument that is specified in a Schedule to </w:t>
      </w:r>
      <w:r w:rsidR="00916420" w:rsidRPr="00C3784D">
        <w:t>this instrument</w:t>
      </w:r>
      <w:r w:rsidR="000F6B02" w:rsidRPr="00C3784D">
        <w:t xml:space="preserve"> is amended or repealed as set out in the applicable items in the Schedule concerned, and any other item in a Schedule to </w:t>
      </w:r>
      <w:r w:rsidR="00916420" w:rsidRPr="00C3784D">
        <w:t>this instrument</w:t>
      </w:r>
      <w:r w:rsidR="000F6B02" w:rsidRPr="00C3784D">
        <w:t xml:space="preserve"> has effect according to its terms.</w:t>
      </w:r>
    </w:p>
    <w:p w:rsidR="00A75B16" w:rsidRPr="00C3784D" w:rsidRDefault="00A75B16" w:rsidP="00A75B16">
      <w:pPr>
        <w:pStyle w:val="ActHead5"/>
      </w:pPr>
      <w:bookmarkStart w:id="10" w:name="_Toc484163916"/>
      <w:r w:rsidRPr="00C3784D">
        <w:rPr>
          <w:rStyle w:val="CharSectno"/>
        </w:rPr>
        <w:t>5</w:t>
      </w:r>
      <w:r w:rsidRPr="00C3784D">
        <w:t xml:space="preserve">  Definitions</w:t>
      </w:r>
      <w:bookmarkEnd w:id="10"/>
    </w:p>
    <w:p w:rsidR="00A75B16" w:rsidRPr="00C3784D" w:rsidRDefault="00A75B16" w:rsidP="00A75B16">
      <w:pPr>
        <w:pStyle w:val="subsection"/>
      </w:pPr>
      <w:r w:rsidRPr="00C3784D">
        <w:tab/>
      </w:r>
      <w:r w:rsidRPr="00C3784D">
        <w:tab/>
        <w:t>In this instrument:</w:t>
      </w:r>
    </w:p>
    <w:p w:rsidR="00A75B16" w:rsidRPr="00C3784D" w:rsidRDefault="00A75B16" w:rsidP="00A75B16">
      <w:pPr>
        <w:pStyle w:val="Definition"/>
      </w:pPr>
      <w:r w:rsidRPr="00C3784D">
        <w:rPr>
          <w:b/>
          <w:i/>
        </w:rPr>
        <w:t>Act</w:t>
      </w:r>
      <w:r w:rsidRPr="00C3784D">
        <w:t xml:space="preserve"> means the </w:t>
      </w:r>
      <w:r w:rsidRPr="00C3784D">
        <w:rPr>
          <w:i/>
        </w:rPr>
        <w:t>Research Involving Human Embryos Act 2002</w:t>
      </w:r>
      <w:r w:rsidRPr="00C3784D">
        <w:t>.</w:t>
      </w:r>
    </w:p>
    <w:p w:rsidR="0017041C" w:rsidRPr="00C3784D" w:rsidRDefault="0017041C" w:rsidP="0017041C">
      <w:pPr>
        <w:pStyle w:val="subsection"/>
      </w:pPr>
      <w:r w:rsidRPr="00C3784D">
        <w:rPr>
          <w:b/>
          <w:i/>
        </w:rPr>
        <w:tab/>
      </w:r>
      <w:r w:rsidRPr="00C3784D">
        <w:rPr>
          <w:b/>
          <w:i/>
        </w:rPr>
        <w:tab/>
      </w:r>
      <w:r w:rsidR="00707C05" w:rsidRPr="00C3784D">
        <w:rPr>
          <w:b/>
          <w:i/>
        </w:rPr>
        <w:t>ART Guidelines</w:t>
      </w:r>
      <w:r w:rsidR="00707C05" w:rsidRPr="00C3784D">
        <w:t xml:space="preserve"> means the </w:t>
      </w:r>
      <w:r w:rsidR="001C0BB0" w:rsidRPr="00C3784D">
        <w:rPr>
          <w:i/>
        </w:rPr>
        <w:t>Ethical guidelines on the use of assisted reproductive technology in clinical practice and research</w:t>
      </w:r>
      <w:r w:rsidR="00A75B16" w:rsidRPr="00C3784D">
        <w:rPr>
          <w:i/>
        </w:rPr>
        <w:t xml:space="preserve"> 2017</w:t>
      </w:r>
      <w:r w:rsidR="001C0BB0" w:rsidRPr="00C3784D">
        <w:t xml:space="preserve">, </w:t>
      </w:r>
      <w:r w:rsidR="00734F02" w:rsidRPr="00C3784D">
        <w:t xml:space="preserve">issued by the CEO of the </w:t>
      </w:r>
      <w:proofErr w:type="spellStart"/>
      <w:r w:rsidR="00734F02" w:rsidRPr="00C3784D">
        <w:t>NHMRC</w:t>
      </w:r>
      <w:proofErr w:type="spellEnd"/>
      <w:r w:rsidR="00734F02" w:rsidRPr="00C3784D">
        <w:t xml:space="preserve"> under the </w:t>
      </w:r>
      <w:r w:rsidR="00734F02" w:rsidRPr="00C3784D">
        <w:rPr>
          <w:i/>
        </w:rPr>
        <w:t>National Health and Medical Research Council Act 1992</w:t>
      </w:r>
      <w:r w:rsidRPr="00C3784D">
        <w:t xml:space="preserve">, as existing </w:t>
      </w:r>
      <w:r w:rsidR="00A75B16" w:rsidRPr="00C3784D">
        <w:t>at the time when this</w:t>
      </w:r>
      <w:r w:rsidRPr="00C3784D">
        <w:t xml:space="preserve"> </w:t>
      </w:r>
      <w:bookmarkStart w:id="11" w:name="BKCheck15B_4"/>
      <w:bookmarkEnd w:id="11"/>
      <w:r w:rsidR="00A75B16" w:rsidRPr="00C3784D">
        <w:t>instrument</w:t>
      </w:r>
      <w:r w:rsidR="00A75B16" w:rsidRPr="00C3784D">
        <w:rPr>
          <w:i/>
        </w:rPr>
        <w:t xml:space="preserve"> </w:t>
      </w:r>
      <w:r w:rsidRPr="00C3784D">
        <w:t>commences.</w:t>
      </w:r>
    </w:p>
    <w:p w:rsidR="004D750B" w:rsidRPr="00C3784D" w:rsidRDefault="004D750B" w:rsidP="004D750B">
      <w:pPr>
        <w:pStyle w:val="notetext"/>
      </w:pPr>
      <w:r w:rsidRPr="00C3784D">
        <w:t>Note:</w:t>
      </w:r>
      <w:r w:rsidRPr="00C3784D">
        <w:tab/>
        <w:t>The</w:t>
      </w:r>
      <w:r w:rsidRPr="00C3784D">
        <w:rPr>
          <w:b/>
          <w:i/>
        </w:rPr>
        <w:t xml:space="preserve"> </w:t>
      </w:r>
      <w:r w:rsidRPr="00C3784D">
        <w:t xml:space="preserve">ART Guidelines could in 2017 be viewed on the website of the </w:t>
      </w:r>
      <w:proofErr w:type="spellStart"/>
      <w:r w:rsidR="008040CB" w:rsidRPr="00C3784D">
        <w:t>NHMRC</w:t>
      </w:r>
      <w:proofErr w:type="spellEnd"/>
      <w:r w:rsidRPr="00C3784D">
        <w:t xml:space="preserve"> (https://www.</w:t>
      </w:r>
      <w:r w:rsidR="008040CB" w:rsidRPr="00C3784D">
        <w:t>nhmrc</w:t>
      </w:r>
      <w:r w:rsidRPr="00C3784D">
        <w:t>.</w:t>
      </w:r>
      <w:r w:rsidR="008040CB" w:rsidRPr="00C3784D">
        <w:t>gov</w:t>
      </w:r>
      <w:r w:rsidRPr="00C3784D">
        <w:t>.au).</w:t>
      </w:r>
    </w:p>
    <w:p w:rsidR="00A75B16" w:rsidRPr="00C3784D" w:rsidRDefault="00A75B16" w:rsidP="00A75B16">
      <w:pPr>
        <w:pStyle w:val="Definition"/>
      </w:pPr>
      <w:r w:rsidRPr="00C3784D">
        <w:rPr>
          <w:b/>
          <w:i/>
        </w:rPr>
        <w:lastRenderedPageBreak/>
        <w:t>National Statement</w:t>
      </w:r>
      <w:r w:rsidRPr="00C3784D">
        <w:t xml:space="preserve"> means the </w:t>
      </w:r>
      <w:r w:rsidRPr="00C3784D">
        <w:rPr>
          <w:i/>
        </w:rPr>
        <w:t>National Statement on Ethical Conduct in Human Research 2007 (Updated May 2015)</w:t>
      </w:r>
      <w:r w:rsidRPr="00C3784D">
        <w:t xml:space="preserve">, issued by the CEO of the </w:t>
      </w:r>
      <w:proofErr w:type="spellStart"/>
      <w:r w:rsidRPr="00C3784D">
        <w:t>NHMRC</w:t>
      </w:r>
      <w:proofErr w:type="spellEnd"/>
      <w:r w:rsidRPr="00C3784D">
        <w:t xml:space="preserve"> under the </w:t>
      </w:r>
      <w:r w:rsidRPr="00C3784D">
        <w:rPr>
          <w:i/>
        </w:rPr>
        <w:t>National Health and Medical Research Council Act 1992</w:t>
      </w:r>
      <w:r w:rsidRPr="00C3784D">
        <w:t>, as existing at the time when this instrument commences.</w:t>
      </w:r>
    </w:p>
    <w:p w:rsidR="00A75B16" w:rsidRPr="00C3784D" w:rsidRDefault="00A75B16" w:rsidP="00A75B16">
      <w:pPr>
        <w:pStyle w:val="notetext"/>
      </w:pPr>
      <w:r w:rsidRPr="00C3784D">
        <w:t>Note:</w:t>
      </w:r>
      <w:r w:rsidRPr="00C3784D">
        <w:tab/>
        <w:t>The</w:t>
      </w:r>
      <w:r w:rsidRPr="00C3784D">
        <w:rPr>
          <w:b/>
        </w:rPr>
        <w:t xml:space="preserve"> </w:t>
      </w:r>
      <w:r w:rsidRPr="00C3784D">
        <w:t xml:space="preserve">National Statement could in 2017 be viewed on the website of the </w:t>
      </w:r>
      <w:proofErr w:type="spellStart"/>
      <w:r w:rsidRPr="00C3784D">
        <w:t>NHMRC</w:t>
      </w:r>
      <w:proofErr w:type="spellEnd"/>
      <w:r w:rsidRPr="00C3784D">
        <w:t xml:space="preserve"> (https://www.nhmrc.gov.au).</w:t>
      </w:r>
    </w:p>
    <w:p w:rsidR="00C51011" w:rsidRPr="00C3784D" w:rsidRDefault="00C51011" w:rsidP="00C51011">
      <w:pPr>
        <w:pStyle w:val="Definition"/>
      </w:pPr>
      <w:r w:rsidRPr="00C3784D">
        <w:rPr>
          <w:b/>
          <w:i/>
        </w:rPr>
        <w:t>Objective Criteria for Unsuitable Embryos</w:t>
      </w:r>
      <w:r w:rsidRPr="00C3784D">
        <w:t xml:space="preserve"> means the </w:t>
      </w:r>
      <w:r w:rsidRPr="00C3784D">
        <w:rPr>
          <w:i/>
        </w:rPr>
        <w:t>Objective Criteria for determining embryos that are unsuit</w:t>
      </w:r>
      <w:r w:rsidR="00401331" w:rsidRPr="00C3784D">
        <w:rPr>
          <w:i/>
        </w:rPr>
        <w:t>able for implantation</w:t>
      </w:r>
      <w:r w:rsidRPr="00C3784D">
        <w:t xml:space="preserve">, issued by the CEO of the </w:t>
      </w:r>
      <w:proofErr w:type="spellStart"/>
      <w:r w:rsidRPr="00C3784D">
        <w:t>NHMRC</w:t>
      </w:r>
      <w:proofErr w:type="spellEnd"/>
      <w:r w:rsidRPr="00C3784D">
        <w:t xml:space="preserve"> under the </w:t>
      </w:r>
      <w:r w:rsidRPr="00C3784D">
        <w:rPr>
          <w:i/>
        </w:rPr>
        <w:t>National Health and Medical Research Council Act 1992</w:t>
      </w:r>
      <w:r w:rsidRPr="00C3784D">
        <w:t>, as existing at the time when this instrument commences.</w:t>
      </w:r>
    </w:p>
    <w:p w:rsidR="00EF6B11" w:rsidRPr="00C3784D" w:rsidRDefault="00EF6B11" w:rsidP="00EF6B11">
      <w:pPr>
        <w:pStyle w:val="notetext"/>
      </w:pPr>
      <w:r w:rsidRPr="00C3784D">
        <w:t>Note:</w:t>
      </w:r>
      <w:r w:rsidRPr="00C3784D">
        <w:tab/>
        <w:t>The</w:t>
      </w:r>
      <w:r w:rsidRPr="00C3784D">
        <w:rPr>
          <w:b/>
        </w:rPr>
        <w:t xml:space="preserve"> </w:t>
      </w:r>
      <w:r w:rsidRPr="00C3784D">
        <w:t xml:space="preserve">Objective Criteria for Unsuitable Embryos could in 2017 be viewed on the website of the </w:t>
      </w:r>
      <w:proofErr w:type="spellStart"/>
      <w:r w:rsidRPr="00C3784D">
        <w:t>NHMRC</w:t>
      </w:r>
      <w:proofErr w:type="spellEnd"/>
      <w:r w:rsidRPr="00C3784D">
        <w:t xml:space="preserve"> (https://www.nhmrc.gov.au).</w:t>
      </w:r>
    </w:p>
    <w:p w:rsidR="008B72C4" w:rsidRPr="00C3784D" w:rsidRDefault="008B72C4" w:rsidP="008B72C4">
      <w:pPr>
        <w:pStyle w:val="ActHead2"/>
        <w:pageBreakBefore/>
      </w:pPr>
      <w:bookmarkStart w:id="12" w:name="OPCCaretCursor"/>
      <w:bookmarkStart w:id="13" w:name="_Toc484163917"/>
      <w:bookmarkEnd w:id="12"/>
      <w:r w:rsidRPr="00C3784D">
        <w:rPr>
          <w:rStyle w:val="CharPartNo"/>
        </w:rPr>
        <w:lastRenderedPageBreak/>
        <w:t>Part</w:t>
      </w:r>
      <w:r w:rsidR="00C3784D" w:rsidRPr="00C3784D">
        <w:rPr>
          <w:rStyle w:val="CharPartNo"/>
        </w:rPr>
        <w:t> </w:t>
      </w:r>
      <w:r w:rsidRPr="00C3784D">
        <w:rPr>
          <w:rStyle w:val="CharPartNo"/>
        </w:rPr>
        <w:t>2</w:t>
      </w:r>
      <w:r w:rsidRPr="00C3784D">
        <w:t>—</w:t>
      </w:r>
      <w:r w:rsidRPr="00C3784D">
        <w:rPr>
          <w:rStyle w:val="CharPartText"/>
        </w:rPr>
        <w:t>Regulation of the use of excess ART embryos, other embryos and human eggs</w:t>
      </w:r>
      <w:bookmarkEnd w:id="13"/>
    </w:p>
    <w:p w:rsidR="008B72C4" w:rsidRPr="00C3784D" w:rsidRDefault="008B72C4" w:rsidP="008B72C4">
      <w:pPr>
        <w:pStyle w:val="Header"/>
      </w:pPr>
      <w:r w:rsidRPr="00C3784D">
        <w:rPr>
          <w:rStyle w:val="CharDivNo"/>
        </w:rPr>
        <w:t xml:space="preserve"> </w:t>
      </w:r>
      <w:r w:rsidRPr="00C3784D">
        <w:rPr>
          <w:rStyle w:val="CharDivText"/>
        </w:rPr>
        <w:t xml:space="preserve"> </w:t>
      </w:r>
    </w:p>
    <w:p w:rsidR="00EF6B11" w:rsidRPr="00C3784D" w:rsidRDefault="00EF6B11" w:rsidP="00EF6B11">
      <w:pPr>
        <w:pStyle w:val="ActHead5"/>
      </w:pPr>
      <w:bookmarkStart w:id="14" w:name="_Toc484163918"/>
      <w:r w:rsidRPr="00C3784D">
        <w:rPr>
          <w:rStyle w:val="CharSectno"/>
        </w:rPr>
        <w:t>6</w:t>
      </w:r>
      <w:r w:rsidRPr="00C3784D">
        <w:t xml:space="preserve">  </w:t>
      </w:r>
      <w:r w:rsidR="009411BB" w:rsidRPr="00C3784D">
        <w:t xml:space="preserve">Definition of </w:t>
      </w:r>
      <w:r w:rsidR="009411BB" w:rsidRPr="00C3784D">
        <w:rPr>
          <w:i/>
        </w:rPr>
        <w:t>u</w:t>
      </w:r>
      <w:r w:rsidRPr="00C3784D">
        <w:rPr>
          <w:i/>
        </w:rPr>
        <w:t>nsuitable for implantation</w:t>
      </w:r>
      <w:r w:rsidRPr="00C3784D">
        <w:t>—prescribed guidelines</w:t>
      </w:r>
      <w:bookmarkEnd w:id="14"/>
    </w:p>
    <w:p w:rsidR="00EF6B11" w:rsidRPr="00C3784D" w:rsidRDefault="00EF6B11" w:rsidP="00EF6B11">
      <w:pPr>
        <w:pStyle w:val="subsection"/>
      </w:pPr>
      <w:r w:rsidRPr="00C3784D">
        <w:tab/>
      </w:r>
      <w:r w:rsidRPr="00C3784D">
        <w:tab/>
        <w:t xml:space="preserve">For the purposes of </w:t>
      </w:r>
      <w:r w:rsidR="00C3784D" w:rsidRPr="00C3784D">
        <w:t>paragraph (</w:t>
      </w:r>
      <w:r w:rsidRPr="00C3784D">
        <w:t xml:space="preserve">b) of the definition of </w:t>
      </w:r>
      <w:r w:rsidRPr="00C3784D">
        <w:rPr>
          <w:b/>
          <w:i/>
        </w:rPr>
        <w:t>unsuitable for implantation</w:t>
      </w:r>
      <w:r w:rsidRPr="00C3784D">
        <w:t xml:space="preserve"> in subsection</w:t>
      </w:r>
      <w:r w:rsidR="00C3784D" w:rsidRPr="00C3784D">
        <w:t> </w:t>
      </w:r>
      <w:r w:rsidRPr="00C3784D">
        <w:t>7(1) of the Act, the Objective Criteria for Unsuitable Embryos are prescribed.</w:t>
      </w:r>
    </w:p>
    <w:p w:rsidR="00EF6B11" w:rsidRPr="00C3784D" w:rsidRDefault="00EF6B11" w:rsidP="00EF6B11">
      <w:pPr>
        <w:pStyle w:val="ActHead5"/>
      </w:pPr>
      <w:bookmarkStart w:id="15" w:name="_Toc484163919"/>
      <w:r w:rsidRPr="00C3784D">
        <w:rPr>
          <w:rStyle w:val="CharSectno"/>
        </w:rPr>
        <w:t>7</w:t>
      </w:r>
      <w:r w:rsidRPr="00C3784D">
        <w:t xml:space="preserve">  </w:t>
      </w:r>
      <w:r w:rsidR="009411BB" w:rsidRPr="00C3784D">
        <w:t xml:space="preserve">Definition of </w:t>
      </w:r>
      <w:r w:rsidR="009411BB" w:rsidRPr="00C3784D">
        <w:rPr>
          <w:i/>
        </w:rPr>
        <w:t>p</w:t>
      </w:r>
      <w:r w:rsidRPr="00C3784D">
        <w:rPr>
          <w:i/>
        </w:rPr>
        <w:t xml:space="preserve">roper </w:t>
      </w:r>
      <w:r w:rsidR="009411BB" w:rsidRPr="00C3784D">
        <w:rPr>
          <w:i/>
        </w:rPr>
        <w:t>c</w:t>
      </w:r>
      <w:r w:rsidRPr="00C3784D">
        <w:rPr>
          <w:i/>
        </w:rPr>
        <w:t>onsent</w:t>
      </w:r>
      <w:r w:rsidRPr="00C3784D">
        <w:t>—prescribed guidelines</w:t>
      </w:r>
      <w:bookmarkEnd w:id="15"/>
    </w:p>
    <w:p w:rsidR="00EF6B11" w:rsidRPr="00C3784D" w:rsidRDefault="00EF6B11" w:rsidP="00EF6B11">
      <w:pPr>
        <w:pStyle w:val="subsection"/>
      </w:pPr>
      <w:r w:rsidRPr="00C3784D">
        <w:tab/>
      </w:r>
      <w:r w:rsidRPr="00C3784D">
        <w:tab/>
        <w:t xml:space="preserve">For the purposes of the definition of </w:t>
      </w:r>
      <w:r w:rsidRPr="00C3784D">
        <w:rPr>
          <w:b/>
          <w:i/>
        </w:rPr>
        <w:t>proper consent</w:t>
      </w:r>
      <w:r w:rsidRPr="00C3784D">
        <w:t xml:space="preserve"> in section</w:t>
      </w:r>
      <w:r w:rsidR="00C3784D" w:rsidRPr="00C3784D">
        <w:t> </w:t>
      </w:r>
      <w:r w:rsidRPr="00C3784D">
        <w:t>8 of the Act, the ART Guidelines are prescribed.</w:t>
      </w:r>
    </w:p>
    <w:p w:rsidR="00EF6B11" w:rsidRPr="00C3784D" w:rsidRDefault="00EF6B11" w:rsidP="00EF6B11">
      <w:pPr>
        <w:pStyle w:val="ActHead5"/>
      </w:pPr>
      <w:bookmarkStart w:id="16" w:name="_Toc484163920"/>
      <w:r w:rsidRPr="00C3784D">
        <w:rPr>
          <w:rStyle w:val="CharSectno"/>
        </w:rPr>
        <w:t>8</w:t>
      </w:r>
      <w:r w:rsidRPr="00C3784D">
        <w:t xml:space="preserve">  </w:t>
      </w:r>
      <w:r w:rsidR="00ED2BB6" w:rsidRPr="00C3784D">
        <w:t xml:space="preserve">Membership of </w:t>
      </w:r>
      <w:proofErr w:type="spellStart"/>
      <w:r w:rsidR="00ED2BB6" w:rsidRPr="00C3784D">
        <w:t>NHMRC</w:t>
      </w:r>
      <w:proofErr w:type="spellEnd"/>
      <w:r w:rsidR="00ED2BB6" w:rsidRPr="00C3784D">
        <w:t xml:space="preserve"> Licensing Committee—p</w:t>
      </w:r>
      <w:r w:rsidRPr="00C3784D">
        <w:t>rescribed bodies from which nominations</w:t>
      </w:r>
      <w:r w:rsidR="00ED2BB6" w:rsidRPr="00C3784D">
        <w:t xml:space="preserve"> </w:t>
      </w:r>
      <w:r w:rsidRPr="00C3784D">
        <w:t>must be sought</w:t>
      </w:r>
      <w:bookmarkEnd w:id="16"/>
    </w:p>
    <w:p w:rsidR="00EF6B11" w:rsidRPr="00C3784D" w:rsidRDefault="00EF6B11" w:rsidP="00EF6B11">
      <w:pPr>
        <w:pStyle w:val="subsection"/>
      </w:pPr>
      <w:r w:rsidRPr="00C3784D">
        <w:tab/>
      </w:r>
      <w:r w:rsidRPr="00C3784D">
        <w:tab/>
        <w:t>For the purposes of paragraph</w:t>
      </w:r>
      <w:r w:rsidR="00C3784D" w:rsidRPr="00C3784D">
        <w:t> </w:t>
      </w:r>
      <w:r w:rsidRPr="00C3784D">
        <w:t>16(3)(a) of the Act, the bodies mentioned in the following table are prescribed.</w:t>
      </w:r>
    </w:p>
    <w:p w:rsidR="00B94B22" w:rsidRPr="00C3784D" w:rsidRDefault="00B94B22" w:rsidP="00B94B2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B94B22" w:rsidRPr="00C3784D" w:rsidTr="008B72C4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94B22" w:rsidRPr="00C3784D" w:rsidRDefault="00091378" w:rsidP="00B94B22">
            <w:pPr>
              <w:pStyle w:val="TableHeading"/>
            </w:pPr>
            <w:r w:rsidRPr="00C3784D">
              <w:t>Prescribed bodies</w:t>
            </w:r>
          </w:p>
        </w:tc>
      </w:tr>
      <w:tr w:rsidR="00B94B22" w:rsidRPr="00C3784D" w:rsidTr="008B72C4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4B22" w:rsidRPr="00C3784D" w:rsidRDefault="00B94B22" w:rsidP="00B94B22">
            <w:pPr>
              <w:pStyle w:val="TableHeading"/>
            </w:pPr>
            <w:r w:rsidRPr="00C3784D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4B22" w:rsidRPr="00C3784D" w:rsidRDefault="00ED2BB6" w:rsidP="00B94B22">
            <w:pPr>
              <w:pStyle w:val="TableHeading"/>
            </w:pPr>
            <w:r w:rsidRPr="00C3784D">
              <w:t>Body</w:t>
            </w:r>
          </w:p>
        </w:tc>
      </w:tr>
      <w:tr w:rsidR="00B03491" w:rsidRPr="00C3784D" w:rsidTr="008B72C4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B03491" w:rsidRPr="00C3784D" w:rsidRDefault="00BE7E12" w:rsidP="00B94B22">
            <w:pPr>
              <w:pStyle w:val="Tabletext"/>
            </w:pPr>
            <w:r w:rsidRPr="00C3784D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B03491" w:rsidRPr="00C3784D" w:rsidRDefault="002F1013" w:rsidP="00B94B22">
            <w:pPr>
              <w:pStyle w:val="Tabletext"/>
            </w:pPr>
            <w:r w:rsidRPr="00C3784D">
              <w:t>Access Australia’s National Infertility Network Limited</w:t>
            </w:r>
          </w:p>
        </w:tc>
      </w:tr>
      <w:tr w:rsidR="00B03491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E7E12" w:rsidP="00B94B22">
            <w:pPr>
              <w:pStyle w:val="Tabletext"/>
            </w:pPr>
            <w:r w:rsidRPr="00C3784D">
              <w:t>2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03491" w:rsidP="00B94B22">
            <w:pPr>
              <w:pStyle w:val="Tabletext"/>
            </w:pPr>
            <w:r w:rsidRPr="00C3784D">
              <w:t>Association of Australian Medical Research Institutes</w:t>
            </w:r>
            <w:r w:rsidR="0008575E" w:rsidRPr="00C3784D">
              <w:t xml:space="preserve"> Limited</w:t>
            </w:r>
          </w:p>
        </w:tc>
      </w:tr>
      <w:tr w:rsidR="00BE7E12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E7E12" w:rsidRPr="00C3784D" w:rsidRDefault="00BE7E12" w:rsidP="00B94B22">
            <w:pPr>
              <w:pStyle w:val="Tabletext"/>
            </w:pPr>
            <w:r w:rsidRPr="00C3784D">
              <w:t>3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E7E12" w:rsidRPr="00C3784D" w:rsidRDefault="00BE7E12" w:rsidP="00B94B22">
            <w:pPr>
              <w:pStyle w:val="Tabletext"/>
            </w:pPr>
            <w:r w:rsidRPr="00C3784D">
              <w:t>Australasian Association of Bioethics and Health Law</w:t>
            </w:r>
          </w:p>
        </w:tc>
      </w:tr>
      <w:tr w:rsidR="00B03491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E7E12" w:rsidP="00B94B22">
            <w:pPr>
              <w:pStyle w:val="Tabletext"/>
            </w:pPr>
            <w:r w:rsidRPr="00C3784D">
              <w:t>4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03491" w:rsidP="00B94B22">
            <w:pPr>
              <w:pStyle w:val="Tabletext"/>
            </w:pPr>
            <w:r w:rsidRPr="00C3784D">
              <w:t>Australian Academy of Health and Medical Sciences</w:t>
            </w:r>
            <w:r w:rsidR="002F1013" w:rsidRPr="00C3784D">
              <w:t xml:space="preserve"> Limited</w:t>
            </w:r>
          </w:p>
        </w:tc>
      </w:tr>
      <w:tr w:rsidR="00B94B22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94B22" w:rsidRPr="00C3784D" w:rsidRDefault="00BE7E12" w:rsidP="00B94B22">
            <w:pPr>
              <w:pStyle w:val="Tabletext"/>
            </w:pPr>
            <w:r w:rsidRPr="00C3784D">
              <w:t>5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94B22" w:rsidRPr="00C3784D" w:rsidRDefault="00B94B22" w:rsidP="00B94B22">
            <w:pPr>
              <w:pStyle w:val="Tabletext"/>
            </w:pPr>
            <w:r w:rsidRPr="00C3784D">
              <w:t>Australian Academy of Science</w:t>
            </w:r>
          </w:p>
        </w:tc>
      </w:tr>
      <w:tr w:rsidR="00B03491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E7E12" w:rsidP="00B94B22">
            <w:pPr>
              <w:pStyle w:val="Tabletext"/>
            </w:pPr>
            <w:r w:rsidRPr="00C3784D">
              <w:t>6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03491" w:rsidP="00B94B22">
            <w:pPr>
              <w:pStyle w:val="Tabletext"/>
            </w:pPr>
            <w:r w:rsidRPr="00C3784D">
              <w:t>Australian College of Nursing</w:t>
            </w:r>
            <w:r w:rsidR="002F1013" w:rsidRPr="00C3784D">
              <w:t xml:space="preserve"> Ltd</w:t>
            </w:r>
          </w:p>
        </w:tc>
      </w:tr>
      <w:tr w:rsidR="00B03491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E7E12" w:rsidP="00B94B22">
            <w:pPr>
              <w:pStyle w:val="Tabletext"/>
            </w:pPr>
            <w:r w:rsidRPr="00C3784D">
              <w:t>7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B03491" w:rsidRPr="00C3784D" w:rsidRDefault="00B03491" w:rsidP="00B94B22">
            <w:pPr>
              <w:pStyle w:val="Tabletext"/>
            </w:pPr>
            <w:r w:rsidRPr="00C3784D">
              <w:t>Australian College of Rural and Remote Medicine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8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B94B22">
            <w:pPr>
              <w:pStyle w:val="Tabletext"/>
            </w:pPr>
            <w:r w:rsidRPr="00C3784D">
              <w:t>Australian Consumers’ Association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9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B94B22">
            <w:pPr>
              <w:pStyle w:val="Tabletext"/>
            </w:pPr>
            <w:r w:rsidRPr="00C3784D">
              <w:t>Australian Federation of Disability Organisations (</w:t>
            </w:r>
            <w:proofErr w:type="spellStart"/>
            <w:r w:rsidRPr="00C3784D">
              <w:t>AFDO</w:t>
            </w:r>
            <w:proofErr w:type="spellEnd"/>
            <w:r w:rsidRPr="00C3784D">
              <w:t>) Ltd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10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B94B22">
            <w:pPr>
              <w:pStyle w:val="Tabletext"/>
            </w:pPr>
            <w:r w:rsidRPr="00C3784D">
              <w:t>Australian Research Council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11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B94B22">
            <w:pPr>
              <w:pStyle w:val="Tabletext"/>
            </w:pPr>
            <w:r w:rsidRPr="00C3784D">
              <w:t>The Australian Society for Medical Research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12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Consumers</w:t>
            </w:r>
            <w:r w:rsidRPr="00C3784D">
              <w:rPr>
                <w:i/>
              </w:rPr>
              <w:t xml:space="preserve"> </w:t>
            </w:r>
            <w:r w:rsidRPr="00C3784D">
              <w:t>Health Forum of Australia Ltd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13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The Fertility Society of Australia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14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Human Genetics Society of Australasia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15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Law Council of Australia Ltd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16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National Association of Specialist Obstetricians and Gynaecologists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17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National Stem Cell Foundation of Australia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3A0DDE">
            <w:pPr>
              <w:pStyle w:val="Tabletext"/>
            </w:pPr>
            <w:r w:rsidRPr="00C3784D">
              <w:t>1</w:t>
            </w:r>
            <w:r w:rsidR="003A0DDE" w:rsidRPr="00C3784D">
              <w:t>8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Rare Voices Australia Ltd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3A0DDE">
            <w:pPr>
              <w:pStyle w:val="Tabletext"/>
            </w:pPr>
            <w:r w:rsidRPr="00C3784D">
              <w:t>1</w:t>
            </w:r>
            <w:r w:rsidR="003A0DDE" w:rsidRPr="00C3784D">
              <w:t>9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The Royal Australasian College of Physicians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3A0DDE" w:rsidP="009411BB">
            <w:pPr>
              <w:pStyle w:val="Tabletext"/>
            </w:pPr>
            <w:r w:rsidRPr="00C3784D">
              <w:t>20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The Royal Australian and New Zealand College of Obstetricians and Gynaecologists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3A0DDE">
            <w:pPr>
              <w:pStyle w:val="Tabletext"/>
            </w:pPr>
            <w:r w:rsidRPr="00C3784D">
              <w:t>2</w:t>
            </w:r>
            <w:r w:rsidR="003A0DDE" w:rsidRPr="00C3784D">
              <w:t>1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The Royal Australian College of General Practitioners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3A0DDE">
            <w:pPr>
              <w:pStyle w:val="Tabletext"/>
            </w:pPr>
            <w:r w:rsidRPr="00C3784D">
              <w:lastRenderedPageBreak/>
              <w:t>2</w:t>
            </w:r>
            <w:r w:rsidR="003A0DDE" w:rsidRPr="00C3784D">
              <w:t>2</w:t>
            </w:r>
          </w:p>
        </w:tc>
        <w:tc>
          <w:tcPr>
            <w:tcW w:w="4571" w:type="pct"/>
            <w:tcBorders>
              <w:top w:val="single" w:sz="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Society for Reproductive Biology Incorporated</w:t>
            </w:r>
          </w:p>
        </w:tc>
      </w:tr>
      <w:tr w:rsidR="00472B5B" w:rsidRPr="00C3784D" w:rsidTr="008B72C4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23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72B5B" w:rsidRPr="00C3784D" w:rsidRDefault="00472B5B" w:rsidP="009411BB">
            <w:pPr>
              <w:pStyle w:val="Tabletext"/>
            </w:pPr>
            <w:r w:rsidRPr="00C3784D">
              <w:t>Universities Australia</w:t>
            </w:r>
          </w:p>
        </w:tc>
      </w:tr>
    </w:tbl>
    <w:p w:rsidR="00B94B22" w:rsidRPr="00C3784D" w:rsidRDefault="00B94B22" w:rsidP="00B94B22">
      <w:pPr>
        <w:pStyle w:val="Tabletext"/>
      </w:pPr>
    </w:p>
    <w:p w:rsidR="00ED2BB6" w:rsidRPr="00C3784D" w:rsidRDefault="00ED2BB6" w:rsidP="00ED2BB6">
      <w:pPr>
        <w:pStyle w:val="ActHead5"/>
      </w:pPr>
      <w:bookmarkStart w:id="17" w:name="_Toc484163921"/>
      <w:r w:rsidRPr="00C3784D">
        <w:rPr>
          <w:rStyle w:val="CharSectno"/>
        </w:rPr>
        <w:t>9</w:t>
      </w:r>
      <w:r w:rsidRPr="00C3784D">
        <w:t xml:space="preserve">  Determination by </w:t>
      </w:r>
      <w:proofErr w:type="spellStart"/>
      <w:r w:rsidRPr="00C3784D">
        <w:t>NHMRC</w:t>
      </w:r>
      <w:proofErr w:type="spellEnd"/>
      <w:r w:rsidRPr="00C3784D">
        <w:t xml:space="preserve"> Licensing Committee of licence applications—prescribed guidelines</w:t>
      </w:r>
      <w:bookmarkEnd w:id="17"/>
    </w:p>
    <w:p w:rsidR="00ED2BB6" w:rsidRPr="00C3784D" w:rsidRDefault="00ED2BB6" w:rsidP="00ED2BB6">
      <w:pPr>
        <w:pStyle w:val="subsection"/>
      </w:pPr>
      <w:r w:rsidRPr="00C3784D">
        <w:tab/>
      </w:r>
      <w:r w:rsidRPr="00C3784D">
        <w:tab/>
        <w:t>For the purposes of paragraph</w:t>
      </w:r>
      <w:r w:rsidR="00C3784D" w:rsidRPr="00C3784D">
        <w:t> </w:t>
      </w:r>
      <w:r w:rsidRPr="00C3784D">
        <w:t xml:space="preserve">21(4)(c) of the Act, the following guidelines </w:t>
      </w:r>
      <w:r w:rsidR="00A779D4" w:rsidRPr="00C3784D">
        <w:t>are</w:t>
      </w:r>
      <w:r w:rsidRPr="00C3784D">
        <w:t xml:space="preserve"> prescribed:</w:t>
      </w:r>
    </w:p>
    <w:p w:rsidR="00ED2BB6" w:rsidRPr="00C3784D" w:rsidRDefault="00ED2BB6" w:rsidP="00ED2BB6">
      <w:pPr>
        <w:pStyle w:val="paragraph"/>
      </w:pPr>
      <w:r w:rsidRPr="00C3784D">
        <w:tab/>
        <w:t>(a)</w:t>
      </w:r>
      <w:r w:rsidRPr="00C3784D">
        <w:tab/>
        <w:t>the ART Guidelines;</w:t>
      </w:r>
    </w:p>
    <w:p w:rsidR="00ED2BB6" w:rsidRPr="00C3784D" w:rsidRDefault="00ED2BB6" w:rsidP="00ED2BB6">
      <w:pPr>
        <w:pStyle w:val="paragraph"/>
      </w:pPr>
      <w:r w:rsidRPr="00C3784D">
        <w:tab/>
        <w:t>(b)</w:t>
      </w:r>
      <w:r w:rsidRPr="00C3784D">
        <w:tab/>
        <w:t>the National Statement.</w:t>
      </w:r>
    </w:p>
    <w:p w:rsidR="008B72C4" w:rsidRPr="00C3784D" w:rsidRDefault="008B72C4" w:rsidP="008B72C4">
      <w:pPr>
        <w:pStyle w:val="ActHead2"/>
        <w:pageBreakBefore/>
      </w:pPr>
      <w:bookmarkStart w:id="18" w:name="_Toc484163922"/>
      <w:r w:rsidRPr="00C3784D">
        <w:rPr>
          <w:rStyle w:val="CharPartNo"/>
        </w:rPr>
        <w:lastRenderedPageBreak/>
        <w:t>Part</w:t>
      </w:r>
      <w:r w:rsidR="00C3784D" w:rsidRPr="00C3784D">
        <w:rPr>
          <w:rStyle w:val="CharPartNo"/>
        </w:rPr>
        <w:t> </w:t>
      </w:r>
      <w:r w:rsidRPr="00C3784D">
        <w:rPr>
          <w:rStyle w:val="CharPartNo"/>
        </w:rPr>
        <w:t>3</w:t>
      </w:r>
      <w:r w:rsidRPr="00C3784D">
        <w:t>—</w:t>
      </w:r>
      <w:r w:rsidRPr="00C3784D">
        <w:rPr>
          <w:rStyle w:val="CharPartText"/>
        </w:rPr>
        <w:t>M</w:t>
      </w:r>
      <w:r w:rsidR="003A0DDE" w:rsidRPr="00C3784D">
        <w:rPr>
          <w:rStyle w:val="CharPartText"/>
        </w:rPr>
        <w:t>iscellaneous</w:t>
      </w:r>
      <w:bookmarkEnd w:id="18"/>
    </w:p>
    <w:p w:rsidR="008B72C4" w:rsidRPr="00C3784D" w:rsidRDefault="008B72C4" w:rsidP="008B72C4">
      <w:pPr>
        <w:pStyle w:val="Header"/>
      </w:pPr>
      <w:r w:rsidRPr="00C3784D">
        <w:rPr>
          <w:rStyle w:val="CharDivNo"/>
        </w:rPr>
        <w:t xml:space="preserve"> </w:t>
      </w:r>
      <w:r w:rsidRPr="00C3784D">
        <w:rPr>
          <w:rStyle w:val="CharDivText"/>
        </w:rPr>
        <w:t xml:space="preserve"> </w:t>
      </w:r>
    </w:p>
    <w:p w:rsidR="00ED2BB6" w:rsidRPr="00C3784D" w:rsidRDefault="00ED2BB6" w:rsidP="00ED2BB6">
      <w:pPr>
        <w:pStyle w:val="ActHead5"/>
      </w:pPr>
      <w:bookmarkStart w:id="19" w:name="_Toc484163923"/>
      <w:r w:rsidRPr="00C3784D">
        <w:rPr>
          <w:rStyle w:val="CharSectno"/>
        </w:rPr>
        <w:t>10</w:t>
      </w:r>
      <w:r w:rsidRPr="00C3784D">
        <w:t xml:space="preserve">  Form of identity card</w:t>
      </w:r>
      <w:bookmarkEnd w:id="19"/>
    </w:p>
    <w:p w:rsidR="00ED2BB6" w:rsidRPr="00C3784D" w:rsidRDefault="00ED2BB6" w:rsidP="00ED2BB6">
      <w:pPr>
        <w:pStyle w:val="subsection"/>
      </w:pPr>
      <w:r w:rsidRPr="00C3784D">
        <w:tab/>
      </w:r>
      <w:r w:rsidRPr="00C3784D">
        <w:tab/>
        <w:t>For the purposes of paragraph</w:t>
      </w:r>
      <w:r w:rsidR="00C3784D" w:rsidRPr="00C3784D">
        <w:t> </w:t>
      </w:r>
      <w:r w:rsidRPr="00C3784D">
        <w:t>34(2)(a) of the Act:</w:t>
      </w:r>
    </w:p>
    <w:p w:rsidR="00ED2BB6" w:rsidRPr="00C3784D" w:rsidRDefault="00ED2BB6" w:rsidP="00ED2BB6">
      <w:pPr>
        <w:pStyle w:val="paragraph"/>
      </w:pPr>
      <w:r w:rsidRPr="00C3784D">
        <w:tab/>
        <w:t>(a)</w:t>
      </w:r>
      <w:r w:rsidRPr="00C3784D">
        <w:tab/>
      </w:r>
      <w:r w:rsidR="00A779D4" w:rsidRPr="00C3784D">
        <w:t xml:space="preserve">an inspector’s identity card must state the date </w:t>
      </w:r>
      <w:r w:rsidR="0087639B" w:rsidRPr="00C3784D">
        <w:t xml:space="preserve">of </w:t>
      </w:r>
      <w:r w:rsidR="00A779D4" w:rsidRPr="00C3784D">
        <w:t>issue of the card and the period of validity of the card; and</w:t>
      </w:r>
    </w:p>
    <w:p w:rsidR="008B72C4" w:rsidRPr="00C3784D" w:rsidRDefault="00A779D4" w:rsidP="008B72C4">
      <w:pPr>
        <w:pStyle w:val="paragraph"/>
      </w:pPr>
      <w:r w:rsidRPr="00C3784D">
        <w:tab/>
        <w:t>(b)</w:t>
      </w:r>
      <w:r w:rsidRPr="00C3784D">
        <w:tab/>
        <w:t>the card’s recent photograph of the inspector must be substantially a photograph of the inspector’s face.</w:t>
      </w:r>
    </w:p>
    <w:p w:rsidR="00BB1719" w:rsidRPr="00C3784D" w:rsidRDefault="00BB1719" w:rsidP="00BB1719">
      <w:pPr>
        <w:pStyle w:val="ActHead2"/>
        <w:pageBreakBefore/>
      </w:pPr>
      <w:bookmarkStart w:id="20" w:name="_Toc484163924"/>
      <w:r w:rsidRPr="00C3784D">
        <w:rPr>
          <w:rStyle w:val="CharPartNo"/>
        </w:rPr>
        <w:lastRenderedPageBreak/>
        <w:t>Part</w:t>
      </w:r>
      <w:r w:rsidR="00C3784D" w:rsidRPr="00C3784D">
        <w:rPr>
          <w:rStyle w:val="CharPartNo"/>
        </w:rPr>
        <w:t> </w:t>
      </w:r>
      <w:r w:rsidRPr="00C3784D">
        <w:rPr>
          <w:rStyle w:val="CharPartNo"/>
        </w:rPr>
        <w:t>4</w:t>
      </w:r>
      <w:r w:rsidRPr="00C3784D">
        <w:t>—</w:t>
      </w:r>
      <w:r w:rsidRPr="00C3784D">
        <w:rPr>
          <w:rStyle w:val="CharPartText"/>
        </w:rPr>
        <w:t>Transitional, savings and application provisions</w:t>
      </w:r>
      <w:bookmarkEnd w:id="20"/>
    </w:p>
    <w:p w:rsidR="00BB1719" w:rsidRPr="00C3784D" w:rsidRDefault="00BB1719" w:rsidP="00BB1719">
      <w:pPr>
        <w:pStyle w:val="Header"/>
      </w:pPr>
      <w:r w:rsidRPr="00C3784D">
        <w:rPr>
          <w:rStyle w:val="CharDivNo"/>
        </w:rPr>
        <w:t xml:space="preserve"> </w:t>
      </w:r>
      <w:r w:rsidRPr="00C3784D">
        <w:rPr>
          <w:rStyle w:val="CharDivText"/>
        </w:rPr>
        <w:t xml:space="preserve"> </w:t>
      </w:r>
    </w:p>
    <w:p w:rsidR="00BB1719" w:rsidRPr="00C3784D" w:rsidRDefault="00BB1719" w:rsidP="00BB1719">
      <w:pPr>
        <w:pStyle w:val="ActHead5"/>
      </w:pPr>
      <w:bookmarkStart w:id="21" w:name="_Toc484163925"/>
      <w:r w:rsidRPr="00C3784D">
        <w:rPr>
          <w:rStyle w:val="CharSectno"/>
        </w:rPr>
        <w:t>11</w:t>
      </w:r>
      <w:r w:rsidRPr="00C3784D">
        <w:t xml:space="preserve">  </w:t>
      </w:r>
      <w:r w:rsidR="00CB4C8B" w:rsidRPr="00C3784D">
        <w:t>Licence applications</w:t>
      </w:r>
      <w:bookmarkEnd w:id="21"/>
    </w:p>
    <w:p w:rsidR="00CB4C8B" w:rsidRPr="00C3784D" w:rsidRDefault="00CB4C8B" w:rsidP="00CB4C8B">
      <w:pPr>
        <w:pStyle w:val="subsection"/>
      </w:pPr>
      <w:r w:rsidRPr="00C3784D">
        <w:tab/>
        <w:t>(1)</w:t>
      </w:r>
      <w:r w:rsidRPr="00C3784D">
        <w:tab/>
        <w:t xml:space="preserve">This section applies in relation to an application for a licence made, but not finally determined, before the repeal of the </w:t>
      </w:r>
      <w:r w:rsidRPr="00C3784D">
        <w:rPr>
          <w:i/>
        </w:rPr>
        <w:t>Research Involving Human Embryos Regulations</w:t>
      </w:r>
      <w:r w:rsidR="00C3784D" w:rsidRPr="00C3784D">
        <w:rPr>
          <w:i/>
        </w:rPr>
        <w:t> </w:t>
      </w:r>
      <w:r w:rsidRPr="00C3784D">
        <w:rPr>
          <w:i/>
        </w:rPr>
        <w:t>2003</w:t>
      </w:r>
      <w:r w:rsidRPr="00C3784D">
        <w:t xml:space="preserve"> (the </w:t>
      </w:r>
      <w:r w:rsidRPr="00C3784D">
        <w:rPr>
          <w:b/>
          <w:i/>
        </w:rPr>
        <w:t>old regulations</w:t>
      </w:r>
      <w:r w:rsidRPr="00C3784D">
        <w:t>).</w:t>
      </w:r>
    </w:p>
    <w:p w:rsidR="00401331" w:rsidRPr="00C3784D" w:rsidRDefault="00CB4C8B" w:rsidP="00CB4C8B">
      <w:pPr>
        <w:pStyle w:val="subsection"/>
      </w:pPr>
      <w:r w:rsidRPr="00C3784D">
        <w:tab/>
        <w:t>(2)</w:t>
      </w:r>
      <w:r w:rsidRPr="00C3784D">
        <w:tab/>
      </w:r>
      <w:r w:rsidR="00401331" w:rsidRPr="00C3784D">
        <w:t>The following provisions of this instrument do not apply to the application:</w:t>
      </w:r>
    </w:p>
    <w:p w:rsidR="00401331" w:rsidRPr="00C3784D" w:rsidRDefault="00401331" w:rsidP="00401331">
      <w:pPr>
        <w:pStyle w:val="paragraph"/>
      </w:pPr>
      <w:r w:rsidRPr="00C3784D">
        <w:tab/>
        <w:t>(a)</w:t>
      </w:r>
      <w:r w:rsidRPr="00C3784D">
        <w:tab/>
        <w:t xml:space="preserve">the definition of </w:t>
      </w:r>
      <w:r w:rsidRPr="00C3784D">
        <w:rPr>
          <w:b/>
          <w:i/>
        </w:rPr>
        <w:t>ART Guidelines</w:t>
      </w:r>
      <w:r w:rsidRPr="00C3784D">
        <w:t xml:space="preserve"> in section</w:t>
      </w:r>
      <w:r w:rsidR="00C3784D" w:rsidRPr="00C3784D">
        <w:t> </w:t>
      </w:r>
      <w:r w:rsidRPr="00C3784D">
        <w:t>5;</w:t>
      </w:r>
    </w:p>
    <w:p w:rsidR="00401331" w:rsidRPr="00C3784D" w:rsidRDefault="00401331" w:rsidP="00401331">
      <w:pPr>
        <w:pStyle w:val="paragraph"/>
      </w:pPr>
      <w:r w:rsidRPr="00C3784D">
        <w:tab/>
        <w:t>(b)</w:t>
      </w:r>
      <w:r w:rsidRPr="00C3784D">
        <w:tab/>
        <w:t>section</w:t>
      </w:r>
      <w:r w:rsidR="00C3784D" w:rsidRPr="00C3784D">
        <w:t> </w:t>
      </w:r>
      <w:r w:rsidRPr="00C3784D">
        <w:t>7;</w:t>
      </w:r>
    </w:p>
    <w:p w:rsidR="00401331" w:rsidRPr="00C3784D" w:rsidRDefault="00401331" w:rsidP="00401331">
      <w:pPr>
        <w:pStyle w:val="paragraph"/>
      </w:pPr>
      <w:r w:rsidRPr="00C3784D">
        <w:tab/>
        <w:t>(c)</w:t>
      </w:r>
      <w:r w:rsidRPr="00C3784D">
        <w:tab/>
        <w:t>section</w:t>
      </w:r>
      <w:r w:rsidR="00C3784D" w:rsidRPr="00C3784D">
        <w:t> </w:t>
      </w:r>
      <w:r w:rsidRPr="00C3784D">
        <w:t>9.</w:t>
      </w:r>
    </w:p>
    <w:p w:rsidR="00CB4C8B" w:rsidRPr="00C3784D" w:rsidRDefault="00CB4C8B" w:rsidP="00CB4C8B">
      <w:pPr>
        <w:pStyle w:val="subsection"/>
      </w:pPr>
      <w:r w:rsidRPr="00C3784D">
        <w:tab/>
        <w:t>(3)</w:t>
      </w:r>
      <w:r w:rsidRPr="00C3784D">
        <w:tab/>
        <w:t xml:space="preserve">Despite the repeal of the old regulations, </w:t>
      </w:r>
      <w:r w:rsidR="00401331" w:rsidRPr="00C3784D">
        <w:t>the following provisions, as in force immediately before the repeal of the old regulations,</w:t>
      </w:r>
      <w:r w:rsidRPr="00C3784D">
        <w:t xml:space="preserve"> continue to apply</w:t>
      </w:r>
      <w:r w:rsidR="00401331" w:rsidRPr="00C3784D">
        <w:t>, on and after the commencement of this instrument,</w:t>
      </w:r>
      <w:r w:rsidRPr="00C3784D">
        <w:t xml:space="preserve"> in relation to the application as</w:t>
      </w:r>
      <w:r w:rsidR="00401331" w:rsidRPr="00C3784D">
        <w:t xml:space="preserve"> if the repeal had not happened:</w:t>
      </w:r>
    </w:p>
    <w:p w:rsidR="00401331" w:rsidRPr="00C3784D" w:rsidRDefault="00401331" w:rsidP="00401331">
      <w:pPr>
        <w:pStyle w:val="paragraph"/>
      </w:pPr>
      <w:r w:rsidRPr="00C3784D">
        <w:tab/>
        <w:t>(a)</w:t>
      </w:r>
      <w:r w:rsidRPr="00C3784D">
        <w:tab/>
        <w:t xml:space="preserve">the definition of </w:t>
      </w:r>
      <w:r w:rsidRPr="00C3784D">
        <w:rPr>
          <w:b/>
          <w:i/>
        </w:rPr>
        <w:t>ART Guidelines</w:t>
      </w:r>
      <w:r w:rsidRPr="00C3784D">
        <w:t xml:space="preserve"> in regulation</w:t>
      </w:r>
      <w:r w:rsidR="00C3784D" w:rsidRPr="00C3784D">
        <w:t> </w:t>
      </w:r>
      <w:r w:rsidRPr="00C3784D">
        <w:t>1.3;</w:t>
      </w:r>
    </w:p>
    <w:p w:rsidR="00401331" w:rsidRPr="00C3784D" w:rsidRDefault="00401331" w:rsidP="00401331">
      <w:pPr>
        <w:pStyle w:val="paragraph"/>
      </w:pPr>
      <w:r w:rsidRPr="00C3784D">
        <w:tab/>
        <w:t>(b)</w:t>
      </w:r>
      <w:r w:rsidRPr="00C3784D">
        <w:tab/>
        <w:t>regulation</w:t>
      </w:r>
      <w:r w:rsidR="00C3784D" w:rsidRPr="00C3784D">
        <w:t> </w:t>
      </w:r>
      <w:r w:rsidRPr="00C3784D">
        <w:t>2.1;</w:t>
      </w:r>
    </w:p>
    <w:p w:rsidR="00401331" w:rsidRPr="00C3784D" w:rsidRDefault="00401331" w:rsidP="00401331">
      <w:pPr>
        <w:pStyle w:val="paragraph"/>
      </w:pPr>
      <w:r w:rsidRPr="00C3784D">
        <w:tab/>
        <w:t>(c)</w:t>
      </w:r>
      <w:r w:rsidRPr="00C3784D">
        <w:tab/>
        <w:t>regulation</w:t>
      </w:r>
      <w:r w:rsidR="00C3784D" w:rsidRPr="00C3784D">
        <w:t> </w:t>
      </w:r>
      <w:r w:rsidRPr="00C3784D">
        <w:t>2.4.</w:t>
      </w:r>
    </w:p>
    <w:p w:rsidR="008B72C4" w:rsidRPr="00C3784D" w:rsidRDefault="008B72C4" w:rsidP="008B72C4">
      <w:pPr>
        <w:pStyle w:val="paragraph"/>
        <w:sectPr w:rsidR="008B72C4" w:rsidRPr="00C3784D" w:rsidSect="002266D8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87639B" w:rsidRPr="00C3784D" w:rsidRDefault="0087639B" w:rsidP="0087639B">
      <w:pPr>
        <w:pStyle w:val="ActHead6"/>
      </w:pPr>
      <w:bookmarkStart w:id="22" w:name="_Toc484163926"/>
      <w:bookmarkStart w:id="23" w:name="opcAmSched"/>
      <w:bookmarkStart w:id="24" w:name="opcCurrentFind"/>
      <w:r w:rsidRPr="00C3784D">
        <w:rPr>
          <w:rStyle w:val="CharAmSchNo"/>
        </w:rPr>
        <w:lastRenderedPageBreak/>
        <w:t>Schedule</w:t>
      </w:r>
      <w:r w:rsidR="00C3784D" w:rsidRPr="00C3784D">
        <w:rPr>
          <w:rStyle w:val="CharAmSchNo"/>
        </w:rPr>
        <w:t> </w:t>
      </w:r>
      <w:r w:rsidRPr="00C3784D">
        <w:rPr>
          <w:rStyle w:val="CharAmSchNo"/>
        </w:rPr>
        <w:t>1</w:t>
      </w:r>
      <w:r w:rsidRPr="00C3784D">
        <w:t>—</w:t>
      </w:r>
      <w:r w:rsidRPr="00C3784D">
        <w:rPr>
          <w:rStyle w:val="CharAmSchText"/>
        </w:rPr>
        <w:t>Repeals</w:t>
      </w:r>
      <w:bookmarkEnd w:id="22"/>
    </w:p>
    <w:bookmarkEnd w:id="23"/>
    <w:bookmarkEnd w:id="24"/>
    <w:p w:rsidR="0087639B" w:rsidRPr="00C3784D" w:rsidRDefault="0087639B">
      <w:pPr>
        <w:pStyle w:val="Header"/>
      </w:pPr>
      <w:r w:rsidRPr="00C3784D">
        <w:rPr>
          <w:rStyle w:val="CharAmPartNo"/>
        </w:rPr>
        <w:t xml:space="preserve"> </w:t>
      </w:r>
      <w:r w:rsidRPr="00C3784D">
        <w:rPr>
          <w:rStyle w:val="CharAmPartText"/>
        </w:rPr>
        <w:t xml:space="preserve"> </w:t>
      </w:r>
    </w:p>
    <w:p w:rsidR="0087639B" w:rsidRPr="00C3784D" w:rsidRDefault="0087639B" w:rsidP="0087639B">
      <w:pPr>
        <w:pStyle w:val="ActHead9"/>
      </w:pPr>
      <w:bookmarkStart w:id="25" w:name="_Toc484163927"/>
      <w:r w:rsidRPr="00C3784D">
        <w:t>Research Involving Human Embryos Regulations</w:t>
      </w:r>
      <w:r w:rsidR="00C3784D" w:rsidRPr="00C3784D">
        <w:t> </w:t>
      </w:r>
      <w:r w:rsidR="009411BB" w:rsidRPr="00C3784D">
        <w:t>2003</w:t>
      </w:r>
      <w:bookmarkEnd w:id="25"/>
    </w:p>
    <w:p w:rsidR="0087639B" w:rsidRPr="00C3784D" w:rsidRDefault="0087639B" w:rsidP="009411BB">
      <w:pPr>
        <w:pStyle w:val="ItemHead"/>
      </w:pPr>
      <w:r w:rsidRPr="00C3784D">
        <w:t>1  The whole of the regulation</w:t>
      </w:r>
      <w:r w:rsidR="001613B4" w:rsidRPr="00C3784D">
        <w:t>s</w:t>
      </w:r>
    </w:p>
    <w:p w:rsidR="0087639B" w:rsidRPr="00C3784D" w:rsidRDefault="0087639B" w:rsidP="0087639B">
      <w:pPr>
        <w:pStyle w:val="Item"/>
      </w:pPr>
      <w:r w:rsidRPr="00C3784D">
        <w:t>Repeal the regulation</w:t>
      </w:r>
      <w:r w:rsidR="001613B4" w:rsidRPr="00C3784D">
        <w:t>s</w:t>
      </w:r>
      <w:r w:rsidRPr="00C3784D">
        <w:t>.</w:t>
      </w:r>
    </w:p>
    <w:p w:rsidR="0087639B" w:rsidRPr="00C3784D" w:rsidRDefault="0087639B">
      <w:pPr>
        <w:sectPr w:rsidR="0087639B" w:rsidRPr="00C3784D" w:rsidSect="002266D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87639B" w:rsidRPr="00C3784D" w:rsidRDefault="0087639B"/>
    <w:sectPr w:rsidR="0087639B" w:rsidRPr="00C3784D" w:rsidSect="002266D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DE" w:rsidRDefault="003A0DDE" w:rsidP="0048364F">
      <w:pPr>
        <w:spacing w:line="240" w:lineRule="auto"/>
      </w:pPr>
      <w:r>
        <w:separator/>
      </w:r>
    </w:p>
  </w:endnote>
  <w:endnote w:type="continuationSeparator" w:id="0">
    <w:p w:rsidR="003A0DDE" w:rsidRDefault="003A0D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266D8" w:rsidRDefault="002266D8" w:rsidP="002266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66D8">
      <w:rPr>
        <w:i/>
        <w:sz w:val="18"/>
      </w:rPr>
      <w:t>OPC62588 -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D90ABA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A0DDE" w:rsidTr="008B72C4">
      <w:tc>
        <w:tcPr>
          <w:tcW w:w="942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F63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>
    <w:pPr>
      <w:pBdr>
        <w:top w:val="single" w:sz="6" w:space="1" w:color="auto"/>
      </w:pBdr>
      <w:rPr>
        <w:sz w:val="18"/>
      </w:rPr>
    </w:pPr>
  </w:p>
  <w:p w:rsidR="003A0DDE" w:rsidRDefault="003A0DD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95453">
      <w:rPr>
        <w:i/>
        <w:noProof/>
        <w:sz w:val="18"/>
      </w:rPr>
      <w:t>Research Involving Human Embryos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9545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875C7">
      <w:rPr>
        <w:i/>
        <w:noProof/>
        <w:sz w:val="18"/>
      </w:rPr>
      <w:t>7</w:t>
    </w:r>
    <w:r>
      <w:rPr>
        <w:i/>
        <w:sz w:val="18"/>
      </w:rPr>
      <w:fldChar w:fldCharType="end"/>
    </w:r>
  </w:p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A0DDE" w:rsidTr="008B72C4">
      <w:tc>
        <w:tcPr>
          <w:tcW w:w="365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A0DDE" w:rsidTr="008B72C4">
      <w:tc>
        <w:tcPr>
          <w:tcW w:w="947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A16F8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A0DDE" w:rsidTr="008B72C4">
      <w:tc>
        <w:tcPr>
          <w:tcW w:w="947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 w:rsidP="0087639B">
    <w:pPr>
      <w:pStyle w:val="Footer"/>
      <w:spacing w:before="120"/>
    </w:pPr>
  </w:p>
  <w:p w:rsidR="003A0DDE" w:rsidRPr="002266D8" w:rsidRDefault="002266D8" w:rsidP="002266D8">
    <w:pPr>
      <w:pStyle w:val="Footer"/>
      <w:rPr>
        <w:i/>
        <w:sz w:val="18"/>
      </w:rPr>
    </w:pPr>
    <w:r w:rsidRPr="002266D8">
      <w:rPr>
        <w:i/>
        <w:sz w:val="18"/>
      </w:rPr>
      <w:t>OPC62588 -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266D8" w:rsidRDefault="002266D8" w:rsidP="002266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66D8">
      <w:rPr>
        <w:i/>
        <w:sz w:val="18"/>
      </w:rPr>
      <w:t>OPC62588 -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A0DDE" w:rsidTr="008B72C4">
      <w:tc>
        <w:tcPr>
          <w:tcW w:w="365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A0DDE" w:rsidTr="008B72C4">
      <w:tc>
        <w:tcPr>
          <w:tcW w:w="947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F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D90ABA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A0DDE" w:rsidTr="008B72C4">
      <w:tc>
        <w:tcPr>
          <w:tcW w:w="365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F6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D90ABA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A0DDE" w:rsidTr="008B72C4">
      <w:tc>
        <w:tcPr>
          <w:tcW w:w="947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F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2B0EA5" w:rsidRDefault="003A0DDE" w:rsidP="0087639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A0DDE" w:rsidTr="008B72C4">
      <w:tc>
        <w:tcPr>
          <w:tcW w:w="947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0DDE" w:rsidRPr="00ED79B6" w:rsidRDefault="003A0DDE" w:rsidP="0087639B">
    <w:pPr>
      <w:rPr>
        <w:i/>
        <w:sz w:val="18"/>
      </w:rPr>
    </w:pPr>
  </w:p>
  <w:p w:rsidR="003A0DDE" w:rsidRPr="002266D8" w:rsidRDefault="002266D8" w:rsidP="002266D8">
    <w:pPr>
      <w:pStyle w:val="Footer"/>
      <w:rPr>
        <w:i/>
        <w:sz w:val="18"/>
      </w:rPr>
    </w:pPr>
    <w:r w:rsidRPr="002266D8">
      <w:rPr>
        <w:i/>
        <w:sz w:val="18"/>
      </w:rPr>
      <w:t>OPC62588 -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D90ABA" w:rsidRDefault="003A0DDE" w:rsidP="008763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A0DDE" w:rsidTr="008B72C4">
      <w:tc>
        <w:tcPr>
          <w:tcW w:w="365" w:type="pct"/>
        </w:tcPr>
        <w:p w:rsidR="003A0DDE" w:rsidRDefault="003A0DDE" w:rsidP="009411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75C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A0DDE" w:rsidRDefault="003A0DDE" w:rsidP="009411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5453">
            <w:rPr>
              <w:i/>
              <w:sz w:val="18"/>
            </w:rPr>
            <w:t>Research Involving Human Embryos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A0DDE" w:rsidRDefault="003A0DDE" w:rsidP="009411BB">
          <w:pPr>
            <w:spacing w:line="0" w:lineRule="atLeast"/>
            <w:jc w:val="right"/>
            <w:rPr>
              <w:sz w:val="18"/>
            </w:rPr>
          </w:pPr>
        </w:p>
      </w:tc>
    </w:tr>
  </w:tbl>
  <w:p w:rsidR="003A0DDE" w:rsidRPr="002266D8" w:rsidRDefault="002266D8" w:rsidP="002266D8">
    <w:pPr>
      <w:rPr>
        <w:rFonts w:cs="Times New Roman"/>
        <w:i/>
        <w:sz w:val="18"/>
      </w:rPr>
    </w:pPr>
    <w:r w:rsidRPr="002266D8">
      <w:rPr>
        <w:rFonts w:cs="Times New Roman"/>
        <w:i/>
        <w:sz w:val="18"/>
      </w:rPr>
      <w:t>OPC62588 -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DE" w:rsidRDefault="003A0DDE" w:rsidP="0048364F">
      <w:pPr>
        <w:spacing w:line="240" w:lineRule="auto"/>
      </w:pPr>
      <w:r>
        <w:separator/>
      </w:r>
    </w:p>
  </w:footnote>
  <w:footnote w:type="continuationSeparator" w:id="0">
    <w:p w:rsidR="003A0DDE" w:rsidRDefault="003A0D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5F1388" w:rsidRDefault="003A0DDE" w:rsidP="00A16F83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1F6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1F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A0DDE" w:rsidRDefault="003A0DD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A0DDE" w:rsidRDefault="003A0DDE" w:rsidP="0087639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 w:rsidP="00A16F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A0DDE" w:rsidRDefault="003A0DDE" w:rsidP="00A16F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95453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95453">
      <w:rPr>
        <w:noProof/>
        <w:sz w:val="20"/>
      </w:rPr>
      <w:t>Transitional, savings and application provisions</w:t>
    </w:r>
    <w:r>
      <w:rPr>
        <w:sz w:val="20"/>
      </w:rPr>
      <w:fldChar w:fldCharType="end"/>
    </w:r>
  </w:p>
  <w:p w:rsidR="003A0DDE" w:rsidRPr="007A1328" w:rsidRDefault="003A0DDE" w:rsidP="00A16F8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A0DDE" w:rsidRPr="007A1328" w:rsidRDefault="003A0DDE" w:rsidP="00A16F83">
    <w:pPr>
      <w:rPr>
        <w:b/>
        <w:sz w:val="24"/>
      </w:rPr>
    </w:pPr>
  </w:p>
  <w:p w:rsidR="003A0DDE" w:rsidRPr="007A1328" w:rsidRDefault="003A0DDE" w:rsidP="008763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545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5453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7A1328" w:rsidRDefault="003A0DDE" w:rsidP="00A16F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A0DDE" w:rsidRPr="007A1328" w:rsidRDefault="003A0DDE" w:rsidP="00A16F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95453">
      <w:rPr>
        <w:noProof/>
        <w:sz w:val="20"/>
      </w:rPr>
      <w:t>Transitional, savings and application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95453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3A0DDE" w:rsidRPr="007A1328" w:rsidRDefault="003A0DDE" w:rsidP="00A16F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A0DDE" w:rsidRPr="007A1328" w:rsidRDefault="003A0DDE" w:rsidP="00A16F83">
    <w:pPr>
      <w:jc w:val="right"/>
      <w:rPr>
        <w:b/>
        <w:sz w:val="24"/>
      </w:rPr>
    </w:pPr>
  </w:p>
  <w:p w:rsidR="003A0DDE" w:rsidRPr="007A1328" w:rsidRDefault="003A0DDE" w:rsidP="008763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545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5453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7A1328" w:rsidRDefault="003A0DDE" w:rsidP="00A16F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5F1388" w:rsidRDefault="003A0DDE" w:rsidP="00A16F8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5F1388" w:rsidRDefault="003A0DDE" w:rsidP="00A16F8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ED79B6" w:rsidRDefault="003A0DDE" w:rsidP="00A16F8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ED79B6" w:rsidRDefault="003A0DDE" w:rsidP="00A16F8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Pr="00ED79B6" w:rsidRDefault="003A0DDE" w:rsidP="00A16F8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A0DDE" w:rsidRDefault="003A0D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81F63">
      <w:rPr>
        <w:b/>
        <w:noProof/>
        <w:sz w:val="20"/>
      </w:rPr>
      <w:t>Part 4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81F63">
      <w:rPr>
        <w:noProof/>
        <w:sz w:val="20"/>
      </w:rPr>
      <w:t>Transitional, savings and application provisions</w:t>
    </w:r>
    <w:r>
      <w:rPr>
        <w:sz w:val="20"/>
      </w:rPr>
      <w:fldChar w:fldCharType="end"/>
    </w:r>
  </w:p>
  <w:p w:rsidR="003A0DDE" w:rsidRDefault="003A0DD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A0DDE" w:rsidRDefault="003A0DDE">
    <w:pPr>
      <w:rPr>
        <w:b/>
        <w:sz w:val="24"/>
      </w:rPr>
    </w:pPr>
  </w:p>
  <w:p w:rsidR="003A0DDE" w:rsidRDefault="003A0DDE" w:rsidP="008763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1F63">
      <w:rPr>
        <w:noProof/>
        <w:sz w:val="24"/>
      </w:rPr>
      <w:t>11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A0DDE" w:rsidRDefault="003A0DD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81F63">
      <w:rPr>
        <w:sz w:val="20"/>
      </w:rPr>
      <w:fldChar w:fldCharType="separate"/>
    </w:r>
    <w:r w:rsidR="00981F63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81F63">
      <w:rPr>
        <w:b/>
        <w:sz w:val="20"/>
      </w:rPr>
      <w:fldChar w:fldCharType="separate"/>
    </w:r>
    <w:r w:rsidR="00981F6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A0DDE" w:rsidRDefault="003A0DD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A0DDE" w:rsidRDefault="003A0DDE">
    <w:pPr>
      <w:jc w:val="right"/>
      <w:rPr>
        <w:b/>
        <w:sz w:val="24"/>
      </w:rPr>
    </w:pPr>
  </w:p>
  <w:p w:rsidR="003A0DDE" w:rsidRDefault="003A0DDE" w:rsidP="008763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1F63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DE" w:rsidRDefault="003A0DD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545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5453">
      <w:rPr>
        <w:noProof/>
        <w:sz w:val="20"/>
      </w:rPr>
      <w:t>Repeals</w:t>
    </w:r>
    <w:r>
      <w:rPr>
        <w:sz w:val="20"/>
      </w:rPr>
      <w:fldChar w:fldCharType="end"/>
    </w:r>
  </w:p>
  <w:p w:rsidR="003A0DDE" w:rsidRDefault="003A0D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A0DDE" w:rsidRDefault="003A0DDE" w:rsidP="0087639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20"/>
    <w:rsid w:val="000041C6"/>
    <w:rsid w:val="000063E4"/>
    <w:rsid w:val="00011222"/>
    <w:rsid w:val="000113BC"/>
    <w:rsid w:val="000136AF"/>
    <w:rsid w:val="00025060"/>
    <w:rsid w:val="0004044E"/>
    <w:rsid w:val="000614BF"/>
    <w:rsid w:val="0008575E"/>
    <w:rsid w:val="00091378"/>
    <w:rsid w:val="000C4E79"/>
    <w:rsid w:val="000D05EF"/>
    <w:rsid w:val="000E01A5"/>
    <w:rsid w:val="000F21C1"/>
    <w:rsid w:val="000F6B02"/>
    <w:rsid w:val="000F7427"/>
    <w:rsid w:val="0010745C"/>
    <w:rsid w:val="00111730"/>
    <w:rsid w:val="001142B7"/>
    <w:rsid w:val="00116975"/>
    <w:rsid w:val="00126F1A"/>
    <w:rsid w:val="00154EAC"/>
    <w:rsid w:val="001613B4"/>
    <w:rsid w:val="001643C9"/>
    <w:rsid w:val="00165568"/>
    <w:rsid w:val="00166C2F"/>
    <w:rsid w:val="0017041C"/>
    <w:rsid w:val="001716C9"/>
    <w:rsid w:val="00171EAE"/>
    <w:rsid w:val="00187A5A"/>
    <w:rsid w:val="00191859"/>
    <w:rsid w:val="00193461"/>
    <w:rsid w:val="001939E1"/>
    <w:rsid w:val="00195382"/>
    <w:rsid w:val="001A57B7"/>
    <w:rsid w:val="001B3097"/>
    <w:rsid w:val="001B7A5D"/>
    <w:rsid w:val="001C0BB0"/>
    <w:rsid w:val="001C69C4"/>
    <w:rsid w:val="001D4229"/>
    <w:rsid w:val="001D7F83"/>
    <w:rsid w:val="001E04A3"/>
    <w:rsid w:val="001E16D0"/>
    <w:rsid w:val="001E32E5"/>
    <w:rsid w:val="001E3590"/>
    <w:rsid w:val="001E562E"/>
    <w:rsid w:val="001E7407"/>
    <w:rsid w:val="001F40AA"/>
    <w:rsid w:val="001F6924"/>
    <w:rsid w:val="00201D27"/>
    <w:rsid w:val="002266D8"/>
    <w:rsid w:val="00231427"/>
    <w:rsid w:val="00237F7B"/>
    <w:rsid w:val="00240749"/>
    <w:rsid w:val="00265FBC"/>
    <w:rsid w:val="00266D05"/>
    <w:rsid w:val="0027298D"/>
    <w:rsid w:val="002932B1"/>
    <w:rsid w:val="00295408"/>
    <w:rsid w:val="00295453"/>
    <w:rsid w:val="00297ECB"/>
    <w:rsid w:val="002A0FFD"/>
    <w:rsid w:val="002B2731"/>
    <w:rsid w:val="002B5B89"/>
    <w:rsid w:val="002B7D96"/>
    <w:rsid w:val="002D043A"/>
    <w:rsid w:val="002F1013"/>
    <w:rsid w:val="00304E75"/>
    <w:rsid w:val="003072FA"/>
    <w:rsid w:val="0031713F"/>
    <w:rsid w:val="00324971"/>
    <w:rsid w:val="00326991"/>
    <w:rsid w:val="003415D3"/>
    <w:rsid w:val="003457E9"/>
    <w:rsid w:val="00352B0F"/>
    <w:rsid w:val="00361BD9"/>
    <w:rsid w:val="00363549"/>
    <w:rsid w:val="003801D0"/>
    <w:rsid w:val="0039228E"/>
    <w:rsid w:val="003926B5"/>
    <w:rsid w:val="003A0DDE"/>
    <w:rsid w:val="003B04EC"/>
    <w:rsid w:val="003C5F2B"/>
    <w:rsid w:val="003D0BFE"/>
    <w:rsid w:val="003D5700"/>
    <w:rsid w:val="003E5FF5"/>
    <w:rsid w:val="003F4CA9"/>
    <w:rsid w:val="003F567B"/>
    <w:rsid w:val="004010E7"/>
    <w:rsid w:val="00401331"/>
    <w:rsid w:val="00401403"/>
    <w:rsid w:val="00405DD4"/>
    <w:rsid w:val="004116CD"/>
    <w:rsid w:val="00412B83"/>
    <w:rsid w:val="00424CA9"/>
    <w:rsid w:val="00433910"/>
    <w:rsid w:val="0044291A"/>
    <w:rsid w:val="00447F11"/>
    <w:rsid w:val="004541B9"/>
    <w:rsid w:val="00460499"/>
    <w:rsid w:val="00472B5B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750B"/>
    <w:rsid w:val="004E0279"/>
    <w:rsid w:val="004F1FAC"/>
    <w:rsid w:val="004F3A90"/>
    <w:rsid w:val="004F676E"/>
    <w:rsid w:val="00512C9C"/>
    <w:rsid w:val="00516B8D"/>
    <w:rsid w:val="00517CED"/>
    <w:rsid w:val="00520A1E"/>
    <w:rsid w:val="0052121A"/>
    <w:rsid w:val="00526C19"/>
    <w:rsid w:val="00537FBC"/>
    <w:rsid w:val="00543469"/>
    <w:rsid w:val="0055704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24FDB"/>
    <w:rsid w:val="00630733"/>
    <w:rsid w:val="0064468A"/>
    <w:rsid w:val="00647424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5ABE"/>
    <w:rsid w:val="006977FB"/>
    <w:rsid w:val="006A1164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7C05"/>
    <w:rsid w:val="00713084"/>
    <w:rsid w:val="007215DD"/>
    <w:rsid w:val="00722023"/>
    <w:rsid w:val="00731E00"/>
    <w:rsid w:val="00734F02"/>
    <w:rsid w:val="007440B7"/>
    <w:rsid w:val="007634AD"/>
    <w:rsid w:val="007715C9"/>
    <w:rsid w:val="00774EDD"/>
    <w:rsid w:val="007757EC"/>
    <w:rsid w:val="007769D4"/>
    <w:rsid w:val="00785AFA"/>
    <w:rsid w:val="007875C7"/>
    <w:rsid w:val="007903AC"/>
    <w:rsid w:val="007A7F9F"/>
    <w:rsid w:val="007E7D4A"/>
    <w:rsid w:val="008040CB"/>
    <w:rsid w:val="00813101"/>
    <w:rsid w:val="00826DA5"/>
    <w:rsid w:val="00833416"/>
    <w:rsid w:val="00856A31"/>
    <w:rsid w:val="00874B69"/>
    <w:rsid w:val="008754D0"/>
    <w:rsid w:val="0087639B"/>
    <w:rsid w:val="00877D48"/>
    <w:rsid w:val="00880795"/>
    <w:rsid w:val="00894AF6"/>
    <w:rsid w:val="0089719D"/>
    <w:rsid w:val="0089783B"/>
    <w:rsid w:val="008B72C4"/>
    <w:rsid w:val="008D0EE0"/>
    <w:rsid w:val="008F07E3"/>
    <w:rsid w:val="008F3D5B"/>
    <w:rsid w:val="008F4F1C"/>
    <w:rsid w:val="00901249"/>
    <w:rsid w:val="00907271"/>
    <w:rsid w:val="00916420"/>
    <w:rsid w:val="00932377"/>
    <w:rsid w:val="00932A33"/>
    <w:rsid w:val="009367F9"/>
    <w:rsid w:val="009411BB"/>
    <w:rsid w:val="00944AA4"/>
    <w:rsid w:val="009623C5"/>
    <w:rsid w:val="00981F63"/>
    <w:rsid w:val="009848EC"/>
    <w:rsid w:val="0099351D"/>
    <w:rsid w:val="009B3629"/>
    <w:rsid w:val="009C49D8"/>
    <w:rsid w:val="009D7011"/>
    <w:rsid w:val="009E3601"/>
    <w:rsid w:val="009F727E"/>
    <w:rsid w:val="00A1027A"/>
    <w:rsid w:val="00A16F83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71FA"/>
    <w:rsid w:val="00A67769"/>
    <w:rsid w:val="00A70A74"/>
    <w:rsid w:val="00A71C4E"/>
    <w:rsid w:val="00A75B16"/>
    <w:rsid w:val="00A779D4"/>
    <w:rsid w:val="00A87AB9"/>
    <w:rsid w:val="00AB3315"/>
    <w:rsid w:val="00AB454E"/>
    <w:rsid w:val="00AB7B41"/>
    <w:rsid w:val="00AC06B3"/>
    <w:rsid w:val="00AD5641"/>
    <w:rsid w:val="00AE50A2"/>
    <w:rsid w:val="00AF0336"/>
    <w:rsid w:val="00AF6494"/>
    <w:rsid w:val="00AF6613"/>
    <w:rsid w:val="00B00902"/>
    <w:rsid w:val="00B032D8"/>
    <w:rsid w:val="00B03491"/>
    <w:rsid w:val="00B332B8"/>
    <w:rsid w:val="00B33B3C"/>
    <w:rsid w:val="00B44657"/>
    <w:rsid w:val="00B61D2C"/>
    <w:rsid w:val="00B6267E"/>
    <w:rsid w:val="00B63BDE"/>
    <w:rsid w:val="00B655DE"/>
    <w:rsid w:val="00B661B8"/>
    <w:rsid w:val="00B94B22"/>
    <w:rsid w:val="00BA5026"/>
    <w:rsid w:val="00BA5098"/>
    <w:rsid w:val="00BB1719"/>
    <w:rsid w:val="00BB6E79"/>
    <w:rsid w:val="00BC4F91"/>
    <w:rsid w:val="00BD60E6"/>
    <w:rsid w:val="00BE253A"/>
    <w:rsid w:val="00BE719A"/>
    <w:rsid w:val="00BE720A"/>
    <w:rsid w:val="00BE7E12"/>
    <w:rsid w:val="00BF4533"/>
    <w:rsid w:val="00C067E5"/>
    <w:rsid w:val="00C15528"/>
    <w:rsid w:val="00C164CA"/>
    <w:rsid w:val="00C21B63"/>
    <w:rsid w:val="00C34187"/>
    <w:rsid w:val="00C3784D"/>
    <w:rsid w:val="00C42BF8"/>
    <w:rsid w:val="00C460AE"/>
    <w:rsid w:val="00C50043"/>
    <w:rsid w:val="00C51011"/>
    <w:rsid w:val="00C63713"/>
    <w:rsid w:val="00C7573B"/>
    <w:rsid w:val="00C76CF3"/>
    <w:rsid w:val="00C77E30"/>
    <w:rsid w:val="00C814F5"/>
    <w:rsid w:val="00C91AF0"/>
    <w:rsid w:val="00C934F9"/>
    <w:rsid w:val="00CA69FE"/>
    <w:rsid w:val="00CB0180"/>
    <w:rsid w:val="00CB3470"/>
    <w:rsid w:val="00CB4C8B"/>
    <w:rsid w:val="00CD606E"/>
    <w:rsid w:val="00CD7ECB"/>
    <w:rsid w:val="00CF0BB2"/>
    <w:rsid w:val="00D0104A"/>
    <w:rsid w:val="00D07000"/>
    <w:rsid w:val="00D13441"/>
    <w:rsid w:val="00D15BA9"/>
    <w:rsid w:val="00D17B17"/>
    <w:rsid w:val="00D243A3"/>
    <w:rsid w:val="00D27D71"/>
    <w:rsid w:val="00D333D9"/>
    <w:rsid w:val="00D33440"/>
    <w:rsid w:val="00D40403"/>
    <w:rsid w:val="00D52EFE"/>
    <w:rsid w:val="00D61BDD"/>
    <w:rsid w:val="00D63EF6"/>
    <w:rsid w:val="00D70DFB"/>
    <w:rsid w:val="00D766DF"/>
    <w:rsid w:val="00D76CFE"/>
    <w:rsid w:val="00D83D21"/>
    <w:rsid w:val="00D84B58"/>
    <w:rsid w:val="00D925D1"/>
    <w:rsid w:val="00DA7F49"/>
    <w:rsid w:val="00DB2097"/>
    <w:rsid w:val="00E05704"/>
    <w:rsid w:val="00E05C46"/>
    <w:rsid w:val="00E07397"/>
    <w:rsid w:val="00E30206"/>
    <w:rsid w:val="00E33C1C"/>
    <w:rsid w:val="00E443FC"/>
    <w:rsid w:val="00E45EC6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2BB6"/>
    <w:rsid w:val="00ED3A7D"/>
    <w:rsid w:val="00EE4C05"/>
    <w:rsid w:val="00EF00A2"/>
    <w:rsid w:val="00EF2E3A"/>
    <w:rsid w:val="00EF6B11"/>
    <w:rsid w:val="00F047E2"/>
    <w:rsid w:val="00F078DC"/>
    <w:rsid w:val="00F11B0E"/>
    <w:rsid w:val="00F13E86"/>
    <w:rsid w:val="00F16334"/>
    <w:rsid w:val="00F24C35"/>
    <w:rsid w:val="00F56759"/>
    <w:rsid w:val="00F677A9"/>
    <w:rsid w:val="00F7003B"/>
    <w:rsid w:val="00F84CF5"/>
    <w:rsid w:val="00FA420B"/>
    <w:rsid w:val="00FB03B3"/>
    <w:rsid w:val="00FB192C"/>
    <w:rsid w:val="00FC4EE7"/>
    <w:rsid w:val="00FD3D1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8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8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8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8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8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8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784D"/>
  </w:style>
  <w:style w:type="paragraph" w:customStyle="1" w:styleId="OPCParaBase">
    <w:name w:val="OPCParaBase"/>
    <w:qFormat/>
    <w:rsid w:val="00C378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78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78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78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78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78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78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78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78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78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78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784D"/>
  </w:style>
  <w:style w:type="paragraph" w:customStyle="1" w:styleId="Blocks">
    <w:name w:val="Blocks"/>
    <w:aliases w:val="bb"/>
    <w:basedOn w:val="OPCParaBase"/>
    <w:qFormat/>
    <w:rsid w:val="00C378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78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784D"/>
    <w:rPr>
      <w:i/>
    </w:rPr>
  </w:style>
  <w:style w:type="paragraph" w:customStyle="1" w:styleId="BoxList">
    <w:name w:val="BoxList"/>
    <w:aliases w:val="bl"/>
    <w:basedOn w:val="BoxText"/>
    <w:qFormat/>
    <w:rsid w:val="00C378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78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78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784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784D"/>
  </w:style>
  <w:style w:type="character" w:customStyle="1" w:styleId="CharAmPartText">
    <w:name w:val="CharAmPartText"/>
    <w:basedOn w:val="OPCCharBase"/>
    <w:uiPriority w:val="1"/>
    <w:qFormat/>
    <w:rsid w:val="00C3784D"/>
  </w:style>
  <w:style w:type="character" w:customStyle="1" w:styleId="CharAmSchNo">
    <w:name w:val="CharAmSchNo"/>
    <w:basedOn w:val="OPCCharBase"/>
    <w:uiPriority w:val="1"/>
    <w:qFormat/>
    <w:rsid w:val="00C3784D"/>
  </w:style>
  <w:style w:type="character" w:customStyle="1" w:styleId="CharAmSchText">
    <w:name w:val="CharAmSchText"/>
    <w:basedOn w:val="OPCCharBase"/>
    <w:uiPriority w:val="1"/>
    <w:qFormat/>
    <w:rsid w:val="00C3784D"/>
  </w:style>
  <w:style w:type="character" w:customStyle="1" w:styleId="CharBoldItalic">
    <w:name w:val="CharBoldItalic"/>
    <w:basedOn w:val="OPCCharBase"/>
    <w:uiPriority w:val="1"/>
    <w:qFormat/>
    <w:rsid w:val="00C3784D"/>
    <w:rPr>
      <w:b/>
      <w:i/>
    </w:rPr>
  </w:style>
  <w:style w:type="character" w:customStyle="1" w:styleId="CharChapNo">
    <w:name w:val="CharChapNo"/>
    <w:basedOn w:val="OPCCharBase"/>
    <w:qFormat/>
    <w:rsid w:val="00C3784D"/>
  </w:style>
  <w:style w:type="character" w:customStyle="1" w:styleId="CharChapText">
    <w:name w:val="CharChapText"/>
    <w:basedOn w:val="OPCCharBase"/>
    <w:qFormat/>
    <w:rsid w:val="00C3784D"/>
  </w:style>
  <w:style w:type="character" w:customStyle="1" w:styleId="CharDivNo">
    <w:name w:val="CharDivNo"/>
    <w:basedOn w:val="OPCCharBase"/>
    <w:qFormat/>
    <w:rsid w:val="00C3784D"/>
  </w:style>
  <w:style w:type="character" w:customStyle="1" w:styleId="CharDivText">
    <w:name w:val="CharDivText"/>
    <w:basedOn w:val="OPCCharBase"/>
    <w:qFormat/>
    <w:rsid w:val="00C3784D"/>
  </w:style>
  <w:style w:type="character" w:customStyle="1" w:styleId="CharItalic">
    <w:name w:val="CharItalic"/>
    <w:basedOn w:val="OPCCharBase"/>
    <w:uiPriority w:val="1"/>
    <w:qFormat/>
    <w:rsid w:val="00C3784D"/>
    <w:rPr>
      <w:i/>
    </w:rPr>
  </w:style>
  <w:style w:type="character" w:customStyle="1" w:styleId="CharPartNo">
    <w:name w:val="CharPartNo"/>
    <w:basedOn w:val="OPCCharBase"/>
    <w:qFormat/>
    <w:rsid w:val="00C3784D"/>
  </w:style>
  <w:style w:type="character" w:customStyle="1" w:styleId="CharPartText">
    <w:name w:val="CharPartText"/>
    <w:basedOn w:val="OPCCharBase"/>
    <w:qFormat/>
    <w:rsid w:val="00C3784D"/>
  </w:style>
  <w:style w:type="character" w:customStyle="1" w:styleId="CharSectno">
    <w:name w:val="CharSectno"/>
    <w:basedOn w:val="OPCCharBase"/>
    <w:qFormat/>
    <w:rsid w:val="00C3784D"/>
  </w:style>
  <w:style w:type="character" w:customStyle="1" w:styleId="CharSubdNo">
    <w:name w:val="CharSubdNo"/>
    <w:basedOn w:val="OPCCharBase"/>
    <w:uiPriority w:val="1"/>
    <w:qFormat/>
    <w:rsid w:val="00C3784D"/>
  </w:style>
  <w:style w:type="character" w:customStyle="1" w:styleId="CharSubdText">
    <w:name w:val="CharSubdText"/>
    <w:basedOn w:val="OPCCharBase"/>
    <w:uiPriority w:val="1"/>
    <w:qFormat/>
    <w:rsid w:val="00C3784D"/>
  </w:style>
  <w:style w:type="paragraph" w:customStyle="1" w:styleId="CTA--">
    <w:name w:val="CTA --"/>
    <w:basedOn w:val="OPCParaBase"/>
    <w:next w:val="Normal"/>
    <w:rsid w:val="00C378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78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78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78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78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78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78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78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78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78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78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78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78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78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78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784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378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78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78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78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78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78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78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78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78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78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78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78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78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78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78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78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78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78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78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78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78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78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78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78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78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78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78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78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78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78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78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78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78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78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378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78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78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78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784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784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78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78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78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78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78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78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78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78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784D"/>
    <w:rPr>
      <w:sz w:val="16"/>
    </w:rPr>
  </w:style>
  <w:style w:type="table" w:customStyle="1" w:styleId="CFlag">
    <w:name w:val="CFlag"/>
    <w:basedOn w:val="TableNormal"/>
    <w:uiPriority w:val="99"/>
    <w:rsid w:val="00C378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78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00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78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78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78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784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784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78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78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78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78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78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78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78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78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78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78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78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78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78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78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78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78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784D"/>
  </w:style>
  <w:style w:type="character" w:customStyle="1" w:styleId="CharSubPartNoCASA">
    <w:name w:val="CharSubPartNo(CASA)"/>
    <w:basedOn w:val="OPCCharBase"/>
    <w:uiPriority w:val="1"/>
    <w:rsid w:val="00C3784D"/>
  </w:style>
  <w:style w:type="paragraph" w:customStyle="1" w:styleId="ENoteTTIndentHeadingSub">
    <w:name w:val="ENoteTTIndentHeadingSub"/>
    <w:aliases w:val="enTTHis"/>
    <w:basedOn w:val="OPCParaBase"/>
    <w:rsid w:val="00C378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78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78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78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78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72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784D"/>
    <w:rPr>
      <w:sz w:val="22"/>
    </w:rPr>
  </w:style>
  <w:style w:type="paragraph" w:customStyle="1" w:styleId="SOTextNote">
    <w:name w:val="SO TextNote"/>
    <w:aliases w:val="sont"/>
    <w:basedOn w:val="SOText"/>
    <w:qFormat/>
    <w:rsid w:val="00C378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78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784D"/>
    <w:rPr>
      <w:sz w:val="22"/>
    </w:rPr>
  </w:style>
  <w:style w:type="paragraph" w:customStyle="1" w:styleId="FileName">
    <w:name w:val="FileName"/>
    <w:basedOn w:val="Normal"/>
    <w:rsid w:val="00C3784D"/>
  </w:style>
  <w:style w:type="paragraph" w:customStyle="1" w:styleId="TableHeading">
    <w:name w:val="TableHeading"/>
    <w:aliases w:val="th"/>
    <w:basedOn w:val="OPCParaBase"/>
    <w:next w:val="Tabletext"/>
    <w:rsid w:val="00C378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78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78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78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78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78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78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78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78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78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78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78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78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8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8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8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78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8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8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C3784D"/>
    <w:pPr>
      <w:spacing w:before="120"/>
    </w:pPr>
  </w:style>
  <w:style w:type="paragraph" w:customStyle="1" w:styleId="TableTextEndNotes">
    <w:name w:val="TableTextEndNotes"/>
    <w:aliases w:val="Tten"/>
    <w:basedOn w:val="Normal"/>
    <w:rsid w:val="00C3784D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8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8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8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8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8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8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784D"/>
  </w:style>
  <w:style w:type="paragraph" w:customStyle="1" w:styleId="OPCParaBase">
    <w:name w:val="OPCParaBase"/>
    <w:qFormat/>
    <w:rsid w:val="00C378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78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78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78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78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78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78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78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78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78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78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784D"/>
  </w:style>
  <w:style w:type="paragraph" w:customStyle="1" w:styleId="Blocks">
    <w:name w:val="Blocks"/>
    <w:aliases w:val="bb"/>
    <w:basedOn w:val="OPCParaBase"/>
    <w:qFormat/>
    <w:rsid w:val="00C378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78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784D"/>
    <w:rPr>
      <w:i/>
    </w:rPr>
  </w:style>
  <w:style w:type="paragraph" w:customStyle="1" w:styleId="BoxList">
    <w:name w:val="BoxList"/>
    <w:aliases w:val="bl"/>
    <w:basedOn w:val="BoxText"/>
    <w:qFormat/>
    <w:rsid w:val="00C378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78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78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784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784D"/>
  </w:style>
  <w:style w:type="character" w:customStyle="1" w:styleId="CharAmPartText">
    <w:name w:val="CharAmPartText"/>
    <w:basedOn w:val="OPCCharBase"/>
    <w:uiPriority w:val="1"/>
    <w:qFormat/>
    <w:rsid w:val="00C3784D"/>
  </w:style>
  <w:style w:type="character" w:customStyle="1" w:styleId="CharAmSchNo">
    <w:name w:val="CharAmSchNo"/>
    <w:basedOn w:val="OPCCharBase"/>
    <w:uiPriority w:val="1"/>
    <w:qFormat/>
    <w:rsid w:val="00C3784D"/>
  </w:style>
  <w:style w:type="character" w:customStyle="1" w:styleId="CharAmSchText">
    <w:name w:val="CharAmSchText"/>
    <w:basedOn w:val="OPCCharBase"/>
    <w:uiPriority w:val="1"/>
    <w:qFormat/>
    <w:rsid w:val="00C3784D"/>
  </w:style>
  <w:style w:type="character" w:customStyle="1" w:styleId="CharBoldItalic">
    <w:name w:val="CharBoldItalic"/>
    <w:basedOn w:val="OPCCharBase"/>
    <w:uiPriority w:val="1"/>
    <w:qFormat/>
    <w:rsid w:val="00C3784D"/>
    <w:rPr>
      <w:b/>
      <w:i/>
    </w:rPr>
  </w:style>
  <w:style w:type="character" w:customStyle="1" w:styleId="CharChapNo">
    <w:name w:val="CharChapNo"/>
    <w:basedOn w:val="OPCCharBase"/>
    <w:qFormat/>
    <w:rsid w:val="00C3784D"/>
  </w:style>
  <w:style w:type="character" w:customStyle="1" w:styleId="CharChapText">
    <w:name w:val="CharChapText"/>
    <w:basedOn w:val="OPCCharBase"/>
    <w:qFormat/>
    <w:rsid w:val="00C3784D"/>
  </w:style>
  <w:style w:type="character" w:customStyle="1" w:styleId="CharDivNo">
    <w:name w:val="CharDivNo"/>
    <w:basedOn w:val="OPCCharBase"/>
    <w:qFormat/>
    <w:rsid w:val="00C3784D"/>
  </w:style>
  <w:style w:type="character" w:customStyle="1" w:styleId="CharDivText">
    <w:name w:val="CharDivText"/>
    <w:basedOn w:val="OPCCharBase"/>
    <w:qFormat/>
    <w:rsid w:val="00C3784D"/>
  </w:style>
  <w:style w:type="character" w:customStyle="1" w:styleId="CharItalic">
    <w:name w:val="CharItalic"/>
    <w:basedOn w:val="OPCCharBase"/>
    <w:uiPriority w:val="1"/>
    <w:qFormat/>
    <w:rsid w:val="00C3784D"/>
    <w:rPr>
      <w:i/>
    </w:rPr>
  </w:style>
  <w:style w:type="character" w:customStyle="1" w:styleId="CharPartNo">
    <w:name w:val="CharPartNo"/>
    <w:basedOn w:val="OPCCharBase"/>
    <w:qFormat/>
    <w:rsid w:val="00C3784D"/>
  </w:style>
  <w:style w:type="character" w:customStyle="1" w:styleId="CharPartText">
    <w:name w:val="CharPartText"/>
    <w:basedOn w:val="OPCCharBase"/>
    <w:qFormat/>
    <w:rsid w:val="00C3784D"/>
  </w:style>
  <w:style w:type="character" w:customStyle="1" w:styleId="CharSectno">
    <w:name w:val="CharSectno"/>
    <w:basedOn w:val="OPCCharBase"/>
    <w:qFormat/>
    <w:rsid w:val="00C3784D"/>
  </w:style>
  <w:style w:type="character" w:customStyle="1" w:styleId="CharSubdNo">
    <w:name w:val="CharSubdNo"/>
    <w:basedOn w:val="OPCCharBase"/>
    <w:uiPriority w:val="1"/>
    <w:qFormat/>
    <w:rsid w:val="00C3784D"/>
  </w:style>
  <w:style w:type="character" w:customStyle="1" w:styleId="CharSubdText">
    <w:name w:val="CharSubdText"/>
    <w:basedOn w:val="OPCCharBase"/>
    <w:uiPriority w:val="1"/>
    <w:qFormat/>
    <w:rsid w:val="00C3784D"/>
  </w:style>
  <w:style w:type="paragraph" w:customStyle="1" w:styleId="CTA--">
    <w:name w:val="CTA --"/>
    <w:basedOn w:val="OPCParaBase"/>
    <w:next w:val="Normal"/>
    <w:rsid w:val="00C378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78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78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78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78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78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78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78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78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78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78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78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78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78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78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784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378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78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78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78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78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78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78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78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78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78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78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78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78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78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78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78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78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78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78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78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78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78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78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78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78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78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78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78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78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78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78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78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78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78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378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78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78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78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784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784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784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78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78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78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78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78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78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78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78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784D"/>
    <w:rPr>
      <w:sz w:val="16"/>
    </w:rPr>
  </w:style>
  <w:style w:type="table" w:customStyle="1" w:styleId="CFlag">
    <w:name w:val="CFlag"/>
    <w:basedOn w:val="TableNormal"/>
    <w:uiPriority w:val="99"/>
    <w:rsid w:val="00C378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78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00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78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78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78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784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784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78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78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78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78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78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78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78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78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78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78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78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78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78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78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78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78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784D"/>
  </w:style>
  <w:style w:type="character" w:customStyle="1" w:styleId="CharSubPartNoCASA">
    <w:name w:val="CharSubPartNo(CASA)"/>
    <w:basedOn w:val="OPCCharBase"/>
    <w:uiPriority w:val="1"/>
    <w:rsid w:val="00C3784D"/>
  </w:style>
  <w:style w:type="paragraph" w:customStyle="1" w:styleId="ENoteTTIndentHeadingSub">
    <w:name w:val="ENoteTTIndentHeadingSub"/>
    <w:aliases w:val="enTTHis"/>
    <w:basedOn w:val="OPCParaBase"/>
    <w:rsid w:val="00C378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78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78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78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78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72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784D"/>
    <w:rPr>
      <w:sz w:val="22"/>
    </w:rPr>
  </w:style>
  <w:style w:type="paragraph" w:customStyle="1" w:styleId="SOTextNote">
    <w:name w:val="SO TextNote"/>
    <w:aliases w:val="sont"/>
    <w:basedOn w:val="SOText"/>
    <w:qFormat/>
    <w:rsid w:val="00C378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78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784D"/>
    <w:rPr>
      <w:sz w:val="22"/>
    </w:rPr>
  </w:style>
  <w:style w:type="paragraph" w:customStyle="1" w:styleId="FileName">
    <w:name w:val="FileName"/>
    <w:basedOn w:val="Normal"/>
    <w:rsid w:val="00C3784D"/>
  </w:style>
  <w:style w:type="paragraph" w:customStyle="1" w:styleId="TableHeading">
    <w:name w:val="TableHeading"/>
    <w:aliases w:val="th"/>
    <w:basedOn w:val="OPCParaBase"/>
    <w:next w:val="Tabletext"/>
    <w:rsid w:val="00C378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78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78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78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78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78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78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78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78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78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78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78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78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78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8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8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8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78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8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8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C3784D"/>
    <w:pPr>
      <w:spacing w:before="120"/>
    </w:pPr>
  </w:style>
  <w:style w:type="paragraph" w:customStyle="1" w:styleId="TableTextEndNotes">
    <w:name w:val="TableTextEndNotes"/>
    <w:aliases w:val="Tten"/>
    <w:basedOn w:val="Normal"/>
    <w:rsid w:val="00C3784D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11</Pages>
  <Words>1279</Words>
  <Characters>6294</Characters>
  <Application>Microsoft Office Word</Application>
  <DocSecurity>0</DocSecurity>
  <PresentationFormat/>
  <Lines>419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2017-05-18T05:25:00Z</cp:lastPrinted>
  <dcterms:created xsi:type="dcterms:W3CDTF">2017-09-19T04:07:00Z</dcterms:created>
  <dcterms:modified xsi:type="dcterms:W3CDTF">2017-09-19T04:07:00Z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Research Involving Human Embryos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NEW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September 2017</vt:lpwstr>
  </property>
  <property fmtid="{D5CDD505-2E9C-101B-9397-08002B2CF9AE}" pid="10" name="Authority">
    <vt:lpwstr/>
  </property>
  <property fmtid="{D5CDD505-2E9C-101B-9397-08002B2CF9AE}" pid="11" name="ID">
    <vt:lpwstr>OPC62588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Research Involving Human Embryos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September 2017</vt:lpwstr>
  </property>
</Properties>
</file>