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C3" w:rsidRPr="00BA4CCD" w:rsidRDefault="00BC6AC3" w:rsidP="00BA4CCD">
      <w:pPr>
        <w:jc w:val="center"/>
        <w:rPr>
          <w:b/>
          <w:sz w:val="40"/>
          <w:szCs w:val="40"/>
        </w:rPr>
      </w:pPr>
    </w:p>
    <w:p w:rsidR="00BA4F48" w:rsidRPr="00BA4CCD" w:rsidRDefault="00BA4F48" w:rsidP="00BA4CCD">
      <w:pPr>
        <w:jc w:val="center"/>
        <w:rPr>
          <w:b/>
          <w:sz w:val="40"/>
          <w:szCs w:val="40"/>
        </w:rPr>
      </w:pPr>
      <w:r w:rsidRPr="00BA4CCD">
        <w:rPr>
          <w:b/>
          <w:sz w:val="40"/>
          <w:szCs w:val="40"/>
        </w:rPr>
        <w:t>Vehicle Standard (Australian Design Rule </w:t>
      </w:r>
      <w:r w:rsidR="002F48AF" w:rsidRPr="00BA4CCD">
        <w:rPr>
          <w:b/>
          <w:sz w:val="40"/>
          <w:szCs w:val="40"/>
        </w:rPr>
        <w:t>88</w:t>
      </w:r>
      <w:r w:rsidR="009E6091" w:rsidRPr="00BA4CCD">
        <w:rPr>
          <w:b/>
          <w:sz w:val="40"/>
          <w:szCs w:val="40"/>
        </w:rPr>
        <w:t>/0</w:t>
      </w:r>
      <w:r w:rsidR="002F48AF" w:rsidRPr="00BA4CCD">
        <w:rPr>
          <w:b/>
          <w:sz w:val="40"/>
          <w:szCs w:val="40"/>
        </w:rPr>
        <w:t xml:space="preserve">0 </w:t>
      </w:r>
      <w:r w:rsidR="00BA233E" w:rsidRPr="00BA4CCD">
        <w:rPr>
          <w:b/>
          <w:sz w:val="40"/>
          <w:szCs w:val="40"/>
        </w:rPr>
        <w:t>–</w:t>
      </w:r>
      <w:r w:rsidR="002F48AF" w:rsidRPr="00BA4CCD">
        <w:rPr>
          <w:b/>
          <w:sz w:val="40"/>
          <w:szCs w:val="40"/>
        </w:rPr>
        <w:t xml:space="preserve"> Electronic Stability Control (ESC) Systems</w:t>
      </w:r>
      <w:r w:rsidR="00EC6915" w:rsidRPr="00BA4CCD">
        <w:rPr>
          <w:b/>
          <w:sz w:val="40"/>
          <w:szCs w:val="40"/>
        </w:rPr>
        <w:t xml:space="preserve">) </w:t>
      </w:r>
      <w:r w:rsidR="009E6091" w:rsidRPr="00BA4CCD">
        <w:rPr>
          <w:b/>
          <w:sz w:val="40"/>
          <w:szCs w:val="40"/>
        </w:rPr>
        <w:t>201</w:t>
      </w:r>
      <w:r w:rsidR="00C940D9" w:rsidRPr="00BA4CCD">
        <w:rPr>
          <w:b/>
          <w:sz w:val="40"/>
          <w:szCs w:val="40"/>
        </w:rPr>
        <w:t>7</w:t>
      </w:r>
    </w:p>
    <w:p w:rsidR="00BA4F48" w:rsidRDefault="00BA4F48" w:rsidP="00D82CC0"/>
    <w:p w:rsidR="00485E16" w:rsidRPr="0069365C" w:rsidRDefault="00485E16"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Made under section 7 of the </w:t>
      </w:r>
      <w:r w:rsidRPr="00D82CC0">
        <w:rPr>
          <w:i/>
        </w:rPr>
        <w:t>Motor Vehicle Standards Act 1989</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BA4CCD" w:rsidRDefault="00BA4F48" w:rsidP="00BA4CCD">
      <w:pPr>
        <w:jc w:val="center"/>
        <w:rPr>
          <w:b/>
          <w:bCs/>
          <w:sz w:val="40"/>
        </w:rPr>
      </w:pPr>
      <w:r w:rsidRPr="00BA4CCD">
        <w:rPr>
          <w:b/>
          <w:bCs/>
          <w:sz w:val="40"/>
        </w:rPr>
        <w:t>Explanatory Statement</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Issued by the authority of the </w:t>
      </w:r>
      <w:r w:rsidR="00BC2672" w:rsidRPr="00BC2672">
        <w:t xml:space="preserve">Minister for </w:t>
      </w:r>
      <w:r w:rsidR="00C937E6">
        <w:t xml:space="preserve">Urban </w:t>
      </w:r>
      <w:r w:rsidR="00BC2672" w:rsidRPr="00BC2672">
        <w:t>Infrastructure</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BA4CCD" w:rsidRDefault="00C937E6" w:rsidP="00BA4CCD">
      <w:pPr>
        <w:jc w:val="center"/>
        <w:rPr>
          <w:b/>
          <w:bCs/>
          <w:sz w:val="40"/>
        </w:rPr>
      </w:pPr>
      <w:r w:rsidRPr="003A2BF6">
        <w:rPr>
          <w:b/>
          <w:bCs/>
          <w:sz w:val="40"/>
        </w:rPr>
        <w:t>August</w:t>
      </w:r>
      <w:bookmarkStart w:id="0" w:name="_GoBack"/>
      <w:bookmarkEnd w:id="0"/>
      <w:r w:rsidR="00C0461E" w:rsidRPr="00BA4CCD">
        <w:rPr>
          <w:b/>
          <w:bCs/>
          <w:sz w:val="40"/>
        </w:rPr>
        <w:t xml:space="preserve"> </w:t>
      </w:r>
      <w:r w:rsidR="0028346B" w:rsidRPr="00BA4CCD">
        <w:rPr>
          <w:b/>
          <w:bCs/>
          <w:sz w:val="40"/>
        </w:rPr>
        <w:t>201</w:t>
      </w:r>
      <w:r w:rsidRPr="00BA4CCD">
        <w:rPr>
          <w:b/>
          <w:bCs/>
          <w:sz w:val="40"/>
        </w:rPr>
        <w:t>7</w:t>
      </w:r>
    </w:p>
    <w:p w:rsidR="00BA4F48" w:rsidRPr="0069365C" w:rsidRDefault="00BA4F48" w:rsidP="00D82CC0"/>
    <w:p w:rsidR="00BA4F48" w:rsidRPr="0028346B" w:rsidRDefault="00BA4F48" w:rsidP="00D82CC0"/>
    <w:p w:rsidR="00BA4F48" w:rsidRPr="00780DE8" w:rsidRDefault="00A27335" w:rsidP="00780DE8">
      <w:pPr>
        <w:pStyle w:val="ContentsHeading"/>
      </w:pPr>
      <w:r w:rsidRPr="0069365C">
        <w:br w:type="page"/>
      </w:r>
      <w:r w:rsidR="00BA4F48" w:rsidRPr="00780DE8">
        <w:lastRenderedPageBreak/>
        <w:t>CONTENTS</w:t>
      </w:r>
    </w:p>
    <w:p w:rsidR="00BA4F48" w:rsidRPr="00437142" w:rsidRDefault="00BA4F48" w:rsidP="00D82CC0"/>
    <w:sdt>
      <w:sdtPr>
        <w:rPr>
          <w:b/>
        </w:rPr>
        <w:id w:val="1346832640"/>
        <w:docPartObj>
          <w:docPartGallery w:val="Table of Contents"/>
          <w:docPartUnique/>
        </w:docPartObj>
      </w:sdtPr>
      <w:sdtEndPr/>
      <w:sdtContent>
        <w:p w:rsidR="00BA4CCD" w:rsidRDefault="00BA4CCD">
          <w:pPr>
            <w:pStyle w:val="TOC1"/>
            <w:rPr>
              <w:rFonts w:asciiTheme="minorHAnsi" w:eastAsiaTheme="minorEastAsia" w:hAnsiTheme="minorHAnsi" w:cstheme="minorBidi"/>
              <w:caps w:val="0"/>
              <w:noProof/>
              <w:sz w:val="22"/>
              <w:szCs w:val="22"/>
            </w:rPr>
          </w:pPr>
          <w:r>
            <w:rPr>
              <w:b/>
            </w:rPr>
            <w:fldChar w:fldCharType="begin"/>
          </w:r>
          <w:r>
            <w:rPr>
              <w:b/>
            </w:rPr>
            <w:instrText xml:space="preserve"> TOC \o "1-2" \u </w:instrText>
          </w:r>
          <w:r>
            <w:rPr>
              <w:b/>
            </w:rPr>
            <w:fldChar w:fldCharType="separate"/>
          </w:r>
          <w:r>
            <w:rPr>
              <w:noProof/>
            </w:rPr>
            <w:t>1.</w:t>
          </w:r>
          <w:r>
            <w:rPr>
              <w:rFonts w:asciiTheme="minorHAnsi" w:eastAsiaTheme="minorEastAsia" w:hAnsiTheme="minorHAnsi" w:cstheme="minorBidi"/>
              <w:caps w:val="0"/>
              <w:noProof/>
              <w:sz w:val="22"/>
              <w:szCs w:val="22"/>
            </w:rPr>
            <w:tab/>
          </w:r>
          <w:r>
            <w:rPr>
              <w:noProof/>
            </w:rPr>
            <w:t>legislative context</w:t>
          </w:r>
          <w:r>
            <w:rPr>
              <w:noProof/>
            </w:rPr>
            <w:tab/>
          </w:r>
          <w:r>
            <w:rPr>
              <w:noProof/>
            </w:rPr>
            <w:fldChar w:fldCharType="begin"/>
          </w:r>
          <w:r>
            <w:rPr>
              <w:noProof/>
            </w:rPr>
            <w:instrText xml:space="preserve"> PAGEREF _Toc489883300 \h </w:instrText>
          </w:r>
          <w:r>
            <w:rPr>
              <w:noProof/>
            </w:rPr>
          </w:r>
          <w:r>
            <w:rPr>
              <w:noProof/>
            </w:rPr>
            <w:fldChar w:fldCharType="separate"/>
          </w:r>
          <w:r>
            <w:rPr>
              <w:noProof/>
            </w:rPr>
            <w:t>3</w:t>
          </w:r>
          <w:r>
            <w:rPr>
              <w:noProof/>
            </w:rPr>
            <w:fldChar w:fldCharType="end"/>
          </w:r>
        </w:p>
        <w:p w:rsidR="00BA4CCD" w:rsidRDefault="00BA4CCD">
          <w:pPr>
            <w:pStyle w:val="TOC1"/>
            <w:rPr>
              <w:rFonts w:asciiTheme="minorHAnsi" w:eastAsiaTheme="minorEastAsia" w:hAnsiTheme="minorHAnsi" w:cstheme="minorBidi"/>
              <w:caps w:val="0"/>
              <w:noProof/>
              <w:sz w:val="22"/>
              <w:szCs w:val="22"/>
            </w:rPr>
          </w:pPr>
          <w:r w:rsidRPr="00D215B4">
            <w:rPr>
              <w:rFonts w:cs="Arial"/>
              <w:noProof/>
            </w:rPr>
            <w:t>2.</w:t>
          </w:r>
          <w:r>
            <w:rPr>
              <w:rFonts w:asciiTheme="minorHAnsi" w:eastAsiaTheme="minorEastAsia" w:hAnsiTheme="minorHAnsi" w:cstheme="minorBidi"/>
              <w:caps w:val="0"/>
              <w:noProof/>
              <w:sz w:val="22"/>
              <w:szCs w:val="22"/>
            </w:rPr>
            <w:tab/>
          </w:r>
          <w:r>
            <w:rPr>
              <w:noProof/>
            </w:rPr>
            <w:t>content and effect of ADR 88/00 – Electronic Stability Control (ESC) Systems</w:t>
          </w:r>
          <w:r>
            <w:rPr>
              <w:noProof/>
            </w:rPr>
            <w:tab/>
          </w:r>
          <w:r>
            <w:rPr>
              <w:noProof/>
            </w:rPr>
            <w:fldChar w:fldCharType="begin"/>
          </w:r>
          <w:r>
            <w:rPr>
              <w:noProof/>
            </w:rPr>
            <w:instrText xml:space="preserve"> PAGEREF _Toc489883301 \h </w:instrText>
          </w:r>
          <w:r>
            <w:rPr>
              <w:noProof/>
            </w:rPr>
          </w:r>
          <w:r>
            <w:rPr>
              <w:noProof/>
            </w:rPr>
            <w:fldChar w:fldCharType="separate"/>
          </w:r>
          <w:r>
            <w:rPr>
              <w:noProof/>
            </w:rPr>
            <w:t>3</w:t>
          </w:r>
          <w:r>
            <w:rPr>
              <w:noProof/>
            </w:rPr>
            <w:fldChar w:fldCharType="end"/>
          </w:r>
        </w:p>
        <w:p w:rsidR="00BA4CCD" w:rsidRDefault="00BA4CCD">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r>
          <w:r>
            <w:rPr>
              <w:noProof/>
            </w:rPr>
            <w:fldChar w:fldCharType="begin"/>
          </w:r>
          <w:r>
            <w:rPr>
              <w:noProof/>
            </w:rPr>
            <w:instrText xml:space="preserve"> PAGEREF _Toc489883302 \h </w:instrText>
          </w:r>
          <w:r>
            <w:rPr>
              <w:noProof/>
            </w:rPr>
          </w:r>
          <w:r>
            <w:rPr>
              <w:noProof/>
            </w:rPr>
            <w:fldChar w:fldCharType="separate"/>
          </w:r>
          <w:r>
            <w:rPr>
              <w:noProof/>
            </w:rPr>
            <w:t>3</w:t>
          </w:r>
          <w:r>
            <w:rPr>
              <w:noProof/>
            </w:rPr>
            <w:fldChar w:fldCharType="end"/>
          </w:r>
        </w:p>
        <w:p w:rsidR="00BA4CCD" w:rsidRDefault="00BA4CCD">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ADR</w:t>
          </w:r>
          <w:r>
            <w:rPr>
              <w:noProof/>
            </w:rPr>
            <w:tab/>
          </w:r>
          <w:r>
            <w:rPr>
              <w:noProof/>
            </w:rPr>
            <w:fldChar w:fldCharType="begin"/>
          </w:r>
          <w:r>
            <w:rPr>
              <w:noProof/>
            </w:rPr>
            <w:instrText xml:space="preserve"> PAGEREF _Toc489883303 \h </w:instrText>
          </w:r>
          <w:r>
            <w:rPr>
              <w:noProof/>
            </w:rPr>
          </w:r>
          <w:r>
            <w:rPr>
              <w:noProof/>
            </w:rPr>
            <w:fldChar w:fldCharType="separate"/>
          </w:r>
          <w:r>
            <w:rPr>
              <w:noProof/>
            </w:rPr>
            <w:t>3</w:t>
          </w:r>
          <w:r>
            <w:rPr>
              <w:noProof/>
            </w:rPr>
            <w:fldChar w:fldCharType="end"/>
          </w:r>
        </w:p>
        <w:p w:rsidR="00BA4CCD" w:rsidRDefault="00BA4CCD">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best practice regulation</w:t>
          </w:r>
          <w:r>
            <w:rPr>
              <w:noProof/>
            </w:rPr>
            <w:tab/>
          </w:r>
          <w:r>
            <w:rPr>
              <w:noProof/>
            </w:rPr>
            <w:fldChar w:fldCharType="begin"/>
          </w:r>
          <w:r>
            <w:rPr>
              <w:noProof/>
            </w:rPr>
            <w:instrText xml:space="preserve"> PAGEREF _Toc489883304 \h </w:instrText>
          </w:r>
          <w:r>
            <w:rPr>
              <w:noProof/>
            </w:rPr>
          </w:r>
          <w:r>
            <w:rPr>
              <w:noProof/>
            </w:rPr>
            <w:fldChar w:fldCharType="separate"/>
          </w:r>
          <w:r>
            <w:rPr>
              <w:noProof/>
            </w:rPr>
            <w:t>4</w:t>
          </w:r>
          <w:r>
            <w:rPr>
              <w:noProof/>
            </w:rPr>
            <w:fldChar w:fldCharType="end"/>
          </w:r>
        </w:p>
        <w:p w:rsidR="00BA4CCD" w:rsidRDefault="00BA4CCD">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r>
          <w:r>
            <w:rPr>
              <w:noProof/>
            </w:rPr>
            <w:fldChar w:fldCharType="begin"/>
          </w:r>
          <w:r>
            <w:rPr>
              <w:noProof/>
            </w:rPr>
            <w:instrText xml:space="preserve"> PAGEREF _Toc489883305 \h </w:instrText>
          </w:r>
          <w:r>
            <w:rPr>
              <w:noProof/>
            </w:rPr>
          </w:r>
          <w:r>
            <w:rPr>
              <w:noProof/>
            </w:rPr>
            <w:fldChar w:fldCharType="separate"/>
          </w:r>
          <w:r>
            <w:rPr>
              <w:noProof/>
            </w:rPr>
            <w:t>4</w:t>
          </w:r>
          <w:r>
            <w:rPr>
              <w:noProof/>
            </w:rPr>
            <w:fldChar w:fldCharType="end"/>
          </w:r>
        </w:p>
        <w:p w:rsidR="00BA4CCD" w:rsidRDefault="00BA4CCD">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r>
          <w:r>
            <w:rPr>
              <w:noProof/>
            </w:rPr>
            <w:fldChar w:fldCharType="begin"/>
          </w:r>
          <w:r>
            <w:rPr>
              <w:noProof/>
            </w:rPr>
            <w:instrText xml:space="preserve"> PAGEREF _Toc489883306 \h </w:instrText>
          </w:r>
          <w:r>
            <w:rPr>
              <w:noProof/>
            </w:rPr>
          </w:r>
          <w:r>
            <w:rPr>
              <w:noProof/>
            </w:rPr>
            <w:fldChar w:fldCharType="separate"/>
          </w:r>
          <w:r>
            <w:rPr>
              <w:noProof/>
            </w:rPr>
            <w:t>4</w:t>
          </w:r>
          <w:r>
            <w:rPr>
              <w:noProof/>
            </w:rPr>
            <w:fldChar w:fldCharType="end"/>
          </w:r>
        </w:p>
        <w:p w:rsidR="00BA4CCD" w:rsidRDefault="00BA4CCD">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r>
          <w:r>
            <w:rPr>
              <w:noProof/>
            </w:rPr>
            <w:fldChar w:fldCharType="begin"/>
          </w:r>
          <w:r>
            <w:rPr>
              <w:noProof/>
            </w:rPr>
            <w:instrText xml:space="preserve"> PAGEREF _Toc489883307 \h </w:instrText>
          </w:r>
          <w:r>
            <w:rPr>
              <w:noProof/>
            </w:rPr>
          </w:r>
          <w:r>
            <w:rPr>
              <w:noProof/>
            </w:rPr>
            <w:fldChar w:fldCharType="separate"/>
          </w:r>
          <w:r>
            <w:rPr>
              <w:noProof/>
            </w:rPr>
            <w:t>5</w:t>
          </w:r>
          <w:r>
            <w:rPr>
              <w:noProof/>
            </w:rPr>
            <w:fldChar w:fldCharType="end"/>
          </w:r>
        </w:p>
        <w:p w:rsidR="00BA4CCD" w:rsidRDefault="00BA4CCD">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STATEMENT OF COMPATIBILITY WITH HUMAN RIGHTS</w:t>
          </w:r>
          <w:r>
            <w:rPr>
              <w:noProof/>
            </w:rPr>
            <w:tab/>
          </w:r>
          <w:r>
            <w:rPr>
              <w:noProof/>
            </w:rPr>
            <w:fldChar w:fldCharType="begin"/>
          </w:r>
          <w:r>
            <w:rPr>
              <w:noProof/>
            </w:rPr>
            <w:instrText xml:space="preserve"> PAGEREF _Toc489883308 \h </w:instrText>
          </w:r>
          <w:r>
            <w:rPr>
              <w:noProof/>
            </w:rPr>
          </w:r>
          <w:r>
            <w:rPr>
              <w:noProof/>
            </w:rPr>
            <w:fldChar w:fldCharType="separate"/>
          </w:r>
          <w:r>
            <w:rPr>
              <w:noProof/>
            </w:rPr>
            <w:t>5</w:t>
          </w:r>
          <w:r>
            <w:rPr>
              <w:noProof/>
            </w:rPr>
            <w:fldChar w:fldCharType="end"/>
          </w:r>
        </w:p>
        <w:p w:rsidR="00BA4CCD" w:rsidRDefault="00BA4CCD">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r>
          <w:r>
            <w:rPr>
              <w:noProof/>
            </w:rPr>
            <w:fldChar w:fldCharType="begin"/>
          </w:r>
          <w:r>
            <w:rPr>
              <w:noProof/>
            </w:rPr>
            <w:instrText xml:space="preserve"> PAGEREF _Toc489883309 \h </w:instrText>
          </w:r>
          <w:r>
            <w:rPr>
              <w:noProof/>
            </w:rPr>
          </w:r>
          <w:r>
            <w:rPr>
              <w:noProof/>
            </w:rPr>
            <w:fldChar w:fldCharType="separate"/>
          </w:r>
          <w:r>
            <w:rPr>
              <w:noProof/>
            </w:rPr>
            <w:t>5</w:t>
          </w:r>
          <w:r>
            <w:rPr>
              <w:noProof/>
            </w:rPr>
            <w:fldChar w:fldCharType="end"/>
          </w:r>
        </w:p>
        <w:p w:rsidR="00BA4CCD" w:rsidRDefault="00BA4CCD">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r>
          <w:r>
            <w:rPr>
              <w:noProof/>
            </w:rPr>
            <w:fldChar w:fldCharType="begin"/>
          </w:r>
          <w:r>
            <w:rPr>
              <w:noProof/>
            </w:rPr>
            <w:instrText xml:space="preserve"> PAGEREF _Toc489883310 \h </w:instrText>
          </w:r>
          <w:r>
            <w:rPr>
              <w:noProof/>
            </w:rPr>
          </w:r>
          <w:r>
            <w:rPr>
              <w:noProof/>
            </w:rPr>
            <w:fldChar w:fldCharType="separate"/>
          </w:r>
          <w:r>
            <w:rPr>
              <w:noProof/>
            </w:rPr>
            <w:t>5</w:t>
          </w:r>
          <w:r>
            <w:rPr>
              <w:noProof/>
            </w:rPr>
            <w:fldChar w:fldCharType="end"/>
          </w:r>
        </w:p>
        <w:p w:rsidR="00BA4CCD" w:rsidRDefault="00BA4CCD">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_Toc489883311 \h </w:instrText>
          </w:r>
          <w:r>
            <w:rPr>
              <w:noProof/>
            </w:rPr>
          </w:r>
          <w:r>
            <w:rPr>
              <w:noProof/>
            </w:rPr>
            <w:fldChar w:fldCharType="separate"/>
          </w:r>
          <w:r>
            <w:rPr>
              <w:noProof/>
            </w:rPr>
            <w:t>5</w:t>
          </w:r>
          <w:r>
            <w:rPr>
              <w:noProof/>
            </w:rPr>
            <w:fldChar w:fldCharType="end"/>
          </w:r>
        </w:p>
        <w:p w:rsidR="003E56E7" w:rsidRPr="003E56E7" w:rsidRDefault="00BA4CCD" w:rsidP="00BA4CCD">
          <w:pPr>
            <w:pStyle w:val="TOC1"/>
          </w:pPr>
          <w:r>
            <w:rPr>
              <w:b/>
            </w:rPr>
            <w:fldChar w:fldCharType="end"/>
          </w:r>
        </w:p>
      </w:sdtContent>
    </w:sdt>
    <w:p w:rsidR="00BA4F48" w:rsidRPr="00EF1E7E" w:rsidRDefault="00BA4F48" w:rsidP="00D82CC0">
      <w:pPr>
        <w:pStyle w:val="MainHeadding"/>
      </w:pPr>
      <w:r w:rsidRPr="0069365C">
        <w:rPr>
          <w:color w:val="3366FF"/>
        </w:rPr>
        <w:br w:type="page"/>
      </w:r>
      <w:bookmarkStart w:id="1" w:name="_Toc167864611"/>
      <w:bookmarkStart w:id="2" w:name="_Toc489883300"/>
      <w:r w:rsidRPr="00EF1E7E">
        <w:lastRenderedPageBreak/>
        <w:t>legislative context</w:t>
      </w:r>
      <w:bookmarkEnd w:id="1"/>
      <w:bookmarkEnd w:id="2"/>
    </w:p>
    <w:p w:rsidR="003F01D5" w:rsidRPr="003C5E51" w:rsidRDefault="00EC6915" w:rsidP="00D82CC0">
      <w:pPr>
        <w:rPr>
          <w:i/>
        </w:rPr>
      </w:pPr>
      <w:r w:rsidRPr="00744CAF">
        <w:t>Vehicle Standard (Australian Design Rule </w:t>
      </w:r>
      <w:r w:rsidR="00FD12B2">
        <w:t>88</w:t>
      </w:r>
      <w:r w:rsidRPr="00744CAF">
        <w:t>/0</w:t>
      </w:r>
      <w:r w:rsidR="00FD12B2">
        <w:t>0</w:t>
      </w:r>
      <w:r w:rsidRPr="00744CAF">
        <w:t xml:space="preserve"> – </w:t>
      </w:r>
      <w:r w:rsidR="00FD12B2" w:rsidRPr="00FD12B2">
        <w:t>Electronic Stability Control (ESC) Systems</w:t>
      </w:r>
      <w:r w:rsidRPr="00744CAF">
        <w:t>) 20</w:t>
      </w:r>
      <w:r w:rsidR="007D671C" w:rsidRPr="00744CAF">
        <w:t>1</w:t>
      </w:r>
      <w:r w:rsidR="00744CAF" w:rsidRPr="00744CAF">
        <w:t>7</w:t>
      </w:r>
      <w:r>
        <w:rPr>
          <w:i/>
        </w:rPr>
        <w:t xml:space="preserve"> </w:t>
      </w:r>
      <w:r w:rsidR="003F01D5" w:rsidRPr="003C5E51">
        <w:t xml:space="preserve">is made under the </w:t>
      </w:r>
      <w:r w:rsidR="003F01D5" w:rsidRPr="003C5E51">
        <w:rPr>
          <w:i/>
        </w:rPr>
        <w:t>Motor Vehicle Standards Act 1989</w:t>
      </w:r>
      <w:r w:rsidR="003F01D5" w:rsidRPr="003C5E51">
        <w:t xml:space="preserve"> (the Act).  </w:t>
      </w:r>
      <w:r w:rsidR="00373A7D" w:rsidRPr="00373A7D">
        <w:t>The Act enables the Australian Government to establish nationally uniform standards that apply to new road vehicles when they are first supplied to the market in Australia.  The Act applies to such vehicles whether they are manufactured in Australia or imported.</w:t>
      </w:r>
    </w:p>
    <w:p w:rsidR="003F01D5" w:rsidRPr="003C5E51" w:rsidRDefault="003F01D5" w:rsidP="00D82CC0">
      <w:pPr>
        <w:pStyle w:val="StyledotArialLeft0cmFirstline0cmAfter12pt"/>
      </w:pPr>
      <w:r w:rsidRPr="003C5E51">
        <w:t>The making of the vehicle standards necessary for the Act's effective operation is provided for in section 7 which empowers the Minister to "determine vehicle standards for road vehicles or vehicle components".</w:t>
      </w:r>
    </w:p>
    <w:p w:rsidR="003F01D5" w:rsidRPr="0069365C" w:rsidRDefault="00EC6915" w:rsidP="00D82CC0">
      <w:pPr>
        <w:rPr>
          <w:rFonts w:cs="Arial"/>
        </w:rPr>
      </w:pPr>
      <w:r w:rsidRPr="00EC6915">
        <w:t>Vehicle Standa</w:t>
      </w:r>
      <w:r w:rsidR="00FD12B2">
        <w:t>rd (Australian Design Rule 88</w:t>
      </w:r>
      <w:r w:rsidR="00F14473">
        <w:t>/0</w:t>
      </w:r>
      <w:r w:rsidR="00FD12B2">
        <w:t>0</w:t>
      </w:r>
      <w:r w:rsidRPr="00EC6915">
        <w:t xml:space="preserve"> – </w:t>
      </w:r>
      <w:r w:rsidR="00FD12B2" w:rsidRPr="00FD12B2">
        <w:t>Electronic Stability Control (ESC) Systems</w:t>
      </w:r>
      <w:r w:rsidR="00F14473">
        <w:t>) 201</w:t>
      </w:r>
      <w:r w:rsidR="00744CAF">
        <w:t>7</w:t>
      </w:r>
      <w:r w:rsidRPr="00EC6915">
        <w:t xml:space="preserve"> </w:t>
      </w:r>
      <w:r w:rsidR="003F01D5" w:rsidRPr="00EC6915">
        <w:t>(</w:t>
      </w:r>
      <w:r>
        <w:t xml:space="preserve">ADR </w:t>
      </w:r>
      <w:r w:rsidR="00FD12B2">
        <w:t>88</w:t>
      </w:r>
      <w:r>
        <w:t>/0</w:t>
      </w:r>
      <w:r w:rsidR="00FD12B2">
        <w:t>0</w:t>
      </w:r>
      <w:r w:rsidR="003F01D5" w:rsidRPr="0069365C">
        <w:t xml:space="preserve">) </w:t>
      </w:r>
      <w:r w:rsidR="003F01D5">
        <w:t xml:space="preserve">is </w:t>
      </w:r>
      <w:r w:rsidR="0063768F">
        <w:t xml:space="preserve">a new standard </w:t>
      </w:r>
      <w:r w:rsidR="003F01D5">
        <w:t xml:space="preserve">made </w:t>
      </w:r>
      <w:r w:rsidR="0063768F">
        <w:t xml:space="preserve">as part of </w:t>
      </w:r>
      <w:r w:rsidR="000604A0">
        <w:t xml:space="preserve">a </w:t>
      </w:r>
      <w:r w:rsidR="0063768F">
        <w:t>restructure of ADR requirements for brake systems on light vehicles</w:t>
      </w:r>
      <w:r w:rsidR="003F01D5" w:rsidRPr="0063768F">
        <w:t>.</w:t>
      </w:r>
      <w:r w:rsidR="003F01D5" w:rsidRPr="0063768F">
        <w:rPr>
          <w:rFonts w:cs="Arial"/>
        </w:rPr>
        <w:t xml:space="preserve">  </w:t>
      </w:r>
      <w:r w:rsidR="00D0517D" w:rsidRPr="0063768F">
        <w:rPr>
          <w:rFonts w:cs="Arial"/>
        </w:rPr>
        <w:t>A</w:t>
      </w:r>
      <w:r w:rsidR="003F01D5" w:rsidRPr="0063768F">
        <w:rPr>
          <w:rFonts w:cs="Arial"/>
        </w:rPr>
        <w:t xml:space="preserve"> new standard </w:t>
      </w:r>
      <w:r w:rsidR="00D0517D" w:rsidRPr="0063768F">
        <w:rPr>
          <w:rFonts w:cs="Arial"/>
        </w:rPr>
        <w:t xml:space="preserve">is proposed to </w:t>
      </w:r>
      <w:r w:rsidR="008E4D40">
        <w:rPr>
          <w:rFonts w:cs="Arial"/>
        </w:rPr>
        <w:t>align</w:t>
      </w:r>
      <w:r w:rsidR="00D0517D" w:rsidRPr="0063768F">
        <w:rPr>
          <w:rFonts w:cs="Arial"/>
        </w:rPr>
        <w:t xml:space="preserve"> with the relevant international standard, the United Nations (UN) Regulation No. </w:t>
      </w:r>
      <w:r w:rsidR="00DB7024" w:rsidRPr="0063768F">
        <w:rPr>
          <w:rFonts w:cs="Arial"/>
        </w:rPr>
        <w:t>140</w:t>
      </w:r>
      <w:r w:rsidR="00D0517D" w:rsidRPr="0063768F">
        <w:rPr>
          <w:rFonts w:cs="Arial"/>
        </w:rPr>
        <w:t xml:space="preserve">, which </w:t>
      </w:r>
      <w:r w:rsidR="006C415F" w:rsidRPr="0063768F">
        <w:rPr>
          <w:rFonts w:cs="Arial"/>
        </w:rPr>
        <w:t>was</w:t>
      </w:r>
      <w:r w:rsidR="00D0517D" w:rsidRPr="0063768F">
        <w:rPr>
          <w:rFonts w:cs="Arial"/>
        </w:rPr>
        <w:t xml:space="preserve"> </w:t>
      </w:r>
      <w:r w:rsidR="00DB7024" w:rsidRPr="0063768F">
        <w:rPr>
          <w:rFonts w:cs="Arial"/>
        </w:rPr>
        <w:t xml:space="preserve">developed as part of a restructure of </w:t>
      </w:r>
      <w:r w:rsidR="0063768F">
        <w:rPr>
          <w:rFonts w:cs="Arial"/>
        </w:rPr>
        <w:t xml:space="preserve">the </w:t>
      </w:r>
      <w:r w:rsidR="0063768F" w:rsidRPr="0063768F">
        <w:rPr>
          <w:rFonts w:cs="Arial"/>
        </w:rPr>
        <w:t>UN requirements</w:t>
      </w:r>
      <w:r w:rsidR="004625CE">
        <w:rPr>
          <w:rFonts w:cs="Arial"/>
        </w:rPr>
        <w:t xml:space="preserve"> for the approval of passenger cars with regard to braking</w:t>
      </w:r>
      <w:r w:rsidR="0063768F" w:rsidRPr="0063768F">
        <w:rPr>
          <w:rFonts w:cs="Arial"/>
        </w:rPr>
        <w:t>,</w:t>
      </w:r>
      <w:r w:rsidR="00D0517D" w:rsidRPr="0063768F">
        <w:rPr>
          <w:rFonts w:cs="Arial"/>
        </w:rPr>
        <w:t xml:space="preserve"> </w:t>
      </w:r>
      <w:r w:rsidR="00D0517D" w:rsidRPr="0063768F">
        <w:t>to facilitate a worldwide certification system known as International Whole Vehicle Type Approval (IWVTA)</w:t>
      </w:r>
      <w:r w:rsidR="003F01D5" w:rsidRPr="0063768F">
        <w:rPr>
          <w:rFonts w:cs="Arial"/>
        </w:rPr>
        <w:t>.</w:t>
      </w:r>
    </w:p>
    <w:p w:rsidR="00BA4F48" w:rsidRPr="0069365C" w:rsidRDefault="00BA4F48" w:rsidP="00D82CC0">
      <w:pPr>
        <w:pStyle w:val="MainHeadding"/>
        <w:rPr>
          <w:rFonts w:cs="Arial"/>
        </w:rPr>
      </w:pPr>
      <w:bookmarkStart w:id="3" w:name="_Toc167864612"/>
      <w:bookmarkStart w:id="4" w:name="_Toc489883301"/>
      <w:r w:rsidRPr="0069365C">
        <w:t xml:space="preserve">content and effect of ADR </w:t>
      </w:r>
      <w:bookmarkEnd w:id="3"/>
      <w:r w:rsidR="00FD12B2">
        <w:t>88</w:t>
      </w:r>
      <w:r w:rsidR="005B114C">
        <w:t>/0</w:t>
      </w:r>
      <w:r w:rsidR="00FD12B2">
        <w:t>0</w:t>
      </w:r>
      <w:r w:rsidR="003F01D5" w:rsidRPr="0069365C">
        <w:t xml:space="preserve"> –</w:t>
      </w:r>
      <w:r w:rsidR="005B114C">
        <w:t xml:space="preserve"> </w:t>
      </w:r>
      <w:r w:rsidR="00FD12B2" w:rsidRPr="00FD12B2">
        <w:t>Electronic Stability Control (ESC) Systems</w:t>
      </w:r>
      <w:bookmarkEnd w:id="4"/>
    </w:p>
    <w:p w:rsidR="00BA4F48" w:rsidRPr="00DD24B1" w:rsidRDefault="00BA4F48" w:rsidP="00D82CC0">
      <w:pPr>
        <w:pStyle w:val="Subsection"/>
      </w:pPr>
      <w:bookmarkStart w:id="5" w:name="_Toc167864613"/>
      <w:bookmarkStart w:id="6" w:name="_Toc489883302"/>
      <w:r w:rsidRPr="00DD24B1">
        <w:t>Overview of the ADR</w:t>
      </w:r>
      <w:bookmarkEnd w:id="5"/>
      <w:bookmarkEnd w:id="6"/>
    </w:p>
    <w:p w:rsidR="00481ACE" w:rsidRDefault="003C3B0E" w:rsidP="00481ACE">
      <w:r>
        <w:rPr>
          <w:lang w:val="en"/>
        </w:rPr>
        <w:t>This</w:t>
      </w:r>
      <w:r w:rsidR="00CA7FA6" w:rsidRPr="00CA7FA6">
        <w:rPr>
          <w:lang w:val="en"/>
        </w:rPr>
        <w:t xml:space="preserve"> </w:t>
      </w:r>
      <w:r w:rsidR="00CA7FA6">
        <w:rPr>
          <w:lang w:val="en"/>
        </w:rPr>
        <w:t>vehicle standard</w:t>
      </w:r>
      <w:r w:rsidR="00CA7FA6" w:rsidRPr="00CA7FA6">
        <w:rPr>
          <w:lang w:val="en"/>
        </w:rPr>
        <w:t xml:space="preserve"> </w:t>
      </w:r>
      <w:r w:rsidR="00F67361">
        <w:rPr>
          <w:lang w:val="en"/>
        </w:rPr>
        <w:t xml:space="preserve">prescribes </w:t>
      </w:r>
      <w:r w:rsidR="00C451FF" w:rsidRPr="00C451FF">
        <w:rPr>
          <w:lang w:val="en"/>
        </w:rPr>
        <w:t>requirements for Electronic Stability Control (ESC) Systems on passenger cars and light commercial vehicles</w:t>
      </w:r>
      <w:r w:rsidR="003F01D5">
        <w:t>.</w:t>
      </w:r>
      <w:r w:rsidR="00481ACE">
        <w:t xml:space="preserve">  The function of th</w:t>
      </w:r>
      <w:r w:rsidR="00052EF3">
        <w:t>e</w:t>
      </w:r>
      <w:r w:rsidR="00481ACE">
        <w:t xml:space="preserve"> standard is to </w:t>
      </w:r>
      <w:r w:rsidR="00C451FF" w:rsidRPr="00C451FF">
        <w:t>reduce the risk of crashes involving a loss of directional control of the vehicle, including those resulting in vehicle rollover</w:t>
      </w:r>
      <w:r w:rsidR="00481ACE">
        <w:t>.</w:t>
      </w:r>
    </w:p>
    <w:p w:rsidR="00675C3C" w:rsidRDefault="0059192A" w:rsidP="00481ACE">
      <w:r>
        <w:t>ESC is an advanced vehicle stability system that automatically brakes individual wheels to help drivers steer in the intended direction, in circumstances where this would otherwise not be possible (for example, when a driver enters a corner at too high a speed or suddenly swerves to avoid an obstacle ahead).</w:t>
      </w:r>
    </w:p>
    <w:p w:rsidR="0049097D" w:rsidRDefault="0049097D" w:rsidP="00481ACE">
      <w:r w:rsidRPr="007243F0">
        <w:t xml:space="preserve">The requirements </w:t>
      </w:r>
      <w:r>
        <w:t xml:space="preserve">of this standard </w:t>
      </w:r>
      <w:r w:rsidRPr="007243F0">
        <w:t xml:space="preserve">are taken from the international standard UN Regulation No. </w:t>
      </w:r>
      <w:r w:rsidR="00FD12B2">
        <w:t>140</w:t>
      </w:r>
      <w:r>
        <w:t>, as adopted by the UN</w:t>
      </w:r>
      <w:r w:rsidRPr="007243F0">
        <w:t>.</w:t>
      </w:r>
    </w:p>
    <w:p w:rsidR="003F01D5" w:rsidRDefault="003F01D5" w:rsidP="00D82CC0">
      <w:pPr>
        <w:pStyle w:val="Subsection"/>
      </w:pPr>
      <w:bookmarkStart w:id="7" w:name="_Toc167864614"/>
      <w:bookmarkStart w:id="8" w:name="_Toc489883303"/>
      <w:r>
        <w:t>Effect of</w:t>
      </w:r>
      <w:r w:rsidR="00BA4F48" w:rsidRPr="0069365C">
        <w:t xml:space="preserve"> the ADR</w:t>
      </w:r>
      <w:bookmarkEnd w:id="7"/>
      <w:bookmarkEnd w:id="8"/>
    </w:p>
    <w:p w:rsidR="005831BF" w:rsidRDefault="00882145" w:rsidP="00D82CC0">
      <w:r>
        <w:t xml:space="preserve">This standard, together with </w:t>
      </w:r>
      <w:r w:rsidR="00581CB5">
        <w:t>two</w:t>
      </w:r>
      <w:r>
        <w:t xml:space="preserve"> associated new ADRs </w:t>
      </w:r>
      <w:r w:rsidR="000B3D64">
        <w:t>31</w:t>
      </w:r>
      <w:r>
        <w:t>/0</w:t>
      </w:r>
      <w:r w:rsidR="000B3D64">
        <w:t>4</w:t>
      </w:r>
      <w:r>
        <w:t xml:space="preserve"> (</w:t>
      </w:r>
      <w:r w:rsidR="000B3D64" w:rsidRPr="000B3D64">
        <w:t>Brake Systems for Passenger Cars</w:t>
      </w:r>
      <w:r>
        <w:t xml:space="preserve">) and 89/00 (Brake Assist Systems), </w:t>
      </w:r>
      <w:r w:rsidR="00423778">
        <w:t>are</w:t>
      </w:r>
      <w:r>
        <w:t xml:space="preserve"> being made </w:t>
      </w:r>
      <w:r w:rsidR="00AA2899">
        <w:t>to restructure</w:t>
      </w:r>
      <w:r>
        <w:t xml:space="preserve"> </w:t>
      </w:r>
      <w:r w:rsidR="00AA2899">
        <w:t>the ADR requirements for brake systems on light vehicles</w:t>
      </w:r>
      <w:r>
        <w:t xml:space="preserve"> to </w:t>
      </w:r>
      <w:r w:rsidR="00581CB5">
        <w:t>align with the latest</w:t>
      </w:r>
      <w:r>
        <w:t xml:space="preserve"> international standards</w:t>
      </w:r>
      <w:r w:rsidR="003634A7">
        <w:t xml:space="preserve"> adopted by the UN</w:t>
      </w:r>
      <w:r w:rsidR="00581CB5">
        <w:t xml:space="preserve">.  </w:t>
      </w:r>
      <w:r w:rsidR="003D1BC8">
        <w:t>This will enable industry to continue the current practice of utilising UN approvals to demonstrate compliance to the ADR</w:t>
      </w:r>
      <w:r w:rsidR="003634A7">
        <w:t xml:space="preserve"> requirements</w:t>
      </w:r>
      <w:r>
        <w:t>.</w:t>
      </w:r>
    </w:p>
    <w:p w:rsidR="0059192A" w:rsidRDefault="0059192A" w:rsidP="0059192A">
      <w:pPr>
        <w:widowControl w:val="0"/>
      </w:pPr>
      <w:r>
        <w:br w:type="page"/>
      </w:r>
      <w:r w:rsidR="007D7CA7">
        <w:lastRenderedPageBreak/>
        <w:t xml:space="preserve">The standard will apply to ADR </w:t>
      </w:r>
      <w:r w:rsidR="008A62BC">
        <w:t>category</w:t>
      </w:r>
      <w:r w:rsidR="007D7CA7">
        <w:t xml:space="preserve"> </w:t>
      </w:r>
      <w:r w:rsidR="007D7CA7" w:rsidRPr="00D514DB">
        <w:t>MA</w:t>
      </w:r>
      <w:r w:rsidR="007D7CA7">
        <w:t xml:space="preserve"> (passenger cars), MB (passenger vans), MC </w:t>
      </w:r>
      <w:r w:rsidR="007D7CA7" w:rsidRPr="00536F80">
        <w:t>(four-wheel drives or sports utility vehicles)</w:t>
      </w:r>
      <w:r w:rsidR="007D7CA7">
        <w:t xml:space="preserve"> and NA </w:t>
      </w:r>
      <w:r w:rsidR="008A62BC">
        <w:t xml:space="preserve">vehicles </w:t>
      </w:r>
      <w:r w:rsidR="007D7CA7">
        <w:t xml:space="preserve">(light commercial vehicles – which include </w:t>
      </w:r>
      <w:r w:rsidR="007D7CA7" w:rsidRPr="00536F80">
        <w:t>utilities and goods vans of up to 3.5 tonnes</w:t>
      </w:r>
      <w:r w:rsidR="007D7CA7">
        <w:t>)</w:t>
      </w:r>
      <w:r w:rsidR="007D7CA7" w:rsidRPr="00D514DB">
        <w:t>.</w:t>
      </w:r>
      <w:r w:rsidR="002D630E">
        <w:t xml:space="preserve">  </w:t>
      </w:r>
      <w:r w:rsidR="002C4578">
        <w:t>New model</w:t>
      </w:r>
      <w:r w:rsidR="002D630E">
        <w:t xml:space="preserve"> vehicles will </w:t>
      </w:r>
      <w:r w:rsidR="0049097D">
        <w:t>need</w:t>
      </w:r>
      <w:r w:rsidR="002D630E">
        <w:t xml:space="preserve"> to be certified to this standard from 1 July 2019.  </w:t>
      </w:r>
      <w:r w:rsidR="002D630E" w:rsidRPr="002D630E">
        <w:t xml:space="preserve">There is no mandatory application date for all other vehicles. </w:t>
      </w:r>
      <w:r w:rsidR="002D630E">
        <w:t xml:space="preserve"> </w:t>
      </w:r>
      <w:r w:rsidR="002D630E" w:rsidRPr="002D630E">
        <w:t xml:space="preserve">They may comply with this vehicle standard or </w:t>
      </w:r>
      <w:r w:rsidR="00FD12B2" w:rsidRPr="00FD12B2">
        <w:t>continue to comply with ADR 31/03 or ADR 35/05, as applicable for the particular vehicle category</w:t>
      </w:r>
      <w:r w:rsidR="002D630E">
        <w:t>.</w:t>
      </w:r>
      <w:bookmarkStart w:id="9" w:name="_Toc167864615"/>
    </w:p>
    <w:p w:rsidR="00BA4F48" w:rsidRPr="0069365C" w:rsidRDefault="00BA4F48" w:rsidP="0059192A">
      <w:pPr>
        <w:pStyle w:val="HeadingLevel1"/>
      </w:pPr>
      <w:bookmarkStart w:id="10" w:name="_Toc489883304"/>
      <w:r w:rsidRPr="0069365C">
        <w:t>best practice regulation</w:t>
      </w:r>
      <w:bookmarkEnd w:id="9"/>
      <w:bookmarkEnd w:id="10"/>
    </w:p>
    <w:p w:rsidR="00BA4F48" w:rsidRPr="00D82CC0" w:rsidRDefault="00BA4F48" w:rsidP="00D82CC0">
      <w:pPr>
        <w:pStyle w:val="Subsection"/>
      </w:pPr>
      <w:bookmarkStart w:id="11" w:name="_Toc167864616"/>
      <w:bookmarkStart w:id="12" w:name="_Toc489883305"/>
      <w:r w:rsidRPr="009A4DF7">
        <w:t>B</w:t>
      </w:r>
      <w:bookmarkEnd w:id="11"/>
      <w:r w:rsidR="00E60568" w:rsidRPr="009A4DF7">
        <w:t>enefits and Costs</w:t>
      </w:r>
      <w:bookmarkEnd w:id="12"/>
    </w:p>
    <w:p w:rsidR="006B2A4B" w:rsidRDefault="002325B1" w:rsidP="00D82CC0">
      <w:r>
        <w:t xml:space="preserve">As this standard, </w:t>
      </w:r>
      <w:r w:rsidRPr="00AC2F31">
        <w:t xml:space="preserve">together with the associated new ADRs </w:t>
      </w:r>
      <w:r w:rsidR="00AC2F31">
        <w:t>31/04</w:t>
      </w:r>
      <w:r w:rsidRPr="00AC2F31">
        <w:t xml:space="preserve"> and 89/00</w:t>
      </w:r>
      <w:r>
        <w:t xml:space="preserve">, restructure </w:t>
      </w:r>
      <w:r w:rsidR="00931136">
        <w:t>the ADR requirements for brake systems on light vehicles</w:t>
      </w:r>
      <w:r>
        <w:t xml:space="preserve"> in a way that is </w:t>
      </w:r>
      <w:r w:rsidR="00D77391">
        <w:t>machinery (</w:t>
      </w:r>
      <w:r w:rsidR="00621558">
        <w:t>administrative</w:t>
      </w:r>
      <w:r w:rsidR="00D77391">
        <w:t>)</w:t>
      </w:r>
      <w:r>
        <w:t xml:space="preserve"> in nature, it will have a neutral regulatory impact, including in terms of both the benefits and costs</w:t>
      </w:r>
      <w:r w:rsidR="000F6F83">
        <w:t xml:space="preserve"> of regulation</w:t>
      </w:r>
      <w:r>
        <w:t>.</w:t>
      </w:r>
    </w:p>
    <w:p w:rsidR="00626DBC" w:rsidRPr="0069365C" w:rsidRDefault="00626DBC" w:rsidP="00D82CC0">
      <w:pPr>
        <w:pStyle w:val="Subsection"/>
      </w:pPr>
      <w:bookmarkStart w:id="13" w:name="_Toc167864617"/>
      <w:bookmarkStart w:id="14" w:name="_Toc489883306"/>
      <w:r w:rsidRPr="0069365C">
        <w:t>General Consultation Arrangements</w:t>
      </w:r>
      <w:bookmarkEnd w:id="13"/>
      <w:bookmarkEnd w:id="14"/>
    </w:p>
    <w:p w:rsidR="00C14345" w:rsidRPr="00D82CC0" w:rsidRDefault="00C14345" w:rsidP="00D82CC0">
      <w:bookmarkStart w:id="15" w:name="_Toc167864618"/>
      <w:r w:rsidRPr="00D82CC0">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C14345" w:rsidRPr="001F0CA5" w:rsidRDefault="00C14345" w:rsidP="00D82CC0">
      <w:r w:rsidRPr="001F0CA5">
        <w:t>Depending on the nature of the proposed changes, consultation could involve the Technical Liaison Group (TLG), Strategic Vehicle Safety and Environment Group (SVSEG), Transport and Infrastructure Senior Officials’ Committee (TISOC) and the Transport and Infrastructure Council (the Council).</w:t>
      </w:r>
    </w:p>
    <w:p w:rsidR="00C14345" w:rsidRPr="00D065C8" w:rsidRDefault="00C14345" w:rsidP="00D065C8">
      <w:pPr>
        <w:pStyle w:val="BulletList"/>
      </w:pPr>
      <w:r w:rsidRPr="00D065C8">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C14345" w:rsidRPr="00D065C8" w:rsidRDefault="00C14345" w:rsidP="00D065C8">
      <w:pPr>
        <w:pStyle w:val="BulletList"/>
      </w:pPr>
      <w:r w:rsidRPr="00D065C8">
        <w:t>SVSEG consists of senior representatives of government (Australian and state/territory), the manufacturing and operational arms of the industry and of representative organisations of consumers and road users (at a higher level within each organisation as represented in TLG).</w:t>
      </w:r>
    </w:p>
    <w:p w:rsidR="00C14345" w:rsidRPr="00D065C8" w:rsidRDefault="00C14345" w:rsidP="00D065C8">
      <w:pPr>
        <w:pStyle w:val="BulletList"/>
      </w:pPr>
      <w:r w:rsidRPr="00D065C8">
        <w:t>TISOC consists of state and territory transport and/or infrastructure Chief Executive Officers (CEOs) (or equivalents), the CEO of the National Transport Commission, New Zealand and the Australian Local Government Association.</w:t>
      </w:r>
    </w:p>
    <w:p w:rsidR="00C14345" w:rsidRPr="00D065C8" w:rsidRDefault="00C14345" w:rsidP="00D065C8">
      <w:pPr>
        <w:pStyle w:val="BulletList"/>
      </w:pPr>
      <w:r w:rsidRPr="00D065C8">
        <w:t>The Council consists of the Australian, state/territory and New Zealand Ministers with responsibility for transport and infrastructure issues.</w:t>
      </w:r>
    </w:p>
    <w:p w:rsidR="00C14345" w:rsidRDefault="00B41A41" w:rsidP="00D82CC0">
      <w:r>
        <w:br w:type="page"/>
      </w:r>
      <w:r w:rsidR="00C14345" w:rsidRPr="00CA7971">
        <w:lastRenderedPageBreak/>
        <w:t>Editorial changes and changes to correct errors are processed by the Department of Infrastructure</w:t>
      </w:r>
      <w:r w:rsidR="00C14345">
        <w:t xml:space="preserve"> and Regional Development</w:t>
      </w:r>
      <w:r w:rsidR="00C14345" w:rsidRPr="00CA7971">
        <w:t>.  This approach is only used where the amendments do not vary the intent of the vehicle standard.</w:t>
      </w:r>
    </w:p>
    <w:p w:rsidR="00C14345" w:rsidRPr="00CA7971" w:rsidRDefault="00C14345" w:rsidP="00D82CC0">
      <w:r w:rsidRPr="00CA7971">
        <w:t xml:space="preserve">Proposals that are regarded as significant need to be supported by a RIS meeting the requirements of the Office of Best Practice Regulation (OBPR) as published in </w:t>
      </w:r>
      <w:r w:rsidRPr="009C4A2E">
        <w:rPr>
          <w:i/>
        </w:rPr>
        <w:t xml:space="preserve">the </w:t>
      </w:r>
      <w:r w:rsidRPr="009C4A2E">
        <w:rPr>
          <w:i/>
          <w:iCs/>
        </w:rPr>
        <w:t>Australian Government Guide to Regulation</w:t>
      </w:r>
      <w:r w:rsidRPr="009C4A2E">
        <w:t xml:space="preserve"> and the Council of Australian Governments</w:t>
      </w:r>
      <w:r>
        <w:t>’</w:t>
      </w:r>
      <w:r w:rsidRPr="009C4A2E">
        <w:t xml:space="preserve"> </w:t>
      </w:r>
      <w:r w:rsidRPr="00BF3ADD">
        <w:rPr>
          <w:i/>
          <w:iCs/>
        </w:rPr>
        <w:t xml:space="preserve">Best Practice Regulation: A </w:t>
      </w:r>
      <w:r>
        <w:rPr>
          <w:i/>
          <w:iCs/>
        </w:rPr>
        <w:t>G</w:t>
      </w:r>
      <w:r w:rsidRPr="00BF3ADD">
        <w:rPr>
          <w:i/>
          <w:iCs/>
        </w:rPr>
        <w:t>uide for Ministerial Councils and National Standard Setting Bodies</w:t>
      </w:r>
      <w:r w:rsidRPr="009C4A2E">
        <w:rPr>
          <w:i/>
        </w:rPr>
        <w:t>.</w:t>
      </w:r>
    </w:p>
    <w:p w:rsidR="00066F93" w:rsidRPr="00225589" w:rsidRDefault="00BA4F48" w:rsidP="00D82CC0">
      <w:pPr>
        <w:pStyle w:val="Subsection"/>
      </w:pPr>
      <w:bookmarkStart w:id="16" w:name="_Toc489883307"/>
      <w:r w:rsidRPr="0069365C">
        <w:t>Specific Consultation Arrangements for this Vehicle Standard</w:t>
      </w:r>
      <w:bookmarkEnd w:id="15"/>
      <w:bookmarkEnd w:id="16"/>
    </w:p>
    <w:p w:rsidR="00651832" w:rsidRDefault="008D37EE" w:rsidP="00651832">
      <w:r>
        <w:t>This standard</w:t>
      </w:r>
      <w:r w:rsidR="001B217D">
        <w:t xml:space="preserve"> was proposed, discussed and supported during 2016</w:t>
      </w:r>
      <w:r>
        <w:t>-</w:t>
      </w:r>
      <w:r w:rsidR="001B217D">
        <w:t xml:space="preserve">17 at meetings of AMVCB, TLG and SVSEG.  </w:t>
      </w:r>
      <w:r w:rsidR="00D77391">
        <w:t>I</w:t>
      </w:r>
      <w:r w:rsidR="00605DCE">
        <w:t>t</w:t>
      </w:r>
      <w:r w:rsidR="001B217D">
        <w:t xml:space="preserve"> was acknowledged that these groups are at the appropriate level to consider this type of change.</w:t>
      </w:r>
      <w:bookmarkStart w:id="17" w:name="_Toc318271645"/>
      <w:bookmarkStart w:id="18" w:name="_Toc317171517"/>
      <w:bookmarkStart w:id="19" w:name="_Toc317171391"/>
      <w:bookmarkStart w:id="20" w:name="_Toc317158948"/>
      <w:bookmarkStart w:id="21" w:name="_Toc318272904"/>
      <w:bookmarkStart w:id="22" w:name="_Toc319402529"/>
      <w:r w:rsidR="00D77391">
        <w:t xml:space="preserve">  A draft ADR was </w:t>
      </w:r>
      <w:r w:rsidR="00192F2E">
        <w:t xml:space="preserve">also </w:t>
      </w:r>
      <w:r w:rsidR="00D77391">
        <w:t xml:space="preserve">provided </w:t>
      </w:r>
      <w:r w:rsidR="00192F2E">
        <w:t xml:space="preserve">as part of this consultation process </w:t>
      </w:r>
      <w:r w:rsidR="00D77391">
        <w:t>to AMVCB and TLG.</w:t>
      </w:r>
    </w:p>
    <w:p w:rsidR="00462A19" w:rsidRDefault="00462A19" w:rsidP="00CD085E">
      <w:pPr>
        <w:autoSpaceDE w:val="0"/>
        <w:autoSpaceDN w:val="0"/>
        <w:adjustRightInd w:val="0"/>
        <w:spacing w:before="0" w:after="0"/>
      </w:pPr>
      <w:r>
        <w:t>The Department of Infrastructure and Regional Development also consulted with the Office of Best Practice Regulation (OBPR) within the Department of Prime Minister and Cabinet on this standard.  A Regulation Impact Statement is</w:t>
      </w:r>
      <w:r w:rsidR="00AB7541">
        <w:t xml:space="preserve"> not required, as </w:t>
      </w:r>
      <w:r w:rsidR="00D22DA8">
        <w:t xml:space="preserve">the decision maker is not the Australian Government’s Cabinet, and </w:t>
      </w:r>
      <w:r w:rsidR="003F43E4">
        <w:t xml:space="preserve">this standard, together with </w:t>
      </w:r>
      <w:r w:rsidR="003F43E4" w:rsidRPr="00793E3C">
        <w:t xml:space="preserve">the associated new ADRs </w:t>
      </w:r>
      <w:r w:rsidR="00AC2F31" w:rsidRPr="00793E3C">
        <w:t>31/04</w:t>
      </w:r>
      <w:r w:rsidR="003F43E4" w:rsidRPr="00793E3C">
        <w:t xml:space="preserve"> and 89/00</w:t>
      </w:r>
      <w:r w:rsidR="003F43E4">
        <w:t xml:space="preserve">, </w:t>
      </w:r>
      <w:r w:rsidR="00D22DA8">
        <w:t xml:space="preserve">restructure </w:t>
      </w:r>
      <w:r w:rsidR="00AF6452">
        <w:t>the ADR requirements for brake systems on light vehicles</w:t>
      </w:r>
      <w:r w:rsidR="00AE73B7">
        <w:t xml:space="preserve"> in a way that is</w:t>
      </w:r>
      <w:r w:rsidR="00532F57">
        <w:t xml:space="preserve"> machinery in nature</w:t>
      </w:r>
      <w:r w:rsidR="00CD085E">
        <w:t>.  The OBPR reference number is 22611.</w:t>
      </w:r>
    </w:p>
    <w:p w:rsidR="00586887" w:rsidRPr="00586887" w:rsidRDefault="00586887" w:rsidP="004E0001">
      <w:pPr>
        <w:pStyle w:val="HeadingLevel1"/>
      </w:pPr>
      <w:bookmarkStart w:id="23" w:name="_Toc489883308"/>
      <w:r w:rsidRPr="00586887">
        <w:t>STATEMENT OF COMPATIBILITY WITH HUMAN RIGHTS</w:t>
      </w:r>
      <w:bookmarkEnd w:id="17"/>
      <w:bookmarkEnd w:id="18"/>
      <w:bookmarkEnd w:id="19"/>
      <w:bookmarkEnd w:id="20"/>
      <w:bookmarkEnd w:id="21"/>
      <w:bookmarkEnd w:id="22"/>
      <w:bookmarkEnd w:id="23"/>
    </w:p>
    <w:p w:rsidR="00586887" w:rsidRPr="002834A5" w:rsidRDefault="00586887" w:rsidP="00D82CC0">
      <w:r w:rsidRPr="00586887">
        <w:t xml:space="preserve">The following Statement is prepared in accordance with Part 3 of the </w:t>
      </w:r>
      <w:r w:rsidRPr="00586887">
        <w:rPr>
          <w:i/>
          <w:iCs/>
        </w:rPr>
        <w:t>Human Rights (Parliamentary Scrutiny) Act 2011.</w:t>
      </w:r>
    </w:p>
    <w:p w:rsidR="00586887" w:rsidRPr="00785284" w:rsidRDefault="00586887" w:rsidP="00D82CC0">
      <w:pPr>
        <w:pStyle w:val="Subsection"/>
      </w:pPr>
      <w:bookmarkStart w:id="24" w:name="_Toc318271646"/>
      <w:bookmarkStart w:id="25" w:name="_Toc317171518"/>
      <w:bookmarkStart w:id="26" w:name="_Toc317171392"/>
      <w:bookmarkStart w:id="27" w:name="_Toc318272905"/>
      <w:bookmarkStart w:id="28" w:name="_Toc319402530"/>
      <w:bookmarkStart w:id="29" w:name="_Toc489883309"/>
      <w:r w:rsidRPr="00785284">
        <w:t>Overview of the Legislative Instrument</w:t>
      </w:r>
      <w:bookmarkEnd w:id="24"/>
      <w:bookmarkEnd w:id="25"/>
      <w:bookmarkEnd w:id="26"/>
      <w:bookmarkEnd w:id="27"/>
      <w:bookmarkEnd w:id="28"/>
      <w:bookmarkEnd w:id="29"/>
    </w:p>
    <w:p w:rsidR="00586887" w:rsidRPr="00586887" w:rsidRDefault="00586887" w:rsidP="00D82CC0">
      <w:r w:rsidRPr="00586887">
        <w:t xml:space="preserve">ADR </w:t>
      </w:r>
      <w:r w:rsidR="00AC2F31">
        <w:t>88</w:t>
      </w:r>
      <w:r w:rsidRPr="00586887">
        <w:t>/</w:t>
      </w:r>
      <w:r w:rsidR="00D647E7">
        <w:t>0</w:t>
      </w:r>
      <w:r w:rsidR="00AC2F31">
        <w:t>0</w:t>
      </w:r>
      <w:r w:rsidRPr="00586887">
        <w:t xml:space="preserve"> </w:t>
      </w:r>
      <w:r w:rsidRPr="00A46041">
        <w:t>is being made</w:t>
      </w:r>
      <w:r w:rsidR="00DB7024" w:rsidRPr="00A46041">
        <w:t xml:space="preserve"> together with ADRs 31/04 and 89/00</w:t>
      </w:r>
      <w:r w:rsidR="00E524EA">
        <w:t xml:space="preserve"> to </w:t>
      </w:r>
      <w:r w:rsidR="00BC5CF7" w:rsidRPr="00BC5CF7">
        <w:t xml:space="preserve">restructure the ADR requirements for brake systems on light vehicles </w:t>
      </w:r>
      <w:r w:rsidR="00636B66">
        <w:t>to</w:t>
      </w:r>
      <w:r w:rsidR="00BC5CF7">
        <w:t xml:space="preserve"> mirror the </w:t>
      </w:r>
      <w:r w:rsidR="00636B66">
        <w:t xml:space="preserve">latest </w:t>
      </w:r>
      <w:r w:rsidR="00BC5CF7">
        <w:t>UN regulation structure</w:t>
      </w:r>
      <w:r w:rsidRPr="00586887">
        <w:t xml:space="preserve">.  It </w:t>
      </w:r>
      <w:r w:rsidR="00FD6ED5">
        <w:rPr>
          <w:lang w:val="en"/>
        </w:rPr>
        <w:t xml:space="preserve">prescribes </w:t>
      </w:r>
      <w:r w:rsidR="00731996" w:rsidRPr="00731996">
        <w:rPr>
          <w:lang w:val="en"/>
        </w:rPr>
        <w:t>requirements for Electronic Stability Control (ESC) Systems on passenger cars and light commercial vehicles</w:t>
      </w:r>
      <w:r w:rsidR="00FD6ED5">
        <w:t>.</w:t>
      </w:r>
    </w:p>
    <w:p w:rsidR="00586887" w:rsidRPr="00586887" w:rsidRDefault="00586887" w:rsidP="00D82CC0">
      <w:pPr>
        <w:pStyle w:val="Subsection"/>
      </w:pPr>
      <w:bookmarkStart w:id="30" w:name="_Toc318271647"/>
      <w:bookmarkStart w:id="31" w:name="_Toc317171519"/>
      <w:bookmarkStart w:id="32" w:name="_Toc317171393"/>
      <w:bookmarkStart w:id="33" w:name="_Toc318272906"/>
      <w:bookmarkStart w:id="34" w:name="_Toc319402531"/>
      <w:bookmarkStart w:id="35" w:name="_Toc489883310"/>
      <w:r w:rsidRPr="00586887">
        <w:t>Human Rights Implications</w:t>
      </w:r>
      <w:bookmarkEnd w:id="30"/>
      <w:bookmarkEnd w:id="31"/>
      <w:bookmarkEnd w:id="32"/>
      <w:bookmarkEnd w:id="33"/>
      <w:bookmarkEnd w:id="34"/>
      <w:bookmarkEnd w:id="35"/>
    </w:p>
    <w:p w:rsidR="00586887" w:rsidRPr="00586887" w:rsidRDefault="00586887" w:rsidP="00D82CC0">
      <w:r w:rsidRPr="00586887">
        <w:t xml:space="preserve">ADR </w:t>
      </w:r>
      <w:r w:rsidR="00AC2F31">
        <w:t>88/00</w:t>
      </w:r>
      <w:r w:rsidRPr="00586887">
        <w:t xml:space="preserve"> does not engage any of the human rights and freedoms recognised or declared in the international instruments listed in section 3 of the </w:t>
      </w:r>
      <w:r w:rsidRPr="00586887">
        <w:rPr>
          <w:i/>
          <w:iCs/>
        </w:rPr>
        <w:t>Human Rights (Parliamentary Scrutiny) Act 2011</w:t>
      </w:r>
      <w:r w:rsidRPr="00586887">
        <w:t>.</w:t>
      </w:r>
    </w:p>
    <w:p w:rsidR="00586887" w:rsidRPr="00586887" w:rsidRDefault="00586887" w:rsidP="00D82CC0">
      <w:pPr>
        <w:pStyle w:val="Subsection"/>
      </w:pPr>
      <w:bookmarkStart w:id="36" w:name="_Toc319402532"/>
      <w:bookmarkStart w:id="37" w:name="_Toc489883311"/>
      <w:r w:rsidRPr="00586887">
        <w:t>Conclusion</w:t>
      </w:r>
      <w:bookmarkEnd w:id="36"/>
      <w:bookmarkEnd w:id="37"/>
    </w:p>
    <w:p w:rsidR="002D7277" w:rsidRPr="007A3BB4" w:rsidRDefault="00586887" w:rsidP="00D82CC0">
      <w:pPr>
        <w:rPr>
          <w:lang w:val="en"/>
        </w:rPr>
      </w:pPr>
      <w:r w:rsidRPr="00586887">
        <w:t xml:space="preserve">ADR </w:t>
      </w:r>
      <w:r w:rsidR="00AC2F31">
        <w:t>88/00</w:t>
      </w:r>
      <w:r w:rsidRPr="00586887">
        <w:t xml:space="preserve"> is compatible with human rights</w:t>
      </w:r>
      <w:r w:rsidR="00DF5206">
        <w:t>,</w:t>
      </w:r>
      <w:r w:rsidRPr="00586887">
        <w:t xml:space="preserve"> as it does not raise any human rights issues.</w:t>
      </w:r>
    </w:p>
    <w:sectPr w:rsidR="002D7277" w:rsidRPr="007A3BB4" w:rsidSect="0012110B">
      <w:headerReference w:type="default" r:id="rId8"/>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3DD" w:rsidRDefault="00A713DD" w:rsidP="00D82CC0">
      <w:r>
        <w:separator/>
      </w:r>
    </w:p>
  </w:endnote>
  <w:endnote w:type="continuationSeparator" w:id="0">
    <w:p w:rsidR="00A713DD" w:rsidRDefault="00A713DD"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3DD" w:rsidRDefault="00A713DD" w:rsidP="00D82CC0">
      <w:r>
        <w:separator/>
      </w:r>
    </w:p>
  </w:footnote>
  <w:footnote w:type="continuationSeparator" w:id="0">
    <w:p w:rsidR="00A713DD" w:rsidRDefault="00A713DD"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4B" w:rsidRDefault="006B2A4B" w:rsidP="00D82CC0">
    <w:pPr>
      <w:pStyle w:val="Header"/>
    </w:pPr>
    <w:r>
      <w:fldChar w:fldCharType="begin"/>
    </w:r>
    <w:r>
      <w:instrText xml:space="preserve"> PAGE   \* MERGEFORMAT </w:instrText>
    </w:r>
    <w:r>
      <w:fldChar w:fldCharType="separate"/>
    </w:r>
    <w:r w:rsidR="003A2BF6">
      <w:rPr>
        <w:noProof/>
      </w:rPr>
      <w:t>5</w:t>
    </w:r>
    <w:r>
      <w:fldChar w:fldCharType="end"/>
    </w:r>
  </w:p>
  <w:p w:rsidR="006B2A4B" w:rsidRPr="003234FA" w:rsidRDefault="006B2A4B" w:rsidP="00D82CC0">
    <w:pPr>
      <w:pStyle w:val="Header"/>
    </w:pPr>
    <w:r w:rsidRPr="003234FA">
      <w:t>Explanatory Statement</w:t>
    </w:r>
  </w:p>
  <w:p w:rsidR="006B2A4B" w:rsidRDefault="00D5709E" w:rsidP="00D82CC0">
    <w:pPr>
      <w:pStyle w:val="Header"/>
    </w:pPr>
    <w:r w:rsidRPr="00DC33CF">
      <w:t>Vehicle Standard (</w:t>
    </w:r>
    <w:r w:rsidR="006B2A4B" w:rsidRPr="003234FA">
      <w:t xml:space="preserve">Australian Design Rule </w:t>
    </w:r>
    <w:r w:rsidR="00FD12B2">
      <w:t>88</w:t>
    </w:r>
    <w:r>
      <w:t>/0</w:t>
    </w:r>
    <w:r w:rsidR="00FD12B2">
      <w:t>0</w:t>
    </w:r>
    <w:r w:rsidR="006B2A4B" w:rsidRPr="003234FA">
      <w:t xml:space="preserve"> </w:t>
    </w:r>
    <w:r>
      <w:t xml:space="preserve">– </w:t>
    </w:r>
    <w:r w:rsidR="00FD12B2">
      <w:t>Electronic Stability Control (ESC) Systems</w:t>
    </w:r>
    <w:r>
      <w:t>) 201</w:t>
    </w:r>
    <w:r w:rsidR="00C937E6">
      <w:t>7</w:t>
    </w:r>
  </w:p>
  <w:p w:rsidR="006B2A4B" w:rsidRDefault="006B2A4B" w:rsidP="00D82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7506F"/>
    <w:multiLevelType w:val="multilevel"/>
    <w:tmpl w:val="A296BECE"/>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1"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2"/>
  </w:num>
  <w:num w:numId="4">
    <w:abstractNumId w:val="13"/>
  </w:num>
  <w:num w:numId="5">
    <w:abstractNumId w:val="1"/>
  </w:num>
  <w:num w:numId="6">
    <w:abstractNumId w:val="12"/>
  </w:num>
  <w:num w:numId="7">
    <w:abstractNumId w:val="3"/>
  </w:num>
  <w:num w:numId="8">
    <w:abstractNumId w:val="9"/>
  </w:num>
  <w:num w:numId="9">
    <w:abstractNumId w:val="6"/>
  </w:num>
  <w:num w:numId="10">
    <w:abstractNumId w:val="11"/>
  </w:num>
  <w:num w:numId="11">
    <w:abstractNumId w:val="5"/>
  </w:num>
  <w:num w:numId="12">
    <w:abstractNumId w:val="8"/>
  </w:num>
  <w:num w:numId="13">
    <w:abstractNumId w:val="4"/>
  </w:num>
  <w:num w:numId="14">
    <w:abstractNumId w:val="7"/>
  </w:num>
  <w:num w:numId="15">
    <w:abstractNumId w:val="10"/>
  </w:num>
  <w:num w:numId="16">
    <w:abstractNumId w:val="10"/>
  </w:num>
  <w:num w:numId="17">
    <w:abstractNumId w:val="10"/>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157B0"/>
    <w:rsid w:val="000166ED"/>
    <w:rsid w:val="000220C0"/>
    <w:rsid w:val="00022CA1"/>
    <w:rsid w:val="000245BE"/>
    <w:rsid w:val="000335E2"/>
    <w:rsid w:val="00050FB8"/>
    <w:rsid w:val="00052EF3"/>
    <w:rsid w:val="0005416F"/>
    <w:rsid w:val="000562F1"/>
    <w:rsid w:val="000604A0"/>
    <w:rsid w:val="00064AFA"/>
    <w:rsid w:val="00066F93"/>
    <w:rsid w:val="00067219"/>
    <w:rsid w:val="000713D8"/>
    <w:rsid w:val="000740DE"/>
    <w:rsid w:val="00074D90"/>
    <w:rsid w:val="0008418F"/>
    <w:rsid w:val="0008652F"/>
    <w:rsid w:val="000B0E53"/>
    <w:rsid w:val="000B1C73"/>
    <w:rsid w:val="000B3D64"/>
    <w:rsid w:val="000B3DBE"/>
    <w:rsid w:val="000C0E62"/>
    <w:rsid w:val="000C14D3"/>
    <w:rsid w:val="000C171E"/>
    <w:rsid w:val="000C2AF4"/>
    <w:rsid w:val="000C3C06"/>
    <w:rsid w:val="000C57AC"/>
    <w:rsid w:val="000D3459"/>
    <w:rsid w:val="000D6331"/>
    <w:rsid w:val="000E3161"/>
    <w:rsid w:val="000E3CB6"/>
    <w:rsid w:val="000E46B1"/>
    <w:rsid w:val="000E6F99"/>
    <w:rsid w:val="000E7A76"/>
    <w:rsid w:val="000F4182"/>
    <w:rsid w:val="000F534E"/>
    <w:rsid w:val="000F6F83"/>
    <w:rsid w:val="000F793B"/>
    <w:rsid w:val="00101E42"/>
    <w:rsid w:val="00102EE7"/>
    <w:rsid w:val="00105209"/>
    <w:rsid w:val="00106C75"/>
    <w:rsid w:val="001143B9"/>
    <w:rsid w:val="0012110B"/>
    <w:rsid w:val="00131492"/>
    <w:rsid w:val="00141FF9"/>
    <w:rsid w:val="00150C04"/>
    <w:rsid w:val="00152636"/>
    <w:rsid w:val="00155FE4"/>
    <w:rsid w:val="001606BF"/>
    <w:rsid w:val="00160C84"/>
    <w:rsid w:val="00170AE8"/>
    <w:rsid w:val="001717FC"/>
    <w:rsid w:val="00171B84"/>
    <w:rsid w:val="00177811"/>
    <w:rsid w:val="00177ADF"/>
    <w:rsid w:val="00187070"/>
    <w:rsid w:val="00187D37"/>
    <w:rsid w:val="00192F2E"/>
    <w:rsid w:val="00197EE4"/>
    <w:rsid w:val="001B0EFB"/>
    <w:rsid w:val="001B217D"/>
    <w:rsid w:val="001B38AA"/>
    <w:rsid w:val="001B5F38"/>
    <w:rsid w:val="001C69AE"/>
    <w:rsid w:val="001D17F3"/>
    <w:rsid w:val="001D592B"/>
    <w:rsid w:val="001E0A6A"/>
    <w:rsid w:val="001E1A19"/>
    <w:rsid w:val="001E218D"/>
    <w:rsid w:val="001E5490"/>
    <w:rsid w:val="001E6F6F"/>
    <w:rsid w:val="001F566C"/>
    <w:rsid w:val="00200879"/>
    <w:rsid w:val="002019EC"/>
    <w:rsid w:val="00206EF3"/>
    <w:rsid w:val="00212153"/>
    <w:rsid w:val="00215C84"/>
    <w:rsid w:val="00216DD3"/>
    <w:rsid w:val="00225589"/>
    <w:rsid w:val="0022575C"/>
    <w:rsid w:val="00226CB6"/>
    <w:rsid w:val="0022719C"/>
    <w:rsid w:val="00227A72"/>
    <w:rsid w:val="0023125C"/>
    <w:rsid w:val="002325B1"/>
    <w:rsid w:val="00233F4B"/>
    <w:rsid w:val="00235D5D"/>
    <w:rsid w:val="00237831"/>
    <w:rsid w:val="0024155C"/>
    <w:rsid w:val="002425A0"/>
    <w:rsid w:val="00242D6F"/>
    <w:rsid w:val="002449FF"/>
    <w:rsid w:val="00246F06"/>
    <w:rsid w:val="00253F55"/>
    <w:rsid w:val="002550C2"/>
    <w:rsid w:val="002640E7"/>
    <w:rsid w:val="00266FE7"/>
    <w:rsid w:val="0027099F"/>
    <w:rsid w:val="00270FAD"/>
    <w:rsid w:val="002714C6"/>
    <w:rsid w:val="00282AAC"/>
    <w:rsid w:val="0028346B"/>
    <w:rsid w:val="002834A5"/>
    <w:rsid w:val="00285ADA"/>
    <w:rsid w:val="002904A2"/>
    <w:rsid w:val="00292D0D"/>
    <w:rsid w:val="002968C5"/>
    <w:rsid w:val="00297504"/>
    <w:rsid w:val="002975C7"/>
    <w:rsid w:val="002A063C"/>
    <w:rsid w:val="002A4357"/>
    <w:rsid w:val="002B1FE3"/>
    <w:rsid w:val="002B574B"/>
    <w:rsid w:val="002B7491"/>
    <w:rsid w:val="002B7CA5"/>
    <w:rsid w:val="002C4578"/>
    <w:rsid w:val="002D070C"/>
    <w:rsid w:val="002D3608"/>
    <w:rsid w:val="002D508E"/>
    <w:rsid w:val="002D5B95"/>
    <w:rsid w:val="002D630E"/>
    <w:rsid w:val="002D7277"/>
    <w:rsid w:val="002E10E0"/>
    <w:rsid w:val="002E1691"/>
    <w:rsid w:val="002E1BBE"/>
    <w:rsid w:val="002E37E2"/>
    <w:rsid w:val="002E5035"/>
    <w:rsid w:val="002E6D99"/>
    <w:rsid w:val="002F17FE"/>
    <w:rsid w:val="002F3EEF"/>
    <w:rsid w:val="002F48AF"/>
    <w:rsid w:val="0030081B"/>
    <w:rsid w:val="003039C0"/>
    <w:rsid w:val="00304422"/>
    <w:rsid w:val="003057C9"/>
    <w:rsid w:val="00310E9F"/>
    <w:rsid w:val="003119C5"/>
    <w:rsid w:val="003157F6"/>
    <w:rsid w:val="003210C8"/>
    <w:rsid w:val="003319EF"/>
    <w:rsid w:val="00341EF6"/>
    <w:rsid w:val="003443C2"/>
    <w:rsid w:val="003447E5"/>
    <w:rsid w:val="00344A42"/>
    <w:rsid w:val="00347408"/>
    <w:rsid w:val="00347940"/>
    <w:rsid w:val="003502ED"/>
    <w:rsid w:val="0035037C"/>
    <w:rsid w:val="00353C97"/>
    <w:rsid w:val="00353DBD"/>
    <w:rsid w:val="00356128"/>
    <w:rsid w:val="003567BF"/>
    <w:rsid w:val="0036261D"/>
    <w:rsid w:val="003634A7"/>
    <w:rsid w:val="00365500"/>
    <w:rsid w:val="00373116"/>
    <w:rsid w:val="003736E6"/>
    <w:rsid w:val="003737A4"/>
    <w:rsid w:val="00373A7D"/>
    <w:rsid w:val="003778A3"/>
    <w:rsid w:val="0038362C"/>
    <w:rsid w:val="003868ED"/>
    <w:rsid w:val="003917B0"/>
    <w:rsid w:val="0039439E"/>
    <w:rsid w:val="00395DAB"/>
    <w:rsid w:val="00396C92"/>
    <w:rsid w:val="00397976"/>
    <w:rsid w:val="003A2BF6"/>
    <w:rsid w:val="003A3373"/>
    <w:rsid w:val="003A45FB"/>
    <w:rsid w:val="003A4F94"/>
    <w:rsid w:val="003B220C"/>
    <w:rsid w:val="003B2EB6"/>
    <w:rsid w:val="003B4057"/>
    <w:rsid w:val="003B4482"/>
    <w:rsid w:val="003B6992"/>
    <w:rsid w:val="003C06B1"/>
    <w:rsid w:val="003C0FCE"/>
    <w:rsid w:val="003C3B0E"/>
    <w:rsid w:val="003D1AB8"/>
    <w:rsid w:val="003D1BC8"/>
    <w:rsid w:val="003D3D19"/>
    <w:rsid w:val="003D7E2A"/>
    <w:rsid w:val="003E2ACE"/>
    <w:rsid w:val="003E5643"/>
    <w:rsid w:val="003E56E7"/>
    <w:rsid w:val="003F01D5"/>
    <w:rsid w:val="003F25A8"/>
    <w:rsid w:val="003F43E4"/>
    <w:rsid w:val="003F51E5"/>
    <w:rsid w:val="003F6981"/>
    <w:rsid w:val="00402B28"/>
    <w:rsid w:val="00404CC7"/>
    <w:rsid w:val="00410063"/>
    <w:rsid w:val="00412A94"/>
    <w:rsid w:val="004161CF"/>
    <w:rsid w:val="00422A41"/>
    <w:rsid w:val="00423778"/>
    <w:rsid w:val="00426BF7"/>
    <w:rsid w:val="00431883"/>
    <w:rsid w:val="00433473"/>
    <w:rsid w:val="00436451"/>
    <w:rsid w:val="00437142"/>
    <w:rsid w:val="00441D7B"/>
    <w:rsid w:val="004433E1"/>
    <w:rsid w:val="004454CA"/>
    <w:rsid w:val="00445A77"/>
    <w:rsid w:val="00450F3A"/>
    <w:rsid w:val="004524F9"/>
    <w:rsid w:val="00453027"/>
    <w:rsid w:val="00454834"/>
    <w:rsid w:val="004619D3"/>
    <w:rsid w:val="004621A1"/>
    <w:rsid w:val="004625CE"/>
    <w:rsid w:val="00462A19"/>
    <w:rsid w:val="00471762"/>
    <w:rsid w:val="00472C2C"/>
    <w:rsid w:val="00476B93"/>
    <w:rsid w:val="00477592"/>
    <w:rsid w:val="00481ACE"/>
    <w:rsid w:val="00485D93"/>
    <w:rsid w:val="00485E16"/>
    <w:rsid w:val="0049097D"/>
    <w:rsid w:val="0049177C"/>
    <w:rsid w:val="004B17C6"/>
    <w:rsid w:val="004B182E"/>
    <w:rsid w:val="004C52F0"/>
    <w:rsid w:val="004C68B7"/>
    <w:rsid w:val="004C77FE"/>
    <w:rsid w:val="004D6CC1"/>
    <w:rsid w:val="004D785B"/>
    <w:rsid w:val="004E0001"/>
    <w:rsid w:val="004E3E84"/>
    <w:rsid w:val="004E7515"/>
    <w:rsid w:val="004F3265"/>
    <w:rsid w:val="005022F7"/>
    <w:rsid w:val="0050439A"/>
    <w:rsid w:val="00510E74"/>
    <w:rsid w:val="0051368F"/>
    <w:rsid w:val="00515D0D"/>
    <w:rsid w:val="005242E3"/>
    <w:rsid w:val="00525905"/>
    <w:rsid w:val="00532F57"/>
    <w:rsid w:val="005338E3"/>
    <w:rsid w:val="00536F80"/>
    <w:rsid w:val="00542FE1"/>
    <w:rsid w:val="0054701F"/>
    <w:rsid w:val="00550A6B"/>
    <w:rsid w:val="00557504"/>
    <w:rsid w:val="00560C37"/>
    <w:rsid w:val="00561BCD"/>
    <w:rsid w:val="0056701E"/>
    <w:rsid w:val="005725C2"/>
    <w:rsid w:val="005753E3"/>
    <w:rsid w:val="00581C0B"/>
    <w:rsid w:val="00581CB5"/>
    <w:rsid w:val="00582135"/>
    <w:rsid w:val="005831BF"/>
    <w:rsid w:val="00586887"/>
    <w:rsid w:val="0059095D"/>
    <w:rsid w:val="0059192A"/>
    <w:rsid w:val="00594765"/>
    <w:rsid w:val="00595B2F"/>
    <w:rsid w:val="005963A1"/>
    <w:rsid w:val="00596853"/>
    <w:rsid w:val="005A526D"/>
    <w:rsid w:val="005B114C"/>
    <w:rsid w:val="005B1D19"/>
    <w:rsid w:val="005B36D2"/>
    <w:rsid w:val="005B578B"/>
    <w:rsid w:val="005C4195"/>
    <w:rsid w:val="005C46E4"/>
    <w:rsid w:val="005C48D4"/>
    <w:rsid w:val="005C65A4"/>
    <w:rsid w:val="005C7895"/>
    <w:rsid w:val="005C78A2"/>
    <w:rsid w:val="005D100B"/>
    <w:rsid w:val="005D2108"/>
    <w:rsid w:val="005D21F5"/>
    <w:rsid w:val="005D79C8"/>
    <w:rsid w:val="005E2B4C"/>
    <w:rsid w:val="005F0774"/>
    <w:rsid w:val="005F26EF"/>
    <w:rsid w:val="005F4354"/>
    <w:rsid w:val="005F7F32"/>
    <w:rsid w:val="00605DCE"/>
    <w:rsid w:val="00606506"/>
    <w:rsid w:val="00607F79"/>
    <w:rsid w:val="006136AA"/>
    <w:rsid w:val="0061498D"/>
    <w:rsid w:val="00614AE7"/>
    <w:rsid w:val="0061509A"/>
    <w:rsid w:val="0062031F"/>
    <w:rsid w:val="00621320"/>
    <w:rsid w:val="00621558"/>
    <w:rsid w:val="00626DBC"/>
    <w:rsid w:val="00630795"/>
    <w:rsid w:val="00630F38"/>
    <w:rsid w:val="00631AE5"/>
    <w:rsid w:val="00633730"/>
    <w:rsid w:val="00635090"/>
    <w:rsid w:val="00636B66"/>
    <w:rsid w:val="0063768F"/>
    <w:rsid w:val="006434F1"/>
    <w:rsid w:val="006438BB"/>
    <w:rsid w:val="006440AF"/>
    <w:rsid w:val="00645C09"/>
    <w:rsid w:val="00651832"/>
    <w:rsid w:val="00654C03"/>
    <w:rsid w:val="00662397"/>
    <w:rsid w:val="00663810"/>
    <w:rsid w:val="00672700"/>
    <w:rsid w:val="00675C3C"/>
    <w:rsid w:val="00680C49"/>
    <w:rsid w:val="0068132F"/>
    <w:rsid w:val="006815B3"/>
    <w:rsid w:val="00681FF3"/>
    <w:rsid w:val="00684A9B"/>
    <w:rsid w:val="0069365C"/>
    <w:rsid w:val="00694C9C"/>
    <w:rsid w:val="00696758"/>
    <w:rsid w:val="006A0D9E"/>
    <w:rsid w:val="006A3C57"/>
    <w:rsid w:val="006A5E2A"/>
    <w:rsid w:val="006A5FCD"/>
    <w:rsid w:val="006A6CDC"/>
    <w:rsid w:val="006B2A4B"/>
    <w:rsid w:val="006B55BE"/>
    <w:rsid w:val="006B7D5F"/>
    <w:rsid w:val="006C1E06"/>
    <w:rsid w:val="006C415F"/>
    <w:rsid w:val="006C4478"/>
    <w:rsid w:val="006C69D9"/>
    <w:rsid w:val="006C6AFC"/>
    <w:rsid w:val="006D3E64"/>
    <w:rsid w:val="006D493C"/>
    <w:rsid w:val="006D5556"/>
    <w:rsid w:val="006D6283"/>
    <w:rsid w:val="006F2BF5"/>
    <w:rsid w:val="006F6F26"/>
    <w:rsid w:val="007011DC"/>
    <w:rsid w:val="00707003"/>
    <w:rsid w:val="007136C2"/>
    <w:rsid w:val="0071541C"/>
    <w:rsid w:val="007243F0"/>
    <w:rsid w:val="00725705"/>
    <w:rsid w:val="0073109B"/>
    <w:rsid w:val="00731996"/>
    <w:rsid w:val="00731D99"/>
    <w:rsid w:val="007358A7"/>
    <w:rsid w:val="00740F06"/>
    <w:rsid w:val="00743AC9"/>
    <w:rsid w:val="00743B9A"/>
    <w:rsid w:val="00744CAF"/>
    <w:rsid w:val="00746F95"/>
    <w:rsid w:val="00747D71"/>
    <w:rsid w:val="00747F6A"/>
    <w:rsid w:val="00760342"/>
    <w:rsid w:val="00760426"/>
    <w:rsid w:val="00762957"/>
    <w:rsid w:val="0076466E"/>
    <w:rsid w:val="007653BB"/>
    <w:rsid w:val="007668B6"/>
    <w:rsid w:val="007753E7"/>
    <w:rsid w:val="00780DE8"/>
    <w:rsid w:val="0078303D"/>
    <w:rsid w:val="00785284"/>
    <w:rsid w:val="00785BEC"/>
    <w:rsid w:val="00785C95"/>
    <w:rsid w:val="00790656"/>
    <w:rsid w:val="00792C5E"/>
    <w:rsid w:val="00793E3C"/>
    <w:rsid w:val="00796570"/>
    <w:rsid w:val="00797ECB"/>
    <w:rsid w:val="007A1E1A"/>
    <w:rsid w:val="007A36C3"/>
    <w:rsid w:val="007A3BB4"/>
    <w:rsid w:val="007A576D"/>
    <w:rsid w:val="007B136E"/>
    <w:rsid w:val="007B14D6"/>
    <w:rsid w:val="007B247C"/>
    <w:rsid w:val="007B6B17"/>
    <w:rsid w:val="007C337C"/>
    <w:rsid w:val="007C4142"/>
    <w:rsid w:val="007C454A"/>
    <w:rsid w:val="007D28E4"/>
    <w:rsid w:val="007D65A6"/>
    <w:rsid w:val="007D671C"/>
    <w:rsid w:val="007D7CA7"/>
    <w:rsid w:val="007F1CA7"/>
    <w:rsid w:val="007F2A6F"/>
    <w:rsid w:val="007F3A3C"/>
    <w:rsid w:val="007F60ED"/>
    <w:rsid w:val="0080439B"/>
    <w:rsid w:val="00805CB4"/>
    <w:rsid w:val="00811BFA"/>
    <w:rsid w:val="00816F99"/>
    <w:rsid w:val="00816FAC"/>
    <w:rsid w:val="00820DA2"/>
    <w:rsid w:val="0082139D"/>
    <w:rsid w:val="008235EB"/>
    <w:rsid w:val="00827FAE"/>
    <w:rsid w:val="00833446"/>
    <w:rsid w:val="008353AD"/>
    <w:rsid w:val="008356AB"/>
    <w:rsid w:val="008439FD"/>
    <w:rsid w:val="0084493D"/>
    <w:rsid w:val="00845ABF"/>
    <w:rsid w:val="00846B0F"/>
    <w:rsid w:val="008470F8"/>
    <w:rsid w:val="0085194A"/>
    <w:rsid w:val="00854C95"/>
    <w:rsid w:val="008553C3"/>
    <w:rsid w:val="0085695A"/>
    <w:rsid w:val="0085751C"/>
    <w:rsid w:val="00862803"/>
    <w:rsid w:val="00863EF3"/>
    <w:rsid w:val="00866749"/>
    <w:rsid w:val="00866C59"/>
    <w:rsid w:val="008701EA"/>
    <w:rsid w:val="00872B7C"/>
    <w:rsid w:val="00875846"/>
    <w:rsid w:val="00880D9C"/>
    <w:rsid w:val="00882145"/>
    <w:rsid w:val="0088281D"/>
    <w:rsid w:val="0088400D"/>
    <w:rsid w:val="00887FC8"/>
    <w:rsid w:val="008933EB"/>
    <w:rsid w:val="00896B15"/>
    <w:rsid w:val="008A1EBB"/>
    <w:rsid w:val="008A4638"/>
    <w:rsid w:val="008A51A2"/>
    <w:rsid w:val="008A5F73"/>
    <w:rsid w:val="008A62BC"/>
    <w:rsid w:val="008B10C5"/>
    <w:rsid w:val="008B457B"/>
    <w:rsid w:val="008C0815"/>
    <w:rsid w:val="008C1BC3"/>
    <w:rsid w:val="008C3DED"/>
    <w:rsid w:val="008C605A"/>
    <w:rsid w:val="008C7693"/>
    <w:rsid w:val="008D0660"/>
    <w:rsid w:val="008D374F"/>
    <w:rsid w:val="008D37EE"/>
    <w:rsid w:val="008E4D40"/>
    <w:rsid w:val="008F2C8A"/>
    <w:rsid w:val="008F6DCD"/>
    <w:rsid w:val="008F74E6"/>
    <w:rsid w:val="0090191B"/>
    <w:rsid w:val="009025D1"/>
    <w:rsid w:val="009043D9"/>
    <w:rsid w:val="009074B5"/>
    <w:rsid w:val="0091237F"/>
    <w:rsid w:val="00921439"/>
    <w:rsid w:val="009231EC"/>
    <w:rsid w:val="009250CC"/>
    <w:rsid w:val="00925A90"/>
    <w:rsid w:val="00927FBE"/>
    <w:rsid w:val="00931136"/>
    <w:rsid w:val="009327EF"/>
    <w:rsid w:val="0093299E"/>
    <w:rsid w:val="00933218"/>
    <w:rsid w:val="00934F06"/>
    <w:rsid w:val="00944396"/>
    <w:rsid w:val="00946AE0"/>
    <w:rsid w:val="00950BD1"/>
    <w:rsid w:val="00950F8F"/>
    <w:rsid w:val="0095143D"/>
    <w:rsid w:val="0095255D"/>
    <w:rsid w:val="00952B82"/>
    <w:rsid w:val="0095554F"/>
    <w:rsid w:val="00956D94"/>
    <w:rsid w:val="00957B66"/>
    <w:rsid w:val="00961F3B"/>
    <w:rsid w:val="00963ABC"/>
    <w:rsid w:val="00963CB4"/>
    <w:rsid w:val="00971128"/>
    <w:rsid w:val="00976110"/>
    <w:rsid w:val="009835D6"/>
    <w:rsid w:val="009846F3"/>
    <w:rsid w:val="00985846"/>
    <w:rsid w:val="009860B3"/>
    <w:rsid w:val="00995292"/>
    <w:rsid w:val="009975C1"/>
    <w:rsid w:val="00997893"/>
    <w:rsid w:val="009A1670"/>
    <w:rsid w:val="009A269A"/>
    <w:rsid w:val="009A38D2"/>
    <w:rsid w:val="009A3B5E"/>
    <w:rsid w:val="009A40C7"/>
    <w:rsid w:val="009A4DF7"/>
    <w:rsid w:val="009C0B8F"/>
    <w:rsid w:val="009C1BA6"/>
    <w:rsid w:val="009C1F80"/>
    <w:rsid w:val="009C3304"/>
    <w:rsid w:val="009C407C"/>
    <w:rsid w:val="009C69B1"/>
    <w:rsid w:val="009C6FCA"/>
    <w:rsid w:val="009C70AE"/>
    <w:rsid w:val="009D2E35"/>
    <w:rsid w:val="009D6FB6"/>
    <w:rsid w:val="009E6091"/>
    <w:rsid w:val="009E67A7"/>
    <w:rsid w:val="009E7D0B"/>
    <w:rsid w:val="009F04AC"/>
    <w:rsid w:val="009F5065"/>
    <w:rsid w:val="009F5254"/>
    <w:rsid w:val="009F6964"/>
    <w:rsid w:val="009F75E4"/>
    <w:rsid w:val="00A065ED"/>
    <w:rsid w:val="00A1063D"/>
    <w:rsid w:val="00A10F22"/>
    <w:rsid w:val="00A12980"/>
    <w:rsid w:val="00A27335"/>
    <w:rsid w:val="00A30939"/>
    <w:rsid w:val="00A30DC9"/>
    <w:rsid w:val="00A321D7"/>
    <w:rsid w:val="00A34A31"/>
    <w:rsid w:val="00A36FAB"/>
    <w:rsid w:val="00A41F5B"/>
    <w:rsid w:val="00A43237"/>
    <w:rsid w:val="00A45ACC"/>
    <w:rsid w:val="00A46041"/>
    <w:rsid w:val="00A501A3"/>
    <w:rsid w:val="00A50649"/>
    <w:rsid w:val="00A50768"/>
    <w:rsid w:val="00A51E84"/>
    <w:rsid w:val="00A53C3C"/>
    <w:rsid w:val="00A54A7E"/>
    <w:rsid w:val="00A55A94"/>
    <w:rsid w:val="00A62388"/>
    <w:rsid w:val="00A63852"/>
    <w:rsid w:val="00A63A1A"/>
    <w:rsid w:val="00A63FE4"/>
    <w:rsid w:val="00A65769"/>
    <w:rsid w:val="00A65A2C"/>
    <w:rsid w:val="00A65E15"/>
    <w:rsid w:val="00A66D92"/>
    <w:rsid w:val="00A713DD"/>
    <w:rsid w:val="00A71585"/>
    <w:rsid w:val="00A73D37"/>
    <w:rsid w:val="00A82B4B"/>
    <w:rsid w:val="00A8398A"/>
    <w:rsid w:val="00A8675A"/>
    <w:rsid w:val="00A9660B"/>
    <w:rsid w:val="00AA2899"/>
    <w:rsid w:val="00AA61C9"/>
    <w:rsid w:val="00AB119D"/>
    <w:rsid w:val="00AB42B4"/>
    <w:rsid w:val="00AB7541"/>
    <w:rsid w:val="00AC2F31"/>
    <w:rsid w:val="00AC74A7"/>
    <w:rsid w:val="00AD4991"/>
    <w:rsid w:val="00AE13EB"/>
    <w:rsid w:val="00AE5123"/>
    <w:rsid w:val="00AE52FE"/>
    <w:rsid w:val="00AE5AB2"/>
    <w:rsid w:val="00AE6EF0"/>
    <w:rsid w:val="00AE73B7"/>
    <w:rsid w:val="00AF5477"/>
    <w:rsid w:val="00AF6452"/>
    <w:rsid w:val="00B03FF8"/>
    <w:rsid w:val="00B065D6"/>
    <w:rsid w:val="00B07906"/>
    <w:rsid w:val="00B07B3F"/>
    <w:rsid w:val="00B129D9"/>
    <w:rsid w:val="00B1441E"/>
    <w:rsid w:val="00B14F33"/>
    <w:rsid w:val="00B25A3B"/>
    <w:rsid w:val="00B27156"/>
    <w:rsid w:val="00B31E5C"/>
    <w:rsid w:val="00B36270"/>
    <w:rsid w:val="00B41A41"/>
    <w:rsid w:val="00B441BF"/>
    <w:rsid w:val="00B45F4C"/>
    <w:rsid w:val="00B468E6"/>
    <w:rsid w:val="00B50DFD"/>
    <w:rsid w:val="00B5379B"/>
    <w:rsid w:val="00B559A6"/>
    <w:rsid w:val="00B633CD"/>
    <w:rsid w:val="00B64155"/>
    <w:rsid w:val="00B64F65"/>
    <w:rsid w:val="00B75982"/>
    <w:rsid w:val="00B779DB"/>
    <w:rsid w:val="00B83C7F"/>
    <w:rsid w:val="00BA0190"/>
    <w:rsid w:val="00BA233E"/>
    <w:rsid w:val="00BA4CCD"/>
    <w:rsid w:val="00BA4F48"/>
    <w:rsid w:val="00BB05C3"/>
    <w:rsid w:val="00BB31F0"/>
    <w:rsid w:val="00BB5D41"/>
    <w:rsid w:val="00BC1371"/>
    <w:rsid w:val="00BC2672"/>
    <w:rsid w:val="00BC2B83"/>
    <w:rsid w:val="00BC5CF7"/>
    <w:rsid w:val="00BC6AC3"/>
    <w:rsid w:val="00BC77EA"/>
    <w:rsid w:val="00BC77EE"/>
    <w:rsid w:val="00BD170E"/>
    <w:rsid w:val="00BD187C"/>
    <w:rsid w:val="00BD4AA2"/>
    <w:rsid w:val="00BD71DF"/>
    <w:rsid w:val="00BE4399"/>
    <w:rsid w:val="00BE44C6"/>
    <w:rsid w:val="00BE51BB"/>
    <w:rsid w:val="00BF2FD1"/>
    <w:rsid w:val="00C02832"/>
    <w:rsid w:val="00C03DAD"/>
    <w:rsid w:val="00C04554"/>
    <w:rsid w:val="00C0461E"/>
    <w:rsid w:val="00C11D56"/>
    <w:rsid w:val="00C12E27"/>
    <w:rsid w:val="00C14345"/>
    <w:rsid w:val="00C14FE4"/>
    <w:rsid w:val="00C15408"/>
    <w:rsid w:val="00C16AC9"/>
    <w:rsid w:val="00C17636"/>
    <w:rsid w:val="00C20AA8"/>
    <w:rsid w:val="00C24B5D"/>
    <w:rsid w:val="00C262AF"/>
    <w:rsid w:val="00C271D6"/>
    <w:rsid w:val="00C319A8"/>
    <w:rsid w:val="00C319F9"/>
    <w:rsid w:val="00C3530A"/>
    <w:rsid w:val="00C35C89"/>
    <w:rsid w:val="00C451FF"/>
    <w:rsid w:val="00C45889"/>
    <w:rsid w:val="00C476BC"/>
    <w:rsid w:val="00C52421"/>
    <w:rsid w:val="00C52AD3"/>
    <w:rsid w:val="00C56213"/>
    <w:rsid w:val="00C6582D"/>
    <w:rsid w:val="00C667DD"/>
    <w:rsid w:val="00C73560"/>
    <w:rsid w:val="00C74150"/>
    <w:rsid w:val="00C749DA"/>
    <w:rsid w:val="00C77983"/>
    <w:rsid w:val="00C80926"/>
    <w:rsid w:val="00C818D7"/>
    <w:rsid w:val="00C847AA"/>
    <w:rsid w:val="00C87C30"/>
    <w:rsid w:val="00C90D80"/>
    <w:rsid w:val="00C92559"/>
    <w:rsid w:val="00C937E6"/>
    <w:rsid w:val="00C940D9"/>
    <w:rsid w:val="00CA1826"/>
    <w:rsid w:val="00CA25DB"/>
    <w:rsid w:val="00CA46B8"/>
    <w:rsid w:val="00CA6875"/>
    <w:rsid w:val="00CA6F29"/>
    <w:rsid w:val="00CA7778"/>
    <w:rsid w:val="00CA7F62"/>
    <w:rsid w:val="00CA7FA6"/>
    <w:rsid w:val="00CB0314"/>
    <w:rsid w:val="00CB1379"/>
    <w:rsid w:val="00CB2CAE"/>
    <w:rsid w:val="00CB3A64"/>
    <w:rsid w:val="00CB5631"/>
    <w:rsid w:val="00CB5A16"/>
    <w:rsid w:val="00CB5E63"/>
    <w:rsid w:val="00CB6542"/>
    <w:rsid w:val="00CC28A7"/>
    <w:rsid w:val="00CD02EB"/>
    <w:rsid w:val="00CD085E"/>
    <w:rsid w:val="00CD3030"/>
    <w:rsid w:val="00CD3BF9"/>
    <w:rsid w:val="00CD4BC8"/>
    <w:rsid w:val="00CD5CEA"/>
    <w:rsid w:val="00CD7B08"/>
    <w:rsid w:val="00CE7CEC"/>
    <w:rsid w:val="00CF0DE5"/>
    <w:rsid w:val="00CF6DAA"/>
    <w:rsid w:val="00CF7B2E"/>
    <w:rsid w:val="00D0517D"/>
    <w:rsid w:val="00D0611E"/>
    <w:rsid w:val="00D065C8"/>
    <w:rsid w:val="00D160C9"/>
    <w:rsid w:val="00D21C2F"/>
    <w:rsid w:val="00D2209E"/>
    <w:rsid w:val="00D22DA8"/>
    <w:rsid w:val="00D320C8"/>
    <w:rsid w:val="00D36368"/>
    <w:rsid w:val="00D42718"/>
    <w:rsid w:val="00D43A16"/>
    <w:rsid w:val="00D452A5"/>
    <w:rsid w:val="00D50541"/>
    <w:rsid w:val="00D514DB"/>
    <w:rsid w:val="00D5709E"/>
    <w:rsid w:val="00D600BE"/>
    <w:rsid w:val="00D647E7"/>
    <w:rsid w:val="00D6618A"/>
    <w:rsid w:val="00D7635A"/>
    <w:rsid w:val="00D769DF"/>
    <w:rsid w:val="00D77391"/>
    <w:rsid w:val="00D81A4E"/>
    <w:rsid w:val="00D82CC0"/>
    <w:rsid w:val="00D850AF"/>
    <w:rsid w:val="00D86FF6"/>
    <w:rsid w:val="00D91886"/>
    <w:rsid w:val="00D92FE3"/>
    <w:rsid w:val="00D952C5"/>
    <w:rsid w:val="00D96789"/>
    <w:rsid w:val="00DA4154"/>
    <w:rsid w:val="00DA45D5"/>
    <w:rsid w:val="00DA5969"/>
    <w:rsid w:val="00DB3101"/>
    <w:rsid w:val="00DB47E9"/>
    <w:rsid w:val="00DB7024"/>
    <w:rsid w:val="00DC233D"/>
    <w:rsid w:val="00DC4200"/>
    <w:rsid w:val="00DC6202"/>
    <w:rsid w:val="00DC6A07"/>
    <w:rsid w:val="00DD24B1"/>
    <w:rsid w:val="00DD375E"/>
    <w:rsid w:val="00DD3D05"/>
    <w:rsid w:val="00DD51BB"/>
    <w:rsid w:val="00DD5A80"/>
    <w:rsid w:val="00DD6F4A"/>
    <w:rsid w:val="00DE0385"/>
    <w:rsid w:val="00DE1C49"/>
    <w:rsid w:val="00DF31B1"/>
    <w:rsid w:val="00DF4F8A"/>
    <w:rsid w:val="00DF5206"/>
    <w:rsid w:val="00DF536E"/>
    <w:rsid w:val="00DF7C51"/>
    <w:rsid w:val="00E03457"/>
    <w:rsid w:val="00E0625B"/>
    <w:rsid w:val="00E069A2"/>
    <w:rsid w:val="00E13FD9"/>
    <w:rsid w:val="00E20518"/>
    <w:rsid w:val="00E24EFB"/>
    <w:rsid w:val="00E32662"/>
    <w:rsid w:val="00E3785E"/>
    <w:rsid w:val="00E43E64"/>
    <w:rsid w:val="00E44BDA"/>
    <w:rsid w:val="00E4712A"/>
    <w:rsid w:val="00E524EA"/>
    <w:rsid w:val="00E5721E"/>
    <w:rsid w:val="00E60568"/>
    <w:rsid w:val="00E61E45"/>
    <w:rsid w:val="00E62757"/>
    <w:rsid w:val="00E65EAB"/>
    <w:rsid w:val="00E708DE"/>
    <w:rsid w:val="00E71CF4"/>
    <w:rsid w:val="00E757F0"/>
    <w:rsid w:val="00E82C94"/>
    <w:rsid w:val="00E86850"/>
    <w:rsid w:val="00E919FA"/>
    <w:rsid w:val="00E9460A"/>
    <w:rsid w:val="00E952CB"/>
    <w:rsid w:val="00EA57A3"/>
    <w:rsid w:val="00EB037C"/>
    <w:rsid w:val="00EB07AF"/>
    <w:rsid w:val="00EB0B49"/>
    <w:rsid w:val="00EB1C77"/>
    <w:rsid w:val="00EB293D"/>
    <w:rsid w:val="00EB3DE0"/>
    <w:rsid w:val="00EB7D96"/>
    <w:rsid w:val="00EC6915"/>
    <w:rsid w:val="00EC7758"/>
    <w:rsid w:val="00ED3152"/>
    <w:rsid w:val="00ED3E7E"/>
    <w:rsid w:val="00EE02BB"/>
    <w:rsid w:val="00EE276D"/>
    <w:rsid w:val="00EE32E7"/>
    <w:rsid w:val="00EE6384"/>
    <w:rsid w:val="00EF1E7E"/>
    <w:rsid w:val="00EF414D"/>
    <w:rsid w:val="00EF7A48"/>
    <w:rsid w:val="00F00724"/>
    <w:rsid w:val="00F061F9"/>
    <w:rsid w:val="00F10914"/>
    <w:rsid w:val="00F122DA"/>
    <w:rsid w:val="00F12511"/>
    <w:rsid w:val="00F14473"/>
    <w:rsid w:val="00F20ADC"/>
    <w:rsid w:val="00F231F5"/>
    <w:rsid w:val="00F24B9A"/>
    <w:rsid w:val="00F34566"/>
    <w:rsid w:val="00F45D54"/>
    <w:rsid w:val="00F4754C"/>
    <w:rsid w:val="00F51B92"/>
    <w:rsid w:val="00F53CDB"/>
    <w:rsid w:val="00F553C0"/>
    <w:rsid w:val="00F56EDC"/>
    <w:rsid w:val="00F57937"/>
    <w:rsid w:val="00F6076A"/>
    <w:rsid w:val="00F6085C"/>
    <w:rsid w:val="00F64443"/>
    <w:rsid w:val="00F648B2"/>
    <w:rsid w:val="00F65091"/>
    <w:rsid w:val="00F67361"/>
    <w:rsid w:val="00F7387B"/>
    <w:rsid w:val="00F7536E"/>
    <w:rsid w:val="00F80A33"/>
    <w:rsid w:val="00F82B48"/>
    <w:rsid w:val="00F8343B"/>
    <w:rsid w:val="00F8665A"/>
    <w:rsid w:val="00F90262"/>
    <w:rsid w:val="00F92159"/>
    <w:rsid w:val="00F946B9"/>
    <w:rsid w:val="00FA6A12"/>
    <w:rsid w:val="00FC7C4B"/>
    <w:rsid w:val="00FD0DE3"/>
    <w:rsid w:val="00FD12B2"/>
    <w:rsid w:val="00FD59BF"/>
    <w:rsid w:val="00FD6ED5"/>
    <w:rsid w:val="00FE05F0"/>
    <w:rsid w:val="00FE36E8"/>
    <w:rsid w:val="00FE666D"/>
    <w:rsid w:val="00FF14E5"/>
    <w:rsid w:val="00FF6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BA4CCD"/>
    <w:pPr>
      <w:tabs>
        <w:tab w:val="left" w:pos="851"/>
        <w:tab w:val="right" w:leader="dot" w:pos="8494"/>
      </w:tabs>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Heading2"/>
    <w:link w:val="HeadingLevel2Char"/>
    <w:qFormat/>
    <w:rsid w:val="00D82CC0"/>
    <w:pPr>
      <w:spacing w:before="240" w:after="240"/>
    </w:pPr>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D065C8"/>
    <w:pPr>
      <w:widowControl w:val="0"/>
      <w:numPr>
        <w:numId w:val="19"/>
      </w:numPr>
      <w:spacing w:before="60" w:after="60" w:line="264" w:lineRule="auto"/>
      <w:ind w:left="357" w:hanging="357"/>
      <w:jc w:val="both"/>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82CC0"/>
    <w:rPr>
      <w:sz w:val="24"/>
      <w:szCs w:val="24"/>
    </w:rPr>
  </w:style>
  <w:style w:type="character" w:customStyle="1" w:styleId="BulletListChar">
    <w:name w:val="Bullet List Char"/>
    <w:link w:val="BulletList"/>
    <w:rsid w:val="00D065C8"/>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BA4CCD"/>
    <w:rPr>
      <w:caps/>
      <w:sz w:val="24"/>
      <w:szCs w:val="24"/>
    </w:rPr>
  </w:style>
  <w:style w:type="character" w:customStyle="1" w:styleId="TOCLevel1Char">
    <w:name w:val="TOC Level 1 Char"/>
    <w:link w:val="TOCLevel1"/>
    <w:rsid w:val="002E10E0"/>
    <w:rPr>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5CB6CD859FF324AB3AAFD9FABFE9CCE" ma:contentTypeVersion="" ma:contentTypeDescription="PDMS Document Site Content Type" ma:contentTypeScope="" ma:versionID="b352eb08fb98ec08c7cde39bb54f6479">
  <xsd:schema xmlns:xsd="http://www.w3.org/2001/XMLSchema" xmlns:xs="http://www.w3.org/2001/XMLSchema" xmlns:p="http://schemas.microsoft.com/office/2006/metadata/properties" xmlns:ns2="332A1565-87DC-4580-9762-29232E0C99F9" targetNamespace="http://schemas.microsoft.com/office/2006/metadata/properties" ma:root="true" ma:fieldsID="71bede94c7761e98483cc2f1681f64f1" ns2:_="">
    <xsd:import namespace="332A1565-87DC-4580-9762-29232E0C99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A1565-87DC-4580-9762-29232E0C99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332A1565-87DC-4580-9762-29232E0C99F9" xsi:nil="true"/>
  </documentManagement>
</p:properties>
</file>

<file path=customXml/itemProps1.xml><?xml version="1.0" encoding="utf-8"?>
<ds:datastoreItem xmlns:ds="http://schemas.openxmlformats.org/officeDocument/2006/customXml" ds:itemID="{AB713AA3-606E-4DBF-A784-576B02D50E08}">
  <ds:schemaRefs>
    <ds:schemaRef ds:uri="http://schemas.openxmlformats.org/officeDocument/2006/bibliography"/>
  </ds:schemaRefs>
</ds:datastoreItem>
</file>

<file path=customXml/itemProps2.xml><?xml version="1.0" encoding="utf-8"?>
<ds:datastoreItem xmlns:ds="http://schemas.openxmlformats.org/officeDocument/2006/customXml" ds:itemID="{CAD3882F-1BC3-4A97-B500-51C631A40361}"/>
</file>

<file path=customXml/itemProps3.xml><?xml version="1.0" encoding="utf-8"?>
<ds:datastoreItem xmlns:ds="http://schemas.openxmlformats.org/officeDocument/2006/customXml" ds:itemID="{D61DC13E-FC05-49C8-A328-6FC3F269E367}"/>
</file>

<file path=customXml/itemProps4.xml><?xml version="1.0" encoding="utf-8"?>
<ds:datastoreItem xmlns:ds="http://schemas.openxmlformats.org/officeDocument/2006/customXml" ds:itemID="{4FF26E4F-F133-4426-A496-73A575F5AF02}"/>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
  <dc:creator/>
  <cp:keywords/>
  <cp:lastModifiedBy/>
  <cp:revision>1</cp:revision>
  <cp:lastPrinted>2009-02-16T01:57:00Z</cp:lastPrinted>
  <dcterms:created xsi:type="dcterms:W3CDTF">2017-08-07T05:30:00Z</dcterms:created>
  <dcterms:modified xsi:type="dcterms:W3CDTF">2017-08-14T01:41:00Z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0x010100266966F133664895A6EE3632470D45F50005CB6CD859FF324AB3AAFD9FABFE9CCE</vt:lpwstr>
  </property>
</Properties>
</file>