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728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875DDBA" wp14:editId="1CC7EEC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959D" w14:textId="77777777" w:rsidR="00715914" w:rsidRPr="00E500D4" w:rsidRDefault="00715914" w:rsidP="00715914">
      <w:pPr>
        <w:rPr>
          <w:sz w:val="19"/>
        </w:rPr>
      </w:pPr>
    </w:p>
    <w:p w14:paraId="33E994AF" w14:textId="77777777" w:rsidR="00715914" w:rsidRPr="00E500D4" w:rsidRDefault="0008661F" w:rsidP="00715914">
      <w:pPr>
        <w:pStyle w:val="ShortT"/>
      </w:pPr>
      <w:r>
        <w:t>Migration</w:t>
      </w:r>
      <w:r w:rsidR="00AD244A">
        <w:t xml:space="preserve"> Agents</w:t>
      </w:r>
      <w:r w:rsidR="0038049F" w:rsidRPr="00DA182D">
        <w:t xml:space="preserve"> </w:t>
      </w:r>
      <w:r w:rsidR="0038049F">
        <w:t>(</w:t>
      </w:r>
      <w:r>
        <w:t>IMMI 17</w:t>
      </w:r>
      <w:r w:rsidRPr="003652DF">
        <w:t>/0</w:t>
      </w:r>
      <w:r w:rsidR="00AD244A" w:rsidRPr="003652DF">
        <w:t>47</w:t>
      </w:r>
      <w:r w:rsidRPr="003652DF">
        <w:t>:</w:t>
      </w:r>
      <w:r w:rsidR="00AD244A" w:rsidRPr="003652DF">
        <w:t xml:space="preserve"> CPD</w:t>
      </w:r>
      <w:r w:rsidR="00CB3344" w:rsidRPr="003652DF">
        <w:t xml:space="preserve"> Activities, </w:t>
      </w:r>
      <w:r w:rsidR="00FC2B3E" w:rsidRPr="003652DF">
        <w:t>Approval of CPD Providers</w:t>
      </w:r>
      <w:r w:rsidR="00CB3344" w:rsidRPr="003652DF">
        <w:t xml:space="preserve"> and CPD Provider Standards</w:t>
      </w:r>
      <w:r w:rsidR="0038049F" w:rsidRPr="003652DF">
        <w:t xml:space="preserve">) Instrument </w:t>
      </w:r>
      <w:r w:rsidRPr="003652DF">
        <w:t>2017</w:t>
      </w:r>
    </w:p>
    <w:p w14:paraId="22F9BF97" w14:textId="77777777" w:rsidR="001F6CD4" w:rsidRDefault="001F6CD4" w:rsidP="00715914"/>
    <w:p w14:paraId="6237B84E" w14:textId="77777777" w:rsidR="001F6CD4" w:rsidRDefault="001F6CD4" w:rsidP="00715914"/>
    <w:p w14:paraId="0EA667DF" w14:textId="77777777" w:rsidR="001F6CD4" w:rsidRDefault="001F6CD4" w:rsidP="00715914"/>
    <w:p w14:paraId="20EBA031" w14:textId="6AC5BF2A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4948AC">
        <w:rPr>
          <w:szCs w:val="22"/>
        </w:rPr>
        <w:t>A</w:t>
      </w:r>
      <w:r w:rsidR="00B0751B">
        <w:rPr>
          <w:szCs w:val="22"/>
        </w:rPr>
        <w:t>lex</w:t>
      </w:r>
      <w:r w:rsidR="004948AC">
        <w:rPr>
          <w:szCs w:val="22"/>
        </w:rPr>
        <w:t xml:space="preserve"> H</w:t>
      </w:r>
      <w:r w:rsidR="00B0751B">
        <w:rPr>
          <w:szCs w:val="22"/>
        </w:rPr>
        <w:t>awke</w:t>
      </w:r>
      <w:r w:rsidRPr="00DA182D">
        <w:rPr>
          <w:szCs w:val="22"/>
        </w:rPr>
        <w:t xml:space="preserve">, </w:t>
      </w:r>
      <w:r w:rsidR="00CE7577">
        <w:rPr>
          <w:szCs w:val="22"/>
        </w:rPr>
        <w:t>Assistant</w:t>
      </w:r>
      <w:r w:rsidR="00BF6D50">
        <w:rPr>
          <w:szCs w:val="22"/>
        </w:rPr>
        <w:t xml:space="preserve"> 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BF6D50">
        <w:rPr>
          <w:szCs w:val="22"/>
        </w:rPr>
        <w:t>Instrument</w:t>
      </w:r>
      <w:r w:rsidRPr="00DA182D">
        <w:rPr>
          <w:szCs w:val="22"/>
        </w:rPr>
        <w:t>.</w:t>
      </w:r>
    </w:p>
    <w:p w14:paraId="0A6D4AE6" w14:textId="268274BE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94A44">
        <w:rPr>
          <w:szCs w:val="22"/>
        </w:rPr>
        <w:t>19 September 2017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F593C95" w14:textId="0A48A772" w:rsidR="00794A44" w:rsidRDefault="00794A44" w:rsidP="00BF6D5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Alex Hawke</w:t>
      </w:r>
      <w:bookmarkStart w:id="0" w:name="_GoBack"/>
      <w:bookmarkEnd w:id="0"/>
    </w:p>
    <w:p w14:paraId="1DDF1DE4" w14:textId="12D52017" w:rsidR="00BF6D50" w:rsidRPr="00794A44" w:rsidRDefault="00CE7577" w:rsidP="00794A44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7D3A2A">
        <w:rPr>
          <w:szCs w:val="22"/>
        </w:rPr>
        <w:t>THE HON ALEX HAWKE MP</w:t>
      </w:r>
      <w:r w:rsidR="00BF6D50" w:rsidRPr="007D3A2A">
        <w:rPr>
          <w:szCs w:val="22"/>
        </w:rPr>
        <w:t xml:space="preserve">  </w:t>
      </w:r>
    </w:p>
    <w:p w14:paraId="138A807C" w14:textId="77777777" w:rsidR="00BF6D50" w:rsidRPr="008E0027" w:rsidRDefault="00CE7577" w:rsidP="00BF6D50">
      <w:pPr>
        <w:pStyle w:val="SignCoverPageEnd"/>
        <w:rPr>
          <w:sz w:val="22"/>
        </w:rPr>
      </w:pPr>
      <w:r w:rsidRPr="007D3A2A">
        <w:rPr>
          <w:sz w:val="22"/>
        </w:rPr>
        <w:t>Assistant</w:t>
      </w:r>
      <w:r w:rsidR="00BF6D50" w:rsidRPr="007D3A2A">
        <w:rPr>
          <w:sz w:val="22"/>
        </w:rPr>
        <w:t xml:space="preserve"> Minister for Immigration and Border Protection</w:t>
      </w:r>
    </w:p>
    <w:p w14:paraId="436FC18E" w14:textId="77777777" w:rsidR="007050A2" w:rsidRDefault="007050A2" w:rsidP="00715914"/>
    <w:p w14:paraId="31613A61" w14:textId="77777777" w:rsidR="00F6696E" w:rsidRDefault="00F6696E" w:rsidP="00715914"/>
    <w:p w14:paraId="7A097440" w14:textId="77777777" w:rsidR="00F6696E" w:rsidRDefault="00F6696E" w:rsidP="00F6696E"/>
    <w:p w14:paraId="57BDB35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396B0D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70B92A1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6A74B51A" w14:textId="26AD4A2D" w:rsidR="00A22396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A22396" w:rsidRPr="00A56712">
        <w:rPr>
          <w:noProof/>
        </w:rPr>
        <w:t>Part 1 – Preliminary</w:t>
      </w:r>
      <w:r w:rsidR="00A22396">
        <w:rPr>
          <w:noProof/>
        </w:rPr>
        <w:tab/>
      </w:r>
      <w:r w:rsidR="001A3CE4" w:rsidRPr="001A3CE4">
        <w:rPr>
          <w:b w:val="0"/>
          <w:noProof/>
          <w:sz w:val="18"/>
          <w:szCs w:val="18"/>
        </w:rPr>
        <w:t>1</w:t>
      </w:r>
    </w:p>
    <w:p w14:paraId="1A54A90C" w14:textId="7AF4E27C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_Toc492386646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1</w:t>
      </w:r>
      <w:r>
        <w:rPr>
          <w:noProof/>
        </w:rPr>
        <w:fldChar w:fldCharType="end"/>
      </w:r>
    </w:p>
    <w:p w14:paraId="3CE5FBD7" w14:textId="178B0A7C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_Toc492386647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1</w:t>
      </w:r>
      <w:r>
        <w:rPr>
          <w:noProof/>
        </w:rPr>
        <w:fldChar w:fldCharType="end"/>
      </w:r>
    </w:p>
    <w:p w14:paraId="5DFB2FB6" w14:textId="33E2FB08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_Toc492386648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1</w:t>
      </w:r>
      <w:r>
        <w:rPr>
          <w:noProof/>
        </w:rPr>
        <w:fldChar w:fldCharType="end"/>
      </w:r>
    </w:p>
    <w:p w14:paraId="08623356" w14:textId="213F9DA2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_Toc492386649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2</w:t>
      </w:r>
      <w:r>
        <w:rPr>
          <w:noProof/>
        </w:rPr>
        <w:fldChar w:fldCharType="end"/>
      </w:r>
    </w:p>
    <w:p w14:paraId="3A581208" w14:textId="78FB593F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_Toc492386650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2</w:t>
      </w:r>
      <w:r>
        <w:rPr>
          <w:noProof/>
        </w:rPr>
        <w:fldChar w:fldCharType="end"/>
      </w:r>
    </w:p>
    <w:p w14:paraId="5FB881B0" w14:textId="329375CA" w:rsidR="00A22396" w:rsidRPr="001A3CE4" w:rsidRDefault="00A22396">
      <w:pPr>
        <w:pStyle w:val="TOC6"/>
        <w:rPr>
          <w:rFonts w:asciiTheme="minorHAnsi" w:eastAsiaTheme="minorEastAsia" w:hAnsiTheme="minorHAnsi" w:cstheme="minorBidi"/>
          <w:noProof/>
          <w:kern w:val="0"/>
          <w:sz w:val="18"/>
          <w:szCs w:val="18"/>
          <w:lang w:val="en-US" w:eastAsia="en-US"/>
        </w:rPr>
      </w:pPr>
      <w:r w:rsidRPr="00A56712">
        <w:rPr>
          <w:noProof/>
        </w:rPr>
        <w:t>Part 2 – Matters relating to CPD activities</w:t>
      </w:r>
      <w:r>
        <w:rPr>
          <w:noProof/>
        </w:rPr>
        <w:tab/>
      </w:r>
      <w:r w:rsidRPr="001A3CE4">
        <w:rPr>
          <w:b w:val="0"/>
          <w:noProof/>
          <w:sz w:val="18"/>
          <w:szCs w:val="18"/>
        </w:rPr>
        <w:fldChar w:fldCharType="begin"/>
      </w:r>
      <w:r w:rsidRPr="001A3CE4">
        <w:rPr>
          <w:b w:val="0"/>
          <w:noProof/>
          <w:sz w:val="18"/>
          <w:szCs w:val="18"/>
        </w:rPr>
        <w:instrText xml:space="preserve"> PAGEREF _Toc492386651 \h </w:instrText>
      </w:r>
      <w:r w:rsidRPr="001A3CE4">
        <w:rPr>
          <w:b w:val="0"/>
          <w:noProof/>
          <w:sz w:val="18"/>
          <w:szCs w:val="18"/>
        </w:rPr>
      </w:r>
      <w:r w:rsidRPr="001A3CE4">
        <w:rPr>
          <w:b w:val="0"/>
          <w:noProof/>
          <w:sz w:val="18"/>
          <w:szCs w:val="18"/>
        </w:rPr>
        <w:fldChar w:fldCharType="separate"/>
      </w:r>
      <w:r w:rsidR="00061062">
        <w:rPr>
          <w:b w:val="0"/>
          <w:noProof/>
          <w:sz w:val="18"/>
          <w:szCs w:val="18"/>
        </w:rPr>
        <w:t>3</w:t>
      </w:r>
      <w:r w:rsidRPr="001A3CE4">
        <w:rPr>
          <w:b w:val="0"/>
          <w:noProof/>
          <w:sz w:val="18"/>
          <w:szCs w:val="18"/>
        </w:rPr>
        <w:fldChar w:fldCharType="end"/>
      </w:r>
    </w:p>
    <w:p w14:paraId="44543366" w14:textId="77C2DCFB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Matters relating to CPD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_Toc492386652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3</w:t>
      </w:r>
      <w:r>
        <w:rPr>
          <w:noProof/>
        </w:rPr>
        <w:fldChar w:fldCharType="end"/>
      </w:r>
    </w:p>
    <w:p w14:paraId="6D44B08F" w14:textId="616CAC57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Mandatory activities and minimum number of points for mandatory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_Toc492386653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4</w:t>
      </w:r>
      <w:r>
        <w:rPr>
          <w:noProof/>
        </w:rPr>
        <w:fldChar w:fldCharType="end"/>
      </w:r>
    </w:p>
    <w:p w14:paraId="7F365C5A" w14:textId="0B718B90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Application for approval as CPD provider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_Toc492386654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5</w:t>
      </w:r>
      <w:r>
        <w:rPr>
          <w:noProof/>
        </w:rPr>
        <w:fldChar w:fldCharType="end"/>
      </w:r>
    </w:p>
    <w:p w14:paraId="6381D304" w14:textId="7288AA1D" w:rsidR="00A22396" w:rsidRDefault="00A223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CPD provider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_Toc492386655 \h </w:instrText>
      </w:r>
      <w:r>
        <w:rPr>
          <w:noProof/>
        </w:rPr>
      </w:r>
      <w:r>
        <w:rPr>
          <w:noProof/>
        </w:rPr>
        <w:fldChar w:fldCharType="separate"/>
      </w:r>
      <w:r w:rsidR="00061062">
        <w:rPr>
          <w:noProof/>
        </w:rPr>
        <w:t>5</w:t>
      </w:r>
      <w:r>
        <w:rPr>
          <w:noProof/>
        </w:rPr>
        <w:fldChar w:fldCharType="end"/>
      </w:r>
    </w:p>
    <w:p w14:paraId="06893712" w14:textId="2B81E5C5" w:rsidR="00A22396" w:rsidRDefault="00A22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56712">
        <w:rPr>
          <w:noProof/>
        </w:rPr>
        <w:t>Schedule 1 – Matters relating to CPD activities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6</w:t>
      </w:r>
    </w:p>
    <w:p w14:paraId="59124F41" w14:textId="67C11658" w:rsidR="00A22396" w:rsidRPr="001A3CE4" w:rsidRDefault="00A22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56712">
        <w:rPr>
          <w:noProof/>
        </w:rPr>
        <w:t>Schedule 2 – CPD provider standards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7</w:t>
      </w:r>
    </w:p>
    <w:p w14:paraId="2E7766C7" w14:textId="2C4C79EE" w:rsidR="00A22396" w:rsidRDefault="00A22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56712"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  <w:tab/>
      </w:r>
      <w:r w:rsidRPr="00A56712">
        <w:rPr>
          <w:noProof/>
        </w:rPr>
        <w:t>Delivery of CPD activities – learning and assessment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7</w:t>
      </w:r>
    </w:p>
    <w:p w14:paraId="35AEA4EE" w14:textId="48B003F6" w:rsidR="00A22396" w:rsidRPr="001A3CE4" w:rsidRDefault="00A22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56712"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  <w:tab/>
      </w:r>
      <w:r w:rsidRPr="00A56712">
        <w:rPr>
          <w:noProof/>
        </w:rPr>
        <w:t>Administration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8</w:t>
      </w:r>
    </w:p>
    <w:p w14:paraId="07FA00A0" w14:textId="425C6BC3" w:rsidR="00A22396" w:rsidRPr="001A3CE4" w:rsidRDefault="00A22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  <w:lang w:val="en-US" w:eastAsia="en-US"/>
        </w:rPr>
      </w:pPr>
      <w:r w:rsidRPr="00A56712"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  <w:tab/>
      </w:r>
      <w:r w:rsidRPr="00A56712">
        <w:rPr>
          <w:noProof/>
        </w:rPr>
        <w:t>Personnel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9</w:t>
      </w:r>
    </w:p>
    <w:p w14:paraId="1CF6BC84" w14:textId="73F5B40E" w:rsidR="00A22396" w:rsidRPr="001A3CE4" w:rsidRDefault="00A22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56712"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  <w:tab/>
      </w:r>
      <w:r w:rsidRPr="00A56712">
        <w:rPr>
          <w:noProof/>
        </w:rPr>
        <w:t>Marketing and Advertising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10</w:t>
      </w:r>
    </w:p>
    <w:p w14:paraId="40AAC4E2" w14:textId="42D535AD" w:rsidR="00A22396" w:rsidRPr="001A3CE4" w:rsidRDefault="00A22396">
      <w:pPr>
        <w:pStyle w:val="TOC6"/>
        <w:rPr>
          <w:rFonts w:asciiTheme="minorHAnsi" w:eastAsiaTheme="minorEastAsia" w:hAnsiTheme="minorHAnsi" w:cstheme="minorBidi"/>
          <w:noProof/>
          <w:kern w:val="0"/>
          <w:sz w:val="18"/>
          <w:szCs w:val="18"/>
          <w:lang w:val="en-US" w:eastAsia="en-US"/>
        </w:rPr>
      </w:pPr>
      <w:r w:rsidRPr="00A56712"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  <w:tab/>
      </w:r>
      <w:r w:rsidRPr="00A56712">
        <w:rPr>
          <w:noProof/>
        </w:rPr>
        <w:t>Evaluation and Continuous Improvement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11</w:t>
      </w:r>
    </w:p>
    <w:p w14:paraId="724FDD07" w14:textId="0B8F83ED" w:rsidR="00A22396" w:rsidRPr="001A3CE4" w:rsidRDefault="00A223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  <w:lang w:val="en-US" w:eastAsia="en-US"/>
        </w:rPr>
      </w:pPr>
      <w:r w:rsidRPr="00A56712"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  <w:tab/>
      </w:r>
      <w:r w:rsidRPr="00A56712">
        <w:rPr>
          <w:noProof/>
        </w:rPr>
        <w:t>Records Management and Reporting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12</w:t>
      </w:r>
    </w:p>
    <w:p w14:paraId="7CDF47F5" w14:textId="6DAA0574" w:rsidR="00A22396" w:rsidRPr="001A3CE4" w:rsidRDefault="00A22396">
      <w:pPr>
        <w:pStyle w:val="TOC6"/>
        <w:rPr>
          <w:rFonts w:asciiTheme="minorHAnsi" w:eastAsiaTheme="minorEastAsia" w:hAnsiTheme="minorHAnsi" w:cstheme="minorBidi"/>
          <w:noProof/>
          <w:kern w:val="0"/>
          <w:sz w:val="18"/>
          <w:szCs w:val="18"/>
          <w:lang w:val="en-US" w:eastAsia="en-US"/>
        </w:rPr>
      </w:pPr>
      <w:r w:rsidRPr="00A56712">
        <w:rPr>
          <w:noProof/>
        </w:rPr>
        <w:t>Schedule 3 – Repeals</w:t>
      </w:r>
      <w:r>
        <w:rPr>
          <w:noProof/>
        </w:rPr>
        <w:tab/>
      </w:r>
      <w:r w:rsidR="000F0F38">
        <w:rPr>
          <w:b w:val="0"/>
          <w:noProof/>
          <w:sz w:val="18"/>
          <w:szCs w:val="18"/>
        </w:rPr>
        <w:t>13</w:t>
      </w:r>
    </w:p>
    <w:p w14:paraId="1CD869EF" w14:textId="36E91F13" w:rsidR="00A22396" w:rsidRDefault="00A223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Value of Activities, Fees for Assessments and Standards for Professional Development Activities</w:t>
      </w:r>
      <w:r w:rsidR="000F0F38">
        <w:rPr>
          <w:noProof/>
        </w:rPr>
        <w:t xml:space="preserve"> 2015, IMMI 15/106</w:t>
      </w:r>
      <w:r>
        <w:rPr>
          <w:noProof/>
        </w:rPr>
        <w:tab/>
      </w:r>
      <w:r w:rsidR="000F0F38" w:rsidRPr="000F0F38">
        <w:rPr>
          <w:i w:val="0"/>
          <w:noProof/>
        </w:rPr>
        <w:t>1</w:t>
      </w:r>
      <w:r w:rsidR="000F0F38">
        <w:rPr>
          <w:i w:val="0"/>
          <w:noProof/>
        </w:rPr>
        <w:t>3</w:t>
      </w:r>
    </w:p>
    <w:p w14:paraId="3564A6E7" w14:textId="643F7E24" w:rsidR="00A22396" w:rsidRDefault="000F0F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Class of Persons, IMMI 13/153</w:t>
      </w:r>
      <w:r w:rsidR="00A22396">
        <w:rPr>
          <w:noProof/>
        </w:rPr>
        <w:tab/>
      </w:r>
      <w:r w:rsidRPr="000F0F38">
        <w:rPr>
          <w:i w:val="0"/>
          <w:noProof/>
        </w:rPr>
        <w:t>1</w:t>
      </w:r>
      <w:r>
        <w:rPr>
          <w:i w:val="0"/>
          <w:noProof/>
        </w:rPr>
        <w:t>3</w:t>
      </w:r>
    </w:p>
    <w:p w14:paraId="41A70E41" w14:textId="478C3FB4" w:rsidR="00F6696E" w:rsidRDefault="00B418CB" w:rsidP="00F6696E">
      <w:pPr>
        <w:outlineLvl w:val="0"/>
      </w:pPr>
      <w:r>
        <w:fldChar w:fldCharType="end"/>
      </w:r>
    </w:p>
    <w:p w14:paraId="40DAA510" w14:textId="77777777" w:rsidR="00F6696E" w:rsidRPr="00A802BC" w:rsidRDefault="00F6696E" w:rsidP="00F6696E">
      <w:pPr>
        <w:outlineLvl w:val="0"/>
        <w:rPr>
          <w:sz w:val="20"/>
        </w:rPr>
      </w:pPr>
    </w:p>
    <w:p w14:paraId="1EFB1B4D" w14:textId="77777777" w:rsidR="00F6696E" w:rsidRDefault="00F6696E" w:rsidP="00F6696E">
      <w:pPr>
        <w:sectPr w:rsidR="00F6696E" w:rsidSect="00AB11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530D33" w14:textId="77777777" w:rsidR="00E03F87" w:rsidRPr="003652DF" w:rsidRDefault="00C24B6E" w:rsidP="00057F4D">
      <w:pPr>
        <w:pStyle w:val="ActHead6"/>
        <w:rPr>
          <w:rFonts w:ascii="Times New Roman" w:hAnsi="Times New Roman"/>
          <w:noProof/>
        </w:rPr>
      </w:pPr>
      <w:bookmarkStart w:id="1" w:name="_Toc492386645"/>
      <w:r w:rsidRPr="003652DF">
        <w:rPr>
          <w:rFonts w:ascii="Times New Roman" w:hAnsi="Times New Roman"/>
          <w:noProof/>
        </w:rPr>
        <w:lastRenderedPageBreak/>
        <w:t>Part 1 –</w:t>
      </w:r>
      <w:r w:rsidR="00E03F87" w:rsidRPr="003652DF">
        <w:rPr>
          <w:rFonts w:ascii="Times New Roman" w:hAnsi="Times New Roman"/>
          <w:noProof/>
        </w:rPr>
        <w:t xml:space="preserve"> Preliminary</w:t>
      </w:r>
      <w:bookmarkEnd w:id="1"/>
    </w:p>
    <w:p w14:paraId="672E2827" w14:textId="77777777" w:rsidR="00A75FE9" w:rsidRPr="009C2562" w:rsidRDefault="00A75FE9" w:rsidP="00A75FE9">
      <w:pPr>
        <w:pStyle w:val="ActHead5"/>
      </w:pPr>
      <w:bookmarkStart w:id="2" w:name="_Toc492386646"/>
      <w:r w:rsidRPr="009C2562">
        <w:rPr>
          <w:rStyle w:val="CharSectno"/>
        </w:rPr>
        <w:t>1</w:t>
      </w:r>
      <w:r w:rsidRPr="009C2562">
        <w:t xml:space="preserve">  Name</w:t>
      </w:r>
      <w:bookmarkEnd w:id="2"/>
    </w:p>
    <w:p w14:paraId="4667C0D1" w14:textId="1756C234" w:rsidR="008A0117" w:rsidRDefault="00A75FE9" w:rsidP="008A0117">
      <w:pPr>
        <w:pStyle w:val="subsection"/>
        <w:numPr>
          <w:ilvl w:val="0"/>
          <w:numId w:val="33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08661F" w:rsidRPr="0008661F">
        <w:rPr>
          <w:i/>
        </w:rPr>
        <w:t>Migration</w:t>
      </w:r>
      <w:r w:rsidR="00AD244A">
        <w:rPr>
          <w:i/>
        </w:rPr>
        <w:t xml:space="preserve"> Agents (IMMI 17/047</w:t>
      </w:r>
      <w:r w:rsidR="0008661F" w:rsidRPr="0008661F">
        <w:rPr>
          <w:i/>
        </w:rPr>
        <w:t>:</w:t>
      </w:r>
      <w:r w:rsidR="00016320">
        <w:rPr>
          <w:i/>
        </w:rPr>
        <w:t xml:space="preserve"> CPD Activities, </w:t>
      </w:r>
      <w:r w:rsidR="002C72DC">
        <w:rPr>
          <w:i/>
        </w:rPr>
        <w:t>Approval of CPD Providers</w:t>
      </w:r>
      <w:r w:rsidR="00016320">
        <w:rPr>
          <w:i/>
        </w:rPr>
        <w:t xml:space="preserve"> and CPD Provider Standards</w:t>
      </w:r>
      <w:r w:rsidR="002C72DC">
        <w:rPr>
          <w:i/>
        </w:rPr>
        <w:t>)</w:t>
      </w:r>
      <w:r w:rsidR="00016320">
        <w:rPr>
          <w:i/>
        </w:rPr>
        <w:t xml:space="preserve"> Instrument 2017</w:t>
      </w:r>
      <w:r w:rsidRPr="009C2562">
        <w:t>.</w:t>
      </w:r>
      <w:r w:rsidR="00100531">
        <w:t xml:space="preserve"> </w:t>
      </w:r>
    </w:p>
    <w:p w14:paraId="70C75D12" w14:textId="15467F92" w:rsidR="00A75FE9" w:rsidRDefault="008A0117" w:rsidP="008A0117">
      <w:pPr>
        <w:pStyle w:val="subsection"/>
        <w:numPr>
          <w:ilvl w:val="0"/>
          <w:numId w:val="33"/>
        </w:numPr>
      </w:pPr>
      <w:r>
        <w:t>This instrument</w:t>
      </w:r>
      <w:r w:rsidR="00100531">
        <w:t xml:space="preserve"> may be cited as </w:t>
      </w:r>
      <w:r w:rsidR="00AD244A">
        <w:t>IMMI 17/047</w:t>
      </w:r>
      <w:r w:rsidR="003B4911">
        <w:t>.</w:t>
      </w:r>
    </w:p>
    <w:p w14:paraId="2B4A73E0" w14:textId="77777777" w:rsidR="00A75FE9" w:rsidRDefault="00A75FE9" w:rsidP="00A75FE9">
      <w:pPr>
        <w:pStyle w:val="ActHead5"/>
      </w:pPr>
      <w:bookmarkStart w:id="4" w:name="_Toc492386647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44F77FC1" w14:textId="55256E9A" w:rsidR="00BC5BDF" w:rsidRDefault="00BC5BDF" w:rsidP="00E3617B">
      <w:pPr>
        <w:pStyle w:val="subsection"/>
        <w:numPr>
          <w:ilvl w:val="0"/>
          <w:numId w:val="4"/>
        </w:numPr>
      </w:pPr>
      <w:r>
        <w:tab/>
      </w:r>
      <w:bookmarkStart w:id="5" w:name="String1"/>
      <w:r w:rsidRPr="001423EF">
        <w:t>Each provision of this instrument specified in column 1 of the table commences</w:t>
      </w:r>
      <w:bookmarkStart w:id="6" w:name="String1End"/>
      <w:bookmarkEnd w:id="5"/>
      <w:bookmarkEnd w:id="6"/>
      <w:r w:rsidRPr="001423EF">
        <w:t>, or is taken to have commenced, in accordance with column 2 of the table. Any other statement in column 2 has effect according to its terms.</w:t>
      </w:r>
    </w:p>
    <w:p w14:paraId="65ECF0E5" w14:textId="35E2AE53" w:rsidR="00BC5BDF" w:rsidRPr="001423EF" w:rsidRDefault="00BC5BDF" w:rsidP="00190D5D">
      <w:pPr>
        <w:pStyle w:val="subsection"/>
        <w:spacing w:before="0"/>
        <w:ind w:left="720" w:firstLine="0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C5BDF" w:rsidRPr="00B94E12" w14:paraId="000770DE" w14:textId="77777777" w:rsidTr="00DC774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DE25C9A" w14:textId="77777777" w:rsidR="00BC5BDF" w:rsidRPr="001423EF" w:rsidRDefault="00BC5BDF" w:rsidP="00922FC8">
            <w:pPr>
              <w:pStyle w:val="TableHeading"/>
            </w:pPr>
            <w:r w:rsidRPr="001423EF">
              <w:t>Commencement information</w:t>
            </w:r>
          </w:p>
        </w:tc>
      </w:tr>
      <w:tr w:rsidR="00BC5BDF" w:rsidRPr="00B94E12" w14:paraId="0CA2C0EA" w14:textId="77777777" w:rsidTr="00DC774C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8819DDC" w14:textId="77777777" w:rsidR="00BC5BDF" w:rsidRPr="001423EF" w:rsidRDefault="00BC5BDF" w:rsidP="00922FC8">
            <w:pPr>
              <w:pStyle w:val="TableHeading"/>
            </w:pPr>
            <w:r w:rsidRPr="001423E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F91D704" w14:textId="77777777" w:rsidR="00BC5BDF" w:rsidRPr="001423EF" w:rsidRDefault="00BC5BDF" w:rsidP="00922FC8">
            <w:pPr>
              <w:pStyle w:val="TableHeading"/>
            </w:pPr>
            <w:r w:rsidRPr="001423E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8F2909D" w14:textId="77777777" w:rsidR="00BC5BDF" w:rsidRPr="001423EF" w:rsidRDefault="00BC5BDF" w:rsidP="00922FC8">
            <w:pPr>
              <w:pStyle w:val="TableHeading"/>
            </w:pPr>
            <w:r w:rsidRPr="001423EF">
              <w:t>Column 3</w:t>
            </w:r>
          </w:p>
        </w:tc>
      </w:tr>
      <w:tr w:rsidR="00BC5BDF" w:rsidRPr="00B94E12" w14:paraId="00112EBF" w14:textId="77777777" w:rsidTr="00DC774C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ACF7772" w14:textId="77777777" w:rsidR="00BC5BDF" w:rsidRPr="001423EF" w:rsidRDefault="00BC5BDF" w:rsidP="00922FC8">
            <w:pPr>
              <w:pStyle w:val="TableHeading"/>
            </w:pPr>
            <w:r w:rsidRPr="001423E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4263138" w14:textId="77777777" w:rsidR="00BC5BDF" w:rsidRPr="001423EF" w:rsidRDefault="00BC5BDF" w:rsidP="00922FC8">
            <w:pPr>
              <w:pStyle w:val="TableHeading"/>
            </w:pPr>
            <w:r w:rsidRPr="001423E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83B2542" w14:textId="77777777" w:rsidR="00BC5BDF" w:rsidRPr="001423EF" w:rsidRDefault="00BC5BDF" w:rsidP="00922FC8">
            <w:pPr>
              <w:pStyle w:val="TableHeading"/>
            </w:pPr>
            <w:r w:rsidRPr="001423EF">
              <w:t>Date/Details</w:t>
            </w:r>
          </w:p>
        </w:tc>
      </w:tr>
      <w:tr w:rsidR="00BC5BDF" w:rsidRPr="00B94E12" w14:paraId="6E3BEF6B" w14:textId="77777777" w:rsidTr="00DC774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3AF9BA" w14:textId="44FA187C" w:rsidR="00BC5BDF" w:rsidRPr="001423EF" w:rsidRDefault="00BC5BDF" w:rsidP="00DC774C">
            <w:pPr>
              <w:pStyle w:val="Tabletext"/>
            </w:pPr>
            <w:r w:rsidRPr="001423EF">
              <w:t xml:space="preserve">1.  </w:t>
            </w:r>
            <w:r w:rsidR="00DC774C">
              <w:t>Part 1 and 2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8B3216" w14:textId="604A3948" w:rsidR="00BC5BDF" w:rsidRPr="001423EF" w:rsidRDefault="00BC5BDF" w:rsidP="00922FC8">
            <w:pPr>
              <w:pStyle w:val="Tabletext"/>
            </w:pPr>
            <w:r w:rsidRPr="001423EF">
              <w:t>1</w:t>
            </w:r>
            <w:r w:rsidR="0043423A">
              <w:t xml:space="preserve"> Octo</w:t>
            </w:r>
            <w:r>
              <w:t>ber</w:t>
            </w:r>
            <w:r w:rsidRPr="001423EF">
              <w:t xml:space="preserve"> 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0D2B1E" w14:textId="77777777" w:rsidR="00BC5BDF" w:rsidRPr="001423EF" w:rsidRDefault="00BC5BDF" w:rsidP="00922FC8">
            <w:pPr>
              <w:pStyle w:val="Tabletext"/>
            </w:pPr>
          </w:p>
        </w:tc>
      </w:tr>
      <w:tr w:rsidR="0043423A" w:rsidRPr="00B94E12" w14:paraId="23D8829F" w14:textId="77777777" w:rsidTr="00F21FB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B41391" w14:textId="75F46277" w:rsidR="0043423A" w:rsidRPr="001423EF" w:rsidRDefault="0043423A" w:rsidP="00922FC8">
            <w:pPr>
              <w:pStyle w:val="Tabletext"/>
            </w:pPr>
            <w:r>
              <w:t>2.</w:t>
            </w:r>
            <w:r w:rsidR="005259D7">
              <w:t xml:space="preserve">  </w:t>
            </w:r>
            <w:r w:rsidR="00DC774C">
              <w:t>Schedule 1</w:t>
            </w:r>
            <w:r w:rsidR="00255BEB">
              <w:t xml:space="preserve"> and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5F55C0" w14:textId="2D54E41D" w:rsidR="0043423A" w:rsidRPr="001423EF" w:rsidRDefault="00DE25D6" w:rsidP="00DE25D6">
            <w:pPr>
              <w:pStyle w:val="Tabletext"/>
            </w:pPr>
            <w:r>
              <w:t>1 October 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6989CF" w14:textId="77777777" w:rsidR="0043423A" w:rsidRPr="001423EF" w:rsidRDefault="0043423A" w:rsidP="00922FC8">
            <w:pPr>
              <w:pStyle w:val="Tabletext"/>
            </w:pPr>
          </w:p>
        </w:tc>
      </w:tr>
      <w:tr w:rsidR="00DC774C" w:rsidRPr="001423EF" w14:paraId="230BC9B8" w14:textId="77777777" w:rsidTr="00DC774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F4EAB2" w14:textId="37C714F1" w:rsidR="00DC774C" w:rsidRPr="001423EF" w:rsidRDefault="00255BEB" w:rsidP="00922FC8">
            <w:pPr>
              <w:pStyle w:val="Tabletext"/>
            </w:pPr>
            <w:r>
              <w:t>3</w:t>
            </w:r>
            <w:r w:rsidR="00DC774C">
              <w:t xml:space="preserve">.  Schedule </w:t>
            </w:r>
            <w:r w:rsidR="00E628EB">
              <w:t>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C9B50" w14:textId="77777777" w:rsidR="00DC774C" w:rsidRPr="001423EF" w:rsidRDefault="00DC774C" w:rsidP="00922FC8">
            <w:pPr>
              <w:pStyle w:val="Tabletext"/>
            </w:pPr>
            <w:r>
              <w:t>1 January 2018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3F0E14" w14:textId="77777777" w:rsidR="00DC774C" w:rsidRPr="001423EF" w:rsidRDefault="00DC774C" w:rsidP="00922FC8">
            <w:pPr>
              <w:pStyle w:val="Tabletext"/>
            </w:pPr>
          </w:p>
        </w:tc>
      </w:tr>
    </w:tbl>
    <w:p w14:paraId="0C5CCDB1" w14:textId="77777777" w:rsidR="00BC5BDF" w:rsidRPr="00D0373D" w:rsidRDefault="00BC5BDF" w:rsidP="00BC5BDF">
      <w:pPr>
        <w:pStyle w:val="notetext"/>
        <w:spacing w:line="240" w:lineRule="auto"/>
        <w:rPr>
          <w:snapToGrid w:val="0"/>
          <w:lang w:eastAsia="en-US"/>
        </w:rPr>
      </w:pPr>
      <w:r w:rsidRPr="00D0373D">
        <w:rPr>
          <w:snapToGrid w:val="0"/>
          <w:lang w:eastAsia="en-US"/>
        </w:rPr>
        <w:t>Note:</w:t>
      </w:r>
      <w:r w:rsidRPr="00D0373D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624C276C" w14:textId="6750A22F" w:rsidR="00232984" w:rsidRPr="00232984" w:rsidRDefault="00BC5BDF" w:rsidP="00E3617B">
      <w:pPr>
        <w:pStyle w:val="subsection"/>
        <w:numPr>
          <w:ilvl w:val="0"/>
          <w:numId w:val="4"/>
        </w:numPr>
      </w:pPr>
      <w:r w:rsidRPr="001423EF">
        <w:t>Any information in column 3 of the table is not part of this instrument. Information may be inserted in this column, or information in it may be edited, in any published version of this instrument.</w:t>
      </w:r>
      <w:r w:rsidR="00232984">
        <w:tab/>
      </w:r>
      <w:r w:rsidR="00232984">
        <w:tab/>
      </w:r>
    </w:p>
    <w:p w14:paraId="1E914C47" w14:textId="77777777" w:rsidR="00A75FE9" w:rsidRPr="009C2562" w:rsidRDefault="00A75FE9" w:rsidP="00A75FE9">
      <w:pPr>
        <w:pStyle w:val="ActHead5"/>
      </w:pPr>
      <w:bookmarkStart w:id="7" w:name="_Toc492386648"/>
      <w:r w:rsidRPr="009C2562">
        <w:rPr>
          <w:rStyle w:val="CharSectno"/>
        </w:rPr>
        <w:t>3</w:t>
      </w:r>
      <w:r w:rsidRPr="009C2562">
        <w:t xml:space="preserve">  Authority</w:t>
      </w:r>
      <w:bookmarkEnd w:id="7"/>
    </w:p>
    <w:p w14:paraId="2B8054E8" w14:textId="77777777" w:rsidR="005D3116" w:rsidRDefault="00A75FE9" w:rsidP="00016320">
      <w:pPr>
        <w:pStyle w:val="subsection"/>
        <w:tabs>
          <w:tab w:val="clear" w:pos="1021"/>
          <w:tab w:val="right" w:pos="993"/>
        </w:tabs>
        <w:ind w:left="709" w:hanging="283"/>
      </w:pPr>
      <w:r w:rsidRPr="009C2562">
        <w:tab/>
      </w:r>
      <w:r w:rsidRPr="009C2562">
        <w:tab/>
        <w:t xml:space="preserve">This instrument is made under </w:t>
      </w:r>
      <w:r w:rsidR="00FD5EB2">
        <w:t xml:space="preserve">the following provisions of the </w:t>
      </w:r>
      <w:r w:rsidR="005D3116">
        <w:t>Regulations:</w:t>
      </w:r>
    </w:p>
    <w:p w14:paraId="2B81454D" w14:textId="087F5D0D" w:rsidR="00E44E53" w:rsidRDefault="002C72DC" w:rsidP="00E3617B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497" w:hanging="221"/>
      </w:pPr>
      <w:r>
        <w:t>regulation 3AA</w:t>
      </w:r>
      <w:r w:rsidR="00E44E53">
        <w:t>;</w:t>
      </w:r>
    </w:p>
    <w:p w14:paraId="19217844" w14:textId="54D456F0" w:rsidR="0067376E" w:rsidRDefault="0067376E" w:rsidP="00E3617B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497" w:hanging="221"/>
      </w:pPr>
      <w:r>
        <w:t>paragraph 6(2)(c);</w:t>
      </w:r>
    </w:p>
    <w:p w14:paraId="3168BF34" w14:textId="77777777" w:rsidR="00E44E53" w:rsidRDefault="00E44E53" w:rsidP="00E3617B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497" w:hanging="221"/>
      </w:pPr>
      <w:r>
        <w:t>regulation 9F;</w:t>
      </w:r>
    </w:p>
    <w:p w14:paraId="033E8D5E" w14:textId="2AFA4586" w:rsidR="00E44E53" w:rsidRDefault="00E44E53" w:rsidP="00E3617B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497" w:hanging="221"/>
      </w:pPr>
      <w:r>
        <w:t>paragraph 9G(1)(c);</w:t>
      </w:r>
    </w:p>
    <w:p w14:paraId="41A26106" w14:textId="77777777" w:rsidR="00016320" w:rsidRDefault="00E44E53" w:rsidP="00016320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497" w:hanging="221"/>
      </w:pPr>
      <w:r>
        <w:t>regulation 9J;</w:t>
      </w:r>
    </w:p>
    <w:p w14:paraId="6D18017F" w14:textId="4C7F1055" w:rsidR="005D3116" w:rsidRDefault="00E44E53" w:rsidP="00016320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701" w:hanging="425"/>
      </w:pPr>
      <w:r>
        <w:t>paragraph 9K(1)(c);</w:t>
      </w:r>
    </w:p>
    <w:p w14:paraId="6A87692F" w14:textId="371F32CA" w:rsidR="005D3116" w:rsidRDefault="002C72DC" w:rsidP="00E3617B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497" w:hanging="221"/>
      </w:pPr>
      <w:r>
        <w:t>subregulation 9M(2)</w:t>
      </w:r>
      <w:r w:rsidR="00E44E53">
        <w:t>;</w:t>
      </w:r>
    </w:p>
    <w:p w14:paraId="33118B1E" w14:textId="77777777" w:rsidR="00016320" w:rsidRDefault="002C72DC" w:rsidP="00016320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497" w:hanging="221"/>
      </w:pPr>
      <w:r>
        <w:t>subregulation 9Q(2)</w:t>
      </w:r>
      <w:r w:rsidR="00E44E53">
        <w:t>;</w:t>
      </w:r>
    </w:p>
    <w:p w14:paraId="472804CD" w14:textId="7BACE672" w:rsidR="00A75FE9" w:rsidRPr="009C2562" w:rsidRDefault="00E44E53" w:rsidP="00016320">
      <w:pPr>
        <w:pStyle w:val="subsection"/>
        <w:numPr>
          <w:ilvl w:val="0"/>
          <w:numId w:val="5"/>
        </w:numPr>
        <w:tabs>
          <w:tab w:val="clear" w:pos="1021"/>
          <w:tab w:val="right" w:pos="1701"/>
        </w:tabs>
        <w:spacing w:before="0"/>
        <w:ind w:left="1701" w:hanging="425"/>
      </w:pPr>
      <w:r>
        <w:t>clause 7A of Schedule 1.</w:t>
      </w:r>
    </w:p>
    <w:p w14:paraId="037EF87C" w14:textId="77777777" w:rsidR="00A22396" w:rsidRDefault="00A22396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8" w:name="_Toc492386649"/>
      <w:r>
        <w:rPr>
          <w:rStyle w:val="CharSectno"/>
        </w:rPr>
        <w:br w:type="page"/>
      </w:r>
    </w:p>
    <w:p w14:paraId="654D1179" w14:textId="1980F68B" w:rsidR="00A75FE9" w:rsidRDefault="00A75FE9" w:rsidP="00A75FE9">
      <w:pPr>
        <w:pStyle w:val="ActHead5"/>
      </w:pPr>
      <w:r w:rsidRPr="009C2562">
        <w:rPr>
          <w:rStyle w:val="CharSectno"/>
        </w:rPr>
        <w:lastRenderedPageBreak/>
        <w:t>4</w:t>
      </w:r>
      <w:r w:rsidRPr="009C2562">
        <w:t xml:space="preserve">  Definitions</w:t>
      </w:r>
      <w:bookmarkEnd w:id="8"/>
    </w:p>
    <w:p w14:paraId="58A44977" w14:textId="143D7204" w:rsidR="00C0334E" w:rsidRPr="00BA38FB" w:rsidRDefault="00C0334E" w:rsidP="00C0334E">
      <w:pPr>
        <w:pStyle w:val="notetext"/>
      </w:pPr>
      <w:r w:rsidRPr="00BA38FB">
        <w:t>Note:</w:t>
      </w:r>
      <w:r w:rsidRPr="00BA38FB">
        <w:tab/>
        <w:t xml:space="preserve">A number of expressions used in this instrument are defined in </w:t>
      </w:r>
      <w:r w:rsidR="003B4911">
        <w:t xml:space="preserve">the </w:t>
      </w:r>
      <w:r w:rsidR="001F6E6F" w:rsidRPr="001F6E6F">
        <w:rPr>
          <w:i/>
        </w:rPr>
        <w:t>Migration Act 1958</w:t>
      </w:r>
      <w:r w:rsidR="001F6E6F">
        <w:t xml:space="preserve"> or the </w:t>
      </w:r>
      <w:r w:rsidRPr="00BA38FB">
        <w:t xml:space="preserve">definitions section of the </w:t>
      </w:r>
      <w:r w:rsidR="00976E19">
        <w:t>Regulations</w:t>
      </w:r>
      <w:r w:rsidRPr="00BA38FB">
        <w:t>, including the following:</w:t>
      </w:r>
    </w:p>
    <w:p w14:paraId="31A33365" w14:textId="5D4A901E" w:rsidR="00C0334E" w:rsidRPr="005B7877" w:rsidRDefault="005B7877" w:rsidP="00E3617B">
      <w:pPr>
        <w:pStyle w:val="notepara"/>
        <w:numPr>
          <w:ilvl w:val="0"/>
          <w:numId w:val="3"/>
        </w:numPr>
      </w:pPr>
      <w:r>
        <w:t>CPD activity</w:t>
      </w:r>
      <w:r w:rsidR="00976E19">
        <w:t>;</w:t>
      </w:r>
    </w:p>
    <w:p w14:paraId="5CF78960" w14:textId="300ECC58" w:rsidR="00C0334E" w:rsidRDefault="005B7877" w:rsidP="00E3617B">
      <w:pPr>
        <w:pStyle w:val="notepara"/>
        <w:numPr>
          <w:ilvl w:val="0"/>
          <w:numId w:val="3"/>
        </w:numPr>
      </w:pPr>
      <w:r>
        <w:t>CPD provider</w:t>
      </w:r>
      <w:r w:rsidR="001F6E6F">
        <w:t>;</w:t>
      </w:r>
    </w:p>
    <w:p w14:paraId="42C22895" w14:textId="35EC84D6" w:rsidR="00EF4D7B" w:rsidRDefault="00EF4D7B" w:rsidP="00E3617B">
      <w:pPr>
        <w:pStyle w:val="notepara"/>
        <w:numPr>
          <w:ilvl w:val="0"/>
          <w:numId w:val="3"/>
        </w:numPr>
      </w:pPr>
      <w:r>
        <w:t>CPD provider standards;</w:t>
      </w:r>
    </w:p>
    <w:p w14:paraId="38F78BA6" w14:textId="5C5B7591" w:rsidR="001F6E6F" w:rsidRPr="00C0334E" w:rsidRDefault="001F6E6F" w:rsidP="00E3617B">
      <w:pPr>
        <w:pStyle w:val="notepara"/>
        <w:numPr>
          <w:ilvl w:val="0"/>
          <w:numId w:val="3"/>
        </w:numPr>
      </w:pPr>
      <w:r>
        <w:t>registered migration agent.</w:t>
      </w:r>
    </w:p>
    <w:p w14:paraId="1F5DFFFE" w14:textId="77777777" w:rsidR="00A75FE9" w:rsidRPr="008218CE" w:rsidRDefault="00A75FE9" w:rsidP="00A75FE9">
      <w:pPr>
        <w:pStyle w:val="subsection"/>
      </w:pPr>
      <w:r w:rsidRPr="0013425B">
        <w:tab/>
      </w:r>
      <w:r w:rsidRPr="0013425B">
        <w:tab/>
      </w:r>
      <w:r w:rsidRPr="008218CE">
        <w:t>In this instrument:</w:t>
      </w:r>
    </w:p>
    <w:p w14:paraId="74327E20" w14:textId="43E6232E" w:rsidR="007812FA" w:rsidRPr="00840242" w:rsidRDefault="0008661F" w:rsidP="008218CE">
      <w:pPr>
        <w:pStyle w:val="Definition"/>
      </w:pPr>
      <w:r w:rsidRPr="008218CE">
        <w:rPr>
          <w:b/>
          <w:i/>
        </w:rPr>
        <w:t>Regulations</w:t>
      </w:r>
      <w:r w:rsidR="00A75FE9" w:rsidRPr="008218CE">
        <w:rPr>
          <w:b/>
          <w:i/>
        </w:rPr>
        <w:t xml:space="preserve"> </w:t>
      </w:r>
      <w:r w:rsidR="00A75FE9" w:rsidRPr="008218CE">
        <w:t xml:space="preserve">means </w:t>
      </w:r>
      <w:r w:rsidR="00057F4D" w:rsidRPr="008218CE">
        <w:t xml:space="preserve">the </w:t>
      </w:r>
      <w:r w:rsidRPr="008218CE">
        <w:rPr>
          <w:i/>
        </w:rPr>
        <w:t xml:space="preserve">Migration </w:t>
      </w:r>
      <w:r w:rsidR="002C72DC" w:rsidRPr="008218CE">
        <w:rPr>
          <w:i/>
        </w:rPr>
        <w:t>Agents Regulations 1998</w:t>
      </w:r>
      <w:r w:rsidR="00840242">
        <w:t>.</w:t>
      </w:r>
    </w:p>
    <w:p w14:paraId="1648B600" w14:textId="771D7C9B" w:rsidR="00192717" w:rsidRPr="00192717" w:rsidRDefault="00192717" w:rsidP="00192717">
      <w:pPr>
        <w:pStyle w:val="Definition"/>
        <w:rPr>
          <w:szCs w:val="22"/>
        </w:rPr>
      </w:pPr>
      <w:r>
        <w:rPr>
          <w:b/>
          <w:i/>
        </w:rPr>
        <w:t xml:space="preserve">OMARA </w:t>
      </w:r>
      <w:r>
        <w:t xml:space="preserve">means the </w:t>
      </w:r>
      <w:r w:rsidRPr="00192717">
        <w:rPr>
          <w:szCs w:val="22"/>
        </w:rPr>
        <w:t>Office of the Migration Agents Registration Authority</w:t>
      </w:r>
      <w:r w:rsidR="00840242">
        <w:rPr>
          <w:szCs w:val="22"/>
        </w:rPr>
        <w:t>.</w:t>
      </w:r>
    </w:p>
    <w:p w14:paraId="501D7D12" w14:textId="77777777" w:rsidR="007F51B2" w:rsidRPr="005A65D5" w:rsidRDefault="007F51B2" w:rsidP="005A65D5">
      <w:pPr>
        <w:pStyle w:val="ActHead5"/>
      </w:pPr>
      <w:bookmarkStart w:id="9" w:name="_Toc454781205"/>
      <w:bookmarkStart w:id="10" w:name="_Toc492386650"/>
      <w:r w:rsidRPr="005A65D5">
        <w:t>5  Schedules</w:t>
      </w:r>
      <w:bookmarkEnd w:id="9"/>
      <w:bookmarkEnd w:id="10"/>
    </w:p>
    <w:p w14:paraId="165407AA" w14:textId="77777777" w:rsidR="007F51B2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0B6BC5B" w14:textId="77777777" w:rsidR="0008661F" w:rsidRDefault="0008661F" w:rsidP="0008661F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6D64C05A" w14:textId="77777777" w:rsidR="0008661F" w:rsidRDefault="0008661F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4D343FF8" w14:textId="77777777" w:rsidR="00E03F87" w:rsidRPr="00D00753" w:rsidRDefault="00E03F87" w:rsidP="00057F4D">
      <w:pPr>
        <w:pStyle w:val="ActHead6"/>
        <w:rPr>
          <w:rFonts w:ascii="Times New Roman" w:hAnsi="Times New Roman"/>
        </w:rPr>
      </w:pPr>
      <w:bookmarkStart w:id="11" w:name="_Toc492386651"/>
      <w:bookmarkStart w:id="12" w:name="_Toc454512518"/>
      <w:r w:rsidRPr="00D00753">
        <w:rPr>
          <w:rFonts w:ascii="Times New Roman" w:hAnsi="Times New Roman"/>
        </w:rPr>
        <w:lastRenderedPageBreak/>
        <w:t xml:space="preserve">Part 2 – </w:t>
      </w:r>
      <w:r w:rsidR="002C72DC" w:rsidRPr="00D00753">
        <w:rPr>
          <w:rFonts w:ascii="Times New Roman" w:hAnsi="Times New Roman"/>
        </w:rPr>
        <w:t>Matters relating to CPD activities</w:t>
      </w:r>
      <w:bookmarkEnd w:id="11"/>
    </w:p>
    <w:p w14:paraId="6886EFEC" w14:textId="77777777" w:rsidR="0008661F" w:rsidRPr="00E61949" w:rsidRDefault="0008661F" w:rsidP="0008661F">
      <w:pPr>
        <w:pStyle w:val="ActHead5"/>
      </w:pPr>
      <w:bookmarkStart w:id="13" w:name="_Toc492386652"/>
      <w:r w:rsidRPr="00E61949">
        <w:t xml:space="preserve">6  </w:t>
      </w:r>
      <w:r w:rsidR="002C72DC">
        <w:t>Matters relating to CPD activities</w:t>
      </w:r>
      <w:bookmarkEnd w:id="13"/>
    </w:p>
    <w:p w14:paraId="1BAF20FB" w14:textId="560F75AB" w:rsidR="0008661F" w:rsidRDefault="0008661F" w:rsidP="007C1269">
      <w:pPr>
        <w:pStyle w:val="subsection"/>
        <w:ind w:hanging="425"/>
      </w:pPr>
      <w:r w:rsidRPr="00E61949">
        <w:t>(1)</w:t>
      </w:r>
      <w:r w:rsidRPr="00E61949">
        <w:tab/>
      </w:r>
      <w:r w:rsidR="007C1269">
        <w:tab/>
      </w:r>
      <w:r w:rsidR="00D154C8" w:rsidRPr="00E61949">
        <w:t xml:space="preserve">For </w:t>
      </w:r>
      <w:r w:rsidR="002B2E87">
        <w:t>t</w:t>
      </w:r>
      <w:r w:rsidR="005D3A40">
        <w:t xml:space="preserve">he purposes of </w:t>
      </w:r>
      <w:r w:rsidR="00E83D7F">
        <w:t xml:space="preserve">the definition of </w:t>
      </w:r>
      <w:r w:rsidR="00E83D7F" w:rsidRPr="00EF4D7B">
        <w:t>CPD a</w:t>
      </w:r>
      <w:r w:rsidR="005D3A40" w:rsidRPr="00EF4D7B">
        <w:t>ctivity</w:t>
      </w:r>
      <w:r w:rsidR="005D3A40">
        <w:t xml:space="preserve"> in </w:t>
      </w:r>
      <w:r w:rsidR="003A5BD3">
        <w:t xml:space="preserve">subregulation 3(1) </w:t>
      </w:r>
      <w:r w:rsidR="002C72DC">
        <w:t>of</w:t>
      </w:r>
      <w:r w:rsidR="00D154C8" w:rsidRPr="00E61949">
        <w:t xml:space="preserve"> the Regulations</w:t>
      </w:r>
      <w:r w:rsidR="003B1DC2" w:rsidRPr="00E61949">
        <w:t>,</w:t>
      </w:r>
      <w:r w:rsidR="00D154C8" w:rsidRPr="00E61949">
        <w:t xml:space="preserve"> </w:t>
      </w:r>
      <w:r w:rsidR="004064FA">
        <w:t xml:space="preserve">the </w:t>
      </w:r>
      <w:r w:rsidR="00DC5364">
        <w:t>following</w:t>
      </w:r>
      <w:r w:rsidR="00977115">
        <w:t xml:space="preserve"> matters</w:t>
      </w:r>
      <w:r w:rsidR="00DC5364">
        <w:t xml:space="preserve"> </w:t>
      </w:r>
      <w:r w:rsidR="002A32B0">
        <w:t>are specified</w:t>
      </w:r>
      <w:r w:rsidR="00823107">
        <w:t xml:space="preserve"> in Schedule 1 to this instrument</w:t>
      </w:r>
      <w:r w:rsidR="00385E3C">
        <w:t xml:space="preserve"> for each item</w:t>
      </w:r>
      <w:r w:rsidR="00DC5364">
        <w:t>:</w:t>
      </w:r>
    </w:p>
    <w:p w14:paraId="2890F468" w14:textId="0616AA0C" w:rsidR="00DC5364" w:rsidRDefault="005B7877" w:rsidP="00B57DFB">
      <w:pPr>
        <w:pStyle w:val="subsection"/>
        <w:tabs>
          <w:tab w:val="clear" w:pos="1021"/>
          <w:tab w:val="right" w:pos="1418"/>
        </w:tabs>
        <w:ind w:left="1276" w:hanging="142"/>
      </w:pPr>
      <w:r>
        <w:tab/>
      </w:r>
      <w:r w:rsidR="00B57DFB">
        <w:tab/>
      </w:r>
      <w:r>
        <w:t>(a) activities (Column 1</w:t>
      </w:r>
      <w:r w:rsidR="00DC5364">
        <w:t>);</w:t>
      </w:r>
    </w:p>
    <w:p w14:paraId="5BFD0E99" w14:textId="18037A21" w:rsidR="00DC5364" w:rsidRDefault="005C31E2" w:rsidP="00B57DFB">
      <w:pPr>
        <w:pStyle w:val="subsection"/>
        <w:tabs>
          <w:tab w:val="clear" w:pos="1021"/>
          <w:tab w:val="right" w:pos="1418"/>
        </w:tabs>
        <w:ind w:left="1276" w:hanging="142"/>
      </w:pPr>
      <w:r>
        <w:tab/>
      </w:r>
      <w:r>
        <w:tab/>
        <w:t>(b</w:t>
      </w:r>
      <w:r w:rsidR="00B544AE">
        <w:t>) the conditions for the condu</w:t>
      </w:r>
      <w:r w:rsidR="00D3440B">
        <w:t xml:space="preserve">ct of </w:t>
      </w:r>
      <w:r w:rsidR="00E84EE5">
        <w:t>each activity</w:t>
      </w:r>
      <w:r w:rsidR="00D3440B">
        <w:t xml:space="preserve"> (Column 2</w:t>
      </w:r>
      <w:r w:rsidR="00B544AE">
        <w:t>);</w:t>
      </w:r>
    </w:p>
    <w:p w14:paraId="1625F51A" w14:textId="01AC721C" w:rsidR="00B544AE" w:rsidRDefault="005C31E2" w:rsidP="00B57DFB">
      <w:pPr>
        <w:pStyle w:val="subsection"/>
        <w:tabs>
          <w:tab w:val="clear" w:pos="1021"/>
          <w:tab w:val="right" w:pos="1418"/>
        </w:tabs>
        <w:ind w:left="1276" w:hanging="142"/>
      </w:pPr>
      <w:r>
        <w:tab/>
      </w:r>
      <w:r>
        <w:tab/>
        <w:t>(c</w:t>
      </w:r>
      <w:r w:rsidR="00B544AE">
        <w:t xml:space="preserve">) the points that </w:t>
      </w:r>
      <w:r w:rsidR="00E84EE5">
        <w:t>each activity</w:t>
      </w:r>
      <w:r w:rsidR="00D3440B">
        <w:t xml:space="preserve"> </w:t>
      </w:r>
      <w:r w:rsidR="00E84EE5">
        <w:t xml:space="preserve">is </w:t>
      </w:r>
      <w:r w:rsidR="00D3440B">
        <w:t>worth (Column 3</w:t>
      </w:r>
      <w:r w:rsidR="00B544AE">
        <w:t>).</w:t>
      </w:r>
    </w:p>
    <w:p w14:paraId="4938A10A" w14:textId="62A22EEC" w:rsidR="00780DF2" w:rsidRDefault="005C31E2" w:rsidP="005C31E2">
      <w:pPr>
        <w:pStyle w:val="subsection"/>
        <w:ind w:hanging="425"/>
      </w:pPr>
      <w:r>
        <w:tab/>
        <w:t xml:space="preserve">(2)   For </w:t>
      </w:r>
      <w:r w:rsidR="00977115">
        <w:t>the pur</w:t>
      </w:r>
      <w:r w:rsidR="00E83D7F">
        <w:t>poses of the definition of CPD a</w:t>
      </w:r>
      <w:r w:rsidR="00977115">
        <w:t xml:space="preserve">ctivity in subregulation 3(1) </w:t>
      </w:r>
      <w:r>
        <w:t>of the Regulations</w:t>
      </w:r>
      <w:r w:rsidR="00D3440B">
        <w:t>, the activities in Column 1</w:t>
      </w:r>
      <w:r>
        <w:t xml:space="preserve"> </w:t>
      </w:r>
      <w:r w:rsidR="00D3440B">
        <w:t xml:space="preserve">of Schedule 1 to this instrument </w:t>
      </w:r>
      <w:r>
        <w:t xml:space="preserve">must relate to </w:t>
      </w:r>
      <w:r w:rsidR="00780DF2">
        <w:t>one</w:t>
      </w:r>
      <w:r w:rsidR="00B87409">
        <w:t xml:space="preserve"> or more</w:t>
      </w:r>
      <w:r w:rsidR="00780DF2">
        <w:t xml:space="preserve"> of the following </w:t>
      </w:r>
      <w:r w:rsidR="007440D7">
        <w:t xml:space="preserve">specified </w:t>
      </w:r>
      <w:r w:rsidR="00780DF2">
        <w:t>topics:</w:t>
      </w:r>
    </w:p>
    <w:p w14:paraId="6E064596" w14:textId="77777777" w:rsidR="00D00753" w:rsidRDefault="00B87409" w:rsidP="00E3617B">
      <w:pPr>
        <w:pStyle w:val="subsection"/>
        <w:numPr>
          <w:ilvl w:val="0"/>
          <w:numId w:val="6"/>
        </w:numPr>
        <w:tabs>
          <w:tab w:val="clear" w:pos="1021"/>
          <w:tab w:val="right" w:pos="1276"/>
        </w:tabs>
      </w:pPr>
      <w:r>
        <w:t xml:space="preserve">the </w:t>
      </w:r>
      <w:r w:rsidRPr="00780DF2">
        <w:rPr>
          <w:i/>
        </w:rPr>
        <w:t>Migration Act 1958</w:t>
      </w:r>
      <w:r>
        <w:t>;</w:t>
      </w:r>
    </w:p>
    <w:p w14:paraId="593F1060" w14:textId="6E9E8D10" w:rsidR="00B87409" w:rsidRDefault="00B87409" w:rsidP="00E3617B">
      <w:pPr>
        <w:pStyle w:val="subsection"/>
        <w:numPr>
          <w:ilvl w:val="0"/>
          <w:numId w:val="6"/>
        </w:numPr>
        <w:tabs>
          <w:tab w:val="clear" w:pos="1021"/>
          <w:tab w:val="right" w:pos="1276"/>
        </w:tabs>
      </w:pPr>
      <w:r>
        <w:t>the Regulations;</w:t>
      </w:r>
    </w:p>
    <w:p w14:paraId="5EE22ED1" w14:textId="1000B6E1" w:rsidR="00D00753" w:rsidRDefault="00D00753" w:rsidP="00E3617B">
      <w:pPr>
        <w:pStyle w:val="subsection"/>
        <w:numPr>
          <w:ilvl w:val="0"/>
          <w:numId w:val="6"/>
        </w:numPr>
        <w:tabs>
          <w:tab w:val="clear" w:pos="1021"/>
          <w:tab w:val="right" w:pos="1276"/>
        </w:tabs>
      </w:pPr>
      <w:r>
        <w:t>other legislation relating to migration procedure;</w:t>
      </w:r>
    </w:p>
    <w:p w14:paraId="2448C8F9" w14:textId="607E766E" w:rsidR="00D00753" w:rsidRDefault="00D00753" w:rsidP="00E3617B">
      <w:pPr>
        <w:pStyle w:val="subsection"/>
        <w:numPr>
          <w:ilvl w:val="0"/>
          <w:numId w:val="6"/>
        </w:numPr>
        <w:tabs>
          <w:tab w:val="clear" w:pos="1021"/>
          <w:tab w:val="right" w:pos="1276"/>
        </w:tabs>
      </w:pPr>
      <w:r>
        <w:t>portfolio policies and procedures;</w:t>
      </w:r>
    </w:p>
    <w:p w14:paraId="7D7AF6C9" w14:textId="257B5080" w:rsidR="00D00753" w:rsidRDefault="00D00753" w:rsidP="00E3617B">
      <w:pPr>
        <w:pStyle w:val="subsection"/>
        <w:numPr>
          <w:ilvl w:val="0"/>
          <w:numId w:val="6"/>
        </w:numPr>
        <w:tabs>
          <w:tab w:val="clear" w:pos="1021"/>
          <w:tab w:val="right" w:pos="1276"/>
        </w:tabs>
      </w:pPr>
      <w:r>
        <w:t>the application of paragraphs (a), (b), (c) or (d) to the registered migration agent’s practice;</w:t>
      </w:r>
    </w:p>
    <w:p w14:paraId="065B03ED" w14:textId="72CE6D28" w:rsidR="00D00753" w:rsidRDefault="00D00753" w:rsidP="00E3617B">
      <w:pPr>
        <w:pStyle w:val="subsection"/>
        <w:numPr>
          <w:ilvl w:val="0"/>
          <w:numId w:val="6"/>
        </w:numPr>
        <w:tabs>
          <w:tab w:val="clear" w:pos="1021"/>
          <w:tab w:val="right" w:pos="1276"/>
        </w:tabs>
      </w:pPr>
      <w:r>
        <w:t>a topic of a legal or business nature that is relevant to a registered migration agent’s practice as a registered migration agent;</w:t>
      </w:r>
    </w:p>
    <w:p w14:paraId="20C6E0AA" w14:textId="1C47A626" w:rsidR="00D00753" w:rsidRDefault="00D00753" w:rsidP="00E3617B">
      <w:pPr>
        <w:pStyle w:val="subsection"/>
        <w:numPr>
          <w:ilvl w:val="0"/>
          <w:numId w:val="6"/>
        </w:numPr>
        <w:tabs>
          <w:tab w:val="clear" w:pos="1021"/>
          <w:tab w:val="right" w:pos="1276"/>
        </w:tabs>
      </w:pPr>
      <w:r w:rsidRPr="00DC1CA9">
        <w:t>a topic relating to the ethical standards for migration agents, or relating</w:t>
      </w:r>
      <w:r>
        <w:t xml:space="preserve"> to the Code of Conduct at Schedule 2 to the Regulations.</w:t>
      </w:r>
    </w:p>
    <w:p w14:paraId="03BDBE86" w14:textId="77777777" w:rsidR="00371F84" w:rsidRDefault="00371F84" w:rsidP="007913ED">
      <w:pPr>
        <w:pStyle w:val="subsection"/>
        <w:tabs>
          <w:tab w:val="clear" w:pos="1021"/>
          <w:tab w:val="right" w:pos="1276"/>
        </w:tabs>
        <w:spacing w:before="0"/>
      </w:pPr>
    </w:p>
    <w:p w14:paraId="1D28B557" w14:textId="7DBBBCB4" w:rsidR="00371F84" w:rsidRPr="00840242" w:rsidRDefault="00666F88" w:rsidP="00840242">
      <w:pPr>
        <w:spacing w:line="240" w:lineRule="auto"/>
        <w:ind w:left="2160" w:hanging="524"/>
        <w:rPr>
          <w:rFonts w:eastAsia="Times New Roman" w:cs="Times New Roman"/>
          <w:b/>
          <w:kern w:val="28"/>
          <w:sz w:val="16"/>
          <w:szCs w:val="16"/>
          <w:lang w:eastAsia="en-AU"/>
        </w:rPr>
      </w:pPr>
      <w:r w:rsidRPr="00840242">
        <w:rPr>
          <w:sz w:val="16"/>
          <w:szCs w:val="16"/>
        </w:rPr>
        <w:t>Note:</w:t>
      </w:r>
      <w:r w:rsidRPr="00840242">
        <w:rPr>
          <w:sz w:val="16"/>
          <w:szCs w:val="16"/>
        </w:rPr>
        <w:tab/>
        <w:t xml:space="preserve">The definition of CPD activity in subregulation 3(1) of the Regulations </w:t>
      </w:r>
      <w:r w:rsidR="00C763E8" w:rsidRPr="00840242">
        <w:rPr>
          <w:sz w:val="16"/>
          <w:szCs w:val="16"/>
        </w:rPr>
        <w:t>requires</w:t>
      </w:r>
      <w:r w:rsidRPr="00840242">
        <w:rPr>
          <w:sz w:val="16"/>
          <w:szCs w:val="16"/>
        </w:rPr>
        <w:t xml:space="preserve"> that a CPD activity be conducted by a CPD Provider. </w:t>
      </w:r>
      <w:r w:rsidR="00371F84" w:rsidRPr="00840242">
        <w:rPr>
          <w:sz w:val="16"/>
          <w:szCs w:val="16"/>
        </w:rPr>
        <w:br w:type="page"/>
      </w:r>
    </w:p>
    <w:p w14:paraId="28099AC3" w14:textId="515AA2E9" w:rsidR="000374E3" w:rsidRDefault="000374E3" w:rsidP="000374E3">
      <w:pPr>
        <w:pStyle w:val="ActHead5"/>
      </w:pPr>
      <w:bookmarkStart w:id="14" w:name="_Toc492386653"/>
      <w:r>
        <w:lastRenderedPageBreak/>
        <w:t>7  Mandatory activities and minimum number of points for mandatory activities</w:t>
      </w:r>
      <w:bookmarkEnd w:id="14"/>
    </w:p>
    <w:p w14:paraId="6AA3254B" w14:textId="24269DAE" w:rsidR="00447D4F" w:rsidRDefault="00447D4F" w:rsidP="00447D4F">
      <w:pPr>
        <w:pStyle w:val="subsection"/>
        <w:tabs>
          <w:tab w:val="clear" w:pos="1021"/>
          <w:tab w:val="right" w:pos="993"/>
        </w:tabs>
        <w:ind w:hanging="425"/>
      </w:pPr>
      <w:r>
        <w:t>(1)   For</w:t>
      </w:r>
      <w:r w:rsidR="009C79FD">
        <w:t xml:space="preserve"> the purposes of the definition </w:t>
      </w:r>
      <w:r w:rsidR="00E83D7F">
        <w:t xml:space="preserve">of </w:t>
      </w:r>
      <w:r w:rsidR="00E83D7F" w:rsidRPr="00EF4D7B">
        <w:t>CPD a</w:t>
      </w:r>
      <w:r w:rsidR="009C79FD" w:rsidRPr="00EF4D7B">
        <w:t>ctivity</w:t>
      </w:r>
      <w:r w:rsidR="009C79FD">
        <w:t xml:space="preserve"> in subregulation 3(1)</w:t>
      </w:r>
      <w:r>
        <w:t xml:space="preserve"> of the Regulations, </w:t>
      </w:r>
      <w:r w:rsidR="00385E3C">
        <w:t>the activities</w:t>
      </w:r>
      <w:r w:rsidR="009C79FD">
        <w:t xml:space="preserve"> mentioned</w:t>
      </w:r>
      <w:r>
        <w:t xml:space="preserve"> </w:t>
      </w:r>
      <w:r w:rsidR="00385E3C">
        <w:t xml:space="preserve">for each item </w:t>
      </w:r>
      <w:r w:rsidR="009C79FD">
        <w:t xml:space="preserve">in </w:t>
      </w:r>
      <w:r w:rsidR="00765F52">
        <w:t>c</w:t>
      </w:r>
      <w:r>
        <w:t>olumn 1</w:t>
      </w:r>
      <w:r w:rsidR="00385E3C">
        <w:t>,</w:t>
      </w:r>
      <w:r w:rsidR="009C79FD">
        <w:t xml:space="preserve"> </w:t>
      </w:r>
      <w:r>
        <w:t xml:space="preserve">and the minimum number of points for </w:t>
      </w:r>
      <w:r w:rsidR="00385E3C">
        <w:t xml:space="preserve">each </w:t>
      </w:r>
      <w:r>
        <w:t>activit</w:t>
      </w:r>
      <w:r w:rsidR="00385E3C">
        <w:t xml:space="preserve">y </w:t>
      </w:r>
      <w:r w:rsidR="009C79FD">
        <w:t xml:space="preserve">in </w:t>
      </w:r>
      <w:r w:rsidR="00765F52">
        <w:t>c</w:t>
      </w:r>
      <w:r>
        <w:t>olumn 2, are specified as mandatory for an applicant descri</w:t>
      </w:r>
      <w:r w:rsidR="00765F52">
        <w:t>bed in c</w:t>
      </w:r>
      <w:r>
        <w:t>olumn 3</w:t>
      </w:r>
      <w:r w:rsidR="002A32B0">
        <w:t xml:space="preserve"> of the following table:</w:t>
      </w:r>
    </w:p>
    <w:p w14:paraId="3596D56C" w14:textId="77777777" w:rsidR="004451CE" w:rsidRDefault="004451CE" w:rsidP="009C79FD">
      <w:pPr>
        <w:pStyle w:val="subsection"/>
        <w:tabs>
          <w:tab w:val="clear" w:pos="1021"/>
          <w:tab w:val="right" w:pos="993"/>
        </w:tabs>
      </w:pPr>
    </w:p>
    <w:tbl>
      <w:tblPr>
        <w:tblW w:w="8298" w:type="dxa"/>
        <w:tblInd w:w="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506"/>
        <w:gridCol w:w="1790"/>
        <w:gridCol w:w="3275"/>
      </w:tblGrid>
      <w:tr w:rsidR="00BA525F" w:rsidRPr="00397476" w14:paraId="28597363" w14:textId="77777777" w:rsidTr="009C79FD">
        <w:trPr>
          <w:trHeight w:val="1418"/>
          <w:tblHeader/>
        </w:trPr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6180BC" w14:textId="77777777" w:rsidR="004451CE" w:rsidRPr="00773D99" w:rsidRDefault="004451CE" w:rsidP="00922FC8">
            <w:pPr>
              <w:pStyle w:val="TableHeading"/>
            </w:pPr>
            <w:r w:rsidRPr="00773D99">
              <w:t>Item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947341" w14:textId="77777777" w:rsidR="004451CE" w:rsidRPr="00773D99" w:rsidRDefault="004451CE" w:rsidP="00922FC8">
            <w:pPr>
              <w:pStyle w:val="TableHeading"/>
            </w:pPr>
            <w:r w:rsidRPr="00773D99">
              <w:t>Column 1</w:t>
            </w:r>
          </w:p>
          <w:p w14:paraId="62165EFA" w14:textId="34A18D4B" w:rsidR="004451CE" w:rsidRPr="00773D99" w:rsidRDefault="004451CE" w:rsidP="00922FC8">
            <w:pPr>
              <w:pStyle w:val="TableHeading"/>
            </w:pPr>
            <w:r>
              <w:t>Mandatory activities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4678E9" w14:textId="77777777" w:rsidR="004451CE" w:rsidRPr="00773D99" w:rsidRDefault="004451CE" w:rsidP="00922FC8">
            <w:pPr>
              <w:pStyle w:val="TableHeading"/>
            </w:pPr>
            <w:r w:rsidRPr="00773D99">
              <w:t>Column 2</w:t>
            </w:r>
          </w:p>
          <w:p w14:paraId="1D993F30" w14:textId="42103C0F" w:rsidR="004451CE" w:rsidRPr="00773D99" w:rsidRDefault="004451CE" w:rsidP="00922FC8">
            <w:pPr>
              <w:pStyle w:val="TableHeading"/>
            </w:pPr>
            <w:r>
              <w:t>Minimum number of points for mandatory activities</w:t>
            </w:r>
          </w:p>
        </w:tc>
        <w:tc>
          <w:tcPr>
            <w:tcW w:w="3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19E54A" w14:textId="77777777" w:rsidR="004451CE" w:rsidRPr="00773D99" w:rsidRDefault="004451CE" w:rsidP="00922FC8">
            <w:pPr>
              <w:pStyle w:val="TableHeading"/>
            </w:pPr>
            <w:r w:rsidRPr="00773D99">
              <w:t>Column 3</w:t>
            </w:r>
          </w:p>
          <w:p w14:paraId="4B7DFAFC" w14:textId="11EEBFB7" w:rsidR="004451CE" w:rsidRPr="00773D99" w:rsidRDefault="004451CE" w:rsidP="00922FC8">
            <w:pPr>
              <w:pStyle w:val="TableHeading"/>
            </w:pPr>
            <w:r>
              <w:t>Applicants for which the activity is mandatory</w:t>
            </w:r>
          </w:p>
        </w:tc>
      </w:tr>
      <w:tr w:rsidR="00BA525F" w:rsidRPr="00397476" w14:paraId="12BB5BC4" w14:textId="77777777" w:rsidTr="00197E76">
        <w:trPr>
          <w:trHeight w:val="298"/>
        </w:trPr>
        <w:tc>
          <w:tcPr>
            <w:tcW w:w="727" w:type="dxa"/>
            <w:shd w:val="clear" w:color="auto" w:fill="auto"/>
          </w:tcPr>
          <w:p w14:paraId="2786FA8B" w14:textId="2C51AD22" w:rsidR="004451CE" w:rsidRPr="00773D99" w:rsidRDefault="005402C0" w:rsidP="00922FC8">
            <w:pPr>
              <w:pStyle w:val="Tabletext"/>
            </w:pPr>
            <w:r>
              <w:t>1</w:t>
            </w:r>
          </w:p>
        </w:tc>
        <w:tc>
          <w:tcPr>
            <w:tcW w:w="2506" w:type="dxa"/>
            <w:shd w:val="clear" w:color="auto" w:fill="auto"/>
          </w:tcPr>
          <w:p w14:paraId="00466511" w14:textId="7B743414" w:rsidR="004451CE" w:rsidRPr="00773D99" w:rsidRDefault="002A32B0" w:rsidP="00922FC8">
            <w:pPr>
              <w:pStyle w:val="Tabletext"/>
            </w:pPr>
            <w:r>
              <w:t>T</w:t>
            </w:r>
            <w:r w:rsidR="005402C0">
              <w:t>he Practic</w:t>
            </w:r>
            <w:r w:rsidR="00765F52">
              <w:t>e Ready Programme mentioned in c</w:t>
            </w:r>
            <w:r w:rsidR="005402C0">
              <w:t>olumn 1 of Schedule 1</w:t>
            </w:r>
            <w:r>
              <w:t xml:space="preserve"> to this instrument</w:t>
            </w:r>
            <w:r w:rsidR="00765F52">
              <w:t>.</w:t>
            </w:r>
          </w:p>
        </w:tc>
        <w:tc>
          <w:tcPr>
            <w:tcW w:w="1790" w:type="dxa"/>
            <w:shd w:val="clear" w:color="auto" w:fill="auto"/>
          </w:tcPr>
          <w:p w14:paraId="279FE3FE" w14:textId="5C1D5112" w:rsidR="004451CE" w:rsidRPr="00773D99" w:rsidRDefault="005402C0" w:rsidP="00922FC8">
            <w:pPr>
              <w:pStyle w:val="Tabletext"/>
            </w:pPr>
            <w:r>
              <w:t>10 points</w:t>
            </w:r>
          </w:p>
        </w:tc>
        <w:tc>
          <w:tcPr>
            <w:tcW w:w="3275" w:type="dxa"/>
            <w:shd w:val="clear" w:color="auto" w:fill="auto"/>
          </w:tcPr>
          <w:p w14:paraId="5DD082A5" w14:textId="5F09AB38" w:rsidR="004451CE" w:rsidRDefault="002A32B0" w:rsidP="00922FC8">
            <w:pPr>
              <w:pStyle w:val="Tabletext"/>
            </w:pPr>
            <w:r>
              <w:t>A</w:t>
            </w:r>
            <w:r w:rsidR="005402C0">
              <w:t xml:space="preserve">n applicant who has applied for repeat registration as a migration agent within 12 months of being registered as a migration agent for the first time (“a </w:t>
            </w:r>
            <w:r w:rsidR="005402C0">
              <w:rPr>
                <w:b/>
                <w:i/>
              </w:rPr>
              <w:t>first year migration agent</w:t>
            </w:r>
            <w:r w:rsidR="005402C0" w:rsidRPr="009C79FD">
              <w:t>”</w:t>
            </w:r>
            <w:r w:rsidR="005402C0">
              <w:t>) and who:</w:t>
            </w:r>
          </w:p>
          <w:p w14:paraId="6B00245C" w14:textId="1F1E5658" w:rsidR="005402C0" w:rsidRPr="00773D99" w:rsidRDefault="005402C0" w:rsidP="005402C0">
            <w:pPr>
              <w:pStyle w:val="Tablea"/>
            </w:pPr>
            <w:r w:rsidRPr="00773D99">
              <w:t xml:space="preserve">(a) </w:t>
            </w:r>
            <w:r>
              <w:t xml:space="preserve">was registered as a migration agent on the basis of obtaining a Graduate Certificate </w:t>
            </w:r>
            <w:r w:rsidR="00061062">
              <w:t xml:space="preserve">in </w:t>
            </w:r>
            <w:r>
              <w:t>Australian Migration Law and Practice</w:t>
            </w:r>
            <w:r w:rsidRPr="00773D99">
              <w:t>; and</w:t>
            </w:r>
          </w:p>
          <w:p w14:paraId="3BFA3E33" w14:textId="0BC81933" w:rsidR="005402C0" w:rsidRPr="005402C0" w:rsidRDefault="005402C0" w:rsidP="009C79FD">
            <w:pPr>
              <w:pStyle w:val="Tablea"/>
            </w:pPr>
            <w:r w:rsidRPr="00773D99">
              <w:t xml:space="preserve">(b) </w:t>
            </w:r>
            <w:r>
              <w:t>does not hold an Australian legal practicing certificate at the time of application</w:t>
            </w:r>
            <w:bookmarkStart w:id="15" w:name="BK_S3P3L21C24"/>
            <w:bookmarkEnd w:id="15"/>
            <w:r w:rsidR="00765F52">
              <w:t>.</w:t>
            </w:r>
          </w:p>
        </w:tc>
      </w:tr>
      <w:tr w:rsidR="00BA525F" w:rsidRPr="00397476" w14:paraId="179A1B7B" w14:textId="77777777" w:rsidTr="003652DF">
        <w:trPr>
          <w:trHeight w:val="819"/>
        </w:trPr>
        <w:tc>
          <w:tcPr>
            <w:tcW w:w="727" w:type="dxa"/>
            <w:tcBorders>
              <w:bottom w:val="single" w:sz="2" w:space="0" w:color="auto"/>
            </w:tcBorders>
            <w:shd w:val="clear" w:color="auto" w:fill="auto"/>
          </w:tcPr>
          <w:p w14:paraId="38BC35AF" w14:textId="3AB0FE9C" w:rsidR="004451CE" w:rsidRPr="00773D99" w:rsidRDefault="005402C0" w:rsidP="00922FC8">
            <w:pPr>
              <w:pStyle w:val="Tabletext"/>
            </w:pPr>
            <w:r>
              <w:t>2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14:paraId="27645F5B" w14:textId="0EBF45C7" w:rsidR="004451CE" w:rsidRPr="00773D99" w:rsidRDefault="002A32B0" w:rsidP="00922FC8">
            <w:pPr>
              <w:pStyle w:val="Tabletext"/>
            </w:pPr>
            <w:r>
              <w:t>A</w:t>
            </w:r>
            <w:r w:rsidR="00765F52">
              <w:t>ny of the activities in c</w:t>
            </w:r>
            <w:r w:rsidR="005402C0">
              <w:t>olumn 1 of Schedule 1</w:t>
            </w:r>
            <w:r>
              <w:t xml:space="preserve"> to this instrument</w:t>
            </w:r>
            <w:r w:rsidR="00765F52">
              <w:t xml:space="preserve"> which are marked as Category A</w:t>
            </w:r>
            <w:r w:rsidR="005402C0">
              <w:t xml:space="preserve"> activities</w:t>
            </w:r>
            <w:r w:rsidR="00765F52">
              <w:t>.</w:t>
            </w:r>
          </w:p>
        </w:tc>
        <w:tc>
          <w:tcPr>
            <w:tcW w:w="1790" w:type="dxa"/>
            <w:tcBorders>
              <w:bottom w:val="single" w:sz="2" w:space="0" w:color="auto"/>
            </w:tcBorders>
            <w:shd w:val="clear" w:color="auto" w:fill="auto"/>
          </w:tcPr>
          <w:p w14:paraId="50AAE54C" w14:textId="285F710E" w:rsidR="004451CE" w:rsidRPr="00773D99" w:rsidRDefault="005402C0" w:rsidP="00922FC8">
            <w:pPr>
              <w:pStyle w:val="Tabletext"/>
            </w:pPr>
            <w:r>
              <w:t>5 points</w:t>
            </w:r>
          </w:p>
        </w:tc>
        <w:tc>
          <w:tcPr>
            <w:tcW w:w="3275" w:type="dxa"/>
            <w:tcBorders>
              <w:bottom w:val="single" w:sz="2" w:space="0" w:color="auto"/>
            </w:tcBorders>
            <w:shd w:val="clear" w:color="auto" w:fill="auto"/>
          </w:tcPr>
          <w:p w14:paraId="75F33F9F" w14:textId="3C31E302" w:rsidR="005402C0" w:rsidRDefault="002A32B0" w:rsidP="005402C0">
            <w:pPr>
              <w:pStyle w:val="Tabletext"/>
            </w:pPr>
            <w:r>
              <w:t>A</w:t>
            </w:r>
            <w:r w:rsidR="005402C0">
              <w:t xml:space="preserve">n applicant for repeat registration as a migration agent, except an applicant who: </w:t>
            </w:r>
          </w:p>
          <w:p w14:paraId="1C427459" w14:textId="77A996BD" w:rsidR="005402C0" w:rsidRPr="00773D99" w:rsidRDefault="005402C0" w:rsidP="005402C0">
            <w:pPr>
              <w:pStyle w:val="Tablea"/>
            </w:pPr>
            <w:r w:rsidRPr="00773D99">
              <w:t xml:space="preserve">(a) </w:t>
            </w:r>
            <w:r>
              <w:t xml:space="preserve">is a </w:t>
            </w:r>
            <w:r w:rsidRPr="00FD2DB0">
              <w:t>first year migration agent</w:t>
            </w:r>
            <w:r>
              <w:t xml:space="preserve"> who is required to complete the Practice Ready Programme as a mandatory activity; or</w:t>
            </w:r>
          </w:p>
          <w:p w14:paraId="69F96F46" w14:textId="2A20F5D2" w:rsidR="004451CE" w:rsidRPr="00773D99" w:rsidRDefault="005402C0" w:rsidP="00A22396">
            <w:pPr>
              <w:pStyle w:val="Tablea"/>
            </w:pPr>
            <w:r w:rsidRPr="00773D99">
              <w:t xml:space="preserve">(b) </w:t>
            </w:r>
            <w:r>
              <w:t>holds an Australia</w:t>
            </w:r>
            <w:r w:rsidR="005245B3">
              <w:t>n</w:t>
            </w:r>
            <w:r>
              <w:t xml:space="preserve"> legal practicing certifi</w:t>
            </w:r>
            <w:r w:rsidR="00A22396">
              <w:t>cate at the time of application</w:t>
            </w:r>
            <w:r w:rsidR="00765F52">
              <w:t>.</w:t>
            </w:r>
          </w:p>
        </w:tc>
      </w:tr>
      <w:tr w:rsidR="00BA525F" w:rsidRPr="00397476" w14:paraId="42092511" w14:textId="77777777" w:rsidTr="003652DF">
        <w:trPr>
          <w:trHeight w:val="298"/>
        </w:trPr>
        <w:tc>
          <w:tcPr>
            <w:tcW w:w="7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1CFD27" w14:textId="2B30F8AE" w:rsidR="004451CE" w:rsidRPr="00773D99" w:rsidRDefault="002A32B0" w:rsidP="00922FC8">
            <w:pPr>
              <w:pStyle w:val="Tabletext"/>
            </w:pPr>
            <w:r>
              <w:t>3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9286EE1" w14:textId="43131A66" w:rsidR="004451CE" w:rsidRPr="00773D99" w:rsidRDefault="002A32B0" w:rsidP="00922FC8">
            <w:pPr>
              <w:pStyle w:val="Tabletext"/>
            </w:pPr>
            <w:r>
              <w:t xml:space="preserve">Any CPD </w:t>
            </w:r>
            <w:r w:rsidR="00E83D7F">
              <w:t>a</w:t>
            </w:r>
            <w:r>
              <w:t>ctivity (whether marked as a Catego</w:t>
            </w:r>
            <w:r w:rsidR="00765F52">
              <w:t>ry A or Category B activity in c</w:t>
            </w:r>
            <w:r>
              <w:t>olumn 1 of Schedule 1 to this instrument) relating to the topic of ethics, or the Code of Conduct at Schedule 2 to the Regulations</w:t>
            </w:r>
            <w:r w:rsidR="00765F52">
              <w:t>.</w:t>
            </w:r>
          </w:p>
        </w:tc>
        <w:tc>
          <w:tcPr>
            <w:tcW w:w="17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325992" w14:textId="5375A36C" w:rsidR="004451CE" w:rsidRPr="00773D99" w:rsidRDefault="004166BD" w:rsidP="00922FC8">
            <w:pPr>
              <w:pStyle w:val="Tabletext"/>
            </w:pPr>
            <w:r>
              <w:t>1 point</w:t>
            </w:r>
          </w:p>
        </w:tc>
        <w:tc>
          <w:tcPr>
            <w:tcW w:w="32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D67249" w14:textId="77777777" w:rsidR="004451CE" w:rsidRDefault="00A93542" w:rsidP="00922FC8">
            <w:pPr>
              <w:pStyle w:val="Tabletext"/>
            </w:pPr>
            <w:r>
              <w:t>An applicant for repeat registration as a migration agent, except an applicant who:</w:t>
            </w:r>
          </w:p>
          <w:p w14:paraId="2E36C689" w14:textId="3FA5DAA7" w:rsidR="00CE27E0" w:rsidRPr="00773D99" w:rsidRDefault="00CE27E0" w:rsidP="00CE27E0">
            <w:pPr>
              <w:pStyle w:val="Tablea"/>
            </w:pPr>
            <w:r w:rsidRPr="00773D99">
              <w:t xml:space="preserve">(a) </w:t>
            </w:r>
            <w:r>
              <w:t xml:space="preserve">is a </w:t>
            </w:r>
            <w:r w:rsidRPr="00FD2DB0">
              <w:t>first year migration agent</w:t>
            </w:r>
            <w:r>
              <w:t xml:space="preserve"> who is required to complete the Practice Ready Programme as a mandatory activity</w:t>
            </w:r>
            <w:r w:rsidRPr="00773D99">
              <w:t xml:space="preserve">; </w:t>
            </w:r>
            <w:r w:rsidR="00061062">
              <w:t>or</w:t>
            </w:r>
          </w:p>
          <w:p w14:paraId="79A319D7" w14:textId="54C45DF7" w:rsidR="00CE27E0" w:rsidRPr="00773D99" w:rsidRDefault="00CE27E0" w:rsidP="009C79FD">
            <w:pPr>
              <w:pStyle w:val="Tablea"/>
            </w:pPr>
            <w:r w:rsidRPr="00773D99">
              <w:t xml:space="preserve">(b) </w:t>
            </w:r>
            <w:r>
              <w:t>holds an Australia</w:t>
            </w:r>
            <w:r w:rsidR="005245B3">
              <w:t>n</w:t>
            </w:r>
            <w:r>
              <w:t xml:space="preserve"> legal practicing certificate at the time of application</w:t>
            </w:r>
            <w:r w:rsidR="00765F52">
              <w:t>.</w:t>
            </w:r>
          </w:p>
        </w:tc>
      </w:tr>
    </w:tbl>
    <w:p w14:paraId="38862E66" w14:textId="77777777" w:rsidR="00B544AE" w:rsidRDefault="002446D9" w:rsidP="00B544AE">
      <w:pPr>
        <w:pStyle w:val="ActHead5"/>
      </w:pPr>
      <w:bookmarkStart w:id="16" w:name="_Toc492386654"/>
      <w:r>
        <w:lastRenderedPageBreak/>
        <w:t>8</w:t>
      </w:r>
      <w:r w:rsidR="00B544AE">
        <w:t xml:space="preserve">  </w:t>
      </w:r>
      <w:r w:rsidR="00FE2970">
        <w:t>A</w:t>
      </w:r>
      <w:r w:rsidR="00723B35">
        <w:t>pplication for a</w:t>
      </w:r>
      <w:r w:rsidR="00FE2970">
        <w:t xml:space="preserve">pproval </w:t>
      </w:r>
      <w:r w:rsidR="00723B35">
        <w:t>as CPD provider</w:t>
      </w:r>
      <w:bookmarkEnd w:id="16"/>
    </w:p>
    <w:p w14:paraId="0EAECD0F" w14:textId="6E7F3B15" w:rsidR="00DC5364" w:rsidRDefault="00723B35" w:rsidP="003652DF">
      <w:pPr>
        <w:pStyle w:val="subsection"/>
        <w:tabs>
          <w:tab w:val="clear" w:pos="1021"/>
          <w:tab w:val="right" w:pos="993"/>
        </w:tabs>
        <w:ind w:left="709" w:firstLine="0"/>
      </w:pPr>
      <w:r>
        <w:t>For</w:t>
      </w:r>
      <w:r w:rsidR="00E83D7F">
        <w:t xml:space="preserve"> the purposes of</w:t>
      </w:r>
      <w:r>
        <w:t xml:space="preserve"> paragraph </w:t>
      </w:r>
      <w:r w:rsidRPr="00981AB0">
        <w:t>9M(</w:t>
      </w:r>
      <w:r w:rsidR="008218CE" w:rsidRPr="00981AB0">
        <w:t>2)(b</w:t>
      </w:r>
      <w:r w:rsidRPr="00981AB0">
        <w:t>)</w:t>
      </w:r>
      <w:r w:rsidR="00B3724C" w:rsidRPr="00981AB0">
        <w:t xml:space="preserve"> of the Regulations</w:t>
      </w:r>
      <w:r w:rsidRPr="00981AB0">
        <w:t>,</w:t>
      </w:r>
      <w:r w:rsidRPr="00835986">
        <w:t xml:space="preserve"> the</w:t>
      </w:r>
      <w:r>
        <w:t xml:space="preserve"> application for approval as a CPD provider must be accompanied by a fee </w:t>
      </w:r>
      <w:r w:rsidRPr="00CE7577">
        <w:t>of $</w:t>
      </w:r>
      <w:r w:rsidR="00CE7577" w:rsidRPr="00CE7577">
        <w:t>1240</w:t>
      </w:r>
      <w:r w:rsidRPr="00CE7577">
        <w:t>.</w:t>
      </w:r>
    </w:p>
    <w:p w14:paraId="62FD6F4C" w14:textId="77777777" w:rsidR="00723B35" w:rsidRDefault="002446D9" w:rsidP="00723B35">
      <w:pPr>
        <w:pStyle w:val="ActHead5"/>
      </w:pPr>
      <w:bookmarkStart w:id="17" w:name="_Toc492386655"/>
      <w:r>
        <w:t>9</w:t>
      </w:r>
      <w:r w:rsidR="00723B35">
        <w:t xml:space="preserve">  </w:t>
      </w:r>
      <w:r w:rsidR="004C7B8C">
        <w:t>CPD provider standards</w:t>
      </w:r>
      <w:bookmarkEnd w:id="17"/>
    </w:p>
    <w:p w14:paraId="2FA38EF3" w14:textId="052D5543" w:rsidR="00DE6F46" w:rsidRPr="00723B35" w:rsidRDefault="00DE6F46" w:rsidP="0037712F">
      <w:pPr>
        <w:pStyle w:val="subsection"/>
        <w:tabs>
          <w:tab w:val="clear" w:pos="1021"/>
          <w:tab w:val="right" w:pos="993"/>
        </w:tabs>
        <w:ind w:left="709" w:firstLine="0"/>
      </w:pPr>
      <w:r w:rsidRPr="00FF6C01">
        <w:t xml:space="preserve">For </w:t>
      </w:r>
      <w:r w:rsidR="00E83D7F">
        <w:t xml:space="preserve">the purposes of </w:t>
      </w:r>
      <w:r w:rsidR="0095012B">
        <w:t xml:space="preserve">subregulation </w:t>
      </w:r>
      <w:r w:rsidR="00E83D7F">
        <w:t>9Q(</w:t>
      </w:r>
      <w:r w:rsidR="0095012B">
        <w:t>2</w:t>
      </w:r>
      <w:r w:rsidR="00E83D7F">
        <w:t>)</w:t>
      </w:r>
      <w:r w:rsidRPr="00FF6C01">
        <w:t xml:space="preserve">, the standards to be complied with by </w:t>
      </w:r>
      <w:r w:rsidR="0095012B">
        <w:br/>
      </w:r>
      <w:r w:rsidRPr="00FF6C01">
        <w:t xml:space="preserve">CPD providers are </w:t>
      </w:r>
      <w:r w:rsidR="0067376E">
        <w:t>specified</w:t>
      </w:r>
      <w:r w:rsidRPr="00FF6C01">
        <w:t xml:space="preserve"> </w:t>
      </w:r>
      <w:r w:rsidR="00835986">
        <w:t>in Schedule 2 to this instrument.</w:t>
      </w:r>
    </w:p>
    <w:p w14:paraId="30AFE009" w14:textId="77777777" w:rsidR="0008661F" w:rsidRDefault="0008661F" w:rsidP="00FE2970">
      <w:pPr>
        <w:pStyle w:val="subsection"/>
        <w:ind w:left="0" w:firstLine="0"/>
      </w:pPr>
    </w:p>
    <w:p w14:paraId="6632985A" w14:textId="77777777" w:rsidR="009E3355" w:rsidRPr="00E61949" w:rsidRDefault="009E3355" w:rsidP="00FE2970">
      <w:pPr>
        <w:pStyle w:val="subsection"/>
        <w:ind w:left="0" w:firstLine="0"/>
      </w:pPr>
    </w:p>
    <w:p w14:paraId="3E0BA1CB" w14:textId="77777777" w:rsidR="0008661F" w:rsidRPr="00E61949" w:rsidRDefault="0008661F" w:rsidP="0008661F">
      <w:pPr>
        <w:pStyle w:val="paragraphsub"/>
      </w:pPr>
    </w:p>
    <w:p w14:paraId="5F4AAE34" w14:textId="77777777" w:rsidR="002949EA" w:rsidRDefault="002949EA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  <w:sectPr w:rsidR="002949EA" w:rsidSect="008C2EA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4F09E957" w14:textId="77777777" w:rsidR="0008661F" w:rsidRPr="00E61949" w:rsidRDefault="0008661F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</w:p>
    <w:p w14:paraId="03350162" w14:textId="2C9D8100" w:rsidR="00D154C8" w:rsidRPr="005477F1" w:rsidRDefault="0008661F" w:rsidP="00DE36A7">
      <w:pPr>
        <w:pStyle w:val="ActHead6"/>
        <w:rPr>
          <w:rFonts w:cs="Arial"/>
          <w:lang w:val="en-US"/>
        </w:rPr>
      </w:pPr>
      <w:bookmarkStart w:id="18" w:name="_Toc491777328"/>
      <w:bookmarkStart w:id="19" w:name="_Toc492386656"/>
      <w:r w:rsidRPr="005477F1">
        <w:rPr>
          <w:rFonts w:cs="Arial"/>
        </w:rPr>
        <w:t xml:space="preserve">Schedule 1 – </w:t>
      </w:r>
      <w:r w:rsidR="004C7B8C" w:rsidRPr="005477F1">
        <w:rPr>
          <w:rFonts w:cs="Arial"/>
        </w:rPr>
        <w:t>Matters relating to CPD activities</w:t>
      </w:r>
      <w:bookmarkEnd w:id="18"/>
      <w:bookmarkEnd w:id="19"/>
    </w:p>
    <w:p w14:paraId="20B858A3" w14:textId="566AD3E4" w:rsidR="0024712F" w:rsidRDefault="0024712F" w:rsidP="00D154C8">
      <w:pPr>
        <w:spacing w:line="240" w:lineRule="auto"/>
        <w:rPr>
          <w:lang w:val="en-US"/>
        </w:rPr>
      </w:pPr>
    </w:p>
    <w:tbl>
      <w:tblPr>
        <w:tblW w:w="8298" w:type="dxa"/>
        <w:tblInd w:w="5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231"/>
        <w:gridCol w:w="2580"/>
        <w:gridCol w:w="2789"/>
      </w:tblGrid>
      <w:tr w:rsidR="0024712F" w:rsidRPr="00397476" w14:paraId="45AFF365" w14:textId="77777777" w:rsidTr="0024712F">
        <w:trPr>
          <w:trHeight w:val="1021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C5F10A" w14:textId="77777777" w:rsidR="0024712F" w:rsidRPr="00773D99" w:rsidRDefault="0024712F" w:rsidP="00522BA8">
            <w:pPr>
              <w:pStyle w:val="TableHeading"/>
            </w:pPr>
            <w:r w:rsidRPr="00773D99">
              <w:t>Item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BCF2C3" w14:textId="77777777" w:rsidR="0024712F" w:rsidRPr="00773D99" w:rsidRDefault="0024712F" w:rsidP="00522BA8">
            <w:pPr>
              <w:pStyle w:val="TableHeading"/>
            </w:pPr>
            <w:r w:rsidRPr="00773D99">
              <w:t>Column 1</w:t>
            </w:r>
          </w:p>
          <w:p w14:paraId="5DB9EC6B" w14:textId="297CD584" w:rsidR="0024712F" w:rsidRPr="00773D99" w:rsidRDefault="0024712F" w:rsidP="00522BA8">
            <w:pPr>
              <w:pStyle w:val="TableHeading"/>
            </w:pPr>
            <w:r>
              <w:t>Activities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AFACF2" w14:textId="77777777" w:rsidR="0024712F" w:rsidRPr="00773D99" w:rsidRDefault="0024712F" w:rsidP="00522BA8">
            <w:pPr>
              <w:pStyle w:val="TableHeading"/>
            </w:pPr>
            <w:r w:rsidRPr="00773D99">
              <w:t>Column 2</w:t>
            </w:r>
          </w:p>
          <w:p w14:paraId="2E8AA538" w14:textId="639AF81D" w:rsidR="0024712F" w:rsidRPr="00773D99" w:rsidRDefault="0024712F" w:rsidP="00522BA8">
            <w:pPr>
              <w:pStyle w:val="TableHeading"/>
            </w:pPr>
            <w:r>
              <w:t>Conditions for the conduct of activities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F11F00" w14:textId="77777777" w:rsidR="0024712F" w:rsidRPr="00773D99" w:rsidRDefault="0024712F" w:rsidP="00522BA8">
            <w:pPr>
              <w:pStyle w:val="TableHeading"/>
            </w:pPr>
            <w:r w:rsidRPr="00773D99">
              <w:t>Column 3</w:t>
            </w:r>
          </w:p>
          <w:p w14:paraId="183F0BAF" w14:textId="10CC6BFC" w:rsidR="0024712F" w:rsidRPr="00773D99" w:rsidRDefault="0024712F" w:rsidP="00522BA8">
            <w:pPr>
              <w:pStyle w:val="TableHeading"/>
            </w:pPr>
            <w:r>
              <w:t>Points that activities are worth</w:t>
            </w:r>
          </w:p>
        </w:tc>
      </w:tr>
      <w:tr w:rsidR="0024712F" w:rsidRPr="00397476" w14:paraId="32B6BFF0" w14:textId="77777777" w:rsidTr="00DE36A7">
        <w:trPr>
          <w:trHeight w:val="298"/>
        </w:trPr>
        <w:tc>
          <w:tcPr>
            <w:tcW w:w="567" w:type="dxa"/>
            <w:shd w:val="clear" w:color="auto" w:fill="auto"/>
          </w:tcPr>
          <w:p w14:paraId="0A1933B9" w14:textId="77777777" w:rsidR="0024712F" w:rsidRPr="00773D99" w:rsidRDefault="0024712F" w:rsidP="00522BA8">
            <w:pPr>
              <w:pStyle w:val="Tabletext"/>
            </w:pPr>
            <w:r>
              <w:t>1</w:t>
            </w:r>
          </w:p>
        </w:tc>
        <w:tc>
          <w:tcPr>
            <w:tcW w:w="1814" w:type="dxa"/>
            <w:shd w:val="clear" w:color="auto" w:fill="auto"/>
          </w:tcPr>
          <w:p w14:paraId="60838893" w14:textId="77777777" w:rsidR="0024712F" w:rsidRDefault="0024712F" w:rsidP="00522BA8">
            <w:pPr>
              <w:pStyle w:val="Tabletext"/>
              <w:rPr>
                <w:u w:val="single"/>
              </w:rPr>
            </w:pPr>
            <w:r w:rsidRPr="00DE36A7">
              <w:rPr>
                <w:u w:val="single"/>
              </w:rPr>
              <w:t>Category A</w:t>
            </w:r>
            <w:r>
              <w:t>:</w:t>
            </w:r>
          </w:p>
          <w:p w14:paraId="03E2055F" w14:textId="31497A25" w:rsidR="0024712F" w:rsidRPr="0024712F" w:rsidRDefault="0024712F" w:rsidP="00522BA8">
            <w:pPr>
              <w:pStyle w:val="Tabletext"/>
            </w:pPr>
            <w:r w:rsidRPr="00DE36A7">
              <w:t>A workshop</w:t>
            </w:r>
            <w:r w:rsidR="00765F52">
              <w:t>.</w:t>
            </w:r>
          </w:p>
        </w:tc>
        <w:tc>
          <w:tcPr>
            <w:tcW w:w="2098" w:type="dxa"/>
            <w:shd w:val="clear" w:color="auto" w:fill="auto"/>
          </w:tcPr>
          <w:p w14:paraId="647D510D" w14:textId="77777777" w:rsidR="0024712F" w:rsidRDefault="0024712F" w:rsidP="00522BA8">
            <w:pPr>
              <w:pStyle w:val="Tabletext"/>
            </w:pPr>
            <w:r>
              <w:t>The workshop must be:</w:t>
            </w:r>
          </w:p>
          <w:p w14:paraId="5754A410" w14:textId="49C5A434" w:rsidR="0024712F" w:rsidRPr="00773D99" w:rsidRDefault="0024712F" w:rsidP="0024712F">
            <w:pPr>
              <w:pStyle w:val="Tablea"/>
            </w:pPr>
            <w:r w:rsidRPr="00773D99">
              <w:t xml:space="preserve">(a) </w:t>
            </w:r>
            <w:r>
              <w:t>conducted in real time by a facilitator either face-to-face or online;</w:t>
            </w:r>
            <w:r w:rsidR="00190D5D">
              <w:t xml:space="preserve"> </w:t>
            </w:r>
          </w:p>
          <w:p w14:paraId="143A53A7" w14:textId="788B3EE1" w:rsidR="0024712F" w:rsidRPr="00773D99" w:rsidRDefault="0024712F" w:rsidP="0024712F">
            <w:pPr>
              <w:pStyle w:val="Tablea"/>
            </w:pPr>
            <w:r>
              <w:t>(b</w:t>
            </w:r>
            <w:r w:rsidRPr="00773D99">
              <w:t xml:space="preserve">) </w:t>
            </w:r>
            <w:r>
              <w:t>interactive</w:t>
            </w:r>
            <w:r w:rsidRPr="00773D99">
              <w:t>;</w:t>
            </w:r>
            <w:r w:rsidR="00973085">
              <w:t xml:space="preserve"> and</w:t>
            </w:r>
          </w:p>
          <w:p w14:paraId="10F4B3BA" w14:textId="63148CBE" w:rsidR="0024712F" w:rsidRPr="00773D99" w:rsidRDefault="0024712F" w:rsidP="00DE36A7">
            <w:pPr>
              <w:pStyle w:val="Tablea"/>
            </w:pPr>
            <w:r>
              <w:t>(c</w:t>
            </w:r>
            <w:r w:rsidRPr="00773D99">
              <w:t xml:space="preserve">) </w:t>
            </w:r>
            <w:r>
              <w:t>have a maximum of 30 participants</w:t>
            </w:r>
            <w:r w:rsidR="00765F52">
              <w:t>.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67E34A8" w14:textId="42698B46" w:rsidR="0024712F" w:rsidRPr="005402C0" w:rsidRDefault="0024712F" w:rsidP="00DE36A7">
            <w:pPr>
              <w:pStyle w:val="Tablea"/>
              <w:ind w:left="0" w:firstLine="0"/>
            </w:pPr>
            <w:r>
              <w:t>1 point per hour of participation in the workshop</w:t>
            </w:r>
            <w:r w:rsidR="00765F52">
              <w:t>.</w:t>
            </w:r>
          </w:p>
        </w:tc>
      </w:tr>
      <w:tr w:rsidR="0024712F" w:rsidRPr="00397476" w14:paraId="2D06F3AB" w14:textId="77777777" w:rsidTr="00DE36A7">
        <w:trPr>
          <w:trHeight w:val="819"/>
        </w:trPr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27EE28CA" w14:textId="77777777" w:rsidR="0024712F" w:rsidRPr="00773D99" w:rsidRDefault="0024712F" w:rsidP="00522BA8">
            <w:pPr>
              <w:pStyle w:val="Tabletext"/>
            </w:pPr>
            <w:r>
              <w:t>2</w:t>
            </w:r>
          </w:p>
        </w:tc>
        <w:tc>
          <w:tcPr>
            <w:tcW w:w="1814" w:type="dxa"/>
            <w:tcBorders>
              <w:bottom w:val="single" w:sz="2" w:space="0" w:color="auto"/>
            </w:tcBorders>
            <w:shd w:val="clear" w:color="auto" w:fill="auto"/>
          </w:tcPr>
          <w:p w14:paraId="0FA348D8" w14:textId="77777777" w:rsidR="0024712F" w:rsidRDefault="0024712F" w:rsidP="0024712F">
            <w:pPr>
              <w:pStyle w:val="Tabletext"/>
              <w:rPr>
                <w:u w:val="single"/>
              </w:rPr>
            </w:pPr>
            <w:r w:rsidRPr="00DE36A7">
              <w:rPr>
                <w:u w:val="single"/>
              </w:rPr>
              <w:t>Category A</w:t>
            </w:r>
            <w:r>
              <w:t>:</w:t>
            </w:r>
          </w:p>
          <w:p w14:paraId="769F959C" w14:textId="6E4DF0A5" w:rsidR="0024712F" w:rsidRPr="0024712F" w:rsidRDefault="0024712F" w:rsidP="0024712F">
            <w:pPr>
              <w:pStyle w:val="Tabletext"/>
            </w:pPr>
            <w:r>
              <w:t xml:space="preserve">A unit in a course relating to </w:t>
            </w:r>
            <w:r w:rsidR="00765F52">
              <w:t xml:space="preserve">Australian </w:t>
            </w:r>
            <w:r>
              <w:t xml:space="preserve">migration law at the Australian Qualification Framework (AQF) level 8 or above </w:t>
            </w:r>
            <w:r w:rsidRPr="003652DF">
              <w:rPr>
                <w:i/>
              </w:rPr>
              <w:t>(</w:t>
            </w:r>
            <w:r>
              <w:rPr>
                <w:b/>
                <w:i/>
              </w:rPr>
              <w:t>Programme of Education</w:t>
            </w:r>
            <w:r>
              <w:t>)</w:t>
            </w:r>
            <w:r w:rsidR="00765F52">
              <w:t>.</w:t>
            </w:r>
          </w:p>
        </w:tc>
        <w:tc>
          <w:tcPr>
            <w:tcW w:w="2098" w:type="dxa"/>
            <w:tcBorders>
              <w:bottom w:val="single" w:sz="2" w:space="0" w:color="auto"/>
            </w:tcBorders>
            <w:shd w:val="clear" w:color="auto" w:fill="auto"/>
          </w:tcPr>
          <w:p w14:paraId="633B85C5" w14:textId="2F12F7BA" w:rsidR="0024712F" w:rsidRPr="00773D99" w:rsidRDefault="0024712F" w:rsidP="00522BA8">
            <w:pPr>
              <w:pStyle w:val="Tabletext"/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D2845B5" w14:textId="025E1E71" w:rsidR="0024712F" w:rsidRPr="00773D99" w:rsidRDefault="00B00950" w:rsidP="00DE36A7">
            <w:pPr>
              <w:pStyle w:val="Tablea"/>
              <w:ind w:left="0" w:firstLine="0"/>
            </w:pPr>
            <w:r>
              <w:t>5</w:t>
            </w:r>
            <w:r w:rsidR="0024712F">
              <w:t xml:space="preserve"> point</w:t>
            </w:r>
            <w:r>
              <w:t>s</w:t>
            </w:r>
            <w:r w:rsidR="0024712F">
              <w:t xml:space="preserve"> per </w:t>
            </w:r>
            <w:r>
              <w:t>unit in the Programme of Education which is successfully completed</w:t>
            </w:r>
            <w:r w:rsidR="00765F52">
              <w:t>.</w:t>
            </w:r>
            <w:r w:rsidR="0024712F" w:rsidDel="0024712F">
              <w:t xml:space="preserve"> </w:t>
            </w:r>
          </w:p>
        </w:tc>
      </w:tr>
      <w:tr w:rsidR="00B00950" w:rsidRPr="00397476" w14:paraId="2CF968FA" w14:textId="77777777" w:rsidTr="00B00950">
        <w:trPr>
          <w:trHeight w:val="29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BEA276" w14:textId="77777777" w:rsidR="0024712F" w:rsidRPr="00773D99" w:rsidRDefault="0024712F" w:rsidP="00522BA8">
            <w:pPr>
              <w:pStyle w:val="Tabletext"/>
            </w:pPr>
            <w:r>
              <w:t>3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81D26A" w14:textId="77777777" w:rsidR="00B00950" w:rsidRDefault="00B00950" w:rsidP="00B00950">
            <w:pPr>
              <w:pStyle w:val="Tabletext"/>
              <w:rPr>
                <w:u w:val="single"/>
              </w:rPr>
            </w:pPr>
            <w:r w:rsidRPr="007F6522">
              <w:rPr>
                <w:u w:val="single"/>
              </w:rPr>
              <w:t>Category A</w:t>
            </w:r>
            <w:r>
              <w:t>:</w:t>
            </w:r>
          </w:p>
          <w:p w14:paraId="726B83AC" w14:textId="57F7D7CA" w:rsidR="0024712F" w:rsidRPr="00773D99" w:rsidRDefault="00B00950" w:rsidP="00B00950">
            <w:pPr>
              <w:pStyle w:val="Tabletext"/>
            </w:pPr>
            <w:r>
              <w:t>Practice Ready Programme</w:t>
            </w:r>
            <w:r w:rsidR="00765F52">
              <w:t>.</w:t>
            </w:r>
          </w:p>
        </w:tc>
        <w:tc>
          <w:tcPr>
            <w:tcW w:w="20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E9D749" w14:textId="3C4DBAC4" w:rsidR="00B00950" w:rsidRDefault="00B00950" w:rsidP="00B00950">
            <w:pPr>
              <w:pStyle w:val="Tabletext"/>
            </w:pPr>
            <w:r>
              <w:t>The Practice Ready Programme must:</w:t>
            </w:r>
          </w:p>
          <w:p w14:paraId="3CF4BDCC" w14:textId="5E03D2ED" w:rsidR="00B00950" w:rsidRPr="00773D99" w:rsidRDefault="00B00950" w:rsidP="00B00950">
            <w:pPr>
              <w:pStyle w:val="Tablea"/>
            </w:pPr>
            <w:r w:rsidRPr="00773D99">
              <w:t xml:space="preserve">(a) </w:t>
            </w:r>
            <w:r>
              <w:t>be practical and interactive;</w:t>
            </w:r>
          </w:p>
          <w:p w14:paraId="14221061" w14:textId="3C0E4900" w:rsidR="00B00950" w:rsidRPr="00773D99" w:rsidRDefault="00B00950" w:rsidP="00B00950">
            <w:pPr>
              <w:pStyle w:val="Tablea"/>
            </w:pPr>
            <w:r>
              <w:t>(b</w:t>
            </w:r>
            <w:r w:rsidRPr="00773D99">
              <w:t xml:space="preserve">) </w:t>
            </w:r>
            <w:r>
              <w:t>include assessment tasks;</w:t>
            </w:r>
          </w:p>
          <w:p w14:paraId="47AFA18C" w14:textId="681D71D2" w:rsidR="00B00950" w:rsidRPr="00773D99" w:rsidRDefault="00B00950" w:rsidP="00B00950">
            <w:pPr>
              <w:pStyle w:val="Tablea"/>
            </w:pPr>
            <w:r>
              <w:t>(c</w:t>
            </w:r>
            <w:r w:rsidRPr="00773D99">
              <w:t xml:space="preserve">) </w:t>
            </w:r>
            <w:r>
              <w:t>include 30 hours of tuition in addition to the time spent on assessment tasks;</w:t>
            </w:r>
          </w:p>
          <w:p w14:paraId="37D565EF" w14:textId="378699D7" w:rsidR="00B00950" w:rsidRDefault="00B00950" w:rsidP="00B00950">
            <w:pPr>
              <w:pStyle w:val="Tablea"/>
            </w:pPr>
            <w:r>
              <w:t>(d</w:t>
            </w:r>
            <w:r w:rsidRPr="00773D99">
              <w:t xml:space="preserve">) </w:t>
            </w:r>
            <w:r>
              <w:t>have a maximum of 30 participants per class;</w:t>
            </w:r>
            <w:r w:rsidR="00973085">
              <w:t xml:space="preserve"> and</w:t>
            </w:r>
          </w:p>
          <w:p w14:paraId="21A75299" w14:textId="49760DC3" w:rsidR="0024712F" w:rsidRPr="00773D99" w:rsidRDefault="00B00950" w:rsidP="00DE36A7">
            <w:pPr>
              <w:pStyle w:val="Tablea"/>
            </w:pPr>
            <w:r>
              <w:t>(e</w:t>
            </w:r>
            <w:r w:rsidRPr="00773D99">
              <w:t xml:space="preserve">) </w:t>
            </w:r>
            <w:r>
              <w:t>assess all of the Occupational Competency Standards for Migration Agents dated September 2016</w:t>
            </w:r>
            <w:r w:rsidR="00765F52">
              <w:t>.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DB9BEB" w14:textId="133B13D2" w:rsidR="0024712F" w:rsidRPr="00773D99" w:rsidRDefault="00B00950" w:rsidP="00DE36A7">
            <w:pPr>
              <w:pStyle w:val="Tablea"/>
              <w:ind w:left="0" w:firstLine="0"/>
            </w:pPr>
            <w:r>
              <w:t>10 points for successful completion of the Practice Ready Programme</w:t>
            </w:r>
            <w:r w:rsidR="00765F52">
              <w:t>.</w:t>
            </w:r>
          </w:p>
        </w:tc>
      </w:tr>
      <w:tr w:rsidR="00B00950" w:rsidRPr="00B00950" w14:paraId="64A0EE2D" w14:textId="77777777" w:rsidTr="00DE36A7">
        <w:trPr>
          <w:trHeight w:val="29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4BB047" w14:textId="175BC3CC" w:rsidR="00B00950" w:rsidRPr="00B00950" w:rsidRDefault="00B00950" w:rsidP="00522BA8">
            <w:pPr>
              <w:pStyle w:val="Tabletext"/>
            </w:pPr>
            <w:r w:rsidRPr="00B00950">
              <w:t>4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207472" w14:textId="6FF77456" w:rsidR="00B00950" w:rsidRDefault="00B00950" w:rsidP="00B00950">
            <w:pPr>
              <w:pStyle w:val="Tabletext"/>
              <w:rPr>
                <w:u w:val="single"/>
              </w:rPr>
            </w:pPr>
            <w:r w:rsidRPr="007F6522">
              <w:rPr>
                <w:u w:val="single"/>
              </w:rPr>
              <w:t>Categor</w:t>
            </w:r>
            <w:r>
              <w:rPr>
                <w:u w:val="single"/>
              </w:rPr>
              <w:t>y B</w:t>
            </w:r>
            <w:r>
              <w:t>:</w:t>
            </w:r>
          </w:p>
          <w:p w14:paraId="3AB678DF" w14:textId="7AD42D48" w:rsidR="00B00950" w:rsidRPr="00DE36A7" w:rsidRDefault="00B00950" w:rsidP="00B00950">
            <w:pPr>
              <w:pStyle w:val="Tabletext"/>
            </w:pPr>
            <w:r>
              <w:t>A conference, seminar or lecture</w:t>
            </w:r>
            <w:r w:rsidR="00765F52">
              <w:t>.</w:t>
            </w:r>
          </w:p>
        </w:tc>
        <w:tc>
          <w:tcPr>
            <w:tcW w:w="20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47DE21" w14:textId="01DBA755" w:rsidR="00B00950" w:rsidRPr="00B00950" w:rsidRDefault="00B00950" w:rsidP="00B00950">
            <w:pPr>
              <w:pStyle w:val="Tabletext"/>
            </w:pPr>
            <w:r>
              <w:t>The conference, seminar or lecture must be conducted in real time by a facilitator either face-to-face or online</w:t>
            </w:r>
            <w:r w:rsidR="00765F52">
              <w:t>.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2146AB" w14:textId="4A6CA0FB" w:rsidR="00B00950" w:rsidRPr="00B00950" w:rsidRDefault="00B00950" w:rsidP="00B00950">
            <w:pPr>
              <w:pStyle w:val="Tablea"/>
              <w:ind w:left="0" w:firstLine="0"/>
            </w:pPr>
            <w:r>
              <w:t>1 point</w:t>
            </w:r>
            <w:r w:rsidR="00DE36A7">
              <w:t xml:space="preserve"> per 1.5 hours of participation in the conference, seminar or lecture</w:t>
            </w:r>
            <w:r w:rsidR="00765F52">
              <w:t>.</w:t>
            </w:r>
          </w:p>
        </w:tc>
      </w:tr>
      <w:tr w:rsidR="00B00950" w:rsidRPr="00B00950" w14:paraId="631FF6BE" w14:textId="77777777" w:rsidTr="0024712F">
        <w:trPr>
          <w:trHeight w:val="298"/>
        </w:trPr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F8E99C" w14:textId="1DCE1EB0" w:rsidR="00B00950" w:rsidRPr="00B00950" w:rsidRDefault="00B00950" w:rsidP="00522BA8">
            <w:pPr>
              <w:pStyle w:val="Tabletext"/>
            </w:pPr>
            <w:r>
              <w:t>5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0756EF" w14:textId="77777777" w:rsidR="00B00950" w:rsidRDefault="00B00950" w:rsidP="00B00950">
            <w:pPr>
              <w:pStyle w:val="Tabletext"/>
              <w:rPr>
                <w:u w:val="single"/>
              </w:rPr>
            </w:pPr>
            <w:r w:rsidRPr="007F6522">
              <w:rPr>
                <w:u w:val="single"/>
              </w:rPr>
              <w:t>Categor</w:t>
            </w:r>
            <w:r>
              <w:rPr>
                <w:u w:val="single"/>
              </w:rPr>
              <w:t>y B</w:t>
            </w:r>
            <w:r>
              <w:t>:</w:t>
            </w:r>
          </w:p>
          <w:p w14:paraId="4F26C403" w14:textId="3E71B4F2" w:rsidR="00B00950" w:rsidRPr="007F6522" w:rsidRDefault="00B00950" w:rsidP="00B00950">
            <w:pPr>
              <w:pStyle w:val="Tabletext"/>
              <w:rPr>
                <w:u w:val="single"/>
              </w:rPr>
            </w:pPr>
            <w:r>
              <w:t>Private study with assessment</w:t>
            </w:r>
            <w:r w:rsidR="00765F52">
              <w:t>.</w:t>
            </w:r>
          </w:p>
        </w:tc>
        <w:tc>
          <w:tcPr>
            <w:tcW w:w="20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3A85BA" w14:textId="3C2F1135" w:rsidR="00B00950" w:rsidRDefault="00B00950" w:rsidP="00B00950">
            <w:pPr>
              <w:pStyle w:val="Tabletext"/>
            </w:pPr>
            <w:r>
              <w:t>The private study must include an assessment</w:t>
            </w:r>
            <w:r w:rsidR="00765F52">
              <w:t>.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28F3DB" w14:textId="60B62941" w:rsidR="00B00950" w:rsidRDefault="00B00950" w:rsidP="00B00950">
            <w:pPr>
              <w:pStyle w:val="Tablea"/>
              <w:ind w:left="0" w:firstLine="0"/>
            </w:pPr>
            <w:r>
              <w:t>1 point per 1.5 hours spent on completing private study (including an assessment), where the private study results in successful completion of the assessment</w:t>
            </w:r>
            <w:r w:rsidR="00765F52">
              <w:t>.</w:t>
            </w:r>
          </w:p>
        </w:tc>
      </w:tr>
    </w:tbl>
    <w:p w14:paraId="5B4FB602" w14:textId="67C3BEF2" w:rsidR="0024712F" w:rsidRDefault="0024712F" w:rsidP="00D154C8">
      <w:pPr>
        <w:spacing w:line="240" w:lineRule="auto"/>
        <w:rPr>
          <w:lang w:val="en-US"/>
        </w:rPr>
      </w:pPr>
    </w:p>
    <w:p w14:paraId="2D452A6F" w14:textId="66F0BCC2" w:rsidR="00835986" w:rsidRPr="005477F1" w:rsidRDefault="00835986" w:rsidP="00835986">
      <w:pPr>
        <w:pStyle w:val="ActHead6"/>
        <w:rPr>
          <w:rFonts w:cs="Arial"/>
        </w:rPr>
      </w:pPr>
      <w:bookmarkStart w:id="20" w:name="_Toc492386657"/>
      <w:bookmarkStart w:id="21" w:name="_Toc491777329"/>
      <w:r w:rsidRPr="005477F1">
        <w:rPr>
          <w:rFonts w:cs="Arial"/>
        </w:rPr>
        <w:t>Schedule 2 – CPD provider standards</w:t>
      </w:r>
      <w:bookmarkEnd w:id="20"/>
    </w:p>
    <w:p w14:paraId="5B2CF646" w14:textId="77777777" w:rsidR="00835986" w:rsidRDefault="00835986" w:rsidP="001F6E6F">
      <w:pPr>
        <w:pStyle w:val="Actno"/>
      </w:pPr>
    </w:p>
    <w:p w14:paraId="67519D34" w14:textId="5A3BFCCB" w:rsidR="00DC1CA9" w:rsidRPr="00981AB0" w:rsidRDefault="00DC1CA9" w:rsidP="00E3617B">
      <w:pPr>
        <w:pStyle w:val="ActHead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bookmarkStart w:id="22" w:name="_Toc492386658"/>
      <w:r w:rsidRPr="00981AB0">
        <w:rPr>
          <w:rFonts w:ascii="Times New Roman" w:hAnsi="Times New Roman"/>
          <w:sz w:val="28"/>
          <w:szCs w:val="28"/>
        </w:rPr>
        <w:t>Delivery of CPD activities – learning and assessment</w:t>
      </w:r>
      <w:bookmarkEnd w:id="22"/>
    </w:p>
    <w:p w14:paraId="7CB8E5F0" w14:textId="77777777" w:rsidR="00DC1CA9" w:rsidRDefault="00DC1CA9" w:rsidP="001F6E6F">
      <w:pPr>
        <w:pStyle w:val="Blocks"/>
      </w:pPr>
    </w:p>
    <w:p w14:paraId="4EF41245" w14:textId="67346361" w:rsidR="00DC1CA9" w:rsidRPr="00957A1F" w:rsidRDefault="00092100" w:rsidP="00E3617B">
      <w:pPr>
        <w:pStyle w:val="BodyTextIndent3"/>
        <w:numPr>
          <w:ilvl w:val="1"/>
          <w:numId w:val="8"/>
        </w:num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 w:rsidR="001F6E6F" w:rsidRPr="00957A1F">
        <w:rPr>
          <w:rFonts w:ascii="Times New Roman" w:hAnsi="Times New Roman"/>
          <w:sz w:val="22"/>
          <w:szCs w:val="22"/>
        </w:rPr>
        <w:t>CPD</w:t>
      </w:r>
      <w:r>
        <w:rPr>
          <w:rFonts w:ascii="Times New Roman" w:hAnsi="Times New Roman"/>
          <w:sz w:val="22"/>
          <w:szCs w:val="22"/>
        </w:rPr>
        <w:t xml:space="preserve"> provider</w:t>
      </w:r>
      <w:r w:rsidR="00DC1CA9" w:rsidRPr="00957A1F">
        <w:rPr>
          <w:rFonts w:ascii="Times New Roman" w:hAnsi="Times New Roman"/>
          <w:sz w:val="22"/>
          <w:szCs w:val="22"/>
        </w:rPr>
        <w:t xml:space="preserve"> must only </w:t>
      </w:r>
      <w:r w:rsidR="00973085" w:rsidRPr="00957A1F">
        <w:rPr>
          <w:rFonts w:ascii="Times New Roman" w:hAnsi="Times New Roman"/>
          <w:sz w:val="22"/>
          <w:szCs w:val="22"/>
        </w:rPr>
        <w:t xml:space="preserve">deliver </w:t>
      </w:r>
      <w:r>
        <w:rPr>
          <w:rFonts w:ascii="Times New Roman" w:hAnsi="Times New Roman"/>
          <w:sz w:val="22"/>
          <w:szCs w:val="22"/>
        </w:rPr>
        <w:t>a CPD activity</w:t>
      </w:r>
      <w:r w:rsidR="00DC1CA9" w:rsidRPr="00957A1F">
        <w:rPr>
          <w:rFonts w:ascii="Times New Roman" w:hAnsi="Times New Roman"/>
          <w:sz w:val="22"/>
          <w:szCs w:val="22"/>
        </w:rPr>
        <w:t xml:space="preserve"> if </w:t>
      </w:r>
      <w:r>
        <w:rPr>
          <w:rFonts w:ascii="Times New Roman" w:hAnsi="Times New Roman"/>
          <w:sz w:val="22"/>
          <w:szCs w:val="22"/>
        </w:rPr>
        <w:t>the CPD activity complies</w:t>
      </w:r>
      <w:r w:rsidR="00DC1CA9" w:rsidRPr="00957A1F">
        <w:rPr>
          <w:rFonts w:ascii="Times New Roman" w:hAnsi="Times New Roman"/>
          <w:sz w:val="22"/>
          <w:szCs w:val="22"/>
        </w:rPr>
        <w:t xml:space="preserve"> with </w:t>
      </w:r>
      <w:r w:rsidR="0042445C">
        <w:rPr>
          <w:rFonts w:ascii="Times New Roman" w:hAnsi="Times New Roman"/>
          <w:sz w:val="22"/>
          <w:szCs w:val="22"/>
        </w:rPr>
        <w:t>the Regulations.</w:t>
      </w:r>
    </w:p>
    <w:p w14:paraId="046DB91C" w14:textId="6C38EE98" w:rsidR="00DC1CA9" w:rsidRPr="00957A1F" w:rsidRDefault="00092100" w:rsidP="00E3617B">
      <w:pPr>
        <w:pStyle w:val="BodyTextIndent3"/>
        <w:numPr>
          <w:ilvl w:val="1"/>
          <w:numId w:val="8"/>
        </w:num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 w:rsidR="001F6E6F" w:rsidRPr="00957A1F">
        <w:rPr>
          <w:rFonts w:ascii="Times New Roman" w:hAnsi="Times New Roman"/>
          <w:sz w:val="22"/>
          <w:szCs w:val="22"/>
        </w:rPr>
        <w:t>CPD</w:t>
      </w:r>
      <w:r>
        <w:rPr>
          <w:rFonts w:ascii="Times New Roman" w:hAnsi="Times New Roman"/>
          <w:sz w:val="22"/>
          <w:szCs w:val="22"/>
        </w:rPr>
        <w:t xml:space="preserve"> provider</w:t>
      </w:r>
      <w:r w:rsidR="00DC1CA9" w:rsidRPr="00957A1F">
        <w:rPr>
          <w:rFonts w:ascii="Times New Roman" w:hAnsi="Times New Roman"/>
          <w:sz w:val="22"/>
          <w:szCs w:val="22"/>
        </w:rPr>
        <w:t xml:space="preserve"> must only report registered migration agents as having completed </w:t>
      </w:r>
      <w:r w:rsidR="001F6E6F" w:rsidRPr="00957A1F">
        <w:rPr>
          <w:rFonts w:ascii="Times New Roman" w:hAnsi="Times New Roman"/>
          <w:sz w:val="22"/>
          <w:szCs w:val="22"/>
        </w:rPr>
        <w:t>a CPD activity</w:t>
      </w:r>
      <w:r w:rsidR="00DC1CA9" w:rsidRPr="00957A1F">
        <w:rPr>
          <w:rFonts w:ascii="Times New Roman" w:hAnsi="Times New Roman"/>
          <w:sz w:val="22"/>
          <w:szCs w:val="22"/>
        </w:rPr>
        <w:t xml:space="preserve"> if </w:t>
      </w:r>
      <w:r>
        <w:rPr>
          <w:rFonts w:ascii="Times New Roman" w:hAnsi="Times New Roman"/>
          <w:sz w:val="22"/>
          <w:szCs w:val="22"/>
        </w:rPr>
        <w:t>the CPD activity</w:t>
      </w:r>
      <w:r w:rsidR="001F6E6F" w:rsidRPr="00957A1F">
        <w:rPr>
          <w:rFonts w:ascii="Times New Roman" w:hAnsi="Times New Roman"/>
          <w:sz w:val="22"/>
          <w:szCs w:val="22"/>
        </w:rPr>
        <w:t xml:space="preserve"> </w:t>
      </w:r>
      <w:r w:rsidR="00DC1CA9" w:rsidRPr="00957A1F">
        <w:rPr>
          <w:rFonts w:ascii="Times New Roman" w:hAnsi="Times New Roman"/>
          <w:sz w:val="22"/>
          <w:szCs w:val="22"/>
        </w:rPr>
        <w:t xml:space="preserve">complies with </w:t>
      </w:r>
      <w:r w:rsidR="001F6E6F" w:rsidRPr="00957A1F">
        <w:rPr>
          <w:rFonts w:ascii="Times New Roman" w:hAnsi="Times New Roman"/>
          <w:sz w:val="22"/>
          <w:szCs w:val="22"/>
        </w:rPr>
        <w:t>the Regulations</w:t>
      </w:r>
      <w:r w:rsidR="00DC1CA9" w:rsidRPr="00957A1F">
        <w:rPr>
          <w:rFonts w:ascii="Times New Roman" w:hAnsi="Times New Roman"/>
          <w:sz w:val="22"/>
          <w:szCs w:val="22"/>
        </w:rPr>
        <w:t>.</w:t>
      </w:r>
    </w:p>
    <w:p w14:paraId="34D3F223" w14:textId="1FBE685E" w:rsidR="002979A9" w:rsidRPr="00957A1F" w:rsidRDefault="00092100" w:rsidP="00E3617B">
      <w:pPr>
        <w:pStyle w:val="BodyTextIndent3"/>
        <w:numPr>
          <w:ilvl w:val="1"/>
          <w:numId w:val="8"/>
        </w:num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 w:rsidR="001F6E6F" w:rsidRPr="00957A1F">
        <w:rPr>
          <w:rFonts w:ascii="Times New Roman" w:hAnsi="Times New Roman"/>
          <w:sz w:val="22"/>
          <w:szCs w:val="22"/>
        </w:rPr>
        <w:t>CPD</w:t>
      </w:r>
      <w:r>
        <w:rPr>
          <w:rFonts w:ascii="Times New Roman" w:hAnsi="Times New Roman"/>
          <w:sz w:val="22"/>
          <w:szCs w:val="22"/>
        </w:rPr>
        <w:t xml:space="preserve"> provider</w:t>
      </w:r>
      <w:r w:rsidR="00DC1CA9" w:rsidRPr="00957A1F">
        <w:rPr>
          <w:rFonts w:ascii="Times New Roman" w:hAnsi="Times New Roman"/>
          <w:sz w:val="22"/>
          <w:szCs w:val="22"/>
        </w:rPr>
        <w:t xml:space="preserve"> must </w:t>
      </w:r>
      <w:r w:rsidR="001F6E6F" w:rsidRPr="00957A1F">
        <w:rPr>
          <w:rFonts w:ascii="Times New Roman" w:hAnsi="Times New Roman"/>
          <w:sz w:val="22"/>
          <w:szCs w:val="22"/>
        </w:rPr>
        <w:t>commence</w:t>
      </w:r>
      <w:r w:rsidR="00DC1CA9" w:rsidRPr="00957A1F">
        <w:rPr>
          <w:rFonts w:ascii="Times New Roman" w:hAnsi="Times New Roman"/>
          <w:sz w:val="22"/>
          <w:szCs w:val="22"/>
        </w:rPr>
        <w:t xml:space="preserve"> </w:t>
      </w:r>
      <w:r w:rsidR="001F6E6F" w:rsidRPr="00957A1F">
        <w:rPr>
          <w:rFonts w:ascii="Times New Roman" w:hAnsi="Times New Roman"/>
          <w:sz w:val="22"/>
          <w:szCs w:val="22"/>
        </w:rPr>
        <w:t>delivering</w:t>
      </w:r>
      <w:r w:rsidR="00DC1CA9" w:rsidRPr="00957A1F">
        <w:rPr>
          <w:rFonts w:ascii="Times New Roman" w:hAnsi="Times New Roman"/>
          <w:sz w:val="22"/>
          <w:szCs w:val="22"/>
        </w:rPr>
        <w:t xml:space="preserve"> CPD activities within six months of approval as a CPD provider.  </w:t>
      </w:r>
      <w:r>
        <w:rPr>
          <w:rFonts w:ascii="Times New Roman" w:hAnsi="Times New Roman"/>
          <w:sz w:val="22"/>
          <w:szCs w:val="22"/>
        </w:rPr>
        <w:t xml:space="preserve">A </w:t>
      </w:r>
      <w:r w:rsidR="004261CE" w:rsidRPr="00957A1F">
        <w:rPr>
          <w:rFonts w:ascii="Times New Roman" w:hAnsi="Times New Roman"/>
          <w:sz w:val="22"/>
          <w:szCs w:val="22"/>
        </w:rPr>
        <w:t>CPD p</w:t>
      </w:r>
      <w:r>
        <w:rPr>
          <w:rFonts w:ascii="Times New Roman" w:hAnsi="Times New Roman"/>
          <w:sz w:val="22"/>
          <w:szCs w:val="22"/>
        </w:rPr>
        <w:t>rovider</w:t>
      </w:r>
      <w:r w:rsidR="00DC1CA9" w:rsidRPr="00957A1F">
        <w:rPr>
          <w:rFonts w:ascii="Times New Roman" w:hAnsi="Times New Roman"/>
          <w:sz w:val="22"/>
          <w:szCs w:val="22"/>
        </w:rPr>
        <w:t xml:space="preserve"> must not cease to deliver CPD activities for a period of 12 months or more.  </w:t>
      </w:r>
    </w:p>
    <w:p w14:paraId="00632B10" w14:textId="2A612242" w:rsidR="00DC1CA9" w:rsidRPr="00DE25D6" w:rsidRDefault="002979A9" w:rsidP="002979A9">
      <w:pPr>
        <w:pStyle w:val="BodyTextIndent3"/>
        <w:ind w:firstLine="0"/>
        <w:rPr>
          <w:rFonts w:ascii="Times New Roman" w:hAnsi="Times New Roman"/>
          <w:sz w:val="16"/>
          <w:szCs w:val="16"/>
        </w:rPr>
      </w:pPr>
      <w:r w:rsidRPr="007913ED">
        <w:rPr>
          <w:rFonts w:ascii="Times New Roman" w:hAnsi="Times New Roman"/>
          <w:i/>
          <w:sz w:val="16"/>
          <w:szCs w:val="16"/>
        </w:rPr>
        <w:t xml:space="preserve">Note: </w:t>
      </w:r>
      <w:r w:rsidR="00DC1CA9" w:rsidRPr="007913ED">
        <w:rPr>
          <w:rFonts w:ascii="Times New Roman" w:hAnsi="Times New Roman"/>
          <w:i/>
          <w:sz w:val="16"/>
          <w:szCs w:val="16"/>
        </w:rPr>
        <w:t xml:space="preserve">A </w:t>
      </w:r>
      <w:r w:rsidR="001F6E6F" w:rsidRPr="007913ED">
        <w:rPr>
          <w:rFonts w:ascii="Times New Roman" w:hAnsi="Times New Roman"/>
          <w:i/>
          <w:sz w:val="16"/>
          <w:szCs w:val="16"/>
        </w:rPr>
        <w:t xml:space="preserve">CPD </w:t>
      </w:r>
      <w:r w:rsidR="00DC1CA9" w:rsidRPr="007913ED">
        <w:rPr>
          <w:rFonts w:ascii="Times New Roman" w:hAnsi="Times New Roman"/>
          <w:i/>
          <w:sz w:val="16"/>
          <w:szCs w:val="16"/>
        </w:rPr>
        <w:t xml:space="preserve">provider may request </w:t>
      </w:r>
      <w:r w:rsidR="00C0645C" w:rsidRPr="007913ED">
        <w:rPr>
          <w:rFonts w:ascii="Times New Roman" w:hAnsi="Times New Roman"/>
          <w:i/>
          <w:sz w:val="16"/>
          <w:szCs w:val="16"/>
        </w:rPr>
        <w:t>the Minister</w:t>
      </w:r>
      <w:r w:rsidR="0086250F" w:rsidRPr="007913ED">
        <w:rPr>
          <w:rFonts w:ascii="Times New Roman" w:hAnsi="Times New Roman"/>
          <w:i/>
          <w:sz w:val="16"/>
          <w:szCs w:val="16"/>
        </w:rPr>
        <w:t xml:space="preserve"> in writing</w:t>
      </w:r>
      <w:r w:rsidR="00C0645C" w:rsidRPr="007913ED">
        <w:rPr>
          <w:rFonts w:ascii="Times New Roman" w:hAnsi="Times New Roman"/>
          <w:i/>
          <w:sz w:val="16"/>
          <w:szCs w:val="16"/>
        </w:rPr>
        <w:t xml:space="preserve"> to cancel</w:t>
      </w:r>
      <w:r w:rsidR="00DC1CA9" w:rsidRPr="007913ED">
        <w:rPr>
          <w:rFonts w:ascii="Times New Roman" w:hAnsi="Times New Roman"/>
          <w:i/>
          <w:sz w:val="16"/>
          <w:szCs w:val="16"/>
        </w:rPr>
        <w:t xml:space="preserve"> their approval as a CPD provider if they no longer intend to deliver CPD activities.</w:t>
      </w:r>
    </w:p>
    <w:p w14:paraId="7777A7A7" w14:textId="5B49BB39" w:rsidR="00DC1CA9" w:rsidRPr="00957A1F" w:rsidRDefault="00DC1CA9" w:rsidP="00E3617B">
      <w:pPr>
        <w:pStyle w:val="BodyTextIndent3"/>
        <w:numPr>
          <w:ilvl w:val="1"/>
          <w:numId w:val="8"/>
        </w:numPr>
        <w:ind w:left="709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 xml:space="preserve">The content of </w:t>
      </w:r>
      <w:r w:rsidR="00092100">
        <w:rPr>
          <w:rFonts w:ascii="Times New Roman" w:hAnsi="Times New Roman"/>
          <w:sz w:val="22"/>
          <w:szCs w:val="22"/>
        </w:rPr>
        <w:t>a CPD activity</w:t>
      </w:r>
      <w:r w:rsidRPr="00957A1F">
        <w:rPr>
          <w:rFonts w:ascii="Times New Roman" w:hAnsi="Times New Roman"/>
          <w:sz w:val="22"/>
          <w:szCs w:val="22"/>
        </w:rPr>
        <w:t xml:space="preserve"> must be consistent with the Code of Conduct for registered migration agents </w:t>
      </w:r>
      <w:r w:rsidR="00C0645C" w:rsidRPr="00957A1F">
        <w:rPr>
          <w:rFonts w:ascii="Times New Roman" w:hAnsi="Times New Roman"/>
          <w:sz w:val="22"/>
          <w:szCs w:val="22"/>
        </w:rPr>
        <w:t xml:space="preserve">at Schedule 2 to the Regulations </w:t>
      </w:r>
      <w:r w:rsidRPr="00957A1F">
        <w:rPr>
          <w:rFonts w:ascii="Times New Roman" w:hAnsi="Times New Roman"/>
          <w:sz w:val="22"/>
          <w:szCs w:val="22"/>
        </w:rPr>
        <w:t>and the ethical standards expected within the migration advice profession. Material is to be presented in a respectful and professional way.</w:t>
      </w:r>
    </w:p>
    <w:p w14:paraId="44679D44" w14:textId="067944EB" w:rsidR="00DC1CA9" w:rsidRPr="00957A1F" w:rsidRDefault="00092100" w:rsidP="00E3617B">
      <w:pPr>
        <w:pStyle w:val="BodyTextIndent3"/>
        <w:numPr>
          <w:ilvl w:val="1"/>
          <w:numId w:val="8"/>
        </w:num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CPD activity</w:t>
      </w:r>
      <w:r w:rsidR="00DC1CA9" w:rsidRPr="00957A1F">
        <w:rPr>
          <w:rFonts w:ascii="Times New Roman" w:hAnsi="Times New Roman"/>
          <w:sz w:val="22"/>
          <w:szCs w:val="22"/>
        </w:rPr>
        <w:t xml:space="preserve"> must be:</w:t>
      </w:r>
    </w:p>
    <w:p w14:paraId="4D82D91F" w14:textId="5B25AF5B" w:rsidR="007017BA" w:rsidRDefault="00DE25D6" w:rsidP="00E3617B">
      <w:pPr>
        <w:pStyle w:val="ListParagraph"/>
        <w:numPr>
          <w:ilvl w:val="0"/>
          <w:numId w:val="9"/>
        </w:numPr>
        <w:spacing w:before="80" w:after="160" w:line="280" w:lineRule="exact"/>
        <w:rPr>
          <w:rFonts w:cs="Times New Roman"/>
          <w:szCs w:val="22"/>
        </w:rPr>
      </w:pPr>
      <w:r>
        <w:rPr>
          <w:rFonts w:cs="Times New Roman"/>
          <w:szCs w:val="22"/>
        </w:rPr>
        <w:t>d</w:t>
      </w:r>
      <w:r w:rsidR="007017BA">
        <w:rPr>
          <w:rFonts w:cs="Times New Roman"/>
          <w:szCs w:val="22"/>
        </w:rPr>
        <w:t xml:space="preserve">irectly related to one or more of the Occupational Competency Standards for migration agents </w:t>
      </w:r>
      <w:r w:rsidR="008B2656">
        <w:rPr>
          <w:rFonts w:cs="Times New Roman"/>
          <w:szCs w:val="22"/>
        </w:rPr>
        <w:t xml:space="preserve">issued by the OMARA and </w:t>
      </w:r>
      <w:r w:rsidR="007017BA">
        <w:rPr>
          <w:rFonts w:cs="Times New Roman"/>
          <w:szCs w:val="22"/>
        </w:rPr>
        <w:t>dated September 2016</w:t>
      </w:r>
      <w:r w:rsidR="008B2656">
        <w:rPr>
          <w:rFonts w:cs="Times New Roman"/>
          <w:szCs w:val="22"/>
        </w:rPr>
        <w:t>;</w:t>
      </w:r>
    </w:p>
    <w:p w14:paraId="3675FF34" w14:textId="043F666B" w:rsidR="00DC1CA9" w:rsidRPr="00957A1F" w:rsidRDefault="0086250F" w:rsidP="00E3617B">
      <w:pPr>
        <w:pStyle w:val="ListParagraph"/>
        <w:numPr>
          <w:ilvl w:val="0"/>
          <w:numId w:val="9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of significant intellectual and</w:t>
      </w:r>
      <w:r w:rsidR="00DC1CA9" w:rsidRPr="00957A1F">
        <w:rPr>
          <w:rFonts w:cs="Times New Roman"/>
          <w:szCs w:val="22"/>
        </w:rPr>
        <w:t xml:space="preserve"> practical content</w:t>
      </w:r>
      <w:r w:rsidR="004261CE" w:rsidRPr="00957A1F">
        <w:rPr>
          <w:rFonts w:cs="Times New Roman"/>
          <w:szCs w:val="22"/>
        </w:rPr>
        <w:t>;</w:t>
      </w:r>
    </w:p>
    <w:p w14:paraId="67CC3033" w14:textId="7B6B467D" w:rsidR="00DC1CA9" w:rsidRPr="00957A1F" w:rsidRDefault="00DC1CA9" w:rsidP="00E3617B">
      <w:pPr>
        <w:pStyle w:val="ListParagraph"/>
        <w:numPr>
          <w:ilvl w:val="0"/>
          <w:numId w:val="9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delivered in a professional level of English</w:t>
      </w:r>
      <w:r w:rsidR="004261CE" w:rsidRPr="00957A1F">
        <w:rPr>
          <w:rFonts w:cs="Times New Roman"/>
          <w:szCs w:val="22"/>
        </w:rPr>
        <w:t>;</w:t>
      </w:r>
    </w:p>
    <w:p w14:paraId="1F620B37" w14:textId="5D7C1D3F" w:rsidR="00DC1CA9" w:rsidRPr="00957A1F" w:rsidRDefault="00DC1CA9" w:rsidP="00E3617B">
      <w:pPr>
        <w:pStyle w:val="ListParagraph"/>
        <w:numPr>
          <w:ilvl w:val="0"/>
          <w:numId w:val="9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current and accurate</w:t>
      </w:r>
      <w:r w:rsidR="004261CE" w:rsidRPr="00957A1F">
        <w:rPr>
          <w:rFonts w:cs="Times New Roman"/>
          <w:szCs w:val="22"/>
        </w:rPr>
        <w:t>; and</w:t>
      </w:r>
      <w:r w:rsidRPr="00957A1F">
        <w:rPr>
          <w:rFonts w:cs="Times New Roman"/>
          <w:szCs w:val="22"/>
        </w:rPr>
        <w:t xml:space="preserve"> </w:t>
      </w:r>
    </w:p>
    <w:p w14:paraId="0F550C08" w14:textId="77777777" w:rsidR="00DC1CA9" w:rsidRPr="00957A1F" w:rsidRDefault="00DC1CA9" w:rsidP="00E3617B">
      <w:pPr>
        <w:pStyle w:val="ListParagraph"/>
        <w:numPr>
          <w:ilvl w:val="0"/>
          <w:numId w:val="9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designed to improve the knowledge, skills and professionalism of registered migration agent participants in the CPD activity.</w:t>
      </w:r>
    </w:p>
    <w:p w14:paraId="4CBB5A95" w14:textId="5B076DDD" w:rsidR="00DC1CA9" w:rsidRPr="00957A1F" w:rsidRDefault="00092100" w:rsidP="00E3617B">
      <w:pPr>
        <w:pStyle w:val="BodyTextIndent3"/>
        <w:numPr>
          <w:ilvl w:val="1"/>
          <w:numId w:val="8"/>
        </w:num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 w:rsidR="004261CE" w:rsidRPr="00957A1F">
        <w:rPr>
          <w:rFonts w:ascii="Times New Roman" w:hAnsi="Times New Roman"/>
          <w:sz w:val="22"/>
          <w:szCs w:val="22"/>
        </w:rPr>
        <w:t>CPD</w:t>
      </w:r>
      <w:r>
        <w:rPr>
          <w:rFonts w:ascii="Times New Roman" w:hAnsi="Times New Roman"/>
          <w:sz w:val="22"/>
          <w:szCs w:val="22"/>
        </w:rPr>
        <w:t xml:space="preserve"> provider</w:t>
      </w:r>
      <w:r w:rsidR="00DC1CA9" w:rsidRPr="00957A1F">
        <w:rPr>
          <w:rFonts w:ascii="Times New Roman" w:hAnsi="Times New Roman"/>
          <w:sz w:val="22"/>
          <w:szCs w:val="22"/>
        </w:rPr>
        <w:t xml:space="preserve"> must utilise a suitable physical learning environment for the delivery of face-to-face activities.  Such an environment must: </w:t>
      </w:r>
    </w:p>
    <w:p w14:paraId="4A8EF180" w14:textId="485EAFC0" w:rsidR="00DC1CA9" w:rsidRPr="00957A1F" w:rsidRDefault="00DC1CA9" w:rsidP="00E3617B">
      <w:pPr>
        <w:pStyle w:val="ListParagraph"/>
        <w:numPr>
          <w:ilvl w:val="0"/>
          <w:numId w:val="10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be quiet without external competing noise</w:t>
      </w:r>
      <w:r w:rsidR="004261CE" w:rsidRPr="00957A1F">
        <w:rPr>
          <w:rFonts w:cs="Times New Roman"/>
          <w:szCs w:val="22"/>
        </w:rPr>
        <w:t>; and</w:t>
      </w:r>
      <w:r w:rsidRPr="00957A1F">
        <w:rPr>
          <w:rFonts w:cs="Times New Roman"/>
          <w:szCs w:val="22"/>
        </w:rPr>
        <w:tab/>
      </w:r>
    </w:p>
    <w:p w14:paraId="7D7AF30B" w14:textId="7B38A779" w:rsidR="004261CE" w:rsidRPr="00957A1F" w:rsidRDefault="00DC1CA9" w:rsidP="00E3617B">
      <w:pPr>
        <w:pStyle w:val="ListParagraph"/>
        <w:numPr>
          <w:ilvl w:val="0"/>
          <w:numId w:val="10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provide a</w:t>
      </w:r>
      <w:r w:rsidR="004261CE" w:rsidRPr="00957A1F">
        <w:rPr>
          <w:rFonts w:cs="Times New Roman"/>
          <w:szCs w:val="22"/>
        </w:rPr>
        <w:t xml:space="preserve">dequate seating, lighting and </w:t>
      </w:r>
      <w:r w:rsidRPr="00957A1F">
        <w:rPr>
          <w:rFonts w:cs="Times New Roman"/>
          <w:szCs w:val="22"/>
        </w:rPr>
        <w:t xml:space="preserve">ventilation and </w:t>
      </w:r>
      <w:r w:rsidR="004261CE" w:rsidRPr="00957A1F">
        <w:rPr>
          <w:rFonts w:cs="Times New Roman"/>
          <w:szCs w:val="22"/>
        </w:rPr>
        <w:t xml:space="preserve">a </w:t>
      </w:r>
      <w:r w:rsidRPr="00957A1F">
        <w:rPr>
          <w:rFonts w:cs="Times New Roman"/>
          <w:szCs w:val="22"/>
        </w:rPr>
        <w:t>comfortable room temperature</w:t>
      </w:r>
      <w:r w:rsidR="004261CE" w:rsidRPr="00957A1F">
        <w:rPr>
          <w:rFonts w:cs="Times New Roman"/>
          <w:szCs w:val="22"/>
        </w:rPr>
        <w:t>.</w:t>
      </w:r>
    </w:p>
    <w:p w14:paraId="684CEC8F" w14:textId="7C2C0800" w:rsidR="00DC1CA9" w:rsidRDefault="00DC1CA9" w:rsidP="00E3617B">
      <w:pPr>
        <w:pStyle w:val="BodyTextIndent3"/>
        <w:numPr>
          <w:ilvl w:val="1"/>
          <w:numId w:val="8"/>
        </w:numPr>
        <w:ind w:left="709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 xml:space="preserve">Where </w:t>
      </w:r>
      <w:r w:rsidR="00092100">
        <w:rPr>
          <w:rFonts w:ascii="Times New Roman" w:hAnsi="Times New Roman"/>
          <w:sz w:val="22"/>
          <w:szCs w:val="22"/>
        </w:rPr>
        <w:t>a CPD activity</w:t>
      </w:r>
      <w:r w:rsidRPr="00957A1F">
        <w:rPr>
          <w:rFonts w:ascii="Times New Roman" w:hAnsi="Times New Roman"/>
          <w:sz w:val="22"/>
          <w:szCs w:val="22"/>
        </w:rPr>
        <w:t xml:space="preserve"> </w:t>
      </w:r>
      <w:r w:rsidR="00092100">
        <w:rPr>
          <w:rFonts w:ascii="Times New Roman" w:hAnsi="Times New Roman"/>
          <w:sz w:val="22"/>
          <w:szCs w:val="22"/>
        </w:rPr>
        <w:t>is</w:t>
      </w:r>
      <w:r w:rsidRPr="00957A1F">
        <w:rPr>
          <w:rFonts w:ascii="Times New Roman" w:hAnsi="Times New Roman"/>
          <w:sz w:val="22"/>
          <w:szCs w:val="22"/>
        </w:rPr>
        <w:t xml:space="preserve"> conducted by distance learning, the </w:t>
      </w:r>
      <w:r w:rsidR="004261CE" w:rsidRPr="00957A1F">
        <w:rPr>
          <w:rFonts w:ascii="Times New Roman" w:hAnsi="Times New Roman"/>
          <w:sz w:val="22"/>
          <w:szCs w:val="22"/>
        </w:rPr>
        <w:t>CPD</w:t>
      </w:r>
      <w:r w:rsidRPr="00957A1F">
        <w:rPr>
          <w:rFonts w:ascii="Times New Roman" w:hAnsi="Times New Roman"/>
          <w:sz w:val="22"/>
          <w:szCs w:val="22"/>
        </w:rPr>
        <w:t xml:space="preserve"> provider must have </w:t>
      </w:r>
      <w:r w:rsidR="0086250F" w:rsidRPr="00957A1F">
        <w:rPr>
          <w:rFonts w:ascii="Times New Roman" w:hAnsi="Times New Roman"/>
          <w:sz w:val="22"/>
          <w:szCs w:val="22"/>
        </w:rPr>
        <w:t>suitable policies and administrative arrangements in relation to support and monitoring of distance learning participants</w:t>
      </w:r>
      <w:r w:rsidRPr="00957A1F">
        <w:rPr>
          <w:rFonts w:ascii="Times New Roman" w:hAnsi="Times New Roman"/>
          <w:sz w:val="22"/>
          <w:szCs w:val="22"/>
        </w:rPr>
        <w:t>.</w:t>
      </w:r>
    </w:p>
    <w:p w14:paraId="403BE6EE" w14:textId="77777777" w:rsidR="009F42B7" w:rsidRPr="00957A1F" w:rsidRDefault="009F42B7" w:rsidP="00981AB0">
      <w:pPr>
        <w:pStyle w:val="BodyTextIndent3"/>
        <w:ind w:firstLine="0"/>
        <w:rPr>
          <w:rFonts w:ascii="Times New Roman" w:hAnsi="Times New Roman"/>
          <w:sz w:val="22"/>
          <w:szCs w:val="22"/>
        </w:rPr>
      </w:pPr>
    </w:p>
    <w:p w14:paraId="6043783F" w14:textId="7FDC5D3F" w:rsidR="004261CE" w:rsidRPr="00981AB0" w:rsidRDefault="004261CE" w:rsidP="00E3617B">
      <w:pPr>
        <w:pStyle w:val="ActHead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bookmarkStart w:id="23" w:name="_Toc492386659"/>
      <w:r w:rsidRPr="00981AB0">
        <w:rPr>
          <w:rFonts w:ascii="Times New Roman" w:hAnsi="Times New Roman"/>
          <w:sz w:val="28"/>
          <w:szCs w:val="28"/>
        </w:rPr>
        <w:lastRenderedPageBreak/>
        <w:t>Administration</w:t>
      </w:r>
      <w:bookmarkEnd w:id="23"/>
    </w:p>
    <w:p w14:paraId="32C55215" w14:textId="77777777" w:rsidR="004261CE" w:rsidRPr="00981AB0" w:rsidRDefault="004261CE" w:rsidP="004261CE">
      <w:pPr>
        <w:pStyle w:val="ActHead6"/>
        <w:ind w:left="0" w:firstLine="0"/>
        <w:rPr>
          <w:rFonts w:ascii="Times New Roman" w:hAnsi="Times New Roman"/>
          <w:sz w:val="24"/>
          <w:szCs w:val="24"/>
        </w:rPr>
      </w:pPr>
    </w:p>
    <w:p w14:paraId="74D7036F" w14:textId="1152D981" w:rsidR="004261CE" w:rsidRPr="00957A1F" w:rsidRDefault="00D33D16" w:rsidP="00522BA8">
      <w:pPr>
        <w:pStyle w:val="ListNumber2"/>
        <w:numPr>
          <w:ilvl w:val="0"/>
          <w:numId w:val="0"/>
        </w:numPr>
        <w:ind w:left="709" w:right="28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ab/>
      </w:r>
      <w:r w:rsidR="00092100">
        <w:rPr>
          <w:rFonts w:ascii="Times New Roman" w:hAnsi="Times New Roman"/>
          <w:sz w:val="24"/>
          <w:szCs w:val="24"/>
        </w:rPr>
        <w:t xml:space="preserve"> A </w:t>
      </w:r>
      <w:r w:rsidRPr="00957A1F">
        <w:rPr>
          <w:rFonts w:ascii="Times New Roman" w:hAnsi="Times New Roman"/>
          <w:sz w:val="22"/>
          <w:szCs w:val="22"/>
        </w:rPr>
        <w:t>CPD</w:t>
      </w:r>
      <w:r w:rsidR="00092100">
        <w:rPr>
          <w:rFonts w:ascii="Times New Roman" w:hAnsi="Times New Roman"/>
          <w:sz w:val="22"/>
          <w:szCs w:val="22"/>
        </w:rPr>
        <w:t xml:space="preserve"> provider</w:t>
      </w:r>
      <w:r w:rsidR="004261CE" w:rsidRPr="00957A1F">
        <w:rPr>
          <w:rFonts w:ascii="Times New Roman" w:hAnsi="Times New Roman"/>
          <w:sz w:val="22"/>
          <w:szCs w:val="22"/>
        </w:rPr>
        <w:t xml:space="preserve"> must comply with relevant Commonwealth, State and Territory legislation and regulatory requirements in relation to, but not limited to:</w:t>
      </w:r>
    </w:p>
    <w:p w14:paraId="77AB9CC0" w14:textId="58EE933A" w:rsidR="004261CE" w:rsidRPr="00957A1F" w:rsidRDefault="00D33D16" w:rsidP="00E3617B">
      <w:pPr>
        <w:pStyle w:val="ListParagraph"/>
        <w:numPr>
          <w:ilvl w:val="0"/>
          <w:numId w:val="13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w</w:t>
      </w:r>
      <w:r w:rsidR="004261CE" w:rsidRPr="00957A1F">
        <w:rPr>
          <w:rFonts w:cs="Times New Roman"/>
          <w:szCs w:val="22"/>
        </w:rPr>
        <w:t>orkplace</w:t>
      </w:r>
      <w:r w:rsidRPr="00957A1F">
        <w:rPr>
          <w:rFonts w:cs="Times New Roman"/>
          <w:szCs w:val="22"/>
        </w:rPr>
        <w:t>,</w:t>
      </w:r>
      <w:r w:rsidR="004261CE" w:rsidRPr="00957A1F">
        <w:rPr>
          <w:rFonts w:cs="Times New Roman"/>
          <w:szCs w:val="22"/>
        </w:rPr>
        <w:t xml:space="preserve"> harassment and anti-discrimination</w:t>
      </w:r>
      <w:r w:rsidRPr="00957A1F">
        <w:rPr>
          <w:rFonts w:cs="Times New Roman"/>
          <w:szCs w:val="22"/>
        </w:rPr>
        <w:t>;</w:t>
      </w:r>
    </w:p>
    <w:p w14:paraId="0DA97374" w14:textId="70240B13" w:rsidR="004261CE" w:rsidRPr="00957A1F" w:rsidRDefault="00D33D16" w:rsidP="00E3617B">
      <w:pPr>
        <w:pStyle w:val="ListParagraph"/>
        <w:numPr>
          <w:ilvl w:val="0"/>
          <w:numId w:val="13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p</w:t>
      </w:r>
      <w:r w:rsidR="004261CE" w:rsidRPr="00957A1F">
        <w:rPr>
          <w:rFonts w:cs="Times New Roman"/>
          <w:szCs w:val="22"/>
        </w:rPr>
        <w:t>rivacy</w:t>
      </w:r>
      <w:r w:rsidRPr="00957A1F">
        <w:rPr>
          <w:rFonts w:cs="Times New Roman"/>
          <w:szCs w:val="22"/>
        </w:rPr>
        <w:t>;</w:t>
      </w:r>
    </w:p>
    <w:p w14:paraId="38BEECCD" w14:textId="1E0B87C2" w:rsidR="004261CE" w:rsidRPr="00957A1F" w:rsidRDefault="004261CE" w:rsidP="00E3617B">
      <w:pPr>
        <w:pStyle w:val="ListParagraph"/>
        <w:numPr>
          <w:ilvl w:val="0"/>
          <w:numId w:val="13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Australian consumer law</w:t>
      </w:r>
      <w:r w:rsidR="00D33D16" w:rsidRPr="00957A1F">
        <w:rPr>
          <w:rFonts w:cs="Times New Roman"/>
          <w:szCs w:val="22"/>
        </w:rPr>
        <w:t>;</w:t>
      </w:r>
    </w:p>
    <w:p w14:paraId="0F8F4F24" w14:textId="63A6FECD" w:rsidR="004261CE" w:rsidRPr="00957A1F" w:rsidRDefault="00D33D16" w:rsidP="00E3617B">
      <w:pPr>
        <w:pStyle w:val="ListParagraph"/>
        <w:numPr>
          <w:ilvl w:val="0"/>
          <w:numId w:val="13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c</w:t>
      </w:r>
      <w:r w:rsidR="0043659A">
        <w:rPr>
          <w:rFonts w:cs="Times New Roman"/>
          <w:szCs w:val="22"/>
        </w:rPr>
        <w:t>onsumer rights</w:t>
      </w:r>
      <w:r w:rsidRPr="00957A1F">
        <w:rPr>
          <w:rFonts w:cs="Times New Roman"/>
          <w:szCs w:val="22"/>
        </w:rPr>
        <w:t>;</w:t>
      </w:r>
    </w:p>
    <w:p w14:paraId="07DBC351" w14:textId="7F960F56" w:rsidR="004261CE" w:rsidRPr="00957A1F" w:rsidRDefault="00D33D16" w:rsidP="00E3617B">
      <w:pPr>
        <w:pStyle w:val="ListParagraph"/>
        <w:numPr>
          <w:ilvl w:val="0"/>
          <w:numId w:val="13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o</w:t>
      </w:r>
      <w:r w:rsidR="004261CE" w:rsidRPr="00957A1F">
        <w:rPr>
          <w:rFonts w:cs="Times New Roman"/>
          <w:szCs w:val="22"/>
        </w:rPr>
        <w:t>ccupational health and safety</w:t>
      </w:r>
      <w:r w:rsidRPr="00957A1F">
        <w:rPr>
          <w:rFonts w:cs="Times New Roman"/>
          <w:szCs w:val="22"/>
        </w:rPr>
        <w:t>; and</w:t>
      </w:r>
    </w:p>
    <w:p w14:paraId="14E0A67D" w14:textId="3AD743F0" w:rsidR="004261CE" w:rsidRPr="00957A1F" w:rsidRDefault="00D33D16" w:rsidP="00A22396">
      <w:pPr>
        <w:pStyle w:val="ListParagraph"/>
        <w:numPr>
          <w:ilvl w:val="0"/>
          <w:numId w:val="13"/>
        </w:numPr>
        <w:spacing w:before="80" w:after="240" w:line="280" w:lineRule="exact"/>
        <w:ind w:left="1077" w:hanging="357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i</w:t>
      </w:r>
      <w:r w:rsidR="004261CE" w:rsidRPr="00957A1F">
        <w:rPr>
          <w:rFonts w:cs="Times New Roman"/>
          <w:szCs w:val="22"/>
        </w:rPr>
        <w:t>ntellectual property</w:t>
      </w:r>
      <w:r w:rsidRPr="00957A1F">
        <w:rPr>
          <w:rFonts w:cs="Times New Roman"/>
          <w:szCs w:val="22"/>
        </w:rPr>
        <w:t>.</w:t>
      </w:r>
    </w:p>
    <w:p w14:paraId="37BEAF12" w14:textId="011A6B73" w:rsidR="004261CE" w:rsidRPr="00957A1F" w:rsidRDefault="00D33D16" w:rsidP="00A22396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2.2</w:t>
      </w:r>
      <w:r w:rsidRPr="00957A1F">
        <w:rPr>
          <w:rFonts w:ascii="Times New Roman" w:hAnsi="Times New Roman"/>
          <w:sz w:val="22"/>
          <w:szCs w:val="22"/>
        </w:rPr>
        <w:tab/>
      </w:r>
      <w:r w:rsidR="001D5C96">
        <w:rPr>
          <w:rFonts w:ascii="Times New Roman" w:hAnsi="Times New Roman"/>
          <w:sz w:val="22"/>
          <w:szCs w:val="22"/>
        </w:rPr>
        <w:t xml:space="preserve">A </w:t>
      </w:r>
      <w:r w:rsidRPr="00957A1F">
        <w:rPr>
          <w:rFonts w:ascii="Times New Roman" w:hAnsi="Times New Roman"/>
          <w:sz w:val="22"/>
          <w:szCs w:val="22"/>
        </w:rPr>
        <w:t>CPD</w:t>
      </w:r>
      <w:r w:rsidR="004261CE" w:rsidRPr="00957A1F">
        <w:rPr>
          <w:rFonts w:ascii="Times New Roman" w:hAnsi="Times New Roman"/>
          <w:sz w:val="22"/>
          <w:szCs w:val="22"/>
        </w:rPr>
        <w:t xml:space="preserve"> provider must maintain current contact details with the </w:t>
      </w:r>
      <w:r w:rsidR="00957A1F">
        <w:rPr>
          <w:rFonts w:ascii="Times New Roman" w:hAnsi="Times New Roman"/>
          <w:sz w:val="22"/>
          <w:szCs w:val="22"/>
        </w:rPr>
        <w:t>OMARA</w:t>
      </w:r>
      <w:r w:rsidR="004261CE" w:rsidRPr="00957A1F">
        <w:rPr>
          <w:rFonts w:ascii="Times New Roman" w:hAnsi="Times New Roman"/>
          <w:sz w:val="22"/>
          <w:szCs w:val="22"/>
        </w:rPr>
        <w:t>.</w:t>
      </w:r>
    </w:p>
    <w:p w14:paraId="294F150A" w14:textId="2864B800" w:rsidR="004261CE" w:rsidRPr="00957A1F" w:rsidRDefault="00D33D16" w:rsidP="00522BA8">
      <w:pPr>
        <w:pStyle w:val="ListNumber2"/>
        <w:numPr>
          <w:ilvl w:val="0"/>
          <w:numId w:val="0"/>
        </w:numPr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 xml:space="preserve">2.3   </w:t>
      </w:r>
      <w:r w:rsidRPr="00957A1F">
        <w:rPr>
          <w:rFonts w:ascii="Times New Roman" w:hAnsi="Times New Roman"/>
          <w:sz w:val="22"/>
          <w:szCs w:val="22"/>
        </w:rPr>
        <w:tab/>
      </w:r>
      <w:r w:rsidR="001D5C96">
        <w:rPr>
          <w:rFonts w:ascii="Times New Roman" w:hAnsi="Times New Roman"/>
          <w:sz w:val="22"/>
          <w:szCs w:val="22"/>
        </w:rPr>
        <w:t xml:space="preserve">A </w:t>
      </w:r>
      <w:r w:rsidRPr="00957A1F">
        <w:rPr>
          <w:rFonts w:ascii="Times New Roman" w:hAnsi="Times New Roman"/>
          <w:sz w:val="22"/>
          <w:szCs w:val="22"/>
        </w:rPr>
        <w:t>CPD</w:t>
      </w:r>
      <w:r w:rsidR="001D5C96">
        <w:rPr>
          <w:rFonts w:ascii="Times New Roman" w:hAnsi="Times New Roman"/>
          <w:sz w:val="22"/>
          <w:szCs w:val="22"/>
        </w:rPr>
        <w:t xml:space="preserve"> provider</w:t>
      </w:r>
      <w:r w:rsidR="004261CE" w:rsidRPr="00957A1F">
        <w:rPr>
          <w:rFonts w:ascii="Times New Roman" w:hAnsi="Times New Roman"/>
          <w:sz w:val="22"/>
          <w:szCs w:val="22"/>
        </w:rPr>
        <w:t xml:space="preserve"> must </w:t>
      </w:r>
      <w:r w:rsidR="00C0645C" w:rsidRPr="00957A1F">
        <w:rPr>
          <w:rFonts w:ascii="Times New Roman" w:hAnsi="Times New Roman"/>
          <w:sz w:val="22"/>
          <w:szCs w:val="22"/>
        </w:rPr>
        <w:t>have suitable policies and administrative arrangements</w:t>
      </w:r>
      <w:r w:rsidR="004261CE" w:rsidRPr="00957A1F">
        <w:rPr>
          <w:rFonts w:ascii="Times New Roman" w:hAnsi="Times New Roman"/>
          <w:sz w:val="22"/>
          <w:szCs w:val="22"/>
        </w:rPr>
        <w:t xml:space="preserve"> in relation to:</w:t>
      </w:r>
    </w:p>
    <w:p w14:paraId="59E6EFC1" w14:textId="75F53367" w:rsidR="004261CE" w:rsidRPr="00957A1F" w:rsidRDefault="004261CE" w:rsidP="00522BA8">
      <w:pPr>
        <w:pStyle w:val="ListParagraph"/>
        <w:numPr>
          <w:ilvl w:val="0"/>
          <w:numId w:val="14"/>
        </w:numPr>
        <w:spacing w:before="80" w:after="160" w:line="280" w:lineRule="exact"/>
        <w:ind w:hanging="371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learning and assessment</w:t>
      </w:r>
      <w:r w:rsidR="00D33D16" w:rsidRPr="00957A1F">
        <w:rPr>
          <w:rFonts w:cs="Times New Roman"/>
          <w:szCs w:val="22"/>
        </w:rPr>
        <w:t>;</w:t>
      </w:r>
    </w:p>
    <w:p w14:paraId="0B88B820" w14:textId="5AC1DDAB" w:rsidR="004261CE" w:rsidRPr="00957A1F" w:rsidRDefault="004261CE" w:rsidP="00522BA8">
      <w:pPr>
        <w:pStyle w:val="ListParagraph"/>
        <w:numPr>
          <w:ilvl w:val="0"/>
          <w:numId w:val="14"/>
        </w:numPr>
        <w:spacing w:before="80" w:after="160" w:line="280" w:lineRule="exact"/>
        <w:ind w:hanging="371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evaluation and continuous improvement</w:t>
      </w:r>
      <w:r w:rsidR="00D33D16" w:rsidRPr="00957A1F">
        <w:rPr>
          <w:rFonts w:cs="Times New Roman"/>
          <w:szCs w:val="22"/>
        </w:rPr>
        <w:t>;</w:t>
      </w:r>
      <w:r w:rsidRPr="00957A1F">
        <w:rPr>
          <w:rFonts w:cs="Times New Roman"/>
          <w:szCs w:val="22"/>
        </w:rPr>
        <w:t xml:space="preserve"> </w:t>
      </w:r>
    </w:p>
    <w:p w14:paraId="170C6484" w14:textId="3805B0A0" w:rsidR="004261CE" w:rsidRPr="00957A1F" w:rsidRDefault="004261CE" w:rsidP="00522BA8">
      <w:pPr>
        <w:pStyle w:val="ListParagraph"/>
        <w:numPr>
          <w:ilvl w:val="0"/>
          <w:numId w:val="14"/>
        </w:numPr>
        <w:spacing w:before="80" w:after="160" w:line="280" w:lineRule="exact"/>
        <w:ind w:hanging="371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records management</w:t>
      </w:r>
      <w:r w:rsidR="00C0645C" w:rsidRPr="00957A1F">
        <w:rPr>
          <w:rFonts w:cs="Times New Roman"/>
          <w:szCs w:val="22"/>
        </w:rPr>
        <w:t>, reporting and privacy</w:t>
      </w:r>
      <w:r w:rsidR="00D33D16" w:rsidRPr="00957A1F">
        <w:rPr>
          <w:rFonts w:cs="Times New Roman"/>
          <w:szCs w:val="22"/>
        </w:rPr>
        <w:t>;</w:t>
      </w:r>
    </w:p>
    <w:p w14:paraId="5178DAF8" w14:textId="486E09D6" w:rsidR="004261CE" w:rsidRPr="00957A1F" w:rsidRDefault="00C0645C" w:rsidP="00522BA8">
      <w:pPr>
        <w:pStyle w:val="ListParagraph"/>
        <w:numPr>
          <w:ilvl w:val="0"/>
          <w:numId w:val="14"/>
        </w:numPr>
        <w:spacing w:before="80" w:after="160" w:line="280" w:lineRule="exact"/>
        <w:ind w:hanging="371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handling complaints</w:t>
      </w:r>
      <w:r w:rsidR="00D33D16" w:rsidRPr="00957A1F">
        <w:rPr>
          <w:rFonts w:cs="Times New Roman"/>
          <w:szCs w:val="22"/>
        </w:rPr>
        <w:t>;</w:t>
      </w:r>
      <w:r w:rsidR="004261CE" w:rsidRPr="00957A1F">
        <w:rPr>
          <w:rFonts w:cs="Times New Roman"/>
          <w:szCs w:val="22"/>
        </w:rPr>
        <w:t xml:space="preserve"> </w:t>
      </w:r>
      <w:r w:rsidR="004A5E58" w:rsidRPr="00957A1F">
        <w:rPr>
          <w:rFonts w:cs="Times New Roman"/>
          <w:szCs w:val="22"/>
        </w:rPr>
        <w:t>and</w:t>
      </w:r>
    </w:p>
    <w:p w14:paraId="24752CB8" w14:textId="69F0B509" w:rsidR="004261CE" w:rsidRPr="00957A1F" w:rsidRDefault="00C0645C" w:rsidP="004A5E58">
      <w:pPr>
        <w:pStyle w:val="ListParagraph"/>
        <w:numPr>
          <w:ilvl w:val="0"/>
          <w:numId w:val="14"/>
        </w:numPr>
        <w:spacing w:before="80" w:after="240" w:line="280" w:lineRule="exact"/>
        <w:ind w:left="1078" w:hanging="369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 xml:space="preserve">handling </w:t>
      </w:r>
      <w:r w:rsidR="00D33D16" w:rsidRPr="00957A1F">
        <w:rPr>
          <w:rFonts w:cs="Times New Roman"/>
          <w:szCs w:val="22"/>
        </w:rPr>
        <w:t>cancellations</w:t>
      </w:r>
      <w:r w:rsidR="004261CE" w:rsidRPr="00957A1F">
        <w:rPr>
          <w:rFonts w:cs="Times New Roman"/>
          <w:szCs w:val="22"/>
        </w:rPr>
        <w:t xml:space="preserve"> and refunds</w:t>
      </w:r>
      <w:r w:rsidR="004A5E58" w:rsidRPr="00957A1F">
        <w:rPr>
          <w:rFonts w:cs="Times New Roman"/>
          <w:szCs w:val="22"/>
        </w:rPr>
        <w:t>.</w:t>
      </w:r>
    </w:p>
    <w:p w14:paraId="3E415367" w14:textId="143A53FF" w:rsidR="004261CE" w:rsidRPr="00957A1F" w:rsidRDefault="004261CE" w:rsidP="004A5E58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2.4</w:t>
      </w:r>
      <w:r w:rsidRPr="00957A1F">
        <w:rPr>
          <w:rFonts w:ascii="Times New Roman" w:hAnsi="Times New Roman"/>
          <w:sz w:val="22"/>
          <w:szCs w:val="22"/>
        </w:rPr>
        <w:tab/>
      </w:r>
      <w:r w:rsidR="00D33D16" w:rsidRPr="00957A1F">
        <w:rPr>
          <w:rFonts w:ascii="Times New Roman" w:hAnsi="Times New Roman"/>
          <w:sz w:val="22"/>
          <w:szCs w:val="22"/>
        </w:rPr>
        <w:t>A CPD</w:t>
      </w:r>
      <w:r w:rsidRPr="00957A1F">
        <w:rPr>
          <w:rFonts w:ascii="Times New Roman" w:hAnsi="Times New Roman"/>
          <w:sz w:val="22"/>
          <w:szCs w:val="22"/>
        </w:rPr>
        <w:t xml:space="preserve"> provid</w:t>
      </w:r>
      <w:r w:rsidR="00C0645C" w:rsidRPr="00957A1F">
        <w:rPr>
          <w:rFonts w:ascii="Times New Roman" w:hAnsi="Times New Roman"/>
          <w:sz w:val="22"/>
          <w:szCs w:val="22"/>
        </w:rPr>
        <w:t xml:space="preserve">er’s policies and administrative arrangements </w:t>
      </w:r>
      <w:r w:rsidR="004A5E58" w:rsidRPr="00957A1F">
        <w:rPr>
          <w:rFonts w:ascii="Times New Roman" w:hAnsi="Times New Roman"/>
          <w:sz w:val="22"/>
          <w:szCs w:val="22"/>
        </w:rPr>
        <w:t xml:space="preserve">for handling complaints </w:t>
      </w:r>
      <w:r w:rsidRPr="00957A1F">
        <w:rPr>
          <w:rFonts w:ascii="Times New Roman" w:hAnsi="Times New Roman"/>
          <w:sz w:val="22"/>
          <w:szCs w:val="22"/>
        </w:rPr>
        <w:t>must be fair and reasonable</w:t>
      </w:r>
      <w:r w:rsidR="00C0645C" w:rsidRPr="00957A1F">
        <w:rPr>
          <w:rFonts w:ascii="Times New Roman" w:hAnsi="Times New Roman"/>
          <w:sz w:val="22"/>
          <w:szCs w:val="22"/>
        </w:rPr>
        <w:t xml:space="preserve">. The policies </w:t>
      </w:r>
      <w:r w:rsidR="00E3617B" w:rsidRPr="00957A1F">
        <w:rPr>
          <w:rFonts w:ascii="Times New Roman" w:hAnsi="Times New Roman"/>
          <w:sz w:val="22"/>
          <w:szCs w:val="22"/>
        </w:rPr>
        <w:t>must</w:t>
      </w:r>
      <w:r w:rsidRPr="00957A1F">
        <w:rPr>
          <w:rFonts w:ascii="Times New Roman" w:hAnsi="Times New Roman"/>
          <w:sz w:val="22"/>
          <w:szCs w:val="22"/>
        </w:rPr>
        <w:t xml:space="preserve"> be</w:t>
      </w:r>
      <w:r w:rsidR="00D33D16" w:rsidRPr="00957A1F">
        <w:rPr>
          <w:rFonts w:ascii="Times New Roman" w:hAnsi="Times New Roman"/>
          <w:sz w:val="22"/>
          <w:szCs w:val="22"/>
        </w:rPr>
        <w:t xml:space="preserve"> either</w:t>
      </w:r>
      <w:r w:rsidRPr="00957A1F">
        <w:rPr>
          <w:rFonts w:ascii="Times New Roman" w:hAnsi="Times New Roman"/>
          <w:sz w:val="22"/>
          <w:szCs w:val="22"/>
        </w:rPr>
        <w:t xml:space="preserve"> published on the </w:t>
      </w:r>
      <w:r w:rsidR="00D33D16" w:rsidRPr="00957A1F">
        <w:rPr>
          <w:rFonts w:ascii="Times New Roman" w:hAnsi="Times New Roman"/>
          <w:sz w:val="22"/>
          <w:szCs w:val="22"/>
        </w:rPr>
        <w:t xml:space="preserve">CPD </w:t>
      </w:r>
      <w:r w:rsidRPr="00957A1F">
        <w:rPr>
          <w:rFonts w:ascii="Times New Roman" w:hAnsi="Times New Roman"/>
          <w:sz w:val="22"/>
          <w:szCs w:val="22"/>
        </w:rPr>
        <w:t>provider’s website</w:t>
      </w:r>
      <w:r w:rsidR="00D33D16" w:rsidRPr="00957A1F">
        <w:rPr>
          <w:rFonts w:ascii="Times New Roman" w:hAnsi="Times New Roman"/>
          <w:sz w:val="22"/>
          <w:szCs w:val="22"/>
        </w:rPr>
        <w:t xml:space="preserve"> </w:t>
      </w:r>
      <w:r w:rsidRPr="00957A1F">
        <w:rPr>
          <w:rFonts w:ascii="Times New Roman" w:hAnsi="Times New Roman"/>
          <w:sz w:val="22"/>
          <w:szCs w:val="22"/>
        </w:rPr>
        <w:t>or provided to participants at the time of enrolment.</w:t>
      </w:r>
    </w:p>
    <w:p w14:paraId="6B2977F9" w14:textId="72049959" w:rsidR="004261CE" w:rsidRPr="00957A1F" w:rsidRDefault="004261CE" w:rsidP="00522BA8">
      <w:pPr>
        <w:pStyle w:val="ListNumber2"/>
        <w:numPr>
          <w:ilvl w:val="0"/>
          <w:numId w:val="0"/>
        </w:numPr>
        <w:ind w:left="720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2.5</w:t>
      </w:r>
      <w:r w:rsidRPr="00957A1F">
        <w:rPr>
          <w:rFonts w:ascii="Times New Roman" w:hAnsi="Times New Roman"/>
          <w:sz w:val="22"/>
          <w:szCs w:val="22"/>
        </w:rPr>
        <w:tab/>
      </w:r>
      <w:r w:rsidR="00E3617B" w:rsidRPr="00957A1F">
        <w:rPr>
          <w:rFonts w:ascii="Times New Roman" w:hAnsi="Times New Roman"/>
          <w:sz w:val="22"/>
          <w:szCs w:val="22"/>
        </w:rPr>
        <w:t>A CPD</w:t>
      </w:r>
      <w:r w:rsidRPr="00957A1F">
        <w:rPr>
          <w:rFonts w:ascii="Times New Roman" w:hAnsi="Times New Roman"/>
          <w:sz w:val="22"/>
          <w:szCs w:val="22"/>
        </w:rPr>
        <w:t xml:space="preserve"> provider’s </w:t>
      </w:r>
      <w:r w:rsidR="00C0645C" w:rsidRPr="00957A1F">
        <w:rPr>
          <w:rFonts w:ascii="Times New Roman" w:hAnsi="Times New Roman"/>
          <w:sz w:val="22"/>
          <w:szCs w:val="22"/>
        </w:rPr>
        <w:t xml:space="preserve">policies and administrative arrangements for handling cancellations and refunds </w:t>
      </w:r>
      <w:r w:rsidRPr="00957A1F">
        <w:rPr>
          <w:rFonts w:ascii="Times New Roman" w:hAnsi="Times New Roman"/>
          <w:sz w:val="22"/>
          <w:szCs w:val="22"/>
        </w:rPr>
        <w:t>must:</w:t>
      </w:r>
    </w:p>
    <w:p w14:paraId="30EC7854" w14:textId="4237DD0F" w:rsidR="004261CE" w:rsidRPr="00957A1F" w:rsidRDefault="004261CE" w:rsidP="00E3617B">
      <w:pPr>
        <w:pStyle w:val="ListParagraph"/>
        <w:numPr>
          <w:ilvl w:val="0"/>
          <w:numId w:val="15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be fair and reasonable</w:t>
      </w:r>
      <w:r w:rsidR="00E3617B" w:rsidRPr="00957A1F">
        <w:rPr>
          <w:rFonts w:cs="Times New Roman"/>
          <w:szCs w:val="22"/>
        </w:rPr>
        <w:t>;</w:t>
      </w:r>
    </w:p>
    <w:p w14:paraId="7AD10581" w14:textId="1F3A12E5" w:rsidR="004261CE" w:rsidRPr="00957A1F" w:rsidRDefault="004261CE" w:rsidP="00E3617B">
      <w:pPr>
        <w:pStyle w:val="ListParagraph"/>
        <w:numPr>
          <w:ilvl w:val="0"/>
          <w:numId w:val="15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include that fees paid in advance will be protected, enabling participants to obtain a full refund if the</w:t>
      </w:r>
      <w:r w:rsidR="00E3617B" w:rsidRPr="00957A1F">
        <w:rPr>
          <w:rFonts w:cs="Times New Roman"/>
          <w:szCs w:val="22"/>
        </w:rPr>
        <w:t xml:space="preserve"> CPD</w:t>
      </w:r>
      <w:r w:rsidRPr="00957A1F">
        <w:rPr>
          <w:rFonts w:cs="Times New Roman"/>
          <w:szCs w:val="22"/>
        </w:rPr>
        <w:t xml:space="preserve"> activity is cancelled by the </w:t>
      </w:r>
      <w:r w:rsidR="00E3617B" w:rsidRPr="00957A1F">
        <w:rPr>
          <w:rFonts w:cs="Times New Roman"/>
          <w:szCs w:val="22"/>
        </w:rPr>
        <w:t>CPD</w:t>
      </w:r>
      <w:r w:rsidRPr="00957A1F">
        <w:rPr>
          <w:rFonts w:cs="Times New Roman"/>
          <w:szCs w:val="22"/>
        </w:rPr>
        <w:t xml:space="preserve"> provider; and</w:t>
      </w:r>
    </w:p>
    <w:p w14:paraId="3FCD21A5" w14:textId="1095AF48" w:rsidR="004261CE" w:rsidRPr="00957A1F" w:rsidRDefault="004261CE" w:rsidP="00E3617B">
      <w:pPr>
        <w:pStyle w:val="ListParagraph"/>
        <w:numPr>
          <w:ilvl w:val="0"/>
          <w:numId w:val="15"/>
        </w:numPr>
        <w:spacing w:before="80" w:after="160" w:line="280" w:lineRule="exact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 xml:space="preserve">be published on the </w:t>
      </w:r>
      <w:r w:rsidR="00E3617B" w:rsidRPr="00957A1F">
        <w:rPr>
          <w:rFonts w:cs="Times New Roman"/>
          <w:szCs w:val="22"/>
        </w:rPr>
        <w:t xml:space="preserve">CPD </w:t>
      </w:r>
      <w:r w:rsidRPr="00957A1F">
        <w:rPr>
          <w:rFonts w:cs="Times New Roman"/>
          <w:szCs w:val="22"/>
        </w:rPr>
        <w:t xml:space="preserve">provider’s website </w:t>
      </w:r>
      <w:r w:rsidR="00E3617B" w:rsidRPr="00957A1F">
        <w:rPr>
          <w:rFonts w:cs="Times New Roman"/>
          <w:szCs w:val="22"/>
        </w:rPr>
        <w:t>or</w:t>
      </w:r>
      <w:r w:rsidRPr="00957A1F">
        <w:rPr>
          <w:rFonts w:cs="Times New Roman"/>
          <w:szCs w:val="22"/>
        </w:rPr>
        <w:t xml:space="preserve"> be provided to participants at the time of enrolment.</w:t>
      </w:r>
    </w:p>
    <w:p w14:paraId="0AA20C3D" w14:textId="77777777" w:rsidR="00F76B37" w:rsidRDefault="00F76B37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6D87B162" w14:textId="75D86B87" w:rsidR="00E3617B" w:rsidRPr="00981AB0" w:rsidRDefault="00E3617B" w:rsidP="00E3617B">
      <w:pPr>
        <w:pStyle w:val="ActHead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bookmarkStart w:id="24" w:name="_Toc492386660"/>
      <w:r w:rsidRPr="00981AB0">
        <w:rPr>
          <w:rFonts w:ascii="Times New Roman" w:hAnsi="Times New Roman"/>
          <w:sz w:val="28"/>
          <w:szCs w:val="28"/>
        </w:rPr>
        <w:lastRenderedPageBreak/>
        <w:t>Personnel</w:t>
      </w:r>
      <w:bookmarkEnd w:id="24"/>
    </w:p>
    <w:p w14:paraId="77A61960" w14:textId="77777777" w:rsidR="00522BA8" w:rsidRDefault="00522BA8" w:rsidP="00522BA8"/>
    <w:p w14:paraId="1FB6F047" w14:textId="1E73236E" w:rsidR="008A227E" w:rsidRPr="00957A1F" w:rsidRDefault="00522BA8" w:rsidP="00CE5F81">
      <w:pPr>
        <w:pStyle w:val="ListNumber2"/>
        <w:numPr>
          <w:ilvl w:val="0"/>
          <w:numId w:val="0"/>
        </w:numPr>
        <w:spacing w:after="240"/>
        <w:ind w:left="709" w:right="28" w:hanging="709"/>
      </w:pPr>
      <w:r w:rsidRPr="00522BA8">
        <w:rPr>
          <w:rFonts w:ascii="Times New Roman" w:hAnsi="Times New Roman"/>
          <w:sz w:val="24"/>
          <w:szCs w:val="24"/>
        </w:rPr>
        <w:t>3.1</w:t>
      </w:r>
      <w:r w:rsidRPr="00522BA8">
        <w:rPr>
          <w:rFonts w:ascii="Times New Roman" w:hAnsi="Times New Roman"/>
          <w:sz w:val="24"/>
          <w:szCs w:val="24"/>
        </w:rPr>
        <w:tab/>
      </w:r>
      <w:r w:rsidR="001D5C96">
        <w:rPr>
          <w:rFonts w:ascii="Times New Roman" w:hAnsi="Times New Roman"/>
          <w:sz w:val="24"/>
          <w:szCs w:val="24"/>
        </w:rPr>
        <w:t xml:space="preserve">A </w:t>
      </w:r>
      <w:r w:rsidRPr="00957A1F">
        <w:rPr>
          <w:rFonts w:ascii="Times New Roman" w:hAnsi="Times New Roman"/>
          <w:sz w:val="22"/>
          <w:szCs w:val="22"/>
        </w:rPr>
        <w:t>CPD</w:t>
      </w:r>
      <w:r w:rsidR="001D5C96">
        <w:rPr>
          <w:rFonts w:ascii="Times New Roman" w:hAnsi="Times New Roman"/>
          <w:sz w:val="22"/>
          <w:szCs w:val="22"/>
        </w:rPr>
        <w:t xml:space="preserve"> provider</w:t>
      </w:r>
      <w:r w:rsidRPr="00957A1F">
        <w:rPr>
          <w:rFonts w:ascii="Times New Roman" w:hAnsi="Times New Roman"/>
          <w:sz w:val="22"/>
          <w:szCs w:val="22"/>
        </w:rPr>
        <w:t xml:space="preserve"> must ensure that </w:t>
      </w:r>
      <w:r w:rsidR="001D5C96">
        <w:rPr>
          <w:rFonts w:ascii="Times New Roman" w:hAnsi="Times New Roman"/>
          <w:sz w:val="22"/>
          <w:szCs w:val="22"/>
        </w:rPr>
        <w:t>a</w:t>
      </w:r>
      <w:r w:rsidRPr="00957A1F">
        <w:rPr>
          <w:rFonts w:ascii="Times New Roman" w:hAnsi="Times New Roman"/>
          <w:sz w:val="22"/>
          <w:szCs w:val="22"/>
        </w:rPr>
        <w:t xml:space="preserve"> CPD activ</w:t>
      </w:r>
      <w:r w:rsidR="001D5C96">
        <w:rPr>
          <w:rFonts w:ascii="Times New Roman" w:hAnsi="Times New Roman"/>
          <w:sz w:val="22"/>
          <w:szCs w:val="22"/>
        </w:rPr>
        <w:t>ity</w:t>
      </w:r>
      <w:r w:rsidRPr="00957A1F">
        <w:rPr>
          <w:rFonts w:ascii="Times New Roman" w:hAnsi="Times New Roman"/>
          <w:sz w:val="22"/>
          <w:szCs w:val="22"/>
        </w:rPr>
        <w:t xml:space="preserve"> </w:t>
      </w:r>
      <w:r w:rsidR="001D5C96">
        <w:rPr>
          <w:rFonts w:ascii="Times New Roman" w:hAnsi="Times New Roman"/>
          <w:sz w:val="22"/>
          <w:szCs w:val="22"/>
        </w:rPr>
        <w:t>is</w:t>
      </w:r>
      <w:r w:rsidRPr="00957A1F">
        <w:rPr>
          <w:rFonts w:ascii="Times New Roman" w:hAnsi="Times New Roman"/>
          <w:sz w:val="22"/>
          <w:szCs w:val="22"/>
        </w:rPr>
        <w:t xml:space="preserve"> prepared or presented by persons who </w:t>
      </w:r>
      <w:r w:rsidR="004A5E58" w:rsidRPr="00957A1F">
        <w:rPr>
          <w:rFonts w:ascii="Times New Roman" w:hAnsi="Times New Roman"/>
          <w:sz w:val="22"/>
          <w:szCs w:val="22"/>
        </w:rPr>
        <w:t>are suitably qualified, whether formally or by experience, to conduct the CPD activit</w:t>
      </w:r>
      <w:r w:rsidR="001D5C96">
        <w:rPr>
          <w:rFonts w:ascii="Times New Roman" w:hAnsi="Times New Roman"/>
          <w:sz w:val="22"/>
          <w:szCs w:val="22"/>
        </w:rPr>
        <w:t>y</w:t>
      </w:r>
      <w:r w:rsidRPr="00957A1F">
        <w:rPr>
          <w:rFonts w:ascii="Times New Roman" w:hAnsi="Times New Roman"/>
          <w:sz w:val="22"/>
          <w:szCs w:val="22"/>
        </w:rPr>
        <w:t xml:space="preserve">. </w:t>
      </w:r>
    </w:p>
    <w:p w14:paraId="1CF3E3B7" w14:textId="25D0A74F" w:rsidR="00522BA8" w:rsidRPr="00957A1F" w:rsidRDefault="00DE017B" w:rsidP="00F6136A">
      <w:pPr>
        <w:tabs>
          <w:tab w:val="left" w:pos="709"/>
        </w:tabs>
        <w:spacing w:after="240"/>
        <w:ind w:left="703" w:hanging="703"/>
        <w:rPr>
          <w:rFonts w:cs="Times New Roman"/>
          <w:szCs w:val="22"/>
        </w:rPr>
      </w:pPr>
      <w:r w:rsidRPr="00957A1F">
        <w:rPr>
          <w:rFonts w:cs="Times New Roman"/>
          <w:szCs w:val="22"/>
        </w:rPr>
        <w:t>3.2</w:t>
      </w:r>
      <w:r w:rsidR="00522BA8" w:rsidRPr="00957A1F">
        <w:rPr>
          <w:rFonts w:cs="Times New Roman"/>
          <w:szCs w:val="22"/>
        </w:rPr>
        <w:t xml:space="preserve"> </w:t>
      </w:r>
      <w:r w:rsidR="00522BA8" w:rsidRPr="00957A1F">
        <w:rPr>
          <w:rFonts w:cs="Times New Roman"/>
          <w:szCs w:val="22"/>
        </w:rPr>
        <w:tab/>
      </w:r>
      <w:r w:rsidR="00F6136A" w:rsidRPr="00957A1F">
        <w:rPr>
          <w:rFonts w:cs="Times New Roman"/>
          <w:szCs w:val="22"/>
        </w:rPr>
        <w:t>A CPD provider, and any person employed by, or providing services to or on behalf of, the CPD provider in relation to the conduct of CPD activities, is</w:t>
      </w:r>
      <w:r w:rsidR="00522BA8" w:rsidRPr="00957A1F">
        <w:rPr>
          <w:rFonts w:cs="Times New Roman"/>
          <w:szCs w:val="22"/>
        </w:rPr>
        <w:t xml:space="preserve"> not to use the learning environment as a means of discouraging registered migration agents from cooperating with or working constru</w:t>
      </w:r>
      <w:r w:rsidR="00957A1F">
        <w:rPr>
          <w:rFonts w:cs="Times New Roman"/>
          <w:szCs w:val="22"/>
        </w:rPr>
        <w:t xml:space="preserve">ctively with </w:t>
      </w:r>
      <w:r w:rsidR="0067376E" w:rsidRPr="00957A1F">
        <w:rPr>
          <w:rFonts w:cs="Times New Roman"/>
          <w:szCs w:val="22"/>
        </w:rPr>
        <w:t xml:space="preserve">the </w:t>
      </w:r>
      <w:r w:rsidR="00522BA8" w:rsidRPr="00957A1F">
        <w:rPr>
          <w:rFonts w:cs="Times New Roman"/>
          <w:szCs w:val="22"/>
        </w:rPr>
        <w:t xml:space="preserve">Department, including the </w:t>
      </w:r>
      <w:r w:rsidR="00192717" w:rsidRPr="00957A1F">
        <w:rPr>
          <w:rFonts w:cs="Times New Roman"/>
          <w:szCs w:val="22"/>
        </w:rPr>
        <w:t>OMARA</w:t>
      </w:r>
      <w:r w:rsidR="00522BA8" w:rsidRPr="00957A1F">
        <w:rPr>
          <w:rFonts w:cs="Times New Roman"/>
          <w:szCs w:val="22"/>
        </w:rPr>
        <w:t xml:space="preserve">, or to bring the </w:t>
      </w:r>
      <w:r w:rsidR="00C427C7" w:rsidRPr="0095012B">
        <w:rPr>
          <w:rFonts w:cs="Times New Roman"/>
          <w:szCs w:val="22"/>
        </w:rPr>
        <w:t>migration advice</w:t>
      </w:r>
      <w:r w:rsidR="00C427C7" w:rsidRPr="008B2656">
        <w:rPr>
          <w:rFonts w:cs="Times New Roman"/>
          <w:szCs w:val="22"/>
        </w:rPr>
        <w:t xml:space="preserve"> </w:t>
      </w:r>
      <w:r w:rsidR="00522BA8" w:rsidRPr="008B2656">
        <w:rPr>
          <w:rFonts w:cs="Times New Roman"/>
          <w:szCs w:val="22"/>
        </w:rPr>
        <w:t>profession</w:t>
      </w:r>
      <w:r w:rsidR="00522BA8" w:rsidRPr="00957A1F">
        <w:rPr>
          <w:rFonts w:cs="Times New Roman"/>
          <w:szCs w:val="22"/>
        </w:rPr>
        <w:t xml:space="preserve"> into disrepute. </w:t>
      </w:r>
    </w:p>
    <w:p w14:paraId="5373B454" w14:textId="2B351349" w:rsidR="00522BA8" w:rsidRPr="00957A1F" w:rsidRDefault="00DE017B" w:rsidP="00F6136A">
      <w:pPr>
        <w:tabs>
          <w:tab w:val="left" w:pos="709"/>
        </w:tabs>
        <w:spacing w:after="240"/>
        <w:ind w:left="703" w:hanging="703"/>
        <w:rPr>
          <w:rFonts w:cs="Times New Roman"/>
          <w:szCs w:val="22"/>
        </w:rPr>
      </w:pPr>
      <w:r w:rsidRPr="00957A1F">
        <w:rPr>
          <w:szCs w:val="22"/>
        </w:rPr>
        <w:t>3.3</w:t>
      </w:r>
      <w:r w:rsidR="00522BA8" w:rsidRPr="00957A1F">
        <w:rPr>
          <w:szCs w:val="22"/>
        </w:rPr>
        <w:tab/>
      </w:r>
      <w:r w:rsidR="00A22396">
        <w:rPr>
          <w:szCs w:val="22"/>
        </w:rPr>
        <w:t xml:space="preserve">A </w:t>
      </w:r>
      <w:r w:rsidR="0067376E" w:rsidRPr="00957A1F">
        <w:rPr>
          <w:rFonts w:cs="Times New Roman"/>
          <w:szCs w:val="22"/>
        </w:rPr>
        <w:t>CPD</w:t>
      </w:r>
      <w:r w:rsidR="00A22396">
        <w:rPr>
          <w:rFonts w:cs="Times New Roman"/>
          <w:szCs w:val="22"/>
        </w:rPr>
        <w:t xml:space="preserve"> provider</w:t>
      </w:r>
      <w:r w:rsidR="00522BA8" w:rsidRPr="00957A1F">
        <w:rPr>
          <w:rFonts w:cs="Times New Roman"/>
          <w:szCs w:val="22"/>
        </w:rPr>
        <w:t xml:space="preserve"> must take all reasonable steps to</w:t>
      </w:r>
      <w:r w:rsidR="0067376E" w:rsidRPr="00957A1F">
        <w:rPr>
          <w:rFonts w:cs="Times New Roman"/>
          <w:szCs w:val="22"/>
        </w:rPr>
        <w:t xml:space="preserve"> avoid any conflict of interest</w:t>
      </w:r>
      <w:r w:rsidR="00522BA8" w:rsidRPr="00957A1F">
        <w:rPr>
          <w:rFonts w:cs="Times New Roman"/>
          <w:szCs w:val="22"/>
        </w:rPr>
        <w:t xml:space="preserve"> (real or perceived) in connection with its dealings with </w:t>
      </w:r>
      <w:r w:rsidR="0067376E" w:rsidRPr="00957A1F">
        <w:rPr>
          <w:rFonts w:cs="Times New Roman"/>
          <w:szCs w:val="22"/>
        </w:rPr>
        <w:t xml:space="preserve">the </w:t>
      </w:r>
      <w:r w:rsidR="00192717" w:rsidRPr="00957A1F">
        <w:rPr>
          <w:rFonts w:cs="Times New Roman"/>
          <w:szCs w:val="22"/>
        </w:rPr>
        <w:t>OMARA</w:t>
      </w:r>
      <w:r w:rsidR="00522BA8" w:rsidRPr="00957A1F">
        <w:rPr>
          <w:rFonts w:cs="Times New Roman"/>
          <w:szCs w:val="22"/>
        </w:rPr>
        <w:t>.</w:t>
      </w:r>
    </w:p>
    <w:p w14:paraId="7B606A57" w14:textId="4CE9C9BB" w:rsidR="0067376E" w:rsidRPr="00957A1F" w:rsidRDefault="0067376E">
      <w:pPr>
        <w:tabs>
          <w:tab w:val="left" w:pos="709"/>
        </w:tabs>
        <w:spacing w:after="240"/>
        <w:ind w:left="703" w:hanging="703"/>
        <w:rPr>
          <w:rFonts w:cs="Times New Roman"/>
          <w:sz w:val="16"/>
          <w:szCs w:val="16"/>
        </w:rPr>
      </w:pPr>
    </w:p>
    <w:p w14:paraId="5F94E9F0" w14:textId="71843637" w:rsidR="00A861FF" w:rsidRDefault="00A861FF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br w:type="page"/>
      </w:r>
    </w:p>
    <w:p w14:paraId="484EB672" w14:textId="278A4C0D" w:rsidR="00A861FF" w:rsidRPr="00981AB0" w:rsidRDefault="00A861FF" w:rsidP="003D65D0">
      <w:pPr>
        <w:pStyle w:val="ActHead6"/>
        <w:numPr>
          <w:ilvl w:val="0"/>
          <w:numId w:val="12"/>
        </w:numPr>
        <w:spacing w:after="240"/>
        <w:ind w:left="357" w:hanging="357"/>
        <w:rPr>
          <w:rFonts w:ascii="Times New Roman" w:hAnsi="Times New Roman"/>
          <w:sz w:val="28"/>
          <w:szCs w:val="28"/>
        </w:rPr>
      </w:pPr>
      <w:bookmarkStart w:id="25" w:name="_Toc492386661"/>
      <w:r w:rsidRPr="00981AB0">
        <w:rPr>
          <w:rFonts w:ascii="Times New Roman" w:hAnsi="Times New Roman"/>
          <w:sz w:val="28"/>
          <w:szCs w:val="28"/>
        </w:rPr>
        <w:lastRenderedPageBreak/>
        <w:t>Marketing and Advertising</w:t>
      </w:r>
      <w:bookmarkEnd w:id="25"/>
    </w:p>
    <w:p w14:paraId="51EDB047" w14:textId="53A3370D" w:rsidR="00A861FF" w:rsidRPr="00957A1F" w:rsidRDefault="00A861FF" w:rsidP="003D65D0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bookmarkStart w:id="26" w:name="_Toc441847095"/>
      <w:r w:rsidRPr="003D65D0">
        <w:rPr>
          <w:rFonts w:ascii="Times New Roman" w:hAnsi="Times New Roman"/>
          <w:sz w:val="24"/>
          <w:szCs w:val="24"/>
        </w:rPr>
        <w:t xml:space="preserve">4.1 </w:t>
      </w:r>
      <w:r w:rsidRPr="003D65D0">
        <w:rPr>
          <w:rFonts w:ascii="Times New Roman" w:hAnsi="Times New Roman"/>
          <w:sz w:val="24"/>
          <w:szCs w:val="24"/>
        </w:rPr>
        <w:tab/>
      </w:r>
      <w:r w:rsidR="00A22396">
        <w:rPr>
          <w:rFonts w:ascii="Times New Roman" w:hAnsi="Times New Roman"/>
          <w:sz w:val="24"/>
          <w:szCs w:val="24"/>
        </w:rPr>
        <w:t xml:space="preserve">A </w:t>
      </w:r>
      <w:r w:rsidR="003D65D0" w:rsidRPr="00957A1F">
        <w:rPr>
          <w:rFonts w:ascii="Times New Roman" w:hAnsi="Times New Roman"/>
          <w:sz w:val="22"/>
          <w:szCs w:val="22"/>
        </w:rPr>
        <w:t>CPD</w:t>
      </w:r>
      <w:r w:rsidR="00A22396">
        <w:rPr>
          <w:rFonts w:ascii="Times New Roman" w:hAnsi="Times New Roman"/>
          <w:sz w:val="22"/>
          <w:szCs w:val="22"/>
        </w:rPr>
        <w:t xml:space="preserve"> provider</w:t>
      </w:r>
      <w:r w:rsidRPr="00957A1F">
        <w:rPr>
          <w:rFonts w:ascii="Times New Roman" w:hAnsi="Times New Roman"/>
          <w:sz w:val="22"/>
          <w:szCs w:val="22"/>
        </w:rPr>
        <w:t xml:space="preserve"> must ensure that the marketing and advertising of CPD activities is undertaken in a professional and lawful manner and maintains the integrity and reputation of </w:t>
      </w:r>
      <w:r w:rsidR="00D738AB" w:rsidRPr="00957A1F">
        <w:rPr>
          <w:rFonts w:ascii="Times New Roman" w:hAnsi="Times New Roman"/>
          <w:sz w:val="22"/>
          <w:szCs w:val="22"/>
        </w:rPr>
        <w:t>CPD</w:t>
      </w:r>
      <w:r w:rsidRPr="00957A1F">
        <w:rPr>
          <w:rFonts w:ascii="Times New Roman" w:hAnsi="Times New Roman"/>
          <w:sz w:val="22"/>
          <w:szCs w:val="22"/>
        </w:rPr>
        <w:t xml:space="preserve"> providers and the migration advice profession.</w:t>
      </w:r>
      <w:bookmarkEnd w:id="26"/>
    </w:p>
    <w:p w14:paraId="26906A56" w14:textId="16D8C3AC" w:rsidR="00A861FF" w:rsidRPr="00957A1F" w:rsidRDefault="00A861FF" w:rsidP="003D65D0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4.2</w:t>
      </w:r>
      <w:r w:rsidRPr="00957A1F">
        <w:rPr>
          <w:rFonts w:ascii="Times New Roman" w:hAnsi="Times New Roman"/>
          <w:sz w:val="22"/>
          <w:szCs w:val="22"/>
        </w:rPr>
        <w:tab/>
      </w:r>
      <w:bookmarkStart w:id="27" w:name="_Toc441847096"/>
      <w:r w:rsidR="00D738AB" w:rsidRPr="00957A1F">
        <w:rPr>
          <w:rFonts w:ascii="Times New Roman" w:hAnsi="Times New Roman"/>
          <w:sz w:val="22"/>
          <w:szCs w:val="22"/>
        </w:rPr>
        <w:t xml:space="preserve">In marketing and other related material for participants, including when in electronic form, </w:t>
      </w:r>
      <w:r w:rsidR="00A22396">
        <w:rPr>
          <w:rFonts w:ascii="Times New Roman" w:hAnsi="Times New Roman"/>
          <w:sz w:val="22"/>
          <w:szCs w:val="22"/>
        </w:rPr>
        <w:t xml:space="preserve">a </w:t>
      </w:r>
      <w:r w:rsidR="00D738AB" w:rsidRPr="00957A1F">
        <w:rPr>
          <w:rFonts w:ascii="Times New Roman" w:hAnsi="Times New Roman"/>
          <w:sz w:val="22"/>
          <w:szCs w:val="22"/>
        </w:rPr>
        <w:t>CPD</w:t>
      </w:r>
      <w:r w:rsidR="00A22396">
        <w:rPr>
          <w:rFonts w:ascii="Times New Roman" w:hAnsi="Times New Roman"/>
          <w:sz w:val="22"/>
          <w:szCs w:val="22"/>
        </w:rPr>
        <w:t xml:space="preserve"> provider</w:t>
      </w:r>
      <w:r w:rsidRPr="00957A1F">
        <w:rPr>
          <w:rFonts w:ascii="Times New Roman" w:hAnsi="Times New Roman"/>
          <w:sz w:val="22"/>
          <w:szCs w:val="22"/>
        </w:rPr>
        <w:t xml:space="preserve"> must:</w:t>
      </w:r>
      <w:bookmarkEnd w:id="27"/>
    </w:p>
    <w:p w14:paraId="0D4C3738" w14:textId="3DAF9DE8" w:rsidR="00A861FF" w:rsidRPr="00957A1F" w:rsidRDefault="00A861FF" w:rsidP="00A861FF">
      <w:pPr>
        <w:pStyle w:val="ListParagraph"/>
        <w:numPr>
          <w:ilvl w:val="0"/>
          <w:numId w:val="19"/>
        </w:numPr>
        <w:spacing w:before="80" w:after="160" w:line="276" w:lineRule="auto"/>
        <w:ind w:left="1080"/>
        <w:rPr>
          <w:rFonts w:eastAsia="Times New Roman" w:cs="Times New Roman"/>
          <w:szCs w:val="22"/>
          <w:lang w:eastAsia="en-AU"/>
        </w:rPr>
      </w:pPr>
      <w:r w:rsidRPr="00957A1F">
        <w:rPr>
          <w:rFonts w:eastAsia="Times New Roman" w:cs="Times New Roman"/>
          <w:szCs w:val="22"/>
          <w:lang w:eastAsia="en-AU"/>
        </w:rPr>
        <w:t xml:space="preserve">clearly identify the </w:t>
      </w:r>
      <w:r w:rsidR="00D738AB" w:rsidRPr="00957A1F">
        <w:rPr>
          <w:rFonts w:eastAsia="Times New Roman" w:cs="Times New Roman"/>
          <w:szCs w:val="22"/>
          <w:lang w:eastAsia="en-AU"/>
        </w:rPr>
        <w:t>CPD</w:t>
      </w:r>
      <w:r w:rsidRPr="00957A1F">
        <w:rPr>
          <w:rFonts w:eastAsia="Times New Roman" w:cs="Times New Roman"/>
          <w:szCs w:val="22"/>
          <w:lang w:eastAsia="en-AU"/>
        </w:rPr>
        <w:t xml:space="preserve"> provider’s name;</w:t>
      </w:r>
    </w:p>
    <w:p w14:paraId="3FEF07E1" w14:textId="246EC74B" w:rsidR="00A861FF" w:rsidRPr="00957A1F" w:rsidRDefault="00A861FF" w:rsidP="00A861FF">
      <w:pPr>
        <w:pStyle w:val="ListParagraph"/>
        <w:numPr>
          <w:ilvl w:val="0"/>
          <w:numId w:val="19"/>
        </w:numPr>
        <w:spacing w:before="80" w:after="160" w:line="276" w:lineRule="auto"/>
        <w:ind w:left="1080"/>
        <w:rPr>
          <w:rFonts w:eastAsia="Times New Roman" w:cs="Times New Roman"/>
          <w:szCs w:val="22"/>
          <w:lang w:eastAsia="en-AU"/>
        </w:rPr>
      </w:pPr>
      <w:r w:rsidRPr="00957A1F">
        <w:rPr>
          <w:rFonts w:eastAsia="Times New Roman" w:cs="Times New Roman"/>
          <w:szCs w:val="22"/>
          <w:lang w:eastAsia="en-AU"/>
        </w:rPr>
        <w:t>include the duration and type</w:t>
      </w:r>
      <w:r w:rsidR="00A22396">
        <w:rPr>
          <w:rFonts w:eastAsia="Times New Roman" w:cs="Times New Roman"/>
          <w:szCs w:val="22"/>
          <w:lang w:eastAsia="en-AU"/>
        </w:rPr>
        <w:t xml:space="preserve"> of the</w:t>
      </w:r>
      <w:r w:rsidR="00D738AB" w:rsidRPr="00957A1F">
        <w:rPr>
          <w:rFonts w:eastAsia="Times New Roman" w:cs="Times New Roman"/>
          <w:szCs w:val="22"/>
          <w:lang w:eastAsia="en-AU"/>
        </w:rPr>
        <w:t xml:space="preserve"> CPD</w:t>
      </w:r>
      <w:r w:rsidRPr="00957A1F">
        <w:rPr>
          <w:rFonts w:eastAsia="Times New Roman" w:cs="Times New Roman"/>
          <w:szCs w:val="22"/>
          <w:lang w:eastAsia="en-AU"/>
        </w:rPr>
        <w:t xml:space="preserve"> activity;</w:t>
      </w:r>
    </w:p>
    <w:p w14:paraId="500E26D8" w14:textId="321398EB" w:rsidR="00A861FF" w:rsidRPr="00957A1F" w:rsidRDefault="00A861FF" w:rsidP="00A861FF">
      <w:pPr>
        <w:pStyle w:val="ListParagraph"/>
        <w:numPr>
          <w:ilvl w:val="0"/>
          <w:numId w:val="19"/>
        </w:numPr>
        <w:spacing w:before="80" w:after="160" w:line="276" w:lineRule="auto"/>
        <w:ind w:left="1080"/>
        <w:rPr>
          <w:rFonts w:eastAsia="Times New Roman" w:cs="Times New Roman"/>
          <w:szCs w:val="22"/>
          <w:lang w:eastAsia="en-AU"/>
        </w:rPr>
      </w:pPr>
      <w:r w:rsidRPr="00957A1F">
        <w:rPr>
          <w:rFonts w:eastAsia="Times New Roman" w:cs="Times New Roman"/>
          <w:szCs w:val="22"/>
          <w:lang w:eastAsia="en-AU"/>
        </w:rPr>
        <w:t xml:space="preserve">include the number of points that </w:t>
      </w:r>
      <w:r w:rsidR="00D738AB" w:rsidRPr="00957A1F">
        <w:rPr>
          <w:rFonts w:eastAsia="Times New Roman" w:cs="Times New Roman"/>
          <w:szCs w:val="22"/>
          <w:lang w:eastAsia="en-AU"/>
        </w:rPr>
        <w:t>the CPD activity is worth</w:t>
      </w:r>
      <w:r w:rsidRPr="00957A1F">
        <w:rPr>
          <w:rFonts w:eastAsia="Times New Roman" w:cs="Times New Roman"/>
          <w:szCs w:val="22"/>
          <w:lang w:eastAsia="en-AU"/>
        </w:rPr>
        <w:t>; and</w:t>
      </w:r>
    </w:p>
    <w:p w14:paraId="49F4F9B8" w14:textId="394109F0" w:rsidR="00A861FF" w:rsidRPr="00957A1F" w:rsidRDefault="00A861FF" w:rsidP="00A861FF">
      <w:pPr>
        <w:pStyle w:val="ListParagraph"/>
        <w:numPr>
          <w:ilvl w:val="0"/>
          <w:numId w:val="19"/>
        </w:numPr>
        <w:spacing w:before="80" w:after="160" w:line="276" w:lineRule="auto"/>
        <w:ind w:left="1080"/>
        <w:rPr>
          <w:rFonts w:eastAsia="Times New Roman" w:cs="Times New Roman"/>
          <w:szCs w:val="22"/>
          <w:lang w:eastAsia="en-AU"/>
        </w:rPr>
      </w:pPr>
      <w:r w:rsidRPr="00957A1F">
        <w:rPr>
          <w:rFonts w:eastAsia="Times New Roman" w:cs="Times New Roman"/>
          <w:szCs w:val="22"/>
          <w:lang w:eastAsia="en-AU"/>
        </w:rPr>
        <w:t xml:space="preserve">not give false or misleading information or advice in relation to the CPD activity or </w:t>
      </w:r>
      <w:r w:rsidR="00D738AB" w:rsidRPr="00957A1F">
        <w:rPr>
          <w:rFonts w:eastAsia="Times New Roman" w:cs="Times New Roman"/>
          <w:szCs w:val="22"/>
          <w:lang w:eastAsia="en-AU"/>
        </w:rPr>
        <w:t xml:space="preserve">the CPD </w:t>
      </w:r>
      <w:r w:rsidRPr="00957A1F">
        <w:rPr>
          <w:rFonts w:eastAsia="Times New Roman" w:cs="Times New Roman"/>
          <w:szCs w:val="22"/>
          <w:lang w:eastAsia="en-AU"/>
        </w:rPr>
        <w:t xml:space="preserve">provider.   </w:t>
      </w:r>
    </w:p>
    <w:p w14:paraId="561CEC19" w14:textId="38768A9C" w:rsidR="00A861FF" w:rsidRPr="00957A1F" w:rsidRDefault="00A861FF" w:rsidP="00D738AB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bookmarkStart w:id="28" w:name="_Toc441847100"/>
      <w:r w:rsidRPr="00957A1F">
        <w:rPr>
          <w:rFonts w:ascii="Times New Roman" w:hAnsi="Times New Roman"/>
          <w:sz w:val="22"/>
          <w:szCs w:val="22"/>
        </w:rPr>
        <w:t>4.3</w:t>
      </w:r>
      <w:r w:rsidRPr="00957A1F">
        <w:rPr>
          <w:sz w:val="22"/>
          <w:szCs w:val="22"/>
        </w:rPr>
        <w:t xml:space="preserve"> </w:t>
      </w:r>
      <w:r w:rsidRPr="00957A1F">
        <w:rPr>
          <w:sz w:val="22"/>
          <w:szCs w:val="22"/>
        </w:rPr>
        <w:tab/>
      </w:r>
      <w:r w:rsidR="00A22396">
        <w:rPr>
          <w:rFonts w:ascii="Times New Roman" w:hAnsi="Times New Roman"/>
          <w:sz w:val="22"/>
          <w:szCs w:val="22"/>
        </w:rPr>
        <w:t>A CPD</w:t>
      </w:r>
      <w:r w:rsidRPr="00957A1F">
        <w:rPr>
          <w:rFonts w:ascii="Times New Roman" w:hAnsi="Times New Roman"/>
          <w:sz w:val="22"/>
          <w:szCs w:val="22"/>
        </w:rPr>
        <w:t xml:space="preserve"> provider must advertise upcoming CPD </w:t>
      </w:r>
      <w:r w:rsidR="00D738AB" w:rsidRPr="00957A1F">
        <w:rPr>
          <w:rFonts w:ascii="Times New Roman" w:hAnsi="Times New Roman"/>
          <w:sz w:val="22"/>
          <w:szCs w:val="22"/>
        </w:rPr>
        <w:t xml:space="preserve">activities </w:t>
      </w:r>
      <w:r w:rsidRPr="00957A1F">
        <w:rPr>
          <w:rFonts w:ascii="Times New Roman" w:hAnsi="Times New Roman"/>
          <w:sz w:val="22"/>
          <w:szCs w:val="22"/>
        </w:rPr>
        <w:t xml:space="preserve">on the </w:t>
      </w:r>
      <w:r w:rsidR="00192717" w:rsidRPr="00957A1F">
        <w:rPr>
          <w:rFonts w:ascii="Times New Roman" w:hAnsi="Times New Roman"/>
          <w:sz w:val="22"/>
          <w:szCs w:val="22"/>
        </w:rPr>
        <w:t>OMARA</w:t>
      </w:r>
      <w:r w:rsidRPr="00957A1F">
        <w:rPr>
          <w:rFonts w:ascii="Times New Roman" w:hAnsi="Times New Roman"/>
          <w:sz w:val="22"/>
          <w:szCs w:val="22"/>
        </w:rPr>
        <w:t xml:space="preserve"> website, utilising the Advertising Activities facility, which enables the </w:t>
      </w:r>
      <w:bookmarkStart w:id="29" w:name="_Toc441847101"/>
      <w:bookmarkEnd w:id="28"/>
      <w:r w:rsidRPr="00957A1F">
        <w:rPr>
          <w:rFonts w:ascii="Times New Roman" w:hAnsi="Times New Roman"/>
          <w:sz w:val="22"/>
          <w:szCs w:val="22"/>
        </w:rPr>
        <w:t>electronic reporting of attendance.</w:t>
      </w:r>
    </w:p>
    <w:p w14:paraId="2E9A5645" w14:textId="234A79A1" w:rsidR="00A861FF" w:rsidRPr="00957A1F" w:rsidRDefault="00A861FF" w:rsidP="00D738AB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4.4</w:t>
      </w:r>
      <w:r w:rsidRPr="00957A1F">
        <w:rPr>
          <w:sz w:val="22"/>
          <w:szCs w:val="22"/>
        </w:rPr>
        <w:tab/>
      </w:r>
      <w:r w:rsidRPr="00957A1F">
        <w:rPr>
          <w:rFonts w:ascii="Times New Roman" w:hAnsi="Times New Roman"/>
          <w:sz w:val="22"/>
          <w:szCs w:val="22"/>
        </w:rPr>
        <w:t xml:space="preserve">If </w:t>
      </w:r>
      <w:r w:rsidR="00D738AB" w:rsidRPr="00957A1F">
        <w:rPr>
          <w:rFonts w:ascii="Times New Roman" w:hAnsi="Times New Roman"/>
          <w:sz w:val="22"/>
          <w:szCs w:val="22"/>
        </w:rPr>
        <w:t>a CPD</w:t>
      </w:r>
      <w:r w:rsidRPr="00957A1F">
        <w:rPr>
          <w:rFonts w:ascii="Times New Roman" w:hAnsi="Times New Roman"/>
          <w:sz w:val="22"/>
          <w:szCs w:val="22"/>
        </w:rPr>
        <w:t xml:space="preserve"> provider has a website, the </w:t>
      </w:r>
      <w:r w:rsidR="00D738AB" w:rsidRPr="00957A1F">
        <w:rPr>
          <w:rFonts w:ascii="Times New Roman" w:hAnsi="Times New Roman"/>
          <w:sz w:val="22"/>
          <w:szCs w:val="22"/>
        </w:rPr>
        <w:t>CPD</w:t>
      </w:r>
      <w:r w:rsidRPr="00957A1F">
        <w:rPr>
          <w:rFonts w:ascii="Times New Roman" w:hAnsi="Times New Roman"/>
          <w:sz w:val="22"/>
          <w:szCs w:val="22"/>
        </w:rPr>
        <w:t xml:space="preserve"> provider must ensure </w:t>
      </w:r>
      <w:r w:rsidR="00D738AB" w:rsidRPr="00957A1F">
        <w:rPr>
          <w:rFonts w:ascii="Times New Roman" w:hAnsi="Times New Roman"/>
          <w:sz w:val="22"/>
          <w:szCs w:val="22"/>
        </w:rPr>
        <w:t xml:space="preserve">that </w:t>
      </w:r>
      <w:r w:rsidRPr="00957A1F">
        <w:rPr>
          <w:rFonts w:ascii="Times New Roman" w:hAnsi="Times New Roman"/>
          <w:sz w:val="22"/>
          <w:szCs w:val="22"/>
        </w:rPr>
        <w:t>any information published on the w</w:t>
      </w:r>
      <w:r w:rsidR="00192717" w:rsidRPr="00957A1F">
        <w:rPr>
          <w:rFonts w:ascii="Times New Roman" w:hAnsi="Times New Roman"/>
          <w:sz w:val="22"/>
          <w:szCs w:val="22"/>
        </w:rPr>
        <w:t xml:space="preserve">ebsite regarding CPD activities is accurate and current. The CPD provider must also ensure that the information is </w:t>
      </w:r>
      <w:r w:rsidRPr="00957A1F">
        <w:rPr>
          <w:rFonts w:ascii="Times New Roman" w:hAnsi="Times New Roman"/>
          <w:sz w:val="22"/>
          <w:szCs w:val="22"/>
        </w:rPr>
        <w:t xml:space="preserve">consistent with any information provided through the Advertising Activities facility on the </w:t>
      </w:r>
      <w:r w:rsidR="00192717" w:rsidRPr="00957A1F">
        <w:rPr>
          <w:rFonts w:ascii="Times New Roman" w:hAnsi="Times New Roman"/>
          <w:sz w:val="22"/>
          <w:szCs w:val="22"/>
        </w:rPr>
        <w:t>OMARA</w:t>
      </w:r>
      <w:r w:rsidRPr="00957A1F">
        <w:rPr>
          <w:rFonts w:ascii="Times New Roman" w:hAnsi="Times New Roman"/>
          <w:sz w:val="22"/>
          <w:szCs w:val="22"/>
        </w:rPr>
        <w:t xml:space="preserve"> website.</w:t>
      </w:r>
    </w:p>
    <w:p w14:paraId="60B783A2" w14:textId="2C848ACC" w:rsidR="00A861FF" w:rsidRPr="00957A1F" w:rsidRDefault="00A861FF" w:rsidP="00192717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4.5</w:t>
      </w:r>
      <w:r w:rsidRPr="00957A1F">
        <w:rPr>
          <w:sz w:val="22"/>
          <w:szCs w:val="22"/>
        </w:rPr>
        <w:tab/>
      </w:r>
      <w:r w:rsidR="00192717" w:rsidRPr="00957A1F">
        <w:rPr>
          <w:rFonts w:ascii="Times New Roman" w:hAnsi="Times New Roman"/>
          <w:sz w:val="22"/>
          <w:szCs w:val="22"/>
        </w:rPr>
        <w:t>A</w:t>
      </w:r>
      <w:r w:rsidRPr="00957A1F">
        <w:rPr>
          <w:rFonts w:ascii="Times New Roman" w:hAnsi="Times New Roman"/>
          <w:sz w:val="22"/>
          <w:szCs w:val="22"/>
        </w:rPr>
        <w:t xml:space="preserve"> </w:t>
      </w:r>
      <w:r w:rsidR="00192717" w:rsidRPr="00957A1F">
        <w:rPr>
          <w:rFonts w:ascii="Times New Roman" w:hAnsi="Times New Roman"/>
          <w:sz w:val="22"/>
          <w:szCs w:val="22"/>
        </w:rPr>
        <w:t>CPD</w:t>
      </w:r>
      <w:r w:rsidRPr="00957A1F">
        <w:rPr>
          <w:rFonts w:ascii="Times New Roman" w:hAnsi="Times New Roman"/>
          <w:sz w:val="22"/>
          <w:szCs w:val="22"/>
        </w:rPr>
        <w:t xml:space="preserve"> provider must ensure the marketing and advertising of its activities and services complies with the </w:t>
      </w:r>
      <w:r w:rsidRPr="00957A1F">
        <w:rPr>
          <w:rFonts w:ascii="Times New Roman" w:hAnsi="Times New Roman"/>
          <w:i/>
          <w:sz w:val="22"/>
          <w:szCs w:val="22"/>
        </w:rPr>
        <w:t>Spam Act 2003</w:t>
      </w:r>
      <w:r w:rsidRPr="00957A1F">
        <w:rPr>
          <w:rFonts w:ascii="Times New Roman" w:hAnsi="Times New Roman"/>
          <w:sz w:val="22"/>
          <w:szCs w:val="22"/>
        </w:rPr>
        <w:t>, as amended from time to time. In particular, any commercial electronic messages must contain a functional unsubscribe facility.</w:t>
      </w:r>
      <w:bookmarkEnd w:id="29"/>
    </w:p>
    <w:p w14:paraId="73CD7FDC" w14:textId="165671D6" w:rsidR="00192717" w:rsidRPr="00957A1F" w:rsidRDefault="00192717">
      <w:pPr>
        <w:spacing w:line="240" w:lineRule="auto"/>
        <w:rPr>
          <w:rFonts w:eastAsia="Times New Roman" w:cs="Times New Roman"/>
          <w:szCs w:val="22"/>
          <w:lang w:eastAsia="en-AU"/>
        </w:rPr>
      </w:pPr>
      <w:r w:rsidRPr="00957A1F">
        <w:rPr>
          <w:szCs w:val="22"/>
        </w:rPr>
        <w:br w:type="page"/>
      </w:r>
    </w:p>
    <w:p w14:paraId="7555F6A8" w14:textId="4BF0061B" w:rsidR="00192717" w:rsidRPr="00981AB0" w:rsidRDefault="00192717" w:rsidP="00192717">
      <w:pPr>
        <w:pStyle w:val="ActHead6"/>
        <w:numPr>
          <w:ilvl w:val="0"/>
          <w:numId w:val="12"/>
        </w:numPr>
        <w:spacing w:after="240"/>
        <w:ind w:left="357" w:hanging="357"/>
        <w:rPr>
          <w:rFonts w:ascii="Times New Roman" w:hAnsi="Times New Roman"/>
          <w:sz w:val="28"/>
          <w:szCs w:val="28"/>
        </w:rPr>
      </w:pPr>
      <w:bookmarkStart w:id="30" w:name="_Toc492386662"/>
      <w:r w:rsidRPr="00981AB0">
        <w:rPr>
          <w:rFonts w:ascii="Times New Roman" w:hAnsi="Times New Roman"/>
          <w:sz w:val="28"/>
          <w:szCs w:val="28"/>
        </w:rPr>
        <w:lastRenderedPageBreak/>
        <w:t>Evaluation and Continuous Improvement</w:t>
      </w:r>
      <w:bookmarkEnd w:id="30"/>
    </w:p>
    <w:p w14:paraId="07973E0A" w14:textId="4B1FAE42" w:rsidR="00192717" w:rsidRPr="00957A1F" w:rsidRDefault="00192717" w:rsidP="00192717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ab/>
      </w:r>
      <w:r w:rsidR="00A22396">
        <w:rPr>
          <w:rFonts w:ascii="Times New Roman" w:hAnsi="Times New Roman"/>
          <w:sz w:val="24"/>
          <w:szCs w:val="24"/>
        </w:rPr>
        <w:t xml:space="preserve">A </w:t>
      </w:r>
      <w:r w:rsidRPr="00957A1F">
        <w:rPr>
          <w:rFonts w:ascii="Times New Roman" w:hAnsi="Times New Roman"/>
          <w:sz w:val="22"/>
          <w:szCs w:val="22"/>
        </w:rPr>
        <w:t>CPD</w:t>
      </w:r>
      <w:r w:rsidR="00A22396">
        <w:rPr>
          <w:rFonts w:ascii="Times New Roman" w:hAnsi="Times New Roman"/>
          <w:sz w:val="22"/>
          <w:szCs w:val="22"/>
        </w:rPr>
        <w:t xml:space="preserve"> provider</w:t>
      </w:r>
      <w:r w:rsidRPr="00957A1F">
        <w:rPr>
          <w:rFonts w:ascii="Times New Roman" w:hAnsi="Times New Roman"/>
          <w:sz w:val="22"/>
          <w:szCs w:val="22"/>
        </w:rPr>
        <w:t xml:space="preserve"> must have evaluation processes in place whereby participants, and presenters, facilitators and trainers, can provide feedback on each activity conducted. Feedback must be recorded</w:t>
      </w:r>
      <w:r w:rsidR="009B161C">
        <w:rPr>
          <w:rFonts w:ascii="Times New Roman" w:hAnsi="Times New Roman"/>
          <w:sz w:val="22"/>
          <w:szCs w:val="22"/>
        </w:rPr>
        <w:t>,</w:t>
      </w:r>
      <w:r w:rsidRPr="00957A1F">
        <w:rPr>
          <w:rFonts w:ascii="Times New Roman" w:hAnsi="Times New Roman"/>
          <w:sz w:val="22"/>
          <w:szCs w:val="22"/>
        </w:rPr>
        <w:t xml:space="preserve"> and retained for </w:t>
      </w:r>
      <w:r w:rsidR="00957A1F">
        <w:rPr>
          <w:rFonts w:ascii="Times New Roman" w:hAnsi="Times New Roman"/>
          <w:sz w:val="22"/>
          <w:szCs w:val="22"/>
        </w:rPr>
        <w:t>2</w:t>
      </w:r>
      <w:r w:rsidRPr="00957A1F">
        <w:rPr>
          <w:rFonts w:ascii="Times New Roman" w:hAnsi="Times New Roman"/>
          <w:sz w:val="22"/>
          <w:szCs w:val="22"/>
        </w:rPr>
        <w:t xml:space="preserve"> years by the </w:t>
      </w:r>
      <w:r w:rsidR="009B161C">
        <w:rPr>
          <w:rFonts w:ascii="Times New Roman" w:hAnsi="Times New Roman"/>
          <w:sz w:val="22"/>
          <w:szCs w:val="22"/>
        </w:rPr>
        <w:t xml:space="preserve">CPD </w:t>
      </w:r>
      <w:r w:rsidRPr="00957A1F">
        <w:rPr>
          <w:rFonts w:ascii="Times New Roman" w:hAnsi="Times New Roman"/>
          <w:sz w:val="22"/>
          <w:szCs w:val="22"/>
        </w:rPr>
        <w:t xml:space="preserve">provider. </w:t>
      </w:r>
    </w:p>
    <w:p w14:paraId="5033BDD4" w14:textId="4DBD9EB4" w:rsidR="00192717" w:rsidRPr="00957A1F" w:rsidRDefault="00192717" w:rsidP="00192717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5.2</w:t>
      </w:r>
      <w:r w:rsidRPr="00957A1F">
        <w:rPr>
          <w:rFonts w:ascii="Times New Roman" w:hAnsi="Times New Roman"/>
          <w:sz w:val="22"/>
          <w:szCs w:val="22"/>
        </w:rPr>
        <w:tab/>
      </w:r>
      <w:r w:rsidR="00A22396">
        <w:rPr>
          <w:rFonts w:ascii="Times New Roman" w:hAnsi="Times New Roman"/>
          <w:sz w:val="22"/>
          <w:szCs w:val="22"/>
        </w:rPr>
        <w:t xml:space="preserve">A </w:t>
      </w:r>
      <w:r w:rsidRPr="00957A1F">
        <w:rPr>
          <w:rFonts w:ascii="Times New Roman" w:hAnsi="Times New Roman"/>
          <w:sz w:val="22"/>
          <w:szCs w:val="22"/>
        </w:rPr>
        <w:t>CPD provider must accommodate and cooperate with quality assurance processes conducted by the OMARA, including, but not limited to:</w:t>
      </w:r>
    </w:p>
    <w:p w14:paraId="6C0650B2" w14:textId="5C4B20AE" w:rsidR="00192717" w:rsidRPr="00957A1F" w:rsidRDefault="00192717" w:rsidP="00192717">
      <w:pPr>
        <w:pStyle w:val="ListParagraph"/>
        <w:numPr>
          <w:ilvl w:val="0"/>
          <w:numId w:val="26"/>
        </w:numPr>
        <w:spacing w:before="80" w:after="160" w:line="276" w:lineRule="auto"/>
        <w:rPr>
          <w:szCs w:val="22"/>
        </w:rPr>
      </w:pPr>
      <w:r w:rsidRPr="00957A1F">
        <w:rPr>
          <w:szCs w:val="22"/>
        </w:rPr>
        <w:t xml:space="preserve">providing access to OMARA staff to conduct evaluations of the delivery of </w:t>
      </w:r>
      <w:r w:rsidR="00A22396">
        <w:rPr>
          <w:szCs w:val="22"/>
        </w:rPr>
        <w:t xml:space="preserve">a </w:t>
      </w:r>
      <w:r w:rsidRPr="00957A1F">
        <w:rPr>
          <w:szCs w:val="22"/>
        </w:rPr>
        <w:t>CPD</w:t>
      </w:r>
      <w:r w:rsidR="00A22396">
        <w:rPr>
          <w:szCs w:val="22"/>
        </w:rPr>
        <w:t xml:space="preserve"> activity</w:t>
      </w:r>
      <w:r w:rsidRPr="00957A1F">
        <w:rPr>
          <w:szCs w:val="22"/>
        </w:rPr>
        <w:t>; and</w:t>
      </w:r>
    </w:p>
    <w:p w14:paraId="49529EF8" w14:textId="53A8CF12" w:rsidR="00192717" w:rsidRPr="00957A1F" w:rsidRDefault="00192717" w:rsidP="00192717">
      <w:pPr>
        <w:pStyle w:val="ListParagraph"/>
        <w:numPr>
          <w:ilvl w:val="0"/>
          <w:numId w:val="26"/>
        </w:numPr>
        <w:spacing w:before="80" w:after="160" w:line="276" w:lineRule="auto"/>
        <w:rPr>
          <w:szCs w:val="22"/>
        </w:rPr>
      </w:pPr>
      <w:r w:rsidRPr="00957A1F">
        <w:rPr>
          <w:szCs w:val="22"/>
        </w:rPr>
        <w:t xml:space="preserve">providing OMARA with any information or documentation requested regarding the </w:t>
      </w:r>
      <w:r w:rsidR="00957A1F">
        <w:rPr>
          <w:szCs w:val="22"/>
        </w:rPr>
        <w:t>CPD provider’s</w:t>
      </w:r>
      <w:r w:rsidRPr="00957A1F">
        <w:rPr>
          <w:szCs w:val="22"/>
        </w:rPr>
        <w:t xml:space="preserve"> CPD activities</w:t>
      </w:r>
      <w:r w:rsidR="00957A1F">
        <w:rPr>
          <w:szCs w:val="22"/>
        </w:rPr>
        <w:t>,</w:t>
      </w:r>
      <w:r w:rsidRPr="00957A1F">
        <w:rPr>
          <w:szCs w:val="22"/>
        </w:rPr>
        <w:t xml:space="preserve"> and operations</w:t>
      </w:r>
      <w:r w:rsidR="00957A1F">
        <w:rPr>
          <w:szCs w:val="22"/>
        </w:rPr>
        <w:t xml:space="preserve"> in relation to the conduct of CPD activities</w:t>
      </w:r>
      <w:r w:rsidRPr="00957A1F">
        <w:rPr>
          <w:szCs w:val="22"/>
        </w:rPr>
        <w:t>; and</w:t>
      </w:r>
    </w:p>
    <w:p w14:paraId="01A975ED" w14:textId="68399FFF" w:rsidR="00192717" w:rsidRPr="00957A1F" w:rsidRDefault="00192717" w:rsidP="00192717">
      <w:pPr>
        <w:pStyle w:val="ListParagraph"/>
        <w:numPr>
          <w:ilvl w:val="0"/>
          <w:numId w:val="26"/>
        </w:numPr>
        <w:spacing w:before="80" w:after="160" w:line="276" w:lineRule="auto"/>
        <w:rPr>
          <w:szCs w:val="22"/>
        </w:rPr>
      </w:pPr>
      <w:r w:rsidRPr="00957A1F">
        <w:rPr>
          <w:szCs w:val="22"/>
        </w:rPr>
        <w:t xml:space="preserve">participating in periodic reviews undertaken by the OMARA of compliance with the </w:t>
      </w:r>
      <w:r w:rsidR="00957A1F">
        <w:rPr>
          <w:szCs w:val="22"/>
        </w:rPr>
        <w:t xml:space="preserve">CPD </w:t>
      </w:r>
      <w:r w:rsidRPr="00957A1F">
        <w:rPr>
          <w:szCs w:val="22"/>
        </w:rPr>
        <w:t>provider standards</w:t>
      </w:r>
      <w:r w:rsidR="00957A1F">
        <w:rPr>
          <w:szCs w:val="22"/>
        </w:rPr>
        <w:t xml:space="preserve"> specified in this Schedule</w:t>
      </w:r>
      <w:r w:rsidRPr="00957A1F">
        <w:rPr>
          <w:szCs w:val="22"/>
        </w:rPr>
        <w:t>.</w:t>
      </w:r>
    </w:p>
    <w:p w14:paraId="5D1DB2CD" w14:textId="16DA3575" w:rsidR="00192717" w:rsidRPr="00957A1F" w:rsidRDefault="00192717" w:rsidP="00192717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 xml:space="preserve">5.3 </w:t>
      </w:r>
      <w:r w:rsidRPr="00957A1F">
        <w:rPr>
          <w:rFonts w:ascii="Times New Roman" w:hAnsi="Times New Roman"/>
          <w:sz w:val="22"/>
          <w:szCs w:val="22"/>
        </w:rPr>
        <w:tab/>
      </w:r>
      <w:r w:rsidR="00A22396">
        <w:rPr>
          <w:rFonts w:ascii="Times New Roman" w:hAnsi="Times New Roman"/>
          <w:sz w:val="22"/>
          <w:szCs w:val="22"/>
        </w:rPr>
        <w:t xml:space="preserve">A </w:t>
      </w:r>
      <w:r w:rsidR="00957A1F">
        <w:rPr>
          <w:rFonts w:ascii="Times New Roman" w:hAnsi="Times New Roman"/>
          <w:sz w:val="22"/>
          <w:szCs w:val="22"/>
        </w:rPr>
        <w:t>CPD</w:t>
      </w:r>
      <w:r w:rsidR="00A22396">
        <w:rPr>
          <w:rFonts w:ascii="Times New Roman" w:hAnsi="Times New Roman"/>
          <w:sz w:val="22"/>
          <w:szCs w:val="22"/>
        </w:rPr>
        <w:t xml:space="preserve"> provider</w:t>
      </w:r>
      <w:r w:rsidRPr="00957A1F">
        <w:rPr>
          <w:rFonts w:ascii="Times New Roman" w:hAnsi="Times New Roman"/>
          <w:sz w:val="22"/>
          <w:szCs w:val="22"/>
        </w:rPr>
        <w:t xml:space="preserve"> must be able to demonstrate</w:t>
      </w:r>
      <w:r w:rsidR="00957A1F">
        <w:rPr>
          <w:rFonts w:ascii="Times New Roman" w:hAnsi="Times New Roman"/>
          <w:sz w:val="22"/>
          <w:szCs w:val="22"/>
        </w:rPr>
        <w:t xml:space="preserve"> to the Minister</w:t>
      </w:r>
      <w:r w:rsidRPr="00957A1F">
        <w:rPr>
          <w:rFonts w:ascii="Times New Roman" w:hAnsi="Times New Roman"/>
          <w:sz w:val="22"/>
          <w:szCs w:val="22"/>
        </w:rPr>
        <w:t xml:space="preserve"> that the </w:t>
      </w:r>
      <w:r w:rsidR="00957A1F">
        <w:rPr>
          <w:rFonts w:ascii="Times New Roman" w:hAnsi="Times New Roman"/>
          <w:sz w:val="22"/>
          <w:szCs w:val="22"/>
        </w:rPr>
        <w:t>CPD provider has suitable policies and administrative arrangements as required by paragraph 9P(1)(b) of the Regulations</w:t>
      </w:r>
      <w:r w:rsidRPr="00957A1F">
        <w:rPr>
          <w:rFonts w:ascii="Times New Roman" w:hAnsi="Times New Roman"/>
          <w:sz w:val="22"/>
          <w:szCs w:val="22"/>
        </w:rPr>
        <w:t>.</w:t>
      </w:r>
    </w:p>
    <w:p w14:paraId="57615B08" w14:textId="094164E9" w:rsidR="00192717" w:rsidRPr="00957A1F" w:rsidRDefault="00192717" w:rsidP="00192717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5.4</w:t>
      </w:r>
      <w:r w:rsidRPr="00957A1F">
        <w:rPr>
          <w:rFonts w:ascii="Times New Roman" w:hAnsi="Times New Roman"/>
          <w:sz w:val="22"/>
          <w:szCs w:val="22"/>
        </w:rPr>
        <w:tab/>
      </w:r>
      <w:r w:rsidR="00A22396">
        <w:rPr>
          <w:rFonts w:ascii="Times New Roman" w:hAnsi="Times New Roman"/>
          <w:sz w:val="22"/>
          <w:szCs w:val="22"/>
        </w:rPr>
        <w:t xml:space="preserve">A </w:t>
      </w:r>
      <w:r w:rsidR="00957A1F">
        <w:rPr>
          <w:rFonts w:ascii="Times New Roman" w:hAnsi="Times New Roman"/>
          <w:sz w:val="22"/>
          <w:szCs w:val="22"/>
        </w:rPr>
        <w:t>CPD</w:t>
      </w:r>
      <w:r w:rsidR="00A22396">
        <w:rPr>
          <w:rFonts w:ascii="Times New Roman" w:hAnsi="Times New Roman"/>
          <w:sz w:val="22"/>
          <w:szCs w:val="22"/>
        </w:rPr>
        <w:t xml:space="preserve"> provider</w:t>
      </w:r>
      <w:r w:rsidRPr="00957A1F">
        <w:rPr>
          <w:rFonts w:ascii="Times New Roman" w:hAnsi="Times New Roman"/>
          <w:sz w:val="22"/>
          <w:szCs w:val="22"/>
        </w:rPr>
        <w:t xml:space="preserve"> must conduct regular internal audits of their compliance with the </w:t>
      </w:r>
      <w:r w:rsidR="00957A1F">
        <w:rPr>
          <w:rFonts w:ascii="Times New Roman" w:hAnsi="Times New Roman"/>
          <w:sz w:val="22"/>
          <w:szCs w:val="22"/>
        </w:rPr>
        <w:t xml:space="preserve">CPD </w:t>
      </w:r>
      <w:r w:rsidRPr="00957A1F">
        <w:rPr>
          <w:rFonts w:ascii="Times New Roman" w:hAnsi="Times New Roman"/>
          <w:sz w:val="22"/>
          <w:szCs w:val="22"/>
        </w:rPr>
        <w:t>provider standards</w:t>
      </w:r>
      <w:r w:rsidR="00957A1F">
        <w:rPr>
          <w:rFonts w:ascii="Times New Roman" w:hAnsi="Times New Roman"/>
          <w:sz w:val="22"/>
          <w:szCs w:val="22"/>
        </w:rPr>
        <w:t xml:space="preserve"> specified in this Schedule</w:t>
      </w:r>
      <w:r w:rsidR="0019658D">
        <w:rPr>
          <w:rFonts w:ascii="Times New Roman" w:hAnsi="Times New Roman"/>
          <w:sz w:val="22"/>
          <w:szCs w:val="22"/>
        </w:rPr>
        <w:t>.</w:t>
      </w:r>
    </w:p>
    <w:p w14:paraId="522706C2" w14:textId="13D21A29" w:rsidR="00192717" w:rsidRDefault="00192717" w:rsidP="00192717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2"/>
          <w:szCs w:val="22"/>
        </w:rPr>
      </w:pPr>
      <w:r w:rsidRPr="00957A1F">
        <w:rPr>
          <w:rFonts w:ascii="Times New Roman" w:hAnsi="Times New Roman"/>
          <w:sz w:val="22"/>
          <w:szCs w:val="22"/>
        </w:rPr>
        <w:t>5.5</w:t>
      </w:r>
      <w:r w:rsidRPr="00957A1F">
        <w:rPr>
          <w:rFonts w:ascii="Times New Roman" w:hAnsi="Times New Roman"/>
          <w:sz w:val="22"/>
          <w:szCs w:val="22"/>
        </w:rPr>
        <w:tab/>
      </w:r>
      <w:r w:rsidR="00666F88">
        <w:rPr>
          <w:rFonts w:ascii="Times New Roman" w:hAnsi="Times New Roman"/>
          <w:sz w:val="22"/>
          <w:szCs w:val="22"/>
        </w:rPr>
        <w:t xml:space="preserve">If </w:t>
      </w:r>
      <w:r w:rsidRPr="00957A1F">
        <w:rPr>
          <w:rFonts w:ascii="Times New Roman" w:hAnsi="Times New Roman"/>
          <w:sz w:val="22"/>
          <w:szCs w:val="22"/>
        </w:rPr>
        <w:t xml:space="preserve">OMARA </w:t>
      </w:r>
      <w:r w:rsidR="00F4437B">
        <w:rPr>
          <w:rFonts w:ascii="Times New Roman" w:hAnsi="Times New Roman"/>
          <w:sz w:val="22"/>
          <w:szCs w:val="22"/>
        </w:rPr>
        <w:t>informs</w:t>
      </w:r>
      <w:r w:rsidRPr="00957A1F">
        <w:rPr>
          <w:rFonts w:ascii="Times New Roman" w:hAnsi="Times New Roman"/>
          <w:sz w:val="22"/>
          <w:szCs w:val="22"/>
        </w:rPr>
        <w:t xml:space="preserve"> </w:t>
      </w:r>
      <w:r w:rsidR="00666F88">
        <w:rPr>
          <w:rFonts w:ascii="Times New Roman" w:hAnsi="Times New Roman"/>
          <w:sz w:val="22"/>
          <w:szCs w:val="22"/>
        </w:rPr>
        <w:t>a</w:t>
      </w:r>
      <w:r w:rsidR="00666F88" w:rsidRPr="00957A1F">
        <w:rPr>
          <w:rFonts w:ascii="Times New Roman" w:hAnsi="Times New Roman"/>
          <w:sz w:val="22"/>
          <w:szCs w:val="22"/>
        </w:rPr>
        <w:t xml:space="preserve"> </w:t>
      </w:r>
      <w:r w:rsidR="00C83D53">
        <w:rPr>
          <w:rFonts w:ascii="Times New Roman" w:hAnsi="Times New Roman"/>
          <w:sz w:val="22"/>
          <w:szCs w:val="22"/>
        </w:rPr>
        <w:t xml:space="preserve">CPD </w:t>
      </w:r>
      <w:r w:rsidRPr="00957A1F">
        <w:rPr>
          <w:rFonts w:ascii="Times New Roman" w:hAnsi="Times New Roman"/>
          <w:sz w:val="22"/>
          <w:szCs w:val="22"/>
        </w:rPr>
        <w:t>provider of non-compliance</w:t>
      </w:r>
      <w:r w:rsidR="00A77B6B">
        <w:rPr>
          <w:rFonts w:ascii="Times New Roman" w:hAnsi="Times New Roman"/>
          <w:sz w:val="22"/>
          <w:szCs w:val="22"/>
        </w:rPr>
        <w:t xml:space="preserve"> with these standards</w:t>
      </w:r>
      <w:r w:rsidRPr="00957A1F">
        <w:rPr>
          <w:rFonts w:ascii="Times New Roman" w:hAnsi="Times New Roman"/>
          <w:sz w:val="22"/>
          <w:szCs w:val="22"/>
        </w:rPr>
        <w:t xml:space="preserve">, the </w:t>
      </w:r>
      <w:r w:rsidR="009B161C">
        <w:rPr>
          <w:rFonts w:ascii="Times New Roman" w:hAnsi="Times New Roman"/>
          <w:sz w:val="22"/>
          <w:szCs w:val="22"/>
        </w:rPr>
        <w:t>CPD</w:t>
      </w:r>
      <w:r w:rsidRPr="00957A1F">
        <w:rPr>
          <w:rFonts w:ascii="Times New Roman" w:hAnsi="Times New Roman"/>
          <w:sz w:val="22"/>
          <w:szCs w:val="22"/>
        </w:rPr>
        <w:t xml:space="preserve"> provider must implement remedial action required by the OMARA</w:t>
      </w:r>
      <w:r w:rsidR="0019658D">
        <w:rPr>
          <w:rFonts w:ascii="Times New Roman" w:hAnsi="Times New Roman"/>
          <w:sz w:val="22"/>
          <w:szCs w:val="22"/>
        </w:rPr>
        <w:t>.</w:t>
      </w:r>
    </w:p>
    <w:p w14:paraId="64626F8E" w14:textId="77777777" w:rsidR="00C83D53" w:rsidRDefault="00C83D53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41BE42A3" w14:textId="0FD4B547" w:rsidR="00C83D53" w:rsidRPr="00981AB0" w:rsidRDefault="00C83D53" w:rsidP="00C83D53">
      <w:pPr>
        <w:pStyle w:val="ActHead6"/>
        <w:numPr>
          <w:ilvl w:val="0"/>
          <w:numId w:val="12"/>
        </w:numPr>
        <w:spacing w:after="240"/>
        <w:ind w:left="357" w:hanging="357"/>
        <w:rPr>
          <w:rFonts w:ascii="Times New Roman" w:hAnsi="Times New Roman"/>
          <w:sz w:val="28"/>
          <w:szCs w:val="28"/>
        </w:rPr>
      </w:pPr>
      <w:bookmarkStart w:id="31" w:name="_Toc492386663"/>
      <w:r w:rsidRPr="00981AB0">
        <w:rPr>
          <w:rFonts w:ascii="Times New Roman" w:hAnsi="Times New Roman"/>
          <w:sz w:val="28"/>
          <w:szCs w:val="28"/>
        </w:rPr>
        <w:lastRenderedPageBreak/>
        <w:t>Records Management and Reporting</w:t>
      </w:r>
      <w:bookmarkEnd w:id="31"/>
    </w:p>
    <w:p w14:paraId="787A03BF" w14:textId="49B9D86A" w:rsidR="00C83D53" w:rsidRDefault="00C83D53" w:rsidP="009B161C">
      <w:pPr>
        <w:spacing w:before="120" w:after="120"/>
        <w:ind w:left="709" w:hanging="709"/>
      </w:pPr>
      <w:r>
        <w:t>6.</w:t>
      </w:r>
      <w:r w:rsidR="00666F88">
        <w:t>1</w:t>
      </w:r>
      <w:r>
        <w:tab/>
      </w:r>
      <w:r w:rsidR="00A22396">
        <w:t xml:space="preserve">A </w:t>
      </w:r>
      <w:r w:rsidR="009B161C">
        <w:t>CPD</w:t>
      </w:r>
      <w:r w:rsidR="00A22396">
        <w:t xml:space="preserve"> provider</w:t>
      </w:r>
      <w:r>
        <w:t xml:space="preserve"> must keep the following kinds of records for a period of at least </w:t>
      </w:r>
      <w:r w:rsidR="009B161C">
        <w:t>2</w:t>
      </w:r>
      <w:r>
        <w:t xml:space="preserve"> years from the date the relevant CPD activity was delivered:</w:t>
      </w:r>
    </w:p>
    <w:p w14:paraId="7BEEA9EC" w14:textId="5F9FA7EF" w:rsidR="00C83D53" w:rsidRDefault="00C83D53" w:rsidP="009B161C">
      <w:pPr>
        <w:pStyle w:val="ListParagraph"/>
        <w:numPr>
          <w:ilvl w:val="0"/>
          <w:numId w:val="31"/>
        </w:numPr>
        <w:spacing w:before="80" w:after="160" w:line="276" w:lineRule="auto"/>
      </w:pPr>
      <w:r>
        <w:t>feedback on the activity</w:t>
      </w:r>
      <w:r w:rsidR="009B161C">
        <w:t>;</w:t>
      </w:r>
    </w:p>
    <w:p w14:paraId="0DF9C689" w14:textId="6EDCB086" w:rsidR="00C83D53" w:rsidRDefault="00C83D53" w:rsidP="009B161C">
      <w:pPr>
        <w:pStyle w:val="ListParagraph"/>
        <w:numPr>
          <w:ilvl w:val="0"/>
          <w:numId w:val="31"/>
        </w:numPr>
        <w:spacing w:before="80" w:after="160" w:line="276" w:lineRule="auto"/>
      </w:pPr>
      <w:r>
        <w:t>evidence that the participant completed the activity</w:t>
      </w:r>
      <w:r w:rsidR="009B161C">
        <w:t>;</w:t>
      </w:r>
    </w:p>
    <w:p w14:paraId="42423CBA" w14:textId="7C3653E1" w:rsidR="00C83D53" w:rsidRDefault="00C83D53" w:rsidP="009B161C">
      <w:pPr>
        <w:pStyle w:val="ListParagraph"/>
        <w:numPr>
          <w:ilvl w:val="0"/>
          <w:numId w:val="31"/>
        </w:numPr>
        <w:spacing w:before="80" w:after="160" w:line="276" w:lineRule="auto"/>
      </w:pPr>
      <w:r>
        <w:t xml:space="preserve">the learning and assessment materials which relate to the activity, and </w:t>
      </w:r>
      <w:r w:rsidR="009B161C">
        <w:t xml:space="preserve">the </w:t>
      </w:r>
      <w:r>
        <w:t>d</w:t>
      </w:r>
      <w:r w:rsidR="009B161C">
        <w:t xml:space="preserve">ates those materials were used; </w:t>
      </w:r>
      <w:r>
        <w:t>and</w:t>
      </w:r>
    </w:p>
    <w:p w14:paraId="022085F0" w14:textId="77777777" w:rsidR="00C83D53" w:rsidRDefault="00C83D53" w:rsidP="009B161C">
      <w:pPr>
        <w:pStyle w:val="ListParagraph"/>
        <w:numPr>
          <w:ilvl w:val="0"/>
          <w:numId w:val="31"/>
        </w:numPr>
        <w:spacing w:before="80" w:after="160" w:line="276" w:lineRule="auto"/>
      </w:pPr>
      <w:r>
        <w:t>electronic notifications sent to and from the OMARA for participants who have successfully completed the activity.</w:t>
      </w:r>
    </w:p>
    <w:p w14:paraId="34BEFDE9" w14:textId="41DE9F23" w:rsidR="00C83D53" w:rsidRDefault="00C83D53" w:rsidP="009B161C">
      <w:pPr>
        <w:spacing w:before="120" w:after="240"/>
        <w:ind w:left="709" w:hanging="709"/>
      </w:pPr>
      <w:r>
        <w:t>6.</w:t>
      </w:r>
      <w:r w:rsidR="00666F88">
        <w:t>2</w:t>
      </w:r>
      <w:r>
        <w:tab/>
      </w:r>
      <w:r w:rsidR="00A22396">
        <w:t xml:space="preserve">A </w:t>
      </w:r>
      <w:r w:rsidR="009B161C">
        <w:t>CPD</w:t>
      </w:r>
      <w:r w:rsidR="00A22396">
        <w:t xml:space="preserve"> provider</w:t>
      </w:r>
      <w:r>
        <w:t xml:space="preserve"> must electronically notify the OMARA of the successful completion of </w:t>
      </w:r>
      <w:r w:rsidR="009B161C">
        <w:t>a CPD activity</w:t>
      </w:r>
      <w:r>
        <w:t xml:space="preserve"> by </w:t>
      </w:r>
      <w:r w:rsidR="009B161C">
        <w:t>a registered migration agent</w:t>
      </w:r>
      <w:r>
        <w:t>. The notification must be submitted via the OMARA website reporting facility within 14 days of the participant completing the CPD activity.</w:t>
      </w:r>
    </w:p>
    <w:p w14:paraId="36A3981E" w14:textId="1A29AC8C" w:rsidR="009B161C" w:rsidRDefault="009B161C" w:rsidP="009B161C">
      <w:pPr>
        <w:spacing w:before="120" w:after="120"/>
        <w:ind w:left="709" w:hanging="709"/>
      </w:pPr>
      <w:r>
        <w:t>6.</w:t>
      </w:r>
      <w:r w:rsidR="00666F88">
        <w:t>3</w:t>
      </w:r>
      <w:r>
        <w:tab/>
      </w:r>
      <w:r w:rsidR="00A22396">
        <w:t>A CPD provider</w:t>
      </w:r>
      <w:r>
        <w:t xml:space="preserve"> must have processes that:</w:t>
      </w:r>
    </w:p>
    <w:p w14:paraId="2C140373" w14:textId="4A92DCD7" w:rsidR="009B161C" w:rsidRDefault="009B161C" w:rsidP="009B161C">
      <w:pPr>
        <w:pStyle w:val="ListParagraph"/>
        <w:numPr>
          <w:ilvl w:val="0"/>
          <w:numId w:val="32"/>
        </w:numPr>
        <w:spacing w:before="80" w:after="160" w:line="276" w:lineRule="auto"/>
      </w:pPr>
      <w:r>
        <w:t>accurately identify participants and record their attendance; and</w:t>
      </w:r>
    </w:p>
    <w:p w14:paraId="695F8B71" w14:textId="24FDE9FC" w:rsidR="00C83D53" w:rsidRPr="009B161C" w:rsidRDefault="002779B1" w:rsidP="009B161C">
      <w:pPr>
        <w:pStyle w:val="ListParagraph"/>
        <w:numPr>
          <w:ilvl w:val="0"/>
          <w:numId w:val="32"/>
        </w:numPr>
        <w:spacing w:before="80" w:after="160" w:line="276" w:lineRule="auto"/>
      </w:pPr>
      <w:r>
        <w:t>provide</w:t>
      </w:r>
      <w:r w:rsidR="009B161C" w:rsidRPr="00CA25AE">
        <w:t xml:space="preserve"> that a participant </w:t>
      </w:r>
      <w:r w:rsidR="00666F88">
        <w:t>remain</w:t>
      </w:r>
      <w:r>
        <w:t>s</w:t>
      </w:r>
      <w:r w:rsidR="009B161C" w:rsidRPr="00CA25AE">
        <w:t xml:space="preserve"> </w:t>
      </w:r>
      <w:r w:rsidR="00666F88">
        <w:t>in attendance</w:t>
      </w:r>
      <w:r w:rsidR="00666F88" w:rsidRPr="00CA25AE">
        <w:t xml:space="preserve"> </w:t>
      </w:r>
      <w:r w:rsidR="00302F34">
        <w:t>for</w:t>
      </w:r>
      <w:r w:rsidR="009B161C" w:rsidRPr="00CA25AE">
        <w:t xml:space="preserve"> the duration of </w:t>
      </w:r>
      <w:r w:rsidR="00666F88">
        <w:t>the</w:t>
      </w:r>
      <w:r w:rsidR="00666F88" w:rsidRPr="00CA25AE">
        <w:t xml:space="preserve"> </w:t>
      </w:r>
      <w:r w:rsidR="009B161C" w:rsidRPr="00CA25AE">
        <w:t>activity</w:t>
      </w:r>
      <w:r w:rsidR="00666F88">
        <w:t>.</w:t>
      </w:r>
    </w:p>
    <w:p w14:paraId="0D59E5ED" w14:textId="77777777" w:rsidR="00192717" w:rsidRPr="00A861FF" w:rsidRDefault="00192717" w:rsidP="00192717">
      <w:pPr>
        <w:pStyle w:val="ListNumber2"/>
        <w:numPr>
          <w:ilvl w:val="0"/>
          <w:numId w:val="0"/>
        </w:numPr>
        <w:spacing w:after="240"/>
        <w:ind w:left="709" w:right="28" w:hanging="709"/>
        <w:rPr>
          <w:rFonts w:ascii="Times New Roman" w:hAnsi="Times New Roman"/>
          <w:sz w:val="24"/>
          <w:szCs w:val="24"/>
        </w:rPr>
      </w:pPr>
    </w:p>
    <w:p w14:paraId="7820C40E" w14:textId="77777777" w:rsidR="00E3617B" w:rsidRPr="00E3617B" w:rsidRDefault="00E3617B" w:rsidP="00A861FF"/>
    <w:p w14:paraId="597211FB" w14:textId="77777777" w:rsidR="00E3617B" w:rsidRPr="00E3617B" w:rsidRDefault="00E3617B" w:rsidP="00E3617B">
      <w:pPr>
        <w:spacing w:before="80" w:after="160" w:line="280" w:lineRule="exact"/>
        <w:rPr>
          <w:rFonts w:cs="Times New Roman"/>
          <w:sz w:val="24"/>
          <w:szCs w:val="24"/>
        </w:rPr>
      </w:pPr>
    </w:p>
    <w:p w14:paraId="054C1269" w14:textId="176903D9" w:rsidR="00835986" w:rsidRPr="00D33D16" w:rsidRDefault="00835986" w:rsidP="004261CE">
      <w:pPr>
        <w:pStyle w:val="ActHead6"/>
        <w:ind w:left="0" w:firstLine="0"/>
        <w:rPr>
          <w:rFonts w:ascii="Times New Roman" w:hAnsi="Times New Roman"/>
          <w:sz w:val="24"/>
          <w:szCs w:val="24"/>
        </w:rPr>
      </w:pPr>
      <w:r w:rsidRPr="00D33D16">
        <w:rPr>
          <w:rFonts w:ascii="Times New Roman" w:hAnsi="Times New Roman"/>
          <w:sz w:val="24"/>
          <w:szCs w:val="24"/>
        </w:rPr>
        <w:br w:type="page"/>
      </w:r>
    </w:p>
    <w:p w14:paraId="3A09726A" w14:textId="70B6DEC2" w:rsidR="00D6537E" w:rsidRPr="005477F1" w:rsidRDefault="004E1307" w:rsidP="00D6537E">
      <w:pPr>
        <w:pStyle w:val="ActHead6"/>
        <w:rPr>
          <w:rFonts w:cs="Arial"/>
        </w:rPr>
      </w:pPr>
      <w:bookmarkStart w:id="32" w:name="_Toc492386664"/>
      <w:r w:rsidRPr="005477F1">
        <w:rPr>
          <w:rFonts w:cs="Arial"/>
        </w:rPr>
        <w:lastRenderedPageBreak/>
        <w:t xml:space="preserve">Schedule </w:t>
      </w:r>
      <w:r w:rsidR="003029C6" w:rsidRPr="005477F1">
        <w:rPr>
          <w:rFonts w:cs="Arial"/>
        </w:rPr>
        <w:t>3</w:t>
      </w:r>
      <w:r w:rsidR="00C24B6E" w:rsidRPr="005477F1">
        <w:rPr>
          <w:rFonts w:cs="Arial"/>
        </w:rPr>
        <w:t xml:space="preserve"> – </w:t>
      </w:r>
      <w:r w:rsidR="00D6537E" w:rsidRPr="005477F1">
        <w:rPr>
          <w:rFonts w:cs="Arial"/>
        </w:rPr>
        <w:t>Repeals</w:t>
      </w:r>
      <w:bookmarkEnd w:id="12"/>
      <w:bookmarkEnd w:id="21"/>
      <w:bookmarkEnd w:id="32"/>
    </w:p>
    <w:p w14:paraId="177712DE" w14:textId="4A43863F" w:rsidR="00D6537E" w:rsidRPr="002E5E26" w:rsidRDefault="002E5E26" w:rsidP="00C427C7">
      <w:pPr>
        <w:pStyle w:val="ActHead9"/>
        <w:ind w:left="0" w:firstLine="0"/>
      </w:pPr>
      <w:bookmarkStart w:id="33" w:name="_Toc454512519"/>
      <w:bookmarkStart w:id="34" w:name="_Toc491777330"/>
      <w:bookmarkStart w:id="35" w:name="_Toc492386665"/>
      <w:r w:rsidRPr="002E5E26">
        <w:t>Value of Activities, Fees for Assessments and Standards for Professional Development Activities 2015</w:t>
      </w:r>
      <w:r w:rsidR="00BC5BDF">
        <w:t>,</w:t>
      </w:r>
      <w:r w:rsidR="0008661F" w:rsidRPr="002E5E26">
        <w:t xml:space="preserve"> </w:t>
      </w:r>
      <w:bookmarkEnd w:id="33"/>
      <w:r w:rsidR="00BC5BDF">
        <w:t xml:space="preserve">IMMI </w:t>
      </w:r>
      <w:r w:rsidR="007812FA">
        <w:t>15/106</w:t>
      </w:r>
      <w:r w:rsidR="00134F0B" w:rsidRPr="002E5E26">
        <w:t xml:space="preserve"> </w:t>
      </w:r>
      <w:bookmarkEnd w:id="34"/>
      <w:bookmarkEnd w:id="35"/>
    </w:p>
    <w:p w14:paraId="4E1B97A1" w14:textId="77777777" w:rsidR="00D6537E" w:rsidRPr="003652DF" w:rsidRDefault="00D6537E" w:rsidP="00D6537E">
      <w:pPr>
        <w:pStyle w:val="ItemHead"/>
        <w:rPr>
          <w:rFonts w:cs="Arial"/>
        </w:rPr>
      </w:pPr>
      <w:r w:rsidRPr="003652DF">
        <w:rPr>
          <w:rFonts w:cs="Arial"/>
        </w:rPr>
        <w:t xml:space="preserve">1  </w:t>
      </w:r>
      <w:r w:rsidR="00BB1533" w:rsidRPr="003652DF">
        <w:rPr>
          <w:rFonts w:cs="Arial"/>
        </w:rPr>
        <w:t>The w</w:t>
      </w:r>
      <w:r w:rsidRPr="003652DF">
        <w:rPr>
          <w:rFonts w:cs="Arial"/>
        </w:rPr>
        <w:t>hole of the instrument</w:t>
      </w:r>
    </w:p>
    <w:p w14:paraId="1394D22F" w14:textId="65F6336A" w:rsidR="004E1307" w:rsidRDefault="00D6537E" w:rsidP="003652DF">
      <w:pPr>
        <w:pStyle w:val="Item"/>
        <w:ind w:left="0" w:firstLine="709"/>
      </w:pPr>
      <w:r w:rsidRPr="002E5E26">
        <w:t xml:space="preserve">Repeal the </w:t>
      </w:r>
      <w:r w:rsidRPr="001B4DD9">
        <w:t>instrument</w:t>
      </w:r>
      <w:r w:rsidR="002E5E26">
        <w:t>.</w:t>
      </w:r>
    </w:p>
    <w:p w14:paraId="4F500E9E" w14:textId="4A5B8D41" w:rsidR="00D6537E" w:rsidRDefault="00C427C7" w:rsidP="003029C6">
      <w:pPr>
        <w:pStyle w:val="ActHead9"/>
      </w:pPr>
      <w:bookmarkStart w:id="36" w:name="_Toc492386666"/>
      <w:r>
        <w:t>Class of Persons,</w:t>
      </w:r>
      <w:r w:rsidRPr="002E5E26">
        <w:t xml:space="preserve"> </w:t>
      </w:r>
      <w:r>
        <w:t>IMMI 13</w:t>
      </w:r>
      <w:r w:rsidR="003029C6">
        <w:t>/153</w:t>
      </w:r>
      <w:r w:rsidRPr="002E5E26">
        <w:t xml:space="preserve"> </w:t>
      </w:r>
      <w:bookmarkEnd w:id="36"/>
    </w:p>
    <w:p w14:paraId="045D5F4C" w14:textId="4D5F3C28" w:rsidR="00C427C7" w:rsidRPr="003652DF" w:rsidRDefault="00C427C7" w:rsidP="00C427C7">
      <w:pPr>
        <w:pStyle w:val="ItemHead"/>
        <w:rPr>
          <w:rFonts w:cs="Arial"/>
        </w:rPr>
      </w:pPr>
      <w:r>
        <w:rPr>
          <w:rFonts w:cs="Arial"/>
        </w:rPr>
        <w:t>2</w:t>
      </w:r>
      <w:r w:rsidRPr="003652DF">
        <w:rPr>
          <w:rFonts w:cs="Arial"/>
        </w:rPr>
        <w:t xml:space="preserve">  The whole of the instrument</w:t>
      </w:r>
    </w:p>
    <w:p w14:paraId="0D1D925F" w14:textId="77777777" w:rsidR="00C427C7" w:rsidRDefault="00C427C7" w:rsidP="00C427C7">
      <w:pPr>
        <w:pStyle w:val="Item"/>
        <w:ind w:left="0" w:firstLine="709"/>
      </w:pPr>
      <w:r w:rsidRPr="002E5E26">
        <w:t xml:space="preserve">Repeal the </w:t>
      </w:r>
      <w:r w:rsidRPr="001B4DD9">
        <w:t>instrument</w:t>
      </w:r>
      <w:r>
        <w:t>.</w:t>
      </w:r>
    </w:p>
    <w:p w14:paraId="4D4DB06B" w14:textId="77777777" w:rsidR="00A75FE9" w:rsidRDefault="00A75FE9" w:rsidP="00C427C7">
      <w:pPr>
        <w:pStyle w:val="ActHead9"/>
      </w:pPr>
    </w:p>
    <w:sectPr w:rsidR="00A75FE9" w:rsidSect="00981AB0">
      <w:footerReference w:type="default" r:id="rId25"/>
      <w:pgSz w:w="11907" w:h="16839" w:code="9"/>
      <w:pgMar w:top="2234" w:right="1797" w:bottom="1440" w:left="1797" w:header="720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EAE2" w14:textId="77777777" w:rsidR="00CE5F81" w:rsidRDefault="00CE5F81" w:rsidP="00715914">
      <w:pPr>
        <w:spacing w:line="240" w:lineRule="auto"/>
      </w:pPr>
      <w:r>
        <w:separator/>
      </w:r>
    </w:p>
  </w:endnote>
  <w:endnote w:type="continuationSeparator" w:id="0">
    <w:p w14:paraId="457E6882" w14:textId="77777777" w:rsidR="00CE5F81" w:rsidRDefault="00CE5F8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25C6" w14:textId="77777777" w:rsidR="00CE5F81" w:rsidRPr="00E33C1C" w:rsidRDefault="00CE5F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5F81" w14:paraId="561FAAF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C17BD" w14:textId="77777777" w:rsidR="00CE5F81" w:rsidRDefault="00CE5F8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679356" w14:textId="3C1BF4F8" w:rsidR="00CE5F81" w:rsidRPr="004E1307" w:rsidRDefault="00CE5F8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Agents (IMMI 17/047: CPD Activities, Approval of CPD Providers and CPD Provider Standards)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8C36D1" w14:textId="77777777" w:rsidR="00CE5F81" w:rsidRDefault="00CE5F8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E5F81" w14:paraId="3EEFAAB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EECB08" w14:textId="77777777" w:rsidR="00CE5F81" w:rsidRDefault="00CE5F81" w:rsidP="00A369E3">
          <w:pPr>
            <w:jc w:val="right"/>
            <w:rPr>
              <w:sz w:val="18"/>
            </w:rPr>
          </w:pPr>
        </w:p>
      </w:tc>
    </w:tr>
  </w:tbl>
  <w:p w14:paraId="0B748918" w14:textId="77777777" w:rsidR="00CE5F81" w:rsidRPr="00ED79B6" w:rsidRDefault="00CE5F8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44EA" w14:textId="77777777" w:rsidR="00CE5F81" w:rsidRPr="00E33C1C" w:rsidRDefault="00CE5F8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5F81" w14:paraId="2BFAF1F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607CE7" w14:textId="77777777" w:rsidR="00CE5F81" w:rsidRDefault="00CE5F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A49716" w14:textId="47DC04E7" w:rsidR="00CE5F81" w:rsidRDefault="00CE5F8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Agents (IMMI 17/047: CPD Activities, Approval of CPD Providers and CPD Provider Standards)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4519C9" w14:textId="77777777" w:rsidR="00CE5F81" w:rsidRDefault="00CE5F8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F81" w14:paraId="1BFFFB4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2232B4" w14:textId="77777777" w:rsidR="00CE5F81" w:rsidRDefault="00CE5F81" w:rsidP="00A369E3">
          <w:pPr>
            <w:rPr>
              <w:sz w:val="18"/>
            </w:rPr>
          </w:pPr>
        </w:p>
      </w:tc>
    </w:tr>
  </w:tbl>
  <w:p w14:paraId="4657D578" w14:textId="77777777" w:rsidR="00CE5F81" w:rsidRPr="00ED79B6" w:rsidRDefault="00CE5F8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7ED10" w14:textId="77777777" w:rsidR="00CE5F81" w:rsidRPr="00E33C1C" w:rsidRDefault="00CE5F8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CE5F81" w14:paraId="24F3FDD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E2EFD" w14:textId="77777777" w:rsidR="00CE5F81" w:rsidRDefault="00CE5F8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FD983F" w14:textId="77777777" w:rsidR="00CE5F81" w:rsidRDefault="00CE5F8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C677F0" w14:textId="77777777" w:rsidR="00CE5F81" w:rsidRDefault="00CE5F8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F5EF2A8" w14:textId="77777777" w:rsidR="00CE5F81" w:rsidRPr="00ED79B6" w:rsidRDefault="00CE5F8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A883" w14:textId="77777777" w:rsidR="00CE5F81" w:rsidRPr="002B0EA5" w:rsidRDefault="00CE5F81" w:rsidP="00A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F81" w14:paraId="4A2E5C66" w14:textId="77777777" w:rsidTr="00AB1174">
      <w:tc>
        <w:tcPr>
          <w:tcW w:w="365" w:type="pct"/>
        </w:tcPr>
        <w:p w14:paraId="2085950A" w14:textId="77777777" w:rsidR="00CE5F81" w:rsidRDefault="00CE5F81" w:rsidP="00AB117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FB3663E" w14:textId="60408691" w:rsidR="00CE5F81" w:rsidRDefault="00CE5F81" w:rsidP="00AB117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Agents (IMMI 17/047: CPD Activities, Approval of CPD Providers and CPD Provider Standards)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66288C" w14:textId="77777777" w:rsidR="00CE5F81" w:rsidRDefault="00CE5F81" w:rsidP="00AB1174">
          <w:pPr>
            <w:spacing w:line="0" w:lineRule="atLeast"/>
            <w:jc w:val="right"/>
            <w:rPr>
              <w:sz w:val="18"/>
            </w:rPr>
          </w:pPr>
        </w:p>
      </w:tc>
    </w:tr>
    <w:tr w:rsidR="00CE5F81" w14:paraId="3E1ED4DB" w14:textId="77777777" w:rsidTr="00AB1174">
      <w:tc>
        <w:tcPr>
          <w:tcW w:w="5000" w:type="pct"/>
          <w:gridSpan w:val="3"/>
        </w:tcPr>
        <w:p w14:paraId="6F9B9137" w14:textId="77777777" w:rsidR="00CE5F81" w:rsidRDefault="00CE5F81" w:rsidP="00AB1174">
          <w:pPr>
            <w:jc w:val="right"/>
            <w:rPr>
              <w:sz w:val="18"/>
            </w:rPr>
          </w:pPr>
        </w:p>
      </w:tc>
    </w:tr>
  </w:tbl>
  <w:p w14:paraId="3FD8A25C" w14:textId="77777777" w:rsidR="00CE5F81" w:rsidRPr="00ED79B6" w:rsidRDefault="00CE5F81" w:rsidP="00AB117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298FC" w14:textId="77777777" w:rsidR="00CE5F81" w:rsidRPr="002B0EA5" w:rsidRDefault="00CE5F81" w:rsidP="00A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E5F81" w14:paraId="39B47E47" w14:textId="77777777" w:rsidTr="00AB1174">
      <w:tc>
        <w:tcPr>
          <w:tcW w:w="947" w:type="pct"/>
        </w:tcPr>
        <w:p w14:paraId="79A3D562" w14:textId="77777777" w:rsidR="00CE5F81" w:rsidRDefault="00CE5F81" w:rsidP="00AB117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3E08A4" w14:textId="6541AADB" w:rsidR="00CE5F81" w:rsidRDefault="00CE5F81" w:rsidP="00AB117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Migration Agents (IMMI 17/047: CPD Activities, Approval of CPD Providers and CPD Provider Standards)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DE2EC0" w14:textId="1336F2F4" w:rsidR="00CE5F81" w:rsidRDefault="00CE5F81" w:rsidP="00AB117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F81" w14:paraId="7DA595CD" w14:textId="77777777" w:rsidTr="00AB1174">
      <w:tc>
        <w:tcPr>
          <w:tcW w:w="5000" w:type="pct"/>
          <w:gridSpan w:val="3"/>
        </w:tcPr>
        <w:p w14:paraId="5C5D2D74" w14:textId="77777777" w:rsidR="00CE5F81" w:rsidRDefault="00CE5F81" w:rsidP="00AB1174">
          <w:pPr>
            <w:rPr>
              <w:sz w:val="18"/>
            </w:rPr>
          </w:pPr>
        </w:p>
      </w:tc>
    </w:tr>
  </w:tbl>
  <w:p w14:paraId="5470D16F" w14:textId="77777777" w:rsidR="00CE5F81" w:rsidRPr="00ED79B6" w:rsidRDefault="00CE5F81" w:rsidP="00AB117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0ED2E" w14:textId="77777777" w:rsidR="00CE5F81" w:rsidRPr="002B0EA5" w:rsidRDefault="00CE5F81" w:rsidP="00A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E5F81" w14:paraId="53C32912" w14:textId="77777777" w:rsidTr="00AB1174">
      <w:tc>
        <w:tcPr>
          <w:tcW w:w="365" w:type="pct"/>
        </w:tcPr>
        <w:p w14:paraId="0207DAC7" w14:textId="2DEAD45A" w:rsidR="00CE5F81" w:rsidRDefault="00CE5F81" w:rsidP="00AB117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60A856" w14:textId="6F8CC2CA" w:rsidR="00CE5F81" w:rsidRDefault="00CE5F81" w:rsidP="00AB117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Migration Agents (IMMI 17/047: CPD Activities, Approval of CPD Providers and CPD Provider Standards)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26ACE2" w14:textId="77777777" w:rsidR="00CE5F81" w:rsidRDefault="00CE5F81" w:rsidP="00AB1174">
          <w:pPr>
            <w:spacing w:line="0" w:lineRule="atLeast"/>
            <w:jc w:val="right"/>
            <w:rPr>
              <w:sz w:val="18"/>
            </w:rPr>
          </w:pPr>
        </w:p>
      </w:tc>
    </w:tr>
    <w:tr w:rsidR="00CE5F81" w14:paraId="3079575C" w14:textId="77777777" w:rsidTr="00AB1174">
      <w:tc>
        <w:tcPr>
          <w:tcW w:w="5000" w:type="pct"/>
          <w:gridSpan w:val="3"/>
        </w:tcPr>
        <w:p w14:paraId="010B7AF9" w14:textId="77777777" w:rsidR="00CE5F81" w:rsidRDefault="00CE5F81" w:rsidP="00AB1174">
          <w:pPr>
            <w:jc w:val="right"/>
            <w:rPr>
              <w:sz w:val="18"/>
            </w:rPr>
          </w:pPr>
        </w:p>
      </w:tc>
    </w:tr>
  </w:tbl>
  <w:p w14:paraId="3A19210A" w14:textId="77777777" w:rsidR="00CE5F81" w:rsidRPr="00ED79B6" w:rsidRDefault="00CE5F81" w:rsidP="00AB117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D13B" w14:textId="77777777" w:rsidR="00CE5F81" w:rsidRPr="002B0EA5" w:rsidRDefault="00CE5F81" w:rsidP="00A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E5F81" w14:paraId="02AC236A" w14:textId="77777777" w:rsidTr="00AB1174">
      <w:tc>
        <w:tcPr>
          <w:tcW w:w="947" w:type="pct"/>
        </w:tcPr>
        <w:p w14:paraId="3F7DAA43" w14:textId="77777777" w:rsidR="00CE5F81" w:rsidRDefault="00CE5F81" w:rsidP="00AB117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2F9A069" w14:textId="7771A382" w:rsidR="00CE5F81" w:rsidRDefault="00CE5F81" w:rsidP="00AB117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Migration Agents (IMMI 17/047: CPD Activities, Approval of CPD Providers and CPD Provider Standards)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D8BAE57" w14:textId="1160276F" w:rsidR="00CE5F81" w:rsidRDefault="00CE5F81" w:rsidP="00AB117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</w:instrText>
          </w:r>
          <w:r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  <w:tr w:rsidR="00CE5F81" w14:paraId="7E60B4D7" w14:textId="77777777" w:rsidTr="00AB1174">
      <w:tc>
        <w:tcPr>
          <w:tcW w:w="5000" w:type="pct"/>
          <w:gridSpan w:val="3"/>
        </w:tcPr>
        <w:p w14:paraId="20D74AE3" w14:textId="77777777" w:rsidR="00CE5F81" w:rsidRDefault="00CE5F81" w:rsidP="00AB1174">
          <w:pPr>
            <w:rPr>
              <w:sz w:val="18"/>
            </w:rPr>
          </w:pPr>
        </w:p>
      </w:tc>
    </w:tr>
  </w:tbl>
  <w:p w14:paraId="5F068CCC" w14:textId="77777777" w:rsidR="00CE5F81" w:rsidRPr="00ED79B6" w:rsidRDefault="00CE5F81" w:rsidP="00AB117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337E" w14:textId="77777777" w:rsidR="00CE5F81" w:rsidRPr="002B0EA5" w:rsidRDefault="00CE5F81" w:rsidP="00AB11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E5F81" w14:paraId="5E159469" w14:textId="77777777" w:rsidTr="00AB1174">
      <w:tc>
        <w:tcPr>
          <w:tcW w:w="947" w:type="pct"/>
        </w:tcPr>
        <w:p w14:paraId="0A263235" w14:textId="77777777" w:rsidR="00CE5F81" w:rsidRDefault="00CE5F81" w:rsidP="00AB117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60CF07" w14:textId="24A3F192" w:rsidR="00CE5F81" w:rsidRDefault="00CE5F81" w:rsidP="00AB117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Migration Agents (IMMI 17/047: CPD Activities, Approval of CPD Providers and CPD Provider Standards)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F32D16" w14:textId="35E5EFC6" w:rsidR="00CE5F81" w:rsidRDefault="00CE5F81" w:rsidP="00AB117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</w:instrText>
          </w:r>
          <w:r>
            <w:rPr>
              <w:i/>
              <w:sz w:val="18"/>
            </w:rPr>
            <w:fldChar w:fldCharType="separate"/>
          </w:r>
          <w:r w:rsidR="00794A44">
            <w:rPr>
              <w:i/>
              <w:noProof/>
              <w:sz w:val="18"/>
            </w:rPr>
            <w:t>13</w:t>
          </w:r>
          <w:r>
            <w:rPr>
              <w:i/>
              <w:sz w:val="18"/>
            </w:rPr>
            <w:fldChar w:fldCharType="end"/>
          </w:r>
        </w:p>
      </w:tc>
    </w:tr>
    <w:tr w:rsidR="00CE5F81" w14:paraId="6C7D637E" w14:textId="77777777" w:rsidTr="00AB1174">
      <w:tc>
        <w:tcPr>
          <w:tcW w:w="5000" w:type="pct"/>
          <w:gridSpan w:val="3"/>
        </w:tcPr>
        <w:p w14:paraId="7CEB5DE0" w14:textId="77777777" w:rsidR="00CE5F81" w:rsidRDefault="00CE5F81" w:rsidP="00AB1174">
          <w:pPr>
            <w:rPr>
              <w:sz w:val="18"/>
            </w:rPr>
          </w:pPr>
        </w:p>
      </w:tc>
    </w:tr>
  </w:tbl>
  <w:p w14:paraId="215EC233" w14:textId="77777777" w:rsidR="00CE5F81" w:rsidRPr="00ED79B6" w:rsidRDefault="00CE5F81" w:rsidP="00AB117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8405" w14:textId="77777777" w:rsidR="00CE5F81" w:rsidRDefault="00CE5F81" w:rsidP="00715914">
      <w:pPr>
        <w:spacing w:line="240" w:lineRule="auto"/>
      </w:pPr>
      <w:r>
        <w:separator/>
      </w:r>
    </w:p>
  </w:footnote>
  <w:footnote w:type="continuationSeparator" w:id="0">
    <w:p w14:paraId="30710EBF" w14:textId="77777777" w:rsidR="00CE5F81" w:rsidRDefault="00CE5F8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BA3F" w14:textId="50676361" w:rsidR="00CE5F81" w:rsidRPr="005F1388" w:rsidRDefault="00CE5F8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1685" w14:textId="295C518A" w:rsidR="00CE5F81" w:rsidRPr="005F1388" w:rsidRDefault="00CE5F8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207C" w14:textId="28DA0E68" w:rsidR="00CE5F81" w:rsidRPr="00631ACF" w:rsidRDefault="00CE5F81" w:rsidP="006133E6">
    <w:pPr>
      <w:pStyle w:val="Header"/>
      <w:jc w:val="right"/>
    </w:pPr>
    <w:r w:rsidRPr="00631ACF">
      <w:t xml:space="preserve">IMMI </w:t>
    </w:r>
    <w:r>
      <w:t>17/047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B96B" w14:textId="7B68E30A" w:rsidR="00CE5F81" w:rsidRPr="00ED79B6" w:rsidRDefault="00CE5F81" w:rsidP="00AB117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D62B" w14:textId="01DAE6E1" w:rsidR="00CE5F81" w:rsidRPr="00ED79B6" w:rsidRDefault="00CE5F81" w:rsidP="00AB117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8E9A" w14:textId="55B0D1AE" w:rsidR="00CE5F81" w:rsidRPr="00ED79B6" w:rsidRDefault="00CE5F8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658C" w14:textId="0A15FDEF" w:rsidR="00CE5F81" w:rsidRDefault="00CE5F81" w:rsidP="00715914">
    <w:pPr>
      <w:rPr>
        <w:sz w:val="20"/>
      </w:rPr>
    </w:pPr>
  </w:p>
  <w:p w14:paraId="34F69DD4" w14:textId="77777777" w:rsidR="00CE5F81" w:rsidRDefault="00CE5F81" w:rsidP="00715914">
    <w:pPr>
      <w:rPr>
        <w:sz w:val="20"/>
      </w:rPr>
    </w:pPr>
  </w:p>
  <w:p w14:paraId="74118C0E" w14:textId="77777777" w:rsidR="00CE5F81" w:rsidRPr="007A1328" w:rsidRDefault="00CE5F81" w:rsidP="00715914">
    <w:pPr>
      <w:rPr>
        <w:sz w:val="20"/>
      </w:rPr>
    </w:pPr>
  </w:p>
  <w:p w14:paraId="6036DE35" w14:textId="77777777" w:rsidR="00CE5F81" w:rsidRPr="007A1328" w:rsidRDefault="00CE5F81" w:rsidP="00715914">
    <w:pPr>
      <w:rPr>
        <w:b/>
        <w:sz w:val="24"/>
      </w:rPr>
    </w:pPr>
  </w:p>
  <w:p w14:paraId="33F79177" w14:textId="77777777" w:rsidR="00CE5F81" w:rsidRPr="007A1328" w:rsidRDefault="00CE5F8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C17C" w14:textId="08BB6D61" w:rsidR="00CE5F81" w:rsidRPr="007A1328" w:rsidRDefault="00CE5F81" w:rsidP="00715914">
    <w:pPr>
      <w:jc w:val="right"/>
      <w:rPr>
        <w:sz w:val="20"/>
      </w:rPr>
    </w:pPr>
  </w:p>
  <w:p w14:paraId="11EC88AB" w14:textId="77777777" w:rsidR="00CE5F81" w:rsidRPr="007A1328" w:rsidRDefault="00CE5F81" w:rsidP="00715914">
    <w:pPr>
      <w:jc w:val="right"/>
      <w:rPr>
        <w:sz w:val="20"/>
      </w:rPr>
    </w:pPr>
  </w:p>
  <w:p w14:paraId="3A43BAB3" w14:textId="77777777" w:rsidR="00CE5F81" w:rsidRPr="007A1328" w:rsidRDefault="00CE5F81" w:rsidP="00715914">
    <w:pPr>
      <w:jc w:val="right"/>
      <w:rPr>
        <w:sz w:val="20"/>
      </w:rPr>
    </w:pPr>
  </w:p>
  <w:p w14:paraId="535E2FCE" w14:textId="77777777" w:rsidR="00CE5F81" w:rsidRPr="007A1328" w:rsidRDefault="00CE5F81" w:rsidP="00715914">
    <w:pPr>
      <w:jc w:val="right"/>
      <w:rPr>
        <w:b/>
        <w:sz w:val="24"/>
      </w:rPr>
    </w:pPr>
  </w:p>
  <w:p w14:paraId="5F5CD650" w14:textId="77777777" w:rsidR="00CE5F81" w:rsidRPr="007A1328" w:rsidRDefault="00CE5F8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FA88" w14:textId="45D7FD1C" w:rsidR="00CE5F81" w:rsidRDefault="00CE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02F8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86172"/>
    <w:multiLevelType w:val="hybridMultilevel"/>
    <w:tmpl w:val="CEFAFF92"/>
    <w:lvl w:ilvl="0" w:tplc="9FDEA6BA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F5C5EC7"/>
    <w:multiLevelType w:val="hybridMultilevel"/>
    <w:tmpl w:val="27FEAB20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B04906"/>
    <w:multiLevelType w:val="hybridMultilevel"/>
    <w:tmpl w:val="6F4C44B4"/>
    <w:lvl w:ilvl="0" w:tplc="72CECE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61B"/>
    <w:multiLevelType w:val="hybridMultilevel"/>
    <w:tmpl w:val="5E0C576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D20466"/>
    <w:multiLevelType w:val="hybridMultilevel"/>
    <w:tmpl w:val="6246730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42A5B"/>
    <w:multiLevelType w:val="hybridMultilevel"/>
    <w:tmpl w:val="27FEAB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5851"/>
    <w:multiLevelType w:val="multilevel"/>
    <w:tmpl w:val="AEB03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2AD620B"/>
    <w:multiLevelType w:val="hybridMultilevel"/>
    <w:tmpl w:val="27FEAB20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D8A13AB"/>
    <w:multiLevelType w:val="hybridMultilevel"/>
    <w:tmpl w:val="6A50E69E"/>
    <w:lvl w:ilvl="0" w:tplc="EE7474C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08C732E"/>
    <w:multiLevelType w:val="hybridMultilevel"/>
    <w:tmpl w:val="47CCD292"/>
    <w:lvl w:ilvl="0" w:tplc="7CEE12CA">
      <w:start w:val="1"/>
      <w:numFmt w:val="lowerLetter"/>
      <w:pStyle w:val="ListNumber2"/>
      <w:lvlText w:val="%1."/>
      <w:lvlJc w:val="left"/>
      <w:pPr>
        <w:tabs>
          <w:tab w:val="num" w:pos="8093"/>
        </w:tabs>
        <w:ind w:left="809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9173"/>
        </w:tabs>
        <w:ind w:left="9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893"/>
        </w:tabs>
        <w:ind w:left="9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613"/>
        </w:tabs>
        <w:ind w:left="10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333"/>
        </w:tabs>
        <w:ind w:left="11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053"/>
        </w:tabs>
        <w:ind w:left="12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773"/>
        </w:tabs>
        <w:ind w:left="12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493"/>
        </w:tabs>
        <w:ind w:left="13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213"/>
        </w:tabs>
        <w:ind w:left="14213" w:hanging="360"/>
      </w:pPr>
      <w:rPr>
        <w:rFonts w:ascii="Wingdings" w:hAnsi="Wingdings" w:hint="default"/>
      </w:rPr>
    </w:lvl>
  </w:abstractNum>
  <w:abstractNum w:abstractNumId="13" w15:restartNumberingAfterBreak="0">
    <w:nsid w:val="450D48AE"/>
    <w:multiLevelType w:val="hybridMultilevel"/>
    <w:tmpl w:val="27FEAB20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240F17"/>
    <w:multiLevelType w:val="hybridMultilevel"/>
    <w:tmpl w:val="1D1AC6CC"/>
    <w:lvl w:ilvl="0" w:tplc="4FC6A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0E7D"/>
    <w:multiLevelType w:val="multilevel"/>
    <w:tmpl w:val="D8D29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651DDB"/>
    <w:multiLevelType w:val="hybridMultilevel"/>
    <w:tmpl w:val="46941878"/>
    <w:lvl w:ilvl="0" w:tplc="3F96A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66475"/>
    <w:multiLevelType w:val="hybridMultilevel"/>
    <w:tmpl w:val="02E20F4C"/>
    <w:lvl w:ilvl="0" w:tplc="4874FBC2">
      <w:start w:val="1"/>
      <w:numFmt w:val="bullet"/>
      <w:pStyle w:val="Bullet-level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1354C"/>
    <w:multiLevelType w:val="hybridMultilevel"/>
    <w:tmpl w:val="46941878"/>
    <w:lvl w:ilvl="0" w:tplc="3F96A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07E22"/>
    <w:multiLevelType w:val="hybridMultilevel"/>
    <w:tmpl w:val="6246730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B601D"/>
    <w:multiLevelType w:val="hybridMultilevel"/>
    <w:tmpl w:val="27FEAB20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B35FD0"/>
    <w:multiLevelType w:val="hybridMultilevel"/>
    <w:tmpl w:val="16E4B15C"/>
    <w:lvl w:ilvl="0" w:tplc="670CD33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58A0C6D"/>
    <w:multiLevelType w:val="hybridMultilevel"/>
    <w:tmpl w:val="46941878"/>
    <w:lvl w:ilvl="0" w:tplc="3F96A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11"/>
  </w:num>
  <w:num w:numId="6">
    <w:abstractNumId w:val="21"/>
  </w:num>
  <w:num w:numId="7">
    <w:abstractNumId w:val="17"/>
  </w:num>
  <w:num w:numId="8">
    <w:abstractNumId w:val="8"/>
  </w:num>
  <w:num w:numId="9">
    <w:abstractNumId w:val="19"/>
  </w:num>
  <w:num w:numId="10">
    <w:abstractNumId w:val="6"/>
  </w:num>
  <w:num w:numId="11">
    <w:abstractNumId w:val="12"/>
  </w:num>
  <w:num w:numId="12">
    <w:abstractNumId w:val="15"/>
  </w:num>
  <w:num w:numId="13">
    <w:abstractNumId w:val="16"/>
  </w:num>
  <w:num w:numId="14">
    <w:abstractNumId w:val="22"/>
  </w:num>
  <w:num w:numId="15">
    <w:abstractNumId w:val="18"/>
  </w:num>
  <w:num w:numId="16">
    <w:abstractNumId w:val="4"/>
  </w:num>
  <w:num w:numId="17">
    <w:abstractNumId w:val="12"/>
  </w:num>
  <w:num w:numId="18">
    <w:abstractNumId w:val="0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3"/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12"/>
  </w:num>
  <w:num w:numId="30">
    <w:abstractNumId w:val="2"/>
  </w:num>
  <w:num w:numId="31">
    <w:abstractNumId w:val="9"/>
  </w:num>
  <w:num w:numId="32">
    <w:abstractNumId w:val="20"/>
  </w:num>
  <w:num w:numId="3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1F"/>
    <w:rsid w:val="00001E1C"/>
    <w:rsid w:val="00004174"/>
    <w:rsid w:val="00004470"/>
    <w:rsid w:val="00004969"/>
    <w:rsid w:val="00007B22"/>
    <w:rsid w:val="000136AF"/>
    <w:rsid w:val="00016320"/>
    <w:rsid w:val="000258B1"/>
    <w:rsid w:val="000374E3"/>
    <w:rsid w:val="00040A89"/>
    <w:rsid w:val="000437C1"/>
    <w:rsid w:val="0004455A"/>
    <w:rsid w:val="0005365D"/>
    <w:rsid w:val="00057F4D"/>
    <w:rsid w:val="00061062"/>
    <w:rsid w:val="000614BF"/>
    <w:rsid w:val="00062CE3"/>
    <w:rsid w:val="0006709C"/>
    <w:rsid w:val="00074376"/>
    <w:rsid w:val="00076C9B"/>
    <w:rsid w:val="0008661F"/>
    <w:rsid w:val="000911CD"/>
    <w:rsid w:val="00091F2F"/>
    <w:rsid w:val="00092100"/>
    <w:rsid w:val="00095F60"/>
    <w:rsid w:val="000978F5"/>
    <w:rsid w:val="000B0E27"/>
    <w:rsid w:val="000B15CD"/>
    <w:rsid w:val="000B35EB"/>
    <w:rsid w:val="000B515D"/>
    <w:rsid w:val="000B5CFF"/>
    <w:rsid w:val="000C26E2"/>
    <w:rsid w:val="000C7372"/>
    <w:rsid w:val="000D05EF"/>
    <w:rsid w:val="000E0900"/>
    <w:rsid w:val="000E2261"/>
    <w:rsid w:val="000E56D3"/>
    <w:rsid w:val="000E78B7"/>
    <w:rsid w:val="000F0F38"/>
    <w:rsid w:val="000F21C1"/>
    <w:rsid w:val="00100531"/>
    <w:rsid w:val="0010745C"/>
    <w:rsid w:val="00107E06"/>
    <w:rsid w:val="00116E1A"/>
    <w:rsid w:val="001216E1"/>
    <w:rsid w:val="00132CEB"/>
    <w:rsid w:val="001339B0"/>
    <w:rsid w:val="0013425B"/>
    <w:rsid w:val="00134F0B"/>
    <w:rsid w:val="00142B62"/>
    <w:rsid w:val="001441B7"/>
    <w:rsid w:val="001516CB"/>
    <w:rsid w:val="00152336"/>
    <w:rsid w:val="00157B8B"/>
    <w:rsid w:val="00166C2F"/>
    <w:rsid w:val="00174BDA"/>
    <w:rsid w:val="001809D7"/>
    <w:rsid w:val="00190D5D"/>
    <w:rsid w:val="00192717"/>
    <w:rsid w:val="001939E1"/>
    <w:rsid w:val="00194C3E"/>
    <w:rsid w:val="00195382"/>
    <w:rsid w:val="00195B21"/>
    <w:rsid w:val="0019658D"/>
    <w:rsid w:val="00197E76"/>
    <w:rsid w:val="001A3CE4"/>
    <w:rsid w:val="001A695C"/>
    <w:rsid w:val="001B2CB6"/>
    <w:rsid w:val="001B4DD9"/>
    <w:rsid w:val="001C320A"/>
    <w:rsid w:val="001C61C5"/>
    <w:rsid w:val="001C69C4"/>
    <w:rsid w:val="001D1176"/>
    <w:rsid w:val="001D37EF"/>
    <w:rsid w:val="001D5C96"/>
    <w:rsid w:val="001E01F7"/>
    <w:rsid w:val="001E3590"/>
    <w:rsid w:val="001E7407"/>
    <w:rsid w:val="001F5D5E"/>
    <w:rsid w:val="001F6219"/>
    <w:rsid w:val="001F6711"/>
    <w:rsid w:val="001F6CD4"/>
    <w:rsid w:val="001F6E6F"/>
    <w:rsid w:val="00206C4D"/>
    <w:rsid w:val="00215AF1"/>
    <w:rsid w:val="002321E8"/>
    <w:rsid w:val="00232984"/>
    <w:rsid w:val="0024010F"/>
    <w:rsid w:val="00240749"/>
    <w:rsid w:val="00242F2D"/>
    <w:rsid w:val="00243018"/>
    <w:rsid w:val="002446D9"/>
    <w:rsid w:val="0024712F"/>
    <w:rsid w:val="00250FA5"/>
    <w:rsid w:val="002533D8"/>
    <w:rsid w:val="00255BEB"/>
    <w:rsid w:val="002564A4"/>
    <w:rsid w:val="00257078"/>
    <w:rsid w:val="0026551E"/>
    <w:rsid w:val="0026736C"/>
    <w:rsid w:val="00275986"/>
    <w:rsid w:val="002779B1"/>
    <w:rsid w:val="00281308"/>
    <w:rsid w:val="00284719"/>
    <w:rsid w:val="002870DB"/>
    <w:rsid w:val="002949EA"/>
    <w:rsid w:val="002979A9"/>
    <w:rsid w:val="00297ECB"/>
    <w:rsid w:val="002A32B0"/>
    <w:rsid w:val="002A7BCF"/>
    <w:rsid w:val="002B2E87"/>
    <w:rsid w:val="002B5E78"/>
    <w:rsid w:val="002C0EB9"/>
    <w:rsid w:val="002C3FD1"/>
    <w:rsid w:val="002C72DC"/>
    <w:rsid w:val="002D043A"/>
    <w:rsid w:val="002D266B"/>
    <w:rsid w:val="002D6224"/>
    <w:rsid w:val="002E5E26"/>
    <w:rsid w:val="002F4448"/>
    <w:rsid w:val="003029C6"/>
    <w:rsid w:val="00302F34"/>
    <w:rsid w:val="00304F8B"/>
    <w:rsid w:val="003111B7"/>
    <w:rsid w:val="00311AB0"/>
    <w:rsid w:val="0031240B"/>
    <w:rsid w:val="003254DC"/>
    <w:rsid w:val="00335BC6"/>
    <w:rsid w:val="0033667D"/>
    <w:rsid w:val="003415D3"/>
    <w:rsid w:val="00344338"/>
    <w:rsid w:val="00344701"/>
    <w:rsid w:val="00352B0F"/>
    <w:rsid w:val="00360459"/>
    <w:rsid w:val="003652DF"/>
    <w:rsid w:val="00371F84"/>
    <w:rsid w:val="0037712F"/>
    <w:rsid w:val="0038049F"/>
    <w:rsid w:val="00385E3C"/>
    <w:rsid w:val="003A5BD3"/>
    <w:rsid w:val="003B1DC2"/>
    <w:rsid w:val="003B4911"/>
    <w:rsid w:val="003C0EE9"/>
    <w:rsid w:val="003C6231"/>
    <w:rsid w:val="003C7A31"/>
    <w:rsid w:val="003D0BFE"/>
    <w:rsid w:val="003D5700"/>
    <w:rsid w:val="003D5720"/>
    <w:rsid w:val="003D65D0"/>
    <w:rsid w:val="003E140B"/>
    <w:rsid w:val="003E341B"/>
    <w:rsid w:val="003E4D00"/>
    <w:rsid w:val="00400053"/>
    <w:rsid w:val="004064FA"/>
    <w:rsid w:val="004116CD"/>
    <w:rsid w:val="004166BD"/>
    <w:rsid w:val="00417EB9"/>
    <w:rsid w:val="0042445C"/>
    <w:rsid w:val="004244A8"/>
    <w:rsid w:val="00424CA9"/>
    <w:rsid w:val="004261CE"/>
    <w:rsid w:val="004276DF"/>
    <w:rsid w:val="00431E9B"/>
    <w:rsid w:val="0043423A"/>
    <w:rsid w:val="00435D7C"/>
    <w:rsid w:val="0043659A"/>
    <w:rsid w:val="004379E3"/>
    <w:rsid w:val="0044015E"/>
    <w:rsid w:val="0044291A"/>
    <w:rsid w:val="004451CE"/>
    <w:rsid w:val="00447D4F"/>
    <w:rsid w:val="00467661"/>
    <w:rsid w:val="00472DBE"/>
    <w:rsid w:val="00474A19"/>
    <w:rsid w:val="00477830"/>
    <w:rsid w:val="00487764"/>
    <w:rsid w:val="004948AC"/>
    <w:rsid w:val="004952C3"/>
    <w:rsid w:val="00496F97"/>
    <w:rsid w:val="004A36B0"/>
    <w:rsid w:val="004A5E58"/>
    <w:rsid w:val="004B6C48"/>
    <w:rsid w:val="004C00AD"/>
    <w:rsid w:val="004C4E59"/>
    <w:rsid w:val="004C6809"/>
    <w:rsid w:val="004C7B8C"/>
    <w:rsid w:val="004D3B71"/>
    <w:rsid w:val="004D6F95"/>
    <w:rsid w:val="004E063A"/>
    <w:rsid w:val="004E1307"/>
    <w:rsid w:val="004E7BEC"/>
    <w:rsid w:val="004F1594"/>
    <w:rsid w:val="005001B3"/>
    <w:rsid w:val="00505D3D"/>
    <w:rsid w:val="00506AF6"/>
    <w:rsid w:val="00516B8D"/>
    <w:rsid w:val="00517BF0"/>
    <w:rsid w:val="00522BA8"/>
    <w:rsid w:val="005245B3"/>
    <w:rsid w:val="005259D7"/>
    <w:rsid w:val="005303C8"/>
    <w:rsid w:val="005329F8"/>
    <w:rsid w:val="00535E28"/>
    <w:rsid w:val="00536CF3"/>
    <w:rsid w:val="00537FBC"/>
    <w:rsid w:val="005402C0"/>
    <w:rsid w:val="00544360"/>
    <w:rsid w:val="005477F1"/>
    <w:rsid w:val="00566710"/>
    <w:rsid w:val="005747A7"/>
    <w:rsid w:val="0057700C"/>
    <w:rsid w:val="005804C7"/>
    <w:rsid w:val="0058080B"/>
    <w:rsid w:val="00584811"/>
    <w:rsid w:val="00585784"/>
    <w:rsid w:val="00593AA6"/>
    <w:rsid w:val="00594161"/>
    <w:rsid w:val="00594749"/>
    <w:rsid w:val="005A65D5"/>
    <w:rsid w:val="005A6FEF"/>
    <w:rsid w:val="005B16C0"/>
    <w:rsid w:val="005B4067"/>
    <w:rsid w:val="005B7877"/>
    <w:rsid w:val="005C31E2"/>
    <w:rsid w:val="005C3F41"/>
    <w:rsid w:val="005D1D92"/>
    <w:rsid w:val="005D2D09"/>
    <w:rsid w:val="005D3116"/>
    <w:rsid w:val="005D3A40"/>
    <w:rsid w:val="005D7576"/>
    <w:rsid w:val="00600219"/>
    <w:rsid w:val="00600E9B"/>
    <w:rsid w:val="00604F2A"/>
    <w:rsid w:val="006133E6"/>
    <w:rsid w:val="00616AAB"/>
    <w:rsid w:val="00620076"/>
    <w:rsid w:val="00620115"/>
    <w:rsid w:val="00625D55"/>
    <w:rsid w:val="00627E0A"/>
    <w:rsid w:val="00631ACF"/>
    <w:rsid w:val="0063559B"/>
    <w:rsid w:val="00637131"/>
    <w:rsid w:val="006438FB"/>
    <w:rsid w:val="0065488B"/>
    <w:rsid w:val="00664CE7"/>
    <w:rsid w:val="00666F88"/>
    <w:rsid w:val="00670EA1"/>
    <w:rsid w:val="0067376E"/>
    <w:rsid w:val="006764E1"/>
    <w:rsid w:val="00677CC2"/>
    <w:rsid w:val="0068744B"/>
    <w:rsid w:val="006905DE"/>
    <w:rsid w:val="00690993"/>
    <w:rsid w:val="0069207B"/>
    <w:rsid w:val="00695872"/>
    <w:rsid w:val="006A154F"/>
    <w:rsid w:val="006A215D"/>
    <w:rsid w:val="006A437B"/>
    <w:rsid w:val="006B5789"/>
    <w:rsid w:val="006C30C5"/>
    <w:rsid w:val="006C7F8C"/>
    <w:rsid w:val="006D0C3A"/>
    <w:rsid w:val="006D209D"/>
    <w:rsid w:val="006E1CFE"/>
    <w:rsid w:val="006E25EF"/>
    <w:rsid w:val="006E2E1C"/>
    <w:rsid w:val="006E6246"/>
    <w:rsid w:val="006E69C2"/>
    <w:rsid w:val="006E6DCC"/>
    <w:rsid w:val="006F318F"/>
    <w:rsid w:val="0070017E"/>
    <w:rsid w:val="00700B2C"/>
    <w:rsid w:val="007017BA"/>
    <w:rsid w:val="007050A2"/>
    <w:rsid w:val="00713084"/>
    <w:rsid w:val="00713895"/>
    <w:rsid w:val="00714F20"/>
    <w:rsid w:val="0071590F"/>
    <w:rsid w:val="00715914"/>
    <w:rsid w:val="0072147A"/>
    <w:rsid w:val="00723791"/>
    <w:rsid w:val="00723B35"/>
    <w:rsid w:val="00731E00"/>
    <w:rsid w:val="007440B7"/>
    <w:rsid w:val="007440D7"/>
    <w:rsid w:val="007500C8"/>
    <w:rsid w:val="007534AD"/>
    <w:rsid w:val="00756272"/>
    <w:rsid w:val="00762D38"/>
    <w:rsid w:val="00765F52"/>
    <w:rsid w:val="00771432"/>
    <w:rsid w:val="007715C9"/>
    <w:rsid w:val="00771613"/>
    <w:rsid w:val="00774EDD"/>
    <w:rsid w:val="007757EC"/>
    <w:rsid w:val="00780DF2"/>
    <w:rsid w:val="007812FA"/>
    <w:rsid w:val="00783E89"/>
    <w:rsid w:val="007913ED"/>
    <w:rsid w:val="00793915"/>
    <w:rsid w:val="00794A44"/>
    <w:rsid w:val="007A2174"/>
    <w:rsid w:val="007B71B2"/>
    <w:rsid w:val="007C1269"/>
    <w:rsid w:val="007C2253"/>
    <w:rsid w:val="007D3A2A"/>
    <w:rsid w:val="007D5EFE"/>
    <w:rsid w:val="007D7911"/>
    <w:rsid w:val="007E163D"/>
    <w:rsid w:val="007E18A4"/>
    <w:rsid w:val="007E1920"/>
    <w:rsid w:val="007E2D46"/>
    <w:rsid w:val="007E3C59"/>
    <w:rsid w:val="007E667A"/>
    <w:rsid w:val="007F1457"/>
    <w:rsid w:val="007F28C9"/>
    <w:rsid w:val="007F51B2"/>
    <w:rsid w:val="007F546F"/>
    <w:rsid w:val="008040DD"/>
    <w:rsid w:val="008117E9"/>
    <w:rsid w:val="008218CE"/>
    <w:rsid w:val="00823107"/>
    <w:rsid w:val="00824498"/>
    <w:rsid w:val="00825A66"/>
    <w:rsid w:val="00826BD1"/>
    <w:rsid w:val="00827A9B"/>
    <w:rsid w:val="00835986"/>
    <w:rsid w:val="00840242"/>
    <w:rsid w:val="00854D0B"/>
    <w:rsid w:val="00856A31"/>
    <w:rsid w:val="00860B4E"/>
    <w:rsid w:val="00860E54"/>
    <w:rsid w:val="0086176A"/>
    <w:rsid w:val="0086250F"/>
    <w:rsid w:val="00867B37"/>
    <w:rsid w:val="008754D0"/>
    <w:rsid w:val="00875D13"/>
    <w:rsid w:val="008808BA"/>
    <w:rsid w:val="00883E24"/>
    <w:rsid w:val="008855C9"/>
    <w:rsid w:val="00886456"/>
    <w:rsid w:val="00896176"/>
    <w:rsid w:val="008A0117"/>
    <w:rsid w:val="008A227E"/>
    <w:rsid w:val="008A46E1"/>
    <w:rsid w:val="008A4F43"/>
    <w:rsid w:val="008B2656"/>
    <w:rsid w:val="008B2706"/>
    <w:rsid w:val="008C2EAC"/>
    <w:rsid w:val="008C3DED"/>
    <w:rsid w:val="008D0E4C"/>
    <w:rsid w:val="008D0EE0"/>
    <w:rsid w:val="008D4023"/>
    <w:rsid w:val="008D581E"/>
    <w:rsid w:val="008D7138"/>
    <w:rsid w:val="008E0027"/>
    <w:rsid w:val="008E6067"/>
    <w:rsid w:val="008F003A"/>
    <w:rsid w:val="008F2489"/>
    <w:rsid w:val="008F54E7"/>
    <w:rsid w:val="00903422"/>
    <w:rsid w:val="00922FC8"/>
    <w:rsid w:val="009254C3"/>
    <w:rsid w:val="00932377"/>
    <w:rsid w:val="00941236"/>
    <w:rsid w:val="00943FD5"/>
    <w:rsid w:val="00946674"/>
    <w:rsid w:val="00947D5A"/>
    <w:rsid w:val="0095012B"/>
    <w:rsid w:val="009532A5"/>
    <w:rsid w:val="009545BD"/>
    <w:rsid w:val="00957A1F"/>
    <w:rsid w:val="00964CF0"/>
    <w:rsid w:val="00972F92"/>
    <w:rsid w:val="00973085"/>
    <w:rsid w:val="00976E19"/>
    <w:rsid w:val="00977115"/>
    <w:rsid w:val="00977806"/>
    <w:rsid w:val="00981AB0"/>
    <w:rsid w:val="00982242"/>
    <w:rsid w:val="00982BB1"/>
    <w:rsid w:val="009868E9"/>
    <w:rsid w:val="009900A3"/>
    <w:rsid w:val="00992A84"/>
    <w:rsid w:val="009968CF"/>
    <w:rsid w:val="009A42F6"/>
    <w:rsid w:val="009B0A9E"/>
    <w:rsid w:val="009B161C"/>
    <w:rsid w:val="009B1C95"/>
    <w:rsid w:val="009B5675"/>
    <w:rsid w:val="009C10D0"/>
    <w:rsid w:val="009C1394"/>
    <w:rsid w:val="009C3413"/>
    <w:rsid w:val="009C79FD"/>
    <w:rsid w:val="009D130F"/>
    <w:rsid w:val="009E3355"/>
    <w:rsid w:val="009E7B39"/>
    <w:rsid w:val="009F04D5"/>
    <w:rsid w:val="009F42B7"/>
    <w:rsid w:val="00A02805"/>
    <w:rsid w:val="00A0441E"/>
    <w:rsid w:val="00A07446"/>
    <w:rsid w:val="00A12128"/>
    <w:rsid w:val="00A1658A"/>
    <w:rsid w:val="00A22396"/>
    <w:rsid w:val="00A22C98"/>
    <w:rsid w:val="00A231E2"/>
    <w:rsid w:val="00A369E3"/>
    <w:rsid w:val="00A44F4F"/>
    <w:rsid w:val="00A57600"/>
    <w:rsid w:val="00A57A65"/>
    <w:rsid w:val="00A624AB"/>
    <w:rsid w:val="00A64912"/>
    <w:rsid w:val="00A70A74"/>
    <w:rsid w:val="00A7364F"/>
    <w:rsid w:val="00A75FE9"/>
    <w:rsid w:val="00A77B6B"/>
    <w:rsid w:val="00A861FF"/>
    <w:rsid w:val="00A93542"/>
    <w:rsid w:val="00A9361C"/>
    <w:rsid w:val="00A93A4C"/>
    <w:rsid w:val="00A95F46"/>
    <w:rsid w:val="00A968B6"/>
    <w:rsid w:val="00AB1174"/>
    <w:rsid w:val="00AB4BE1"/>
    <w:rsid w:val="00AB628E"/>
    <w:rsid w:val="00AC33BE"/>
    <w:rsid w:val="00AD244A"/>
    <w:rsid w:val="00AD53CC"/>
    <w:rsid w:val="00AD5641"/>
    <w:rsid w:val="00AF06CF"/>
    <w:rsid w:val="00AF6954"/>
    <w:rsid w:val="00B00950"/>
    <w:rsid w:val="00B0751B"/>
    <w:rsid w:val="00B07CDB"/>
    <w:rsid w:val="00B16A31"/>
    <w:rsid w:val="00B17DFD"/>
    <w:rsid w:val="00B27831"/>
    <w:rsid w:val="00B308FE"/>
    <w:rsid w:val="00B33709"/>
    <w:rsid w:val="00B33B3C"/>
    <w:rsid w:val="00B35B5C"/>
    <w:rsid w:val="00B36392"/>
    <w:rsid w:val="00B3724C"/>
    <w:rsid w:val="00B418CB"/>
    <w:rsid w:val="00B43F3F"/>
    <w:rsid w:val="00B47444"/>
    <w:rsid w:val="00B50ADC"/>
    <w:rsid w:val="00B544AE"/>
    <w:rsid w:val="00B566B1"/>
    <w:rsid w:val="00B57DFB"/>
    <w:rsid w:val="00B6175D"/>
    <w:rsid w:val="00B63834"/>
    <w:rsid w:val="00B703C3"/>
    <w:rsid w:val="00B7110A"/>
    <w:rsid w:val="00B77696"/>
    <w:rsid w:val="00B80199"/>
    <w:rsid w:val="00B83204"/>
    <w:rsid w:val="00B856E7"/>
    <w:rsid w:val="00B87409"/>
    <w:rsid w:val="00BA220B"/>
    <w:rsid w:val="00BA3A57"/>
    <w:rsid w:val="00BA525F"/>
    <w:rsid w:val="00BA63D8"/>
    <w:rsid w:val="00BB1533"/>
    <w:rsid w:val="00BB4E1A"/>
    <w:rsid w:val="00BC015E"/>
    <w:rsid w:val="00BC5BDF"/>
    <w:rsid w:val="00BC76AC"/>
    <w:rsid w:val="00BD0BE5"/>
    <w:rsid w:val="00BD0ECB"/>
    <w:rsid w:val="00BE2155"/>
    <w:rsid w:val="00BE719A"/>
    <w:rsid w:val="00BE720A"/>
    <w:rsid w:val="00BF0D73"/>
    <w:rsid w:val="00BF2465"/>
    <w:rsid w:val="00BF6D50"/>
    <w:rsid w:val="00C0334E"/>
    <w:rsid w:val="00C0645C"/>
    <w:rsid w:val="00C10F54"/>
    <w:rsid w:val="00C16619"/>
    <w:rsid w:val="00C24B6E"/>
    <w:rsid w:val="00C25E7F"/>
    <w:rsid w:val="00C2746F"/>
    <w:rsid w:val="00C323D6"/>
    <w:rsid w:val="00C324A0"/>
    <w:rsid w:val="00C427C7"/>
    <w:rsid w:val="00C42BF8"/>
    <w:rsid w:val="00C475DB"/>
    <w:rsid w:val="00C50043"/>
    <w:rsid w:val="00C7573B"/>
    <w:rsid w:val="00C763E8"/>
    <w:rsid w:val="00C76A41"/>
    <w:rsid w:val="00C83D53"/>
    <w:rsid w:val="00C97A54"/>
    <w:rsid w:val="00CA5B23"/>
    <w:rsid w:val="00CB0B94"/>
    <w:rsid w:val="00CB3344"/>
    <w:rsid w:val="00CB602E"/>
    <w:rsid w:val="00CB7E90"/>
    <w:rsid w:val="00CD0B87"/>
    <w:rsid w:val="00CE051D"/>
    <w:rsid w:val="00CE1335"/>
    <w:rsid w:val="00CE27E0"/>
    <w:rsid w:val="00CE493D"/>
    <w:rsid w:val="00CE5F81"/>
    <w:rsid w:val="00CE7577"/>
    <w:rsid w:val="00CF07FA"/>
    <w:rsid w:val="00CF0BB2"/>
    <w:rsid w:val="00CF3EE8"/>
    <w:rsid w:val="00D00753"/>
    <w:rsid w:val="00D13441"/>
    <w:rsid w:val="00D150E7"/>
    <w:rsid w:val="00D154C8"/>
    <w:rsid w:val="00D16542"/>
    <w:rsid w:val="00D2607F"/>
    <w:rsid w:val="00D318F0"/>
    <w:rsid w:val="00D33CB1"/>
    <w:rsid w:val="00D33D16"/>
    <w:rsid w:val="00D3440B"/>
    <w:rsid w:val="00D52DC2"/>
    <w:rsid w:val="00D53BCC"/>
    <w:rsid w:val="00D54C9E"/>
    <w:rsid w:val="00D6537E"/>
    <w:rsid w:val="00D70DFB"/>
    <w:rsid w:val="00D738AB"/>
    <w:rsid w:val="00D766DF"/>
    <w:rsid w:val="00D8206C"/>
    <w:rsid w:val="00D834B1"/>
    <w:rsid w:val="00D91F10"/>
    <w:rsid w:val="00D94D0D"/>
    <w:rsid w:val="00D97223"/>
    <w:rsid w:val="00DA186E"/>
    <w:rsid w:val="00DA1E82"/>
    <w:rsid w:val="00DA4116"/>
    <w:rsid w:val="00DA5D31"/>
    <w:rsid w:val="00DB251C"/>
    <w:rsid w:val="00DB4630"/>
    <w:rsid w:val="00DB5350"/>
    <w:rsid w:val="00DC1CA9"/>
    <w:rsid w:val="00DC4F88"/>
    <w:rsid w:val="00DC5364"/>
    <w:rsid w:val="00DC774C"/>
    <w:rsid w:val="00DE017B"/>
    <w:rsid w:val="00DE107C"/>
    <w:rsid w:val="00DE25D6"/>
    <w:rsid w:val="00DE36A7"/>
    <w:rsid w:val="00DE6F46"/>
    <w:rsid w:val="00DF2388"/>
    <w:rsid w:val="00E03F87"/>
    <w:rsid w:val="00E05704"/>
    <w:rsid w:val="00E26561"/>
    <w:rsid w:val="00E338EF"/>
    <w:rsid w:val="00E3617B"/>
    <w:rsid w:val="00E36563"/>
    <w:rsid w:val="00E44E53"/>
    <w:rsid w:val="00E455F1"/>
    <w:rsid w:val="00E544BB"/>
    <w:rsid w:val="00E61949"/>
    <w:rsid w:val="00E628EB"/>
    <w:rsid w:val="00E70720"/>
    <w:rsid w:val="00E74DC7"/>
    <w:rsid w:val="00E75EDC"/>
    <w:rsid w:val="00E8075A"/>
    <w:rsid w:val="00E81936"/>
    <w:rsid w:val="00E81FAA"/>
    <w:rsid w:val="00E83D7F"/>
    <w:rsid w:val="00E84EE5"/>
    <w:rsid w:val="00E908E5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4D7B"/>
    <w:rsid w:val="00F02C7C"/>
    <w:rsid w:val="00F072A7"/>
    <w:rsid w:val="00F078DC"/>
    <w:rsid w:val="00F15469"/>
    <w:rsid w:val="00F21FB7"/>
    <w:rsid w:val="00F27CC7"/>
    <w:rsid w:val="00F32BA8"/>
    <w:rsid w:val="00F32EE0"/>
    <w:rsid w:val="00F349F1"/>
    <w:rsid w:val="00F4350D"/>
    <w:rsid w:val="00F4437B"/>
    <w:rsid w:val="00F479C4"/>
    <w:rsid w:val="00F567F7"/>
    <w:rsid w:val="00F57A7B"/>
    <w:rsid w:val="00F6136A"/>
    <w:rsid w:val="00F6696E"/>
    <w:rsid w:val="00F73BD6"/>
    <w:rsid w:val="00F76B37"/>
    <w:rsid w:val="00F83989"/>
    <w:rsid w:val="00F85099"/>
    <w:rsid w:val="00F9379C"/>
    <w:rsid w:val="00F9632C"/>
    <w:rsid w:val="00FA1E52"/>
    <w:rsid w:val="00FA30F8"/>
    <w:rsid w:val="00FB5A08"/>
    <w:rsid w:val="00FC2B3E"/>
    <w:rsid w:val="00FC6A80"/>
    <w:rsid w:val="00FD2DB0"/>
    <w:rsid w:val="00FD5EB2"/>
    <w:rsid w:val="00FE2970"/>
    <w:rsid w:val="00FE4688"/>
    <w:rsid w:val="00FF292B"/>
    <w:rsid w:val="00FF570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E7443B"/>
  <w15:docId w15:val="{4BEACBB5-C4E3-4FFD-983A-BD9061E1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C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C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CE7"/>
    <w:rPr>
      <w:b/>
      <w:bCs/>
    </w:rPr>
  </w:style>
  <w:style w:type="paragraph" w:styleId="ListParagraph">
    <w:name w:val="List Paragraph"/>
    <w:basedOn w:val="Normal"/>
    <w:uiPriority w:val="34"/>
    <w:qFormat/>
    <w:rsid w:val="009D130F"/>
    <w:pPr>
      <w:ind w:left="720"/>
      <w:contextualSpacing/>
    </w:pPr>
  </w:style>
  <w:style w:type="paragraph" w:styleId="Revision">
    <w:name w:val="Revision"/>
    <w:hidden/>
    <w:uiPriority w:val="99"/>
    <w:semiHidden/>
    <w:rsid w:val="009D130F"/>
    <w:rPr>
      <w:sz w:val="22"/>
    </w:rPr>
  </w:style>
  <w:style w:type="paragraph" w:customStyle="1" w:styleId="CharChar">
    <w:name w:val="Char Char"/>
    <w:basedOn w:val="Normal"/>
    <w:rsid w:val="00A95F46"/>
    <w:pPr>
      <w:spacing w:before="120" w:after="120" w:line="240" w:lineRule="auto"/>
    </w:pPr>
    <w:rPr>
      <w:rFonts w:ascii="Arial" w:eastAsia="Times New Roman" w:hAnsi="Arial" w:cs="Times New Roman"/>
    </w:rPr>
  </w:style>
  <w:style w:type="paragraph" w:customStyle="1" w:styleId="Bullet-level2">
    <w:name w:val="Bullet - level 2"/>
    <w:basedOn w:val="Normal"/>
    <w:rsid w:val="00DC1CA9"/>
    <w:pPr>
      <w:numPr>
        <w:numId w:val="7"/>
      </w:numPr>
      <w:tabs>
        <w:tab w:val="clear" w:pos="360"/>
      </w:tabs>
      <w:spacing w:before="80" w:line="280" w:lineRule="exact"/>
      <w:ind w:left="720" w:right="1106"/>
    </w:pPr>
    <w:rPr>
      <w:rFonts w:ascii="Arial" w:eastAsia="Times New Roman" w:hAnsi="Arial" w:cs="Times New Roman"/>
      <w:sz w:val="20"/>
      <w:lang w:eastAsia="en-AU"/>
    </w:rPr>
  </w:style>
  <w:style w:type="paragraph" w:customStyle="1" w:styleId="Bulletlist-level2">
    <w:name w:val="Bullet list - level 2"/>
    <w:basedOn w:val="Bullet-level2"/>
    <w:qFormat/>
    <w:rsid w:val="00DC1CA9"/>
    <w:pPr>
      <w:spacing w:after="40"/>
      <w:ind w:left="714" w:hanging="357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DC1CA9"/>
    <w:pPr>
      <w:spacing w:before="80" w:after="160" w:line="280" w:lineRule="exact"/>
      <w:ind w:left="709" w:hanging="709"/>
    </w:pPr>
    <w:rPr>
      <w:rFonts w:ascii="Arial" w:eastAsia="Times New Roman" w:hAnsi="Arial" w:cs="Times New Roman"/>
      <w:sz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1CA9"/>
    <w:rPr>
      <w:rFonts w:ascii="Arial" w:eastAsia="Times New Roman" w:hAnsi="Arial" w:cs="Times New Roman"/>
      <w:lang w:eastAsia="en-AU"/>
    </w:rPr>
  </w:style>
  <w:style w:type="paragraph" w:styleId="ListNumber2">
    <w:name w:val="List Number 2"/>
    <w:basedOn w:val="Bulletlist-level2"/>
    <w:uiPriority w:val="99"/>
    <w:unhideWhenUsed/>
    <w:qFormat/>
    <w:rsid w:val="004261CE"/>
    <w:pPr>
      <w:numPr>
        <w:numId w:val="11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61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61FF"/>
    <w:rPr>
      <w:sz w:val="22"/>
    </w:rPr>
  </w:style>
  <w:style w:type="paragraph" w:styleId="ListBullet">
    <w:name w:val="List Bullet"/>
    <w:basedOn w:val="Normal"/>
    <w:uiPriority w:val="99"/>
    <w:unhideWhenUsed/>
    <w:rsid w:val="00A861FF"/>
    <w:pPr>
      <w:numPr>
        <w:numId w:val="18"/>
      </w:numPr>
      <w:spacing w:before="80" w:after="160" w:line="280" w:lineRule="exact"/>
      <w:contextualSpacing/>
    </w:pPr>
    <w:rPr>
      <w:rFonts w:ascii="Arial" w:eastAsia="Times New Roman" w:hAnsi="Arial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229D-88CC-4479-A25E-4291C824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COOK</dc:creator>
  <cp:lastModifiedBy>Savitha NARAYAN</cp:lastModifiedBy>
  <cp:revision>2</cp:revision>
  <cp:lastPrinted>2017-09-06T04:53:00Z</cp:lastPrinted>
  <dcterms:created xsi:type="dcterms:W3CDTF">2017-09-20T07:12:00Z</dcterms:created>
  <dcterms:modified xsi:type="dcterms:W3CDTF">2017-09-20T07:12:00Z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