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B5D4C" w14:textId="59FCDA8C" w:rsidR="005B0E3A" w:rsidRDefault="005B0E3A" w:rsidP="005B0E3A">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75567B" w:rsidRPr="0075567B">
        <w:rPr>
          <w:b/>
          <w:color w:val="000000"/>
          <w:spacing w:val="-1"/>
          <w:sz w:val="28"/>
        </w:rPr>
        <w:t>ASIC Corporations (</w:t>
      </w:r>
      <w:r w:rsidR="00E36D43">
        <w:rPr>
          <w:b/>
          <w:color w:val="000000"/>
          <w:spacing w:val="-1"/>
          <w:sz w:val="28"/>
        </w:rPr>
        <w:t>Mortgage Investment Schemes</w:t>
      </w:r>
      <w:r w:rsidR="0075567B" w:rsidRPr="00B768F9">
        <w:rPr>
          <w:b/>
          <w:color w:val="000000"/>
          <w:spacing w:val="-1"/>
          <w:sz w:val="28"/>
        </w:rPr>
        <w:t>) Instrument 2017</w:t>
      </w:r>
      <w:r w:rsidR="0075567B" w:rsidRPr="008C1547">
        <w:rPr>
          <w:b/>
          <w:color w:val="000000"/>
          <w:spacing w:val="-1"/>
          <w:sz w:val="28"/>
        </w:rPr>
        <w:t>/</w:t>
      </w:r>
      <w:r w:rsidR="00E36D43">
        <w:rPr>
          <w:b/>
          <w:color w:val="000000"/>
          <w:spacing w:val="-1"/>
          <w:sz w:val="28"/>
        </w:rPr>
        <w:t>857</w:t>
      </w:r>
    </w:p>
    <w:p w14:paraId="04A42B07" w14:textId="7B3181C8" w:rsidR="00E36D43" w:rsidRDefault="00E36D43" w:rsidP="005B0E3A">
      <w:pPr>
        <w:spacing w:before="63" w:line="479" w:lineRule="auto"/>
        <w:jc w:val="center"/>
        <w:rPr>
          <w:sz w:val="28"/>
          <w:szCs w:val="28"/>
        </w:rPr>
      </w:pPr>
      <w:r>
        <w:rPr>
          <w:b/>
          <w:color w:val="000000"/>
          <w:spacing w:val="-1"/>
          <w:sz w:val="28"/>
        </w:rPr>
        <w:t>ASIC Corporations (Repeal) Instrument 2017/858</w:t>
      </w:r>
    </w:p>
    <w:p w14:paraId="1DF70AA6" w14:textId="77777777" w:rsidR="005B0E3A" w:rsidRDefault="005B0E3A" w:rsidP="005B0E3A">
      <w:pPr>
        <w:pStyle w:val="BodyText"/>
        <w:jc w:val="center"/>
      </w:pPr>
      <w:r>
        <w:t>Prepared by the Australian Securities and Investments Commission</w:t>
      </w:r>
    </w:p>
    <w:p w14:paraId="29603435" w14:textId="77777777" w:rsidR="005B0E3A" w:rsidRDefault="005B0E3A" w:rsidP="005B0E3A">
      <w:pPr>
        <w:spacing w:before="4" w:line="220" w:lineRule="exact"/>
        <w:jc w:val="center"/>
      </w:pPr>
    </w:p>
    <w:p w14:paraId="6ABFAE0B" w14:textId="77777777" w:rsidR="005B0E3A" w:rsidRDefault="005B0E3A" w:rsidP="005B0E3A">
      <w:pPr>
        <w:jc w:val="center"/>
        <w:rPr>
          <w:sz w:val="24"/>
          <w:szCs w:val="24"/>
        </w:rPr>
      </w:pPr>
      <w:r>
        <w:rPr>
          <w:i/>
          <w:sz w:val="24"/>
        </w:rPr>
        <w:t>Corporations Act 2001</w:t>
      </w:r>
    </w:p>
    <w:p w14:paraId="5684BF33" w14:textId="77777777" w:rsidR="005B0E3A" w:rsidRDefault="005B0E3A" w:rsidP="005B0E3A">
      <w:pPr>
        <w:spacing w:before="3" w:line="220" w:lineRule="exact"/>
      </w:pPr>
    </w:p>
    <w:p w14:paraId="364AD887" w14:textId="2DB3CF0E" w:rsidR="00F96499" w:rsidRDefault="005B0E3A" w:rsidP="005B0E3A">
      <w:pPr>
        <w:pStyle w:val="BodyText"/>
        <w:spacing w:line="261" w:lineRule="auto"/>
        <w:rPr>
          <w:color w:val="000000" w:themeColor="text1"/>
          <w:spacing w:val="-1"/>
          <w:szCs w:val="24"/>
        </w:rPr>
      </w:pPr>
      <w:r w:rsidRPr="006B260C">
        <w:rPr>
          <w:color w:val="000000" w:themeColor="text1"/>
          <w:szCs w:val="24"/>
        </w:rPr>
        <w:t xml:space="preserve">The Australian Securities and </w:t>
      </w:r>
      <w:r w:rsidRPr="006B260C">
        <w:rPr>
          <w:color w:val="000000" w:themeColor="text1"/>
          <w:spacing w:val="-1"/>
          <w:szCs w:val="24"/>
        </w:rPr>
        <w:t>Investments</w:t>
      </w:r>
      <w:r w:rsidRPr="006B260C">
        <w:rPr>
          <w:color w:val="000000" w:themeColor="text1"/>
          <w:szCs w:val="24"/>
        </w:rPr>
        <w:t xml:space="preserve"> </w:t>
      </w:r>
      <w:r w:rsidRPr="006B260C">
        <w:rPr>
          <w:color w:val="000000" w:themeColor="text1"/>
          <w:spacing w:val="-1"/>
          <w:szCs w:val="24"/>
        </w:rPr>
        <w:t>Commission</w:t>
      </w:r>
      <w:r w:rsidRPr="006B260C">
        <w:rPr>
          <w:color w:val="000000" w:themeColor="text1"/>
          <w:szCs w:val="24"/>
        </w:rPr>
        <w:t xml:space="preserve"> (ASIC) </w:t>
      </w:r>
      <w:r w:rsidRPr="006B260C">
        <w:rPr>
          <w:color w:val="000000" w:themeColor="text1"/>
          <w:spacing w:val="-1"/>
          <w:szCs w:val="24"/>
        </w:rPr>
        <w:t>makes</w:t>
      </w:r>
      <w:r w:rsidRPr="006B260C">
        <w:rPr>
          <w:color w:val="000000" w:themeColor="text1"/>
          <w:szCs w:val="24"/>
        </w:rPr>
        <w:t xml:space="preserve"> </w:t>
      </w:r>
      <w:r w:rsidR="00F96499" w:rsidRPr="001A6684">
        <w:rPr>
          <w:i/>
          <w:color w:val="000000" w:themeColor="text1"/>
          <w:szCs w:val="24"/>
        </w:rPr>
        <w:t>ASIC Corporations (Mortgage Investment Schemes) Instrument 2017/857</w:t>
      </w:r>
      <w:r w:rsidR="00F96499">
        <w:rPr>
          <w:color w:val="000000" w:themeColor="text1"/>
          <w:szCs w:val="24"/>
        </w:rPr>
        <w:t xml:space="preserve"> (the </w:t>
      </w:r>
      <w:r w:rsidR="00F96499">
        <w:rPr>
          <w:b/>
          <w:color w:val="000000" w:themeColor="text1"/>
          <w:szCs w:val="24"/>
        </w:rPr>
        <w:t xml:space="preserve">principal </w:t>
      </w:r>
      <w:r w:rsidR="00F96499" w:rsidRPr="00E02A92">
        <w:rPr>
          <w:b/>
          <w:color w:val="000000" w:themeColor="text1"/>
          <w:szCs w:val="24"/>
        </w:rPr>
        <w:t>instrument</w:t>
      </w:r>
      <w:r w:rsidR="00F96499">
        <w:rPr>
          <w:color w:val="000000" w:themeColor="text1"/>
          <w:szCs w:val="24"/>
        </w:rPr>
        <w:t xml:space="preserve">) </w:t>
      </w:r>
      <w:r w:rsidR="00F96499" w:rsidRPr="00E02A92">
        <w:rPr>
          <w:color w:val="000000" w:themeColor="text1"/>
          <w:szCs w:val="24"/>
        </w:rPr>
        <w:t>under</w:t>
      </w:r>
      <w:r w:rsidR="00F96499">
        <w:rPr>
          <w:color w:val="000000" w:themeColor="text1"/>
          <w:szCs w:val="24"/>
        </w:rPr>
        <w:t xml:space="preserve"> subsections 601QA(1), 926A(2), 992B(1) and 1020F(1) </w:t>
      </w:r>
      <w:r w:rsidR="00F67F0E" w:rsidRPr="006B260C">
        <w:rPr>
          <w:color w:val="000000" w:themeColor="text1"/>
          <w:szCs w:val="24"/>
        </w:rPr>
        <w:t>of the</w:t>
      </w:r>
      <w:r w:rsidR="00F67F0E" w:rsidRPr="006B260C">
        <w:rPr>
          <w:i/>
          <w:color w:val="000000" w:themeColor="text1"/>
          <w:szCs w:val="24"/>
        </w:rPr>
        <w:t xml:space="preserve"> Corporations Act 2001</w:t>
      </w:r>
      <w:r w:rsidR="00F67F0E" w:rsidRPr="006B260C">
        <w:rPr>
          <w:color w:val="000000" w:themeColor="text1"/>
          <w:szCs w:val="24"/>
        </w:rPr>
        <w:t xml:space="preserve"> (the Act)</w:t>
      </w:r>
      <w:r w:rsidRPr="006B260C">
        <w:rPr>
          <w:color w:val="000000" w:themeColor="text1"/>
          <w:spacing w:val="-1"/>
          <w:szCs w:val="24"/>
        </w:rPr>
        <w:t>.</w:t>
      </w:r>
    </w:p>
    <w:p w14:paraId="1ABFD011" w14:textId="5E2508E8" w:rsidR="00F96499" w:rsidRDefault="00F96499" w:rsidP="005B0E3A">
      <w:pPr>
        <w:pStyle w:val="BodyText"/>
        <w:spacing w:line="261" w:lineRule="auto"/>
        <w:rPr>
          <w:szCs w:val="24"/>
        </w:rPr>
      </w:pPr>
      <w:r>
        <w:rPr>
          <w:color w:val="000000" w:themeColor="text1"/>
          <w:spacing w:val="-1"/>
          <w:szCs w:val="24"/>
        </w:rPr>
        <w:t xml:space="preserve">ASIC makes </w:t>
      </w:r>
      <w:r w:rsidRPr="001A6684">
        <w:rPr>
          <w:i/>
          <w:color w:val="000000" w:themeColor="text1"/>
          <w:spacing w:val="-1"/>
          <w:szCs w:val="24"/>
        </w:rPr>
        <w:t>ASIC Corporations (Repeal) Instrument 2017/858</w:t>
      </w:r>
      <w:r>
        <w:rPr>
          <w:i/>
          <w:color w:val="000000" w:themeColor="text1"/>
          <w:spacing w:val="-1"/>
          <w:szCs w:val="24"/>
        </w:rPr>
        <w:t xml:space="preserve"> </w:t>
      </w:r>
      <w:r w:rsidR="00504586">
        <w:rPr>
          <w:color w:val="000000" w:themeColor="text1"/>
          <w:spacing w:val="-1"/>
          <w:szCs w:val="24"/>
        </w:rPr>
        <w:t xml:space="preserve">(the </w:t>
      </w:r>
      <w:r w:rsidR="00504586">
        <w:rPr>
          <w:b/>
          <w:color w:val="000000" w:themeColor="text1"/>
          <w:spacing w:val="-1"/>
          <w:szCs w:val="24"/>
        </w:rPr>
        <w:t>repeal</w:t>
      </w:r>
      <w:r w:rsidR="00A73E77">
        <w:rPr>
          <w:b/>
          <w:color w:val="000000" w:themeColor="text1"/>
          <w:spacing w:val="-1"/>
          <w:szCs w:val="24"/>
        </w:rPr>
        <w:t xml:space="preserve">ing </w:t>
      </w:r>
      <w:r w:rsidR="00504586" w:rsidRPr="00E02A92">
        <w:rPr>
          <w:b/>
          <w:color w:val="000000" w:themeColor="text1"/>
          <w:spacing w:val="-1"/>
          <w:szCs w:val="24"/>
        </w:rPr>
        <w:t>instrument</w:t>
      </w:r>
      <w:r w:rsidR="00504586">
        <w:rPr>
          <w:color w:val="000000" w:themeColor="text1"/>
          <w:spacing w:val="-1"/>
          <w:szCs w:val="24"/>
        </w:rPr>
        <w:t xml:space="preserve">) </w:t>
      </w:r>
      <w:r w:rsidRPr="00E02A92">
        <w:rPr>
          <w:color w:val="000000" w:themeColor="text1"/>
          <w:spacing w:val="-1"/>
          <w:szCs w:val="24"/>
        </w:rPr>
        <w:t>under</w:t>
      </w:r>
      <w:r>
        <w:rPr>
          <w:color w:val="000000" w:themeColor="text1"/>
          <w:spacing w:val="-1"/>
          <w:szCs w:val="24"/>
        </w:rPr>
        <w:t xml:space="preserve"> </w:t>
      </w:r>
      <w:r>
        <w:rPr>
          <w:szCs w:val="24"/>
        </w:rPr>
        <w:t>paragraphs</w:t>
      </w:r>
      <w:r w:rsidRPr="00337997">
        <w:rPr>
          <w:szCs w:val="24"/>
        </w:rPr>
        <w:t xml:space="preserve"> </w:t>
      </w:r>
      <w:r w:rsidR="009B1D64" w:rsidRPr="009B1D64">
        <w:rPr>
          <w:szCs w:val="24"/>
        </w:rPr>
        <w:t xml:space="preserve">601QA(1)(a), 601QA(1)(b), 911A(2)(l), 992B(1)(a) and 1020F(1)(a) </w:t>
      </w:r>
      <w:r w:rsidRPr="00337997">
        <w:rPr>
          <w:szCs w:val="24"/>
        </w:rPr>
        <w:t xml:space="preserve">of the </w:t>
      </w:r>
      <w:r w:rsidRPr="001A6684">
        <w:rPr>
          <w:szCs w:val="24"/>
        </w:rPr>
        <w:t>Act.</w:t>
      </w:r>
    </w:p>
    <w:p w14:paraId="5E42BC18" w14:textId="479C1B9F" w:rsidR="003F0975" w:rsidRDefault="003F0975" w:rsidP="001828F9">
      <w:pPr>
        <w:pStyle w:val="BodyText"/>
        <w:spacing w:line="261" w:lineRule="auto"/>
      </w:pPr>
      <w:r w:rsidRPr="009B4C92">
        <w:t>S</w:t>
      </w:r>
      <w:r>
        <w:t>ubs</w:t>
      </w:r>
      <w:r w:rsidRPr="009B4C92">
        <w:t xml:space="preserve">ection </w:t>
      </w:r>
      <w:r>
        <w:rPr>
          <w:spacing w:val="-1"/>
        </w:rPr>
        <w:t>601QA(1)</w:t>
      </w:r>
      <w:r w:rsidRPr="009B4C92">
        <w:rPr>
          <w:spacing w:val="-1"/>
        </w:rPr>
        <w:t xml:space="preserve"> </w:t>
      </w:r>
      <w:r w:rsidRPr="009B4C92">
        <w:t>provides that ASIC may</w:t>
      </w:r>
      <w:r w:rsidRPr="009B4C92">
        <w:rPr>
          <w:spacing w:val="-1"/>
        </w:rPr>
        <w:t xml:space="preserve"> </w:t>
      </w:r>
      <w:r>
        <w:t>exempt a person from a provision of Chapter 5C of the Act or declare that Chapter 5C of the Act applies to a person as if specified provisions were omitted, modified or varied as specified in the declaration</w:t>
      </w:r>
      <w:r w:rsidRPr="009B4C92">
        <w:t>.</w:t>
      </w:r>
    </w:p>
    <w:p w14:paraId="5073361D" w14:textId="091AA0CF" w:rsidR="001828F9" w:rsidRDefault="001828F9" w:rsidP="001828F9">
      <w:pPr>
        <w:pStyle w:val="BodyText"/>
        <w:spacing w:line="261" w:lineRule="auto"/>
      </w:pPr>
      <w:r>
        <w:t>Subsection 926A(2) provides that ASIC may exempt a person from a provision of Part 7.6 (other than Divisions 4 and 8) of the Act or declare that Part 7.6 (other than Divisions 4 and 8) applies to a person as if specified provisions were omitted, modified or varied as specified in the declaration.</w:t>
      </w:r>
    </w:p>
    <w:p w14:paraId="6EEFDA1D" w14:textId="2582B4F8" w:rsidR="001828F9" w:rsidRDefault="001828F9" w:rsidP="001828F9">
      <w:pPr>
        <w:pStyle w:val="BodyText"/>
        <w:spacing w:line="261" w:lineRule="auto"/>
      </w:pPr>
      <w:r>
        <w:t>Subsection 992B(1) provides that ASIC may exempt a person from a provision of Part 7.8 of the Act or declare that Part 7.8 of the Act applies to a person as if specified provisions were omitted, modified or varied as specified in the declaration.</w:t>
      </w:r>
    </w:p>
    <w:p w14:paraId="3A3A5E4F" w14:textId="77777777" w:rsidR="003F0975" w:rsidRDefault="003F0975" w:rsidP="001828F9">
      <w:pPr>
        <w:pStyle w:val="BodyText"/>
        <w:spacing w:line="261" w:lineRule="auto"/>
      </w:pPr>
      <w:r w:rsidRPr="003F0975">
        <w:t xml:space="preserve">Paragraph 911A(2)(l) provides that ASIC may exempt a person from the requirement to hold an Australian financial services licence for a financial service they provide. This is done by granting an exemption in writing and publishing it in the </w:t>
      </w:r>
      <w:r w:rsidRPr="001A6684">
        <w:rPr>
          <w:i/>
        </w:rPr>
        <w:t>Gazette</w:t>
      </w:r>
      <w:r w:rsidRPr="003F0975">
        <w:t>.</w:t>
      </w:r>
    </w:p>
    <w:p w14:paraId="028F73BD" w14:textId="2596616A" w:rsidR="001828F9" w:rsidRDefault="001828F9" w:rsidP="001828F9">
      <w:pPr>
        <w:pStyle w:val="BodyText"/>
        <w:spacing w:line="261" w:lineRule="auto"/>
      </w:pPr>
      <w:r>
        <w:t>Subsection 1020F(1) provides that ASIC may exempt a person from a provision of Part 7.9 of the Act or declare that Part 7.9 of the Act applies to a person as if specified provisions were omitted, modified or varied as specified in the declaration.</w:t>
      </w:r>
    </w:p>
    <w:p w14:paraId="7BA1E21D" w14:textId="12037614" w:rsidR="00A4207E" w:rsidRPr="006B260C" w:rsidRDefault="00AA551A" w:rsidP="005B0E3A">
      <w:pPr>
        <w:pStyle w:val="BodyText"/>
        <w:spacing w:line="261" w:lineRule="auto"/>
        <w:rPr>
          <w:color w:val="000000" w:themeColor="text1"/>
          <w:spacing w:val="-1"/>
          <w:szCs w:val="24"/>
        </w:rPr>
      </w:pPr>
      <w:r w:rsidRPr="00AA551A">
        <w:rPr>
          <w:color w:val="000000" w:themeColor="text1"/>
          <w:spacing w:val="-1"/>
          <w:szCs w:val="24"/>
        </w:rPr>
        <w:t xml:space="preserve">Under subsection 33(3) of the </w:t>
      </w:r>
      <w:r w:rsidRPr="001A6684">
        <w:rPr>
          <w:i/>
          <w:color w:val="000000" w:themeColor="text1"/>
          <w:spacing w:val="-1"/>
          <w:szCs w:val="24"/>
        </w:rPr>
        <w:t>Acts Interpretation Act 1901</w:t>
      </w:r>
      <w:r w:rsidRPr="00AA551A">
        <w:rPr>
          <w:color w:val="000000" w:themeColor="text1"/>
          <w:spacing w:val="-1"/>
          <w:szCs w:val="24"/>
        </w:rPr>
        <w:t xml:space="preserve"> (as in force as at 1 January 2005 and as applicable to the relevant powers because of section 5C of the </w:t>
      </w:r>
      <w:r w:rsidRPr="00AA551A">
        <w:rPr>
          <w:color w:val="000000" w:themeColor="text1"/>
          <w:spacing w:val="-1"/>
          <w:szCs w:val="24"/>
        </w:rPr>
        <w:lastRenderedPageBreak/>
        <w:t>Corporations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r w:rsidR="00320B8F" w:rsidRPr="006B260C">
        <w:rPr>
          <w:color w:val="000000"/>
          <w:szCs w:val="24"/>
        </w:rPr>
        <w:t>.</w:t>
      </w:r>
    </w:p>
    <w:p w14:paraId="3AC76EC8" w14:textId="734382D2" w:rsidR="00501B52" w:rsidRPr="006B260C" w:rsidRDefault="00501B52" w:rsidP="00795F68">
      <w:pPr>
        <w:pStyle w:val="BodyText"/>
        <w:spacing w:line="261" w:lineRule="auto"/>
        <w:rPr>
          <w:color w:val="000000" w:themeColor="text1"/>
          <w:szCs w:val="24"/>
        </w:rPr>
      </w:pPr>
    </w:p>
    <w:p w14:paraId="3326FF4C" w14:textId="77777777" w:rsidR="005B0E3A" w:rsidRPr="006B260C" w:rsidRDefault="005B0E3A" w:rsidP="005B0E3A">
      <w:pPr>
        <w:widowControl w:val="0"/>
        <w:numPr>
          <w:ilvl w:val="0"/>
          <w:numId w:val="7"/>
        </w:numPr>
        <w:tabs>
          <w:tab w:val="left" w:pos="1592"/>
        </w:tabs>
        <w:spacing w:before="145" w:after="0"/>
        <w:ind w:left="0" w:firstLine="0"/>
        <w:rPr>
          <w:rFonts w:eastAsia="Arial"/>
          <w:sz w:val="24"/>
          <w:szCs w:val="24"/>
        </w:rPr>
      </w:pPr>
      <w:bookmarkStart w:id="0" w:name="1._Background"/>
      <w:bookmarkEnd w:id="0"/>
      <w:r w:rsidRPr="006B260C">
        <w:rPr>
          <w:b/>
          <w:spacing w:val="-1"/>
          <w:sz w:val="24"/>
          <w:szCs w:val="24"/>
        </w:rPr>
        <w:t>Background</w:t>
      </w:r>
    </w:p>
    <w:p w14:paraId="7A1CE757" w14:textId="77777777" w:rsidR="005B0E3A" w:rsidRPr="006B260C" w:rsidRDefault="005B0E3A" w:rsidP="005B0E3A">
      <w:pPr>
        <w:spacing w:before="4" w:line="220" w:lineRule="exact"/>
        <w:rPr>
          <w:sz w:val="24"/>
          <w:szCs w:val="24"/>
        </w:rPr>
      </w:pPr>
    </w:p>
    <w:p w14:paraId="2B5FDDCD" w14:textId="3C8EA55C" w:rsidR="006D6301" w:rsidRDefault="006D6301" w:rsidP="001231FC">
      <w:pPr>
        <w:pStyle w:val="BodyText"/>
        <w:spacing w:before="199"/>
        <w:rPr>
          <w:szCs w:val="24"/>
        </w:rPr>
      </w:pPr>
      <w:r>
        <w:rPr>
          <w:b/>
          <w:szCs w:val="24"/>
          <w:u w:val="single"/>
        </w:rPr>
        <w:t>Remake of ASIC Class Order [CO 02/238]</w:t>
      </w:r>
    </w:p>
    <w:p w14:paraId="460A7392" w14:textId="402F255A" w:rsidR="00504586" w:rsidRDefault="00504586" w:rsidP="001231FC">
      <w:pPr>
        <w:pStyle w:val="BodyText"/>
        <w:spacing w:before="199"/>
        <w:rPr>
          <w:szCs w:val="24"/>
        </w:rPr>
      </w:pPr>
      <w:r>
        <w:rPr>
          <w:szCs w:val="24"/>
        </w:rPr>
        <w:t xml:space="preserve">The principal instrument </w:t>
      </w:r>
      <w:r w:rsidR="00E355CB">
        <w:rPr>
          <w:szCs w:val="24"/>
        </w:rPr>
        <w:t xml:space="preserve">remakes with changes </w:t>
      </w:r>
      <w:r>
        <w:rPr>
          <w:szCs w:val="24"/>
        </w:rPr>
        <w:t>relief previously given by ASIC Class Order [CO 02/238]</w:t>
      </w:r>
      <w:r w:rsidR="00473D37">
        <w:rPr>
          <w:szCs w:val="24"/>
        </w:rPr>
        <w:t xml:space="preserve"> </w:t>
      </w:r>
      <w:r w:rsidR="00473D37">
        <w:rPr>
          <w:i/>
          <w:szCs w:val="24"/>
        </w:rPr>
        <w:t>Mortgage schemes: Ch</w:t>
      </w:r>
      <w:r w:rsidR="00451E4B">
        <w:rPr>
          <w:i/>
          <w:szCs w:val="24"/>
        </w:rPr>
        <w:t>apter</w:t>
      </w:r>
      <w:r w:rsidR="00473D37">
        <w:rPr>
          <w:i/>
          <w:szCs w:val="24"/>
        </w:rPr>
        <w:t xml:space="preserve"> 5C and disclosure relief</w:t>
      </w:r>
      <w:r>
        <w:rPr>
          <w:szCs w:val="24"/>
        </w:rPr>
        <w:t xml:space="preserve"> (</w:t>
      </w:r>
      <w:r>
        <w:rPr>
          <w:b/>
          <w:szCs w:val="24"/>
        </w:rPr>
        <w:t>[CO 02/238]</w:t>
      </w:r>
      <w:r>
        <w:rPr>
          <w:szCs w:val="24"/>
        </w:rPr>
        <w:t>), which was due to expire ('sunset') on 1 October 2017.</w:t>
      </w:r>
    </w:p>
    <w:p w14:paraId="1F2F0FFC" w14:textId="7D607DE6" w:rsidR="00C4759F" w:rsidRDefault="00473D37" w:rsidP="00473D37">
      <w:pPr>
        <w:pStyle w:val="BodyText"/>
        <w:spacing w:before="199"/>
        <w:rPr>
          <w:szCs w:val="24"/>
        </w:rPr>
      </w:pPr>
      <w:r w:rsidRPr="00473D37">
        <w:rPr>
          <w:szCs w:val="24"/>
        </w:rPr>
        <w:t>[CO 02/238] provide</w:t>
      </w:r>
      <w:r>
        <w:rPr>
          <w:szCs w:val="24"/>
        </w:rPr>
        <w:t>d</w:t>
      </w:r>
      <w:r w:rsidR="00C4759F">
        <w:rPr>
          <w:szCs w:val="24"/>
        </w:rPr>
        <w:t xml:space="preserve"> the following </w:t>
      </w:r>
      <w:r w:rsidR="00010DEF">
        <w:rPr>
          <w:szCs w:val="24"/>
        </w:rPr>
        <w:t xml:space="preserve">types of </w:t>
      </w:r>
      <w:r>
        <w:rPr>
          <w:szCs w:val="24"/>
        </w:rPr>
        <w:t>relief in relation to</w:t>
      </w:r>
      <w:r w:rsidR="00C4759F">
        <w:rPr>
          <w:szCs w:val="24"/>
        </w:rPr>
        <w:t xml:space="preserve"> managed investment schemes, the only investments of which were mortgages over real estate and deposits with Australian ADIs</w:t>
      </w:r>
      <w:r w:rsidR="00E355CB">
        <w:rPr>
          <w:szCs w:val="24"/>
        </w:rPr>
        <w:t xml:space="preserve"> (</w:t>
      </w:r>
      <w:r w:rsidR="00E355CB" w:rsidRPr="00E355CB">
        <w:rPr>
          <w:b/>
          <w:szCs w:val="24"/>
        </w:rPr>
        <w:t>mortgage investment schemes</w:t>
      </w:r>
      <w:r w:rsidR="00E355CB">
        <w:rPr>
          <w:szCs w:val="24"/>
        </w:rPr>
        <w:t>)</w:t>
      </w:r>
      <w:r w:rsidR="00C4759F">
        <w:rPr>
          <w:szCs w:val="24"/>
        </w:rPr>
        <w:t>:</w:t>
      </w:r>
    </w:p>
    <w:p w14:paraId="19A66E32" w14:textId="23596453" w:rsidR="00C4759F" w:rsidRDefault="00473D37" w:rsidP="001A6684">
      <w:pPr>
        <w:pStyle w:val="BodyText"/>
        <w:numPr>
          <w:ilvl w:val="0"/>
          <w:numId w:val="20"/>
        </w:numPr>
        <w:tabs>
          <w:tab w:val="clear" w:pos="680"/>
          <w:tab w:val="left" w:pos="709"/>
        </w:tabs>
        <w:spacing w:before="199"/>
        <w:rPr>
          <w:szCs w:val="24"/>
        </w:rPr>
      </w:pPr>
      <w:r w:rsidRPr="00473D37">
        <w:rPr>
          <w:szCs w:val="24"/>
        </w:rPr>
        <w:t>registration, Australian financial services (AFS) licensing</w:t>
      </w:r>
      <w:r w:rsidR="00DB27E6">
        <w:rPr>
          <w:szCs w:val="24"/>
        </w:rPr>
        <w:t>, hawking and</w:t>
      </w:r>
      <w:r w:rsidRPr="00473D37">
        <w:rPr>
          <w:szCs w:val="24"/>
        </w:rPr>
        <w:t xml:space="preserve"> </w:t>
      </w:r>
      <w:r w:rsidR="00010DEF">
        <w:rPr>
          <w:szCs w:val="24"/>
        </w:rPr>
        <w:t xml:space="preserve">disclosure relief </w:t>
      </w:r>
      <w:r w:rsidRPr="00473D37">
        <w:rPr>
          <w:szCs w:val="24"/>
        </w:rPr>
        <w:t>for small-scale schemes with no more than 20 members;</w:t>
      </w:r>
    </w:p>
    <w:p w14:paraId="66A23E24" w14:textId="77777777" w:rsidR="00010DEF" w:rsidRDefault="00473D37" w:rsidP="001A6684">
      <w:pPr>
        <w:pStyle w:val="BodyText"/>
        <w:numPr>
          <w:ilvl w:val="0"/>
          <w:numId w:val="20"/>
        </w:numPr>
        <w:tabs>
          <w:tab w:val="clear" w:pos="680"/>
          <w:tab w:val="left" w:pos="709"/>
        </w:tabs>
        <w:spacing w:before="199"/>
        <w:rPr>
          <w:szCs w:val="24"/>
        </w:rPr>
      </w:pPr>
      <w:r w:rsidRPr="00E02A92">
        <w:rPr>
          <w:szCs w:val="24"/>
        </w:rPr>
        <w:t>registration relief in relation to individual mortgages in a scheme</w:t>
      </w:r>
      <w:r w:rsidR="00C4759F">
        <w:rPr>
          <w:szCs w:val="24"/>
        </w:rPr>
        <w:t>;</w:t>
      </w:r>
    </w:p>
    <w:p w14:paraId="4F859FA6" w14:textId="77777777" w:rsidR="00010DEF" w:rsidRDefault="00473D37" w:rsidP="001A6684">
      <w:pPr>
        <w:pStyle w:val="BodyText"/>
        <w:numPr>
          <w:ilvl w:val="0"/>
          <w:numId w:val="20"/>
        </w:numPr>
        <w:tabs>
          <w:tab w:val="clear" w:pos="680"/>
          <w:tab w:val="left" w:pos="709"/>
        </w:tabs>
        <w:spacing w:before="199"/>
        <w:rPr>
          <w:szCs w:val="24"/>
        </w:rPr>
      </w:pPr>
      <w:r w:rsidRPr="00E02A92">
        <w:rPr>
          <w:szCs w:val="24"/>
        </w:rPr>
        <w:t>registration relief for smal</w:t>
      </w:r>
      <w:r w:rsidR="00010DEF" w:rsidRPr="00E02A92">
        <w:rPr>
          <w:szCs w:val="24"/>
        </w:rPr>
        <w:t>l ‘industry-supervised’ schemes</w:t>
      </w:r>
      <w:r w:rsidR="00010DEF">
        <w:rPr>
          <w:szCs w:val="24"/>
        </w:rPr>
        <w:t>;</w:t>
      </w:r>
    </w:p>
    <w:p w14:paraId="29C46C55" w14:textId="77777777" w:rsidR="00010DEF" w:rsidRDefault="00473D37" w:rsidP="001A6684">
      <w:pPr>
        <w:pStyle w:val="BodyText"/>
        <w:numPr>
          <w:ilvl w:val="0"/>
          <w:numId w:val="20"/>
        </w:numPr>
        <w:tabs>
          <w:tab w:val="clear" w:pos="680"/>
          <w:tab w:val="left" w:pos="709"/>
        </w:tabs>
        <w:spacing w:before="199"/>
        <w:rPr>
          <w:szCs w:val="24"/>
        </w:rPr>
      </w:pPr>
      <w:r w:rsidRPr="00E02A92">
        <w:rPr>
          <w:szCs w:val="24"/>
        </w:rPr>
        <w:t xml:space="preserve"> transitional registration relief for ‘run-out’ schemes</w:t>
      </w:r>
      <w:r w:rsidR="00010DEF" w:rsidRPr="00E02A92">
        <w:rPr>
          <w:szCs w:val="24"/>
        </w:rPr>
        <w:t>;</w:t>
      </w:r>
      <w:r w:rsidR="00010DEF">
        <w:rPr>
          <w:szCs w:val="24"/>
        </w:rPr>
        <w:t xml:space="preserve"> and </w:t>
      </w:r>
    </w:p>
    <w:p w14:paraId="4A838801" w14:textId="77777777" w:rsidR="00464FD1" w:rsidRDefault="00473D37" w:rsidP="001A6684">
      <w:pPr>
        <w:pStyle w:val="BodyText"/>
        <w:numPr>
          <w:ilvl w:val="0"/>
          <w:numId w:val="20"/>
        </w:numPr>
        <w:tabs>
          <w:tab w:val="clear" w:pos="680"/>
          <w:tab w:val="left" w:pos="709"/>
        </w:tabs>
        <w:spacing w:before="199"/>
        <w:rPr>
          <w:szCs w:val="24"/>
        </w:rPr>
      </w:pPr>
      <w:r w:rsidRPr="00E02A92">
        <w:rPr>
          <w:szCs w:val="24"/>
        </w:rPr>
        <w:t>withdrawal relief for individual mortgages in a scheme</w:t>
      </w:r>
      <w:r w:rsidR="00010DEF">
        <w:rPr>
          <w:szCs w:val="24"/>
        </w:rPr>
        <w:t>.</w:t>
      </w:r>
    </w:p>
    <w:p w14:paraId="21531683" w14:textId="1D7E0B70" w:rsidR="00464FD1" w:rsidRPr="00E02A92" w:rsidRDefault="00464FD1" w:rsidP="001A6684">
      <w:pPr>
        <w:pStyle w:val="BodyText"/>
        <w:tabs>
          <w:tab w:val="clear" w:pos="680"/>
          <w:tab w:val="left" w:pos="709"/>
        </w:tabs>
        <w:spacing w:before="199"/>
        <w:rPr>
          <w:szCs w:val="24"/>
        </w:rPr>
      </w:pPr>
      <w:r w:rsidRPr="001A6684">
        <w:rPr>
          <w:b/>
          <w:spacing w:val="-1"/>
          <w:szCs w:val="24"/>
        </w:rPr>
        <w:t xml:space="preserve">Schemes with no more than 20 </w:t>
      </w:r>
      <w:r w:rsidR="00986FF9">
        <w:rPr>
          <w:b/>
          <w:spacing w:val="-1"/>
          <w:szCs w:val="24"/>
        </w:rPr>
        <w:t>investors</w:t>
      </w:r>
    </w:p>
    <w:p w14:paraId="0B936E7E" w14:textId="19149A81" w:rsidR="00464FD1" w:rsidRDefault="00464FD1" w:rsidP="001A6684">
      <w:pPr>
        <w:pStyle w:val="BodyText"/>
        <w:tabs>
          <w:tab w:val="clear" w:pos="567"/>
          <w:tab w:val="clear" w:pos="680"/>
        </w:tabs>
        <w:overflowPunct/>
        <w:autoSpaceDE/>
        <w:autoSpaceDN/>
        <w:adjustRightInd/>
        <w:textAlignment w:val="auto"/>
      </w:pPr>
      <w:bookmarkStart w:id="1" w:name="_Ref482880475"/>
      <w:r w:rsidRPr="00612FFB">
        <w:t>[CO 02/238] exempt</w:t>
      </w:r>
      <w:r>
        <w:t>ed</w:t>
      </w:r>
      <w:r w:rsidRPr="00612FFB">
        <w:t xml:space="preserve"> operators of certain small-scale </w:t>
      </w:r>
      <w:r w:rsidRPr="00F9515D">
        <w:t>mortgage investment schemes</w:t>
      </w:r>
      <w:r>
        <w:t xml:space="preserve"> with no more than 20 members from the requirements under the  Act to register a scheme, hold an AFS licence, or give Product Disclosure Statement (PDS) disclosure. Section 2 also </w:t>
      </w:r>
      <w:r w:rsidR="00DB27E6">
        <w:t xml:space="preserve">provided </w:t>
      </w:r>
      <w:r>
        <w:t>relief to persons other than the operator</w:t>
      </w:r>
      <w:r w:rsidR="00DB27E6">
        <w:t>, and hawking relief</w:t>
      </w:r>
      <w:r>
        <w:t>.</w:t>
      </w:r>
      <w:bookmarkEnd w:id="1"/>
    </w:p>
    <w:p w14:paraId="32029584" w14:textId="1523E75E" w:rsidR="00464FD1" w:rsidRPr="00612FFB" w:rsidRDefault="00464FD1" w:rsidP="001A6684">
      <w:pPr>
        <w:pStyle w:val="BodyText"/>
        <w:tabs>
          <w:tab w:val="clear" w:pos="567"/>
          <w:tab w:val="clear" w:pos="680"/>
        </w:tabs>
        <w:overflowPunct/>
        <w:autoSpaceDE/>
        <w:autoSpaceDN/>
        <w:adjustRightInd/>
        <w:textAlignment w:val="auto"/>
      </w:pPr>
      <w:r>
        <w:t>The requirement under s</w:t>
      </w:r>
      <w:r w:rsidR="0020591A">
        <w:t xml:space="preserve">ection </w:t>
      </w:r>
      <w:r>
        <w:t xml:space="preserve">601ED of the Act to register a scheme would generally not apply if the operator of a scheme with no more than 20 members was not in the business of promoting managed investment schemes. However, if the view is taken that there is a separate scheme for each mortgage entered into under a scheme promoted by an </w:t>
      </w:r>
      <w:r w:rsidRPr="00612FFB">
        <w:t xml:space="preserve">operator, and there are several mortgages made from time to time, the operator’s activities might be regarded as carrying on a business of promoting managed investment schemes for the purposes of </w:t>
      </w:r>
      <w:r w:rsidR="0020591A">
        <w:t xml:space="preserve">paragraph </w:t>
      </w:r>
      <w:r w:rsidRPr="00612FFB">
        <w:t xml:space="preserve">601ED(1)(b). </w:t>
      </w:r>
      <w:r w:rsidR="00222176">
        <w:t xml:space="preserve">Relief was </w:t>
      </w:r>
      <w:r w:rsidRPr="00612FFB">
        <w:t xml:space="preserve">granted to ensure that in this situation the </w:t>
      </w:r>
      <w:r w:rsidRPr="00F9515D">
        <w:t>mortgage investment scheme</w:t>
      </w:r>
      <w:r w:rsidRPr="00612FFB">
        <w:t xml:space="preserve"> does not need to be registered. </w:t>
      </w:r>
    </w:p>
    <w:p w14:paraId="282EB635" w14:textId="1D6FBC0B" w:rsidR="00464FD1" w:rsidRDefault="00464FD1" w:rsidP="001A6684">
      <w:pPr>
        <w:pStyle w:val="BodyText"/>
        <w:tabs>
          <w:tab w:val="clear" w:pos="567"/>
          <w:tab w:val="clear" w:pos="680"/>
        </w:tabs>
        <w:overflowPunct/>
        <w:autoSpaceDE/>
        <w:autoSpaceDN/>
        <w:adjustRightInd/>
        <w:textAlignment w:val="auto"/>
      </w:pPr>
      <w:bookmarkStart w:id="2" w:name="_Ref482880481"/>
      <w:r w:rsidRPr="00612FFB">
        <w:t xml:space="preserve">The AFS licensing and PDS relief reflect the position under </w:t>
      </w:r>
      <w:r w:rsidR="0020591A">
        <w:t xml:space="preserve">paragraph </w:t>
      </w:r>
      <w:r w:rsidRPr="00612FFB">
        <w:t>765A(</w:t>
      </w:r>
      <w:r>
        <w:t xml:space="preserve">1)(s) of the Corporations Act that an interest in a scheme with no more than 20 members, and which is not promoted by a person in the business of promoting managed investment </w:t>
      </w:r>
      <w:r>
        <w:lastRenderedPageBreak/>
        <w:t>schemes, is not a financial product (unless subject to a determination under s</w:t>
      </w:r>
      <w:r w:rsidR="0020591A">
        <w:t xml:space="preserve">ubsection </w:t>
      </w:r>
      <w:r>
        <w:t>601ED(3) of the Corporations Act).</w:t>
      </w:r>
      <w:bookmarkEnd w:id="2"/>
    </w:p>
    <w:p w14:paraId="0C270B94" w14:textId="703DA163" w:rsidR="00661C8F" w:rsidRDefault="00661C8F" w:rsidP="009C7D7F">
      <w:pPr>
        <w:pStyle w:val="BodyText"/>
        <w:tabs>
          <w:tab w:val="clear" w:pos="567"/>
          <w:tab w:val="clear" w:pos="680"/>
        </w:tabs>
        <w:overflowPunct/>
        <w:autoSpaceDE/>
        <w:autoSpaceDN/>
        <w:adjustRightInd/>
        <w:textAlignment w:val="auto"/>
      </w:pPr>
      <w:r>
        <w:t xml:space="preserve">The principal instrument continues the effect of the relief given by [CO 02/238], </w:t>
      </w:r>
      <w:r w:rsidR="00787FC2">
        <w:t>with a requirement that</w:t>
      </w:r>
      <w:r w:rsidR="00F06E3E">
        <w:t>, except for the mortgage investment scheme</w:t>
      </w:r>
      <w:r w:rsidR="00787FC2">
        <w:t xml:space="preserve">, together with any other managed investment scheme operated by the operator or by an associate of the operator </w:t>
      </w:r>
      <w:r w:rsidR="00F06E3E">
        <w:t>that have assets invested in mortgage loans, the operator is not in the business of promoting managed investment schemes</w:t>
      </w:r>
      <w:r w:rsidR="005F68BA">
        <w:t>: see section 5 of the principal instrument</w:t>
      </w:r>
      <w:r w:rsidR="00F06E3E">
        <w:t xml:space="preserve">. This is consistent with </w:t>
      </w:r>
      <w:r w:rsidR="0004672E">
        <w:t>the rationale underlying the relief.</w:t>
      </w:r>
    </w:p>
    <w:p w14:paraId="69889864" w14:textId="737E71AC" w:rsidR="0004672E" w:rsidRPr="00371733" w:rsidRDefault="0004672E" w:rsidP="009C7D7F">
      <w:pPr>
        <w:spacing w:before="200" w:after="0" w:line="300" w:lineRule="atLeast"/>
        <w:rPr>
          <w:sz w:val="24"/>
        </w:rPr>
      </w:pPr>
      <w:r w:rsidRPr="00371733">
        <w:rPr>
          <w:sz w:val="24"/>
        </w:rPr>
        <w:t xml:space="preserve">As a result of </w:t>
      </w:r>
      <w:r w:rsidRPr="00713313">
        <w:rPr>
          <w:sz w:val="24"/>
        </w:rPr>
        <w:t>ASIC Corporations (Securities and Managed Investment Scheme Hawking Relief) Instrument 2017/184</w:t>
      </w:r>
      <w:r w:rsidRPr="00371733">
        <w:rPr>
          <w:sz w:val="24"/>
        </w:rPr>
        <w:t xml:space="preserve">, which clarifies that </w:t>
      </w:r>
      <w:r>
        <w:rPr>
          <w:sz w:val="24"/>
        </w:rPr>
        <w:t>a person making an offer of interests in managed investment schemes does not have to comply with sub</w:t>
      </w:r>
      <w:r w:rsidRPr="00371733">
        <w:rPr>
          <w:sz w:val="24"/>
        </w:rPr>
        <w:t>section 992A</w:t>
      </w:r>
      <w:r>
        <w:rPr>
          <w:sz w:val="24"/>
        </w:rPr>
        <w:t>(1) of the Act</w:t>
      </w:r>
      <w:r w:rsidRPr="00371733">
        <w:rPr>
          <w:sz w:val="24"/>
        </w:rPr>
        <w:t>, it was not necessary to continue the relief provided under [CO 02/</w:t>
      </w:r>
      <w:r>
        <w:rPr>
          <w:sz w:val="24"/>
        </w:rPr>
        <w:t>238</w:t>
      </w:r>
      <w:r w:rsidRPr="00371733">
        <w:rPr>
          <w:sz w:val="24"/>
        </w:rPr>
        <w:t>] from s</w:t>
      </w:r>
      <w:r w:rsidR="00261F03">
        <w:rPr>
          <w:sz w:val="24"/>
        </w:rPr>
        <w:t xml:space="preserve">ection </w:t>
      </w:r>
      <w:r w:rsidRPr="00371733">
        <w:rPr>
          <w:sz w:val="24"/>
        </w:rPr>
        <w:t>992A.</w:t>
      </w:r>
    </w:p>
    <w:p w14:paraId="2310CD26" w14:textId="77777777" w:rsidR="00464FD1" w:rsidRPr="001A6684" w:rsidRDefault="00464FD1" w:rsidP="001A6684">
      <w:pPr>
        <w:pStyle w:val="BodyText"/>
        <w:tabs>
          <w:tab w:val="clear" w:pos="680"/>
          <w:tab w:val="left" w:pos="709"/>
        </w:tabs>
        <w:spacing w:before="199"/>
        <w:rPr>
          <w:spacing w:val="-1"/>
          <w:szCs w:val="24"/>
        </w:rPr>
      </w:pPr>
      <w:r w:rsidRPr="001A6684">
        <w:rPr>
          <w:b/>
          <w:spacing w:val="-1"/>
          <w:szCs w:val="24"/>
        </w:rPr>
        <w:t>Registering a mortgage business as a scheme</w:t>
      </w:r>
    </w:p>
    <w:p w14:paraId="569ADFA1" w14:textId="30D321D5" w:rsidR="00464FD1" w:rsidRPr="00612FFB" w:rsidRDefault="00464FD1" w:rsidP="001A6684">
      <w:pPr>
        <w:pStyle w:val="BodyText"/>
        <w:tabs>
          <w:tab w:val="clear" w:pos="567"/>
          <w:tab w:val="clear" w:pos="680"/>
        </w:tabs>
        <w:overflowPunct/>
        <w:autoSpaceDE/>
        <w:autoSpaceDN/>
        <w:adjustRightInd/>
        <w:textAlignment w:val="auto"/>
      </w:pPr>
      <w:bookmarkStart w:id="3" w:name="_Ref482880491"/>
      <w:r>
        <w:t xml:space="preserve">[CO 02/238] </w:t>
      </w:r>
      <w:r w:rsidRPr="00612FFB">
        <w:t>exempt</w:t>
      </w:r>
      <w:r w:rsidR="00222176">
        <w:t>ed</w:t>
      </w:r>
      <w:r w:rsidRPr="00612FFB">
        <w:t xml:space="preserve"> the operator of a </w:t>
      </w:r>
      <w:r w:rsidRPr="00F9515D">
        <w:t>mortgage investment scheme</w:t>
      </w:r>
      <w:r w:rsidRPr="00612FFB">
        <w:t xml:space="preserve"> from the regis</w:t>
      </w:r>
      <w:r w:rsidR="003972F1">
        <w:t>tration requirement under s</w:t>
      </w:r>
      <w:r w:rsidR="00261F03">
        <w:t xml:space="preserve">ection </w:t>
      </w:r>
      <w:r w:rsidR="003972F1">
        <w:t>601EB of the Act</w:t>
      </w:r>
      <w:r w:rsidRPr="00612FFB">
        <w:t xml:space="preserve"> to the extent that s</w:t>
      </w:r>
      <w:r w:rsidR="00261F03">
        <w:t xml:space="preserve">ubsection </w:t>
      </w:r>
      <w:r w:rsidRPr="00612FFB">
        <w:t>601ED</w:t>
      </w:r>
      <w:r w:rsidR="003972F1">
        <w:t>(5)</w:t>
      </w:r>
      <w:r w:rsidRPr="00612FFB">
        <w:t xml:space="preserve"> may require that a separate scheme be registered for each mortgage operated under that scheme.</w:t>
      </w:r>
      <w:bookmarkEnd w:id="3"/>
      <w:r w:rsidRPr="00612FFB">
        <w:t xml:space="preserve"> </w:t>
      </w:r>
    </w:p>
    <w:p w14:paraId="0E81FF81" w14:textId="3F8A179C" w:rsidR="00464FD1" w:rsidRPr="00612FFB" w:rsidRDefault="00F24F06" w:rsidP="001A6684">
      <w:pPr>
        <w:pStyle w:val="BodyText"/>
        <w:tabs>
          <w:tab w:val="clear" w:pos="567"/>
          <w:tab w:val="clear" w:pos="680"/>
        </w:tabs>
        <w:overflowPunct/>
        <w:autoSpaceDE/>
        <w:autoSpaceDN/>
        <w:adjustRightInd/>
        <w:textAlignment w:val="auto"/>
      </w:pPr>
      <w:r>
        <w:t>For</w:t>
      </w:r>
      <w:r w:rsidR="00464FD1" w:rsidRPr="00612FFB">
        <w:t xml:space="preserve"> an operator of a </w:t>
      </w:r>
      <w:r w:rsidR="00464FD1" w:rsidRPr="00F9515D">
        <w:t>mortgage investment scheme</w:t>
      </w:r>
      <w:r>
        <w:t>,</w:t>
      </w:r>
      <w:r w:rsidR="00464FD1" w:rsidRPr="00612FFB">
        <w:t xml:space="preserve"> there may be uncertainty as to whether such a scheme would be characterised as:</w:t>
      </w:r>
    </w:p>
    <w:p w14:paraId="2C33AD70" w14:textId="77777777" w:rsidR="00464FD1" w:rsidRPr="001A6684" w:rsidRDefault="00464FD1" w:rsidP="00222176">
      <w:pPr>
        <w:pStyle w:val="subparaa"/>
        <w:numPr>
          <w:ilvl w:val="1"/>
          <w:numId w:val="6"/>
        </w:numPr>
        <w:tabs>
          <w:tab w:val="clear" w:pos="2693"/>
        </w:tabs>
        <w:ind w:left="567" w:hanging="567"/>
        <w:rPr>
          <w:sz w:val="24"/>
          <w:szCs w:val="24"/>
        </w:rPr>
      </w:pPr>
      <w:r w:rsidRPr="001A6684">
        <w:rPr>
          <w:sz w:val="24"/>
          <w:szCs w:val="24"/>
        </w:rPr>
        <w:t>a single managed investment scheme; or</w:t>
      </w:r>
    </w:p>
    <w:p w14:paraId="559176A8" w14:textId="77777777" w:rsidR="00464FD1" w:rsidRPr="001A6684" w:rsidRDefault="00464FD1" w:rsidP="00222176">
      <w:pPr>
        <w:pStyle w:val="subparaa"/>
        <w:numPr>
          <w:ilvl w:val="1"/>
          <w:numId w:val="6"/>
        </w:numPr>
        <w:tabs>
          <w:tab w:val="clear" w:pos="2693"/>
        </w:tabs>
        <w:ind w:left="567" w:hanging="567"/>
        <w:rPr>
          <w:sz w:val="24"/>
          <w:szCs w:val="24"/>
        </w:rPr>
      </w:pPr>
      <w:r w:rsidRPr="001A6684">
        <w:rPr>
          <w:sz w:val="24"/>
          <w:szCs w:val="24"/>
        </w:rPr>
        <w:t xml:space="preserve">a single managed investment scheme and a number of individual managed investment schemes (see </w:t>
      </w:r>
      <w:r w:rsidRPr="001A6684">
        <w:rPr>
          <w:i/>
          <w:sz w:val="24"/>
          <w:szCs w:val="24"/>
        </w:rPr>
        <w:t xml:space="preserve">ASIC v Knightsbridge Managed Funds Ltd </w:t>
      </w:r>
      <w:r w:rsidRPr="001A6684">
        <w:rPr>
          <w:sz w:val="24"/>
          <w:szCs w:val="24"/>
        </w:rPr>
        <w:t xml:space="preserve">[2001] WASC 339 and </w:t>
      </w:r>
      <w:r w:rsidRPr="001A6684">
        <w:rPr>
          <w:i/>
          <w:sz w:val="24"/>
          <w:szCs w:val="24"/>
        </w:rPr>
        <w:t xml:space="preserve">Re Idylic Solutions Pty Ltd &amp; ASIC v Hobbs </w:t>
      </w:r>
      <w:r w:rsidRPr="001A6684">
        <w:rPr>
          <w:sz w:val="24"/>
          <w:szCs w:val="24"/>
        </w:rPr>
        <w:t xml:space="preserve">[2012] NSWSC 1276). </w:t>
      </w:r>
    </w:p>
    <w:p w14:paraId="4881E41F" w14:textId="09AB9803" w:rsidR="00464FD1" w:rsidRPr="00612FFB" w:rsidRDefault="00464FD1" w:rsidP="001A6684">
      <w:pPr>
        <w:pStyle w:val="BodyText"/>
        <w:tabs>
          <w:tab w:val="clear" w:pos="567"/>
          <w:tab w:val="clear" w:pos="680"/>
        </w:tabs>
        <w:overflowPunct/>
        <w:autoSpaceDE/>
        <w:autoSpaceDN/>
        <w:adjustRightInd/>
        <w:textAlignment w:val="auto"/>
      </w:pPr>
      <w:bookmarkStart w:id="4" w:name="_Ref482880502"/>
      <w:r w:rsidRPr="00612FFB">
        <w:t>Our relief in [CO 02/238] eliminate</w:t>
      </w:r>
      <w:r w:rsidR="00222176">
        <w:t>d</w:t>
      </w:r>
      <w:r w:rsidRPr="00612FFB">
        <w:t xml:space="preserve"> the legal uncertainty by making it clear that when an operator registers a </w:t>
      </w:r>
      <w:r w:rsidRPr="00F9515D">
        <w:t>mortgage investment scheme</w:t>
      </w:r>
      <w:r w:rsidRPr="009C4F15">
        <w:t xml:space="preserve">, </w:t>
      </w:r>
      <w:r w:rsidRPr="00612FFB">
        <w:t>the operator does not need to separately register a scheme for each mortgage operated under that scheme.</w:t>
      </w:r>
      <w:bookmarkEnd w:id="4"/>
      <w:r w:rsidRPr="00612FFB">
        <w:t xml:space="preserve"> </w:t>
      </w:r>
    </w:p>
    <w:p w14:paraId="3A1951FA" w14:textId="24B8B757" w:rsidR="00464FD1" w:rsidRDefault="00464FD1" w:rsidP="001A6684">
      <w:pPr>
        <w:pStyle w:val="Note"/>
        <w:ind w:left="0"/>
      </w:pPr>
      <w:r w:rsidRPr="00612FFB">
        <w:t>Note: [CO 02/238] modifie</w:t>
      </w:r>
      <w:r w:rsidR="003972F1">
        <w:t>d</w:t>
      </w:r>
      <w:r w:rsidRPr="00612FFB">
        <w:t xml:space="preserve"> the Corporations Act for </w:t>
      </w:r>
      <w:r w:rsidRPr="00F9515D">
        <w:t>mortgage investment schemes</w:t>
      </w:r>
      <w:r w:rsidRPr="009C4F15">
        <w:t xml:space="preserve"> to which </w:t>
      </w:r>
      <w:r w:rsidR="00A63446">
        <w:t>this relief applies</w:t>
      </w:r>
      <w:r w:rsidRPr="00612FFB">
        <w:t>:</w:t>
      </w:r>
      <w:r w:rsidR="00A63446">
        <w:t xml:space="preserve"> see '</w:t>
      </w:r>
      <w:r w:rsidR="00A63446" w:rsidRPr="00A63446">
        <w:t>Modification in relation to registering mortgage businesses</w:t>
      </w:r>
      <w:r w:rsidR="00A63446">
        <w:t>' below</w:t>
      </w:r>
      <w:r w:rsidRPr="00612FFB">
        <w:t>.</w:t>
      </w:r>
    </w:p>
    <w:p w14:paraId="311599C4" w14:textId="0AA25C2E" w:rsidR="003972F1" w:rsidRPr="003972F1" w:rsidRDefault="003972F1" w:rsidP="003972F1">
      <w:pPr>
        <w:pStyle w:val="BodyText"/>
        <w:rPr>
          <w:lang w:eastAsia="en-AU"/>
        </w:rPr>
      </w:pPr>
      <w:r>
        <w:rPr>
          <w:lang w:eastAsia="en-AU"/>
        </w:rPr>
        <w:t xml:space="preserve">The principal instrument continues the effect of the relief in [CO 02/238] with </w:t>
      </w:r>
      <w:r w:rsidR="009F47C0">
        <w:rPr>
          <w:lang w:eastAsia="en-AU"/>
        </w:rPr>
        <w:t>minor drafting changes to provide greater clarity and accuracy</w:t>
      </w:r>
      <w:r w:rsidR="005F68BA">
        <w:rPr>
          <w:lang w:eastAsia="en-AU"/>
        </w:rPr>
        <w:t>: see section 6 of the principal instrument.</w:t>
      </w:r>
    </w:p>
    <w:p w14:paraId="786AC00E" w14:textId="77777777" w:rsidR="00464FD1" w:rsidRPr="001A6684" w:rsidRDefault="00464FD1" w:rsidP="001A6684">
      <w:pPr>
        <w:pStyle w:val="BodyText"/>
        <w:tabs>
          <w:tab w:val="clear" w:pos="680"/>
          <w:tab w:val="left" w:pos="709"/>
        </w:tabs>
        <w:spacing w:before="199"/>
        <w:rPr>
          <w:spacing w:val="-1"/>
          <w:szCs w:val="24"/>
        </w:rPr>
      </w:pPr>
      <w:r w:rsidRPr="001A6684">
        <w:rPr>
          <w:b/>
          <w:spacing w:val="-1"/>
          <w:szCs w:val="24"/>
        </w:rPr>
        <w:t>Small industry-supervised schemes</w:t>
      </w:r>
    </w:p>
    <w:p w14:paraId="3256C9EE" w14:textId="54DBC6CC" w:rsidR="00464FD1" w:rsidRPr="00916A59" w:rsidRDefault="00464FD1" w:rsidP="001A6684">
      <w:pPr>
        <w:pStyle w:val="BodyText"/>
        <w:tabs>
          <w:tab w:val="clear" w:pos="567"/>
          <w:tab w:val="clear" w:pos="680"/>
        </w:tabs>
        <w:overflowPunct/>
        <w:autoSpaceDE/>
        <w:autoSpaceDN/>
        <w:adjustRightInd/>
        <w:textAlignment w:val="auto"/>
        <w:rPr>
          <w:szCs w:val="24"/>
        </w:rPr>
      </w:pPr>
      <w:bookmarkStart w:id="5" w:name="_Ref482880513"/>
      <w:r w:rsidRPr="00916A59">
        <w:rPr>
          <w:szCs w:val="24"/>
        </w:rPr>
        <w:t>[CO 02/238]</w:t>
      </w:r>
      <w:r w:rsidR="002A483F" w:rsidRPr="00916A59">
        <w:rPr>
          <w:szCs w:val="24"/>
        </w:rPr>
        <w:t xml:space="preserve"> exempted</w:t>
      </w:r>
      <w:r w:rsidRPr="00916A59">
        <w:rPr>
          <w:szCs w:val="24"/>
        </w:rPr>
        <w:t xml:space="preserve"> operators of certain small mortgage investment schemes from the requirement to register the scheme under </w:t>
      </w:r>
      <w:r w:rsidR="00261F03">
        <w:rPr>
          <w:szCs w:val="24"/>
        </w:rPr>
        <w:t xml:space="preserve">section </w:t>
      </w:r>
      <w:r w:rsidRPr="00916A59">
        <w:rPr>
          <w:szCs w:val="24"/>
        </w:rPr>
        <w:t>601ED if it:</w:t>
      </w:r>
    </w:p>
    <w:p w14:paraId="468D7811" w14:textId="1BC75704" w:rsidR="00464FD1" w:rsidRPr="00916A59" w:rsidRDefault="000374D4" w:rsidP="001A6684">
      <w:pPr>
        <w:pStyle w:val="subparaa"/>
        <w:numPr>
          <w:ilvl w:val="1"/>
          <w:numId w:val="21"/>
        </w:numPr>
        <w:tabs>
          <w:tab w:val="clear" w:pos="2693"/>
        </w:tabs>
        <w:ind w:left="567" w:hanging="567"/>
        <w:rPr>
          <w:sz w:val="24"/>
          <w:szCs w:val="24"/>
        </w:rPr>
      </w:pPr>
      <w:r w:rsidRPr="00916A59">
        <w:rPr>
          <w:sz w:val="24"/>
          <w:szCs w:val="24"/>
        </w:rPr>
        <w:t>wa</w:t>
      </w:r>
      <w:r w:rsidR="00464FD1" w:rsidRPr="00916A59">
        <w:rPr>
          <w:sz w:val="24"/>
          <w:szCs w:val="24"/>
        </w:rPr>
        <w:t>s operated under the supervision of an industry supervisory body (ISB);</w:t>
      </w:r>
    </w:p>
    <w:p w14:paraId="3C43FE64" w14:textId="4AC6C37D" w:rsidR="00464FD1" w:rsidRPr="00916A59" w:rsidRDefault="000374D4" w:rsidP="001A6684">
      <w:pPr>
        <w:pStyle w:val="subparaa"/>
        <w:numPr>
          <w:ilvl w:val="1"/>
          <w:numId w:val="21"/>
        </w:numPr>
        <w:tabs>
          <w:tab w:val="clear" w:pos="2693"/>
        </w:tabs>
        <w:ind w:left="567" w:hanging="567"/>
        <w:rPr>
          <w:sz w:val="24"/>
          <w:szCs w:val="24"/>
        </w:rPr>
      </w:pPr>
      <w:r w:rsidRPr="00916A59">
        <w:rPr>
          <w:sz w:val="24"/>
          <w:szCs w:val="24"/>
        </w:rPr>
        <w:t>complied</w:t>
      </w:r>
      <w:r w:rsidR="00464FD1" w:rsidRPr="00916A59">
        <w:rPr>
          <w:sz w:val="24"/>
          <w:szCs w:val="24"/>
        </w:rPr>
        <w:t xml:space="preserve"> with any applicable rules and directions of the ISB; and</w:t>
      </w:r>
    </w:p>
    <w:p w14:paraId="1783107B" w14:textId="52E5E728" w:rsidR="00464FD1" w:rsidRPr="00916A59" w:rsidRDefault="000374D4" w:rsidP="001A6684">
      <w:pPr>
        <w:pStyle w:val="subparaa"/>
        <w:numPr>
          <w:ilvl w:val="1"/>
          <w:numId w:val="21"/>
        </w:numPr>
        <w:tabs>
          <w:tab w:val="clear" w:pos="2693"/>
        </w:tabs>
        <w:ind w:left="567" w:hanging="567"/>
        <w:rPr>
          <w:sz w:val="24"/>
          <w:szCs w:val="24"/>
        </w:rPr>
      </w:pPr>
      <w:r w:rsidRPr="00916A59">
        <w:rPr>
          <w:sz w:val="24"/>
          <w:szCs w:val="24"/>
        </w:rPr>
        <w:lastRenderedPageBreak/>
        <w:t>met</w:t>
      </w:r>
      <w:r w:rsidR="00464FD1" w:rsidRPr="00916A59">
        <w:rPr>
          <w:sz w:val="24"/>
          <w:szCs w:val="24"/>
        </w:rPr>
        <w:t xml:space="preserve"> certain conditions. </w:t>
      </w:r>
    </w:p>
    <w:p w14:paraId="3FBDE2B1" w14:textId="5CF86914" w:rsidR="00464FD1" w:rsidRPr="00916A59" w:rsidRDefault="00464FD1" w:rsidP="001A6684">
      <w:pPr>
        <w:pStyle w:val="BodyText"/>
        <w:tabs>
          <w:tab w:val="clear" w:pos="567"/>
          <w:tab w:val="clear" w:pos="680"/>
        </w:tabs>
        <w:overflowPunct/>
        <w:autoSpaceDE/>
        <w:autoSpaceDN/>
        <w:adjustRightInd/>
        <w:textAlignment w:val="auto"/>
        <w:rPr>
          <w:szCs w:val="24"/>
        </w:rPr>
      </w:pPr>
      <w:bookmarkStart w:id="6" w:name="_Ref482880519"/>
      <w:bookmarkEnd w:id="5"/>
      <w:r w:rsidRPr="00916A59">
        <w:rPr>
          <w:szCs w:val="24"/>
        </w:rPr>
        <w:t xml:space="preserve">The key features of a mortgage investment scheme to which this relief </w:t>
      </w:r>
      <w:r w:rsidR="000374D4" w:rsidRPr="00916A59">
        <w:rPr>
          <w:szCs w:val="24"/>
        </w:rPr>
        <w:t>applied were</w:t>
      </w:r>
      <w:bookmarkEnd w:id="6"/>
      <w:r w:rsidR="000374D4" w:rsidRPr="00916A59">
        <w:rPr>
          <w:szCs w:val="24"/>
        </w:rPr>
        <w:t>:</w:t>
      </w:r>
    </w:p>
    <w:p w14:paraId="72AE80CE" w14:textId="62FFE699" w:rsidR="00464FD1" w:rsidRPr="00916A59" w:rsidRDefault="00464FD1" w:rsidP="001A6684">
      <w:pPr>
        <w:pStyle w:val="subparaa"/>
        <w:numPr>
          <w:ilvl w:val="1"/>
          <w:numId w:val="22"/>
        </w:numPr>
        <w:tabs>
          <w:tab w:val="clear" w:pos="2693"/>
          <w:tab w:val="num" w:pos="567"/>
        </w:tabs>
        <w:ind w:left="567" w:hanging="567"/>
        <w:rPr>
          <w:sz w:val="24"/>
          <w:szCs w:val="24"/>
        </w:rPr>
      </w:pPr>
      <w:r w:rsidRPr="00916A59">
        <w:rPr>
          <w:sz w:val="24"/>
          <w:szCs w:val="24"/>
        </w:rPr>
        <w:t>the principal of loans outstanding (when aggregated with r</w:t>
      </w:r>
      <w:r w:rsidR="000374D4" w:rsidRPr="00916A59">
        <w:rPr>
          <w:sz w:val="24"/>
          <w:szCs w:val="24"/>
        </w:rPr>
        <w:t>elated unregistered schemes) did</w:t>
      </w:r>
      <w:r w:rsidRPr="00916A59">
        <w:rPr>
          <w:sz w:val="24"/>
          <w:szCs w:val="24"/>
        </w:rPr>
        <w:t xml:space="preserve"> not exceed $7.5 million;</w:t>
      </w:r>
    </w:p>
    <w:p w14:paraId="2B905D3E" w14:textId="69BAD0EB" w:rsidR="00464FD1" w:rsidRPr="00916A59" w:rsidRDefault="00464FD1" w:rsidP="001A6684">
      <w:pPr>
        <w:pStyle w:val="subparaa"/>
        <w:numPr>
          <w:ilvl w:val="1"/>
          <w:numId w:val="22"/>
        </w:numPr>
        <w:tabs>
          <w:tab w:val="clear" w:pos="2693"/>
          <w:tab w:val="num" w:pos="567"/>
        </w:tabs>
        <w:ind w:left="567" w:hanging="567"/>
        <w:rPr>
          <w:sz w:val="24"/>
          <w:szCs w:val="24"/>
        </w:rPr>
      </w:pPr>
      <w:r w:rsidRPr="00916A59">
        <w:rPr>
          <w:sz w:val="24"/>
          <w:szCs w:val="24"/>
        </w:rPr>
        <w:t xml:space="preserve">interests in the scheme </w:t>
      </w:r>
      <w:r w:rsidR="000374D4" w:rsidRPr="00916A59">
        <w:rPr>
          <w:sz w:val="24"/>
          <w:szCs w:val="24"/>
        </w:rPr>
        <w:t>wer</w:t>
      </w:r>
      <w:r w:rsidRPr="00916A59">
        <w:rPr>
          <w:sz w:val="24"/>
          <w:szCs w:val="24"/>
        </w:rPr>
        <w:t>e not issued unless the operator rea</w:t>
      </w:r>
      <w:r w:rsidR="000374D4" w:rsidRPr="00916A59">
        <w:rPr>
          <w:sz w:val="24"/>
          <w:szCs w:val="24"/>
        </w:rPr>
        <w:t xml:space="preserve">sonably believes the person </w:t>
      </w:r>
      <w:r w:rsidRPr="00916A59">
        <w:rPr>
          <w:sz w:val="24"/>
          <w:szCs w:val="24"/>
        </w:rPr>
        <w:t>rec</w:t>
      </w:r>
      <w:r w:rsidR="000374D4" w:rsidRPr="00916A59">
        <w:rPr>
          <w:sz w:val="24"/>
          <w:szCs w:val="24"/>
        </w:rPr>
        <w:t>eived a copy of the PDS that had</w:t>
      </w:r>
      <w:r w:rsidRPr="00916A59">
        <w:rPr>
          <w:sz w:val="24"/>
          <w:szCs w:val="24"/>
        </w:rPr>
        <w:t xml:space="preserve"> been lodged with the relevant ISB; and</w:t>
      </w:r>
    </w:p>
    <w:p w14:paraId="5C55D77B" w14:textId="69D7474E" w:rsidR="00464FD1" w:rsidRPr="00916A59" w:rsidRDefault="000374D4" w:rsidP="001A6684">
      <w:pPr>
        <w:pStyle w:val="subparaa"/>
        <w:numPr>
          <w:ilvl w:val="1"/>
          <w:numId w:val="22"/>
        </w:numPr>
        <w:tabs>
          <w:tab w:val="clear" w:pos="2693"/>
          <w:tab w:val="num" w:pos="567"/>
        </w:tabs>
        <w:ind w:left="567" w:hanging="567"/>
        <w:rPr>
          <w:sz w:val="24"/>
          <w:szCs w:val="24"/>
        </w:rPr>
      </w:pPr>
      <w:r w:rsidRPr="00916A59">
        <w:rPr>
          <w:sz w:val="24"/>
          <w:szCs w:val="24"/>
        </w:rPr>
        <w:t>the scheme was</w:t>
      </w:r>
      <w:r w:rsidR="00464FD1" w:rsidRPr="00916A59">
        <w:rPr>
          <w:sz w:val="24"/>
          <w:szCs w:val="24"/>
        </w:rPr>
        <w:t xml:space="preserve"> operated in accordance wi</w:t>
      </w:r>
      <w:r w:rsidR="0018478D" w:rsidRPr="00916A59">
        <w:rPr>
          <w:sz w:val="24"/>
          <w:szCs w:val="24"/>
        </w:rPr>
        <w:t>th the ‘ISB conditions’, which we</w:t>
      </w:r>
      <w:r w:rsidR="00464FD1" w:rsidRPr="00916A59">
        <w:rPr>
          <w:sz w:val="24"/>
          <w:szCs w:val="24"/>
        </w:rPr>
        <w:t xml:space="preserve">re a set of conditions set out in [CO 02/238] that include conditions relating to loan valuation, restrictions on the jurisdictions in which interests may be issued, a prohibition on public advertising, providing for investor choice of mortgages, and the holding of cash in designated trust accounts. </w:t>
      </w:r>
    </w:p>
    <w:p w14:paraId="2A907FDF" w14:textId="119DB5D0" w:rsidR="00645C5A" w:rsidRPr="00916A59" w:rsidRDefault="00645C5A" w:rsidP="00645C5A">
      <w:pPr>
        <w:pStyle w:val="subparaa"/>
        <w:tabs>
          <w:tab w:val="clear" w:pos="2693"/>
        </w:tabs>
        <w:ind w:left="0" w:firstLine="0"/>
        <w:rPr>
          <w:sz w:val="24"/>
          <w:szCs w:val="24"/>
        </w:rPr>
      </w:pPr>
      <w:r w:rsidRPr="00916A59">
        <w:rPr>
          <w:sz w:val="24"/>
          <w:szCs w:val="24"/>
        </w:rPr>
        <w:t>The principal instrument continues</w:t>
      </w:r>
      <w:r w:rsidR="0065278C" w:rsidRPr="00916A59">
        <w:rPr>
          <w:sz w:val="24"/>
          <w:szCs w:val="24"/>
        </w:rPr>
        <w:t xml:space="preserve"> for a period of one year</w:t>
      </w:r>
      <w:r w:rsidRPr="00916A59">
        <w:rPr>
          <w:sz w:val="24"/>
          <w:szCs w:val="24"/>
        </w:rPr>
        <w:t xml:space="preserve"> the effect of the relief in [CO 02/238] without changes</w:t>
      </w:r>
      <w:r w:rsidR="0065278C" w:rsidRPr="00916A59">
        <w:rPr>
          <w:sz w:val="24"/>
          <w:szCs w:val="24"/>
        </w:rPr>
        <w:t xml:space="preserve">: see section 7 of the principal instrument. </w:t>
      </w:r>
      <w:r w:rsidR="007361AB" w:rsidRPr="00916A59">
        <w:rPr>
          <w:sz w:val="24"/>
          <w:szCs w:val="24"/>
        </w:rPr>
        <w:t xml:space="preserve">A requirement of the relief (as continued in effect) is that the relevant scheme be operated </w:t>
      </w:r>
      <w:r w:rsidR="00916A59" w:rsidRPr="00916A59">
        <w:rPr>
          <w:sz w:val="24"/>
          <w:szCs w:val="24"/>
        </w:rPr>
        <w:t>under the supervision of an ISB. This means that the relief will cease to apply where the scheme is not operated under the supervision of such a body, for example because the laws of a State of Territory prohibit the operation of a managed investment scheme by persons who would be supervised by the body.</w:t>
      </w:r>
    </w:p>
    <w:p w14:paraId="64388038" w14:textId="77777777" w:rsidR="00464FD1" w:rsidRPr="001A6684" w:rsidRDefault="00464FD1" w:rsidP="00464FD1">
      <w:pPr>
        <w:pStyle w:val="Heading4"/>
        <w:rPr>
          <w:rFonts w:ascii="Times New Roman" w:eastAsia="Times New Roman" w:hAnsi="Times New Roman" w:cs="Times New Roman"/>
          <w:bCs w:val="0"/>
          <w:i w:val="0"/>
          <w:iCs w:val="0"/>
          <w:color w:val="auto"/>
          <w:spacing w:val="-1"/>
          <w:sz w:val="24"/>
          <w:szCs w:val="24"/>
          <w:lang w:eastAsia="en-US"/>
        </w:rPr>
      </w:pPr>
      <w:r w:rsidRPr="001A6684">
        <w:rPr>
          <w:rFonts w:ascii="Times New Roman" w:eastAsia="Times New Roman" w:hAnsi="Times New Roman" w:cs="Times New Roman"/>
          <w:bCs w:val="0"/>
          <w:i w:val="0"/>
          <w:iCs w:val="0"/>
          <w:color w:val="auto"/>
          <w:spacing w:val="-1"/>
          <w:sz w:val="24"/>
          <w:szCs w:val="24"/>
          <w:lang w:eastAsia="en-US"/>
        </w:rPr>
        <w:t>Run-out schemes (transitional relief)</w:t>
      </w:r>
    </w:p>
    <w:p w14:paraId="669BCBD1" w14:textId="3DA15D35" w:rsidR="00464FD1" w:rsidRPr="00612FFB" w:rsidRDefault="00A35570" w:rsidP="001A6684">
      <w:pPr>
        <w:pStyle w:val="BodyText"/>
        <w:tabs>
          <w:tab w:val="clear" w:pos="567"/>
          <w:tab w:val="clear" w:pos="680"/>
        </w:tabs>
        <w:overflowPunct/>
        <w:autoSpaceDE/>
        <w:autoSpaceDN/>
        <w:adjustRightInd/>
        <w:textAlignment w:val="auto"/>
      </w:pPr>
      <w:bookmarkStart w:id="7" w:name="_Ref482880528"/>
      <w:r>
        <w:t>[CO 02/238] exempted</w:t>
      </w:r>
      <w:r w:rsidR="00464FD1" w:rsidRPr="00612FFB">
        <w:t xml:space="preserve"> the operator of a ‘run-out’ </w:t>
      </w:r>
      <w:r w:rsidR="00464FD1" w:rsidRPr="00F9515D">
        <w:t>mortgage investment scheme</w:t>
      </w:r>
      <w:r w:rsidR="00464FD1" w:rsidRPr="00612FFB">
        <w:t xml:space="preserve"> from the need to register the scheme under s</w:t>
      </w:r>
      <w:r w:rsidR="00261F03">
        <w:t xml:space="preserve">ection </w:t>
      </w:r>
      <w:r w:rsidR="00464FD1" w:rsidRPr="00612FFB">
        <w:t>601ED. Conditions of this relief include</w:t>
      </w:r>
      <w:r w:rsidR="0018478D">
        <w:t>d</w:t>
      </w:r>
      <w:r w:rsidR="00464FD1" w:rsidRPr="00612FFB">
        <w:t xml:space="preserve"> that the scheme:</w:t>
      </w:r>
    </w:p>
    <w:p w14:paraId="01E70B36" w14:textId="371285AD" w:rsidR="00464FD1" w:rsidRPr="00612FFB" w:rsidRDefault="0018478D" w:rsidP="001A6684">
      <w:pPr>
        <w:pStyle w:val="subparaa"/>
        <w:numPr>
          <w:ilvl w:val="1"/>
          <w:numId w:val="23"/>
        </w:numPr>
        <w:tabs>
          <w:tab w:val="clear" w:pos="2693"/>
        </w:tabs>
        <w:ind w:left="567" w:hanging="567"/>
      </w:pPr>
      <w:r>
        <w:t>wa</w:t>
      </w:r>
      <w:r w:rsidR="00464FD1" w:rsidRPr="00612FFB">
        <w:t>s operated under the supervision of, and in compliance with any applicable rules and directions of, an ISB;</w:t>
      </w:r>
    </w:p>
    <w:p w14:paraId="17A5DAE1" w14:textId="111DC091" w:rsidR="00464FD1" w:rsidRPr="00612FFB" w:rsidRDefault="00464FD1" w:rsidP="001A6684">
      <w:pPr>
        <w:pStyle w:val="subparaa"/>
        <w:numPr>
          <w:ilvl w:val="1"/>
          <w:numId w:val="23"/>
        </w:numPr>
        <w:tabs>
          <w:tab w:val="clear" w:pos="2693"/>
        </w:tabs>
        <w:ind w:left="567" w:hanging="567"/>
      </w:pPr>
      <w:r w:rsidRPr="00612FFB">
        <w:t>complie</w:t>
      </w:r>
      <w:r w:rsidR="0018478D">
        <w:t>d</w:t>
      </w:r>
      <w:r w:rsidRPr="00612FFB">
        <w:t xml:space="preserve"> with the ISB conditions; and </w:t>
      </w:r>
    </w:p>
    <w:p w14:paraId="50CAAF6C" w14:textId="54F1CE60" w:rsidR="00464FD1" w:rsidRPr="00612FFB" w:rsidRDefault="0018478D" w:rsidP="001A6684">
      <w:pPr>
        <w:pStyle w:val="subparaa"/>
        <w:numPr>
          <w:ilvl w:val="1"/>
          <w:numId w:val="23"/>
        </w:numPr>
        <w:tabs>
          <w:tab w:val="clear" w:pos="2693"/>
        </w:tabs>
        <w:ind w:left="567" w:hanging="567"/>
      </w:pPr>
      <w:r>
        <w:t>complied</w:t>
      </w:r>
      <w:r w:rsidR="00464FD1" w:rsidRPr="00612FFB">
        <w:t xml:space="preserve"> with the</w:t>
      </w:r>
      <w:r>
        <w:t xml:space="preserve"> requirement that no new loans we</w:t>
      </w:r>
      <w:r w:rsidR="00464FD1" w:rsidRPr="00612FFB">
        <w:t>re made under the scheme or any related scheme.</w:t>
      </w:r>
      <w:bookmarkEnd w:id="7"/>
    </w:p>
    <w:p w14:paraId="0AB8B03C" w14:textId="1AF11E27" w:rsidR="00464FD1" w:rsidRDefault="0018478D" w:rsidP="001A6684">
      <w:pPr>
        <w:pStyle w:val="BodyText"/>
        <w:tabs>
          <w:tab w:val="clear" w:pos="567"/>
          <w:tab w:val="clear" w:pos="680"/>
        </w:tabs>
        <w:overflowPunct/>
        <w:autoSpaceDE/>
        <w:autoSpaceDN/>
        <w:adjustRightInd/>
        <w:textAlignment w:val="auto"/>
      </w:pPr>
      <w:bookmarkStart w:id="8" w:name="_Ref482880533"/>
      <w:r>
        <w:t>This relief wa</w:t>
      </w:r>
      <w:r w:rsidR="00464FD1" w:rsidRPr="00612FFB">
        <w:t xml:space="preserve">s transitional in nature and was provided to enable the orderly winding down of </w:t>
      </w:r>
      <w:r w:rsidR="00464FD1" w:rsidRPr="00F9515D">
        <w:t>mortgage investment schemes</w:t>
      </w:r>
      <w:r w:rsidR="00464FD1">
        <w:t xml:space="preserve"> where the operator decided not to comply with the requirements introduced by the </w:t>
      </w:r>
      <w:r w:rsidR="00464FD1" w:rsidRPr="00C869B4">
        <w:rPr>
          <w:i/>
        </w:rPr>
        <w:t>Managed Investments Act</w:t>
      </w:r>
      <w:r w:rsidR="00464FD1">
        <w:t xml:space="preserve"> </w:t>
      </w:r>
      <w:r w:rsidR="00464FD1" w:rsidRPr="00C869B4">
        <w:rPr>
          <w:i/>
        </w:rPr>
        <w:t>1998</w:t>
      </w:r>
      <w:r w:rsidR="00464FD1">
        <w:t xml:space="preserve"> or to rely on other relief (e.g. to become a small</w:t>
      </w:r>
      <w:r w:rsidR="00B34EBE">
        <w:t>,</w:t>
      </w:r>
      <w:r w:rsidR="00464FD1">
        <w:t xml:space="preserve"> industry-supervised scheme </w:t>
      </w:r>
      <w:bookmarkEnd w:id="8"/>
      <w:r>
        <w:t>subject to relief under [CO 02/238]).</w:t>
      </w:r>
      <w:r w:rsidR="006D069C">
        <w:t xml:space="preserve"> Therefore, this relief has not been remade by the principal instrument.</w:t>
      </w:r>
    </w:p>
    <w:p w14:paraId="6A4D93C9" w14:textId="77777777" w:rsidR="00464FD1" w:rsidRPr="001A6684" w:rsidRDefault="00464FD1" w:rsidP="00464FD1">
      <w:pPr>
        <w:pStyle w:val="Heading4"/>
        <w:rPr>
          <w:rFonts w:ascii="Times New Roman" w:eastAsia="Times New Roman" w:hAnsi="Times New Roman" w:cs="Times New Roman"/>
          <w:bCs w:val="0"/>
          <w:i w:val="0"/>
          <w:iCs w:val="0"/>
          <w:color w:val="auto"/>
          <w:spacing w:val="-1"/>
          <w:sz w:val="24"/>
          <w:szCs w:val="24"/>
          <w:lang w:eastAsia="en-US"/>
        </w:rPr>
      </w:pPr>
      <w:r w:rsidRPr="001A6684">
        <w:rPr>
          <w:rFonts w:ascii="Times New Roman" w:eastAsia="Times New Roman" w:hAnsi="Times New Roman" w:cs="Times New Roman"/>
          <w:bCs w:val="0"/>
          <w:i w:val="0"/>
          <w:iCs w:val="0"/>
          <w:color w:val="auto"/>
          <w:spacing w:val="-1"/>
          <w:sz w:val="24"/>
          <w:szCs w:val="24"/>
          <w:lang w:eastAsia="en-US"/>
        </w:rPr>
        <w:t>Modification in relation to registering mortgage businesses</w:t>
      </w:r>
    </w:p>
    <w:p w14:paraId="3D2B6361" w14:textId="061A62D2" w:rsidR="00464FD1" w:rsidRPr="00612FFB" w:rsidRDefault="00464FD1" w:rsidP="001A6684">
      <w:pPr>
        <w:pStyle w:val="BodyText"/>
        <w:tabs>
          <w:tab w:val="clear" w:pos="567"/>
          <w:tab w:val="clear" w:pos="680"/>
        </w:tabs>
        <w:overflowPunct/>
        <w:autoSpaceDE/>
        <w:autoSpaceDN/>
        <w:adjustRightInd/>
        <w:textAlignment w:val="auto"/>
      </w:pPr>
      <w:bookmarkStart w:id="9" w:name="_Ref482880547"/>
      <w:r>
        <w:t>[CO 02/238] modifie</w:t>
      </w:r>
      <w:r w:rsidR="00A35570">
        <w:t>d</w:t>
      </w:r>
      <w:r>
        <w:t xml:space="preserve"> the </w:t>
      </w:r>
      <w:r w:rsidRPr="00612FFB">
        <w:t>withdrawal provisions in s</w:t>
      </w:r>
      <w:r w:rsidR="00261F03">
        <w:t xml:space="preserve">ubsection </w:t>
      </w:r>
      <w:r w:rsidRPr="00612FFB">
        <w:t xml:space="preserve">601GA(4) and </w:t>
      </w:r>
      <w:r w:rsidR="00261F03">
        <w:t>Par</w:t>
      </w:r>
      <w:r w:rsidRPr="00612FFB">
        <w:t xml:space="preserve">t 5C.6 of the Corporations Act for </w:t>
      </w:r>
      <w:r w:rsidRPr="00F9515D">
        <w:t>mortgage investment schemes</w:t>
      </w:r>
      <w:r w:rsidRPr="009C4F15">
        <w:t xml:space="preserve"> to which section 3 of [CO</w:t>
      </w:r>
      <w:r w:rsidRPr="00612FFB">
        <w:t> 02/238] applies to allow the application of the requirements on a mortgage-by-mortgage basis</w:t>
      </w:r>
      <w:r>
        <w:t>,</w:t>
      </w:r>
      <w:r w:rsidRPr="00612FFB">
        <w:t xml:space="preserve"> rather than for the scheme as a whole. In</w:t>
      </w:r>
      <w:r w:rsidR="00B34EBE">
        <w:t xml:space="preserve"> particular, the relief provided</w:t>
      </w:r>
      <w:r w:rsidRPr="00612FFB">
        <w:t xml:space="preserve"> that:</w:t>
      </w:r>
      <w:bookmarkEnd w:id="9"/>
    </w:p>
    <w:p w14:paraId="44906684" w14:textId="5C49CF13" w:rsidR="00464FD1" w:rsidRPr="00612FFB" w:rsidRDefault="00464FD1" w:rsidP="001A6684">
      <w:pPr>
        <w:pStyle w:val="subparaa"/>
        <w:numPr>
          <w:ilvl w:val="1"/>
          <w:numId w:val="24"/>
        </w:numPr>
        <w:tabs>
          <w:tab w:val="clear" w:pos="2693"/>
          <w:tab w:val="num" w:pos="567"/>
        </w:tabs>
        <w:ind w:left="567" w:hanging="567"/>
      </w:pPr>
      <w:r w:rsidRPr="00612FFB">
        <w:lastRenderedPageBreak/>
        <w:t xml:space="preserve">each reference in those provisions to a scheme which is liquid (or not liquid) </w:t>
      </w:r>
      <w:r w:rsidR="00CC54C1">
        <w:t>wa</w:t>
      </w:r>
      <w:r w:rsidRPr="00612FFB">
        <w:t xml:space="preserve">s taken to be a reference to a mortgage administered under the scheme which is liquid (or not liquid); and </w:t>
      </w:r>
    </w:p>
    <w:p w14:paraId="72B9AD77" w14:textId="19CE3489" w:rsidR="00464FD1" w:rsidRPr="00612FFB" w:rsidRDefault="00464FD1" w:rsidP="001A6684">
      <w:pPr>
        <w:pStyle w:val="subparaa"/>
        <w:numPr>
          <w:ilvl w:val="1"/>
          <w:numId w:val="24"/>
        </w:numPr>
        <w:tabs>
          <w:tab w:val="clear" w:pos="2693"/>
          <w:tab w:val="num" w:pos="567"/>
        </w:tabs>
        <w:ind w:left="567" w:hanging="567"/>
      </w:pPr>
      <w:r w:rsidRPr="00612FFB">
        <w:t xml:space="preserve">each reference to members of the scheme </w:t>
      </w:r>
      <w:r w:rsidR="00CC54C1">
        <w:t>wa</w:t>
      </w:r>
      <w:r w:rsidRPr="00612FFB">
        <w:t>s taken to be a reference to members who have interests relating to the mortgage.</w:t>
      </w:r>
    </w:p>
    <w:p w14:paraId="5840B46D" w14:textId="3E590A58" w:rsidR="00464FD1" w:rsidRPr="00612FFB" w:rsidRDefault="00CC54C1" w:rsidP="001A6684">
      <w:pPr>
        <w:pStyle w:val="BodyText"/>
        <w:tabs>
          <w:tab w:val="clear" w:pos="567"/>
          <w:tab w:val="clear" w:pos="680"/>
        </w:tabs>
        <w:overflowPunct/>
        <w:autoSpaceDE/>
        <w:autoSpaceDN/>
        <w:adjustRightInd/>
        <w:textAlignment w:val="auto"/>
      </w:pPr>
      <w:r>
        <w:t>Relief was provided</w:t>
      </w:r>
      <w:r w:rsidR="00464FD1" w:rsidRPr="00612FFB">
        <w:t xml:space="preserve"> in recognition that where a </w:t>
      </w:r>
      <w:r w:rsidR="00464FD1" w:rsidRPr="00F9515D">
        <w:t>mortgage investment scheme</w:t>
      </w:r>
      <w:r w:rsidR="00464FD1" w:rsidRPr="009C4F15">
        <w:t xml:space="preserve"> relates to different mortgages in which particular members have an interest, provisions covering withdraw</w:t>
      </w:r>
      <w:r w:rsidR="00464FD1" w:rsidRPr="00612FFB">
        <w:t xml:space="preserve">al from a scheme that is not liquid may not apply appropriately. </w:t>
      </w:r>
    </w:p>
    <w:p w14:paraId="45569FBA" w14:textId="7ADDA640" w:rsidR="00464FD1" w:rsidRPr="00612FFB" w:rsidRDefault="00464FD1" w:rsidP="001A6684">
      <w:pPr>
        <w:pStyle w:val="BodyText"/>
        <w:tabs>
          <w:tab w:val="clear" w:pos="567"/>
          <w:tab w:val="clear" w:pos="680"/>
        </w:tabs>
        <w:overflowPunct/>
        <w:autoSpaceDE/>
        <w:autoSpaceDN/>
        <w:adjustRightInd/>
        <w:textAlignment w:val="auto"/>
      </w:pPr>
      <w:bookmarkStart w:id="10" w:name="_Ref482880561"/>
      <w:r w:rsidRPr="00612FFB">
        <w:t>The relief allow</w:t>
      </w:r>
      <w:r w:rsidR="00A35570">
        <w:t>ed</w:t>
      </w:r>
      <w:r w:rsidRPr="00612FFB">
        <w:t>:</w:t>
      </w:r>
    </w:p>
    <w:p w14:paraId="273A6C27" w14:textId="77777777" w:rsidR="00464FD1" w:rsidRDefault="00464FD1" w:rsidP="001A6684">
      <w:pPr>
        <w:pStyle w:val="subparaa"/>
        <w:numPr>
          <w:ilvl w:val="1"/>
          <w:numId w:val="25"/>
        </w:numPr>
        <w:tabs>
          <w:tab w:val="clear" w:pos="2693"/>
          <w:tab w:val="num" w:pos="567"/>
        </w:tabs>
        <w:ind w:left="567" w:hanging="567"/>
      </w:pPr>
      <w:r>
        <w:t>a different withdrawal period to be specified in the constitution for different mortgage arrangements; and</w:t>
      </w:r>
    </w:p>
    <w:p w14:paraId="7337911A" w14:textId="4B8B6D48" w:rsidR="00F85FC2" w:rsidRDefault="00464FD1" w:rsidP="00F85FC2">
      <w:pPr>
        <w:pStyle w:val="subparaa"/>
        <w:numPr>
          <w:ilvl w:val="1"/>
          <w:numId w:val="25"/>
        </w:numPr>
        <w:tabs>
          <w:tab w:val="clear" w:pos="2693"/>
          <w:tab w:val="num" w:pos="567"/>
        </w:tabs>
        <w:ind w:left="567" w:hanging="567"/>
      </w:pPr>
      <w:r>
        <w:t>differences in the likely ability to realise a mortgage for its market value to be recognised.</w:t>
      </w:r>
      <w:bookmarkEnd w:id="10"/>
      <w:r>
        <w:t xml:space="preserve"> </w:t>
      </w:r>
    </w:p>
    <w:p w14:paraId="551CC3AB" w14:textId="0E7AF6B1" w:rsidR="00F85FC2" w:rsidRPr="00F85FC2" w:rsidRDefault="00F85FC2" w:rsidP="00F85FC2">
      <w:pPr>
        <w:pStyle w:val="subparaa"/>
        <w:tabs>
          <w:tab w:val="clear" w:pos="2693"/>
        </w:tabs>
        <w:ind w:left="0" w:firstLine="0"/>
        <w:rPr>
          <w:sz w:val="24"/>
        </w:rPr>
      </w:pPr>
      <w:r w:rsidRPr="00F85FC2">
        <w:rPr>
          <w:sz w:val="24"/>
        </w:rPr>
        <w:t xml:space="preserve">The principal instrument continues </w:t>
      </w:r>
      <w:r>
        <w:rPr>
          <w:sz w:val="24"/>
        </w:rPr>
        <w:t>the effect of the relief in [CO 02/238], with drafting changes to improve accuracy. T</w:t>
      </w:r>
      <w:r w:rsidRPr="00F85FC2">
        <w:rPr>
          <w:sz w:val="24"/>
        </w:rPr>
        <w:t xml:space="preserve">he relief is intended to allow for withdrawal in relation to one mortgage where withdrawal is not able to occur from other existing mortgages in the scheme. The relief covers money received under a mortgage pending payment to an investor or for meeting expenses relating to the mortgage. The relief does not however allow for the operation of a general account </w:t>
      </w:r>
      <w:r w:rsidR="00DA48F0">
        <w:rPr>
          <w:sz w:val="24"/>
        </w:rPr>
        <w:t xml:space="preserve">where money held on an allocated basis can be used </w:t>
      </w:r>
      <w:r w:rsidRPr="00F85FC2">
        <w:rPr>
          <w:sz w:val="24"/>
        </w:rPr>
        <w:t>for providing liquidity across mortgage investment</w:t>
      </w:r>
      <w:r w:rsidR="007A7D3E">
        <w:rPr>
          <w:sz w:val="24"/>
        </w:rPr>
        <w:t>s</w:t>
      </w:r>
      <w:r w:rsidR="00DA48F0">
        <w:rPr>
          <w:sz w:val="24"/>
        </w:rPr>
        <w:t>, unfairly providing liquidity to some and leaving others without it</w:t>
      </w:r>
      <w:r w:rsidR="007A7D3E">
        <w:rPr>
          <w:sz w:val="24"/>
        </w:rPr>
        <w:t>.</w:t>
      </w:r>
    </w:p>
    <w:p w14:paraId="04B7B4DA" w14:textId="4EC0187F" w:rsidR="00010DEF" w:rsidRPr="006D6301" w:rsidRDefault="00B23A59" w:rsidP="00E02A92">
      <w:pPr>
        <w:pStyle w:val="BodyText"/>
        <w:spacing w:before="199"/>
        <w:rPr>
          <w:b/>
          <w:szCs w:val="24"/>
          <w:u w:val="single"/>
        </w:rPr>
      </w:pPr>
      <w:r w:rsidRPr="006D6301">
        <w:rPr>
          <w:b/>
          <w:szCs w:val="24"/>
          <w:u w:val="single"/>
        </w:rPr>
        <w:t>Repeal of [CO 02/238]</w:t>
      </w:r>
    </w:p>
    <w:p w14:paraId="33267511" w14:textId="49EB5725" w:rsidR="00B23A59" w:rsidRDefault="00B23A59" w:rsidP="00E02A92">
      <w:pPr>
        <w:pStyle w:val="BodyText"/>
        <w:spacing w:before="199"/>
        <w:rPr>
          <w:szCs w:val="24"/>
        </w:rPr>
      </w:pPr>
      <w:r>
        <w:rPr>
          <w:szCs w:val="24"/>
        </w:rPr>
        <w:t>[CO 02/238] is repealed by the repealing instrument on the basis that it is no longer necessary where the relief is continued</w:t>
      </w:r>
      <w:r w:rsidR="0033208C">
        <w:rPr>
          <w:szCs w:val="24"/>
        </w:rPr>
        <w:t xml:space="preserve"> (</w:t>
      </w:r>
      <w:r w:rsidR="00AC28C4">
        <w:rPr>
          <w:szCs w:val="24"/>
        </w:rPr>
        <w:t xml:space="preserve">with changes, </w:t>
      </w:r>
      <w:r w:rsidR="0033208C">
        <w:rPr>
          <w:szCs w:val="24"/>
        </w:rPr>
        <w:t>as detailed above)</w:t>
      </w:r>
      <w:r>
        <w:rPr>
          <w:szCs w:val="24"/>
        </w:rPr>
        <w:t xml:space="preserve"> by the principal instrument.</w:t>
      </w:r>
    </w:p>
    <w:p w14:paraId="0090D175" w14:textId="6565D09C" w:rsidR="00B23A59" w:rsidRPr="001A6684" w:rsidRDefault="00B23A59" w:rsidP="00E02A92">
      <w:pPr>
        <w:pStyle w:val="BodyText"/>
        <w:spacing w:before="199"/>
        <w:rPr>
          <w:b/>
          <w:szCs w:val="24"/>
        </w:rPr>
      </w:pPr>
      <w:r>
        <w:rPr>
          <w:szCs w:val="24"/>
        </w:rPr>
        <w:t xml:space="preserve"> </w:t>
      </w:r>
    </w:p>
    <w:p w14:paraId="64D63EDC" w14:textId="18C14DB9" w:rsidR="005B0E3A" w:rsidRPr="006B260C" w:rsidRDefault="005B0E3A" w:rsidP="005B0E3A">
      <w:pPr>
        <w:pStyle w:val="Heading3"/>
        <w:keepNext w:val="0"/>
        <w:widowControl w:val="0"/>
        <w:numPr>
          <w:ilvl w:val="0"/>
          <w:numId w:val="7"/>
        </w:numPr>
        <w:tabs>
          <w:tab w:val="left" w:pos="1592"/>
        </w:tabs>
        <w:spacing w:after="0" w:line="240" w:lineRule="auto"/>
        <w:ind w:left="0" w:firstLine="0"/>
        <w:jc w:val="left"/>
        <w:rPr>
          <w:rFonts w:eastAsia="Arial"/>
          <w:b/>
          <w:bCs/>
          <w:sz w:val="24"/>
          <w:szCs w:val="24"/>
        </w:rPr>
      </w:pPr>
      <w:bookmarkStart w:id="11" w:name="2._Purpose_of_the_class_order_"/>
      <w:bookmarkEnd w:id="11"/>
      <w:r w:rsidRPr="006B260C">
        <w:rPr>
          <w:b/>
          <w:spacing w:val="-1"/>
          <w:sz w:val="24"/>
          <w:szCs w:val="24"/>
        </w:rPr>
        <w:t>Purpose</w:t>
      </w:r>
      <w:r w:rsidRPr="006B260C">
        <w:rPr>
          <w:b/>
          <w:sz w:val="24"/>
          <w:szCs w:val="24"/>
        </w:rPr>
        <w:t xml:space="preserve"> of </w:t>
      </w:r>
      <w:r w:rsidRPr="006B260C">
        <w:rPr>
          <w:b/>
          <w:spacing w:val="-1"/>
          <w:sz w:val="24"/>
          <w:szCs w:val="24"/>
        </w:rPr>
        <w:t>the</w:t>
      </w:r>
      <w:r w:rsidRPr="006B260C">
        <w:rPr>
          <w:b/>
          <w:sz w:val="24"/>
          <w:szCs w:val="24"/>
        </w:rPr>
        <w:t xml:space="preserve"> </w:t>
      </w:r>
      <w:r w:rsidRPr="006B260C">
        <w:rPr>
          <w:b/>
          <w:spacing w:val="-1"/>
          <w:sz w:val="24"/>
          <w:szCs w:val="24"/>
        </w:rPr>
        <w:t>instrument</w:t>
      </w:r>
      <w:r w:rsidR="0033208C">
        <w:rPr>
          <w:b/>
          <w:spacing w:val="-1"/>
          <w:sz w:val="24"/>
          <w:szCs w:val="24"/>
        </w:rPr>
        <w:t>s</w:t>
      </w:r>
    </w:p>
    <w:p w14:paraId="1F96C378" w14:textId="77777777" w:rsidR="00AC28C4" w:rsidRDefault="00FC0DCE" w:rsidP="008C1547">
      <w:pPr>
        <w:pStyle w:val="Heading3"/>
        <w:keepNext w:val="0"/>
        <w:widowControl w:val="0"/>
        <w:tabs>
          <w:tab w:val="left" w:pos="1593"/>
        </w:tabs>
        <w:spacing w:after="0" w:line="240" w:lineRule="auto"/>
        <w:ind w:left="0"/>
        <w:jc w:val="left"/>
        <w:rPr>
          <w:sz w:val="24"/>
          <w:szCs w:val="24"/>
          <w:lang w:eastAsia="en-US"/>
        </w:rPr>
      </w:pPr>
      <w:r w:rsidRPr="006B260C">
        <w:rPr>
          <w:sz w:val="24"/>
          <w:szCs w:val="24"/>
          <w:lang w:eastAsia="en-US"/>
        </w:rPr>
        <w:br/>
      </w:r>
      <w:r w:rsidR="004644C0" w:rsidRPr="006B260C">
        <w:rPr>
          <w:sz w:val="24"/>
          <w:szCs w:val="24"/>
          <w:lang w:eastAsia="en-US"/>
        </w:rPr>
        <w:t>Th</w:t>
      </w:r>
      <w:r w:rsidR="00AA75E5" w:rsidRPr="006B260C">
        <w:rPr>
          <w:sz w:val="24"/>
          <w:szCs w:val="24"/>
          <w:lang w:eastAsia="en-US"/>
        </w:rPr>
        <w:t>e</w:t>
      </w:r>
      <w:r w:rsidR="004644C0" w:rsidRPr="006B260C">
        <w:rPr>
          <w:sz w:val="24"/>
          <w:szCs w:val="24"/>
          <w:lang w:eastAsia="en-US"/>
        </w:rPr>
        <w:t xml:space="preserve"> </w:t>
      </w:r>
      <w:r w:rsidR="00205575" w:rsidRPr="006B260C">
        <w:rPr>
          <w:sz w:val="24"/>
          <w:szCs w:val="24"/>
          <w:lang w:eastAsia="en-US"/>
        </w:rPr>
        <w:t>purpose of the</w:t>
      </w:r>
      <w:r w:rsidR="0033208C">
        <w:rPr>
          <w:sz w:val="24"/>
          <w:szCs w:val="24"/>
          <w:lang w:eastAsia="en-US"/>
        </w:rPr>
        <w:t xml:space="preserve"> principal</w:t>
      </w:r>
      <w:r w:rsidR="00205575" w:rsidRPr="006B260C">
        <w:rPr>
          <w:sz w:val="24"/>
          <w:szCs w:val="24"/>
          <w:lang w:eastAsia="en-US"/>
        </w:rPr>
        <w:t xml:space="preserve"> </w:t>
      </w:r>
      <w:r w:rsidR="004644C0" w:rsidRPr="006B260C">
        <w:rPr>
          <w:sz w:val="24"/>
          <w:szCs w:val="24"/>
          <w:lang w:eastAsia="en-US"/>
        </w:rPr>
        <w:t xml:space="preserve">instrument </w:t>
      </w:r>
      <w:r w:rsidR="00205575" w:rsidRPr="006B260C">
        <w:rPr>
          <w:sz w:val="24"/>
          <w:szCs w:val="24"/>
          <w:lang w:eastAsia="en-US"/>
        </w:rPr>
        <w:t>is to</w:t>
      </w:r>
      <w:r w:rsidR="00AC28C4">
        <w:rPr>
          <w:sz w:val="24"/>
          <w:szCs w:val="24"/>
          <w:lang w:eastAsia="en-US"/>
        </w:rPr>
        <w:t xml:space="preserve"> continue the relief given by [CO 02/238], with changes.</w:t>
      </w:r>
    </w:p>
    <w:p w14:paraId="1C628841" w14:textId="77777777" w:rsidR="00AC28C4" w:rsidRDefault="00AC28C4" w:rsidP="008C1547">
      <w:pPr>
        <w:pStyle w:val="Heading3"/>
        <w:keepNext w:val="0"/>
        <w:widowControl w:val="0"/>
        <w:tabs>
          <w:tab w:val="left" w:pos="1593"/>
        </w:tabs>
        <w:spacing w:after="0" w:line="240" w:lineRule="auto"/>
        <w:ind w:left="0"/>
        <w:jc w:val="left"/>
        <w:rPr>
          <w:sz w:val="24"/>
          <w:szCs w:val="24"/>
          <w:lang w:eastAsia="en-US"/>
        </w:rPr>
      </w:pPr>
    </w:p>
    <w:p w14:paraId="4842BFC1" w14:textId="341CAB41" w:rsidR="00FC0DCE" w:rsidRPr="006B260C" w:rsidRDefault="00AC28C4" w:rsidP="008C1547">
      <w:pPr>
        <w:pStyle w:val="Heading3"/>
        <w:keepNext w:val="0"/>
        <w:widowControl w:val="0"/>
        <w:tabs>
          <w:tab w:val="left" w:pos="1593"/>
        </w:tabs>
        <w:spacing w:after="0" w:line="240" w:lineRule="auto"/>
        <w:ind w:left="0"/>
        <w:jc w:val="left"/>
        <w:rPr>
          <w:sz w:val="24"/>
          <w:szCs w:val="24"/>
          <w:lang w:eastAsia="en-US"/>
        </w:rPr>
      </w:pPr>
      <w:r>
        <w:rPr>
          <w:sz w:val="24"/>
          <w:szCs w:val="24"/>
          <w:lang w:eastAsia="en-US"/>
        </w:rPr>
        <w:t>The purpose of the repealing instrument is to repeal [CO 02/238].</w:t>
      </w:r>
    </w:p>
    <w:p w14:paraId="262E6680" w14:textId="77777777" w:rsidR="00FC0DCE" w:rsidRDefault="00FC0DCE" w:rsidP="008C1547">
      <w:pPr>
        <w:rPr>
          <w:lang w:eastAsia="en-US"/>
        </w:rPr>
      </w:pPr>
    </w:p>
    <w:p w14:paraId="72637B07" w14:textId="326BB355" w:rsidR="005B0E3A" w:rsidRDefault="005B0E3A" w:rsidP="005B0E3A">
      <w:pPr>
        <w:pStyle w:val="Heading3"/>
        <w:keepNext w:val="0"/>
        <w:widowControl w:val="0"/>
        <w:numPr>
          <w:ilvl w:val="0"/>
          <w:numId w:val="7"/>
        </w:numPr>
        <w:tabs>
          <w:tab w:val="left" w:pos="1593"/>
        </w:tabs>
        <w:spacing w:after="0" w:line="240" w:lineRule="auto"/>
        <w:ind w:left="0" w:firstLine="0"/>
        <w:jc w:val="left"/>
        <w:rPr>
          <w:rFonts w:eastAsia="Arial"/>
          <w:b/>
          <w:bCs/>
        </w:rPr>
      </w:pPr>
      <w:bookmarkStart w:id="12" w:name="3._Operation_of_the_class_order_"/>
      <w:bookmarkEnd w:id="12"/>
      <w:r w:rsidRPr="00412D67">
        <w:rPr>
          <w:b/>
          <w:spacing w:val="-1"/>
        </w:rPr>
        <w:t>Operation</w:t>
      </w:r>
      <w:r w:rsidRPr="00412D67">
        <w:rPr>
          <w:b/>
        </w:rPr>
        <w:t xml:space="preserve"> </w:t>
      </w:r>
      <w:r w:rsidRPr="00412D67">
        <w:rPr>
          <w:b/>
          <w:spacing w:val="-1"/>
        </w:rPr>
        <w:t>of</w:t>
      </w:r>
      <w:r w:rsidRPr="00412D67">
        <w:rPr>
          <w:b/>
        </w:rPr>
        <w:t xml:space="preserve"> </w:t>
      </w:r>
      <w:r w:rsidRPr="00412D67">
        <w:rPr>
          <w:b/>
          <w:spacing w:val="-1"/>
        </w:rPr>
        <w:t>the</w:t>
      </w:r>
      <w:r w:rsidRPr="00412D67">
        <w:rPr>
          <w:b/>
        </w:rPr>
        <w:t xml:space="preserve"> instrument</w:t>
      </w:r>
      <w:r w:rsidR="008D3610">
        <w:rPr>
          <w:b/>
        </w:rPr>
        <w:t>s</w:t>
      </w:r>
    </w:p>
    <w:p w14:paraId="0852EE8A" w14:textId="77777777" w:rsidR="00ED54AC" w:rsidRDefault="00ED54AC" w:rsidP="005B0E3A">
      <w:pPr>
        <w:spacing w:before="4" w:line="220" w:lineRule="exact"/>
      </w:pPr>
    </w:p>
    <w:p w14:paraId="4D56F112" w14:textId="0FA21BAB" w:rsidR="008D3610" w:rsidRDefault="008D3610" w:rsidP="008C1547">
      <w:pPr>
        <w:rPr>
          <w:sz w:val="24"/>
          <w:szCs w:val="24"/>
        </w:rPr>
      </w:pPr>
      <w:r>
        <w:rPr>
          <w:b/>
          <w:sz w:val="24"/>
          <w:szCs w:val="24"/>
          <w:u w:val="single"/>
        </w:rPr>
        <w:t>The principal instrument</w:t>
      </w:r>
    </w:p>
    <w:p w14:paraId="4EA27C11" w14:textId="650974CE" w:rsidR="00885B82" w:rsidRPr="006B260C" w:rsidRDefault="00885B82" w:rsidP="008C1547">
      <w:pPr>
        <w:rPr>
          <w:b/>
          <w:sz w:val="24"/>
          <w:szCs w:val="24"/>
        </w:rPr>
      </w:pPr>
      <w:r w:rsidRPr="006B260C">
        <w:rPr>
          <w:b/>
          <w:sz w:val="24"/>
          <w:szCs w:val="24"/>
        </w:rPr>
        <w:t xml:space="preserve">Commencement </w:t>
      </w:r>
    </w:p>
    <w:p w14:paraId="4449BF94" w14:textId="60EE8914" w:rsidR="00AB3F17" w:rsidRDefault="00885B82" w:rsidP="001A6684">
      <w:pPr>
        <w:rPr>
          <w:sz w:val="24"/>
          <w:szCs w:val="24"/>
        </w:rPr>
      </w:pPr>
      <w:r w:rsidRPr="006B260C">
        <w:rPr>
          <w:sz w:val="24"/>
          <w:szCs w:val="24"/>
        </w:rPr>
        <w:t xml:space="preserve">Section 2 of the </w:t>
      </w:r>
      <w:r w:rsidR="0073412A">
        <w:rPr>
          <w:sz w:val="24"/>
          <w:szCs w:val="24"/>
        </w:rPr>
        <w:t xml:space="preserve">principal </w:t>
      </w:r>
      <w:r w:rsidRPr="006B260C">
        <w:rPr>
          <w:sz w:val="24"/>
          <w:szCs w:val="24"/>
        </w:rPr>
        <w:t xml:space="preserve">instrument provides that the </w:t>
      </w:r>
      <w:r w:rsidR="0073412A">
        <w:rPr>
          <w:sz w:val="24"/>
          <w:szCs w:val="24"/>
        </w:rPr>
        <w:t xml:space="preserve">principal </w:t>
      </w:r>
      <w:r w:rsidRPr="006B260C">
        <w:rPr>
          <w:sz w:val="24"/>
          <w:szCs w:val="24"/>
        </w:rPr>
        <w:t>instrument commenc</w:t>
      </w:r>
      <w:r w:rsidR="0073412A">
        <w:rPr>
          <w:sz w:val="24"/>
          <w:szCs w:val="24"/>
        </w:rPr>
        <w:t>es at the same time as the commencement of the repealing instrument</w:t>
      </w:r>
      <w:r w:rsidR="00AB3F17">
        <w:rPr>
          <w:sz w:val="24"/>
          <w:szCs w:val="24"/>
        </w:rPr>
        <w:t xml:space="preserve">, being the later </w:t>
      </w:r>
      <w:r w:rsidR="00AB3F17" w:rsidRPr="00AB3F17">
        <w:rPr>
          <w:sz w:val="24"/>
          <w:szCs w:val="24"/>
        </w:rPr>
        <w:t>of:</w:t>
      </w:r>
    </w:p>
    <w:p w14:paraId="7BE89F93" w14:textId="676FE071" w:rsidR="00AB3F17" w:rsidRPr="001A6684" w:rsidRDefault="00AB3F17" w:rsidP="00E02A92">
      <w:pPr>
        <w:pStyle w:val="ListParagraph"/>
        <w:numPr>
          <w:ilvl w:val="0"/>
          <w:numId w:val="27"/>
        </w:numPr>
        <w:rPr>
          <w:b/>
          <w:sz w:val="24"/>
          <w:szCs w:val="24"/>
        </w:rPr>
      </w:pPr>
      <w:r w:rsidRPr="001A6684">
        <w:rPr>
          <w:sz w:val="24"/>
          <w:szCs w:val="24"/>
        </w:rPr>
        <w:lastRenderedPageBreak/>
        <w:t>the gaze</w:t>
      </w:r>
      <w:r w:rsidRPr="00E02A92">
        <w:rPr>
          <w:sz w:val="24"/>
          <w:szCs w:val="24"/>
        </w:rPr>
        <w:t xml:space="preserve">ttal of the </w:t>
      </w:r>
      <w:r w:rsidRPr="001A6684">
        <w:rPr>
          <w:sz w:val="24"/>
          <w:szCs w:val="24"/>
        </w:rPr>
        <w:t>r</w:t>
      </w:r>
      <w:r>
        <w:rPr>
          <w:sz w:val="24"/>
          <w:szCs w:val="24"/>
        </w:rPr>
        <w:t>ep</w:t>
      </w:r>
      <w:r w:rsidRPr="001A6684">
        <w:rPr>
          <w:sz w:val="24"/>
          <w:szCs w:val="24"/>
        </w:rPr>
        <w:t xml:space="preserve">ealing instrument (being the date it is published in </w:t>
      </w:r>
      <w:r w:rsidR="00B75BAD">
        <w:rPr>
          <w:sz w:val="24"/>
          <w:szCs w:val="24"/>
        </w:rPr>
        <w:t>t</w:t>
      </w:r>
      <w:r w:rsidRPr="001A6684">
        <w:rPr>
          <w:sz w:val="24"/>
          <w:szCs w:val="24"/>
        </w:rPr>
        <w:t>he</w:t>
      </w:r>
      <w:r w:rsidR="00033364">
        <w:rPr>
          <w:sz w:val="24"/>
          <w:szCs w:val="24"/>
        </w:rPr>
        <w:t xml:space="preserve"> ASIC Gazette</w:t>
      </w:r>
      <w:r w:rsidRPr="003928FC">
        <w:rPr>
          <w:iCs/>
          <w:sz w:val="24"/>
          <w:szCs w:val="24"/>
        </w:rPr>
        <w:t>)</w:t>
      </w:r>
      <w:r w:rsidRPr="001A6684">
        <w:rPr>
          <w:iCs/>
          <w:sz w:val="24"/>
          <w:szCs w:val="24"/>
        </w:rPr>
        <w:t>;</w:t>
      </w:r>
      <w:r w:rsidRPr="001A6684">
        <w:rPr>
          <w:sz w:val="24"/>
          <w:szCs w:val="24"/>
        </w:rPr>
        <w:t xml:space="preserve"> and</w:t>
      </w:r>
    </w:p>
    <w:p w14:paraId="263EBD0B" w14:textId="48E3B660" w:rsidR="00AB3F17" w:rsidRPr="00D2676D" w:rsidRDefault="00AB3F17" w:rsidP="00AB3F17">
      <w:pPr>
        <w:pStyle w:val="ListParagraph"/>
        <w:numPr>
          <w:ilvl w:val="0"/>
          <w:numId w:val="27"/>
        </w:numPr>
        <w:rPr>
          <w:b/>
          <w:sz w:val="24"/>
          <w:szCs w:val="24"/>
        </w:rPr>
      </w:pPr>
      <w:r w:rsidRPr="00D2676D">
        <w:rPr>
          <w:sz w:val="24"/>
          <w:szCs w:val="24"/>
        </w:rPr>
        <w:t>the day</w:t>
      </w:r>
      <w:r>
        <w:rPr>
          <w:sz w:val="24"/>
          <w:szCs w:val="24"/>
        </w:rPr>
        <w:t xml:space="preserve"> after the repealing instrument</w:t>
      </w:r>
      <w:r w:rsidRPr="00D2676D">
        <w:rPr>
          <w:sz w:val="24"/>
          <w:szCs w:val="24"/>
        </w:rPr>
        <w:t xml:space="preserve"> is registered on the Federal Register of Legislation. </w:t>
      </w:r>
    </w:p>
    <w:p w14:paraId="039E6650" w14:textId="5BA7E026" w:rsidR="008B5A7A" w:rsidRDefault="008B5A7A" w:rsidP="00AB3F17">
      <w:pPr>
        <w:rPr>
          <w:b/>
          <w:szCs w:val="24"/>
        </w:rPr>
      </w:pPr>
      <w:r w:rsidRPr="001A6684">
        <w:rPr>
          <w:b/>
          <w:szCs w:val="24"/>
        </w:rPr>
        <w:t>Definition of 'mortgage investment scheme'</w:t>
      </w:r>
    </w:p>
    <w:p w14:paraId="1FF0317F" w14:textId="2FBE22AC" w:rsidR="008B5A7A" w:rsidRPr="00CD3C37" w:rsidRDefault="008B5A7A" w:rsidP="00AB3F17">
      <w:pPr>
        <w:rPr>
          <w:sz w:val="24"/>
          <w:szCs w:val="24"/>
        </w:rPr>
      </w:pPr>
      <w:r w:rsidRPr="00CD3C37">
        <w:rPr>
          <w:sz w:val="24"/>
          <w:szCs w:val="24"/>
        </w:rPr>
        <w:t>Section 4 defines 'mortgage investment scheme' to mean a managed investment scheme that has, or is likely to have, at least 50% of non-cash assets invested in mortgage loans, and 100% of assets invested in mortgage loans or in an account with an Australian ADI.</w:t>
      </w:r>
    </w:p>
    <w:p w14:paraId="44825586" w14:textId="54ACC8C1" w:rsidR="00AB3F17" w:rsidRDefault="00B75BAD" w:rsidP="00AB3F17">
      <w:pPr>
        <w:rPr>
          <w:b/>
          <w:sz w:val="24"/>
        </w:rPr>
      </w:pPr>
      <w:r w:rsidRPr="001A6684">
        <w:rPr>
          <w:b/>
          <w:sz w:val="24"/>
        </w:rPr>
        <w:t>Mortgage investment schemes with no more than 20 investors</w:t>
      </w:r>
    </w:p>
    <w:p w14:paraId="6DE89BFD" w14:textId="15835113" w:rsidR="00B75BAD" w:rsidRDefault="00B75BAD" w:rsidP="00AB3F17">
      <w:pPr>
        <w:rPr>
          <w:sz w:val="24"/>
        </w:rPr>
      </w:pPr>
      <w:r>
        <w:rPr>
          <w:sz w:val="24"/>
        </w:rPr>
        <w:t xml:space="preserve">Section 5 of the principal instrument remakes with changes the relief previously given by </w:t>
      </w:r>
      <w:r w:rsidR="00E02A92">
        <w:rPr>
          <w:sz w:val="24"/>
        </w:rPr>
        <w:t xml:space="preserve">Part 2 of </w:t>
      </w:r>
      <w:r w:rsidR="008B5A7A">
        <w:rPr>
          <w:sz w:val="24"/>
        </w:rPr>
        <w:t xml:space="preserve">[CO 02/238] </w:t>
      </w:r>
      <w:r w:rsidR="00F93244">
        <w:rPr>
          <w:sz w:val="24"/>
        </w:rPr>
        <w:t xml:space="preserve">in relation to </w:t>
      </w:r>
      <w:r w:rsidR="00E02A92">
        <w:rPr>
          <w:sz w:val="24"/>
        </w:rPr>
        <w:t>mortgage investment schemes with no more than 20 investors.</w:t>
      </w:r>
    </w:p>
    <w:p w14:paraId="6948CB5C" w14:textId="3D3FF986" w:rsidR="0041269A" w:rsidRDefault="0041269A" w:rsidP="00AB3F17">
      <w:pPr>
        <w:rPr>
          <w:sz w:val="24"/>
        </w:rPr>
      </w:pPr>
      <w:r>
        <w:rPr>
          <w:i/>
          <w:sz w:val="24"/>
        </w:rPr>
        <w:t>Where relief applies</w:t>
      </w:r>
    </w:p>
    <w:p w14:paraId="3E81B9CF" w14:textId="0BB6CF15" w:rsidR="000B383D" w:rsidRDefault="000B383D" w:rsidP="00AB3F17">
      <w:pPr>
        <w:rPr>
          <w:sz w:val="24"/>
        </w:rPr>
      </w:pPr>
      <w:r>
        <w:rPr>
          <w:sz w:val="24"/>
        </w:rPr>
        <w:t>Subsection 5(7) provides that the exemptions in subsections 5(1), (2), (4) and (5) (see below) are only available where all of the following are satisfied:</w:t>
      </w:r>
    </w:p>
    <w:p w14:paraId="1AA5BDFE" w14:textId="0327624D" w:rsidR="000B383D" w:rsidRDefault="000B383D" w:rsidP="001A6684">
      <w:pPr>
        <w:pStyle w:val="ListParagraph"/>
        <w:numPr>
          <w:ilvl w:val="0"/>
          <w:numId w:val="28"/>
        </w:numPr>
        <w:ind w:left="714" w:hanging="357"/>
        <w:rPr>
          <w:sz w:val="24"/>
        </w:rPr>
      </w:pPr>
      <w:r w:rsidRPr="001A6684">
        <w:rPr>
          <w:sz w:val="24"/>
        </w:rPr>
        <w:t xml:space="preserve">the </w:t>
      </w:r>
      <w:r w:rsidR="008D2FCE">
        <w:rPr>
          <w:sz w:val="24"/>
        </w:rPr>
        <w:t xml:space="preserve">mortgage investment </w:t>
      </w:r>
      <w:r w:rsidRPr="001A6684">
        <w:rPr>
          <w:sz w:val="24"/>
        </w:rPr>
        <w:t xml:space="preserve">scheme, together with any other managed investment scheme operated by the operator or by an associate of the operator that has assets invested in mortgage loans, has no more than 20 members; and </w:t>
      </w:r>
    </w:p>
    <w:p w14:paraId="1C3A1888" w14:textId="77777777" w:rsidR="000B383D" w:rsidRDefault="000B383D" w:rsidP="001A6684">
      <w:pPr>
        <w:pStyle w:val="ListParagraph"/>
        <w:numPr>
          <w:ilvl w:val="0"/>
          <w:numId w:val="28"/>
        </w:numPr>
        <w:ind w:left="714" w:hanging="357"/>
        <w:rPr>
          <w:sz w:val="24"/>
        </w:rPr>
      </w:pPr>
      <w:r w:rsidRPr="001A6684">
        <w:rPr>
          <w:sz w:val="24"/>
        </w:rPr>
        <w:t>the operator, and any associate of the operator, does not operate a mortgage investment scheme registered under section 601EB of the Act; and</w:t>
      </w:r>
    </w:p>
    <w:p w14:paraId="31685CA4" w14:textId="7BCBCEFA" w:rsidR="000B383D" w:rsidRDefault="000B383D" w:rsidP="001A6684">
      <w:pPr>
        <w:pStyle w:val="ListParagraph"/>
        <w:numPr>
          <w:ilvl w:val="0"/>
          <w:numId w:val="28"/>
        </w:numPr>
        <w:ind w:left="714" w:hanging="357"/>
        <w:rPr>
          <w:sz w:val="24"/>
        </w:rPr>
      </w:pPr>
      <w:r w:rsidRPr="001A6684">
        <w:rPr>
          <w:sz w:val="24"/>
        </w:rPr>
        <w:t>except for the scheme, together with any other managed investment scheme referred to in paragraph (a), or any managed investment scheme that forms part of those schemes, the operator is not in the business of promoting managed investment schemes.</w:t>
      </w:r>
    </w:p>
    <w:p w14:paraId="41747134" w14:textId="27ED9C49" w:rsidR="00AD7222" w:rsidRPr="001A6684" w:rsidRDefault="00AD7222" w:rsidP="00E02A92">
      <w:pPr>
        <w:rPr>
          <w:i/>
          <w:sz w:val="24"/>
        </w:rPr>
      </w:pPr>
      <w:r>
        <w:rPr>
          <w:i/>
          <w:sz w:val="24"/>
        </w:rPr>
        <w:t>Registration relief</w:t>
      </w:r>
    </w:p>
    <w:p w14:paraId="2D61D458" w14:textId="33997799" w:rsidR="008B5A7A" w:rsidRDefault="008B5A7A" w:rsidP="00AB3F17">
      <w:pPr>
        <w:rPr>
          <w:sz w:val="24"/>
        </w:rPr>
      </w:pPr>
      <w:r>
        <w:rPr>
          <w:sz w:val="24"/>
        </w:rPr>
        <w:t xml:space="preserve">Subsection 5(1) </w:t>
      </w:r>
      <w:r w:rsidR="0041269A">
        <w:rPr>
          <w:sz w:val="24"/>
        </w:rPr>
        <w:t xml:space="preserve">exempts the </w:t>
      </w:r>
      <w:r>
        <w:rPr>
          <w:sz w:val="24"/>
        </w:rPr>
        <w:t xml:space="preserve">operator of </w:t>
      </w:r>
      <w:r w:rsidR="008D2FCE">
        <w:rPr>
          <w:sz w:val="24"/>
        </w:rPr>
        <w:t>the</w:t>
      </w:r>
      <w:r>
        <w:rPr>
          <w:sz w:val="24"/>
        </w:rPr>
        <w:t xml:space="preserve"> mortgage investment scheme </w:t>
      </w:r>
      <w:r w:rsidR="0041269A">
        <w:rPr>
          <w:sz w:val="24"/>
        </w:rPr>
        <w:t>from complying</w:t>
      </w:r>
      <w:r w:rsidR="00890606">
        <w:rPr>
          <w:sz w:val="24"/>
        </w:rPr>
        <w:t xml:space="preserve"> with the requirement </w:t>
      </w:r>
      <w:r w:rsidR="00140872">
        <w:rPr>
          <w:sz w:val="24"/>
        </w:rPr>
        <w:t xml:space="preserve">to register a scheme </w:t>
      </w:r>
      <w:r w:rsidR="00890606">
        <w:rPr>
          <w:sz w:val="24"/>
        </w:rPr>
        <w:t>in subsection 601ED(5) of the Act</w:t>
      </w:r>
      <w:r w:rsidR="00CD66A5">
        <w:rPr>
          <w:sz w:val="24"/>
        </w:rPr>
        <w:t xml:space="preserve"> </w:t>
      </w:r>
      <w:r w:rsidR="00140872">
        <w:rPr>
          <w:sz w:val="24"/>
        </w:rPr>
        <w:t>i</w:t>
      </w:r>
      <w:r w:rsidR="00890606">
        <w:rPr>
          <w:sz w:val="24"/>
        </w:rPr>
        <w:t xml:space="preserve">n relation </w:t>
      </w:r>
      <w:r w:rsidR="00140872">
        <w:rPr>
          <w:sz w:val="24"/>
        </w:rPr>
        <w:t xml:space="preserve">to the operation of </w:t>
      </w:r>
      <w:r w:rsidR="00AD7222">
        <w:rPr>
          <w:sz w:val="24"/>
        </w:rPr>
        <w:t>the</w:t>
      </w:r>
      <w:r w:rsidR="00140872">
        <w:rPr>
          <w:sz w:val="24"/>
        </w:rPr>
        <w:t xml:space="preserve"> scheme.</w:t>
      </w:r>
    </w:p>
    <w:p w14:paraId="61915CF5" w14:textId="68D22E2C" w:rsidR="00AD7222" w:rsidRPr="001A6684" w:rsidRDefault="00AD7222" w:rsidP="00AB3F17">
      <w:pPr>
        <w:rPr>
          <w:i/>
          <w:sz w:val="24"/>
        </w:rPr>
      </w:pPr>
      <w:r>
        <w:rPr>
          <w:i/>
          <w:sz w:val="24"/>
        </w:rPr>
        <w:t>Licensing relief</w:t>
      </w:r>
    </w:p>
    <w:p w14:paraId="2CD6269F" w14:textId="27B4984B" w:rsidR="002474CD" w:rsidRDefault="00AD7222" w:rsidP="00AD7222">
      <w:pPr>
        <w:pStyle w:val="BodyText"/>
        <w:spacing w:before="199"/>
      </w:pPr>
      <w:r>
        <w:t xml:space="preserve">Subsection 5(2) </w:t>
      </w:r>
      <w:r w:rsidR="0041269A">
        <w:t>exempts</w:t>
      </w:r>
      <w:r>
        <w:t xml:space="preserve"> the operator of a m</w:t>
      </w:r>
      <w:r w:rsidR="002474CD">
        <w:t xml:space="preserve">ortgage investment scheme </w:t>
      </w:r>
      <w:r w:rsidR="0041269A">
        <w:t>from c</w:t>
      </w:r>
      <w:r w:rsidR="002474CD" w:rsidRPr="002474CD">
        <w:t>omply</w:t>
      </w:r>
      <w:r w:rsidR="0041269A">
        <w:t>ing</w:t>
      </w:r>
      <w:r w:rsidR="002474CD" w:rsidRPr="002474CD">
        <w:t xml:space="preserve"> with the requirement in subsection 911A(1) of the Act to hold an Australian financial services licence covering the provision of financial services in relation to interests in the scheme.</w:t>
      </w:r>
    </w:p>
    <w:p w14:paraId="2137C1B8" w14:textId="2A5A15DF" w:rsidR="00AD7222" w:rsidRDefault="00371733" w:rsidP="00AD7222">
      <w:pPr>
        <w:pStyle w:val="BodyText"/>
        <w:spacing w:before="199"/>
      </w:pPr>
      <w:r>
        <w:t>Subsection 5(3</w:t>
      </w:r>
      <w:r w:rsidR="002474CD">
        <w:t xml:space="preserve">) </w:t>
      </w:r>
      <w:r w:rsidR="0041269A">
        <w:t>exempts</w:t>
      </w:r>
      <w:r w:rsidR="002474CD">
        <w:t xml:space="preserve"> a</w:t>
      </w:r>
      <w:r w:rsidR="002474CD" w:rsidRPr="002474CD">
        <w:t xml:space="preserve"> person (other than a person to whom subsection </w:t>
      </w:r>
      <w:r>
        <w:t>5</w:t>
      </w:r>
      <w:r w:rsidR="002474CD" w:rsidRPr="002474CD">
        <w:t xml:space="preserve">(2) applies) </w:t>
      </w:r>
      <w:r w:rsidR="0041269A">
        <w:t>from complying with</w:t>
      </w:r>
      <w:r w:rsidR="002474CD" w:rsidRPr="002474CD">
        <w:t xml:space="preserve"> the requirement in subsection 911A(1) of the Act to hold an Australian financial services licence covering the provision of financial services in relation to interests in a mortgage investment scheme in relation to which paragraphs </w:t>
      </w:r>
      <w:r>
        <w:t>5</w:t>
      </w:r>
      <w:r w:rsidR="002474CD" w:rsidRPr="002474CD">
        <w:t xml:space="preserve">(7)(a) to 7(c) appear to be satisfied except where the person is aware, or </w:t>
      </w:r>
      <w:r w:rsidR="002474CD" w:rsidRPr="002474CD">
        <w:lastRenderedPageBreak/>
        <w:t>ought reasonably to be aware, that those paragraphs are not satisfied in relation to the scheme.</w:t>
      </w:r>
      <w:r w:rsidR="00AD7222">
        <w:t xml:space="preserve"> </w:t>
      </w:r>
    </w:p>
    <w:p w14:paraId="7C1BB067" w14:textId="77777777" w:rsidR="0013413D" w:rsidRDefault="0013413D" w:rsidP="00AB3F17">
      <w:pPr>
        <w:rPr>
          <w:i/>
          <w:sz w:val="24"/>
        </w:rPr>
      </w:pPr>
    </w:p>
    <w:p w14:paraId="7938D813" w14:textId="5C0FAB63" w:rsidR="00140872" w:rsidRPr="00E02A92" w:rsidRDefault="002474CD" w:rsidP="00AB3F17">
      <w:pPr>
        <w:rPr>
          <w:sz w:val="24"/>
        </w:rPr>
      </w:pPr>
      <w:r w:rsidRPr="001A6684">
        <w:rPr>
          <w:i/>
          <w:sz w:val="24"/>
        </w:rPr>
        <w:t>Hawking relief</w:t>
      </w:r>
    </w:p>
    <w:p w14:paraId="71E6DA57" w14:textId="5B88C7C3" w:rsidR="00F411EE" w:rsidRPr="00F411EE" w:rsidRDefault="00371733" w:rsidP="00F411EE">
      <w:pPr>
        <w:rPr>
          <w:sz w:val="24"/>
        </w:rPr>
      </w:pPr>
      <w:r>
        <w:rPr>
          <w:sz w:val="24"/>
        </w:rPr>
        <w:t xml:space="preserve">Subsection 5(4) </w:t>
      </w:r>
      <w:r w:rsidR="00033364">
        <w:rPr>
          <w:sz w:val="24"/>
        </w:rPr>
        <w:t>exempts</w:t>
      </w:r>
      <w:r>
        <w:rPr>
          <w:sz w:val="24"/>
        </w:rPr>
        <w:t xml:space="preserve"> the operator of a mortgage investment scheme </w:t>
      </w:r>
      <w:r w:rsidR="00033364">
        <w:rPr>
          <w:sz w:val="24"/>
        </w:rPr>
        <w:t>from complying</w:t>
      </w:r>
      <w:r w:rsidR="00F411EE">
        <w:rPr>
          <w:sz w:val="24"/>
        </w:rPr>
        <w:t xml:space="preserve"> with the hawking restrictions in section 992AA of the Act in relation to an offer </w:t>
      </w:r>
      <w:r w:rsidR="006965A6">
        <w:rPr>
          <w:sz w:val="24"/>
        </w:rPr>
        <w:t xml:space="preserve">of </w:t>
      </w:r>
      <w:r w:rsidR="00F411EE" w:rsidRPr="00F411EE">
        <w:rPr>
          <w:sz w:val="24"/>
        </w:rPr>
        <w:t>an interest in the scheme to a person in the course of, or because of:</w:t>
      </w:r>
    </w:p>
    <w:p w14:paraId="40534327" w14:textId="77777777" w:rsidR="00F411EE" w:rsidRPr="00F411EE" w:rsidRDefault="00F411EE" w:rsidP="00F411EE">
      <w:pPr>
        <w:rPr>
          <w:sz w:val="24"/>
        </w:rPr>
      </w:pPr>
      <w:r w:rsidRPr="00F411EE">
        <w:rPr>
          <w:sz w:val="24"/>
        </w:rPr>
        <w:t>(a)</w:t>
      </w:r>
      <w:r w:rsidRPr="00F411EE">
        <w:rPr>
          <w:sz w:val="24"/>
        </w:rPr>
        <w:tab/>
        <w:t>an unsolicited meeting with the person; or</w:t>
      </w:r>
    </w:p>
    <w:p w14:paraId="1641C31C" w14:textId="5543F945" w:rsidR="00371733" w:rsidRDefault="00F411EE" w:rsidP="00F411EE">
      <w:pPr>
        <w:rPr>
          <w:sz w:val="24"/>
        </w:rPr>
      </w:pPr>
      <w:r w:rsidRPr="00F411EE">
        <w:rPr>
          <w:sz w:val="24"/>
        </w:rPr>
        <w:t xml:space="preserve">(b) </w:t>
      </w:r>
      <w:r w:rsidRPr="00F411EE">
        <w:rPr>
          <w:sz w:val="24"/>
        </w:rPr>
        <w:tab/>
        <w:t>an unsolicited telephone call to the person.</w:t>
      </w:r>
    </w:p>
    <w:p w14:paraId="429965BB" w14:textId="128118C8" w:rsidR="008B5A7A" w:rsidRDefault="00A94438" w:rsidP="00AB3F17">
      <w:pPr>
        <w:rPr>
          <w:sz w:val="24"/>
        </w:rPr>
      </w:pPr>
      <w:r>
        <w:rPr>
          <w:i/>
          <w:sz w:val="24"/>
        </w:rPr>
        <w:t>Financial product disclosure relief</w:t>
      </w:r>
    </w:p>
    <w:p w14:paraId="544C69BB" w14:textId="0F7987C0" w:rsidR="00A94438" w:rsidRDefault="00B80B03" w:rsidP="00AB3F17">
      <w:pPr>
        <w:rPr>
          <w:sz w:val="24"/>
        </w:rPr>
      </w:pPr>
      <w:r>
        <w:rPr>
          <w:sz w:val="24"/>
        </w:rPr>
        <w:t>Subsection 5(5) exempts the operator of a mortgage investment scheme from complying with Part 7.9 of the Act in relation to any of the following:</w:t>
      </w:r>
    </w:p>
    <w:p w14:paraId="7930D489" w14:textId="77777777" w:rsidR="00B80B03" w:rsidRPr="001A6684" w:rsidRDefault="00B80B03" w:rsidP="00B80B03">
      <w:pPr>
        <w:rPr>
          <w:sz w:val="24"/>
        </w:rPr>
      </w:pPr>
      <w:r w:rsidRPr="001A6684">
        <w:rPr>
          <w:sz w:val="24"/>
        </w:rPr>
        <w:t>(a)</w:t>
      </w:r>
      <w:r w:rsidRPr="001A6684">
        <w:rPr>
          <w:sz w:val="24"/>
        </w:rPr>
        <w:tab/>
        <w:t>a recommendation to acquire an interest in the scheme;</w:t>
      </w:r>
    </w:p>
    <w:p w14:paraId="6156798A" w14:textId="77777777" w:rsidR="00B80B03" w:rsidRPr="001A6684" w:rsidRDefault="00B80B03" w:rsidP="00B80B03">
      <w:pPr>
        <w:rPr>
          <w:sz w:val="24"/>
        </w:rPr>
      </w:pPr>
      <w:r w:rsidRPr="001A6684">
        <w:rPr>
          <w:sz w:val="24"/>
        </w:rPr>
        <w:t>(b)</w:t>
      </w:r>
      <w:r w:rsidRPr="001A6684">
        <w:rPr>
          <w:sz w:val="24"/>
        </w:rPr>
        <w:tab/>
        <w:t>an offer to issue or sell an interest in the scheme;</w:t>
      </w:r>
    </w:p>
    <w:p w14:paraId="34505F8E" w14:textId="4D818104" w:rsidR="00B80B03" w:rsidRPr="00E02A92" w:rsidRDefault="00B80B03" w:rsidP="00B80B03">
      <w:pPr>
        <w:rPr>
          <w:sz w:val="24"/>
        </w:rPr>
      </w:pPr>
      <w:r w:rsidRPr="001A6684">
        <w:rPr>
          <w:sz w:val="24"/>
        </w:rPr>
        <w:t>(c)</w:t>
      </w:r>
      <w:r w:rsidRPr="001A6684">
        <w:rPr>
          <w:sz w:val="24"/>
        </w:rPr>
        <w:tab/>
        <w:t>the issue or sale of an interest in the scheme.</w:t>
      </w:r>
    </w:p>
    <w:p w14:paraId="6B726ED7" w14:textId="1FBD68B7" w:rsidR="00B80B03" w:rsidRPr="00B80B03" w:rsidRDefault="00B80B03" w:rsidP="00B80B03">
      <w:pPr>
        <w:pStyle w:val="BodyText"/>
        <w:rPr>
          <w:szCs w:val="24"/>
        </w:rPr>
      </w:pPr>
      <w:r>
        <w:rPr>
          <w:szCs w:val="24"/>
        </w:rPr>
        <w:t xml:space="preserve">Subsection 5(6) exempts a person </w:t>
      </w:r>
      <w:r w:rsidRPr="00B80B03">
        <w:rPr>
          <w:szCs w:val="24"/>
        </w:rPr>
        <w:t xml:space="preserve">(other than a person to whom subsection </w:t>
      </w:r>
      <w:r>
        <w:rPr>
          <w:szCs w:val="24"/>
        </w:rPr>
        <w:t>5</w:t>
      </w:r>
      <w:r w:rsidRPr="00B80B03">
        <w:rPr>
          <w:szCs w:val="24"/>
        </w:rPr>
        <w:t xml:space="preserve">(5) applies) </w:t>
      </w:r>
      <w:r>
        <w:rPr>
          <w:szCs w:val="24"/>
        </w:rPr>
        <w:t xml:space="preserve">from complying </w:t>
      </w:r>
      <w:r w:rsidRPr="00B80B03">
        <w:rPr>
          <w:szCs w:val="24"/>
        </w:rPr>
        <w:t>with Part 7.9 of the Act in relation to either of the following:</w:t>
      </w:r>
    </w:p>
    <w:p w14:paraId="20132013" w14:textId="77777777" w:rsidR="00B80B03" w:rsidRPr="00B80B03" w:rsidRDefault="00B80B03" w:rsidP="001A6684">
      <w:pPr>
        <w:pStyle w:val="BodyText"/>
        <w:spacing w:before="0" w:after="240"/>
        <w:contextualSpacing/>
        <w:rPr>
          <w:szCs w:val="24"/>
        </w:rPr>
      </w:pPr>
      <w:r w:rsidRPr="00B80B03">
        <w:rPr>
          <w:szCs w:val="24"/>
        </w:rPr>
        <w:t>(a)</w:t>
      </w:r>
      <w:r w:rsidRPr="00B80B03">
        <w:rPr>
          <w:szCs w:val="24"/>
        </w:rPr>
        <w:tab/>
        <w:t>a recommendation to acquire an interest in a mortgage investment scheme;</w:t>
      </w:r>
    </w:p>
    <w:p w14:paraId="18C23705" w14:textId="77777777" w:rsidR="00B80B03" w:rsidRPr="00B80B03" w:rsidRDefault="00B80B03" w:rsidP="001A6684">
      <w:pPr>
        <w:pStyle w:val="BodyText"/>
        <w:spacing w:before="0" w:after="240"/>
        <w:contextualSpacing/>
        <w:rPr>
          <w:szCs w:val="24"/>
        </w:rPr>
      </w:pPr>
      <w:r w:rsidRPr="00B80B03">
        <w:rPr>
          <w:szCs w:val="24"/>
        </w:rPr>
        <w:t>(b)</w:t>
      </w:r>
      <w:r w:rsidRPr="00B80B03">
        <w:rPr>
          <w:szCs w:val="24"/>
        </w:rPr>
        <w:tab/>
        <w:t>an offer to arrange the issue of an interest in a mortgage investment scheme;</w:t>
      </w:r>
    </w:p>
    <w:p w14:paraId="44599A68" w14:textId="77777777" w:rsidR="00B80B03" w:rsidRDefault="00B80B03" w:rsidP="001A6684">
      <w:pPr>
        <w:pStyle w:val="BodyText"/>
        <w:spacing w:before="0" w:after="240" w:line="240" w:lineRule="auto"/>
        <w:contextualSpacing/>
        <w:rPr>
          <w:szCs w:val="24"/>
        </w:rPr>
      </w:pPr>
    </w:p>
    <w:p w14:paraId="7E711415" w14:textId="1F44DCC1" w:rsidR="00B80B03" w:rsidRDefault="00B80B03" w:rsidP="001A6684">
      <w:pPr>
        <w:pStyle w:val="BodyText"/>
        <w:spacing w:before="0" w:after="240" w:line="240" w:lineRule="auto"/>
        <w:contextualSpacing/>
        <w:rPr>
          <w:szCs w:val="24"/>
        </w:rPr>
      </w:pPr>
      <w:r w:rsidRPr="00B80B03">
        <w:rPr>
          <w:szCs w:val="24"/>
        </w:rPr>
        <w:t xml:space="preserve">in relation to which paragraphs </w:t>
      </w:r>
      <w:r>
        <w:rPr>
          <w:szCs w:val="24"/>
        </w:rPr>
        <w:t>5</w:t>
      </w:r>
      <w:r w:rsidRPr="00B80B03">
        <w:rPr>
          <w:szCs w:val="24"/>
        </w:rPr>
        <w:t>(7)(a) to (7)(c) appear to be satisfied except where the person is aware, or ought reasonably to be aware, that those paragraphs are not satisfied in relation to the scheme.</w:t>
      </w:r>
    </w:p>
    <w:p w14:paraId="616CA00C" w14:textId="77777777" w:rsidR="00B80B03" w:rsidRDefault="00B80B03" w:rsidP="001A6684">
      <w:pPr>
        <w:pStyle w:val="BodyText"/>
        <w:spacing w:before="0" w:after="240" w:line="240" w:lineRule="auto"/>
        <w:contextualSpacing/>
        <w:rPr>
          <w:szCs w:val="24"/>
        </w:rPr>
      </w:pPr>
    </w:p>
    <w:p w14:paraId="6E78C1B7" w14:textId="654637A7" w:rsidR="00B80B03" w:rsidRPr="001A6684" w:rsidRDefault="00B80B03" w:rsidP="001A6684">
      <w:pPr>
        <w:pStyle w:val="BodyText"/>
        <w:spacing w:before="0" w:after="240" w:line="240" w:lineRule="auto"/>
        <w:contextualSpacing/>
        <w:rPr>
          <w:b/>
        </w:rPr>
      </w:pPr>
      <w:r w:rsidRPr="001A6684">
        <w:rPr>
          <w:b/>
        </w:rPr>
        <w:t>Registering a scheme in relation to individual mortgage loans</w:t>
      </w:r>
    </w:p>
    <w:p w14:paraId="01F9BFF8" w14:textId="77777777" w:rsidR="00B80B03" w:rsidRDefault="00B80B03" w:rsidP="001A6684">
      <w:pPr>
        <w:pStyle w:val="BodyText"/>
        <w:spacing w:before="0" w:after="240" w:line="240" w:lineRule="auto"/>
        <w:contextualSpacing/>
        <w:rPr>
          <w:szCs w:val="24"/>
        </w:rPr>
      </w:pPr>
    </w:p>
    <w:p w14:paraId="47768CC8" w14:textId="3ED0FEBA" w:rsidR="00B80B03" w:rsidRPr="00CD3C37" w:rsidRDefault="008B5A7A" w:rsidP="00CD3C37">
      <w:pPr>
        <w:pStyle w:val="BodyText"/>
        <w:spacing w:before="199"/>
        <w:rPr>
          <w:szCs w:val="24"/>
        </w:rPr>
      </w:pPr>
      <w:r w:rsidRPr="00CD3C37">
        <w:rPr>
          <w:szCs w:val="24"/>
        </w:rPr>
        <w:t xml:space="preserve">Section 6 of the </w:t>
      </w:r>
      <w:r w:rsidR="00B80B03" w:rsidRPr="00CD3C37">
        <w:rPr>
          <w:szCs w:val="24"/>
        </w:rPr>
        <w:t xml:space="preserve">principal instrument </w:t>
      </w:r>
      <w:r w:rsidRPr="00CD3C37">
        <w:rPr>
          <w:szCs w:val="24"/>
        </w:rPr>
        <w:t xml:space="preserve">remakes </w:t>
      </w:r>
      <w:r w:rsidR="00B80B03" w:rsidRPr="00CD3C37">
        <w:rPr>
          <w:szCs w:val="24"/>
        </w:rPr>
        <w:t xml:space="preserve">with changes </w:t>
      </w:r>
      <w:r w:rsidRPr="00CD3C37">
        <w:rPr>
          <w:szCs w:val="24"/>
        </w:rPr>
        <w:t xml:space="preserve">the relief </w:t>
      </w:r>
      <w:r w:rsidR="00B35011">
        <w:rPr>
          <w:szCs w:val="24"/>
        </w:rPr>
        <w:t xml:space="preserve">previously </w:t>
      </w:r>
      <w:r w:rsidRPr="00CD3C37">
        <w:rPr>
          <w:szCs w:val="24"/>
        </w:rPr>
        <w:t>given by</w:t>
      </w:r>
      <w:r w:rsidR="002A4D48" w:rsidRPr="00CD3C37">
        <w:rPr>
          <w:szCs w:val="24"/>
        </w:rPr>
        <w:t xml:space="preserve"> Part 3 of</w:t>
      </w:r>
      <w:r w:rsidRPr="00CD3C37">
        <w:rPr>
          <w:szCs w:val="24"/>
        </w:rPr>
        <w:t xml:space="preserve"> [CO</w:t>
      </w:r>
      <w:r w:rsidR="00F93244" w:rsidRPr="00CD3C37">
        <w:rPr>
          <w:szCs w:val="24"/>
        </w:rPr>
        <w:t xml:space="preserve"> 02/238] </w:t>
      </w:r>
      <w:r w:rsidR="00B35011">
        <w:rPr>
          <w:szCs w:val="24"/>
        </w:rPr>
        <w:t>from any requirement to register</w:t>
      </w:r>
      <w:r w:rsidR="00F93244" w:rsidRPr="00CD3C37">
        <w:rPr>
          <w:szCs w:val="24"/>
        </w:rPr>
        <w:t xml:space="preserve"> schemes in relation to each mortgage loan in relation to which a mortgage investment scheme </w:t>
      </w:r>
      <w:r w:rsidR="002A4D48" w:rsidRPr="00CD3C37">
        <w:rPr>
          <w:szCs w:val="24"/>
        </w:rPr>
        <w:t>operators.</w:t>
      </w:r>
    </w:p>
    <w:p w14:paraId="6BBFBEFE" w14:textId="0D748A53" w:rsidR="00B80B03" w:rsidRDefault="002A4D48" w:rsidP="00161623">
      <w:pPr>
        <w:pStyle w:val="BodyText"/>
        <w:spacing w:before="100" w:beforeAutospacing="1" w:after="100" w:afterAutospacing="1"/>
        <w:rPr>
          <w:szCs w:val="24"/>
        </w:rPr>
      </w:pPr>
      <w:r w:rsidRPr="00CD3C37">
        <w:rPr>
          <w:szCs w:val="24"/>
        </w:rPr>
        <w:t xml:space="preserve">Section 6 exempts </w:t>
      </w:r>
      <w:r w:rsidR="00B2439F">
        <w:rPr>
          <w:szCs w:val="24"/>
        </w:rPr>
        <w:t>the operator of a</w:t>
      </w:r>
      <w:r w:rsidRPr="00CD3C37">
        <w:rPr>
          <w:szCs w:val="24"/>
        </w:rPr>
        <w:t xml:space="preserve"> mortgage investment scheme</w:t>
      </w:r>
      <w:r w:rsidR="00B2439F">
        <w:rPr>
          <w:szCs w:val="24"/>
        </w:rPr>
        <w:t xml:space="preserve"> registered under s</w:t>
      </w:r>
      <w:r w:rsidR="00261F03">
        <w:rPr>
          <w:szCs w:val="24"/>
        </w:rPr>
        <w:t xml:space="preserve">ection </w:t>
      </w:r>
      <w:r w:rsidR="00B2439F">
        <w:rPr>
          <w:szCs w:val="24"/>
        </w:rPr>
        <w:t>601EB of the Act</w:t>
      </w:r>
      <w:r w:rsidRPr="00CD3C37">
        <w:rPr>
          <w:szCs w:val="24"/>
        </w:rPr>
        <w:t xml:space="preserve"> from complying with the requirement to register a scheme in subsection 601ED(5) of the Act</w:t>
      </w:r>
      <w:r w:rsidR="00044F71" w:rsidRPr="00CD3C37">
        <w:rPr>
          <w:szCs w:val="24"/>
        </w:rPr>
        <w:t xml:space="preserve"> to the extent that s</w:t>
      </w:r>
      <w:r w:rsidR="002C7815">
        <w:rPr>
          <w:szCs w:val="24"/>
        </w:rPr>
        <w:t xml:space="preserve">ubsection </w:t>
      </w:r>
      <w:r w:rsidR="00044F71" w:rsidRPr="00CD3C37">
        <w:rPr>
          <w:szCs w:val="24"/>
        </w:rPr>
        <w:t>601ED(5) would require the operator to register a scheme in relation to each mortgage loan in relation to which the scheme operates.</w:t>
      </w:r>
    </w:p>
    <w:p w14:paraId="7C3B2C67" w14:textId="77777777" w:rsidR="00161623" w:rsidRPr="00CD3C37" w:rsidRDefault="00161623" w:rsidP="00161623">
      <w:pPr>
        <w:pStyle w:val="BodyText"/>
        <w:spacing w:before="100" w:beforeAutospacing="1" w:after="100" w:afterAutospacing="1"/>
        <w:rPr>
          <w:szCs w:val="24"/>
        </w:rPr>
      </w:pPr>
    </w:p>
    <w:p w14:paraId="17E56C0E" w14:textId="77777777" w:rsidR="00044F71" w:rsidRDefault="00044F71" w:rsidP="00161623">
      <w:pPr>
        <w:pStyle w:val="LI-Heading2"/>
        <w:spacing w:before="100" w:beforeAutospacing="1" w:after="100" w:afterAutospacing="1"/>
        <w:contextualSpacing/>
      </w:pPr>
      <w:bookmarkStart w:id="13" w:name="_Toc485127169"/>
      <w:r>
        <w:lastRenderedPageBreak/>
        <w:t>Small industry-supervised mortgage investment schemes</w:t>
      </w:r>
      <w:bookmarkEnd w:id="13"/>
      <w:r w:rsidDel="001D52F6">
        <w:t xml:space="preserve"> </w:t>
      </w:r>
    </w:p>
    <w:p w14:paraId="28392644" w14:textId="0CE2F7F5" w:rsidR="00044F71" w:rsidRPr="00CD3C37" w:rsidRDefault="00044F71" w:rsidP="00CD3C37">
      <w:pPr>
        <w:spacing w:before="199" w:after="0" w:line="300" w:lineRule="atLeast"/>
        <w:rPr>
          <w:sz w:val="24"/>
          <w:szCs w:val="24"/>
        </w:rPr>
      </w:pPr>
      <w:r w:rsidRPr="00CD3C37">
        <w:rPr>
          <w:sz w:val="24"/>
          <w:szCs w:val="24"/>
        </w:rPr>
        <w:t xml:space="preserve">Section 7 of the principal </w:t>
      </w:r>
      <w:r w:rsidR="002271F8" w:rsidRPr="00CD3C37">
        <w:rPr>
          <w:sz w:val="24"/>
          <w:szCs w:val="24"/>
        </w:rPr>
        <w:t>instrument temporarily continues</w:t>
      </w:r>
      <w:r w:rsidRPr="00CD3C37">
        <w:rPr>
          <w:sz w:val="24"/>
          <w:szCs w:val="24"/>
        </w:rPr>
        <w:t xml:space="preserve"> the relief given by Part 4 of [CO 02/238] in relation to small, industry-supervised mortgage investment schemes.</w:t>
      </w:r>
    </w:p>
    <w:p w14:paraId="6ED105AD" w14:textId="128F9859" w:rsidR="00044F71" w:rsidRPr="00CD3C37" w:rsidRDefault="00827708" w:rsidP="00CD3C37">
      <w:pPr>
        <w:spacing w:before="199" w:after="0" w:line="300" w:lineRule="atLeast"/>
        <w:rPr>
          <w:sz w:val="24"/>
          <w:szCs w:val="24"/>
        </w:rPr>
      </w:pPr>
      <w:r w:rsidRPr="00CD3C37">
        <w:rPr>
          <w:sz w:val="24"/>
          <w:szCs w:val="24"/>
        </w:rPr>
        <w:t>Subsection 7(1) provides that the relevant exemption in [CO 02/238], as in force immediately before its repeal by the repealing instrument, continues to apply in the circumstances and on the conditions specified in relation to the exemption.</w:t>
      </w:r>
    </w:p>
    <w:p w14:paraId="29D7F692" w14:textId="27913FD1" w:rsidR="00827708" w:rsidRDefault="00C73C0B" w:rsidP="00EA381E">
      <w:pPr>
        <w:spacing w:before="199" w:line="300" w:lineRule="atLeast"/>
        <w:rPr>
          <w:sz w:val="24"/>
          <w:szCs w:val="24"/>
        </w:rPr>
      </w:pPr>
      <w:r w:rsidRPr="00CD3C37">
        <w:rPr>
          <w:sz w:val="24"/>
          <w:szCs w:val="24"/>
        </w:rPr>
        <w:t>Subsection 7(2) provides that subsection 7</w:t>
      </w:r>
      <w:r w:rsidR="00BD29FF" w:rsidRPr="00CD3C37">
        <w:rPr>
          <w:sz w:val="24"/>
          <w:szCs w:val="24"/>
        </w:rPr>
        <w:t xml:space="preserve">(1) </w:t>
      </w:r>
      <w:r w:rsidR="008D0758">
        <w:rPr>
          <w:sz w:val="24"/>
          <w:szCs w:val="24"/>
        </w:rPr>
        <w:t xml:space="preserve">(i.e. the extension of relief) </w:t>
      </w:r>
      <w:r w:rsidR="00BD29FF" w:rsidRPr="00CD3C37">
        <w:rPr>
          <w:sz w:val="24"/>
          <w:szCs w:val="24"/>
        </w:rPr>
        <w:t>has effect for a period of one</w:t>
      </w:r>
      <w:r w:rsidRPr="00CD3C37">
        <w:rPr>
          <w:sz w:val="24"/>
          <w:szCs w:val="24"/>
        </w:rPr>
        <w:t xml:space="preserve"> year commencing on the day the principal instrument commences. </w:t>
      </w:r>
      <w:r w:rsidR="00BD29FF" w:rsidRPr="00CD3C37">
        <w:rPr>
          <w:sz w:val="24"/>
          <w:szCs w:val="24"/>
        </w:rPr>
        <w:t xml:space="preserve"> </w:t>
      </w:r>
      <w:r w:rsidR="005B6017">
        <w:rPr>
          <w:sz w:val="24"/>
          <w:szCs w:val="24"/>
        </w:rPr>
        <w:t>This means that the continuation of relief under section 7 of the principal instrument will cease after one year from the commencement of the principal instrument.</w:t>
      </w:r>
      <w:r w:rsidRPr="00CD3C37">
        <w:rPr>
          <w:sz w:val="24"/>
          <w:szCs w:val="24"/>
        </w:rPr>
        <w:t xml:space="preserve">  </w:t>
      </w:r>
    </w:p>
    <w:p w14:paraId="55C82449" w14:textId="22025015" w:rsidR="00B71F6E" w:rsidRDefault="00BD29FF" w:rsidP="001A6684">
      <w:pPr>
        <w:rPr>
          <w:sz w:val="18"/>
        </w:rPr>
      </w:pPr>
      <w:r>
        <w:rPr>
          <w:sz w:val="18"/>
        </w:rPr>
        <w:t xml:space="preserve">Note: </w:t>
      </w:r>
      <w:r w:rsidR="00AC75AC">
        <w:rPr>
          <w:sz w:val="18"/>
        </w:rPr>
        <w:t xml:space="preserve">Section 7 continues the relevant exemption </w:t>
      </w:r>
      <w:r>
        <w:rPr>
          <w:sz w:val="18"/>
        </w:rPr>
        <w:t xml:space="preserve">for </w:t>
      </w:r>
      <w:r w:rsidR="006C114D">
        <w:rPr>
          <w:sz w:val="18"/>
        </w:rPr>
        <w:t>one</w:t>
      </w:r>
      <w:r>
        <w:rPr>
          <w:sz w:val="18"/>
        </w:rPr>
        <w:t xml:space="preserve"> year</w:t>
      </w:r>
      <w:r w:rsidR="00AC75AC">
        <w:rPr>
          <w:sz w:val="18"/>
        </w:rPr>
        <w:t xml:space="preserve"> in the circumstances and on the conditions specified in the relevant exemption. This includes the requirement that the </w:t>
      </w:r>
      <w:r>
        <w:rPr>
          <w:sz w:val="18"/>
        </w:rPr>
        <w:t xml:space="preserve">mortgage investment </w:t>
      </w:r>
      <w:r w:rsidR="00AC75AC">
        <w:rPr>
          <w:sz w:val="18"/>
        </w:rPr>
        <w:t xml:space="preserve">scheme be </w:t>
      </w:r>
      <w:r>
        <w:rPr>
          <w:sz w:val="18"/>
        </w:rPr>
        <w:t xml:space="preserve">operated under the supervision of an industry supervisory body. This means that </w:t>
      </w:r>
      <w:r w:rsidR="00B71F6E">
        <w:rPr>
          <w:sz w:val="18"/>
        </w:rPr>
        <w:t xml:space="preserve">the relief will cease to apply where the scheme is not operated under the supervision of </w:t>
      </w:r>
      <w:r w:rsidR="005B6017">
        <w:rPr>
          <w:sz w:val="18"/>
        </w:rPr>
        <w:t>a relevant industry supervisory body</w:t>
      </w:r>
      <w:r w:rsidR="00B71F6E">
        <w:rPr>
          <w:sz w:val="18"/>
        </w:rPr>
        <w:t>, for example because the laws of a State of Territory prohibit the operation of a managed investment scheme by persons who would be supervised by the body.</w:t>
      </w:r>
    </w:p>
    <w:p w14:paraId="0DB8EA21" w14:textId="77777777" w:rsidR="002271F8" w:rsidRPr="005D3D41" w:rsidRDefault="002271F8" w:rsidP="001A6684">
      <w:pPr>
        <w:pStyle w:val="LI-Heading2"/>
        <w:spacing w:before="0" w:after="240"/>
        <w:contextualSpacing/>
      </w:pPr>
      <w:bookmarkStart w:id="14" w:name="_Toc485127171"/>
      <w:r>
        <w:t>Withdrawal rights for registered mortgage investment schemes</w:t>
      </w:r>
      <w:bookmarkEnd w:id="14"/>
    </w:p>
    <w:p w14:paraId="136D69B2" w14:textId="1C615C10" w:rsidR="009E5E95" w:rsidRDefault="002271F8" w:rsidP="001A6684">
      <w:pPr>
        <w:contextualSpacing/>
        <w:rPr>
          <w:sz w:val="24"/>
        </w:rPr>
      </w:pPr>
      <w:r w:rsidRPr="001A6684">
        <w:rPr>
          <w:sz w:val="24"/>
          <w:szCs w:val="24"/>
        </w:rPr>
        <w:t xml:space="preserve">Section 8 of the principal instrument </w:t>
      </w:r>
      <w:r w:rsidRPr="009E5E95">
        <w:rPr>
          <w:sz w:val="24"/>
          <w:szCs w:val="24"/>
        </w:rPr>
        <w:t xml:space="preserve">remakes with changes the relief previously given by Part </w:t>
      </w:r>
      <w:r w:rsidR="008C1340" w:rsidRPr="009E5E95">
        <w:rPr>
          <w:sz w:val="24"/>
          <w:szCs w:val="24"/>
        </w:rPr>
        <w:t>6</w:t>
      </w:r>
      <w:r w:rsidRPr="009E5E95">
        <w:rPr>
          <w:sz w:val="24"/>
          <w:szCs w:val="24"/>
        </w:rPr>
        <w:t xml:space="preserve"> of [CO 02/238] in </w:t>
      </w:r>
      <w:r w:rsidR="009E5E95" w:rsidRPr="009E5E95">
        <w:rPr>
          <w:sz w:val="24"/>
          <w:szCs w:val="24"/>
        </w:rPr>
        <w:t>relation to withdrawal rights from a registered scheme that relates to different mortgages in</w:t>
      </w:r>
      <w:r w:rsidR="009E5E95" w:rsidRPr="001A6684">
        <w:rPr>
          <w:sz w:val="28"/>
        </w:rPr>
        <w:t xml:space="preserve"> </w:t>
      </w:r>
      <w:r w:rsidR="009E5E95">
        <w:rPr>
          <w:sz w:val="24"/>
        </w:rPr>
        <w:t>which particular members have an interest.</w:t>
      </w:r>
    </w:p>
    <w:p w14:paraId="0A087A09" w14:textId="77777777" w:rsidR="00013E58" w:rsidRDefault="00013E58" w:rsidP="001A6684">
      <w:pPr>
        <w:contextualSpacing/>
        <w:rPr>
          <w:sz w:val="24"/>
        </w:rPr>
      </w:pPr>
    </w:p>
    <w:p w14:paraId="79CD7A78" w14:textId="275C29E9" w:rsidR="004434E0" w:rsidRDefault="00BC62A1" w:rsidP="001A6684">
      <w:pPr>
        <w:contextualSpacing/>
        <w:rPr>
          <w:sz w:val="24"/>
        </w:rPr>
      </w:pPr>
      <w:r>
        <w:rPr>
          <w:sz w:val="24"/>
        </w:rPr>
        <w:t xml:space="preserve">Section 8 modifies </w:t>
      </w:r>
      <w:r w:rsidR="004434E0">
        <w:rPr>
          <w:sz w:val="24"/>
        </w:rPr>
        <w:t xml:space="preserve">how </w:t>
      </w:r>
      <w:r>
        <w:rPr>
          <w:sz w:val="24"/>
        </w:rPr>
        <w:t>Chapter 5C of the Act</w:t>
      </w:r>
      <w:r w:rsidR="004434E0">
        <w:rPr>
          <w:sz w:val="24"/>
        </w:rPr>
        <w:t xml:space="preserve"> applies to all persons</w:t>
      </w:r>
      <w:r>
        <w:rPr>
          <w:sz w:val="24"/>
        </w:rPr>
        <w:t xml:space="preserve"> in relation to a mortgage investment scheme in respect of which the operator has relie</w:t>
      </w:r>
      <w:r w:rsidR="0013413D">
        <w:rPr>
          <w:sz w:val="24"/>
        </w:rPr>
        <w:t>d</w:t>
      </w:r>
      <w:r>
        <w:rPr>
          <w:sz w:val="24"/>
        </w:rPr>
        <w:t xml:space="preserve"> on the exemp</w:t>
      </w:r>
      <w:r w:rsidR="00747B59">
        <w:rPr>
          <w:sz w:val="24"/>
        </w:rPr>
        <w:t>tion in section 6</w:t>
      </w:r>
      <w:r w:rsidR="007B00DA">
        <w:rPr>
          <w:sz w:val="24"/>
        </w:rPr>
        <w:t xml:space="preserve"> of the princi</w:t>
      </w:r>
      <w:r>
        <w:rPr>
          <w:sz w:val="24"/>
        </w:rPr>
        <w:t>p</w:t>
      </w:r>
      <w:r w:rsidR="007B00DA">
        <w:rPr>
          <w:sz w:val="24"/>
        </w:rPr>
        <w:t>a</w:t>
      </w:r>
      <w:r>
        <w:rPr>
          <w:sz w:val="24"/>
        </w:rPr>
        <w:t>l instrument.</w:t>
      </w:r>
      <w:r w:rsidR="004434E0">
        <w:rPr>
          <w:sz w:val="24"/>
        </w:rPr>
        <w:t xml:space="preserve"> Specifically, </w:t>
      </w:r>
      <w:r w:rsidR="00747B59">
        <w:rPr>
          <w:sz w:val="24"/>
        </w:rPr>
        <w:t xml:space="preserve">section 8 provides that </w:t>
      </w:r>
      <w:r w:rsidR="004434E0">
        <w:rPr>
          <w:sz w:val="24"/>
        </w:rPr>
        <w:t>Chapter 5C applies as if subsection 601GA(4) and Part 5C.6 were modified or varied as follows:</w:t>
      </w:r>
    </w:p>
    <w:p w14:paraId="5B1F7ED9" w14:textId="3442F12C" w:rsidR="00747B59" w:rsidRDefault="00747B59" w:rsidP="00C467B0">
      <w:pPr>
        <w:pStyle w:val="LI-BodyTextParaa"/>
        <w:ind w:left="567"/>
      </w:pPr>
      <w:r>
        <w:t>(a)</w:t>
      </w:r>
      <w:r>
        <w:tab/>
        <w:t xml:space="preserve">after “members” (wherever appearing, other than </w:t>
      </w:r>
      <w:r w:rsidR="005E3ED6">
        <w:t xml:space="preserve">at the end of subsection 601GA(4), </w:t>
      </w:r>
      <w:r>
        <w:t xml:space="preserve">in paragraph 601KB(2)(b), </w:t>
      </w:r>
      <w:r w:rsidR="005E3ED6">
        <w:t xml:space="preserve">in </w:t>
      </w:r>
      <w:r>
        <w:t xml:space="preserve">subsection 601KB(4) and </w:t>
      </w:r>
      <w:r w:rsidR="005E3ED6">
        <w:t xml:space="preserve">in </w:t>
      </w:r>
      <w:r>
        <w:t>section 601KE), inserting:</w:t>
      </w:r>
    </w:p>
    <w:p w14:paraId="54BD5566" w14:textId="0ABA6CBE" w:rsidR="00C467B0" w:rsidRDefault="00C467B0" w:rsidP="00C467B0">
      <w:pPr>
        <w:pStyle w:val="LI-BodyTextParaa"/>
        <w:ind w:left="851" w:hanging="284"/>
      </w:pPr>
      <w:r>
        <w:t xml:space="preserve">(i) </w:t>
      </w:r>
      <w:r w:rsidR="00747B59">
        <w:t>i</w:t>
      </w:r>
      <w:r>
        <w:t xml:space="preserve">n subsection 601KB(1) (wherever </w:t>
      </w:r>
      <w:r w:rsidR="00747B59">
        <w:t>appearing) and in the formula in section 601KD:</w:t>
      </w:r>
    </w:p>
    <w:p w14:paraId="078047B1" w14:textId="7E820B62" w:rsidR="00747B59" w:rsidRDefault="00747B59" w:rsidP="00C467B0">
      <w:pPr>
        <w:pStyle w:val="LI-BodyTextParaa"/>
        <w:ind w:left="1134" w:firstLine="284"/>
      </w:pPr>
      <w:r>
        <w:t>“who have an interest in the particular mortgage loan”; and</w:t>
      </w:r>
    </w:p>
    <w:p w14:paraId="5F4AF916" w14:textId="1D508B5A" w:rsidR="00747B59" w:rsidRDefault="00C467B0" w:rsidP="00C467B0">
      <w:pPr>
        <w:pStyle w:val="LI-BodyTextParaa"/>
        <w:ind w:left="2268" w:hanging="1701"/>
      </w:pPr>
      <w:r>
        <w:t xml:space="preserve">(ii) </w:t>
      </w:r>
      <w:r w:rsidR="00747B59">
        <w:t xml:space="preserve">otherwise, </w:t>
      </w:r>
      <w:r>
        <w:t>'</w:t>
      </w:r>
      <w:r w:rsidR="00747B59">
        <w:t xml:space="preserve">who have an interest in a particular mortgage loan”; </w:t>
      </w:r>
    </w:p>
    <w:p w14:paraId="5A42AC23" w14:textId="77777777" w:rsidR="00747B59" w:rsidRDefault="00747B59" w:rsidP="00C467B0">
      <w:pPr>
        <w:pStyle w:val="LI-BodyTextParaa"/>
        <w:ind w:left="567"/>
      </w:pPr>
      <w:r>
        <w:t xml:space="preserve">(b) </w:t>
      </w:r>
      <w:r>
        <w:tab/>
        <w:t xml:space="preserve">in paragraph 601KB(2)(b), after “members of the scheme” and “members of a particular class”, inserting “who have an interest in the particular mortgage loan”; </w:t>
      </w:r>
    </w:p>
    <w:p w14:paraId="4AD2B12D" w14:textId="77777777" w:rsidR="00747B59" w:rsidRDefault="00747B59" w:rsidP="00C467B0">
      <w:pPr>
        <w:pStyle w:val="LI-BodyTextParaa"/>
        <w:ind w:left="567"/>
      </w:pPr>
      <w:r>
        <w:t>(c)</w:t>
      </w:r>
      <w:r>
        <w:tab/>
        <w:t xml:space="preserve">in subsection 601KA(3), after “member” , inserting “who has an interest in a particular mortgage loan”; </w:t>
      </w:r>
    </w:p>
    <w:p w14:paraId="0FE3EBDC" w14:textId="77777777" w:rsidR="00747B59" w:rsidRDefault="00747B59" w:rsidP="00C467B0">
      <w:pPr>
        <w:pStyle w:val="LI-BodyTextParaa"/>
        <w:ind w:left="567"/>
      </w:pPr>
      <w:r>
        <w:lastRenderedPageBreak/>
        <w:t>(d)</w:t>
      </w:r>
      <w:r>
        <w:tab/>
        <w:t xml:space="preserve">in the formula in section 601KD, after “member”, inserting “who has an interest in the particular mortgage loan”; </w:t>
      </w:r>
    </w:p>
    <w:p w14:paraId="35DC089A" w14:textId="77777777" w:rsidR="00747B59" w:rsidRDefault="00747B59" w:rsidP="00C467B0">
      <w:pPr>
        <w:pStyle w:val="LI-BodyTextParaa"/>
        <w:ind w:left="567"/>
      </w:pPr>
      <w:r>
        <w:t>(e)</w:t>
      </w:r>
      <w:r>
        <w:tab/>
        <w:t xml:space="preserve">after “withdraw from the scheme” (wherever appearing) and “withdraw, wholly or partly, from the scheme” (in subsection 601KB(1)), inserting “in relation to the particular mortgage loan”; </w:t>
      </w:r>
    </w:p>
    <w:p w14:paraId="5542BFD4" w14:textId="77777777" w:rsidR="00747B59" w:rsidRDefault="00747B59" w:rsidP="00C467B0">
      <w:pPr>
        <w:pStyle w:val="LI-BodyTextParaa"/>
        <w:ind w:left="567"/>
      </w:pPr>
      <w:r>
        <w:t>(f)</w:t>
      </w:r>
      <w:r>
        <w:tab/>
        <w:t xml:space="preserve">after “scheme is liquid” (wherever appearing), inserting </w:t>
      </w:r>
    </w:p>
    <w:p w14:paraId="7CC61795" w14:textId="77777777" w:rsidR="00747B59" w:rsidRDefault="00747B59" w:rsidP="00C467B0">
      <w:pPr>
        <w:pStyle w:val="LI-BodyTextParaa"/>
        <w:ind w:left="851" w:hanging="284"/>
      </w:pPr>
      <w:r>
        <w:t>(i)</w:t>
      </w:r>
      <w:r>
        <w:tab/>
        <w:t>in subsection 601KA(4), “in relation to a particular mortgage loan”; and</w:t>
      </w:r>
    </w:p>
    <w:p w14:paraId="56839ABA" w14:textId="3FC3890E" w:rsidR="00747B59" w:rsidRDefault="00C467B0" w:rsidP="00C467B0">
      <w:pPr>
        <w:pStyle w:val="LI-BodyTextParaa"/>
        <w:ind w:left="851" w:hanging="284"/>
      </w:pPr>
      <w:r>
        <w:t xml:space="preserve">(ii) </w:t>
      </w:r>
      <w:r w:rsidR="00747B59">
        <w:t>otherwise, “in relation to the particular mortgage loan”;</w:t>
      </w:r>
    </w:p>
    <w:p w14:paraId="11D3A51E" w14:textId="77777777" w:rsidR="00747B59" w:rsidRDefault="00747B59" w:rsidP="00C467B0">
      <w:pPr>
        <w:pStyle w:val="LI-BodyTextParaa"/>
        <w:ind w:left="567"/>
      </w:pPr>
      <w:r>
        <w:t>(g)</w:t>
      </w:r>
      <w:r>
        <w:tab/>
        <w:t xml:space="preserve">after “scheme is not liquid” (wherever appearing) and “scheme that is not liquid” (wherever appearing), inserting: </w:t>
      </w:r>
    </w:p>
    <w:p w14:paraId="7F7237AD" w14:textId="77777777" w:rsidR="00747B59" w:rsidRDefault="00747B59" w:rsidP="00C467B0">
      <w:pPr>
        <w:pStyle w:val="LI-BodyTextParaa"/>
        <w:ind w:left="851" w:hanging="284"/>
      </w:pPr>
      <w:r>
        <w:t>(i)</w:t>
      </w:r>
      <w:r>
        <w:tab/>
        <w:t>in subsection 601KB(1) and sections 601KC, 601KD and 601KE, “in relation to a particular mortgage loan”; and</w:t>
      </w:r>
    </w:p>
    <w:p w14:paraId="5BCEE880" w14:textId="3B5D1309" w:rsidR="00747B59" w:rsidRDefault="00C467B0" w:rsidP="00C467B0">
      <w:pPr>
        <w:pStyle w:val="LI-BodyTextParaa"/>
        <w:ind w:left="851" w:hanging="284"/>
      </w:pPr>
      <w:r>
        <w:t xml:space="preserve">(ii) </w:t>
      </w:r>
      <w:r w:rsidR="00747B59">
        <w:t>otherwise, “in relation to the particular mortgage loan”;</w:t>
      </w:r>
    </w:p>
    <w:p w14:paraId="2BBA4BB2" w14:textId="77777777" w:rsidR="00747B59" w:rsidRDefault="00747B59" w:rsidP="00C467B0">
      <w:pPr>
        <w:pStyle w:val="LI-BodyTextParaa"/>
        <w:ind w:left="567"/>
      </w:pPr>
      <w:r>
        <w:t>(h)</w:t>
      </w:r>
      <w:r>
        <w:tab/>
        <w:t>in subsection 601KA(4), after “liquid assets”, inserting “in relation to the particular mortgage loan”;</w:t>
      </w:r>
    </w:p>
    <w:p w14:paraId="24F6B34C" w14:textId="77777777" w:rsidR="00747B59" w:rsidRDefault="00747B59" w:rsidP="00C467B0">
      <w:pPr>
        <w:pStyle w:val="LI-BodyTextParaa"/>
        <w:ind w:left="567"/>
      </w:pPr>
      <w:r>
        <w:t>(i)</w:t>
      </w:r>
      <w:r>
        <w:tab/>
        <w:t>in subsections 601KA(5) and (6), after “liquid assets” and “liquid asset”, inserting “in relation to a particular mortgage loan”;</w:t>
      </w:r>
    </w:p>
    <w:p w14:paraId="274936F7" w14:textId="37338E1F" w:rsidR="00747B59" w:rsidRDefault="00747B59" w:rsidP="00C467B0">
      <w:pPr>
        <w:pStyle w:val="LI-BodyTextParaa"/>
        <w:ind w:left="567"/>
      </w:pPr>
      <w:r>
        <w:t>(j)</w:t>
      </w:r>
      <w:r>
        <w:tab/>
        <w:t xml:space="preserve">in subsection 601KA(4), </w:t>
      </w:r>
      <w:r w:rsidR="005E3ED6">
        <w:t xml:space="preserve">after </w:t>
      </w:r>
      <w:r>
        <w:t xml:space="preserve">“scheme property.”, </w:t>
      </w:r>
      <w:r w:rsidR="005E3ED6">
        <w:t>inserting "in relation to the particular mortgage loan"</w:t>
      </w:r>
      <w:r w:rsidR="0020591A">
        <w:t>.</w:t>
      </w:r>
      <w:r>
        <w:t>:</w:t>
      </w:r>
    </w:p>
    <w:p w14:paraId="5A85F0D7" w14:textId="77777777" w:rsidR="00747B59" w:rsidRDefault="00747B59" w:rsidP="00747B59">
      <w:pPr>
        <w:contextualSpacing/>
        <w:rPr>
          <w:sz w:val="24"/>
        </w:rPr>
      </w:pPr>
    </w:p>
    <w:p w14:paraId="590C17A8" w14:textId="3DC1231D" w:rsidR="008D3610" w:rsidRDefault="008D3610" w:rsidP="001A6684">
      <w:pPr>
        <w:spacing w:line="262" w:lineRule="auto"/>
        <w:contextualSpacing/>
        <w:rPr>
          <w:b/>
          <w:sz w:val="24"/>
          <w:szCs w:val="24"/>
          <w:u w:val="single"/>
          <w:lang w:eastAsia="en-US"/>
        </w:rPr>
      </w:pPr>
      <w:r>
        <w:rPr>
          <w:b/>
          <w:sz w:val="24"/>
          <w:szCs w:val="24"/>
          <w:u w:val="single"/>
          <w:lang w:eastAsia="en-US"/>
        </w:rPr>
        <w:t>The repealing instrument</w:t>
      </w:r>
    </w:p>
    <w:p w14:paraId="7F26C43D" w14:textId="6064D84D" w:rsidR="0073412A" w:rsidRDefault="0073412A" w:rsidP="001A6684">
      <w:pPr>
        <w:pStyle w:val="BodyText"/>
        <w:spacing w:before="0" w:after="240" w:line="240" w:lineRule="auto"/>
        <w:contextualSpacing/>
        <w:rPr>
          <w:b/>
          <w:szCs w:val="24"/>
        </w:rPr>
      </w:pPr>
      <w:r>
        <w:rPr>
          <w:b/>
          <w:szCs w:val="24"/>
        </w:rPr>
        <w:t>Commencement</w:t>
      </w:r>
    </w:p>
    <w:p w14:paraId="75D48D9D" w14:textId="3E37B994" w:rsidR="00AB3F17" w:rsidRDefault="0073412A" w:rsidP="001A6684">
      <w:pPr>
        <w:contextualSpacing/>
        <w:rPr>
          <w:sz w:val="24"/>
          <w:szCs w:val="24"/>
        </w:rPr>
      </w:pPr>
      <w:r>
        <w:rPr>
          <w:sz w:val="24"/>
          <w:szCs w:val="24"/>
        </w:rPr>
        <w:t xml:space="preserve">Section 2 of the repealing instrument provides that the repealing instrument commences on the later </w:t>
      </w:r>
      <w:r w:rsidR="00EA381E">
        <w:rPr>
          <w:sz w:val="24"/>
          <w:szCs w:val="24"/>
        </w:rPr>
        <w:t>of:</w:t>
      </w:r>
    </w:p>
    <w:p w14:paraId="0882B21A" w14:textId="263CBADE" w:rsidR="00AB3F17" w:rsidRPr="001A6684" w:rsidRDefault="00EA381E" w:rsidP="001A6684">
      <w:pPr>
        <w:pStyle w:val="ListParagraph"/>
        <w:numPr>
          <w:ilvl w:val="0"/>
          <w:numId w:val="26"/>
        </w:numPr>
        <w:rPr>
          <w:b/>
          <w:sz w:val="24"/>
          <w:szCs w:val="24"/>
        </w:rPr>
      </w:pPr>
      <w:r>
        <w:rPr>
          <w:sz w:val="24"/>
          <w:szCs w:val="24"/>
        </w:rPr>
        <w:t>the day of i</w:t>
      </w:r>
      <w:r w:rsidR="0073412A" w:rsidRPr="001A6684">
        <w:rPr>
          <w:sz w:val="24"/>
          <w:szCs w:val="24"/>
        </w:rPr>
        <w:t>ts gazettal</w:t>
      </w:r>
      <w:r w:rsidR="00426811" w:rsidRPr="001A6684">
        <w:rPr>
          <w:sz w:val="24"/>
          <w:szCs w:val="24"/>
        </w:rPr>
        <w:t xml:space="preserve"> (being the date it is published in</w:t>
      </w:r>
      <w:r w:rsidR="00033364">
        <w:rPr>
          <w:sz w:val="24"/>
          <w:szCs w:val="24"/>
        </w:rPr>
        <w:t xml:space="preserve"> the ASIC Gazette</w:t>
      </w:r>
      <w:r>
        <w:rPr>
          <w:iCs/>
          <w:sz w:val="24"/>
          <w:szCs w:val="24"/>
        </w:rPr>
        <w:t>);</w:t>
      </w:r>
      <w:r w:rsidR="0073412A" w:rsidRPr="001A6684">
        <w:rPr>
          <w:sz w:val="24"/>
          <w:szCs w:val="24"/>
        </w:rPr>
        <w:t xml:space="preserve"> and</w:t>
      </w:r>
    </w:p>
    <w:p w14:paraId="5EE08F65" w14:textId="628135E0" w:rsidR="0073412A" w:rsidRPr="001A6684" w:rsidRDefault="0073412A" w:rsidP="001A6684">
      <w:pPr>
        <w:pStyle w:val="ListParagraph"/>
        <w:numPr>
          <w:ilvl w:val="0"/>
          <w:numId w:val="26"/>
        </w:numPr>
        <w:rPr>
          <w:b/>
          <w:sz w:val="24"/>
          <w:szCs w:val="24"/>
        </w:rPr>
      </w:pPr>
      <w:r w:rsidRPr="001A6684">
        <w:rPr>
          <w:sz w:val="24"/>
          <w:szCs w:val="24"/>
        </w:rPr>
        <w:t xml:space="preserve">the day after it is registered on the Federal Register of Legislation. </w:t>
      </w:r>
    </w:p>
    <w:p w14:paraId="17CAEC86" w14:textId="14C7E3E2" w:rsidR="0073412A" w:rsidRPr="00E02A92" w:rsidRDefault="0073412A" w:rsidP="001A6684">
      <w:pPr>
        <w:pStyle w:val="BodyText"/>
        <w:spacing w:before="0" w:after="240" w:line="240" w:lineRule="auto"/>
        <w:contextualSpacing/>
        <w:rPr>
          <w:b/>
          <w:szCs w:val="24"/>
        </w:rPr>
      </w:pPr>
      <w:r w:rsidRPr="001A6684">
        <w:rPr>
          <w:b/>
          <w:szCs w:val="24"/>
        </w:rPr>
        <w:t>Repeal</w:t>
      </w:r>
    </w:p>
    <w:p w14:paraId="67E9F0CD" w14:textId="77777777" w:rsidR="0073412A" w:rsidRPr="001A6684" w:rsidRDefault="0073412A" w:rsidP="001A6684">
      <w:pPr>
        <w:pStyle w:val="BodyText"/>
        <w:spacing w:before="0" w:after="240" w:line="240" w:lineRule="auto"/>
        <w:contextualSpacing/>
        <w:rPr>
          <w:b/>
          <w:szCs w:val="24"/>
        </w:rPr>
      </w:pPr>
    </w:p>
    <w:p w14:paraId="796C0961" w14:textId="70161A40" w:rsidR="00033364" w:rsidRDefault="00033364" w:rsidP="001A6684">
      <w:pPr>
        <w:pStyle w:val="BodyText"/>
        <w:shd w:val="clear" w:color="auto" w:fill="FFFFFF"/>
        <w:spacing w:before="0" w:after="240"/>
        <w:contextualSpacing/>
        <w:rPr>
          <w:color w:val="000000"/>
        </w:rPr>
      </w:pPr>
      <w:r>
        <w:rPr>
          <w:szCs w:val="24"/>
        </w:rPr>
        <w:t xml:space="preserve">Section 4 of the repealing instrument provides </w:t>
      </w:r>
      <w:r>
        <w:rPr>
          <w:color w:val="000000"/>
        </w:rPr>
        <w:t>that each instrument that is specified in a Schedule to the instrument is repealed as set out in the applicable items in the Schedule concerned.</w:t>
      </w:r>
    </w:p>
    <w:p w14:paraId="50538810" w14:textId="77777777" w:rsidR="00033364" w:rsidRDefault="00033364" w:rsidP="001A6684">
      <w:pPr>
        <w:pStyle w:val="BodyText"/>
        <w:spacing w:before="0" w:after="240" w:line="240" w:lineRule="auto"/>
        <w:contextualSpacing/>
        <w:rPr>
          <w:szCs w:val="24"/>
        </w:rPr>
      </w:pPr>
    </w:p>
    <w:p w14:paraId="0CAECCFB" w14:textId="00390E02" w:rsidR="006C0582" w:rsidRDefault="00033364" w:rsidP="001A6684">
      <w:pPr>
        <w:pStyle w:val="BodyText"/>
        <w:spacing w:before="0" w:after="240" w:line="240" w:lineRule="auto"/>
        <w:contextualSpacing/>
        <w:rPr>
          <w:szCs w:val="24"/>
        </w:rPr>
      </w:pPr>
      <w:r>
        <w:rPr>
          <w:szCs w:val="24"/>
        </w:rPr>
        <w:t xml:space="preserve">Schedule 1 </w:t>
      </w:r>
      <w:r w:rsidR="000A48D7">
        <w:rPr>
          <w:szCs w:val="24"/>
        </w:rPr>
        <w:t xml:space="preserve">of the repealing instrument </w:t>
      </w:r>
      <w:r w:rsidR="00571F82">
        <w:rPr>
          <w:szCs w:val="24"/>
        </w:rPr>
        <w:t>repeals [CO 02/238].</w:t>
      </w:r>
    </w:p>
    <w:p w14:paraId="5CC5417A" w14:textId="77777777" w:rsidR="00E75A96" w:rsidRDefault="00E75A96" w:rsidP="001A6684">
      <w:pPr>
        <w:contextualSpacing/>
        <w:rPr>
          <w:sz w:val="24"/>
        </w:rPr>
      </w:pPr>
      <w:bookmarkStart w:id="15" w:name="4._Documents_incorporated_by_reference"/>
      <w:bookmarkStart w:id="16" w:name="5._Consultation"/>
      <w:bookmarkEnd w:id="15"/>
      <w:bookmarkEnd w:id="16"/>
    </w:p>
    <w:p w14:paraId="2FF9A27E" w14:textId="0678C85A" w:rsidR="00161623" w:rsidRDefault="00161623" w:rsidP="001A6684">
      <w:pPr>
        <w:contextualSpacing/>
        <w:rPr>
          <w:sz w:val="24"/>
        </w:rPr>
      </w:pPr>
    </w:p>
    <w:p w14:paraId="0D335CB8" w14:textId="77777777" w:rsidR="00161623" w:rsidRPr="006B260C" w:rsidRDefault="00161623" w:rsidP="001A6684">
      <w:pPr>
        <w:contextualSpacing/>
        <w:rPr>
          <w:sz w:val="24"/>
        </w:rPr>
      </w:pPr>
    </w:p>
    <w:p w14:paraId="218FA76F" w14:textId="55F165CA" w:rsidR="005B0E3A" w:rsidRPr="00BE6D74" w:rsidRDefault="005B0E3A" w:rsidP="001A6684">
      <w:pPr>
        <w:pStyle w:val="Heading3"/>
        <w:keepNext w:val="0"/>
        <w:widowControl w:val="0"/>
        <w:numPr>
          <w:ilvl w:val="0"/>
          <w:numId w:val="7"/>
        </w:numPr>
        <w:tabs>
          <w:tab w:val="left" w:pos="1593"/>
        </w:tabs>
        <w:spacing w:line="240" w:lineRule="auto"/>
        <w:ind w:left="0" w:firstLine="0"/>
        <w:contextualSpacing/>
        <w:jc w:val="left"/>
        <w:rPr>
          <w:rFonts w:eastAsia="Arial"/>
          <w:b/>
          <w:bCs/>
        </w:rPr>
      </w:pPr>
      <w:r w:rsidRPr="00BE6D74">
        <w:rPr>
          <w:b/>
        </w:rPr>
        <w:lastRenderedPageBreak/>
        <w:t>Consultation</w:t>
      </w:r>
    </w:p>
    <w:p w14:paraId="3BCF2619" w14:textId="02A04704" w:rsidR="006B260C" w:rsidRDefault="005E3F35" w:rsidP="00663FB1">
      <w:pPr>
        <w:pStyle w:val="Bodytextplain"/>
        <w:spacing w:before="0" w:after="240"/>
        <w:ind w:left="0"/>
        <w:contextualSpacing/>
        <w:rPr>
          <w:sz w:val="24"/>
          <w:lang w:eastAsia="en-US"/>
        </w:rPr>
      </w:pPr>
      <w:bookmarkStart w:id="17" w:name="_GoBack"/>
      <w:bookmarkEnd w:id="17"/>
      <w:r w:rsidRPr="008669D9">
        <w:rPr>
          <w:sz w:val="24"/>
          <w:szCs w:val="20"/>
          <w:lang w:eastAsia="en-US"/>
        </w:rPr>
        <w:t>On 22 June 2017, ASIC released Consultation Paper 28</w:t>
      </w:r>
      <w:r w:rsidR="00930D2B">
        <w:rPr>
          <w:sz w:val="24"/>
          <w:szCs w:val="20"/>
          <w:lang w:eastAsia="en-US"/>
        </w:rPr>
        <w:t>7</w:t>
      </w:r>
      <w:r w:rsidRPr="008669D9">
        <w:rPr>
          <w:sz w:val="24"/>
          <w:szCs w:val="20"/>
          <w:lang w:eastAsia="en-US"/>
        </w:rPr>
        <w:t xml:space="preserve"> </w:t>
      </w:r>
      <w:r w:rsidR="00930D2B">
        <w:rPr>
          <w:i/>
          <w:sz w:val="24"/>
          <w:szCs w:val="20"/>
          <w:lang w:eastAsia="en-US"/>
        </w:rPr>
        <w:t>Remaking ASIC class order on mortgage schemes and proposed relief for multiple withdrawal periods</w:t>
      </w:r>
      <w:r w:rsidRPr="008669D9">
        <w:rPr>
          <w:sz w:val="24"/>
          <w:szCs w:val="20"/>
          <w:lang w:eastAsia="en-US"/>
        </w:rPr>
        <w:t xml:space="preserve"> seeking feedback on the </w:t>
      </w:r>
      <w:r w:rsidR="005231F3">
        <w:rPr>
          <w:sz w:val="24"/>
          <w:szCs w:val="20"/>
          <w:lang w:eastAsia="en-US"/>
        </w:rPr>
        <w:t xml:space="preserve">principal </w:t>
      </w:r>
      <w:r w:rsidRPr="008669D9">
        <w:rPr>
          <w:sz w:val="24"/>
          <w:szCs w:val="20"/>
          <w:lang w:eastAsia="en-US"/>
        </w:rPr>
        <w:t xml:space="preserve">instrument.  The public consultation period closed on </w:t>
      </w:r>
      <w:r w:rsidR="00930D2B">
        <w:rPr>
          <w:sz w:val="24"/>
          <w:szCs w:val="20"/>
          <w:lang w:eastAsia="en-US"/>
        </w:rPr>
        <w:t>4</w:t>
      </w:r>
      <w:r w:rsidRPr="008669D9">
        <w:rPr>
          <w:sz w:val="24"/>
          <w:szCs w:val="20"/>
          <w:lang w:eastAsia="en-US"/>
        </w:rPr>
        <w:t xml:space="preserve"> August 2017.</w:t>
      </w:r>
    </w:p>
    <w:p w14:paraId="5E8166E7" w14:textId="77777777" w:rsidR="006B260C" w:rsidRDefault="006B260C" w:rsidP="006B260C">
      <w:pPr>
        <w:spacing w:after="0"/>
        <w:rPr>
          <w:sz w:val="24"/>
          <w:lang w:eastAsia="en-US"/>
        </w:rPr>
      </w:pPr>
    </w:p>
    <w:p w14:paraId="298617D1" w14:textId="5C863DDB" w:rsidR="006B260C" w:rsidRPr="006B260C" w:rsidRDefault="000076D6" w:rsidP="006B260C">
      <w:pPr>
        <w:spacing w:after="0"/>
        <w:rPr>
          <w:sz w:val="24"/>
          <w:lang w:eastAsia="en-US"/>
        </w:rPr>
      </w:pPr>
      <w:r>
        <w:rPr>
          <w:noProof/>
        </w:rPr>
        <mc:AlternateContent>
          <mc:Choice Requires="wps">
            <w:drawing>
              <wp:anchor distT="0" distB="0" distL="114300" distR="114300" simplePos="0" relativeHeight="251663360" behindDoc="0" locked="0" layoutInCell="1" allowOverlap="1" wp14:anchorId="7FB7AF09" wp14:editId="66FD4BC5">
                <wp:simplePos x="0" y="0"/>
                <wp:positionH relativeFrom="column">
                  <wp:posOffset>19050</wp:posOffset>
                </wp:positionH>
                <wp:positionV relativeFrom="paragraph">
                  <wp:posOffset>-154940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3E85035D" w14:textId="77777777" w:rsidR="00C467B0" w:rsidRPr="00834797" w:rsidRDefault="00C467B0" w:rsidP="000076D6">
                            <w:pPr>
                              <w:spacing w:before="360" w:after="120"/>
                              <w:jc w:val="center"/>
                              <w:rPr>
                                <w:b/>
                              </w:rPr>
                            </w:pPr>
                            <w:r w:rsidRPr="00834797">
                              <w:rPr>
                                <w:b/>
                              </w:rPr>
                              <w:t>Statement of Compatibility with Human Rights</w:t>
                            </w:r>
                          </w:p>
                          <w:p w14:paraId="0FDEE93F" w14:textId="77777777" w:rsidR="00C467B0" w:rsidRPr="00247F54" w:rsidRDefault="00C467B0" w:rsidP="000076D6">
                            <w:pPr>
                              <w:spacing w:before="120" w:after="120"/>
                              <w:jc w:val="center"/>
                            </w:pPr>
                            <w:r w:rsidRPr="00247F54">
                              <w:rPr>
                                <w:i/>
                              </w:rPr>
                              <w:t>Prepared in accordance with Part 3 of the Human Rights (Parliamentary Scrutiny) Act 2011</w:t>
                            </w:r>
                          </w:p>
                          <w:p w14:paraId="75A6BCEC" w14:textId="77777777" w:rsidR="00C467B0" w:rsidRPr="00247F54" w:rsidRDefault="00C467B0" w:rsidP="000076D6">
                            <w:pPr>
                              <w:spacing w:before="120" w:after="120"/>
                              <w:jc w:val="center"/>
                            </w:pPr>
                          </w:p>
                          <w:p w14:paraId="4BBD72D5" w14:textId="2AB27F53" w:rsidR="00C467B0" w:rsidRPr="001A6684" w:rsidRDefault="00C467B0" w:rsidP="000076D6">
                            <w:pPr>
                              <w:spacing w:before="120" w:after="120"/>
                              <w:jc w:val="center"/>
                            </w:pPr>
                            <w:r w:rsidRPr="00EE22A5">
                              <w:rPr>
                                <w:b/>
                              </w:rPr>
                              <w:t>ASIC Corporations (Mortgage Investment Schemes) Instrument 2017/857</w:t>
                            </w:r>
                            <w:r>
                              <w:rPr>
                                <w:b/>
                              </w:rPr>
                              <w:t xml:space="preserve"> </w:t>
                            </w:r>
                          </w:p>
                          <w:p w14:paraId="13F820BB" w14:textId="63B40F96" w:rsidR="00C467B0" w:rsidRPr="00247F54" w:rsidRDefault="00C467B0" w:rsidP="000076D6">
                            <w:pPr>
                              <w:spacing w:before="120" w:after="120"/>
                              <w:jc w:val="center"/>
                            </w:pPr>
                            <w:r w:rsidRPr="00EE22A5">
                              <w:rPr>
                                <w:b/>
                              </w:rPr>
                              <w:t>ASIC Corporations (Repeal) Instrument 2017/858</w:t>
                            </w:r>
                            <w:r>
                              <w:t>.</w:t>
                            </w:r>
                          </w:p>
                          <w:p w14:paraId="4A2D932F" w14:textId="77777777" w:rsidR="00C467B0" w:rsidRDefault="00C467B0" w:rsidP="000076D6">
                            <w:pPr>
                              <w:spacing w:before="120" w:after="120"/>
                              <w:jc w:val="center"/>
                            </w:pPr>
                          </w:p>
                          <w:p w14:paraId="1FEAD0C2" w14:textId="02D990DF" w:rsidR="00C467B0" w:rsidRPr="00247F54" w:rsidRDefault="00C467B0" w:rsidP="002F32F7">
                            <w:pPr>
                              <w:spacing w:before="120" w:after="120"/>
                              <w:jc w:val="center"/>
                            </w:pPr>
                            <w:r w:rsidRPr="001A6684">
                              <w:rPr>
                                <w:i/>
                              </w:rPr>
                              <w:t>ASIC Corporations (Mortgage Investment Schemes) Instrument 2017/857</w:t>
                            </w:r>
                            <w:r>
                              <w:t xml:space="preserve"> (the principal instrument) and </w:t>
                            </w:r>
                            <w:r w:rsidRPr="001A6684">
                              <w:rPr>
                                <w:i/>
                              </w:rPr>
                              <w:t>ASIC Corporations (Repeal) Instrument 2017/858</w:t>
                            </w:r>
                            <w:r>
                              <w:t xml:space="preserve"> (the repealing instrument) are</w:t>
                            </w:r>
                            <w:r w:rsidRPr="00247F54">
                              <w:t xml:space="preserve"> compatible with the human rights and freedoms recognised or declared in the international instruments listed in section 3 of the </w:t>
                            </w:r>
                            <w:r w:rsidRPr="00247F54">
                              <w:rPr>
                                <w:i/>
                              </w:rPr>
                              <w:t>Human Rights (Parliamentary Scrutiny) Act 2011</w:t>
                            </w:r>
                            <w:r w:rsidRPr="00247F54">
                              <w:t>.</w:t>
                            </w:r>
                          </w:p>
                          <w:p w14:paraId="4C8B49A2" w14:textId="77777777" w:rsidR="00C467B0" w:rsidRPr="00247F54" w:rsidRDefault="00C467B0" w:rsidP="000076D6">
                            <w:pPr>
                              <w:spacing w:before="120" w:after="120"/>
                              <w:jc w:val="center"/>
                            </w:pPr>
                          </w:p>
                          <w:p w14:paraId="1694A8B1" w14:textId="77777777" w:rsidR="00C467B0" w:rsidRPr="00247F54" w:rsidRDefault="00C467B0" w:rsidP="000076D6">
                            <w:pPr>
                              <w:spacing w:before="120" w:after="120"/>
                              <w:jc w:val="both"/>
                              <w:rPr>
                                <w:b/>
                              </w:rPr>
                            </w:pPr>
                            <w:r w:rsidRPr="00247F54">
                              <w:rPr>
                                <w:b/>
                              </w:rPr>
                              <w:t>Overview</w:t>
                            </w:r>
                          </w:p>
                          <w:p w14:paraId="00FB170D" w14:textId="0058094F" w:rsidR="00C467B0" w:rsidRDefault="00C467B0">
                            <w:pPr>
                              <w:spacing w:before="120" w:after="120"/>
                              <w:rPr>
                                <w:szCs w:val="24"/>
                              </w:rPr>
                            </w:pPr>
                            <w:r>
                              <w:t xml:space="preserve">The principal instrument continues with changes the relief provided by ASIC Class Order [CO 02/238] ([CO 02/238]) in relation to managed investment schemes, the only investments of which </w:t>
                            </w:r>
                            <w:r>
                              <w:rPr>
                                <w:szCs w:val="24"/>
                              </w:rPr>
                              <w:t>were mortgages over real estate and deposits with Australian ADIs.</w:t>
                            </w:r>
                          </w:p>
                          <w:p w14:paraId="1B14DE96" w14:textId="471DE7ED" w:rsidR="00C467B0" w:rsidRDefault="00C467B0">
                            <w:pPr>
                              <w:spacing w:before="120" w:after="120"/>
                            </w:pPr>
                            <w:r>
                              <w:rPr>
                                <w:szCs w:val="24"/>
                              </w:rPr>
                              <w:t>The repealing instrument repeals [CO 02/238].</w:t>
                            </w:r>
                            <w:r>
                              <w:t xml:space="preserve"> </w:t>
                            </w:r>
                          </w:p>
                          <w:p w14:paraId="0484A52D" w14:textId="77777777" w:rsidR="00C467B0" w:rsidRDefault="00C467B0" w:rsidP="000076D6">
                            <w:pPr>
                              <w:spacing w:before="120" w:after="120"/>
                              <w:rPr>
                                <w:b/>
                              </w:rPr>
                            </w:pPr>
                          </w:p>
                          <w:p w14:paraId="4956482B" w14:textId="77777777" w:rsidR="00C467B0" w:rsidRPr="00247F54" w:rsidRDefault="00C467B0" w:rsidP="000076D6">
                            <w:pPr>
                              <w:spacing w:before="120" w:after="120"/>
                              <w:rPr>
                                <w:b/>
                              </w:rPr>
                            </w:pPr>
                            <w:r w:rsidRPr="00247F54">
                              <w:rPr>
                                <w:b/>
                              </w:rPr>
                              <w:t>Human rights implications</w:t>
                            </w:r>
                          </w:p>
                          <w:p w14:paraId="0E1B71F7" w14:textId="77777777" w:rsidR="00C467B0" w:rsidRPr="00247F54" w:rsidRDefault="00C467B0"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032A0CB7" w14:textId="77777777" w:rsidR="00C467B0" w:rsidRPr="00247F54" w:rsidRDefault="00C467B0" w:rsidP="000076D6">
                            <w:pPr>
                              <w:spacing w:before="120" w:after="120"/>
                            </w:pPr>
                          </w:p>
                          <w:p w14:paraId="7F3668D9" w14:textId="77777777" w:rsidR="00C467B0" w:rsidRPr="00247F54" w:rsidRDefault="00C467B0" w:rsidP="000076D6">
                            <w:pPr>
                              <w:spacing w:before="120" w:after="120"/>
                              <w:rPr>
                                <w:b/>
                              </w:rPr>
                            </w:pPr>
                            <w:r w:rsidRPr="00247F54">
                              <w:rPr>
                                <w:b/>
                              </w:rPr>
                              <w:t>Conclusion</w:t>
                            </w:r>
                          </w:p>
                          <w:p w14:paraId="5DC75E1F" w14:textId="2DD313C1" w:rsidR="00C467B0" w:rsidRPr="00E4135E" w:rsidRDefault="00C467B0" w:rsidP="009E7ABD">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12.2pt;width:418.2pt;height:5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" strokeweight="6pt">
                <v:stroke linestyle="thickBetweenThin"/>
                <v:textbox inset="5mm,,5mm">
                  <w:txbxContent>
                    <w:p w14:paraId="3E85035D" w14:textId="77777777" w:rsidR="00C467B0" w:rsidRPr="00834797" w:rsidRDefault="00C467B0" w:rsidP="000076D6">
                      <w:pPr>
                        <w:spacing w:before="360" w:after="120"/>
                        <w:jc w:val="center"/>
                        <w:rPr>
                          <w:b/>
                        </w:rPr>
                      </w:pPr>
                      <w:r w:rsidRPr="00834797">
                        <w:rPr>
                          <w:b/>
                        </w:rPr>
                        <w:t>Statement of Compatibility with Human Rights</w:t>
                      </w:r>
                    </w:p>
                    <w:p w14:paraId="0FDEE93F" w14:textId="77777777" w:rsidR="00C467B0" w:rsidRPr="00247F54" w:rsidRDefault="00C467B0" w:rsidP="000076D6">
                      <w:pPr>
                        <w:spacing w:before="120" w:after="120"/>
                        <w:jc w:val="center"/>
                      </w:pPr>
                      <w:r w:rsidRPr="00247F54">
                        <w:rPr>
                          <w:i/>
                        </w:rPr>
                        <w:t>Prepared in accordance with Part 3 of the Human Rights (Parliamentary Scrutiny) Act 2011</w:t>
                      </w:r>
                    </w:p>
                    <w:p w14:paraId="75A6BCEC" w14:textId="77777777" w:rsidR="00C467B0" w:rsidRPr="00247F54" w:rsidRDefault="00C467B0" w:rsidP="000076D6">
                      <w:pPr>
                        <w:spacing w:before="120" w:after="120"/>
                        <w:jc w:val="center"/>
                      </w:pPr>
                    </w:p>
                    <w:p w14:paraId="4BBD72D5" w14:textId="2AB27F53" w:rsidR="00C467B0" w:rsidRPr="001A6684" w:rsidRDefault="00C467B0" w:rsidP="000076D6">
                      <w:pPr>
                        <w:spacing w:before="120" w:after="120"/>
                        <w:jc w:val="center"/>
                      </w:pPr>
                      <w:r w:rsidRPr="00EE22A5">
                        <w:rPr>
                          <w:b/>
                        </w:rPr>
                        <w:t>ASIC Corporations (Mortgage Investment Schemes) Instrument 2017/857</w:t>
                      </w:r>
                      <w:r>
                        <w:rPr>
                          <w:b/>
                        </w:rPr>
                        <w:t xml:space="preserve"> </w:t>
                      </w:r>
                    </w:p>
                    <w:p w14:paraId="13F820BB" w14:textId="63B40F96" w:rsidR="00C467B0" w:rsidRPr="00247F54" w:rsidRDefault="00C467B0" w:rsidP="000076D6">
                      <w:pPr>
                        <w:spacing w:before="120" w:after="120"/>
                        <w:jc w:val="center"/>
                      </w:pPr>
                      <w:r w:rsidRPr="00EE22A5">
                        <w:rPr>
                          <w:b/>
                        </w:rPr>
                        <w:t>ASIC Corporations (Repeal) Instrument 2017/858</w:t>
                      </w:r>
                      <w:r>
                        <w:t>.</w:t>
                      </w:r>
                    </w:p>
                    <w:p w14:paraId="4A2D932F" w14:textId="77777777" w:rsidR="00C467B0" w:rsidRDefault="00C467B0" w:rsidP="000076D6">
                      <w:pPr>
                        <w:spacing w:before="120" w:after="120"/>
                        <w:jc w:val="center"/>
                      </w:pPr>
                    </w:p>
                    <w:p w14:paraId="1FEAD0C2" w14:textId="02D990DF" w:rsidR="00C467B0" w:rsidRPr="00247F54" w:rsidRDefault="00C467B0" w:rsidP="002F32F7">
                      <w:pPr>
                        <w:spacing w:before="120" w:after="120"/>
                        <w:jc w:val="center"/>
                      </w:pPr>
                      <w:r w:rsidRPr="001A6684">
                        <w:rPr>
                          <w:i/>
                        </w:rPr>
                        <w:t>ASIC Corporations (Mortgage Investment Schemes) Instrument 2017/857</w:t>
                      </w:r>
                      <w:r>
                        <w:t xml:space="preserve"> (the principal instrument) and </w:t>
                      </w:r>
                      <w:r w:rsidRPr="001A6684">
                        <w:rPr>
                          <w:i/>
                        </w:rPr>
                        <w:t>ASIC Corporations (Repeal) Instrument 2017/858</w:t>
                      </w:r>
                      <w:r>
                        <w:t xml:space="preserve"> (the repealing instrument) are</w:t>
                      </w:r>
                      <w:r w:rsidRPr="00247F54">
                        <w:t xml:space="preserve"> compatible with the human rights and freedoms recognised or declared in the international instruments listed in section 3 of the </w:t>
                      </w:r>
                      <w:r w:rsidRPr="00247F54">
                        <w:rPr>
                          <w:i/>
                        </w:rPr>
                        <w:t>Human Rights (Parliamentary Scrutiny) Act 2011</w:t>
                      </w:r>
                      <w:r w:rsidRPr="00247F54">
                        <w:t>.</w:t>
                      </w:r>
                    </w:p>
                    <w:p w14:paraId="4C8B49A2" w14:textId="77777777" w:rsidR="00C467B0" w:rsidRPr="00247F54" w:rsidRDefault="00C467B0" w:rsidP="000076D6">
                      <w:pPr>
                        <w:spacing w:before="120" w:after="120"/>
                        <w:jc w:val="center"/>
                      </w:pPr>
                    </w:p>
                    <w:p w14:paraId="1694A8B1" w14:textId="77777777" w:rsidR="00C467B0" w:rsidRPr="00247F54" w:rsidRDefault="00C467B0" w:rsidP="000076D6">
                      <w:pPr>
                        <w:spacing w:before="120" w:after="120"/>
                        <w:jc w:val="both"/>
                        <w:rPr>
                          <w:b/>
                        </w:rPr>
                      </w:pPr>
                      <w:r w:rsidRPr="00247F54">
                        <w:rPr>
                          <w:b/>
                        </w:rPr>
                        <w:t>Overview</w:t>
                      </w:r>
                    </w:p>
                    <w:p w14:paraId="00FB170D" w14:textId="0058094F" w:rsidR="00C467B0" w:rsidRDefault="00C467B0">
                      <w:pPr>
                        <w:spacing w:before="120" w:after="120"/>
                        <w:rPr>
                          <w:szCs w:val="24"/>
                        </w:rPr>
                      </w:pPr>
                      <w:r>
                        <w:t xml:space="preserve">The principal instrument continues with changes the relief provided by ASIC Class Order [CO 02/238] ([CO 02/238]) in relation to managed investment schemes, the only investments of which </w:t>
                      </w:r>
                      <w:r>
                        <w:rPr>
                          <w:szCs w:val="24"/>
                        </w:rPr>
                        <w:t>were mortgages over real estate and deposits with Australian ADIs.</w:t>
                      </w:r>
                    </w:p>
                    <w:p w14:paraId="1B14DE96" w14:textId="471DE7ED" w:rsidR="00C467B0" w:rsidRDefault="00C467B0">
                      <w:pPr>
                        <w:spacing w:before="120" w:after="120"/>
                      </w:pPr>
                      <w:r>
                        <w:rPr>
                          <w:szCs w:val="24"/>
                        </w:rPr>
                        <w:t>The repealing instrument repeals [CO 02/238].</w:t>
                      </w:r>
                      <w:r>
                        <w:t xml:space="preserve"> </w:t>
                      </w:r>
                    </w:p>
                    <w:p w14:paraId="0484A52D" w14:textId="77777777" w:rsidR="00C467B0" w:rsidRDefault="00C467B0" w:rsidP="000076D6">
                      <w:pPr>
                        <w:spacing w:before="120" w:after="120"/>
                        <w:rPr>
                          <w:b/>
                        </w:rPr>
                      </w:pPr>
                    </w:p>
                    <w:p w14:paraId="4956482B" w14:textId="77777777" w:rsidR="00C467B0" w:rsidRPr="00247F54" w:rsidRDefault="00C467B0" w:rsidP="000076D6">
                      <w:pPr>
                        <w:spacing w:before="120" w:after="120"/>
                        <w:rPr>
                          <w:b/>
                        </w:rPr>
                      </w:pPr>
                      <w:r w:rsidRPr="00247F54">
                        <w:rPr>
                          <w:b/>
                        </w:rPr>
                        <w:t>Human rights implications</w:t>
                      </w:r>
                    </w:p>
                    <w:p w14:paraId="0E1B71F7" w14:textId="77777777" w:rsidR="00C467B0" w:rsidRPr="00247F54" w:rsidRDefault="00C467B0"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032A0CB7" w14:textId="77777777" w:rsidR="00C467B0" w:rsidRPr="00247F54" w:rsidRDefault="00C467B0" w:rsidP="000076D6">
                      <w:pPr>
                        <w:spacing w:before="120" w:after="120"/>
                      </w:pPr>
                    </w:p>
                    <w:p w14:paraId="7F3668D9" w14:textId="77777777" w:rsidR="00C467B0" w:rsidRPr="00247F54" w:rsidRDefault="00C467B0" w:rsidP="000076D6">
                      <w:pPr>
                        <w:spacing w:before="120" w:after="120"/>
                        <w:rPr>
                          <w:b/>
                        </w:rPr>
                      </w:pPr>
                      <w:r w:rsidRPr="00247F54">
                        <w:rPr>
                          <w:b/>
                        </w:rPr>
                        <w:t>Conclusion</w:t>
                      </w:r>
                    </w:p>
                    <w:p w14:paraId="5DC75E1F" w14:textId="2DD313C1" w:rsidR="00C467B0" w:rsidRPr="00E4135E" w:rsidRDefault="00C467B0" w:rsidP="009E7ABD">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txbxContent>
                </v:textbox>
              </v:rect>
            </w:pict>
          </mc:Fallback>
        </mc:AlternateContent>
      </w:r>
    </w:p>
    <w:sectPr w:rsidR="006B260C" w:rsidRPr="006B260C">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13F43" w14:textId="77777777" w:rsidR="00C467B0" w:rsidRDefault="00C467B0">
      <w:pPr>
        <w:spacing w:after="0"/>
      </w:pPr>
      <w:r>
        <w:separator/>
      </w:r>
    </w:p>
  </w:endnote>
  <w:endnote w:type="continuationSeparator" w:id="0">
    <w:p w14:paraId="30E0F5F2" w14:textId="77777777" w:rsidR="00C467B0" w:rsidRDefault="00C467B0">
      <w:pPr>
        <w:spacing w:after="0"/>
      </w:pPr>
      <w:r>
        <w:continuationSeparator/>
      </w:r>
    </w:p>
  </w:endnote>
  <w:endnote w:type="continuationNotice" w:id="1">
    <w:p w14:paraId="07353F43" w14:textId="77777777" w:rsidR="00C467B0" w:rsidRDefault="00C467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10A1" w14:textId="77777777" w:rsidR="00C467B0" w:rsidRDefault="00C467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0A8BC65" w14:textId="77777777" w:rsidR="00C467B0" w:rsidRDefault="00C467B0">
    <w:pPr>
      <w:pStyle w:val="Footer"/>
      <w:ind w:right="360"/>
    </w:pPr>
  </w:p>
  <w:p w14:paraId="3450223E" w14:textId="77777777" w:rsidR="00C467B0" w:rsidRDefault="00C467B0"/>
  <w:p w14:paraId="013E7D2B" w14:textId="77777777" w:rsidR="00C467B0" w:rsidRDefault="00C467B0"/>
  <w:p w14:paraId="55548986" w14:textId="77777777" w:rsidR="00C467B0" w:rsidRDefault="00C467B0"/>
  <w:p w14:paraId="272CCEA5" w14:textId="77777777" w:rsidR="00C467B0" w:rsidRDefault="00C467B0"/>
  <w:p w14:paraId="7D0063A2" w14:textId="77777777" w:rsidR="00C467B0" w:rsidRDefault="00C467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A57DF" w14:textId="3E1028C7" w:rsidR="00C467B0" w:rsidRDefault="00C467B0">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1C982F1F" wp14:editId="15546FC9">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C1211" w14:textId="77777777" w:rsidR="00C467B0" w:rsidRPr="008F541E" w:rsidRDefault="00C467B0" w:rsidP="00107D9E">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61623">
                            <w:rPr>
                              <w:rStyle w:val="PageNumber"/>
                              <w:rFonts w:ascii="Arial" w:hAnsi="Arial" w:cs="Arial"/>
                              <w:noProof/>
                              <w:color w:val="117DC7"/>
                              <w:sz w:val="16"/>
                              <w:szCs w:val="16"/>
                            </w:rPr>
                            <w:t>10</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585C1211" w14:textId="77777777" w:rsidR="00C467B0" w:rsidRPr="008F541E" w:rsidRDefault="00C467B0" w:rsidP="00107D9E">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61623">
                      <w:rPr>
                        <w:rStyle w:val="PageNumber"/>
                        <w:rFonts w:ascii="Arial" w:hAnsi="Arial" w:cs="Arial"/>
                        <w:noProof/>
                        <w:color w:val="117DC7"/>
                        <w:sz w:val="16"/>
                        <w:szCs w:val="16"/>
                      </w:rPr>
                      <w:t>10</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D8D0D" w14:textId="77777777" w:rsidR="00C467B0" w:rsidRDefault="00C467B0">
      <w:pPr>
        <w:spacing w:after="0"/>
      </w:pPr>
      <w:r>
        <w:separator/>
      </w:r>
    </w:p>
  </w:footnote>
  <w:footnote w:type="continuationSeparator" w:id="0">
    <w:p w14:paraId="2376A5CD" w14:textId="77777777" w:rsidR="00C467B0" w:rsidRDefault="00C467B0">
      <w:pPr>
        <w:spacing w:after="0"/>
      </w:pPr>
      <w:r>
        <w:continuationSeparator/>
      </w:r>
    </w:p>
  </w:footnote>
  <w:footnote w:type="continuationNotice" w:id="1">
    <w:p w14:paraId="7BD96E02" w14:textId="77777777" w:rsidR="00C467B0" w:rsidRDefault="00C467B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CDA37" w14:textId="77777777" w:rsidR="00C467B0" w:rsidRDefault="00C467B0"/>
  <w:p w14:paraId="299C39A3" w14:textId="77777777" w:rsidR="00C467B0" w:rsidRDefault="00C467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F3461" w14:textId="0BAC69DD" w:rsidR="00C467B0" w:rsidRDefault="00C467B0">
    <w:pPr>
      <w:pStyle w:val="Footer"/>
      <w:pBdr>
        <w:bottom w:val="single" w:sz="4" w:space="1" w:color="117DC7"/>
      </w:pBdr>
      <w:jc w:val="right"/>
      <w:rPr>
        <w:color w:val="117DC7"/>
      </w:rPr>
    </w:pPr>
    <w:r>
      <w:tab/>
    </w:r>
  </w:p>
  <w:p w14:paraId="279910E8" w14:textId="77777777" w:rsidR="00C467B0" w:rsidRDefault="00C467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526B9" w14:textId="77777777" w:rsidR="00C467B0" w:rsidRDefault="00C467B0">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4A7F92"/>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nsid w:val="130A2997"/>
    <w:multiLevelType w:val="hybridMultilevel"/>
    <w:tmpl w:val="2758B360"/>
    <w:lvl w:ilvl="0" w:tplc="49E0777E">
      <w:start w:val="1"/>
      <w:numFmt w:val="lowerLetter"/>
      <w:lvlText w:val="(%1)"/>
      <w:lvlJc w:val="left"/>
      <w:pPr>
        <w:ind w:left="720" w:hanging="360"/>
      </w:pPr>
      <w:rPr>
        <w:rFonts w:hint="default"/>
      </w:rPr>
    </w:lvl>
    <w:lvl w:ilvl="1" w:tplc="65668E4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066C99"/>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1E2B087D"/>
    <w:multiLevelType w:val="hybridMultilevel"/>
    <w:tmpl w:val="54801992"/>
    <w:lvl w:ilvl="0" w:tplc="ED06A36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6860CF0"/>
    <w:multiLevelType w:val="hybridMultilevel"/>
    <w:tmpl w:val="13143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2">
    <w:nsid w:val="272039DB"/>
    <w:multiLevelType w:val="hybridMultilevel"/>
    <w:tmpl w:val="1898CD1C"/>
    <w:lvl w:ilvl="0" w:tplc="E656F1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18037FE"/>
    <w:multiLevelType w:val="hybridMultilevel"/>
    <w:tmpl w:val="22F44F88"/>
    <w:lvl w:ilvl="0" w:tplc="0F98AFC6">
      <w:start w:val="7"/>
      <w:numFmt w:val="decimal"/>
      <w:lvlText w:val="%1"/>
      <w:lvlJc w:val="left"/>
      <w:pPr>
        <w:ind w:left="1291" w:hanging="360"/>
      </w:pPr>
      <w:rPr>
        <w:rFonts w:hint="default"/>
      </w:rPr>
    </w:lvl>
    <w:lvl w:ilvl="1" w:tplc="0C090019" w:tentative="1">
      <w:start w:val="1"/>
      <w:numFmt w:val="lowerLetter"/>
      <w:lvlText w:val="%2."/>
      <w:lvlJc w:val="left"/>
      <w:pPr>
        <w:ind w:left="2011" w:hanging="360"/>
      </w:pPr>
    </w:lvl>
    <w:lvl w:ilvl="2" w:tplc="0C09001B" w:tentative="1">
      <w:start w:val="1"/>
      <w:numFmt w:val="lowerRoman"/>
      <w:lvlText w:val="%3."/>
      <w:lvlJc w:val="right"/>
      <w:pPr>
        <w:ind w:left="2731" w:hanging="180"/>
      </w:pPr>
    </w:lvl>
    <w:lvl w:ilvl="3" w:tplc="0C09000F" w:tentative="1">
      <w:start w:val="1"/>
      <w:numFmt w:val="decimal"/>
      <w:lvlText w:val="%4."/>
      <w:lvlJc w:val="left"/>
      <w:pPr>
        <w:ind w:left="3451" w:hanging="360"/>
      </w:pPr>
    </w:lvl>
    <w:lvl w:ilvl="4" w:tplc="0C090019" w:tentative="1">
      <w:start w:val="1"/>
      <w:numFmt w:val="lowerLetter"/>
      <w:lvlText w:val="%5."/>
      <w:lvlJc w:val="left"/>
      <w:pPr>
        <w:ind w:left="4171" w:hanging="360"/>
      </w:pPr>
    </w:lvl>
    <w:lvl w:ilvl="5" w:tplc="0C09001B" w:tentative="1">
      <w:start w:val="1"/>
      <w:numFmt w:val="lowerRoman"/>
      <w:lvlText w:val="%6."/>
      <w:lvlJc w:val="right"/>
      <w:pPr>
        <w:ind w:left="4891" w:hanging="180"/>
      </w:pPr>
    </w:lvl>
    <w:lvl w:ilvl="6" w:tplc="0C09000F" w:tentative="1">
      <w:start w:val="1"/>
      <w:numFmt w:val="decimal"/>
      <w:lvlText w:val="%7."/>
      <w:lvlJc w:val="left"/>
      <w:pPr>
        <w:ind w:left="5611" w:hanging="360"/>
      </w:pPr>
    </w:lvl>
    <w:lvl w:ilvl="7" w:tplc="0C090019" w:tentative="1">
      <w:start w:val="1"/>
      <w:numFmt w:val="lowerLetter"/>
      <w:lvlText w:val="%8."/>
      <w:lvlJc w:val="left"/>
      <w:pPr>
        <w:ind w:left="6331" w:hanging="360"/>
      </w:pPr>
    </w:lvl>
    <w:lvl w:ilvl="8" w:tplc="0C09001B" w:tentative="1">
      <w:start w:val="1"/>
      <w:numFmt w:val="lowerRoman"/>
      <w:lvlText w:val="%9."/>
      <w:lvlJc w:val="right"/>
      <w:pPr>
        <w:ind w:left="7051" w:hanging="180"/>
      </w:pPr>
    </w:lvl>
  </w:abstractNum>
  <w:abstractNum w:abstractNumId="14">
    <w:nsid w:val="338D77EB"/>
    <w:multiLevelType w:val="hybridMultilevel"/>
    <w:tmpl w:val="08E23062"/>
    <w:lvl w:ilvl="0" w:tplc="6F68742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7">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16199A"/>
    <w:multiLevelType w:val="hybridMultilevel"/>
    <w:tmpl w:val="BBCAEABC"/>
    <w:lvl w:ilvl="0" w:tplc="9768D678">
      <w:start w:val="1"/>
      <w:numFmt w:val="lowerLetter"/>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C548C4"/>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1">
    <w:nsid w:val="5E041BCF"/>
    <w:multiLevelType w:val="hybridMultilevel"/>
    <w:tmpl w:val="FB2C4DC0"/>
    <w:lvl w:ilvl="0" w:tplc="C06A1B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021273B"/>
    <w:multiLevelType w:val="hybridMultilevel"/>
    <w:tmpl w:val="2080204E"/>
    <w:lvl w:ilvl="0" w:tplc="CF0CB03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64B249C"/>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4">
    <w:nsid w:val="67E5126D"/>
    <w:multiLevelType w:val="hybridMultilevel"/>
    <w:tmpl w:val="1DE411CA"/>
    <w:lvl w:ilvl="0" w:tplc="29A871A0">
      <w:start w:val="1"/>
      <w:numFmt w:val="lowerLetter"/>
      <w:lvlText w:val="(%1)"/>
      <w:lvlJc w:val="righ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7">
    <w:nsid w:val="6F7B0014"/>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8">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8"/>
  </w:num>
  <w:num w:numId="3">
    <w:abstractNumId w:val="17"/>
  </w:num>
  <w:num w:numId="4">
    <w:abstractNumId w:val="26"/>
  </w:num>
  <w:num w:numId="5">
    <w:abstractNumId w:val="9"/>
  </w:num>
  <w:num w:numId="6">
    <w:abstractNumId w:val="7"/>
  </w:num>
  <w:num w:numId="7">
    <w:abstractNumId w:val="16"/>
  </w:num>
  <w:num w:numId="8">
    <w:abstractNumId w:val="4"/>
  </w:num>
  <w:num w:numId="9">
    <w:abstractNumId w:val="1"/>
  </w:num>
  <w:num w:numId="10">
    <w:abstractNumId w:val="0"/>
  </w:num>
  <w:num w:numId="11">
    <w:abstractNumId w:val="15"/>
  </w:num>
  <w:num w:numId="12">
    <w:abstractNumId w:val="25"/>
  </w:num>
  <w:num w:numId="13">
    <w:abstractNumId w:val="19"/>
  </w:num>
  <w:num w:numId="14">
    <w:abstractNumId w:val="11"/>
  </w:num>
  <w:num w:numId="15">
    <w:abstractNumId w:val="21"/>
  </w:num>
  <w:num w:numId="16">
    <w:abstractNumId w:val="3"/>
  </w:num>
  <w:num w:numId="17">
    <w:abstractNumId w:val="24"/>
  </w:num>
  <w:num w:numId="18">
    <w:abstractNumId w:val="10"/>
  </w:num>
  <w:num w:numId="19">
    <w:abstractNumId w:val="14"/>
  </w:num>
  <w:num w:numId="20">
    <w:abstractNumId w:val="12"/>
  </w:num>
  <w:num w:numId="21">
    <w:abstractNumId w:val="27"/>
  </w:num>
  <w:num w:numId="22">
    <w:abstractNumId w:val="20"/>
  </w:num>
  <w:num w:numId="23">
    <w:abstractNumId w:val="23"/>
  </w:num>
  <w:num w:numId="24">
    <w:abstractNumId w:val="2"/>
  </w:num>
  <w:num w:numId="25">
    <w:abstractNumId w:val="6"/>
  </w:num>
  <w:num w:numId="26">
    <w:abstractNumId w:val="8"/>
  </w:num>
  <w:num w:numId="27">
    <w:abstractNumId w:val="22"/>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BC"/>
    <w:rsid w:val="00004F2C"/>
    <w:rsid w:val="000076D6"/>
    <w:rsid w:val="00010161"/>
    <w:rsid w:val="00010DEF"/>
    <w:rsid w:val="00013E58"/>
    <w:rsid w:val="000162C5"/>
    <w:rsid w:val="0002206F"/>
    <w:rsid w:val="00033364"/>
    <w:rsid w:val="000374D4"/>
    <w:rsid w:val="00044F71"/>
    <w:rsid w:val="00046217"/>
    <w:rsid w:val="0004672E"/>
    <w:rsid w:val="0004675F"/>
    <w:rsid w:val="00052A7B"/>
    <w:rsid w:val="00056061"/>
    <w:rsid w:val="00064120"/>
    <w:rsid w:val="000670D9"/>
    <w:rsid w:val="0006720E"/>
    <w:rsid w:val="00095B60"/>
    <w:rsid w:val="000A48D7"/>
    <w:rsid w:val="000B383D"/>
    <w:rsid w:val="000B65F9"/>
    <w:rsid w:val="000D7657"/>
    <w:rsid w:val="000E2BFE"/>
    <w:rsid w:val="000E2D80"/>
    <w:rsid w:val="000F0B41"/>
    <w:rsid w:val="000F183A"/>
    <w:rsid w:val="000F1B6F"/>
    <w:rsid w:val="000F2499"/>
    <w:rsid w:val="00107D9E"/>
    <w:rsid w:val="00111029"/>
    <w:rsid w:val="001167AA"/>
    <w:rsid w:val="00121A8E"/>
    <w:rsid w:val="001231FC"/>
    <w:rsid w:val="00133DD7"/>
    <w:rsid w:val="0013413D"/>
    <w:rsid w:val="00140872"/>
    <w:rsid w:val="00144B98"/>
    <w:rsid w:val="001464B3"/>
    <w:rsid w:val="0015035D"/>
    <w:rsid w:val="00161623"/>
    <w:rsid w:val="00162629"/>
    <w:rsid w:val="001828F9"/>
    <w:rsid w:val="0018478D"/>
    <w:rsid w:val="0018746A"/>
    <w:rsid w:val="001A03C6"/>
    <w:rsid w:val="001A3F6D"/>
    <w:rsid w:val="001A6684"/>
    <w:rsid w:val="001D2D84"/>
    <w:rsid w:val="001F0733"/>
    <w:rsid w:val="001F6A8E"/>
    <w:rsid w:val="00200F97"/>
    <w:rsid w:val="00205575"/>
    <w:rsid w:val="0020591A"/>
    <w:rsid w:val="002067FA"/>
    <w:rsid w:val="002211CA"/>
    <w:rsid w:val="002217A6"/>
    <w:rsid w:val="00222176"/>
    <w:rsid w:val="002271F8"/>
    <w:rsid w:val="0023551F"/>
    <w:rsid w:val="002474CD"/>
    <w:rsid w:val="00250259"/>
    <w:rsid w:val="00261F03"/>
    <w:rsid w:val="00266D18"/>
    <w:rsid w:val="00277FC8"/>
    <w:rsid w:val="0028739F"/>
    <w:rsid w:val="002A483F"/>
    <w:rsid w:val="002A4D48"/>
    <w:rsid w:val="002B22D6"/>
    <w:rsid w:val="002C030D"/>
    <w:rsid w:val="002C7815"/>
    <w:rsid w:val="002F32F7"/>
    <w:rsid w:val="002F7485"/>
    <w:rsid w:val="00302B01"/>
    <w:rsid w:val="00320B8F"/>
    <w:rsid w:val="003304DE"/>
    <w:rsid w:val="0033208C"/>
    <w:rsid w:val="00365844"/>
    <w:rsid w:val="003667A4"/>
    <w:rsid w:val="00371733"/>
    <w:rsid w:val="00381B1D"/>
    <w:rsid w:val="003928FC"/>
    <w:rsid w:val="003972F1"/>
    <w:rsid w:val="003B2438"/>
    <w:rsid w:val="003C2C19"/>
    <w:rsid w:val="003D72F3"/>
    <w:rsid w:val="003F0975"/>
    <w:rsid w:val="00401248"/>
    <w:rsid w:val="0041269A"/>
    <w:rsid w:val="00412D67"/>
    <w:rsid w:val="00426811"/>
    <w:rsid w:val="004434E0"/>
    <w:rsid w:val="00451E4B"/>
    <w:rsid w:val="00452763"/>
    <w:rsid w:val="004644C0"/>
    <w:rsid w:val="00464FD1"/>
    <w:rsid w:val="0047294B"/>
    <w:rsid w:val="00473D37"/>
    <w:rsid w:val="0047427F"/>
    <w:rsid w:val="00481580"/>
    <w:rsid w:val="00482046"/>
    <w:rsid w:val="00485CEF"/>
    <w:rsid w:val="004919EF"/>
    <w:rsid w:val="004A354E"/>
    <w:rsid w:val="004C0374"/>
    <w:rsid w:val="004C0D9E"/>
    <w:rsid w:val="004C3292"/>
    <w:rsid w:val="004D3604"/>
    <w:rsid w:val="004D460D"/>
    <w:rsid w:val="004E3986"/>
    <w:rsid w:val="004E50B6"/>
    <w:rsid w:val="004E54E5"/>
    <w:rsid w:val="00501B52"/>
    <w:rsid w:val="00504586"/>
    <w:rsid w:val="00506B96"/>
    <w:rsid w:val="005110E3"/>
    <w:rsid w:val="005167C2"/>
    <w:rsid w:val="005231F3"/>
    <w:rsid w:val="00523B5C"/>
    <w:rsid w:val="00533A7F"/>
    <w:rsid w:val="00536434"/>
    <w:rsid w:val="005629EF"/>
    <w:rsid w:val="00571F82"/>
    <w:rsid w:val="005B06DC"/>
    <w:rsid w:val="005B0E3A"/>
    <w:rsid w:val="005B39EB"/>
    <w:rsid w:val="005B6017"/>
    <w:rsid w:val="005B6901"/>
    <w:rsid w:val="005C2BE1"/>
    <w:rsid w:val="005D13C1"/>
    <w:rsid w:val="005E3ED6"/>
    <w:rsid w:val="005E3F35"/>
    <w:rsid w:val="005F0981"/>
    <w:rsid w:val="005F68BA"/>
    <w:rsid w:val="00625395"/>
    <w:rsid w:val="00645C5A"/>
    <w:rsid w:val="0065278C"/>
    <w:rsid w:val="006537D3"/>
    <w:rsid w:val="00661C8F"/>
    <w:rsid w:val="00663FB1"/>
    <w:rsid w:val="00676DB9"/>
    <w:rsid w:val="006946A2"/>
    <w:rsid w:val="006965A6"/>
    <w:rsid w:val="006A1AF0"/>
    <w:rsid w:val="006B260C"/>
    <w:rsid w:val="006C0582"/>
    <w:rsid w:val="006C114D"/>
    <w:rsid w:val="006C2C08"/>
    <w:rsid w:val="006D069C"/>
    <w:rsid w:val="006D6301"/>
    <w:rsid w:val="006E1A72"/>
    <w:rsid w:val="006F37BA"/>
    <w:rsid w:val="00713205"/>
    <w:rsid w:val="00713313"/>
    <w:rsid w:val="0071622D"/>
    <w:rsid w:val="00720E0F"/>
    <w:rsid w:val="0073412A"/>
    <w:rsid w:val="007361AB"/>
    <w:rsid w:val="00736B76"/>
    <w:rsid w:val="00747B59"/>
    <w:rsid w:val="007542DE"/>
    <w:rsid w:val="0075567B"/>
    <w:rsid w:val="00775971"/>
    <w:rsid w:val="00786224"/>
    <w:rsid w:val="00787FC2"/>
    <w:rsid w:val="007937D9"/>
    <w:rsid w:val="00795F68"/>
    <w:rsid w:val="007A587E"/>
    <w:rsid w:val="007A7D3E"/>
    <w:rsid w:val="007B00DA"/>
    <w:rsid w:val="007C40A9"/>
    <w:rsid w:val="007C676A"/>
    <w:rsid w:val="007D496D"/>
    <w:rsid w:val="007D5D70"/>
    <w:rsid w:val="0081723F"/>
    <w:rsid w:val="00827708"/>
    <w:rsid w:val="008339B6"/>
    <w:rsid w:val="0086371C"/>
    <w:rsid w:val="00864F86"/>
    <w:rsid w:val="008669D9"/>
    <w:rsid w:val="00873F78"/>
    <w:rsid w:val="008803E0"/>
    <w:rsid w:val="00885B82"/>
    <w:rsid w:val="00890606"/>
    <w:rsid w:val="00894925"/>
    <w:rsid w:val="008A5AC8"/>
    <w:rsid w:val="008B25E5"/>
    <w:rsid w:val="008B48FC"/>
    <w:rsid w:val="008B5A7A"/>
    <w:rsid w:val="008C1340"/>
    <w:rsid w:val="008C1547"/>
    <w:rsid w:val="008D0758"/>
    <w:rsid w:val="008D2FCE"/>
    <w:rsid w:val="008D3610"/>
    <w:rsid w:val="008D43E3"/>
    <w:rsid w:val="008E198A"/>
    <w:rsid w:val="008E1BF9"/>
    <w:rsid w:val="008F2CAA"/>
    <w:rsid w:val="00903F6E"/>
    <w:rsid w:val="00916A59"/>
    <w:rsid w:val="009304A0"/>
    <w:rsid w:val="00930D2B"/>
    <w:rsid w:val="00940462"/>
    <w:rsid w:val="00970117"/>
    <w:rsid w:val="00971176"/>
    <w:rsid w:val="00986FF9"/>
    <w:rsid w:val="009A6B49"/>
    <w:rsid w:val="009B1D64"/>
    <w:rsid w:val="009C7D7F"/>
    <w:rsid w:val="009E0D02"/>
    <w:rsid w:val="009E1789"/>
    <w:rsid w:val="009E5E95"/>
    <w:rsid w:val="009E7ABD"/>
    <w:rsid w:val="009F0C75"/>
    <w:rsid w:val="009F3D96"/>
    <w:rsid w:val="009F47C0"/>
    <w:rsid w:val="00A151E5"/>
    <w:rsid w:val="00A1641E"/>
    <w:rsid w:val="00A21DFA"/>
    <w:rsid w:val="00A24FE3"/>
    <w:rsid w:val="00A30205"/>
    <w:rsid w:val="00A35570"/>
    <w:rsid w:val="00A4207E"/>
    <w:rsid w:val="00A565E7"/>
    <w:rsid w:val="00A63446"/>
    <w:rsid w:val="00A73E77"/>
    <w:rsid w:val="00A93F1E"/>
    <w:rsid w:val="00A94438"/>
    <w:rsid w:val="00AA551A"/>
    <w:rsid w:val="00AA6A74"/>
    <w:rsid w:val="00AA75E5"/>
    <w:rsid w:val="00AB204F"/>
    <w:rsid w:val="00AB3F17"/>
    <w:rsid w:val="00AC02C2"/>
    <w:rsid w:val="00AC28C4"/>
    <w:rsid w:val="00AC75AC"/>
    <w:rsid w:val="00AD15FE"/>
    <w:rsid w:val="00AD7222"/>
    <w:rsid w:val="00AE0FD7"/>
    <w:rsid w:val="00AF7D59"/>
    <w:rsid w:val="00B064EA"/>
    <w:rsid w:val="00B23A59"/>
    <w:rsid w:val="00B241C8"/>
    <w:rsid w:val="00B2439F"/>
    <w:rsid w:val="00B34EBE"/>
    <w:rsid w:val="00B35011"/>
    <w:rsid w:val="00B42465"/>
    <w:rsid w:val="00B5575A"/>
    <w:rsid w:val="00B56E5C"/>
    <w:rsid w:val="00B643BC"/>
    <w:rsid w:val="00B71F6E"/>
    <w:rsid w:val="00B75BAD"/>
    <w:rsid w:val="00B768F9"/>
    <w:rsid w:val="00B80B03"/>
    <w:rsid w:val="00B81357"/>
    <w:rsid w:val="00B87DA1"/>
    <w:rsid w:val="00BC3A89"/>
    <w:rsid w:val="00BC62A1"/>
    <w:rsid w:val="00BD29FF"/>
    <w:rsid w:val="00BD6D16"/>
    <w:rsid w:val="00BE6D74"/>
    <w:rsid w:val="00C0516B"/>
    <w:rsid w:val="00C07FC1"/>
    <w:rsid w:val="00C24269"/>
    <w:rsid w:val="00C467B0"/>
    <w:rsid w:val="00C4759F"/>
    <w:rsid w:val="00C73C0B"/>
    <w:rsid w:val="00CB0DAF"/>
    <w:rsid w:val="00CB7362"/>
    <w:rsid w:val="00CC422A"/>
    <w:rsid w:val="00CC54C1"/>
    <w:rsid w:val="00CD0ACF"/>
    <w:rsid w:val="00CD3C37"/>
    <w:rsid w:val="00CD66A5"/>
    <w:rsid w:val="00CF385A"/>
    <w:rsid w:val="00CF6561"/>
    <w:rsid w:val="00CF6B45"/>
    <w:rsid w:val="00D07A57"/>
    <w:rsid w:val="00D110D2"/>
    <w:rsid w:val="00D23F32"/>
    <w:rsid w:val="00D46F94"/>
    <w:rsid w:val="00D47AEC"/>
    <w:rsid w:val="00D679B1"/>
    <w:rsid w:val="00D72071"/>
    <w:rsid w:val="00D80581"/>
    <w:rsid w:val="00D86B10"/>
    <w:rsid w:val="00DA2909"/>
    <w:rsid w:val="00DA48F0"/>
    <w:rsid w:val="00DB27E6"/>
    <w:rsid w:val="00DC00B2"/>
    <w:rsid w:val="00DC304E"/>
    <w:rsid w:val="00DC37BF"/>
    <w:rsid w:val="00DC4909"/>
    <w:rsid w:val="00DD31DB"/>
    <w:rsid w:val="00DE151B"/>
    <w:rsid w:val="00DE170F"/>
    <w:rsid w:val="00DF17B8"/>
    <w:rsid w:val="00DF3AA0"/>
    <w:rsid w:val="00DF3EF5"/>
    <w:rsid w:val="00DF55C0"/>
    <w:rsid w:val="00DF73A7"/>
    <w:rsid w:val="00E02A92"/>
    <w:rsid w:val="00E03EE9"/>
    <w:rsid w:val="00E1001A"/>
    <w:rsid w:val="00E20B5A"/>
    <w:rsid w:val="00E33E99"/>
    <w:rsid w:val="00E355CB"/>
    <w:rsid w:val="00E36D43"/>
    <w:rsid w:val="00E75261"/>
    <w:rsid w:val="00E75A96"/>
    <w:rsid w:val="00E9271B"/>
    <w:rsid w:val="00EA381E"/>
    <w:rsid w:val="00ED54AC"/>
    <w:rsid w:val="00EE22A5"/>
    <w:rsid w:val="00F06E3E"/>
    <w:rsid w:val="00F078A4"/>
    <w:rsid w:val="00F1206F"/>
    <w:rsid w:val="00F24F06"/>
    <w:rsid w:val="00F411EE"/>
    <w:rsid w:val="00F55824"/>
    <w:rsid w:val="00F67F0E"/>
    <w:rsid w:val="00F85FC2"/>
    <w:rsid w:val="00F93244"/>
    <w:rsid w:val="00F96499"/>
    <w:rsid w:val="00FC0DCE"/>
    <w:rsid w:val="00FD25CC"/>
    <w:rsid w:val="00FE1D8E"/>
    <w:rsid w:val="00FF15F8"/>
    <w:rsid w:val="00FF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CAB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17"/>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paragraph" w:styleId="Heading4">
    <w:name w:val="heading 4"/>
    <w:basedOn w:val="Normal"/>
    <w:next w:val="Normal"/>
    <w:link w:val="Heading4Char"/>
    <w:uiPriority w:val="9"/>
    <w:semiHidden/>
    <w:unhideWhenUsed/>
    <w:qFormat/>
    <w:rsid w:val="00464F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uiPriority w:val="99"/>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CF6B4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B45"/>
    <w:rPr>
      <w:rFonts w:ascii="Tahoma" w:hAnsi="Tahoma" w:cs="Tahoma"/>
      <w:sz w:val="16"/>
      <w:szCs w:val="16"/>
    </w:rPr>
  </w:style>
  <w:style w:type="character" w:customStyle="1" w:styleId="apple-converted-space">
    <w:name w:val="apple-converted-space"/>
    <w:basedOn w:val="DefaultParagraphFont"/>
    <w:rsid w:val="000B65F9"/>
  </w:style>
  <w:style w:type="character" w:styleId="CommentReference">
    <w:name w:val="annotation reference"/>
    <w:basedOn w:val="DefaultParagraphFont"/>
    <w:uiPriority w:val="99"/>
    <w:semiHidden/>
    <w:unhideWhenUsed/>
    <w:rsid w:val="00B5575A"/>
    <w:rPr>
      <w:sz w:val="16"/>
      <w:szCs w:val="16"/>
    </w:rPr>
  </w:style>
  <w:style w:type="paragraph" w:styleId="CommentSubject">
    <w:name w:val="annotation subject"/>
    <w:basedOn w:val="CommentText"/>
    <w:next w:val="CommentText"/>
    <w:link w:val="CommentSubjectChar"/>
    <w:uiPriority w:val="99"/>
    <w:semiHidden/>
    <w:unhideWhenUsed/>
    <w:rsid w:val="00B5575A"/>
    <w:rPr>
      <w:b/>
      <w:bCs/>
    </w:rPr>
  </w:style>
  <w:style w:type="character" w:customStyle="1" w:styleId="CommentTextChar">
    <w:name w:val="Comment Text Char"/>
    <w:basedOn w:val="DefaultParagraphFont"/>
    <w:link w:val="CommentText"/>
    <w:uiPriority w:val="99"/>
    <w:rsid w:val="00B5575A"/>
  </w:style>
  <w:style w:type="character" w:customStyle="1" w:styleId="CommentSubjectChar">
    <w:name w:val="Comment Subject Char"/>
    <w:basedOn w:val="CommentTextChar"/>
    <w:link w:val="CommentSubject"/>
    <w:uiPriority w:val="99"/>
    <w:semiHidden/>
    <w:rsid w:val="00B5575A"/>
    <w:rPr>
      <w:b/>
      <w:bCs/>
    </w:rPr>
  </w:style>
  <w:style w:type="character" w:customStyle="1" w:styleId="Heading4Char">
    <w:name w:val="Heading 4 Char"/>
    <w:basedOn w:val="DefaultParagraphFont"/>
    <w:link w:val="Heading4"/>
    <w:uiPriority w:val="9"/>
    <w:semiHidden/>
    <w:rsid w:val="00464FD1"/>
    <w:rPr>
      <w:rFonts w:asciiTheme="majorHAnsi" w:eastAsiaTheme="majorEastAsia" w:hAnsiTheme="majorHAnsi" w:cstheme="majorBidi"/>
      <w:b/>
      <w:bCs/>
      <w:i/>
      <w:iCs/>
      <w:color w:val="4F81BD" w:themeColor="accent1"/>
      <w:sz w:val="22"/>
    </w:rPr>
  </w:style>
  <w:style w:type="paragraph" w:customStyle="1" w:styleId="Note">
    <w:name w:val="Note"/>
    <w:basedOn w:val="BodyText"/>
    <w:next w:val="BodyText"/>
    <w:rsid w:val="00464FD1"/>
    <w:pPr>
      <w:tabs>
        <w:tab w:val="clear" w:pos="567"/>
        <w:tab w:val="clear" w:pos="680"/>
      </w:tabs>
      <w:overflowPunct/>
      <w:autoSpaceDE/>
      <w:autoSpaceDN/>
      <w:adjustRightInd/>
      <w:spacing w:line="240" w:lineRule="atLeast"/>
      <w:ind w:left="2693"/>
      <w:textAlignment w:val="auto"/>
    </w:pPr>
    <w:rPr>
      <w:sz w:val="18"/>
      <w:szCs w:val="22"/>
      <w:lang w:eastAsia="en-AU"/>
    </w:rPr>
  </w:style>
  <w:style w:type="character" w:styleId="Emphasis">
    <w:name w:val="Emphasis"/>
    <w:basedOn w:val="DefaultParagraphFont"/>
    <w:uiPriority w:val="20"/>
    <w:qFormat/>
    <w:rsid w:val="00426811"/>
    <w:rPr>
      <w:i/>
      <w:iCs/>
    </w:rPr>
  </w:style>
  <w:style w:type="paragraph" w:styleId="Revision">
    <w:name w:val="Revision"/>
    <w:hidden/>
    <w:uiPriority w:val="99"/>
    <w:semiHidden/>
    <w:rsid w:val="00E02A92"/>
    <w:rPr>
      <w:sz w:val="22"/>
    </w:rPr>
  </w:style>
  <w:style w:type="paragraph" w:customStyle="1" w:styleId="LI-Heading2">
    <w:name w:val="LI - Heading 2"/>
    <w:basedOn w:val="Normal"/>
    <w:next w:val="Normal"/>
    <w:qFormat/>
    <w:rsid w:val="00044F71"/>
    <w:pPr>
      <w:keepNext/>
      <w:keepLines/>
      <w:spacing w:before="360" w:after="0"/>
      <w:ind w:left="567" w:hanging="567"/>
      <w:outlineLvl w:val="1"/>
    </w:pPr>
    <w:rPr>
      <w:b/>
      <w:kern w:val="28"/>
      <w:sz w:val="24"/>
    </w:rPr>
  </w:style>
  <w:style w:type="paragraph" w:customStyle="1" w:styleId="LI-BodyTextParaa">
    <w:name w:val="LI - Body Text Para (a)"/>
    <w:basedOn w:val="Normal"/>
    <w:link w:val="LI-BodyTextParaaChar"/>
    <w:rsid w:val="004434E0"/>
    <w:pPr>
      <w:spacing w:before="240" w:after="0"/>
      <w:ind w:left="1701" w:hanging="567"/>
    </w:pPr>
    <w:rPr>
      <w:sz w:val="24"/>
      <w:szCs w:val="24"/>
    </w:rPr>
  </w:style>
  <w:style w:type="character" w:customStyle="1" w:styleId="LI-BodyTextParaaChar">
    <w:name w:val="LI - Body Text Para (a) Char"/>
    <w:link w:val="LI-BodyTextParaa"/>
    <w:rsid w:val="004434E0"/>
    <w:rPr>
      <w:sz w:val="24"/>
      <w:szCs w:val="24"/>
    </w:rPr>
  </w:style>
  <w:style w:type="paragraph" w:customStyle="1" w:styleId="LI-SectionNote">
    <w:name w:val="LI - Section Note"/>
    <w:basedOn w:val="Normal"/>
    <w:link w:val="LI-SectionNoteChar"/>
    <w:qFormat/>
    <w:rsid w:val="004434E0"/>
    <w:pPr>
      <w:spacing w:before="240" w:after="0"/>
      <w:ind w:left="2835" w:hanging="567"/>
    </w:pPr>
    <w:rPr>
      <w:sz w:val="18"/>
    </w:rPr>
  </w:style>
  <w:style w:type="character" w:customStyle="1" w:styleId="LI-SectionNoteChar">
    <w:name w:val="LI - Section Note Char"/>
    <w:basedOn w:val="DefaultParagraphFont"/>
    <w:link w:val="LI-SectionNote"/>
    <w:rsid w:val="004434E0"/>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17"/>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paragraph" w:styleId="Heading4">
    <w:name w:val="heading 4"/>
    <w:basedOn w:val="Normal"/>
    <w:next w:val="Normal"/>
    <w:link w:val="Heading4Char"/>
    <w:uiPriority w:val="9"/>
    <w:semiHidden/>
    <w:unhideWhenUsed/>
    <w:qFormat/>
    <w:rsid w:val="00464F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uiPriority w:val="99"/>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CF6B4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B45"/>
    <w:rPr>
      <w:rFonts w:ascii="Tahoma" w:hAnsi="Tahoma" w:cs="Tahoma"/>
      <w:sz w:val="16"/>
      <w:szCs w:val="16"/>
    </w:rPr>
  </w:style>
  <w:style w:type="character" w:customStyle="1" w:styleId="apple-converted-space">
    <w:name w:val="apple-converted-space"/>
    <w:basedOn w:val="DefaultParagraphFont"/>
    <w:rsid w:val="000B65F9"/>
  </w:style>
  <w:style w:type="character" w:styleId="CommentReference">
    <w:name w:val="annotation reference"/>
    <w:basedOn w:val="DefaultParagraphFont"/>
    <w:uiPriority w:val="99"/>
    <w:semiHidden/>
    <w:unhideWhenUsed/>
    <w:rsid w:val="00B5575A"/>
    <w:rPr>
      <w:sz w:val="16"/>
      <w:szCs w:val="16"/>
    </w:rPr>
  </w:style>
  <w:style w:type="paragraph" w:styleId="CommentSubject">
    <w:name w:val="annotation subject"/>
    <w:basedOn w:val="CommentText"/>
    <w:next w:val="CommentText"/>
    <w:link w:val="CommentSubjectChar"/>
    <w:uiPriority w:val="99"/>
    <w:semiHidden/>
    <w:unhideWhenUsed/>
    <w:rsid w:val="00B5575A"/>
    <w:rPr>
      <w:b/>
      <w:bCs/>
    </w:rPr>
  </w:style>
  <w:style w:type="character" w:customStyle="1" w:styleId="CommentTextChar">
    <w:name w:val="Comment Text Char"/>
    <w:basedOn w:val="DefaultParagraphFont"/>
    <w:link w:val="CommentText"/>
    <w:uiPriority w:val="99"/>
    <w:rsid w:val="00B5575A"/>
  </w:style>
  <w:style w:type="character" w:customStyle="1" w:styleId="CommentSubjectChar">
    <w:name w:val="Comment Subject Char"/>
    <w:basedOn w:val="CommentTextChar"/>
    <w:link w:val="CommentSubject"/>
    <w:uiPriority w:val="99"/>
    <w:semiHidden/>
    <w:rsid w:val="00B5575A"/>
    <w:rPr>
      <w:b/>
      <w:bCs/>
    </w:rPr>
  </w:style>
  <w:style w:type="character" w:customStyle="1" w:styleId="Heading4Char">
    <w:name w:val="Heading 4 Char"/>
    <w:basedOn w:val="DefaultParagraphFont"/>
    <w:link w:val="Heading4"/>
    <w:uiPriority w:val="9"/>
    <w:semiHidden/>
    <w:rsid w:val="00464FD1"/>
    <w:rPr>
      <w:rFonts w:asciiTheme="majorHAnsi" w:eastAsiaTheme="majorEastAsia" w:hAnsiTheme="majorHAnsi" w:cstheme="majorBidi"/>
      <w:b/>
      <w:bCs/>
      <w:i/>
      <w:iCs/>
      <w:color w:val="4F81BD" w:themeColor="accent1"/>
      <w:sz w:val="22"/>
    </w:rPr>
  </w:style>
  <w:style w:type="paragraph" w:customStyle="1" w:styleId="Note">
    <w:name w:val="Note"/>
    <w:basedOn w:val="BodyText"/>
    <w:next w:val="BodyText"/>
    <w:rsid w:val="00464FD1"/>
    <w:pPr>
      <w:tabs>
        <w:tab w:val="clear" w:pos="567"/>
        <w:tab w:val="clear" w:pos="680"/>
      </w:tabs>
      <w:overflowPunct/>
      <w:autoSpaceDE/>
      <w:autoSpaceDN/>
      <w:adjustRightInd/>
      <w:spacing w:line="240" w:lineRule="atLeast"/>
      <w:ind w:left="2693"/>
      <w:textAlignment w:val="auto"/>
    </w:pPr>
    <w:rPr>
      <w:sz w:val="18"/>
      <w:szCs w:val="22"/>
      <w:lang w:eastAsia="en-AU"/>
    </w:rPr>
  </w:style>
  <w:style w:type="character" w:styleId="Emphasis">
    <w:name w:val="Emphasis"/>
    <w:basedOn w:val="DefaultParagraphFont"/>
    <w:uiPriority w:val="20"/>
    <w:qFormat/>
    <w:rsid w:val="00426811"/>
    <w:rPr>
      <w:i/>
      <w:iCs/>
    </w:rPr>
  </w:style>
  <w:style w:type="paragraph" w:styleId="Revision">
    <w:name w:val="Revision"/>
    <w:hidden/>
    <w:uiPriority w:val="99"/>
    <w:semiHidden/>
    <w:rsid w:val="00E02A92"/>
    <w:rPr>
      <w:sz w:val="22"/>
    </w:rPr>
  </w:style>
  <w:style w:type="paragraph" w:customStyle="1" w:styleId="LI-Heading2">
    <w:name w:val="LI - Heading 2"/>
    <w:basedOn w:val="Normal"/>
    <w:next w:val="Normal"/>
    <w:qFormat/>
    <w:rsid w:val="00044F71"/>
    <w:pPr>
      <w:keepNext/>
      <w:keepLines/>
      <w:spacing w:before="360" w:after="0"/>
      <w:ind w:left="567" w:hanging="567"/>
      <w:outlineLvl w:val="1"/>
    </w:pPr>
    <w:rPr>
      <w:b/>
      <w:kern w:val="28"/>
      <w:sz w:val="24"/>
    </w:rPr>
  </w:style>
  <w:style w:type="paragraph" w:customStyle="1" w:styleId="LI-BodyTextParaa">
    <w:name w:val="LI - Body Text Para (a)"/>
    <w:basedOn w:val="Normal"/>
    <w:link w:val="LI-BodyTextParaaChar"/>
    <w:rsid w:val="004434E0"/>
    <w:pPr>
      <w:spacing w:before="240" w:after="0"/>
      <w:ind w:left="1701" w:hanging="567"/>
    </w:pPr>
    <w:rPr>
      <w:sz w:val="24"/>
      <w:szCs w:val="24"/>
    </w:rPr>
  </w:style>
  <w:style w:type="character" w:customStyle="1" w:styleId="LI-BodyTextParaaChar">
    <w:name w:val="LI - Body Text Para (a) Char"/>
    <w:link w:val="LI-BodyTextParaa"/>
    <w:rsid w:val="004434E0"/>
    <w:rPr>
      <w:sz w:val="24"/>
      <w:szCs w:val="24"/>
    </w:rPr>
  </w:style>
  <w:style w:type="paragraph" w:customStyle="1" w:styleId="LI-SectionNote">
    <w:name w:val="LI - Section Note"/>
    <w:basedOn w:val="Normal"/>
    <w:link w:val="LI-SectionNoteChar"/>
    <w:qFormat/>
    <w:rsid w:val="004434E0"/>
    <w:pPr>
      <w:spacing w:before="240" w:after="0"/>
      <w:ind w:left="2835" w:hanging="567"/>
    </w:pPr>
    <w:rPr>
      <w:sz w:val="18"/>
    </w:rPr>
  </w:style>
  <w:style w:type="character" w:customStyle="1" w:styleId="LI-SectionNoteChar">
    <w:name w:val="LI - Section Note Char"/>
    <w:basedOn w:val="DefaultParagraphFont"/>
    <w:link w:val="LI-SectionNote"/>
    <w:rsid w:val="004434E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79832">
      <w:bodyDiv w:val="1"/>
      <w:marLeft w:val="0"/>
      <w:marRight w:val="0"/>
      <w:marTop w:val="0"/>
      <w:marBottom w:val="0"/>
      <w:divBdr>
        <w:top w:val="none" w:sz="0" w:space="0" w:color="auto"/>
        <w:left w:val="none" w:sz="0" w:space="0" w:color="auto"/>
        <w:bottom w:val="none" w:sz="0" w:space="0" w:color="auto"/>
        <w:right w:val="none" w:sz="0" w:space="0" w:color="auto"/>
      </w:divBdr>
    </w:div>
    <w:div w:id="1239366839">
      <w:bodyDiv w:val="1"/>
      <w:marLeft w:val="0"/>
      <w:marRight w:val="0"/>
      <w:marTop w:val="0"/>
      <w:marBottom w:val="0"/>
      <w:divBdr>
        <w:top w:val="none" w:sz="0" w:space="0" w:color="auto"/>
        <w:left w:val="none" w:sz="0" w:space="0" w:color="auto"/>
        <w:bottom w:val="none" w:sz="0" w:space="0" w:color="auto"/>
        <w:right w:val="none" w:sz="0" w:space="0" w:color="auto"/>
      </w:divBdr>
      <w:divsChild>
        <w:div w:id="402488484">
          <w:marLeft w:val="0"/>
          <w:marRight w:val="0"/>
          <w:marTop w:val="0"/>
          <w:marBottom w:val="0"/>
          <w:divBdr>
            <w:top w:val="none" w:sz="0" w:space="0" w:color="auto"/>
            <w:left w:val="none" w:sz="0" w:space="0" w:color="auto"/>
            <w:bottom w:val="none" w:sz="0" w:space="0" w:color="auto"/>
            <w:right w:val="none" w:sz="0" w:space="0" w:color="auto"/>
          </w:divBdr>
          <w:divsChild>
            <w:div w:id="1897542650">
              <w:marLeft w:val="0"/>
              <w:marRight w:val="0"/>
              <w:marTop w:val="0"/>
              <w:marBottom w:val="0"/>
              <w:divBdr>
                <w:top w:val="none" w:sz="0" w:space="0" w:color="auto"/>
                <w:left w:val="none" w:sz="0" w:space="0" w:color="auto"/>
                <w:bottom w:val="none" w:sz="0" w:space="0" w:color="auto"/>
                <w:right w:val="none" w:sz="0" w:space="0" w:color="auto"/>
              </w:divBdr>
              <w:divsChild>
                <w:div w:id="515117697">
                  <w:marLeft w:val="0"/>
                  <w:marRight w:val="0"/>
                  <w:marTop w:val="0"/>
                  <w:marBottom w:val="0"/>
                  <w:divBdr>
                    <w:top w:val="none" w:sz="0" w:space="0" w:color="auto"/>
                    <w:left w:val="none" w:sz="0" w:space="0" w:color="auto"/>
                    <w:bottom w:val="none" w:sz="0" w:space="0" w:color="auto"/>
                    <w:right w:val="none" w:sz="0" w:space="0" w:color="auto"/>
                  </w:divBdr>
                  <w:divsChild>
                    <w:div w:id="2061395966">
                      <w:marLeft w:val="0"/>
                      <w:marRight w:val="0"/>
                      <w:marTop w:val="0"/>
                      <w:marBottom w:val="0"/>
                      <w:divBdr>
                        <w:top w:val="none" w:sz="0" w:space="0" w:color="auto"/>
                        <w:left w:val="none" w:sz="0" w:space="0" w:color="auto"/>
                        <w:bottom w:val="none" w:sz="0" w:space="0" w:color="auto"/>
                        <w:right w:val="none" w:sz="0" w:space="0" w:color="auto"/>
                      </w:divBdr>
                      <w:divsChild>
                        <w:div w:id="1007252231">
                          <w:marLeft w:val="0"/>
                          <w:marRight w:val="0"/>
                          <w:marTop w:val="0"/>
                          <w:marBottom w:val="0"/>
                          <w:divBdr>
                            <w:top w:val="none" w:sz="0" w:space="0" w:color="auto"/>
                            <w:left w:val="none" w:sz="0" w:space="0" w:color="auto"/>
                            <w:bottom w:val="none" w:sz="0" w:space="0" w:color="auto"/>
                            <w:right w:val="none" w:sz="0" w:space="0" w:color="auto"/>
                          </w:divBdr>
                          <w:divsChild>
                            <w:div w:id="1120763194">
                              <w:marLeft w:val="0"/>
                              <w:marRight w:val="0"/>
                              <w:marTop w:val="0"/>
                              <w:marBottom w:val="0"/>
                              <w:divBdr>
                                <w:top w:val="none" w:sz="0" w:space="0" w:color="auto"/>
                                <w:left w:val="none" w:sz="0" w:space="0" w:color="auto"/>
                                <w:bottom w:val="none" w:sz="0" w:space="0" w:color="auto"/>
                                <w:right w:val="none" w:sz="0" w:space="0" w:color="auto"/>
                              </w:divBdr>
                              <w:divsChild>
                                <w:div w:id="2117478044">
                                  <w:marLeft w:val="0"/>
                                  <w:marRight w:val="0"/>
                                  <w:marTop w:val="0"/>
                                  <w:marBottom w:val="0"/>
                                  <w:divBdr>
                                    <w:top w:val="none" w:sz="0" w:space="0" w:color="auto"/>
                                    <w:left w:val="none" w:sz="0" w:space="0" w:color="auto"/>
                                    <w:bottom w:val="none" w:sz="0" w:space="0" w:color="auto"/>
                                    <w:right w:val="none" w:sz="0" w:space="0" w:color="auto"/>
                                  </w:divBdr>
                                  <w:divsChild>
                                    <w:div w:id="1257515194">
                                      <w:marLeft w:val="0"/>
                                      <w:marRight w:val="0"/>
                                      <w:marTop w:val="0"/>
                                      <w:marBottom w:val="0"/>
                                      <w:divBdr>
                                        <w:top w:val="none" w:sz="0" w:space="0" w:color="auto"/>
                                        <w:left w:val="none" w:sz="0" w:space="0" w:color="auto"/>
                                        <w:bottom w:val="none" w:sz="0" w:space="0" w:color="auto"/>
                                        <w:right w:val="none" w:sz="0" w:space="0" w:color="auto"/>
                                      </w:divBdr>
                                      <w:divsChild>
                                        <w:div w:id="1981574010">
                                          <w:marLeft w:val="0"/>
                                          <w:marRight w:val="0"/>
                                          <w:marTop w:val="0"/>
                                          <w:marBottom w:val="0"/>
                                          <w:divBdr>
                                            <w:top w:val="none" w:sz="0" w:space="0" w:color="auto"/>
                                            <w:left w:val="none" w:sz="0" w:space="0" w:color="auto"/>
                                            <w:bottom w:val="none" w:sz="0" w:space="0" w:color="auto"/>
                                            <w:right w:val="none" w:sz="0" w:space="0" w:color="auto"/>
                                          </w:divBdr>
                                          <w:divsChild>
                                            <w:div w:id="1821921155">
                                              <w:marLeft w:val="0"/>
                                              <w:marRight w:val="0"/>
                                              <w:marTop w:val="0"/>
                                              <w:marBottom w:val="0"/>
                                              <w:divBdr>
                                                <w:top w:val="none" w:sz="0" w:space="0" w:color="auto"/>
                                                <w:left w:val="none" w:sz="0" w:space="0" w:color="auto"/>
                                                <w:bottom w:val="none" w:sz="0" w:space="0" w:color="auto"/>
                                                <w:right w:val="none" w:sz="0" w:space="0" w:color="auto"/>
                                              </w:divBdr>
                                              <w:divsChild>
                                                <w:div w:id="839546868">
                                                  <w:marLeft w:val="0"/>
                                                  <w:marRight w:val="0"/>
                                                  <w:marTop w:val="0"/>
                                                  <w:marBottom w:val="0"/>
                                                  <w:divBdr>
                                                    <w:top w:val="none" w:sz="0" w:space="0" w:color="auto"/>
                                                    <w:left w:val="none" w:sz="0" w:space="0" w:color="auto"/>
                                                    <w:bottom w:val="none" w:sz="0" w:space="0" w:color="auto"/>
                                                    <w:right w:val="none" w:sz="0" w:space="0" w:color="auto"/>
                                                  </w:divBdr>
                                                  <w:divsChild>
                                                    <w:div w:id="1961371765">
                                                      <w:marLeft w:val="0"/>
                                                      <w:marRight w:val="0"/>
                                                      <w:marTop w:val="0"/>
                                                      <w:marBottom w:val="0"/>
                                                      <w:divBdr>
                                                        <w:top w:val="none" w:sz="0" w:space="0" w:color="auto"/>
                                                        <w:left w:val="none" w:sz="0" w:space="0" w:color="auto"/>
                                                        <w:bottom w:val="none" w:sz="0" w:space="0" w:color="auto"/>
                                                        <w:right w:val="none" w:sz="0" w:space="0" w:color="auto"/>
                                                      </w:divBdr>
                                                      <w:divsChild>
                                                        <w:div w:id="6176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4932734">
      <w:bodyDiv w:val="1"/>
      <w:marLeft w:val="0"/>
      <w:marRight w:val="0"/>
      <w:marTop w:val="0"/>
      <w:marBottom w:val="0"/>
      <w:divBdr>
        <w:top w:val="none" w:sz="0" w:space="0" w:color="auto"/>
        <w:left w:val="none" w:sz="0" w:space="0" w:color="auto"/>
        <w:bottom w:val="none" w:sz="0" w:space="0" w:color="auto"/>
        <w:right w:val="none" w:sz="0" w:space="0" w:color="auto"/>
      </w:divBdr>
      <w:divsChild>
        <w:div w:id="1918855352">
          <w:marLeft w:val="0"/>
          <w:marRight w:val="0"/>
          <w:marTop w:val="0"/>
          <w:marBottom w:val="0"/>
          <w:divBdr>
            <w:top w:val="none" w:sz="0" w:space="0" w:color="auto"/>
            <w:left w:val="none" w:sz="0" w:space="0" w:color="auto"/>
            <w:bottom w:val="none" w:sz="0" w:space="0" w:color="auto"/>
            <w:right w:val="none" w:sz="0" w:space="0" w:color="auto"/>
          </w:divBdr>
          <w:divsChild>
            <w:div w:id="1918324004">
              <w:marLeft w:val="0"/>
              <w:marRight w:val="0"/>
              <w:marTop w:val="0"/>
              <w:marBottom w:val="0"/>
              <w:divBdr>
                <w:top w:val="none" w:sz="0" w:space="0" w:color="auto"/>
                <w:left w:val="none" w:sz="0" w:space="0" w:color="auto"/>
                <w:bottom w:val="none" w:sz="0" w:space="0" w:color="auto"/>
                <w:right w:val="none" w:sz="0" w:space="0" w:color="auto"/>
              </w:divBdr>
              <w:divsChild>
                <w:div w:id="927541807">
                  <w:marLeft w:val="0"/>
                  <w:marRight w:val="0"/>
                  <w:marTop w:val="0"/>
                  <w:marBottom w:val="0"/>
                  <w:divBdr>
                    <w:top w:val="none" w:sz="0" w:space="0" w:color="auto"/>
                    <w:left w:val="none" w:sz="0" w:space="0" w:color="auto"/>
                    <w:bottom w:val="none" w:sz="0" w:space="0" w:color="auto"/>
                    <w:right w:val="none" w:sz="0" w:space="0" w:color="auto"/>
                  </w:divBdr>
                  <w:divsChild>
                    <w:div w:id="182715794">
                      <w:marLeft w:val="0"/>
                      <w:marRight w:val="0"/>
                      <w:marTop w:val="0"/>
                      <w:marBottom w:val="0"/>
                      <w:divBdr>
                        <w:top w:val="none" w:sz="0" w:space="0" w:color="auto"/>
                        <w:left w:val="none" w:sz="0" w:space="0" w:color="auto"/>
                        <w:bottom w:val="none" w:sz="0" w:space="0" w:color="auto"/>
                        <w:right w:val="none" w:sz="0" w:space="0" w:color="auto"/>
                      </w:divBdr>
                      <w:divsChild>
                        <w:div w:id="1719666912">
                          <w:marLeft w:val="0"/>
                          <w:marRight w:val="0"/>
                          <w:marTop w:val="0"/>
                          <w:marBottom w:val="0"/>
                          <w:divBdr>
                            <w:top w:val="none" w:sz="0" w:space="0" w:color="auto"/>
                            <w:left w:val="none" w:sz="0" w:space="0" w:color="auto"/>
                            <w:bottom w:val="none" w:sz="0" w:space="0" w:color="auto"/>
                            <w:right w:val="none" w:sz="0" w:space="0" w:color="auto"/>
                          </w:divBdr>
                          <w:divsChild>
                            <w:div w:id="1679427674">
                              <w:marLeft w:val="0"/>
                              <w:marRight w:val="0"/>
                              <w:marTop w:val="0"/>
                              <w:marBottom w:val="0"/>
                              <w:divBdr>
                                <w:top w:val="none" w:sz="0" w:space="0" w:color="auto"/>
                                <w:left w:val="none" w:sz="0" w:space="0" w:color="auto"/>
                                <w:bottom w:val="none" w:sz="0" w:space="0" w:color="auto"/>
                                <w:right w:val="none" w:sz="0" w:space="0" w:color="auto"/>
                              </w:divBdr>
                              <w:divsChild>
                                <w:div w:id="124932574">
                                  <w:marLeft w:val="0"/>
                                  <w:marRight w:val="0"/>
                                  <w:marTop w:val="0"/>
                                  <w:marBottom w:val="0"/>
                                  <w:divBdr>
                                    <w:top w:val="none" w:sz="0" w:space="0" w:color="auto"/>
                                    <w:left w:val="none" w:sz="0" w:space="0" w:color="auto"/>
                                    <w:bottom w:val="none" w:sz="0" w:space="0" w:color="auto"/>
                                    <w:right w:val="none" w:sz="0" w:space="0" w:color="auto"/>
                                  </w:divBdr>
                                  <w:divsChild>
                                    <w:div w:id="877745642">
                                      <w:marLeft w:val="0"/>
                                      <w:marRight w:val="0"/>
                                      <w:marTop w:val="0"/>
                                      <w:marBottom w:val="0"/>
                                      <w:divBdr>
                                        <w:top w:val="none" w:sz="0" w:space="0" w:color="auto"/>
                                        <w:left w:val="none" w:sz="0" w:space="0" w:color="auto"/>
                                        <w:bottom w:val="none" w:sz="0" w:space="0" w:color="auto"/>
                                        <w:right w:val="none" w:sz="0" w:space="0" w:color="auto"/>
                                      </w:divBdr>
                                      <w:divsChild>
                                        <w:div w:id="1976835742">
                                          <w:marLeft w:val="0"/>
                                          <w:marRight w:val="0"/>
                                          <w:marTop w:val="0"/>
                                          <w:marBottom w:val="0"/>
                                          <w:divBdr>
                                            <w:top w:val="none" w:sz="0" w:space="0" w:color="auto"/>
                                            <w:left w:val="none" w:sz="0" w:space="0" w:color="auto"/>
                                            <w:bottom w:val="none" w:sz="0" w:space="0" w:color="auto"/>
                                            <w:right w:val="none" w:sz="0" w:space="0" w:color="auto"/>
                                          </w:divBdr>
                                          <w:divsChild>
                                            <w:div w:id="505099434">
                                              <w:marLeft w:val="0"/>
                                              <w:marRight w:val="0"/>
                                              <w:marTop w:val="0"/>
                                              <w:marBottom w:val="0"/>
                                              <w:divBdr>
                                                <w:top w:val="none" w:sz="0" w:space="0" w:color="auto"/>
                                                <w:left w:val="none" w:sz="0" w:space="0" w:color="auto"/>
                                                <w:bottom w:val="none" w:sz="0" w:space="0" w:color="auto"/>
                                                <w:right w:val="none" w:sz="0" w:space="0" w:color="auto"/>
                                              </w:divBdr>
                                              <w:divsChild>
                                                <w:div w:id="1208224085">
                                                  <w:marLeft w:val="0"/>
                                                  <w:marRight w:val="0"/>
                                                  <w:marTop w:val="0"/>
                                                  <w:marBottom w:val="0"/>
                                                  <w:divBdr>
                                                    <w:top w:val="none" w:sz="0" w:space="0" w:color="auto"/>
                                                    <w:left w:val="none" w:sz="0" w:space="0" w:color="auto"/>
                                                    <w:bottom w:val="none" w:sz="0" w:space="0" w:color="auto"/>
                                                    <w:right w:val="none" w:sz="0" w:space="0" w:color="auto"/>
                                                  </w:divBdr>
                                                  <w:divsChild>
                                                    <w:div w:id="1473525789">
                                                      <w:marLeft w:val="0"/>
                                                      <w:marRight w:val="0"/>
                                                      <w:marTop w:val="0"/>
                                                      <w:marBottom w:val="0"/>
                                                      <w:divBdr>
                                                        <w:top w:val="none" w:sz="0" w:space="0" w:color="auto"/>
                                                        <w:left w:val="none" w:sz="0" w:space="0" w:color="auto"/>
                                                        <w:bottom w:val="none" w:sz="0" w:space="0" w:color="auto"/>
                                                        <w:right w:val="none" w:sz="0" w:space="0" w:color="auto"/>
                                                      </w:divBdr>
                                                      <w:divsChild>
                                                        <w:div w:id="14578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31" ma:contentTypeDescription="" ma:contentTypeScope="" ma:versionID="6cba0ed706dc6cf1ae3da10692dfebc7">
  <xsd:schema xmlns:xsd="http://www.w3.org/2001/XMLSchema" xmlns:xs="http://www.w3.org/2001/XMLSchema" xmlns:p="http://schemas.microsoft.com/office/2006/metadata/properties" xmlns:ns2="da7a9ac0-bc47-4684-84e6-3a8e9ac80c12" xmlns:ns3="e61c8409-2b3d-41a9-86ff-6de17ebba263" xmlns:ns4="17f478ab-373e-4295-9ff0-9b833ad01319" xmlns:ns5="0ac98799-20dc-43fa-a7f5-120fca1d2db7" xmlns:ns6="http://schemas.microsoft.com/sharepoint/v4" targetNamespace="http://schemas.microsoft.com/office/2006/metadata/properties" ma:root="true" ma:fieldsID="d3b005fcabee450f98f5084330f781ee" ns2:_="" ns3:_="" ns4:_="" ns5:_="" ns6:_="">
    <xsd:import namespace="da7a9ac0-bc47-4684-84e6-3a8e9ac80c12"/>
    <xsd:import namespace="e61c8409-2b3d-41a9-86ff-6de17ebba263"/>
    <xsd:import namespace="17f478ab-373e-4295-9ff0-9b833ad01319"/>
    <xsd:import namespace="0ac98799-20dc-43fa-a7f5-120fca1d2db7"/>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98799-20dc-43fa-a7f5-120fca1d2db7"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SFilesetOrganisationID xmlns="da7a9ac0-bc47-4684-84e6-3a8e9ac80c12" xsi:nil="true"/>
    <n984d001a78f4b1f81661dbc6638eecd xmlns="e61c8409-2b3d-41a9-86ff-6de17ebba263">
      <Terms xmlns="http://schemas.microsoft.com/office/infopath/2007/PartnerControls"/>
    </n984d001a78f4b1f81661dbc6638eecd>
    <ga500041e31e499bae0a2e3b28b012fb xmlns="da7a9ac0-bc47-4684-84e6-3a8e9ac80c12" xsi:nil="true"/>
    <RecordNumber xmlns="da7a9ac0-bc47-4684-84e6-3a8e9ac80c12">R20170000637651</RecordNumber>
    <hb3476fe0c25428da9d0464ead195eef xmlns="e61c8409-2b3d-41a9-86ff-6de17ebba263">
      <Terms xmlns="http://schemas.microsoft.com/office/infopath/2007/PartnerControls"/>
    </hb3476fe0c25428da9d0464ead195eef>
    <ObjectiveID xmlns="da7a9ac0-bc47-4684-84e6-3a8e9ac80c12" xsi:nil="true"/>
    <f998abd3fd1d41029811a1917032a7bb xmlns="da7a9ac0-bc47-4684-84e6-3a8e9ac80c12" xsi:nil="true"/>
    <n5630a39299d49819c7e0406fbc52e67 xmlns="da7a9ac0-bc47-4684-84e6-3a8e9ac80c12" xsi:nil="true"/>
    <o370174a30b54570b9bc2a9201a399da xmlns="e61c8409-2b3d-41a9-86ff-6de17ebba263">
      <Terms xmlns="http://schemas.microsoft.com/office/infopath/2007/PartnerControls"/>
    </o370174a30b54570b9bc2a9201a399da>
    <IMSOrganisationID xmlns="da7a9ac0-bc47-4684-84e6-3a8e9ac80c12" xsi:nil="true"/>
    <b909c30f6af94f8daa4f6bc346664858 xmlns="da7a9ac0-bc47-4684-84e6-3a8e9ac80c12" xsi:nil="true"/>
    <IconOverlay xmlns="http://schemas.microsoft.com/sharepoint/v4" xsi:nil="true"/>
    <TaxCatchAll xmlns="e61c8409-2b3d-41a9-86ff-6de17ebba263">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f51ae816e01b4965a21cde6183109b29 xmlns="e61c8409-2b3d-41a9-86ff-6de17ebba263">
      <Terms xmlns="http://schemas.microsoft.com/office/infopath/2007/PartnerControls"/>
    </f51ae816e01b4965a21cde6183109b29>
    <SenateOrder12 xmlns="da7a9ac0-bc47-4684-84e6-3a8e9ac80c12">false</SenateOrder12>
    <j9a53d7fe1554b91b170ef98e3957baf xmlns="0ac98799-20dc-43fa-a7f5-120fca1d2db7">
      <Terms xmlns="http://schemas.microsoft.com/office/infopath/2007/PartnerControls"/>
    </j9a53d7fe1554b91b170ef98e3957baf>
    <k9c390b121b84919acb0b9151690da40 xmlns="e61c8409-2b3d-41a9-86ff-6de17ebba263">
      <Terms xmlns="http://schemas.microsoft.com/office/infopath/2007/PartnerControls"/>
    </k9c390b121b84919acb0b9151690da40>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e3d6af94617946d9813caf87b95826d7 xmlns="0ac98799-20dc-43fa-a7f5-120fca1d2db7">
      <Terms xmlns="http://schemas.microsoft.com/office/infopath/2007/PartnerControls"/>
    </e3d6af94617946d9813caf87b95826d7>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CD94-5E68-4C7B-BE7A-E8BA6B1D4EBB}"/>
</file>

<file path=customXml/itemProps2.xml><?xml version="1.0" encoding="utf-8"?>
<ds:datastoreItem xmlns:ds="http://schemas.openxmlformats.org/officeDocument/2006/customXml" ds:itemID="{C8559A83-D10C-4258-B7C3-76FB64C02B90}"/>
</file>

<file path=customXml/itemProps3.xml><?xml version="1.0" encoding="utf-8"?>
<ds:datastoreItem xmlns:ds="http://schemas.openxmlformats.org/officeDocument/2006/customXml" ds:itemID="{4CA72FE9-11E6-4AA7-87AE-E255211D0E30}"/>
</file>

<file path=customXml/itemProps4.xml><?xml version="1.0" encoding="utf-8"?>
<ds:datastoreItem xmlns:ds="http://schemas.openxmlformats.org/officeDocument/2006/customXml" ds:itemID="{9E8D24D9-BF67-488A-9CC3-482FF60D193B}"/>
</file>

<file path=docProps/app.xml><?xml version="1.0" encoding="utf-8"?>
<Properties xmlns="http://schemas.openxmlformats.org/officeDocument/2006/extended-properties" xmlns:vt="http://schemas.openxmlformats.org/officeDocument/2006/docPropsVTypes">
  <Template>Normal.dotm</Template>
  <TotalTime>6</TotalTime>
  <Pages>10</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21052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thomas.hough</dc:creator>
  <cp:lastModifiedBy>thomas.hough</cp:lastModifiedBy>
  <cp:revision>3</cp:revision>
  <dcterms:created xsi:type="dcterms:W3CDTF">2017-09-22T03:45:00Z</dcterms:created>
  <dcterms:modified xsi:type="dcterms:W3CDTF">2017-09-22T03:57:00Z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0x010100B5F685A1365F544391EF8C813B164F3AC100B96475DE23F29F44A6FD58A31C00EB7B</vt:lpwstr>
  </property>
  <property fmtid="{D5CDD505-2E9C-101B-9397-08002B2CF9AE}" pid="23" name="IMSFilesetProductType">
    <vt:lpwstr/>
  </property>
  <property fmtid="{D5CDD505-2E9C-101B-9397-08002B2CF9AE}" pid="24" name="File_x0020_search_x0020_keywords">
    <vt:lpwstr/>
  </property>
  <property fmtid="{D5CDD505-2E9C-101B-9397-08002B2CF9AE}" pid="25" name="IMS_x0020_Precedent">
    <vt:lpwstr/>
  </property>
  <property fmtid="{D5CDD505-2E9C-101B-9397-08002B2CF9AE}" pid="26" name="IMSEntity">
    <vt:lpwstr/>
  </property>
  <property fmtid="{D5CDD505-2E9C-101B-9397-08002B2CF9AE}" pid="27" name="Fileset search keywords">
    <vt:lpwstr/>
  </property>
  <property fmtid="{D5CDD505-2E9C-101B-9397-08002B2CF9AE}" pid="28" name="SecurityClassification">
    <vt:lpwstr>6;#Sensitive|19fd2cb8-3e97-4464-ae71-8c2c2095d028</vt:lpwstr>
  </property>
  <property fmtid="{D5CDD505-2E9C-101B-9397-08002B2CF9AE}" pid="29" name="IMSDocumentType">
    <vt:lpwstr/>
  </property>
  <property fmtid="{D5CDD505-2E9C-101B-9397-08002B2CF9AE}" pid="30" name="IMSFilesetEntity">
    <vt:lpwstr/>
  </property>
  <property fmtid="{D5CDD505-2E9C-101B-9397-08002B2CF9AE}" pid="31" name="IMSProductType">
    <vt:lpwstr/>
  </property>
  <property fmtid="{D5CDD505-2E9C-101B-9397-08002B2CF9AE}" pid="32" name="File search keywords">
    <vt:lpwstr/>
  </property>
  <property fmtid="{D5CDD505-2E9C-101B-9397-08002B2CF9AE}" pid="33" name="IMS Precedent">
    <vt:lpwstr/>
  </property>
  <property fmtid="{D5CDD505-2E9C-101B-9397-08002B2CF9AE}" pid="34" name="RecordPoint_WorkflowType">
    <vt:lpwstr>ActiveSubmitStub</vt:lpwstr>
  </property>
  <property fmtid="{D5CDD505-2E9C-101B-9397-08002B2CF9AE}" pid="35" name="RecordPoint_ActiveItemWebId">
    <vt:lpwstr>{e61c8409-2b3d-41a9-86ff-6de17ebba263}</vt:lpwstr>
  </property>
  <property fmtid="{D5CDD505-2E9C-101B-9397-08002B2CF9AE}" pid="36" name="RecordPoint_ActiveItemSiteId">
    <vt:lpwstr>{7c55c358-5415-4198-9ede-08a0775024ad}</vt:lpwstr>
  </property>
  <property fmtid="{D5CDD505-2E9C-101B-9397-08002B2CF9AE}" pid="37" name="RecordPoint_ActiveItemListId">
    <vt:lpwstr>{0ac98799-20dc-43fa-a7f5-120fca1d2db7}</vt:lpwstr>
  </property>
  <property fmtid="{D5CDD505-2E9C-101B-9397-08002B2CF9AE}" pid="38" name="RecordPoint_ActiveItemUniqueId">
    <vt:lpwstr>{93ed4e27-6320-4287-9353-97c46d1e0000}</vt:lpwstr>
  </property>
  <property fmtid="{D5CDD505-2E9C-101B-9397-08002B2CF9AE}" pid="39" name="RecordPoint_SubmissionDate">
    <vt:lpwstr/>
  </property>
  <property fmtid="{D5CDD505-2E9C-101B-9397-08002B2CF9AE}" pid="40" name="RecordPoint_RecordNumberSubmitted">
    <vt:lpwstr>R20170000637651</vt:lpwstr>
  </property>
  <property fmtid="{D5CDD505-2E9C-101B-9397-08002B2CF9AE}" pid="41" name="RecordPoint_ActiveItemMoved">
    <vt:lpwstr/>
  </property>
  <property fmtid="{D5CDD505-2E9C-101B-9397-08002B2CF9AE}" pid="42" name="RecordPoint_RecordFormat">
    <vt:lpwstr/>
  </property>
  <property fmtid="{D5CDD505-2E9C-101B-9397-08002B2CF9AE}" pid="43" name="RecordPoint_SubmissionCompleted">
    <vt:lpwstr>2017-09-22T13:48:23.9537681+10:00</vt:lpwstr>
  </property>
</Properties>
</file>