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1" w:rsidRPr="007F275F" w:rsidRDefault="00A67D51" w:rsidP="007F275F">
      <w:pPr>
        <w:jc w:val="center"/>
        <w:rPr>
          <w:b/>
        </w:rPr>
      </w:pPr>
      <w:bookmarkStart w:id="0" w:name="_GoBack"/>
      <w:bookmarkEnd w:id="0"/>
      <w:r w:rsidRPr="00B12A20">
        <w:rPr>
          <w:b/>
        </w:rPr>
        <w:t>EXPLANATORY</w:t>
      </w:r>
      <w:r w:rsidRPr="007F275F">
        <w:rPr>
          <w:b/>
        </w:rPr>
        <w:t xml:space="preserve"> STATEMENT</w:t>
      </w:r>
    </w:p>
    <w:p w:rsidR="00A67D51" w:rsidRPr="007F275F" w:rsidRDefault="00A67D51" w:rsidP="007F275F">
      <w:pPr>
        <w:rPr>
          <w:b/>
        </w:rPr>
      </w:pPr>
    </w:p>
    <w:p w:rsidR="00A67D51" w:rsidRPr="00DE60B7" w:rsidRDefault="00A67D51" w:rsidP="007F275F">
      <w:pPr>
        <w:jc w:val="center"/>
        <w:rPr>
          <w:b/>
        </w:rPr>
      </w:pPr>
      <w:r w:rsidRPr="007F275F">
        <w:rPr>
          <w:b/>
        </w:rPr>
        <w:t xml:space="preserve">INSTRUMENT NUMBER </w:t>
      </w:r>
      <w:r w:rsidRPr="00DE60B7">
        <w:rPr>
          <w:b/>
        </w:rPr>
        <w:t>PB</w:t>
      </w:r>
      <w:r w:rsidR="00053ED9" w:rsidRPr="00DE60B7">
        <w:rPr>
          <w:b/>
        </w:rPr>
        <w:t xml:space="preserve"> </w:t>
      </w:r>
      <w:r w:rsidR="006D7C15">
        <w:rPr>
          <w:b/>
        </w:rPr>
        <w:t>8</w:t>
      </w:r>
      <w:r w:rsidR="00C67DCA">
        <w:rPr>
          <w:b/>
        </w:rPr>
        <w:t>2</w:t>
      </w:r>
      <w:r w:rsidR="00A84752" w:rsidRPr="00DE60B7">
        <w:rPr>
          <w:b/>
        </w:rPr>
        <w:t xml:space="preserve"> </w:t>
      </w:r>
      <w:r w:rsidR="0016619D" w:rsidRPr="00DE60B7">
        <w:rPr>
          <w:b/>
        </w:rPr>
        <w:t xml:space="preserve">OF </w:t>
      </w:r>
      <w:r w:rsidR="005E03C9" w:rsidRPr="00DE60B7">
        <w:rPr>
          <w:b/>
        </w:rPr>
        <w:t>201</w:t>
      </w:r>
      <w:r w:rsidR="00901F92">
        <w:rPr>
          <w:b/>
        </w:rPr>
        <w:t>7</w:t>
      </w:r>
    </w:p>
    <w:p w:rsidR="00A67D51" w:rsidRPr="007F275F" w:rsidRDefault="00A67D51" w:rsidP="007F275F">
      <w:pPr>
        <w:rPr>
          <w:b/>
        </w:rPr>
      </w:pPr>
    </w:p>
    <w:p w:rsidR="00A67D51" w:rsidRPr="007F275F" w:rsidRDefault="00A67D51" w:rsidP="007F275F">
      <w:pPr>
        <w:jc w:val="center"/>
        <w:rPr>
          <w:b/>
          <w:i/>
        </w:rPr>
      </w:pPr>
      <w:r w:rsidRPr="007F275F">
        <w:rPr>
          <w:b/>
          <w:i/>
        </w:rPr>
        <w:t>NATIONAL HEALTH ACT 1953</w:t>
      </w:r>
    </w:p>
    <w:p w:rsidR="00C67DCA" w:rsidRPr="00C67DCA" w:rsidRDefault="00C67DCA" w:rsidP="00C67DCA">
      <w:pPr>
        <w:spacing w:before="120" w:after="120"/>
        <w:jc w:val="center"/>
        <w:rPr>
          <w:b/>
        </w:rPr>
      </w:pPr>
      <w:r w:rsidRPr="00C67DCA">
        <w:rPr>
          <w:b/>
          <w:i/>
        </w:rPr>
        <w:t>National Health (Pharmaceutical Benefits Scheme- class of pharmaceutical items – Subsection 99ACA(3) Determination 2017</w:t>
      </w:r>
    </w:p>
    <w:p w:rsidR="00C67DCA" w:rsidRDefault="00FF2C8F" w:rsidP="00C67DCA">
      <w:pPr>
        <w:spacing w:before="120" w:after="120"/>
        <w:rPr>
          <w:b/>
          <w:szCs w:val="24"/>
        </w:rPr>
      </w:pPr>
      <w:r>
        <w:rPr>
          <w:b/>
          <w:szCs w:val="24"/>
        </w:rPr>
        <w:t>Authority</w:t>
      </w:r>
      <w:r w:rsidR="002C01A0">
        <w:rPr>
          <w:b/>
          <w:szCs w:val="24"/>
        </w:rPr>
        <w:t xml:space="preserve"> and Operation</w:t>
      </w:r>
    </w:p>
    <w:p w:rsidR="005B5011" w:rsidRDefault="006D7C15" w:rsidP="00C67DCA">
      <w:pPr>
        <w:spacing w:before="120" w:after="120"/>
        <w:rPr>
          <w:szCs w:val="24"/>
        </w:rPr>
      </w:pPr>
      <w:r w:rsidRPr="00C67DCA">
        <w:rPr>
          <w:szCs w:val="24"/>
        </w:rPr>
        <w:t xml:space="preserve">This legislative instrument is made pursuant to section </w:t>
      </w:r>
      <w:proofErr w:type="gramStart"/>
      <w:r w:rsidR="00C67DCA" w:rsidRPr="00C67DCA">
        <w:rPr>
          <w:szCs w:val="24"/>
        </w:rPr>
        <w:t>99ACA(</w:t>
      </w:r>
      <w:proofErr w:type="gramEnd"/>
      <w:r w:rsidR="00C67DCA" w:rsidRPr="00C67DCA">
        <w:rPr>
          <w:szCs w:val="24"/>
        </w:rPr>
        <w:t xml:space="preserve">3) </w:t>
      </w:r>
      <w:r w:rsidRPr="00C67DCA">
        <w:rPr>
          <w:szCs w:val="24"/>
        </w:rPr>
        <w:t xml:space="preserve">of the </w:t>
      </w:r>
      <w:r w:rsidRPr="00C67DCA">
        <w:rPr>
          <w:i/>
          <w:iCs/>
          <w:szCs w:val="24"/>
        </w:rPr>
        <w:t>National Health Act 1953</w:t>
      </w:r>
      <w:r w:rsidRPr="00C67DCA">
        <w:rPr>
          <w:szCs w:val="24"/>
        </w:rPr>
        <w:t xml:space="preserve"> (the Act) </w:t>
      </w:r>
      <w:r w:rsidR="003E0AF0">
        <w:rPr>
          <w:szCs w:val="24"/>
        </w:rPr>
        <w:t xml:space="preserve">to determine a class of </w:t>
      </w:r>
      <w:r w:rsidRPr="00C67DCA">
        <w:rPr>
          <w:szCs w:val="24"/>
        </w:rPr>
        <w:t xml:space="preserve">pharmaceutical items </w:t>
      </w:r>
      <w:r w:rsidR="00C67DCA" w:rsidRPr="00C67DCA">
        <w:rPr>
          <w:szCs w:val="24"/>
        </w:rPr>
        <w:t>that are deemed to have been subjected to an administrative 12.5% price reduction</w:t>
      </w:r>
      <w:r w:rsidR="005B5011">
        <w:rPr>
          <w:szCs w:val="24"/>
        </w:rPr>
        <w:t xml:space="preserve">. </w:t>
      </w:r>
    </w:p>
    <w:p w:rsidR="006D7C15" w:rsidRPr="00C67DCA" w:rsidRDefault="005B5011" w:rsidP="00C67DCA">
      <w:pPr>
        <w:spacing w:before="120" w:after="120"/>
        <w:rPr>
          <w:szCs w:val="24"/>
        </w:rPr>
      </w:pPr>
      <w:r>
        <w:rPr>
          <w:szCs w:val="24"/>
        </w:rPr>
        <w:t>This is to reflect those administrative price reductions that applied to certain pharmaceutical items</w:t>
      </w:r>
      <w:r w:rsidR="00C67DCA" w:rsidRPr="00C67DCA">
        <w:rPr>
          <w:szCs w:val="24"/>
        </w:rPr>
        <w:t xml:space="preserve"> prior</w:t>
      </w:r>
      <w:r>
        <w:rPr>
          <w:szCs w:val="24"/>
        </w:rPr>
        <w:t xml:space="preserve"> to</w:t>
      </w:r>
      <w:r w:rsidR="00C67DCA" w:rsidRPr="00C67DCA">
        <w:rPr>
          <w:szCs w:val="24"/>
        </w:rPr>
        <w:t xml:space="preserve"> </w:t>
      </w:r>
      <w:r w:rsidR="007B05BF">
        <w:rPr>
          <w:szCs w:val="24"/>
        </w:rPr>
        <w:t xml:space="preserve">1 August 2007, being the commencement of the </w:t>
      </w:r>
      <w:r w:rsidR="00C67DCA" w:rsidRPr="00C67DCA">
        <w:rPr>
          <w:rFonts w:eastAsia="Times New Roman"/>
          <w:i/>
          <w:iCs/>
          <w:szCs w:val="24"/>
        </w:rPr>
        <w:t>National Health Amendment (Pharmaceutical Benefits Scheme) Act 2007</w:t>
      </w:r>
      <w:r w:rsidR="007B05BF">
        <w:rPr>
          <w:rFonts w:eastAsia="Times New Roman"/>
          <w:szCs w:val="24"/>
        </w:rPr>
        <w:t xml:space="preserve">, </w:t>
      </w:r>
      <w:r w:rsidR="00352ED2">
        <w:rPr>
          <w:rFonts w:eastAsia="Times New Roman"/>
          <w:szCs w:val="24"/>
        </w:rPr>
        <w:t>which codified the 12.5%</w:t>
      </w:r>
      <w:r w:rsidR="004D262B">
        <w:rPr>
          <w:rFonts w:eastAsia="Times New Roman"/>
          <w:szCs w:val="24"/>
        </w:rPr>
        <w:t xml:space="preserve"> </w:t>
      </w:r>
      <w:r w:rsidR="00352ED2">
        <w:rPr>
          <w:rFonts w:eastAsia="Times New Roman"/>
          <w:szCs w:val="24"/>
        </w:rPr>
        <w:t xml:space="preserve">reduction </w:t>
      </w:r>
      <w:r w:rsidR="007B05BF">
        <w:rPr>
          <w:rFonts w:eastAsia="Times New Roman"/>
          <w:szCs w:val="24"/>
        </w:rPr>
        <w:t xml:space="preserve">through the creation of </w:t>
      </w:r>
      <w:r w:rsidR="00F03090">
        <w:rPr>
          <w:rFonts w:eastAsia="Times New Roman"/>
          <w:szCs w:val="24"/>
        </w:rPr>
        <w:t>section 99ACB of the Act</w:t>
      </w:r>
      <w:r w:rsidR="00352ED2">
        <w:rPr>
          <w:rFonts w:eastAsia="Times New Roman"/>
          <w:szCs w:val="24"/>
        </w:rPr>
        <w:t xml:space="preserve">. </w:t>
      </w:r>
    </w:p>
    <w:p w:rsidR="002C01A0" w:rsidRDefault="002C01A0" w:rsidP="002C01A0">
      <w:r>
        <w:t xml:space="preserve">This Instrument revokes and replaces the </w:t>
      </w:r>
      <w:r w:rsidR="00BA61AD" w:rsidRPr="00F81829">
        <w:rPr>
          <w:i/>
        </w:rPr>
        <w:t xml:space="preserve">Determination under subsection 99ACA(3) of the National Health Act 1953 </w:t>
      </w:r>
      <w:r w:rsidR="00BA61AD" w:rsidRPr="00F81829">
        <w:t>(PB 59 of 2007)</w:t>
      </w:r>
      <w:r w:rsidR="00BA61AD">
        <w:t xml:space="preserve">. </w:t>
      </w:r>
    </w:p>
    <w:p w:rsidR="002C01A0" w:rsidRDefault="002C01A0" w:rsidP="002C01A0">
      <w:pPr>
        <w:spacing w:before="120" w:after="120"/>
      </w:pPr>
      <w:r w:rsidRPr="00C07CA2">
        <w:rPr>
          <w:szCs w:val="24"/>
        </w:rPr>
        <w:t xml:space="preserve">This </w:t>
      </w:r>
      <w:r>
        <w:rPr>
          <w:szCs w:val="24"/>
        </w:rPr>
        <w:t>I</w:t>
      </w:r>
      <w:r w:rsidRPr="00C07CA2">
        <w:rPr>
          <w:szCs w:val="24"/>
        </w:rPr>
        <w:t xml:space="preserve">nstrument commences on the day </w:t>
      </w:r>
      <w:r>
        <w:rPr>
          <w:szCs w:val="24"/>
        </w:rPr>
        <w:t>of registration on</w:t>
      </w:r>
      <w:r w:rsidRPr="00C07CA2">
        <w:rPr>
          <w:szCs w:val="24"/>
        </w:rPr>
        <w:t xml:space="preserve"> the Federal Register of </w:t>
      </w:r>
      <w:r>
        <w:rPr>
          <w:szCs w:val="24"/>
        </w:rPr>
        <w:t>Legislation.</w:t>
      </w:r>
      <w:r w:rsidR="004D262B">
        <w:rPr>
          <w:szCs w:val="24"/>
        </w:rPr>
        <w:t xml:space="preserve"> </w:t>
      </w:r>
    </w:p>
    <w:p w:rsidR="00FF2C8F" w:rsidRPr="00FF2C8F" w:rsidRDefault="00FF2C8F" w:rsidP="00BC3298">
      <w:pPr>
        <w:spacing w:before="120" w:after="120"/>
        <w:rPr>
          <w:b/>
          <w:szCs w:val="24"/>
        </w:rPr>
      </w:pPr>
      <w:r w:rsidRPr="00FF2C8F">
        <w:rPr>
          <w:b/>
          <w:szCs w:val="24"/>
        </w:rPr>
        <w:t>Purpose</w:t>
      </w:r>
    </w:p>
    <w:p w:rsidR="00C67DCA" w:rsidRDefault="00C67DCA" w:rsidP="003C1DCC">
      <w:pPr>
        <w:spacing w:before="120" w:after="120"/>
        <w:rPr>
          <w:szCs w:val="24"/>
        </w:rPr>
      </w:pPr>
      <w:r w:rsidRPr="00C67DCA">
        <w:rPr>
          <w:szCs w:val="24"/>
        </w:rPr>
        <w:t>Section 99ACA is a definitional section for the purpo</w:t>
      </w:r>
      <w:r w:rsidR="003E0AF0">
        <w:rPr>
          <w:szCs w:val="24"/>
        </w:rPr>
        <w:t xml:space="preserve">ses of Division 3A of the Act. </w:t>
      </w:r>
      <w:r w:rsidR="00352ED2" w:rsidRPr="00352ED2">
        <w:t>Division</w:t>
      </w:r>
      <w:r w:rsidR="00352ED2">
        <w:t> </w:t>
      </w:r>
      <w:r w:rsidRPr="00352ED2">
        <w:t>3A</w:t>
      </w:r>
      <w:r w:rsidRPr="00C67DCA">
        <w:rPr>
          <w:szCs w:val="24"/>
        </w:rPr>
        <w:t xml:space="preserve"> is concerned with statutory price reductions for listed brands of pharmaceutical items.</w:t>
      </w:r>
      <w:r w:rsidR="004D262B">
        <w:rPr>
          <w:szCs w:val="24"/>
        </w:rPr>
        <w:t xml:space="preserve"> </w:t>
      </w:r>
    </w:p>
    <w:p w:rsidR="00352ED2" w:rsidRDefault="00352ED2" w:rsidP="003C1DCC">
      <w:pPr>
        <w:spacing w:before="120" w:after="120"/>
        <w:rPr>
          <w:szCs w:val="24"/>
        </w:rPr>
      </w:pPr>
      <w:r>
        <w:rPr>
          <w:szCs w:val="24"/>
        </w:rPr>
        <w:t>A determination under section 99ACA(3) is needed to ensure that those</w:t>
      </w:r>
      <w:r w:rsidR="003E0AF0">
        <w:rPr>
          <w:szCs w:val="24"/>
        </w:rPr>
        <w:t xml:space="preserve"> </w:t>
      </w:r>
      <w:r>
        <w:rPr>
          <w:szCs w:val="24"/>
        </w:rPr>
        <w:t xml:space="preserve">pharmaceutical items that have </w:t>
      </w:r>
      <w:r w:rsidR="0070533C">
        <w:rPr>
          <w:szCs w:val="24"/>
        </w:rPr>
        <w:t xml:space="preserve">previously taken a </w:t>
      </w:r>
      <w:r w:rsidR="00C67DCA" w:rsidRPr="00C67DCA">
        <w:rPr>
          <w:szCs w:val="24"/>
        </w:rPr>
        <w:t xml:space="preserve">12.5% </w:t>
      </w:r>
      <w:r w:rsidR="0070533C">
        <w:rPr>
          <w:szCs w:val="24"/>
        </w:rPr>
        <w:t xml:space="preserve">administrative </w:t>
      </w:r>
      <w:r w:rsidR="00C67DCA" w:rsidRPr="00C67DCA">
        <w:rPr>
          <w:szCs w:val="24"/>
        </w:rPr>
        <w:t xml:space="preserve">price reduction </w:t>
      </w:r>
      <w:r w:rsidR="0070533C">
        <w:rPr>
          <w:szCs w:val="24"/>
        </w:rPr>
        <w:t xml:space="preserve">are not also subjected to a further price reduction </w:t>
      </w:r>
      <w:r w:rsidR="00F03090">
        <w:rPr>
          <w:szCs w:val="24"/>
        </w:rPr>
        <w:t xml:space="preserve">under </w:t>
      </w:r>
      <w:r w:rsidR="00C67DCA" w:rsidRPr="00C67DCA">
        <w:rPr>
          <w:szCs w:val="24"/>
        </w:rPr>
        <w:t>section 99ACB</w:t>
      </w:r>
      <w:r w:rsidR="00F03090">
        <w:rPr>
          <w:szCs w:val="24"/>
        </w:rPr>
        <w:t xml:space="preserve">. </w:t>
      </w:r>
    </w:p>
    <w:p w:rsidR="00352ED2" w:rsidRDefault="007B05BF" w:rsidP="003C1DCC">
      <w:pPr>
        <w:spacing w:before="120" w:after="120"/>
        <w:rPr>
          <w:szCs w:val="24"/>
        </w:rPr>
      </w:pPr>
      <w:r>
        <w:rPr>
          <w:szCs w:val="24"/>
        </w:rPr>
        <w:t xml:space="preserve">Section 99ACB(2) states that there are no further price reductions to those drugs identified as being </w:t>
      </w:r>
      <w:r w:rsidR="00C67DCA" w:rsidRPr="00C67DCA">
        <w:rPr>
          <w:szCs w:val="24"/>
        </w:rPr>
        <w:t>“in a class of pharmaceutical items to which a 12.5% administrative</w:t>
      </w:r>
      <w:r>
        <w:rPr>
          <w:szCs w:val="24"/>
        </w:rPr>
        <w:t xml:space="preserve"> price reduction has applied”. </w:t>
      </w:r>
    </w:p>
    <w:p w:rsidR="003E0AF0" w:rsidRDefault="00F03090" w:rsidP="003E0AF0">
      <w:pPr>
        <w:spacing w:before="120" w:after="120"/>
        <w:rPr>
          <w:szCs w:val="24"/>
        </w:rPr>
      </w:pPr>
      <w:r>
        <w:rPr>
          <w:szCs w:val="24"/>
        </w:rPr>
        <w:t>This I</w:t>
      </w:r>
      <w:r w:rsidR="00C67DCA" w:rsidRPr="00C67DCA">
        <w:rPr>
          <w:szCs w:val="24"/>
        </w:rPr>
        <w:t>nstrument determines the classes of pharmaceutical items to which a 12.5% administrativ</w:t>
      </w:r>
      <w:r w:rsidR="007B05BF">
        <w:rPr>
          <w:szCs w:val="24"/>
        </w:rPr>
        <w:t>e price reduction has applied</w:t>
      </w:r>
      <w:r w:rsidR="003E0AF0">
        <w:rPr>
          <w:szCs w:val="24"/>
        </w:rPr>
        <w:t xml:space="preserve">, defining the relevant class for the purpose of section </w:t>
      </w:r>
      <w:r w:rsidR="003E0AF0" w:rsidRPr="00C67DCA">
        <w:rPr>
          <w:szCs w:val="24"/>
        </w:rPr>
        <w:t>99ACB(2)</w:t>
      </w:r>
      <w:r w:rsidR="003E0AF0">
        <w:rPr>
          <w:szCs w:val="24"/>
        </w:rPr>
        <w:t xml:space="preserve">. </w:t>
      </w:r>
    </w:p>
    <w:p w:rsidR="00C67DCA" w:rsidRPr="00C67DCA" w:rsidRDefault="003E0AF0" w:rsidP="003C1DCC">
      <w:pPr>
        <w:spacing w:before="120" w:after="120"/>
        <w:rPr>
          <w:szCs w:val="24"/>
        </w:rPr>
      </w:pPr>
      <w:r>
        <w:rPr>
          <w:szCs w:val="24"/>
        </w:rPr>
        <w:t>Schedule 1 sets out the</w:t>
      </w:r>
      <w:r w:rsidR="00C67DCA" w:rsidRPr="00C67DCA">
        <w:rPr>
          <w:szCs w:val="24"/>
        </w:rPr>
        <w:t xml:space="preserve"> determined classes </w:t>
      </w:r>
      <w:r w:rsidR="000B672B">
        <w:rPr>
          <w:szCs w:val="24"/>
        </w:rPr>
        <w:t>of</w:t>
      </w:r>
      <w:r w:rsidR="00C67DCA" w:rsidRPr="00C67DCA">
        <w:rPr>
          <w:szCs w:val="24"/>
        </w:rPr>
        <w:t xml:space="preserve"> pharmaceutical items</w:t>
      </w:r>
      <w:r w:rsidR="000B672B">
        <w:rPr>
          <w:szCs w:val="24"/>
        </w:rPr>
        <w:t xml:space="preserve">, by </w:t>
      </w:r>
      <w:r w:rsidR="00C67DCA" w:rsidRPr="00C67DCA">
        <w:rPr>
          <w:szCs w:val="24"/>
        </w:rPr>
        <w:t>drug and manner of administration</w:t>
      </w:r>
      <w:r w:rsidR="000B672B">
        <w:rPr>
          <w:szCs w:val="24"/>
        </w:rPr>
        <w:t>.</w:t>
      </w:r>
      <w:r w:rsidR="00C67DCA" w:rsidRPr="00C67DCA">
        <w:rPr>
          <w:szCs w:val="24"/>
        </w:rPr>
        <w:t xml:space="preserve"> </w:t>
      </w:r>
    </w:p>
    <w:p w:rsidR="006D7C15" w:rsidRPr="002420B6" w:rsidRDefault="006D7C15" w:rsidP="002420B6">
      <w:pPr>
        <w:spacing w:before="120" w:after="120"/>
        <w:rPr>
          <w:b/>
          <w:szCs w:val="24"/>
        </w:rPr>
      </w:pPr>
      <w:r w:rsidRPr="002420B6">
        <w:rPr>
          <w:b/>
          <w:szCs w:val="24"/>
        </w:rPr>
        <w:t>Consultation</w:t>
      </w:r>
    </w:p>
    <w:p w:rsidR="00486129" w:rsidRDefault="00486129" w:rsidP="00486129">
      <w:pPr>
        <w:shd w:val="clear" w:color="auto" w:fill="FFFFFF"/>
        <w:spacing w:before="120" w:after="120"/>
      </w:pPr>
      <w:r>
        <w:t xml:space="preserve">Consultation was conducted when this Instrument was initially made. No further consultation was required. </w:t>
      </w:r>
    </w:p>
    <w:p w:rsidR="00CC5725" w:rsidRPr="00CC5725" w:rsidRDefault="00CC5725" w:rsidP="006D7C15">
      <w:pPr>
        <w:shd w:val="clear" w:color="auto" w:fill="FFFFFF"/>
        <w:spacing w:before="120" w:after="120"/>
        <w:rPr>
          <w:b/>
        </w:rPr>
      </w:pPr>
      <w:r w:rsidRPr="00CC5725">
        <w:rPr>
          <w:b/>
        </w:rPr>
        <w:t>General</w:t>
      </w:r>
    </w:p>
    <w:p w:rsidR="00CC5725" w:rsidRDefault="00CC5725" w:rsidP="00CC5725">
      <w:pPr>
        <w:spacing w:before="120" w:after="120"/>
        <w:rPr>
          <w:i/>
        </w:rPr>
      </w:pPr>
      <w:r>
        <w:t xml:space="preserve">This instrument is a legislative instrument for the purposes of the </w:t>
      </w:r>
      <w:r>
        <w:rPr>
          <w:i/>
        </w:rPr>
        <w:t xml:space="preserve">Legislation </w:t>
      </w:r>
      <w:r w:rsidRPr="002D7445">
        <w:rPr>
          <w:i/>
        </w:rPr>
        <w:t>Act 2003.</w:t>
      </w:r>
    </w:p>
    <w:p w:rsidR="008D27AD" w:rsidRDefault="008D27AD" w:rsidP="008D27AD">
      <w:pPr>
        <w:spacing w:before="120" w:after="120"/>
      </w:pPr>
    </w:p>
    <w:p w:rsidR="009B7B48" w:rsidRPr="0000482A" w:rsidRDefault="002A3381" w:rsidP="0000482A">
      <w:pPr>
        <w:spacing w:before="120" w:after="120"/>
      </w:pPr>
      <w:r>
        <w:rPr>
          <w:szCs w:val="24"/>
        </w:rPr>
        <w:br w:type="page"/>
      </w:r>
      <w:r w:rsidR="00467181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B9664" wp14:editId="4A2576EF">
                <wp:simplePos x="0" y="0"/>
                <wp:positionH relativeFrom="column">
                  <wp:posOffset>-218364</wp:posOffset>
                </wp:positionH>
                <wp:positionV relativeFrom="paragraph">
                  <wp:posOffset>-204715</wp:posOffset>
                </wp:positionV>
                <wp:extent cx="6118860" cy="9626116"/>
                <wp:effectExtent l="38100" t="38100" r="3429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9626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C" w:rsidRPr="00953EC8" w:rsidRDefault="009D3B4C" w:rsidP="00497D0D">
                            <w:pPr>
                              <w:spacing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53EC8">
                              <w:rPr>
                                <w:b/>
                                <w:szCs w:val="24"/>
                              </w:rPr>
                              <w:t>Statement of Compatibility with Human Rights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jc w:val="center"/>
                              <w:rPr>
                                <w:szCs w:val="24"/>
                              </w:rPr>
                            </w:pPr>
                            <w:r w:rsidRPr="00953EC8">
                              <w:rPr>
                                <w:i/>
                                <w:szCs w:val="24"/>
                              </w:rPr>
                              <w:t>Prepared in accordance with Part 3 of the Human Rights (Parliamentary Scrutiny) Act 2011</w:t>
                            </w:r>
                          </w:p>
                          <w:p w:rsidR="00BA1546" w:rsidRDefault="00BA1546" w:rsidP="002A3381">
                            <w:pPr>
                              <w:spacing w:before="120" w:after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352ED2" w:rsidRPr="00C67DCA" w:rsidRDefault="00352ED2" w:rsidP="00352ED2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C67DCA">
                              <w:rPr>
                                <w:b/>
                                <w:i/>
                              </w:rPr>
                              <w:t>National Health (Pharmaceutical Benefits Scheme- class of pharmaceutical items – Subsection 99ACA(3) Determination 2017</w:t>
                            </w:r>
                          </w:p>
                          <w:p w:rsidR="00BA1546" w:rsidRDefault="00BA1546" w:rsidP="006D7C15">
                            <w:pPr>
                              <w:spacing w:before="120" w:after="120"/>
                              <w:rPr>
                                <w:szCs w:val="24"/>
                              </w:rPr>
                            </w:pPr>
                          </w:p>
                          <w:p w:rsidR="009D3B4C" w:rsidRPr="00953EC8" w:rsidRDefault="009D3B4C" w:rsidP="006D7C15">
                            <w:pPr>
                              <w:spacing w:before="120" w:after="120"/>
                              <w:rPr>
                                <w:szCs w:val="24"/>
                              </w:rPr>
                            </w:pPr>
                            <w:r w:rsidRPr="00953EC8">
                              <w:rPr>
                                <w:szCs w:val="24"/>
                              </w:rPr>
                              <w:t xml:space="preserve">This Legislative Instrument is compatible with the human rights and freedoms recognised or declared in the international instruments listed in section 3 of the </w:t>
                            </w:r>
                            <w:r w:rsidRPr="00953EC8">
                              <w:rPr>
                                <w:i/>
                                <w:szCs w:val="24"/>
                              </w:rPr>
                              <w:t>Human Rights (Parliamentary Scrutiny) Act 2011</w:t>
                            </w:r>
                            <w:r w:rsidRPr="00953EC8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953EC8">
                              <w:rPr>
                                <w:b/>
                                <w:szCs w:val="24"/>
                              </w:rPr>
                              <w:t>Overview of the Legislative Instrument</w:t>
                            </w:r>
                          </w:p>
                          <w:p w:rsidR="006D7C15" w:rsidRPr="00352ED2" w:rsidRDefault="009D3B4C" w:rsidP="00F03090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953EC8">
                              <w:rPr>
                                <w:szCs w:val="24"/>
                              </w:rPr>
                              <w:t xml:space="preserve">This </w:t>
                            </w:r>
                            <w:r w:rsidR="00352ED2" w:rsidRPr="00F03090">
                              <w:rPr>
                                <w:i/>
                              </w:rPr>
                              <w:t>National Health (Pharmaceutical Benefits Scheme- class of pharmaceutical items – Subsection 99ACA(3) Determination 2017</w:t>
                            </w:r>
                            <w:r w:rsidR="00352ED2">
                              <w:rPr>
                                <w:b/>
                              </w:rPr>
                              <w:t xml:space="preserve"> </w:t>
                            </w:r>
                            <w:r w:rsidR="006D7C15" w:rsidRPr="00747885">
                              <w:t>determine</w:t>
                            </w:r>
                            <w:r w:rsidR="006D7C15">
                              <w:t>s</w:t>
                            </w:r>
                            <w:r w:rsidR="006D7C15" w:rsidRPr="00747885">
                              <w:t xml:space="preserve"> </w:t>
                            </w:r>
                            <w:r w:rsidR="00352ED2">
                              <w:t>classes of ph</w:t>
                            </w:r>
                            <w:r w:rsidR="006D7C15" w:rsidRPr="00747885">
                              <w:t>armaceutical items</w:t>
                            </w:r>
                            <w:r w:rsidR="00352ED2">
                              <w:t xml:space="preserve"> that have previously been subject to a 12.5% administrative price reduction prior to the implementation of a statutory price reduction of 12.5%.</w:t>
                            </w:r>
                            <w:r w:rsidR="004D262B">
                              <w:t xml:space="preserve"> </w:t>
                            </w:r>
                            <w:r w:rsidR="006D7C15" w:rsidRPr="00747885">
                              <w:t xml:space="preserve">That is, the Minister identifies </w:t>
                            </w:r>
                            <w:r w:rsidR="00F03090">
                              <w:t xml:space="preserve">specific pharmaceutical items that have already taken a 12.5% reduction to ensure that these items do not take a duplicative reduction under section 99ACB of </w:t>
                            </w:r>
                            <w:r w:rsidR="006D7C15" w:rsidRPr="00747885">
                              <w:t xml:space="preserve">the </w:t>
                            </w:r>
                            <w:r w:rsidR="006D7C15" w:rsidRPr="006D7C15">
                              <w:rPr>
                                <w:i/>
                              </w:rPr>
                              <w:t>National Health Act 1953</w:t>
                            </w:r>
                            <w:r w:rsidR="006D7C15" w:rsidRPr="00747885">
                              <w:t xml:space="preserve"> (the Act). 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rPr>
                                <w:b/>
                                <w:szCs w:val="24"/>
                              </w:rPr>
                            </w:pPr>
                            <w:r w:rsidRPr="00953EC8">
                              <w:rPr>
                                <w:b/>
                                <w:szCs w:val="24"/>
                              </w:rPr>
                              <w:t>Human rights implications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rPr>
                                <w:szCs w:val="24"/>
                              </w:rPr>
                            </w:pPr>
                            <w:r w:rsidRPr="00953EC8">
                              <w:rPr>
                                <w:szCs w:val="24"/>
                              </w:rPr>
                              <w:t xml:space="preserve">This legislative instrument engages Articles 2 and 12 of the </w:t>
                            </w:r>
                            <w:r w:rsidRPr="006D7C15">
                              <w:rPr>
                                <w:i/>
                                <w:szCs w:val="24"/>
                              </w:rPr>
                              <w:t>International Covenant on Economic, Social and Cultural Rights</w:t>
                            </w:r>
                            <w:r w:rsidRPr="00953EC8">
                              <w:rPr>
                                <w:szCs w:val="24"/>
                              </w:rPr>
                              <w:t xml:space="preserve"> by assisting with the progressive realisation by all appropriate means of the right of everyone to the enjoyment of the highest attainable standard of physical and mental health</w:t>
                            </w:r>
                            <w:r w:rsidR="003F11C4" w:rsidRPr="00953EC8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rPr>
                                <w:szCs w:val="24"/>
                              </w:rPr>
                            </w:pPr>
                            <w:r w:rsidRPr="00953EC8">
                              <w:rPr>
                                <w:szCs w:val="24"/>
                              </w:rPr>
                              <w:t>The PBS is a benefit scheme which assists with advancement of this human right by providing for subsidised access by patients to medicines</w:t>
                            </w:r>
                            <w:r w:rsidR="003F11C4" w:rsidRPr="00953EC8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6D7C15" w:rsidRPr="00747885" w:rsidRDefault="006D7C15" w:rsidP="006D7C15">
                            <w:pPr>
                              <w:jc w:val="both"/>
                            </w:pPr>
                            <w:r w:rsidRPr="00747885">
                              <w:t xml:space="preserve">The Determination </w:t>
                            </w:r>
                            <w:r w:rsidR="00F03090">
                              <w:t xml:space="preserve">encourages PBS availability by </w:t>
                            </w:r>
                            <w:r w:rsidRPr="00747885">
                              <w:t>making those pharm</w:t>
                            </w:r>
                            <w:r w:rsidR="00F03090">
                              <w:t>aceutical items more affordable</w:t>
                            </w:r>
                            <w:r w:rsidR="002420B6">
                              <w:t xml:space="preserve"> and sustainable</w:t>
                            </w:r>
                            <w:r w:rsidR="00F03090">
                              <w:t>. I</w:t>
                            </w:r>
                            <w:r w:rsidRPr="00747885">
                              <w:t>t is promoting the right to an adequate standard of living, and the right to enjoyment of the highest attainable standard of physical and mental health.</w:t>
                            </w:r>
                          </w:p>
                          <w:p w:rsidR="009D3B4C" w:rsidRPr="00953EC8" w:rsidRDefault="009D3B4C" w:rsidP="002A3381">
                            <w:pPr>
                              <w:spacing w:before="120" w:after="120"/>
                              <w:rPr>
                                <w:b/>
                                <w:szCs w:val="24"/>
                              </w:rPr>
                            </w:pPr>
                            <w:r w:rsidRPr="00953EC8">
                              <w:rPr>
                                <w:b/>
                                <w:szCs w:val="24"/>
                              </w:rPr>
                              <w:t>Conclusion</w:t>
                            </w:r>
                          </w:p>
                          <w:p w:rsidR="009D3B4C" w:rsidRDefault="009D3B4C" w:rsidP="002D1E6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szCs w:val="24"/>
                              </w:rPr>
                            </w:pPr>
                            <w:r w:rsidRPr="00953EC8">
                              <w:rPr>
                                <w:szCs w:val="24"/>
                              </w:rPr>
                              <w:t xml:space="preserve">This Legislative Instrument </w:t>
                            </w:r>
                            <w:r w:rsidR="004D262B">
                              <w:rPr>
                                <w:szCs w:val="24"/>
                              </w:rPr>
                              <w:t>is compatible with human rights. Human rights continue to be protected by retaining on the PBS clinically important medicines and maintaining exemptions from pricing reductions only where appropriate under the legislation</w:t>
                            </w:r>
                            <w:r w:rsidR="004D262B" w:rsidRPr="00E4135E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D7C15" w:rsidRPr="00953EC8" w:rsidRDefault="006D7C15" w:rsidP="002D1E6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szCs w:val="24"/>
                              </w:rPr>
                            </w:pPr>
                          </w:p>
                          <w:p w:rsidR="00BA1546" w:rsidRDefault="00BA1546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A1546" w:rsidRDefault="00BA1546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661EA1" w:rsidRDefault="00BA1546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Lisa La Rance</w:t>
                            </w:r>
                          </w:p>
                          <w:p w:rsidR="00BA1546" w:rsidRPr="00BA1546" w:rsidRDefault="009D3B4C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A1546">
                              <w:rPr>
                                <w:b/>
                                <w:szCs w:val="24"/>
                              </w:rPr>
                              <w:t>Assistant Secretary</w:t>
                            </w:r>
                          </w:p>
                          <w:p w:rsidR="00BA1546" w:rsidRPr="00BA1546" w:rsidRDefault="00BA1546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jc w:val="center"/>
                              <w:rPr>
                                <w:b/>
                              </w:rPr>
                            </w:pPr>
                            <w:r w:rsidRPr="00BA1546">
                              <w:rPr>
                                <w:b/>
                              </w:rPr>
                              <w:t xml:space="preserve">Pricing and Policy Branch </w:t>
                            </w:r>
                          </w:p>
                          <w:p w:rsidR="009D3B4C" w:rsidRPr="00BA1546" w:rsidRDefault="00BA1546" w:rsidP="00BA1546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line="300" w:lineRule="atLeas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A1546">
                              <w:rPr>
                                <w:b/>
                              </w:rPr>
                              <w:t>Technology Assessment and Access Division</w:t>
                            </w:r>
                            <w:r w:rsidR="009D3B4C" w:rsidRPr="00BA1546">
                              <w:rPr>
                                <w:b/>
                                <w:szCs w:val="24"/>
                              </w:rPr>
                              <w:br/>
                              <w:t>Department of Health</w:t>
                            </w: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pt;margin-top:-16.1pt;width:481.8pt;height:7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" strokeweight="6pt">
                <v:stroke linestyle="thickBetweenThin"/>
                <v:textbox inset="5mm,,5mm">
                  <w:txbxContent>
                    <w:p w:rsidR="009D3B4C" w:rsidRPr="00953EC8" w:rsidRDefault="009D3B4C" w:rsidP="00497D0D">
                      <w:pPr>
                        <w:spacing w:after="120"/>
                        <w:jc w:val="center"/>
                        <w:rPr>
                          <w:b/>
                          <w:szCs w:val="24"/>
                        </w:rPr>
                      </w:pPr>
                      <w:r w:rsidRPr="00953EC8">
                        <w:rPr>
                          <w:b/>
                          <w:szCs w:val="24"/>
                        </w:rPr>
                        <w:t>Statement of Compatibility with Human Rights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jc w:val="center"/>
                        <w:rPr>
                          <w:szCs w:val="24"/>
                        </w:rPr>
                      </w:pPr>
                      <w:r w:rsidRPr="00953EC8">
                        <w:rPr>
                          <w:i/>
                          <w:szCs w:val="24"/>
                        </w:rPr>
                        <w:t>Prepared in accordance with Part 3 of the Human Rights (Parliamentary Scrutiny) Act 2011</w:t>
                      </w:r>
                    </w:p>
                    <w:p w:rsidR="00BA1546" w:rsidRDefault="00BA1546" w:rsidP="002A3381">
                      <w:pPr>
                        <w:spacing w:before="120" w:after="120"/>
                        <w:jc w:val="center"/>
                        <w:rPr>
                          <w:b/>
                          <w:i/>
                        </w:rPr>
                      </w:pPr>
                    </w:p>
                    <w:p w:rsidR="00352ED2" w:rsidRPr="00C67DCA" w:rsidRDefault="00352ED2" w:rsidP="00352ED2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C67DCA">
                        <w:rPr>
                          <w:b/>
                          <w:i/>
                        </w:rPr>
                        <w:t>National Health (Pharmaceutical Benefits Scheme- class of pharmaceutical items – Subsection 99ACA(3) Determination 2017</w:t>
                      </w:r>
                    </w:p>
                    <w:p w:rsidR="00BA1546" w:rsidRDefault="00BA1546" w:rsidP="006D7C15">
                      <w:pPr>
                        <w:spacing w:before="120" w:after="120"/>
                        <w:rPr>
                          <w:szCs w:val="24"/>
                        </w:rPr>
                      </w:pPr>
                    </w:p>
                    <w:p w:rsidR="009D3B4C" w:rsidRPr="00953EC8" w:rsidRDefault="009D3B4C" w:rsidP="006D7C15">
                      <w:pPr>
                        <w:spacing w:before="120" w:after="120"/>
                        <w:rPr>
                          <w:szCs w:val="24"/>
                        </w:rPr>
                      </w:pPr>
                      <w:r w:rsidRPr="00953EC8">
                        <w:rPr>
                          <w:szCs w:val="24"/>
                        </w:rPr>
                        <w:t xml:space="preserve">This Legislative Instrument is compatible with the human rights and freedoms recognised or declared in the international instruments listed in section 3 of the </w:t>
                      </w:r>
                      <w:r w:rsidRPr="00953EC8">
                        <w:rPr>
                          <w:i/>
                          <w:szCs w:val="24"/>
                        </w:rPr>
                        <w:t>Human Rights (Parliamentary Scrutiny) Act 2011</w:t>
                      </w:r>
                      <w:r w:rsidRPr="00953EC8">
                        <w:rPr>
                          <w:szCs w:val="24"/>
                        </w:rPr>
                        <w:t>.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jc w:val="both"/>
                        <w:rPr>
                          <w:b/>
                          <w:szCs w:val="24"/>
                        </w:rPr>
                      </w:pPr>
                      <w:r w:rsidRPr="00953EC8">
                        <w:rPr>
                          <w:b/>
                          <w:szCs w:val="24"/>
                        </w:rPr>
                        <w:t>Overview of the Legislative Instrument</w:t>
                      </w:r>
                    </w:p>
                    <w:p w:rsidR="006D7C15" w:rsidRPr="00352ED2" w:rsidRDefault="009D3B4C" w:rsidP="00F03090">
                      <w:pPr>
                        <w:spacing w:before="120" w:after="120"/>
                        <w:rPr>
                          <w:b/>
                        </w:rPr>
                      </w:pPr>
                      <w:r w:rsidRPr="00953EC8">
                        <w:rPr>
                          <w:szCs w:val="24"/>
                        </w:rPr>
                        <w:t xml:space="preserve">This </w:t>
                      </w:r>
                      <w:r w:rsidR="00352ED2" w:rsidRPr="00F03090">
                        <w:rPr>
                          <w:i/>
                        </w:rPr>
                        <w:t>National Health (Pharmaceutical Benefits Scheme- class of pharmaceutical items – Subsection 99ACA(3) Determination 2017</w:t>
                      </w:r>
                      <w:r w:rsidR="00352ED2">
                        <w:rPr>
                          <w:b/>
                        </w:rPr>
                        <w:t xml:space="preserve"> </w:t>
                      </w:r>
                      <w:r w:rsidR="006D7C15" w:rsidRPr="00747885">
                        <w:t>determine</w:t>
                      </w:r>
                      <w:r w:rsidR="006D7C15">
                        <w:t>s</w:t>
                      </w:r>
                      <w:r w:rsidR="006D7C15" w:rsidRPr="00747885">
                        <w:t xml:space="preserve"> </w:t>
                      </w:r>
                      <w:r w:rsidR="00352ED2">
                        <w:t>classes of ph</w:t>
                      </w:r>
                      <w:r w:rsidR="006D7C15" w:rsidRPr="00747885">
                        <w:t>armaceutical items</w:t>
                      </w:r>
                      <w:r w:rsidR="00352ED2">
                        <w:t xml:space="preserve"> that have previously been subject to a 12.5% administrative price reduction prior to the implementation of a statutory price reduction of 12.5%.</w:t>
                      </w:r>
                      <w:r w:rsidR="004D262B">
                        <w:t xml:space="preserve"> </w:t>
                      </w:r>
                      <w:r w:rsidR="006D7C15" w:rsidRPr="00747885">
                        <w:t xml:space="preserve">That is, the Minister identifies </w:t>
                      </w:r>
                      <w:r w:rsidR="00F03090">
                        <w:t xml:space="preserve">specific pharmaceutical items that have already taken a 12.5% reduction to ensure that these items do not take a duplicative reduction under section 99ACB of </w:t>
                      </w:r>
                      <w:r w:rsidR="006D7C15" w:rsidRPr="00747885">
                        <w:t xml:space="preserve">the </w:t>
                      </w:r>
                      <w:r w:rsidR="006D7C15" w:rsidRPr="006D7C15">
                        <w:rPr>
                          <w:i/>
                        </w:rPr>
                        <w:t>National Health Act 1953</w:t>
                      </w:r>
                      <w:r w:rsidR="006D7C15" w:rsidRPr="00747885">
                        <w:t xml:space="preserve"> (the Act). 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rPr>
                          <w:b/>
                          <w:szCs w:val="24"/>
                        </w:rPr>
                      </w:pPr>
                      <w:r w:rsidRPr="00953EC8">
                        <w:rPr>
                          <w:b/>
                          <w:szCs w:val="24"/>
                        </w:rPr>
                        <w:t>Human rights implications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rPr>
                          <w:szCs w:val="24"/>
                        </w:rPr>
                      </w:pPr>
                      <w:r w:rsidRPr="00953EC8">
                        <w:rPr>
                          <w:szCs w:val="24"/>
                        </w:rPr>
                        <w:t xml:space="preserve">This legislative instrument engages Articles 2 and 12 of the </w:t>
                      </w:r>
                      <w:r w:rsidRPr="006D7C15">
                        <w:rPr>
                          <w:i/>
                          <w:szCs w:val="24"/>
                        </w:rPr>
                        <w:t>International Covenant on Economic, Social and Cultural Rights</w:t>
                      </w:r>
                      <w:r w:rsidRPr="00953EC8">
                        <w:rPr>
                          <w:szCs w:val="24"/>
                        </w:rPr>
                        <w:t xml:space="preserve"> by assisting with the progressive realisation by all appropriate means of the right of everyone to the enjoyment of the highest attainable standard of physical and mental health</w:t>
                      </w:r>
                      <w:r w:rsidR="003F11C4" w:rsidRPr="00953EC8">
                        <w:rPr>
                          <w:szCs w:val="24"/>
                        </w:rPr>
                        <w:t xml:space="preserve">. 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rPr>
                          <w:szCs w:val="24"/>
                        </w:rPr>
                      </w:pPr>
                      <w:r w:rsidRPr="00953EC8">
                        <w:rPr>
                          <w:szCs w:val="24"/>
                        </w:rPr>
                        <w:t>The PBS is a benefit scheme which assists with advancement of this human right by providing for subsidised access by patients to medicines</w:t>
                      </w:r>
                      <w:r w:rsidR="003F11C4" w:rsidRPr="00953EC8">
                        <w:rPr>
                          <w:szCs w:val="24"/>
                        </w:rPr>
                        <w:t xml:space="preserve">. </w:t>
                      </w:r>
                    </w:p>
                    <w:p w:rsidR="006D7C15" w:rsidRPr="00747885" w:rsidRDefault="006D7C15" w:rsidP="006D7C15">
                      <w:pPr>
                        <w:jc w:val="both"/>
                      </w:pPr>
                      <w:r w:rsidRPr="00747885">
                        <w:t xml:space="preserve">The Determination </w:t>
                      </w:r>
                      <w:r w:rsidR="00F03090">
                        <w:t xml:space="preserve">encourages PBS availability by </w:t>
                      </w:r>
                      <w:r w:rsidRPr="00747885">
                        <w:t>making those pharm</w:t>
                      </w:r>
                      <w:r w:rsidR="00F03090">
                        <w:t>aceutical items more affordable</w:t>
                      </w:r>
                      <w:r w:rsidR="002420B6">
                        <w:t xml:space="preserve"> and sustainable</w:t>
                      </w:r>
                      <w:r w:rsidR="00F03090">
                        <w:t>. I</w:t>
                      </w:r>
                      <w:r w:rsidRPr="00747885">
                        <w:t>t is promoting the right to an adequate standard of living, and the right to enjoyment of the highest attainable standard of physical and mental health.</w:t>
                      </w:r>
                    </w:p>
                    <w:p w:rsidR="009D3B4C" w:rsidRPr="00953EC8" w:rsidRDefault="009D3B4C" w:rsidP="002A3381">
                      <w:pPr>
                        <w:spacing w:before="120" w:after="120"/>
                        <w:rPr>
                          <w:b/>
                          <w:szCs w:val="24"/>
                        </w:rPr>
                      </w:pPr>
                      <w:r w:rsidRPr="00953EC8">
                        <w:rPr>
                          <w:b/>
                          <w:szCs w:val="24"/>
                        </w:rPr>
                        <w:t>Conclusion</w:t>
                      </w:r>
                    </w:p>
                    <w:p w:rsidR="009D3B4C" w:rsidRDefault="009D3B4C" w:rsidP="002D1E6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szCs w:val="24"/>
                        </w:rPr>
                      </w:pPr>
                      <w:r w:rsidRPr="00953EC8">
                        <w:rPr>
                          <w:szCs w:val="24"/>
                        </w:rPr>
                        <w:t xml:space="preserve">This Legislative Instrument </w:t>
                      </w:r>
                      <w:r w:rsidR="004D262B">
                        <w:rPr>
                          <w:szCs w:val="24"/>
                        </w:rPr>
                        <w:t xml:space="preserve">is compatible with human rights. </w:t>
                      </w:r>
                      <w:r w:rsidR="004D262B">
                        <w:rPr>
                          <w:szCs w:val="24"/>
                        </w:rPr>
                        <w:t>Human rights continue to be protected by retaining on the PBS clinically important medicines and maintaining exemptions from pricing reductions only where appropriate under the legislation</w:t>
                      </w:r>
                      <w:r w:rsidR="004D262B" w:rsidRPr="00E4135E">
                        <w:rPr>
                          <w:szCs w:val="24"/>
                        </w:rPr>
                        <w:t>.</w:t>
                      </w:r>
                    </w:p>
                    <w:p w:rsidR="006D7C15" w:rsidRPr="00953EC8" w:rsidRDefault="006D7C15" w:rsidP="002D1E6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szCs w:val="24"/>
                        </w:rPr>
                      </w:pPr>
                    </w:p>
                    <w:p w:rsidR="00BA1546" w:rsidRDefault="00BA1546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rPr>
                          <w:b/>
                          <w:szCs w:val="24"/>
                        </w:rPr>
                      </w:pPr>
                    </w:p>
                    <w:p w:rsidR="00BA1546" w:rsidRDefault="00BA1546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rPr>
                          <w:b/>
                          <w:szCs w:val="24"/>
                        </w:rPr>
                      </w:pPr>
                    </w:p>
                    <w:p w:rsidR="00661EA1" w:rsidRDefault="00BA1546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Lisa La Rance</w:t>
                      </w:r>
                    </w:p>
                    <w:p w:rsidR="00BA1546" w:rsidRPr="00BA1546" w:rsidRDefault="009D3B4C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jc w:val="center"/>
                        <w:rPr>
                          <w:b/>
                          <w:szCs w:val="24"/>
                        </w:rPr>
                      </w:pPr>
                      <w:r w:rsidRPr="00BA1546">
                        <w:rPr>
                          <w:b/>
                          <w:szCs w:val="24"/>
                        </w:rPr>
                        <w:t>Assistant Secretary</w:t>
                      </w:r>
                    </w:p>
                    <w:p w:rsidR="00BA1546" w:rsidRPr="00BA1546" w:rsidRDefault="00BA1546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jc w:val="center"/>
                        <w:rPr>
                          <w:b/>
                        </w:rPr>
                      </w:pPr>
                      <w:r w:rsidRPr="00BA1546">
                        <w:rPr>
                          <w:b/>
                        </w:rPr>
                        <w:t xml:space="preserve">Pricing and Policy </w:t>
                      </w:r>
                      <w:r w:rsidRPr="00BA1546">
                        <w:rPr>
                          <w:b/>
                        </w:rPr>
                        <w:t xml:space="preserve">Branch </w:t>
                      </w:r>
                    </w:p>
                    <w:p w:rsidR="009D3B4C" w:rsidRPr="00BA1546" w:rsidRDefault="00BA1546" w:rsidP="00BA1546">
                      <w:pPr>
                        <w:widowControl w:val="0"/>
                        <w:tabs>
                          <w:tab w:val="left" w:pos="3119"/>
                        </w:tabs>
                        <w:spacing w:line="300" w:lineRule="atLeast"/>
                        <w:jc w:val="center"/>
                        <w:rPr>
                          <w:b/>
                          <w:szCs w:val="24"/>
                        </w:rPr>
                      </w:pPr>
                      <w:r w:rsidRPr="00BA1546">
                        <w:rPr>
                          <w:b/>
                        </w:rPr>
                        <w:t>Technology Assessment and Access</w:t>
                      </w:r>
                      <w:r w:rsidRPr="00BA1546">
                        <w:rPr>
                          <w:b/>
                        </w:rPr>
                        <w:t xml:space="preserve"> Division</w:t>
                      </w:r>
                      <w:r w:rsidR="009D3B4C" w:rsidRPr="00BA1546">
                        <w:rPr>
                          <w:b/>
                          <w:szCs w:val="24"/>
                        </w:rPr>
                        <w:br/>
                        <w:t>Department of Health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7B48" w:rsidRPr="0000482A" w:rsidSect="00545FD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80" w:rsidRDefault="00330080">
      <w:r>
        <w:separator/>
      </w:r>
    </w:p>
  </w:endnote>
  <w:endnote w:type="continuationSeparator" w:id="0">
    <w:p w:rsidR="00330080" w:rsidRDefault="003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4C" w:rsidRDefault="009D3B4C" w:rsidP="00B72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B4C" w:rsidRDefault="009D3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4C" w:rsidRDefault="009D3B4C" w:rsidP="00B724AB">
    <w:pPr>
      <w:pStyle w:val="Footer"/>
      <w:framePr w:wrap="around" w:vAnchor="text" w:hAnchor="margin" w:xAlign="center" w:y="1"/>
      <w:rPr>
        <w:rStyle w:val="PageNumber"/>
      </w:rPr>
    </w:pPr>
  </w:p>
  <w:p w:rsidR="009D3B4C" w:rsidRDefault="009D3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4C" w:rsidRDefault="009D3B4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80" w:rsidRDefault="00330080">
      <w:r>
        <w:separator/>
      </w:r>
    </w:p>
  </w:footnote>
  <w:footnote w:type="continuationSeparator" w:id="0">
    <w:p w:rsidR="00330080" w:rsidRDefault="0033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4C" w:rsidRDefault="009D3B4C">
    <w:pPr>
      <w:pStyle w:val="Head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76D70">
      <w:rPr>
        <w:noProof/>
      </w:rPr>
      <w:t>2</w:t>
    </w:r>
    <w:r>
      <w:rPr>
        <w:noProof/>
      </w:rPr>
      <w:fldChar w:fldCharType="end"/>
    </w:r>
  </w:p>
  <w:p w:rsidR="009D3B4C" w:rsidRDefault="009D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E2"/>
    <w:multiLevelType w:val="hybridMultilevel"/>
    <w:tmpl w:val="76E8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159D"/>
    <w:multiLevelType w:val="hybridMultilevel"/>
    <w:tmpl w:val="AD008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7664"/>
    <w:multiLevelType w:val="multilevel"/>
    <w:tmpl w:val="EF2ABA28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3">
    <w:nsid w:val="23702C4D"/>
    <w:multiLevelType w:val="hybridMultilevel"/>
    <w:tmpl w:val="A0F43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B34CE1"/>
    <w:multiLevelType w:val="hybridMultilevel"/>
    <w:tmpl w:val="25800666"/>
    <w:lvl w:ilvl="0" w:tplc="D02EE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24A9"/>
    <w:multiLevelType w:val="hybridMultilevel"/>
    <w:tmpl w:val="20BC1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82228"/>
    <w:multiLevelType w:val="hybridMultilevel"/>
    <w:tmpl w:val="0AE4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93F17"/>
    <w:multiLevelType w:val="hybridMultilevel"/>
    <w:tmpl w:val="6EC28EE2"/>
    <w:lvl w:ilvl="0" w:tplc="7B40AF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56A6A"/>
    <w:multiLevelType w:val="hybridMultilevel"/>
    <w:tmpl w:val="D4AA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343E"/>
    <w:multiLevelType w:val="hybridMultilevel"/>
    <w:tmpl w:val="5D96DB4C"/>
    <w:lvl w:ilvl="0" w:tplc="90962E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206BE"/>
    <w:multiLevelType w:val="hybridMultilevel"/>
    <w:tmpl w:val="C29ED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51"/>
    <w:rsid w:val="0000196B"/>
    <w:rsid w:val="0000291D"/>
    <w:rsid w:val="00002F6E"/>
    <w:rsid w:val="0000482A"/>
    <w:rsid w:val="00006F85"/>
    <w:rsid w:val="0000759D"/>
    <w:rsid w:val="00007CC9"/>
    <w:rsid w:val="00010AA3"/>
    <w:rsid w:val="0001397F"/>
    <w:rsid w:val="00014219"/>
    <w:rsid w:val="00017E2D"/>
    <w:rsid w:val="0002109D"/>
    <w:rsid w:val="000215EC"/>
    <w:rsid w:val="00022A6F"/>
    <w:rsid w:val="0002352A"/>
    <w:rsid w:val="00030A8F"/>
    <w:rsid w:val="000347BD"/>
    <w:rsid w:val="00037D77"/>
    <w:rsid w:val="000444B8"/>
    <w:rsid w:val="00045B6B"/>
    <w:rsid w:val="00046B26"/>
    <w:rsid w:val="000502CB"/>
    <w:rsid w:val="00053ED9"/>
    <w:rsid w:val="00055C41"/>
    <w:rsid w:val="0005652C"/>
    <w:rsid w:val="0006619C"/>
    <w:rsid w:val="000662DC"/>
    <w:rsid w:val="000674F6"/>
    <w:rsid w:val="0006752E"/>
    <w:rsid w:val="000710B8"/>
    <w:rsid w:val="00072C11"/>
    <w:rsid w:val="00074047"/>
    <w:rsid w:val="00076874"/>
    <w:rsid w:val="00076BF0"/>
    <w:rsid w:val="000770CD"/>
    <w:rsid w:val="000841A2"/>
    <w:rsid w:val="00085562"/>
    <w:rsid w:val="000855A6"/>
    <w:rsid w:val="00085BCB"/>
    <w:rsid w:val="000900B6"/>
    <w:rsid w:val="0009045D"/>
    <w:rsid w:val="000950CA"/>
    <w:rsid w:val="00095F63"/>
    <w:rsid w:val="000A1BD6"/>
    <w:rsid w:val="000A2C44"/>
    <w:rsid w:val="000A5036"/>
    <w:rsid w:val="000A71C2"/>
    <w:rsid w:val="000A77FA"/>
    <w:rsid w:val="000B53F4"/>
    <w:rsid w:val="000B66AC"/>
    <w:rsid w:val="000B672B"/>
    <w:rsid w:val="000B6904"/>
    <w:rsid w:val="000C0DE7"/>
    <w:rsid w:val="000C1588"/>
    <w:rsid w:val="000C1CB5"/>
    <w:rsid w:val="000C3185"/>
    <w:rsid w:val="000C403C"/>
    <w:rsid w:val="000C7081"/>
    <w:rsid w:val="000C7982"/>
    <w:rsid w:val="000D1C21"/>
    <w:rsid w:val="000D2975"/>
    <w:rsid w:val="000D4A64"/>
    <w:rsid w:val="000D61BA"/>
    <w:rsid w:val="000D7518"/>
    <w:rsid w:val="000E0DDD"/>
    <w:rsid w:val="000E1FA6"/>
    <w:rsid w:val="000E58EF"/>
    <w:rsid w:val="000E77CA"/>
    <w:rsid w:val="000E7ECF"/>
    <w:rsid w:val="000F0AAE"/>
    <w:rsid w:val="000F2BEB"/>
    <w:rsid w:val="000F318E"/>
    <w:rsid w:val="000F32DF"/>
    <w:rsid w:val="000F4F4D"/>
    <w:rsid w:val="00100DB2"/>
    <w:rsid w:val="001055A9"/>
    <w:rsid w:val="001109AF"/>
    <w:rsid w:val="00112C74"/>
    <w:rsid w:val="00113168"/>
    <w:rsid w:val="00114969"/>
    <w:rsid w:val="00117054"/>
    <w:rsid w:val="001170AB"/>
    <w:rsid w:val="00117F23"/>
    <w:rsid w:val="0012120D"/>
    <w:rsid w:val="001213EF"/>
    <w:rsid w:val="00124E41"/>
    <w:rsid w:val="00125A22"/>
    <w:rsid w:val="00126829"/>
    <w:rsid w:val="0013060B"/>
    <w:rsid w:val="00131E4E"/>
    <w:rsid w:val="00137812"/>
    <w:rsid w:val="00143F8F"/>
    <w:rsid w:val="00146FB8"/>
    <w:rsid w:val="00151492"/>
    <w:rsid w:val="00154671"/>
    <w:rsid w:val="00157F51"/>
    <w:rsid w:val="0016280F"/>
    <w:rsid w:val="0016524E"/>
    <w:rsid w:val="0016619D"/>
    <w:rsid w:val="00171F6F"/>
    <w:rsid w:val="0017212D"/>
    <w:rsid w:val="001735C4"/>
    <w:rsid w:val="00174C04"/>
    <w:rsid w:val="00177BBC"/>
    <w:rsid w:val="00184579"/>
    <w:rsid w:val="001847A8"/>
    <w:rsid w:val="00185BF1"/>
    <w:rsid w:val="0018639D"/>
    <w:rsid w:val="0018656C"/>
    <w:rsid w:val="001868C0"/>
    <w:rsid w:val="00187D47"/>
    <w:rsid w:val="00190459"/>
    <w:rsid w:val="00190CE8"/>
    <w:rsid w:val="00191F6F"/>
    <w:rsid w:val="0019246A"/>
    <w:rsid w:val="00192618"/>
    <w:rsid w:val="0019272C"/>
    <w:rsid w:val="00192E40"/>
    <w:rsid w:val="001967CE"/>
    <w:rsid w:val="00196850"/>
    <w:rsid w:val="00197F3B"/>
    <w:rsid w:val="001A0848"/>
    <w:rsid w:val="001A108E"/>
    <w:rsid w:val="001A10B0"/>
    <w:rsid w:val="001A31CE"/>
    <w:rsid w:val="001A3D5A"/>
    <w:rsid w:val="001A7978"/>
    <w:rsid w:val="001B0492"/>
    <w:rsid w:val="001B2734"/>
    <w:rsid w:val="001B3E19"/>
    <w:rsid w:val="001B4088"/>
    <w:rsid w:val="001B45A6"/>
    <w:rsid w:val="001B58A4"/>
    <w:rsid w:val="001C173D"/>
    <w:rsid w:val="001C32BE"/>
    <w:rsid w:val="001C36E3"/>
    <w:rsid w:val="001C41B3"/>
    <w:rsid w:val="001C4C18"/>
    <w:rsid w:val="001C56CB"/>
    <w:rsid w:val="001C5E73"/>
    <w:rsid w:val="001D0BCA"/>
    <w:rsid w:val="001D20AF"/>
    <w:rsid w:val="001D431A"/>
    <w:rsid w:val="001D560B"/>
    <w:rsid w:val="001D6872"/>
    <w:rsid w:val="001E0886"/>
    <w:rsid w:val="001E244C"/>
    <w:rsid w:val="001E2C22"/>
    <w:rsid w:val="001E614C"/>
    <w:rsid w:val="001F3B08"/>
    <w:rsid w:val="001F4913"/>
    <w:rsid w:val="001F4CCB"/>
    <w:rsid w:val="001F6CE7"/>
    <w:rsid w:val="001F7119"/>
    <w:rsid w:val="001F7F36"/>
    <w:rsid w:val="00204472"/>
    <w:rsid w:val="0020494A"/>
    <w:rsid w:val="002106A7"/>
    <w:rsid w:val="00211983"/>
    <w:rsid w:val="00213E7A"/>
    <w:rsid w:val="00214F2C"/>
    <w:rsid w:val="00215DE0"/>
    <w:rsid w:val="002167E6"/>
    <w:rsid w:val="00217099"/>
    <w:rsid w:val="00223098"/>
    <w:rsid w:val="00224702"/>
    <w:rsid w:val="0022746D"/>
    <w:rsid w:val="0023061E"/>
    <w:rsid w:val="002338C9"/>
    <w:rsid w:val="00233EE7"/>
    <w:rsid w:val="0023725F"/>
    <w:rsid w:val="002377E1"/>
    <w:rsid w:val="00237ACB"/>
    <w:rsid w:val="00237BC5"/>
    <w:rsid w:val="00241840"/>
    <w:rsid w:val="00242045"/>
    <w:rsid w:val="002420B6"/>
    <w:rsid w:val="0024213B"/>
    <w:rsid w:val="002445CA"/>
    <w:rsid w:val="00246E3E"/>
    <w:rsid w:val="0025102E"/>
    <w:rsid w:val="002525B9"/>
    <w:rsid w:val="00253452"/>
    <w:rsid w:val="00254ABD"/>
    <w:rsid w:val="00254F2A"/>
    <w:rsid w:val="0025597A"/>
    <w:rsid w:val="00260379"/>
    <w:rsid w:val="002607CF"/>
    <w:rsid w:val="00263246"/>
    <w:rsid w:val="00263850"/>
    <w:rsid w:val="00264B37"/>
    <w:rsid w:val="00264F93"/>
    <w:rsid w:val="00265D24"/>
    <w:rsid w:val="00265EBA"/>
    <w:rsid w:val="0027129B"/>
    <w:rsid w:val="00271593"/>
    <w:rsid w:val="002715A8"/>
    <w:rsid w:val="002774CC"/>
    <w:rsid w:val="0028068D"/>
    <w:rsid w:val="00281ECA"/>
    <w:rsid w:val="002841FF"/>
    <w:rsid w:val="0028602A"/>
    <w:rsid w:val="00286B1C"/>
    <w:rsid w:val="00291C4C"/>
    <w:rsid w:val="002932D0"/>
    <w:rsid w:val="0029379A"/>
    <w:rsid w:val="002937D3"/>
    <w:rsid w:val="00297880"/>
    <w:rsid w:val="002A3381"/>
    <w:rsid w:val="002B0AAE"/>
    <w:rsid w:val="002B1607"/>
    <w:rsid w:val="002B1F78"/>
    <w:rsid w:val="002B30FE"/>
    <w:rsid w:val="002B3768"/>
    <w:rsid w:val="002B72E4"/>
    <w:rsid w:val="002B7D10"/>
    <w:rsid w:val="002C01A0"/>
    <w:rsid w:val="002C4953"/>
    <w:rsid w:val="002C4A68"/>
    <w:rsid w:val="002C4E19"/>
    <w:rsid w:val="002C58DC"/>
    <w:rsid w:val="002C5AC5"/>
    <w:rsid w:val="002C6601"/>
    <w:rsid w:val="002C76E6"/>
    <w:rsid w:val="002D02FA"/>
    <w:rsid w:val="002D1BC3"/>
    <w:rsid w:val="002D1E66"/>
    <w:rsid w:val="002D2139"/>
    <w:rsid w:val="002D2F03"/>
    <w:rsid w:val="002D3909"/>
    <w:rsid w:val="002E00F6"/>
    <w:rsid w:val="002E0179"/>
    <w:rsid w:val="002E09BE"/>
    <w:rsid w:val="002E1251"/>
    <w:rsid w:val="002F599B"/>
    <w:rsid w:val="002F7398"/>
    <w:rsid w:val="002F7A9D"/>
    <w:rsid w:val="0030718D"/>
    <w:rsid w:val="00314FB4"/>
    <w:rsid w:val="00316007"/>
    <w:rsid w:val="00316DE5"/>
    <w:rsid w:val="00317D0E"/>
    <w:rsid w:val="00320F17"/>
    <w:rsid w:val="00321F83"/>
    <w:rsid w:val="00322244"/>
    <w:rsid w:val="0032235F"/>
    <w:rsid w:val="00323C78"/>
    <w:rsid w:val="00330080"/>
    <w:rsid w:val="0033175F"/>
    <w:rsid w:val="0033258F"/>
    <w:rsid w:val="003413F6"/>
    <w:rsid w:val="00341CC1"/>
    <w:rsid w:val="00343596"/>
    <w:rsid w:val="00343C63"/>
    <w:rsid w:val="00344112"/>
    <w:rsid w:val="00344B38"/>
    <w:rsid w:val="00352ED2"/>
    <w:rsid w:val="0035370F"/>
    <w:rsid w:val="00354EEA"/>
    <w:rsid w:val="00355194"/>
    <w:rsid w:val="003555C5"/>
    <w:rsid w:val="003558E8"/>
    <w:rsid w:val="00355A90"/>
    <w:rsid w:val="00356562"/>
    <w:rsid w:val="00356FEB"/>
    <w:rsid w:val="00360424"/>
    <w:rsid w:val="003615FF"/>
    <w:rsid w:val="00361D4E"/>
    <w:rsid w:val="00361F47"/>
    <w:rsid w:val="00363A16"/>
    <w:rsid w:val="0036528E"/>
    <w:rsid w:val="00365D31"/>
    <w:rsid w:val="0037058C"/>
    <w:rsid w:val="00370821"/>
    <w:rsid w:val="00371AC1"/>
    <w:rsid w:val="00371C9F"/>
    <w:rsid w:val="0037202D"/>
    <w:rsid w:val="003720F0"/>
    <w:rsid w:val="003759F9"/>
    <w:rsid w:val="00376230"/>
    <w:rsid w:val="003771EA"/>
    <w:rsid w:val="003801E8"/>
    <w:rsid w:val="00382123"/>
    <w:rsid w:val="003821CD"/>
    <w:rsid w:val="00383326"/>
    <w:rsid w:val="00387DCB"/>
    <w:rsid w:val="00391FA2"/>
    <w:rsid w:val="0039510D"/>
    <w:rsid w:val="003A098E"/>
    <w:rsid w:val="003A50B8"/>
    <w:rsid w:val="003A53D3"/>
    <w:rsid w:val="003A56B8"/>
    <w:rsid w:val="003A57DF"/>
    <w:rsid w:val="003B12E9"/>
    <w:rsid w:val="003B1F82"/>
    <w:rsid w:val="003B208B"/>
    <w:rsid w:val="003B3A99"/>
    <w:rsid w:val="003B3CE7"/>
    <w:rsid w:val="003B46B3"/>
    <w:rsid w:val="003B4B04"/>
    <w:rsid w:val="003B4FF5"/>
    <w:rsid w:val="003B68F3"/>
    <w:rsid w:val="003C0852"/>
    <w:rsid w:val="003C1CC3"/>
    <w:rsid w:val="003C1DCC"/>
    <w:rsid w:val="003C27F2"/>
    <w:rsid w:val="003C359B"/>
    <w:rsid w:val="003C70A8"/>
    <w:rsid w:val="003C7D91"/>
    <w:rsid w:val="003C7F4F"/>
    <w:rsid w:val="003D038E"/>
    <w:rsid w:val="003D2D5B"/>
    <w:rsid w:val="003D35F0"/>
    <w:rsid w:val="003E0AF0"/>
    <w:rsid w:val="003E156A"/>
    <w:rsid w:val="003E2B1F"/>
    <w:rsid w:val="003E360A"/>
    <w:rsid w:val="003E3BE5"/>
    <w:rsid w:val="003E5E35"/>
    <w:rsid w:val="003E74BC"/>
    <w:rsid w:val="003F11C4"/>
    <w:rsid w:val="003F67B6"/>
    <w:rsid w:val="003F70CA"/>
    <w:rsid w:val="00400544"/>
    <w:rsid w:val="00402D41"/>
    <w:rsid w:val="00404B93"/>
    <w:rsid w:val="0040727B"/>
    <w:rsid w:val="00407476"/>
    <w:rsid w:val="004167F4"/>
    <w:rsid w:val="00416E05"/>
    <w:rsid w:val="00417435"/>
    <w:rsid w:val="00420F6C"/>
    <w:rsid w:val="0042225F"/>
    <w:rsid w:val="00422C70"/>
    <w:rsid w:val="0043162F"/>
    <w:rsid w:val="00432F89"/>
    <w:rsid w:val="00433BDD"/>
    <w:rsid w:val="004369CF"/>
    <w:rsid w:val="00436D92"/>
    <w:rsid w:val="004410E3"/>
    <w:rsid w:val="00445768"/>
    <w:rsid w:val="004457BE"/>
    <w:rsid w:val="00447AE1"/>
    <w:rsid w:val="00450918"/>
    <w:rsid w:val="004517A7"/>
    <w:rsid w:val="00455199"/>
    <w:rsid w:val="00461D70"/>
    <w:rsid w:val="00462D4C"/>
    <w:rsid w:val="00466422"/>
    <w:rsid w:val="00467181"/>
    <w:rsid w:val="00470C37"/>
    <w:rsid w:val="00476451"/>
    <w:rsid w:val="004775A8"/>
    <w:rsid w:val="004815C1"/>
    <w:rsid w:val="004821BE"/>
    <w:rsid w:val="004835AF"/>
    <w:rsid w:val="0048501C"/>
    <w:rsid w:val="004858B5"/>
    <w:rsid w:val="00486129"/>
    <w:rsid w:val="00486AEB"/>
    <w:rsid w:val="00486C97"/>
    <w:rsid w:val="00487FA7"/>
    <w:rsid w:val="004928F1"/>
    <w:rsid w:val="004937C8"/>
    <w:rsid w:val="00493E6F"/>
    <w:rsid w:val="004944D1"/>
    <w:rsid w:val="004967FC"/>
    <w:rsid w:val="00497141"/>
    <w:rsid w:val="00497D0D"/>
    <w:rsid w:val="004A1221"/>
    <w:rsid w:val="004A1A83"/>
    <w:rsid w:val="004A23FF"/>
    <w:rsid w:val="004A29A3"/>
    <w:rsid w:val="004A35D6"/>
    <w:rsid w:val="004A772F"/>
    <w:rsid w:val="004B60A6"/>
    <w:rsid w:val="004C5329"/>
    <w:rsid w:val="004C604F"/>
    <w:rsid w:val="004C6130"/>
    <w:rsid w:val="004C71D3"/>
    <w:rsid w:val="004D1452"/>
    <w:rsid w:val="004D262B"/>
    <w:rsid w:val="004D2931"/>
    <w:rsid w:val="004D2E8F"/>
    <w:rsid w:val="004D517B"/>
    <w:rsid w:val="004D7518"/>
    <w:rsid w:val="004E13B2"/>
    <w:rsid w:val="004E543B"/>
    <w:rsid w:val="004F3290"/>
    <w:rsid w:val="004F4A37"/>
    <w:rsid w:val="004F4E91"/>
    <w:rsid w:val="004F7E62"/>
    <w:rsid w:val="00501FF3"/>
    <w:rsid w:val="00502428"/>
    <w:rsid w:val="00504027"/>
    <w:rsid w:val="0051150B"/>
    <w:rsid w:val="005117B5"/>
    <w:rsid w:val="005133AC"/>
    <w:rsid w:val="00514971"/>
    <w:rsid w:val="00514E1F"/>
    <w:rsid w:val="005165BC"/>
    <w:rsid w:val="00516F30"/>
    <w:rsid w:val="00520D5C"/>
    <w:rsid w:val="00521FF5"/>
    <w:rsid w:val="00525909"/>
    <w:rsid w:val="0052622A"/>
    <w:rsid w:val="00526B69"/>
    <w:rsid w:val="005279B2"/>
    <w:rsid w:val="005300B4"/>
    <w:rsid w:val="005303C6"/>
    <w:rsid w:val="00531A01"/>
    <w:rsid w:val="00533473"/>
    <w:rsid w:val="00535706"/>
    <w:rsid w:val="0053570B"/>
    <w:rsid w:val="005414E2"/>
    <w:rsid w:val="0054164F"/>
    <w:rsid w:val="00541BAE"/>
    <w:rsid w:val="00541CF1"/>
    <w:rsid w:val="00542530"/>
    <w:rsid w:val="0054298B"/>
    <w:rsid w:val="00543D32"/>
    <w:rsid w:val="0054422D"/>
    <w:rsid w:val="00544D41"/>
    <w:rsid w:val="00545EC8"/>
    <w:rsid w:val="00545F43"/>
    <w:rsid w:val="00545FD5"/>
    <w:rsid w:val="00547A14"/>
    <w:rsid w:val="0055118D"/>
    <w:rsid w:val="00551425"/>
    <w:rsid w:val="00551970"/>
    <w:rsid w:val="005519F5"/>
    <w:rsid w:val="00552B53"/>
    <w:rsid w:val="00557216"/>
    <w:rsid w:val="005631A5"/>
    <w:rsid w:val="00563952"/>
    <w:rsid w:val="005639EC"/>
    <w:rsid w:val="00566F77"/>
    <w:rsid w:val="00570562"/>
    <w:rsid w:val="00570AF5"/>
    <w:rsid w:val="00573402"/>
    <w:rsid w:val="00577A98"/>
    <w:rsid w:val="00580346"/>
    <w:rsid w:val="00584687"/>
    <w:rsid w:val="005846DC"/>
    <w:rsid w:val="00585162"/>
    <w:rsid w:val="00585580"/>
    <w:rsid w:val="005865A8"/>
    <w:rsid w:val="005911EB"/>
    <w:rsid w:val="005934E9"/>
    <w:rsid w:val="005A1883"/>
    <w:rsid w:val="005A3E8E"/>
    <w:rsid w:val="005B0755"/>
    <w:rsid w:val="005B26BB"/>
    <w:rsid w:val="005B291E"/>
    <w:rsid w:val="005B356B"/>
    <w:rsid w:val="005B3D51"/>
    <w:rsid w:val="005B5011"/>
    <w:rsid w:val="005B5C28"/>
    <w:rsid w:val="005B70AE"/>
    <w:rsid w:val="005B7E10"/>
    <w:rsid w:val="005C0214"/>
    <w:rsid w:val="005C1408"/>
    <w:rsid w:val="005C238A"/>
    <w:rsid w:val="005C37CD"/>
    <w:rsid w:val="005C515C"/>
    <w:rsid w:val="005C708C"/>
    <w:rsid w:val="005D211F"/>
    <w:rsid w:val="005D2DF8"/>
    <w:rsid w:val="005D36ED"/>
    <w:rsid w:val="005D6078"/>
    <w:rsid w:val="005D6D1C"/>
    <w:rsid w:val="005E03C9"/>
    <w:rsid w:val="005E0D15"/>
    <w:rsid w:val="005E1427"/>
    <w:rsid w:val="005E1DA2"/>
    <w:rsid w:val="005E1F72"/>
    <w:rsid w:val="005E362F"/>
    <w:rsid w:val="005E4433"/>
    <w:rsid w:val="005E7059"/>
    <w:rsid w:val="005E70F7"/>
    <w:rsid w:val="005F0280"/>
    <w:rsid w:val="005F03E3"/>
    <w:rsid w:val="005F1591"/>
    <w:rsid w:val="005F3065"/>
    <w:rsid w:val="005F3B4E"/>
    <w:rsid w:val="005F3F55"/>
    <w:rsid w:val="005F52E0"/>
    <w:rsid w:val="005F551B"/>
    <w:rsid w:val="005F59F2"/>
    <w:rsid w:val="005F6DF0"/>
    <w:rsid w:val="00603008"/>
    <w:rsid w:val="00604758"/>
    <w:rsid w:val="0060620F"/>
    <w:rsid w:val="00612830"/>
    <w:rsid w:val="006227CB"/>
    <w:rsid w:val="00624FB6"/>
    <w:rsid w:val="00627CEF"/>
    <w:rsid w:val="0063047E"/>
    <w:rsid w:val="0063363F"/>
    <w:rsid w:val="0063481B"/>
    <w:rsid w:val="00635B55"/>
    <w:rsid w:val="00635F73"/>
    <w:rsid w:val="006417FE"/>
    <w:rsid w:val="0064191F"/>
    <w:rsid w:val="00641D3B"/>
    <w:rsid w:val="0064481A"/>
    <w:rsid w:val="0064584C"/>
    <w:rsid w:val="006463AB"/>
    <w:rsid w:val="006529C4"/>
    <w:rsid w:val="00654308"/>
    <w:rsid w:val="0066172D"/>
    <w:rsid w:val="00661E9D"/>
    <w:rsid w:val="00661EA1"/>
    <w:rsid w:val="00664506"/>
    <w:rsid w:val="00665F3B"/>
    <w:rsid w:val="00671978"/>
    <w:rsid w:val="00672496"/>
    <w:rsid w:val="00673753"/>
    <w:rsid w:val="00674429"/>
    <w:rsid w:val="00674FD1"/>
    <w:rsid w:val="00675B76"/>
    <w:rsid w:val="006769AA"/>
    <w:rsid w:val="00681111"/>
    <w:rsid w:val="00681677"/>
    <w:rsid w:val="0068424B"/>
    <w:rsid w:val="006907E5"/>
    <w:rsid w:val="00690B48"/>
    <w:rsid w:val="006929A0"/>
    <w:rsid w:val="00692A00"/>
    <w:rsid w:val="006939B9"/>
    <w:rsid w:val="0069586A"/>
    <w:rsid w:val="00695DC9"/>
    <w:rsid w:val="006966E6"/>
    <w:rsid w:val="00696C68"/>
    <w:rsid w:val="00696EB0"/>
    <w:rsid w:val="006A1D2F"/>
    <w:rsid w:val="006A44E9"/>
    <w:rsid w:val="006A64A5"/>
    <w:rsid w:val="006A6F67"/>
    <w:rsid w:val="006A71D3"/>
    <w:rsid w:val="006A730D"/>
    <w:rsid w:val="006A76B7"/>
    <w:rsid w:val="006B021D"/>
    <w:rsid w:val="006B06FB"/>
    <w:rsid w:val="006B3CEF"/>
    <w:rsid w:val="006B4605"/>
    <w:rsid w:val="006C0612"/>
    <w:rsid w:val="006C09D1"/>
    <w:rsid w:val="006C1726"/>
    <w:rsid w:val="006C3639"/>
    <w:rsid w:val="006C3D3B"/>
    <w:rsid w:val="006C5EFF"/>
    <w:rsid w:val="006D0A45"/>
    <w:rsid w:val="006D0D71"/>
    <w:rsid w:val="006D1D99"/>
    <w:rsid w:val="006D3606"/>
    <w:rsid w:val="006D596A"/>
    <w:rsid w:val="006D7995"/>
    <w:rsid w:val="006D7C15"/>
    <w:rsid w:val="006E0215"/>
    <w:rsid w:val="006E0ED3"/>
    <w:rsid w:val="006E241E"/>
    <w:rsid w:val="006E6200"/>
    <w:rsid w:val="006E736A"/>
    <w:rsid w:val="006E7DF3"/>
    <w:rsid w:val="006F0BC9"/>
    <w:rsid w:val="006F1BD2"/>
    <w:rsid w:val="006F24EF"/>
    <w:rsid w:val="006F29C9"/>
    <w:rsid w:val="006F2C20"/>
    <w:rsid w:val="006F44C7"/>
    <w:rsid w:val="006F53DF"/>
    <w:rsid w:val="006F7497"/>
    <w:rsid w:val="007005DD"/>
    <w:rsid w:val="0070533C"/>
    <w:rsid w:val="00706819"/>
    <w:rsid w:val="00706B47"/>
    <w:rsid w:val="007075D0"/>
    <w:rsid w:val="007100AB"/>
    <w:rsid w:val="00711F7E"/>
    <w:rsid w:val="00712305"/>
    <w:rsid w:val="007134C4"/>
    <w:rsid w:val="00716773"/>
    <w:rsid w:val="00717172"/>
    <w:rsid w:val="0071790E"/>
    <w:rsid w:val="007215AC"/>
    <w:rsid w:val="00722501"/>
    <w:rsid w:val="00724BFA"/>
    <w:rsid w:val="00725096"/>
    <w:rsid w:val="00725E7C"/>
    <w:rsid w:val="00735264"/>
    <w:rsid w:val="00737215"/>
    <w:rsid w:val="0074309F"/>
    <w:rsid w:val="00743D62"/>
    <w:rsid w:val="00746973"/>
    <w:rsid w:val="00746D27"/>
    <w:rsid w:val="00747A81"/>
    <w:rsid w:val="0075012E"/>
    <w:rsid w:val="007503F6"/>
    <w:rsid w:val="00752D0B"/>
    <w:rsid w:val="00753CDB"/>
    <w:rsid w:val="007554E1"/>
    <w:rsid w:val="00755718"/>
    <w:rsid w:val="00756B4F"/>
    <w:rsid w:val="007615F4"/>
    <w:rsid w:val="007634D5"/>
    <w:rsid w:val="00767EE4"/>
    <w:rsid w:val="007709F5"/>
    <w:rsid w:val="00770AD1"/>
    <w:rsid w:val="00770B61"/>
    <w:rsid w:val="007753FA"/>
    <w:rsid w:val="00776C01"/>
    <w:rsid w:val="007775EE"/>
    <w:rsid w:val="0078151D"/>
    <w:rsid w:val="00783E92"/>
    <w:rsid w:val="00784633"/>
    <w:rsid w:val="007873EF"/>
    <w:rsid w:val="00787702"/>
    <w:rsid w:val="00787A82"/>
    <w:rsid w:val="00791976"/>
    <w:rsid w:val="0079228D"/>
    <w:rsid w:val="007926B3"/>
    <w:rsid w:val="0079301E"/>
    <w:rsid w:val="0079788F"/>
    <w:rsid w:val="007A0448"/>
    <w:rsid w:val="007A0EB9"/>
    <w:rsid w:val="007A46CD"/>
    <w:rsid w:val="007A78F4"/>
    <w:rsid w:val="007B05BF"/>
    <w:rsid w:val="007B12BE"/>
    <w:rsid w:val="007B1E98"/>
    <w:rsid w:val="007B2894"/>
    <w:rsid w:val="007B439E"/>
    <w:rsid w:val="007B4E55"/>
    <w:rsid w:val="007B6546"/>
    <w:rsid w:val="007C01D3"/>
    <w:rsid w:val="007C162F"/>
    <w:rsid w:val="007C2B50"/>
    <w:rsid w:val="007C3F8A"/>
    <w:rsid w:val="007C4DED"/>
    <w:rsid w:val="007D0EE4"/>
    <w:rsid w:val="007D21A1"/>
    <w:rsid w:val="007D616F"/>
    <w:rsid w:val="007D6C2D"/>
    <w:rsid w:val="007D77C4"/>
    <w:rsid w:val="007E046E"/>
    <w:rsid w:val="007E08FC"/>
    <w:rsid w:val="007E2CDE"/>
    <w:rsid w:val="007E53C2"/>
    <w:rsid w:val="007F15F5"/>
    <w:rsid w:val="007F1D42"/>
    <w:rsid w:val="007F211F"/>
    <w:rsid w:val="007F23E5"/>
    <w:rsid w:val="007F275F"/>
    <w:rsid w:val="007F4D93"/>
    <w:rsid w:val="007F5200"/>
    <w:rsid w:val="007F72FA"/>
    <w:rsid w:val="007F7BA0"/>
    <w:rsid w:val="008013CB"/>
    <w:rsid w:val="00801F6F"/>
    <w:rsid w:val="0080495B"/>
    <w:rsid w:val="0080791E"/>
    <w:rsid w:val="00813246"/>
    <w:rsid w:val="008132E2"/>
    <w:rsid w:val="00813E8B"/>
    <w:rsid w:val="0081470C"/>
    <w:rsid w:val="00815DFE"/>
    <w:rsid w:val="00817CE6"/>
    <w:rsid w:val="00825F42"/>
    <w:rsid w:val="00830D58"/>
    <w:rsid w:val="00832B66"/>
    <w:rsid w:val="008342D3"/>
    <w:rsid w:val="00841701"/>
    <w:rsid w:val="00841E89"/>
    <w:rsid w:val="008436F8"/>
    <w:rsid w:val="008468B9"/>
    <w:rsid w:val="00847A2B"/>
    <w:rsid w:val="00850960"/>
    <w:rsid w:val="00850C77"/>
    <w:rsid w:val="00851687"/>
    <w:rsid w:val="0085268C"/>
    <w:rsid w:val="0085295A"/>
    <w:rsid w:val="00852D10"/>
    <w:rsid w:val="00852D22"/>
    <w:rsid w:val="008531B0"/>
    <w:rsid w:val="00854746"/>
    <w:rsid w:val="00855313"/>
    <w:rsid w:val="008568DC"/>
    <w:rsid w:val="008572C2"/>
    <w:rsid w:val="00860CBC"/>
    <w:rsid w:val="008614DB"/>
    <w:rsid w:val="00864AB5"/>
    <w:rsid w:val="00866177"/>
    <w:rsid w:val="00866A0F"/>
    <w:rsid w:val="008735F0"/>
    <w:rsid w:val="00874764"/>
    <w:rsid w:val="00877252"/>
    <w:rsid w:val="00880AB6"/>
    <w:rsid w:val="00882905"/>
    <w:rsid w:val="00884331"/>
    <w:rsid w:val="00885334"/>
    <w:rsid w:val="00886D56"/>
    <w:rsid w:val="00887808"/>
    <w:rsid w:val="0089155A"/>
    <w:rsid w:val="008925DA"/>
    <w:rsid w:val="00894665"/>
    <w:rsid w:val="0089691F"/>
    <w:rsid w:val="00896B6D"/>
    <w:rsid w:val="008A112C"/>
    <w:rsid w:val="008A1380"/>
    <w:rsid w:val="008A22AD"/>
    <w:rsid w:val="008A3782"/>
    <w:rsid w:val="008A4605"/>
    <w:rsid w:val="008A4ED9"/>
    <w:rsid w:val="008A4F96"/>
    <w:rsid w:val="008A7BAD"/>
    <w:rsid w:val="008B1F14"/>
    <w:rsid w:val="008B54F9"/>
    <w:rsid w:val="008B6A79"/>
    <w:rsid w:val="008B6BDD"/>
    <w:rsid w:val="008B72BB"/>
    <w:rsid w:val="008C0042"/>
    <w:rsid w:val="008C259E"/>
    <w:rsid w:val="008C326D"/>
    <w:rsid w:val="008C4083"/>
    <w:rsid w:val="008C47AB"/>
    <w:rsid w:val="008C70F9"/>
    <w:rsid w:val="008C79CF"/>
    <w:rsid w:val="008D1E48"/>
    <w:rsid w:val="008D27AD"/>
    <w:rsid w:val="008D4156"/>
    <w:rsid w:val="008D4282"/>
    <w:rsid w:val="008D45C0"/>
    <w:rsid w:val="008D4D96"/>
    <w:rsid w:val="008D5A87"/>
    <w:rsid w:val="008E3641"/>
    <w:rsid w:val="008E3D0D"/>
    <w:rsid w:val="008E4142"/>
    <w:rsid w:val="008E55F9"/>
    <w:rsid w:val="008E7E90"/>
    <w:rsid w:val="008F02CE"/>
    <w:rsid w:val="008F1093"/>
    <w:rsid w:val="008F1711"/>
    <w:rsid w:val="008F6E10"/>
    <w:rsid w:val="0090175F"/>
    <w:rsid w:val="00901F92"/>
    <w:rsid w:val="00907D1B"/>
    <w:rsid w:val="009104B4"/>
    <w:rsid w:val="00912AAA"/>
    <w:rsid w:val="00915A9A"/>
    <w:rsid w:val="00923B09"/>
    <w:rsid w:val="00926313"/>
    <w:rsid w:val="00927EE7"/>
    <w:rsid w:val="00930BF8"/>
    <w:rsid w:val="0093307D"/>
    <w:rsid w:val="00933408"/>
    <w:rsid w:val="0093362A"/>
    <w:rsid w:val="00936731"/>
    <w:rsid w:val="00937909"/>
    <w:rsid w:val="00937CEB"/>
    <w:rsid w:val="00944086"/>
    <w:rsid w:val="009449F6"/>
    <w:rsid w:val="0095306A"/>
    <w:rsid w:val="00953EC8"/>
    <w:rsid w:val="00954194"/>
    <w:rsid w:val="009542B0"/>
    <w:rsid w:val="0095439D"/>
    <w:rsid w:val="00954F50"/>
    <w:rsid w:val="00961A99"/>
    <w:rsid w:val="00961C0B"/>
    <w:rsid w:val="00965F59"/>
    <w:rsid w:val="00965FCD"/>
    <w:rsid w:val="009667A6"/>
    <w:rsid w:val="00967D45"/>
    <w:rsid w:val="00973A6E"/>
    <w:rsid w:val="00974B39"/>
    <w:rsid w:val="009760CB"/>
    <w:rsid w:val="00976259"/>
    <w:rsid w:val="00977FB0"/>
    <w:rsid w:val="0098159E"/>
    <w:rsid w:val="00983670"/>
    <w:rsid w:val="00987896"/>
    <w:rsid w:val="009909D9"/>
    <w:rsid w:val="00991020"/>
    <w:rsid w:val="00991940"/>
    <w:rsid w:val="00991B1C"/>
    <w:rsid w:val="00992DAD"/>
    <w:rsid w:val="00992DEC"/>
    <w:rsid w:val="00992E7F"/>
    <w:rsid w:val="00995D7C"/>
    <w:rsid w:val="009A193D"/>
    <w:rsid w:val="009A605A"/>
    <w:rsid w:val="009A66CA"/>
    <w:rsid w:val="009B1648"/>
    <w:rsid w:val="009B294A"/>
    <w:rsid w:val="009B683B"/>
    <w:rsid w:val="009B78FD"/>
    <w:rsid w:val="009B7B48"/>
    <w:rsid w:val="009C0136"/>
    <w:rsid w:val="009C43CA"/>
    <w:rsid w:val="009C7A4C"/>
    <w:rsid w:val="009D09F3"/>
    <w:rsid w:val="009D35F8"/>
    <w:rsid w:val="009D3B4C"/>
    <w:rsid w:val="009D462C"/>
    <w:rsid w:val="009D6C6A"/>
    <w:rsid w:val="009E3457"/>
    <w:rsid w:val="009E5058"/>
    <w:rsid w:val="009E5F72"/>
    <w:rsid w:val="009F00F9"/>
    <w:rsid w:val="009F35FC"/>
    <w:rsid w:val="009F4399"/>
    <w:rsid w:val="009F48EE"/>
    <w:rsid w:val="009F4933"/>
    <w:rsid w:val="009F5222"/>
    <w:rsid w:val="009F5521"/>
    <w:rsid w:val="009F67CC"/>
    <w:rsid w:val="009F79AB"/>
    <w:rsid w:val="00A0045F"/>
    <w:rsid w:val="00A015DD"/>
    <w:rsid w:val="00A042AA"/>
    <w:rsid w:val="00A075C3"/>
    <w:rsid w:val="00A128D1"/>
    <w:rsid w:val="00A13A6D"/>
    <w:rsid w:val="00A15420"/>
    <w:rsid w:val="00A20973"/>
    <w:rsid w:val="00A20B62"/>
    <w:rsid w:val="00A215FC"/>
    <w:rsid w:val="00A23360"/>
    <w:rsid w:val="00A23511"/>
    <w:rsid w:val="00A24C98"/>
    <w:rsid w:val="00A258B8"/>
    <w:rsid w:val="00A26EDC"/>
    <w:rsid w:val="00A30AFF"/>
    <w:rsid w:val="00A32457"/>
    <w:rsid w:val="00A32880"/>
    <w:rsid w:val="00A3357E"/>
    <w:rsid w:val="00A365E2"/>
    <w:rsid w:val="00A37C62"/>
    <w:rsid w:val="00A4596D"/>
    <w:rsid w:val="00A46F35"/>
    <w:rsid w:val="00A50C62"/>
    <w:rsid w:val="00A52532"/>
    <w:rsid w:val="00A532FF"/>
    <w:rsid w:val="00A53FAB"/>
    <w:rsid w:val="00A563FB"/>
    <w:rsid w:val="00A607FF"/>
    <w:rsid w:val="00A62CD1"/>
    <w:rsid w:val="00A63A1F"/>
    <w:rsid w:val="00A64559"/>
    <w:rsid w:val="00A64A4F"/>
    <w:rsid w:val="00A67045"/>
    <w:rsid w:val="00A67D51"/>
    <w:rsid w:val="00A70B78"/>
    <w:rsid w:val="00A74C98"/>
    <w:rsid w:val="00A75559"/>
    <w:rsid w:val="00A76EAB"/>
    <w:rsid w:val="00A77CA7"/>
    <w:rsid w:val="00A8048B"/>
    <w:rsid w:val="00A80522"/>
    <w:rsid w:val="00A80F80"/>
    <w:rsid w:val="00A83542"/>
    <w:rsid w:val="00A83BC9"/>
    <w:rsid w:val="00A840CD"/>
    <w:rsid w:val="00A84752"/>
    <w:rsid w:val="00A86446"/>
    <w:rsid w:val="00A865F7"/>
    <w:rsid w:val="00A86D76"/>
    <w:rsid w:val="00A86E44"/>
    <w:rsid w:val="00A96EBF"/>
    <w:rsid w:val="00A97B37"/>
    <w:rsid w:val="00AA0019"/>
    <w:rsid w:val="00AA12D0"/>
    <w:rsid w:val="00AA2159"/>
    <w:rsid w:val="00AA30A8"/>
    <w:rsid w:val="00AA5DF7"/>
    <w:rsid w:val="00AA684A"/>
    <w:rsid w:val="00AA7FF1"/>
    <w:rsid w:val="00AB1A2A"/>
    <w:rsid w:val="00AB260C"/>
    <w:rsid w:val="00AB442E"/>
    <w:rsid w:val="00AB7898"/>
    <w:rsid w:val="00AB79F3"/>
    <w:rsid w:val="00AC120B"/>
    <w:rsid w:val="00AC4756"/>
    <w:rsid w:val="00AC5017"/>
    <w:rsid w:val="00AC728C"/>
    <w:rsid w:val="00AC76AC"/>
    <w:rsid w:val="00AD18C8"/>
    <w:rsid w:val="00AD2BB8"/>
    <w:rsid w:val="00AD3594"/>
    <w:rsid w:val="00AD4EF9"/>
    <w:rsid w:val="00AD58B2"/>
    <w:rsid w:val="00AD76D0"/>
    <w:rsid w:val="00AD7CD7"/>
    <w:rsid w:val="00AE1702"/>
    <w:rsid w:val="00AE3740"/>
    <w:rsid w:val="00AF049D"/>
    <w:rsid w:val="00AF28F3"/>
    <w:rsid w:val="00AF2ADC"/>
    <w:rsid w:val="00AF36B1"/>
    <w:rsid w:val="00AF3808"/>
    <w:rsid w:val="00AF736B"/>
    <w:rsid w:val="00B015C5"/>
    <w:rsid w:val="00B02750"/>
    <w:rsid w:val="00B0329B"/>
    <w:rsid w:val="00B04683"/>
    <w:rsid w:val="00B0511B"/>
    <w:rsid w:val="00B06776"/>
    <w:rsid w:val="00B1060D"/>
    <w:rsid w:val="00B12A20"/>
    <w:rsid w:val="00B135F0"/>
    <w:rsid w:val="00B173E6"/>
    <w:rsid w:val="00B179D5"/>
    <w:rsid w:val="00B20631"/>
    <w:rsid w:val="00B213B5"/>
    <w:rsid w:val="00B25AEC"/>
    <w:rsid w:val="00B25DDC"/>
    <w:rsid w:val="00B27B62"/>
    <w:rsid w:val="00B328EE"/>
    <w:rsid w:val="00B3350E"/>
    <w:rsid w:val="00B423BE"/>
    <w:rsid w:val="00B42D83"/>
    <w:rsid w:val="00B43FCC"/>
    <w:rsid w:val="00B448AB"/>
    <w:rsid w:val="00B44B4E"/>
    <w:rsid w:val="00B44D38"/>
    <w:rsid w:val="00B45120"/>
    <w:rsid w:val="00B46C7B"/>
    <w:rsid w:val="00B51168"/>
    <w:rsid w:val="00B51DF0"/>
    <w:rsid w:val="00B55944"/>
    <w:rsid w:val="00B56D30"/>
    <w:rsid w:val="00B607F9"/>
    <w:rsid w:val="00B618BC"/>
    <w:rsid w:val="00B62A03"/>
    <w:rsid w:val="00B677D2"/>
    <w:rsid w:val="00B712F5"/>
    <w:rsid w:val="00B720E8"/>
    <w:rsid w:val="00B724AB"/>
    <w:rsid w:val="00B753A8"/>
    <w:rsid w:val="00B75856"/>
    <w:rsid w:val="00B80FB7"/>
    <w:rsid w:val="00B81591"/>
    <w:rsid w:val="00B8754C"/>
    <w:rsid w:val="00B87A9B"/>
    <w:rsid w:val="00B87F63"/>
    <w:rsid w:val="00B91C19"/>
    <w:rsid w:val="00B94F99"/>
    <w:rsid w:val="00B953D5"/>
    <w:rsid w:val="00B9643E"/>
    <w:rsid w:val="00B96FE8"/>
    <w:rsid w:val="00BA1546"/>
    <w:rsid w:val="00BA4498"/>
    <w:rsid w:val="00BA5088"/>
    <w:rsid w:val="00BA61AD"/>
    <w:rsid w:val="00BB09BA"/>
    <w:rsid w:val="00BB2078"/>
    <w:rsid w:val="00BB2884"/>
    <w:rsid w:val="00BB28E2"/>
    <w:rsid w:val="00BB3DCB"/>
    <w:rsid w:val="00BB522C"/>
    <w:rsid w:val="00BB5AA7"/>
    <w:rsid w:val="00BC3298"/>
    <w:rsid w:val="00BC3E29"/>
    <w:rsid w:val="00BC677B"/>
    <w:rsid w:val="00BC7D05"/>
    <w:rsid w:val="00BD1510"/>
    <w:rsid w:val="00BD4AF3"/>
    <w:rsid w:val="00BD58F6"/>
    <w:rsid w:val="00BD5D76"/>
    <w:rsid w:val="00BE1A98"/>
    <w:rsid w:val="00BE2F95"/>
    <w:rsid w:val="00BE341B"/>
    <w:rsid w:val="00BE5E02"/>
    <w:rsid w:val="00BE7EC5"/>
    <w:rsid w:val="00BF0728"/>
    <w:rsid w:val="00BF42AA"/>
    <w:rsid w:val="00BF6398"/>
    <w:rsid w:val="00BF798B"/>
    <w:rsid w:val="00C01A81"/>
    <w:rsid w:val="00C02FBD"/>
    <w:rsid w:val="00C0300B"/>
    <w:rsid w:val="00C03BB0"/>
    <w:rsid w:val="00C05C73"/>
    <w:rsid w:val="00C067E0"/>
    <w:rsid w:val="00C06BCF"/>
    <w:rsid w:val="00C105C1"/>
    <w:rsid w:val="00C10773"/>
    <w:rsid w:val="00C11ADC"/>
    <w:rsid w:val="00C11F69"/>
    <w:rsid w:val="00C14319"/>
    <w:rsid w:val="00C14BAE"/>
    <w:rsid w:val="00C164AB"/>
    <w:rsid w:val="00C16A3A"/>
    <w:rsid w:val="00C1756A"/>
    <w:rsid w:val="00C206C8"/>
    <w:rsid w:val="00C21866"/>
    <w:rsid w:val="00C21909"/>
    <w:rsid w:val="00C22FA0"/>
    <w:rsid w:val="00C25036"/>
    <w:rsid w:val="00C25840"/>
    <w:rsid w:val="00C25862"/>
    <w:rsid w:val="00C300D8"/>
    <w:rsid w:val="00C305BA"/>
    <w:rsid w:val="00C32A45"/>
    <w:rsid w:val="00C35A9A"/>
    <w:rsid w:val="00C35DF2"/>
    <w:rsid w:val="00C37411"/>
    <w:rsid w:val="00C376B8"/>
    <w:rsid w:val="00C37B13"/>
    <w:rsid w:val="00C41346"/>
    <w:rsid w:val="00C4283D"/>
    <w:rsid w:val="00C43EC9"/>
    <w:rsid w:val="00C45673"/>
    <w:rsid w:val="00C45CC0"/>
    <w:rsid w:val="00C47D18"/>
    <w:rsid w:val="00C50951"/>
    <w:rsid w:val="00C51F91"/>
    <w:rsid w:val="00C52E55"/>
    <w:rsid w:val="00C53A13"/>
    <w:rsid w:val="00C53C94"/>
    <w:rsid w:val="00C5488A"/>
    <w:rsid w:val="00C576FC"/>
    <w:rsid w:val="00C57C31"/>
    <w:rsid w:val="00C6071C"/>
    <w:rsid w:val="00C60C13"/>
    <w:rsid w:val="00C65CAA"/>
    <w:rsid w:val="00C67DCA"/>
    <w:rsid w:val="00C703A7"/>
    <w:rsid w:val="00C70660"/>
    <w:rsid w:val="00C719E6"/>
    <w:rsid w:val="00C72170"/>
    <w:rsid w:val="00C73D20"/>
    <w:rsid w:val="00C748AB"/>
    <w:rsid w:val="00C77CB8"/>
    <w:rsid w:val="00C80057"/>
    <w:rsid w:val="00C81A08"/>
    <w:rsid w:val="00C81F60"/>
    <w:rsid w:val="00C83FA9"/>
    <w:rsid w:val="00C851E8"/>
    <w:rsid w:val="00C96ADD"/>
    <w:rsid w:val="00CA2445"/>
    <w:rsid w:val="00CA366F"/>
    <w:rsid w:val="00CA3B5E"/>
    <w:rsid w:val="00CA50ED"/>
    <w:rsid w:val="00CA66DC"/>
    <w:rsid w:val="00CB137C"/>
    <w:rsid w:val="00CB15EB"/>
    <w:rsid w:val="00CB1D4A"/>
    <w:rsid w:val="00CB3E2A"/>
    <w:rsid w:val="00CB564C"/>
    <w:rsid w:val="00CB7318"/>
    <w:rsid w:val="00CC1204"/>
    <w:rsid w:val="00CC2265"/>
    <w:rsid w:val="00CC5725"/>
    <w:rsid w:val="00CC63AD"/>
    <w:rsid w:val="00CD0142"/>
    <w:rsid w:val="00CD0B26"/>
    <w:rsid w:val="00CD2650"/>
    <w:rsid w:val="00CD7DE5"/>
    <w:rsid w:val="00CE152C"/>
    <w:rsid w:val="00CE184F"/>
    <w:rsid w:val="00CE4499"/>
    <w:rsid w:val="00CE77F4"/>
    <w:rsid w:val="00CF07CF"/>
    <w:rsid w:val="00CF2768"/>
    <w:rsid w:val="00CF2A6A"/>
    <w:rsid w:val="00CF38D8"/>
    <w:rsid w:val="00CF7C0F"/>
    <w:rsid w:val="00D003A5"/>
    <w:rsid w:val="00D00B31"/>
    <w:rsid w:val="00D0154C"/>
    <w:rsid w:val="00D01E88"/>
    <w:rsid w:val="00D02C13"/>
    <w:rsid w:val="00D04F57"/>
    <w:rsid w:val="00D05288"/>
    <w:rsid w:val="00D22955"/>
    <w:rsid w:val="00D22DDA"/>
    <w:rsid w:val="00D23604"/>
    <w:rsid w:val="00D2681D"/>
    <w:rsid w:val="00D3057C"/>
    <w:rsid w:val="00D31757"/>
    <w:rsid w:val="00D334FB"/>
    <w:rsid w:val="00D36031"/>
    <w:rsid w:val="00D3711B"/>
    <w:rsid w:val="00D3765A"/>
    <w:rsid w:val="00D37755"/>
    <w:rsid w:val="00D37E55"/>
    <w:rsid w:val="00D42AF3"/>
    <w:rsid w:val="00D43E33"/>
    <w:rsid w:val="00D4585D"/>
    <w:rsid w:val="00D4627E"/>
    <w:rsid w:val="00D46DFC"/>
    <w:rsid w:val="00D5242A"/>
    <w:rsid w:val="00D53385"/>
    <w:rsid w:val="00D55AC9"/>
    <w:rsid w:val="00D57360"/>
    <w:rsid w:val="00D5753D"/>
    <w:rsid w:val="00D71DA4"/>
    <w:rsid w:val="00D73536"/>
    <w:rsid w:val="00D76F3F"/>
    <w:rsid w:val="00D775C8"/>
    <w:rsid w:val="00D775F2"/>
    <w:rsid w:val="00D800FB"/>
    <w:rsid w:val="00D8019F"/>
    <w:rsid w:val="00D8207F"/>
    <w:rsid w:val="00D83252"/>
    <w:rsid w:val="00D90450"/>
    <w:rsid w:val="00D92AD4"/>
    <w:rsid w:val="00D96317"/>
    <w:rsid w:val="00DA2301"/>
    <w:rsid w:val="00DA50A4"/>
    <w:rsid w:val="00DA5FC6"/>
    <w:rsid w:val="00DB140F"/>
    <w:rsid w:val="00DB2739"/>
    <w:rsid w:val="00DB2CDF"/>
    <w:rsid w:val="00DB323D"/>
    <w:rsid w:val="00DB6645"/>
    <w:rsid w:val="00DC1867"/>
    <w:rsid w:val="00DC1DBD"/>
    <w:rsid w:val="00DC1EA6"/>
    <w:rsid w:val="00DC2D5A"/>
    <w:rsid w:val="00DC716E"/>
    <w:rsid w:val="00DD06D3"/>
    <w:rsid w:val="00DD16D5"/>
    <w:rsid w:val="00DD4549"/>
    <w:rsid w:val="00DD77F2"/>
    <w:rsid w:val="00DE0530"/>
    <w:rsid w:val="00DE5644"/>
    <w:rsid w:val="00DE60B7"/>
    <w:rsid w:val="00DE6379"/>
    <w:rsid w:val="00DE721D"/>
    <w:rsid w:val="00DF43B8"/>
    <w:rsid w:val="00DF716C"/>
    <w:rsid w:val="00DF785F"/>
    <w:rsid w:val="00DF7D5B"/>
    <w:rsid w:val="00E00AF8"/>
    <w:rsid w:val="00E0224B"/>
    <w:rsid w:val="00E047FF"/>
    <w:rsid w:val="00E111B3"/>
    <w:rsid w:val="00E1182B"/>
    <w:rsid w:val="00E11E86"/>
    <w:rsid w:val="00E12AC5"/>
    <w:rsid w:val="00E12C9B"/>
    <w:rsid w:val="00E1307D"/>
    <w:rsid w:val="00E15EBD"/>
    <w:rsid w:val="00E2038B"/>
    <w:rsid w:val="00E2149F"/>
    <w:rsid w:val="00E25E8A"/>
    <w:rsid w:val="00E27B87"/>
    <w:rsid w:val="00E33DCF"/>
    <w:rsid w:val="00E345B0"/>
    <w:rsid w:val="00E367F4"/>
    <w:rsid w:val="00E43AE3"/>
    <w:rsid w:val="00E44A06"/>
    <w:rsid w:val="00E47A8E"/>
    <w:rsid w:val="00E5044D"/>
    <w:rsid w:val="00E50503"/>
    <w:rsid w:val="00E55ABB"/>
    <w:rsid w:val="00E63FC8"/>
    <w:rsid w:val="00E70B41"/>
    <w:rsid w:val="00E7146E"/>
    <w:rsid w:val="00E733BA"/>
    <w:rsid w:val="00E7559A"/>
    <w:rsid w:val="00E7634F"/>
    <w:rsid w:val="00E76D70"/>
    <w:rsid w:val="00E76EEC"/>
    <w:rsid w:val="00E835C9"/>
    <w:rsid w:val="00E838D7"/>
    <w:rsid w:val="00E83FBB"/>
    <w:rsid w:val="00E85061"/>
    <w:rsid w:val="00E8666C"/>
    <w:rsid w:val="00E86EA2"/>
    <w:rsid w:val="00E91F5F"/>
    <w:rsid w:val="00EA095F"/>
    <w:rsid w:val="00EA4D0A"/>
    <w:rsid w:val="00EB08CC"/>
    <w:rsid w:val="00EB33FB"/>
    <w:rsid w:val="00EB3CDD"/>
    <w:rsid w:val="00EB5595"/>
    <w:rsid w:val="00EB787B"/>
    <w:rsid w:val="00EC04C1"/>
    <w:rsid w:val="00EC152B"/>
    <w:rsid w:val="00EC2E03"/>
    <w:rsid w:val="00EC40D3"/>
    <w:rsid w:val="00EC5578"/>
    <w:rsid w:val="00EC6858"/>
    <w:rsid w:val="00EC747F"/>
    <w:rsid w:val="00EC7684"/>
    <w:rsid w:val="00ED2D8B"/>
    <w:rsid w:val="00ED4AA3"/>
    <w:rsid w:val="00ED5F4E"/>
    <w:rsid w:val="00EE2344"/>
    <w:rsid w:val="00EE4D2C"/>
    <w:rsid w:val="00EE503A"/>
    <w:rsid w:val="00EE55C0"/>
    <w:rsid w:val="00EE6575"/>
    <w:rsid w:val="00EE7D2C"/>
    <w:rsid w:val="00EF0278"/>
    <w:rsid w:val="00EF49AE"/>
    <w:rsid w:val="00EF7D59"/>
    <w:rsid w:val="00F03090"/>
    <w:rsid w:val="00F03B1E"/>
    <w:rsid w:val="00F03DAD"/>
    <w:rsid w:val="00F06A67"/>
    <w:rsid w:val="00F078F8"/>
    <w:rsid w:val="00F10A4D"/>
    <w:rsid w:val="00F11D4F"/>
    <w:rsid w:val="00F12089"/>
    <w:rsid w:val="00F127AB"/>
    <w:rsid w:val="00F12833"/>
    <w:rsid w:val="00F12BE1"/>
    <w:rsid w:val="00F12F82"/>
    <w:rsid w:val="00F146CB"/>
    <w:rsid w:val="00F148CF"/>
    <w:rsid w:val="00F15C72"/>
    <w:rsid w:val="00F170A2"/>
    <w:rsid w:val="00F217E4"/>
    <w:rsid w:val="00F25831"/>
    <w:rsid w:val="00F27FE9"/>
    <w:rsid w:val="00F40093"/>
    <w:rsid w:val="00F42028"/>
    <w:rsid w:val="00F435C6"/>
    <w:rsid w:val="00F4750C"/>
    <w:rsid w:val="00F5279A"/>
    <w:rsid w:val="00F55DC1"/>
    <w:rsid w:val="00F606FE"/>
    <w:rsid w:val="00F62428"/>
    <w:rsid w:val="00F62682"/>
    <w:rsid w:val="00F6468C"/>
    <w:rsid w:val="00F66024"/>
    <w:rsid w:val="00F663AB"/>
    <w:rsid w:val="00F6706C"/>
    <w:rsid w:val="00F679A7"/>
    <w:rsid w:val="00F71374"/>
    <w:rsid w:val="00F77178"/>
    <w:rsid w:val="00F873E6"/>
    <w:rsid w:val="00F90F13"/>
    <w:rsid w:val="00F90F2F"/>
    <w:rsid w:val="00F9503A"/>
    <w:rsid w:val="00F9539D"/>
    <w:rsid w:val="00F96044"/>
    <w:rsid w:val="00F96BCB"/>
    <w:rsid w:val="00FA0E73"/>
    <w:rsid w:val="00FA1C0B"/>
    <w:rsid w:val="00FA328B"/>
    <w:rsid w:val="00FA3354"/>
    <w:rsid w:val="00FA3AB0"/>
    <w:rsid w:val="00FA64A9"/>
    <w:rsid w:val="00FA6A7E"/>
    <w:rsid w:val="00FA7174"/>
    <w:rsid w:val="00FA7CA3"/>
    <w:rsid w:val="00FB09FA"/>
    <w:rsid w:val="00FB0CF9"/>
    <w:rsid w:val="00FB2101"/>
    <w:rsid w:val="00FB2453"/>
    <w:rsid w:val="00FB3525"/>
    <w:rsid w:val="00FB51CF"/>
    <w:rsid w:val="00FB7E6D"/>
    <w:rsid w:val="00FC0A88"/>
    <w:rsid w:val="00FC3B8C"/>
    <w:rsid w:val="00FC7B37"/>
    <w:rsid w:val="00FD0E3D"/>
    <w:rsid w:val="00FD1413"/>
    <w:rsid w:val="00FD1C13"/>
    <w:rsid w:val="00FD1F0B"/>
    <w:rsid w:val="00FD2E3F"/>
    <w:rsid w:val="00FD7CBE"/>
    <w:rsid w:val="00FE3B80"/>
    <w:rsid w:val="00FE601F"/>
    <w:rsid w:val="00FF2313"/>
    <w:rsid w:val="00FF2AE3"/>
    <w:rsid w:val="00FF2C8F"/>
    <w:rsid w:val="00FF399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D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6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2768"/>
    <w:rPr>
      <w:sz w:val="16"/>
      <w:szCs w:val="16"/>
    </w:rPr>
  </w:style>
  <w:style w:type="paragraph" w:styleId="CommentText">
    <w:name w:val="annotation text"/>
    <w:basedOn w:val="Normal"/>
    <w:semiHidden/>
    <w:rsid w:val="00CF276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2768"/>
    <w:rPr>
      <w:b/>
      <w:bCs/>
    </w:rPr>
  </w:style>
  <w:style w:type="paragraph" w:styleId="Footer">
    <w:name w:val="footer"/>
    <w:basedOn w:val="Normal"/>
    <w:rsid w:val="00545F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5FD5"/>
  </w:style>
  <w:style w:type="paragraph" w:styleId="Header">
    <w:name w:val="header"/>
    <w:basedOn w:val="Normal"/>
    <w:link w:val="HeaderChar"/>
    <w:uiPriority w:val="99"/>
    <w:rsid w:val="00A015DD"/>
    <w:pPr>
      <w:tabs>
        <w:tab w:val="center" w:pos="4153"/>
        <w:tab w:val="right" w:pos="8306"/>
      </w:tabs>
    </w:p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rsid w:val="00D7353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HeaderChar">
    <w:name w:val="Header Char"/>
    <w:link w:val="Header"/>
    <w:uiPriority w:val="99"/>
    <w:rsid w:val="002A3381"/>
    <w:rPr>
      <w:sz w:val="24"/>
    </w:rPr>
  </w:style>
  <w:style w:type="paragraph" w:customStyle="1" w:styleId="CharCharChar">
    <w:name w:val="Char Char Char"/>
    <w:basedOn w:val="Normal"/>
    <w:rsid w:val="00AD7CD7"/>
    <w:rPr>
      <w:rFonts w:ascii="Arial" w:hAnsi="Arial" w:cs="Arial"/>
      <w:sz w:val="22"/>
      <w:szCs w:val="22"/>
      <w:lang w:eastAsia="en-US"/>
    </w:rPr>
  </w:style>
  <w:style w:type="paragraph" w:customStyle="1" w:styleId="NumberLevel1">
    <w:name w:val="Number Level 1"/>
    <w:basedOn w:val="Normal"/>
    <w:link w:val="NumberLevel1Char"/>
    <w:rsid w:val="00B27B62"/>
    <w:pPr>
      <w:numPr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B27B62"/>
    <w:pPr>
      <w:numPr>
        <w:ilvl w:val="1"/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B27B62"/>
    <w:pPr>
      <w:numPr>
        <w:ilvl w:val="2"/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B27B62"/>
    <w:pPr>
      <w:numPr>
        <w:ilvl w:val="3"/>
        <w:numId w:val="8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B27B62"/>
    <w:pPr>
      <w:numPr>
        <w:ilvl w:val="4"/>
        <w:numId w:val="8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B27B62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B27B62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B27B62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B27B62"/>
    <w:pPr>
      <w:numPr>
        <w:ilvl w:val="8"/>
      </w:numPr>
    </w:pPr>
  </w:style>
  <w:style w:type="character" w:customStyle="1" w:styleId="NumberLevel1Char">
    <w:name w:val="Number Level 1 Char"/>
    <w:link w:val="NumberLevel1"/>
    <w:rsid w:val="00B27B62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D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6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2768"/>
    <w:rPr>
      <w:sz w:val="16"/>
      <w:szCs w:val="16"/>
    </w:rPr>
  </w:style>
  <w:style w:type="paragraph" w:styleId="CommentText">
    <w:name w:val="annotation text"/>
    <w:basedOn w:val="Normal"/>
    <w:semiHidden/>
    <w:rsid w:val="00CF276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2768"/>
    <w:rPr>
      <w:b/>
      <w:bCs/>
    </w:rPr>
  </w:style>
  <w:style w:type="paragraph" w:styleId="Footer">
    <w:name w:val="footer"/>
    <w:basedOn w:val="Normal"/>
    <w:rsid w:val="00545F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5FD5"/>
  </w:style>
  <w:style w:type="paragraph" w:styleId="Header">
    <w:name w:val="header"/>
    <w:basedOn w:val="Normal"/>
    <w:link w:val="HeaderChar"/>
    <w:uiPriority w:val="99"/>
    <w:rsid w:val="00A015DD"/>
    <w:pPr>
      <w:tabs>
        <w:tab w:val="center" w:pos="4153"/>
        <w:tab w:val="right" w:pos="8306"/>
      </w:tabs>
    </w:p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rsid w:val="00D7353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HeaderChar">
    <w:name w:val="Header Char"/>
    <w:link w:val="Header"/>
    <w:uiPriority w:val="99"/>
    <w:rsid w:val="002A3381"/>
    <w:rPr>
      <w:sz w:val="24"/>
    </w:rPr>
  </w:style>
  <w:style w:type="paragraph" w:customStyle="1" w:styleId="CharCharChar">
    <w:name w:val="Char Char Char"/>
    <w:basedOn w:val="Normal"/>
    <w:rsid w:val="00AD7CD7"/>
    <w:rPr>
      <w:rFonts w:ascii="Arial" w:hAnsi="Arial" w:cs="Arial"/>
      <w:sz w:val="22"/>
      <w:szCs w:val="22"/>
      <w:lang w:eastAsia="en-US"/>
    </w:rPr>
  </w:style>
  <w:style w:type="paragraph" w:customStyle="1" w:styleId="NumberLevel1">
    <w:name w:val="Number Level 1"/>
    <w:basedOn w:val="Normal"/>
    <w:link w:val="NumberLevel1Char"/>
    <w:rsid w:val="00B27B62"/>
    <w:pPr>
      <w:numPr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B27B62"/>
    <w:pPr>
      <w:numPr>
        <w:ilvl w:val="1"/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B27B62"/>
    <w:pPr>
      <w:numPr>
        <w:ilvl w:val="2"/>
        <w:numId w:val="8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B27B62"/>
    <w:pPr>
      <w:numPr>
        <w:ilvl w:val="3"/>
        <w:numId w:val="8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B27B62"/>
    <w:pPr>
      <w:numPr>
        <w:ilvl w:val="4"/>
        <w:numId w:val="8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B27B62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B27B62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B27B62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B27B62"/>
    <w:pPr>
      <w:numPr>
        <w:ilvl w:val="8"/>
      </w:numPr>
    </w:pPr>
  </w:style>
  <w:style w:type="character" w:customStyle="1" w:styleId="NumberLevel1Char">
    <w:name w:val="Number Level 1 Char"/>
    <w:link w:val="NumberLevel1"/>
    <w:rsid w:val="00B27B62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184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296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DHA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Chick-Nair, Deepa</dc:creator>
  <cp:lastModifiedBy>KWONG, Jady</cp:lastModifiedBy>
  <cp:revision>2</cp:revision>
  <cp:lastPrinted>2017-09-18T03:28:00Z</cp:lastPrinted>
  <dcterms:created xsi:type="dcterms:W3CDTF">2017-09-22T02:34:00Z</dcterms:created>
  <dcterms:modified xsi:type="dcterms:W3CDTF">2017-09-22T02:34:00Z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AGS CancelDocNew">
    <vt:lpwstr>TRUE</vt:lpwstr>
  </property>
</Properties>
</file>