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Default="00283502" w:rsidP="00674B00">
      <w:r>
        <w:rPr>
          <w:noProof/>
        </w:rPr>
        <w:drawing>
          <wp:inline distT="0" distB="0" distL="0" distR="0">
            <wp:extent cx="14224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68" w:rsidRPr="00197331" w:rsidRDefault="00427CAC" w:rsidP="005E2C7C">
      <w:pPr>
        <w:pStyle w:val="Title"/>
        <w:rPr>
          <w:sz w:val="28"/>
          <w:szCs w:val="28"/>
        </w:rPr>
      </w:pPr>
      <w:r>
        <w:rPr>
          <w:sz w:val="28"/>
          <w:szCs w:val="28"/>
        </w:rPr>
        <w:t>PB</w:t>
      </w:r>
      <w:r w:rsidR="0040480D">
        <w:rPr>
          <w:sz w:val="28"/>
          <w:szCs w:val="28"/>
        </w:rPr>
        <w:t> </w:t>
      </w:r>
      <w:r w:rsidR="00532902">
        <w:rPr>
          <w:sz w:val="28"/>
          <w:szCs w:val="28"/>
        </w:rPr>
        <w:t>82</w:t>
      </w:r>
      <w:r w:rsidR="00DD6CC8" w:rsidRPr="007807C7">
        <w:rPr>
          <w:sz w:val="28"/>
          <w:szCs w:val="28"/>
        </w:rPr>
        <w:t> </w:t>
      </w:r>
      <w:r w:rsidRPr="007807C7">
        <w:rPr>
          <w:sz w:val="28"/>
          <w:szCs w:val="28"/>
        </w:rPr>
        <w:t>o</w:t>
      </w:r>
      <w:r>
        <w:rPr>
          <w:sz w:val="28"/>
          <w:szCs w:val="28"/>
        </w:rPr>
        <w:t>f</w:t>
      </w:r>
      <w:r w:rsidR="00D87EDE">
        <w:rPr>
          <w:sz w:val="28"/>
          <w:szCs w:val="28"/>
        </w:rPr>
        <w:t> </w:t>
      </w:r>
      <w:r w:rsidR="0040480D">
        <w:rPr>
          <w:sz w:val="28"/>
          <w:szCs w:val="28"/>
        </w:rPr>
        <w:t>201</w:t>
      </w:r>
      <w:r w:rsidR="00D2631F">
        <w:rPr>
          <w:sz w:val="28"/>
          <w:szCs w:val="28"/>
        </w:rPr>
        <w:t>7</w:t>
      </w:r>
    </w:p>
    <w:p w:rsidR="009B4268" w:rsidRPr="003E22A7" w:rsidRDefault="009E4BCA" w:rsidP="00724BD1">
      <w:pPr>
        <w:pStyle w:val="Title"/>
      </w:pPr>
      <w:bookmarkStart w:id="0" w:name="_GoBack"/>
      <w:r>
        <w:t>National Health</w:t>
      </w:r>
      <w:r w:rsidR="00C919D8">
        <w:t xml:space="preserve"> </w:t>
      </w:r>
      <w:r w:rsidR="00724BD1">
        <w:t>(Pharmaceutical Benefits Scheme</w:t>
      </w:r>
      <w:r w:rsidR="00EB3A4A">
        <w:t xml:space="preserve">- </w:t>
      </w:r>
      <w:r w:rsidR="00724BD1">
        <w:t>c</w:t>
      </w:r>
      <w:r w:rsidR="00724BD1" w:rsidRPr="00724BD1">
        <w:t>lass of pharmaceutical</w:t>
      </w:r>
      <w:r w:rsidR="00724BD1">
        <w:t xml:space="preserve"> items - </w:t>
      </w:r>
      <w:r w:rsidR="00056380">
        <w:t xml:space="preserve">Subsection </w:t>
      </w:r>
      <w:proofErr w:type="gramStart"/>
      <w:r w:rsidR="00056380">
        <w:t>99ACA</w:t>
      </w:r>
      <w:r w:rsidR="00724BD1">
        <w:t>(</w:t>
      </w:r>
      <w:proofErr w:type="gramEnd"/>
      <w:r w:rsidR="00724BD1">
        <w:t>3)</w:t>
      </w:r>
      <w:r w:rsidR="00525BB5">
        <w:t xml:space="preserve">) </w:t>
      </w:r>
      <w:r w:rsidR="00056380">
        <w:t xml:space="preserve">Determination </w:t>
      </w:r>
      <w:r w:rsidR="00AF721B">
        <w:t>2017</w:t>
      </w:r>
    </w:p>
    <w:bookmarkEnd w:id="0"/>
    <w:p w:rsidR="003E22A7" w:rsidRDefault="003E22A7" w:rsidP="003E22A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National Health Act</w:t>
      </w:r>
      <w:r>
        <w:t> </w:t>
      </w:r>
      <w:r>
        <w:rPr>
          <w:rFonts w:ascii="Arial" w:hAnsi="Arial" w:cs="Arial"/>
          <w:i/>
          <w:sz w:val="28"/>
          <w:szCs w:val="28"/>
          <w:lang w:val="en-US"/>
        </w:rPr>
        <w:t>1953</w:t>
      </w:r>
    </w:p>
    <w:p w:rsidR="00A02C4B" w:rsidRPr="00A02C4B" w:rsidRDefault="005C0C68">
      <w:pPr>
        <w:spacing w:before="360"/>
        <w:jc w:val="both"/>
      </w:pPr>
      <w:r>
        <w:t xml:space="preserve">I, </w:t>
      </w:r>
      <w:r w:rsidR="00B15CE0">
        <w:t>LISA LA RANCE</w:t>
      </w:r>
      <w:r w:rsidR="00AF721B">
        <w:t xml:space="preserve">, </w:t>
      </w:r>
      <w:r w:rsidR="00C268CB">
        <w:t>Assistant Secretary</w:t>
      </w:r>
      <w:r w:rsidR="00A02C4B">
        <w:t>,</w:t>
      </w:r>
      <w:r w:rsidR="00427CAC">
        <w:t xml:space="preserve"> </w:t>
      </w:r>
      <w:r w:rsidR="00056380">
        <w:t>Pricing</w:t>
      </w:r>
      <w:r w:rsidR="00EC53C5">
        <w:t xml:space="preserve"> and Policy</w:t>
      </w:r>
      <w:r w:rsidR="00056380">
        <w:t xml:space="preserve"> </w:t>
      </w:r>
      <w:r w:rsidR="00F24A65">
        <w:t xml:space="preserve">Branch, </w:t>
      </w:r>
      <w:r w:rsidR="00056380">
        <w:t>Technology Assessment and Access</w:t>
      </w:r>
      <w:r w:rsidR="00C268CB">
        <w:t xml:space="preserve"> Division,</w:t>
      </w:r>
      <w:r w:rsidR="00427CAC">
        <w:t xml:space="preserve"> Department of Health</w:t>
      </w:r>
      <w:r w:rsidR="00C268CB">
        <w:t>, delegate of the Minister for Health,</w:t>
      </w:r>
      <w:r w:rsidR="0043580A">
        <w:t xml:space="preserve"> </w:t>
      </w:r>
      <w:r w:rsidR="009B4268">
        <w:t xml:space="preserve">make </w:t>
      </w:r>
      <w:r w:rsidR="00056380">
        <w:t xml:space="preserve">this Determination </w:t>
      </w:r>
      <w:r w:rsidR="00427CAC">
        <w:t xml:space="preserve">under </w:t>
      </w:r>
      <w:r w:rsidR="00F923B4">
        <w:t>sub</w:t>
      </w:r>
      <w:r w:rsidR="000B04A5">
        <w:t>section</w:t>
      </w:r>
      <w:r w:rsidR="00F60818">
        <w:t> </w:t>
      </w:r>
      <w:r w:rsidR="00056380">
        <w:t>99ACA</w:t>
      </w:r>
      <w:r w:rsidR="00F923B4">
        <w:t>(</w:t>
      </w:r>
      <w:r w:rsidR="00056380">
        <w:t>3</w:t>
      </w:r>
      <w:r w:rsidR="00F923B4">
        <w:t xml:space="preserve">) </w:t>
      </w:r>
      <w:r w:rsidR="009B4268" w:rsidRPr="002943DE">
        <w:t xml:space="preserve">of the </w:t>
      </w:r>
      <w:r w:rsidR="00C919D8" w:rsidRPr="002943DE">
        <w:rPr>
          <w:i/>
        </w:rPr>
        <w:t>National Health</w:t>
      </w:r>
      <w:r w:rsidR="002943DE" w:rsidRPr="002943DE">
        <w:rPr>
          <w:i/>
        </w:rPr>
        <w:t xml:space="preserve"> Act</w:t>
      </w:r>
      <w:r w:rsidR="00D87EDE">
        <w:rPr>
          <w:i/>
        </w:rPr>
        <w:t> </w:t>
      </w:r>
      <w:r w:rsidR="00C919D8" w:rsidRPr="002943DE">
        <w:rPr>
          <w:i/>
        </w:rPr>
        <w:t>19</w:t>
      </w:r>
      <w:r w:rsidR="002943DE" w:rsidRPr="002943DE">
        <w:rPr>
          <w:i/>
        </w:rPr>
        <w:t>53</w:t>
      </w:r>
      <w:r w:rsidR="0035271C" w:rsidRPr="002943DE">
        <w:t>.</w:t>
      </w:r>
      <w:r w:rsidR="009D7B04" w:rsidRPr="009D7B04">
        <w:t xml:space="preserve"> </w:t>
      </w:r>
    </w:p>
    <w:p w:rsidR="00A02C4B" w:rsidRDefault="00BB7F6C">
      <w:pPr>
        <w:tabs>
          <w:tab w:val="right" w:pos="3686"/>
        </w:tabs>
        <w:spacing w:before="300" w:after="600" w:line="300" w:lineRule="exact"/>
      </w:pPr>
      <w:r>
        <w:t>Dated</w:t>
      </w:r>
      <w:r w:rsidR="006E5D70">
        <w:t xml:space="preserve"> 19</w:t>
      </w:r>
      <w:r w:rsidR="00532902">
        <w:t xml:space="preserve"> September 2017</w:t>
      </w:r>
    </w:p>
    <w:p w:rsidR="00C268CB" w:rsidRDefault="00C268CB">
      <w:pPr>
        <w:tabs>
          <w:tab w:val="right" w:pos="3686"/>
        </w:tabs>
        <w:spacing w:before="300" w:after="600" w:line="300" w:lineRule="exact"/>
      </w:pPr>
    </w:p>
    <w:p w:rsidR="00393D99" w:rsidRDefault="00393D99">
      <w:pPr>
        <w:tabs>
          <w:tab w:val="right" w:pos="3686"/>
        </w:tabs>
        <w:spacing w:before="300" w:after="600" w:line="300" w:lineRule="exact"/>
      </w:pPr>
    </w:p>
    <w:p w:rsidR="00C268CB" w:rsidRDefault="00B15CE0" w:rsidP="00C268CB">
      <w:pPr>
        <w:pBdr>
          <w:bottom w:val="single" w:sz="4" w:space="12" w:color="auto"/>
        </w:pBdr>
        <w:spacing w:line="240" w:lineRule="exact"/>
        <w:rPr>
          <w:b/>
        </w:rPr>
      </w:pPr>
      <w:r w:rsidRPr="00B15CE0">
        <w:rPr>
          <w:b/>
        </w:rPr>
        <w:t>LISA LA RANCE</w:t>
      </w:r>
    </w:p>
    <w:p w:rsidR="003B557C" w:rsidRPr="00B15CE0" w:rsidRDefault="003B557C" w:rsidP="00C268CB">
      <w:pPr>
        <w:pBdr>
          <w:bottom w:val="single" w:sz="4" w:space="12" w:color="auto"/>
        </w:pBdr>
        <w:spacing w:line="240" w:lineRule="exact"/>
        <w:rPr>
          <w:b/>
        </w:rPr>
      </w:pPr>
    </w:p>
    <w:p w:rsidR="00C268CB" w:rsidRDefault="00C268CB" w:rsidP="00C268CB">
      <w:pPr>
        <w:pBdr>
          <w:bottom w:val="single" w:sz="4" w:space="12" w:color="auto"/>
        </w:pBdr>
        <w:spacing w:line="240" w:lineRule="exact"/>
      </w:pPr>
      <w:r>
        <w:t>Assistant Secretary</w:t>
      </w:r>
    </w:p>
    <w:p w:rsidR="00056380" w:rsidRDefault="00056380" w:rsidP="00CB0B6D">
      <w:pPr>
        <w:pBdr>
          <w:bottom w:val="single" w:sz="4" w:space="12" w:color="auto"/>
        </w:pBdr>
        <w:spacing w:line="240" w:lineRule="exact"/>
      </w:pPr>
      <w:r>
        <w:t>Pricing</w:t>
      </w:r>
      <w:r w:rsidR="00EC53C5">
        <w:t xml:space="preserve"> and Policy</w:t>
      </w:r>
      <w:r>
        <w:t xml:space="preserve"> Branch</w:t>
      </w:r>
    </w:p>
    <w:p w:rsidR="00056380" w:rsidRDefault="00056380" w:rsidP="00CB0B6D">
      <w:pPr>
        <w:pBdr>
          <w:bottom w:val="single" w:sz="4" w:space="12" w:color="auto"/>
        </w:pBdr>
        <w:spacing w:line="240" w:lineRule="exact"/>
      </w:pPr>
      <w:r>
        <w:t>Technology Assessment and Access Division</w:t>
      </w:r>
    </w:p>
    <w:p w:rsidR="00CB0B6D" w:rsidRDefault="00C268CB" w:rsidP="00CB0B6D">
      <w:pPr>
        <w:pBdr>
          <w:bottom w:val="single" w:sz="4" w:space="12" w:color="auto"/>
        </w:pBdr>
        <w:spacing w:line="240" w:lineRule="exact"/>
        <w:sectPr w:rsidR="00CB0B6D" w:rsidSect="00036C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t>Department of Health</w:t>
      </w:r>
      <w:r w:rsidR="00427CAC">
        <w:t xml:space="preserve"> </w:t>
      </w:r>
    </w:p>
    <w:p w:rsidR="00CB0B6D" w:rsidRDefault="00CB0B6D" w:rsidP="00CB0B6D">
      <w:pPr>
        <w:spacing w:line="240" w:lineRule="exact"/>
      </w:pPr>
    </w:p>
    <w:p w:rsidR="00A02C4B" w:rsidRDefault="00A02C4B" w:rsidP="00196805">
      <w:pPr>
        <w:pStyle w:val="A1"/>
        <w:spacing w:before="120" w:line="240" w:lineRule="auto"/>
      </w:pPr>
      <w:r>
        <w:t>1</w:t>
      </w:r>
      <w:r>
        <w:tab/>
        <w:t xml:space="preserve">Name of </w:t>
      </w:r>
      <w:r w:rsidR="0035271C">
        <w:t>Instrument</w:t>
      </w:r>
    </w:p>
    <w:p w:rsidR="00A02C4B" w:rsidRDefault="00A02C4B" w:rsidP="00197331">
      <w:pPr>
        <w:pStyle w:val="A2"/>
        <w:numPr>
          <w:ilvl w:val="0"/>
          <w:numId w:val="4"/>
        </w:numPr>
        <w:spacing w:line="240" w:lineRule="auto"/>
        <w:ind w:left="1418" w:hanging="426"/>
      </w:pPr>
      <w:r>
        <w:t>Th</w:t>
      </w:r>
      <w:r w:rsidR="0035271C">
        <w:t xml:space="preserve">is instrument is the </w:t>
      </w:r>
      <w:r w:rsidR="009E4BCA">
        <w:rPr>
          <w:i/>
        </w:rPr>
        <w:t>National Health</w:t>
      </w:r>
      <w:r w:rsidR="00427CAC">
        <w:rPr>
          <w:i/>
        </w:rPr>
        <w:t xml:space="preserve"> (</w:t>
      </w:r>
      <w:r w:rsidR="00AF721B">
        <w:rPr>
          <w:i/>
        </w:rPr>
        <w:t>P</w:t>
      </w:r>
      <w:r w:rsidR="00E671FF">
        <w:rPr>
          <w:i/>
        </w:rPr>
        <w:t>harmaceutical Benefits Scheme</w:t>
      </w:r>
      <w:r w:rsidR="00EB3A4A">
        <w:rPr>
          <w:i/>
        </w:rPr>
        <w:t xml:space="preserve">- </w:t>
      </w:r>
      <w:r w:rsidR="00724BD1">
        <w:rPr>
          <w:i/>
        </w:rPr>
        <w:t xml:space="preserve">class of pharmaceutical items – Subsection </w:t>
      </w:r>
      <w:proofErr w:type="gramStart"/>
      <w:r w:rsidR="00724BD1">
        <w:rPr>
          <w:i/>
        </w:rPr>
        <w:t>99ACA(</w:t>
      </w:r>
      <w:proofErr w:type="gramEnd"/>
      <w:r w:rsidR="00724BD1">
        <w:rPr>
          <w:i/>
        </w:rPr>
        <w:t>3) Determination</w:t>
      </w:r>
      <w:r w:rsidR="00D87EDE">
        <w:rPr>
          <w:i/>
        </w:rPr>
        <w:t> </w:t>
      </w:r>
      <w:r w:rsidR="00427CAC">
        <w:rPr>
          <w:i/>
        </w:rPr>
        <w:t>201</w:t>
      </w:r>
      <w:r w:rsidR="00AF721B">
        <w:rPr>
          <w:i/>
        </w:rPr>
        <w:t>7</w:t>
      </w:r>
      <w:r>
        <w:t>.</w:t>
      </w:r>
    </w:p>
    <w:p w:rsidR="009B4268" w:rsidRDefault="009B4268" w:rsidP="00197331">
      <w:pPr>
        <w:numPr>
          <w:ilvl w:val="0"/>
          <w:numId w:val="4"/>
        </w:numPr>
        <w:spacing w:before="120"/>
        <w:ind w:left="1417" w:hanging="425"/>
      </w:pPr>
      <w:r>
        <w:t>This instr</w:t>
      </w:r>
      <w:r w:rsidR="00427CAC">
        <w:t xml:space="preserve">ument may also be cited as </w:t>
      </w:r>
      <w:r w:rsidR="00427CAC" w:rsidRPr="00D62B47">
        <w:t>PB</w:t>
      </w:r>
      <w:r w:rsidR="00E6143C">
        <w:t> </w:t>
      </w:r>
      <w:r w:rsidR="00532902">
        <w:t>82</w:t>
      </w:r>
      <w:r w:rsidR="00DD6CC8" w:rsidRPr="00D62B47">
        <w:t> </w:t>
      </w:r>
      <w:r w:rsidR="00427CAC" w:rsidRPr="00D62B47">
        <w:t>of</w:t>
      </w:r>
      <w:r w:rsidR="00D87EDE">
        <w:t> </w:t>
      </w:r>
      <w:r w:rsidR="0040480D">
        <w:t>201</w:t>
      </w:r>
      <w:r w:rsidR="00E47076">
        <w:t>7</w:t>
      </w:r>
      <w:r w:rsidR="005971AB">
        <w:t>.</w:t>
      </w:r>
    </w:p>
    <w:p w:rsidR="00A02C4B" w:rsidRDefault="00A02C4B" w:rsidP="00A02C4B">
      <w:pPr>
        <w:pStyle w:val="A1"/>
      </w:pPr>
      <w:r>
        <w:t>2</w:t>
      </w:r>
      <w:r>
        <w:tab/>
        <w:t>Commencement</w:t>
      </w:r>
      <w:r w:rsidR="0008263B">
        <w:t xml:space="preserve"> </w:t>
      </w:r>
    </w:p>
    <w:p w:rsidR="00A02C4B" w:rsidRDefault="00A02C4B" w:rsidP="00B15CE0">
      <w:pPr>
        <w:pStyle w:val="A2"/>
        <w:spacing w:line="240" w:lineRule="auto"/>
      </w:pPr>
      <w:r>
        <w:tab/>
      </w:r>
      <w:r w:rsidR="00B15CE0">
        <w:tab/>
      </w:r>
      <w:r>
        <w:t>Th</w:t>
      </w:r>
      <w:r w:rsidR="0035271C">
        <w:t>is instrument</w:t>
      </w:r>
      <w:r>
        <w:t xml:space="preserve"> commence</w:t>
      </w:r>
      <w:r w:rsidR="0035271C">
        <w:t>s</w:t>
      </w:r>
      <w:r>
        <w:t xml:space="preserve"> on</w:t>
      </w:r>
      <w:r w:rsidR="00515062">
        <w:t xml:space="preserve"> </w:t>
      </w:r>
      <w:r w:rsidR="00531C1E">
        <w:t>the date of registration on the Federal Register of Legislation</w:t>
      </w:r>
      <w:r w:rsidR="00C268CB">
        <w:t>.</w:t>
      </w:r>
    </w:p>
    <w:p w:rsidR="00B15CE0" w:rsidRDefault="00BE06E8" w:rsidP="00566280">
      <w:pPr>
        <w:pStyle w:val="A1"/>
      </w:pPr>
      <w:r>
        <w:t>3</w:t>
      </w:r>
      <w:r>
        <w:tab/>
      </w:r>
      <w:r w:rsidR="00B15CE0">
        <w:t xml:space="preserve">Revocation </w:t>
      </w:r>
    </w:p>
    <w:p w:rsidR="00B15CE0" w:rsidRPr="00B15CE0" w:rsidRDefault="00B15CE0" w:rsidP="00B15CE0">
      <w:pPr>
        <w:ind w:left="993"/>
      </w:pPr>
      <w:r>
        <w:t xml:space="preserve">The </w:t>
      </w:r>
      <w:r w:rsidRPr="00F81829">
        <w:rPr>
          <w:i/>
        </w:rPr>
        <w:t xml:space="preserve">Determination under subsection </w:t>
      </w:r>
      <w:proofErr w:type="gramStart"/>
      <w:r w:rsidRPr="00F81829">
        <w:rPr>
          <w:i/>
        </w:rPr>
        <w:t>99ACA(</w:t>
      </w:r>
      <w:proofErr w:type="gramEnd"/>
      <w:r w:rsidRPr="00F81829">
        <w:rPr>
          <w:i/>
        </w:rPr>
        <w:t xml:space="preserve">3) of the National Health Act 1953 </w:t>
      </w:r>
      <w:r w:rsidRPr="00F81829">
        <w:t>(PB 59 of 2007)</w:t>
      </w:r>
      <w:r>
        <w:t xml:space="preserve"> is revoked. </w:t>
      </w:r>
    </w:p>
    <w:p w:rsidR="00BE06E8" w:rsidRDefault="00B15CE0" w:rsidP="00566280">
      <w:pPr>
        <w:pStyle w:val="A1"/>
      </w:pPr>
      <w:r>
        <w:t>4</w:t>
      </w:r>
      <w:r>
        <w:tab/>
      </w:r>
      <w:r w:rsidR="00BE06E8">
        <w:t>Authority</w:t>
      </w:r>
    </w:p>
    <w:p w:rsidR="00BE06E8" w:rsidRDefault="00531C1E" w:rsidP="00531C1E">
      <w:pPr>
        <w:pStyle w:val="A2"/>
        <w:spacing w:line="240" w:lineRule="auto"/>
        <w:rPr>
          <w:i/>
        </w:rPr>
      </w:pPr>
      <w:r>
        <w:tab/>
      </w:r>
      <w:r>
        <w:tab/>
      </w:r>
      <w:r w:rsidR="00BE06E8">
        <w:t xml:space="preserve">This </w:t>
      </w:r>
      <w:r w:rsidR="00CA726B">
        <w:t xml:space="preserve">Determination </w:t>
      </w:r>
      <w:r w:rsidR="00BE06E8">
        <w:t xml:space="preserve">is made under subsection </w:t>
      </w:r>
      <w:r w:rsidR="00CA726B">
        <w:t>99ACA (3)</w:t>
      </w:r>
      <w:r w:rsidR="00BE06E8">
        <w:t xml:space="preserve"> of the </w:t>
      </w:r>
      <w:r w:rsidR="00BE06E8">
        <w:rPr>
          <w:i/>
        </w:rPr>
        <w:t>National Health Act 1953.</w:t>
      </w:r>
    </w:p>
    <w:p w:rsidR="00324B05" w:rsidRPr="00DC58BB" w:rsidRDefault="00B15CE0" w:rsidP="00324B05">
      <w:pPr>
        <w:pStyle w:val="A1"/>
        <w:rPr>
          <w:b w:val="0"/>
        </w:rPr>
      </w:pPr>
      <w:r>
        <w:t>5</w:t>
      </w:r>
      <w:r w:rsidR="00500478">
        <w:tab/>
      </w:r>
      <w:r w:rsidR="00324B05" w:rsidRPr="00DC58BB">
        <w:t>Definitions</w:t>
      </w:r>
    </w:p>
    <w:p w:rsidR="00324B05" w:rsidRDefault="00324B05" w:rsidP="00324B05"/>
    <w:p w:rsidR="00324B05" w:rsidRDefault="00324B05" w:rsidP="00AF721B">
      <w:pPr>
        <w:ind w:left="993"/>
      </w:pPr>
      <w:r>
        <w:t>In th</w:t>
      </w:r>
      <w:r w:rsidR="00893EC9">
        <w:t>i</w:t>
      </w:r>
      <w:r>
        <w:t xml:space="preserve">s </w:t>
      </w:r>
      <w:r w:rsidR="00724BD1">
        <w:t>Determination</w:t>
      </w:r>
      <w:r>
        <w:t>:</w:t>
      </w:r>
    </w:p>
    <w:p w:rsidR="00324B05" w:rsidRDefault="00324B05" w:rsidP="00566280">
      <w:pPr>
        <w:ind w:left="992"/>
      </w:pPr>
    </w:p>
    <w:p w:rsidR="00724BD1" w:rsidRDefault="00724BD1" w:rsidP="00566280">
      <w:pPr>
        <w:pStyle w:val="A2"/>
        <w:spacing w:before="0"/>
        <w:ind w:left="992" w:firstLine="0"/>
      </w:pPr>
      <w:r>
        <w:rPr>
          <w:b/>
          <w:i/>
        </w:rPr>
        <w:t xml:space="preserve">Administrative price reduction </w:t>
      </w:r>
      <w:r>
        <w:t xml:space="preserve">means a non-statutory price reduction that has been agreed under section </w:t>
      </w:r>
      <w:r w:rsidR="00EB3A4A">
        <w:t xml:space="preserve">85AD </w:t>
      </w:r>
      <w:r>
        <w:t>of the Act</w:t>
      </w:r>
      <w:r w:rsidR="00EB3A4A">
        <w:t xml:space="preserve">. </w:t>
      </w:r>
    </w:p>
    <w:p w:rsidR="00724BD1" w:rsidRDefault="00724BD1" w:rsidP="00566280">
      <w:pPr>
        <w:pStyle w:val="A2"/>
        <w:spacing w:before="0"/>
        <w:ind w:left="992" w:firstLine="0"/>
        <w:rPr>
          <w:b/>
          <w:i/>
        </w:rPr>
      </w:pPr>
    </w:p>
    <w:p w:rsidR="00324B05" w:rsidRPr="0091422B" w:rsidRDefault="00B15CE0" w:rsidP="00B15CE0">
      <w:pPr>
        <w:tabs>
          <w:tab w:val="left" w:pos="993"/>
        </w:tabs>
        <w:ind w:left="992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324B05" w:rsidRPr="0091422B">
        <w:rPr>
          <w:i/>
          <w:sz w:val="20"/>
          <w:szCs w:val="20"/>
        </w:rPr>
        <w:t>Note:</w:t>
      </w:r>
      <w:r w:rsidR="00324B05" w:rsidRPr="0091422B">
        <w:rPr>
          <w:sz w:val="20"/>
          <w:szCs w:val="20"/>
        </w:rPr>
        <w:t xml:space="preserve"> Terms used in this </w:t>
      </w:r>
      <w:r w:rsidR="00724BD1">
        <w:rPr>
          <w:sz w:val="20"/>
          <w:szCs w:val="20"/>
        </w:rPr>
        <w:t>Determination</w:t>
      </w:r>
      <w:r w:rsidR="00324B05" w:rsidRPr="0091422B">
        <w:rPr>
          <w:sz w:val="20"/>
          <w:szCs w:val="20"/>
        </w:rPr>
        <w:t xml:space="preserve"> have the same meaning as in the Act – see section 13 of the </w:t>
      </w:r>
      <w:r w:rsidR="00324B05" w:rsidRPr="0091422B">
        <w:rPr>
          <w:i/>
          <w:sz w:val="20"/>
          <w:szCs w:val="20"/>
        </w:rPr>
        <w:t>Legislati</w:t>
      </w:r>
      <w:r w:rsidR="00CA4310" w:rsidRPr="0091422B">
        <w:rPr>
          <w:i/>
          <w:sz w:val="20"/>
          <w:szCs w:val="20"/>
        </w:rPr>
        <w:t xml:space="preserve">on </w:t>
      </w:r>
      <w:r w:rsidR="00324B05" w:rsidRPr="0091422B">
        <w:rPr>
          <w:i/>
          <w:sz w:val="20"/>
          <w:szCs w:val="20"/>
        </w:rPr>
        <w:t>Act 2003</w:t>
      </w:r>
      <w:r w:rsidR="00324B05" w:rsidRPr="0091422B">
        <w:rPr>
          <w:sz w:val="20"/>
          <w:szCs w:val="20"/>
        </w:rPr>
        <w:t>. These terms include:</w:t>
      </w:r>
    </w:p>
    <w:p w:rsidR="006840BB" w:rsidRPr="0091422B" w:rsidRDefault="00724BD1" w:rsidP="006840BB">
      <w:pPr>
        <w:numPr>
          <w:ilvl w:val="0"/>
          <w:numId w:val="23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pharmaceutical item</w:t>
      </w:r>
    </w:p>
    <w:p w:rsidR="00324B05" w:rsidRPr="00724BD1" w:rsidRDefault="00EB3A4A" w:rsidP="00724BD1">
      <w:pPr>
        <w:numPr>
          <w:ilvl w:val="0"/>
          <w:numId w:val="23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listed component </w:t>
      </w:r>
      <w:r w:rsidR="00724BD1" w:rsidRPr="00724BD1">
        <w:rPr>
          <w:sz w:val="20"/>
          <w:szCs w:val="20"/>
        </w:rPr>
        <w:t>drug</w:t>
      </w:r>
    </w:p>
    <w:p w:rsidR="00724BD1" w:rsidRPr="00724BD1" w:rsidRDefault="00724BD1" w:rsidP="00724BD1">
      <w:pPr>
        <w:numPr>
          <w:ilvl w:val="0"/>
          <w:numId w:val="23"/>
        </w:numPr>
        <w:tabs>
          <w:tab w:val="left" w:pos="993"/>
        </w:tabs>
        <w:rPr>
          <w:sz w:val="20"/>
          <w:szCs w:val="20"/>
        </w:rPr>
      </w:pPr>
      <w:r w:rsidRPr="00724BD1">
        <w:rPr>
          <w:sz w:val="20"/>
          <w:szCs w:val="20"/>
        </w:rPr>
        <w:t>manner of administration</w:t>
      </w:r>
    </w:p>
    <w:p w:rsidR="00324B05" w:rsidRPr="00B15CE0" w:rsidRDefault="00204540" w:rsidP="00B15CE0">
      <w:pPr>
        <w:pStyle w:val="A1"/>
      </w:pPr>
      <w:r w:rsidRPr="00B15CE0">
        <w:t>6</w:t>
      </w:r>
      <w:r w:rsidR="00BF728B" w:rsidRPr="00B15CE0">
        <w:tab/>
      </w:r>
      <w:r w:rsidR="00EB3A4A" w:rsidRPr="00B15CE0">
        <w:t>Class of p</w:t>
      </w:r>
      <w:r w:rsidR="00BF728B" w:rsidRPr="00B15CE0">
        <w:t>harmaceutical items</w:t>
      </w:r>
      <w:r w:rsidR="00324B05" w:rsidRPr="00B15CE0">
        <w:t xml:space="preserve"> </w:t>
      </w:r>
    </w:p>
    <w:p w:rsidR="00BF728B" w:rsidRDefault="00BF728B" w:rsidP="00D757F4">
      <w:pPr>
        <w:ind w:left="993"/>
      </w:pPr>
    </w:p>
    <w:p w:rsidR="00724BD1" w:rsidRPr="003252C5" w:rsidRDefault="00EB3A4A" w:rsidP="00D757F4">
      <w:pPr>
        <w:ind w:left="993"/>
      </w:pPr>
      <w:r>
        <w:t xml:space="preserve">The class of pharmaceutical items identified in the Schedule, by listed component drug and manner of administration, have taken a 12.5% </w:t>
      </w:r>
      <w:r w:rsidR="00724BD1">
        <w:t>administrative p</w:t>
      </w:r>
      <w:r>
        <w:t xml:space="preserve">rice reduction. </w:t>
      </w:r>
    </w:p>
    <w:p w:rsidR="00724BD1" w:rsidRPr="002A7745" w:rsidRDefault="00724BD1" w:rsidP="00724BD1">
      <w:pPr>
        <w:ind w:left="1482" w:hanging="348"/>
      </w:pPr>
    </w:p>
    <w:p w:rsidR="00724BD1" w:rsidRDefault="00724BD1" w:rsidP="00724BD1">
      <w:pPr>
        <w:ind w:left="1134" w:hanging="708"/>
        <w:rPr>
          <w:rFonts w:ascii="Arial Bold" w:hAnsi="Arial Bold"/>
        </w:rPr>
      </w:pPr>
      <w:r>
        <w:rPr>
          <w:rFonts w:ascii="Arial Bold" w:hAnsi="Arial Bold"/>
        </w:rPr>
        <w:tab/>
      </w:r>
    </w:p>
    <w:p w:rsidR="00724BD1" w:rsidRDefault="00724BD1" w:rsidP="00724BD1">
      <w:pPr>
        <w:ind w:left="2835" w:hanging="2409"/>
        <w:rPr>
          <w:rFonts w:ascii="Arial Bold" w:hAnsi="Arial Bold"/>
          <w:sz w:val="28"/>
          <w:szCs w:val="28"/>
        </w:rPr>
      </w:pPr>
      <w:r>
        <w:rPr>
          <w:rFonts w:ascii="Arial Bold" w:hAnsi="Arial Bold"/>
        </w:rPr>
        <w:br w:type="page"/>
      </w:r>
      <w:r w:rsidRPr="000B57EB">
        <w:rPr>
          <w:rFonts w:ascii="Arial Bold" w:hAnsi="Arial Bold"/>
          <w:sz w:val="28"/>
          <w:szCs w:val="28"/>
        </w:rPr>
        <w:lastRenderedPageBreak/>
        <w:t>Schedule</w:t>
      </w:r>
    </w:p>
    <w:p w:rsidR="00724BD1" w:rsidRDefault="00724BD1" w:rsidP="00724BD1">
      <w:pPr>
        <w:rPr>
          <w:rFonts w:ascii="Arial Bold" w:hAnsi="Arial Bold"/>
          <w:sz w:val="28"/>
          <w:szCs w:val="28"/>
        </w:rPr>
      </w:pPr>
    </w:p>
    <w:tbl>
      <w:tblPr>
        <w:tblStyle w:val="TableGrid"/>
        <w:tblW w:w="0" w:type="auto"/>
        <w:tblInd w:w="534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BF728B" w:rsidP="00B90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LISTED COMPONENT </w:t>
            </w:r>
            <w:r w:rsidR="00724BD1" w:rsidRPr="00BF728B">
              <w:rPr>
                <w:sz w:val="22"/>
                <w:szCs w:val="22"/>
              </w:rPr>
              <w:t>DRUG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MANNER OF ADMINISTRATION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Aciclovir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Amitriptyline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Amoxycillin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Amoxycillin with Clavulanic Acid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Bisacodyl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Bupropion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Calcitriol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Calcium </w:t>
            </w:r>
            <w:proofErr w:type="spellStart"/>
            <w:r w:rsidRPr="00BF728B">
              <w:rPr>
                <w:sz w:val="22"/>
                <w:szCs w:val="22"/>
              </w:rPr>
              <w:t>Folinate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Captopril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Carboplatin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Cefaclor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Cefotaxime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Ceftriaxone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Cefuroxime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Cephalexin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Cimetidine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Ciprofloxacin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Cisplatin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Citalopram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Clarithromycin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Codeine with Paracetamol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Cromoglycic</w:t>
            </w:r>
            <w:proofErr w:type="spellEnd"/>
            <w:r w:rsidRPr="00BF728B">
              <w:rPr>
                <w:sz w:val="22"/>
                <w:szCs w:val="22"/>
              </w:rPr>
              <w:t xml:space="preserve"> Acid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Application to the eye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Dexamphetamine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Docetaxel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Dolasetron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Dolasetron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Doxorubicin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Injection/</w:t>
            </w:r>
            <w:proofErr w:type="spellStart"/>
            <w:r w:rsidRPr="00BF728B">
              <w:rPr>
                <w:sz w:val="22"/>
                <w:szCs w:val="22"/>
              </w:rPr>
              <w:t>Intravesical</w:t>
            </w:r>
            <w:proofErr w:type="spellEnd"/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Electrolyte Replacement (Oral)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Enalapril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Erythromycin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Escitalopram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Esomeprazole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Etidronic</w:t>
            </w:r>
            <w:proofErr w:type="spellEnd"/>
            <w:r w:rsidRPr="00BF728B">
              <w:rPr>
                <w:sz w:val="22"/>
                <w:szCs w:val="22"/>
              </w:rPr>
              <w:t xml:space="preserve"> Acid and Calcium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Etoposide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Famciclovir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Famotidine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Fluconazole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Fluorouracil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Fluoxetine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Fluvastatin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Fluvoxamine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Fosinopril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Frusemide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Gabapentin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Gliclazide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Glimepiride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Granisetron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Granisetron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Imipramine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Ipratropium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Inhalation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Irinotecan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Lansoprazole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Lamotrigine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Levetiracetam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Lisinopril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Metformin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Methotrexate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Methylphenidate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Mirtazapine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Mitozantrone</w:t>
            </w:r>
            <w:proofErr w:type="spellEnd"/>
            <w:r w:rsidRPr="00BF7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Moclobemide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Naratriptan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Nizatidine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Omeprazole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Ondansetron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Ondansetron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Oxaliplatin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Oxcarbazepine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Paclitaxel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Pantoprazole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Paracetamol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Paroxetine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Pemetrexed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Perindopril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Pravastatin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Quinapril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Rabeprazole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Ramipril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Ranitidine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Reboxetine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Roxithromycin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Sertraline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Simvastatin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Sumatriptan</w:t>
            </w:r>
            <w:proofErr w:type="spellEnd"/>
            <w:r w:rsidRPr="00BF7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Terbinafine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Oral 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Tiagabine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Topiramate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Tramadol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 xml:space="preserve">Tramadol </w:t>
            </w:r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Trandolapril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Tropisetron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Tropisetron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Valaciclovir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Vigabatrin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Vinorelbine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Injection</w:t>
            </w:r>
          </w:p>
        </w:tc>
      </w:tr>
      <w:tr w:rsidR="00724BD1" w:rsidRPr="00BF728B" w:rsidTr="00EB3A4A">
        <w:trPr>
          <w:tblHeader/>
        </w:trPr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proofErr w:type="spellStart"/>
            <w:r w:rsidRPr="00BF728B">
              <w:rPr>
                <w:sz w:val="22"/>
                <w:szCs w:val="22"/>
              </w:rPr>
              <w:t>Zolmitriptan</w:t>
            </w:r>
            <w:proofErr w:type="spellEnd"/>
          </w:p>
        </w:tc>
        <w:tc>
          <w:tcPr>
            <w:tcW w:w="3827" w:type="dxa"/>
          </w:tcPr>
          <w:p w:rsidR="00724BD1" w:rsidRPr="00BF728B" w:rsidRDefault="00724BD1" w:rsidP="00B90AEF">
            <w:pPr>
              <w:rPr>
                <w:sz w:val="22"/>
                <w:szCs w:val="22"/>
              </w:rPr>
            </w:pPr>
            <w:r w:rsidRPr="00BF728B">
              <w:rPr>
                <w:sz w:val="22"/>
                <w:szCs w:val="22"/>
              </w:rPr>
              <w:t>Oral</w:t>
            </w:r>
          </w:p>
        </w:tc>
      </w:tr>
    </w:tbl>
    <w:p w:rsidR="007937E2" w:rsidRPr="00BF728B" w:rsidRDefault="007937E2" w:rsidP="00633D8E">
      <w:pPr>
        <w:pStyle w:val="ZR1"/>
        <w:tabs>
          <w:tab w:val="clear" w:pos="794"/>
          <w:tab w:val="right" w:pos="993"/>
        </w:tabs>
        <w:ind w:left="0" w:firstLine="0"/>
      </w:pPr>
    </w:p>
    <w:sectPr w:rsidR="007937E2" w:rsidRPr="00BF728B" w:rsidSect="00652B5A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75" w:rsidRDefault="00DC3E75">
      <w:r>
        <w:separator/>
      </w:r>
    </w:p>
  </w:endnote>
  <w:endnote w:type="continuationSeparator" w:id="0">
    <w:p w:rsidR="00DC3E75" w:rsidRDefault="00D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9" w:rsidRDefault="00BD40D0" w:rsidP="00197331">
    <w:pPr>
      <w:pStyle w:val="Footer"/>
    </w:pPr>
    <w:r>
      <w:t>National Health (</w:t>
    </w:r>
    <w:r w:rsidR="00E81720" w:rsidRPr="00E81720">
      <w:t>Highly specialised drugs program for hospitals)</w:t>
    </w:r>
    <w:r w:rsidRPr="00E81720">
      <w:t xml:space="preserve"> </w:t>
    </w:r>
    <w:r w:rsidR="00985449" w:rsidRPr="00E81720">
      <w:t>Special</w:t>
    </w:r>
    <w:r w:rsidR="00985449">
      <w:t xml:space="preserve"> Arrangement </w:t>
    </w:r>
    <w:r>
      <w:t xml:space="preserve">Amendment Instrument </w:t>
    </w:r>
    <w:proofErr w:type="gramStart"/>
    <w:r>
      <w:t>2015  (</w:t>
    </w:r>
    <w:proofErr w:type="gramEnd"/>
    <w:r>
      <w:t xml:space="preserve">PB </w:t>
    </w:r>
    <w:r w:rsidRPr="00FC61F2">
      <w:rPr>
        <w:color w:val="FF0000"/>
      </w:rPr>
      <w:t>??</w:t>
    </w:r>
    <w:r>
      <w:t xml:space="preserve"> of 2015)                    </w:t>
    </w:r>
  </w:p>
  <w:p w:rsidR="00BD40D0" w:rsidRDefault="00BD40D0" w:rsidP="0019733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010BB">
      <w:rPr>
        <w:noProof/>
      </w:rPr>
      <w:t>3</w:t>
    </w:r>
    <w:r>
      <w:rPr>
        <w:noProof/>
      </w:rPr>
      <w:fldChar w:fldCharType="end"/>
    </w:r>
  </w:p>
  <w:p w:rsidR="00BD40D0" w:rsidRDefault="00BD40D0" w:rsidP="00C268CB">
    <w:pPr>
      <w:pStyle w:val="FooterInf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9"/>
      <w:gridCol w:w="6551"/>
      <w:gridCol w:w="1158"/>
    </w:tblGrid>
    <w:tr w:rsidR="00036C2A" w:rsidRPr="00036C2A" w:rsidTr="00E547A3">
      <w:tc>
        <w:tcPr>
          <w:tcW w:w="1134" w:type="dxa"/>
          <w:shd w:val="clear" w:color="auto" w:fill="auto"/>
        </w:tcPr>
        <w:p w:rsidR="00036C2A" w:rsidRPr="00036C2A" w:rsidRDefault="00036C2A" w:rsidP="00036C2A">
          <w:pPr>
            <w:pStyle w:val="Footer"/>
          </w:pPr>
        </w:p>
      </w:tc>
      <w:tc>
        <w:tcPr>
          <w:tcW w:w="6414" w:type="dxa"/>
          <w:shd w:val="clear" w:color="auto" w:fill="auto"/>
        </w:tcPr>
        <w:p w:rsidR="00036C2A" w:rsidRPr="00036C2A" w:rsidRDefault="00036C2A" w:rsidP="00036C2A">
          <w:pPr>
            <w:pStyle w:val="Footer"/>
          </w:pPr>
        </w:p>
      </w:tc>
      <w:tc>
        <w:tcPr>
          <w:tcW w:w="1134" w:type="dxa"/>
          <w:shd w:val="clear" w:color="auto" w:fill="auto"/>
        </w:tcPr>
        <w:p w:rsidR="00036C2A" w:rsidRPr="00036C2A" w:rsidRDefault="00036C2A" w:rsidP="00036C2A">
          <w:pPr>
            <w:pStyle w:val="Footer"/>
          </w:pPr>
        </w:p>
      </w:tc>
    </w:tr>
  </w:tbl>
  <w:p w:rsidR="00BD40D0" w:rsidRPr="00036C2A" w:rsidRDefault="00BD40D0" w:rsidP="00036C2A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5814"/>
      <w:gridCol w:w="600"/>
      <w:gridCol w:w="1080"/>
      <w:gridCol w:w="54"/>
      <w:gridCol w:w="186"/>
    </w:tblGrid>
    <w:tr w:rsidR="00CB0B6D" w:rsidTr="00E00D8D">
      <w:trPr>
        <w:gridAfter w:val="1"/>
        <w:wAfter w:w="186" w:type="dxa"/>
      </w:trPr>
      <w:tc>
        <w:tcPr>
          <w:tcW w:w="1134" w:type="dxa"/>
          <w:tcBorders>
            <w:top w:val="nil"/>
          </w:tcBorders>
          <w:shd w:val="clear" w:color="auto" w:fill="auto"/>
        </w:tcPr>
        <w:p w:rsidR="00CB0B6D" w:rsidRDefault="00CB0B6D" w:rsidP="00577214">
          <w:pPr>
            <w:spacing w:line="240" w:lineRule="exact"/>
          </w:pPr>
        </w:p>
      </w:tc>
      <w:tc>
        <w:tcPr>
          <w:tcW w:w="6414" w:type="dxa"/>
          <w:gridSpan w:val="2"/>
          <w:tcBorders>
            <w:top w:val="nil"/>
          </w:tcBorders>
          <w:shd w:val="clear" w:color="auto" w:fill="auto"/>
        </w:tcPr>
        <w:p w:rsidR="00CB0B6D" w:rsidRPr="004F5D6D" w:rsidRDefault="00CB0B6D" w:rsidP="00CB0B6D">
          <w:pPr>
            <w:pStyle w:val="FooterCitation"/>
          </w:pPr>
        </w:p>
      </w:tc>
      <w:tc>
        <w:tcPr>
          <w:tcW w:w="1134" w:type="dxa"/>
          <w:gridSpan w:val="2"/>
          <w:tcBorders>
            <w:top w:val="nil"/>
          </w:tcBorders>
          <w:shd w:val="clear" w:color="auto" w:fill="auto"/>
        </w:tcPr>
        <w:p w:rsidR="00CB0B6D" w:rsidRPr="00FE1BEE" w:rsidRDefault="00CB0B6D" w:rsidP="00577214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CB0B6D" w:rsidRPr="00E71EB1" w:rsidTr="00577214">
      <w:trPr>
        <w:trHeight w:val="70"/>
      </w:trPr>
      <w:tc>
        <w:tcPr>
          <w:tcW w:w="6948" w:type="dxa"/>
          <w:gridSpan w:val="2"/>
          <w:shd w:val="clear" w:color="auto" w:fill="auto"/>
        </w:tcPr>
        <w:p w:rsidR="00CB0B6D" w:rsidRPr="00E71EB1" w:rsidRDefault="00CB0B6D" w:rsidP="00577214">
          <w:pPr>
            <w:spacing w:line="240" w:lineRule="exact"/>
            <w:rPr>
              <w:sz w:val="20"/>
              <w:szCs w:val="20"/>
            </w:rPr>
          </w:pPr>
        </w:p>
      </w:tc>
      <w:tc>
        <w:tcPr>
          <w:tcW w:w="1680" w:type="dxa"/>
          <w:gridSpan w:val="2"/>
          <w:shd w:val="clear" w:color="auto" w:fill="auto"/>
        </w:tcPr>
        <w:p w:rsidR="00CB0B6D" w:rsidRPr="00E71EB1" w:rsidRDefault="00CB0B6D" w:rsidP="00577214">
          <w:pPr>
            <w:pStyle w:val="FooterCitation"/>
            <w:rPr>
              <w:sz w:val="20"/>
              <w:szCs w:val="20"/>
            </w:rPr>
          </w:pPr>
        </w:p>
      </w:tc>
      <w:tc>
        <w:tcPr>
          <w:tcW w:w="240" w:type="dxa"/>
          <w:gridSpan w:val="2"/>
          <w:shd w:val="clear" w:color="auto" w:fill="auto"/>
        </w:tcPr>
        <w:p w:rsidR="00CB0B6D" w:rsidRPr="00E71EB1" w:rsidRDefault="00CB0B6D" w:rsidP="00577214">
          <w:pPr>
            <w:spacing w:line="240" w:lineRule="exact"/>
            <w:jc w:val="right"/>
            <w:rPr>
              <w:rStyle w:val="PageNumber"/>
              <w:rFonts w:cs="Arial"/>
              <w:sz w:val="20"/>
              <w:szCs w:val="20"/>
            </w:rPr>
          </w:pPr>
        </w:p>
      </w:tc>
    </w:tr>
  </w:tbl>
  <w:p w:rsidR="00CB0B6D" w:rsidRPr="00CB0B6D" w:rsidRDefault="00CB0B6D" w:rsidP="00CB0B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9"/>
      <w:gridCol w:w="6551"/>
      <w:gridCol w:w="1158"/>
    </w:tblGrid>
    <w:tr w:rsidR="00652B5A" w:rsidRPr="00036C2A" w:rsidTr="00652B5A">
      <w:tc>
        <w:tcPr>
          <w:tcW w:w="1159" w:type="dxa"/>
          <w:shd w:val="clear" w:color="auto" w:fill="auto"/>
        </w:tcPr>
        <w:p w:rsidR="00652B5A" w:rsidRPr="00036C2A" w:rsidRDefault="00652B5A" w:rsidP="00036C2A">
          <w:pPr>
            <w:pStyle w:val="Footer"/>
          </w:pPr>
        </w:p>
      </w:tc>
      <w:tc>
        <w:tcPr>
          <w:tcW w:w="6551" w:type="dxa"/>
          <w:shd w:val="clear" w:color="auto" w:fill="auto"/>
        </w:tcPr>
        <w:p w:rsidR="00652B5A" w:rsidRPr="00036C2A" w:rsidRDefault="00652B5A" w:rsidP="00036C2A">
          <w:pPr>
            <w:pStyle w:val="Footer"/>
          </w:pPr>
        </w:p>
      </w:tc>
      <w:tc>
        <w:tcPr>
          <w:tcW w:w="1158" w:type="dxa"/>
          <w:shd w:val="clear" w:color="auto" w:fill="auto"/>
        </w:tcPr>
        <w:p w:rsidR="00652B5A" w:rsidRPr="00036C2A" w:rsidRDefault="00652B5A" w:rsidP="00036C2A">
          <w:pPr>
            <w:pStyle w:val="Footer"/>
          </w:pPr>
        </w:p>
      </w:tc>
    </w:tr>
    <w:tr w:rsidR="00652B5A" w:rsidTr="00652B5A">
      <w:tc>
        <w:tcPr>
          <w:tcW w:w="1159" w:type="dxa"/>
          <w:shd w:val="clear" w:color="auto" w:fill="auto"/>
        </w:tcPr>
        <w:p w:rsidR="00652B5A" w:rsidRDefault="00652B5A" w:rsidP="00652B5A">
          <w:pPr>
            <w:pStyle w:val="Footer"/>
          </w:pPr>
        </w:p>
      </w:tc>
      <w:tc>
        <w:tcPr>
          <w:tcW w:w="6551" w:type="dxa"/>
          <w:shd w:val="clear" w:color="auto" w:fill="auto"/>
        </w:tcPr>
        <w:p w:rsidR="00652B5A" w:rsidRPr="00BF728B" w:rsidRDefault="00BF728B" w:rsidP="00BD181D">
          <w:pPr>
            <w:pStyle w:val="Footer"/>
          </w:pPr>
          <w:r w:rsidRPr="00BF728B">
            <w:t>National Health (Pharmaceutical Benefits Scheme</w:t>
          </w:r>
          <w:r w:rsidR="00EB3A4A">
            <w:t>-</w:t>
          </w:r>
          <w:r w:rsidRPr="00BF728B">
            <w:t xml:space="preserve"> class of pharmaceutical items – Subsection 99ACA(3) Determination 2017(PB </w:t>
          </w:r>
          <w:r w:rsidR="00BD181D">
            <w:t>82</w:t>
          </w:r>
          <w:r w:rsidRPr="00BF728B">
            <w:t> of 2017)</w:t>
          </w:r>
        </w:p>
      </w:tc>
      <w:tc>
        <w:tcPr>
          <w:tcW w:w="1158" w:type="dxa"/>
          <w:shd w:val="clear" w:color="auto" w:fill="auto"/>
        </w:tcPr>
        <w:p w:rsidR="00652B5A" w:rsidRPr="00DA275B" w:rsidRDefault="00652B5A" w:rsidP="00652B5A">
          <w:pPr>
            <w:pStyle w:val="Footer"/>
          </w:pPr>
        </w:p>
        <w:p w:rsidR="00652B5A" w:rsidRPr="00652B5A" w:rsidRDefault="00652B5A" w:rsidP="00652B5A">
          <w:pPr>
            <w:pStyle w:val="Footer"/>
          </w:pPr>
          <w:r w:rsidRPr="00652B5A">
            <w:fldChar w:fldCharType="begin"/>
          </w:r>
          <w:r w:rsidRPr="00652B5A">
            <w:instrText xml:space="preserve"> PAGE   \* MERGEFORMAT </w:instrText>
          </w:r>
          <w:r w:rsidRPr="00652B5A">
            <w:fldChar w:fldCharType="separate"/>
          </w:r>
          <w:r w:rsidR="00912B91">
            <w:rPr>
              <w:noProof/>
            </w:rPr>
            <w:t>3</w:t>
          </w:r>
          <w:r w:rsidRPr="00652B5A">
            <w:fldChar w:fldCharType="end"/>
          </w:r>
        </w:p>
      </w:tc>
    </w:tr>
  </w:tbl>
  <w:p w:rsidR="00652B5A" w:rsidRPr="00036C2A" w:rsidRDefault="00652B5A" w:rsidP="00036C2A">
    <w:pPr>
      <w:pStyle w:val="Footer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25"/>
      <w:gridCol w:w="5789"/>
      <w:gridCol w:w="762"/>
      <w:gridCol w:w="918"/>
      <w:gridCol w:w="240"/>
    </w:tblGrid>
    <w:tr w:rsidR="0091422B" w:rsidRPr="00036C2A" w:rsidTr="00276C63">
      <w:tc>
        <w:tcPr>
          <w:tcW w:w="1159" w:type="dxa"/>
          <w:gridSpan w:val="2"/>
          <w:shd w:val="clear" w:color="auto" w:fill="auto"/>
        </w:tcPr>
        <w:p w:rsidR="0091422B" w:rsidRPr="00036C2A" w:rsidRDefault="0091422B" w:rsidP="00276C63">
          <w:pPr>
            <w:pStyle w:val="Footer"/>
          </w:pPr>
        </w:p>
      </w:tc>
      <w:tc>
        <w:tcPr>
          <w:tcW w:w="6551" w:type="dxa"/>
          <w:gridSpan w:val="2"/>
          <w:shd w:val="clear" w:color="auto" w:fill="auto"/>
        </w:tcPr>
        <w:p w:rsidR="0091422B" w:rsidRPr="00036C2A" w:rsidRDefault="0091422B" w:rsidP="00276C63">
          <w:pPr>
            <w:pStyle w:val="Footer"/>
          </w:pPr>
        </w:p>
      </w:tc>
      <w:tc>
        <w:tcPr>
          <w:tcW w:w="1158" w:type="dxa"/>
          <w:gridSpan w:val="2"/>
          <w:shd w:val="clear" w:color="auto" w:fill="auto"/>
        </w:tcPr>
        <w:p w:rsidR="0091422B" w:rsidRPr="00036C2A" w:rsidRDefault="0091422B" w:rsidP="00276C63">
          <w:pPr>
            <w:pStyle w:val="Footer"/>
          </w:pPr>
        </w:p>
      </w:tc>
    </w:tr>
    <w:tr w:rsidR="0091422B" w:rsidTr="00276C63">
      <w:tc>
        <w:tcPr>
          <w:tcW w:w="1159" w:type="dxa"/>
          <w:gridSpan w:val="2"/>
          <w:shd w:val="clear" w:color="auto" w:fill="auto"/>
        </w:tcPr>
        <w:p w:rsidR="0091422B" w:rsidRDefault="0091422B" w:rsidP="00276C63">
          <w:pPr>
            <w:pStyle w:val="Footer"/>
          </w:pPr>
        </w:p>
      </w:tc>
      <w:tc>
        <w:tcPr>
          <w:tcW w:w="6551" w:type="dxa"/>
          <w:gridSpan w:val="2"/>
          <w:shd w:val="clear" w:color="auto" w:fill="auto"/>
        </w:tcPr>
        <w:p w:rsidR="0091422B" w:rsidRPr="00BF728B" w:rsidRDefault="00566280" w:rsidP="00724BD1">
          <w:pPr>
            <w:pStyle w:val="Footer"/>
          </w:pPr>
          <w:r w:rsidRPr="00BF728B">
            <w:t>National Health</w:t>
          </w:r>
          <w:r w:rsidR="00EB3A4A">
            <w:t xml:space="preserve"> (Pharmaceutical Benefits Scheme- </w:t>
          </w:r>
          <w:r w:rsidRPr="00BF728B">
            <w:t xml:space="preserve"> </w:t>
          </w:r>
          <w:r w:rsidR="00724BD1" w:rsidRPr="00BF728B">
            <w:t>class of pharmaceutical items – Subsection 99ACA(3) Determination 201</w:t>
          </w:r>
          <w:r w:rsidRPr="00BF728B">
            <w:t>7</w:t>
          </w:r>
          <w:r w:rsidR="0091422B" w:rsidRPr="00BF728B">
            <w:t>(</w:t>
          </w:r>
          <w:r w:rsidR="002D3A93" w:rsidRPr="00BF728B">
            <w:t xml:space="preserve">PB </w:t>
          </w:r>
          <w:r w:rsidR="00BD181D">
            <w:t xml:space="preserve">82 </w:t>
          </w:r>
          <w:r w:rsidRPr="00BF728B">
            <w:t>of 2017</w:t>
          </w:r>
          <w:r w:rsidR="0091422B" w:rsidRPr="00BF728B">
            <w:t>)</w:t>
          </w:r>
        </w:p>
      </w:tc>
      <w:tc>
        <w:tcPr>
          <w:tcW w:w="1158" w:type="dxa"/>
          <w:gridSpan w:val="2"/>
          <w:shd w:val="clear" w:color="auto" w:fill="auto"/>
        </w:tcPr>
        <w:p w:rsidR="0091422B" w:rsidRPr="00DA275B" w:rsidRDefault="0091422B" w:rsidP="00276C63">
          <w:pPr>
            <w:pStyle w:val="Footer"/>
          </w:pPr>
        </w:p>
        <w:p w:rsidR="0091422B" w:rsidRPr="00652B5A" w:rsidRDefault="0091422B" w:rsidP="00276C63">
          <w:pPr>
            <w:pStyle w:val="Footer"/>
          </w:pPr>
          <w:r w:rsidRPr="00652B5A">
            <w:fldChar w:fldCharType="begin"/>
          </w:r>
          <w:r w:rsidRPr="00652B5A">
            <w:instrText xml:space="preserve"> PAGE   \* MERGEFORMAT </w:instrText>
          </w:r>
          <w:r w:rsidRPr="00652B5A">
            <w:fldChar w:fldCharType="separate"/>
          </w:r>
          <w:r w:rsidR="00912B91">
            <w:rPr>
              <w:noProof/>
            </w:rPr>
            <w:t>2</w:t>
          </w:r>
          <w:r w:rsidRPr="00652B5A">
            <w:fldChar w:fldCharType="end"/>
          </w:r>
        </w:p>
      </w:tc>
    </w:tr>
    <w:tr w:rsidR="0012207A" w:rsidTr="00577214">
      <w:trPr>
        <w:gridAfter w:val="5"/>
        <w:wAfter w:w="7734" w:type="dxa"/>
      </w:trPr>
      <w:tc>
        <w:tcPr>
          <w:tcW w:w="1134" w:type="dxa"/>
          <w:shd w:val="clear" w:color="auto" w:fill="auto"/>
        </w:tcPr>
        <w:p w:rsidR="0012207A" w:rsidRDefault="0012207A" w:rsidP="00577214">
          <w:pPr>
            <w:spacing w:line="240" w:lineRule="exact"/>
          </w:pPr>
        </w:p>
      </w:tc>
    </w:tr>
    <w:tr w:rsidR="00036C2A" w:rsidRPr="00E71EB1" w:rsidTr="00577214">
      <w:trPr>
        <w:trHeight w:val="70"/>
      </w:trPr>
      <w:tc>
        <w:tcPr>
          <w:tcW w:w="6948" w:type="dxa"/>
          <w:gridSpan w:val="3"/>
          <w:shd w:val="clear" w:color="auto" w:fill="auto"/>
        </w:tcPr>
        <w:p w:rsidR="00036C2A" w:rsidRPr="00E71EB1" w:rsidRDefault="00036C2A" w:rsidP="00577214">
          <w:pPr>
            <w:spacing w:line="240" w:lineRule="exact"/>
            <w:rPr>
              <w:sz w:val="20"/>
              <w:szCs w:val="20"/>
            </w:rPr>
          </w:pPr>
        </w:p>
      </w:tc>
      <w:tc>
        <w:tcPr>
          <w:tcW w:w="1680" w:type="dxa"/>
          <w:gridSpan w:val="2"/>
          <w:shd w:val="clear" w:color="auto" w:fill="auto"/>
        </w:tcPr>
        <w:p w:rsidR="00036C2A" w:rsidRPr="00E71EB1" w:rsidRDefault="00036C2A" w:rsidP="00577214">
          <w:pPr>
            <w:pStyle w:val="FooterCitation"/>
            <w:rPr>
              <w:sz w:val="20"/>
              <w:szCs w:val="20"/>
            </w:rPr>
          </w:pPr>
        </w:p>
      </w:tc>
      <w:tc>
        <w:tcPr>
          <w:tcW w:w="240" w:type="dxa"/>
          <w:shd w:val="clear" w:color="auto" w:fill="auto"/>
        </w:tcPr>
        <w:p w:rsidR="00036C2A" w:rsidRPr="00E71EB1" w:rsidRDefault="00036C2A" w:rsidP="00577214">
          <w:pPr>
            <w:spacing w:line="240" w:lineRule="exact"/>
            <w:jc w:val="right"/>
            <w:rPr>
              <w:rStyle w:val="PageNumber"/>
              <w:rFonts w:cs="Arial"/>
              <w:sz w:val="20"/>
              <w:szCs w:val="20"/>
            </w:rPr>
          </w:pPr>
        </w:p>
      </w:tc>
    </w:tr>
  </w:tbl>
  <w:p w:rsidR="00036C2A" w:rsidRPr="00CB0B6D" w:rsidRDefault="00036C2A" w:rsidP="00CB0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75" w:rsidRDefault="00DC3E75">
      <w:r>
        <w:separator/>
      </w:r>
    </w:p>
  </w:footnote>
  <w:footnote w:type="continuationSeparator" w:id="0">
    <w:p w:rsidR="00DC3E75" w:rsidRDefault="00DC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BD40D0">
      <w:tc>
        <w:tcPr>
          <w:tcW w:w="1494" w:type="dxa"/>
        </w:tcPr>
        <w:p w:rsidR="00BD40D0" w:rsidRDefault="00BD40D0" w:rsidP="00BD545A">
          <w:pPr>
            <w:pStyle w:val="HeaderLiteEven"/>
          </w:pPr>
        </w:p>
      </w:tc>
      <w:tc>
        <w:tcPr>
          <w:tcW w:w="6891" w:type="dxa"/>
        </w:tcPr>
        <w:p w:rsidR="00BD40D0" w:rsidRDefault="00BD40D0" w:rsidP="00BD545A">
          <w:pPr>
            <w:pStyle w:val="HeaderLiteEven"/>
          </w:pPr>
        </w:p>
      </w:tc>
    </w:tr>
    <w:tr w:rsidR="00BD40D0">
      <w:tc>
        <w:tcPr>
          <w:tcW w:w="1494" w:type="dxa"/>
        </w:tcPr>
        <w:p w:rsidR="00BD40D0" w:rsidRDefault="00BD40D0" w:rsidP="00BD545A">
          <w:pPr>
            <w:pStyle w:val="HeaderLiteEven"/>
          </w:pPr>
        </w:p>
      </w:tc>
      <w:tc>
        <w:tcPr>
          <w:tcW w:w="6891" w:type="dxa"/>
        </w:tcPr>
        <w:p w:rsidR="00BD40D0" w:rsidRDefault="00BD40D0" w:rsidP="00BD545A">
          <w:pPr>
            <w:pStyle w:val="HeaderLiteEven"/>
          </w:pPr>
        </w:p>
      </w:tc>
    </w:tr>
    <w:tr w:rsidR="00BD40D0">
      <w:tc>
        <w:tcPr>
          <w:tcW w:w="8385" w:type="dxa"/>
          <w:gridSpan w:val="2"/>
          <w:tcBorders>
            <w:bottom w:val="single" w:sz="4" w:space="0" w:color="auto"/>
          </w:tcBorders>
        </w:tcPr>
        <w:p w:rsidR="00BD40D0" w:rsidRDefault="00BD40D0" w:rsidP="00BD545A">
          <w:pPr>
            <w:pStyle w:val="HeaderBoldEven"/>
          </w:pPr>
        </w:p>
      </w:tc>
    </w:tr>
  </w:tbl>
  <w:p w:rsidR="00BD40D0" w:rsidRDefault="00BD40D0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BD40D0">
      <w:tc>
        <w:tcPr>
          <w:tcW w:w="6914" w:type="dxa"/>
        </w:tcPr>
        <w:p w:rsidR="00BD40D0" w:rsidRDefault="00BD40D0" w:rsidP="00BD545A">
          <w:pPr>
            <w:pStyle w:val="HeaderLiteOdd"/>
          </w:pPr>
        </w:p>
      </w:tc>
      <w:tc>
        <w:tcPr>
          <w:tcW w:w="1471" w:type="dxa"/>
        </w:tcPr>
        <w:p w:rsidR="00BD40D0" w:rsidRDefault="00BD40D0" w:rsidP="00BD545A">
          <w:pPr>
            <w:pStyle w:val="HeaderLiteOdd"/>
          </w:pPr>
        </w:p>
      </w:tc>
    </w:tr>
    <w:tr w:rsidR="00BD40D0">
      <w:tc>
        <w:tcPr>
          <w:tcW w:w="6914" w:type="dxa"/>
        </w:tcPr>
        <w:p w:rsidR="00BD40D0" w:rsidRDefault="00BD40D0" w:rsidP="00BD545A">
          <w:pPr>
            <w:pStyle w:val="HeaderLiteOdd"/>
          </w:pPr>
        </w:p>
      </w:tc>
      <w:tc>
        <w:tcPr>
          <w:tcW w:w="1471" w:type="dxa"/>
        </w:tcPr>
        <w:p w:rsidR="00BD40D0" w:rsidRDefault="00BD40D0" w:rsidP="00BD545A">
          <w:pPr>
            <w:pStyle w:val="HeaderLiteOdd"/>
          </w:pPr>
        </w:p>
      </w:tc>
    </w:tr>
    <w:tr w:rsidR="00BD40D0">
      <w:tc>
        <w:tcPr>
          <w:tcW w:w="8385" w:type="dxa"/>
          <w:gridSpan w:val="2"/>
          <w:tcBorders>
            <w:bottom w:val="single" w:sz="4" w:space="0" w:color="auto"/>
          </w:tcBorders>
        </w:tcPr>
        <w:p w:rsidR="00BD40D0" w:rsidRDefault="00BD40D0" w:rsidP="00BD545A">
          <w:pPr>
            <w:pStyle w:val="HeaderBoldOdd"/>
          </w:pPr>
        </w:p>
      </w:tc>
    </w:tr>
  </w:tbl>
  <w:p w:rsidR="00BD40D0" w:rsidRDefault="00BD40D0" w:rsidP="00BD54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CB0B6D" w:rsidRPr="00FF7AF0" w:rsidTr="00577214">
      <w:trPr>
        <w:gridAfter w:val="1"/>
        <w:wAfter w:w="6798" w:type="dxa"/>
      </w:trPr>
      <w:tc>
        <w:tcPr>
          <w:tcW w:w="1548" w:type="dxa"/>
        </w:tcPr>
        <w:p w:rsidR="00CB0B6D" w:rsidRPr="00FF7AF0" w:rsidRDefault="00CB0B6D" w:rsidP="00CB0B6D">
          <w:pPr>
            <w:tabs>
              <w:tab w:val="center" w:pos="3969"/>
              <w:tab w:val="right" w:pos="8505"/>
            </w:tabs>
            <w:spacing w:before="60"/>
            <w:jc w:val="right"/>
            <w:rPr>
              <w:rFonts w:ascii="Arial" w:hAnsi="Arial"/>
              <w:sz w:val="18"/>
            </w:rPr>
          </w:pPr>
        </w:p>
      </w:tc>
    </w:tr>
    <w:tr w:rsidR="00CB0B6D" w:rsidRPr="00FF7AF0" w:rsidTr="00577214">
      <w:trPr>
        <w:gridAfter w:val="1"/>
        <w:wAfter w:w="6798" w:type="dxa"/>
      </w:trPr>
      <w:tc>
        <w:tcPr>
          <w:tcW w:w="1548" w:type="dxa"/>
        </w:tcPr>
        <w:p w:rsidR="00CB0B6D" w:rsidRPr="00FF7AF0" w:rsidRDefault="00CB0B6D" w:rsidP="00CB0B6D">
          <w:pPr>
            <w:tabs>
              <w:tab w:val="center" w:pos="3969"/>
              <w:tab w:val="right" w:pos="8505"/>
            </w:tabs>
            <w:spacing w:before="60"/>
            <w:jc w:val="right"/>
            <w:rPr>
              <w:rFonts w:ascii="Arial" w:hAnsi="Arial"/>
              <w:sz w:val="18"/>
            </w:rPr>
          </w:pPr>
        </w:p>
      </w:tc>
    </w:tr>
    <w:tr w:rsidR="00CB0B6D" w:rsidRPr="00FF7AF0" w:rsidTr="00FF7AF0">
      <w:tc>
        <w:tcPr>
          <w:tcW w:w="8346" w:type="dxa"/>
          <w:gridSpan w:val="2"/>
          <w:shd w:val="clear" w:color="auto" w:fill="auto"/>
        </w:tcPr>
        <w:p w:rsidR="00CB0B6D" w:rsidRPr="00FF7AF0" w:rsidRDefault="00CB0B6D" w:rsidP="00CB0B6D">
          <w:pPr>
            <w:spacing w:before="120" w:after="60"/>
            <w:jc w:val="right"/>
            <w:rPr>
              <w:rFonts w:ascii="Arial" w:hAnsi="Arial"/>
              <w:b/>
              <w:sz w:val="20"/>
            </w:rPr>
          </w:pPr>
        </w:p>
      </w:tc>
    </w:tr>
  </w:tbl>
  <w:p w:rsidR="00BD40D0" w:rsidRDefault="00BD40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44543E">
      <w:tc>
        <w:tcPr>
          <w:tcW w:w="6914" w:type="dxa"/>
        </w:tcPr>
        <w:p w:rsidR="0044543E" w:rsidRDefault="0044543E" w:rsidP="00BD545A">
          <w:pPr>
            <w:pStyle w:val="HeaderLiteOdd"/>
          </w:pPr>
        </w:p>
      </w:tc>
      <w:tc>
        <w:tcPr>
          <w:tcW w:w="1471" w:type="dxa"/>
        </w:tcPr>
        <w:p w:rsidR="0044543E" w:rsidRDefault="0044543E" w:rsidP="00BD545A">
          <w:pPr>
            <w:pStyle w:val="HeaderLiteOdd"/>
          </w:pPr>
        </w:p>
      </w:tc>
    </w:tr>
    <w:tr w:rsidR="0044543E">
      <w:tc>
        <w:tcPr>
          <w:tcW w:w="6914" w:type="dxa"/>
        </w:tcPr>
        <w:p w:rsidR="0044543E" w:rsidRDefault="0044543E" w:rsidP="00BD545A">
          <w:pPr>
            <w:pStyle w:val="HeaderLiteOdd"/>
          </w:pPr>
        </w:p>
      </w:tc>
      <w:tc>
        <w:tcPr>
          <w:tcW w:w="1471" w:type="dxa"/>
        </w:tcPr>
        <w:p w:rsidR="0044543E" w:rsidRDefault="0044543E" w:rsidP="00BD545A">
          <w:pPr>
            <w:pStyle w:val="HeaderLiteOdd"/>
          </w:pPr>
        </w:p>
      </w:tc>
    </w:tr>
    <w:tr w:rsidR="0044543E">
      <w:tc>
        <w:tcPr>
          <w:tcW w:w="8385" w:type="dxa"/>
          <w:gridSpan w:val="2"/>
          <w:tcBorders>
            <w:bottom w:val="single" w:sz="4" w:space="0" w:color="auto"/>
          </w:tcBorders>
        </w:tcPr>
        <w:p w:rsidR="0044543E" w:rsidRDefault="0044543E" w:rsidP="00BD545A">
          <w:pPr>
            <w:pStyle w:val="HeaderBoldOdd"/>
          </w:pPr>
        </w:p>
      </w:tc>
    </w:tr>
  </w:tbl>
  <w:p w:rsidR="0044543E" w:rsidRDefault="0044543E" w:rsidP="00BD545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CB0B6D" w:rsidRPr="00CB0B6D" w:rsidTr="00577214">
      <w:trPr>
        <w:gridAfter w:val="1"/>
        <w:wAfter w:w="6798" w:type="dxa"/>
      </w:trPr>
      <w:tc>
        <w:tcPr>
          <w:tcW w:w="1548" w:type="dxa"/>
        </w:tcPr>
        <w:p w:rsidR="00CB0B6D" w:rsidRPr="00CB0B6D" w:rsidRDefault="00CB0B6D" w:rsidP="00CB0B6D">
          <w:pPr>
            <w:tabs>
              <w:tab w:val="center" w:pos="3969"/>
              <w:tab w:val="right" w:pos="8505"/>
            </w:tabs>
            <w:spacing w:before="60"/>
            <w:jc w:val="right"/>
            <w:rPr>
              <w:rFonts w:ascii="Arial" w:hAnsi="Arial"/>
              <w:sz w:val="18"/>
            </w:rPr>
          </w:pPr>
        </w:p>
      </w:tc>
    </w:tr>
    <w:tr w:rsidR="00CB0B6D" w:rsidRPr="00CB0B6D" w:rsidTr="00577214">
      <w:trPr>
        <w:gridAfter w:val="1"/>
        <w:wAfter w:w="6798" w:type="dxa"/>
      </w:trPr>
      <w:tc>
        <w:tcPr>
          <w:tcW w:w="1548" w:type="dxa"/>
        </w:tcPr>
        <w:p w:rsidR="00CB0B6D" w:rsidRPr="00CB0B6D" w:rsidRDefault="00CB0B6D" w:rsidP="00CB0B6D">
          <w:pPr>
            <w:tabs>
              <w:tab w:val="center" w:pos="3969"/>
              <w:tab w:val="right" w:pos="8505"/>
            </w:tabs>
            <w:spacing w:before="60"/>
            <w:jc w:val="right"/>
            <w:rPr>
              <w:rFonts w:ascii="Arial" w:hAnsi="Arial"/>
              <w:sz w:val="18"/>
            </w:rPr>
          </w:pPr>
        </w:p>
      </w:tc>
    </w:tr>
    <w:tr w:rsidR="00CB0B6D" w:rsidRPr="00CB0B6D" w:rsidTr="00577214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B0B6D" w:rsidRPr="00CB0B6D" w:rsidRDefault="00CB0B6D" w:rsidP="00CB0B6D">
          <w:pPr>
            <w:spacing w:before="120" w:after="60"/>
            <w:jc w:val="right"/>
            <w:rPr>
              <w:rFonts w:ascii="Arial" w:hAnsi="Arial"/>
              <w:b/>
              <w:sz w:val="20"/>
            </w:rPr>
          </w:pPr>
        </w:p>
      </w:tc>
    </w:tr>
  </w:tbl>
  <w:p w:rsidR="00CB0B6D" w:rsidRDefault="00CB0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89"/>
    <w:multiLevelType w:val="hybridMultilevel"/>
    <w:tmpl w:val="21A8AD5A"/>
    <w:lvl w:ilvl="0" w:tplc="26A4BC5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6B151AD"/>
    <w:multiLevelType w:val="hybridMultilevel"/>
    <w:tmpl w:val="930CBCBC"/>
    <w:lvl w:ilvl="0" w:tplc="269800E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817130C"/>
    <w:multiLevelType w:val="hybridMultilevel"/>
    <w:tmpl w:val="3CAE4D10"/>
    <w:lvl w:ilvl="0" w:tplc="A45C09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A1573A6"/>
    <w:multiLevelType w:val="hybridMultilevel"/>
    <w:tmpl w:val="1D8602FE"/>
    <w:lvl w:ilvl="0" w:tplc="7A7A126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17D2E46"/>
    <w:multiLevelType w:val="hybridMultilevel"/>
    <w:tmpl w:val="D5D01EDC"/>
    <w:lvl w:ilvl="0" w:tplc="ED9E78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8C233B"/>
    <w:multiLevelType w:val="hybridMultilevel"/>
    <w:tmpl w:val="B058990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FB5A59"/>
    <w:multiLevelType w:val="hybridMultilevel"/>
    <w:tmpl w:val="24D41E9C"/>
    <w:lvl w:ilvl="0" w:tplc="1704449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CDA39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2343520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3" w:tplc="CD388B66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FF4046"/>
    <w:multiLevelType w:val="hybridMultilevel"/>
    <w:tmpl w:val="E9F8762E"/>
    <w:lvl w:ilvl="0" w:tplc="52341A80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33D09D5"/>
    <w:multiLevelType w:val="hybridMultilevel"/>
    <w:tmpl w:val="F45E57D2"/>
    <w:lvl w:ilvl="0" w:tplc="B0AC6242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CB26DD"/>
    <w:multiLevelType w:val="hybridMultilevel"/>
    <w:tmpl w:val="B3985684"/>
    <w:lvl w:ilvl="0" w:tplc="847603C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077084"/>
    <w:multiLevelType w:val="hybridMultilevel"/>
    <w:tmpl w:val="791216C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6004F1F"/>
    <w:multiLevelType w:val="hybridMultilevel"/>
    <w:tmpl w:val="F93E8AAC"/>
    <w:lvl w:ilvl="0" w:tplc="8C646E4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9AA79FF"/>
    <w:multiLevelType w:val="hybridMultilevel"/>
    <w:tmpl w:val="1AA47992"/>
    <w:lvl w:ilvl="0" w:tplc="0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3B40579F"/>
    <w:multiLevelType w:val="hybridMultilevel"/>
    <w:tmpl w:val="5560D57C"/>
    <w:lvl w:ilvl="0" w:tplc="101C75B0">
      <w:start w:val="2"/>
      <w:numFmt w:val="decimal"/>
      <w:lvlText w:val="(%1)"/>
      <w:lvlJc w:val="left"/>
      <w:pPr>
        <w:ind w:left="168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F36A26"/>
    <w:multiLevelType w:val="hybridMultilevel"/>
    <w:tmpl w:val="FCF62566"/>
    <w:lvl w:ilvl="0" w:tplc="48AEB2CA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840" w:hanging="360"/>
      </w:pPr>
    </w:lvl>
    <w:lvl w:ilvl="2" w:tplc="0C09001B" w:tentative="1">
      <w:start w:val="1"/>
      <w:numFmt w:val="lowerRoman"/>
      <w:lvlText w:val="%3."/>
      <w:lvlJc w:val="right"/>
      <w:pPr>
        <w:ind w:left="1560" w:hanging="180"/>
      </w:pPr>
    </w:lvl>
    <w:lvl w:ilvl="3" w:tplc="0C09000F" w:tentative="1">
      <w:start w:val="1"/>
      <w:numFmt w:val="decimal"/>
      <w:lvlText w:val="%4."/>
      <w:lvlJc w:val="left"/>
      <w:pPr>
        <w:ind w:left="2280" w:hanging="360"/>
      </w:pPr>
    </w:lvl>
    <w:lvl w:ilvl="4" w:tplc="0C090019" w:tentative="1">
      <w:start w:val="1"/>
      <w:numFmt w:val="lowerLetter"/>
      <w:lvlText w:val="%5."/>
      <w:lvlJc w:val="left"/>
      <w:pPr>
        <w:ind w:left="3000" w:hanging="360"/>
      </w:pPr>
    </w:lvl>
    <w:lvl w:ilvl="5" w:tplc="0C09001B" w:tentative="1">
      <w:start w:val="1"/>
      <w:numFmt w:val="lowerRoman"/>
      <w:lvlText w:val="%6."/>
      <w:lvlJc w:val="right"/>
      <w:pPr>
        <w:ind w:left="3720" w:hanging="180"/>
      </w:pPr>
    </w:lvl>
    <w:lvl w:ilvl="6" w:tplc="0C09000F" w:tentative="1">
      <w:start w:val="1"/>
      <w:numFmt w:val="decimal"/>
      <w:lvlText w:val="%7."/>
      <w:lvlJc w:val="left"/>
      <w:pPr>
        <w:ind w:left="4440" w:hanging="360"/>
      </w:pPr>
    </w:lvl>
    <w:lvl w:ilvl="7" w:tplc="0C090019" w:tentative="1">
      <w:start w:val="1"/>
      <w:numFmt w:val="lowerLetter"/>
      <w:lvlText w:val="%8."/>
      <w:lvlJc w:val="left"/>
      <w:pPr>
        <w:ind w:left="5160" w:hanging="360"/>
      </w:pPr>
    </w:lvl>
    <w:lvl w:ilvl="8" w:tplc="0C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8">
    <w:nsid w:val="443A150F"/>
    <w:multiLevelType w:val="hybridMultilevel"/>
    <w:tmpl w:val="13BA1864"/>
    <w:lvl w:ilvl="0" w:tplc="502E57C8">
      <w:start w:val="1"/>
      <w:numFmt w:val="decimal"/>
      <w:lvlText w:val="(%1)"/>
      <w:lvlJc w:val="left"/>
      <w:pPr>
        <w:ind w:left="168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8BF7BC8"/>
    <w:multiLevelType w:val="hybridMultilevel"/>
    <w:tmpl w:val="13BA1864"/>
    <w:lvl w:ilvl="0" w:tplc="502E57C8">
      <w:start w:val="1"/>
      <w:numFmt w:val="decimal"/>
      <w:lvlText w:val="(%1)"/>
      <w:lvlJc w:val="left"/>
      <w:pPr>
        <w:ind w:left="168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4F344CFC"/>
    <w:multiLevelType w:val="hybridMultilevel"/>
    <w:tmpl w:val="13BA1864"/>
    <w:lvl w:ilvl="0" w:tplc="502E57C8">
      <w:start w:val="1"/>
      <w:numFmt w:val="decimal"/>
      <w:lvlText w:val="(%1)"/>
      <w:lvlJc w:val="left"/>
      <w:pPr>
        <w:ind w:left="168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509533ED"/>
    <w:multiLevelType w:val="hybridMultilevel"/>
    <w:tmpl w:val="F77041CC"/>
    <w:lvl w:ilvl="0" w:tplc="FD9E65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816D61"/>
    <w:multiLevelType w:val="hybridMultilevel"/>
    <w:tmpl w:val="F77041CC"/>
    <w:lvl w:ilvl="0" w:tplc="FD9E65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69576B"/>
    <w:multiLevelType w:val="hybridMultilevel"/>
    <w:tmpl w:val="D700B79E"/>
    <w:lvl w:ilvl="0" w:tplc="D46A8272">
      <w:start w:val="3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B6486"/>
    <w:multiLevelType w:val="hybridMultilevel"/>
    <w:tmpl w:val="11683514"/>
    <w:lvl w:ilvl="0" w:tplc="4F18DF6E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5084"/>
    <w:multiLevelType w:val="hybridMultilevel"/>
    <w:tmpl w:val="D2E2AC06"/>
    <w:lvl w:ilvl="0" w:tplc="9FF64948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3710F48"/>
    <w:multiLevelType w:val="hybridMultilevel"/>
    <w:tmpl w:val="F25E9EAE"/>
    <w:lvl w:ilvl="0" w:tplc="45ECBA98">
      <w:start w:val="2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B5C1B"/>
    <w:multiLevelType w:val="hybridMultilevel"/>
    <w:tmpl w:val="D1B4712C"/>
    <w:lvl w:ilvl="0" w:tplc="980EC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22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23"/>
  </w:num>
  <w:num w:numId="14">
    <w:abstractNumId w:val="26"/>
  </w:num>
  <w:num w:numId="15">
    <w:abstractNumId w:val="0"/>
  </w:num>
  <w:num w:numId="16">
    <w:abstractNumId w:val="19"/>
  </w:num>
  <w:num w:numId="17">
    <w:abstractNumId w:val="15"/>
  </w:num>
  <w:num w:numId="18">
    <w:abstractNumId w:val="17"/>
  </w:num>
  <w:num w:numId="19">
    <w:abstractNumId w:val="6"/>
  </w:num>
  <w:num w:numId="20">
    <w:abstractNumId w:val="7"/>
  </w:num>
  <w:num w:numId="21">
    <w:abstractNumId w:val="2"/>
  </w:num>
  <w:num w:numId="22">
    <w:abstractNumId w:val="27"/>
  </w:num>
  <w:num w:numId="23">
    <w:abstractNumId w:val="14"/>
  </w:num>
  <w:num w:numId="24">
    <w:abstractNumId w:val="1"/>
  </w:num>
  <w:num w:numId="25">
    <w:abstractNumId w:val="24"/>
  </w:num>
  <w:num w:numId="26">
    <w:abstractNumId w:val="1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370DD7"/>
    <w:rsid w:val="00003016"/>
    <w:rsid w:val="000038A0"/>
    <w:rsid w:val="00005DA1"/>
    <w:rsid w:val="0000705E"/>
    <w:rsid w:val="00010B17"/>
    <w:rsid w:val="00012F8A"/>
    <w:rsid w:val="000146B3"/>
    <w:rsid w:val="0001662A"/>
    <w:rsid w:val="00017949"/>
    <w:rsid w:val="00020108"/>
    <w:rsid w:val="000244BC"/>
    <w:rsid w:val="00032F2C"/>
    <w:rsid w:val="00036C2A"/>
    <w:rsid w:val="00040090"/>
    <w:rsid w:val="000403D5"/>
    <w:rsid w:val="000427E4"/>
    <w:rsid w:val="00045BA4"/>
    <w:rsid w:val="00045F1B"/>
    <w:rsid w:val="000512D4"/>
    <w:rsid w:val="00051726"/>
    <w:rsid w:val="000518DE"/>
    <w:rsid w:val="000521B7"/>
    <w:rsid w:val="0005339D"/>
    <w:rsid w:val="00056380"/>
    <w:rsid w:val="00060076"/>
    <w:rsid w:val="000646EC"/>
    <w:rsid w:val="00065118"/>
    <w:rsid w:val="00065296"/>
    <w:rsid w:val="000715D1"/>
    <w:rsid w:val="00077AE6"/>
    <w:rsid w:val="00077B2B"/>
    <w:rsid w:val="0008263B"/>
    <w:rsid w:val="00082916"/>
    <w:rsid w:val="00083189"/>
    <w:rsid w:val="000831A1"/>
    <w:rsid w:val="0008560A"/>
    <w:rsid w:val="00091146"/>
    <w:rsid w:val="000925CD"/>
    <w:rsid w:val="00095849"/>
    <w:rsid w:val="000975D1"/>
    <w:rsid w:val="000A0788"/>
    <w:rsid w:val="000A0CCA"/>
    <w:rsid w:val="000A171F"/>
    <w:rsid w:val="000A1742"/>
    <w:rsid w:val="000A620C"/>
    <w:rsid w:val="000A7869"/>
    <w:rsid w:val="000B04A5"/>
    <w:rsid w:val="000B4121"/>
    <w:rsid w:val="000B51B3"/>
    <w:rsid w:val="000B5511"/>
    <w:rsid w:val="000B6FCE"/>
    <w:rsid w:val="000C52B0"/>
    <w:rsid w:val="000D1916"/>
    <w:rsid w:val="000D1E71"/>
    <w:rsid w:val="000E16EC"/>
    <w:rsid w:val="000E27E3"/>
    <w:rsid w:val="000E3F2F"/>
    <w:rsid w:val="000E48BD"/>
    <w:rsid w:val="000E7494"/>
    <w:rsid w:val="000F19B7"/>
    <w:rsid w:val="000F43AD"/>
    <w:rsid w:val="000F72ED"/>
    <w:rsid w:val="000F78BC"/>
    <w:rsid w:val="00105BB8"/>
    <w:rsid w:val="00106C72"/>
    <w:rsid w:val="00111D90"/>
    <w:rsid w:val="00112A63"/>
    <w:rsid w:val="00116989"/>
    <w:rsid w:val="00117022"/>
    <w:rsid w:val="0012207A"/>
    <w:rsid w:val="00125657"/>
    <w:rsid w:val="00127413"/>
    <w:rsid w:val="001312D8"/>
    <w:rsid w:val="001328CE"/>
    <w:rsid w:val="00134DDC"/>
    <w:rsid w:val="0013733A"/>
    <w:rsid w:val="00140090"/>
    <w:rsid w:val="001409F1"/>
    <w:rsid w:val="0014186A"/>
    <w:rsid w:val="00141CBA"/>
    <w:rsid w:val="00144DE3"/>
    <w:rsid w:val="00150673"/>
    <w:rsid w:val="00153195"/>
    <w:rsid w:val="0015363E"/>
    <w:rsid w:val="00156A73"/>
    <w:rsid w:val="00162609"/>
    <w:rsid w:val="00162840"/>
    <w:rsid w:val="00164935"/>
    <w:rsid w:val="00165D61"/>
    <w:rsid w:val="00170574"/>
    <w:rsid w:val="00175576"/>
    <w:rsid w:val="0017685B"/>
    <w:rsid w:val="00183D39"/>
    <w:rsid w:val="00185F83"/>
    <w:rsid w:val="00186360"/>
    <w:rsid w:val="00186E8D"/>
    <w:rsid w:val="00187D63"/>
    <w:rsid w:val="00191FA5"/>
    <w:rsid w:val="00192C10"/>
    <w:rsid w:val="00193F32"/>
    <w:rsid w:val="00196805"/>
    <w:rsid w:val="00197331"/>
    <w:rsid w:val="001A2C5D"/>
    <w:rsid w:val="001A4DD7"/>
    <w:rsid w:val="001A6C59"/>
    <w:rsid w:val="001A6D1A"/>
    <w:rsid w:val="001B0AC1"/>
    <w:rsid w:val="001B368A"/>
    <w:rsid w:val="001C0B71"/>
    <w:rsid w:val="001C22F5"/>
    <w:rsid w:val="001C25FE"/>
    <w:rsid w:val="001D1135"/>
    <w:rsid w:val="001D3FD2"/>
    <w:rsid w:val="001D52A6"/>
    <w:rsid w:val="001D6D71"/>
    <w:rsid w:val="001D70B6"/>
    <w:rsid w:val="001E05EE"/>
    <w:rsid w:val="001E092D"/>
    <w:rsid w:val="001E1175"/>
    <w:rsid w:val="001E1749"/>
    <w:rsid w:val="001E399F"/>
    <w:rsid w:val="001F108C"/>
    <w:rsid w:val="001F14C8"/>
    <w:rsid w:val="001F41C5"/>
    <w:rsid w:val="001F50DE"/>
    <w:rsid w:val="001F6FE3"/>
    <w:rsid w:val="001F70E2"/>
    <w:rsid w:val="002015B2"/>
    <w:rsid w:val="0020250C"/>
    <w:rsid w:val="00203232"/>
    <w:rsid w:val="00203B38"/>
    <w:rsid w:val="00204540"/>
    <w:rsid w:val="00210652"/>
    <w:rsid w:val="00214C3B"/>
    <w:rsid w:val="002157F2"/>
    <w:rsid w:val="00222FD0"/>
    <w:rsid w:val="00224962"/>
    <w:rsid w:val="002252C7"/>
    <w:rsid w:val="0022734F"/>
    <w:rsid w:val="00233C57"/>
    <w:rsid w:val="0023489C"/>
    <w:rsid w:val="00241074"/>
    <w:rsid w:val="0024222C"/>
    <w:rsid w:val="00243601"/>
    <w:rsid w:val="00244C01"/>
    <w:rsid w:val="00246042"/>
    <w:rsid w:val="00252F17"/>
    <w:rsid w:val="00253DDD"/>
    <w:rsid w:val="00260912"/>
    <w:rsid w:val="00261235"/>
    <w:rsid w:val="002614A7"/>
    <w:rsid w:val="002634D1"/>
    <w:rsid w:val="00266597"/>
    <w:rsid w:val="0027053C"/>
    <w:rsid w:val="00275245"/>
    <w:rsid w:val="00276C63"/>
    <w:rsid w:val="00281E63"/>
    <w:rsid w:val="002823E7"/>
    <w:rsid w:val="00283502"/>
    <w:rsid w:val="00284550"/>
    <w:rsid w:val="0028609E"/>
    <w:rsid w:val="00286CEA"/>
    <w:rsid w:val="00293BC3"/>
    <w:rsid w:val="002943DE"/>
    <w:rsid w:val="0029443D"/>
    <w:rsid w:val="002A0984"/>
    <w:rsid w:val="002A19B0"/>
    <w:rsid w:val="002A37DA"/>
    <w:rsid w:val="002A3AE1"/>
    <w:rsid w:val="002A5AC7"/>
    <w:rsid w:val="002B0081"/>
    <w:rsid w:val="002B1EBA"/>
    <w:rsid w:val="002B265A"/>
    <w:rsid w:val="002B3196"/>
    <w:rsid w:val="002B32C5"/>
    <w:rsid w:val="002B519A"/>
    <w:rsid w:val="002B7DCF"/>
    <w:rsid w:val="002D3A93"/>
    <w:rsid w:val="002D4558"/>
    <w:rsid w:val="002D53CF"/>
    <w:rsid w:val="002D71AC"/>
    <w:rsid w:val="002D7932"/>
    <w:rsid w:val="002E5543"/>
    <w:rsid w:val="002E5749"/>
    <w:rsid w:val="002E78FE"/>
    <w:rsid w:val="002F2214"/>
    <w:rsid w:val="002F226D"/>
    <w:rsid w:val="002F78D5"/>
    <w:rsid w:val="002F7CB0"/>
    <w:rsid w:val="003030F9"/>
    <w:rsid w:val="003041ED"/>
    <w:rsid w:val="00304464"/>
    <w:rsid w:val="00306194"/>
    <w:rsid w:val="00310811"/>
    <w:rsid w:val="0031083C"/>
    <w:rsid w:val="00313EE9"/>
    <w:rsid w:val="003231FF"/>
    <w:rsid w:val="00324B05"/>
    <w:rsid w:val="00325E7F"/>
    <w:rsid w:val="0032651C"/>
    <w:rsid w:val="0033573E"/>
    <w:rsid w:val="00336724"/>
    <w:rsid w:val="00336AD3"/>
    <w:rsid w:val="00340B0E"/>
    <w:rsid w:val="00343B24"/>
    <w:rsid w:val="00344DF9"/>
    <w:rsid w:val="003458D2"/>
    <w:rsid w:val="003469E3"/>
    <w:rsid w:val="0035001E"/>
    <w:rsid w:val="0035271C"/>
    <w:rsid w:val="00353F3B"/>
    <w:rsid w:val="00354E7E"/>
    <w:rsid w:val="00355EE0"/>
    <w:rsid w:val="00357657"/>
    <w:rsid w:val="00367E3F"/>
    <w:rsid w:val="00370DD7"/>
    <w:rsid w:val="0037255F"/>
    <w:rsid w:val="00375997"/>
    <w:rsid w:val="003771B0"/>
    <w:rsid w:val="0038199B"/>
    <w:rsid w:val="00383115"/>
    <w:rsid w:val="003869C6"/>
    <w:rsid w:val="00387B23"/>
    <w:rsid w:val="00387F34"/>
    <w:rsid w:val="00392557"/>
    <w:rsid w:val="00393268"/>
    <w:rsid w:val="0039396B"/>
    <w:rsid w:val="00393D99"/>
    <w:rsid w:val="00394029"/>
    <w:rsid w:val="003A5AF1"/>
    <w:rsid w:val="003A77F7"/>
    <w:rsid w:val="003A78DF"/>
    <w:rsid w:val="003B0422"/>
    <w:rsid w:val="003B0D29"/>
    <w:rsid w:val="003B0FC6"/>
    <w:rsid w:val="003B557C"/>
    <w:rsid w:val="003B7E2B"/>
    <w:rsid w:val="003C1D25"/>
    <w:rsid w:val="003C3D3D"/>
    <w:rsid w:val="003D0BD5"/>
    <w:rsid w:val="003D1079"/>
    <w:rsid w:val="003D1FD3"/>
    <w:rsid w:val="003D24FA"/>
    <w:rsid w:val="003D5FC8"/>
    <w:rsid w:val="003D659C"/>
    <w:rsid w:val="003D6F03"/>
    <w:rsid w:val="003E22A7"/>
    <w:rsid w:val="003E6D06"/>
    <w:rsid w:val="003F6833"/>
    <w:rsid w:val="004005D4"/>
    <w:rsid w:val="00403F78"/>
    <w:rsid w:val="0040480D"/>
    <w:rsid w:val="00410CDA"/>
    <w:rsid w:val="00421964"/>
    <w:rsid w:val="00422522"/>
    <w:rsid w:val="004255DD"/>
    <w:rsid w:val="00427CAC"/>
    <w:rsid w:val="00433B06"/>
    <w:rsid w:val="00434C2F"/>
    <w:rsid w:val="0043580A"/>
    <w:rsid w:val="004361A5"/>
    <w:rsid w:val="00437A8C"/>
    <w:rsid w:val="00440B24"/>
    <w:rsid w:val="00442AA3"/>
    <w:rsid w:val="00443890"/>
    <w:rsid w:val="0044430D"/>
    <w:rsid w:val="00444F77"/>
    <w:rsid w:val="0044543E"/>
    <w:rsid w:val="0044549F"/>
    <w:rsid w:val="004459DE"/>
    <w:rsid w:val="00447907"/>
    <w:rsid w:val="00450DE1"/>
    <w:rsid w:val="004533FC"/>
    <w:rsid w:val="00456A38"/>
    <w:rsid w:val="00457FCC"/>
    <w:rsid w:val="00464092"/>
    <w:rsid w:val="004640EA"/>
    <w:rsid w:val="00466DBA"/>
    <w:rsid w:val="00473625"/>
    <w:rsid w:val="00473F89"/>
    <w:rsid w:val="00474D26"/>
    <w:rsid w:val="00476A39"/>
    <w:rsid w:val="00484C1F"/>
    <w:rsid w:val="004879CB"/>
    <w:rsid w:val="0049172E"/>
    <w:rsid w:val="00493BD5"/>
    <w:rsid w:val="00493D21"/>
    <w:rsid w:val="004A071D"/>
    <w:rsid w:val="004A10F5"/>
    <w:rsid w:val="004A1674"/>
    <w:rsid w:val="004A20E2"/>
    <w:rsid w:val="004A2822"/>
    <w:rsid w:val="004A7713"/>
    <w:rsid w:val="004A7AA7"/>
    <w:rsid w:val="004B0550"/>
    <w:rsid w:val="004B068F"/>
    <w:rsid w:val="004B1AC1"/>
    <w:rsid w:val="004B6C4F"/>
    <w:rsid w:val="004C3987"/>
    <w:rsid w:val="004D32C2"/>
    <w:rsid w:val="004D5EAB"/>
    <w:rsid w:val="004D6045"/>
    <w:rsid w:val="004E0619"/>
    <w:rsid w:val="004E0783"/>
    <w:rsid w:val="004E1C75"/>
    <w:rsid w:val="004E2FEB"/>
    <w:rsid w:val="004E538C"/>
    <w:rsid w:val="004E7590"/>
    <w:rsid w:val="004F24D0"/>
    <w:rsid w:val="004F596D"/>
    <w:rsid w:val="004F5B0D"/>
    <w:rsid w:val="004F5D6D"/>
    <w:rsid w:val="00500478"/>
    <w:rsid w:val="00501E0C"/>
    <w:rsid w:val="00504DFA"/>
    <w:rsid w:val="005056C8"/>
    <w:rsid w:val="00507468"/>
    <w:rsid w:val="0051137B"/>
    <w:rsid w:val="00511776"/>
    <w:rsid w:val="00511924"/>
    <w:rsid w:val="00511A17"/>
    <w:rsid w:val="00512974"/>
    <w:rsid w:val="00515062"/>
    <w:rsid w:val="0051511D"/>
    <w:rsid w:val="00520335"/>
    <w:rsid w:val="0052220C"/>
    <w:rsid w:val="005234C7"/>
    <w:rsid w:val="005238E0"/>
    <w:rsid w:val="00525BB5"/>
    <w:rsid w:val="0052680E"/>
    <w:rsid w:val="005277E8"/>
    <w:rsid w:val="00531C1E"/>
    <w:rsid w:val="00532902"/>
    <w:rsid w:val="00536D26"/>
    <w:rsid w:val="00542E0D"/>
    <w:rsid w:val="0054351E"/>
    <w:rsid w:val="005449EF"/>
    <w:rsid w:val="00545C56"/>
    <w:rsid w:val="0054690F"/>
    <w:rsid w:val="00550431"/>
    <w:rsid w:val="00550444"/>
    <w:rsid w:val="005516CA"/>
    <w:rsid w:val="005531BA"/>
    <w:rsid w:val="00561D6A"/>
    <w:rsid w:val="005633B5"/>
    <w:rsid w:val="0056500F"/>
    <w:rsid w:val="00565471"/>
    <w:rsid w:val="00566280"/>
    <w:rsid w:val="005672DE"/>
    <w:rsid w:val="00572F51"/>
    <w:rsid w:val="005749F6"/>
    <w:rsid w:val="00575CFE"/>
    <w:rsid w:val="00576569"/>
    <w:rsid w:val="00577214"/>
    <w:rsid w:val="00580301"/>
    <w:rsid w:val="00580B21"/>
    <w:rsid w:val="005859FB"/>
    <w:rsid w:val="005924C4"/>
    <w:rsid w:val="005943B6"/>
    <w:rsid w:val="005971AB"/>
    <w:rsid w:val="005A4031"/>
    <w:rsid w:val="005B5730"/>
    <w:rsid w:val="005B5BAF"/>
    <w:rsid w:val="005B7B02"/>
    <w:rsid w:val="005C0C68"/>
    <w:rsid w:val="005C4A85"/>
    <w:rsid w:val="005C677B"/>
    <w:rsid w:val="005C7B7C"/>
    <w:rsid w:val="005D0D26"/>
    <w:rsid w:val="005D0D39"/>
    <w:rsid w:val="005D2F97"/>
    <w:rsid w:val="005D323E"/>
    <w:rsid w:val="005D5FFF"/>
    <w:rsid w:val="005D692B"/>
    <w:rsid w:val="005D713B"/>
    <w:rsid w:val="005E2438"/>
    <w:rsid w:val="005E2C7C"/>
    <w:rsid w:val="005E43E5"/>
    <w:rsid w:val="005E563D"/>
    <w:rsid w:val="005E6FCE"/>
    <w:rsid w:val="005F0DDB"/>
    <w:rsid w:val="005F47D8"/>
    <w:rsid w:val="005F4FE9"/>
    <w:rsid w:val="005F52A1"/>
    <w:rsid w:val="005F543B"/>
    <w:rsid w:val="005F6854"/>
    <w:rsid w:val="00602748"/>
    <w:rsid w:val="00602DB0"/>
    <w:rsid w:val="00603764"/>
    <w:rsid w:val="006047C5"/>
    <w:rsid w:val="00611CC0"/>
    <w:rsid w:val="00616017"/>
    <w:rsid w:val="00621915"/>
    <w:rsid w:val="006227B2"/>
    <w:rsid w:val="00624074"/>
    <w:rsid w:val="0062769F"/>
    <w:rsid w:val="006302FB"/>
    <w:rsid w:val="00633D8E"/>
    <w:rsid w:val="00635C7F"/>
    <w:rsid w:val="00641664"/>
    <w:rsid w:val="0065001E"/>
    <w:rsid w:val="00652615"/>
    <w:rsid w:val="00652B5A"/>
    <w:rsid w:val="006533B7"/>
    <w:rsid w:val="00663166"/>
    <w:rsid w:val="006644D3"/>
    <w:rsid w:val="006703BD"/>
    <w:rsid w:val="00674B00"/>
    <w:rsid w:val="00675A81"/>
    <w:rsid w:val="006840BB"/>
    <w:rsid w:val="0069667F"/>
    <w:rsid w:val="006B4C81"/>
    <w:rsid w:val="006B739B"/>
    <w:rsid w:val="006C2616"/>
    <w:rsid w:val="006C5742"/>
    <w:rsid w:val="006C7F7A"/>
    <w:rsid w:val="006D018E"/>
    <w:rsid w:val="006D1E1C"/>
    <w:rsid w:val="006D26D8"/>
    <w:rsid w:val="006D3078"/>
    <w:rsid w:val="006D4034"/>
    <w:rsid w:val="006E03F4"/>
    <w:rsid w:val="006E12BF"/>
    <w:rsid w:val="006E2530"/>
    <w:rsid w:val="006E548F"/>
    <w:rsid w:val="006E5D70"/>
    <w:rsid w:val="006E7E7A"/>
    <w:rsid w:val="006E7EF3"/>
    <w:rsid w:val="006F0BD8"/>
    <w:rsid w:val="006F6FEC"/>
    <w:rsid w:val="006F73F0"/>
    <w:rsid w:val="00702998"/>
    <w:rsid w:val="00702E5A"/>
    <w:rsid w:val="0071055A"/>
    <w:rsid w:val="0071414A"/>
    <w:rsid w:val="0071514F"/>
    <w:rsid w:val="00716F1E"/>
    <w:rsid w:val="00724BD1"/>
    <w:rsid w:val="0072767E"/>
    <w:rsid w:val="00727685"/>
    <w:rsid w:val="00730AF8"/>
    <w:rsid w:val="00735D7F"/>
    <w:rsid w:val="00736A56"/>
    <w:rsid w:val="007375F7"/>
    <w:rsid w:val="00740322"/>
    <w:rsid w:val="007408B1"/>
    <w:rsid w:val="00740916"/>
    <w:rsid w:val="007431FF"/>
    <w:rsid w:val="00744669"/>
    <w:rsid w:val="00753DCA"/>
    <w:rsid w:val="0075539A"/>
    <w:rsid w:val="00756F9E"/>
    <w:rsid w:val="007642D0"/>
    <w:rsid w:val="00764F8A"/>
    <w:rsid w:val="00772313"/>
    <w:rsid w:val="00772ADE"/>
    <w:rsid w:val="00773D29"/>
    <w:rsid w:val="00774FFF"/>
    <w:rsid w:val="00777F7B"/>
    <w:rsid w:val="007807C7"/>
    <w:rsid w:val="00780B40"/>
    <w:rsid w:val="0078300B"/>
    <w:rsid w:val="007833A9"/>
    <w:rsid w:val="00784905"/>
    <w:rsid w:val="007851E9"/>
    <w:rsid w:val="007910D2"/>
    <w:rsid w:val="007937E2"/>
    <w:rsid w:val="00794754"/>
    <w:rsid w:val="00795249"/>
    <w:rsid w:val="007A3064"/>
    <w:rsid w:val="007C07DC"/>
    <w:rsid w:val="007C7959"/>
    <w:rsid w:val="007D042A"/>
    <w:rsid w:val="007D0C71"/>
    <w:rsid w:val="007D18E4"/>
    <w:rsid w:val="007D1A1E"/>
    <w:rsid w:val="007D7080"/>
    <w:rsid w:val="007E231D"/>
    <w:rsid w:val="007E3AA5"/>
    <w:rsid w:val="007E424F"/>
    <w:rsid w:val="007E61F6"/>
    <w:rsid w:val="007E6681"/>
    <w:rsid w:val="007E6B69"/>
    <w:rsid w:val="007E774C"/>
    <w:rsid w:val="007F3E5A"/>
    <w:rsid w:val="007F44D3"/>
    <w:rsid w:val="007F50EB"/>
    <w:rsid w:val="007F6583"/>
    <w:rsid w:val="007F75DF"/>
    <w:rsid w:val="008002E8"/>
    <w:rsid w:val="008006D5"/>
    <w:rsid w:val="008010BB"/>
    <w:rsid w:val="00814934"/>
    <w:rsid w:val="008149B7"/>
    <w:rsid w:val="00820280"/>
    <w:rsid w:val="00825250"/>
    <w:rsid w:val="008278A8"/>
    <w:rsid w:val="00831515"/>
    <w:rsid w:val="008322B6"/>
    <w:rsid w:val="008349F1"/>
    <w:rsid w:val="00836024"/>
    <w:rsid w:val="00836392"/>
    <w:rsid w:val="008416EA"/>
    <w:rsid w:val="00844132"/>
    <w:rsid w:val="00844A29"/>
    <w:rsid w:val="00847850"/>
    <w:rsid w:val="008546A9"/>
    <w:rsid w:val="00854857"/>
    <w:rsid w:val="00856EB5"/>
    <w:rsid w:val="00863597"/>
    <w:rsid w:val="00864813"/>
    <w:rsid w:val="0086648B"/>
    <w:rsid w:val="008673F2"/>
    <w:rsid w:val="00867E7D"/>
    <w:rsid w:val="008731F9"/>
    <w:rsid w:val="00873699"/>
    <w:rsid w:val="00873E3C"/>
    <w:rsid w:val="008750E2"/>
    <w:rsid w:val="00876486"/>
    <w:rsid w:val="008804C0"/>
    <w:rsid w:val="00882367"/>
    <w:rsid w:val="00886003"/>
    <w:rsid w:val="008866E8"/>
    <w:rsid w:val="0088671C"/>
    <w:rsid w:val="00886C7C"/>
    <w:rsid w:val="00891675"/>
    <w:rsid w:val="00893EC9"/>
    <w:rsid w:val="0089514E"/>
    <w:rsid w:val="008A06FD"/>
    <w:rsid w:val="008A3448"/>
    <w:rsid w:val="008A4808"/>
    <w:rsid w:val="008A6DFE"/>
    <w:rsid w:val="008B0EFE"/>
    <w:rsid w:val="008B16AC"/>
    <w:rsid w:val="008B183C"/>
    <w:rsid w:val="008B1E93"/>
    <w:rsid w:val="008B4591"/>
    <w:rsid w:val="008B5981"/>
    <w:rsid w:val="008B6689"/>
    <w:rsid w:val="008B6C52"/>
    <w:rsid w:val="008C2089"/>
    <w:rsid w:val="008C3068"/>
    <w:rsid w:val="008C3140"/>
    <w:rsid w:val="008C43C2"/>
    <w:rsid w:val="008C48D9"/>
    <w:rsid w:val="008D2880"/>
    <w:rsid w:val="008D4A38"/>
    <w:rsid w:val="008D5B3D"/>
    <w:rsid w:val="008D71E3"/>
    <w:rsid w:val="008E2235"/>
    <w:rsid w:val="008E3423"/>
    <w:rsid w:val="008E3790"/>
    <w:rsid w:val="008E61EA"/>
    <w:rsid w:val="008E63C4"/>
    <w:rsid w:val="008F16BC"/>
    <w:rsid w:val="008F1CB2"/>
    <w:rsid w:val="008F1DAB"/>
    <w:rsid w:val="008F3C01"/>
    <w:rsid w:val="009007F1"/>
    <w:rsid w:val="00901384"/>
    <w:rsid w:val="009078CC"/>
    <w:rsid w:val="009100A8"/>
    <w:rsid w:val="00911F7B"/>
    <w:rsid w:val="00912B91"/>
    <w:rsid w:val="00913281"/>
    <w:rsid w:val="00913EA5"/>
    <w:rsid w:val="0091422B"/>
    <w:rsid w:val="009146C1"/>
    <w:rsid w:val="00915D96"/>
    <w:rsid w:val="00926A2D"/>
    <w:rsid w:val="00927849"/>
    <w:rsid w:val="00930919"/>
    <w:rsid w:val="009314C4"/>
    <w:rsid w:val="009318B7"/>
    <w:rsid w:val="00943CEA"/>
    <w:rsid w:val="00945A5E"/>
    <w:rsid w:val="00951FBC"/>
    <w:rsid w:val="00953625"/>
    <w:rsid w:val="009612A7"/>
    <w:rsid w:val="00962D05"/>
    <w:rsid w:val="00963ADB"/>
    <w:rsid w:val="0096715B"/>
    <w:rsid w:val="00967444"/>
    <w:rsid w:val="00972423"/>
    <w:rsid w:val="009726D8"/>
    <w:rsid w:val="00973862"/>
    <w:rsid w:val="00976374"/>
    <w:rsid w:val="00983871"/>
    <w:rsid w:val="009838BD"/>
    <w:rsid w:val="00983A1F"/>
    <w:rsid w:val="00985449"/>
    <w:rsid w:val="00987485"/>
    <w:rsid w:val="0099167B"/>
    <w:rsid w:val="0099776F"/>
    <w:rsid w:val="009A0CC8"/>
    <w:rsid w:val="009A207B"/>
    <w:rsid w:val="009A5A0D"/>
    <w:rsid w:val="009A679E"/>
    <w:rsid w:val="009A6D1B"/>
    <w:rsid w:val="009B303B"/>
    <w:rsid w:val="009B3BDA"/>
    <w:rsid w:val="009B4268"/>
    <w:rsid w:val="009B76D8"/>
    <w:rsid w:val="009B785F"/>
    <w:rsid w:val="009B7901"/>
    <w:rsid w:val="009C01D6"/>
    <w:rsid w:val="009C0398"/>
    <w:rsid w:val="009D5AB6"/>
    <w:rsid w:val="009D6B2A"/>
    <w:rsid w:val="009D7B04"/>
    <w:rsid w:val="009D7BDF"/>
    <w:rsid w:val="009E17F6"/>
    <w:rsid w:val="009E1C06"/>
    <w:rsid w:val="009E28DB"/>
    <w:rsid w:val="009E2D2F"/>
    <w:rsid w:val="009E4BCA"/>
    <w:rsid w:val="009E4E6B"/>
    <w:rsid w:val="009F339E"/>
    <w:rsid w:val="009F3F7B"/>
    <w:rsid w:val="00A00C88"/>
    <w:rsid w:val="00A02C4B"/>
    <w:rsid w:val="00A046F7"/>
    <w:rsid w:val="00A114A0"/>
    <w:rsid w:val="00A13F63"/>
    <w:rsid w:val="00A15735"/>
    <w:rsid w:val="00A17017"/>
    <w:rsid w:val="00A21D2D"/>
    <w:rsid w:val="00A21E2A"/>
    <w:rsid w:val="00A223AA"/>
    <w:rsid w:val="00A236D6"/>
    <w:rsid w:val="00A236D7"/>
    <w:rsid w:val="00A24F06"/>
    <w:rsid w:val="00A266F5"/>
    <w:rsid w:val="00A27BA1"/>
    <w:rsid w:val="00A307A7"/>
    <w:rsid w:val="00A30ABA"/>
    <w:rsid w:val="00A314B9"/>
    <w:rsid w:val="00A33D5D"/>
    <w:rsid w:val="00A41885"/>
    <w:rsid w:val="00A41B45"/>
    <w:rsid w:val="00A4357F"/>
    <w:rsid w:val="00A46217"/>
    <w:rsid w:val="00A52515"/>
    <w:rsid w:val="00A52DE1"/>
    <w:rsid w:val="00A54B37"/>
    <w:rsid w:val="00A609DD"/>
    <w:rsid w:val="00A60B57"/>
    <w:rsid w:val="00A61815"/>
    <w:rsid w:val="00A644DE"/>
    <w:rsid w:val="00A6740F"/>
    <w:rsid w:val="00A67BA8"/>
    <w:rsid w:val="00A703E5"/>
    <w:rsid w:val="00A77780"/>
    <w:rsid w:val="00A80528"/>
    <w:rsid w:val="00A808BA"/>
    <w:rsid w:val="00A8176E"/>
    <w:rsid w:val="00A843F7"/>
    <w:rsid w:val="00A87D7C"/>
    <w:rsid w:val="00A95A88"/>
    <w:rsid w:val="00A960AC"/>
    <w:rsid w:val="00A9703C"/>
    <w:rsid w:val="00AA1B16"/>
    <w:rsid w:val="00AA1B63"/>
    <w:rsid w:val="00AA3188"/>
    <w:rsid w:val="00AA420D"/>
    <w:rsid w:val="00AB2C8C"/>
    <w:rsid w:val="00AB444A"/>
    <w:rsid w:val="00AC405E"/>
    <w:rsid w:val="00AD5FF5"/>
    <w:rsid w:val="00AE732F"/>
    <w:rsid w:val="00AF074C"/>
    <w:rsid w:val="00AF0B99"/>
    <w:rsid w:val="00AF3C09"/>
    <w:rsid w:val="00AF716F"/>
    <w:rsid w:val="00AF721B"/>
    <w:rsid w:val="00B03AF0"/>
    <w:rsid w:val="00B051BF"/>
    <w:rsid w:val="00B05373"/>
    <w:rsid w:val="00B067E6"/>
    <w:rsid w:val="00B11A88"/>
    <w:rsid w:val="00B12260"/>
    <w:rsid w:val="00B13B6D"/>
    <w:rsid w:val="00B13F00"/>
    <w:rsid w:val="00B156E1"/>
    <w:rsid w:val="00B15CE0"/>
    <w:rsid w:val="00B167FE"/>
    <w:rsid w:val="00B2147F"/>
    <w:rsid w:val="00B25433"/>
    <w:rsid w:val="00B2626C"/>
    <w:rsid w:val="00B26C15"/>
    <w:rsid w:val="00B3728B"/>
    <w:rsid w:val="00B408B6"/>
    <w:rsid w:val="00B50D0F"/>
    <w:rsid w:val="00B531ED"/>
    <w:rsid w:val="00B53574"/>
    <w:rsid w:val="00B53F50"/>
    <w:rsid w:val="00B60027"/>
    <w:rsid w:val="00B63AE9"/>
    <w:rsid w:val="00B670FF"/>
    <w:rsid w:val="00B746D4"/>
    <w:rsid w:val="00B76BE0"/>
    <w:rsid w:val="00B8004E"/>
    <w:rsid w:val="00B80913"/>
    <w:rsid w:val="00B84A6E"/>
    <w:rsid w:val="00B91A8D"/>
    <w:rsid w:val="00B94B51"/>
    <w:rsid w:val="00BA34AD"/>
    <w:rsid w:val="00BA375C"/>
    <w:rsid w:val="00BA4B2A"/>
    <w:rsid w:val="00BA516A"/>
    <w:rsid w:val="00BB1CA4"/>
    <w:rsid w:val="00BB69FF"/>
    <w:rsid w:val="00BB7F6C"/>
    <w:rsid w:val="00BC0010"/>
    <w:rsid w:val="00BD181D"/>
    <w:rsid w:val="00BD2135"/>
    <w:rsid w:val="00BD376C"/>
    <w:rsid w:val="00BD40D0"/>
    <w:rsid w:val="00BD545A"/>
    <w:rsid w:val="00BE06E8"/>
    <w:rsid w:val="00BE461B"/>
    <w:rsid w:val="00BF133B"/>
    <w:rsid w:val="00BF1C2D"/>
    <w:rsid w:val="00BF2735"/>
    <w:rsid w:val="00BF728B"/>
    <w:rsid w:val="00BF738E"/>
    <w:rsid w:val="00C03927"/>
    <w:rsid w:val="00C0402F"/>
    <w:rsid w:val="00C0488A"/>
    <w:rsid w:val="00C14CE5"/>
    <w:rsid w:val="00C24D41"/>
    <w:rsid w:val="00C268CB"/>
    <w:rsid w:val="00C277AE"/>
    <w:rsid w:val="00C329A2"/>
    <w:rsid w:val="00C33418"/>
    <w:rsid w:val="00C34E2C"/>
    <w:rsid w:val="00C35EC8"/>
    <w:rsid w:val="00C4065A"/>
    <w:rsid w:val="00C4089C"/>
    <w:rsid w:val="00C412B4"/>
    <w:rsid w:val="00C42FF3"/>
    <w:rsid w:val="00C447FD"/>
    <w:rsid w:val="00C44BA2"/>
    <w:rsid w:val="00C464FB"/>
    <w:rsid w:val="00C465B9"/>
    <w:rsid w:val="00C4753A"/>
    <w:rsid w:val="00C47790"/>
    <w:rsid w:val="00C479EC"/>
    <w:rsid w:val="00C5024F"/>
    <w:rsid w:val="00C5043B"/>
    <w:rsid w:val="00C51630"/>
    <w:rsid w:val="00C51A78"/>
    <w:rsid w:val="00C51BBF"/>
    <w:rsid w:val="00C52F4B"/>
    <w:rsid w:val="00C53754"/>
    <w:rsid w:val="00C574B7"/>
    <w:rsid w:val="00C6035E"/>
    <w:rsid w:val="00C6091C"/>
    <w:rsid w:val="00C639B5"/>
    <w:rsid w:val="00C651A6"/>
    <w:rsid w:val="00C7088D"/>
    <w:rsid w:val="00C72C99"/>
    <w:rsid w:val="00C76AE4"/>
    <w:rsid w:val="00C822F8"/>
    <w:rsid w:val="00C8251B"/>
    <w:rsid w:val="00C83482"/>
    <w:rsid w:val="00C83A6F"/>
    <w:rsid w:val="00C87A5F"/>
    <w:rsid w:val="00C919D8"/>
    <w:rsid w:val="00C92D6F"/>
    <w:rsid w:val="00C93DEA"/>
    <w:rsid w:val="00C94A16"/>
    <w:rsid w:val="00C95F91"/>
    <w:rsid w:val="00C97351"/>
    <w:rsid w:val="00C9769A"/>
    <w:rsid w:val="00C97D8E"/>
    <w:rsid w:val="00CA2A23"/>
    <w:rsid w:val="00CA4310"/>
    <w:rsid w:val="00CA4340"/>
    <w:rsid w:val="00CA726B"/>
    <w:rsid w:val="00CA752C"/>
    <w:rsid w:val="00CB009F"/>
    <w:rsid w:val="00CB0B6D"/>
    <w:rsid w:val="00CB221F"/>
    <w:rsid w:val="00CB2655"/>
    <w:rsid w:val="00CC04BE"/>
    <w:rsid w:val="00CC3524"/>
    <w:rsid w:val="00CC3A95"/>
    <w:rsid w:val="00CC655B"/>
    <w:rsid w:val="00CC6FE5"/>
    <w:rsid w:val="00CD0B1F"/>
    <w:rsid w:val="00CD3C04"/>
    <w:rsid w:val="00CD3C3C"/>
    <w:rsid w:val="00CE3A8D"/>
    <w:rsid w:val="00CE444A"/>
    <w:rsid w:val="00CE662A"/>
    <w:rsid w:val="00CF20EF"/>
    <w:rsid w:val="00CF73A6"/>
    <w:rsid w:val="00CF7AF5"/>
    <w:rsid w:val="00D01354"/>
    <w:rsid w:val="00D05575"/>
    <w:rsid w:val="00D10778"/>
    <w:rsid w:val="00D118BD"/>
    <w:rsid w:val="00D122F3"/>
    <w:rsid w:val="00D126B7"/>
    <w:rsid w:val="00D13C76"/>
    <w:rsid w:val="00D152A0"/>
    <w:rsid w:val="00D15738"/>
    <w:rsid w:val="00D16884"/>
    <w:rsid w:val="00D2157E"/>
    <w:rsid w:val="00D22AE7"/>
    <w:rsid w:val="00D2550B"/>
    <w:rsid w:val="00D2631F"/>
    <w:rsid w:val="00D271FF"/>
    <w:rsid w:val="00D3024B"/>
    <w:rsid w:val="00D3367E"/>
    <w:rsid w:val="00D3374F"/>
    <w:rsid w:val="00D33956"/>
    <w:rsid w:val="00D34F1B"/>
    <w:rsid w:val="00D35B51"/>
    <w:rsid w:val="00D36C6E"/>
    <w:rsid w:val="00D41229"/>
    <w:rsid w:val="00D4367A"/>
    <w:rsid w:val="00D50A45"/>
    <w:rsid w:val="00D521CA"/>
    <w:rsid w:val="00D57D13"/>
    <w:rsid w:val="00D6243F"/>
    <w:rsid w:val="00D62B47"/>
    <w:rsid w:val="00D6403A"/>
    <w:rsid w:val="00D757F4"/>
    <w:rsid w:val="00D774C6"/>
    <w:rsid w:val="00D80163"/>
    <w:rsid w:val="00D84CCB"/>
    <w:rsid w:val="00D84E18"/>
    <w:rsid w:val="00D87EDE"/>
    <w:rsid w:val="00D94629"/>
    <w:rsid w:val="00D95125"/>
    <w:rsid w:val="00DA08C9"/>
    <w:rsid w:val="00DA159A"/>
    <w:rsid w:val="00DA3EDA"/>
    <w:rsid w:val="00DB121E"/>
    <w:rsid w:val="00DB2470"/>
    <w:rsid w:val="00DC3E75"/>
    <w:rsid w:val="00DC5D07"/>
    <w:rsid w:val="00DC7FB4"/>
    <w:rsid w:val="00DD6CC8"/>
    <w:rsid w:val="00DD7562"/>
    <w:rsid w:val="00DE5043"/>
    <w:rsid w:val="00DF01EB"/>
    <w:rsid w:val="00DF413E"/>
    <w:rsid w:val="00DF44BE"/>
    <w:rsid w:val="00DF64FD"/>
    <w:rsid w:val="00E00D8D"/>
    <w:rsid w:val="00E05AF6"/>
    <w:rsid w:val="00E1031D"/>
    <w:rsid w:val="00E10958"/>
    <w:rsid w:val="00E127AC"/>
    <w:rsid w:val="00E14318"/>
    <w:rsid w:val="00E154B0"/>
    <w:rsid w:val="00E24EF9"/>
    <w:rsid w:val="00E24FB9"/>
    <w:rsid w:val="00E25661"/>
    <w:rsid w:val="00E26CD1"/>
    <w:rsid w:val="00E26F82"/>
    <w:rsid w:val="00E33FF6"/>
    <w:rsid w:val="00E35189"/>
    <w:rsid w:val="00E44149"/>
    <w:rsid w:val="00E44D80"/>
    <w:rsid w:val="00E44ECA"/>
    <w:rsid w:val="00E459C3"/>
    <w:rsid w:val="00E45FE3"/>
    <w:rsid w:val="00E47076"/>
    <w:rsid w:val="00E53A61"/>
    <w:rsid w:val="00E547A3"/>
    <w:rsid w:val="00E57384"/>
    <w:rsid w:val="00E5755C"/>
    <w:rsid w:val="00E6143C"/>
    <w:rsid w:val="00E61DAD"/>
    <w:rsid w:val="00E6578A"/>
    <w:rsid w:val="00E671FF"/>
    <w:rsid w:val="00E678BB"/>
    <w:rsid w:val="00E7293B"/>
    <w:rsid w:val="00E74109"/>
    <w:rsid w:val="00E750F1"/>
    <w:rsid w:val="00E77C4F"/>
    <w:rsid w:val="00E803E6"/>
    <w:rsid w:val="00E814E3"/>
    <w:rsid w:val="00E81720"/>
    <w:rsid w:val="00E83542"/>
    <w:rsid w:val="00E84F31"/>
    <w:rsid w:val="00E869D3"/>
    <w:rsid w:val="00E90875"/>
    <w:rsid w:val="00E9158C"/>
    <w:rsid w:val="00E928EA"/>
    <w:rsid w:val="00E942D8"/>
    <w:rsid w:val="00E94F6C"/>
    <w:rsid w:val="00E96B3D"/>
    <w:rsid w:val="00EA0DE3"/>
    <w:rsid w:val="00EA0E4D"/>
    <w:rsid w:val="00EA36E5"/>
    <w:rsid w:val="00EA75EC"/>
    <w:rsid w:val="00EB1E0E"/>
    <w:rsid w:val="00EB3A4A"/>
    <w:rsid w:val="00EB428B"/>
    <w:rsid w:val="00EB77D8"/>
    <w:rsid w:val="00EB7CEA"/>
    <w:rsid w:val="00EC100A"/>
    <w:rsid w:val="00EC25F6"/>
    <w:rsid w:val="00EC2759"/>
    <w:rsid w:val="00EC53C5"/>
    <w:rsid w:val="00EC53F9"/>
    <w:rsid w:val="00EC7B6C"/>
    <w:rsid w:val="00ED1C66"/>
    <w:rsid w:val="00ED3A4E"/>
    <w:rsid w:val="00ED40AF"/>
    <w:rsid w:val="00ED7FC3"/>
    <w:rsid w:val="00EE3A32"/>
    <w:rsid w:val="00EE4BF8"/>
    <w:rsid w:val="00EE739D"/>
    <w:rsid w:val="00EF0D09"/>
    <w:rsid w:val="00EF15F7"/>
    <w:rsid w:val="00EF1EE8"/>
    <w:rsid w:val="00EF63BE"/>
    <w:rsid w:val="00EF69B2"/>
    <w:rsid w:val="00F02711"/>
    <w:rsid w:val="00F02993"/>
    <w:rsid w:val="00F03C29"/>
    <w:rsid w:val="00F04E25"/>
    <w:rsid w:val="00F069AD"/>
    <w:rsid w:val="00F10F95"/>
    <w:rsid w:val="00F11A57"/>
    <w:rsid w:val="00F172D2"/>
    <w:rsid w:val="00F242C4"/>
    <w:rsid w:val="00F24A65"/>
    <w:rsid w:val="00F30BC5"/>
    <w:rsid w:val="00F30DB3"/>
    <w:rsid w:val="00F316D0"/>
    <w:rsid w:val="00F336D9"/>
    <w:rsid w:val="00F33AE3"/>
    <w:rsid w:val="00F35530"/>
    <w:rsid w:val="00F37E63"/>
    <w:rsid w:val="00F41342"/>
    <w:rsid w:val="00F41F12"/>
    <w:rsid w:val="00F511C0"/>
    <w:rsid w:val="00F5791A"/>
    <w:rsid w:val="00F60818"/>
    <w:rsid w:val="00F675BA"/>
    <w:rsid w:val="00F6768B"/>
    <w:rsid w:val="00F70751"/>
    <w:rsid w:val="00F719EC"/>
    <w:rsid w:val="00F7591B"/>
    <w:rsid w:val="00F76ECD"/>
    <w:rsid w:val="00F80972"/>
    <w:rsid w:val="00F81829"/>
    <w:rsid w:val="00F859CF"/>
    <w:rsid w:val="00F86BD5"/>
    <w:rsid w:val="00F923B4"/>
    <w:rsid w:val="00F92D2D"/>
    <w:rsid w:val="00F9606B"/>
    <w:rsid w:val="00F96711"/>
    <w:rsid w:val="00FA0D99"/>
    <w:rsid w:val="00FB1906"/>
    <w:rsid w:val="00FC61F2"/>
    <w:rsid w:val="00FD119D"/>
    <w:rsid w:val="00FD3EFC"/>
    <w:rsid w:val="00FD5EA8"/>
    <w:rsid w:val="00FD6632"/>
    <w:rsid w:val="00FD6D80"/>
    <w:rsid w:val="00FE262A"/>
    <w:rsid w:val="00FE36CF"/>
    <w:rsid w:val="00FE3A0D"/>
    <w:rsid w:val="00FF3AA5"/>
    <w:rsid w:val="00FF483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Summary box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qFormat/>
    <w:rsid w:val="00E814E3"/>
  </w:style>
  <w:style w:type="character" w:customStyle="1" w:styleId="CharAmSchText">
    <w:name w:val="CharAmSchText"/>
    <w:basedOn w:val="DefaultParagraphFont"/>
    <w:qFormat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qFormat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Item">
    <w:name w:val="Item"/>
    <w:aliases w:val="i"/>
    <w:basedOn w:val="Normal"/>
    <w:next w:val="ItemHead"/>
    <w:rsid w:val="008804C0"/>
    <w:pPr>
      <w:keepLines/>
      <w:spacing w:before="80"/>
      <w:ind w:left="709"/>
    </w:pPr>
    <w:rPr>
      <w:sz w:val="22"/>
      <w:szCs w:val="20"/>
    </w:rPr>
  </w:style>
  <w:style w:type="paragraph" w:customStyle="1" w:styleId="ItemHead">
    <w:name w:val="ItemHead"/>
    <w:aliases w:val="ih"/>
    <w:basedOn w:val="Normal"/>
    <w:next w:val="Item"/>
    <w:rsid w:val="008804C0"/>
    <w:pPr>
      <w:keepLines/>
      <w:spacing w:before="220"/>
      <w:ind w:left="709" w:hanging="709"/>
    </w:pPr>
    <w:rPr>
      <w:rFonts w:ascii="Arial" w:hAnsi="Arial"/>
      <w:b/>
      <w:kern w:val="28"/>
      <w:szCs w:val="20"/>
    </w:rPr>
  </w:style>
  <w:style w:type="paragraph" w:customStyle="1" w:styleId="paragraph">
    <w:name w:val="paragraph"/>
    <w:aliases w:val="a"/>
    <w:basedOn w:val="Normal"/>
    <w:link w:val="paragraphChar"/>
    <w:rsid w:val="008804C0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paragraph" w:customStyle="1" w:styleId="Char">
    <w:name w:val="Char"/>
    <w:basedOn w:val="Normal"/>
    <w:rsid w:val="00C268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5971AB"/>
    <w:rPr>
      <w:rFonts w:ascii="Arial" w:hAnsi="Arial"/>
      <w:i/>
      <w:sz w:val="18"/>
      <w:szCs w:val="18"/>
    </w:rPr>
  </w:style>
  <w:style w:type="paragraph" w:customStyle="1" w:styleId="ActHead7">
    <w:name w:val="ActHead 7"/>
    <w:aliases w:val="ap"/>
    <w:basedOn w:val="Normal"/>
    <w:next w:val="ItemHead"/>
    <w:qFormat/>
    <w:rsid w:val="001E05EE"/>
    <w:pPr>
      <w:keepNext/>
      <w:keepLines/>
      <w:spacing w:before="280"/>
      <w:ind w:left="1134" w:hanging="1134"/>
      <w:outlineLvl w:val="6"/>
    </w:pPr>
    <w:rPr>
      <w:rFonts w:ascii="Arial" w:hAnsi="Arial"/>
      <w:b/>
      <w:kern w:val="28"/>
      <w:sz w:val="28"/>
      <w:szCs w:val="20"/>
    </w:rPr>
  </w:style>
  <w:style w:type="paragraph" w:customStyle="1" w:styleId="ActHead6">
    <w:name w:val="ActHead 6"/>
    <w:aliases w:val="as"/>
    <w:basedOn w:val="Normal"/>
    <w:next w:val="ActHead7"/>
    <w:qFormat/>
    <w:rsid w:val="001E05EE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</w:rPr>
  </w:style>
  <w:style w:type="paragraph" w:customStyle="1" w:styleId="ActHead9">
    <w:name w:val="ActHead 9"/>
    <w:aliases w:val="aat"/>
    <w:basedOn w:val="Normal"/>
    <w:next w:val="ItemHead"/>
    <w:qFormat/>
    <w:rsid w:val="001E05EE"/>
    <w:pPr>
      <w:keepNext/>
      <w:keepLines/>
      <w:spacing w:before="280"/>
      <w:ind w:left="1134" w:hanging="1134"/>
      <w:outlineLvl w:val="8"/>
    </w:pPr>
    <w:rPr>
      <w:b/>
      <w:i/>
      <w:kern w:val="28"/>
      <w:sz w:val="28"/>
      <w:szCs w:val="20"/>
    </w:rPr>
  </w:style>
  <w:style w:type="paragraph" w:customStyle="1" w:styleId="Definition0">
    <w:name w:val="Definition"/>
    <w:aliases w:val="dd"/>
    <w:basedOn w:val="Normal"/>
    <w:rsid w:val="001E05EE"/>
    <w:pPr>
      <w:spacing w:before="180"/>
      <w:ind w:left="1134"/>
    </w:pPr>
    <w:rPr>
      <w:sz w:val="22"/>
      <w:szCs w:val="20"/>
    </w:rPr>
  </w:style>
  <w:style w:type="character" w:customStyle="1" w:styleId="CharAmPartNo">
    <w:name w:val="CharAmPartNo"/>
    <w:qFormat/>
    <w:rsid w:val="001E05EE"/>
  </w:style>
  <w:style w:type="character" w:customStyle="1" w:styleId="CharAmPartText">
    <w:name w:val="CharAmPartText"/>
    <w:qFormat/>
    <w:rsid w:val="001E05EE"/>
  </w:style>
  <w:style w:type="paragraph" w:customStyle="1" w:styleId="subsection">
    <w:name w:val="subsection"/>
    <w:aliases w:val="ss"/>
    <w:basedOn w:val="Normal"/>
    <w:rsid w:val="0013733A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paragraphsub">
    <w:name w:val="paragraph(sub)"/>
    <w:aliases w:val="aa"/>
    <w:basedOn w:val="Normal"/>
    <w:rsid w:val="0013733A"/>
    <w:pPr>
      <w:tabs>
        <w:tab w:val="right" w:pos="1985"/>
      </w:tabs>
      <w:spacing w:before="40"/>
      <w:ind w:left="2098" w:hanging="2098"/>
    </w:pPr>
    <w:rPr>
      <w:sz w:val="22"/>
      <w:szCs w:val="20"/>
    </w:rPr>
  </w:style>
  <w:style w:type="character" w:customStyle="1" w:styleId="CommentTextChar">
    <w:name w:val="Comment Text Char"/>
    <w:link w:val="CommentText"/>
    <w:rsid w:val="00504DFA"/>
  </w:style>
  <w:style w:type="paragraph" w:customStyle="1" w:styleId="notetext">
    <w:name w:val="note(text)"/>
    <w:aliases w:val="n"/>
    <w:basedOn w:val="Normal"/>
    <w:rsid w:val="007D18E4"/>
    <w:pPr>
      <w:spacing w:before="122"/>
      <w:ind w:left="1985" w:hanging="851"/>
    </w:pPr>
    <w:rPr>
      <w:sz w:val="18"/>
      <w:szCs w:val="20"/>
    </w:rPr>
  </w:style>
  <w:style w:type="paragraph" w:customStyle="1" w:styleId="notepara0">
    <w:name w:val="note(para)"/>
    <w:aliases w:val="na"/>
    <w:basedOn w:val="Normal"/>
    <w:rsid w:val="007D18E4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paragraphChar">
    <w:name w:val="paragraph Char"/>
    <w:aliases w:val="a Char"/>
    <w:link w:val="paragraph"/>
    <w:rsid w:val="00575CFE"/>
    <w:rPr>
      <w:sz w:val="22"/>
    </w:rPr>
  </w:style>
  <w:style w:type="paragraph" w:customStyle="1" w:styleId="ActHead5">
    <w:name w:val="ActHead 5"/>
    <w:aliases w:val="s"/>
    <w:basedOn w:val="Normal"/>
    <w:next w:val="subsection"/>
    <w:qFormat/>
    <w:rsid w:val="00602DB0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styleId="Revision">
    <w:name w:val="Revision"/>
    <w:hidden/>
    <w:uiPriority w:val="99"/>
    <w:semiHidden/>
    <w:rsid w:val="00D87ED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24B05"/>
    <w:rPr>
      <w:rFonts w:ascii="Arial" w:hAnsi="Arial"/>
      <w:sz w:val="16"/>
      <w:szCs w:val="24"/>
    </w:rPr>
  </w:style>
  <w:style w:type="paragraph" w:customStyle="1" w:styleId="CharCharCharCharCharChar">
    <w:name w:val="Char Char Char Char Char Char"/>
    <w:basedOn w:val="Normal"/>
    <w:rsid w:val="00106C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E6FCE"/>
    <w:pPr>
      <w:ind w:left="720"/>
    </w:pPr>
  </w:style>
  <w:style w:type="character" w:customStyle="1" w:styleId="xbe">
    <w:name w:val="_xbe"/>
    <w:rsid w:val="00FD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Summary box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qFormat/>
    <w:rsid w:val="00E814E3"/>
  </w:style>
  <w:style w:type="character" w:customStyle="1" w:styleId="CharAmSchText">
    <w:name w:val="CharAmSchText"/>
    <w:basedOn w:val="DefaultParagraphFont"/>
    <w:qFormat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qFormat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Item">
    <w:name w:val="Item"/>
    <w:aliases w:val="i"/>
    <w:basedOn w:val="Normal"/>
    <w:next w:val="ItemHead"/>
    <w:rsid w:val="008804C0"/>
    <w:pPr>
      <w:keepLines/>
      <w:spacing w:before="80"/>
      <w:ind w:left="709"/>
    </w:pPr>
    <w:rPr>
      <w:sz w:val="22"/>
      <w:szCs w:val="20"/>
    </w:rPr>
  </w:style>
  <w:style w:type="paragraph" w:customStyle="1" w:styleId="ItemHead">
    <w:name w:val="ItemHead"/>
    <w:aliases w:val="ih"/>
    <w:basedOn w:val="Normal"/>
    <w:next w:val="Item"/>
    <w:rsid w:val="008804C0"/>
    <w:pPr>
      <w:keepLines/>
      <w:spacing w:before="220"/>
      <w:ind w:left="709" w:hanging="709"/>
    </w:pPr>
    <w:rPr>
      <w:rFonts w:ascii="Arial" w:hAnsi="Arial"/>
      <w:b/>
      <w:kern w:val="28"/>
      <w:szCs w:val="20"/>
    </w:rPr>
  </w:style>
  <w:style w:type="paragraph" w:customStyle="1" w:styleId="paragraph">
    <w:name w:val="paragraph"/>
    <w:aliases w:val="a"/>
    <w:basedOn w:val="Normal"/>
    <w:link w:val="paragraphChar"/>
    <w:rsid w:val="008804C0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paragraph" w:customStyle="1" w:styleId="Char">
    <w:name w:val="Char"/>
    <w:basedOn w:val="Normal"/>
    <w:rsid w:val="00C268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5971AB"/>
    <w:rPr>
      <w:rFonts w:ascii="Arial" w:hAnsi="Arial"/>
      <w:i/>
      <w:sz w:val="18"/>
      <w:szCs w:val="18"/>
    </w:rPr>
  </w:style>
  <w:style w:type="paragraph" w:customStyle="1" w:styleId="ActHead7">
    <w:name w:val="ActHead 7"/>
    <w:aliases w:val="ap"/>
    <w:basedOn w:val="Normal"/>
    <w:next w:val="ItemHead"/>
    <w:qFormat/>
    <w:rsid w:val="001E05EE"/>
    <w:pPr>
      <w:keepNext/>
      <w:keepLines/>
      <w:spacing w:before="280"/>
      <w:ind w:left="1134" w:hanging="1134"/>
      <w:outlineLvl w:val="6"/>
    </w:pPr>
    <w:rPr>
      <w:rFonts w:ascii="Arial" w:hAnsi="Arial"/>
      <w:b/>
      <w:kern w:val="28"/>
      <w:sz w:val="28"/>
      <w:szCs w:val="20"/>
    </w:rPr>
  </w:style>
  <w:style w:type="paragraph" w:customStyle="1" w:styleId="ActHead6">
    <w:name w:val="ActHead 6"/>
    <w:aliases w:val="as"/>
    <w:basedOn w:val="Normal"/>
    <w:next w:val="ActHead7"/>
    <w:qFormat/>
    <w:rsid w:val="001E05EE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</w:rPr>
  </w:style>
  <w:style w:type="paragraph" w:customStyle="1" w:styleId="ActHead9">
    <w:name w:val="ActHead 9"/>
    <w:aliases w:val="aat"/>
    <w:basedOn w:val="Normal"/>
    <w:next w:val="ItemHead"/>
    <w:qFormat/>
    <w:rsid w:val="001E05EE"/>
    <w:pPr>
      <w:keepNext/>
      <w:keepLines/>
      <w:spacing w:before="280"/>
      <w:ind w:left="1134" w:hanging="1134"/>
      <w:outlineLvl w:val="8"/>
    </w:pPr>
    <w:rPr>
      <w:b/>
      <w:i/>
      <w:kern w:val="28"/>
      <w:sz w:val="28"/>
      <w:szCs w:val="20"/>
    </w:rPr>
  </w:style>
  <w:style w:type="paragraph" w:customStyle="1" w:styleId="Definition0">
    <w:name w:val="Definition"/>
    <w:aliases w:val="dd"/>
    <w:basedOn w:val="Normal"/>
    <w:rsid w:val="001E05EE"/>
    <w:pPr>
      <w:spacing w:before="180"/>
      <w:ind w:left="1134"/>
    </w:pPr>
    <w:rPr>
      <w:sz w:val="22"/>
      <w:szCs w:val="20"/>
    </w:rPr>
  </w:style>
  <w:style w:type="character" w:customStyle="1" w:styleId="CharAmPartNo">
    <w:name w:val="CharAmPartNo"/>
    <w:qFormat/>
    <w:rsid w:val="001E05EE"/>
  </w:style>
  <w:style w:type="character" w:customStyle="1" w:styleId="CharAmPartText">
    <w:name w:val="CharAmPartText"/>
    <w:qFormat/>
    <w:rsid w:val="001E05EE"/>
  </w:style>
  <w:style w:type="paragraph" w:customStyle="1" w:styleId="subsection">
    <w:name w:val="subsection"/>
    <w:aliases w:val="ss"/>
    <w:basedOn w:val="Normal"/>
    <w:rsid w:val="0013733A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paragraphsub">
    <w:name w:val="paragraph(sub)"/>
    <w:aliases w:val="aa"/>
    <w:basedOn w:val="Normal"/>
    <w:rsid w:val="0013733A"/>
    <w:pPr>
      <w:tabs>
        <w:tab w:val="right" w:pos="1985"/>
      </w:tabs>
      <w:spacing w:before="40"/>
      <w:ind w:left="2098" w:hanging="2098"/>
    </w:pPr>
    <w:rPr>
      <w:sz w:val="22"/>
      <w:szCs w:val="20"/>
    </w:rPr>
  </w:style>
  <w:style w:type="character" w:customStyle="1" w:styleId="CommentTextChar">
    <w:name w:val="Comment Text Char"/>
    <w:link w:val="CommentText"/>
    <w:rsid w:val="00504DFA"/>
  </w:style>
  <w:style w:type="paragraph" w:customStyle="1" w:styleId="notetext">
    <w:name w:val="note(text)"/>
    <w:aliases w:val="n"/>
    <w:basedOn w:val="Normal"/>
    <w:rsid w:val="007D18E4"/>
    <w:pPr>
      <w:spacing w:before="122"/>
      <w:ind w:left="1985" w:hanging="851"/>
    </w:pPr>
    <w:rPr>
      <w:sz w:val="18"/>
      <w:szCs w:val="20"/>
    </w:rPr>
  </w:style>
  <w:style w:type="paragraph" w:customStyle="1" w:styleId="notepara0">
    <w:name w:val="note(para)"/>
    <w:aliases w:val="na"/>
    <w:basedOn w:val="Normal"/>
    <w:rsid w:val="007D18E4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paragraphChar">
    <w:name w:val="paragraph Char"/>
    <w:aliases w:val="a Char"/>
    <w:link w:val="paragraph"/>
    <w:rsid w:val="00575CFE"/>
    <w:rPr>
      <w:sz w:val="22"/>
    </w:rPr>
  </w:style>
  <w:style w:type="paragraph" w:customStyle="1" w:styleId="ActHead5">
    <w:name w:val="ActHead 5"/>
    <w:aliases w:val="s"/>
    <w:basedOn w:val="Normal"/>
    <w:next w:val="subsection"/>
    <w:qFormat/>
    <w:rsid w:val="00602DB0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styleId="Revision">
    <w:name w:val="Revision"/>
    <w:hidden/>
    <w:uiPriority w:val="99"/>
    <w:semiHidden/>
    <w:rsid w:val="00D87ED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24B05"/>
    <w:rPr>
      <w:rFonts w:ascii="Arial" w:hAnsi="Arial"/>
      <w:sz w:val="16"/>
      <w:szCs w:val="24"/>
    </w:rPr>
  </w:style>
  <w:style w:type="paragraph" w:customStyle="1" w:styleId="CharCharCharCharCharChar">
    <w:name w:val="Char Char Char Char Char Char"/>
    <w:basedOn w:val="Normal"/>
    <w:rsid w:val="00106C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E6FCE"/>
    <w:pPr>
      <w:ind w:left="720"/>
    </w:pPr>
  </w:style>
  <w:style w:type="character" w:customStyle="1" w:styleId="xbe">
    <w:name w:val="_xbe"/>
    <w:rsid w:val="00FD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1551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F671-5448-4D4A-8216-E2AD097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LSB draft NH(Listing of PB) Amendment Instrument 2015</vt:lpstr>
    </vt:vector>
  </TitlesOfParts>
  <Company>Office of Legislative Drafting and Publishing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LSB draft NH(Listing of PB) Amendment Instrument 2015</dc:title>
  <dc:creator>Tara Munro-Mobbs</dc:creator>
  <cp:lastModifiedBy>KWONG, Jady</cp:lastModifiedBy>
  <cp:revision>2</cp:revision>
  <cp:lastPrinted>2017-09-18T03:28:00Z</cp:lastPrinted>
  <dcterms:created xsi:type="dcterms:W3CDTF">2017-09-22T02:33:00Z</dcterms:created>
  <dcterms:modified xsi:type="dcterms:W3CDTF">2017-09-22T02:33:00Z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