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743" w:rsidRDefault="00EA403F" w:rsidP="002F3AE3">
      <w:r w:rsidRPr="003F5128">
        <w:rPr>
          <w:noProof/>
          <w:lang w:eastAsia="en-AU"/>
        </w:rPr>
        <w:drawing>
          <wp:inline distT="0" distB="0" distL="0" distR="0" wp14:anchorId="078AF4EC" wp14:editId="78E2C17F">
            <wp:extent cx="1297305" cy="97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03F" w:rsidRDefault="00EA403F" w:rsidP="002F3AE3"/>
    <w:p w:rsidR="00EA403F" w:rsidRPr="00EA403F" w:rsidRDefault="00EA403F" w:rsidP="00EA403F">
      <w:pPr>
        <w:rPr>
          <w:rFonts w:ascii="Arial" w:hAnsi="Arial" w:cs="Arial"/>
          <w:b/>
          <w:sz w:val="28"/>
          <w:szCs w:val="28"/>
        </w:rPr>
      </w:pPr>
      <w:r w:rsidRPr="00EA403F">
        <w:rPr>
          <w:rFonts w:ascii="Arial" w:hAnsi="Arial" w:cs="Arial"/>
          <w:b/>
          <w:sz w:val="28"/>
          <w:szCs w:val="28"/>
        </w:rPr>
        <w:t>PB 78 of 2017</w:t>
      </w:r>
    </w:p>
    <w:p w:rsidR="00EA403F" w:rsidRPr="00EA403F" w:rsidRDefault="00EA403F" w:rsidP="00EA403F">
      <w:pPr>
        <w:spacing w:before="240"/>
        <w:rPr>
          <w:rFonts w:ascii="Arial" w:hAnsi="Arial" w:cs="Arial"/>
          <w:b/>
          <w:sz w:val="40"/>
          <w:szCs w:val="40"/>
        </w:rPr>
      </w:pPr>
      <w:bookmarkStart w:id="0" w:name="_GoBack"/>
      <w:r w:rsidRPr="00EA403F">
        <w:rPr>
          <w:rFonts w:ascii="Arial" w:hAnsi="Arial" w:cs="Arial"/>
          <w:b/>
          <w:sz w:val="40"/>
          <w:szCs w:val="40"/>
        </w:rPr>
        <w:t>National Health (Growth Hormone Program) Special Arrangement Am</w:t>
      </w:r>
      <w:r>
        <w:rPr>
          <w:rFonts w:ascii="Arial" w:hAnsi="Arial" w:cs="Arial"/>
          <w:b/>
          <w:sz w:val="40"/>
          <w:szCs w:val="40"/>
        </w:rPr>
        <w:t>endment Instrument 2017 (No. 1)</w:t>
      </w:r>
    </w:p>
    <w:bookmarkEnd w:id="0"/>
    <w:p w:rsidR="00EA403F" w:rsidRDefault="00EA403F" w:rsidP="00EA403F"/>
    <w:p w:rsidR="00EA403F" w:rsidRPr="00EA403F" w:rsidRDefault="00EA403F" w:rsidP="00EA403F">
      <w:pPr>
        <w:rPr>
          <w:rFonts w:ascii="Arial" w:hAnsi="Arial" w:cs="Arial"/>
          <w:i/>
          <w:sz w:val="28"/>
          <w:szCs w:val="28"/>
        </w:rPr>
      </w:pPr>
      <w:r w:rsidRPr="00EA403F">
        <w:rPr>
          <w:rFonts w:ascii="Arial" w:hAnsi="Arial" w:cs="Arial"/>
          <w:i/>
          <w:sz w:val="28"/>
          <w:szCs w:val="28"/>
        </w:rPr>
        <w:t>National Health Act 1953</w:t>
      </w:r>
    </w:p>
    <w:p w:rsidR="00EA403F" w:rsidRDefault="00EA403F" w:rsidP="00EA403F">
      <w:r>
        <w:t>___________________________________________________________________________</w:t>
      </w:r>
    </w:p>
    <w:p w:rsidR="00EA403F" w:rsidRDefault="00EA403F" w:rsidP="00EA403F"/>
    <w:p w:rsidR="00EA403F" w:rsidRDefault="00EA403F" w:rsidP="005C16E0">
      <w:pPr>
        <w:spacing w:before="360"/>
      </w:pPr>
      <w:r>
        <w:t xml:space="preserve">I, </w:t>
      </w:r>
      <w:r w:rsidR="00BA21C7">
        <w:t>NATASHA PLOENGES</w:t>
      </w:r>
      <w:r w:rsidR="00BA21C7" w:rsidRPr="00F23356">
        <w:t xml:space="preserve">, Assistant Secretary (Acting), Pharmacy and Insurance Branch, </w:t>
      </w:r>
      <w:r>
        <w:t xml:space="preserve">Technology Assessment and Access Division, Department of Health, delegate of the Minister for Health, make this Amendment Instrument under subsection 100(2) of the </w:t>
      </w:r>
      <w:r w:rsidRPr="00BC0812">
        <w:rPr>
          <w:i/>
        </w:rPr>
        <w:t>National Health Act 1953</w:t>
      </w:r>
      <w:r>
        <w:t>.</w:t>
      </w:r>
    </w:p>
    <w:p w:rsidR="00EA403F" w:rsidRDefault="00EA403F" w:rsidP="002E01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360"/>
      </w:pPr>
      <w:r>
        <w:t>Dated</w:t>
      </w:r>
      <w:r w:rsidR="00BD2F5D">
        <w:t xml:space="preserve"> 20 September </w:t>
      </w:r>
      <w:r>
        <w:t>2017</w:t>
      </w:r>
    </w:p>
    <w:p w:rsidR="00EA403F" w:rsidRDefault="00EA403F" w:rsidP="00EA403F"/>
    <w:p w:rsidR="00EA403F" w:rsidRDefault="00EA403F" w:rsidP="00EA403F"/>
    <w:p w:rsidR="00EA403F" w:rsidRDefault="00EA403F" w:rsidP="00EA403F"/>
    <w:p w:rsidR="00EA403F" w:rsidRDefault="00EA403F" w:rsidP="00EA403F"/>
    <w:p w:rsidR="00EA403F" w:rsidRDefault="00EA403F" w:rsidP="00EA403F"/>
    <w:p w:rsidR="00EA403F" w:rsidRDefault="00EA403F" w:rsidP="00EA403F"/>
    <w:p w:rsidR="00EA403F" w:rsidRDefault="00EA403F" w:rsidP="00EA403F"/>
    <w:p w:rsidR="005C16E0" w:rsidRDefault="005C16E0" w:rsidP="00EA403F"/>
    <w:p w:rsidR="00EA403F" w:rsidRDefault="00EA403F" w:rsidP="00EA403F"/>
    <w:p w:rsidR="00EA403F" w:rsidRDefault="00EA403F" w:rsidP="00EA403F"/>
    <w:p w:rsidR="00EA403F" w:rsidRDefault="00EA403F" w:rsidP="00EA403F"/>
    <w:p w:rsidR="00EA403F" w:rsidRDefault="00EA403F" w:rsidP="00EA403F"/>
    <w:p w:rsidR="00EA403F" w:rsidRDefault="00EA403F" w:rsidP="00EA403F"/>
    <w:p w:rsidR="00EA403F" w:rsidRDefault="00EA403F" w:rsidP="00EA403F"/>
    <w:p w:rsidR="00EA403F" w:rsidRDefault="00EA403F" w:rsidP="00EA403F"/>
    <w:p w:rsidR="003E0DA4" w:rsidRPr="005D142A" w:rsidRDefault="003E0DA4" w:rsidP="003E0DA4">
      <w:pPr>
        <w:rPr>
          <w:b/>
        </w:rPr>
      </w:pPr>
      <w:r w:rsidRPr="005D142A">
        <w:rPr>
          <w:b/>
        </w:rPr>
        <w:t>NATASHA PLOENGES</w:t>
      </w:r>
    </w:p>
    <w:p w:rsidR="003E0DA4" w:rsidRDefault="003E0DA4" w:rsidP="003E0DA4">
      <w:r w:rsidRPr="00F23356">
        <w:t>Assistant Secretary (Acting)</w:t>
      </w:r>
    </w:p>
    <w:p w:rsidR="003E0DA4" w:rsidRDefault="003E0DA4" w:rsidP="003E0DA4">
      <w:r w:rsidRPr="00DF69D9">
        <w:t>Pharmacy and Insurance Branch</w:t>
      </w:r>
    </w:p>
    <w:p w:rsidR="00EA403F" w:rsidRDefault="00EA403F" w:rsidP="003E0DA4">
      <w:r>
        <w:t>Technology Assessment and Access Division</w:t>
      </w:r>
    </w:p>
    <w:p w:rsidR="00EA403F" w:rsidRDefault="00EA403F" w:rsidP="005C16E0">
      <w:pPr>
        <w:spacing w:after="240"/>
      </w:pPr>
      <w:r>
        <w:t>Department of Health</w:t>
      </w:r>
    </w:p>
    <w:p w:rsidR="00EA403F" w:rsidRDefault="00EA403F" w:rsidP="00EA403F">
      <w:r>
        <w:t>___________________________________________________________________________</w:t>
      </w:r>
    </w:p>
    <w:p w:rsidR="005C16E0" w:rsidRDefault="005C16E0">
      <w:r>
        <w:br w:type="page"/>
      </w:r>
    </w:p>
    <w:p w:rsidR="006474C8" w:rsidRDefault="006474C8" w:rsidP="006474C8">
      <w:pPr>
        <w:spacing w:before="120"/>
      </w:pPr>
      <w:r>
        <w:lastRenderedPageBreak/>
        <w:t>___________________________________________________________________________</w:t>
      </w:r>
    </w:p>
    <w:p w:rsidR="00A91215" w:rsidRDefault="00A91215" w:rsidP="006474C8"/>
    <w:p w:rsidR="006474C8" w:rsidRDefault="006474C8" w:rsidP="006474C8"/>
    <w:p w:rsidR="00A91215" w:rsidRDefault="00A91215" w:rsidP="0018791B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b/>
        </w:rPr>
      </w:pPr>
      <w:r w:rsidRPr="0018791B">
        <w:rPr>
          <w:rFonts w:ascii="Arial" w:hAnsi="Arial" w:cs="Arial"/>
          <w:b/>
        </w:rPr>
        <w:t>Name of Instrument</w:t>
      </w:r>
    </w:p>
    <w:p w:rsidR="0018791B" w:rsidRDefault="0018791B" w:rsidP="00CC1C85">
      <w:pPr>
        <w:pStyle w:val="ListParagraph"/>
        <w:numPr>
          <w:ilvl w:val="1"/>
          <w:numId w:val="3"/>
        </w:numPr>
        <w:spacing w:before="120"/>
        <w:ind w:left="1134" w:hanging="567"/>
        <w:contextualSpacing w:val="0"/>
      </w:pPr>
      <w:r>
        <w:t xml:space="preserve">This instrument is the </w:t>
      </w:r>
      <w:r w:rsidRPr="004114A4">
        <w:rPr>
          <w:i/>
        </w:rPr>
        <w:t>National Health (Growth Hormone Program) Special Arrangement Amendment Instrument 2017 (No. 1)</w:t>
      </w:r>
      <w:r>
        <w:t>.</w:t>
      </w:r>
    </w:p>
    <w:p w:rsidR="00382274" w:rsidRPr="00382274" w:rsidRDefault="00382274" w:rsidP="00CC1C85">
      <w:pPr>
        <w:pStyle w:val="ListParagraph"/>
        <w:numPr>
          <w:ilvl w:val="1"/>
          <w:numId w:val="3"/>
        </w:numPr>
        <w:spacing w:before="120"/>
        <w:ind w:left="1134" w:hanging="567"/>
        <w:contextualSpacing w:val="0"/>
      </w:pPr>
      <w:r>
        <w:t>This instrument may also be cited as PB 78 of 2017.</w:t>
      </w:r>
    </w:p>
    <w:p w:rsidR="0018791B" w:rsidRDefault="0018791B" w:rsidP="00CC1C85">
      <w:pPr>
        <w:pStyle w:val="ListParagraph"/>
        <w:numPr>
          <w:ilvl w:val="0"/>
          <w:numId w:val="1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18791B">
        <w:rPr>
          <w:rFonts w:ascii="Arial" w:hAnsi="Arial" w:cs="Arial"/>
          <w:b/>
        </w:rPr>
        <w:t>Commencement</w:t>
      </w:r>
    </w:p>
    <w:p w:rsidR="00382274" w:rsidRDefault="00382274" w:rsidP="00CC1C85">
      <w:pPr>
        <w:spacing w:before="120"/>
        <w:ind w:left="567"/>
      </w:pPr>
      <w:r>
        <w:t>This instrument commences on 1 October 2017.</w:t>
      </w:r>
    </w:p>
    <w:p w:rsidR="0018791B" w:rsidRDefault="0018791B" w:rsidP="00CC1C85">
      <w:pPr>
        <w:pStyle w:val="ListParagraph"/>
        <w:numPr>
          <w:ilvl w:val="0"/>
          <w:numId w:val="1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18791B">
        <w:rPr>
          <w:rFonts w:ascii="Arial" w:hAnsi="Arial" w:cs="Arial"/>
          <w:b/>
        </w:rPr>
        <w:t xml:space="preserve">Amendment of </w:t>
      </w:r>
      <w:r w:rsidRPr="004114A4">
        <w:rPr>
          <w:rFonts w:ascii="Arial" w:hAnsi="Arial" w:cs="Arial"/>
          <w:b/>
          <w:i/>
        </w:rPr>
        <w:t>National Health (Growth Hormone Program) Special Arrangement 2015</w:t>
      </w:r>
      <w:r w:rsidRPr="0018791B">
        <w:rPr>
          <w:rFonts w:ascii="Arial" w:hAnsi="Arial" w:cs="Arial"/>
          <w:b/>
        </w:rPr>
        <w:t xml:space="preserve"> (PB 85 of 2015)</w:t>
      </w:r>
    </w:p>
    <w:p w:rsidR="0018791B" w:rsidRDefault="0018791B" w:rsidP="00CC1C85">
      <w:pPr>
        <w:spacing w:before="120"/>
        <w:ind w:left="567"/>
      </w:pPr>
      <w:r>
        <w:t xml:space="preserve">Schedule </w:t>
      </w:r>
      <w:r w:rsidR="006474C8">
        <w:t xml:space="preserve">1 </w:t>
      </w:r>
      <w:r>
        <w:t xml:space="preserve">amends the </w:t>
      </w:r>
      <w:r w:rsidRPr="004114A4">
        <w:rPr>
          <w:i/>
        </w:rPr>
        <w:t>National Health (Growth Hormone Program) Special Arrangement 2015</w:t>
      </w:r>
      <w:r>
        <w:t xml:space="preserve"> (PB 85 of 2015).</w:t>
      </w:r>
    </w:p>
    <w:p w:rsidR="00F479D0" w:rsidRPr="002F3AE3" w:rsidRDefault="00F479D0" w:rsidP="007A6632">
      <w:pPr>
        <w:ind w:left="567"/>
      </w:pPr>
    </w:p>
    <w:p w:rsidR="00E23C1A" w:rsidRDefault="00E23C1A" w:rsidP="00A91215">
      <w:pPr>
        <w:sectPr w:rsidR="00E23C1A" w:rsidSect="000A4EEB">
          <w:footerReference w:type="default" r:id="rId9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="00620C01" w:rsidRPr="0087385D" w:rsidRDefault="0087385D" w:rsidP="0087385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Schedule 1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620C01" w:rsidRPr="0087385D">
        <w:rPr>
          <w:rFonts w:ascii="Arial" w:hAnsi="Arial" w:cs="Arial"/>
          <w:b/>
          <w:sz w:val="32"/>
          <w:szCs w:val="32"/>
        </w:rPr>
        <w:t>Amendments</w:t>
      </w:r>
    </w:p>
    <w:p w:rsidR="00620C01" w:rsidRPr="00620C01" w:rsidRDefault="00620C01" w:rsidP="0092187E">
      <w:pPr>
        <w:pStyle w:val="ListParagraph"/>
        <w:numPr>
          <w:ilvl w:val="0"/>
          <w:numId w:val="4"/>
        </w:numPr>
        <w:spacing w:before="240"/>
        <w:ind w:left="567" w:hanging="567"/>
        <w:contextualSpacing w:val="0"/>
        <w:rPr>
          <w:rFonts w:ascii="Arial" w:hAnsi="Arial" w:cs="Arial"/>
          <w:b/>
          <w:sz w:val="20"/>
          <w:szCs w:val="20"/>
        </w:rPr>
      </w:pPr>
      <w:r w:rsidRPr="00620C01">
        <w:rPr>
          <w:rFonts w:ascii="Arial" w:hAnsi="Arial" w:cs="Arial"/>
          <w:b/>
          <w:sz w:val="20"/>
          <w:szCs w:val="20"/>
        </w:rPr>
        <w:t xml:space="preserve">Schedule 1, entry for Somatropin in the form Solution for injection 5 mg (15 </w:t>
      </w:r>
      <w:proofErr w:type="spellStart"/>
      <w:r w:rsidRPr="00620C01">
        <w:rPr>
          <w:rFonts w:ascii="Arial" w:hAnsi="Arial" w:cs="Arial"/>
          <w:b/>
          <w:sz w:val="20"/>
          <w:szCs w:val="20"/>
        </w:rPr>
        <w:t>i.u</w:t>
      </w:r>
      <w:proofErr w:type="spellEnd"/>
      <w:r w:rsidRPr="00620C01">
        <w:rPr>
          <w:rFonts w:ascii="Arial" w:hAnsi="Arial" w:cs="Arial"/>
          <w:b/>
          <w:sz w:val="20"/>
          <w:szCs w:val="20"/>
        </w:rPr>
        <w:t>.) in 1.5 mL cartridge (with preservative)</w:t>
      </w:r>
    </w:p>
    <w:p w:rsidR="005C16E0" w:rsidRPr="0092187E" w:rsidRDefault="00620C01" w:rsidP="0092187E">
      <w:pPr>
        <w:spacing w:before="120" w:after="120"/>
        <w:ind w:left="567"/>
        <w:rPr>
          <w:i/>
          <w:sz w:val="20"/>
          <w:szCs w:val="20"/>
        </w:rPr>
      </w:pPr>
      <w:proofErr w:type="gramStart"/>
      <w:r w:rsidRPr="0092187E">
        <w:rPr>
          <w:i/>
          <w:sz w:val="20"/>
          <w:szCs w:val="20"/>
        </w:rPr>
        <w:t>omit</w:t>
      </w:r>
      <w:proofErr w:type="gramEnd"/>
      <w:r w:rsidRPr="0092187E">
        <w:rPr>
          <w:i/>
          <w:sz w:val="20"/>
          <w:szCs w:val="20"/>
        </w:rPr>
        <w:t>:</w:t>
      </w:r>
    </w:p>
    <w:tbl>
      <w:tblPr>
        <w:tblStyle w:val="TableGrid"/>
        <w:tblW w:w="0" w:type="auto"/>
        <w:tblInd w:w="5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4"/>
        <w:gridCol w:w="4252"/>
        <w:gridCol w:w="2024"/>
        <w:gridCol w:w="2024"/>
        <w:gridCol w:w="2024"/>
      </w:tblGrid>
      <w:tr w:rsidR="00620C01" w:rsidTr="006650FA">
        <w:trPr>
          <w:trHeight w:val="363"/>
        </w:trPr>
        <w:tc>
          <w:tcPr>
            <w:tcW w:w="2024" w:type="dxa"/>
          </w:tcPr>
          <w:p w:rsidR="00620C01" w:rsidRPr="00620C01" w:rsidRDefault="00620C01" w:rsidP="00620C0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20C01" w:rsidRPr="00620C01" w:rsidRDefault="00620C01" w:rsidP="00620C0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620C01" w:rsidRPr="00620C01" w:rsidRDefault="00620C01" w:rsidP="00620C0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620C01" w:rsidRPr="00620C01" w:rsidRDefault="00620C01" w:rsidP="00620C01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620C01">
              <w:rPr>
                <w:sz w:val="20"/>
                <w:szCs w:val="20"/>
              </w:rPr>
              <w:t>Omnitrope</w:t>
            </w:r>
            <w:proofErr w:type="spellEnd"/>
          </w:p>
        </w:tc>
        <w:tc>
          <w:tcPr>
            <w:tcW w:w="2024" w:type="dxa"/>
          </w:tcPr>
          <w:p w:rsidR="00620C01" w:rsidRPr="00620C01" w:rsidRDefault="00620C01" w:rsidP="00620C01">
            <w:pPr>
              <w:spacing w:before="60" w:after="60"/>
              <w:rPr>
                <w:sz w:val="20"/>
                <w:szCs w:val="20"/>
              </w:rPr>
            </w:pPr>
            <w:r w:rsidRPr="00620C01">
              <w:rPr>
                <w:sz w:val="20"/>
                <w:szCs w:val="20"/>
              </w:rPr>
              <w:t>D(100)</w:t>
            </w:r>
          </w:p>
        </w:tc>
      </w:tr>
    </w:tbl>
    <w:p w:rsidR="00620C01" w:rsidRPr="0092187E" w:rsidRDefault="00620C01" w:rsidP="0092187E">
      <w:pPr>
        <w:rPr>
          <w:sz w:val="20"/>
          <w:szCs w:val="20"/>
        </w:rPr>
      </w:pPr>
    </w:p>
    <w:sectPr w:rsidR="00620C01" w:rsidRPr="0092187E" w:rsidSect="000A4EEB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789" w:rsidRDefault="00855789" w:rsidP="00855789">
      <w:r>
        <w:separator/>
      </w:r>
    </w:p>
  </w:endnote>
  <w:endnote w:type="continuationSeparator" w:id="0">
    <w:p w:rsidR="00855789" w:rsidRDefault="00855789" w:rsidP="0085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old">
    <w:panose1 w:val="020B07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89" w:rsidRDefault="000A4EEB" w:rsidP="000A4EEB">
    <w:pPr>
      <w:pStyle w:val="Footer"/>
      <w:jc w:val="center"/>
      <w:rPr>
        <w:rFonts w:ascii="Arial" w:hAnsi="Arial" w:cs="Arial"/>
        <w:sz w:val="18"/>
        <w:szCs w:val="18"/>
      </w:rPr>
    </w:pPr>
    <w:r w:rsidRPr="000A4EEB">
      <w:rPr>
        <w:rFonts w:ascii="Arial" w:hAnsi="Arial" w:cs="Arial"/>
        <w:i/>
        <w:sz w:val="18"/>
        <w:szCs w:val="18"/>
      </w:rPr>
      <w:t>Instrument Number PB 78 of 2017</w:t>
    </w:r>
    <w:r w:rsidRPr="000A4EEB">
      <w:rPr>
        <w:rFonts w:ascii="Arial" w:hAnsi="Arial" w:cs="Arial"/>
        <w:sz w:val="18"/>
        <w:szCs w:val="18"/>
      </w:rPr>
      <w:ptab w:relativeTo="margin" w:alignment="center" w:leader="none"/>
    </w:r>
    <w:r w:rsidRPr="000A4EEB">
      <w:rPr>
        <w:rFonts w:ascii="Arial" w:hAnsi="Arial" w:cs="Arial"/>
        <w:sz w:val="18"/>
        <w:szCs w:val="18"/>
      </w:rPr>
      <w:ptab w:relativeTo="margin" w:alignment="right" w:leader="none"/>
    </w:r>
    <w:r w:rsidRPr="000A4EEB">
      <w:rPr>
        <w:rFonts w:ascii="Arial" w:hAnsi="Arial" w:cs="Arial"/>
        <w:sz w:val="18"/>
        <w:szCs w:val="18"/>
      </w:rPr>
      <w:fldChar w:fldCharType="begin"/>
    </w:r>
    <w:r w:rsidRPr="000A4EEB">
      <w:rPr>
        <w:rFonts w:ascii="Arial" w:hAnsi="Arial" w:cs="Arial"/>
        <w:sz w:val="18"/>
        <w:szCs w:val="18"/>
      </w:rPr>
      <w:instrText xml:space="preserve"> PAGE  \* Arabic  \* MERGEFORMAT </w:instrText>
    </w:r>
    <w:r w:rsidRPr="000A4EEB">
      <w:rPr>
        <w:rFonts w:ascii="Arial" w:hAnsi="Arial" w:cs="Arial"/>
        <w:sz w:val="18"/>
        <w:szCs w:val="18"/>
      </w:rPr>
      <w:fldChar w:fldCharType="separate"/>
    </w:r>
    <w:r w:rsidR="009871FF">
      <w:rPr>
        <w:rFonts w:ascii="Arial" w:hAnsi="Arial" w:cs="Arial"/>
        <w:noProof/>
        <w:sz w:val="18"/>
        <w:szCs w:val="18"/>
      </w:rPr>
      <w:t>2</w:t>
    </w:r>
    <w:r w:rsidRPr="000A4EEB">
      <w:rPr>
        <w:rFonts w:ascii="Arial" w:hAnsi="Arial" w:cs="Arial"/>
        <w:sz w:val="18"/>
        <w:szCs w:val="18"/>
      </w:rPr>
      <w:fldChar w:fldCharType="end"/>
    </w:r>
  </w:p>
  <w:p w:rsidR="000A4EEB" w:rsidRDefault="000A4EEB" w:rsidP="000A4EEB">
    <w:pPr>
      <w:pStyle w:val="Footer"/>
      <w:rPr>
        <w:rFonts w:ascii="Arial" w:hAnsi="Arial" w:cs="Arial"/>
        <w:sz w:val="18"/>
        <w:szCs w:val="18"/>
      </w:rPr>
    </w:pPr>
  </w:p>
  <w:p w:rsidR="000A4EEB" w:rsidRDefault="000A4EEB" w:rsidP="000A4EEB">
    <w:pPr>
      <w:pStyle w:val="Footer"/>
      <w:rPr>
        <w:rFonts w:ascii="Arial" w:hAnsi="Arial" w:cs="Arial"/>
        <w:sz w:val="18"/>
        <w:szCs w:val="18"/>
      </w:rPr>
    </w:pPr>
  </w:p>
  <w:p w:rsidR="000A4EEB" w:rsidRPr="000A4EEB" w:rsidRDefault="000A4EEB" w:rsidP="000A4EEB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789" w:rsidRDefault="00855789" w:rsidP="00855789">
      <w:r>
        <w:separator/>
      </w:r>
    </w:p>
  </w:footnote>
  <w:footnote w:type="continuationSeparator" w:id="0">
    <w:p w:rsidR="00855789" w:rsidRDefault="00855789" w:rsidP="00855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321"/>
    <w:multiLevelType w:val="hybridMultilevel"/>
    <w:tmpl w:val="5296DC30"/>
    <w:lvl w:ilvl="0" w:tplc="7C7896F0">
      <w:start w:val="1"/>
      <w:numFmt w:val="decimal"/>
      <w:lvlText w:val="%1"/>
      <w:lvlJc w:val="left"/>
      <w:pPr>
        <w:ind w:left="360" w:hanging="360"/>
      </w:pPr>
      <w:rPr>
        <w:rFonts w:ascii="Arial Bold" w:hAnsi="Arial Bold" w:hint="default"/>
        <w:b/>
        <w:i w:val="0"/>
        <w:sz w:val="24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2E219C"/>
    <w:multiLevelType w:val="hybridMultilevel"/>
    <w:tmpl w:val="1FE63B40"/>
    <w:lvl w:ilvl="0" w:tplc="A6DE20D4">
      <w:start w:val="1"/>
      <w:numFmt w:val="decimal"/>
      <w:lvlText w:val="[%1]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E0D9F"/>
    <w:multiLevelType w:val="hybridMultilevel"/>
    <w:tmpl w:val="E1D2B864"/>
    <w:lvl w:ilvl="0" w:tplc="7C7896F0">
      <w:start w:val="1"/>
      <w:numFmt w:val="decimal"/>
      <w:lvlText w:val="%1"/>
      <w:lvlJc w:val="left"/>
      <w:pPr>
        <w:ind w:left="360" w:hanging="360"/>
      </w:pPr>
      <w:rPr>
        <w:rFonts w:ascii="Arial Bold" w:hAnsi="Arial Bold" w:hint="default"/>
        <w:b/>
        <w:i w:val="0"/>
        <w:sz w:val="24"/>
      </w:rPr>
    </w:lvl>
    <w:lvl w:ilvl="1" w:tplc="8A265CC6">
      <w:start w:val="1"/>
      <w:numFmt w:val="decimal"/>
      <w:lvlText w:val="(%2)"/>
      <w:lvlJc w:val="left"/>
      <w:pPr>
        <w:ind w:left="1080" w:hanging="360"/>
      </w:pPr>
      <w:rPr>
        <w:rFonts w:hint="default"/>
        <w:sz w:val="24"/>
        <w:szCs w:val="24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3951A9"/>
    <w:multiLevelType w:val="hybridMultilevel"/>
    <w:tmpl w:val="C472D9D0"/>
    <w:lvl w:ilvl="0" w:tplc="7376002A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3F"/>
    <w:rsid w:val="00003743"/>
    <w:rsid w:val="00067456"/>
    <w:rsid w:val="000A4EEB"/>
    <w:rsid w:val="0018791B"/>
    <w:rsid w:val="001B3443"/>
    <w:rsid w:val="002E01EA"/>
    <w:rsid w:val="002F3AE3"/>
    <w:rsid w:val="0030786C"/>
    <w:rsid w:val="00382274"/>
    <w:rsid w:val="003D17F9"/>
    <w:rsid w:val="003E0DA4"/>
    <w:rsid w:val="004114A4"/>
    <w:rsid w:val="004867E2"/>
    <w:rsid w:val="005C16E0"/>
    <w:rsid w:val="00620C01"/>
    <w:rsid w:val="006474C8"/>
    <w:rsid w:val="00651C81"/>
    <w:rsid w:val="006650FA"/>
    <w:rsid w:val="007A6632"/>
    <w:rsid w:val="007C3672"/>
    <w:rsid w:val="008264EB"/>
    <w:rsid w:val="00855789"/>
    <w:rsid w:val="0087385D"/>
    <w:rsid w:val="0092187E"/>
    <w:rsid w:val="009871FF"/>
    <w:rsid w:val="00A4512D"/>
    <w:rsid w:val="00A6797E"/>
    <w:rsid w:val="00A705AF"/>
    <w:rsid w:val="00A91215"/>
    <w:rsid w:val="00B42851"/>
    <w:rsid w:val="00BA21C7"/>
    <w:rsid w:val="00BC0812"/>
    <w:rsid w:val="00BD2F5D"/>
    <w:rsid w:val="00CB5B1A"/>
    <w:rsid w:val="00CC1C85"/>
    <w:rsid w:val="00E23C1A"/>
    <w:rsid w:val="00EA403F"/>
    <w:rsid w:val="00EE1C59"/>
    <w:rsid w:val="00F4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A4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03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8557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5578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557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789"/>
    <w:rPr>
      <w:sz w:val="24"/>
      <w:szCs w:val="24"/>
      <w:lang w:eastAsia="en-US"/>
    </w:rPr>
  </w:style>
  <w:style w:type="table" w:styleId="TableGrid">
    <w:name w:val="Table Grid"/>
    <w:basedOn w:val="TableNormal"/>
    <w:rsid w:val="00620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A4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03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8557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5578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557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789"/>
    <w:rPr>
      <w:sz w:val="24"/>
      <w:szCs w:val="24"/>
      <w:lang w:eastAsia="en-US"/>
    </w:rPr>
  </w:style>
  <w:style w:type="table" w:styleId="TableGrid">
    <w:name w:val="Table Grid"/>
    <w:basedOn w:val="TableNormal"/>
    <w:rsid w:val="00620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182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Specialised Supply</dc:creator>
  <cp:lastModifiedBy>KWONG, Jady</cp:lastModifiedBy>
  <cp:revision>2</cp:revision>
  <dcterms:created xsi:type="dcterms:W3CDTF">2017-09-22T03:51:00Z</dcterms:created>
  <dcterms:modified xsi:type="dcterms:W3CDTF">2017-09-22T03:51:00Z</dcterms:modified>
</cp:coreProperties>
</file>