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28" w:rsidRPr="00C874E8" w:rsidRDefault="000C2D28" w:rsidP="000C2D28">
      <w:r w:rsidRPr="00C874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692614807" r:id="rId9"/>
        </w:object>
      </w:r>
    </w:p>
    <w:p w:rsidR="000C2D28" w:rsidRPr="00C874E8" w:rsidRDefault="006873A3" w:rsidP="000C2D28">
      <w:pPr>
        <w:pStyle w:val="ShortT"/>
        <w:spacing w:before="240"/>
      </w:pPr>
      <w:r w:rsidRPr="00C874E8">
        <w:t>National Health (Pharmaceutical Benefits Scheme</w:t>
      </w:r>
      <w:r w:rsidR="00457362">
        <w:noBreakHyphen/>
      </w:r>
      <w:r w:rsidRPr="00C874E8">
        <w:t xml:space="preserve">Exempt items </w:t>
      </w:r>
      <w:r w:rsidR="00457362">
        <w:noBreakHyphen/>
      </w:r>
      <w:r w:rsidRPr="00C874E8">
        <w:t xml:space="preserve"> </w:t>
      </w:r>
      <w:r w:rsidR="00457362">
        <w:t>Section 8</w:t>
      </w:r>
      <w:r w:rsidRPr="00C874E8">
        <w:t xml:space="preserve">4AH) </w:t>
      </w:r>
      <w:r w:rsidR="00457362">
        <w:t>Determination 2</w:t>
      </w:r>
      <w:r w:rsidRPr="00C874E8">
        <w:t>017</w:t>
      </w:r>
      <w:bookmarkStart w:id="0" w:name="_GoBack"/>
      <w:bookmarkEnd w:id="0"/>
    </w:p>
    <w:p w:rsidR="00114046" w:rsidRPr="00C874E8" w:rsidRDefault="00114046" w:rsidP="0007037B">
      <w:pPr>
        <w:pStyle w:val="CompiledActNo"/>
        <w:spacing w:before="240"/>
      </w:pPr>
      <w:r w:rsidRPr="00C874E8">
        <w:t>PB 81 of 2017</w:t>
      </w:r>
    </w:p>
    <w:p w:rsidR="000C2D28" w:rsidRPr="00C874E8" w:rsidRDefault="000C2D28" w:rsidP="000C2D28">
      <w:pPr>
        <w:pStyle w:val="MadeunderText"/>
      </w:pPr>
      <w:r w:rsidRPr="00C874E8">
        <w:t>made under section</w:t>
      </w:r>
      <w:r w:rsidR="00E955B4" w:rsidRPr="00C874E8">
        <w:t> </w:t>
      </w:r>
      <w:r w:rsidRPr="00C874E8">
        <w:t>84AH of the</w:t>
      </w:r>
    </w:p>
    <w:p w:rsidR="000C2D28" w:rsidRPr="00C874E8" w:rsidRDefault="000C2D28" w:rsidP="000C2D28">
      <w:pPr>
        <w:pStyle w:val="CompiledMadeUnder"/>
        <w:spacing w:before="240"/>
      </w:pPr>
      <w:r w:rsidRPr="00C874E8">
        <w:t>National Health Act 1953</w:t>
      </w:r>
    </w:p>
    <w:p w:rsidR="000C2D28" w:rsidRPr="00C874E8" w:rsidRDefault="000C2D28" w:rsidP="000C2D28">
      <w:pPr>
        <w:spacing w:before="1000"/>
        <w:rPr>
          <w:rFonts w:cs="Arial"/>
          <w:b/>
          <w:sz w:val="32"/>
          <w:szCs w:val="32"/>
        </w:rPr>
      </w:pPr>
      <w:r w:rsidRPr="00C874E8">
        <w:rPr>
          <w:rFonts w:cs="Arial"/>
          <w:b/>
          <w:sz w:val="32"/>
          <w:szCs w:val="32"/>
        </w:rPr>
        <w:t>Compilation No.</w:t>
      </w:r>
      <w:r w:rsidR="00E955B4" w:rsidRPr="00C874E8">
        <w:rPr>
          <w:rFonts w:cs="Arial"/>
          <w:b/>
          <w:sz w:val="32"/>
          <w:szCs w:val="32"/>
        </w:rPr>
        <w:t> </w:t>
      </w:r>
      <w:r w:rsidRPr="00C874E8">
        <w:rPr>
          <w:rFonts w:cs="Arial"/>
          <w:b/>
          <w:sz w:val="32"/>
          <w:szCs w:val="32"/>
        </w:rPr>
        <w:fldChar w:fldCharType="begin"/>
      </w:r>
      <w:r w:rsidRPr="00C874E8">
        <w:rPr>
          <w:rFonts w:cs="Arial"/>
          <w:b/>
          <w:sz w:val="32"/>
          <w:szCs w:val="32"/>
        </w:rPr>
        <w:instrText xml:space="preserve"> DOCPROPERTY  CompilationNumber </w:instrText>
      </w:r>
      <w:r w:rsidRPr="00C874E8">
        <w:rPr>
          <w:rFonts w:cs="Arial"/>
          <w:b/>
          <w:sz w:val="32"/>
          <w:szCs w:val="32"/>
        </w:rPr>
        <w:fldChar w:fldCharType="separate"/>
      </w:r>
      <w:r w:rsidR="00DD7B50">
        <w:rPr>
          <w:rFonts w:cs="Arial"/>
          <w:b/>
          <w:sz w:val="32"/>
          <w:szCs w:val="32"/>
        </w:rPr>
        <w:t>13</w:t>
      </w:r>
      <w:r w:rsidRPr="00C874E8">
        <w:rPr>
          <w:rFonts w:cs="Arial"/>
          <w:b/>
          <w:sz w:val="32"/>
          <w:szCs w:val="32"/>
        </w:rPr>
        <w:fldChar w:fldCharType="end"/>
      </w:r>
    </w:p>
    <w:p w:rsidR="000C2D28" w:rsidRPr="00C874E8" w:rsidRDefault="00D867BA" w:rsidP="00101BB1">
      <w:pPr>
        <w:tabs>
          <w:tab w:val="left" w:pos="3600"/>
        </w:tabs>
        <w:spacing w:before="480"/>
        <w:rPr>
          <w:rFonts w:cs="Arial"/>
          <w:sz w:val="24"/>
        </w:rPr>
      </w:pPr>
      <w:r w:rsidRPr="00C874E8">
        <w:rPr>
          <w:rFonts w:cs="Arial"/>
          <w:b/>
          <w:sz w:val="24"/>
        </w:rPr>
        <w:t>Compilation date:</w:t>
      </w:r>
      <w:r w:rsidR="00101BB1">
        <w:rPr>
          <w:rFonts w:cs="Arial"/>
          <w:sz w:val="24"/>
        </w:rPr>
        <w:tab/>
      </w:r>
      <w:r w:rsidR="000C2D28" w:rsidRPr="005455E7">
        <w:rPr>
          <w:rFonts w:cs="Arial"/>
          <w:sz w:val="24"/>
        </w:rPr>
        <w:fldChar w:fldCharType="begin"/>
      </w:r>
      <w:r w:rsidR="00101BB1" w:rsidRPr="005455E7">
        <w:rPr>
          <w:rFonts w:cs="Arial"/>
          <w:sz w:val="24"/>
        </w:rPr>
        <w:instrText>DOCPROPERTY StartDate \@ "d MMMM yyyy" \* MERGEFORMAT</w:instrText>
      </w:r>
      <w:r w:rsidR="000C2D28" w:rsidRPr="005455E7">
        <w:rPr>
          <w:rFonts w:cs="Arial"/>
          <w:sz w:val="24"/>
        </w:rPr>
        <w:fldChar w:fldCharType="separate"/>
      </w:r>
      <w:r w:rsidR="00DD7B50" w:rsidRPr="00DD7B50">
        <w:rPr>
          <w:rFonts w:cs="Arial"/>
          <w:bCs/>
          <w:sz w:val="24"/>
        </w:rPr>
        <w:t>1</w:t>
      </w:r>
      <w:r w:rsidR="00DD7B50">
        <w:rPr>
          <w:rFonts w:cs="Arial"/>
          <w:sz w:val="24"/>
        </w:rPr>
        <w:t xml:space="preserve"> September 2021</w:t>
      </w:r>
      <w:r w:rsidR="000C2D28" w:rsidRPr="005455E7">
        <w:rPr>
          <w:rFonts w:cs="Arial"/>
          <w:sz w:val="24"/>
        </w:rPr>
        <w:fldChar w:fldCharType="end"/>
      </w:r>
    </w:p>
    <w:p w:rsidR="000C2D28" w:rsidRPr="00C874E8" w:rsidRDefault="000C2D28" w:rsidP="000C2D28">
      <w:pPr>
        <w:spacing w:before="240"/>
        <w:rPr>
          <w:rFonts w:cs="Arial"/>
          <w:sz w:val="24"/>
        </w:rPr>
      </w:pPr>
      <w:r w:rsidRPr="00C874E8">
        <w:rPr>
          <w:rFonts w:cs="Arial"/>
          <w:b/>
          <w:sz w:val="24"/>
        </w:rPr>
        <w:t>Includes amendments up to:</w:t>
      </w:r>
      <w:r w:rsidRPr="00C874E8">
        <w:rPr>
          <w:rFonts w:cs="Arial"/>
          <w:sz w:val="24"/>
        </w:rPr>
        <w:tab/>
      </w:r>
      <w:r w:rsidRPr="005455E7">
        <w:rPr>
          <w:rFonts w:cs="Arial"/>
          <w:sz w:val="24"/>
        </w:rPr>
        <w:fldChar w:fldCharType="begin"/>
      </w:r>
      <w:r w:rsidRPr="005455E7">
        <w:rPr>
          <w:rFonts w:cs="Arial"/>
          <w:sz w:val="24"/>
        </w:rPr>
        <w:instrText xml:space="preserve"> DOCPROPERTY IncludesUpTo </w:instrText>
      </w:r>
      <w:r w:rsidRPr="005455E7">
        <w:rPr>
          <w:rFonts w:cs="Arial"/>
          <w:sz w:val="24"/>
        </w:rPr>
        <w:fldChar w:fldCharType="separate"/>
      </w:r>
      <w:r w:rsidR="00DD7B50">
        <w:rPr>
          <w:rFonts w:cs="Arial"/>
          <w:sz w:val="24"/>
        </w:rPr>
        <w:t>F2021L01222</w:t>
      </w:r>
      <w:r w:rsidRPr="005455E7">
        <w:rPr>
          <w:rFonts w:cs="Arial"/>
          <w:sz w:val="24"/>
        </w:rPr>
        <w:fldChar w:fldCharType="end"/>
      </w:r>
    </w:p>
    <w:p w:rsidR="000C2D28" w:rsidRPr="00C874E8" w:rsidRDefault="000C2D28" w:rsidP="00101BB1">
      <w:pPr>
        <w:tabs>
          <w:tab w:val="left" w:pos="3600"/>
        </w:tabs>
        <w:spacing w:before="240" w:after="240"/>
        <w:rPr>
          <w:rFonts w:cs="Arial"/>
          <w:sz w:val="28"/>
          <w:szCs w:val="28"/>
        </w:rPr>
      </w:pPr>
      <w:r w:rsidRPr="00C874E8">
        <w:rPr>
          <w:rFonts w:cs="Arial"/>
          <w:b/>
          <w:sz w:val="24"/>
        </w:rPr>
        <w:t>Registered:</w:t>
      </w:r>
      <w:r w:rsidR="00101BB1">
        <w:rPr>
          <w:rFonts w:cs="Arial"/>
          <w:sz w:val="24"/>
        </w:rPr>
        <w:tab/>
      </w:r>
      <w:r w:rsidRPr="005455E7">
        <w:rPr>
          <w:rFonts w:cs="Arial"/>
          <w:sz w:val="24"/>
        </w:rPr>
        <w:fldChar w:fldCharType="begin"/>
      </w:r>
      <w:r w:rsidRPr="005455E7">
        <w:rPr>
          <w:rFonts w:cs="Arial"/>
          <w:sz w:val="24"/>
        </w:rPr>
        <w:instrText xml:space="preserve"> IF </w:instrText>
      </w:r>
      <w:r w:rsidRPr="005455E7">
        <w:rPr>
          <w:rFonts w:cs="Arial"/>
          <w:sz w:val="24"/>
        </w:rPr>
        <w:fldChar w:fldCharType="begin"/>
      </w:r>
      <w:r w:rsidRPr="005455E7">
        <w:rPr>
          <w:rFonts w:cs="Arial"/>
          <w:sz w:val="24"/>
        </w:rPr>
        <w:instrText xml:space="preserve"> DOCPROPERTY RegisteredDate </w:instrText>
      </w:r>
      <w:r w:rsidRPr="005455E7">
        <w:rPr>
          <w:rFonts w:cs="Arial"/>
          <w:sz w:val="24"/>
        </w:rPr>
        <w:fldChar w:fldCharType="separate"/>
      </w:r>
      <w:r w:rsidR="00DD7B50">
        <w:rPr>
          <w:rFonts w:cs="Arial"/>
          <w:sz w:val="24"/>
        </w:rPr>
        <w:instrText>8/09/2021</w:instrText>
      </w:r>
      <w:r w:rsidRPr="005455E7">
        <w:rPr>
          <w:rFonts w:cs="Arial"/>
          <w:sz w:val="24"/>
        </w:rPr>
        <w:fldChar w:fldCharType="end"/>
      </w:r>
      <w:r w:rsidRPr="005455E7">
        <w:rPr>
          <w:rFonts w:cs="Arial"/>
          <w:sz w:val="24"/>
        </w:rPr>
        <w:instrText xml:space="preserve"> = #1/1/1901# "Unknown" </w:instrText>
      </w:r>
      <w:r w:rsidRPr="005455E7">
        <w:rPr>
          <w:rFonts w:cs="Arial"/>
          <w:sz w:val="24"/>
        </w:rPr>
        <w:fldChar w:fldCharType="begin"/>
      </w:r>
      <w:r w:rsidRPr="005455E7">
        <w:rPr>
          <w:rFonts w:cs="Arial"/>
          <w:sz w:val="24"/>
        </w:rPr>
        <w:instrText xml:space="preserve"> DOCPROPERTY RegisteredDate \@ "d MMMM yyyy" </w:instrText>
      </w:r>
      <w:r w:rsidRPr="005455E7">
        <w:rPr>
          <w:rFonts w:cs="Arial"/>
          <w:sz w:val="24"/>
        </w:rPr>
        <w:fldChar w:fldCharType="separate"/>
      </w:r>
      <w:r w:rsidR="00DD7B50">
        <w:rPr>
          <w:rFonts w:cs="Arial"/>
          <w:sz w:val="24"/>
        </w:rPr>
        <w:instrText>8 September 2021</w:instrText>
      </w:r>
      <w:r w:rsidRPr="005455E7">
        <w:rPr>
          <w:rFonts w:cs="Arial"/>
          <w:sz w:val="24"/>
        </w:rPr>
        <w:fldChar w:fldCharType="end"/>
      </w:r>
      <w:r w:rsidRPr="005455E7">
        <w:rPr>
          <w:rFonts w:cs="Arial"/>
          <w:sz w:val="24"/>
        </w:rPr>
        <w:instrText xml:space="preserve"> \*MERGEFORMAT </w:instrText>
      </w:r>
      <w:r w:rsidRPr="005455E7">
        <w:rPr>
          <w:rFonts w:cs="Arial"/>
          <w:sz w:val="24"/>
        </w:rPr>
        <w:fldChar w:fldCharType="separate"/>
      </w:r>
      <w:r w:rsidR="00DD7B50">
        <w:rPr>
          <w:rFonts w:cs="Arial"/>
          <w:noProof/>
          <w:sz w:val="24"/>
        </w:rPr>
        <w:t>8 September 2021</w:t>
      </w:r>
      <w:r w:rsidRPr="005455E7">
        <w:rPr>
          <w:rFonts w:cs="Arial"/>
          <w:sz w:val="24"/>
        </w:rPr>
        <w:fldChar w:fldCharType="end"/>
      </w:r>
    </w:p>
    <w:p w:rsidR="006B6A46" w:rsidRPr="00C874E8" w:rsidRDefault="006B6A46" w:rsidP="006B6A46">
      <w:pPr>
        <w:pageBreakBefore/>
        <w:rPr>
          <w:rFonts w:cs="Arial"/>
          <w:b/>
          <w:sz w:val="32"/>
          <w:szCs w:val="32"/>
        </w:rPr>
      </w:pPr>
      <w:r w:rsidRPr="00C874E8">
        <w:rPr>
          <w:rFonts w:cs="Arial"/>
          <w:b/>
          <w:sz w:val="32"/>
          <w:szCs w:val="32"/>
        </w:rPr>
        <w:lastRenderedPageBreak/>
        <w:t>About this compilation</w:t>
      </w:r>
    </w:p>
    <w:p w:rsidR="006B6A46" w:rsidRPr="00C874E8" w:rsidRDefault="006B6A46" w:rsidP="00F01AAC">
      <w:pPr>
        <w:spacing w:before="240"/>
        <w:rPr>
          <w:rFonts w:cs="Arial"/>
        </w:rPr>
      </w:pPr>
      <w:r w:rsidRPr="00C874E8">
        <w:rPr>
          <w:rFonts w:cs="Arial"/>
          <w:b/>
          <w:szCs w:val="22"/>
        </w:rPr>
        <w:t>This compilation</w:t>
      </w:r>
    </w:p>
    <w:p w:rsidR="006B6A46" w:rsidRPr="00C874E8" w:rsidRDefault="006B6A46" w:rsidP="006B6A46">
      <w:pPr>
        <w:spacing w:before="120" w:after="120"/>
        <w:rPr>
          <w:rFonts w:cs="Arial"/>
          <w:szCs w:val="22"/>
        </w:rPr>
      </w:pPr>
      <w:r w:rsidRPr="00C874E8">
        <w:rPr>
          <w:rFonts w:cs="Arial"/>
          <w:szCs w:val="22"/>
        </w:rPr>
        <w:t xml:space="preserve">This is a compilation of the </w:t>
      </w:r>
      <w:r w:rsidRPr="00C874E8">
        <w:rPr>
          <w:rFonts w:cs="Arial"/>
          <w:i/>
          <w:szCs w:val="22"/>
        </w:rPr>
        <w:fldChar w:fldCharType="begin"/>
      </w:r>
      <w:r w:rsidRPr="00C874E8">
        <w:rPr>
          <w:rFonts w:cs="Arial"/>
          <w:i/>
          <w:szCs w:val="22"/>
        </w:rPr>
        <w:instrText xml:space="preserve"> STYLEREF  ShortT </w:instrText>
      </w:r>
      <w:r w:rsidRPr="00C874E8">
        <w:rPr>
          <w:rFonts w:cs="Arial"/>
          <w:i/>
          <w:szCs w:val="22"/>
        </w:rPr>
        <w:fldChar w:fldCharType="separate"/>
      </w:r>
      <w:r w:rsidR="00DD7B50">
        <w:rPr>
          <w:rFonts w:cs="Arial"/>
          <w:i/>
          <w:noProof/>
          <w:szCs w:val="22"/>
        </w:rPr>
        <w:t>National Health (Pharmaceutical Benefits Scheme-Exempt items - Section 84AH) Determination 2017</w:t>
      </w:r>
      <w:r w:rsidRPr="00C874E8">
        <w:rPr>
          <w:rFonts w:cs="Arial"/>
          <w:i/>
          <w:szCs w:val="22"/>
        </w:rPr>
        <w:fldChar w:fldCharType="end"/>
      </w:r>
      <w:r w:rsidRPr="00C874E8">
        <w:rPr>
          <w:rFonts w:cs="Arial"/>
          <w:szCs w:val="22"/>
        </w:rPr>
        <w:t xml:space="preserve"> that shows the text of the law as amended and in force on </w:t>
      </w:r>
      <w:r w:rsidRPr="005455E7">
        <w:rPr>
          <w:rFonts w:cs="Arial"/>
          <w:szCs w:val="22"/>
        </w:rPr>
        <w:fldChar w:fldCharType="begin"/>
      </w:r>
      <w:r w:rsidR="00101BB1" w:rsidRPr="005455E7">
        <w:rPr>
          <w:rFonts w:cs="Arial"/>
          <w:szCs w:val="22"/>
        </w:rPr>
        <w:instrText>DOCPROPERTY StartDate \@ "d MMMM yyyy" \* MERGEFORMAT</w:instrText>
      </w:r>
      <w:r w:rsidRPr="005455E7">
        <w:rPr>
          <w:rFonts w:cs="Arial"/>
          <w:szCs w:val="22"/>
        </w:rPr>
        <w:fldChar w:fldCharType="separate"/>
      </w:r>
      <w:r w:rsidR="00DD7B50">
        <w:rPr>
          <w:rFonts w:cs="Arial"/>
          <w:szCs w:val="22"/>
        </w:rPr>
        <w:t>1 September 2021</w:t>
      </w:r>
      <w:r w:rsidRPr="005455E7">
        <w:rPr>
          <w:rFonts w:cs="Arial"/>
          <w:szCs w:val="22"/>
        </w:rPr>
        <w:fldChar w:fldCharType="end"/>
      </w:r>
      <w:r w:rsidRPr="00C874E8">
        <w:rPr>
          <w:rFonts w:cs="Arial"/>
          <w:szCs w:val="22"/>
        </w:rPr>
        <w:t xml:space="preserve"> (the </w:t>
      </w:r>
      <w:r w:rsidRPr="00C874E8">
        <w:rPr>
          <w:rFonts w:cs="Arial"/>
          <w:b/>
          <w:i/>
          <w:szCs w:val="22"/>
        </w:rPr>
        <w:t>compilation date</w:t>
      </w:r>
      <w:r w:rsidRPr="00C874E8">
        <w:rPr>
          <w:rFonts w:cs="Arial"/>
          <w:szCs w:val="22"/>
        </w:rPr>
        <w:t>).</w:t>
      </w:r>
    </w:p>
    <w:p w:rsidR="006B6A46" w:rsidRPr="00C874E8" w:rsidRDefault="006B6A46" w:rsidP="006B6A46">
      <w:pPr>
        <w:spacing w:after="120"/>
        <w:rPr>
          <w:rFonts w:cs="Arial"/>
          <w:szCs w:val="22"/>
        </w:rPr>
      </w:pPr>
      <w:r w:rsidRPr="00C874E8">
        <w:rPr>
          <w:rFonts w:cs="Arial"/>
          <w:szCs w:val="22"/>
        </w:rPr>
        <w:t xml:space="preserve">The notes at the end of this compilation (the </w:t>
      </w:r>
      <w:r w:rsidRPr="00C874E8">
        <w:rPr>
          <w:rFonts w:cs="Arial"/>
          <w:b/>
          <w:i/>
          <w:szCs w:val="22"/>
        </w:rPr>
        <w:t>endnotes</w:t>
      </w:r>
      <w:r w:rsidRPr="00C874E8">
        <w:rPr>
          <w:rFonts w:cs="Arial"/>
          <w:szCs w:val="22"/>
        </w:rPr>
        <w:t>) include information about amending laws and the amendment history of provisions of the compiled law.</w:t>
      </w:r>
    </w:p>
    <w:p w:rsidR="006B6A46" w:rsidRPr="00C874E8" w:rsidRDefault="006B6A46" w:rsidP="006B6A46">
      <w:pPr>
        <w:tabs>
          <w:tab w:val="left" w:pos="5640"/>
        </w:tabs>
        <w:spacing w:before="120" w:after="120"/>
        <w:rPr>
          <w:rFonts w:cs="Arial"/>
          <w:b/>
          <w:szCs w:val="22"/>
        </w:rPr>
      </w:pPr>
      <w:r w:rsidRPr="00C874E8">
        <w:rPr>
          <w:rFonts w:cs="Arial"/>
          <w:b/>
          <w:szCs w:val="22"/>
        </w:rPr>
        <w:t>Uncommenced amendments</w:t>
      </w:r>
    </w:p>
    <w:p w:rsidR="006B6A46" w:rsidRPr="00C874E8" w:rsidRDefault="006B6A46" w:rsidP="006B6A46">
      <w:pPr>
        <w:spacing w:after="120"/>
        <w:rPr>
          <w:rFonts w:cs="Arial"/>
          <w:szCs w:val="22"/>
        </w:rPr>
      </w:pPr>
      <w:r w:rsidRPr="00C874E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B6A46" w:rsidRPr="00C874E8" w:rsidRDefault="006B6A46" w:rsidP="006B6A46">
      <w:pPr>
        <w:spacing w:before="120" w:after="120"/>
        <w:rPr>
          <w:rFonts w:cs="Arial"/>
          <w:b/>
          <w:szCs w:val="22"/>
        </w:rPr>
      </w:pPr>
      <w:r w:rsidRPr="00C874E8">
        <w:rPr>
          <w:rFonts w:cs="Arial"/>
          <w:b/>
          <w:szCs w:val="22"/>
        </w:rPr>
        <w:t>Application, saving and transitional provisions for provisions and amendments</w:t>
      </w:r>
    </w:p>
    <w:p w:rsidR="006B6A46" w:rsidRPr="00C874E8" w:rsidRDefault="006B6A46" w:rsidP="006B6A46">
      <w:pPr>
        <w:spacing w:after="120"/>
        <w:rPr>
          <w:rFonts w:cs="Arial"/>
          <w:szCs w:val="22"/>
        </w:rPr>
      </w:pPr>
      <w:r w:rsidRPr="00C874E8">
        <w:rPr>
          <w:rFonts w:cs="Arial"/>
          <w:szCs w:val="22"/>
        </w:rPr>
        <w:t>If the operation of a provision or amendment of the compiled law is affected by an application, saving or transitional provision that is not included in this compilation, details are included in the endnotes.</w:t>
      </w:r>
    </w:p>
    <w:p w:rsidR="006B6A46" w:rsidRPr="00C874E8" w:rsidRDefault="006B6A46" w:rsidP="006B6A46">
      <w:pPr>
        <w:spacing w:after="120"/>
        <w:rPr>
          <w:rFonts w:cs="Arial"/>
          <w:b/>
          <w:szCs w:val="22"/>
        </w:rPr>
      </w:pPr>
      <w:r w:rsidRPr="00C874E8">
        <w:rPr>
          <w:rFonts w:cs="Arial"/>
          <w:b/>
          <w:szCs w:val="22"/>
        </w:rPr>
        <w:t>Editorial changes</w:t>
      </w:r>
    </w:p>
    <w:p w:rsidR="006B6A46" w:rsidRPr="00C874E8" w:rsidRDefault="006B6A46" w:rsidP="006B6A46">
      <w:pPr>
        <w:spacing w:after="120"/>
        <w:rPr>
          <w:rFonts w:cs="Arial"/>
          <w:szCs w:val="22"/>
        </w:rPr>
      </w:pPr>
      <w:r w:rsidRPr="00C874E8">
        <w:rPr>
          <w:rFonts w:cs="Arial"/>
          <w:szCs w:val="22"/>
        </w:rPr>
        <w:t>For more information about any editorial changes made in this compilation, see the endnotes.</w:t>
      </w:r>
    </w:p>
    <w:p w:rsidR="006B6A46" w:rsidRPr="00C874E8" w:rsidRDefault="006B6A46" w:rsidP="006B6A46">
      <w:pPr>
        <w:spacing w:before="120" w:after="120"/>
        <w:rPr>
          <w:rFonts w:cs="Arial"/>
          <w:b/>
          <w:szCs w:val="22"/>
        </w:rPr>
      </w:pPr>
      <w:r w:rsidRPr="00C874E8">
        <w:rPr>
          <w:rFonts w:cs="Arial"/>
          <w:b/>
          <w:szCs w:val="22"/>
        </w:rPr>
        <w:t>Modifications</w:t>
      </w:r>
    </w:p>
    <w:p w:rsidR="006B6A46" w:rsidRPr="00C874E8" w:rsidRDefault="006B6A46" w:rsidP="006B6A46">
      <w:pPr>
        <w:spacing w:after="120"/>
        <w:rPr>
          <w:rFonts w:cs="Arial"/>
          <w:szCs w:val="22"/>
        </w:rPr>
      </w:pPr>
      <w:r w:rsidRPr="00C874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B6A46" w:rsidRPr="00C874E8" w:rsidRDefault="006B6A46" w:rsidP="006B6A46">
      <w:pPr>
        <w:spacing w:before="80" w:after="120"/>
        <w:rPr>
          <w:rFonts w:cs="Arial"/>
          <w:b/>
          <w:szCs w:val="22"/>
        </w:rPr>
      </w:pPr>
      <w:r w:rsidRPr="00C874E8">
        <w:rPr>
          <w:rFonts w:cs="Arial"/>
          <w:b/>
          <w:szCs w:val="22"/>
        </w:rPr>
        <w:t>Self</w:t>
      </w:r>
      <w:r w:rsidR="00457362">
        <w:rPr>
          <w:rFonts w:cs="Arial"/>
          <w:b/>
          <w:szCs w:val="22"/>
        </w:rPr>
        <w:noBreakHyphen/>
      </w:r>
      <w:r w:rsidRPr="00C874E8">
        <w:rPr>
          <w:rFonts w:cs="Arial"/>
          <w:b/>
          <w:szCs w:val="22"/>
        </w:rPr>
        <w:t>repealing provisions</w:t>
      </w:r>
    </w:p>
    <w:p w:rsidR="006B6A46" w:rsidRPr="00C874E8" w:rsidRDefault="006B6A46" w:rsidP="006B6A46">
      <w:pPr>
        <w:spacing w:after="120"/>
        <w:rPr>
          <w:rFonts w:cs="Arial"/>
          <w:szCs w:val="22"/>
        </w:rPr>
      </w:pPr>
      <w:r w:rsidRPr="00C874E8">
        <w:rPr>
          <w:rFonts w:cs="Arial"/>
          <w:szCs w:val="22"/>
        </w:rPr>
        <w:t>If a provision of the compiled law has been repealed in accordance with a provision of the law, details are included in the endnotes.</w:t>
      </w:r>
    </w:p>
    <w:p w:rsidR="006F4359" w:rsidRPr="00C874E8" w:rsidRDefault="006F4359" w:rsidP="006F4359">
      <w:pPr>
        <w:pStyle w:val="Header"/>
        <w:tabs>
          <w:tab w:val="clear" w:pos="4150"/>
          <w:tab w:val="clear" w:pos="8307"/>
        </w:tabs>
      </w:pPr>
      <w:r w:rsidRPr="00457362">
        <w:rPr>
          <w:rStyle w:val="CharChapNo"/>
        </w:rPr>
        <w:t xml:space="preserve"> </w:t>
      </w:r>
      <w:r w:rsidRPr="00457362">
        <w:rPr>
          <w:rStyle w:val="CharChapText"/>
        </w:rPr>
        <w:t xml:space="preserve"> </w:t>
      </w:r>
    </w:p>
    <w:p w:rsidR="006F4359" w:rsidRPr="00C874E8" w:rsidRDefault="006F4359" w:rsidP="006F4359">
      <w:pPr>
        <w:pStyle w:val="Header"/>
        <w:tabs>
          <w:tab w:val="clear" w:pos="4150"/>
          <w:tab w:val="clear" w:pos="8307"/>
        </w:tabs>
      </w:pPr>
      <w:r w:rsidRPr="00457362">
        <w:rPr>
          <w:rStyle w:val="CharPartNo"/>
        </w:rPr>
        <w:t xml:space="preserve"> </w:t>
      </w:r>
      <w:r w:rsidRPr="00457362">
        <w:rPr>
          <w:rStyle w:val="CharPartText"/>
        </w:rPr>
        <w:t xml:space="preserve"> </w:t>
      </w:r>
    </w:p>
    <w:p w:rsidR="006F4359" w:rsidRPr="00C874E8" w:rsidRDefault="006F4359" w:rsidP="006F4359">
      <w:pPr>
        <w:pStyle w:val="Header"/>
        <w:tabs>
          <w:tab w:val="clear" w:pos="4150"/>
          <w:tab w:val="clear" w:pos="8307"/>
        </w:tabs>
      </w:pPr>
      <w:r w:rsidRPr="00457362">
        <w:rPr>
          <w:rStyle w:val="CharDivNo"/>
        </w:rPr>
        <w:t xml:space="preserve"> </w:t>
      </w:r>
      <w:r w:rsidRPr="00457362">
        <w:rPr>
          <w:rStyle w:val="CharDivText"/>
        </w:rPr>
        <w:t xml:space="preserve"> </w:t>
      </w:r>
    </w:p>
    <w:p w:rsidR="000C2D28" w:rsidRPr="00C874E8" w:rsidRDefault="000C2D28" w:rsidP="006F4359">
      <w:pPr>
        <w:sectPr w:rsidR="000C2D28" w:rsidRPr="00C874E8" w:rsidSect="000578B1">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20" w:footer="3417" w:gutter="0"/>
          <w:cols w:space="708"/>
          <w:titlePg/>
          <w:docGrid w:linePitch="360"/>
        </w:sectPr>
      </w:pPr>
    </w:p>
    <w:p w:rsidR="007500C8" w:rsidRPr="00C874E8" w:rsidRDefault="00715914" w:rsidP="00E955B4">
      <w:pPr>
        <w:rPr>
          <w:sz w:val="36"/>
        </w:rPr>
      </w:pPr>
      <w:r w:rsidRPr="00C874E8">
        <w:rPr>
          <w:sz w:val="36"/>
        </w:rPr>
        <w:lastRenderedPageBreak/>
        <w:t>Contents</w:t>
      </w:r>
    </w:p>
    <w:p w:rsidR="00457362" w:rsidRDefault="0093386F">
      <w:pPr>
        <w:pStyle w:val="TOC5"/>
        <w:rPr>
          <w:rFonts w:asciiTheme="minorHAnsi" w:eastAsiaTheme="minorEastAsia" w:hAnsiTheme="minorHAnsi" w:cstheme="minorBidi"/>
          <w:noProof/>
          <w:kern w:val="0"/>
          <w:sz w:val="22"/>
          <w:szCs w:val="22"/>
        </w:rPr>
      </w:pPr>
      <w:r w:rsidRPr="00C874E8">
        <w:rPr>
          <w:sz w:val="22"/>
        </w:rPr>
        <w:fldChar w:fldCharType="begin"/>
      </w:r>
      <w:r w:rsidRPr="00C874E8">
        <w:instrText xml:space="preserve"> TOC \o "1-9" </w:instrText>
      </w:r>
      <w:r w:rsidRPr="00C874E8">
        <w:rPr>
          <w:sz w:val="22"/>
        </w:rPr>
        <w:fldChar w:fldCharType="separate"/>
      </w:r>
      <w:r w:rsidR="00457362">
        <w:rPr>
          <w:noProof/>
        </w:rPr>
        <w:t>1</w:t>
      </w:r>
      <w:r w:rsidR="00457362">
        <w:rPr>
          <w:noProof/>
        </w:rPr>
        <w:tab/>
        <w:t>Name of Instrument</w:t>
      </w:r>
      <w:r w:rsidR="00457362" w:rsidRPr="00457362">
        <w:rPr>
          <w:noProof/>
        </w:rPr>
        <w:tab/>
      </w:r>
      <w:r w:rsidR="00457362" w:rsidRPr="00457362">
        <w:rPr>
          <w:noProof/>
        </w:rPr>
        <w:fldChar w:fldCharType="begin"/>
      </w:r>
      <w:r w:rsidR="00457362" w:rsidRPr="00457362">
        <w:rPr>
          <w:noProof/>
        </w:rPr>
        <w:instrText xml:space="preserve"> PAGEREF _Toc82001461 \h </w:instrText>
      </w:r>
      <w:r w:rsidR="00457362" w:rsidRPr="00457362">
        <w:rPr>
          <w:noProof/>
        </w:rPr>
      </w:r>
      <w:r w:rsidR="00457362" w:rsidRPr="00457362">
        <w:rPr>
          <w:noProof/>
        </w:rPr>
        <w:fldChar w:fldCharType="separate"/>
      </w:r>
      <w:r w:rsidR="00DD7B50">
        <w:rPr>
          <w:noProof/>
        </w:rPr>
        <w:t>1</w:t>
      </w:r>
      <w:r w:rsidR="00457362" w:rsidRPr="00457362">
        <w:rPr>
          <w:noProof/>
        </w:rPr>
        <w:fldChar w:fldCharType="end"/>
      </w:r>
    </w:p>
    <w:p w:rsidR="00457362" w:rsidRDefault="00457362">
      <w:pPr>
        <w:pStyle w:val="TOC5"/>
        <w:rPr>
          <w:rFonts w:asciiTheme="minorHAnsi" w:eastAsiaTheme="minorEastAsia" w:hAnsiTheme="minorHAnsi" w:cstheme="minorBidi"/>
          <w:noProof/>
          <w:kern w:val="0"/>
          <w:sz w:val="22"/>
          <w:szCs w:val="22"/>
        </w:rPr>
      </w:pPr>
      <w:r>
        <w:rPr>
          <w:noProof/>
        </w:rPr>
        <w:t>4</w:t>
      </w:r>
      <w:r>
        <w:rPr>
          <w:noProof/>
        </w:rPr>
        <w:tab/>
        <w:t>Authority</w:t>
      </w:r>
      <w:r w:rsidRPr="00457362">
        <w:rPr>
          <w:noProof/>
        </w:rPr>
        <w:tab/>
      </w:r>
      <w:r w:rsidRPr="00457362">
        <w:rPr>
          <w:noProof/>
        </w:rPr>
        <w:fldChar w:fldCharType="begin"/>
      </w:r>
      <w:r w:rsidRPr="00457362">
        <w:rPr>
          <w:noProof/>
        </w:rPr>
        <w:instrText xml:space="preserve"> PAGEREF _Toc82001462 \h </w:instrText>
      </w:r>
      <w:r w:rsidRPr="00457362">
        <w:rPr>
          <w:noProof/>
        </w:rPr>
      </w:r>
      <w:r w:rsidRPr="00457362">
        <w:rPr>
          <w:noProof/>
        </w:rPr>
        <w:fldChar w:fldCharType="separate"/>
      </w:r>
      <w:r w:rsidR="00DD7B50">
        <w:rPr>
          <w:noProof/>
        </w:rPr>
        <w:t>1</w:t>
      </w:r>
      <w:r w:rsidRPr="00457362">
        <w:rPr>
          <w:noProof/>
        </w:rPr>
        <w:fldChar w:fldCharType="end"/>
      </w:r>
    </w:p>
    <w:p w:rsidR="00457362" w:rsidRDefault="00457362">
      <w:pPr>
        <w:pStyle w:val="TOC5"/>
        <w:rPr>
          <w:rFonts w:asciiTheme="minorHAnsi" w:eastAsiaTheme="minorEastAsia" w:hAnsiTheme="minorHAnsi" w:cstheme="minorBidi"/>
          <w:noProof/>
          <w:kern w:val="0"/>
          <w:sz w:val="22"/>
          <w:szCs w:val="22"/>
        </w:rPr>
      </w:pPr>
      <w:r>
        <w:rPr>
          <w:noProof/>
        </w:rPr>
        <w:t>5</w:t>
      </w:r>
      <w:r>
        <w:rPr>
          <w:noProof/>
        </w:rPr>
        <w:tab/>
        <w:t>Definitions</w:t>
      </w:r>
      <w:r w:rsidRPr="00457362">
        <w:rPr>
          <w:noProof/>
        </w:rPr>
        <w:tab/>
      </w:r>
      <w:r w:rsidRPr="00457362">
        <w:rPr>
          <w:noProof/>
        </w:rPr>
        <w:fldChar w:fldCharType="begin"/>
      </w:r>
      <w:r w:rsidRPr="00457362">
        <w:rPr>
          <w:noProof/>
        </w:rPr>
        <w:instrText xml:space="preserve"> PAGEREF _Toc82001463 \h </w:instrText>
      </w:r>
      <w:r w:rsidRPr="00457362">
        <w:rPr>
          <w:noProof/>
        </w:rPr>
      </w:r>
      <w:r w:rsidRPr="00457362">
        <w:rPr>
          <w:noProof/>
        </w:rPr>
        <w:fldChar w:fldCharType="separate"/>
      </w:r>
      <w:r w:rsidR="00DD7B50">
        <w:rPr>
          <w:noProof/>
        </w:rPr>
        <w:t>1</w:t>
      </w:r>
      <w:r w:rsidRPr="00457362">
        <w:rPr>
          <w:noProof/>
        </w:rPr>
        <w:fldChar w:fldCharType="end"/>
      </w:r>
    </w:p>
    <w:p w:rsidR="00457362" w:rsidRDefault="00457362">
      <w:pPr>
        <w:pStyle w:val="TOC5"/>
        <w:rPr>
          <w:rFonts w:asciiTheme="minorHAnsi" w:eastAsiaTheme="minorEastAsia" w:hAnsiTheme="minorHAnsi" w:cstheme="minorBidi"/>
          <w:noProof/>
          <w:kern w:val="0"/>
          <w:sz w:val="22"/>
          <w:szCs w:val="22"/>
        </w:rPr>
      </w:pPr>
      <w:r>
        <w:rPr>
          <w:noProof/>
        </w:rPr>
        <w:t>6</w:t>
      </w:r>
      <w:r>
        <w:rPr>
          <w:noProof/>
        </w:rPr>
        <w:tab/>
        <w:t>Exempt items</w:t>
      </w:r>
      <w:r w:rsidRPr="00457362">
        <w:rPr>
          <w:noProof/>
        </w:rPr>
        <w:tab/>
      </w:r>
      <w:r w:rsidRPr="00457362">
        <w:rPr>
          <w:noProof/>
        </w:rPr>
        <w:fldChar w:fldCharType="begin"/>
      </w:r>
      <w:r w:rsidRPr="00457362">
        <w:rPr>
          <w:noProof/>
        </w:rPr>
        <w:instrText xml:space="preserve"> PAGEREF _Toc82001464 \h </w:instrText>
      </w:r>
      <w:r w:rsidRPr="00457362">
        <w:rPr>
          <w:noProof/>
        </w:rPr>
      </w:r>
      <w:r w:rsidRPr="00457362">
        <w:rPr>
          <w:noProof/>
        </w:rPr>
        <w:fldChar w:fldCharType="separate"/>
      </w:r>
      <w:r w:rsidR="00DD7B50">
        <w:rPr>
          <w:noProof/>
        </w:rPr>
        <w:t>1</w:t>
      </w:r>
      <w:r w:rsidRPr="00457362">
        <w:rPr>
          <w:noProof/>
        </w:rPr>
        <w:fldChar w:fldCharType="end"/>
      </w:r>
    </w:p>
    <w:p w:rsidR="00457362" w:rsidRDefault="00457362">
      <w:pPr>
        <w:pStyle w:val="TOC1"/>
        <w:rPr>
          <w:rFonts w:asciiTheme="minorHAnsi" w:eastAsiaTheme="minorEastAsia" w:hAnsiTheme="minorHAnsi" w:cstheme="minorBidi"/>
          <w:b w:val="0"/>
          <w:noProof/>
          <w:kern w:val="0"/>
          <w:sz w:val="22"/>
          <w:szCs w:val="22"/>
        </w:rPr>
      </w:pPr>
      <w:r w:rsidRPr="00AC7C21">
        <w:rPr>
          <w:rFonts w:eastAsia="Calibri"/>
          <w:noProof/>
        </w:rPr>
        <w:t>Schedule</w:t>
      </w:r>
      <w:r w:rsidRPr="00457362">
        <w:rPr>
          <w:b w:val="0"/>
          <w:noProof/>
          <w:sz w:val="18"/>
        </w:rPr>
        <w:tab/>
      </w:r>
      <w:r>
        <w:rPr>
          <w:b w:val="0"/>
          <w:noProof/>
          <w:sz w:val="18"/>
        </w:rPr>
        <w:tab/>
      </w:r>
      <w:r w:rsidRPr="00457362">
        <w:rPr>
          <w:b w:val="0"/>
          <w:noProof/>
          <w:sz w:val="18"/>
        </w:rPr>
        <w:fldChar w:fldCharType="begin"/>
      </w:r>
      <w:r w:rsidRPr="00457362">
        <w:rPr>
          <w:b w:val="0"/>
          <w:noProof/>
          <w:sz w:val="18"/>
        </w:rPr>
        <w:instrText xml:space="preserve"> PAGEREF _Toc82001465 \h </w:instrText>
      </w:r>
      <w:r w:rsidRPr="00457362">
        <w:rPr>
          <w:b w:val="0"/>
          <w:noProof/>
          <w:sz w:val="18"/>
        </w:rPr>
      </w:r>
      <w:r w:rsidRPr="00457362">
        <w:rPr>
          <w:b w:val="0"/>
          <w:noProof/>
          <w:sz w:val="18"/>
        </w:rPr>
        <w:fldChar w:fldCharType="separate"/>
      </w:r>
      <w:r w:rsidR="00DD7B50">
        <w:rPr>
          <w:b w:val="0"/>
          <w:noProof/>
          <w:sz w:val="18"/>
        </w:rPr>
        <w:t>2</w:t>
      </w:r>
      <w:r w:rsidRPr="00457362">
        <w:rPr>
          <w:b w:val="0"/>
          <w:noProof/>
          <w:sz w:val="18"/>
        </w:rPr>
        <w:fldChar w:fldCharType="end"/>
      </w:r>
    </w:p>
    <w:p w:rsidR="00457362" w:rsidRDefault="00457362" w:rsidP="00457362">
      <w:pPr>
        <w:pStyle w:val="TOC2"/>
        <w:rPr>
          <w:rFonts w:asciiTheme="minorHAnsi" w:eastAsiaTheme="minorEastAsia" w:hAnsiTheme="minorHAnsi" w:cstheme="minorBidi"/>
          <w:b w:val="0"/>
          <w:noProof/>
          <w:kern w:val="0"/>
          <w:sz w:val="22"/>
          <w:szCs w:val="22"/>
        </w:rPr>
      </w:pPr>
      <w:r>
        <w:rPr>
          <w:noProof/>
        </w:rPr>
        <w:t>Endnotes</w:t>
      </w:r>
      <w:r w:rsidRPr="00457362">
        <w:rPr>
          <w:b w:val="0"/>
          <w:noProof/>
          <w:sz w:val="18"/>
        </w:rPr>
        <w:tab/>
      </w:r>
      <w:r w:rsidRPr="00457362">
        <w:rPr>
          <w:b w:val="0"/>
          <w:noProof/>
          <w:sz w:val="18"/>
        </w:rPr>
        <w:fldChar w:fldCharType="begin"/>
      </w:r>
      <w:r w:rsidRPr="00457362">
        <w:rPr>
          <w:b w:val="0"/>
          <w:noProof/>
          <w:sz w:val="18"/>
        </w:rPr>
        <w:instrText xml:space="preserve"> PAGEREF _Toc82001466 \h </w:instrText>
      </w:r>
      <w:r w:rsidRPr="00457362">
        <w:rPr>
          <w:b w:val="0"/>
          <w:noProof/>
          <w:sz w:val="18"/>
        </w:rPr>
      </w:r>
      <w:r w:rsidRPr="00457362">
        <w:rPr>
          <w:b w:val="0"/>
          <w:noProof/>
          <w:sz w:val="18"/>
        </w:rPr>
        <w:fldChar w:fldCharType="separate"/>
      </w:r>
      <w:r w:rsidR="00DD7B50">
        <w:rPr>
          <w:b w:val="0"/>
          <w:noProof/>
          <w:sz w:val="18"/>
        </w:rPr>
        <w:t>4</w:t>
      </w:r>
      <w:r w:rsidRPr="00457362">
        <w:rPr>
          <w:b w:val="0"/>
          <w:noProof/>
          <w:sz w:val="18"/>
        </w:rPr>
        <w:fldChar w:fldCharType="end"/>
      </w:r>
    </w:p>
    <w:p w:rsidR="00457362" w:rsidRDefault="00457362">
      <w:pPr>
        <w:pStyle w:val="TOC3"/>
        <w:rPr>
          <w:rFonts w:asciiTheme="minorHAnsi" w:eastAsiaTheme="minorEastAsia" w:hAnsiTheme="minorHAnsi" w:cstheme="minorBidi"/>
          <w:b w:val="0"/>
          <w:noProof/>
          <w:kern w:val="0"/>
          <w:szCs w:val="22"/>
        </w:rPr>
      </w:pPr>
      <w:r>
        <w:rPr>
          <w:noProof/>
        </w:rPr>
        <w:t>Endnote 1—About the endnotes</w:t>
      </w:r>
      <w:r w:rsidRPr="00457362">
        <w:rPr>
          <w:b w:val="0"/>
          <w:noProof/>
          <w:sz w:val="18"/>
        </w:rPr>
        <w:tab/>
      </w:r>
      <w:r w:rsidRPr="00457362">
        <w:rPr>
          <w:b w:val="0"/>
          <w:noProof/>
          <w:sz w:val="18"/>
        </w:rPr>
        <w:fldChar w:fldCharType="begin"/>
      </w:r>
      <w:r w:rsidRPr="00457362">
        <w:rPr>
          <w:b w:val="0"/>
          <w:noProof/>
          <w:sz w:val="18"/>
        </w:rPr>
        <w:instrText xml:space="preserve"> PAGEREF _Toc82001467 \h </w:instrText>
      </w:r>
      <w:r w:rsidRPr="00457362">
        <w:rPr>
          <w:b w:val="0"/>
          <w:noProof/>
          <w:sz w:val="18"/>
        </w:rPr>
      </w:r>
      <w:r w:rsidRPr="00457362">
        <w:rPr>
          <w:b w:val="0"/>
          <w:noProof/>
          <w:sz w:val="18"/>
        </w:rPr>
        <w:fldChar w:fldCharType="separate"/>
      </w:r>
      <w:r w:rsidR="00DD7B50">
        <w:rPr>
          <w:b w:val="0"/>
          <w:noProof/>
          <w:sz w:val="18"/>
        </w:rPr>
        <w:t>4</w:t>
      </w:r>
      <w:r w:rsidRPr="00457362">
        <w:rPr>
          <w:b w:val="0"/>
          <w:noProof/>
          <w:sz w:val="18"/>
        </w:rPr>
        <w:fldChar w:fldCharType="end"/>
      </w:r>
    </w:p>
    <w:p w:rsidR="00457362" w:rsidRDefault="00457362">
      <w:pPr>
        <w:pStyle w:val="TOC3"/>
        <w:rPr>
          <w:rFonts w:asciiTheme="minorHAnsi" w:eastAsiaTheme="minorEastAsia" w:hAnsiTheme="minorHAnsi" w:cstheme="minorBidi"/>
          <w:b w:val="0"/>
          <w:noProof/>
          <w:kern w:val="0"/>
          <w:szCs w:val="22"/>
        </w:rPr>
      </w:pPr>
      <w:r>
        <w:rPr>
          <w:noProof/>
        </w:rPr>
        <w:t>Endnote 2—Abbreviation key</w:t>
      </w:r>
      <w:r w:rsidRPr="00457362">
        <w:rPr>
          <w:b w:val="0"/>
          <w:noProof/>
          <w:sz w:val="18"/>
        </w:rPr>
        <w:tab/>
      </w:r>
      <w:r w:rsidRPr="00457362">
        <w:rPr>
          <w:b w:val="0"/>
          <w:noProof/>
          <w:sz w:val="18"/>
        </w:rPr>
        <w:fldChar w:fldCharType="begin"/>
      </w:r>
      <w:r w:rsidRPr="00457362">
        <w:rPr>
          <w:b w:val="0"/>
          <w:noProof/>
          <w:sz w:val="18"/>
        </w:rPr>
        <w:instrText xml:space="preserve"> PAGEREF _Toc82001468 \h </w:instrText>
      </w:r>
      <w:r w:rsidRPr="00457362">
        <w:rPr>
          <w:b w:val="0"/>
          <w:noProof/>
          <w:sz w:val="18"/>
        </w:rPr>
      </w:r>
      <w:r w:rsidRPr="00457362">
        <w:rPr>
          <w:b w:val="0"/>
          <w:noProof/>
          <w:sz w:val="18"/>
        </w:rPr>
        <w:fldChar w:fldCharType="separate"/>
      </w:r>
      <w:r w:rsidR="00DD7B50">
        <w:rPr>
          <w:b w:val="0"/>
          <w:noProof/>
          <w:sz w:val="18"/>
        </w:rPr>
        <w:t>5</w:t>
      </w:r>
      <w:r w:rsidRPr="00457362">
        <w:rPr>
          <w:b w:val="0"/>
          <w:noProof/>
          <w:sz w:val="18"/>
        </w:rPr>
        <w:fldChar w:fldCharType="end"/>
      </w:r>
    </w:p>
    <w:p w:rsidR="00457362" w:rsidRDefault="00457362">
      <w:pPr>
        <w:pStyle w:val="TOC3"/>
        <w:rPr>
          <w:rFonts w:asciiTheme="minorHAnsi" w:eastAsiaTheme="minorEastAsia" w:hAnsiTheme="minorHAnsi" w:cstheme="minorBidi"/>
          <w:b w:val="0"/>
          <w:noProof/>
          <w:kern w:val="0"/>
          <w:szCs w:val="22"/>
        </w:rPr>
      </w:pPr>
      <w:r>
        <w:rPr>
          <w:noProof/>
        </w:rPr>
        <w:t>Endnote 3—Legislation history</w:t>
      </w:r>
      <w:r w:rsidRPr="00457362">
        <w:rPr>
          <w:b w:val="0"/>
          <w:noProof/>
          <w:sz w:val="18"/>
        </w:rPr>
        <w:tab/>
      </w:r>
      <w:r w:rsidRPr="00457362">
        <w:rPr>
          <w:b w:val="0"/>
          <w:noProof/>
          <w:sz w:val="18"/>
        </w:rPr>
        <w:fldChar w:fldCharType="begin"/>
      </w:r>
      <w:r w:rsidRPr="00457362">
        <w:rPr>
          <w:b w:val="0"/>
          <w:noProof/>
          <w:sz w:val="18"/>
        </w:rPr>
        <w:instrText xml:space="preserve"> PAGEREF _Toc82001469 \h </w:instrText>
      </w:r>
      <w:r w:rsidRPr="00457362">
        <w:rPr>
          <w:b w:val="0"/>
          <w:noProof/>
          <w:sz w:val="18"/>
        </w:rPr>
      </w:r>
      <w:r w:rsidRPr="00457362">
        <w:rPr>
          <w:b w:val="0"/>
          <w:noProof/>
          <w:sz w:val="18"/>
        </w:rPr>
        <w:fldChar w:fldCharType="separate"/>
      </w:r>
      <w:r w:rsidR="00DD7B50">
        <w:rPr>
          <w:b w:val="0"/>
          <w:noProof/>
          <w:sz w:val="18"/>
        </w:rPr>
        <w:t>6</w:t>
      </w:r>
      <w:r w:rsidRPr="00457362">
        <w:rPr>
          <w:b w:val="0"/>
          <w:noProof/>
          <w:sz w:val="18"/>
        </w:rPr>
        <w:fldChar w:fldCharType="end"/>
      </w:r>
    </w:p>
    <w:p w:rsidR="00457362" w:rsidRDefault="00457362">
      <w:pPr>
        <w:pStyle w:val="TOC3"/>
        <w:rPr>
          <w:rFonts w:asciiTheme="minorHAnsi" w:eastAsiaTheme="minorEastAsia" w:hAnsiTheme="minorHAnsi" w:cstheme="minorBidi"/>
          <w:b w:val="0"/>
          <w:noProof/>
          <w:kern w:val="0"/>
          <w:szCs w:val="22"/>
        </w:rPr>
      </w:pPr>
      <w:r>
        <w:rPr>
          <w:noProof/>
        </w:rPr>
        <w:t>Endnote 4—Amendment history</w:t>
      </w:r>
      <w:r w:rsidRPr="00457362">
        <w:rPr>
          <w:b w:val="0"/>
          <w:noProof/>
          <w:sz w:val="18"/>
        </w:rPr>
        <w:tab/>
      </w:r>
      <w:r w:rsidRPr="00457362">
        <w:rPr>
          <w:b w:val="0"/>
          <w:noProof/>
          <w:sz w:val="18"/>
        </w:rPr>
        <w:fldChar w:fldCharType="begin"/>
      </w:r>
      <w:r w:rsidRPr="00457362">
        <w:rPr>
          <w:b w:val="0"/>
          <w:noProof/>
          <w:sz w:val="18"/>
        </w:rPr>
        <w:instrText xml:space="preserve"> PAGEREF _Toc82001470 \h </w:instrText>
      </w:r>
      <w:r w:rsidRPr="00457362">
        <w:rPr>
          <w:b w:val="0"/>
          <w:noProof/>
          <w:sz w:val="18"/>
        </w:rPr>
      </w:r>
      <w:r w:rsidRPr="00457362">
        <w:rPr>
          <w:b w:val="0"/>
          <w:noProof/>
          <w:sz w:val="18"/>
        </w:rPr>
        <w:fldChar w:fldCharType="separate"/>
      </w:r>
      <w:r w:rsidR="00DD7B50">
        <w:rPr>
          <w:b w:val="0"/>
          <w:noProof/>
          <w:sz w:val="18"/>
        </w:rPr>
        <w:t>8</w:t>
      </w:r>
      <w:r w:rsidRPr="00457362">
        <w:rPr>
          <w:b w:val="0"/>
          <w:noProof/>
          <w:sz w:val="18"/>
        </w:rPr>
        <w:fldChar w:fldCharType="end"/>
      </w:r>
    </w:p>
    <w:p w:rsidR="00715914" w:rsidRPr="00C874E8" w:rsidRDefault="0093386F" w:rsidP="00F4617D">
      <w:pPr>
        <w:ind w:right="1792"/>
        <w:sectPr w:rsidR="00715914" w:rsidRPr="00C874E8" w:rsidSect="000578B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874E8">
        <w:rPr>
          <w:rFonts w:cs="Times New Roman"/>
          <w:sz w:val="18"/>
        </w:rPr>
        <w:fldChar w:fldCharType="end"/>
      </w:r>
    </w:p>
    <w:p w:rsidR="00D3623E" w:rsidRPr="00C874E8" w:rsidRDefault="00D3623E" w:rsidP="006B6A46">
      <w:pPr>
        <w:pStyle w:val="ActHead5"/>
      </w:pPr>
      <w:bookmarkStart w:id="1" w:name="_Toc82001461"/>
      <w:r w:rsidRPr="00457362">
        <w:rPr>
          <w:rStyle w:val="CharSectno"/>
        </w:rPr>
        <w:lastRenderedPageBreak/>
        <w:t>1</w:t>
      </w:r>
      <w:r w:rsidR="00E75D99" w:rsidRPr="00C874E8">
        <w:t xml:space="preserve">  </w:t>
      </w:r>
      <w:r w:rsidRPr="00C874E8">
        <w:t>Name of Instrument</w:t>
      </w:r>
      <w:bookmarkEnd w:id="1"/>
    </w:p>
    <w:p w:rsidR="00D3623E" w:rsidRPr="00C874E8" w:rsidRDefault="006B6A46" w:rsidP="006B6A46">
      <w:pPr>
        <w:pStyle w:val="subsection"/>
      </w:pPr>
      <w:r w:rsidRPr="00C874E8">
        <w:tab/>
        <w:t>(1)</w:t>
      </w:r>
      <w:r w:rsidRPr="00C874E8">
        <w:tab/>
      </w:r>
      <w:r w:rsidR="00D3623E" w:rsidRPr="00C874E8">
        <w:t xml:space="preserve">This instrument is the </w:t>
      </w:r>
      <w:r w:rsidR="00D3623E" w:rsidRPr="00C874E8">
        <w:rPr>
          <w:i/>
        </w:rPr>
        <w:t>National Health (Pharmaceutical Benefits Scheme</w:t>
      </w:r>
      <w:r w:rsidR="00457362">
        <w:rPr>
          <w:i/>
        </w:rPr>
        <w:noBreakHyphen/>
      </w:r>
      <w:r w:rsidR="00D3623E" w:rsidRPr="00C874E8">
        <w:rPr>
          <w:i/>
        </w:rPr>
        <w:t xml:space="preserve">Exempt items </w:t>
      </w:r>
      <w:r w:rsidR="00457362">
        <w:rPr>
          <w:i/>
        </w:rPr>
        <w:noBreakHyphen/>
      </w:r>
      <w:r w:rsidR="00D3623E" w:rsidRPr="00C874E8">
        <w:rPr>
          <w:i/>
        </w:rPr>
        <w:t xml:space="preserve"> </w:t>
      </w:r>
      <w:r w:rsidR="00457362">
        <w:rPr>
          <w:i/>
        </w:rPr>
        <w:t>Section 8</w:t>
      </w:r>
      <w:r w:rsidR="00D3623E" w:rsidRPr="00C874E8">
        <w:rPr>
          <w:i/>
        </w:rPr>
        <w:t xml:space="preserve">4AH) </w:t>
      </w:r>
      <w:r w:rsidR="00457362">
        <w:rPr>
          <w:i/>
        </w:rPr>
        <w:t>Determination 2</w:t>
      </w:r>
      <w:r w:rsidR="00D3623E" w:rsidRPr="00C874E8">
        <w:rPr>
          <w:i/>
        </w:rPr>
        <w:t>017</w:t>
      </w:r>
      <w:r w:rsidR="00D3623E" w:rsidRPr="00C874E8">
        <w:t>.</w:t>
      </w:r>
    </w:p>
    <w:p w:rsidR="00D3623E" w:rsidRPr="00C874E8" w:rsidRDefault="006B6A46" w:rsidP="006B6A46">
      <w:pPr>
        <w:pStyle w:val="subsection"/>
      </w:pPr>
      <w:r w:rsidRPr="00C874E8">
        <w:tab/>
        <w:t>(2)</w:t>
      </w:r>
      <w:r w:rsidRPr="00C874E8">
        <w:tab/>
      </w:r>
      <w:r w:rsidR="00D3623E" w:rsidRPr="00C874E8">
        <w:t>This instrument may also be cited as PB 81 of 2017.</w:t>
      </w:r>
    </w:p>
    <w:p w:rsidR="00D3623E" w:rsidRPr="00C874E8" w:rsidRDefault="00D3623E" w:rsidP="006B6A46">
      <w:pPr>
        <w:pStyle w:val="ActHead5"/>
      </w:pPr>
      <w:bookmarkStart w:id="2" w:name="_Toc82001462"/>
      <w:r w:rsidRPr="00457362">
        <w:rPr>
          <w:rStyle w:val="CharSectno"/>
        </w:rPr>
        <w:t>4</w:t>
      </w:r>
      <w:r w:rsidR="00E75D99" w:rsidRPr="00C874E8">
        <w:t xml:space="preserve">  </w:t>
      </w:r>
      <w:r w:rsidRPr="00C874E8">
        <w:t>Authority</w:t>
      </w:r>
      <w:bookmarkEnd w:id="2"/>
    </w:p>
    <w:p w:rsidR="00D3623E" w:rsidRPr="00C874E8" w:rsidRDefault="00D3623E" w:rsidP="006B6A46">
      <w:pPr>
        <w:pStyle w:val="subsection"/>
        <w:rPr>
          <w:i/>
        </w:rPr>
      </w:pPr>
      <w:r w:rsidRPr="00C874E8">
        <w:tab/>
      </w:r>
      <w:r w:rsidRPr="00C874E8">
        <w:tab/>
        <w:t>This Determination is made under section</w:t>
      </w:r>
      <w:r w:rsidR="00E955B4" w:rsidRPr="00C874E8">
        <w:t> </w:t>
      </w:r>
      <w:r w:rsidRPr="00C874E8">
        <w:t xml:space="preserve">84AH of the </w:t>
      </w:r>
      <w:r w:rsidRPr="00C874E8">
        <w:rPr>
          <w:i/>
        </w:rPr>
        <w:t xml:space="preserve">National Health Act 1953 </w:t>
      </w:r>
      <w:r w:rsidRPr="00C874E8">
        <w:t>(the Act).</w:t>
      </w:r>
    </w:p>
    <w:p w:rsidR="00D3623E" w:rsidRPr="00C874E8" w:rsidRDefault="00D3623E" w:rsidP="006B6A46">
      <w:pPr>
        <w:pStyle w:val="ActHead5"/>
        <w:rPr>
          <w:b w:val="0"/>
        </w:rPr>
      </w:pPr>
      <w:bookmarkStart w:id="3" w:name="_Toc82001463"/>
      <w:r w:rsidRPr="00457362">
        <w:rPr>
          <w:rStyle w:val="CharSectno"/>
        </w:rPr>
        <w:t>5</w:t>
      </w:r>
      <w:r w:rsidR="00E75D99" w:rsidRPr="00C874E8">
        <w:t xml:space="preserve">  </w:t>
      </w:r>
      <w:r w:rsidRPr="00C874E8">
        <w:t>Definitions</w:t>
      </w:r>
      <w:bookmarkEnd w:id="3"/>
    </w:p>
    <w:p w:rsidR="00D3623E" w:rsidRPr="00C874E8" w:rsidRDefault="006F4359" w:rsidP="006F4359">
      <w:pPr>
        <w:pStyle w:val="subsection"/>
      </w:pPr>
      <w:r w:rsidRPr="00C874E8">
        <w:tab/>
      </w:r>
      <w:r w:rsidRPr="00C874E8">
        <w:tab/>
      </w:r>
      <w:r w:rsidR="00D3623E" w:rsidRPr="00C874E8">
        <w:t>In this Determination:</w:t>
      </w:r>
    </w:p>
    <w:p w:rsidR="00D3623E" w:rsidRPr="00C874E8" w:rsidRDefault="00D3623E" w:rsidP="00E932A8">
      <w:pPr>
        <w:pStyle w:val="Definition"/>
      </w:pPr>
      <w:r w:rsidRPr="00C874E8">
        <w:rPr>
          <w:b/>
          <w:i/>
        </w:rPr>
        <w:t xml:space="preserve">pharmaceutical item </w:t>
      </w:r>
      <w:r w:rsidRPr="00C874E8">
        <w:t>has the meaning given by section</w:t>
      </w:r>
      <w:r w:rsidR="00E955B4" w:rsidRPr="00C874E8">
        <w:t> </w:t>
      </w:r>
      <w:r w:rsidRPr="00C874E8">
        <w:t xml:space="preserve">84AB of the Act. </w:t>
      </w:r>
    </w:p>
    <w:p w:rsidR="00D3623E" w:rsidRPr="00C874E8" w:rsidRDefault="00E932A8" w:rsidP="00E932A8">
      <w:pPr>
        <w:pStyle w:val="notetext"/>
      </w:pPr>
      <w:r w:rsidRPr="00C874E8">
        <w:rPr>
          <w:i/>
        </w:rPr>
        <w:t>Note:</w:t>
      </w:r>
      <w:r w:rsidRPr="00C874E8">
        <w:rPr>
          <w:i/>
        </w:rPr>
        <w:tab/>
      </w:r>
      <w:r w:rsidR="00D3623E" w:rsidRPr="00C874E8">
        <w:t>Terms used in this Determination have the same meaning as in the Act – see section</w:t>
      </w:r>
      <w:r w:rsidR="00E955B4" w:rsidRPr="00C874E8">
        <w:t> </w:t>
      </w:r>
      <w:r w:rsidR="00D3623E" w:rsidRPr="00C874E8">
        <w:t xml:space="preserve">13 of the </w:t>
      </w:r>
      <w:r w:rsidR="00D3623E" w:rsidRPr="00C874E8">
        <w:rPr>
          <w:i/>
        </w:rPr>
        <w:t>Legislation Act 2003</w:t>
      </w:r>
      <w:r w:rsidR="00D3623E" w:rsidRPr="00C874E8">
        <w:t>. These terms include:</w:t>
      </w:r>
    </w:p>
    <w:p w:rsidR="00D3623E" w:rsidRPr="00C874E8" w:rsidRDefault="00E932A8" w:rsidP="00E932A8">
      <w:pPr>
        <w:pStyle w:val="notetext"/>
      </w:pPr>
      <w:r w:rsidRPr="00C874E8">
        <w:tab/>
        <w:t>•</w:t>
      </w:r>
      <w:r w:rsidRPr="00C874E8">
        <w:tab/>
      </w:r>
      <w:r w:rsidR="00D3623E" w:rsidRPr="00C874E8">
        <w:t>listed drug</w:t>
      </w:r>
    </w:p>
    <w:p w:rsidR="00D3623E" w:rsidRPr="00C874E8" w:rsidRDefault="00E932A8" w:rsidP="00E932A8">
      <w:pPr>
        <w:pStyle w:val="notetext"/>
      </w:pPr>
      <w:r w:rsidRPr="00C874E8">
        <w:tab/>
        <w:t>•</w:t>
      </w:r>
      <w:r w:rsidRPr="00C874E8">
        <w:tab/>
      </w:r>
      <w:r w:rsidR="00D3623E" w:rsidRPr="00C874E8">
        <w:t>form</w:t>
      </w:r>
    </w:p>
    <w:p w:rsidR="00D3623E" w:rsidRPr="00C874E8" w:rsidRDefault="00E932A8" w:rsidP="00E932A8">
      <w:pPr>
        <w:pStyle w:val="notetext"/>
      </w:pPr>
      <w:r w:rsidRPr="00C874E8">
        <w:tab/>
        <w:t>•</w:t>
      </w:r>
      <w:r w:rsidRPr="00C874E8">
        <w:tab/>
      </w:r>
      <w:r w:rsidR="00D3623E" w:rsidRPr="00C874E8">
        <w:t>manner of administration</w:t>
      </w:r>
    </w:p>
    <w:p w:rsidR="00D3623E" w:rsidRPr="00C874E8" w:rsidRDefault="00D3623E" w:rsidP="006B6A46">
      <w:pPr>
        <w:pStyle w:val="ActHead5"/>
      </w:pPr>
      <w:bookmarkStart w:id="4" w:name="_Toc82001464"/>
      <w:r w:rsidRPr="00457362">
        <w:rPr>
          <w:rStyle w:val="CharSectno"/>
        </w:rPr>
        <w:t>6</w:t>
      </w:r>
      <w:r w:rsidR="00E75D99" w:rsidRPr="00C874E8">
        <w:t xml:space="preserve">  </w:t>
      </w:r>
      <w:r w:rsidRPr="00C874E8">
        <w:t>Exempt items</w:t>
      </w:r>
      <w:bookmarkEnd w:id="4"/>
    </w:p>
    <w:p w:rsidR="00D3623E" w:rsidRPr="00C874E8" w:rsidRDefault="006B6A46" w:rsidP="006B6A46">
      <w:pPr>
        <w:pStyle w:val="subsection"/>
      </w:pPr>
      <w:r w:rsidRPr="00C874E8">
        <w:tab/>
      </w:r>
      <w:r w:rsidRPr="00C874E8">
        <w:tab/>
      </w:r>
      <w:r w:rsidR="00D3623E" w:rsidRPr="00C874E8">
        <w:t>The pharmaceutical items identified in the Schedule are exempt from statutory price reductions and price disclosure requirements under Division</w:t>
      </w:r>
      <w:r w:rsidR="00E955B4" w:rsidRPr="00C874E8">
        <w:t> </w:t>
      </w:r>
      <w:r w:rsidR="00D3623E" w:rsidRPr="00C874E8">
        <w:t>3A</w:t>
      </w:r>
      <w:r w:rsidRPr="00C874E8">
        <w:t xml:space="preserve"> and 3B of Part</w:t>
      </w:r>
      <w:r w:rsidR="00E955B4" w:rsidRPr="00C874E8">
        <w:t> </w:t>
      </w:r>
      <w:r w:rsidRPr="00C874E8">
        <w:t>VII of the Act.</w:t>
      </w:r>
    </w:p>
    <w:p w:rsidR="009D659F" w:rsidRPr="00C874E8" w:rsidRDefault="009D659F" w:rsidP="009D659F">
      <w:pPr>
        <w:sectPr w:rsidR="009D659F" w:rsidRPr="00C874E8" w:rsidSect="000578B1">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D3623E" w:rsidRPr="00DD7B50" w:rsidRDefault="00E932A8" w:rsidP="00457362">
      <w:pPr>
        <w:pStyle w:val="ActHead1"/>
        <w:rPr>
          <w:rStyle w:val="CharChapNo"/>
          <w:rFonts w:eastAsia="Calibri"/>
        </w:rPr>
      </w:pPr>
      <w:bookmarkStart w:id="5" w:name="_Toc82001465"/>
      <w:r w:rsidRPr="00DD7B50">
        <w:rPr>
          <w:rStyle w:val="CharChapNo"/>
          <w:rFonts w:eastAsia="Calibri"/>
        </w:rPr>
        <w:lastRenderedPageBreak/>
        <w:t>Schedule</w:t>
      </w:r>
      <w:bookmarkEnd w:id="5"/>
    </w:p>
    <w:p w:rsidR="00E932A8" w:rsidRPr="00C874E8" w:rsidRDefault="00E932A8" w:rsidP="00E932A8">
      <w:pPr>
        <w:pStyle w:val="Header"/>
        <w:keepNext w:val="0"/>
        <w:keepLines w:val="0"/>
      </w:pPr>
      <w:r w:rsidRPr="00457362">
        <w:rPr>
          <w:rStyle w:val="CharPartNo"/>
        </w:rPr>
        <w:t xml:space="preserve"> </w:t>
      </w:r>
      <w:r w:rsidRPr="00457362">
        <w:rPr>
          <w:rStyle w:val="CharPartText"/>
        </w:rPr>
        <w:t xml:space="preserve"> </w:t>
      </w:r>
    </w:p>
    <w:p w:rsidR="00E932A8" w:rsidRPr="00C874E8" w:rsidRDefault="00E932A8" w:rsidP="00E932A8">
      <w:pPr>
        <w:pStyle w:val="Header"/>
        <w:keepNext w:val="0"/>
        <w:keepLines w:val="0"/>
      </w:pPr>
      <w:r w:rsidRPr="00457362">
        <w:rPr>
          <w:rStyle w:val="CharDivNo"/>
        </w:rPr>
        <w:t xml:space="preserve"> </w:t>
      </w:r>
      <w:r w:rsidRPr="00457362">
        <w:rPr>
          <w:rStyle w:val="CharDivText"/>
        </w:rPr>
        <w:t xml:space="preserve"> </w:t>
      </w:r>
    </w:p>
    <w:tbl>
      <w:tblPr>
        <w:tblW w:w="5000" w:type="pct"/>
        <w:tblLook w:val="01E0" w:firstRow="1" w:lastRow="1" w:firstColumn="1" w:lastColumn="1" w:noHBand="0" w:noVBand="0"/>
      </w:tblPr>
      <w:tblGrid>
        <w:gridCol w:w="1864"/>
        <w:gridCol w:w="5007"/>
        <w:gridCol w:w="1658"/>
      </w:tblGrid>
      <w:tr w:rsidR="00D3623E" w:rsidRPr="00C874E8" w:rsidTr="00E955B4">
        <w:trPr>
          <w:cantSplit/>
          <w:trHeight w:val="241"/>
          <w:tblHeader/>
        </w:trPr>
        <w:tc>
          <w:tcPr>
            <w:tcW w:w="1093" w:type="pct"/>
            <w:tcBorders>
              <w:top w:val="single" w:sz="12" w:space="0" w:color="auto"/>
              <w:left w:val="nil"/>
              <w:bottom w:val="single" w:sz="12" w:space="0" w:color="auto"/>
              <w:right w:val="nil"/>
            </w:tcBorders>
            <w:vAlign w:val="center"/>
            <w:hideMark/>
          </w:tcPr>
          <w:p w:rsidR="00D3623E" w:rsidRPr="00C874E8" w:rsidRDefault="00D3623E" w:rsidP="009D3181">
            <w:pPr>
              <w:pStyle w:val="TableHeading"/>
            </w:pPr>
            <w:r w:rsidRPr="00C874E8">
              <w:t>Listed Drug</w:t>
            </w:r>
          </w:p>
        </w:tc>
        <w:tc>
          <w:tcPr>
            <w:tcW w:w="2935" w:type="pct"/>
            <w:tcBorders>
              <w:top w:val="single" w:sz="12" w:space="0" w:color="auto"/>
              <w:left w:val="nil"/>
              <w:bottom w:val="single" w:sz="12" w:space="0" w:color="auto"/>
              <w:right w:val="nil"/>
            </w:tcBorders>
            <w:vAlign w:val="center"/>
            <w:hideMark/>
          </w:tcPr>
          <w:p w:rsidR="00D3623E" w:rsidRPr="00C874E8" w:rsidRDefault="00D3623E" w:rsidP="009D3181">
            <w:pPr>
              <w:pStyle w:val="TableHeading"/>
            </w:pPr>
            <w:r w:rsidRPr="00C874E8">
              <w:t>Form (strength, type, size, etc.)</w:t>
            </w:r>
          </w:p>
        </w:tc>
        <w:tc>
          <w:tcPr>
            <w:tcW w:w="972" w:type="pct"/>
            <w:tcBorders>
              <w:top w:val="single" w:sz="12" w:space="0" w:color="auto"/>
              <w:left w:val="nil"/>
              <w:bottom w:val="single" w:sz="12" w:space="0" w:color="auto"/>
              <w:right w:val="nil"/>
            </w:tcBorders>
            <w:vAlign w:val="bottom"/>
            <w:hideMark/>
          </w:tcPr>
          <w:p w:rsidR="00D3623E" w:rsidRPr="00C874E8" w:rsidRDefault="00D3623E" w:rsidP="00E932A8">
            <w:pPr>
              <w:pStyle w:val="TableHeading"/>
            </w:pPr>
            <w:r w:rsidRPr="00C874E8">
              <w:t>Manner of administration</w:t>
            </w:r>
          </w:p>
        </w:tc>
      </w:tr>
      <w:tr w:rsidR="00D3623E" w:rsidRPr="00C874E8" w:rsidTr="00E955B4">
        <w:trPr>
          <w:trHeight w:val="284"/>
        </w:trPr>
        <w:tc>
          <w:tcPr>
            <w:tcW w:w="1093" w:type="pct"/>
            <w:hideMark/>
          </w:tcPr>
          <w:p w:rsidR="00D3623E" w:rsidRPr="00C874E8" w:rsidRDefault="00D3623E">
            <w:pPr>
              <w:rPr>
                <w:sz w:val="20"/>
              </w:rPr>
            </w:pPr>
            <w:r w:rsidRPr="00C874E8">
              <w:rPr>
                <w:sz w:val="20"/>
              </w:rPr>
              <w:t>Amisulpride</w:t>
            </w:r>
          </w:p>
        </w:tc>
        <w:tc>
          <w:tcPr>
            <w:tcW w:w="2935" w:type="pct"/>
            <w:hideMark/>
          </w:tcPr>
          <w:p w:rsidR="00D3623E" w:rsidRPr="00C874E8" w:rsidRDefault="00D3623E">
            <w:pPr>
              <w:rPr>
                <w:sz w:val="20"/>
              </w:rPr>
            </w:pPr>
            <w:r w:rsidRPr="00C874E8">
              <w:rPr>
                <w:sz w:val="20"/>
              </w:rPr>
              <w:t>Oral solution 100 mg per mL, 60 mL</w:t>
            </w:r>
          </w:p>
        </w:tc>
        <w:tc>
          <w:tcPr>
            <w:tcW w:w="972" w:type="pct"/>
            <w:hideMark/>
          </w:tcPr>
          <w:p w:rsidR="00D3623E" w:rsidRPr="00C874E8" w:rsidRDefault="00D3623E">
            <w:pPr>
              <w:rPr>
                <w:sz w:val="20"/>
              </w:rPr>
            </w:pPr>
            <w:r w:rsidRPr="00C874E8">
              <w:rPr>
                <w:sz w:val="20"/>
              </w:rPr>
              <w:t>Oral</w:t>
            </w:r>
          </w:p>
        </w:tc>
      </w:tr>
      <w:tr w:rsidR="000F4B7E" w:rsidRPr="00C874E8" w:rsidDel="000F4B7E" w:rsidTr="00E955B4">
        <w:trPr>
          <w:trHeight w:val="284"/>
        </w:trPr>
        <w:tc>
          <w:tcPr>
            <w:tcW w:w="1093" w:type="pct"/>
          </w:tcPr>
          <w:p w:rsidR="000F4B7E" w:rsidRPr="00C874E8" w:rsidDel="000F4B7E" w:rsidRDefault="000F4B7E">
            <w:pPr>
              <w:rPr>
                <w:sz w:val="20"/>
              </w:rPr>
            </w:pPr>
            <w:r w:rsidRPr="00C874E8">
              <w:rPr>
                <w:sz w:val="20"/>
              </w:rPr>
              <w:t>Amoxicillin</w:t>
            </w:r>
          </w:p>
        </w:tc>
        <w:tc>
          <w:tcPr>
            <w:tcW w:w="2935" w:type="pct"/>
          </w:tcPr>
          <w:p w:rsidR="000F4B7E" w:rsidRPr="00C874E8" w:rsidDel="000F4B7E" w:rsidRDefault="000F4B7E">
            <w:pPr>
              <w:rPr>
                <w:sz w:val="20"/>
              </w:rPr>
            </w:pPr>
            <w:r w:rsidRPr="00C874E8">
              <w:rPr>
                <w:sz w:val="20"/>
              </w:rPr>
              <w:t>Powder for paediatric drops 100 mg (as trihydrate) per mL, 20 mL</w:t>
            </w:r>
          </w:p>
        </w:tc>
        <w:tc>
          <w:tcPr>
            <w:tcW w:w="972" w:type="pct"/>
          </w:tcPr>
          <w:p w:rsidR="000F4B7E" w:rsidRPr="00C874E8" w:rsidDel="000F4B7E" w:rsidRDefault="000F4B7E">
            <w:pPr>
              <w:rPr>
                <w:sz w:val="20"/>
              </w:rPr>
            </w:pPr>
            <w:r w:rsidRPr="00C874E8">
              <w:rPr>
                <w:sz w:val="20"/>
              </w:rPr>
              <w:t>Oral</w:t>
            </w:r>
          </w:p>
        </w:tc>
      </w:tr>
      <w:tr w:rsidR="000F4B7E" w:rsidRPr="00C874E8" w:rsidTr="00EF39DD">
        <w:trPr>
          <w:trHeight w:val="284"/>
        </w:trPr>
        <w:tc>
          <w:tcPr>
            <w:tcW w:w="1093" w:type="pct"/>
            <w:hideMark/>
          </w:tcPr>
          <w:p w:rsidR="000F4B7E" w:rsidRPr="00C874E8" w:rsidRDefault="000F4B7E">
            <w:pPr>
              <w:rPr>
                <w:sz w:val="20"/>
              </w:rPr>
            </w:pPr>
            <w:r w:rsidRPr="00C874E8">
              <w:rPr>
                <w:sz w:val="20"/>
              </w:rPr>
              <w:t>Artemether with Lumefantrine</w:t>
            </w:r>
          </w:p>
        </w:tc>
        <w:tc>
          <w:tcPr>
            <w:tcW w:w="2935" w:type="pct"/>
            <w:hideMark/>
          </w:tcPr>
          <w:p w:rsidR="000F4B7E" w:rsidRPr="00C874E8" w:rsidRDefault="000F4B7E">
            <w:pPr>
              <w:rPr>
                <w:sz w:val="20"/>
              </w:rPr>
            </w:pPr>
            <w:r w:rsidRPr="00C874E8">
              <w:rPr>
                <w:sz w:val="20"/>
              </w:rPr>
              <w:t>Tablet (dispersible) 20 mg</w:t>
            </w:r>
            <w:r w:rsidR="00457362">
              <w:rPr>
                <w:sz w:val="20"/>
              </w:rPr>
              <w:noBreakHyphen/>
            </w:r>
            <w:r w:rsidRPr="00C874E8">
              <w:rPr>
                <w:sz w:val="20"/>
              </w:rPr>
              <w:t>120 mg</w:t>
            </w:r>
          </w:p>
        </w:tc>
        <w:tc>
          <w:tcPr>
            <w:tcW w:w="972" w:type="pct"/>
            <w:hideMark/>
          </w:tcPr>
          <w:p w:rsidR="000F4B7E" w:rsidRPr="00C874E8" w:rsidRDefault="000F4B7E">
            <w:pPr>
              <w:rPr>
                <w:sz w:val="20"/>
              </w:rPr>
            </w:pPr>
            <w:r w:rsidRPr="00C874E8">
              <w:rPr>
                <w:sz w:val="20"/>
              </w:rPr>
              <w:t>Oral</w:t>
            </w:r>
          </w:p>
        </w:tc>
      </w:tr>
      <w:tr w:rsidR="000F4B7E" w:rsidRPr="00C874E8" w:rsidTr="00E955B4">
        <w:trPr>
          <w:trHeight w:val="284"/>
        </w:trPr>
        <w:tc>
          <w:tcPr>
            <w:tcW w:w="1093" w:type="pct"/>
            <w:hideMark/>
          </w:tcPr>
          <w:p w:rsidR="000F4B7E" w:rsidRPr="00C874E8" w:rsidRDefault="000F4B7E">
            <w:pPr>
              <w:rPr>
                <w:sz w:val="20"/>
              </w:rPr>
            </w:pPr>
            <w:r w:rsidRPr="00C874E8">
              <w:rPr>
                <w:sz w:val="20"/>
              </w:rPr>
              <w:t>Azithromycin</w:t>
            </w:r>
          </w:p>
        </w:tc>
        <w:tc>
          <w:tcPr>
            <w:tcW w:w="2935" w:type="pct"/>
            <w:hideMark/>
          </w:tcPr>
          <w:p w:rsidR="000F4B7E" w:rsidRPr="00C874E8" w:rsidRDefault="000F4B7E">
            <w:pPr>
              <w:rPr>
                <w:sz w:val="20"/>
              </w:rPr>
            </w:pPr>
            <w:r w:rsidRPr="00C874E8">
              <w:rPr>
                <w:sz w:val="20"/>
              </w:rPr>
              <w:t xml:space="preserve">Powder for oral suspension 200 mg (as dihydrate) per 5 mL, 15mL </w:t>
            </w:r>
          </w:p>
        </w:tc>
        <w:tc>
          <w:tcPr>
            <w:tcW w:w="972" w:type="pct"/>
            <w:hideMark/>
          </w:tcPr>
          <w:p w:rsidR="000F4B7E" w:rsidRPr="00C874E8" w:rsidRDefault="000F4B7E">
            <w:pPr>
              <w:rPr>
                <w:sz w:val="20"/>
              </w:rPr>
            </w:pPr>
            <w:r w:rsidRPr="00C874E8">
              <w:rPr>
                <w:sz w:val="20"/>
              </w:rPr>
              <w:t>Oral</w:t>
            </w:r>
          </w:p>
        </w:tc>
      </w:tr>
      <w:tr w:rsidR="000F4B7E" w:rsidRPr="00C874E8" w:rsidTr="00E955B4">
        <w:trPr>
          <w:trHeight w:val="277"/>
        </w:trPr>
        <w:tc>
          <w:tcPr>
            <w:tcW w:w="1093" w:type="pct"/>
            <w:hideMark/>
          </w:tcPr>
          <w:p w:rsidR="000F4B7E" w:rsidRPr="00C874E8" w:rsidRDefault="000F4B7E">
            <w:pPr>
              <w:rPr>
                <w:sz w:val="20"/>
              </w:rPr>
            </w:pPr>
            <w:r w:rsidRPr="00C874E8">
              <w:rPr>
                <w:sz w:val="20"/>
              </w:rPr>
              <w:t>Atenolol</w:t>
            </w:r>
          </w:p>
        </w:tc>
        <w:tc>
          <w:tcPr>
            <w:tcW w:w="2935" w:type="pct"/>
            <w:hideMark/>
          </w:tcPr>
          <w:p w:rsidR="000F4B7E" w:rsidRPr="00C874E8" w:rsidRDefault="000F4B7E">
            <w:pPr>
              <w:rPr>
                <w:sz w:val="20"/>
              </w:rPr>
            </w:pPr>
            <w:r w:rsidRPr="00C874E8">
              <w:rPr>
                <w:sz w:val="20"/>
              </w:rPr>
              <w:t>Oral solution 50 mg in 10 mL, 300 mL</w:t>
            </w:r>
          </w:p>
        </w:tc>
        <w:tc>
          <w:tcPr>
            <w:tcW w:w="972" w:type="pct"/>
            <w:hideMark/>
          </w:tcPr>
          <w:p w:rsidR="000F4B7E" w:rsidRPr="00C874E8" w:rsidRDefault="000F4B7E">
            <w:pPr>
              <w:rPr>
                <w:sz w:val="20"/>
              </w:rPr>
            </w:pPr>
            <w:r w:rsidRPr="00C874E8">
              <w:rPr>
                <w:sz w:val="20"/>
              </w:rPr>
              <w:t>Oral</w:t>
            </w:r>
          </w:p>
        </w:tc>
      </w:tr>
      <w:tr w:rsidR="000F4B7E" w:rsidRPr="00C874E8" w:rsidTr="00E955B4">
        <w:trPr>
          <w:trHeight w:val="284"/>
        </w:trPr>
        <w:tc>
          <w:tcPr>
            <w:tcW w:w="1093" w:type="pct"/>
            <w:hideMark/>
          </w:tcPr>
          <w:p w:rsidR="000F4B7E" w:rsidRPr="00C874E8" w:rsidRDefault="000F4B7E">
            <w:pPr>
              <w:rPr>
                <w:sz w:val="20"/>
              </w:rPr>
            </w:pPr>
            <w:r w:rsidRPr="00C874E8">
              <w:rPr>
                <w:sz w:val="20"/>
              </w:rPr>
              <w:t xml:space="preserve">Captopril  </w:t>
            </w:r>
          </w:p>
        </w:tc>
        <w:tc>
          <w:tcPr>
            <w:tcW w:w="2935" w:type="pct"/>
            <w:hideMark/>
          </w:tcPr>
          <w:p w:rsidR="000F4B7E" w:rsidRPr="00C874E8" w:rsidRDefault="000F4B7E">
            <w:pPr>
              <w:rPr>
                <w:sz w:val="20"/>
              </w:rPr>
            </w:pPr>
            <w:r w:rsidRPr="00C874E8">
              <w:rPr>
                <w:sz w:val="20"/>
              </w:rPr>
              <w:t>Oral solution 5 mg per mL,  95 mL</w:t>
            </w:r>
          </w:p>
        </w:tc>
        <w:tc>
          <w:tcPr>
            <w:tcW w:w="972" w:type="pct"/>
            <w:hideMark/>
          </w:tcPr>
          <w:p w:rsidR="000F4B7E" w:rsidRPr="00C874E8" w:rsidRDefault="000F4B7E">
            <w:pPr>
              <w:rPr>
                <w:sz w:val="20"/>
              </w:rPr>
            </w:pPr>
            <w:r w:rsidRPr="00C874E8">
              <w:rPr>
                <w:sz w:val="20"/>
              </w:rPr>
              <w:t>Oral</w:t>
            </w:r>
          </w:p>
        </w:tc>
      </w:tr>
      <w:tr w:rsidR="000F4B7E" w:rsidRPr="00C874E8" w:rsidTr="00E955B4">
        <w:trPr>
          <w:trHeight w:val="284"/>
        </w:trPr>
        <w:tc>
          <w:tcPr>
            <w:tcW w:w="1093" w:type="pct"/>
            <w:hideMark/>
          </w:tcPr>
          <w:p w:rsidR="000F4B7E" w:rsidRPr="00C874E8" w:rsidRDefault="000F4B7E">
            <w:pPr>
              <w:rPr>
                <w:i/>
                <w:iCs/>
                <w:sz w:val="20"/>
              </w:rPr>
            </w:pPr>
            <w:r w:rsidRPr="00C874E8">
              <w:rPr>
                <w:sz w:val="20"/>
              </w:rPr>
              <w:t xml:space="preserve">Carbamazepine </w:t>
            </w:r>
          </w:p>
        </w:tc>
        <w:tc>
          <w:tcPr>
            <w:tcW w:w="2935" w:type="pct"/>
            <w:hideMark/>
          </w:tcPr>
          <w:p w:rsidR="000F4B7E" w:rsidRPr="00C874E8" w:rsidRDefault="000F4B7E">
            <w:pPr>
              <w:rPr>
                <w:sz w:val="20"/>
              </w:rPr>
            </w:pPr>
            <w:r w:rsidRPr="00C874E8">
              <w:rPr>
                <w:sz w:val="20"/>
              </w:rPr>
              <w:t>Oral suspension 100 mg per 5 mL,  300 mL</w:t>
            </w:r>
          </w:p>
        </w:tc>
        <w:tc>
          <w:tcPr>
            <w:tcW w:w="972" w:type="pct"/>
            <w:hideMark/>
          </w:tcPr>
          <w:p w:rsidR="000F4B7E" w:rsidRPr="00C874E8" w:rsidRDefault="000F4B7E">
            <w:pPr>
              <w:rPr>
                <w:sz w:val="20"/>
              </w:rPr>
            </w:pPr>
            <w:r w:rsidRPr="00C874E8">
              <w:rPr>
                <w:sz w:val="20"/>
              </w:rPr>
              <w:t>Oral</w:t>
            </w:r>
          </w:p>
        </w:tc>
      </w:tr>
      <w:tr w:rsidR="00452A79" w:rsidRPr="00C874E8" w:rsidTr="00E955B4">
        <w:trPr>
          <w:trHeight w:val="284"/>
        </w:trPr>
        <w:tc>
          <w:tcPr>
            <w:tcW w:w="1093" w:type="pct"/>
          </w:tcPr>
          <w:p w:rsidR="00452A79" w:rsidRPr="00C874E8" w:rsidRDefault="00452A79">
            <w:pPr>
              <w:rPr>
                <w:sz w:val="20"/>
              </w:rPr>
            </w:pPr>
            <w:r w:rsidRPr="00C874E8">
              <w:rPr>
                <w:sz w:val="20"/>
              </w:rPr>
              <w:t>Cefuroxime</w:t>
            </w:r>
          </w:p>
        </w:tc>
        <w:tc>
          <w:tcPr>
            <w:tcW w:w="2935" w:type="pct"/>
          </w:tcPr>
          <w:p w:rsidR="00452A79" w:rsidRPr="00C874E8" w:rsidRDefault="00452A79">
            <w:pPr>
              <w:rPr>
                <w:sz w:val="20"/>
              </w:rPr>
            </w:pPr>
            <w:r w:rsidRPr="00C874E8">
              <w:rPr>
                <w:sz w:val="20"/>
              </w:rPr>
              <w:t>Powder for oral suspension 125 mg (as axetil) per 5 mL, 100 mL</w:t>
            </w:r>
          </w:p>
        </w:tc>
        <w:tc>
          <w:tcPr>
            <w:tcW w:w="972" w:type="pct"/>
          </w:tcPr>
          <w:p w:rsidR="00452A79" w:rsidRPr="00C874E8" w:rsidRDefault="00452A79">
            <w:pPr>
              <w:rPr>
                <w:sz w:val="20"/>
              </w:rPr>
            </w:pPr>
            <w:r w:rsidRPr="00C874E8">
              <w:rPr>
                <w:sz w:val="20"/>
              </w:rPr>
              <w:t>Oral</w:t>
            </w:r>
          </w:p>
        </w:tc>
      </w:tr>
      <w:tr w:rsidR="000F4B7E" w:rsidRPr="00C874E8" w:rsidTr="00E955B4">
        <w:trPr>
          <w:trHeight w:val="284"/>
        </w:trPr>
        <w:tc>
          <w:tcPr>
            <w:tcW w:w="1093" w:type="pct"/>
          </w:tcPr>
          <w:p w:rsidR="000F4B7E" w:rsidRPr="00C874E8" w:rsidRDefault="000F4B7E">
            <w:pPr>
              <w:rPr>
                <w:sz w:val="20"/>
              </w:rPr>
            </w:pPr>
            <w:r w:rsidRPr="00C874E8">
              <w:rPr>
                <w:sz w:val="20"/>
              </w:rPr>
              <w:t>Ciclosporin</w:t>
            </w:r>
          </w:p>
        </w:tc>
        <w:tc>
          <w:tcPr>
            <w:tcW w:w="2935" w:type="pct"/>
          </w:tcPr>
          <w:p w:rsidR="000F4B7E" w:rsidRPr="00C874E8" w:rsidRDefault="000F4B7E">
            <w:pPr>
              <w:rPr>
                <w:sz w:val="20"/>
              </w:rPr>
            </w:pPr>
            <w:r w:rsidRPr="00C874E8">
              <w:rPr>
                <w:sz w:val="20"/>
              </w:rPr>
              <w:t>Oral liquid 100 mg per mL, 50 mL</w:t>
            </w:r>
          </w:p>
        </w:tc>
        <w:tc>
          <w:tcPr>
            <w:tcW w:w="972" w:type="pct"/>
          </w:tcPr>
          <w:p w:rsidR="000F4B7E" w:rsidRPr="00C874E8" w:rsidRDefault="000F4B7E">
            <w:pPr>
              <w:rPr>
                <w:sz w:val="20"/>
              </w:rPr>
            </w:pPr>
            <w:r w:rsidRPr="00C874E8">
              <w:rPr>
                <w:sz w:val="20"/>
              </w:rPr>
              <w:t>Oral</w:t>
            </w:r>
          </w:p>
        </w:tc>
      </w:tr>
      <w:tr w:rsidR="000F4B7E" w:rsidRPr="00C874E8" w:rsidTr="00E955B4">
        <w:trPr>
          <w:trHeight w:val="284"/>
        </w:trPr>
        <w:tc>
          <w:tcPr>
            <w:tcW w:w="1093" w:type="pct"/>
          </w:tcPr>
          <w:p w:rsidR="000F4B7E" w:rsidRPr="00C874E8" w:rsidRDefault="000F4B7E">
            <w:pPr>
              <w:rPr>
                <w:sz w:val="20"/>
              </w:rPr>
            </w:pPr>
            <w:r w:rsidRPr="00C874E8">
              <w:rPr>
                <w:sz w:val="20"/>
              </w:rPr>
              <w:t>Ciclosporin</w:t>
            </w:r>
          </w:p>
        </w:tc>
        <w:tc>
          <w:tcPr>
            <w:tcW w:w="2935" w:type="pct"/>
          </w:tcPr>
          <w:p w:rsidR="000F4B7E" w:rsidRPr="00C874E8" w:rsidRDefault="000F4B7E">
            <w:pPr>
              <w:rPr>
                <w:sz w:val="20"/>
              </w:rPr>
            </w:pPr>
            <w:r w:rsidRPr="00C874E8">
              <w:rPr>
                <w:sz w:val="20"/>
              </w:rPr>
              <w:t>Capsule 10 mg</w:t>
            </w:r>
          </w:p>
        </w:tc>
        <w:tc>
          <w:tcPr>
            <w:tcW w:w="972" w:type="pct"/>
          </w:tcPr>
          <w:p w:rsidR="000F4B7E" w:rsidRPr="00C874E8" w:rsidRDefault="000F4B7E">
            <w:pPr>
              <w:rPr>
                <w:sz w:val="20"/>
              </w:rPr>
            </w:pPr>
            <w:r w:rsidRPr="00C874E8">
              <w:rPr>
                <w:sz w:val="20"/>
              </w:rPr>
              <w:t>Oral</w:t>
            </w:r>
          </w:p>
        </w:tc>
      </w:tr>
      <w:tr w:rsidR="000F4B7E" w:rsidRPr="00C874E8" w:rsidTr="00E955B4">
        <w:trPr>
          <w:trHeight w:val="284"/>
        </w:trPr>
        <w:tc>
          <w:tcPr>
            <w:tcW w:w="1093" w:type="pct"/>
          </w:tcPr>
          <w:p w:rsidR="000F4B7E" w:rsidRPr="00C874E8" w:rsidRDefault="000F4B7E">
            <w:pPr>
              <w:rPr>
                <w:sz w:val="20"/>
              </w:rPr>
            </w:pPr>
            <w:r w:rsidRPr="00C874E8">
              <w:rPr>
                <w:sz w:val="20"/>
              </w:rPr>
              <w:t>Ciclosporin</w:t>
            </w:r>
          </w:p>
        </w:tc>
        <w:tc>
          <w:tcPr>
            <w:tcW w:w="2935" w:type="pct"/>
          </w:tcPr>
          <w:p w:rsidR="000F4B7E" w:rsidRPr="00C874E8" w:rsidRDefault="000F4B7E">
            <w:pPr>
              <w:rPr>
                <w:sz w:val="20"/>
              </w:rPr>
            </w:pPr>
            <w:r w:rsidRPr="00C874E8">
              <w:rPr>
                <w:sz w:val="20"/>
              </w:rPr>
              <w:t>Solution concentrate for I.V. infusion 50 mg in 1 mL</w:t>
            </w:r>
          </w:p>
        </w:tc>
        <w:tc>
          <w:tcPr>
            <w:tcW w:w="972" w:type="pct"/>
          </w:tcPr>
          <w:p w:rsidR="000F4B7E" w:rsidRPr="00C874E8" w:rsidRDefault="000F4B7E">
            <w:pPr>
              <w:rPr>
                <w:sz w:val="20"/>
              </w:rPr>
            </w:pPr>
            <w:r w:rsidRPr="00C874E8">
              <w:rPr>
                <w:sz w:val="20"/>
              </w:rPr>
              <w:t>Injection</w:t>
            </w:r>
          </w:p>
        </w:tc>
      </w:tr>
      <w:tr w:rsidR="000F4B7E" w:rsidRPr="00C874E8" w:rsidTr="00E955B4">
        <w:trPr>
          <w:trHeight w:val="284"/>
        </w:trPr>
        <w:tc>
          <w:tcPr>
            <w:tcW w:w="1093" w:type="pct"/>
            <w:hideMark/>
          </w:tcPr>
          <w:p w:rsidR="000F4B7E" w:rsidRPr="00C874E8" w:rsidRDefault="000F4B7E">
            <w:pPr>
              <w:rPr>
                <w:sz w:val="20"/>
              </w:rPr>
            </w:pPr>
            <w:r w:rsidRPr="00C874E8">
              <w:rPr>
                <w:sz w:val="20"/>
              </w:rPr>
              <w:t xml:space="preserve">Ciprofloxacin </w:t>
            </w:r>
          </w:p>
        </w:tc>
        <w:tc>
          <w:tcPr>
            <w:tcW w:w="2935" w:type="pct"/>
            <w:hideMark/>
          </w:tcPr>
          <w:p w:rsidR="000F4B7E" w:rsidRPr="00C874E8" w:rsidRDefault="000F4B7E">
            <w:pPr>
              <w:rPr>
                <w:sz w:val="20"/>
              </w:rPr>
            </w:pPr>
            <w:r w:rsidRPr="00C874E8">
              <w:rPr>
                <w:sz w:val="20"/>
              </w:rPr>
              <w:t>Ear drops 3 mg (as hydrochloride) per mL, 5 mL</w:t>
            </w:r>
          </w:p>
        </w:tc>
        <w:tc>
          <w:tcPr>
            <w:tcW w:w="972" w:type="pct"/>
            <w:hideMark/>
          </w:tcPr>
          <w:p w:rsidR="000F4B7E" w:rsidRPr="00C874E8" w:rsidRDefault="000F4B7E">
            <w:pPr>
              <w:rPr>
                <w:sz w:val="20"/>
              </w:rPr>
            </w:pPr>
            <w:r w:rsidRPr="00C874E8">
              <w:rPr>
                <w:sz w:val="20"/>
              </w:rPr>
              <w:t>Application to the ear</w:t>
            </w:r>
          </w:p>
        </w:tc>
      </w:tr>
      <w:tr w:rsidR="000F4B7E" w:rsidRPr="00C874E8" w:rsidTr="00E955B4">
        <w:trPr>
          <w:trHeight w:val="284"/>
        </w:trPr>
        <w:tc>
          <w:tcPr>
            <w:tcW w:w="1093" w:type="pct"/>
            <w:hideMark/>
          </w:tcPr>
          <w:p w:rsidR="000F4B7E" w:rsidRPr="00C874E8" w:rsidRDefault="000F4B7E">
            <w:pPr>
              <w:rPr>
                <w:sz w:val="20"/>
              </w:rPr>
            </w:pPr>
            <w:r w:rsidRPr="00C874E8">
              <w:rPr>
                <w:sz w:val="20"/>
              </w:rPr>
              <w:t>Clarithromycin</w:t>
            </w:r>
          </w:p>
        </w:tc>
        <w:tc>
          <w:tcPr>
            <w:tcW w:w="2935" w:type="pct"/>
            <w:hideMark/>
          </w:tcPr>
          <w:p w:rsidR="000F4B7E" w:rsidRPr="00C874E8" w:rsidRDefault="000F4B7E">
            <w:pPr>
              <w:rPr>
                <w:sz w:val="20"/>
              </w:rPr>
            </w:pPr>
            <w:r w:rsidRPr="00C874E8">
              <w:rPr>
                <w:sz w:val="20"/>
              </w:rPr>
              <w:t>Powder for oral liquid 250 mg per 5 mL, 50 mL</w:t>
            </w:r>
          </w:p>
        </w:tc>
        <w:tc>
          <w:tcPr>
            <w:tcW w:w="972" w:type="pct"/>
            <w:hideMark/>
          </w:tcPr>
          <w:p w:rsidR="000F4B7E" w:rsidRPr="00C874E8" w:rsidRDefault="000F4B7E">
            <w:pPr>
              <w:rPr>
                <w:sz w:val="20"/>
              </w:rPr>
            </w:pPr>
            <w:r w:rsidRPr="00C874E8">
              <w:rPr>
                <w:sz w:val="20"/>
              </w:rPr>
              <w:t>Oral</w:t>
            </w:r>
          </w:p>
        </w:tc>
      </w:tr>
      <w:tr w:rsidR="000F4B7E" w:rsidRPr="00C874E8" w:rsidTr="00E955B4">
        <w:trPr>
          <w:trHeight w:val="284"/>
        </w:trPr>
        <w:tc>
          <w:tcPr>
            <w:tcW w:w="1093" w:type="pct"/>
            <w:hideMark/>
          </w:tcPr>
          <w:p w:rsidR="000F4B7E" w:rsidRPr="00C874E8" w:rsidRDefault="000F4B7E">
            <w:pPr>
              <w:rPr>
                <w:i/>
                <w:iCs/>
                <w:sz w:val="20"/>
              </w:rPr>
            </w:pPr>
            <w:r w:rsidRPr="00C874E8">
              <w:rPr>
                <w:sz w:val="20"/>
              </w:rPr>
              <w:t xml:space="preserve">Clonazepam </w:t>
            </w:r>
          </w:p>
        </w:tc>
        <w:tc>
          <w:tcPr>
            <w:tcW w:w="2935" w:type="pct"/>
            <w:hideMark/>
          </w:tcPr>
          <w:p w:rsidR="000F4B7E" w:rsidRPr="00C874E8" w:rsidRDefault="000F4B7E">
            <w:pPr>
              <w:rPr>
                <w:sz w:val="20"/>
              </w:rPr>
            </w:pPr>
            <w:r w:rsidRPr="00C874E8">
              <w:rPr>
                <w:sz w:val="20"/>
              </w:rPr>
              <w:t>Oral liquid 2.5 mg per mL, 10 mL</w:t>
            </w:r>
          </w:p>
        </w:tc>
        <w:tc>
          <w:tcPr>
            <w:tcW w:w="972" w:type="pct"/>
            <w:hideMark/>
          </w:tcPr>
          <w:p w:rsidR="000F4B7E" w:rsidRPr="00C874E8" w:rsidRDefault="000F4B7E">
            <w:pPr>
              <w:rPr>
                <w:sz w:val="20"/>
              </w:rPr>
            </w:pPr>
            <w:r w:rsidRPr="00C874E8">
              <w:rPr>
                <w:sz w:val="20"/>
              </w:rPr>
              <w:t>Oral</w:t>
            </w:r>
          </w:p>
        </w:tc>
      </w:tr>
      <w:tr w:rsidR="000F4B7E" w:rsidRPr="00C874E8" w:rsidTr="00EF39DD">
        <w:trPr>
          <w:trHeight w:val="284"/>
        </w:trPr>
        <w:tc>
          <w:tcPr>
            <w:tcW w:w="1093" w:type="pct"/>
            <w:hideMark/>
          </w:tcPr>
          <w:p w:rsidR="000F4B7E" w:rsidRPr="00C874E8" w:rsidRDefault="000F4B7E">
            <w:pPr>
              <w:rPr>
                <w:sz w:val="20"/>
              </w:rPr>
            </w:pPr>
            <w:r w:rsidRPr="00C874E8">
              <w:rPr>
                <w:sz w:val="20"/>
              </w:rPr>
              <w:t>Clonazepam</w:t>
            </w:r>
          </w:p>
        </w:tc>
        <w:tc>
          <w:tcPr>
            <w:tcW w:w="2935" w:type="pct"/>
            <w:hideMark/>
          </w:tcPr>
          <w:p w:rsidR="000F4B7E" w:rsidRPr="00C874E8" w:rsidRDefault="000F4B7E">
            <w:pPr>
              <w:rPr>
                <w:sz w:val="20"/>
              </w:rPr>
            </w:pPr>
            <w:r w:rsidRPr="00C874E8">
              <w:rPr>
                <w:sz w:val="20"/>
              </w:rPr>
              <w:t>Injection 1 mg in 2 mL (set containing solution 1 mg in 1 mL and 1 mL diluent)</w:t>
            </w:r>
          </w:p>
        </w:tc>
        <w:tc>
          <w:tcPr>
            <w:tcW w:w="972" w:type="pct"/>
            <w:hideMark/>
          </w:tcPr>
          <w:p w:rsidR="000F4B7E" w:rsidRPr="00C874E8" w:rsidRDefault="000F4B7E">
            <w:pPr>
              <w:rPr>
                <w:sz w:val="20"/>
              </w:rPr>
            </w:pPr>
            <w:r w:rsidRPr="00C874E8">
              <w:rPr>
                <w:sz w:val="20"/>
              </w:rPr>
              <w:t>Injection</w:t>
            </w:r>
          </w:p>
        </w:tc>
      </w:tr>
      <w:tr w:rsidR="00071072" w:rsidRPr="00C874E8" w:rsidTr="00EF39DD">
        <w:trPr>
          <w:trHeight w:val="284"/>
        </w:trPr>
        <w:tc>
          <w:tcPr>
            <w:tcW w:w="1093" w:type="pct"/>
          </w:tcPr>
          <w:p w:rsidR="00071072" w:rsidRPr="00C874E8" w:rsidRDefault="00071072" w:rsidP="00071072">
            <w:pPr>
              <w:rPr>
                <w:sz w:val="20"/>
              </w:rPr>
            </w:pPr>
            <w:r w:rsidRPr="005455E7">
              <w:rPr>
                <w:sz w:val="20"/>
              </w:rPr>
              <w:t>Diazepam</w:t>
            </w:r>
          </w:p>
        </w:tc>
        <w:tc>
          <w:tcPr>
            <w:tcW w:w="2935" w:type="pct"/>
          </w:tcPr>
          <w:p w:rsidR="00071072" w:rsidRPr="00C874E8" w:rsidRDefault="00071072" w:rsidP="00071072">
            <w:pPr>
              <w:rPr>
                <w:sz w:val="20"/>
              </w:rPr>
            </w:pPr>
            <w:r w:rsidRPr="005455E7">
              <w:rPr>
                <w:sz w:val="20"/>
              </w:rPr>
              <w:t>Oral liquid 10 mg per 10 mL, 100 mL</w:t>
            </w:r>
          </w:p>
        </w:tc>
        <w:tc>
          <w:tcPr>
            <w:tcW w:w="972" w:type="pct"/>
          </w:tcPr>
          <w:p w:rsidR="00071072" w:rsidRPr="00C874E8" w:rsidRDefault="00071072" w:rsidP="00071072">
            <w:pPr>
              <w:rPr>
                <w:sz w:val="20"/>
              </w:rPr>
            </w:pPr>
            <w:r w:rsidRPr="005455E7">
              <w:rPr>
                <w:sz w:val="20"/>
              </w:rPr>
              <w:t>Oral</w:t>
            </w:r>
          </w:p>
        </w:tc>
      </w:tr>
      <w:tr w:rsidR="00071072" w:rsidRPr="00C874E8" w:rsidTr="00E955B4">
        <w:trPr>
          <w:trHeight w:val="284"/>
        </w:trPr>
        <w:tc>
          <w:tcPr>
            <w:tcW w:w="1093" w:type="pct"/>
            <w:hideMark/>
          </w:tcPr>
          <w:p w:rsidR="00071072" w:rsidRPr="00C874E8" w:rsidRDefault="00071072" w:rsidP="00071072">
            <w:pPr>
              <w:rPr>
                <w:i/>
                <w:iCs/>
                <w:sz w:val="20"/>
              </w:rPr>
            </w:pPr>
            <w:r w:rsidRPr="00C874E8">
              <w:rPr>
                <w:sz w:val="20"/>
              </w:rPr>
              <w:t xml:space="preserve">Diclofenac </w:t>
            </w:r>
          </w:p>
        </w:tc>
        <w:tc>
          <w:tcPr>
            <w:tcW w:w="2935" w:type="pct"/>
            <w:hideMark/>
          </w:tcPr>
          <w:p w:rsidR="00071072" w:rsidRPr="00C874E8" w:rsidRDefault="00071072" w:rsidP="00071072">
            <w:pPr>
              <w:rPr>
                <w:sz w:val="20"/>
              </w:rPr>
            </w:pPr>
            <w:r w:rsidRPr="00C874E8">
              <w:rPr>
                <w:sz w:val="20"/>
              </w:rPr>
              <w:t>Suppository containing diclofenac sodium 100 mg</w:t>
            </w:r>
          </w:p>
        </w:tc>
        <w:tc>
          <w:tcPr>
            <w:tcW w:w="972" w:type="pct"/>
            <w:hideMark/>
          </w:tcPr>
          <w:p w:rsidR="00071072" w:rsidRPr="00C874E8" w:rsidRDefault="00071072" w:rsidP="00071072">
            <w:pPr>
              <w:rPr>
                <w:sz w:val="20"/>
              </w:rPr>
            </w:pPr>
            <w:r w:rsidRPr="00C874E8">
              <w:rPr>
                <w:sz w:val="20"/>
              </w:rPr>
              <w:t>Rectal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Digoxin </w:t>
            </w:r>
          </w:p>
        </w:tc>
        <w:tc>
          <w:tcPr>
            <w:tcW w:w="2935" w:type="pct"/>
            <w:hideMark/>
          </w:tcPr>
          <w:p w:rsidR="00071072" w:rsidRPr="00C874E8" w:rsidRDefault="00071072" w:rsidP="00071072">
            <w:pPr>
              <w:rPr>
                <w:sz w:val="20"/>
              </w:rPr>
            </w:pPr>
            <w:r w:rsidRPr="00C874E8">
              <w:rPr>
                <w:sz w:val="20"/>
              </w:rPr>
              <w:t>Paediatric oral solution 50 micrograms per mL,  60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Efavirenz </w:t>
            </w:r>
          </w:p>
        </w:tc>
        <w:tc>
          <w:tcPr>
            <w:tcW w:w="2935" w:type="pct"/>
            <w:hideMark/>
          </w:tcPr>
          <w:p w:rsidR="00071072" w:rsidRPr="00C874E8" w:rsidRDefault="00071072" w:rsidP="00071072">
            <w:pPr>
              <w:rPr>
                <w:sz w:val="20"/>
              </w:rPr>
            </w:pPr>
            <w:r w:rsidRPr="00C874E8">
              <w:rPr>
                <w:sz w:val="20"/>
              </w:rPr>
              <w:t>Oral solution 30 mg per mL, 180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Escitalopram</w:t>
            </w:r>
          </w:p>
        </w:tc>
        <w:tc>
          <w:tcPr>
            <w:tcW w:w="2935" w:type="pct"/>
            <w:hideMark/>
          </w:tcPr>
          <w:p w:rsidR="00071072" w:rsidRPr="00C874E8" w:rsidRDefault="00071072" w:rsidP="00071072">
            <w:pPr>
              <w:rPr>
                <w:sz w:val="20"/>
              </w:rPr>
            </w:pPr>
            <w:r w:rsidRPr="00C874E8">
              <w:rPr>
                <w:sz w:val="20"/>
              </w:rPr>
              <w:t>Oral solution 20 mg (as oxalate) per mL, 15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tcPr>
          <w:p w:rsidR="00071072" w:rsidRPr="00C874E8" w:rsidRDefault="00071072" w:rsidP="00071072">
            <w:pPr>
              <w:rPr>
                <w:sz w:val="20"/>
              </w:rPr>
            </w:pPr>
            <w:r w:rsidRPr="00C874E8">
              <w:rPr>
                <w:sz w:val="20"/>
              </w:rPr>
              <w:t>Ethosuximide</w:t>
            </w:r>
          </w:p>
        </w:tc>
        <w:tc>
          <w:tcPr>
            <w:tcW w:w="2935" w:type="pct"/>
          </w:tcPr>
          <w:p w:rsidR="00071072" w:rsidRPr="00C874E8" w:rsidRDefault="00071072" w:rsidP="00071072">
            <w:pPr>
              <w:rPr>
                <w:sz w:val="20"/>
              </w:rPr>
            </w:pPr>
            <w:r w:rsidRPr="00C874E8">
              <w:rPr>
                <w:sz w:val="20"/>
              </w:rPr>
              <w:t>Oral solution 250 mg per 5 mL, 200 mL</w:t>
            </w:r>
          </w:p>
        </w:tc>
        <w:tc>
          <w:tcPr>
            <w:tcW w:w="972" w:type="pct"/>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Fluconazole</w:t>
            </w:r>
          </w:p>
        </w:tc>
        <w:tc>
          <w:tcPr>
            <w:tcW w:w="2935" w:type="pct"/>
            <w:hideMark/>
          </w:tcPr>
          <w:p w:rsidR="00071072" w:rsidRPr="00C874E8" w:rsidRDefault="00071072" w:rsidP="00071072">
            <w:pPr>
              <w:rPr>
                <w:sz w:val="20"/>
              </w:rPr>
            </w:pPr>
            <w:r w:rsidRPr="00C874E8">
              <w:rPr>
                <w:sz w:val="20"/>
              </w:rPr>
              <w:t>Powder for oral suspension 50 mg in 5 mL, 35 mL</w:t>
            </w:r>
          </w:p>
        </w:tc>
        <w:tc>
          <w:tcPr>
            <w:tcW w:w="972" w:type="pct"/>
            <w:hideMark/>
          </w:tcPr>
          <w:p w:rsidR="00071072" w:rsidRPr="00C874E8" w:rsidRDefault="00071072" w:rsidP="00071072">
            <w:pPr>
              <w:rPr>
                <w:sz w:val="20"/>
              </w:rPr>
            </w:pPr>
            <w:r w:rsidRPr="00C874E8">
              <w:rPr>
                <w:sz w:val="20"/>
              </w:rPr>
              <w:t>Oral</w:t>
            </w:r>
          </w:p>
        </w:tc>
      </w:tr>
      <w:tr w:rsidR="00071072" w:rsidRPr="00C874E8" w:rsidDel="000F4B7E" w:rsidTr="00E955B4">
        <w:trPr>
          <w:trHeight w:val="284"/>
        </w:trPr>
        <w:tc>
          <w:tcPr>
            <w:tcW w:w="1093" w:type="pct"/>
          </w:tcPr>
          <w:p w:rsidR="00071072" w:rsidRPr="00C874E8" w:rsidDel="000F4B7E" w:rsidRDefault="00071072" w:rsidP="00071072">
            <w:pPr>
              <w:rPr>
                <w:sz w:val="20"/>
              </w:rPr>
            </w:pPr>
            <w:r w:rsidRPr="00C874E8">
              <w:rPr>
                <w:sz w:val="20"/>
              </w:rPr>
              <w:t>Furosemide</w:t>
            </w:r>
          </w:p>
        </w:tc>
        <w:tc>
          <w:tcPr>
            <w:tcW w:w="2935" w:type="pct"/>
          </w:tcPr>
          <w:p w:rsidR="00071072" w:rsidRPr="00C874E8" w:rsidDel="000F4B7E" w:rsidRDefault="00071072" w:rsidP="00071072">
            <w:pPr>
              <w:rPr>
                <w:sz w:val="20"/>
              </w:rPr>
            </w:pPr>
            <w:r w:rsidRPr="00C874E8">
              <w:rPr>
                <w:sz w:val="20"/>
              </w:rPr>
              <w:t>Oral solution 10 mg per mL, 30 mL</w:t>
            </w:r>
          </w:p>
        </w:tc>
        <w:tc>
          <w:tcPr>
            <w:tcW w:w="972" w:type="pct"/>
          </w:tcPr>
          <w:p w:rsidR="00071072" w:rsidRPr="00C874E8" w:rsidDel="000F4B7E"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Glyceryl Trinitrate</w:t>
            </w:r>
          </w:p>
        </w:tc>
        <w:tc>
          <w:tcPr>
            <w:tcW w:w="2935" w:type="pct"/>
            <w:hideMark/>
          </w:tcPr>
          <w:p w:rsidR="00071072" w:rsidRPr="00C874E8" w:rsidRDefault="00071072" w:rsidP="00071072">
            <w:pPr>
              <w:rPr>
                <w:sz w:val="20"/>
              </w:rPr>
            </w:pPr>
            <w:r w:rsidRPr="00C874E8">
              <w:rPr>
                <w:sz w:val="20"/>
              </w:rPr>
              <w:t>Sublingual spray (pump pack) 400 micrograms per dose, 200 doses</w:t>
            </w:r>
          </w:p>
        </w:tc>
        <w:tc>
          <w:tcPr>
            <w:tcW w:w="972" w:type="pct"/>
            <w:hideMark/>
          </w:tcPr>
          <w:p w:rsidR="00071072" w:rsidRPr="00C874E8" w:rsidRDefault="00071072" w:rsidP="00071072">
            <w:pPr>
              <w:rPr>
                <w:sz w:val="20"/>
              </w:rPr>
            </w:pPr>
            <w:r w:rsidRPr="00C874E8">
              <w:rPr>
                <w:sz w:val="20"/>
              </w:rPr>
              <w:t>Sublingual</w:t>
            </w:r>
          </w:p>
        </w:tc>
      </w:tr>
      <w:tr w:rsidR="00071072" w:rsidRPr="00C874E8" w:rsidDel="000F4B7E" w:rsidTr="00E955B4">
        <w:trPr>
          <w:trHeight w:val="284"/>
        </w:trPr>
        <w:tc>
          <w:tcPr>
            <w:tcW w:w="1093" w:type="pct"/>
          </w:tcPr>
          <w:p w:rsidR="00071072" w:rsidRPr="00C874E8" w:rsidDel="000F4B7E" w:rsidRDefault="00071072" w:rsidP="00071072">
            <w:pPr>
              <w:rPr>
                <w:sz w:val="20"/>
              </w:rPr>
            </w:pPr>
            <w:r w:rsidRPr="00C874E8">
              <w:rPr>
                <w:sz w:val="20"/>
              </w:rPr>
              <w:t>Indometacin</w:t>
            </w:r>
          </w:p>
        </w:tc>
        <w:tc>
          <w:tcPr>
            <w:tcW w:w="2935" w:type="pct"/>
          </w:tcPr>
          <w:p w:rsidR="00071072" w:rsidRPr="00C874E8" w:rsidDel="000F4B7E" w:rsidRDefault="00071072" w:rsidP="00071072">
            <w:pPr>
              <w:rPr>
                <w:sz w:val="20"/>
              </w:rPr>
            </w:pPr>
            <w:r w:rsidRPr="00C874E8">
              <w:rPr>
                <w:sz w:val="20"/>
              </w:rPr>
              <w:t>Suppository 100 mg</w:t>
            </w:r>
          </w:p>
        </w:tc>
        <w:tc>
          <w:tcPr>
            <w:tcW w:w="972" w:type="pct"/>
          </w:tcPr>
          <w:p w:rsidR="00071072" w:rsidRPr="00C874E8" w:rsidDel="000F4B7E" w:rsidRDefault="00071072" w:rsidP="00071072">
            <w:pPr>
              <w:rPr>
                <w:sz w:val="20"/>
              </w:rPr>
            </w:pPr>
            <w:r w:rsidRPr="00C874E8">
              <w:rPr>
                <w:sz w:val="20"/>
              </w:rPr>
              <w:t>Rectal</w:t>
            </w:r>
          </w:p>
        </w:tc>
      </w:tr>
      <w:tr w:rsidR="00071072" w:rsidRPr="00C874E8" w:rsidDel="000F4B7E" w:rsidTr="00E955B4">
        <w:trPr>
          <w:trHeight w:val="284"/>
        </w:trPr>
        <w:tc>
          <w:tcPr>
            <w:tcW w:w="1093" w:type="pct"/>
          </w:tcPr>
          <w:p w:rsidR="00071072" w:rsidRPr="00C874E8" w:rsidRDefault="00071072" w:rsidP="00071072">
            <w:pPr>
              <w:rPr>
                <w:sz w:val="20"/>
              </w:rPr>
            </w:pPr>
            <w:r w:rsidRPr="00C874E8">
              <w:rPr>
                <w:sz w:val="20"/>
              </w:rPr>
              <w:t>Mercaptopurine</w:t>
            </w:r>
          </w:p>
        </w:tc>
        <w:tc>
          <w:tcPr>
            <w:tcW w:w="2935" w:type="pct"/>
          </w:tcPr>
          <w:p w:rsidR="00071072" w:rsidRPr="00C874E8" w:rsidRDefault="00071072" w:rsidP="00071072">
            <w:pPr>
              <w:rPr>
                <w:sz w:val="20"/>
              </w:rPr>
            </w:pPr>
            <w:r w:rsidRPr="00C874E8">
              <w:rPr>
                <w:sz w:val="20"/>
              </w:rPr>
              <w:t>Oral suspension containing mercaptopurine monohydrate 20 mg per mL, 100 mL</w:t>
            </w:r>
          </w:p>
        </w:tc>
        <w:tc>
          <w:tcPr>
            <w:tcW w:w="972" w:type="pct"/>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Methadone </w:t>
            </w:r>
          </w:p>
        </w:tc>
        <w:tc>
          <w:tcPr>
            <w:tcW w:w="2935" w:type="pct"/>
            <w:hideMark/>
          </w:tcPr>
          <w:p w:rsidR="00071072" w:rsidRPr="00C874E8" w:rsidRDefault="00071072" w:rsidP="00071072">
            <w:pPr>
              <w:rPr>
                <w:sz w:val="20"/>
              </w:rPr>
            </w:pPr>
            <w:r w:rsidRPr="00C874E8">
              <w:rPr>
                <w:sz w:val="20"/>
              </w:rPr>
              <w:t>Oral liquid containing methadone hydrochloride 25 mg per 5mL, 200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Methadone </w:t>
            </w:r>
          </w:p>
        </w:tc>
        <w:tc>
          <w:tcPr>
            <w:tcW w:w="2935" w:type="pct"/>
            <w:hideMark/>
          </w:tcPr>
          <w:p w:rsidR="00071072" w:rsidRPr="00C874E8" w:rsidRDefault="00071072" w:rsidP="00071072">
            <w:pPr>
              <w:rPr>
                <w:sz w:val="20"/>
              </w:rPr>
            </w:pPr>
            <w:r w:rsidRPr="00C874E8">
              <w:rPr>
                <w:sz w:val="20"/>
              </w:rPr>
              <w:t>Injection containing methadone hydrochloride 10 mg in 1 mL</w:t>
            </w:r>
          </w:p>
        </w:tc>
        <w:tc>
          <w:tcPr>
            <w:tcW w:w="972" w:type="pct"/>
            <w:hideMark/>
          </w:tcPr>
          <w:p w:rsidR="00071072" w:rsidRPr="00C874E8" w:rsidRDefault="00071072" w:rsidP="00071072">
            <w:pPr>
              <w:rPr>
                <w:sz w:val="20"/>
              </w:rPr>
            </w:pPr>
            <w:r w:rsidRPr="00C874E8">
              <w:rPr>
                <w:sz w:val="20"/>
              </w:rPr>
              <w:t>Injection</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Metronidazole</w:t>
            </w:r>
          </w:p>
        </w:tc>
        <w:tc>
          <w:tcPr>
            <w:tcW w:w="2935" w:type="pct"/>
            <w:hideMark/>
          </w:tcPr>
          <w:p w:rsidR="00071072" w:rsidRPr="00C874E8" w:rsidRDefault="00071072" w:rsidP="00071072">
            <w:pPr>
              <w:rPr>
                <w:sz w:val="20"/>
              </w:rPr>
            </w:pPr>
            <w:r w:rsidRPr="00C874E8">
              <w:rPr>
                <w:sz w:val="20"/>
              </w:rPr>
              <w:t>Suppositories 500 mg, 10</w:t>
            </w:r>
          </w:p>
        </w:tc>
        <w:tc>
          <w:tcPr>
            <w:tcW w:w="972" w:type="pct"/>
            <w:hideMark/>
          </w:tcPr>
          <w:p w:rsidR="00071072" w:rsidRPr="00C874E8" w:rsidRDefault="00071072" w:rsidP="00071072">
            <w:pPr>
              <w:rPr>
                <w:sz w:val="20"/>
              </w:rPr>
            </w:pPr>
            <w:r w:rsidRPr="00C874E8">
              <w:rPr>
                <w:sz w:val="20"/>
              </w:rPr>
              <w:t>Rectal</w:t>
            </w:r>
          </w:p>
        </w:tc>
      </w:tr>
      <w:tr w:rsidR="00071072" w:rsidRPr="00C874E8" w:rsidTr="00EF39DD">
        <w:trPr>
          <w:trHeight w:val="284"/>
        </w:trPr>
        <w:tc>
          <w:tcPr>
            <w:tcW w:w="1093" w:type="pct"/>
            <w:hideMark/>
          </w:tcPr>
          <w:p w:rsidR="00071072" w:rsidRPr="00C874E8" w:rsidRDefault="00071072" w:rsidP="00071072">
            <w:pPr>
              <w:rPr>
                <w:sz w:val="20"/>
              </w:rPr>
            </w:pPr>
            <w:r w:rsidRPr="00C874E8">
              <w:rPr>
                <w:sz w:val="20"/>
              </w:rPr>
              <w:t>Metronidazole</w:t>
            </w:r>
          </w:p>
        </w:tc>
        <w:tc>
          <w:tcPr>
            <w:tcW w:w="2935" w:type="pct"/>
            <w:hideMark/>
          </w:tcPr>
          <w:p w:rsidR="00071072" w:rsidRPr="00C874E8" w:rsidRDefault="00071072" w:rsidP="00071072">
            <w:pPr>
              <w:rPr>
                <w:sz w:val="20"/>
              </w:rPr>
            </w:pPr>
            <w:r w:rsidRPr="00C874E8">
              <w:rPr>
                <w:sz w:val="20"/>
              </w:rPr>
              <w:t xml:space="preserve">Oral suspension containing metronidazole benzoate 320 mg </w:t>
            </w:r>
            <w:r w:rsidRPr="00C874E8">
              <w:rPr>
                <w:sz w:val="20"/>
              </w:rPr>
              <w:lastRenderedPageBreak/>
              <w:t>per 5 mL, 100 mL</w:t>
            </w:r>
          </w:p>
        </w:tc>
        <w:tc>
          <w:tcPr>
            <w:tcW w:w="972" w:type="pct"/>
            <w:hideMark/>
          </w:tcPr>
          <w:p w:rsidR="00071072" w:rsidRPr="00C874E8" w:rsidRDefault="00071072" w:rsidP="00071072">
            <w:pPr>
              <w:rPr>
                <w:sz w:val="20"/>
              </w:rPr>
            </w:pPr>
            <w:r w:rsidRPr="00C874E8">
              <w:rPr>
                <w:sz w:val="20"/>
              </w:rPr>
              <w:lastRenderedPageBreak/>
              <w:t>Oral</w:t>
            </w:r>
          </w:p>
        </w:tc>
      </w:tr>
      <w:tr w:rsidR="00071072" w:rsidRPr="00C874E8" w:rsidTr="00EF39DD">
        <w:trPr>
          <w:trHeight w:val="284"/>
        </w:trPr>
        <w:tc>
          <w:tcPr>
            <w:tcW w:w="1093" w:type="pct"/>
            <w:hideMark/>
          </w:tcPr>
          <w:p w:rsidR="00071072" w:rsidRPr="00C874E8" w:rsidRDefault="00071072" w:rsidP="00071072">
            <w:pPr>
              <w:rPr>
                <w:sz w:val="20"/>
              </w:rPr>
            </w:pPr>
            <w:r w:rsidRPr="00C874E8">
              <w:rPr>
                <w:sz w:val="20"/>
              </w:rPr>
              <w:t>Mycophenolic Acid</w:t>
            </w:r>
          </w:p>
        </w:tc>
        <w:tc>
          <w:tcPr>
            <w:tcW w:w="2935" w:type="pct"/>
            <w:hideMark/>
          </w:tcPr>
          <w:p w:rsidR="00071072" w:rsidRPr="00C874E8" w:rsidRDefault="00071072" w:rsidP="00071072">
            <w:pPr>
              <w:rPr>
                <w:sz w:val="20"/>
              </w:rPr>
            </w:pPr>
            <w:r w:rsidRPr="00C874E8">
              <w:rPr>
                <w:sz w:val="20"/>
              </w:rPr>
              <w:t>Powder for oral suspension containing mycophenolate mofetil 1 g per 5 mL, 165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i/>
                <w:iCs/>
                <w:sz w:val="20"/>
              </w:rPr>
            </w:pPr>
            <w:r w:rsidRPr="00C874E8">
              <w:rPr>
                <w:sz w:val="20"/>
              </w:rPr>
              <w:t xml:space="preserve">Naproxen </w:t>
            </w:r>
          </w:p>
        </w:tc>
        <w:tc>
          <w:tcPr>
            <w:tcW w:w="2935" w:type="pct"/>
            <w:hideMark/>
          </w:tcPr>
          <w:p w:rsidR="00071072" w:rsidRPr="00C874E8" w:rsidRDefault="00071072" w:rsidP="00071072">
            <w:pPr>
              <w:rPr>
                <w:sz w:val="20"/>
              </w:rPr>
            </w:pPr>
            <w:r w:rsidRPr="00C874E8">
              <w:rPr>
                <w:sz w:val="20"/>
              </w:rPr>
              <w:t>Oral suspension 125 mg per 5mL, 474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Nevirapine</w:t>
            </w:r>
          </w:p>
        </w:tc>
        <w:tc>
          <w:tcPr>
            <w:tcW w:w="2935" w:type="pct"/>
            <w:hideMark/>
          </w:tcPr>
          <w:p w:rsidR="00071072" w:rsidRPr="00C874E8" w:rsidRDefault="00071072" w:rsidP="00071072">
            <w:pPr>
              <w:rPr>
                <w:sz w:val="20"/>
              </w:rPr>
            </w:pPr>
            <w:r w:rsidRPr="00C874E8">
              <w:rPr>
                <w:sz w:val="20"/>
              </w:rPr>
              <w:t>Oral suspension 50 mg (as hemihydrate) per 5 mL, 240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Ondansetron</w:t>
            </w:r>
          </w:p>
        </w:tc>
        <w:tc>
          <w:tcPr>
            <w:tcW w:w="2935" w:type="pct"/>
            <w:hideMark/>
          </w:tcPr>
          <w:p w:rsidR="00071072" w:rsidRPr="00C874E8" w:rsidRDefault="00071072" w:rsidP="00071072">
            <w:pPr>
              <w:rPr>
                <w:sz w:val="20"/>
              </w:rPr>
            </w:pPr>
            <w:r w:rsidRPr="00C874E8">
              <w:rPr>
                <w:sz w:val="20"/>
              </w:rPr>
              <w:t>Syrup, 4 mg (as hydrochloride dihydrate) per 5 mL, 50mL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Oxycodone</w:t>
            </w:r>
          </w:p>
        </w:tc>
        <w:tc>
          <w:tcPr>
            <w:tcW w:w="2935" w:type="pct"/>
            <w:hideMark/>
          </w:tcPr>
          <w:p w:rsidR="00071072" w:rsidRPr="00C874E8" w:rsidRDefault="00071072" w:rsidP="00071072">
            <w:pPr>
              <w:rPr>
                <w:sz w:val="20"/>
              </w:rPr>
            </w:pPr>
            <w:r w:rsidRPr="00C874E8">
              <w:rPr>
                <w:sz w:val="20"/>
              </w:rPr>
              <w:t>Oral solution containing oxycodone hydrochloride 1 mg per mL, 250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Pantoprazole</w:t>
            </w:r>
          </w:p>
        </w:tc>
        <w:tc>
          <w:tcPr>
            <w:tcW w:w="2935" w:type="pct"/>
            <w:hideMark/>
          </w:tcPr>
          <w:p w:rsidR="00071072" w:rsidRPr="00C874E8" w:rsidRDefault="00071072" w:rsidP="00071072">
            <w:pPr>
              <w:rPr>
                <w:sz w:val="20"/>
              </w:rPr>
            </w:pPr>
            <w:r w:rsidRPr="00C874E8">
              <w:rPr>
                <w:sz w:val="20"/>
              </w:rPr>
              <w:t>Sachet containing granules 40 mg (as sodium sesquihydrate)</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i/>
                <w:iCs/>
                <w:sz w:val="20"/>
              </w:rPr>
            </w:pPr>
            <w:r w:rsidRPr="00C874E8">
              <w:rPr>
                <w:sz w:val="20"/>
              </w:rPr>
              <w:t>Paracetamol</w:t>
            </w:r>
          </w:p>
        </w:tc>
        <w:tc>
          <w:tcPr>
            <w:tcW w:w="2935" w:type="pct"/>
            <w:hideMark/>
          </w:tcPr>
          <w:p w:rsidR="00071072" w:rsidRPr="00C874E8" w:rsidRDefault="00071072" w:rsidP="00071072">
            <w:pPr>
              <w:rPr>
                <w:sz w:val="20"/>
              </w:rPr>
            </w:pPr>
            <w:r w:rsidRPr="00C874E8">
              <w:rPr>
                <w:sz w:val="20"/>
              </w:rPr>
              <w:t>Oral liquid 120 mg per 5 mL, 100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Paracetamol</w:t>
            </w:r>
          </w:p>
        </w:tc>
        <w:tc>
          <w:tcPr>
            <w:tcW w:w="2935" w:type="pct"/>
            <w:hideMark/>
          </w:tcPr>
          <w:p w:rsidR="00071072" w:rsidRPr="00C874E8" w:rsidRDefault="00071072" w:rsidP="00071072">
            <w:pPr>
              <w:rPr>
                <w:sz w:val="20"/>
              </w:rPr>
            </w:pPr>
            <w:r w:rsidRPr="00C874E8">
              <w:rPr>
                <w:sz w:val="20"/>
              </w:rPr>
              <w:t>Oral liquid 240 mg per 5 mL, 200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tcPr>
          <w:p w:rsidR="00071072" w:rsidRPr="00C874E8" w:rsidRDefault="00071072" w:rsidP="00071072">
            <w:pPr>
              <w:rPr>
                <w:sz w:val="20"/>
              </w:rPr>
            </w:pPr>
            <w:r w:rsidRPr="00C874E8">
              <w:rPr>
                <w:sz w:val="20"/>
              </w:rPr>
              <w:t>Paracetamol</w:t>
            </w:r>
          </w:p>
        </w:tc>
        <w:tc>
          <w:tcPr>
            <w:tcW w:w="2935" w:type="pct"/>
          </w:tcPr>
          <w:p w:rsidR="00071072" w:rsidRPr="00C874E8" w:rsidRDefault="00071072" w:rsidP="00071072">
            <w:pPr>
              <w:rPr>
                <w:sz w:val="20"/>
              </w:rPr>
            </w:pPr>
            <w:r w:rsidRPr="00C874E8">
              <w:rPr>
                <w:sz w:val="20"/>
              </w:rPr>
              <w:t>Suppository 500 mg</w:t>
            </w:r>
          </w:p>
        </w:tc>
        <w:tc>
          <w:tcPr>
            <w:tcW w:w="972" w:type="pct"/>
          </w:tcPr>
          <w:p w:rsidR="00071072" w:rsidRPr="00C874E8" w:rsidRDefault="00071072" w:rsidP="00071072">
            <w:pPr>
              <w:rPr>
                <w:sz w:val="20"/>
              </w:rPr>
            </w:pPr>
            <w:r w:rsidRPr="00C874E8">
              <w:rPr>
                <w:sz w:val="20"/>
              </w:rPr>
              <w:t>Rectal</w:t>
            </w:r>
          </w:p>
        </w:tc>
      </w:tr>
      <w:tr w:rsidR="00071072" w:rsidRPr="00C874E8" w:rsidTr="00E955B4">
        <w:trPr>
          <w:trHeight w:val="284"/>
        </w:trPr>
        <w:tc>
          <w:tcPr>
            <w:tcW w:w="1093" w:type="pct"/>
          </w:tcPr>
          <w:p w:rsidR="00071072" w:rsidRPr="00C874E8" w:rsidRDefault="00071072" w:rsidP="00071072">
            <w:pPr>
              <w:rPr>
                <w:sz w:val="20"/>
              </w:rPr>
            </w:pPr>
            <w:r w:rsidRPr="00C874E8">
              <w:rPr>
                <w:sz w:val="20"/>
              </w:rPr>
              <w:t>Prochlorperazine</w:t>
            </w:r>
          </w:p>
        </w:tc>
        <w:tc>
          <w:tcPr>
            <w:tcW w:w="2935" w:type="pct"/>
          </w:tcPr>
          <w:p w:rsidR="00071072" w:rsidRPr="00C874E8" w:rsidRDefault="00071072" w:rsidP="00071072">
            <w:pPr>
              <w:rPr>
                <w:sz w:val="20"/>
              </w:rPr>
            </w:pPr>
            <w:r w:rsidRPr="00C874E8">
              <w:rPr>
                <w:sz w:val="20"/>
              </w:rPr>
              <w:t>Injection containing prochlorperazine mesilate 12.5 mg in 1 mL</w:t>
            </w:r>
          </w:p>
        </w:tc>
        <w:tc>
          <w:tcPr>
            <w:tcW w:w="972" w:type="pct"/>
          </w:tcPr>
          <w:p w:rsidR="00071072" w:rsidRPr="00C874E8" w:rsidRDefault="00071072" w:rsidP="00071072">
            <w:pPr>
              <w:rPr>
                <w:sz w:val="20"/>
              </w:rPr>
            </w:pPr>
            <w:r w:rsidRPr="00C874E8">
              <w:rPr>
                <w:sz w:val="20"/>
              </w:rPr>
              <w:t>Injection</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Ranitidine </w:t>
            </w:r>
          </w:p>
        </w:tc>
        <w:tc>
          <w:tcPr>
            <w:tcW w:w="2935" w:type="pct"/>
            <w:hideMark/>
          </w:tcPr>
          <w:p w:rsidR="00071072" w:rsidRPr="00C874E8" w:rsidRDefault="00071072" w:rsidP="00071072">
            <w:pPr>
              <w:rPr>
                <w:sz w:val="20"/>
              </w:rPr>
            </w:pPr>
            <w:r w:rsidRPr="00C874E8">
              <w:rPr>
                <w:sz w:val="20"/>
              </w:rPr>
              <w:t>Syrup 150 mg (as hydrochloride) per 10 mL, 300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i/>
                <w:iCs/>
                <w:sz w:val="20"/>
              </w:rPr>
            </w:pPr>
            <w:r w:rsidRPr="00C874E8">
              <w:rPr>
                <w:sz w:val="20"/>
              </w:rPr>
              <w:t xml:space="preserve">Roxithromycin </w:t>
            </w:r>
          </w:p>
        </w:tc>
        <w:tc>
          <w:tcPr>
            <w:tcW w:w="2935" w:type="pct"/>
            <w:hideMark/>
          </w:tcPr>
          <w:p w:rsidR="00071072" w:rsidRPr="00C874E8" w:rsidRDefault="00071072" w:rsidP="00071072">
            <w:pPr>
              <w:rPr>
                <w:sz w:val="20"/>
              </w:rPr>
            </w:pPr>
            <w:r w:rsidRPr="00C874E8">
              <w:rPr>
                <w:sz w:val="20"/>
              </w:rPr>
              <w:t>Tablet for oral suspension 50 mg</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Salbutamol </w:t>
            </w:r>
          </w:p>
        </w:tc>
        <w:tc>
          <w:tcPr>
            <w:tcW w:w="2935" w:type="pct"/>
            <w:hideMark/>
          </w:tcPr>
          <w:p w:rsidR="00071072" w:rsidRPr="00C874E8" w:rsidRDefault="00071072" w:rsidP="00071072">
            <w:pPr>
              <w:rPr>
                <w:sz w:val="20"/>
              </w:rPr>
            </w:pPr>
            <w:r w:rsidRPr="00C874E8">
              <w:rPr>
                <w:sz w:val="20"/>
              </w:rPr>
              <w:t>Oral solution 2 mg (as sulfate) per 5 mL, 150 mL</w:t>
            </w:r>
          </w:p>
        </w:tc>
        <w:tc>
          <w:tcPr>
            <w:tcW w:w="972" w:type="pct"/>
            <w:hideMark/>
          </w:tcPr>
          <w:p w:rsidR="00071072" w:rsidRPr="00C874E8" w:rsidRDefault="00071072" w:rsidP="00071072">
            <w:pPr>
              <w:rPr>
                <w:sz w:val="20"/>
              </w:rPr>
            </w:pPr>
            <w:r w:rsidRPr="00C874E8">
              <w:rPr>
                <w:sz w:val="20"/>
              </w:rPr>
              <w:t>Oral</w:t>
            </w:r>
          </w:p>
        </w:tc>
      </w:tr>
      <w:tr w:rsidR="00071072" w:rsidRPr="00C874E8" w:rsidTr="00EF39DD">
        <w:trPr>
          <w:trHeight w:val="284"/>
        </w:trPr>
        <w:tc>
          <w:tcPr>
            <w:tcW w:w="1093" w:type="pct"/>
            <w:hideMark/>
          </w:tcPr>
          <w:p w:rsidR="00071072" w:rsidRPr="00C874E8" w:rsidRDefault="00071072" w:rsidP="00071072">
            <w:pPr>
              <w:rPr>
                <w:sz w:val="20"/>
              </w:rPr>
            </w:pPr>
            <w:r w:rsidRPr="00C874E8">
              <w:rPr>
                <w:sz w:val="20"/>
              </w:rPr>
              <w:t>Salbutamol</w:t>
            </w:r>
          </w:p>
        </w:tc>
        <w:tc>
          <w:tcPr>
            <w:tcW w:w="2935" w:type="pct"/>
            <w:hideMark/>
          </w:tcPr>
          <w:p w:rsidR="00071072" w:rsidRPr="00C874E8" w:rsidRDefault="00071072" w:rsidP="00071072">
            <w:pPr>
              <w:rPr>
                <w:sz w:val="20"/>
              </w:rPr>
            </w:pPr>
            <w:r w:rsidRPr="00C874E8">
              <w:rPr>
                <w:sz w:val="20"/>
              </w:rPr>
              <w:t>Pressurised inhalation in breath actuated device 100 micrograms (as sulfate) per dose, 200 doses (CFC</w:t>
            </w:r>
            <w:r w:rsidR="00457362">
              <w:rPr>
                <w:sz w:val="20"/>
              </w:rPr>
              <w:noBreakHyphen/>
            </w:r>
            <w:r w:rsidRPr="00C874E8">
              <w:rPr>
                <w:sz w:val="20"/>
              </w:rPr>
              <w:t>free formulation)</w:t>
            </w:r>
          </w:p>
        </w:tc>
        <w:tc>
          <w:tcPr>
            <w:tcW w:w="972" w:type="pct"/>
            <w:hideMark/>
          </w:tcPr>
          <w:p w:rsidR="00071072" w:rsidRPr="00C874E8" w:rsidRDefault="00071072" w:rsidP="00071072">
            <w:pPr>
              <w:rPr>
                <w:sz w:val="20"/>
              </w:rPr>
            </w:pPr>
            <w:r w:rsidRPr="00C874E8">
              <w:rPr>
                <w:sz w:val="20"/>
              </w:rPr>
              <w:t>Inhalation by mouth</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Terbinafine</w:t>
            </w:r>
          </w:p>
        </w:tc>
        <w:tc>
          <w:tcPr>
            <w:tcW w:w="2935" w:type="pct"/>
            <w:hideMark/>
          </w:tcPr>
          <w:p w:rsidR="00071072" w:rsidRPr="00C874E8" w:rsidRDefault="00071072" w:rsidP="00071072">
            <w:pPr>
              <w:rPr>
                <w:sz w:val="20"/>
              </w:rPr>
            </w:pPr>
            <w:r w:rsidRPr="00C874E8">
              <w:rPr>
                <w:sz w:val="20"/>
              </w:rPr>
              <w:t>Cream containing terbinafine hydrochloride 10 mg per g, 15 g</w:t>
            </w:r>
          </w:p>
        </w:tc>
        <w:tc>
          <w:tcPr>
            <w:tcW w:w="972" w:type="pct"/>
            <w:hideMark/>
          </w:tcPr>
          <w:p w:rsidR="00071072" w:rsidRPr="00C874E8" w:rsidRDefault="00071072" w:rsidP="00071072">
            <w:pPr>
              <w:rPr>
                <w:sz w:val="20"/>
              </w:rPr>
            </w:pPr>
            <w:r w:rsidRPr="00C874E8">
              <w:rPr>
                <w:sz w:val="20"/>
              </w:rPr>
              <w:t>Application</w:t>
            </w:r>
          </w:p>
        </w:tc>
      </w:tr>
      <w:tr w:rsidR="00071072" w:rsidRPr="00C874E8" w:rsidTr="00E955B4">
        <w:trPr>
          <w:trHeight w:val="284"/>
        </w:trPr>
        <w:tc>
          <w:tcPr>
            <w:tcW w:w="1093" w:type="pct"/>
            <w:hideMark/>
          </w:tcPr>
          <w:p w:rsidR="00071072" w:rsidRPr="00C874E8" w:rsidRDefault="00071072" w:rsidP="00071072">
            <w:pPr>
              <w:rPr>
                <w:i/>
                <w:iCs/>
                <w:sz w:val="20"/>
              </w:rPr>
            </w:pPr>
            <w:r w:rsidRPr="00C874E8">
              <w:rPr>
                <w:sz w:val="20"/>
              </w:rPr>
              <w:t xml:space="preserve">Tramadol </w:t>
            </w:r>
          </w:p>
        </w:tc>
        <w:tc>
          <w:tcPr>
            <w:tcW w:w="2935" w:type="pct"/>
            <w:hideMark/>
          </w:tcPr>
          <w:p w:rsidR="00071072" w:rsidRPr="00C874E8" w:rsidRDefault="00071072" w:rsidP="00071072">
            <w:pPr>
              <w:rPr>
                <w:sz w:val="20"/>
              </w:rPr>
            </w:pPr>
            <w:r w:rsidRPr="00C874E8">
              <w:rPr>
                <w:sz w:val="20"/>
              </w:rPr>
              <w:t>Oral drops containing tramadol hydrochloride 100 mg per mL, 10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Valganciclovir</w:t>
            </w:r>
          </w:p>
        </w:tc>
        <w:tc>
          <w:tcPr>
            <w:tcW w:w="2935" w:type="pct"/>
            <w:hideMark/>
          </w:tcPr>
          <w:p w:rsidR="00071072" w:rsidRPr="00C874E8" w:rsidRDefault="00071072" w:rsidP="00071072">
            <w:pPr>
              <w:rPr>
                <w:sz w:val="20"/>
              </w:rPr>
            </w:pPr>
            <w:r w:rsidRPr="00C874E8">
              <w:rPr>
                <w:sz w:val="20"/>
              </w:rPr>
              <w:t>Powder for oral solution 50 mg (as hydrochloride) per mL, 100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Valproic Acid</w:t>
            </w:r>
          </w:p>
        </w:tc>
        <w:tc>
          <w:tcPr>
            <w:tcW w:w="2935" w:type="pct"/>
            <w:hideMark/>
          </w:tcPr>
          <w:p w:rsidR="00071072" w:rsidRPr="00C874E8" w:rsidRDefault="00071072" w:rsidP="00071072">
            <w:pPr>
              <w:rPr>
                <w:sz w:val="20"/>
              </w:rPr>
            </w:pPr>
            <w:r w:rsidRPr="00C874E8">
              <w:rPr>
                <w:sz w:val="20"/>
              </w:rPr>
              <w:t>Tablet, crushable, containing sodium valproate 100 mg</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 xml:space="preserve">Valproic Acid </w:t>
            </w:r>
          </w:p>
        </w:tc>
        <w:tc>
          <w:tcPr>
            <w:tcW w:w="2935" w:type="pct"/>
            <w:hideMark/>
          </w:tcPr>
          <w:p w:rsidR="00071072" w:rsidRPr="00C874E8" w:rsidRDefault="00071072" w:rsidP="00071072">
            <w:pPr>
              <w:rPr>
                <w:sz w:val="20"/>
              </w:rPr>
            </w:pPr>
            <w:r w:rsidRPr="00C874E8">
              <w:rPr>
                <w:sz w:val="20"/>
              </w:rPr>
              <w:t>Oral liquid containing sodium valproate 200 mg per 5mL, 300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hideMark/>
          </w:tcPr>
          <w:p w:rsidR="00071072" w:rsidRPr="00C874E8" w:rsidRDefault="00071072" w:rsidP="00071072">
            <w:pPr>
              <w:rPr>
                <w:sz w:val="20"/>
              </w:rPr>
            </w:pPr>
            <w:r w:rsidRPr="00C874E8">
              <w:rPr>
                <w:sz w:val="20"/>
              </w:rPr>
              <w:t>Valproic Acid</w:t>
            </w:r>
          </w:p>
        </w:tc>
        <w:tc>
          <w:tcPr>
            <w:tcW w:w="2935" w:type="pct"/>
            <w:hideMark/>
          </w:tcPr>
          <w:p w:rsidR="00071072" w:rsidRPr="00C874E8" w:rsidRDefault="00071072" w:rsidP="00071072">
            <w:pPr>
              <w:rPr>
                <w:sz w:val="20"/>
              </w:rPr>
            </w:pPr>
            <w:r w:rsidRPr="00C874E8">
              <w:rPr>
                <w:sz w:val="20"/>
              </w:rPr>
              <w:t>Oral solution containing sodium valproate 200 mg per 5mL, 300 mL</w:t>
            </w:r>
          </w:p>
        </w:tc>
        <w:tc>
          <w:tcPr>
            <w:tcW w:w="972" w:type="pct"/>
            <w:hideMark/>
          </w:tcPr>
          <w:p w:rsidR="00071072" w:rsidRPr="00C874E8" w:rsidRDefault="00071072" w:rsidP="00071072">
            <w:pPr>
              <w:rPr>
                <w:sz w:val="20"/>
              </w:rPr>
            </w:pPr>
            <w:r w:rsidRPr="00C874E8">
              <w:rPr>
                <w:sz w:val="20"/>
              </w:rPr>
              <w:t>Oral</w:t>
            </w:r>
          </w:p>
        </w:tc>
      </w:tr>
      <w:tr w:rsidR="00071072" w:rsidRPr="00C874E8" w:rsidTr="00E955B4">
        <w:trPr>
          <w:trHeight w:val="284"/>
        </w:trPr>
        <w:tc>
          <w:tcPr>
            <w:tcW w:w="1093" w:type="pct"/>
            <w:tcBorders>
              <w:top w:val="nil"/>
              <w:left w:val="nil"/>
              <w:bottom w:val="single" w:sz="12" w:space="0" w:color="auto"/>
              <w:right w:val="nil"/>
            </w:tcBorders>
            <w:hideMark/>
          </w:tcPr>
          <w:p w:rsidR="00071072" w:rsidRPr="00C874E8" w:rsidRDefault="00071072" w:rsidP="00071072">
            <w:pPr>
              <w:rPr>
                <w:sz w:val="20"/>
              </w:rPr>
            </w:pPr>
            <w:r w:rsidRPr="00C874E8">
              <w:rPr>
                <w:sz w:val="20"/>
              </w:rPr>
              <w:t>Voriconazole</w:t>
            </w:r>
          </w:p>
        </w:tc>
        <w:tc>
          <w:tcPr>
            <w:tcW w:w="2935" w:type="pct"/>
            <w:tcBorders>
              <w:top w:val="nil"/>
              <w:left w:val="nil"/>
              <w:bottom w:val="single" w:sz="12" w:space="0" w:color="auto"/>
              <w:right w:val="nil"/>
            </w:tcBorders>
            <w:hideMark/>
          </w:tcPr>
          <w:p w:rsidR="00071072" w:rsidRPr="00C874E8" w:rsidRDefault="00071072" w:rsidP="00071072">
            <w:pPr>
              <w:rPr>
                <w:sz w:val="20"/>
              </w:rPr>
            </w:pPr>
            <w:r w:rsidRPr="00C874E8">
              <w:rPr>
                <w:sz w:val="20"/>
              </w:rPr>
              <w:t>Powder for oral suspension 40 mg per mL, 70 mL</w:t>
            </w:r>
          </w:p>
        </w:tc>
        <w:tc>
          <w:tcPr>
            <w:tcW w:w="972" w:type="pct"/>
            <w:tcBorders>
              <w:top w:val="nil"/>
              <w:left w:val="nil"/>
              <w:bottom w:val="single" w:sz="12" w:space="0" w:color="auto"/>
              <w:right w:val="nil"/>
            </w:tcBorders>
            <w:hideMark/>
          </w:tcPr>
          <w:p w:rsidR="00071072" w:rsidRPr="00C874E8" w:rsidRDefault="00071072" w:rsidP="00071072">
            <w:pPr>
              <w:rPr>
                <w:sz w:val="20"/>
              </w:rPr>
            </w:pPr>
            <w:r w:rsidRPr="00C874E8">
              <w:rPr>
                <w:sz w:val="20"/>
              </w:rPr>
              <w:t>Oral</w:t>
            </w:r>
          </w:p>
        </w:tc>
      </w:tr>
    </w:tbl>
    <w:p w:rsidR="00DD7B50" w:rsidRPr="00C874E8" w:rsidRDefault="00DD7B50" w:rsidP="00DD7B50">
      <w:pPr>
        <w:sectPr w:rsidR="00DD7B50" w:rsidRPr="00C874E8" w:rsidSect="000578B1">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93386F" w:rsidRPr="00C874E8" w:rsidRDefault="0093386F" w:rsidP="0093386F">
      <w:pPr>
        <w:pStyle w:val="ENotesHeading1"/>
        <w:pageBreakBefore/>
        <w:outlineLvl w:val="9"/>
      </w:pPr>
      <w:bookmarkStart w:id="6" w:name="_Toc82001466"/>
      <w:r w:rsidRPr="00C874E8">
        <w:lastRenderedPageBreak/>
        <w:t>Endnotes</w:t>
      </w:r>
      <w:bookmarkEnd w:id="6"/>
    </w:p>
    <w:p w:rsidR="00627AC1" w:rsidRPr="00C874E8" w:rsidRDefault="00627AC1" w:rsidP="004609F2">
      <w:pPr>
        <w:pStyle w:val="ENotesHeading2"/>
        <w:spacing w:line="240" w:lineRule="auto"/>
        <w:outlineLvl w:val="9"/>
      </w:pPr>
      <w:bookmarkStart w:id="7" w:name="_Toc82001467"/>
      <w:r w:rsidRPr="00C874E8">
        <w:t>Endnote 1—About the endnotes</w:t>
      </w:r>
      <w:bookmarkEnd w:id="7"/>
    </w:p>
    <w:p w:rsidR="00627AC1" w:rsidRPr="00C874E8" w:rsidRDefault="00627AC1" w:rsidP="004609F2">
      <w:pPr>
        <w:spacing w:after="120"/>
      </w:pPr>
      <w:r w:rsidRPr="00C874E8">
        <w:t>The endnotes provide information about this compilation and the compiled law.</w:t>
      </w:r>
    </w:p>
    <w:p w:rsidR="00627AC1" w:rsidRPr="00C874E8" w:rsidRDefault="00627AC1" w:rsidP="004609F2">
      <w:pPr>
        <w:spacing w:after="120"/>
      </w:pPr>
      <w:r w:rsidRPr="00C874E8">
        <w:t>The following endnotes are included in every compilation:</w:t>
      </w:r>
    </w:p>
    <w:p w:rsidR="00627AC1" w:rsidRPr="00C874E8" w:rsidRDefault="00627AC1" w:rsidP="004609F2">
      <w:r w:rsidRPr="00C874E8">
        <w:t>Endnote 1—About the endnotes</w:t>
      </w:r>
    </w:p>
    <w:p w:rsidR="00627AC1" w:rsidRPr="00C874E8" w:rsidRDefault="00627AC1" w:rsidP="004609F2">
      <w:r w:rsidRPr="00C874E8">
        <w:t>Endnote 2—Abbreviation key</w:t>
      </w:r>
    </w:p>
    <w:p w:rsidR="00627AC1" w:rsidRPr="00C874E8" w:rsidRDefault="00627AC1" w:rsidP="004609F2">
      <w:r w:rsidRPr="00C874E8">
        <w:t>Endnote 3—Legislation history</w:t>
      </w:r>
    </w:p>
    <w:p w:rsidR="00627AC1" w:rsidRPr="00C874E8" w:rsidRDefault="00627AC1" w:rsidP="004609F2">
      <w:pPr>
        <w:spacing w:after="120"/>
      </w:pPr>
      <w:r w:rsidRPr="00C874E8">
        <w:t>Endnote 4—Amendment history</w:t>
      </w:r>
    </w:p>
    <w:p w:rsidR="00627AC1" w:rsidRPr="00C874E8" w:rsidRDefault="00627AC1" w:rsidP="004609F2">
      <w:r w:rsidRPr="00C874E8">
        <w:rPr>
          <w:b/>
        </w:rPr>
        <w:t>Abbreviation key—Endnote 2</w:t>
      </w:r>
    </w:p>
    <w:p w:rsidR="00627AC1" w:rsidRPr="00C874E8" w:rsidRDefault="00627AC1" w:rsidP="004609F2">
      <w:pPr>
        <w:spacing w:after="120"/>
      </w:pPr>
      <w:r w:rsidRPr="00C874E8">
        <w:t>The abbreviation key sets out abbreviations that may be used in the endnotes.</w:t>
      </w:r>
    </w:p>
    <w:p w:rsidR="00627AC1" w:rsidRPr="00C874E8" w:rsidRDefault="00627AC1" w:rsidP="004609F2">
      <w:pPr>
        <w:rPr>
          <w:b/>
        </w:rPr>
      </w:pPr>
      <w:r w:rsidRPr="00C874E8">
        <w:rPr>
          <w:b/>
        </w:rPr>
        <w:t>Legislation history and amendment history—Endnotes 3 and 4</w:t>
      </w:r>
    </w:p>
    <w:p w:rsidR="00627AC1" w:rsidRPr="00C874E8" w:rsidRDefault="00627AC1" w:rsidP="004609F2">
      <w:pPr>
        <w:spacing w:after="120"/>
      </w:pPr>
      <w:r w:rsidRPr="00C874E8">
        <w:t>Amending laws are annotated in the legislation history and amendment history.</w:t>
      </w:r>
    </w:p>
    <w:p w:rsidR="00627AC1" w:rsidRPr="00C874E8" w:rsidRDefault="00627AC1" w:rsidP="004609F2">
      <w:pPr>
        <w:spacing w:after="120"/>
      </w:pPr>
      <w:r w:rsidRPr="00C874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27AC1" w:rsidRPr="00C874E8" w:rsidRDefault="00627AC1" w:rsidP="004609F2">
      <w:pPr>
        <w:spacing w:after="120"/>
      </w:pPr>
      <w:r w:rsidRPr="00C874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27AC1" w:rsidRPr="00C874E8" w:rsidRDefault="00627AC1" w:rsidP="004609F2">
      <w:pPr>
        <w:rPr>
          <w:b/>
        </w:rPr>
      </w:pPr>
      <w:r w:rsidRPr="00C874E8">
        <w:rPr>
          <w:b/>
        </w:rPr>
        <w:t>Editorial changes</w:t>
      </w:r>
    </w:p>
    <w:p w:rsidR="00627AC1" w:rsidRPr="00C874E8" w:rsidRDefault="00627AC1" w:rsidP="004609F2">
      <w:pPr>
        <w:spacing w:after="120"/>
      </w:pPr>
      <w:r w:rsidRPr="00C874E8">
        <w:t xml:space="preserve">The </w:t>
      </w:r>
      <w:r w:rsidRPr="00C874E8">
        <w:rPr>
          <w:i/>
        </w:rPr>
        <w:t>Legislation Act 2003</w:t>
      </w:r>
      <w:r w:rsidRPr="00C874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27AC1" w:rsidRPr="00C874E8" w:rsidRDefault="00627AC1" w:rsidP="004609F2">
      <w:pPr>
        <w:spacing w:after="120"/>
      </w:pPr>
      <w:r w:rsidRPr="00C874E8">
        <w:t xml:space="preserve">If the compilation includes editorial changes, the endnotes include a brief outline of the changes in general terms. Full details of any changes can be obtained from the Office of Parliamentary Counsel. </w:t>
      </w:r>
    </w:p>
    <w:p w:rsidR="00627AC1" w:rsidRPr="00C874E8" w:rsidRDefault="00627AC1" w:rsidP="004609F2">
      <w:pPr>
        <w:keepNext/>
      </w:pPr>
      <w:r w:rsidRPr="00C874E8">
        <w:rPr>
          <w:b/>
        </w:rPr>
        <w:t>Misdescribed amendments</w:t>
      </w:r>
    </w:p>
    <w:p w:rsidR="00627AC1" w:rsidRPr="00C874E8" w:rsidRDefault="00627AC1" w:rsidP="004609F2">
      <w:pPr>
        <w:spacing w:after="120"/>
      </w:pPr>
      <w:r w:rsidRPr="00C874E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27AC1" w:rsidRPr="00C874E8" w:rsidRDefault="00627AC1" w:rsidP="004609F2">
      <w:pPr>
        <w:spacing w:before="120"/>
      </w:pPr>
      <w:r w:rsidRPr="00C874E8">
        <w:t>If a misdescribed amendment cannot be given effect as intended, the abbreviation “(md not incorp)” is added to the details of the amendment included in the amendment history.</w:t>
      </w:r>
    </w:p>
    <w:p w:rsidR="00627AC1" w:rsidRPr="00C874E8" w:rsidRDefault="00627AC1" w:rsidP="004609F2"/>
    <w:p w:rsidR="00627AC1" w:rsidRPr="00C874E8" w:rsidRDefault="00627AC1" w:rsidP="004609F2">
      <w:pPr>
        <w:pStyle w:val="ENotesHeading2"/>
        <w:pageBreakBefore/>
        <w:outlineLvl w:val="9"/>
      </w:pPr>
      <w:bookmarkStart w:id="8" w:name="_Toc82001468"/>
      <w:r w:rsidRPr="00C874E8">
        <w:lastRenderedPageBreak/>
        <w:t>Endnote 2—Abbreviation key</w:t>
      </w:r>
      <w:bookmarkEnd w:id="8"/>
    </w:p>
    <w:p w:rsidR="00627AC1" w:rsidRPr="00C874E8" w:rsidRDefault="00627AC1" w:rsidP="004609F2">
      <w:pPr>
        <w:pStyle w:val="Tabletext"/>
      </w:pPr>
    </w:p>
    <w:tbl>
      <w:tblPr>
        <w:tblW w:w="5000" w:type="pct"/>
        <w:tblLook w:val="0000" w:firstRow="0" w:lastRow="0" w:firstColumn="0" w:lastColumn="0" w:noHBand="0" w:noVBand="0"/>
      </w:tblPr>
      <w:tblGrid>
        <w:gridCol w:w="4570"/>
        <w:gridCol w:w="3959"/>
      </w:tblGrid>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ad = added or inserted</w:t>
            </w:r>
          </w:p>
        </w:tc>
        <w:tc>
          <w:tcPr>
            <w:tcW w:w="2321" w:type="pct"/>
            <w:shd w:val="clear" w:color="auto" w:fill="auto"/>
          </w:tcPr>
          <w:p w:rsidR="00627AC1" w:rsidRPr="00C874E8" w:rsidRDefault="00627AC1" w:rsidP="004609F2">
            <w:pPr>
              <w:spacing w:before="60"/>
              <w:ind w:left="34"/>
              <w:rPr>
                <w:sz w:val="20"/>
              </w:rPr>
            </w:pPr>
            <w:r w:rsidRPr="00C874E8">
              <w:rPr>
                <w:sz w:val="20"/>
              </w:rPr>
              <w:t>o = order(s)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am = amended</w:t>
            </w:r>
          </w:p>
        </w:tc>
        <w:tc>
          <w:tcPr>
            <w:tcW w:w="2321" w:type="pct"/>
            <w:shd w:val="clear" w:color="auto" w:fill="auto"/>
          </w:tcPr>
          <w:p w:rsidR="00627AC1" w:rsidRPr="00C874E8" w:rsidRDefault="00627AC1" w:rsidP="004609F2">
            <w:pPr>
              <w:spacing w:before="60"/>
              <w:ind w:left="34"/>
              <w:rPr>
                <w:sz w:val="20"/>
              </w:rPr>
            </w:pPr>
            <w:r w:rsidRPr="00C874E8">
              <w:rPr>
                <w:sz w:val="20"/>
              </w:rPr>
              <w:t>Ord = Ordinance</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amdt = amendment</w:t>
            </w:r>
          </w:p>
        </w:tc>
        <w:tc>
          <w:tcPr>
            <w:tcW w:w="2321" w:type="pct"/>
            <w:shd w:val="clear" w:color="auto" w:fill="auto"/>
          </w:tcPr>
          <w:p w:rsidR="00627AC1" w:rsidRPr="00C874E8" w:rsidRDefault="00627AC1" w:rsidP="004609F2">
            <w:pPr>
              <w:spacing w:before="60"/>
              <w:ind w:left="34"/>
              <w:rPr>
                <w:sz w:val="20"/>
              </w:rPr>
            </w:pPr>
            <w:r w:rsidRPr="00C874E8">
              <w:rPr>
                <w:sz w:val="20"/>
              </w:rPr>
              <w:t>orig = original</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c = clause(s)</w:t>
            </w:r>
          </w:p>
        </w:tc>
        <w:tc>
          <w:tcPr>
            <w:tcW w:w="2321" w:type="pct"/>
            <w:shd w:val="clear" w:color="auto" w:fill="auto"/>
          </w:tcPr>
          <w:p w:rsidR="00627AC1" w:rsidRPr="00C874E8" w:rsidRDefault="00627AC1" w:rsidP="004609F2">
            <w:pPr>
              <w:spacing w:before="60"/>
              <w:ind w:left="34"/>
              <w:rPr>
                <w:sz w:val="20"/>
              </w:rPr>
            </w:pPr>
            <w:r w:rsidRPr="00C874E8">
              <w:rPr>
                <w:sz w:val="20"/>
              </w:rPr>
              <w:t>par = paragraph(s)/subparagraph(s)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C[x] = Compilation No. x</w:t>
            </w:r>
          </w:p>
        </w:tc>
        <w:tc>
          <w:tcPr>
            <w:tcW w:w="2321" w:type="pct"/>
            <w:shd w:val="clear" w:color="auto" w:fill="auto"/>
          </w:tcPr>
          <w:p w:rsidR="00627AC1" w:rsidRPr="00C874E8" w:rsidRDefault="00101BB1" w:rsidP="00101BB1">
            <w:pPr>
              <w:ind w:left="34" w:firstLine="249"/>
              <w:rPr>
                <w:sz w:val="20"/>
              </w:rPr>
            </w:pPr>
            <w:r w:rsidRPr="00C874E8">
              <w:rPr>
                <w:sz w:val="20"/>
              </w:rPr>
              <w:t>/</w:t>
            </w:r>
            <w:r w:rsidR="00627AC1" w:rsidRPr="00C874E8">
              <w:rPr>
                <w:sz w:val="20"/>
              </w:rPr>
              <w:t>sub</w:t>
            </w:r>
            <w:r w:rsidR="00457362">
              <w:rPr>
                <w:sz w:val="20"/>
              </w:rPr>
              <w:noBreakHyphen/>
            </w:r>
            <w:r w:rsidR="00627AC1" w:rsidRPr="00C874E8">
              <w:rPr>
                <w:sz w:val="20"/>
              </w:rPr>
              <w:t>subparagraph(s)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Ch = Chapter(s)</w:t>
            </w:r>
          </w:p>
        </w:tc>
        <w:tc>
          <w:tcPr>
            <w:tcW w:w="2321" w:type="pct"/>
            <w:shd w:val="clear" w:color="auto" w:fill="auto"/>
          </w:tcPr>
          <w:p w:rsidR="00627AC1" w:rsidRPr="00C874E8" w:rsidRDefault="00627AC1" w:rsidP="004609F2">
            <w:pPr>
              <w:spacing w:before="60"/>
              <w:ind w:left="34"/>
              <w:rPr>
                <w:sz w:val="20"/>
              </w:rPr>
            </w:pPr>
            <w:r w:rsidRPr="00C874E8">
              <w:rPr>
                <w:sz w:val="20"/>
              </w:rPr>
              <w:t>pres = present</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def = definition(s)</w:t>
            </w:r>
          </w:p>
        </w:tc>
        <w:tc>
          <w:tcPr>
            <w:tcW w:w="2321" w:type="pct"/>
            <w:shd w:val="clear" w:color="auto" w:fill="auto"/>
          </w:tcPr>
          <w:p w:rsidR="00627AC1" w:rsidRPr="00C874E8" w:rsidRDefault="00627AC1" w:rsidP="004609F2">
            <w:pPr>
              <w:spacing w:before="60"/>
              <w:ind w:left="34"/>
              <w:rPr>
                <w:sz w:val="20"/>
              </w:rPr>
            </w:pPr>
            <w:r w:rsidRPr="00C874E8">
              <w:rPr>
                <w:sz w:val="20"/>
              </w:rPr>
              <w:t>prev = previous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Dict = Dictionary</w:t>
            </w:r>
          </w:p>
        </w:tc>
        <w:tc>
          <w:tcPr>
            <w:tcW w:w="2321" w:type="pct"/>
            <w:shd w:val="clear" w:color="auto" w:fill="auto"/>
          </w:tcPr>
          <w:p w:rsidR="00627AC1" w:rsidRPr="00C874E8" w:rsidRDefault="00627AC1" w:rsidP="004609F2">
            <w:pPr>
              <w:spacing w:before="60"/>
              <w:ind w:left="34"/>
              <w:rPr>
                <w:sz w:val="20"/>
              </w:rPr>
            </w:pPr>
            <w:r w:rsidRPr="00C874E8">
              <w:rPr>
                <w:sz w:val="20"/>
              </w:rPr>
              <w:t>(prev…) = previously</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disallowed = disallowed by Parliament</w:t>
            </w:r>
          </w:p>
        </w:tc>
        <w:tc>
          <w:tcPr>
            <w:tcW w:w="2321" w:type="pct"/>
            <w:shd w:val="clear" w:color="auto" w:fill="auto"/>
          </w:tcPr>
          <w:p w:rsidR="00627AC1" w:rsidRPr="00C874E8" w:rsidRDefault="00627AC1" w:rsidP="004609F2">
            <w:pPr>
              <w:spacing w:before="60"/>
              <w:ind w:left="34"/>
              <w:rPr>
                <w:sz w:val="20"/>
              </w:rPr>
            </w:pPr>
            <w:r w:rsidRPr="00C874E8">
              <w:rPr>
                <w:sz w:val="20"/>
              </w:rPr>
              <w:t>Pt = Part(s)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Div = Division(s)</w:t>
            </w:r>
          </w:p>
        </w:tc>
        <w:tc>
          <w:tcPr>
            <w:tcW w:w="2321" w:type="pct"/>
            <w:shd w:val="clear" w:color="auto" w:fill="auto"/>
          </w:tcPr>
          <w:p w:rsidR="00627AC1" w:rsidRPr="00C874E8" w:rsidRDefault="00627AC1" w:rsidP="004609F2">
            <w:pPr>
              <w:spacing w:before="60"/>
              <w:ind w:left="34"/>
              <w:rPr>
                <w:sz w:val="20"/>
              </w:rPr>
            </w:pPr>
            <w:r w:rsidRPr="00C874E8">
              <w:rPr>
                <w:sz w:val="20"/>
              </w:rPr>
              <w:t>r = regulation(s)/rule(s)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ed = editorial change</w:t>
            </w:r>
          </w:p>
        </w:tc>
        <w:tc>
          <w:tcPr>
            <w:tcW w:w="2321" w:type="pct"/>
            <w:shd w:val="clear" w:color="auto" w:fill="auto"/>
          </w:tcPr>
          <w:p w:rsidR="00627AC1" w:rsidRPr="00C874E8" w:rsidRDefault="00627AC1" w:rsidP="004609F2">
            <w:pPr>
              <w:spacing w:before="60"/>
              <w:ind w:left="34"/>
              <w:rPr>
                <w:sz w:val="20"/>
              </w:rPr>
            </w:pPr>
            <w:r w:rsidRPr="00C874E8">
              <w:rPr>
                <w:sz w:val="20"/>
              </w:rPr>
              <w:t>reloc = relocated</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exp = expires/expired or ceases/ceased to have</w:t>
            </w:r>
          </w:p>
        </w:tc>
        <w:tc>
          <w:tcPr>
            <w:tcW w:w="2321" w:type="pct"/>
            <w:shd w:val="clear" w:color="auto" w:fill="auto"/>
          </w:tcPr>
          <w:p w:rsidR="00627AC1" w:rsidRPr="00C874E8" w:rsidRDefault="00627AC1" w:rsidP="004609F2">
            <w:pPr>
              <w:spacing w:before="60"/>
              <w:ind w:left="34"/>
              <w:rPr>
                <w:sz w:val="20"/>
              </w:rPr>
            </w:pPr>
            <w:r w:rsidRPr="00C874E8">
              <w:rPr>
                <w:sz w:val="20"/>
              </w:rPr>
              <w:t>renum = renumbered</w:t>
            </w:r>
          </w:p>
        </w:tc>
      </w:tr>
      <w:tr w:rsidR="00627AC1" w:rsidRPr="00C874E8" w:rsidTr="00E955B4">
        <w:tc>
          <w:tcPr>
            <w:tcW w:w="2679" w:type="pct"/>
            <w:shd w:val="clear" w:color="auto" w:fill="auto"/>
          </w:tcPr>
          <w:p w:rsidR="00627AC1" w:rsidRPr="00C874E8" w:rsidRDefault="00101BB1" w:rsidP="00101BB1">
            <w:pPr>
              <w:ind w:left="34" w:firstLine="249"/>
              <w:rPr>
                <w:sz w:val="20"/>
              </w:rPr>
            </w:pPr>
            <w:r w:rsidRPr="00C874E8">
              <w:rPr>
                <w:sz w:val="20"/>
              </w:rPr>
              <w:t>e</w:t>
            </w:r>
            <w:r w:rsidR="00627AC1" w:rsidRPr="00C874E8">
              <w:rPr>
                <w:sz w:val="20"/>
              </w:rPr>
              <w:t>ffect</w:t>
            </w:r>
          </w:p>
        </w:tc>
        <w:tc>
          <w:tcPr>
            <w:tcW w:w="2321" w:type="pct"/>
            <w:shd w:val="clear" w:color="auto" w:fill="auto"/>
          </w:tcPr>
          <w:p w:rsidR="00627AC1" w:rsidRPr="00C874E8" w:rsidRDefault="00627AC1" w:rsidP="004609F2">
            <w:pPr>
              <w:spacing w:before="60"/>
              <w:ind w:left="34"/>
              <w:rPr>
                <w:sz w:val="20"/>
              </w:rPr>
            </w:pPr>
            <w:r w:rsidRPr="00C874E8">
              <w:rPr>
                <w:sz w:val="20"/>
              </w:rPr>
              <w:t>rep = repealed</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F = Federal Register of Legislation</w:t>
            </w:r>
          </w:p>
        </w:tc>
        <w:tc>
          <w:tcPr>
            <w:tcW w:w="2321" w:type="pct"/>
            <w:shd w:val="clear" w:color="auto" w:fill="auto"/>
          </w:tcPr>
          <w:p w:rsidR="00627AC1" w:rsidRPr="00C874E8" w:rsidRDefault="00627AC1" w:rsidP="004609F2">
            <w:pPr>
              <w:spacing w:before="60"/>
              <w:ind w:left="34"/>
              <w:rPr>
                <w:sz w:val="20"/>
              </w:rPr>
            </w:pPr>
            <w:r w:rsidRPr="00C874E8">
              <w:rPr>
                <w:sz w:val="20"/>
              </w:rPr>
              <w:t>rs = repealed and substituted</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gaz = gazette</w:t>
            </w:r>
          </w:p>
        </w:tc>
        <w:tc>
          <w:tcPr>
            <w:tcW w:w="2321" w:type="pct"/>
            <w:shd w:val="clear" w:color="auto" w:fill="auto"/>
          </w:tcPr>
          <w:p w:rsidR="00627AC1" w:rsidRPr="00C874E8" w:rsidRDefault="00627AC1" w:rsidP="004609F2">
            <w:pPr>
              <w:spacing w:before="60"/>
              <w:ind w:left="34"/>
              <w:rPr>
                <w:sz w:val="20"/>
              </w:rPr>
            </w:pPr>
            <w:r w:rsidRPr="00C874E8">
              <w:rPr>
                <w:sz w:val="20"/>
              </w:rPr>
              <w:t>s = section(s)/subsection(s)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 xml:space="preserve">LA = </w:t>
            </w:r>
            <w:r w:rsidRPr="00C874E8">
              <w:rPr>
                <w:i/>
                <w:sz w:val="20"/>
              </w:rPr>
              <w:t>Legislation Act 2003</w:t>
            </w:r>
          </w:p>
        </w:tc>
        <w:tc>
          <w:tcPr>
            <w:tcW w:w="2321" w:type="pct"/>
            <w:shd w:val="clear" w:color="auto" w:fill="auto"/>
          </w:tcPr>
          <w:p w:rsidR="00627AC1" w:rsidRPr="00C874E8" w:rsidRDefault="00627AC1" w:rsidP="004609F2">
            <w:pPr>
              <w:spacing w:before="60"/>
              <w:ind w:left="34"/>
              <w:rPr>
                <w:sz w:val="20"/>
              </w:rPr>
            </w:pPr>
            <w:r w:rsidRPr="00C874E8">
              <w:rPr>
                <w:sz w:val="20"/>
              </w:rPr>
              <w:t>Sch = Schedule(s)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 xml:space="preserve">LIA = </w:t>
            </w:r>
            <w:r w:rsidRPr="00C874E8">
              <w:rPr>
                <w:i/>
                <w:sz w:val="20"/>
              </w:rPr>
              <w:t>Legislative Instruments Act 2003</w:t>
            </w:r>
          </w:p>
        </w:tc>
        <w:tc>
          <w:tcPr>
            <w:tcW w:w="2321" w:type="pct"/>
            <w:shd w:val="clear" w:color="auto" w:fill="auto"/>
          </w:tcPr>
          <w:p w:rsidR="00627AC1" w:rsidRPr="00C874E8" w:rsidRDefault="00627AC1" w:rsidP="004609F2">
            <w:pPr>
              <w:spacing w:before="60"/>
              <w:ind w:left="34"/>
              <w:rPr>
                <w:sz w:val="20"/>
              </w:rPr>
            </w:pPr>
            <w:r w:rsidRPr="00C874E8">
              <w:rPr>
                <w:sz w:val="20"/>
              </w:rPr>
              <w:t>Sdiv = Subdivision(s)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(md) = misdescribed amendment can be given</w:t>
            </w:r>
          </w:p>
        </w:tc>
        <w:tc>
          <w:tcPr>
            <w:tcW w:w="2321" w:type="pct"/>
            <w:shd w:val="clear" w:color="auto" w:fill="auto"/>
          </w:tcPr>
          <w:p w:rsidR="00627AC1" w:rsidRPr="00C874E8" w:rsidRDefault="00627AC1" w:rsidP="004609F2">
            <w:pPr>
              <w:spacing w:before="60"/>
              <w:ind w:left="34"/>
              <w:rPr>
                <w:sz w:val="20"/>
              </w:rPr>
            </w:pPr>
            <w:r w:rsidRPr="00C874E8">
              <w:rPr>
                <w:sz w:val="20"/>
              </w:rPr>
              <w:t>SLI = Select Legislative Instrument</w:t>
            </w:r>
          </w:p>
        </w:tc>
      </w:tr>
      <w:tr w:rsidR="00627AC1" w:rsidRPr="00C874E8" w:rsidTr="00E955B4">
        <w:tc>
          <w:tcPr>
            <w:tcW w:w="2679" w:type="pct"/>
            <w:shd w:val="clear" w:color="auto" w:fill="auto"/>
          </w:tcPr>
          <w:p w:rsidR="00627AC1" w:rsidRPr="00C874E8" w:rsidRDefault="00101BB1" w:rsidP="00101BB1">
            <w:pPr>
              <w:ind w:left="34" w:firstLine="249"/>
              <w:rPr>
                <w:sz w:val="20"/>
              </w:rPr>
            </w:pPr>
            <w:r w:rsidRPr="00C874E8">
              <w:rPr>
                <w:sz w:val="20"/>
              </w:rPr>
              <w:t>e</w:t>
            </w:r>
            <w:r w:rsidR="00627AC1" w:rsidRPr="00C874E8">
              <w:rPr>
                <w:sz w:val="20"/>
              </w:rPr>
              <w:t>ffect</w:t>
            </w:r>
          </w:p>
        </w:tc>
        <w:tc>
          <w:tcPr>
            <w:tcW w:w="2321" w:type="pct"/>
            <w:shd w:val="clear" w:color="auto" w:fill="auto"/>
          </w:tcPr>
          <w:p w:rsidR="00627AC1" w:rsidRPr="00C874E8" w:rsidRDefault="00627AC1" w:rsidP="004609F2">
            <w:pPr>
              <w:spacing w:before="60"/>
              <w:ind w:left="34"/>
              <w:rPr>
                <w:sz w:val="20"/>
              </w:rPr>
            </w:pPr>
            <w:r w:rsidRPr="00C874E8">
              <w:rPr>
                <w:sz w:val="20"/>
              </w:rPr>
              <w:t>SR = Statutory Rules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(md not incorp) = misdescribed amendment</w:t>
            </w:r>
          </w:p>
        </w:tc>
        <w:tc>
          <w:tcPr>
            <w:tcW w:w="2321" w:type="pct"/>
            <w:shd w:val="clear" w:color="auto" w:fill="auto"/>
          </w:tcPr>
          <w:p w:rsidR="00627AC1" w:rsidRPr="00C874E8" w:rsidRDefault="00627AC1" w:rsidP="004609F2">
            <w:pPr>
              <w:spacing w:before="60"/>
              <w:ind w:left="34"/>
              <w:rPr>
                <w:sz w:val="20"/>
              </w:rPr>
            </w:pPr>
            <w:r w:rsidRPr="00C874E8">
              <w:rPr>
                <w:sz w:val="20"/>
              </w:rPr>
              <w:t>Sub</w:t>
            </w:r>
            <w:r w:rsidR="00457362">
              <w:rPr>
                <w:sz w:val="20"/>
              </w:rPr>
              <w:noBreakHyphen/>
            </w:r>
            <w:r w:rsidRPr="00C874E8">
              <w:rPr>
                <w:sz w:val="20"/>
              </w:rPr>
              <w:t>Ch = Sub</w:t>
            </w:r>
            <w:r w:rsidR="00457362">
              <w:rPr>
                <w:sz w:val="20"/>
              </w:rPr>
              <w:noBreakHyphen/>
            </w:r>
            <w:r w:rsidRPr="00C874E8">
              <w:rPr>
                <w:sz w:val="20"/>
              </w:rPr>
              <w:t>Chapter(s)</w:t>
            </w:r>
          </w:p>
        </w:tc>
      </w:tr>
      <w:tr w:rsidR="00627AC1" w:rsidRPr="00C874E8" w:rsidTr="00E955B4">
        <w:tc>
          <w:tcPr>
            <w:tcW w:w="2679" w:type="pct"/>
            <w:shd w:val="clear" w:color="auto" w:fill="auto"/>
          </w:tcPr>
          <w:p w:rsidR="00627AC1" w:rsidRPr="00C874E8" w:rsidRDefault="00101BB1" w:rsidP="00101BB1">
            <w:pPr>
              <w:ind w:left="34" w:firstLine="249"/>
              <w:rPr>
                <w:sz w:val="20"/>
              </w:rPr>
            </w:pPr>
            <w:r w:rsidRPr="00C874E8">
              <w:rPr>
                <w:sz w:val="20"/>
              </w:rPr>
              <w:t>c</w:t>
            </w:r>
            <w:r w:rsidR="00627AC1" w:rsidRPr="00C874E8">
              <w:rPr>
                <w:sz w:val="20"/>
              </w:rPr>
              <w:t>annot be given effect</w:t>
            </w:r>
          </w:p>
        </w:tc>
        <w:tc>
          <w:tcPr>
            <w:tcW w:w="2321" w:type="pct"/>
            <w:shd w:val="clear" w:color="auto" w:fill="auto"/>
          </w:tcPr>
          <w:p w:rsidR="00627AC1" w:rsidRPr="00C874E8" w:rsidRDefault="00627AC1" w:rsidP="004609F2">
            <w:pPr>
              <w:spacing w:before="60"/>
              <w:ind w:left="34"/>
              <w:rPr>
                <w:sz w:val="20"/>
              </w:rPr>
            </w:pPr>
            <w:r w:rsidRPr="00C874E8">
              <w:rPr>
                <w:sz w:val="20"/>
              </w:rPr>
              <w:t>SubPt = Subpart(s)</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mod = modified/modification</w:t>
            </w:r>
          </w:p>
        </w:tc>
        <w:tc>
          <w:tcPr>
            <w:tcW w:w="2321" w:type="pct"/>
            <w:shd w:val="clear" w:color="auto" w:fill="auto"/>
          </w:tcPr>
          <w:p w:rsidR="00627AC1" w:rsidRPr="00C874E8" w:rsidRDefault="00627AC1" w:rsidP="004609F2">
            <w:pPr>
              <w:spacing w:before="60"/>
              <w:ind w:left="34"/>
              <w:rPr>
                <w:sz w:val="20"/>
              </w:rPr>
            </w:pPr>
            <w:r w:rsidRPr="00C874E8">
              <w:rPr>
                <w:sz w:val="20"/>
                <w:u w:val="single"/>
              </w:rPr>
              <w:t>underlining</w:t>
            </w:r>
            <w:r w:rsidRPr="00C874E8">
              <w:rPr>
                <w:sz w:val="20"/>
              </w:rPr>
              <w:t xml:space="preserve"> = whole or part not</w:t>
            </w:r>
          </w:p>
        </w:tc>
      </w:tr>
      <w:tr w:rsidR="00627AC1" w:rsidRPr="00C874E8" w:rsidTr="00E955B4">
        <w:tc>
          <w:tcPr>
            <w:tcW w:w="2679" w:type="pct"/>
            <w:shd w:val="clear" w:color="auto" w:fill="auto"/>
          </w:tcPr>
          <w:p w:rsidR="00627AC1" w:rsidRPr="00C874E8" w:rsidRDefault="00627AC1" w:rsidP="004609F2">
            <w:pPr>
              <w:spacing w:before="60"/>
              <w:ind w:left="34"/>
              <w:rPr>
                <w:sz w:val="20"/>
              </w:rPr>
            </w:pPr>
            <w:r w:rsidRPr="00C874E8">
              <w:rPr>
                <w:sz w:val="20"/>
              </w:rPr>
              <w:t>No. = Number(s)</w:t>
            </w:r>
          </w:p>
        </w:tc>
        <w:tc>
          <w:tcPr>
            <w:tcW w:w="2321" w:type="pct"/>
            <w:shd w:val="clear" w:color="auto" w:fill="auto"/>
          </w:tcPr>
          <w:p w:rsidR="00627AC1" w:rsidRPr="00C874E8" w:rsidRDefault="00101BB1" w:rsidP="00101BB1">
            <w:pPr>
              <w:ind w:left="34" w:firstLine="249"/>
              <w:rPr>
                <w:sz w:val="20"/>
              </w:rPr>
            </w:pPr>
            <w:r w:rsidRPr="00C874E8">
              <w:rPr>
                <w:sz w:val="20"/>
              </w:rPr>
              <w:t>c</w:t>
            </w:r>
            <w:r w:rsidR="00627AC1" w:rsidRPr="00C874E8">
              <w:rPr>
                <w:sz w:val="20"/>
              </w:rPr>
              <w:t>ommenced or to be commenced</w:t>
            </w:r>
          </w:p>
        </w:tc>
      </w:tr>
    </w:tbl>
    <w:p w:rsidR="00627AC1" w:rsidRPr="00C874E8" w:rsidRDefault="00627AC1" w:rsidP="004609F2">
      <w:pPr>
        <w:pStyle w:val="Tabletext"/>
      </w:pPr>
    </w:p>
    <w:p w:rsidR="006370A9" w:rsidRPr="00C874E8" w:rsidRDefault="006370A9" w:rsidP="00E955B4">
      <w:pPr>
        <w:pStyle w:val="ENotesHeading2"/>
        <w:pageBreakBefore/>
        <w:outlineLvl w:val="9"/>
      </w:pPr>
      <w:bookmarkStart w:id="9" w:name="_Toc82001469"/>
      <w:r w:rsidRPr="00C874E8">
        <w:lastRenderedPageBreak/>
        <w:t>Endnote 3—Legislation history</w:t>
      </w:r>
      <w:bookmarkEnd w:id="9"/>
    </w:p>
    <w:p w:rsidR="004171DD" w:rsidRPr="00C874E8" w:rsidRDefault="004171DD" w:rsidP="004171DD">
      <w:pPr>
        <w:pStyle w:val="Tabletext"/>
      </w:pPr>
    </w:p>
    <w:tbl>
      <w:tblPr>
        <w:tblW w:w="5000" w:type="pct"/>
        <w:jc w:val="center"/>
        <w:tblBorders>
          <w:top w:val="single" w:sz="12" w:space="0" w:color="auto"/>
          <w:bottom w:val="single" w:sz="12" w:space="0" w:color="auto"/>
        </w:tblBorders>
        <w:tblLook w:val="0000" w:firstRow="0" w:lastRow="0" w:firstColumn="0" w:lastColumn="0" w:noHBand="0" w:noVBand="0"/>
      </w:tblPr>
      <w:tblGrid>
        <w:gridCol w:w="2579"/>
        <w:gridCol w:w="1984"/>
        <w:gridCol w:w="1984"/>
        <w:gridCol w:w="1982"/>
      </w:tblGrid>
      <w:tr w:rsidR="00DF3E54" w:rsidRPr="00C874E8" w:rsidTr="00E955B4">
        <w:trPr>
          <w:cantSplit/>
          <w:tblHeader/>
          <w:jc w:val="center"/>
        </w:trPr>
        <w:tc>
          <w:tcPr>
            <w:tcW w:w="1512" w:type="pct"/>
            <w:tcBorders>
              <w:top w:val="single" w:sz="12" w:space="0" w:color="auto"/>
              <w:bottom w:val="single" w:sz="12" w:space="0" w:color="auto"/>
            </w:tcBorders>
          </w:tcPr>
          <w:p w:rsidR="00DF3E54" w:rsidRPr="00C874E8" w:rsidRDefault="00DF3E54" w:rsidP="00DF3E54">
            <w:pPr>
              <w:pStyle w:val="ENoteTableHeading"/>
            </w:pPr>
            <w:r w:rsidRPr="00C874E8">
              <w:t>Name</w:t>
            </w:r>
          </w:p>
        </w:tc>
        <w:tc>
          <w:tcPr>
            <w:tcW w:w="1163" w:type="pct"/>
            <w:tcBorders>
              <w:top w:val="single" w:sz="12" w:space="0" w:color="auto"/>
              <w:bottom w:val="single" w:sz="12" w:space="0" w:color="auto"/>
            </w:tcBorders>
          </w:tcPr>
          <w:p w:rsidR="00DF3E54" w:rsidRPr="00C874E8" w:rsidRDefault="00627AC1" w:rsidP="00DF3E54">
            <w:pPr>
              <w:pStyle w:val="ENoteTableHeading"/>
            </w:pPr>
            <w:r w:rsidRPr="00C874E8">
              <w:t>Registration</w:t>
            </w:r>
          </w:p>
        </w:tc>
        <w:tc>
          <w:tcPr>
            <w:tcW w:w="1163" w:type="pct"/>
            <w:tcBorders>
              <w:top w:val="single" w:sz="12" w:space="0" w:color="auto"/>
              <w:bottom w:val="single" w:sz="12" w:space="0" w:color="auto"/>
            </w:tcBorders>
          </w:tcPr>
          <w:p w:rsidR="00DF3E54" w:rsidRPr="00C874E8" w:rsidRDefault="00DF3E54" w:rsidP="00DF3E54">
            <w:pPr>
              <w:pStyle w:val="ENoteTableHeading"/>
            </w:pPr>
            <w:r w:rsidRPr="00C874E8">
              <w:t>Commencement</w:t>
            </w:r>
          </w:p>
        </w:tc>
        <w:tc>
          <w:tcPr>
            <w:tcW w:w="1162" w:type="pct"/>
            <w:tcBorders>
              <w:top w:val="single" w:sz="12" w:space="0" w:color="auto"/>
              <w:bottom w:val="single" w:sz="12" w:space="0" w:color="auto"/>
            </w:tcBorders>
          </w:tcPr>
          <w:p w:rsidR="00DF3E54" w:rsidRPr="00C874E8" w:rsidRDefault="00DF3E54" w:rsidP="00DF3E54">
            <w:pPr>
              <w:pStyle w:val="ENoteTableHeading"/>
            </w:pPr>
            <w:r w:rsidRPr="00C874E8">
              <w:t>Application, saving and transitional provisions</w:t>
            </w:r>
          </w:p>
        </w:tc>
      </w:tr>
      <w:tr w:rsidR="006C7A0F" w:rsidRPr="00C874E8" w:rsidTr="00E955B4">
        <w:trPr>
          <w:cantSplit/>
          <w:jc w:val="center"/>
        </w:trPr>
        <w:tc>
          <w:tcPr>
            <w:tcW w:w="1512" w:type="pct"/>
            <w:tcBorders>
              <w:top w:val="single" w:sz="4" w:space="0" w:color="auto"/>
              <w:bottom w:val="single" w:sz="4" w:space="0" w:color="auto"/>
            </w:tcBorders>
          </w:tcPr>
          <w:p w:rsidR="006C7A0F" w:rsidRPr="00C874E8" w:rsidRDefault="0063175E" w:rsidP="00E75D99">
            <w:pPr>
              <w:pStyle w:val="ENoteTableText"/>
            </w:pPr>
            <w:r w:rsidRPr="00C874E8">
              <w:t>National Health (Pharmaceutical Benefits Scheme</w:t>
            </w:r>
            <w:r w:rsidR="00457362">
              <w:noBreakHyphen/>
            </w:r>
            <w:r w:rsidRPr="00C874E8">
              <w:t xml:space="preserve">Exempt items </w:t>
            </w:r>
            <w:r w:rsidR="00457362">
              <w:noBreakHyphen/>
            </w:r>
            <w:r w:rsidRPr="00C874E8">
              <w:t xml:space="preserve"> </w:t>
            </w:r>
            <w:r w:rsidR="00457362">
              <w:t>Section 8</w:t>
            </w:r>
            <w:r w:rsidRPr="00C874E8">
              <w:t xml:space="preserve">4AH) </w:t>
            </w:r>
            <w:r w:rsidR="00457362">
              <w:t>Determination 2</w:t>
            </w:r>
            <w:r w:rsidRPr="00C874E8">
              <w:t>017 (</w:t>
            </w:r>
            <w:r w:rsidR="00F93635" w:rsidRPr="00C874E8">
              <w:t>PB 81 of 2017</w:t>
            </w:r>
            <w:r w:rsidRPr="00C874E8">
              <w:t>)</w:t>
            </w:r>
          </w:p>
        </w:tc>
        <w:tc>
          <w:tcPr>
            <w:tcW w:w="1163" w:type="pct"/>
            <w:tcBorders>
              <w:top w:val="single" w:sz="4" w:space="0" w:color="auto"/>
              <w:bottom w:val="single" w:sz="4" w:space="0" w:color="auto"/>
            </w:tcBorders>
          </w:tcPr>
          <w:p w:rsidR="006C7A0F" w:rsidRPr="00C874E8" w:rsidRDefault="00F93635" w:rsidP="00E75D99">
            <w:pPr>
              <w:pStyle w:val="ENoteTableText"/>
            </w:pPr>
            <w:r w:rsidRPr="00C874E8">
              <w:t>26 Sept 2017 (F2017L01265)</w:t>
            </w:r>
          </w:p>
        </w:tc>
        <w:tc>
          <w:tcPr>
            <w:tcW w:w="1163" w:type="pct"/>
            <w:tcBorders>
              <w:top w:val="single" w:sz="4" w:space="0" w:color="auto"/>
              <w:bottom w:val="single" w:sz="4" w:space="0" w:color="auto"/>
            </w:tcBorders>
          </w:tcPr>
          <w:p w:rsidR="006C7A0F" w:rsidRPr="00C874E8" w:rsidRDefault="00F93635" w:rsidP="00E75D99">
            <w:pPr>
              <w:pStyle w:val="ENoteTableText"/>
            </w:pPr>
            <w:r w:rsidRPr="00C874E8">
              <w:t>26 Sept 2017 (s 2)</w:t>
            </w:r>
          </w:p>
        </w:tc>
        <w:tc>
          <w:tcPr>
            <w:tcW w:w="1162" w:type="pct"/>
            <w:tcBorders>
              <w:top w:val="single" w:sz="4" w:space="0" w:color="auto"/>
              <w:bottom w:val="single" w:sz="4" w:space="0" w:color="auto"/>
            </w:tcBorders>
          </w:tcPr>
          <w:p w:rsidR="006C7A0F" w:rsidRPr="00C874E8" w:rsidRDefault="006C7A0F" w:rsidP="00E75D99">
            <w:pPr>
              <w:pStyle w:val="ENoteTableText"/>
            </w:pPr>
          </w:p>
        </w:tc>
      </w:tr>
      <w:tr w:rsidR="00F93635" w:rsidRPr="00C874E8" w:rsidTr="00E955B4">
        <w:trPr>
          <w:cantSplit/>
          <w:jc w:val="center"/>
        </w:trPr>
        <w:tc>
          <w:tcPr>
            <w:tcW w:w="1512" w:type="pct"/>
            <w:tcBorders>
              <w:top w:val="single" w:sz="4" w:space="0" w:color="auto"/>
              <w:bottom w:val="single" w:sz="4" w:space="0" w:color="auto"/>
            </w:tcBorders>
          </w:tcPr>
          <w:p w:rsidR="00F93635" w:rsidRPr="00C874E8" w:rsidRDefault="0063175E" w:rsidP="006873A3">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017 (No. 1</w:t>
            </w:r>
            <w:r w:rsidRPr="00C874E8">
              <w:rPr>
                <w:i/>
                <w:iCs/>
                <w:color w:val="000000"/>
                <w:shd w:val="clear" w:color="auto" w:fill="FFFFFF"/>
              </w:rPr>
              <w:t xml:space="preserve">) </w:t>
            </w:r>
            <w:r w:rsidRPr="00C874E8">
              <w:t>(</w:t>
            </w:r>
            <w:r w:rsidR="00F93635" w:rsidRPr="00C874E8">
              <w:t>PB 90 of 2017</w:t>
            </w:r>
            <w:r w:rsidRPr="00C874E8">
              <w:t>)</w:t>
            </w:r>
          </w:p>
        </w:tc>
        <w:tc>
          <w:tcPr>
            <w:tcW w:w="1163" w:type="pct"/>
            <w:tcBorders>
              <w:top w:val="single" w:sz="4" w:space="0" w:color="auto"/>
              <w:bottom w:val="single" w:sz="4" w:space="0" w:color="auto"/>
            </w:tcBorders>
          </w:tcPr>
          <w:p w:rsidR="00F93635" w:rsidRPr="00C874E8" w:rsidRDefault="00F93635" w:rsidP="006873A3">
            <w:pPr>
              <w:pStyle w:val="ENoteTableText"/>
            </w:pPr>
            <w:r w:rsidRPr="00C874E8">
              <w:t>30 Oct 2017 (F2017L01400)</w:t>
            </w:r>
          </w:p>
        </w:tc>
        <w:tc>
          <w:tcPr>
            <w:tcW w:w="1163" w:type="pct"/>
            <w:tcBorders>
              <w:top w:val="single" w:sz="4" w:space="0" w:color="auto"/>
              <w:bottom w:val="single" w:sz="4" w:space="0" w:color="auto"/>
            </w:tcBorders>
          </w:tcPr>
          <w:p w:rsidR="00F93635" w:rsidRPr="00C874E8" w:rsidRDefault="00F93635" w:rsidP="006873A3">
            <w:pPr>
              <w:pStyle w:val="ENoteTableText"/>
            </w:pPr>
            <w:r w:rsidRPr="00C874E8">
              <w:t>1 Nov 2017 (s 2)</w:t>
            </w:r>
          </w:p>
        </w:tc>
        <w:tc>
          <w:tcPr>
            <w:tcW w:w="1162" w:type="pct"/>
            <w:tcBorders>
              <w:top w:val="single" w:sz="4" w:space="0" w:color="auto"/>
              <w:bottom w:val="single" w:sz="4" w:space="0" w:color="auto"/>
            </w:tcBorders>
          </w:tcPr>
          <w:p w:rsidR="00F93635" w:rsidRPr="00C874E8" w:rsidRDefault="00F93635" w:rsidP="006873A3">
            <w:pPr>
              <w:pStyle w:val="ENoteTableText"/>
            </w:pPr>
            <w:r w:rsidRPr="00C874E8">
              <w:t>—</w:t>
            </w:r>
          </w:p>
        </w:tc>
      </w:tr>
      <w:tr w:rsidR="009A355E" w:rsidRPr="00C874E8" w:rsidTr="00E955B4">
        <w:trPr>
          <w:cantSplit/>
          <w:jc w:val="center"/>
        </w:trPr>
        <w:tc>
          <w:tcPr>
            <w:tcW w:w="1512" w:type="pct"/>
            <w:tcBorders>
              <w:top w:val="single" w:sz="4" w:space="0" w:color="auto"/>
              <w:bottom w:val="single" w:sz="4" w:space="0" w:color="auto"/>
            </w:tcBorders>
          </w:tcPr>
          <w:p w:rsidR="009A355E" w:rsidRPr="00C874E8" w:rsidRDefault="0063175E"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018 (No. 1) </w:t>
            </w:r>
            <w:r w:rsidRPr="00C874E8">
              <w:t>(</w:t>
            </w:r>
            <w:r w:rsidR="009A355E" w:rsidRPr="00C874E8">
              <w:t>PB 45 of 2018</w:t>
            </w:r>
            <w:r w:rsidRPr="00C874E8">
              <w:t>)</w:t>
            </w:r>
          </w:p>
        </w:tc>
        <w:tc>
          <w:tcPr>
            <w:tcW w:w="1163" w:type="pct"/>
            <w:tcBorders>
              <w:top w:val="single" w:sz="4" w:space="0" w:color="auto"/>
              <w:bottom w:val="single" w:sz="4" w:space="0" w:color="auto"/>
            </w:tcBorders>
          </w:tcPr>
          <w:p w:rsidR="009A355E" w:rsidRPr="00C874E8" w:rsidRDefault="009A355E" w:rsidP="00ED5A44">
            <w:pPr>
              <w:pStyle w:val="ENoteTableText"/>
            </w:pPr>
            <w:r w:rsidRPr="00C874E8">
              <w:t>31</w:t>
            </w:r>
            <w:r w:rsidR="00E955B4" w:rsidRPr="00C874E8">
              <w:t> </w:t>
            </w:r>
            <w:r w:rsidRPr="00C874E8">
              <w:t>May 2018 (F2018</w:t>
            </w:r>
            <w:r w:rsidR="0007037B" w:rsidRPr="00C874E8">
              <w:t>L</w:t>
            </w:r>
            <w:r w:rsidRPr="00C874E8">
              <w:t>00694)</w:t>
            </w:r>
          </w:p>
        </w:tc>
        <w:tc>
          <w:tcPr>
            <w:tcW w:w="1163" w:type="pct"/>
            <w:tcBorders>
              <w:top w:val="single" w:sz="4" w:space="0" w:color="auto"/>
              <w:bottom w:val="single" w:sz="4" w:space="0" w:color="auto"/>
            </w:tcBorders>
          </w:tcPr>
          <w:p w:rsidR="009A355E" w:rsidRPr="00C874E8" w:rsidRDefault="00457362" w:rsidP="00ED5A44">
            <w:pPr>
              <w:pStyle w:val="ENoteTableText"/>
            </w:pPr>
            <w:r>
              <w:t>1 June</w:t>
            </w:r>
            <w:r w:rsidR="009A355E" w:rsidRPr="00C874E8">
              <w:t xml:space="preserve"> 2018 (s 2)</w:t>
            </w:r>
          </w:p>
        </w:tc>
        <w:tc>
          <w:tcPr>
            <w:tcW w:w="1162" w:type="pct"/>
            <w:tcBorders>
              <w:top w:val="single" w:sz="4" w:space="0" w:color="auto"/>
              <w:bottom w:val="single" w:sz="4" w:space="0" w:color="auto"/>
            </w:tcBorders>
          </w:tcPr>
          <w:p w:rsidR="009A355E" w:rsidRPr="00C874E8" w:rsidRDefault="009A355E" w:rsidP="006873A3">
            <w:pPr>
              <w:pStyle w:val="ENoteTableText"/>
            </w:pPr>
            <w:r w:rsidRPr="00C874E8">
              <w:t>—</w:t>
            </w:r>
          </w:p>
        </w:tc>
      </w:tr>
      <w:tr w:rsidR="000F4B7E" w:rsidRPr="00C874E8" w:rsidTr="00E955B4">
        <w:trPr>
          <w:cantSplit/>
          <w:jc w:val="center"/>
        </w:trPr>
        <w:tc>
          <w:tcPr>
            <w:tcW w:w="1512" w:type="pct"/>
            <w:tcBorders>
              <w:top w:val="single" w:sz="4" w:space="0" w:color="auto"/>
              <w:bottom w:val="single" w:sz="4" w:space="0" w:color="auto"/>
            </w:tcBorders>
          </w:tcPr>
          <w:p w:rsidR="000F4B7E" w:rsidRPr="00C874E8" w:rsidRDefault="0063175E"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018 (No. 2) </w:t>
            </w:r>
            <w:r w:rsidRPr="00C874E8">
              <w:t>(</w:t>
            </w:r>
            <w:r w:rsidR="000F4B7E" w:rsidRPr="00C874E8">
              <w:t>PB 61 of 2018</w:t>
            </w:r>
            <w:r w:rsidRPr="00C874E8">
              <w:t>)</w:t>
            </w:r>
          </w:p>
        </w:tc>
        <w:tc>
          <w:tcPr>
            <w:tcW w:w="1163" w:type="pct"/>
            <w:tcBorders>
              <w:top w:val="single" w:sz="4" w:space="0" w:color="auto"/>
              <w:bottom w:val="single" w:sz="4" w:space="0" w:color="auto"/>
            </w:tcBorders>
          </w:tcPr>
          <w:p w:rsidR="000F4B7E" w:rsidRPr="00C874E8" w:rsidRDefault="000F4B7E" w:rsidP="00ED5A44">
            <w:pPr>
              <w:pStyle w:val="ENoteTableText"/>
            </w:pPr>
            <w:r w:rsidRPr="00C874E8">
              <w:t>29</w:t>
            </w:r>
            <w:r w:rsidR="00E955B4" w:rsidRPr="00C874E8">
              <w:t> </w:t>
            </w:r>
            <w:r w:rsidRPr="00C874E8">
              <w:t>June 2018 (F2018L00958)</w:t>
            </w:r>
          </w:p>
        </w:tc>
        <w:tc>
          <w:tcPr>
            <w:tcW w:w="1163" w:type="pct"/>
            <w:tcBorders>
              <w:top w:val="single" w:sz="4" w:space="0" w:color="auto"/>
              <w:bottom w:val="single" w:sz="4" w:space="0" w:color="auto"/>
            </w:tcBorders>
          </w:tcPr>
          <w:p w:rsidR="000F4B7E" w:rsidRPr="00C874E8" w:rsidRDefault="00457362" w:rsidP="00ED5A44">
            <w:pPr>
              <w:pStyle w:val="ENoteTableText"/>
            </w:pPr>
            <w:r>
              <w:t>1 July</w:t>
            </w:r>
            <w:r w:rsidR="000F4B7E" w:rsidRPr="00C874E8">
              <w:t xml:space="preserve"> 2018 (s 2)</w:t>
            </w:r>
          </w:p>
        </w:tc>
        <w:tc>
          <w:tcPr>
            <w:tcW w:w="1162" w:type="pct"/>
            <w:tcBorders>
              <w:top w:val="single" w:sz="4" w:space="0" w:color="auto"/>
              <w:bottom w:val="single" w:sz="4" w:space="0" w:color="auto"/>
            </w:tcBorders>
          </w:tcPr>
          <w:p w:rsidR="000F4B7E" w:rsidRPr="00C874E8" w:rsidRDefault="000F4B7E" w:rsidP="006873A3">
            <w:pPr>
              <w:pStyle w:val="ENoteTableText"/>
            </w:pPr>
            <w:r w:rsidRPr="00C874E8">
              <w:t>—</w:t>
            </w:r>
          </w:p>
        </w:tc>
      </w:tr>
      <w:tr w:rsidR="00A2437F" w:rsidRPr="00C874E8" w:rsidTr="00E955B4">
        <w:trPr>
          <w:cantSplit/>
          <w:jc w:val="center"/>
        </w:trPr>
        <w:tc>
          <w:tcPr>
            <w:tcW w:w="1512" w:type="pct"/>
            <w:tcBorders>
              <w:top w:val="single" w:sz="4" w:space="0" w:color="auto"/>
              <w:bottom w:val="single" w:sz="4" w:space="0" w:color="auto"/>
            </w:tcBorders>
          </w:tcPr>
          <w:p w:rsidR="00A2437F" w:rsidRPr="00C874E8" w:rsidRDefault="0063175E"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018 (No. 3) </w:t>
            </w:r>
            <w:r w:rsidRPr="00C874E8">
              <w:t>(</w:t>
            </w:r>
            <w:r w:rsidR="00A2437F" w:rsidRPr="00C874E8">
              <w:t>PB 72 of 2018</w:t>
            </w:r>
            <w:r w:rsidRPr="00C874E8">
              <w:t>)</w:t>
            </w:r>
          </w:p>
        </w:tc>
        <w:tc>
          <w:tcPr>
            <w:tcW w:w="1163" w:type="pct"/>
            <w:tcBorders>
              <w:top w:val="single" w:sz="4" w:space="0" w:color="auto"/>
              <w:bottom w:val="single" w:sz="4" w:space="0" w:color="auto"/>
            </w:tcBorders>
          </w:tcPr>
          <w:p w:rsidR="00A2437F" w:rsidRPr="00C874E8" w:rsidRDefault="00A2437F" w:rsidP="00ED5A44">
            <w:pPr>
              <w:pStyle w:val="ENoteTableText"/>
            </w:pPr>
            <w:r w:rsidRPr="00C874E8">
              <w:t>1 Aug 2018 (F2018L01074)</w:t>
            </w:r>
          </w:p>
        </w:tc>
        <w:tc>
          <w:tcPr>
            <w:tcW w:w="1163" w:type="pct"/>
            <w:tcBorders>
              <w:top w:val="single" w:sz="4" w:space="0" w:color="auto"/>
              <w:bottom w:val="single" w:sz="4" w:space="0" w:color="auto"/>
            </w:tcBorders>
          </w:tcPr>
          <w:p w:rsidR="00A2437F" w:rsidRPr="00C874E8" w:rsidRDefault="00A2437F" w:rsidP="00ED5A44">
            <w:pPr>
              <w:pStyle w:val="ENoteTableText"/>
            </w:pPr>
            <w:r w:rsidRPr="00C874E8">
              <w:t>1 Aug 2018 (s 2)</w:t>
            </w:r>
          </w:p>
        </w:tc>
        <w:tc>
          <w:tcPr>
            <w:tcW w:w="1162" w:type="pct"/>
            <w:tcBorders>
              <w:top w:val="single" w:sz="4" w:space="0" w:color="auto"/>
              <w:bottom w:val="single" w:sz="4" w:space="0" w:color="auto"/>
            </w:tcBorders>
          </w:tcPr>
          <w:p w:rsidR="00A2437F" w:rsidRPr="00C874E8" w:rsidRDefault="00A2437F" w:rsidP="006873A3">
            <w:pPr>
              <w:pStyle w:val="ENoteTableText"/>
            </w:pPr>
            <w:r w:rsidRPr="00C874E8">
              <w:t>—</w:t>
            </w:r>
          </w:p>
        </w:tc>
      </w:tr>
      <w:tr w:rsidR="00B07047" w:rsidRPr="00C874E8" w:rsidTr="00E955B4">
        <w:trPr>
          <w:cantSplit/>
          <w:jc w:val="center"/>
        </w:trPr>
        <w:tc>
          <w:tcPr>
            <w:tcW w:w="1512" w:type="pct"/>
            <w:tcBorders>
              <w:top w:val="single" w:sz="4" w:space="0" w:color="auto"/>
              <w:bottom w:val="single" w:sz="4" w:space="0" w:color="auto"/>
            </w:tcBorders>
          </w:tcPr>
          <w:p w:rsidR="00B07047" w:rsidRPr="00C874E8" w:rsidRDefault="00A37DE2"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018 (No. 4) </w:t>
            </w:r>
            <w:r w:rsidR="0063175E" w:rsidRPr="00C874E8">
              <w:t>(</w:t>
            </w:r>
            <w:r w:rsidR="00B07047" w:rsidRPr="00C874E8">
              <w:t>PB 97 of 2018</w:t>
            </w:r>
            <w:r w:rsidR="0063175E" w:rsidRPr="00C874E8">
              <w:t>)</w:t>
            </w:r>
          </w:p>
        </w:tc>
        <w:tc>
          <w:tcPr>
            <w:tcW w:w="1163" w:type="pct"/>
            <w:tcBorders>
              <w:top w:val="single" w:sz="4" w:space="0" w:color="auto"/>
              <w:bottom w:val="single" w:sz="4" w:space="0" w:color="auto"/>
            </w:tcBorders>
          </w:tcPr>
          <w:p w:rsidR="00B07047" w:rsidRPr="00C874E8" w:rsidRDefault="00B07047" w:rsidP="00ED5A44">
            <w:pPr>
              <w:pStyle w:val="ENoteTableText"/>
            </w:pPr>
            <w:r w:rsidRPr="00C874E8">
              <w:t>26 Oct 2018 (F2018L01484)</w:t>
            </w:r>
          </w:p>
        </w:tc>
        <w:tc>
          <w:tcPr>
            <w:tcW w:w="1163" w:type="pct"/>
            <w:tcBorders>
              <w:top w:val="single" w:sz="4" w:space="0" w:color="auto"/>
              <w:bottom w:val="single" w:sz="4" w:space="0" w:color="auto"/>
            </w:tcBorders>
          </w:tcPr>
          <w:p w:rsidR="00B07047" w:rsidRPr="00C874E8" w:rsidRDefault="00B07047" w:rsidP="00ED5A44">
            <w:pPr>
              <w:pStyle w:val="ENoteTableText"/>
            </w:pPr>
            <w:r w:rsidRPr="00C874E8">
              <w:t>1 Nov 2018 (s 2)</w:t>
            </w:r>
          </w:p>
        </w:tc>
        <w:tc>
          <w:tcPr>
            <w:tcW w:w="1162" w:type="pct"/>
            <w:tcBorders>
              <w:top w:val="single" w:sz="4" w:space="0" w:color="auto"/>
              <w:bottom w:val="single" w:sz="4" w:space="0" w:color="auto"/>
            </w:tcBorders>
          </w:tcPr>
          <w:p w:rsidR="00B07047" w:rsidRPr="00C874E8" w:rsidRDefault="00B07047" w:rsidP="006873A3">
            <w:pPr>
              <w:pStyle w:val="ENoteTableText"/>
            </w:pPr>
            <w:r w:rsidRPr="00C874E8">
              <w:t>—</w:t>
            </w:r>
          </w:p>
        </w:tc>
      </w:tr>
      <w:tr w:rsidR="00FF6FFB" w:rsidRPr="00C874E8" w:rsidTr="0083411B">
        <w:trPr>
          <w:cantSplit/>
          <w:jc w:val="center"/>
        </w:trPr>
        <w:tc>
          <w:tcPr>
            <w:tcW w:w="1512" w:type="pct"/>
            <w:tcBorders>
              <w:top w:val="single" w:sz="4" w:space="0" w:color="auto"/>
              <w:bottom w:val="single" w:sz="4" w:space="0" w:color="auto"/>
            </w:tcBorders>
          </w:tcPr>
          <w:p w:rsidR="00FF6FFB" w:rsidRPr="00C874E8" w:rsidRDefault="00A37DE2"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019 (No. 1) </w:t>
            </w:r>
            <w:r w:rsidR="0063175E" w:rsidRPr="00C874E8">
              <w:t>(</w:t>
            </w:r>
            <w:r w:rsidR="00FF6FFB" w:rsidRPr="00C874E8">
              <w:t>PB 27 of 2019</w:t>
            </w:r>
            <w:r w:rsidR="0063175E" w:rsidRPr="00C874E8">
              <w:t>)</w:t>
            </w:r>
          </w:p>
        </w:tc>
        <w:tc>
          <w:tcPr>
            <w:tcW w:w="1163" w:type="pct"/>
            <w:tcBorders>
              <w:top w:val="single" w:sz="4" w:space="0" w:color="auto"/>
              <w:bottom w:val="single" w:sz="4" w:space="0" w:color="auto"/>
            </w:tcBorders>
          </w:tcPr>
          <w:p w:rsidR="00FF6FFB" w:rsidRPr="00C874E8" w:rsidRDefault="00FF6FFB" w:rsidP="00ED5A44">
            <w:pPr>
              <w:pStyle w:val="ENoteTableText"/>
            </w:pPr>
            <w:r w:rsidRPr="00C874E8">
              <w:t>28 Mar 2019 (F2019L00451)</w:t>
            </w:r>
          </w:p>
        </w:tc>
        <w:tc>
          <w:tcPr>
            <w:tcW w:w="1163" w:type="pct"/>
            <w:tcBorders>
              <w:top w:val="single" w:sz="4" w:space="0" w:color="auto"/>
              <w:bottom w:val="single" w:sz="4" w:space="0" w:color="auto"/>
            </w:tcBorders>
          </w:tcPr>
          <w:p w:rsidR="00FF6FFB" w:rsidRPr="00C874E8" w:rsidRDefault="00FF6FFB" w:rsidP="00ED5A44">
            <w:pPr>
              <w:pStyle w:val="ENoteTableText"/>
            </w:pPr>
            <w:r w:rsidRPr="00C874E8">
              <w:t>1 Apr 2019 (s 2)</w:t>
            </w:r>
          </w:p>
        </w:tc>
        <w:tc>
          <w:tcPr>
            <w:tcW w:w="1162" w:type="pct"/>
            <w:tcBorders>
              <w:top w:val="single" w:sz="4" w:space="0" w:color="auto"/>
              <w:bottom w:val="single" w:sz="4" w:space="0" w:color="auto"/>
            </w:tcBorders>
          </w:tcPr>
          <w:p w:rsidR="00FF6FFB" w:rsidRPr="00C874E8" w:rsidRDefault="00FF6FFB" w:rsidP="006873A3">
            <w:pPr>
              <w:pStyle w:val="ENoteTableText"/>
            </w:pPr>
            <w:r w:rsidRPr="00C874E8">
              <w:t>—</w:t>
            </w:r>
          </w:p>
        </w:tc>
      </w:tr>
      <w:tr w:rsidR="0083411B" w:rsidRPr="00C874E8" w:rsidTr="00674209">
        <w:trPr>
          <w:cantSplit/>
          <w:jc w:val="center"/>
        </w:trPr>
        <w:tc>
          <w:tcPr>
            <w:tcW w:w="1512" w:type="pct"/>
            <w:tcBorders>
              <w:top w:val="single" w:sz="4" w:space="0" w:color="auto"/>
              <w:bottom w:val="single" w:sz="4" w:space="0" w:color="auto"/>
            </w:tcBorders>
          </w:tcPr>
          <w:p w:rsidR="0083411B" w:rsidRPr="00C874E8" w:rsidRDefault="007924E1"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019 (No. 2) </w:t>
            </w:r>
            <w:r w:rsidR="0063175E" w:rsidRPr="00C874E8">
              <w:t>(</w:t>
            </w:r>
            <w:r w:rsidR="0083411B" w:rsidRPr="00C874E8">
              <w:t>PB 44 of 2019</w:t>
            </w:r>
            <w:r w:rsidR="0063175E" w:rsidRPr="00C874E8">
              <w:t>)</w:t>
            </w:r>
          </w:p>
        </w:tc>
        <w:tc>
          <w:tcPr>
            <w:tcW w:w="1163" w:type="pct"/>
            <w:tcBorders>
              <w:top w:val="single" w:sz="4" w:space="0" w:color="auto"/>
              <w:bottom w:val="single" w:sz="4" w:space="0" w:color="auto"/>
            </w:tcBorders>
          </w:tcPr>
          <w:p w:rsidR="0083411B" w:rsidRPr="00C874E8" w:rsidRDefault="00457362" w:rsidP="00ED5A44">
            <w:pPr>
              <w:pStyle w:val="ENoteTableText"/>
            </w:pPr>
            <w:r>
              <w:t>30 May</w:t>
            </w:r>
            <w:r w:rsidR="0083411B" w:rsidRPr="00C874E8">
              <w:t xml:space="preserve"> 2019 (F2019L00705)</w:t>
            </w:r>
          </w:p>
        </w:tc>
        <w:tc>
          <w:tcPr>
            <w:tcW w:w="1163" w:type="pct"/>
            <w:tcBorders>
              <w:top w:val="single" w:sz="4" w:space="0" w:color="auto"/>
              <w:bottom w:val="single" w:sz="4" w:space="0" w:color="auto"/>
            </w:tcBorders>
          </w:tcPr>
          <w:p w:rsidR="0083411B" w:rsidRPr="00C874E8" w:rsidRDefault="00457362" w:rsidP="00ED5A44">
            <w:pPr>
              <w:pStyle w:val="ENoteTableText"/>
            </w:pPr>
            <w:r>
              <w:t>1 June</w:t>
            </w:r>
            <w:r w:rsidR="0083411B" w:rsidRPr="00C874E8">
              <w:t xml:space="preserve"> 2019 (s 2)</w:t>
            </w:r>
          </w:p>
        </w:tc>
        <w:tc>
          <w:tcPr>
            <w:tcW w:w="1162" w:type="pct"/>
            <w:tcBorders>
              <w:top w:val="single" w:sz="4" w:space="0" w:color="auto"/>
              <w:bottom w:val="single" w:sz="4" w:space="0" w:color="auto"/>
            </w:tcBorders>
          </w:tcPr>
          <w:p w:rsidR="0083411B" w:rsidRPr="00C874E8" w:rsidRDefault="0083411B" w:rsidP="006873A3">
            <w:pPr>
              <w:pStyle w:val="ENoteTableText"/>
            </w:pPr>
            <w:r w:rsidRPr="00C874E8">
              <w:t>—</w:t>
            </w:r>
          </w:p>
        </w:tc>
      </w:tr>
      <w:tr w:rsidR="007308E4" w:rsidRPr="00C874E8" w:rsidTr="00BB652E">
        <w:trPr>
          <w:cantSplit/>
          <w:jc w:val="center"/>
        </w:trPr>
        <w:tc>
          <w:tcPr>
            <w:tcW w:w="1512" w:type="pct"/>
            <w:tcBorders>
              <w:top w:val="single" w:sz="4" w:space="0" w:color="auto"/>
              <w:bottom w:val="single" w:sz="4" w:space="0" w:color="auto"/>
            </w:tcBorders>
          </w:tcPr>
          <w:p w:rsidR="007308E4" w:rsidRPr="00C874E8" w:rsidRDefault="007924E1" w:rsidP="00ED5A44">
            <w:pPr>
              <w:pStyle w:val="ENoteTableText"/>
            </w:pPr>
            <w:r w:rsidRPr="00C874E8">
              <w:rPr>
                <w:iCs/>
                <w:color w:val="000000"/>
                <w:shd w:val="clear" w:color="auto" w:fill="FFFFFF"/>
              </w:rPr>
              <w:lastRenderedPageBreak/>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020 (No. 1) </w:t>
            </w:r>
            <w:r w:rsidR="0063175E" w:rsidRPr="00C874E8">
              <w:t>(</w:t>
            </w:r>
            <w:r w:rsidR="007308E4" w:rsidRPr="00C874E8">
              <w:t>PB 51 of 2020</w:t>
            </w:r>
            <w:r w:rsidR="0063175E" w:rsidRPr="00C874E8">
              <w:t>)</w:t>
            </w:r>
          </w:p>
        </w:tc>
        <w:tc>
          <w:tcPr>
            <w:tcW w:w="1163" w:type="pct"/>
            <w:tcBorders>
              <w:top w:val="single" w:sz="4" w:space="0" w:color="auto"/>
              <w:bottom w:val="single" w:sz="4" w:space="0" w:color="auto"/>
            </w:tcBorders>
          </w:tcPr>
          <w:p w:rsidR="007308E4" w:rsidRPr="00C874E8" w:rsidRDefault="00457362" w:rsidP="00ED5A44">
            <w:pPr>
              <w:pStyle w:val="ENoteTableText"/>
            </w:pPr>
            <w:r>
              <w:t>29 May</w:t>
            </w:r>
            <w:r w:rsidR="00674209" w:rsidRPr="00C874E8">
              <w:t xml:space="preserve"> 2020 (F2020L00651)</w:t>
            </w:r>
          </w:p>
        </w:tc>
        <w:tc>
          <w:tcPr>
            <w:tcW w:w="1163" w:type="pct"/>
            <w:tcBorders>
              <w:top w:val="single" w:sz="4" w:space="0" w:color="auto"/>
              <w:bottom w:val="single" w:sz="4" w:space="0" w:color="auto"/>
            </w:tcBorders>
          </w:tcPr>
          <w:p w:rsidR="007308E4" w:rsidRPr="00C874E8" w:rsidRDefault="00457362" w:rsidP="00ED5A44">
            <w:pPr>
              <w:pStyle w:val="ENoteTableText"/>
            </w:pPr>
            <w:r>
              <w:t>1 June</w:t>
            </w:r>
            <w:r w:rsidR="007308E4" w:rsidRPr="00C874E8">
              <w:t xml:space="preserve"> 2020 (s 2)</w:t>
            </w:r>
          </w:p>
        </w:tc>
        <w:tc>
          <w:tcPr>
            <w:tcW w:w="1162" w:type="pct"/>
            <w:tcBorders>
              <w:top w:val="single" w:sz="4" w:space="0" w:color="auto"/>
              <w:bottom w:val="single" w:sz="4" w:space="0" w:color="auto"/>
            </w:tcBorders>
          </w:tcPr>
          <w:p w:rsidR="007308E4" w:rsidRPr="00C874E8" w:rsidRDefault="007308E4" w:rsidP="006873A3">
            <w:pPr>
              <w:pStyle w:val="ENoteTableText"/>
            </w:pPr>
            <w:r w:rsidRPr="00C874E8">
              <w:t>—</w:t>
            </w:r>
          </w:p>
        </w:tc>
      </w:tr>
      <w:tr w:rsidR="00A81228" w:rsidRPr="00C874E8" w:rsidTr="005A6CC8">
        <w:trPr>
          <w:cantSplit/>
          <w:jc w:val="center"/>
        </w:trPr>
        <w:tc>
          <w:tcPr>
            <w:tcW w:w="1512" w:type="pct"/>
            <w:tcBorders>
              <w:top w:val="single" w:sz="4" w:space="0" w:color="auto"/>
              <w:bottom w:val="single" w:sz="4" w:space="0" w:color="auto"/>
            </w:tcBorders>
          </w:tcPr>
          <w:p w:rsidR="00A81228" w:rsidRPr="00C874E8" w:rsidRDefault="007924E1" w:rsidP="00ED5A44">
            <w:pPr>
              <w:pStyle w:val="ENoteTableText"/>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020 (No. 2) </w:t>
            </w:r>
            <w:r w:rsidR="0063175E" w:rsidRPr="00C874E8">
              <w:t>(</w:t>
            </w:r>
            <w:r w:rsidR="00A81228" w:rsidRPr="00C874E8">
              <w:t>PB 63 of 2020</w:t>
            </w:r>
            <w:r w:rsidR="0063175E" w:rsidRPr="00C874E8">
              <w:t>)</w:t>
            </w:r>
          </w:p>
        </w:tc>
        <w:tc>
          <w:tcPr>
            <w:tcW w:w="1163" w:type="pct"/>
            <w:tcBorders>
              <w:top w:val="single" w:sz="4" w:space="0" w:color="auto"/>
              <w:bottom w:val="single" w:sz="4" w:space="0" w:color="auto"/>
            </w:tcBorders>
          </w:tcPr>
          <w:p w:rsidR="00A81228" w:rsidRPr="00C874E8" w:rsidRDefault="00457362" w:rsidP="00ED5A44">
            <w:pPr>
              <w:pStyle w:val="ENoteTableText"/>
            </w:pPr>
            <w:r>
              <w:t>30 June</w:t>
            </w:r>
            <w:r w:rsidR="00A81228" w:rsidRPr="00C874E8">
              <w:t xml:space="preserve"> 2020 (F2020L00844)</w:t>
            </w:r>
          </w:p>
        </w:tc>
        <w:tc>
          <w:tcPr>
            <w:tcW w:w="1163" w:type="pct"/>
            <w:tcBorders>
              <w:top w:val="single" w:sz="4" w:space="0" w:color="auto"/>
              <w:bottom w:val="single" w:sz="4" w:space="0" w:color="auto"/>
            </w:tcBorders>
          </w:tcPr>
          <w:p w:rsidR="00A81228" w:rsidRPr="00C874E8" w:rsidRDefault="00457362" w:rsidP="00ED5A44">
            <w:pPr>
              <w:pStyle w:val="ENoteTableText"/>
            </w:pPr>
            <w:r>
              <w:t>1 July</w:t>
            </w:r>
            <w:r w:rsidR="00A81228" w:rsidRPr="00C874E8">
              <w:t xml:space="preserve"> 2020 (s 2)</w:t>
            </w:r>
          </w:p>
        </w:tc>
        <w:tc>
          <w:tcPr>
            <w:tcW w:w="1162" w:type="pct"/>
            <w:tcBorders>
              <w:top w:val="single" w:sz="4" w:space="0" w:color="auto"/>
              <w:bottom w:val="single" w:sz="4" w:space="0" w:color="auto"/>
            </w:tcBorders>
          </w:tcPr>
          <w:p w:rsidR="00A81228" w:rsidRPr="00C874E8" w:rsidRDefault="00A81228" w:rsidP="006873A3">
            <w:pPr>
              <w:pStyle w:val="ENoteTableText"/>
            </w:pPr>
            <w:r w:rsidRPr="00C874E8">
              <w:t>—</w:t>
            </w:r>
          </w:p>
        </w:tc>
      </w:tr>
      <w:tr w:rsidR="009A796F" w:rsidRPr="00C874E8" w:rsidTr="007924E1">
        <w:trPr>
          <w:cantSplit/>
          <w:jc w:val="center"/>
        </w:trPr>
        <w:tc>
          <w:tcPr>
            <w:tcW w:w="1512" w:type="pct"/>
            <w:tcBorders>
              <w:top w:val="single" w:sz="4" w:space="0" w:color="auto"/>
              <w:bottom w:val="single" w:sz="4" w:space="0" w:color="auto"/>
            </w:tcBorders>
          </w:tcPr>
          <w:p w:rsidR="009A796F" w:rsidRPr="00C874E8" w:rsidRDefault="007924E1" w:rsidP="00ED5A44">
            <w:pPr>
              <w:pStyle w:val="ENoteTableText"/>
              <w:rPr>
                <w:iCs/>
                <w:color w:val="000000"/>
                <w:shd w:val="clear" w:color="auto" w:fill="FFFFFF"/>
              </w:rPr>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 xml:space="preserve">020 (No. 3) </w:t>
            </w:r>
            <w:r w:rsidR="0063175E" w:rsidRPr="00C874E8">
              <w:rPr>
                <w:iCs/>
                <w:color w:val="000000"/>
                <w:shd w:val="clear" w:color="auto" w:fill="FFFFFF"/>
              </w:rPr>
              <w:t>(</w:t>
            </w:r>
            <w:r w:rsidR="005A6CC8" w:rsidRPr="00C874E8">
              <w:rPr>
                <w:iCs/>
                <w:color w:val="000000"/>
                <w:shd w:val="clear" w:color="auto" w:fill="FFFFFF"/>
              </w:rPr>
              <w:t>PB 120</w:t>
            </w:r>
            <w:r w:rsidR="009A796F" w:rsidRPr="00C874E8">
              <w:rPr>
                <w:iCs/>
                <w:color w:val="000000"/>
                <w:shd w:val="clear" w:color="auto" w:fill="FFFFFF"/>
              </w:rPr>
              <w:t xml:space="preserve"> of 2020</w:t>
            </w:r>
            <w:r w:rsidR="0063175E" w:rsidRPr="00C874E8">
              <w:rPr>
                <w:iCs/>
                <w:color w:val="000000"/>
                <w:shd w:val="clear" w:color="auto" w:fill="FFFFFF"/>
              </w:rPr>
              <w:t>)</w:t>
            </w:r>
          </w:p>
        </w:tc>
        <w:tc>
          <w:tcPr>
            <w:tcW w:w="1163" w:type="pct"/>
            <w:tcBorders>
              <w:top w:val="single" w:sz="4" w:space="0" w:color="auto"/>
              <w:bottom w:val="single" w:sz="4" w:space="0" w:color="auto"/>
            </w:tcBorders>
          </w:tcPr>
          <w:p w:rsidR="009A796F" w:rsidRPr="00C874E8" w:rsidRDefault="009A796F" w:rsidP="00ED5A44">
            <w:pPr>
              <w:pStyle w:val="ENoteTableText"/>
            </w:pPr>
            <w:r w:rsidRPr="00C874E8">
              <w:t>27 Nov 2020 (F2020L01494)</w:t>
            </w:r>
          </w:p>
        </w:tc>
        <w:tc>
          <w:tcPr>
            <w:tcW w:w="1163" w:type="pct"/>
            <w:tcBorders>
              <w:top w:val="single" w:sz="4" w:space="0" w:color="auto"/>
              <w:bottom w:val="single" w:sz="4" w:space="0" w:color="auto"/>
            </w:tcBorders>
          </w:tcPr>
          <w:p w:rsidR="009A796F" w:rsidRPr="00C874E8" w:rsidRDefault="009A796F" w:rsidP="00ED5A44">
            <w:pPr>
              <w:pStyle w:val="ENoteTableText"/>
            </w:pPr>
            <w:r w:rsidRPr="00C874E8">
              <w:t>1 Dec 2020 (s 2</w:t>
            </w:r>
            <w:r w:rsidR="005A6CC8" w:rsidRPr="00C874E8">
              <w:t xml:space="preserve">(1) </w:t>
            </w:r>
            <w:r w:rsidR="00457362">
              <w:t>item 1</w:t>
            </w:r>
            <w:r w:rsidRPr="00C874E8">
              <w:t>)</w:t>
            </w:r>
          </w:p>
        </w:tc>
        <w:tc>
          <w:tcPr>
            <w:tcW w:w="1162" w:type="pct"/>
            <w:tcBorders>
              <w:top w:val="single" w:sz="4" w:space="0" w:color="auto"/>
              <w:bottom w:val="single" w:sz="4" w:space="0" w:color="auto"/>
            </w:tcBorders>
          </w:tcPr>
          <w:p w:rsidR="009A796F" w:rsidRPr="00C874E8" w:rsidRDefault="009A796F" w:rsidP="006873A3">
            <w:pPr>
              <w:pStyle w:val="ENoteTableText"/>
            </w:pPr>
            <w:r w:rsidRPr="00C874E8">
              <w:t>—</w:t>
            </w:r>
          </w:p>
        </w:tc>
      </w:tr>
      <w:tr w:rsidR="006062C2" w:rsidRPr="00C874E8" w:rsidTr="00296B48">
        <w:trPr>
          <w:cantSplit/>
          <w:jc w:val="center"/>
        </w:trPr>
        <w:tc>
          <w:tcPr>
            <w:tcW w:w="1512" w:type="pct"/>
            <w:tcBorders>
              <w:top w:val="single" w:sz="4" w:space="0" w:color="auto"/>
              <w:bottom w:val="single" w:sz="4" w:space="0" w:color="auto"/>
            </w:tcBorders>
          </w:tcPr>
          <w:p w:rsidR="006062C2" w:rsidRPr="00C874E8" w:rsidRDefault="007924E1" w:rsidP="00ED5A44">
            <w:pPr>
              <w:pStyle w:val="ENoteTableText"/>
              <w:rPr>
                <w:iCs/>
                <w:color w:val="000000"/>
                <w:shd w:val="clear" w:color="auto" w:fill="FFFFFF"/>
              </w:rPr>
            </w:pPr>
            <w:r w:rsidRPr="00C874E8">
              <w:rPr>
                <w:iCs/>
                <w:color w:val="000000"/>
                <w:shd w:val="clear" w:color="auto" w:fill="FFFFFF"/>
              </w:rPr>
              <w:t>National Health (Pharmaceutical Benefits Scheme</w:t>
            </w:r>
            <w:r w:rsidR="00457362">
              <w:rPr>
                <w:iCs/>
                <w:color w:val="000000"/>
                <w:shd w:val="clear" w:color="auto" w:fill="FFFFFF"/>
              </w:rPr>
              <w:noBreakHyphen/>
            </w:r>
            <w:r w:rsidRPr="00C874E8">
              <w:rPr>
                <w:iCs/>
                <w:color w:val="000000"/>
                <w:shd w:val="clear" w:color="auto" w:fill="FFFFFF"/>
              </w:rPr>
              <w:t xml:space="preserve">Exempt items </w:t>
            </w:r>
            <w:r w:rsidR="00457362">
              <w:rPr>
                <w:iCs/>
                <w:color w:val="000000"/>
                <w:shd w:val="clear" w:color="auto" w:fill="FFFFFF"/>
              </w:rPr>
              <w:noBreakHyphen/>
            </w:r>
            <w:r w:rsidRPr="00C874E8">
              <w:rPr>
                <w:iCs/>
                <w:color w:val="000000"/>
                <w:shd w:val="clear" w:color="auto" w:fill="FFFFFF"/>
              </w:rPr>
              <w:t xml:space="preserve"> </w:t>
            </w:r>
            <w:r w:rsidR="00457362">
              <w:rPr>
                <w:iCs/>
                <w:color w:val="000000"/>
                <w:shd w:val="clear" w:color="auto" w:fill="FFFFFF"/>
              </w:rPr>
              <w:t>Section 8</w:t>
            </w:r>
            <w:r w:rsidRPr="00C874E8">
              <w:rPr>
                <w:iCs/>
                <w:color w:val="000000"/>
                <w:shd w:val="clear" w:color="auto" w:fill="FFFFFF"/>
              </w:rPr>
              <w:t xml:space="preserve">4AH) Amendment </w:t>
            </w:r>
            <w:r w:rsidR="00457362">
              <w:rPr>
                <w:iCs/>
                <w:color w:val="000000"/>
                <w:shd w:val="clear" w:color="auto" w:fill="FFFFFF"/>
              </w:rPr>
              <w:t>Determination 2</w:t>
            </w:r>
            <w:r w:rsidRPr="00C874E8">
              <w:rPr>
                <w:iCs/>
                <w:color w:val="000000"/>
                <w:shd w:val="clear" w:color="auto" w:fill="FFFFFF"/>
              </w:rPr>
              <w:t>021 (No. 1) (</w:t>
            </w:r>
            <w:r w:rsidR="006062C2" w:rsidRPr="00C874E8">
              <w:rPr>
                <w:iCs/>
                <w:color w:val="000000"/>
                <w:shd w:val="clear" w:color="auto" w:fill="FFFFFF"/>
              </w:rPr>
              <w:t>PB 36 of 2021</w:t>
            </w:r>
            <w:r w:rsidR="0063175E" w:rsidRPr="00C874E8">
              <w:rPr>
                <w:iCs/>
                <w:color w:val="000000"/>
                <w:shd w:val="clear" w:color="auto" w:fill="FFFFFF"/>
              </w:rPr>
              <w:t>)</w:t>
            </w:r>
          </w:p>
        </w:tc>
        <w:tc>
          <w:tcPr>
            <w:tcW w:w="1163" w:type="pct"/>
            <w:tcBorders>
              <w:top w:val="single" w:sz="4" w:space="0" w:color="auto"/>
              <w:bottom w:val="single" w:sz="4" w:space="0" w:color="auto"/>
            </w:tcBorders>
          </w:tcPr>
          <w:p w:rsidR="006062C2" w:rsidRPr="00C874E8" w:rsidRDefault="006062C2" w:rsidP="00ED5A44">
            <w:pPr>
              <w:pStyle w:val="ENoteTableText"/>
            </w:pPr>
            <w:r w:rsidRPr="00C874E8">
              <w:t>31 Mar 2021 (F2021L00385)</w:t>
            </w:r>
          </w:p>
        </w:tc>
        <w:tc>
          <w:tcPr>
            <w:tcW w:w="1163" w:type="pct"/>
            <w:tcBorders>
              <w:top w:val="single" w:sz="4" w:space="0" w:color="auto"/>
              <w:bottom w:val="single" w:sz="4" w:space="0" w:color="auto"/>
            </w:tcBorders>
          </w:tcPr>
          <w:p w:rsidR="006062C2" w:rsidRPr="00C874E8" w:rsidRDefault="006062C2" w:rsidP="00ED5A44">
            <w:pPr>
              <w:pStyle w:val="ENoteTableText"/>
            </w:pPr>
            <w:r w:rsidRPr="00C874E8">
              <w:t xml:space="preserve">1 Apr 2021 (s 2(1) </w:t>
            </w:r>
            <w:r w:rsidR="00457362">
              <w:t>item 1</w:t>
            </w:r>
            <w:r w:rsidRPr="00C874E8">
              <w:t>)</w:t>
            </w:r>
          </w:p>
        </w:tc>
        <w:tc>
          <w:tcPr>
            <w:tcW w:w="1162" w:type="pct"/>
            <w:tcBorders>
              <w:top w:val="single" w:sz="4" w:space="0" w:color="auto"/>
              <w:bottom w:val="single" w:sz="4" w:space="0" w:color="auto"/>
            </w:tcBorders>
          </w:tcPr>
          <w:p w:rsidR="006062C2" w:rsidRPr="00C874E8" w:rsidRDefault="006062C2" w:rsidP="006873A3">
            <w:pPr>
              <w:pStyle w:val="ENoteTableText"/>
            </w:pPr>
            <w:r w:rsidRPr="00C874E8">
              <w:t>—</w:t>
            </w:r>
          </w:p>
        </w:tc>
      </w:tr>
      <w:tr w:rsidR="00CD55B5" w:rsidRPr="00C874E8" w:rsidTr="005455E7">
        <w:trPr>
          <w:cantSplit/>
          <w:jc w:val="center"/>
        </w:trPr>
        <w:tc>
          <w:tcPr>
            <w:tcW w:w="1512" w:type="pct"/>
            <w:tcBorders>
              <w:top w:val="single" w:sz="4" w:space="0" w:color="auto"/>
              <w:bottom w:val="single" w:sz="4" w:space="0" w:color="auto"/>
            </w:tcBorders>
          </w:tcPr>
          <w:p w:rsidR="00CD55B5" w:rsidRPr="00C874E8" w:rsidRDefault="00CD55B5" w:rsidP="00CD55B5">
            <w:pPr>
              <w:pStyle w:val="ENoteTableText"/>
              <w:rPr>
                <w:iCs/>
                <w:color w:val="000000"/>
                <w:shd w:val="clear" w:color="auto" w:fill="FFFFFF"/>
              </w:rPr>
            </w:pPr>
            <w:r w:rsidRPr="00D87B5F">
              <w:rPr>
                <w:bCs/>
              </w:rPr>
              <w:t>National Health (Pharmaceutical Benefits Scheme</w:t>
            </w:r>
            <w:r w:rsidR="00457362">
              <w:rPr>
                <w:bCs/>
              </w:rPr>
              <w:noBreakHyphen/>
            </w:r>
            <w:r w:rsidRPr="00D87B5F">
              <w:rPr>
                <w:bCs/>
              </w:rPr>
              <w:t xml:space="preserve">Exempt items </w:t>
            </w:r>
            <w:r w:rsidR="00457362">
              <w:rPr>
                <w:bCs/>
              </w:rPr>
              <w:noBreakHyphen/>
            </w:r>
            <w:r w:rsidRPr="00D87B5F">
              <w:rPr>
                <w:bCs/>
              </w:rPr>
              <w:t xml:space="preserve"> </w:t>
            </w:r>
            <w:r w:rsidR="00457362">
              <w:rPr>
                <w:bCs/>
              </w:rPr>
              <w:t>Section 8</w:t>
            </w:r>
            <w:r w:rsidRPr="00D87B5F">
              <w:rPr>
                <w:bCs/>
              </w:rPr>
              <w:t xml:space="preserve">4AH) Amendment </w:t>
            </w:r>
            <w:r w:rsidR="00457362">
              <w:rPr>
                <w:bCs/>
              </w:rPr>
              <w:t>Determination 2</w:t>
            </w:r>
            <w:r w:rsidRPr="00D87B5F">
              <w:rPr>
                <w:bCs/>
              </w:rPr>
              <w:t>021 (No. 2)</w:t>
            </w:r>
            <w:r>
              <w:rPr>
                <w:bCs/>
              </w:rPr>
              <w:t xml:space="preserve"> (PB 68 of 2021)</w:t>
            </w:r>
          </w:p>
        </w:tc>
        <w:tc>
          <w:tcPr>
            <w:tcW w:w="1163" w:type="pct"/>
            <w:tcBorders>
              <w:top w:val="single" w:sz="4" w:space="0" w:color="auto"/>
              <w:bottom w:val="single" w:sz="4" w:space="0" w:color="auto"/>
            </w:tcBorders>
          </w:tcPr>
          <w:p w:rsidR="00CD55B5" w:rsidRPr="00C874E8" w:rsidRDefault="00457362" w:rsidP="00CD55B5">
            <w:pPr>
              <w:pStyle w:val="ENoteTableText"/>
            </w:pPr>
            <w:r>
              <w:t>30 June</w:t>
            </w:r>
            <w:r w:rsidR="00CD55B5" w:rsidRPr="00C874E8">
              <w:t xml:space="preserve"> 2021 (F2021L00</w:t>
            </w:r>
            <w:r w:rsidR="00CD55B5">
              <w:t>932</w:t>
            </w:r>
            <w:r w:rsidR="00CD55B5" w:rsidRPr="00C874E8">
              <w:t>)</w:t>
            </w:r>
          </w:p>
        </w:tc>
        <w:tc>
          <w:tcPr>
            <w:tcW w:w="1163" w:type="pct"/>
            <w:tcBorders>
              <w:top w:val="single" w:sz="4" w:space="0" w:color="auto"/>
              <w:bottom w:val="single" w:sz="4" w:space="0" w:color="auto"/>
            </w:tcBorders>
          </w:tcPr>
          <w:p w:rsidR="00CD55B5" w:rsidRPr="00C874E8" w:rsidRDefault="00457362" w:rsidP="00CD55B5">
            <w:pPr>
              <w:pStyle w:val="ENoteTableText"/>
            </w:pPr>
            <w:r>
              <w:t>1 July</w:t>
            </w:r>
            <w:r w:rsidR="00CD55B5" w:rsidRPr="00C874E8">
              <w:t xml:space="preserve"> 2021 (s 2(1) </w:t>
            </w:r>
            <w:r>
              <w:t>item 1</w:t>
            </w:r>
            <w:r w:rsidR="00CD55B5" w:rsidRPr="00C874E8">
              <w:t>)</w:t>
            </w:r>
          </w:p>
        </w:tc>
        <w:tc>
          <w:tcPr>
            <w:tcW w:w="1162" w:type="pct"/>
            <w:tcBorders>
              <w:top w:val="single" w:sz="4" w:space="0" w:color="auto"/>
              <w:bottom w:val="single" w:sz="4" w:space="0" w:color="auto"/>
            </w:tcBorders>
          </w:tcPr>
          <w:p w:rsidR="00CD55B5" w:rsidRPr="00C874E8" w:rsidRDefault="00CD55B5" w:rsidP="00CD55B5">
            <w:pPr>
              <w:pStyle w:val="ENoteTableText"/>
            </w:pPr>
            <w:r w:rsidRPr="00C874E8">
              <w:t>—</w:t>
            </w:r>
          </w:p>
        </w:tc>
      </w:tr>
      <w:tr w:rsidR="00A753E9" w:rsidRPr="00C874E8" w:rsidTr="00FF3172">
        <w:trPr>
          <w:cantSplit/>
          <w:jc w:val="center"/>
        </w:trPr>
        <w:tc>
          <w:tcPr>
            <w:tcW w:w="1512" w:type="pct"/>
            <w:tcBorders>
              <w:top w:val="single" w:sz="4" w:space="0" w:color="auto"/>
              <w:bottom w:val="single" w:sz="12" w:space="0" w:color="auto"/>
            </w:tcBorders>
          </w:tcPr>
          <w:p w:rsidR="00A753E9" w:rsidRPr="00D87B5F" w:rsidRDefault="00A753E9" w:rsidP="00CD55B5">
            <w:pPr>
              <w:pStyle w:val="ENoteTableText"/>
              <w:rPr>
                <w:bCs/>
              </w:rPr>
            </w:pPr>
            <w:r w:rsidRPr="00A753E9">
              <w:rPr>
                <w:bCs/>
              </w:rPr>
              <w:t>National Health (Pharmaceutical Benefits Scheme</w:t>
            </w:r>
            <w:r w:rsidR="00457362">
              <w:rPr>
                <w:bCs/>
              </w:rPr>
              <w:noBreakHyphen/>
            </w:r>
            <w:r w:rsidRPr="00A753E9">
              <w:rPr>
                <w:bCs/>
              </w:rPr>
              <w:t xml:space="preserve">Exempt items </w:t>
            </w:r>
            <w:r w:rsidR="00457362">
              <w:rPr>
                <w:bCs/>
              </w:rPr>
              <w:noBreakHyphen/>
            </w:r>
            <w:r w:rsidRPr="00A753E9">
              <w:rPr>
                <w:bCs/>
              </w:rPr>
              <w:t xml:space="preserve"> </w:t>
            </w:r>
            <w:r w:rsidR="00457362">
              <w:rPr>
                <w:bCs/>
              </w:rPr>
              <w:t>Section 8</w:t>
            </w:r>
            <w:r w:rsidRPr="00A753E9">
              <w:rPr>
                <w:bCs/>
              </w:rPr>
              <w:t xml:space="preserve">4AH) Amendment </w:t>
            </w:r>
            <w:r w:rsidR="00457362">
              <w:rPr>
                <w:bCs/>
              </w:rPr>
              <w:t>Determination 2</w:t>
            </w:r>
            <w:r w:rsidRPr="00A753E9">
              <w:rPr>
                <w:bCs/>
              </w:rPr>
              <w:t>021 (No. 3)</w:t>
            </w:r>
            <w:r>
              <w:rPr>
                <w:bCs/>
              </w:rPr>
              <w:t xml:space="preserve"> (</w:t>
            </w:r>
            <w:r w:rsidRPr="00A753E9">
              <w:rPr>
                <w:bCs/>
              </w:rPr>
              <w:t>PB 96 of 2021</w:t>
            </w:r>
            <w:r>
              <w:rPr>
                <w:bCs/>
              </w:rPr>
              <w:t>)</w:t>
            </w:r>
          </w:p>
        </w:tc>
        <w:tc>
          <w:tcPr>
            <w:tcW w:w="1163" w:type="pct"/>
            <w:tcBorders>
              <w:top w:val="single" w:sz="4" w:space="0" w:color="auto"/>
              <w:bottom w:val="single" w:sz="12" w:space="0" w:color="auto"/>
            </w:tcBorders>
          </w:tcPr>
          <w:p w:rsidR="00A753E9" w:rsidRPr="00C874E8" w:rsidRDefault="00A753E9" w:rsidP="00CD55B5">
            <w:pPr>
              <w:pStyle w:val="ENoteTableText"/>
            </w:pPr>
            <w:r>
              <w:t>31 Aug 2021 (</w:t>
            </w:r>
            <w:r w:rsidRPr="00A753E9">
              <w:t>F2021L01222</w:t>
            </w:r>
            <w:r>
              <w:t>)</w:t>
            </w:r>
          </w:p>
        </w:tc>
        <w:tc>
          <w:tcPr>
            <w:tcW w:w="1163" w:type="pct"/>
            <w:tcBorders>
              <w:top w:val="single" w:sz="4" w:space="0" w:color="auto"/>
              <w:bottom w:val="single" w:sz="12" w:space="0" w:color="auto"/>
            </w:tcBorders>
          </w:tcPr>
          <w:p w:rsidR="00A753E9" w:rsidRPr="00C874E8" w:rsidRDefault="00A753E9" w:rsidP="00CD55B5">
            <w:pPr>
              <w:pStyle w:val="ENoteTableText"/>
            </w:pPr>
            <w:r>
              <w:t xml:space="preserve">1 Sept 2021 (s 2(1) </w:t>
            </w:r>
            <w:r w:rsidR="00457362">
              <w:t>item 1</w:t>
            </w:r>
            <w:r>
              <w:t>)</w:t>
            </w:r>
          </w:p>
        </w:tc>
        <w:tc>
          <w:tcPr>
            <w:tcW w:w="1162" w:type="pct"/>
            <w:tcBorders>
              <w:top w:val="single" w:sz="4" w:space="0" w:color="auto"/>
              <w:bottom w:val="single" w:sz="12" w:space="0" w:color="auto"/>
            </w:tcBorders>
          </w:tcPr>
          <w:p w:rsidR="00A753E9" w:rsidRPr="00C874E8" w:rsidRDefault="00A753E9" w:rsidP="00CD55B5">
            <w:pPr>
              <w:pStyle w:val="ENoteTableText"/>
            </w:pPr>
            <w:r>
              <w:t>—</w:t>
            </w:r>
          </w:p>
        </w:tc>
      </w:tr>
    </w:tbl>
    <w:p w:rsidR="004171DD" w:rsidRPr="00C874E8" w:rsidRDefault="004171DD" w:rsidP="004171DD">
      <w:pPr>
        <w:pStyle w:val="Tabletext"/>
      </w:pPr>
    </w:p>
    <w:p w:rsidR="006370A9" w:rsidRPr="00C874E8" w:rsidRDefault="006370A9" w:rsidP="00E955B4">
      <w:pPr>
        <w:pStyle w:val="ENotesHeading2"/>
        <w:pageBreakBefore/>
        <w:outlineLvl w:val="9"/>
      </w:pPr>
      <w:bookmarkStart w:id="10" w:name="_Toc82001470"/>
      <w:r w:rsidRPr="00C874E8">
        <w:lastRenderedPageBreak/>
        <w:t>Endnote 4—Amendment history</w:t>
      </w:r>
      <w:bookmarkEnd w:id="10"/>
    </w:p>
    <w:p w:rsidR="006370A9" w:rsidRPr="00C874E8" w:rsidRDefault="006370A9" w:rsidP="006370A9">
      <w:pPr>
        <w:pStyle w:val="Tabletext"/>
      </w:pPr>
    </w:p>
    <w:tbl>
      <w:tblPr>
        <w:tblW w:w="5000" w:type="pct"/>
        <w:tblLook w:val="0000" w:firstRow="0" w:lastRow="0" w:firstColumn="0" w:lastColumn="0" w:noHBand="0" w:noVBand="0"/>
      </w:tblPr>
      <w:tblGrid>
        <w:gridCol w:w="2303"/>
        <w:gridCol w:w="6226"/>
      </w:tblGrid>
      <w:tr w:rsidR="00BF5BBB" w:rsidRPr="00C874E8" w:rsidTr="00E955B4">
        <w:trPr>
          <w:cantSplit/>
          <w:tblHeader/>
        </w:trPr>
        <w:tc>
          <w:tcPr>
            <w:tcW w:w="1350" w:type="pct"/>
            <w:tcBorders>
              <w:top w:val="single" w:sz="12" w:space="0" w:color="auto"/>
              <w:bottom w:val="single" w:sz="12" w:space="0" w:color="auto"/>
            </w:tcBorders>
            <w:shd w:val="clear" w:color="auto" w:fill="auto"/>
          </w:tcPr>
          <w:p w:rsidR="00BF5BBB" w:rsidRPr="00C874E8" w:rsidRDefault="00BF5BBB" w:rsidP="00566F70">
            <w:pPr>
              <w:pStyle w:val="ENoteTableHeading"/>
            </w:pPr>
            <w:r w:rsidRPr="00C874E8">
              <w:t>Provision affected</w:t>
            </w:r>
          </w:p>
        </w:tc>
        <w:tc>
          <w:tcPr>
            <w:tcW w:w="3650" w:type="pct"/>
            <w:tcBorders>
              <w:top w:val="single" w:sz="12" w:space="0" w:color="auto"/>
              <w:bottom w:val="single" w:sz="12" w:space="0" w:color="auto"/>
            </w:tcBorders>
            <w:shd w:val="clear" w:color="auto" w:fill="auto"/>
          </w:tcPr>
          <w:p w:rsidR="00BF5BBB" w:rsidRPr="00C874E8" w:rsidRDefault="00BF5BBB" w:rsidP="00566F70">
            <w:pPr>
              <w:pStyle w:val="ENoteTableHeading"/>
            </w:pPr>
            <w:r w:rsidRPr="00C874E8">
              <w:t>How affected</w:t>
            </w:r>
          </w:p>
        </w:tc>
      </w:tr>
      <w:tr w:rsidR="004C3ACC" w:rsidRPr="00C874E8" w:rsidTr="00E955B4">
        <w:trPr>
          <w:cantSplit/>
        </w:trPr>
        <w:tc>
          <w:tcPr>
            <w:tcW w:w="1350" w:type="pct"/>
            <w:shd w:val="clear" w:color="auto" w:fill="auto"/>
          </w:tcPr>
          <w:p w:rsidR="004C3ACC" w:rsidRPr="00C874E8" w:rsidRDefault="00F93635" w:rsidP="00566F70">
            <w:pPr>
              <w:pStyle w:val="ENoteTableText"/>
              <w:tabs>
                <w:tab w:val="center" w:leader="dot" w:pos="2268"/>
              </w:tabs>
            </w:pPr>
            <w:r w:rsidRPr="00C874E8">
              <w:t>s 2</w:t>
            </w:r>
            <w:r w:rsidRPr="00C874E8">
              <w:tab/>
            </w:r>
          </w:p>
        </w:tc>
        <w:tc>
          <w:tcPr>
            <w:tcW w:w="3650" w:type="pct"/>
            <w:shd w:val="clear" w:color="auto" w:fill="auto"/>
          </w:tcPr>
          <w:p w:rsidR="004C3ACC" w:rsidRPr="00C874E8" w:rsidRDefault="00F93635" w:rsidP="0062053F">
            <w:pPr>
              <w:pStyle w:val="ENoteTableText"/>
            </w:pPr>
            <w:r w:rsidRPr="00C874E8">
              <w:t>rep LA s 48D</w:t>
            </w:r>
          </w:p>
        </w:tc>
      </w:tr>
      <w:tr w:rsidR="00F93635" w:rsidRPr="00C874E8" w:rsidTr="00E955B4">
        <w:trPr>
          <w:cantSplit/>
        </w:trPr>
        <w:tc>
          <w:tcPr>
            <w:tcW w:w="1350" w:type="pct"/>
            <w:shd w:val="clear" w:color="auto" w:fill="auto"/>
          </w:tcPr>
          <w:p w:rsidR="00F93635" w:rsidRPr="00C874E8" w:rsidRDefault="00F93635" w:rsidP="00566F70">
            <w:pPr>
              <w:pStyle w:val="ENoteTableText"/>
              <w:tabs>
                <w:tab w:val="center" w:leader="dot" w:pos="2268"/>
              </w:tabs>
            </w:pPr>
            <w:r w:rsidRPr="00C874E8">
              <w:t>s 3</w:t>
            </w:r>
            <w:r w:rsidRPr="00C874E8">
              <w:tab/>
            </w:r>
          </w:p>
        </w:tc>
        <w:tc>
          <w:tcPr>
            <w:tcW w:w="3650" w:type="pct"/>
            <w:shd w:val="clear" w:color="auto" w:fill="auto"/>
          </w:tcPr>
          <w:p w:rsidR="00F93635" w:rsidRPr="00C874E8" w:rsidRDefault="00F93635" w:rsidP="0062053F">
            <w:pPr>
              <w:pStyle w:val="ENoteTableText"/>
            </w:pPr>
            <w:r w:rsidRPr="00C874E8">
              <w:t>rep LA s 48C</w:t>
            </w:r>
          </w:p>
        </w:tc>
      </w:tr>
      <w:tr w:rsidR="00F93635" w:rsidRPr="00C874E8" w:rsidTr="00E955B4">
        <w:trPr>
          <w:cantSplit/>
        </w:trPr>
        <w:tc>
          <w:tcPr>
            <w:tcW w:w="1350" w:type="pct"/>
            <w:shd w:val="clear" w:color="auto" w:fill="auto"/>
          </w:tcPr>
          <w:p w:rsidR="00F93635" w:rsidRPr="00C874E8" w:rsidRDefault="00F93635" w:rsidP="00566F70">
            <w:pPr>
              <w:pStyle w:val="ENoteTableText"/>
              <w:tabs>
                <w:tab w:val="center" w:leader="dot" w:pos="2268"/>
              </w:tabs>
              <w:rPr>
                <w:b/>
              </w:rPr>
            </w:pPr>
            <w:r w:rsidRPr="00C874E8">
              <w:rPr>
                <w:b/>
              </w:rPr>
              <w:t>Schedule</w:t>
            </w:r>
          </w:p>
        </w:tc>
        <w:tc>
          <w:tcPr>
            <w:tcW w:w="3650" w:type="pct"/>
            <w:shd w:val="clear" w:color="auto" w:fill="auto"/>
          </w:tcPr>
          <w:p w:rsidR="00F93635" w:rsidRPr="00C874E8" w:rsidRDefault="00F93635" w:rsidP="0062053F">
            <w:pPr>
              <w:pStyle w:val="ENoteTableText"/>
            </w:pPr>
          </w:p>
        </w:tc>
      </w:tr>
      <w:tr w:rsidR="00F93635" w:rsidRPr="00C874E8" w:rsidTr="00E955B4">
        <w:trPr>
          <w:cantSplit/>
        </w:trPr>
        <w:tc>
          <w:tcPr>
            <w:tcW w:w="1350" w:type="pct"/>
            <w:tcBorders>
              <w:bottom w:val="single" w:sz="12" w:space="0" w:color="auto"/>
            </w:tcBorders>
            <w:shd w:val="clear" w:color="auto" w:fill="auto"/>
          </w:tcPr>
          <w:p w:rsidR="00F93635" w:rsidRPr="00C874E8" w:rsidRDefault="00F93635" w:rsidP="00566F70">
            <w:pPr>
              <w:pStyle w:val="ENoteTableText"/>
              <w:tabs>
                <w:tab w:val="center" w:leader="dot" w:pos="2268"/>
              </w:tabs>
            </w:pPr>
            <w:r w:rsidRPr="00C874E8">
              <w:t>Schedule</w:t>
            </w:r>
            <w:r w:rsidRPr="00C874E8">
              <w:tab/>
            </w:r>
          </w:p>
        </w:tc>
        <w:tc>
          <w:tcPr>
            <w:tcW w:w="3650" w:type="pct"/>
            <w:tcBorders>
              <w:bottom w:val="single" w:sz="12" w:space="0" w:color="auto"/>
            </w:tcBorders>
            <w:shd w:val="clear" w:color="auto" w:fill="auto"/>
          </w:tcPr>
          <w:p w:rsidR="00F93635" w:rsidRPr="00C874E8" w:rsidRDefault="00F93635" w:rsidP="00234960">
            <w:pPr>
              <w:pStyle w:val="ENoteTableText"/>
            </w:pPr>
            <w:r w:rsidRPr="00C874E8">
              <w:t xml:space="preserve">am </w:t>
            </w:r>
            <w:r w:rsidR="0007037B" w:rsidRPr="00C874E8">
              <w:t>F2017L01400</w:t>
            </w:r>
            <w:r w:rsidR="00234960" w:rsidRPr="00C874E8">
              <w:t xml:space="preserve">; </w:t>
            </w:r>
            <w:r w:rsidR="0007037B" w:rsidRPr="00C874E8">
              <w:t>F2018L00694</w:t>
            </w:r>
            <w:r w:rsidR="00234960" w:rsidRPr="00C874E8">
              <w:t xml:space="preserve">; </w:t>
            </w:r>
            <w:r w:rsidR="0007037B" w:rsidRPr="00C874E8">
              <w:t>F2018L00958</w:t>
            </w:r>
            <w:r w:rsidR="00234960" w:rsidRPr="00C874E8">
              <w:t xml:space="preserve">; </w:t>
            </w:r>
            <w:r w:rsidR="00141090" w:rsidRPr="00C874E8">
              <w:t>F2018L01074</w:t>
            </w:r>
            <w:r w:rsidR="00234960" w:rsidRPr="00C874E8">
              <w:t xml:space="preserve">; </w:t>
            </w:r>
            <w:r w:rsidR="00141090" w:rsidRPr="00C874E8">
              <w:t>F2018L01484</w:t>
            </w:r>
            <w:r w:rsidR="00234960" w:rsidRPr="00C874E8">
              <w:t>;</w:t>
            </w:r>
            <w:r w:rsidR="00FF6FFB" w:rsidRPr="00C874E8">
              <w:t xml:space="preserve"> </w:t>
            </w:r>
            <w:r w:rsidR="00141090" w:rsidRPr="00C874E8">
              <w:t>F2019L00451</w:t>
            </w:r>
            <w:r w:rsidR="0083411B" w:rsidRPr="00C874E8">
              <w:t xml:space="preserve">; </w:t>
            </w:r>
            <w:r w:rsidR="00141090" w:rsidRPr="00C874E8">
              <w:t>F2019L00705</w:t>
            </w:r>
            <w:r w:rsidR="007308E4" w:rsidRPr="00C874E8">
              <w:t xml:space="preserve">; </w:t>
            </w:r>
            <w:r w:rsidR="00141090" w:rsidRPr="00C874E8">
              <w:t>F2020L00651</w:t>
            </w:r>
            <w:r w:rsidR="00A81228" w:rsidRPr="00C874E8">
              <w:t xml:space="preserve">; </w:t>
            </w:r>
            <w:r w:rsidR="00141090" w:rsidRPr="00C874E8">
              <w:t>F2020L00844</w:t>
            </w:r>
            <w:r w:rsidR="005A6CC8" w:rsidRPr="00C874E8">
              <w:t xml:space="preserve">; </w:t>
            </w:r>
            <w:r w:rsidR="00141090" w:rsidRPr="00C874E8">
              <w:t>F2020L01494</w:t>
            </w:r>
            <w:r w:rsidR="001806C5" w:rsidRPr="00C874E8">
              <w:t xml:space="preserve">; </w:t>
            </w:r>
            <w:r w:rsidR="00141090" w:rsidRPr="00C874E8">
              <w:t>F2021L00385</w:t>
            </w:r>
            <w:r w:rsidR="00CD55B5">
              <w:t xml:space="preserve">; </w:t>
            </w:r>
            <w:r w:rsidR="00CD55B5" w:rsidRPr="00C874E8">
              <w:t>F2021L00</w:t>
            </w:r>
            <w:r w:rsidR="00CD55B5">
              <w:t>932</w:t>
            </w:r>
            <w:r w:rsidR="00A753E9">
              <w:t>; F2021L01222</w:t>
            </w:r>
          </w:p>
        </w:tc>
      </w:tr>
    </w:tbl>
    <w:p w:rsidR="00E24149" w:rsidRPr="00C874E8" w:rsidRDefault="00E24149" w:rsidP="003A28B7">
      <w:pPr>
        <w:rPr>
          <w:lang w:eastAsia="en-AU"/>
        </w:rPr>
        <w:sectPr w:rsidR="00E24149" w:rsidRPr="00C874E8" w:rsidSect="000578B1">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7177E0" w:rsidRPr="00C874E8" w:rsidRDefault="007177E0" w:rsidP="003A28B7"/>
    <w:sectPr w:rsidR="007177E0" w:rsidRPr="00C874E8" w:rsidSect="000578B1">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D19" w:rsidRDefault="009E6D19" w:rsidP="00715914">
      <w:pPr>
        <w:spacing w:line="240" w:lineRule="auto"/>
      </w:pPr>
      <w:r>
        <w:separator/>
      </w:r>
    </w:p>
  </w:endnote>
  <w:endnote w:type="continuationSeparator" w:id="0">
    <w:p w:rsidR="009E6D19" w:rsidRDefault="009E6D1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Pr="007B3B51" w:rsidRDefault="00DD7B50"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DD7B50" w:rsidRPr="007B3B51" w:rsidTr="00E955B4">
      <w:tc>
        <w:tcPr>
          <w:tcW w:w="681" w:type="pct"/>
        </w:tcPr>
        <w:p w:rsidR="00DD7B50" w:rsidRPr="007B3B51" w:rsidRDefault="00DD7B50" w:rsidP="009D659F">
          <w:pPr>
            <w:rPr>
              <w:i/>
              <w:sz w:val="16"/>
              <w:szCs w:val="16"/>
            </w:rPr>
          </w:pPr>
        </w:p>
      </w:tc>
      <w:tc>
        <w:tcPr>
          <w:tcW w:w="3471" w:type="pct"/>
          <w:gridSpan w:val="3"/>
        </w:tcPr>
        <w:p w:rsidR="00DD7B50" w:rsidRPr="007B3B51" w:rsidRDefault="00DD7B50"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DD7B50" w:rsidRPr="007B3B51" w:rsidRDefault="00DD7B50"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DD7B50" w:rsidRPr="00130F37" w:rsidTr="00656374">
      <w:tc>
        <w:tcPr>
          <w:tcW w:w="895" w:type="pct"/>
          <w:gridSpan w:val="2"/>
        </w:tcPr>
        <w:p w:rsidR="00DD7B50" w:rsidRPr="00130F37" w:rsidRDefault="00DD7B50"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3088" w:type="pct"/>
        </w:tcPr>
        <w:p w:rsidR="00DD7B50" w:rsidRPr="00130F37" w:rsidRDefault="00DD7B50"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01/07/2021</w:t>
          </w:r>
          <w:r w:rsidRPr="00130F37">
            <w:rPr>
              <w:sz w:val="16"/>
              <w:szCs w:val="16"/>
            </w:rPr>
            <w:fldChar w:fldCharType="end"/>
          </w:r>
        </w:p>
      </w:tc>
      <w:tc>
        <w:tcPr>
          <w:tcW w:w="1017" w:type="pct"/>
          <w:gridSpan w:val="2"/>
        </w:tcPr>
        <w:p w:rsidR="00DD7B50" w:rsidRPr="00130F37" w:rsidRDefault="00DD7B50"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23/07/2021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23/07/2021</w:t>
          </w:r>
          <w:r w:rsidRPr="00130F37">
            <w:rPr>
              <w:sz w:val="16"/>
              <w:szCs w:val="16"/>
            </w:rPr>
            <w:fldChar w:fldCharType="end"/>
          </w:r>
        </w:p>
      </w:tc>
    </w:tr>
  </w:tbl>
  <w:p w:rsidR="00DD7B50" w:rsidRPr="009D659F" w:rsidRDefault="00DD7B50" w:rsidP="009D659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Pr="007B3B51" w:rsidRDefault="00DD7B50" w:rsidP="009D318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D7B50" w:rsidRPr="007B3B51" w:rsidTr="00E955B4">
      <w:tc>
        <w:tcPr>
          <w:tcW w:w="681" w:type="pct"/>
        </w:tcPr>
        <w:p w:rsidR="00DD7B50" w:rsidRPr="007B3B51" w:rsidRDefault="00DD7B50" w:rsidP="009D659F">
          <w:pPr>
            <w:rPr>
              <w:i/>
              <w:sz w:val="16"/>
              <w:szCs w:val="16"/>
            </w:rPr>
          </w:pPr>
        </w:p>
      </w:tc>
      <w:tc>
        <w:tcPr>
          <w:tcW w:w="3471" w:type="pct"/>
          <w:gridSpan w:val="3"/>
        </w:tcPr>
        <w:p w:rsidR="00DD7B50" w:rsidRPr="007B3B51" w:rsidRDefault="00DD7B50"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DD7B50" w:rsidRPr="007B3B51" w:rsidRDefault="00DD7B50"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DD7B50" w:rsidRPr="00130F37" w:rsidTr="00E955B4">
      <w:tc>
        <w:tcPr>
          <w:tcW w:w="848" w:type="pct"/>
          <w:gridSpan w:val="2"/>
        </w:tcPr>
        <w:p w:rsidR="00DD7B50" w:rsidRPr="00130F37" w:rsidRDefault="00DD7B50"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3135" w:type="pct"/>
        </w:tcPr>
        <w:p w:rsidR="00DD7B50" w:rsidRPr="00130F37" w:rsidRDefault="00DD7B50"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01/07/2021</w:t>
          </w:r>
          <w:r w:rsidRPr="00130F37">
            <w:rPr>
              <w:sz w:val="16"/>
              <w:szCs w:val="16"/>
            </w:rPr>
            <w:fldChar w:fldCharType="end"/>
          </w:r>
        </w:p>
      </w:tc>
      <w:tc>
        <w:tcPr>
          <w:tcW w:w="1017" w:type="pct"/>
          <w:gridSpan w:val="2"/>
        </w:tcPr>
        <w:p w:rsidR="00DD7B50" w:rsidRPr="00130F37" w:rsidRDefault="00DD7B50"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23/07/2021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23/07/2021</w:t>
          </w:r>
          <w:r w:rsidRPr="00130F37">
            <w:rPr>
              <w:sz w:val="16"/>
              <w:szCs w:val="16"/>
            </w:rPr>
            <w:fldChar w:fldCharType="end"/>
          </w:r>
        </w:p>
      </w:tc>
    </w:tr>
  </w:tbl>
  <w:p w:rsidR="00DD7B50" w:rsidRPr="00E932A8" w:rsidRDefault="00DD7B50" w:rsidP="009D318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9E6D19" w:rsidRPr="007B3B51" w:rsidTr="00E955B4">
      <w:tc>
        <w:tcPr>
          <w:tcW w:w="681" w:type="pct"/>
        </w:tcPr>
        <w:p w:rsidR="009E6D19" w:rsidRPr="007B3B51" w:rsidRDefault="009E6D19" w:rsidP="009D659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p>
      </w:tc>
    </w:tr>
    <w:tr w:rsidR="009E6D19" w:rsidRPr="0055472E" w:rsidTr="00656374">
      <w:tc>
        <w:tcPr>
          <w:tcW w:w="895" w:type="pct"/>
          <w:gridSpan w:val="2"/>
        </w:tcPr>
        <w:p w:rsidR="009E6D19" w:rsidRPr="0055472E" w:rsidRDefault="009E6D19" w:rsidP="009D659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7B50">
            <w:rPr>
              <w:sz w:val="16"/>
              <w:szCs w:val="16"/>
            </w:rPr>
            <w:t>13</w:t>
          </w:r>
          <w:r w:rsidRPr="0055472E">
            <w:rPr>
              <w:sz w:val="16"/>
              <w:szCs w:val="16"/>
            </w:rPr>
            <w:fldChar w:fldCharType="end"/>
          </w:r>
        </w:p>
      </w:tc>
      <w:tc>
        <w:tcPr>
          <w:tcW w:w="3088" w:type="pct"/>
        </w:tcPr>
        <w:p w:rsidR="009E6D19" w:rsidRPr="0055472E" w:rsidRDefault="009E6D19" w:rsidP="009D659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7B50">
            <w:rPr>
              <w:sz w:val="16"/>
              <w:szCs w:val="16"/>
            </w:rPr>
            <w:t>01/09/2021</w:t>
          </w:r>
          <w:r w:rsidRPr="0055472E">
            <w:rPr>
              <w:sz w:val="16"/>
              <w:szCs w:val="16"/>
            </w:rPr>
            <w:fldChar w:fldCharType="end"/>
          </w:r>
        </w:p>
      </w:tc>
      <w:tc>
        <w:tcPr>
          <w:tcW w:w="1017" w:type="pct"/>
          <w:gridSpan w:val="2"/>
        </w:tcPr>
        <w:p w:rsidR="009E6D19" w:rsidRPr="0055472E" w:rsidRDefault="009E6D19" w:rsidP="009D659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7B50">
            <w:rPr>
              <w:sz w:val="16"/>
              <w:szCs w:val="16"/>
            </w:rPr>
            <w:instrText>8/09/2021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7B50">
            <w:rPr>
              <w:sz w:val="16"/>
              <w:szCs w:val="16"/>
            </w:rPr>
            <w:instrText>08/09/2021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7B50">
            <w:rPr>
              <w:noProof/>
              <w:sz w:val="16"/>
              <w:szCs w:val="16"/>
            </w:rPr>
            <w:t>08/09/2021</w:t>
          </w:r>
          <w:r w:rsidRPr="0055472E">
            <w:rPr>
              <w:sz w:val="16"/>
              <w:szCs w:val="16"/>
            </w:rPr>
            <w:fldChar w:fldCharType="end"/>
          </w:r>
        </w:p>
      </w:tc>
    </w:tr>
  </w:tbl>
  <w:p w:rsidR="009E6D19" w:rsidRPr="009D659F" w:rsidRDefault="009E6D19" w:rsidP="009D659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9E6D19" w:rsidRPr="007B3B51" w:rsidTr="00E955B4">
      <w:tc>
        <w:tcPr>
          <w:tcW w:w="681" w:type="pct"/>
        </w:tcPr>
        <w:p w:rsidR="009E6D19" w:rsidRPr="007B3B51" w:rsidRDefault="009E6D19" w:rsidP="009D659F">
          <w:pPr>
            <w:rPr>
              <w:i/>
              <w:sz w:val="16"/>
              <w:szCs w:val="16"/>
            </w:rPr>
          </w:pP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9E6D19" w:rsidRPr="00130F37" w:rsidTr="00656374">
      <w:tc>
        <w:tcPr>
          <w:tcW w:w="895" w:type="pct"/>
          <w:gridSpan w:val="2"/>
        </w:tcPr>
        <w:p w:rsidR="009E6D19" w:rsidRPr="00130F37" w:rsidRDefault="009E6D19"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7B50">
            <w:rPr>
              <w:sz w:val="16"/>
              <w:szCs w:val="16"/>
            </w:rPr>
            <w:t>13</w:t>
          </w:r>
          <w:r w:rsidRPr="00130F37">
            <w:rPr>
              <w:sz w:val="16"/>
              <w:szCs w:val="16"/>
            </w:rPr>
            <w:fldChar w:fldCharType="end"/>
          </w:r>
        </w:p>
      </w:tc>
      <w:tc>
        <w:tcPr>
          <w:tcW w:w="3088" w:type="pct"/>
        </w:tcPr>
        <w:p w:rsidR="009E6D19" w:rsidRPr="00130F37" w:rsidRDefault="009E6D19"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7B50">
            <w:rPr>
              <w:sz w:val="16"/>
              <w:szCs w:val="16"/>
            </w:rPr>
            <w:t>01/09/2021</w:t>
          </w:r>
          <w:r w:rsidRPr="00130F37">
            <w:rPr>
              <w:sz w:val="16"/>
              <w:szCs w:val="16"/>
            </w:rPr>
            <w:fldChar w:fldCharType="end"/>
          </w:r>
        </w:p>
      </w:tc>
      <w:tc>
        <w:tcPr>
          <w:tcW w:w="1017" w:type="pct"/>
          <w:gridSpan w:val="2"/>
        </w:tcPr>
        <w:p w:rsidR="009E6D19" w:rsidRPr="00130F37" w:rsidRDefault="009E6D19"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7B50">
            <w:rPr>
              <w:sz w:val="16"/>
              <w:szCs w:val="16"/>
            </w:rPr>
            <w:instrText>8/09/2021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7B50">
            <w:rPr>
              <w:sz w:val="16"/>
              <w:szCs w:val="16"/>
            </w:rPr>
            <w:instrText>08/09/2021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7B50">
            <w:rPr>
              <w:noProof/>
              <w:sz w:val="16"/>
              <w:szCs w:val="16"/>
            </w:rPr>
            <w:t>08/09/2021</w:t>
          </w:r>
          <w:r w:rsidRPr="00130F37">
            <w:rPr>
              <w:sz w:val="16"/>
              <w:szCs w:val="16"/>
            </w:rPr>
            <w:fldChar w:fldCharType="end"/>
          </w:r>
        </w:p>
      </w:tc>
    </w:tr>
  </w:tbl>
  <w:p w:rsidR="009E6D19" w:rsidRPr="009D659F" w:rsidRDefault="009E6D19" w:rsidP="009D659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E6D19" w:rsidRPr="007B3B51" w:rsidTr="00E955B4">
      <w:tc>
        <w:tcPr>
          <w:tcW w:w="681" w:type="pct"/>
        </w:tcPr>
        <w:p w:rsidR="009E6D19" w:rsidRPr="007B3B51" w:rsidRDefault="009E6D19" w:rsidP="009D659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7B50">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p>
      </w:tc>
    </w:tr>
    <w:tr w:rsidR="009E6D19" w:rsidRPr="0055472E" w:rsidTr="00E955B4">
      <w:tc>
        <w:tcPr>
          <w:tcW w:w="848" w:type="pct"/>
          <w:gridSpan w:val="2"/>
        </w:tcPr>
        <w:p w:rsidR="009E6D19" w:rsidRPr="0055472E" w:rsidRDefault="009E6D19" w:rsidP="009D659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7B50">
            <w:rPr>
              <w:sz w:val="16"/>
              <w:szCs w:val="16"/>
            </w:rPr>
            <w:t>13</w:t>
          </w:r>
          <w:r w:rsidRPr="0055472E">
            <w:rPr>
              <w:sz w:val="16"/>
              <w:szCs w:val="16"/>
            </w:rPr>
            <w:fldChar w:fldCharType="end"/>
          </w:r>
        </w:p>
      </w:tc>
      <w:tc>
        <w:tcPr>
          <w:tcW w:w="3135" w:type="pct"/>
        </w:tcPr>
        <w:p w:rsidR="009E6D19" w:rsidRPr="0055472E" w:rsidRDefault="009E6D19" w:rsidP="009D659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7B50">
            <w:rPr>
              <w:sz w:val="16"/>
              <w:szCs w:val="16"/>
            </w:rPr>
            <w:t>01/09/2021</w:t>
          </w:r>
          <w:r w:rsidRPr="0055472E">
            <w:rPr>
              <w:sz w:val="16"/>
              <w:szCs w:val="16"/>
            </w:rPr>
            <w:fldChar w:fldCharType="end"/>
          </w:r>
        </w:p>
      </w:tc>
      <w:tc>
        <w:tcPr>
          <w:tcW w:w="1017" w:type="pct"/>
          <w:gridSpan w:val="2"/>
        </w:tcPr>
        <w:p w:rsidR="009E6D19" w:rsidRPr="0055472E" w:rsidRDefault="009E6D19" w:rsidP="009D659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7B50">
            <w:rPr>
              <w:sz w:val="16"/>
              <w:szCs w:val="16"/>
            </w:rPr>
            <w:instrText>8/09/2021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7B50">
            <w:rPr>
              <w:sz w:val="16"/>
              <w:szCs w:val="16"/>
            </w:rPr>
            <w:instrText>08/09/2021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7B50">
            <w:rPr>
              <w:noProof/>
              <w:sz w:val="16"/>
              <w:szCs w:val="16"/>
            </w:rPr>
            <w:t>08/09/2021</w:t>
          </w:r>
          <w:r w:rsidRPr="0055472E">
            <w:rPr>
              <w:sz w:val="16"/>
              <w:szCs w:val="16"/>
            </w:rPr>
            <w:fldChar w:fldCharType="end"/>
          </w:r>
        </w:p>
      </w:tc>
    </w:tr>
  </w:tbl>
  <w:p w:rsidR="009E6D19" w:rsidRPr="009D659F" w:rsidRDefault="009E6D19" w:rsidP="009D659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E6D19" w:rsidRPr="007B3B51" w:rsidTr="00E955B4">
      <w:tc>
        <w:tcPr>
          <w:tcW w:w="681" w:type="pct"/>
        </w:tcPr>
        <w:p w:rsidR="009E6D19" w:rsidRPr="007B3B51" w:rsidRDefault="009E6D19" w:rsidP="009D659F">
          <w:pPr>
            <w:rPr>
              <w:i/>
              <w:sz w:val="16"/>
              <w:szCs w:val="16"/>
            </w:rPr>
          </w:pP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7B50">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9E6D19" w:rsidRPr="00130F37" w:rsidTr="00E955B4">
      <w:tc>
        <w:tcPr>
          <w:tcW w:w="848" w:type="pct"/>
          <w:gridSpan w:val="2"/>
        </w:tcPr>
        <w:p w:rsidR="009E6D19" w:rsidRPr="00130F37" w:rsidRDefault="009E6D19"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7B50">
            <w:rPr>
              <w:sz w:val="16"/>
              <w:szCs w:val="16"/>
            </w:rPr>
            <w:t>13</w:t>
          </w:r>
          <w:r w:rsidRPr="00130F37">
            <w:rPr>
              <w:sz w:val="16"/>
              <w:szCs w:val="16"/>
            </w:rPr>
            <w:fldChar w:fldCharType="end"/>
          </w:r>
        </w:p>
      </w:tc>
      <w:tc>
        <w:tcPr>
          <w:tcW w:w="3135" w:type="pct"/>
        </w:tcPr>
        <w:p w:rsidR="009E6D19" w:rsidRPr="00130F37" w:rsidRDefault="009E6D19"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7B50">
            <w:rPr>
              <w:sz w:val="16"/>
              <w:szCs w:val="16"/>
            </w:rPr>
            <w:t>01/09/2021</w:t>
          </w:r>
          <w:r w:rsidRPr="00130F37">
            <w:rPr>
              <w:sz w:val="16"/>
              <w:szCs w:val="16"/>
            </w:rPr>
            <w:fldChar w:fldCharType="end"/>
          </w:r>
        </w:p>
      </w:tc>
      <w:tc>
        <w:tcPr>
          <w:tcW w:w="1017" w:type="pct"/>
          <w:gridSpan w:val="2"/>
        </w:tcPr>
        <w:p w:rsidR="009E6D19" w:rsidRPr="00130F37" w:rsidRDefault="009E6D19"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7B50">
            <w:rPr>
              <w:sz w:val="16"/>
              <w:szCs w:val="16"/>
            </w:rPr>
            <w:instrText>8/09/2021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7B50">
            <w:rPr>
              <w:sz w:val="16"/>
              <w:szCs w:val="16"/>
            </w:rPr>
            <w:instrText>08/09/2021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7B50">
            <w:rPr>
              <w:noProof/>
              <w:sz w:val="16"/>
              <w:szCs w:val="16"/>
            </w:rPr>
            <w:t>08/09/2021</w:t>
          </w:r>
          <w:r w:rsidRPr="00130F37">
            <w:rPr>
              <w:sz w:val="16"/>
              <w:szCs w:val="16"/>
            </w:rPr>
            <w:fldChar w:fldCharType="end"/>
          </w:r>
        </w:p>
      </w:tc>
    </w:tr>
  </w:tbl>
  <w:p w:rsidR="009E6D19" w:rsidRPr="009D659F" w:rsidRDefault="009E6D19" w:rsidP="009D659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E33C1C" w:rsidRDefault="009E6D19"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E6D19" w:rsidTr="00E955B4">
      <w:tc>
        <w:tcPr>
          <w:tcW w:w="817" w:type="pct"/>
          <w:tcBorders>
            <w:top w:val="nil"/>
            <w:left w:val="nil"/>
            <w:bottom w:val="nil"/>
            <w:right w:val="nil"/>
          </w:tcBorders>
        </w:tcPr>
        <w:p w:rsidR="009E6D19" w:rsidRDefault="009E6D19" w:rsidP="006370A9">
          <w:pPr>
            <w:spacing w:line="0" w:lineRule="atLeast"/>
            <w:rPr>
              <w:sz w:val="18"/>
            </w:rPr>
          </w:pPr>
        </w:p>
      </w:tc>
      <w:tc>
        <w:tcPr>
          <w:tcW w:w="3765" w:type="pct"/>
          <w:tcBorders>
            <w:top w:val="nil"/>
            <w:left w:val="nil"/>
            <w:bottom w:val="nil"/>
            <w:right w:val="nil"/>
          </w:tcBorders>
        </w:tcPr>
        <w:p w:rsidR="009E6D19" w:rsidRDefault="009E6D19" w:rsidP="006370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7B50">
            <w:rPr>
              <w:i/>
              <w:sz w:val="18"/>
            </w:rPr>
            <w:t>National Health (Pharmaceutical Benefits Scheme-Exempt items - Section 84AH) Determination 2017</w:t>
          </w:r>
          <w:r w:rsidRPr="007A1328">
            <w:rPr>
              <w:i/>
              <w:sz w:val="18"/>
            </w:rPr>
            <w:fldChar w:fldCharType="end"/>
          </w:r>
        </w:p>
      </w:tc>
      <w:tc>
        <w:tcPr>
          <w:tcW w:w="418" w:type="pct"/>
          <w:tcBorders>
            <w:top w:val="nil"/>
            <w:left w:val="nil"/>
            <w:bottom w:val="nil"/>
            <w:right w:val="nil"/>
          </w:tcBorders>
        </w:tcPr>
        <w:p w:rsidR="009E6D19" w:rsidRDefault="009E6D19" w:rsidP="00637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9E6D19" w:rsidRPr="00ED79B6" w:rsidRDefault="009E6D1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rsidP="000C2D2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ED79B6" w:rsidRDefault="009E6D19" w:rsidP="000C2D2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E6D19" w:rsidRPr="007B3B51" w:rsidTr="00E955B4">
      <w:tc>
        <w:tcPr>
          <w:tcW w:w="681" w:type="pct"/>
        </w:tcPr>
        <w:p w:rsidR="009E6D19" w:rsidRPr="007B3B51" w:rsidRDefault="009E6D19" w:rsidP="009D659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7B50">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p>
      </w:tc>
    </w:tr>
    <w:tr w:rsidR="009E6D19" w:rsidRPr="0055472E" w:rsidTr="00E955B4">
      <w:tc>
        <w:tcPr>
          <w:tcW w:w="848" w:type="pct"/>
          <w:gridSpan w:val="2"/>
        </w:tcPr>
        <w:p w:rsidR="009E6D19" w:rsidRPr="0055472E" w:rsidRDefault="009E6D19" w:rsidP="009D659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7B50">
            <w:rPr>
              <w:sz w:val="16"/>
              <w:szCs w:val="16"/>
            </w:rPr>
            <w:t>13</w:t>
          </w:r>
          <w:r w:rsidRPr="0055472E">
            <w:rPr>
              <w:sz w:val="16"/>
              <w:szCs w:val="16"/>
            </w:rPr>
            <w:fldChar w:fldCharType="end"/>
          </w:r>
        </w:p>
      </w:tc>
      <w:tc>
        <w:tcPr>
          <w:tcW w:w="3135" w:type="pct"/>
        </w:tcPr>
        <w:p w:rsidR="009E6D19" w:rsidRPr="0055472E" w:rsidRDefault="009E6D19" w:rsidP="009D659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7B50">
            <w:rPr>
              <w:sz w:val="16"/>
              <w:szCs w:val="16"/>
            </w:rPr>
            <w:t>01/09/2021</w:t>
          </w:r>
          <w:r w:rsidRPr="0055472E">
            <w:rPr>
              <w:sz w:val="16"/>
              <w:szCs w:val="16"/>
            </w:rPr>
            <w:fldChar w:fldCharType="end"/>
          </w:r>
        </w:p>
      </w:tc>
      <w:tc>
        <w:tcPr>
          <w:tcW w:w="1017" w:type="pct"/>
          <w:gridSpan w:val="2"/>
        </w:tcPr>
        <w:p w:rsidR="009E6D19" w:rsidRPr="0055472E" w:rsidRDefault="009E6D19" w:rsidP="009D659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7B50">
            <w:rPr>
              <w:sz w:val="16"/>
              <w:szCs w:val="16"/>
            </w:rPr>
            <w:instrText>8/09/2021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7B50">
            <w:rPr>
              <w:sz w:val="16"/>
              <w:szCs w:val="16"/>
            </w:rPr>
            <w:instrText>08/09/2021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7B50">
            <w:rPr>
              <w:noProof/>
              <w:sz w:val="16"/>
              <w:szCs w:val="16"/>
            </w:rPr>
            <w:t>08/09/2021</w:t>
          </w:r>
          <w:r w:rsidRPr="0055472E">
            <w:rPr>
              <w:sz w:val="16"/>
              <w:szCs w:val="16"/>
            </w:rPr>
            <w:fldChar w:fldCharType="end"/>
          </w:r>
        </w:p>
      </w:tc>
    </w:tr>
  </w:tbl>
  <w:p w:rsidR="009E6D19" w:rsidRPr="009D659F" w:rsidRDefault="009E6D19" w:rsidP="009D65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9E6D19" w:rsidRPr="007B3B51" w:rsidTr="00E955B4">
      <w:tc>
        <w:tcPr>
          <w:tcW w:w="681" w:type="pct"/>
        </w:tcPr>
        <w:p w:rsidR="009E6D19" w:rsidRPr="007B3B51" w:rsidRDefault="009E6D19" w:rsidP="009D659F">
          <w:pPr>
            <w:rPr>
              <w:i/>
              <w:sz w:val="16"/>
              <w:szCs w:val="16"/>
            </w:rPr>
          </w:pP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E6D19" w:rsidRPr="00130F37" w:rsidTr="00656374">
      <w:tc>
        <w:tcPr>
          <w:tcW w:w="895" w:type="pct"/>
          <w:gridSpan w:val="2"/>
        </w:tcPr>
        <w:p w:rsidR="009E6D19" w:rsidRPr="00130F37" w:rsidRDefault="009E6D19"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7B50">
            <w:rPr>
              <w:sz w:val="16"/>
              <w:szCs w:val="16"/>
            </w:rPr>
            <w:t>13</w:t>
          </w:r>
          <w:r w:rsidRPr="00130F37">
            <w:rPr>
              <w:sz w:val="16"/>
              <w:szCs w:val="16"/>
            </w:rPr>
            <w:fldChar w:fldCharType="end"/>
          </w:r>
        </w:p>
      </w:tc>
      <w:tc>
        <w:tcPr>
          <w:tcW w:w="3088" w:type="pct"/>
        </w:tcPr>
        <w:p w:rsidR="009E6D19" w:rsidRPr="00130F37" w:rsidRDefault="009E6D19"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7B50">
            <w:rPr>
              <w:sz w:val="16"/>
              <w:szCs w:val="16"/>
            </w:rPr>
            <w:t>01/09/2021</w:t>
          </w:r>
          <w:r w:rsidRPr="00130F37">
            <w:rPr>
              <w:sz w:val="16"/>
              <w:szCs w:val="16"/>
            </w:rPr>
            <w:fldChar w:fldCharType="end"/>
          </w:r>
        </w:p>
      </w:tc>
      <w:tc>
        <w:tcPr>
          <w:tcW w:w="1017" w:type="pct"/>
          <w:gridSpan w:val="2"/>
        </w:tcPr>
        <w:p w:rsidR="009E6D19" w:rsidRPr="00130F37" w:rsidRDefault="009E6D19"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7B50">
            <w:rPr>
              <w:sz w:val="16"/>
              <w:szCs w:val="16"/>
            </w:rPr>
            <w:instrText>8/09/2021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7B50">
            <w:rPr>
              <w:sz w:val="16"/>
              <w:szCs w:val="16"/>
            </w:rPr>
            <w:instrText>08/09/2021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7B50">
            <w:rPr>
              <w:noProof/>
              <w:sz w:val="16"/>
              <w:szCs w:val="16"/>
            </w:rPr>
            <w:t>08/09/2021</w:t>
          </w:r>
          <w:r w:rsidRPr="00130F37">
            <w:rPr>
              <w:sz w:val="16"/>
              <w:szCs w:val="16"/>
            </w:rPr>
            <w:fldChar w:fldCharType="end"/>
          </w:r>
        </w:p>
      </w:tc>
    </w:tr>
  </w:tbl>
  <w:p w:rsidR="009E6D19" w:rsidRPr="009D659F" w:rsidRDefault="009E6D19" w:rsidP="009D65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E6D19" w:rsidRPr="007B3B51" w:rsidTr="00E955B4">
      <w:tc>
        <w:tcPr>
          <w:tcW w:w="681" w:type="pct"/>
        </w:tcPr>
        <w:p w:rsidR="009E6D19" w:rsidRPr="007B3B51" w:rsidRDefault="009E6D19" w:rsidP="009D659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7B50">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p>
      </w:tc>
    </w:tr>
    <w:tr w:rsidR="009E6D19" w:rsidRPr="0055472E" w:rsidTr="00E955B4">
      <w:tc>
        <w:tcPr>
          <w:tcW w:w="848" w:type="pct"/>
          <w:gridSpan w:val="2"/>
        </w:tcPr>
        <w:p w:rsidR="009E6D19" w:rsidRPr="0055472E" w:rsidRDefault="009E6D19" w:rsidP="009D659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7B50">
            <w:rPr>
              <w:sz w:val="16"/>
              <w:szCs w:val="16"/>
            </w:rPr>
            <w:t>13</w:t>
          </w:r>
          <w:r w:rsidRPr="0055472E">
            <w:rPr>
              <w:sz w:val="16"/>
              <w:szCs w:val="16"/>
            </w:rPr>
            <w:fldChar w:fldCharType="end"/>
          </w:r>
        </w:p>
      </w:tc>
      <w:tc>
        <w:tcPr>
          <w:tcW w:w="3135" w:type="pct"/>
        </w:tcPr>
        <w:p w:rsidR="009E6D19" w:rsidRPr="0055472E" w:rsidRDefault="009E6D19" w:rsidP="009D659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7B50">
            <w:rPr>
              <w:sz w:val="16"/>
              <w:szCs w:val="16"/>
            </w:rPr>
            <w:t>01/09/2021</w:t>
          </w:r>
          <w:r w:rsidRPr="0055472E">
            <w:rPr>
              <w:sz w:val="16"/>
              <w:szCs w:val="16"/>
            </w:rPr>
            <w:fldChar w:fldCharType="end"/>
          </w:r>
        </w:p>
      </w:tc>
      <w:tc>
        <w:tcPr>
          <w:tcW w:w="1017" w:type="pct"/>
          <w:gridSpan w:val="2"/>
        </w:tcPr>
        <w:p w:rsidR="009E6D19" w:rsidRPr="0055472E" w:rsidRDefault="009E6D19" w:rsidP="009D659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7B50">
            <w:rPr>
              <w:sz w:val="16"/>
              <w:szCs w:val="16"/>
            </w:rPr>
            <w:instrText>8/09/2021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7B50">
            <w:rPr>
              <w:sz w:val="16"/>
              <w:szCs w:val="16"/>
            </w:rPr>
            <w:instrText>08/09/2021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7B50">
            <w:rPr>
              <w:noProof/>
              <w:sz w:val="16"/>
              <w:szCs w:val="16"/>
            </w:rPr>
            <w:t>08/09/2021</w:t>
          </w:r>
          <w:r w:rsidRPr="0055472E">
            <w:rPr>
              <w:sz w:val="16"/>
              <w:szCs w:val="16"/>
            </w:rPr>
            <w:fldChar w:fldCharType="end"/>
          </w:r>
        </w:p>
      </w:tc>
    </w:tr>
  </w:tbl>
  <w:p w:rsidR="009E6D19" w:rsidRPr="009D659F" w:rsidRDefault="009E6D19" w:rsidP="009D65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9E6D19" w:rsidRPr="007B3B51" w:rsidTr="00E955B4">
      <w:tc>
        <w:tcPr>
          <w:tcW w:w="681" w:type="pct"/>
        </w:tcPr>
        <w:p w:rsidR="009E6D19" w:rsidRPr="007B3B51" w:rsidRDefault="009E6D19" w:rsidP="009D659F">
          <w:pPr>
            <w:rPr>
              <w:i/>
              <w:sz w:val="16"/>
              <w:szCs w:val="16"/>
            </w:rPr>
          </w:pP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6D19" w:rsidRPr="00130F37" w:rsidTr="00656374">
      <w:tc>
        <w:tcPr>
          <w:tcW w:w="895" w:type="pct"/>
          <w:gridSpan w:val="2"/>
        </w:tcPr>
        <w:p w:rsidR="009E6D19" w:rsidRPr="00130F37" w:rsidRDefault="009E6D19"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7B50">
            <w:rPr>
              <w:sz w:val="16"/>
              <w:szCs w:val="16"/>
            </w:rPr>
            <w:t>13</w:t>
          </w:r>
          <w:r w:rsidRPr="00130F37">
            <w:rPr>
              <w:sz w:val="16"/>
              <w:szCs w:val="16"/>
            </w:rPr>
            <w:fldChar w:fldCharType="end"/>
          </w:r>
        </w:p>
      </w:tc>
      <w:tc>
        <w:tcPr>
          <w:tcW w:w="3088" w:type="pct"/>
        </w:tcPr>
        <w:p w:rsidR="009E6D19" w:rsidRPr="00130F37" w:rsidRDefault="009E6D19"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7B50">
            <w:rPr>
              <w:sz w:val="16"/>
              <w:szCs w:val="16"/>
            </w:rPr>
            <w:t>01/09/2021</w:t>
          </w:r>
          <w:r w:rsidRPr="00130F37">
            <w:rPr>
              <w:sz w:val="16"/>
              <w:szCs w:val="16"/>
            </w:rPr>
            <w:fldChar w:fldCharType="end"/>
          </w:r>
        </w:p>
      </w:tc>
      <w:tc>
        <w:tcPr>
          <w:tcW w:w="1017" w:type="pct"/>
          <w:gridSpan w:val="2"/>
        </w:tcPr>
        <w:p w:rsidR="009E6D19" w:rsidRPr="00130F37" w:rsidRDefault="009E6D19"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7B50">
            <w:rPr>
              <w:sz w:val="16"/>
              <w:szCs w:val="16"/>
            </w:rPr>
            <w:instrText>8/09/2021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7B50">
            <w:rPr>
              <w:sz w:val="16"/>
              <w:szCs w:val="16"/>
            </w:rPr>
            <w:instrText>08/09/2021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7B50">
            <w:rPr>
              <w:noProof/>
              <w:sz w:val="16"/>
              <w:szCs w:val="16"/>
            </w:rPr>
            <w:t>08/09/2021</w:t>
          </w:r>
          <w:r w:rsidRPr="00130F37">
            <w:rPr>
              <w:sz w:val="16"/>
              <w:szCs w:val="16"/>
            </w:rPr>
            <w:fldChar w:fldCharType="end"/>
          </w:r>
        </w:p>
      </w:tc>
    </w:tr>
  </w:tbl>
  <w:p w:rsidR="009E6D19" w:rsidRPr="009D659F" w:rsidRDefault="009E6D19" w:rsidP="009D65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B3B51" w:rsidRDefault="009E6D19"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E6D19" w:rsidRPr="007B3B51" w:rsidTr="00E955B4">
      <w:tc>
        <w:tcPr>
          <w:tcW w:w="681" w:type="pct"/>
        </w:tcPr>
        <w:p w:rsidR="009E6D19" w:rsidRPr="007B3B51" w:rsidRDefault="009E6D19" w:rsidP="009D659F">
          <w:pPr>
            <w:rPr>
              <w:i/>
              <w:sz w:val="16"/>
              <w:szCs w:val="16"/>
            </w:rPr>
          </w:pPr>
        </w:p>
      </w:tc>
      <w:tc>
        <w:tcPr>
          <w:tcW w:w="3471" w:type="pct"/>
          <w:gridSpan w:val="3"/>
        </w:tcPr>
        <w:p w:rsidR="009E6D19" w:rsidRPr="007B3B51" w:rsidRDefault="009E6D19"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7B50">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9E6D19" w:rsidRPr="007B3B51" w:rsidRDefault="009E6D19" w:rsidP="009D659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9E6D19" w:rsidRPr="00130F37" w:rsidTr="00E955B4">
      <w:tc>
        <w:tcPr>
          <w:tcW w:w="848" w:type="pct"/>
          <w:gridSpan w:val="2"/>
        </w:tcPr>
        <w:p w:rsidR="009E6D19" w:rsidRPr="00130F37" w:rsidRDefault="009E6D19" w:rsidP="009D659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7B50">
            <w:rPr>
              <w:sz w:val="16"/>
              <w:szCs w:val="16"/>
            </w:rPr>
            <w:t>13</w:t>
          </w:r>
          <w:r w:rsidRPr="00130F37">
            <w:rPr>
              <w:sz w:val="16"/>
              <w:szCs w:val="16"/>
            </w:rPr>
            <w:fldChar w:fldCharType="end"/>
          </w:r>
        </w:p>
      </w:tc>
      <w:tc>
        <w:tcPr>
          <w:tcW w:w="3135" w:type="pct"/>
        </w:tcPr>
        <w:p w:rsidR="009E6D19" w:rsidRPr="00130F37" w:rsidRDefault="009E6D19" w:rsidP="009D659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7B50">
            <w:rPr>
              <w:sz w:val="16"/>
              <w:szCs w:val="16"/>
            </w:rPr>
            <w:t>01/09/2021</w:t>
          </w:r>
          <w:r w:rsidRPr="00130F37">
            <w:rPr>
              <w:sz w:val="16"/>
              <w:szCs w:val="16"/>
            </w:rPr>
            <w:fldChar w:fldCharType="end"/>
          </w:r>
        </w:p>
      </w:tc>
      <w:tc>
        <w:tcPr>
          <w:tcW w:w="1017" w:type="pct"/>
          <w:gridSpan w:val="2"/>
        </w:tcPr>
        <w:p w:rsidR="009E6D19" w:rsidRPr="00130F37" w:rsidRDefault="009E6D19" w:rsidP="009D659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7B50">
            <w:rPr>
              <w:sz w:val="16"/>
              <w:szCs w:val="16"/>
            </w:rPr>
            <w:instrText>8/09/2021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7B50">
            <w:rPr>
              <w:sz w:val="16"/>
              <w:szCs w:val="16"/>
            </w:rPr>
            <w:instrText>08/09/2021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7B50">
            <w:rPr>
              <w:noProof/>
              <w:sz w:val="16"/>
              <w:szCs w:val="16"/>
            </w:rPr>
            <w:t>08/09/2021</w:t>
          </w:r>
          <w:r w:rsidRPr="00130F37">
            <w:rPr>
              <w:sz w:val="16"/>
              <w:szCs w:val="16"/>
            </w:rPr>
            <w:fldChar w:fldCharType="end"/>
          </w:r>
        </w:p>
      </w:tc>
    </w:tr>
  </w:tbl>
  <w:p w:rsidR="009E6D19" w:rsidRPr="009D3181" w:rsidRDefault="009E6D19" w:rsidP="009D65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Pr="007B3B51" w:rsidRDefault="00DD7B50" w:rsidP="009D65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DD7B50" w:rsidRPr="007B3B51" w:rsidTr="00E955B4">
      <w:tc>
        <w:tcPr>
          <w:tcW w:w="681" w:type="pct"/>
        </w:tcPr>
        <w:p w:rsidR="00DD7B50" w:rsidRPr="007B3B51" w:rsidRDefault="00DD7B50" w:rsidP="009D659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rsidR="00DD7B50" w:rsidRPr="007B3B51" w:rsidRDefault="00DD7B50" w:rsidP="009D659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8B1">
            <w:rPr>
              <w:i/>
              <w:noProof/>
              <w:sz w:val="16"/>
              <w:szCs w:val="16"/>
            </w:rPr>
            <w:t>National Health (Pharmaceutical Benefits Scheme-Exempt items - Section 84AH) Determination 2017</w:t>
          </w:r>
          <w:r w:rsidRPr="007B3B51">
            <w:rPr>
              <w:i/>
              <w:sz w:val="16"/>
              <w:szCs w:val="16"/>
            </w:rPr>
            <w:fldChar w:fldCharType="end"/>
          </w:r>
        </w:p>
      </w:tc>
      <w:tc>
        <w:tcPr>
          <w:tcW w:w="848" w:type="pct"/>
        </w:tcPr>
        <w:p w:rsidR="00DD7B50" w:rsidRPr="007B3B51" w:rsidRDefault="00DD7B50" w:rsidP="009D659F">
          <w:pPr>
            <w:jc w:val="right"/>
            <w:rPr>
              <w:sz w:val="16"/>
              <w:szCs w:val="16"/>
            </w:rPr>
          </w:pPr>
        </w:p>
      </w:tc>
    </w:tr>
    <w:tr w:rsidR="00DD7B50" w:rsidRPr="0055472E" w:rsidTr="00656374">
      <w:tc>
        <w:tcPr>
          <w:tcW w:w="895" w:type="pct"/>
          <w:gridSpan w:val="2"/>
        </w:tcPr>
        <w:p w:rsidR="00DD7B50" w:rsidRPr="0055472E" w:rsidRDefault="00DD7B50" w:rsidP="009D659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3088" w:type="pct"/>
        </w:tcPr>
        <w:p w:rsidR="00DD7B50" w:rsidRPr="0055472E" w:rsidRDefault="00DD7B50" w:rsidP="009D659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01/07/2021</w:t>
          </w:r>
          <w:r w:rsidRPr="0055472E">
            <w:rPr>
              <w:sz w:val="16"/>
              <w:szCs w:val="16"/>
            </w:rPr>
            <w:fldChar w:fldCharType="end"/>
          </w:r>
        </w:p>
      </w:tc>
      <w:tc>
        <w:tcPr>
          <w:tcW w:w="1017" w:type="pct"/>
          <w:gridSpan w:val="2"/>
        </w:tcPr>
        <w:p w:rsidR="00DD7B50" w:rsidRPr="0055472E" w:rsidRDefault="00DD7B50" w:rsidP="009D659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23/07/2021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23/07/2021</w:t>
          </w:r>
          <w:r w:rsidRPr="0055472E">
            <w:rPr>
              <w:sz w:val="16"/>
              <w:szCs w:val="16"/>
            </w:rPr>
            <w:fldChar w:fldCharType="end"/>
          </w:r>
        </w:p>
      </w:tc>
    </w:tr>
  </w:tbl>
  <w:p w:rsidR="00DD7B50" w:rsidRPr="009D659F" w:rsidRDefault="00DD7B50" w:rsidP="009D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D19" w:rsidRDefault="009E6D19" w:rsidP="00715914">
      <w:pPr>
        <w:spacing w:line="240" w:lineRule="auto"/>
      </w:pPr>
      <w:r>
        <w:separator/>
      </w:r>
    </w:p>
  </w:footnote>
  <w:footnote w:type="continuationSeparator" w:id="0">
    <w:p w:rsidR="009E6D19" w:rsidRDefault="009E6D1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rsidP="000C2D28">
    <w:pPr>
      <w:pStyle w:val="Header"/>
      <w:pBdr>
        <w:bottom w:val="single" w:sz="6" w:space="1" w:color="auto"/>
      </w:pBdr>
    </w:pPr>
  </w:p>
  <w:p w:rsidR="009E6D19" w:rsidRDefault="009E6D19" w:rsidP="000C2D28">
    <w:pPr>
      <w:pStyle w:val="Header"/>
      <w:pBdr>
        <w:bottom w:val="single" w:sz="6" w:space="1" w:color="auto"/>
      </w:pBdr>
    </w:pPr>
  </w:p>
  <w:p w:rsidR="009E6D19" w:rsidRPr="001E77D2" w:rsidRDefault="009E6D19" w:rsidP="000C2D2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Pr="00D1021D" w:rsidRDefault="00DD7B50">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DD7B50" w:rsidRPr="00D1021D" w:rsidRDefault="00DD7B5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DD7B50" w:rsidRPr="00D1021D" w:rsidRDefault="00DD7B5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D7B50" w:rsidRPr="00D1021D" w:rsidRDefault="00DD7B50" w:rsidP="009D318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Pr="00D1021D" w:rsidRDefault="00DD7B5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DD7B50" w:rsidRPr="00D1021D" w:rsidRDefault="00DD7B5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DD7B50" w:rsidRPr="00D1021D" w:rsidRDefault="00DD7B5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D7B50" w:rsidRPr="00D1021D" w:rsidRDefault="00DD7B50" w:rsidP="009D318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50" w:rsidRDefault="00DD7B5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C4473E" w:rsidRDefault="009E6D19" w:rsidP="006370A9">
    <w:pPr>
      <w:rPr>
        <w:sz w:val="26"/>
        <w:szCs w:val="26"/>
      </w:rPr>
    </w:pPr>
  </w:p>
  <w:p w:rsidR="009E6D19" w:rsidRPr="00965EE7" w:rsidRDefault="009E6D19" w:rsidP="006370A9">
    <w:pPr>
      <w:rPr>
        <w:b/>
        <w:sz w:val="20"/>
      </w:rPr>
    </w:pPr>
    <w:r w:rsidRPr="00965EE7">
      <w:rPr>
        <w:b/>
        <w:sz w:val="20"/>
      </w:rPr>
      <w:t>Endnotes</w:t>
    </w:r>
  </w:p>
  <w:p w:rsidR="009E6D19" w:rsidRPr="007A1328" w:rsidRDefault="009E6D19" w:rsidP="006370A9">
    <w:pPr>
      <w:rPr>
        <w:sz w:val="20"/>
      </w:rPr>
    </w:pPr>
  </w:p>
  <w:p w:rsidR="009E6D19" w:rsidRPr="007A1328" w:rsidRDefault="009E6D19" w:rsidP="006370A9">
    <w:pPr>
      <w:rPr>
        <w:b/>
        <w:sz w:val="24"/>
      </w:rPr>
    </w:pPr>
  </w:p>
  <w:p w:rsidR="009E6D19" w:rsidRPr="00C4473E" w:rsidRDefault="009E6D19" w:rsidP="006370A9">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578B1">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C4473E" w:rsidRDefault="009E6D19" w:rsidP="006370A9">
    <w:pPr>
      <w:jc w:val="right"/>
      <w:rPr>
        <w:sz w:val="26"/>
        <w:szCs w:val="26"/>
      </w:rPr>
    </w:pPr>
  </w:p>
  <w:p w:rsidR="009E6D19" w:rsidRPr="00965EE7" w:rsidRDefault="009E6D19" w:rsidP="006370A9">
    <w:pPr>
      <w:jc w:val="right"/>
      <w:rPr>
        <w:b/>
        <w:sz w:val="20"/>
      </w:rPr>
    </w:pPr>
    <w:r w:rsidRPr="00965EE7">
      <w:rPr>
        <w:b/>
        <w:sz w:val="20"/>
      </w:rPr>
      <w:t>Endnotes</w:t>
    </w:r>
  </w:p>
  <w:p w:rsidR="009E6D19" w:rsidRPr="007A1328" w:rsidRDefault="009E6D19" w:rsidP="006370A9">
    <w:pPr>
      <w:jc w:val="right"/>
      <w:rPr>
        <w:sz w:val="20"/>
      </w:rPr>
    </w:pPr>
  </w:p>
  <w:p w:rsidR="009E6D19" w:rsidRPr="007A1328" w:rsidRDefault="009E6D19" w:rsidP="006370A9">
    <w:pPr>
      <w:jc w:val="right"/>
      <w:rPr>
        <w:b/>
        <w:sz w:val="24"/>
      </w:rPr>
    </w:pPr>
  </w:p>
  <w:p w:rsidR="009E6D19" w:rsidRPr="00C4473E" w:rsidRDefault="009E6D19" w:rsidP="006370A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578B1">
      <w:rPr>
        <w:noProof/>
        <w:szCs w:val="22"/>
      </w:rPr>
      <w:t>Endnote 1—About the endnotes</w:t>
    </w:r>
    <w:r w:rsidRPr="00C4473E">
      <w:rPr>
        <w:szCs w:val="22"/>
      </w:rPr>
      <w:fldChar w:fldCharType="end"/>
    </w:r>
  </w:p>
  <w:p w:rsidR="009E6D19" w:rsidRDefault="009E6D1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E6D19" w:rsidRDefault="009E6D1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E6D19" w:rsidRPr="007A1328" w:rsidRDefault="009E6D1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6D19" w:rsidRPr="007A1328" w:rsidRDefault="009E6D19" w:rsidP="00715914">
    <w:pPr>
      <w:rPr>
        <w:b/>
        <w:sz w:val="24"/>
      </w:rPr>
    </w:pPr>
  </w:p>
  <w:p w:rsidR="009E6D19" w:rsidRPr="007A1328" w:rsidRDefault="009E6D19"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D7B5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7B50">
      <w:rPr>
        <w:noProof/>
        <w:sz w:val="24"/>
      </w:rPr>
      <w:t>6</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A1328" w:rsidRDefault="009E6D1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E6D19" w:rsidRPr="007A1328" w:rsidRDefault="009E6D1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E6D19" w:rsidRPr="007A1328" w:rsidRDefault="009E6D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6D19" w:rsidRPr="007A1328" w:rsidRDefault="009E6D19" w:rsidP="00715914">
    <w:pPr>
      <w:jc w:val="right"/>
      <w:rPr>
        <w:b/>
        <w:sz w:val="24"/>
      </w:rPr>
    </w:pPr>
  </w:p>
  <w:p w:rsidR="009E6D19" w:rsidRPr="007A1328" w:rsidRDefault="009E6D19"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D7B5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7B50">
      <w:rPr>
        <w:noProof/>
        <w:sz w:val="24"/>
      </w:rPr>
      <w:t>6</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A1328" w:rsidRDefault="009E6D1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rsidP="000C2D28">
    <w:pPr>
      <w:pStyle w:val="Header"/>
      <w:pBdr>
        <w:bottom w:val="single" w:sz="4" w:space="1" w:color="auto"/>
      </w:pBdr>
    </w:pPr>
  </w:p>
  <w:p w:rsidR="009E6D19" w:rsidRDefault="009E6D19" w:rsidP="000C2D28">
    <w:pPr>
      <w:pStyle w:val="Header"/>
      <w:pBdr>
        <w:bottom w:val="single" w:sz="4" w:space="1" w:color="auto"/>
      </w:pBdr>
    </w:pPr>
  </w:p>
  <w:p w:rsidR="009E6D19" w:rsidRPr="001E77D2" w:rsidRDefault="009E6D19" w:rsidP="000C2D2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5F1388" w:rsidRDefault="009E6D19" w:rsidP="000C2D2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ED79B6" w:rsidRDefault="009E6D19" w:rsidP="00D17EF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ED79B6" w:rsidRDefault="009E6D19" w:rsidP="006C3D8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ED79B6" w:rsidRDefault="009E6D1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Default="009E6D19" w:rsidP="009D6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E6D19" w:rsidRDefault="009E6D19" w:rsidP="009D659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E6D19" w:rsidRPr="007A1328" w:rsidRDefault="009E6D19" w:rsidP="009D659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6D19" w:rsidRPr="007A1328" w:rsidRDefault="009E6D19" w:rsidP="009D659F">
    <w:pPr>
      <w:rPr>
        <w:b/>
        <w:sz w:val="24"/>
      </w:rPr>
    </w:pPr>
  </w:p>
  <w:p w:rsidR="009E6D19" w:rsidRPr="007A1328" w:rsidRDefault="009E6D19" w:rsidP="009D659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D7B5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7B5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A1328" w:rsidRDefault="009E6D19" w:rsidP="009D6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E6D19" w:rsidRPr="007A1328" w:rsidRDefault="009E6D19" w:rsidP="009D659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E6D19" w:rsidRPr="007A1328" w:rsidRDefault="009E6D19" w:rsidP="009D659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6D19" w:rsidRPr="007A1328" w:rsidRDefault="009E6D19" w:rsidP="009D659F">
    <w:pPr>
      <w:jc w:val="right"/>
      <w:rPr>
        <w:b/>
        <w:sz w:val="24"/>
      </w:rPr>
    </w:pPr>
  </w:p>
  <w:p w:rsidR="009E6D19" w:rsidRPr="007A1328" w:rsidRDefault="009E6D19" w:rsidP="009D659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D7B5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78B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D19" w:rsidRPr="007A1328" w:rsidRDefault="009E6D19" w:rsidP="009D6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6D7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EEA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23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888C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C63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069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80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A9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A9E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C0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A79FF"/>
    <w:multiLevelType w:val="hybridMultilevel"/>
    <w:tmpl w:val="1AA47992"/>
    <w:lvl w:ilvl="0" w:tplc="0C090001">
      <w:start w:val="1"/>
      <w:numFmt w:val="bullet"/>
      <w:lvlText w:val=""/>
      <w:lvlJc w:val="left"/>
      <w:pPr>
        <w:ind w:left="1712" w:hanging="360"/>
      </w:pPr>
      <w:rPr>
        <w:rFonts w:ascii="Symbol" w:hAnsi="Symbol" w:hint="default"/>
      </w:rPr>
    </w:lvl>
    <w:lvl w:ilvl="1" w:tplc="0C090003">
      <w:start w:val="1"/>
      <w:numFmt w:val="bullet"/>
      <w:lvlText w:val="o"/>
      <w:lvlJc w:val="left"/>
      <w:pPr>
        <w:ind w:left="2432" w:hanging="360"/>
      </w:pPr>
      <w:rPr>
        <w:rFonts w:ascii="Courier New" w:hAnsi="Courier New" w:cs="Courier New" w:hint="default"/>
      </w:rPr>
    </w:lvl>
    <w:lvl w:ilvl="2" w:tplc="0C090005">
      <w:start w:val="1"/>
      <w:numFmt w:val="bullet"/>
      <w:lvlText w:val=""/>
      <w:lvlJc w:val="left"/>
      <w:pPr>
        <w:ind w:left="3152" w:hanging="360"/>
      </w:pPr>
      <w:rPr>
        <w:rFonts w:ascii="Wingdings" w:hAnsi="Wingdings" w:hint="default"/>
      </w:rPr>
    </w:lvl>
    <w:lvl w:ilvl="3" w:tplc="0C090001">
      <w:start w:val="1"/>
      <w:numFmt w:val="bullet"/>
      <w:lvlText w:val=""/>
      <w:lvlJc w:val="left"/>
      <w:pPr>
        <w:ind w:left="3872" w:hanging="360"/>
      </w:pPr>
      <w:rPr>
        <w:rFonts w:ascii="Symbol" w:hAnsi="Symbol" w:hint="default"/>
      </w:rPr>
    </w:lvl>
    <w:lvl w:ilvl="4" w:tplc="0C090003">
      <w:start w:val="1"/>
      <w:numFmt w:val="bullet"/>
      <w:lvlText w:val="o"/>
      <w:lvlJc w:val="left"/>
      <w:pPr>
        <w:ind w:left="4592" w:hanging="360"/>
      </w:pPr>
      <w:rPr>
        <w:rFonts w:ascii="Courier New" w:hAnsi="Courier New" w:cs="Courier New" w:hint="default"/>
      </w:rPr>
    </w:lvl>
    <w:lvl w:ilvl="5" w:tplc="0C090005">
      <w:start w:val="1"/>
      <w:numFmt w:val="bullet"/>
      <w:lvlText w:val=""/>
      <w:lvlJc w:val="left"/>
      <w:pPr>
        <w:ind w:left="5312" w:hanging="360"/>
      </w:pPr>
      <w:rPr>
        <w:rFonts w:ascii="Wingdings" w:hAnsi="Wingdings" w:hint="default"/>
      </w:rPr>
    </w:lvl>
    <w:lvl w:ilvl="6" w:tplc="0C090001">
      <w:start w:val="1"/>
      <w:numFmt w:val="bullet"/>
      <w:lvlText w:val=""/>
      <w:lvlJc w:val="left"/>
      <w:pPr>
        <w:ind w:left="6032" w:hanging="360"/>
      </w:pPr>
      <w:rPr>
        <w:rFonts w:ascii="Symbol" w:hAnsi="Symbol" w:hint="default"/>
      </w:rPr>
    </w:lvl>
    <w:lvl w:ilvl="7" w:tplc="0C090003">
      <w:start w:val="1"/>
      <w:numFmt w:val="bullet"/>
      <w:lvlText w:val="o"/>
      <w:lvlJc w:val="left"/>
      <w:pPr>
        <w:ind w:left="6752" w:hanging="360"/>
      </w:pPr>
      <w:rPr>
        <w:rFonts w:ascii="Courier New" w:hAnsi="Courier New" w:cs="Courier New" w:hint="default"/>
      </w:rPr>
    </w:lvl>
    <w:lvl w:ilvl="8" w:tplc="0C090005">
      <w:start w:val="1"/>
      <w:numFmt w:val="bullet"/>
      <w:lvlText w:val=""/>
      <w:lvlJc w:val="left"/>
      <w:pPr>
        <w:ind w:left="7472"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43A150F"/>
    <w:multiLevelType w:val="hybridMultilevel"/>
    <w:tmpl w:val="13BA1864"/>
    <w:lvl w:ilvl="0" w:tplc="502E57C8">
      <w:start w:val="1"/>
      <w:numFmt w:val="decimal"/>
      <w:lvlText w:val="(%1)"/>
      <w:lvlJc w:val="left"/>
      <w:pPr>
        <w:ind w:left="1680" w:hanging="360"/>
      </w:pPr>
      <w:rPr>
        <w:i w:val="0"/>
      </w:rPr>
    </w:lvl>
    <w:lvl w:ilvl="1" w:tplc="0C090019">
      <w:start w:val="1"/>
      <w:numFmt w:val="lowerLetter"/>
      <w:lvlText w:val="%2."/>
      <w:lvlJc w:val="left"/>
      <w:pPr>
        <w:ind w:left="2400" w:hanging="360"/>
      </w:pPr>
    </w:lvl>
    <w:lvl w:ilvl="2" w:tplc="0C09001B">
      <w:start w:val="1"/>
      <w:numFmt w:val="lowerRoman"/>
      <w:lvlText w:val="%3."/>
      <w:lvlJc w:val="right"/>
      <w:pPr>
        <w:ind w:left="3120" w:hanging="180"/>
      </w:pPr>
    </w:lvl>
    <w:lvl w:ilvl="3" w:tplc="0C09000F">
      <w:start w:val="1"/>
      <w:numFmt w:val="decimal"/>
      <w:lvlText w:val="%4."/>
      <w:lvlJc w:val="left"/>
      <w:pPr>
        <w:ind w:left="3840" w:hanging="360"/>
      </w:pPr>
    </w:lvl>
    <w:lvl w:ilvl="4" w:tplc="0C090019">
      <w:start w:val="1"/>
      <w:numFmt w:val="lowerLetter"/>
      <w:lvlText w:val="%5."/>
      <w:lvlJc w:val="left"/>
      <w:pPr>
        <w:ind w:left="4560" w:hanging="360"/>
      </w:pPr>
    </w:lvl>
    <w:lvl w:ilvl="5" w:tplc="0C09001B">
      <w:start w:val="1"/>
      <w:numFmt w:val="lowerRoman"/>
      <w:lvlText w:val="%6."/>
      <w:lvlJc w:val="right"/>
      <w:pPr>
        <w:ind w:left="5280" w:hanging="180"/>
      </w:pPr>
    </w:lvl>
    <w:lvl w:ilvl="6" w:tplc="0C09000F">
      <w:start w:val="1"/>
      <w:numFmt w:val="decimal"/>
      <w:lvlText w:val="%7."/>
      <w:lvlJc w:val="left"/>
      <w:pPr>
        <w:ind w:left="6000" w:hanging="360"/>
      </w:pPr>
    </w:lvl>
    <w:lvl w:ilvl="7" w:tplc="0C090019">
      <w:start w:val="1"/>
      <w:numFmt w:val="lowerLetter"/>
      <w:lvlText w:val="%8."/>
      <w:lvlJc w:val="left"/>
      <w:pPr>
        <w:ind w:left="6720" w:hanging="360"/>
      </w:pPr>
    </w:lvl>
    <w:lvl w:ilvl="8" w:tplc="0C09001B">
      <w:start w:val="1"/>
      <w:numFmt w:val="lowerRoman"/>
      <w:lvlText w:val="%9."/>
      <w:lvlJc w:val="right"/>
      <w:pPr>
        <w:ind w:left="7440" w:hanging="18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AB"/>
    <w:rsid w:val="00007B20"/>
    <w:rsid w:val="00012176"/>
    <w:rsid w:val="000136AF"/>
    <w:rsid w:val="0001491E"/>
    <w:rsid w:val="00015AE4"/>
    <w:rsid w:val="0001672D"/>
    <w:rsid w:val="00016F12"/>
    <w:rsid w:val="00023112"/>
    <w:rsid w:val="00023745"/>
    <w:rsid w:val="00023DA1"/>
    <w:rsid w:val="00026B9F"/>
    <w:rsid w:val="00031C4C"/>
    <w:rsid w:val="00036FF6"/>
    <w:rsid w:val="00051CF8"/>
    <w:rsid w:val="0005365D"/>
    <w:rsid w:val="000578B1"/>
    <w:rsid w:val="000614BF"/>
    <w:rsid w:val="000651EA"/>
    <w:rsid w:val="0007037B"/>
    <w:rsid w:val="00071072"/>
    <w:rsid w:val="00082E95"/>
    <w:rsid w:val="000A268B"/>
    <w:rsid w:val="000A3CEB"/>
    <w:rsid w:val="000B2D80"/>
    <w:rsid w:val="000B4B61"/>
    <w:rsid w:val="000C2D28"/>
    <w:rsid w:val="000D05EF"/>
    <w:rsid w:val="000D2A32"/>
    <w:rsid w:val="000D465B"/>
    <w:rsid w:val="000E16AD"/>
    <w:rsid w:val="000E2261"/>
    <w:rsid w:val="000E7BB5"/>
    <w:rsid w:val="000F21C1"/>
    <w:rsid w:val="000F4B7E"/>
    <w:rsid w:val="000F4EDB"/>
    <w:rsid w:val="000F5BA7"/>
    <w:rsid w:val="000F6EF2"/>
    <w:rsid w:val="00101BB1"/>
    <w:rsid w:val="001068E5"/>
    <w:rsid w:val="0010745C"/>
    <w:rsid w:val="00114046"/>
    <w:rsid w:val="0012318A"/>
    <w:rsid w:val="001272BF"/>
    <w:rsid w:val="00141090"/>
    <w:rsid w:val="00142B62"/>
    <w:rsid w:val="00147183"/>
    <w:rsid w:val="00152412"/>
    <w:rsid w:val="00157632"/>
    <w:rsid w:val="00157B8B"/>
    <w:rsid w:val="001647E4"/>
    <w:rsid w:val="00166C2F"/>
    <w:rsid w:val="00170DE5"/>
    <w:rsid w:val="0017524C"/>
    <w:rsid w:val="0018056D"/>
    <w:rsid w:val="001806C5"/>
    <w:rsid w:val="001809D7"/>
    <w:rsid w:val="00180E25"/>
    <w:rsid w:val="00181FC5"/>
    <w:rsid w:val="00183D9A"/>
    <w:rsid w:val="001939E1"/>
    <w:rsid w:val="00194C3E"/>
    <w:rsid w:val="00195382"/>
    <w:rsid w:val="00196005"/>
    <w:rsid w:val="00197368"/>
    <w:rsid w:val="001A1241"/>
    <w:rsid w:val="001A48CE"/>
    <w:rsid w:val="001A5D81"/>
    <w:rsid w:val="001B1B96"/>
    <w:rsid w:val="001B7974"/>
    <w:rsid w:val="001C43C5"/>
    <w:rsid w:val="001C69C4"/>
    <w:rsid w:val="001C6A98"/>
    <w:rsid w:val="001D0028"/>
    <w:rsid w:val="001D37EF"/>
    <w:rsid w:val="001D3B03"/>
    <w:rsid w:val="001E22EF"/>
    <w:rsid w:val="001E3590"/>
    <w:rsid w:val="001E7407"/>
    <w:rsid w:val="001F5D5E"/>
    <w:rsid w:val="001F6219"/>
    <w:rsid w:val="00202FD4"/>
    <w:rsid w:val="00206C4D"/>
    <w:rsid w:val="002113FD"/>
    <w:rsid w:val="00212236"/>
    <w:rsid w:val="00213250"/>
    <w:rsid w:val="00217783"/>
    <w:rsid w:val="0022224B"/>
    <w:rsid w:val="002335AC"/>
    <w:rsid w:val="00234960"/>
    <w:rsid w:val="00234BF3"/>
    <w:rsid w:val="00236AA4"/>
    <w:rsid w:val="0024010F"/>
    <w:rsid w:val="00240749"/>
    <w:rsid w:val="00246E4C"/>
    <w:rsid w:val="00253B43"/>
    <w:rsid w:val="0025626C"/>
    <w:rsid w:val="002564A4"/>
    <w:rsid w:val="00262E7D"/>
    <w:rsid w:val="00266FB2"/>
    <w:rsid w:val="0026736C"/>
    <w:rsid w:val="00275A63"/>
    <w:rsid w:val="00276F3C"/>
    <w:rsid w:val="00281308"/>
    <w:rsid w:val="00296B48"/>
    <w:rsid w:val="00297ECB"/>
    <w:rsid w:val="002A0191"/>
    <w:rsid w:val="002A4BED"/>
    <w:rsid w:val="002A7BCF"/>
    <w:rsid w:val="002B0B63"/>
    <w:rsid w:val="002B0BFA"/>
    <w:rsid w:val="002B0C93"/>
    <w:rsid w:val="002D043A"/>
    <w:rsid w:val="002D6224"/>
    <w:rsid w:val="002E04D4"/>
    <w:rsid w:val="002E149B"/>
    <w:rsid w:val="002F0E51"/>
    <w:rsid w:val="00304F8B"/>
    <w:rsid w:val="003101B3"/>
    <w:rsid w:val="00314189"/>
    <w:rsid w:val="00320B27"/>
    <w:rsid w:val="003217A5"/>
    <w:rsid w:val="00335BC6"/>
    <w:rsid w:val="003415D3"/>
    <w:rsid w:val="00344A0D"/>
    <w:rsid w:val="00345F55"/>
    <w:rsid w:val="00346359"/>
    <w:rsid w:val="00350E4C"/>
    <w:rsid w:val="00352B0F"/>
    <w:rsid w:val="0035741A"/>
    <w:rsid w:val="00360459"/>
    <w:rsid w:val="00371193"/>
    <w:rsid w:val="0037525B"/>
    <w:rsid w:val="0037544F"/>
    <w:rsid w:val="0038615A"/>
    <w:rsid w:val="00394455"/>
    <w:rsid w:val="003967B9"/>
    <w:rsid w:val="003A28B7"/>
    <w:rsid w:val="003A5BA5"/>
    <w:rsid w:val="003B3013"/>
    <w:rsid w:val="003B3BDB"/>
    <w:rsid w:val="003C6231"/>
    <w:rsid w:val="003D0BFE"/>
    <w:rsid w:val="003D5700"/>
    <w:rsid w:val="003E341B"/>
    <w:rsid w:val="003F28F2"/>
    <w:rsid w:val="00400C22"/>
    <w:rsid w:val="004116CD"/>
    <w:rsid w:val="004171DD"/>
    <w:rsid w:val="00417EB9"/>
    <w:rsid w:val="00421ED5"/>
    <w:rsid w:val="004232E9"/>
    <w:rsid w:val="00424CA9"/>
    <w:rsid w:val="00427678"/>
    <w:rsid w:val="004302AB"/>
    <w:rsid w:val="00431E9B"/>
    <w:rsid w:val="00435141"/>
    <w:rsid w:val="004379E3"/>
    <w:rsid w:val="0044291A"/>
    <w:rsid w:val="00452A79"/>
    <w:rsid w:val="00453F01"/>
    <w:rsid w:val="00457362"/>
    <w:rsid w:val="004609F2"/>
    <w:rsid w:val="00467661"/>
    <w:rsid w:val="00472DBE"/>
    <w:rsid w:val="00480DA7"/>
    <w:rsid w:val="00492EE7"/>
    <w:rsid w:val="00496F97"/>
    <w:rsid w:val="004B48E0"/>
    <w:rsid w:val="004B4F68"/>
    <w:rsid w:val="004B763B"/>
    <w:rsid w:val="004C39E8"/>
    <w:rsid w:val="004C3ACC"/>
    <w:rsid w:val="004C4BD3"/>
    <w:rsid w:val="004D203B"/>
    <w:rsid w:val="004D3DEF"/>
    <w:rsid w:val="004D7216"/>
    <w:rsid w:val="004E03A7"/>
    <w:rsid w:val="004E370A"/>
    <w:rsid w:val="004E7BEC"/>
    <w:rsid w:val="004F679B"/>
    <w:rsid w:val="004F766C"/>
    <w:rsid w:val="00500CC6"/>
    <w:rsid w:val="00502063"/>
    <w:rsid w:val="00505D3D"/>
    <w:rsid w:val="00506AF6"/>
    <w:rsid w:val="00510347"/>
    <w:rsid w:val="005130C1"/>
    <w:rsid w:val="00516B8D"/>
    <w:rsid w:val="00520AC7"/>
    <w:rsid w:val="005312C5"/>
    <w:rsid w:val="00537FBC"/>
    <w:rsid w:val="005455E7"/>
    <w:rsid w:val="005519D8"/>
    <w:rsid w:val="00566F70"/>
    <w:rsid w:val="00575416"/>
    <w:rsid w:val="00576B38"/>
    <w:rsid w:val="00584811"/>
    <w:rsid w:val="00585784"/>
    <w:rsid w:val="005874C3"/>
    <w:rsid w:val="00591F54"/>
    <w:rsid w:val="00593AA6"/>
    <w:rsid w:val="00594161"/>
    <w:rsid w:val="00594749"/>
    <w:rsid w:val="005A6CC8"/>
    <w:rsid w:val="005A6FD1"/>
    <w:rsid w:val="005B073F"/>
    <w:rsid w:val="005B4067"/>
    <w:rsid w:val="005C0CFA"/>
    <w:rsid w:val="005C3F41"/>
    <w:rsid w:val="005D2D09"/>
    <w:rsid w:val="005D3B89"/>
    <w:rsid w:val="005F0D8A"/>
    <w:rsid w:val="005F4632"/>
    <w:rsid w:val="00600219"/>
    <w:rsid w:val="006062C2"/>
    <w:rsid w:val="00620076"/>
    <w:rsid w:val="0062053F"/>
    <w:rsid w:val="00627AC1"/>
    <w:rsid w:val="0063175E"/>
    <w:rsid w:val="006370A9"/>
    <w:rsid w:val="00640C2B"/>
    <w:rsid w:val="00640D52"/>
    <w:rsid w:val="006451CF"/>
    <w:rsid w:val="00656374"/>
    <w:rsid w:val="00667625"/>
    <w:rsid w:val="00667BF4"/>
    <w:rsid w:val="00674209"/>
    <w:rsid w:val="00677CC2"/>
    <w:rsid w:val="006873A3"/>
    <w:rsid w:val="006905DE"/>
    <w:rsid w:val="0069207B"/>
    <w:rsid w:val="006A5956"/>
    <w:rsid w:val="006A6B66"/>
    <w:rsid w:val="006B6A46"/>
    <w:rsid w:val="006B78FE"/>
    <w:rsid w:val="006C3D8F"/>
    <w:rsid w:val="006C3E0A"/>
    <w:rsid w:val="006C7A0F"/>
    <w:rsid w:val="006C7F8C"/>
    <w:rsid w:val="006D1189"/>
    <w:rsid w:val="006D1703"/>
    <w:rsid w:val="006D2A45"/>
    <w:rsid w:val="006E2776"/>
    <w:rsid w:val="006E6246"/>
    <w:rsid w:val="006F0BDA"/>
    <w:rsid w:val="006F318F"/>
    <w:rsid w:val="006F4359"/>
    <w:rsid w:val="006F65A7"/>
    <w:rsid w:val="00700B2C"/>
    <w:rsid w:val="00702248"/>
    <w:rsid w:val="00702378"/>
    <w:rsid w:val="007050A2"/>
    <w:rsid w:val="00707AF5"/>
    <w:rsid w:val="00712275"/>
    <w:rsid w:val="00713084"/>
    <w:rsid w:val="00714F20"/>
    <w:rsid w:val="0071590F"/>
    <w:rsid w:val="00715914"/>
    <w:rsid w:val="007177E0"/>
    <w:rsid w:val="007207EC"/>
    <w:rsid w:val="007220C0"/>
    <w:rsid w:val="00727105"/>
    <w:rsid w:val="007308E4"/>
    <w:rsid w:val="00731E00"/>
    <w:rsid w:val="00734686"/>
    <w:rsid w:val="00734F66"/>
    <w:rsid w:val="00735CA6"/>
    <w:rsid w:val="007418AC"/>
    <w:rsid w:val="007440B7"/>
    <w:rsid w:val="007500C8"/>
    <w:rsid w:val="00762ACA"/>
    <w:rsid w:val="007715C9"/>
    <w:rsid w:val="00772A86"/>
    <w:rsid w:val="00774EDD"/>
    <w:rsid w:val="007757EC"/>
    <w:rsid w:val="00783516"/>
    <w:rsid w:val="00790050"/>
    <w:rsid w:val="007924E1"/>
    <w:rsid w:val="00793915"/>
    <w:rsid w:val="007B640B"/>
    <w:rsid w:val="007C2253"/>
    <w:rsid w:val="007E163D"/>
    <w:rsid w:val="007E1D16"/>
    <w:rsid w:val="007E667A"/>
    <w:rsid w:val="008000E2"/>
    <w:rsid w:val="008117E9"/>
    <w:rsid w:val="008146E4"/>
    <w:rsid w:val="00821111"/>
    <w:rsid w:val="0082713D"/>
    <w:rsid w:val="00833E56"/>
    <w:rsid w:val="0083411B"/>
    <w:rsid w:val="00836CC2"/>
    <w:rsid w:val="008477E0"/>
    <w:rsid w:val="008511D9"/>
    <w:rsid w:val="008522F4"/>
    <w:rsid w:val="0085330C"/>
    <w:rsid w:val="00856A31"/>
    <w:rsid w:val="00867B37"/>
    <w:rsid w:val="008754D0"/>
    <w:rsid w:val="00882298"/>
    <w:rsid w:val="0088412D"/>
    <w:rsid w:val="00886456"/>
    <w:rsid w:val="008A46E1"/>
    <w:rsid w:val="008A4CDC"/>
    <w:rsid w:val="008B2104"/>
    <w:rsid w:val="008B2706"/>
    <w:rsid w:val="008B6EAD"/>
    <w:rsid w:val="008D0EE0"/>
    <w:rsid w:val="008F54E7"/>
    <w:rsid w:val="0090294B"/>
    <w:rsid w:val="00903422"/>
    <w:rsid w:val="00906E43"/>
    <w:rsid w:val="009268B9"/>
    <w:rsid w:val="0092797D"/>
    <w:rsid w:val="00930D0F"/>
    <w:rsid w:val="00932377"/>
    <w:rsid w:val="0093386F"/>
    <w:rsid w:val="00935B36"/>
    <w:rsid w:val="00941547"/>
    <w:rsid w:val="009469C4"/>
    <w:rsid w:val="00947D5A"/>
    <w:rsid w:val="009532A5"/>
    <w:rsid w:val="009566B3"/>
    <w:rsid w:val="0097166E"/>
    <w:rsid w:val="009717CB"/>
    <w:rsid w:val="00972D65"/>
    <w:rsid w:val="0097771D"/>
    <w:rsid w:val="00983541"/>
    <w:rsid w:val="009843DA"/>
    <w:rsid w:val="009868E9"/>
    <w:rsid w:val="009912D3"/>
    <w:rsid w:val="00992DAC"/>
    <w:rsid w:val="009938CC"/>
    <w:rsid w:val="00994859"/>
    <w:rsid w:val="009A139E"/>
    <w:rsid w:val="009A355E"/>
    <w:rsid w:val="009A796F"/>
    <w:rsid w:val="009C7309"/>
    <w:rsid w:val="009D1D2D"/>
    <w:rsid w:val="009D1D6B"/>
    <w:rsid w:val="009D3181"/>
    <w:rsid w:val="009D325F"/>
    <w:rsid w:val="009D659F"/>
    <w:rsid w:val="009E6D19"/>
    <w:rsid w:val="009F2FA9"/>
    <w:rsid w:val="009F4799"/>
    <w:rsid w:val="009F5FE1"/>
    <w:rsid w:val="00A12128"/>
    <w:rsid w:val="00A13609"/>
    <w:rsid w:val="00A203F7"/>
    <w:rsid w:val="00A22C98"/>
    <w:rsid w:val="00A231E2"/>
    <w:rsid w:val="00A2437F"/>
    <w:rsid w:val="00A329BC"/>
    <w:rsid w:val="00A37DE2"/>
    <w:rsid w:val="00A40724"/>
    <w:rsid w:val="00A41896"/>
    <w:rsid w:val="00A527C9"/>
    <w:rsid w:val="00A52DD9"/>
    <w:rsid w:val="00A623A4"/>
    <w:rsid w:val="00A64071"/>
    <w:rsid w:val="00A64912"/>
    <w:rsid w:val="00A70A74"/>
    <w:rsid w:val="00A71519"/>
    <w:rsid w:val="00A753E9"/>
    <w:rsid w:val="00A81228"/>
    <w:rsid w:val="00AA1D77"/>
    <w:rsid w:val="00AA7239"/>
    <w:rsid w:val="00AB5AB0"/>
    <w:rsid w:val="00AB67DF"/>
    <w:rsid w:val="00AD16D6"/>
    <w:rsid w:val="00AD3CBE"/>
    <w:rsid w:val="00AD5641"/>
    <w:rsid w:val="00AE71AD"/>
    <w:rsid w:val="00AE7F66"/>
    <w:rsid w:val="00AF06CF"/>
    <w:rsid w:val="00AF0C32"/>
    <w:rsid w:val="00B03B2E"/>
    <w:rsid w:val="00B07047"/>
    <w:rsid w:val="00B07CDB"/>
    <w:rsid w:val="00B07E26"/>
    <w:rsid w:val="00B16A31"/>
    <w:rsid w:val="00B17DFD"/>
    <w:rsid w:val="00B22490"/>
    <w:rsid w:val="00B2341D"/>
    <w:rsid w:val="00B261F1"/>
    <w:rsid w:val="00B308FE"/>
    <w:rsid w:val="00B33709"/>
    <w:rsid w:val="00B33B3C"/>
    <w:rsid w:val="00B3505D"/>
    <w:rsid w:val="00B4153F"/>
    <w:rsid w:val="00B504AC"/>
    <w:rsid w:val="00B63834"/>
    <w:rsid w:val="00B70D60"/>
    <w:rsid w:val="00B727D0"/>
    <w:rsid w:val="00B75849"/>
    <w:rsid w:val="00B80199"/>
    <w:rsid w:val="00B9117F"/>
    <w:rsid w:val="00B91564"/>
    <w:rsid w:val="00B95A7F"/>
    <w:rsid w:val="00BA220B"/>
    <w:rsid w:val="00BA3A57"/>
    <w:rsid w:val="00BB126F"/>
    <w:rsid w:val="00BB4E1A"/>
    <w:rsid w:val="00BB652E"/>
    <w:rsid w:val="00BB777C"/>
    <w:rsid w:val="00BC015E"/>
    <w:rsid w:val="00BC0992"/>
    <w:rsid w:val="00BC39E7"/>
    <w:rsid w:val="00BC3AE3"/>
    <w:rsid w:val="00BC4DBC"/>
    <w:rsid w:val="00BC76AC"/>
    <w:rsid w:val="00BD4FBD"/>
    <w:rsid w:val="00BE6554"/>
    <w:rsid w:val="00BE719A"/>
    <w:rsid w:val="00BE720A"/>
    <w:rsid w:val="00BF0D73"/>
    <w:rsid w:val="00BF2465"/>
    <w:rsid w:val="00BF5BBB"/>
    <w:rsid w:val="00C01331"/>
    <w:rsid w:val="00C01F92"/>
    <w:rsid w:val="00C15EBF"/>
    <w:rsid w:val="00C24710"/>
    <w:rsid w:val="00C25E02"/>
    <w:rsid w:val="00C25E7F"/>
    <w:rsid w:val="00C268D5"/>
    <w:rsid w:val="00C2746F"/>
    <w:rsid w:val="00C32242"/>
    <w:rsid w:val="00C324A0"/>
    <w:rsid w:val="00C343BC"/>
    <w:rsid w:val="00C36337"/>
    <w:rsid w:val="00C42BF8"/>
    <w:rsid w:val="00C43F1B"/>
    <w:rsid w:val="00C50043"/>
    <w:rsid w:val="00C5282E"/>
    <w:rsid w:val="00C53247"/>
    <w:rsid w:val="00C56F37"/>
    <w:rsid w:val="00C6791F"/>
    <w:rsid w:val="00C71871"/>
    <w:rsid w:val="00C71DCA"/>
    <w:rsid w:val="00C7573B"/>
    <w:rsid w:val="00C7709B"/>
    <w:rsid w:val="00C86F28"/>
    <w:rsid w:val="00C874E8"/>
    <w:rsid w:val="00C95F09"/>
    <w:rsid w:val="00CA7AB1"/>
    <w:rsid w:val="00CB2CFF"/>
    <w:rsid w:val="00CB5329"/>
    <w:rsid w:val="00CC208A"/>
    <w:rsid w:val="00CD55B5"/>
    <w:rsid w:val="00CE051D"/>
    <w:rsid w:val="00CE1A03"/>
    <w:rsid w:val="00CE2996"/>
    <w:rsid w:val="00CE3A4E"/>
    <w:rsid w:val="00CE493D"/>
    <w:rsid w:val="00CF062D"/>
    <w:rsid w:val="00CF0BB2"/>
    <w:rsid w:val="00CF3EE8"/>
    <w:rsid w:val="00D12B04"/>
    <w:rsid w:val="00D13441"/>
    <w:rsid w:val="00D150E7"/>
    <w:rsid w:val="00D17EF2"/>
    <w:rsid w:val="00D32F0A"/>
    <w:rsid w:val="00D3623E"/>
    <w:rsid w:val="00D43FF6"/>
    <w:rsid w:val="00D618EB"/>
    <w:rsid w:val="00D63833"/>
    <w:rsid w:val="00D65599"/>
    <w:rsid w:val="00D70DFB"/>
    <w:rsid w:val="00D766DF"/>
    <w:rsid w:val="00D867BA"/>
    <w:rsid w:val="00D92563"/>
    <w:rsid w:val="00D937AE"/>
    <w:rsid w:val="00DA186E"/>
    <w:rsid w:val="00DB251C"/>
    <w:rsid w:val="00DB596B"/>
    <w:rsid w:val="00DC4F88"/>
    <w:rsid w:val="00DC6F38"/>
    <w:rsid w:val="00DD7B50"/>
    <w:rsid w:val="00DE09CF"/>
    <w:rsid w:val="00DE51BF"/>
    <w:rsid w:val="00DF0F06"/>
    <w:rsid w:val="00DF3E54"/>
    <w:rsid w:val="00E02E75"/>
    <w:rsid w:val="00E05704"/>
    <w:rsid w:val="00E24149"/>
    <w:rsid w:val="00E26A19"/>
    <w:rsid w:val="00E338EF"/>
    <w:rsid w:val="00E34DB5"/>
    <w:rsid w:val="00E35F09"/>
    <w:rsid w:val="00E44430"/>
    <w:rsid w:val="00E479E9"/>
    <w:rsid w:val="00E52C0A"/>
    <w:rsid w:val="00E5759F"/>
    <w:rsid w:val="00E60FDC"/>
    <w:rsid w:val="00E6155C"/>
    <w:rsid w:val="00E6746C"/>
    <w:rsid w:val="00E700BF"/>
    <w:rsid w:val="00E72580"/>
    <w:rsid w:val="00E727B8"/>
    <w:rsid w:val="00E74DC7"/>
    <w:rsid w:val="00E75D99"/>
    <w:rsid w:val="00E8075A"/>
    <w:rsid w:val="00E8502F"/>
    <w:rsid w:val="00E924D3"/>
    <w:rsid w:val="00E932A8"/>
    <w:rsid w:val="00E94D5E"/>
    <w:rsid w:val="00E955B4"/>
    <w:rsid w:val="00E95C79"/>
    <w:rsid w:val="00EA10AC"/>
    <w:rsid w:val="00EA45BD"/>
    <w:rsid w:val="00EA509A"/>
    <w:rsid w:val="00EA7100"/>
    <w:rsid w:val="00EA7F9F"/>
    <w:rsid w:val="00EB4E0C"/>
    <w:rsid w:val="00EC3A38"/>
    <w:rsid w:val="00EC65FE"/>
    <w:rsid w:val="00ED133D"/>
    <w:rsid w:val="00ED1358"/>
    <w:rsid w:val="00ED2A7F"/>
    <w:rsid w:val="00ED2BB6"/>
    <w:rsid w:val="00ED5A44"/>
    <w:rsid w:val="00EE04E7"/>
    <w:rsid w:val="00EF1A18"/>
    <w:rsid w:val="00EF2E3A"/>
    <w:rsid w:val="00EF39DD"/>
    <w:rsid w:val="00EF66DB"/>
    <w:rsid w:val="00F01AAC"/>
    <w:rsid w:val="00F054AA"/>
    <w:rsid w:val="00F072A7"/>
    <w:rsid w:val="00F077F3"/>
    <w:rsid w:val="00F078DC"/>
    <w:rsid w:val="00F12962"/>
    <w:rsid w:val="00F13950"/>
    <w:rsid w:val="00F22885"/>
    <w:rsid w:val="00F25B22"/>
    <w:rsid w:val="00F33011"/>
    <w:rsid w:val="00F349F1"/>
    <w:rsid w:val="00F36AB4"/>
    <w:rsid w:val="00F3750E"/>
    <w:rsid w:val="00F4350D"/>
    <w:rsid w:val="00F4617D"/>
    <w:rsid w:val="00F567F7"/>
    <w:rsid w:val="00F57F74"/>
    <w:rsid w:val="00F650BD"/>
    <w:rsid w:val="00F66B10"/>
    <w:rsid w:val="00F73BD6"/>
    <w:rsid w:val="00F755D4"/>
    <w:rsid w:val="00F83989"/>
    <w:rsid w:val="00F85099"/>
    <w:rsid w:val="00F86908"/>
    <w:rsid w:val="00F87069"/>
    <w:rsid w:val="00F87C89"/>
    <w:rsid w:val="00F90108"/>
    <w:rsid w:val="00F91656"/>
    <w:rsid w:val="00F93635"/>
    <w:rsid w:val="00F9379C"/>
    <w:rsid w:val="00F9632C"/>
    <w:rsid w:val="00FA1E52"/>
    <w:rsid w:val="00FA30A3"/>
    <w:rsid w:val="00FA6439"/>
    <w:rsid w:val="00FC5480"/>
    <w:rsid w:val="00FE37E0"/>
    <w:rsid w:val="00FF3172"/>
    <w:rsid w:val="00FF621E"/>
    <w:rsid w:val="00FF63D6"/>
    <w:rsid w:val="00FF6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5E64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736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7362"/>
  </w:style>
  <w:style w:type="paragraph" w:customStyle="1" w:styleId="OPCParaBase">
    <w:name w:val="OPCParaBase"/>
    <w:link w:val="OPCParaBaseChar"/>
    <w:qFormat/>
    <w:rsid w:val="00457362"/>
    <w:pPr>
      <w:spacing w:line="260" w:lineRule="atLeast"/>
    </w:pPr>
    <w:rPr>
      <w:rFonts w:eastAsia="Times New Roman" w:cs="Times New Roman"/>
      <w:sz w:val="22"/>
      <w:lang w:eastAsia="en-AU"/>
    </w:rPr>
  </w:style>
  <w:style w:type="paragraph" w:customStyle="1" w:styleId="ShortT">
    <w:name w:val="ShortT"/>
    <w:basedOn w:val="OPCParaBase"/>
    <w:next w:val="Normal"/>
    <w:qFormat/>
    <w:rsid w:val="00457362"/>
    <w:pPr>
      <w:spacing w:line="240" w:lineRule="auto"/>
    </w:pPr>
    <w:rPr>
      <w:b/>
      <w:sz w:val="40"/>
    </w:rPr>
  </w:style>
  <w:style w:type="paragraph" w:customStyle="1" w:styleId="ActHead1">
    <w:name w:val="ActHead 1"/>
    <w:aliases w:val="c"/>
    <w:basedOn w:val="OPCParaBase"/>
    <w:next w:val="Normal"/>
    <w:qFormat/>
    <w:rsid w:val="004573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3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573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3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73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3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3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3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3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7362"/>
  </w:style>
  <w:style w:type="paragraph" w:customStyle="1" w:styleId="Blocks">
    <w:name w:val="Blocks"/>
    <w:aliases w:val="bb"/>
    <w:basedOn w:val="OPCParaBase"/>
    <w:qFormat/>
    <w:rsid w:val="00457362"/>
    <w:pPr>
      <w:spacing w:line="240" w:lineRule="auto"/>
    </w:pPr>
    <w:rPr>
      <w:sz w:val="24"/>
    </w:rPr>
  </w:style>
  <w:style w:type="paragraph" w:customStyle="1" w:styleId="BoxText">
    <w:name w:val="BoxText"/>
    <w:aliases w:val="bt"/>
    <w:basedOn w:val="OPCParaBase"/>
    <w:qFormat/>
    <w:rsid w:val="004573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362"/>
    <w:rPr>
      <w:b/>
    </w:rPr>
  </w:style>
  <w:style w:type="paragraph" w:customStyle="1" w:styleId="BoxHeadItalic">
    <w:name w:val="BoxHeadItalic"/>
    <w:aliases w:val="bhi"/>
    <w:basedOn w:val="BoxText"/>
    <w:next w:val="BoxStep"/>
    <w:qFormat/>
    <w:rsid w:val="00457362"/>
    <w:rPr>
      <w:i/>
    </w:rPr>
  </w:style>
  <w:style w:type="paragraph" w:customStyle="1" w:styleId="BoxList">
    <w:name w:val="BoxList"/>
    <w:aliases w:val="bl"/>
    <w:basedOn w:val="BoxText"/>
    <w:qFormat/>
    <w:rsid w:val="00457362"/>
    <w:pPr>
      <w:ind w:left="1559" w:hanging="425"/>
    </w:pPr>
  </w:style>
  <w:style w:type="paragraph" w:customStyle="1" w:styleId="BoxNote">
    <w:name w:val="BoxNote"/>
    <w:aliases w:val="bn"/>
    <w:basedOn w:val="BoxText"/>
    <w:qFormat/>
    <w:rsid w:val="00457362"/>
    <w:pPr>
      <w:tabs>
        <w:tab w:val="left" w:pos="1985"/>
      </w:tabs>
      <w:spacing w:before="122" w:line="198" w:lineRule="exact"/>
      <w:ind w:left="2948" w:hanging="1814"/>
    </w:pPr>
    <w:rPr>
      <w:sz w:val="18"/>
    </w:rPr>
  </w:style>
  <w:style w:type="paragraph" w:customStyle="1" w:styleId="BoxPara">
    <w:name w:val="BoxPara"/>
    <w:aliases w:val="bp"/>
    <w:basedOn w:val="BoxText"/>
    <w:qFormat/>
    <w:rsid w:val="00457362"/>
    <w:pPr>
      <w:tabs>
        <w:tab w:val="right" w:pos="2268"/>
      </w:tabs>
      <w:ind w:left="2552" w:hanging="1418"/>
    </w:pPr>
  </w:style>
  <w:style w:type="paragraph" w:customStyle="1" w:styleId="BoxStep">
    <w:name w:val="BoxStep"/>
    <w:aliases w:val="bs"/>
    <w:basedOn w:val="BoxText"/>
    <w:qFormat/>
    <w:rsid w:val="00457362"/>
    <w:pPr>
      <w:ind w:left="1985" w:hanging="851"/>
    </w:pPr>
  </w:style>
  <w:style w:type="character" w:customStyle="1" w:styleId="CharAmPartNo">
    <w:name w:val="CharAmPartNo"/>
    <w:basedOn w:val="OPCCharBase"/>
    <w:uiPriority w:val="1"/>
    <w:qFormat/>
    <w:rsid w:val="00457362"/>
  </w:style>
  <w:style w:type="character" w:customStyle="1" w:styleId="CharAmPartText">
    <w:name w:val="CharAmPartText"/>
    <w:basedOn w:val="OPCCharBase"/>
    <w:uiPriority w:val="1"/>
    <w:qFormat/>
    <w:rsid w:val="00457362"/>
  </w:style>
  <w:style w:type="character" w:customStyle="1" w:styleId="CharAmSchNo">
    <w:name w:val="CharAmSchNo"/>
    <w:basedOn w:val="OPCCharBase"/>
    <w:uiPriority w:val="1"/>
    <w:qFormat/>
    <w:rsid w:val="00457362"/>
  </w:style>
  <w:style w:type="character" w:customStyle="1" w:styleId="CharAmSchText">
    <w:name w:val="CharAmSchText"/>
    <w:basedOn w:val="OPCCharBase"/>
    <w:uiPriority w:val="1"/>
    <w:qFormat/>
    <w:rsid w:val="00457362"/>
  </w:style>
  <w:style w:type="character" w:customStyle="1" w:styleId="CharBoldItalic">
    <w:name w:val="CharBoldItalic"/>
    <w:basedOn w:val="OPCCharBase"/>
    <w:uiPriority w:val="1"/>
    <w:qFormat/>
    <w:rsid w:val="00457362"/>
    <w:rPr>
      <w:b/>
      <w:i/>
    </w:rPr>
  </w:style>
  <w:style w:type="character" w:customStyle="1" w:styleId="CharChapNo">
    <w:name w:val="CharChapNo"/>
    <w:basedOn w:val="OPCCharBase"/>
    <w:qFormat/>
    <w:rsid w:val="00457362"/>
  </w:style>
  <w:style w:type="character" w:customStyle="1" w:styleId="CharChapText">
    <w:name w:val="CharChapText"/>
    <w:basedOn w:val="OPCCharBase"/>
    <w:qFormat/>
    <w:rsid w:val="00457362"/>
  </w:style>
  <w:style w:type="character" w:customStyle="1" w:styleId="CharDivNo">
    <w:name w:val="CharDivNo"/>
    <w:basedOn w:val="OPCCharBase"/>
    <w:qFormat/>
    <w:rsid w:val="00457362"/>
  </w:style>
  <w:style w:type="character" w:customStyle="1" w:styleId="CharDivText">
    <w:name w:val="CharDivText"/>
    <w:basedOn w:val="OPCCharBase"/>
    <w:qFormat/>
    <w:rsid w:val="00457362"/>
  </w:style>
  <w:style w:type="character" w:customStyle="1" w:styleId="CharItalic">
    <w:name w:val="CharItalic"/>
    <w:basedOn w:val="OPCCharBase"/>
    <w:uiPriority w:val="1"/>
    <w:qFormat/>
    <w:rsid w:val="00457362"/>
    <w:rPr>
      <w:i/>
    </w:rPr>
  </w:style>
  <w:style w:type="character" w:customStyle="1" w:styleId="CharPartNo">
    <w:name w:val="CharPartNo"/>
    <w:basedOn w:val="OPCCharBase"/>
    <w:qFormat/>
    <w:rsid w:val="00457362"/>
  </w:style>
  <w:style w:type="character" w:customStyle="1" w:styleId="CharPartText">
    <w:name w:val="CharPartText"/>
    <w:basedOn w:val="OPCCharBase"/>
    <w:qFormat/>
    <w:rsid w:val="00457362"/>
  </w:style>
  <w:style w:type="character" w:customStyle="1" w:styleId="CharSectno">
    <w:name w:val="CharSectno"/>
    <w:basedOn w:val="OPCCharBase"/>
    <w:qFormat/>
    <w:rsid w:val="00457362"/>
  </w:style>
  <w:style w:type="character" w:customStyle="1" w:styleId="CharSubdNo">
    <w:name w:val="CharSubdNo"/>
    <w:basedOn w:val="OPCCharBase"/>
    <w:uiPriority w:val="1"/>
    <w:qFormat/>
    <w:rsid w:val="00457362"/>
  </w:style>
  <w:style w:type="character" w:customStyle="1" w:styleId="CharSubdText">
    <w:name w:val="CharSubdText"/>
    <w:basedOn w:val="OPCCharBase"/>
    <w:uiPriority w:val="1"/>
    <w:qFormat/>
    <w:rsid w:val="00457362"/>
  </w:style>
  <w:style w:type="paragraph" w:customStyle="1" w:styleId="CTA--">
    <w:name w:val="CTA --"/>
    <w:basedOn w:val="OPCParaBase"/>
    <w:next w:val="Normal"/>
    <w:rsid w:val="00457362"/>
    <w:pPr>
      <w:spacing w:before="60" w:line="240" w:lineRule="atLeast"/>
      <w:ind w:left="142" w:hanging="142"/>
    </w:pPr>
    <w:rPr>
      <w:sz w:val="20"/>
    </w:rPr>
  </w:style>
  <w:style w:type="paragraph" w:customStyle="1" w:styleId="CTA-">
    <w:name w:val="CTA -"/>
    <w:basedOn w:val="OPCParaBase"/>
    <w:rsid w:val="00457362"/>
    <w:pPr>
      <w:spacing w:before="60" w:line="240" w:lineRule="atLeast"/>
      <w:ind w:left="85" w:hanging="85"/>
    </w:pPr>
    <w:rPr>
      <w:sz w:val="20"/>
    </w:rPr>
  </w:style>
  <w:style w:type="paragraph" w:customStyle="1" w:styleId="CTA---">
    <w:name w:val="CTA ---"/>
    <w:basedOn w:val="OPCParaBase"/>
    <w:next w:val="Normal"/>
    <w:rsid w:val="00457362"/>
    <w:pPr>
      <w:spacing w:before="60" w:line="240" w:lineRule="atLeast"/>
      <w:ind w:left="198" w:hanging="198"/>
    </w:pPr>
    <w:rPr>
      <w:sz w:val="20"/>
    </w:rPr>
  </w:style>
  <w:style w:type="paragraph" w:customStyle="1" w:styleId="CTA----">
    <w:name w:val="CTA ----"/>
    <w:basedOn w:val="OPCParaBase"/>
    <w:next w:val="Normal"/>
    <w:rsid w:val="00457362"/>
    <w:pPr>
      <w:spacing w:before="60" w:line="240" w:lineRule="atLeast"/>
      <w:ind w:left="255" w:hanging="255"/>
    </w:pPr>
    <w:rPr>
      <w:sz w:val="20"/>
    </w:rPr>
  </w:style>
  <w:style w:type="paragraph" w:customStyle="1" w:styleId="CTA1a">
    <w:name w:val="CTA 1(a)"/>
    <w:basedOn w:val="OPCParaBase"/>
    <w:rsid w:val="00457362"/>
    <w:pPr>
      <w:tabs>
        <w:tab w:val="right" w:pos="414"/>
      </w:tabs>
      <w:spacing w:before="40" w:line="240" w:lineRule="atLeast"/>
      <w:ind w:left="675" w:hanging="675"/>
    </w:pPr>
    <w:rPr>
      <w:sz w:val="20"/>
    </w:rPr>
  </w:style>
  <w:style w:type="paragraph" w:customStyle="1" w:styleId="CTA1ai">
    <w:name w:val="CTA 1(a)(i)"/>
    <w:basedOn w:val="OPCParaBase"/>
    <w:rsid w:val="00457362"/>
    <w:pPr>
      <w:tabs>
        <w:tab w:val="right" w:pos="1004"/>
      </w:tabs>
      <w:spacing w:before="40" w:line="240" w:lineRule="atLeast"/>
      <w:ind w:left="1253" w:hanging="1253"/>
    </w:pPr>
    <w:rPr>
      <w:sz w:val="20"/>
    </w:rPr>
  </w:style>
  <w:style w:type="paragraph" w:customStyle="1" w:styleId="CTA2a">
    <w:name w:val="CTA 2(a)"/>
    <w:basedOn w:val="OPCParaBase"/>
    <w:rsid w:val="00457362"/>
    <w:pPr>
      <w:tabs>
        <w:tab w:val="right" w:pos="482"/>
      </w:tabs>
      <w:spacing w:before="40" w:line="240" w:lineRule="atLeast"/>
      <w:ind w:left="748" w:hanging="748"/>
    </w:pPr>
    <w:rPr>
      <w:sz w:val="20"/>
    </w:rPr>
  </w:style>
  <w:style w:type="paragraph" w:customStyle="1" w:styleId="CTA2ai">
    <w:name w:val="CTA 2(a)(i)"/>
    <w:basedOn w:val="OPCParaBase"/>
    <w:rsid w:val="00457362"/>
    <w:pPr>
      <w:tabs>
        <w:tab w:val="right" w:pos="1089"/>
      </w:tabs>
      <w:spacing w:before="40" w:line="240" w:lineRule="atLeast"/>
      <w:ind w:left="1327" w:hanging="1327"/>
    </w:pPr>
    <w:rPr>
      <w:sz w:val="20"/>
    </w:rPr>
  </w:style>
  <w:style w:type="paragraph" w:customStyle="1" w:styleId="CTA3a">
    <w:name w:val="CTA 3(a)"/>
    <w:basedOn w:val="OPCParaBase"/>
    <w:rsid w:val="00457362"/>
    <w:pPr>
      <w:tabs>
        <w:tab w:val="right" w:pos="556"/>
      </w:tabs>
      <w:spacing w:before="40" w:line="240" w:lineRule="atLeast"/>
      <w:ind w:left="805" w:hanging="805"/>
    </w:pPr>
    <w:rPr>
      <w:sz w:val="20"/>
    </w:rPr>
  </w:style>
  <w:style w:type="paragraph" w:customStyle="1" w:styleId="CTA3ai">
    <w:name w:val="CTA 3(a)(i)"/>
    <w:basedOn w:val="OPCParaBase"/>
    <w:rsid w:val="00457362"/>
    <w:pPr>
      <w:tabs>
        <w:tab w:val="right" w:pos="1140"/>
      </w:tabs>
      <w:spacing w:before="40" w:line="240" w:lineRule="atLeast"/>
      <w:ind w:left="1361" w:hanging="1361"/>
    </w:pPr>
    <w:rPr>
      <w:sz w:val="20"/>
    </w:rPr>
  </w:style>
  <w:style w:type="paragraph" w:customStyle="1" w:styleId="CTA4a">
    <w:name w:val="CTA 4(a)"/>
    <w:basedOn w:val="OPCParaBase"/>
    <w:rsid w:val="00457362"/>
    <w:pPr>
      <w:tabs>
        <w:tab w:val="right" w:pos="624"/>
      </w:tabs>
      <w:spacing w:before="40" w:line="240" w:lineRule="atLeast"/>
      <w:ind w:left="873" w:hanging="873"/>
    </w:pPr>
    <w:rPr>
      <w:sz w:val="20"/>
    </w:rPr>
  </w:style>
  <w:style w:type="paragraph" w:customStyle="1" w:styleId="CTA4ai">
    <w:name w:val="CTA 4(a)(i)"/>
    <w:basedOn w:val="OPCParaBase"/>
    <w:rsid w:val="00457362"/>
    <w:pPr>
      <w:tabs>
        <w:tab w:val="right" w:pos="1213"/>
      </w:tabs>
      <w:spacing w:before="40" w:line="240" w:lineRule="atLeast"/>
      <w:ind w:left="1452" w:hanging="1452"/>
    </w:pPr>
    <w:rPr>
      <w:sz w:val="20"/>
    </w:rPr>
  </w:style>
  <w:style w:type="paragraph" w:customStyle="1" w:styleId="CTACAPS">
    <w:name w:val="CTA CAPS"/>
    <w:basedOn w:val="OPCParaBase"/>
    <w:rsid w:val="00457362"/>
    <w:pPr>
      <w:spacing w:before="60" w:line="240" w:lineRule="atLeast"/>
    </w:pPr>
    <w:rPr>
      <w:sz w:val="20"/>
    </w:rPr>
  </w:style>
  <w:style w:type="paragraph" w:customStyle="1" w:styleId="CTAright">
    <w:name w:val="CTA right"/>
    <w:basedOn w:val="OPCParaBase"/>
    <w:rsid w:val="00457362"/>
    <w:pPr>
      <w:spacing w:before="60" w:line="240" w:lineRule="auto"/>
      <w:jc w:val="right"/>
    </w:pPr>
    <w:rPr>
      <w:sz w:val="20"/>
    </w:rPr>
  </w:style>
  <w:style w:type="paragraph" w:customStyle="1" w:styleId="subsection">
    <w:name w:val="subsection"/>
    <w:aliases w:val="ss"/>
    <w:basedOn w:val="OPCParaBase"/>
    <w:rsid w:val="00457362"/>
    <w:pPr>
      <w:tabs>
        <w:tab w:val="right" w:pos="1021"/>
      </w:tabs>
      <w:spacing w:before="180" w:line="240" w:lineRule="auto"/>
      <w:ind w:left="1134" w:hanging="1134"/>
    </w:pPr>
  </w:style>
  <w:style w:type="paragraph" w:customStyle="1" w:styleId="Definition">
    <w:name w:val="Definition"/>
    <w:aliases w:val="dd"/>
    <w:basedOn w:val="OPCParaBase"/>
    <w:rsid w:val="00457362"/>
    <w:pPr>
      <w:spacing w:before="180" w:line="240" w:lineRule="auto"/>
      <w:ind w:left="1134"/>
    </w:pPr>
  </w:style>
  <w:style w:type="paragraph" w:customStyle="1" w:styleId="EndNotespara">
    <w:name w:val="EndNotes(para)"/>
    <w:aliases w:val="eta"/>
    <w:basedOn w:val="OPCParaBase"/>
    <w:next w:val="EndNotessubpara"/>
    <w:rsid w:val="004573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3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3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362"/>
    <w:pPr>
      <w:tabs>
        <w:tab w:val="right" w:pos="1412"/>
      </w:tabs>
      <w:spacing w:before="60" w:line="240" w:lineRule="auto"/>
      <w:ind w:left="1525" w:hanging="1525"/>
    </w:pPr>
    <w:rPr>
      <w:sz w:val="20"/>
    </w:rPr>
  </w:style>
  <w:style w:type="paragraph" w:customStyle="1" w:styleId="Formula">
    <w:name w:val="Formula"/>
    <w:basedOn w:val="OPCParaBase"/>
    <w:rsid w:val="00457362"/>
    <w:pPr>
      <w:spacing w:line="240" w:lineRule="auto"/>
      <w:ind w:left="1134"/>
    </w:pPr>
    <w:rPr>
      <w:sz w:val="20"/>
    </w:rPr>
  </w:style>
  <w:style w:type="paragraph" w:styleId="Header">
    <w:name w:val="header"/>
    <w:basedOn w:val="OPCParaBase"/>
    <w:link w:val="HeaderChar"/>
    <w:unhideWhenUsed/>
    <w:rsid w:val="004573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7362"/>
    <w:rPr>
      <w:rFonts w:eastAsia="Times New Roman" w:cs="Times New Roman"/>
      <w:sz w:val="16"/>
      <w:lang w:eastAsia="en-AU"/>
    </w:rPr>
  </w:style>
  <w:style w:type="paragraph" w:customStyle="1" w:styleId="House">
    <w:name w:val="House"/>
    <w:basedOn w:val="OPCParaBase"/>
    <w:rsid w:val="00457362"/>
    <w:pPr>
      <w:spacing w:line="240" w:lineRule="auto"/>
    </w:pPr>
    <w:rPr>
      <w:sz w:val="28"/>
    </w:rPr>
  </w:style>
  <w:style w:type="paragraph" w:customStyle="1" w:styleId="Item">
    <w:name w:val="Item"/>
    <w:aliases w:val="i"/>
    <w:basedOn w:val="OPCParaBase"/>
    <w:next w:val="ItemHead"/>
    <w:rsid w:val="00457362"/>
    <w:pPr>
      <w:keepLines/>
      <w:spacing w:before="80" w:line="240" w:lineRule="auto"/>
      <w:ind w:left="709"/>
    </w:pPr>
  </w:style>
  <w:style w:type="paragraph" w:customStyle="1" w:styleId="ItemHead">
    <w:name w:val="ItemHead"/>
    <w:aliases w:val="ih"/>
    <w:basedOn w:val="OPCParaBase"/>
    <w:next w:val="Item"/>
    <w:rsid w:val="004573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7362"/>
    <w:pPr>
      <w:spacing w:line="240" w:lineRule="auto"/>
    </w:pPr>
    <w:rPr>
      <w:b/>
      <w:sz w:val="32"/>
    </w:rPr>
  </w:style>
  <w:style w:type="paragraph" w:customStyle="1" w:styleId="notedraft">
    <w:name w:val="note(draft)"/>
    <w:aliases w:val="nd"/>
    <w:basedOn w:val="OPCParaBase"/>
    <w:rsid w:val="00457362"/>
    <w:pPr>
      <w:spacing w:before="240" w:line="240" w:lineRule="auto"/>
      <w:ind w:left="284" w:hanging="284"/>
    </w:pPr>
    <w:rPr>
      <w:i/>
      <w:sz w:val="24"/>
    </w:rPr>
  </w:style>
  <w:style w:type="paragraph" w:customStyle="1" w:styleId="notemargin">
    <w:name w:val="note(margin)"/>
    <w:aliases w:val="nm"/>
    <w:basedOn w:val="OPCParaBase"/>
    <w:rsid w:val="00457362"/>
    <w:pPr>
      <w:tabs>
        <w:tab w:val="left" w:pos="709"/>
      </w:tabs>
      <w:spacing w:before="122" w:line="198" w:lineRule="exact"/>
      <w:ind w:left="709" w:hanging="709"/>
    </w:pPr>
    <w:rPr>
      <w:sz w:val="18"/>
    </w:rPr>
  </w:style>
  <w:style w:type="paragraph" w:customStyle="1" w:styleId="noteToPara">
    <w:name w:val="noteToPara"/>
    <w:aliases w:val="ntp"/>
    <w:basedOn w:val="OPCParaBase"/>
    <w:rsid w:val="00457362"/>
    <w:pPr>
      <w:spacing w:before="122" w:line="198" w:lineRule="exact"/>
      <w:ind w:left="2353" w:hanging="709"/>
    </w:pPr>
    <w:rPr>
      <w:sz w:val="18"/>
    </w:rPr>
  </w:style>
  <w:style w:type="paragraph" w:customStyle="1" w:styleId="noteParlAmend">
    <w:name w:val="note(ParlAmend)"/>
    <w:aliases w:val="npp"/>
    <w:basedOn w:val="OPCParaBase"/>
    <w:next w:val="ParlAmend"/>
    <w:rsid w:val="00457362"/>
    <w:pPr>
      <w:spacing w:line="240" w:lineRule="auto"/>
      <w:jc w:val="right"/>
    </w:pPr>
    <w:rPr>
      <w:rFonts w:ascii="Arial" w:hAnsi="Arial"/>
      <w:b/>
      <w:i/>
    </w:rPr>
  </w:style>
  <w:style w:type="paragraph" w:customStyle="1" w:styleId="Page1">
    <w:name w:val="Page1"/>
    <w:basedOn w:val="OPCParaBase"/>
    <w:rsid w:val="00457362"/>
    <w:pPr>
      <w:spacing w:before="5600" w:line="240" w:lineRule="auto"/>
    </w:pPr>
    <w:rPr>
      <w:b/>
      <w:sz w:val="32"/>
    </w:rPr>
  </w:style>
  <w:style w:type="paragraph" w:customStyle="1" w:styleId="PageBreak">
    <w:name w:val="PageBreak"/>
    <w:aliases w:val="pb"/>
    <w:basedOn w:val="OPCParaBase"/>
    <w:rsid w:val="00457362"/>
    <w:pPr>
      <w:spacing w:line="240" w:lineRule="auto"/>
    </w:pPr>
    <w:rPr>
      <w:sz w:val="20"/>
    </w:rPr>
  </w:style>
  <w:style w:type="paragraph" w:customStyle="1" w:styleId="paragraphsub">
    <w:name w:val="paragraph(sub)"/>
    <w:aliases w:val="aa"/>
    <w:basedOn w:val="OPCParaBase"/>
    <w:rsid w:val="00457362"/>
    <w:pPr>
      <w:tabs>
        <w:tab w:val="right" w:pos="1985"/>
      </w:tabs>
      <w:spacing w:before="40" w:line="240" w:lineRule="auto"/>
      <w:ind w:left="2098" w:hanging="2098"/>
    </w:pPr>
  </w:style>
  <w:style w:type="paragraph" w:customStyle="1" w:styleId="paragraphsub-sub">
    <w:name w:val="paragraph(sub-sub)"/>
    <w:aliases w:val="aaa"/>
    <w:basedOn w:val="OPCParaBase"/>
    <w:rsid w:val="00457362"/>
    <w:pPr>
      <w:tabs>
        <w:tab w:val="right" w:pos="2722"/>
      </w:tabs>
      <w:spacing w:before="40" w:line="240" w:lineRule="auto"/>
      <w:ind w:left="2835" w:hanging="2835"/>
    </w:pPr>
  </w:style>
  <w:style w:type="paragraph" w:customStyle="1" w:styleId="paragraph">
    <w:name w:val="paragraph"/>
    <w:aliases w:val="a"/>
    <w:basedOn w:val="OPCParaBase"/>
    <w:rsid w:val="00457362"/>
    <w:pPr>
      <w:tabs>
        <w:tab w:val="right" w:pos="1531"/>
      </w:tabs>
      <w:spacing w:before="40" w:line="240" w:lineRule="auto"/>
      <w:ind w:left="1644" w:hanging="1644"/>
    </w:pPr>
  </w:style>
  <w:style w:type="paragraph" w:customStyle="1" w:styleId="ParlAmend">
    <w:name w:val="ParlAmend"/>
    <w:aliases w:val="pp"/>
    <w:basedOn w:val="OPCParaBase"/>
    <w:rsid w:val="00457362"/>
    <w:pPr>
      <w:spacing w:before="240" w:line="240" w:lineRule="atLeast"/>
      <w:ind w:hanging="567"/>
    </w:pPr>
    <w:rPr>
      <w:sz w:val="24"/>
    </w:rPr>
  </w:style>
  <w:style w:type="paragraph" w:customStyle="1" w:styleId="Penalty">
    <w:name w:val="Penalty"/>
    <w:basedOn w:val="OPCParaBase"/>
    <w:rsid w:val="00457362"/>
    <w:pPr>
      <w:tabs>
        <w:tab w:val="left" w:pos="2977"/>
      </w:tabs>
      <w:spacing w:before="180" w:line="240" w:lineRule="auto"/>
      <w:ind w:left="1985" w:hanging="851"/>
    </w:pPr>
  </w:style>
  <w:style w:type="paragraph" w:customStyle="1" w:styleId="Portfolio">
    <w:name w:val="Portfolio"/>
    <w:basedOn w:val="OPCParaBase"/>
    <w:rsid w:val="00457362"/>
    <w:pPr>
      <w:spacing w:line="240" w:lineRule="auto"/>
    </w:pPr>
    <w:rPr>
      <w:i/>
      <w:sz w:val="20"/>
    </w:rPr>
  </w:style>
  <w:style w:type="paragraph" w:customStyle="1" w:styleId="Preamble">
    <w:name w:val="Preamble"/>
    <w:basedOn w:val="OPCParaBase"/>
    <w:next w:val="Normal"/>
    <w:rsid w:val="004573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362"/>
    <w:pPr>
      <w:spacing w:line="240" w:lineRule="auto"/>
    </w:pPr>
    <w:rPr>
      <w:i/>
      <w:sz w:val="20"/>
    </w:rPr>
  </w:style>
  <w:style w:type="paragraph" w:customStyle="1" w:styleId="Session">
    <w:name w:val="Session"/>
    <w:basedOn w:val="OPCParaBase"/>
    <w:rsid w:val="00457362"/>
    <w:pPr>
      <w:spacing w:line="240" w:lineRule="auto"/>
    </w:pPr>
    <w:rPr>
      <w:sz w:val="28"/>
    </w:rPr>
  </w:style>
  <w:style w:type="paragraph" w:customStyle="1" w:styleId="Sponsor">
    <w:name w:val="Sponsor"/>
    <w:basedOn w:val="OPCParaBase"/>
    <w:rsid w:val="00457362"/>
    <w:pPr>
      <w:spacing w:line="240" w:lineRule="auto"/>
    </w:pPr>
    <w:rPr>
      <w:i/>
    </w:rPr>
  </w:style>
  <w:style w:type="paragraph" w:customStyle="1" w:styleId="Subitem">
    <w:name w:val="Subitem"/>
    <w:aliases w:val="iss"/>
    <w:basedOn w:val="OPCParaBase"/>
    <w:rsid w:val="00457362"/>
    <w:pPr>
      <w:spacing w:before="180" w:line="240" w:lineRule="auto"/>
      <w:ind w:left="709" w:hanging="709"/>
    </w:pPr>
  </w:style>
  <w:style w:type="paragraph" w:customStyle="1" w:styleId="SubitemHead">
    <w:name w:val="SubitemHead"/>
    <w:aliases w:val="issh"/>
    <w:basedOn w:val="OPCParaBase"/>
    <w:rsid w:val="004573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362"/>
    <w:pPr>
      <w:spacing w:before="40" w:line="240" w:lineRule="auto"/>
      <w:ind w:left="1134"/>
    </w:pPr>
  </w:style>
  <w:style w:type="paragraph" w:customStyle="1" w:styleId="SubsectionHead">
    <w:name w:val="SubsectionHead"/>
    <w:aliases w:val="ssh"/>
    <w:basedOn w:val="OPCParaBase"/>
    <w:next w:val="subsection"/>
    <w:rsid w:val="00457362"/>
    <w:pPr>
      <w:keepNext/>
      <w:keepLines/>
      <w:spacing w:before="240" w:line="240" w:lineRule="auto"/>
      <w:ind w:left="1134"/>
    </w:pPr>
    <w:rPr>
      <w:i/>
    </w:rPr>
  </w:style>
  <w:style w:type="paragraph" w:customStyle="1" w:styleId="Tablea">
    <w:name w:val="Table(a)"/>
    <w:aliases w:val="ta"/>
    <w:basedOn w:val="OPCParaBase"/>
    <w:rsid w:val="00457362"/>
    <w:pPr>
      <w:spacing w:before="60" w:line="240" w:lineRule="auto"/>
      <w:ind w:left="284" w:hanging="284"/>
    </w:pPr>
    <w:rPr>
      <w:sz w:val="20"/>
    </w:rPr>
  </w:style>
  <w:style w:type="paragraph" w:customStyle="1" w:styleId="TableAA">
    <w:name w:val="Table(AA)"/>
    <w:aliases w:val="taaa"/>
    <w:basedOn w:val="OPCParaBase"/>
    <w:rsid w:val="004573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73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7362"/>
    <w:pPr>
      <w:spacing w:before="60" w:line="240" w:lineRule="atLeast"/>
    </w:pPr>
    <w:rPr>
      <w:sz w:val="20"/>
    </w:rPr>
  </w:style>
  <w:style w:type="paragraph" w:customStyle="1" w:styleId="TLPBoxTextnote">
    <w:name w:val="TLPBoxText(note"/>
    <w:aliases w:val="right)"/>
    <w:basedOn w:val="OPCParaBase"/>
    <w:rsid w:val="004573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3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362"/>
    <w:pPr>
      <w:spacing w:before="122" w:line="198" w:lineRule="exact"/>
      <w:ind w:left="1985" w:hanging="851"/>
      <w:jc w:val="right"/>
    </w:pPr>
    <w:rPr>
      <w:sz w:val="18"/>
    </w:rPr>
  </w:style>
  <w:style w:type="paragraph" w:customStyle="1" w:styleId="TLPTableBullet">
    <w:name w:val="TLPTableBullet"/>
    <w:aliases w:val="ttb"/>
    <w:basedOn w:val="OPCParaBase"/>
    <w:rsid w:val="00457362"/>
    <w:pPr>
      <w:spacing w:line="240" w:lineRule="exact"/>
      <w:ind w:left="284" w:hanging="284"/>
    </w:pPr>
    <w:rPr>
      <w:sz w:val="20"/>
    </w:rPr>
  </w:style>
  <w:style w:type="paragraph" w:styleId="TOC1">
    <w:name w:val="toc 1"/>
    <w:basedOn w:val="OPCParaBase"/>
    <w:next w:val="Normal"/>
    <w:uiPriority w:val="39"/>
    <w:unhideWhenUsed/>
    <w:rsid w:val="0045736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736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5736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736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5736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5736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5736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736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5736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7362"/>
    <w:pPr>
      <w:keepLines/>
      <w:spacing w:before="240" w:after="120" w:line="240" w:lineRule="auto"/>
      <w:ind w:left="794"/>
    </w:pPr>
    <w:rPr>
      <w:b/>
      <w:kern w:val="28"/>
      <w:sz w:val="20"/>
    </w:rPr>
  </w:style>
  <w:style w:type="paragraph" w:customStyle="1" w:styleId="TofSectsHeading">
    <w:name w:val="TofSects(Heading)"/>
    <w:basedOn w:val="OPCParaBase"/>
    <w:rsid w:val="00457362"/>
    <w:pPr>
      <w:spacing w:before="240" w:after="120" w:line="240" w:lineRule="auto"/>
    </w:pPr>
    <w:rPr>
      <w:b/>
      <w:sz w:val="24"/>
    </w:rPr>
  </w:style>
  <w:style w:type="paragraph" w:customStyle="1" w:styleId="TofSectsSection">
    <w:name w:val="TofSects(Section)"/>
    <w:basedOn w:val="OPCParaBase"/>
    <w:rsid w:val="00457362"/>
    <w:pPr>
      <w:keepLines/>
      <w:spacing w:before="40" w:line="240" w:lineRule="auto"/>
      <w:ind w:left="1588" w:hanging="794"/>
    </w:pPr>
    <w:rPr>
      <w:kern w:val="28"/>
      <w:sz w:val="18"/>
    </w:rPr>
  </w:style>
  <w:style w:type="paragraph" w:customStyle="1" w:styleId="TofSectsSubdiv">
    <w:name w:val="TofSects(Subdiv)"/>
    <w:basedOn w:val="OPCParaBase"/>
    <w:rsid w:val="00457362"/>
    <w:pPr>
      <w:keepLines/>
      <w:spacing w:before="80" w:line="240" w:lineRule="auto"/>
      <w:ind w:left="1588" w:hanging="794"/>
    </w:pPr>
    <w:rPr>
      <w:kern w:val="28"/>
    </w:rPr>
  </w:style>
  <w:style w:type="paragraph" w:customStyle="1" w:styleId="WRStyle">
    <w:name w:val="WR Style"/>
    <w:aliases w:val="WR"/>
    <w:basedOn w:val="OPCParaBase"/>
    <w:rsid w:val="00457362"/>
    <w:pPr>
      <w:spacing w:before="240" w:line="240" w:lineRule="auto"/>
      <w:ind w:left="284" w:hanging="284"/>
    </w:pPr>
    <w:rPr>
      <w:b/>
      <w:i/>
      <w:kern w:val="28"/>
      <w:sz w:val="24"/>
    </w:rPr>
  </w:style>
  <w:style w:type="paragraph" w:customStyle="1" w:styleId="notepara">
    <w:name w:val="note(para)"/>
    <w:aliases w:val="na"/>
    <w:basedOn w:val="OPCParaBase"/>
    <w:rsid w:val="00457362"/>
    <w:pPr>
      <w:spacing w:before="40" w:line="198" w:lineRule="exact"/>
      <w:ind w:left="2354" w:hanging="369"/>
    </w:pPr>
    <w:rPr>
      <w:sz w:val="18"/>
    </w:rPr>
  </w:style>
  <w:style w:type="paragraph" w:styleId="Footer">
    <w:name w:val="footer"/>
    <w:link w:val="FooterChar"/>
    <w:rsid w:val="004573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7362"/>
    <w:rPr>
      <w:rFonts w:eastAsia="Times New Roman" w:cs="Times New Roman"/>
      <w:sz w:val="22"/>
      <w:szCs w:val="24"/>
      <w:lang w:eastAsia="en-AU"/>
    </w:rPr>
  </w:style>
  <w:style w:type="character" w:styleId="LineNumber">
    <w:name w:val="line number"/>
    <w:basedOn w:val="OPCCharBase"/>
    <w:uiPriority w:val="99"/>
    <w:semiHidden/>
    <w:unhideWhenUsed/>
    <w:rsid w:val="00457362"/>
    <w:rPr>
      <w:sz w:val="16"/>
    </w:rPr>
  </w:style>
  <w:style w:type="table" w:customStyle="1" w:styleId="CFlag">
    <w:name w:val="CFlag"/>
    <w:basedOn w:val="TableNormal"/>
    <w:uiPriority w:val="99"/>
    <w:rsid w:val="00457362"/>
    <w:rPr>
      <w:rFonts w:eastAsia="Times New Roman" w:cs="Times New Roman"/>
      <w:lang w:eastAsia="en-AU"/>
    </w:rPr>
    <w:tblPr/>
  </w:style>
  <w:style w:type="paragraph" w:styleId="BalloonText">
    <w:name w:val="Balloon Text"/>
    <w:basedOn w:val="Normal"/>
    <w:link w:val="BalloonTextChar"/>
    <w:uiPriority w:val="99"/>
    <w:semiHidden/>
    <w:unhideWhenUsed/>
    <w:rsid w:val="00457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62"/>
    <w:rPr>
      <w:rFonts w:ascii="Tahoma" w:hAnsi="Tahoma" w:cs="Tahoma"/>
      <w:sz w:val="16"/>
      <w:szCs w:val="16"/>
    </w:rPr>
  </w:style>
  <w:style w:type="table" w:styleId="TableGrid">
    <w:name w:val="Table Grid"/>
    <w:aliases w:val="Summary box"/>
    <w:basedOn w:val="TableNormal"/>
    <w:uiPriority w:val="59"/>
    <w:rsid w:val="0045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57362"/>
    <w:rPr>
      <w:b/>
      <w:sz w:val="28"/>
      <w:szCs w:val="32"/>
    </w:rPr>
  </w:style>
  <w:style w:type="paragraph" w:customStyle="1" w:styleId="LegislationMadeUnder">
    <w:name w:val="LegislationMadeUnder"/>
    <w:basedOn w:val="OPCParaBase"/>
    <w:next w:val="Normal"/>
    <w:rsid w:val="00457362"/>
    <w:rPr>
      <w:i/>
      <w:sz w:val="32"/>
      <w:szCs w:val="32"/>
    </w:rPr>
  </w:style>
  <w:style w:type="paragraph" w:customStyle="1" w:styleId="ActHead10">
    <w:name w:val="ActHead 10"/>
    <w:aliases w:val="sp"/>
    <w:basedOn w:val="OPCParaBase"/>
    <w:next w:val="ActHead3"/>
    <w:rsid w:val="00457362"/>
    <w:pPr>
      <w:keepNext/>
      <w:spacing w:before="280" w:line="240" w:lineRule="auto"/>
      <w:outlineLvl w:val="1"/>
    </w:pPr>
    <w:rPr>
      <w:b/>
      <w:sz w:val="32"/>
      <w:szCs w:val="30"/>
    </w:rPr>
  </w:style>
  <w:style w:type="paragraph" w:customStyle="1" w:styleId="SignCoverPageEnd">
    <w:name w:val="SignCoverPageEnd"/>
    <w:basedOn w:val="OPCParaBase"/>
    <w:next w:val="Normal"/>
    <w:rsid w:val="004573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362"/>
    <w:pPr>
      <w:pBdr>
        <w:top w:val="single" w:sz="4" w:space="1" w:color="auto"/>
      </w:pBdr>
      <w:spacing w:before="360"/>
      <w:ind w:right="397"/>
      <w:jc w:val="both"/>
    </w:pPr>
  </w:style>
  <w:style w:type="paragraph" w:customStyle="1" w:styleId="NotesHeading1">
    <w:name w:val="NotesHeading 1"/>
    <w:basedOn w:val="OPCParaBase"/>
    <w:next w:val="Normal"/>
    <w:rsid w:val="00457362"/>
    <w:pPr>
      <w:outlineLvl w:val="0"/>
    </w:pPr>
    <w:rPr>
      <w:b/>
      <w:sz w:val="28"/>
      <w:szCs w:val="28"/>
    </w:rPr>
  </w:style>
  <w:style w:type="paragraph" w:customStyle="1" w:styleId="NotesHeading2">
    <w:name w:val="NotesHeading 2"/>
    <w:basedOn w:val="OPCParaBase"/>
    <w:next w:val="Normal"/>
    <w:rsid w:val="00457362"/>
    <w:rPr>
      <w:b/>
      <w:sz w:val="28"/>
      <w:szCs w:val="28"/>
    </w:rPr>
  </w:style>
  <w:style w:type="paragraph" w:customStyle="1" w:styleId="CompiledActNo">
    <w:name w:val="CompiledActNo"/>
    <w:basedOn w:val="OPCParaBase"/>
    <w:next w:val="Normal"/>
    <w:rsid w:val="00457362"/>
    <w:rPr>
      <w:b/>
      <w:sz w:val="24"/>
      <w:szCs w:val="24"/>
    </w:rPr>
  </w:style>
  <w:style w:type="paragraph" w:customStyle="1" w:styleId="ENotesText">
    <w:name w:val="ENotesText"/>
    <w:aliases w:val="Ent"/>
    <w:basedOn w:val="OPCParaBase"/>
    <w:next w:val="Normal"/>
    <w:rsid w:val="00457362"/>
    <w:pPr>
      <w:spacing w:before="120"/>
    </w:pPr>
  </w:style>
  <w:style w:type="paragraph" w:customStyle="1" w:styleId="CompiledMadeUnder">
    <w:name w:val="CompiledMadeUnder"/>
    <w:basedOn w:val="OPCParaBase"/>
    <w:next w:val="Normal"/>
    <w:rsid w:val="00457362"/>
    <w:rPr>
      <w:i/>
      <w:sz w:val="24"/>
      <w:szCs w:val="24"/>
    </w:rPr>
  </w:style>
  <w:style w:type="paragraph" w:customStyle="1" w:styleId="Paragraphsub-sub-sub">
    <w:name w:val="Paragraph(sub-sub-sub)"/>
    <w:aliases w:val="aaaa"/>
    <w:basedOn w:val="OPCParaBase"/>
    <w:rsid w:val="00457362"/>
    <w:pPr>
      <w:tabs>
        <w:tab w:val="right" w:pos="3402"/>
      </w:tabs>
      <w:spacing w:before="40" w:line="240" w:lineRule="auto"/>
      <w:ind w:left="3402" w:hanging="3402"/>
    </w:pPr>
  </w:style>
  <w:style w:type="paragraph" w:customStyle="1" w:styleId="TableTextEndNotes">
    <w:name w:val="TableTextEndNotes"/>
    <w:aliases w:val="Tten"/>
    <w:basedOn w:val="Normal"/>
    <w:rsid w:val="00457362"/>
    <w:pPr>
      <w:spacing w:before="60" w:line="240" w:lineRule="auto"/>
    </w:pPr>
    <w:rPr>
      <w:rFonts w:cs="Arial"/>
      <w:sz w:val="20"/>
      <w:szCs w:val="22"/>
    </w:rPr>
  </w:style>
  <w:style w:type="paragraph" w:customStyle="1" w:styleId="TableHeading">
    <w:name w:val="TableHeading"/>
    <w:aliases w:val="th"/>
    <w:basedOn w:val="OPCParaBase"/>
    <w:next w:val="Tabletext"/>
    <w:rsid w:val="00457362"/>
    <w:pPr>
      <w:keepNext/>
      <w:spacing w:before="60" w:line="240" w:lineRule="atLeast"/>
    </w:pPr>
    <w:rPr>
      <w:b/>
      <w:sz w:val="20"/>
    </w:rPr>
  </w:style>
  <w:style w:type="paragraph" w:customStyle="1" w:styleId="NoteToSubpara">
    <w:name w:val="NoteToSubpara"/>
    <w:aliases w:val="nts"/>
    <w:basedOn w:val="OPCParaBase"/>
    <w:rsid w:val="00457362"/>
    <w:pPr>
      <w:spacing w:before="40" w:line="198" w:lineRule="exact"/>
      <w:ind w:left="2835" w:hanging="709"/>
    </w:pPr>
    <w:rPr>
      <w:sz w:val="18"/>
    </w:rPr>
  </w:style>
  <w:style w:type="paragraph" w:customStyle="1" w:styleId="ENoteTableHeading">
    <w:name w:val="ENoteTableHeading"/>
    <w:aliases w:val="enth"/>
    <w:basedOn w:val="OPCParaBase"/>
    <w:rsid w:val="00457362"/>
    <w:pPr>
      <w:keepNext/>
      <w:spacing w:before="60" w:line="240" w:lineRule="atLeast"/>
    </w:pPr>
    <w:rPr>
      <w:rFonts w:ascii="Arial" w:hAnsi="Arial"/>
      <w:b/>
      <w:sz w:val="16"/>
    </w:rPr>
  </w:style>
  <w:style w:type="paragraph" w:customStyle="1" w:styleId="ENoteTableText">
    <w:name w:val="ENoteTableText"/>
    <w:aliases w:val="entt"/>
    <w:basedOn w:val="OPCParaBase"/>
    <w:rsid w:val="00457362"/>
    <w:pPr>
      <w:spacing w:before="60" w:line="240" w:lineRule="atLeast"/>
    </w:pPr>
    <w:rPr>
      <w:sz w:val="16"/>
    </w:rPr>
  </w:style>
  <w:style w:type="paragraph" w:customStyle="1" w:styleId="ENoteTTi">
    <w:name w:val="ENoteTTi"/>
    <w:aliases w:val="entti"/>
    <w:basedOn w:val="OPCParaBase"/>
    <w:rsid w:val="00457362"/>
    <w:pPr>
      <w:keepNext/>
      <w:spacing w:before="60" w:line="240" w:lineRule="atLeast"/>
      <w:ind w:left="170"/>
    </w:pPr>
    <w:rPr>
      <w:sz w:val="16"/>
    </w:rPr>
  </w:style>
  <w:style w:type="paragraph" w:customStyle="1" w:styleId="ENoteTTIndentHeading">
    <w:name w:val="ENoteTTIndentHeading"/>
    <w:aliases w:val="enTTHi"/>
    <w:basedOn w:val="OPCParaBase"/>
    <w:rsid w:val="0045736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57362"/>
    <w:pPr>
      <w:spacing w:before="120"/>
      <w:outlineLvl w:val="1"/>
    </w:pPr>
    <w:rPr>
      <w:b/>
      <w:sz w:val="28"/>
      <w:szCs w:val="28"/>
    </w:rPr>
  </w:style>
  <w:style w:type="paragraph" w:customStyle="1" w:styleId="ENotesHeading2">
    <w:name w:val="ENotesHeading 2"/>
    <w:aliases w:val="Enh2"/>
    <w:basedOn w:val="OPCParaBase"/>
    <w:next w:val="Normal"/>
    <w:rsid w:val="00457362"/>
    <w:pPr>
      <w:spacing w:before="120" w:after="120"/>
      <w:outlineLvl w:val="2"/>
    </w:pPr>
    <w:rPr>
      <w:b/>
      <w:sz w:val="24"/>
      <w:szCs w:val="28"/>
    </w:rPr>
  </w:style>
  <w:style w:type="paragraph" w:customStyle="1" w:styleId="MadeunderText">
    <w:name w:val="MadeunderText"/>
    <w:basedOn w:val="OPCParaBase"/>
    <w:next w:val="CompiledMadeUnder"/>
    <w:rsid w:val="00457362"/>
    <w:pPr>
      <w:spacing w:before="240"/>
    </w:pPr>
    <w:rPr>
      <w:sz w:val="24"/>
      <w:szCs w:val="24"/>
    </w:rPr>
  </w:style>
  <w:style w:type="paragraph" w:customStyle="1" w:styleId="ENotesHeading3">
    <w:name w:val="ENotesHeading 3"/>
    <w:aliases w:val="Enh3"/>
    <w:basedOn w:val="OPCParaBase"/>
    <w:next w:val="Normal"/>
    <w:rsid w:val="00457362"/>
    <w:pPr>
      <w:keepNext/>
      <w:spacing w:before="120" w:line="240" w:lineRule="auto"/>
      <w:outlineLvl w:val="4"/>
    </w:pPr>
    <w:rPr>
      <w:b/>
      <w:szCs w:val="24"/>
    </w:rPr>
  </w:style>
  <w:style w:type="paragraph" w:customStyle="1" w:styleId="SubPartCASA">
    <w:name w:val="SubPart(CASA)"/>
    <w:aliases w:val="csp"/>
    <w:basedOn w:val="OPCParaBase"/>
    <w:next w:val="ActHead3"/>
    <w:rsid w:val="00457362"/>
    <w:pPr>
      <w:keepNext/>
      <w:keepLines/>
      <w:spacing w:before="280"/>
      <w:outlineLvl w:val="1"/>
    </w:pPr>
    <w:rPr>
      <w:b/>
      <w:kern w:val="28"/>
      <w:sz w:val="32"/>
    </w:rPr>
  </w:style>
  <w:style w:type="character" w:customStyle="1" w:styleId="CharSubPartTextCASA">
    <w:name w:val="CharSubPartText(CASA)"/>
    <w:basedOn w:val="OPCCharBase"/>
    <w:uiPriority w:val="1"/>
    <w:rsid w:val="00457362"/>
  </w:style>
  <w:style w:type="character" w:customStyle="1" w:styleId="CharSubPartNoCASA">
    <w:name w:val="CharSubPartNo(CASA)"/>
    <w:basedOn w:val="OPCCharBase"/>
    <w:uiPriority w:val="1"/>
    <w:rsid w:val="00457362"/>
  </w:style>
  <w:style w:type="paragraph" w:customStyle="1" w:styleId="ENoteTTIndentHeadingSub">
    <w:name w:val="ENoteTTIndentHeadingSub"/>
    <w:aliases w:val="enTTHis"/>
    <w:basedOn w:val="OPCParaBase"/>
    <w:rsid w:val="00457362"/>
    <w:pPr>
      <w:keepNext/>
      <w:spacing w:before="60" w:line="240" w:lineRule="atLeast"/>
      <w:ind w:left="340"/>
    </w:pPr>
    <w:rPr>
      <w:b/>
      <w:sz w:val="16"/>
    </w:rPr>
  </w:style>
  <w:style w:type="paragraph" w:customStyle="1" w:styleId="ENoteTTiSub">
    <w:name w:val="ENoteTTiSub"/>
    <w:aliases w:val="enttis"/>
    <w:basedOn w:val="OPCParaBase"/>
    <w:rsid w:val="00457362"/>
    <w:pPr>
      <w:keepNext/>
      <w:spacing w:before="60" w:line="240" w:lineRule="atLeast"/>
      <w:ind w:left="340"/>
    </w:pPr>
    <w:rPr>
      <w:sz w:val="16"/>
    </w:rPr>
  </w:style>
  <w:style w:type="paragraph" w:customStyle="1" w:styleId="SubDivisionMigration">
    <w:name w:val="SubDivisionMigration"/>
    <w:aliases w:val="sdm"/>
    <w:basedOn w:val="OPCParaBase"/>
    <w:rsid w:val="004573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362"/>
    <w:pPr>
      <w:keepNext/>
      <w:keepLines/>
      <w:spacing w:before="240" w:line="240" w:lineRule="auto"/>
      <w:ind w:left="1134" w:hanging="1134"/>
    </w:pPr>
    <w:rPr>
      <w:b/>
      <w:sz w:val="28"/>
    </w:rPr>
  </w:style>
  <w:style w:type="paragraph" w:customStyle="1" w:styleId="notetext">
    <w:name w:val="note(text)"/>
    <w:aliases w:val="n"/>
    <w:basedOn w:val="OPCParaBase"/>
    <w:rsid w:val="00457362"/>
    <w:pPr>
      <w:spacing w:before="122" w:line="240" w:lineRule="auto"/>
      <w:ind w:left="1985" w:hanging="851"/>
    </w:pPr>
    <w:rPr>
      <w:sz w:val="18"/>
    </w:rPr>
  </w:style>
  <w:style w:type="paragraph" w:customStyle="1" w:styleId="FreeForm">
    <w:name w:val="FreeForm"/>
    <w:rsid w:val="00457362"/>
    <w:rPr>
      <w:rFonts w:ascii="Arial" w:hAnsi="Arial"/>
      <w:sz w:val="22"/>
    </w:rPr>
  </w:style>
  <w:style w:type="paragraph" w:styleId="Revision">
    <w:name w:val="Revision"/>
    <w:hidden/>
    <w:uiPriority w:val="99"/>
    <w:semiHidden/>
    <w:rsid w:val="00566F70"/>
    <w:rPr>
      <w:sz w:val="22"/>
    </w:rPr>
  </w:style>
  <w:style w:type="character" w:customStyle="1" w:styleId="OPCParaBaseChar">
    <w:name w:val="OPCParaBase Char"/>
    <w:basedOn w:val="DefaultParagraphFont"/>
    <w:link w:val="OPCParaBase"/>
    <w:rsid w:val="00566F70"/>
    <w:rPr>
      <w:rFonts w:eastAsia="Times New Roman" w:cs="Times New Roman"/>
      <w:sz w:val="22"/>
      <w:lang w:eastAsia="en-AU"/>
    </w:rPr>
  </w:style>
  <w:style w:type="character" w:customStyle="1" w:styleId="ActHead3Char">
    <w:name w:val="ActHead 3 Char"/>
    <w:aliases w:val="d Char"/>
    <w:basedOn w:val="OPCParaBaseChar"/>
    <w:link w:val="ActHead3"/>
    <w:rsid w:val="00566F70"/>
    <w:rPr>
      <w:rFonts w:eastAsia="Times New Roman" w:cs="Times New Roman"/>
      <w:b/>
      <w:kern w:val="28"/>
      <w:sz w:val="28"/>
      <w:lang w:eastAsia="en-AU"/>
    </w:rPr>
  </w:style>
  <w:style w:type="paragraph" w:styleId="Title">
    <w:name w:val="Title"/>
    <w:basedOn w:val="Normal"/>
    <w:next w:val="Normal"/>
    <w:link w:val="TitleChar"/>
    <w:uiPriority w:val="10"/>
    <w:qFormat/>
    <w:rsid w:val="001A12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1241"/>
    <w:rPr>
      <w:rFonts w:asciiTheme="majorHAnsi" w:eastAsiaTheme="majorEastAsia" w:hAnsiTheme="majorHAnsi" w:cstheme="majorBidi"/>
      <w:color w:val="17365D" w:themeColor="text2" w:themeShade="BF"/>
      <w:spacing w:val="5"/>
      <w:kern w:val="28"/>
      <w:sz w:val="52"/>
      <w:szCs w:val="52"/>
    </w:rPr>
  </w:style>
  <w:style w:type="paragraph" w:customStyle="1" w:styleId="SOText">
    <w:name w:val="SO Text"/>
    <w:aliases w:val="sot"/>
    <w:link w:val="SOTextChar"/>
    <w:rsid w:val="004573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7362"/>
    <w:rPr>
      <w:sz w:val="22"/>
    </w:rPr>
  </w:style>
  <w:style w:type="paragraph" w:customStyle="1" w:styleId="SOTextNote">
    <w:name w:val="SO TextNote"/>
    <w:aliases w:val="sont"/>
    <w:basedOn w:val="SOText"/>
    <w:qFormat/>
    <w:rsid w:val="00457362"/>
    <w:pPr>
      <w:spacing w:before="122" w:line="198" w:lineRule="exact"/>
      <w:ind w:left="1843" w:hanging="709"/>
    </w:pPr>
    <w:rPr>
      <w:sz w:val="18"/>
    </w:rPr>
  </w:style>
  <w:style w:type="paragraph" w:customStyle="1" w:styleId="SOPara">
    <w:name w:val="SO Para"/>
    <w:aliases w:val="soa"/>
    <w:basedOn w:val="SOText"/>
    <w:link w:val="SOParaChar"/>
    <w:qFormat/>
    <w:rsid w:val="00457362"/>
    <w:pPr>
      <w:tabs>
        <w:tab w:val="right" w:pos="1786"/>
      </w:tabs>
      <w:spacing w:before="40"/>
      <w:ind w:left="2070" w:hanging="936"/>
    </w:pPr>
  </w:style>
  <w:style w:type="character" w:customStyle="1" w:styleId="SOParaChar">
    <w:name w:val="SO Para Char"/>
    <w:aliases w:val="soa Char"/>
    <w:basedOn w:val="DefaultParagraphFont"/>
    <w:link w:val="SOPara"/>
    <w:rsid w:val="00457362"/>
    <w:rPr>
      <w:sz w:val="22"/>
    </w:rPr>
  </w:style>
  <w:style w:type="paragraph" w:customStyle="1" w:styleId="FileName">
    <w:name w:val="FileName"/>
    <w:basedOn w:val="Normal"/>
    <w:rsid w:val="00457362"/>
  </w:style>
  <w:style w:type="paragraph" w:customStyle="1" w:styleId="SOHeadBold">
    <w:name w:val="SO HeadBold"/>
    <w:aliases w:val="sohb"/>
    <w:basedOn w:val="SOText"/>
    <w:next w:val="SOText"/>
    <w:link w:val="SOHeadBoldChar"/>
    <w:qFormat/>
    <w:rsid w:val="00457362"/>
    <w:rPr>
      <w:b/>
    </w:rPr>
  </w:style>
  <w:style w:type="character" w:customStyle="1" w:styleId="SOHeadBoldChar">
    <w:name w:val="SO HeadBold Char"/>
    <w:aliases w:val="sohb Char"/>
    <w:basedOn w:val="DefaultParagraphFont"/>
    <w:link w:val="SOHeadBold"/>
    <w:rsid w:val="00457362"/>
    <w:rPr>
      <w:b/>
      <w:sz w:val="22"/>
    </w:rPr>
  </w:style>
  <w:style w:type="paragraph" w:customStyle="1" w:styleId="SOHeadItalic">
    <w:name w:val="SO HeadItalic"/>
    <w:aliases w:val="sohi"/>
    <w:basedOn w:val="SOText"/>
    <w:next w:val="SOText"/>
    <w:link w:val="SOHeadItalicChar"/>
    <w:qFormat/>
    <w:rsid w:val="00457362"/>
    <w:rPr>
      <w:i/>
    </w:rPr>
  </w:style>
  <w:style w:type="character" w:customStyle="1" w:styleId="SOHeadItalicChar">
    <w:name w:val="SO HeadItalic Char"/>
    <w:aliases w:val="sohi Char"/>
    <w:basedOn w:val="DefaultParagraphFont"/>
    <w:link w:val="SOHeadItalic"/>
    <w:rsid w:val="00457362"/>
    <w:rPr>
      <w:i/>
      <w:sz w:val="22"/>
    </w:rPr>
  </w:style>
  <w:style w:type="paragraph" w:customStyle="1" w:styleId="SOBullet">
    <w:name w:val="SO Bullet"/>
    <w:aliases w:val="sotb"/>
    <w:basedOn w:val="SOText"/>
    <w:link w:val="SOBulletChar"/>
    <w:qFormat/>
    <w:rsid w:val="00457362"/>
    <w:pPr>
      <w:ind w:left="1559" w:hanging="425"/>
    </w:pPr>
  </w:style>
  <w:style w:type="character" w:customStyle="1" w:styleId="SOBulletChar">
    <w:name w:val="SO Bullet Char"/>
    <w:aliases w:val="sotb Char"/>
    <w:basedOn w:val="DefaultParagraphFont"/>
    <w:link w:val="SOBullet"/>
    <w:rsid w:val="00457362"/>
    <w:rPr>
      <w:sz w:val="22"/>
    </w:rPr>
  </w:style>
  <w:style w:type="paragraph" w:customStyle="1" w:styleId="SOBulletNote">
    <w:name w:val="SO BulletNote"/>
    <w:aliases w:val="sonb"/>
    <w:basedOn w:val="SOTextNote"/>
    <w:link w:val="SOBulletNoteChar"/>
    <w:qFormat/>
    <w:rsid w:val="00457362"/>
    <w:pPr>
      <w:tabs>
        <w:tab w:val="left" w:pos="1560"/>
      </w:tabs>
      <w:ind w:left="2268" w:hanging="1134"/>
    </w:pPr>
  </w:style>
  <w:style w:type="character" w:customStyle="1" w:styleId="SOBulletNoteChar">
    <w:name w:val="SO BulletNote Char"/>
    <w:aliases w:val="sonb Char"/>
    <w:basedOn w:val="DefaultParagraphFont"/>
    <w:link w:val="SOBulletNote"/>
    <w:rsid w:val="00457362"/>
    <w:rPr>
      <w:sz w:val="18"/>
    </w:rPr>
  </w:style>
  <w:style w:type="paragraph" w:customStyle="1" w:styleId="EnStatement">
    <w:name w:val="EnStatement"/>
    <w:basedOn w:val="Normal"/>
    <w:rsid w:val="00457362"/>
    <w:pPr>
      <w:numPr>
        <w:numId w:val="13"/>
      </w:numPr>
    </w:pPr>
    <w:rPr>
      <w:rFonts w:eastAsia="Times New Roman" w:cs="Times New Roman"/>
      <w:lang w:eastAsia="en-AU"/>
    </w:rPr>
  </w:style>
  <w:style w:type="paragraph" w:customStyle="1" w:styleId="EnStatementHeading">
    <w:name w:val="EnStatementHeading"/>
    <w:basedOn w:val="Normal"/>
    <w:rsid w:val="00457362"/>
    <w:rPr>
      <w:rFonts w:eastAsia="Times New Roman" w:cs="Times New Roman"/>
      <w:b/>
      <w:lang w:eastAsia="en-AU"/>
    </w:rPr>
  </w:style>
  <w:style w:type="paragraph" w:customStyle="1" w:styleId="Transitional">
    <w:name w:val="Transitional"/>
    <w:aliases w:val="tr"/>
    <w:basedOn w:val="Normal"/>
    <w:next w:val="Normal"/>
    <w:rsid w:val="0045736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45942">
      <w:bodyDiv w:val="1"/>
      <w:marLeft w:val="0"/>
      <w:marRight w:val="0"/>
      <w:marTop w:val="0"/>
      <w:marBottom w:val="0"/>
      <w:divBdr>
        <w:top w:val="none" w:sz="0" w:space="0" w:color="auto"/>
        <w:left w:val="none" w:sz="0" w:space="0" w:color="auto"/>
        <w:bottom w:val="none" w:sz="0" w:space="0" w:color="auto"/>
        <w:right w:val="none" w:sz="0" w:space="0" w:color="auto"/>
      </w:divBdr>
    </w:div>
    <w:div w:id="925960226">
      <w:bodyDiv w:val="1"/>
      <w:marLeft w:val="0"/>
      <w:marRight w:val="0"/>
      <w:marTop w:val="0"/>
      <w:marBottom w:val="0"/>
      <w:divBdr>
        <w:top w:val="none" w:sz="0" w:space="0" w:color="auto"/>
        <w:left w:val="none" w:sz="0" w:space="0" w:color="auto"/>
        <w:bottom w:val="none" w:sz="0" w:space="0" w:color="auto"/>
        <w:right w:val="none" w:sz="0" w:space="0" w:color="auto"/>
      </w:divBdr>
    </w:div>
    <w:div w:id="977999313">
      <w:bodyDiv w:val="1"/>
      <w:marLeft w:val="0"/>
      <w:marRight w:val="0"/>
      <w:marTop w:val="0"/>
      <w:marBottom w:val="0"/>
      <w:divBdr>
        <w:top w:val="none" w:sz="0" w:space="0" w:color="auto"/>
        <w:left w:val="none" w:sz="0" w:space="0" w:color="auto"/>
        <w:bottom w:val="none" w:sz="0" w:space="0" w:color="auto"/>
        <w:right w:val="none" w:sz="0" w:space="0" w:color="auto"/>
      </w:divBdr>
    </w:div>
    <w:div w:id="1278413735">
      <w:bodyDiv w:val="1"/>
      <w:marLeft w:val="0"/>
      <w:marRight w:val="0"/>
      <w:marTop w:val="0"/>
      <w:marBottom w:val="0"/>
      <w:divBdr>
        <w:top w:val="none" w:sz="0" w:space="0" w:color="auto"/>
        <w:left w:val="none" w:sz="0" w:space="0" w:color="auto"/>
        <w:bottom w:val="none" w:sz="0" w:space="0" w:color="auto"/>
        <w:right w:val="none" w:sz="0" w:space="0" w:color="auto"/>
      </w:divBdr>
      <w:divsChild>
        <w:div w:id="152184910">
          <w:marLeft w:val="0"/>
          <w:marRight w:val="0"/>
          <w:marTop w:val="0"/>
          <w:marBottom w:val="0"/>
          <w:divBdr>
            <w:top w:val="none" w:sz="0" w:space="0" w:color="auto"/>
            <w:left w:val="none" w:sz="0" w:space="0" w:color="auto"/>
            <w:bottom w:val="none" w:sz="0" w:space="0" w:color="auto"/>
            <w:right w:val="none" w:sz="0" w:space="0" w:color="auto"/>
          </w:divBdr>
          <w:divsChild>
            <w:div w:id="1912735645">
              <w:marLeft w:val="0"/>
              <w:marRight w:val="0"/>
              <w:marTop w:val="0"/>
              <w:marBottom w:val="0"/>
              <w:divBdr>
                <w:top w:val="none" w:sz="0" w:space="0" w:color="auto"/>
                <w:left w:val="none" w:sz="0" w:space="0" w:color="auto"/>
                <w:bottom w:val="none" w:sz="0" w:space="0" w:color="auto"/>
                <w:right w:val="none" w:sz="0" w:space="0" w:color="auto"/>
              </w:divBdr>
              <w:divsChild>
                <w:div w:id="815802430">
                  <w:marLeft w:val="0"/>
                  <w:marRight w:val="0"/>
                  <w:marTop w:val="0"/>
                  <w:marBottom w:val="0"/>
                  <w:divBdr>
                    <w:top w:val="none" w:sz="0" w:space="0" w:color="auto"/>
                    <w:left w:val="none" w:sz="0" w:space="0" w:color="auto"/>
                    <w:bottom w:val="none" w:sz="0" w:space="0" w:color="auto"/>
                    <w:right w:val="none" w:sz="0" w:space="0" w:color="auto"/>
                  </w:divBdr>
                  <w:divsChild>
                    <w:div w:id="258411108">
                      <w:marLeft w:val="0"/>
                      <w:marRight w:val="0"/>
                      <w:marTop w:val="0"/>
                      <w:marBottom w:val="0"/>
                      <w:divBdr>
                        <w:top w:val="none" w:sz="0" w:space="0" w:color="auto"/>
                        <w:left w:val="none" w:sz="0" w:space="0" w:color="auto"/>
                        <w:bottom w:val="none" w:sz="0" w:space="0" w:color="auto"/>
                        <w:right w:val="none" w:sz="0" w:space="0" w:color="auto"/>
                      </w:divBdr>
                      <w:divsChild>
                        <w:div w:id="72241572">
                          <w:marLeft w:val="0"/>
                          <w:marRight w:val="0"/>
                          <w:marTop w:val="0"/>
                          <w:marBottom w:val="0"/>
                          <w:divBdr>
                            <w:top w:val="none" w:sz="0" w:space="0" w:color="auto"/>
                            <w:left w:val="none" w:sz="0" w:space="0" w:color="auto"/>
                            <w:bottom w:val="none" w:sz="0" w:space="0" w:color="auto"/>
                            <w:right w:val="none" w:sz="0" w:space="0" w:color="auto"/>
                          </w:divBdr>
                          <w:divsChild>
                            <w:div w:id="677537916">
                              <w:marLeft w:val="0"/>
                              <w:marRight w:val="0"/>
                              <w:marTop w:val="0"/>
                              <w:marBottom w:val="0"/>
                              <w:divBdr>
                                <w:top w:val="none" w:sz="0" w:space="0" w:color="auto"/>
                                <w:left w:val="none" w:sz="0" w:space="0" w:color="auto"/>
                                <w:bottom w:val="none" w:sz="0" w:space="0" w:color="auto"/>
                                <w:right w:val="none" w:sz="0" w:space="0" w:color="auto"/>
                              </w:divBdr>
                              <w:divsChild>
                                <w:div w:id="213468576">
                                  <w:marLeft w:val="0"/>
                                  <w:marRight w:val="0"/>
                                  <w:marTop w:val="0"/>
                                  <w:marBottom w:val="0"/>
                                  <w:divBdr>
                                    <w:top w:val="none" w:sz="0" w:space="0" w:color="auto"/>
                                    <w:left w:val="none" w:sz="0" w:space="0" w:color="auto"/>
                                    <w:bottom w:val="none" w:sz="0" w:space="0" w:color="auto"/>
                                    <w:right w:val="none" w:sz="0" w:space="0" w:color="auto"/>
                                  </w:divBdr>
                                  <w:divsChild>
                                    <w:div w:id="1200776620">
                                      <w:marLeft w:val="0"/>
                                      <w:marRight w:val="0"/>
                                      <w:marTop w:val="0"/>
                                      <w:marBottom w:val="0"/>
                                      <w:divBdr>
                                        <w:top w:val="none" w:sz="0" w:space="0" w:color="auto"/>
                                        <w:left w:val="none" w:sz="0" w:space="0" w:color="auto"/>
                                        <w:bottom w:val="none" w:sz="0" w:space="0" w:color="auto"/>
                                        <w:right w:val="none" w:sz="0" w:space="0" w:color="auto"/>
                                      </w:divBdr>
                                      <w:divsChild>
                                        <w:div w:id="1275284694">
                                          <w:marLeft w:val="0"/>
                                          <w:marRight w:val="0"/>
                                          <w:marTop w:val="0"/>
                                          <w:marBottom w:val="0"/>
                                          <w:divBdr>
                                            <w:top w:val="none" w:sz="0" w:space="0" w:color="auto"/>
                                            <w:left w:val="none" w:sz="0" w:space="0" w:color="auto"/>
                                            <w:bottom w:val="none" w:sz="0" w:space="0" w:color="auto"/>
                                            <w:right w:val="none" w:sz="0" w:space="0" w:color="auto"/>
                                          </w:divBdr>
                                          <w:divsChild>
                                            <w:div w:id="479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674089">
      <w:bodyDiv w:val="1"/>
      <w:marLeft w:val="0"/>
      <w:marRight w:val="0"/>
      <w:marTop w:val="0"/>
      <w:marBottom w:val="0"/>
      <w:divBdr>
        <w:top w:val="none" w:sz="0" w:space="0" w:color="auto"/>
        <w:left w:val="none" w:sz="0" w:space="0" w:color="auto"/>
        <w:bottom w:val="none" w:sz="0" w:space="0" w:color="auto"/>
        <w:right w:val="none" w:sz="0" w:space="0" w:color="auto"/>
      </w:divBdr>
      <w:divsChild>
        <w:div w:id="1895042441">
          <w:marLeft w:val="0"/>
          <w:marRight w:val="0"/>
          <w:marTop w:val="0"/>
          <w:marBottom w:val="0"/>
          <w:divBdr>
            <w:top w:val="none" w:sz="0" w:space="0" w:color="auto"/>
            <w:left w:val="none" w:sz="0" w:space="0" w:color="auto"/>
            <w:bottom w:val="none" w:sz="0" w:space="0" w:color="auto"/>
            <w:right w:val="none" w:sz="0" w:space="0" w:color="auto"/>
          </w:divBdr>
          <w:divsChild>
            <w:div w:id="408964044">
              <w:marLeft w:val="0"/>
              <w:marRight w:val="0"/>
              <w:marTop w:val="0"/>
              <w:marBottom w:val="0"/>
              <w:divBdr>
                <w:top w:val="none" w:sz="0" w:space="0" w:color="auto"/>
                <w:left w:val="none" w:sz="0" w:space="0" w:color="auto"/>
                <w:bottom w:val="none" w:sz="0" w:space="0" w:color="auto"/>
                <w:right w:val="none" w:sz="0" w:space="0" w:color="auto"/>
              </w:divBdr>
              <w:divsChild>
                <w:div w:id="964694294">
                  <w:marLeft w:val="0"/>
                  <w:marRight w:val="0"/>
                  <w:marTop w:val="0"/>
                  <w:marBottom w:val="0"/>
                  <w:divBdr>
                    <w:top w:val="none" w:sz="0" w:space="0" w:color="auto"/>
                    <w:left w:val="none" w:sz="0" w:space="0" w:color="auto"/>
                    <w:bottom w:val="none" w:sz="0" w:space="0" w:color="auto"/>
                    <w:right w:val="none" w:sz="0" w:space="0" w:color="auto"/>
                  </w:divBdr>
                  <w:divsChild>
                    <w:div w:id="544875774">
                      <w:marLeft w:val="0"/>
                      <w:marRight w:val="0"/>
                      <w:marTop w:val="0"/>
                      <w:marBottom w:val="0"/>
                      <w:divBdr>
                        <w:top w:val="none" w:sz="0" w:space="0" w:color="auto"/>
                        <w:left w:val="none" w:sz="0" w:space="0" w:color="auto"/>
                        <w:bottom w:val="none" w:sz="0" w:space="0" w:color="auto"/>
                        <w:right w:val="none" w:sz="0" w:space="0" w:color="auto"/>
                      </w:divBdr>
                      <w:divsChild>
                        <w:div w:id="904220315">
                          <w:marLeft w:val="0"/>
                          <w:marRight w:val="0"/>
                          <w:marTop w:val="0"/>
                          <w:marBottom w:val="0"/>
                          <w:divBdr>
                            <w:top w:val="none" w:sz="0" w:space="0" w:color="auto"/>
                            <w:left w:val="none" w:sz="0" w:space="0" w:color="auto"/>
                            <w:bottom w:val="none" w:sz="0" w:space="0" w:color="auto"/>
                            <w:right w:val="none" w:sz="0" w:space="0" w:color="auto"/>
                          </w:divBdr>
                          <w:divsChild>
                            <w:div w:id="1345521072">
                              <w:marLeft w:val="0"/>
                              <w:marRight w:val="0"/>
                              <w:marTop w:val="0"/>
                              <w:marBottom w:val="0"/>
                              <w:divBdr>
                                <w:top w:val="none" w:sz="0" w:space="0" w:color="auto"/>
                                <w:left w:val="none" w:sz="0" w:space="0" w:color="auto"/>
                                <w:bottom w:val="none" w:sz="0" w:space="0" w:color="auto"/>
                                <w:right w:val="none" w:sz="0" w:space="0" w:color="auto"/>
                              </w:divBdr>
                              <w:divsChild>
                                <w:div w:id="1084910034">
                                  <w:marLeft w:val="0"/>
                                  <w:marRight w:val="0"/>
                                  <w:marTop w:val="0"/>
                                  <w:marBottom w:val="0"/>
                                  <w:divBdr>
                                    <w:top w:val="none" w:sz="0" w:space="0" w:color="auto"/>
                                    <w:left w:val="none" w:sz="0" w:space="0" w:color="auto"/>
                                    <w:bottom w:val="none" w:sz="0" w:space="0" w:color="auto"/>
                                    <w:right w:val="none" w:sz="0" w:space="0" w:color="auto"/>
                                  </w:divBdr>
                                  <w:divsChild>
                                    <w:div w:id="3422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3249-4742-431E-908A-9B2181A6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2025</Words>
  <Characters>10811</Characters>
  <Application>Microsoft Office Word</Application>
  <DocSecurity>0</DocSecurity>
  <PresentationFormat/>
  <Lines>491</Lines>
  <Paragraphs>328</Paragraphs>
  <ScaleCrop>false</ScaleCrop>
  <HeadingPairs>
    <vt:vector size="2" baseType="variant">
      <vt:variant>
        <vt:lpstr>Title</vt:lpstr>
      </vt:variant>
      <vt:variant>
        <vt:i4>1</vt:i4>
      </vt:variant>
    </vt:vector>
  </HeadingPairs>
  <TitlesOfParts>
    <vt:vector size="1" baseType="lpstr">
      <vt:lpstr>National Health (Pharmaceutical Benefits Scheme-Exempt items - Section 84AH) Determination 2017</vt:lpstr>
    </vt:vector>
  </TitlesOfParts>
  <Manager/>
  <Company/>
  <LinksUpToDate>false</LinksUpToDate>
  <CharactersWithSpaces>12545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 Scheme-Exempt items - Section 84AH) Determination 2017</dc:title>
  <dc:subject/>
  <dc:creator/>
  <cp:keywords/>
  <dc:description/>
  <cp:lastModifiedBy/>
  <cp:revision>1</cp:revision>
  <cp:lastPrinted>2013-09-27T02:32:00Z</cp:lastPrinted>
  <dcterms:created xsi:type="dcterms:W3CDTF">2021-09-08T03:58:00Z</dcterms:created>
  <dcterms:modified xsi:type="dcterms:W3CDTF">2021-09-08T03:58:00Z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(Pharmaceutical Benefits Scheme-Exempt items - Section 84AH) Determination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DoNotAsk">
    <vt:lpwstr>0</vt:lpwstr>
  </property>
  <property fmtid="{D5CDD505-2E9C-101B-9397-08002B2CF9AE}" pid="17" name="ChangedTitle">
    <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13</vt:lpwstr>
  </property>
  <property fmtid="{D5CDD505-2E9C-101B-9397-08002B2CF9AE}" pid="21" name="StartDate">
    <vt:filetime>2021-08-31T14:00:00Z</vt:filetime>
  </property>
  <property fmtid="{D5CDD505-2E9C-101B-9397-08002B2CF9AE}" pid="22" name="PreparedDate">
    <vt:filetime>2016-04-03T14:00:00Z</vt:filetime>
  </property>
  <property fmtid="{D5CDD505-2E9C-101B-9397-08002B2CF9AE}" pid="23" name="RegisteredDate">
    <vt:filetime>2021-09-07T14:00:00Z</vt:filetime>
  </property>
  <property fmtid="{D5CDD505-2E9C-101B-9397-08002B2CF9AE}" pid="24" name="IncludesUpTo">
    <vt:lpwstr>F2021L01222</vt:lpwstr>
  </property>
</Properties>
</file>