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E1EB0" w14:textId="77777777" w:rsidR="00715914" w:rsidRPr="00F61B09" w:rsidRDefault="00F703C7" w:rsidP="009460DC">
      <w:pPr>
        <w:spacing w:after="600"/>
        <w:rPr>
          <w:sz w:val="28"/>
        </w:rPr>
      </w:pPr>
      <w:r>
        <w:rPr>
          <w:noProof/>
          <w:lang w:eastAsia="en-AU"/>
        </w:rPr>
        <w:drawing>
          <wp:inline distT="0" distB="0" distL="0" distR="0" wp14:anchorId="390E1F1B" wp14:editId="390E1F1C">
            <wp:extent cx="5269230" cy="744220"/>
            <wp:effectExtent l="0" t="0" r="7620" b="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9230" cy="744220"/>
                    </a:xfrm>
                    <a:prstGeom prst="rect">
                      <a:avLst/>
                    </a:prstGeom>
                    <a:noFill/>
                    <a:ln>
                      <a:noFill/>
                    </a:ln>
                  </pic:spPr>
                </pic:pic>
              </a:graphicData>
            </a:graphic>
          </wp:inline>
        </w:drawing>
      </w:r>
    </w:p>
    <w:p w14:paraId="390E1EB1" w14:textId="01E84A16" w:rsidR="00243EC0" w:rsidRPr="00243EC0" w:rsidRDefault="00447DB4" w:rsidP="00EF17CD">
      <w:pPr>
        <w:pStyle w:val="LI-Title"/>
        <w:pBdr>
          <w:bottom w:val="single" w:sz="4" w:space="0" w:color="auto"/>
        </w:pBdr>
      </w:pPr>
      <w:r w:rsidRPr="00F61B09">
        <w:t>A</w:t>
      </w:r>
      <w:r w:rsidR="00327DDF">
        <w:t xml:space="preserve">SIC </w:t>
      </w:r>
      <w:r w:rsidR="00327DDF" w:rsidRPr="005D3D41">
        <w:t>Corpo</w:t>
      </w:r>
      <w:r w:rsidR="00327DDF" w:rsidRPr="005759DA">
        <w:t xml:space="preserve">rations </w:t>
      </w:r>
      <w:r w:rsidR="00C11452" w:rsidRPr="005759DA">
        <w:t>(</w:t>
      </w:r>
      <w:r w:rsidR="0004290C" w:rsidRPr="005759DA">
        <w:t xml:space="preserve">Wholesale </w:t>
      </w:r>
      <w:r w:rsidR="0017745C" w:rsidRPr="005759DA">
        <w:t>E</w:t>
      </w:r>
      <w:r w:rsidR="0004290C" w:rsidRPr="005759DA">
        <w:t xml:space="preserve">quity </w:t>
      </w:r>
      <w:r w:rsidR="0017745C" w:rsidRPr="005759DA">
        <w:t>S</w:t>
      </w:r>
      <w:r w:rsidR="0004290C" w:rsidRPr="005759DA">
        <w:t xml:space="preserve">cheme </w:t>
      </w:r>
      <w:r w:rsidR="0017745C" w:rsidRPr="005759DA">
        <w:t>T</w:t>
      </w:r>
      <w:r w:rsidR="0004290C" w:rsidRPr="005759DA">
        <w:t>rustees</w:t>
      </w:r>
      <w:r w:rsidR="00C11452" w:rsidRPr="005759DA">
        <w:t>)</w:t>
      </w:r>
      <w:r w:rsidR="00C11452">
        <w:t xml:space="preserve"> Instrument </w:t>
      </w:r>
      <w:r w:rsidR="00633628">
        <w:t>2017</w:t>
      </w:r>
      <w:r w:rsidR="00CE6D42" w:rsidRPr="00C725EF">
        <w:t>/</w:t>
      </w:r>
      <w:r w:rsidR="002522A9">
        <w:t>849</w:t>
      </w:r>
    </w:p>
    <w:p w14:paraId="20893E4C" w14:textId="4333A8BB" w:rsidR="00817A20" w:rsidRDefault="00F171A1" w:rsidP="00817A20">
      <w:pPr>
        <w:pStyle w:val="LI-Fronttext"/>
        <w:rPr>
          <w:sz w:val="24"/>
          <w:szCs w:val="24"/>
        </w:rPr>
      </w:pPr>
      <w:r w:rsidRPr="00BB5C17">
        <w:rPr>
          <w:sz w:val="24"/>
          <w:szCs w:val="24"/>
        </w:rPr>
        <w:t xml:space="preserve">I, </w:t>
      </w:r>
      <w:r w:rsidR="00C725EF">
        <w:rPr>
          <w:sz w:val="24"/>
          <w:szCs w:val="24"/>
        </w:rPr>
        <w:t>Anthony Graham</w:t>
      </w:r>
      <w:r w:rsidR="00C0544A" w:rsidRPr="00BB5C17">
        <w:rPr>
          <w:sz w:val="24"/>
          <w:szCs w:val="24"/>
        </w:rPr>
        <w:t>, delegate of the Australian Securities and Investments Commission</w:t>
      </w:r>
      <w:r w:rsidRPr="00BB5C17">
        <w:rPr>
          <w:sz w:val="24"/>
          <w:szCs w:val="24"/>
        </w:rPr>
        <w:t xml:space="preserve">, make the following </w:t>
      </w:r>
      <w:r w:rsidR="008C0F29" w:rsidRPr="00BB5C17">
        <w:rPr>
          <w:sz w:val="24"/>
          <w:szCs w:val="24"/>
        </w:rPr>
        <w:t>legislative instrument</w:t>
      </w:r>
      <w:r w:rsidRPr="00BB5C17">
        <w:rPr>
          <w:sz w:val="24"/>
          <w:szCs w:val="24"/>
        </w:rPr>
        <w:t>.</w:t>
      </w:r>
    </w:p>
    <w:p w14:paraId="16D34CBD" w14:textId="77777777" w:rsidR="00817A20" w:rsidRPr="00817A20" w:rsidRDefault="00817A20" w:rsidP="00817A20">
      <w:pPr>
        <w:rPr>
          <w:lang w:eastAsia="en-AU"/>
        </w:rPr>
      </w:pPr>
    </w:p>
    <w:p w14:paraId="390E1EB4" w14:textId="792BC32C" w:rsidR="006554FF" w:rsidRDefault="00F171A1" w:rsidP="00005446">
      <w:pPr>
        <w:pStyle w:val="LI-Fronttext"/>
        <w:rPr>
          <w:sz w:val="24"/>
          <w:szCs w:val="24"/>
        </w:rPr>
      </w:pPr>
      <w:r w:rsidRPr="00817A20">
        <w:rPr>
          <w:sz w:val="24"/>
          <w:szCs w:val="24"/>
        </w:rPr>
        <w:t>Date</w:t>
      </w:r>
      <w:r w:rsidRPr="00817A20">
        <w:rPr>
          <w:sz w:val="24"/>
          <w:szCs w:val="24"/>
        </w:rPr>
        <w:tab/>
      </w:r>
      <w:bookmarkStart w:id="0" w:name="BKCheck15B_1"/>
      <w:bookmarkEnd w:id="0"/>
      <w:r w:rsidR="00817A20">
        <w:rPr>
          <w:sz w:val="24"/>
          <w:szCs w:val="24"/>
        </w:rPr>
        <w:t xml:space="preserve">21 September </w:t>
      </w:r>
      <w:r w:rsidR="00CE6D42" w:rsidRPr="00817A20">
        <w:rPr>
          <w:sz w:val="24"/>
          <w:szCs w:val="24"/>
        </w:rPr>
        <w:t>201</w:t>
      </w:r>
      <w:r w:rsidR="003F0971" w:rsidRPr="00817A20">
        <w:rPr>
          <w:sz w:val="24"/>
          <w:szCs w:val="24"/>
        </w:rPr>
        <w:t>7</w:t>
      </w:r>
    </w:p>
    <w:p w14:paraId="28E1CABF" w14:textId="77777777" w:rsidR="00817A20" w:rsidRDefault="00817A20" w:rsidP="00817A20">
      <w:pPr>
        <w:rPr>
          <w:lang w:eastAsia="en-AU"/>
        </w:rPr>
      </w:pPr>
    </w:p>
    <w:p w14:paraId="1EEB5B42" w14:textId="77777777" w:rsidR="00817A20" w:rsidRDefault="00817A20" w:rsidP="00817A20">
      <w:pPr>
        <w:rPr>
          <w:lang w:eastAsia="en-AU"/>
        </w:rPr>
      </w:pPr>
    </w:p>
    <w:p w14:paraId="71F876B2" w14:textId="77777777" w:rsidR="00817A20" w:rsidRDefault="00817A20" w:rsidP="00817A20">
      <w:pPr>
        <w:rPr>
          <w:lang w:eastAsia="en-AU"/>
        </w:rPr>
      </w:pPr>
    </w:p>
    <w:p w14:paraId="42BFC671" w14:textId="77777777" w:rsidR="00817A20" w:rsidRPr="00817A20" w:rsidRDefault="00817A20" w:rsidP="00817A20">
      <w:pPr>
        <w:rPr>
          <w:lang w:eastAsia="en-AU"/>
        </w:rPr>
      </w:pPr>
    </w:p>
    <w:p w14:paraId="390E1EB6" w14:textId="324EAC6A" w:rsidR="00F171A1" w:rsidRPr="00BB5C17" w:rsidRDefault="00C725EF" w:rsidP="00465DC1">
      <w:pPr>
        <w:pStyle w:val="LI-Fronttext"/>
        <w:pBdr>
          <w:bottom w:val="single" w:sz="4" w:space="1" w:color="auto"/>
        </w:pBdr>
        <w:rPr>
          <w:sz w:val="24"/>
          <w:szCs w:val="24"/>
        </w:rPr>
      </w:pPr>
      <w:r>
        <w:rPr>
          <w:sz w:val="24"/>
          <w:szCs w:val="24"/>
        </w:rPr>
        <w:t>Anthony Graham</w:t>
      </w:r>
    </w:p>
    <w:p w14:paraId="390E1EB7" w14:textId="77777777" w:rsidR="00715914" w:rsidRPr="00F61B09" w:rsidRDefault="00715914" w:rsidP="00715914">
      <w:pPr>
        <w:pStyle w:val="Header"/>
        <w:tabs>
          <w:tab w:val="clear" w:pos="4150"/>
          <w:tab w:val="clear" w:pos="8307"/>
        </w:tabs>
      </w:pPr>
    </w:p>
    <w:p w14:paraId="390E1EB8" w14:textId="77777777" w:rsidR="00715914" w:rsidRPr="00F61B09" w:rsidRDefault="00715914" w:rsidP="00715914">
      <w:pPr>
        <w:sectPr w:rsidR="00715914" w:rsidRPr="00F61B09" w:rsidSect="008945E0">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titlePg/>
          <w:docGrid w:linePitch="360"/>
        </w:sectPr>
      </w:pPr>
    </w:p>
    <w:p w14:paraId="390E1EB9" w14:textId="77777777" w:rsidR="00F67BCA" w:rsidRPr="00F61B09" w:rsidRDefault="00715914" w:rsidP="00E2168B">
      <w:pPr>
        <w:spacing w:before="280" w:after="240"/>
        <w:rPr>
          <w:sz w:val="36"/>
        </w:rPr>
      </w:pPr>
      <w:r w:rsidRPr="006E5320">
        <w:rPr>
          <w:b/>
          <w:sz w:val="32"/>
          <w:szCs w:val="32"/>
        </w:rPr>
        <w:lastRenderedPageBreak/>
        <w:t>Contents</w:t>
      </w:r>
    </w:p>
    <w:bookmarkStart w:id="1" w:name="BKCheck15B_2"/>
    <w:bookmarkEnd w:id="1"/>
    <w:p w14:paraId="60020EA6" w14:textId="77777777" w:rsidR="00596E8A" w:rsidRDefault="00015719">
      <w:pPr>
        <w:pStyle w:val="TOC1"/>
        <w:rPr>
          <w:rFonts w:asciiTheme="minorHAnsi" w:eastAsiaTheme="minorEastAsia" w:hAnsiTheme="minorHAnsi" w:cstheme="minorBidi"/>
          <w:b w:val="0"/>
          <w:noProof/>
          <w:kern w:val="0"/>
          <w:sz w:val="22"/>
          <w:szCs w:val="22"/>
        </w:rPr>
      </w:pPr>
      <w:r>
        <w:rPr>
          <w:sz w:val="28"/>
        </w:rPr>
        <w:fldChar w:fldCharType="begin"/>
      </w:r>
      <w:r>
        <w:rPr>
          <w:sz w:val="28"/>
        </w:rPr>
        <w:instrText xml:space="preserve"> TOC \h \z \t "LI - Heading 1,1,LI - Heading 2,2" </w:instrText>
      </w:r>
      <w:r>
        <w:rPr>
          <w:sz w:val="28"/>
        </w:rPr>
        <w:fldChar w:fldCharType="separate"/>
      </w:r>
      <w:hyperlink w:anchor="_Toc493761002" w:history="1">
        <w:r w:rsidR="00596E8A" w:rsidRPr="00DF66C9">
          <w:rPr>
            <w:rStyle w:val="Hyperlink"/>
            <w:noProof/>
          </w:rPr>
          <w:t>Part 1—Preliminary</w:t>
        </w:r>
        <w:r w:rsidR="00596E8A">
          <w:rPr>
            <w:noProof/>
            <w:webHidden/>
          </w:rPr>
          <w:tab/>
        </w:r>
        <w:r w:rsidR="00596E8A">
          <w:rPr>
            <w:noProof/>
            <w:webHidden/>
          </w:rPr>
          <w:fldChar w:fldCharType="begin"/>
        </w:r>
        <w:r w:rsidR="00596E8A">
          <w:rPr>
            <w:noProof/>
            <w:webHidden/>
          </w:rPr>
          <w:instrText xml:space="preserve"> PAGEREF _Toc493761002 \h </w:instrText>
        </w:r>
        <w:r w:rsidR="00596E8A">
          <w:rPr>
            <w:noProof/>
            <w:webHidden/>
          </w:rPr>
        </w:r>
        <w:r w:rsidR="00596E8A">
          <w:rPr>
            <w:noProof/>
            <w:webHidden/>
          </w:rPr>
          <w:fldChar w:fldCharType="separate"/>
        </w:r>
        <w:r w:rsidR="00596E8A">
          <w:rPr>
            <w:noProof/>
            <w:webHidden/>
          </w:rPr>
          <w:t>3</w:t>
        </w:r>
        <w:r w:rsidR="00596E8A">
          <w:rPr>
            <w:noProof/>
            <w:webHidden/>
          </w:rPr>
          <w:fldChar w:fldCharType="end"/>
        </w:r>
      </w:hyperlink>
    </w:p>
    <w:p w14:paraId="49F8E7D2" w14:textId="77777777" w:rsidR="00596E8A" w:rsidRDefault="00596E8A">
      <w:pPr>
        <w:pStyle w:val="TOC2"/>
        <w:tabs>
          <w:tab w:val="left" w:pos="1474"/>
        </w:tabs>
        <w:rPr>
          <w:rFonts w:asciiTheme="minorHAnsi" w:eastAsiaTheme="minorEastAsia" w:hAnsiTheme="minorHAnsi" w:cstheme="minorBidi"/>
          <w:noProof/>
          <w:kern w:val="0"/>
          <w:sz w:val="22"/>
          <w:szCs w:val="22"/>
        </w:rPr>
      </w:pPr>
      <w:hyperlink w:anchor="_Toc493761003" w:history="1">
        <w:r w:rsidRPr="00DF66C9">
          <w:rPr>
            <w:rStyle w:val="Hyperlink"/>
            <w:noProof/>
          </w:rPr>
          <w:t>1</w:t>
        </w:r>
        <w:r>
          <w:rPr>
            <w:rFonts w:asciiTheme="minorHAnsi" w:eastAsiaTheme="minorEastAsia" w:hAnsiTheme="minorHAnsi" w:cstheme="minorBidi"/>
            <w:noProof/>
            <w:kern w:val="0"/>
            <w:sz w:val="22"/>
            <w:szCs w:val="22"/>
          </w:rPr>
          <w:tab/>
        </w:r>
        <w:r w:rsidRPr="00DF66C9">
          <w:rPr>
            <w:rStyle w:val="Hyperlink"/>
            <w:noProof/>
          </w:rPr>
          <w:t>Name of legislative instrument</w:t>
        </w:r>
        <w:r>
          <w:rPr>
            <w:noProof/>
            <w:webHidden/>
          </w:rPr>
          <w:tab/>
        </w:r>
        <w:r>
          <w:rPr>
            <w:noProof/>
            <w:webHidden/>
          </w:rPr>
          <w:fldChar w:fldCharType="begin"/>
        </w:r>
        <w:r>
          <w:rPr>
            <w:noProof/>
            <w:webHidden/>
          </w:rPr>
          <w:instrText xml:space="preserve"> PAGEREF _Toc493761003 \h </w:instrText>
        </w:r>
        <w:r>
          <w:rPr>
            <w:noProof/>
            <w:webHidden/>
          </w:rPr>
        </w:r>
        <w:r>
          <w:rPr>
            <w:noProof/>
            <w:webHidden/>
          </w:rPr>
          <w:fldChar w:fldCharType="separate"/>
        </w:r>
        <w:r>
          <w:rPr>
            <w:noProof/>
            <w:webHidden/>
          </w:rPr>
          <w:t>3</w:t>
        </w:r>
        <w:r>
          <w:rPr>
            <w:noProof/>
            <w:webHidden/>
          </w:rPr>
          <w:fldChar w:fldCharType="end"/>
        </w:r>
      </w:hyperlink>
    </w:p>
    <w:p w14:paraId="6CE2443E" w14:textId="77777777" w:rsidR="00596E8A" w:rsidRDefault="00596E8A">
      <w:pPr>
        <w:pStyle w:val="TOC2"/>
        <w:tabs>
          <w:tab w:val="left" w:pos="1474"/>
        </w:tabs>
        <w:rPr>
          <w:rFonts w:asciiTheme="minorHAnsi" w:eastAsiaTheme="minorEastAsia" w:hAnsiTheme="minorHAnsi" w:cstheme="minorBidi"/>
          <w:noProof/>
          <w:kern w:val="0"/>
          <w:sz w:val="22"/>
          <w:szCs w:val="22"/>
        </w:rPr>
      </w:pPr>
      <w:hyperlink w:anchor="_Toc493761004" w:history="1">
        <w:r w:rsidRPr="00DF66C9">
          <w:rPr>
            <w:rStyle w:val="Hyperlink"/>
            <w:noProof/>
          </w:rPr>
          <w:t>2</w:t>
        </w:r>
        <w:r>
          <w:rPr>
            <w:rFonts w:asciiTheme="minorHAnsi" w:eastAsiaTheme="minorEastAsia" w:hAnsiTheme="minorHAnsi" w:cstheme="minorBidi"/>
            <w:noProof/>
            <w:kern w:val="0"/>
            <w:sz w:val="22"/>
            <w:szCs w:val="22"/>
          </w:rPr>
          <w:tab/>
        </w:r>
        <w:r w:rsidRPr="00DF66C9">
          <w:rPr>
            <w:rStyle w:val="Hyperlink"/>
            <w:noProof/>
          </w:rPr>
          <w:t>Commencement</w:t>
        </w:r>
        <w:r>
          <w:rPr>
            <w:noProof/>
            <w:webHidden/>
          </w:rPr>
          <w:tab/>
        </w:r>
        <w:r>
          <w:rPr>
            <w:noProof/>
            <w:webHidden/>
          </w:rPr>
          <w:fldChar w:fldCharType="begin"/>
        </w:r>
        <w:r>
          <w:rPr>
            <w:noProof/>
            <w:webHidden/>
          </w:rPr>
          <w:instrText xml:space="preserve"> PAGEREF _Toc493761004 \h </w:instrText>
        </w:r>
        <w:r>
          <w:rPr>
            <w:noProof/>
            <w:webHidden/>
          </w:rPr>
        </w:r>
        <w:r>
          <w:rPr>
            <w:noProof/>
            <w:webHidden/>
          </w:rPr>
          <w:fldChar w:fldCharType="separate"/>
        </w:r>
        <w:r>
          <w:rPr>
            <w:noProof/>
            <w:webHidden/>
          </w:rPr>
          <w:t>3</w:t>
        </w:r>
        <w:r>
          <w:rPr>
            <w:noProof/>
            <w:webHidden/>
          </w:rPr>
          <w:fldChar w:fldCharType="end"/>
        </w:r>
      </w:hyperlink>
    </w:p>
    <w:p w14:paraId="3F610060" w14:textId="77777777" w:rsidR="00596E8A" w:rsidRDefault="00596E8A">
      <w:pPr>
        <w:pStyle w:val="TOC2"/>
        <w:tabs>
          <w:tab w:val="left" w:pos="1474"/>
        </w:tabs>
        <w:rPr>
          <w:rFonts w:asciiTheme="minorHAnsi" w:eastAsiaTheme="minorEastAsia" w:hAnsiTheme="minorHAnsi" w:cstheme="minorBidi"/>
          <w:noProof/>
          <w:kern w:val="0"/>
          <w:sz w:val="22"/>
          <w:szCs w:val="22"/>
        </w:rPr>
      </w:pPr>
      <w:hyperlink w:anchor="_Toc493761005" w:history="1">
        <w:r w:rsidRPr="00DF66C9">
          <w:rPr>
            <w:rStyle w:val="Hyperlink"/>
            <w:noProof/>
          </w:rPr>
          <w:t>3</w:t>
        </w:r>
        <w:r>
          <w:rPr>
            <w:rFonts w:asciiTheme="minorHAnsi" w:eastAsiaTheme="minorEastAsia" w:hAnsiTheme="minorHAnsi" w:cstheme="minorBidi"/>
            <w:noProof/>
            <w:kern w:val="0"/>
            <w:sz w:val="22"/>
            <w:szCs w:val="22"/>
          </w:rPr>
          <w:tab/>
        </w:r>
        <w:r w:rsidRPr="00DF66C9">
          <w:rPr>
            <w:rStyle w:val="Hyperlink"/>
            <w:noProof/>
          </w:rPr>
          <w:t>Authority</w:t>
        </w:r>
        <w:r>
          <w:rPr>
            <w:noProof/>
            <w:webHidden/>
          </w:rPr>
          <w:tab/>
        </w:r>
        <w:r>
          <w:rPr>
            <w:noProof/>
            <w:webHidden/>
          </w:rPr>
          <w:fldChar w:fldCharType="begin"/>
        </w:r>
        <w:r>
          <w:rPr>
            <w:noProof/>
            <w:webHidden/>
          </w:rPr>
          <w:instrText xml:space="preserve"> PAGEREF _Toc493761005 \h </w:instrText>
        </w:r>
        <w:r>
          <w:rPr>
            <w:noProof/>
            <w:webHidden/>
          </w:rPr>
        </w:r>
        <w:r>
          <w:rPr>
            <w:noProof/>
            <w:webHidden/>
          </w:rPr>
          <w:fldChar w:fldCharType="separate"/>
        </w:r>
        <w:r>
          <w:rPr>
            <w:noProof/>
            <w:webHidden/>
          </w:rPr>
          <w:t>3</w:t>
        </w:r>
        <w:r>
          <w:rPr>
            <w:noProof/>
            <w:webHidden/>
          </w:rPr>
          <w:fldChar w:fldCharType="end"/>
        </w:r>
      </w:hyperlink>
    </w:p>
    <w:p w14:paraId="0758347A" w14:textId="77777777" w:rsidR="00596E8A" w:rsidRDefault="00596E8A">
      <w:pPr>
        <w:pStyle w:val="TOC2"/>
        <w:tabs>
          <w:tab w:val="left" w:pos="1474"/>
        </w:tabs>
        <w:rPr>
          <w:rFonts w:asciiTheme="minorHAnsi" w:eastAsiaTheme="minorEastAsia" w:hAnsiTheme="minorHAnsi" w:cstheme="minorBidi"/>
          <w:noProof/>
          <w:kern w:val="0"/>
          <w:sz w:val="22"/>
          <w:szCs w:val="22"/>
        </w:rPr>
      </w:pPr>
      <w:hyperlink w:anchor="_Toc493761006" w:history="1">
        <w:r w:rsidRPr="00DF66C9">
          <w:rPr>
            <w:rStyle w:val="Hyperlink"/>
            <w:noProof/>
          </w:rPr>
          <w:t>4</w:t>
        </w:r>
        <w:r>
          <w:rPr>
            <w:rFonts w:asciiTheme="minorHAnsi" w:eastAsiaTheme="minorEastAsia" w:hAnsiTheme="minorHAnsi" w:cstheme="minorBidi"/>
            <w:noProof/>
            <w:kern w:val="0"/>
            <w:sz w:val="22"/>
            <w:szCs w:val="22"/>
          </w:rPr>
          <w:tab/>
        </w:r>
        <w:r w:rsidRPr="00DF66C9">
          <w:rPr>
            <w:rStyle w:val="Hyperlink"/>
            <w:noProof/>
          </w:rPr>
          <w:t>Definitions</w:t>
        </w:r>
        <w:r>
          <w:rPr>
            <w:noProof/>
            <w:webHidden/>
          </w:rPr>
          <w:tab/>
        </w:r>
        <w:r>
          <w:rPr>
            <w:noProof/>
            <w:webHidden/>
          </w:rPr>
          <w:fldChar w:fldCharType="begin"/>
        </w:r>
        <w:r>
          <w:rPr>
            <w:noProof/>
            <w:webHidden/>
          </w:rPr>
          <w:instrText xml:space="preserve"> PAGEREF _Toc493761006 \h </w:instrText>
        </w:r>
        <w:r>
          <w:rPr>
            <w:noProof/>
            <w:webHidden/>
          </w:rPr>
        </w:r>
        <w:r>
          <w:rPr>
            <w:noProof/>
            <w:webHidden/>
          </w:rPr>
          <w:fldChar w:fldCharType="separate"/>
        </w:r>
        <w:r>
          <w:rPr>
            <w:noProof/>
            <w:webHidden/>
          </w:rPr>
          <w:t>3</w:t>
        </w:r>
        <w:r>
          <w:rPr>
            <w:noProof/>
            <w:webHidden/>
          </w:rPr>
          <w:fldChar w:fldCharType="end"/>
        </w:r>
      </w:hyperlink>
    </w:p>
    <w:p w14:paraId="5DE1D860" w14:textId="77777777" w:rsidR="00596E8A" w:rsidRDefault="00596E8A">
      <w:pPr>
        <w:pStyle w:val="TOC1"/>
        <w:rPr>
          <w:rFonts w:asciiTheme="minorHAnsi" w:eastAsiaTheme="minorEastAsia" w:hAnsiTheme="minorHAnsi" w:cstheme="minorBidi"/>
          <w:b w:val="0"/>
          <w:noProof/>
          <w:kern w:val="0"/>
          <w:sz w:val="22"/>
          <w:szCs w:val="22"/>
        </w:rPr>
      </w:pPr>
      <w:hyperlink w:anchor="_Toc493761007" w:history="1">
        <w:r w:rsidRPr="00DF66C9">
          <w:rPr>
            <w:rStyle w:val="Hyperlink"/>
            <w:noProof/>
          </w:rPr>
          <w:t>Part 2—Exemption</w:t>
        </w:r>
        <w:r>
          <w:rPr>
            <w:noProof/>
            <w:webHidden/>
          </w:rPr>
          <w:tab/>
        </w:r>
        <w:r>
          <w:rPr>
            <w:noProof/>
            <w:webHidden/>
          </w:rPr>
          <w:fldChar w:fldCharType="begin"/>
        </w:r>
        <w:r>
          <w:rPr>
            <w:noProof/>
            <w:webHidden/>
          </w:rPr>
          <w:instrText xml:space="preserve"> PAGEREF _Toc493761007 \h </w:instrText>
        </w:r>
        <w:r>
          <w:rPr>
            <w:noProof/>
            <w:webHidden/>
          </w:rPr>
        </w:r>
        <w:r>
          <w:rPr>
            <w:noProof/>
            <w:webHidden/>
          </w:rPr>
          <w:fldChar w:fldCharType="separate"/>
        </w:r>
        <w:r>
          <w:rPr>
            <w:noProof/>
            <w:webHidden/>
          </w:rPr>
          <w:t>6</w:t>
        </w:r>
        <w:r>
          <w:rPr>
            <w:noProof/>
            <w:webHidden/>
          </w:rPr>
          <w:fldChar w:fldCharType="end"/>
        </w:r>
      </w:hyperlink>
    </w:p>
    <w:p w14:paraId="3C36D396" w14:textId="77777777" w:rsidR="00596E8A" w:rsidRDefault="00596E8A">
      <w:pPr>
        <w:pStyle w:val="TOC2"/>
        <w:tabs>
          <w:tab w:val="left" w:pos="1474"/>
        </w:tabs>
        <w:rPr>
          <w:rFonts w:asciiTheme="minorHAnsi" w:eastAsiaTheme="minorEastAsia" w:hAnsiTheme="minorHAnsi" w:cstheme="minorBidi"/>
          <w:noProof/>
          <w:kern w:val="0"/>
          <w:sz w:val="22"/>
          <w:szCs w:val="22"/>
        </w:rPr>
      </w:pPr>
      <w:hyperlink w:anchor="_Toc493761008" w:history="1">
        <w:r w:rsidRPr="00DF66C9">
          <w:rPr>
            <w:rStyle w:val="Hyperlink"/>
            <w:noProof/>
          </w:rPr>
          <w:t>5</w:t>
        </w:r>
        <w:r>
          <w:rPr>
            <w:rFonts w:asciiTheme="minorHAnsi" w:eastAsiaTheme="minorEastAsia" w:hAnsiTheme="minorHAnsi" w:cstheme="minorBidi"/>
            <w:noProof/>
            <w:kern w:val="0"/>
            <w:sz w:val="22"/>
            <w:szCs w:val="22"/>
          </w:rPr>
          <w:tab/>
        </w:r>
        <w:r w:rsidRPr="00DF66C9">
          <w:rPr>
            <w:rStyle w:val="Hyperlink"/>
            <w:noProof/>
          </w:rPr>
          <w:t>Licensing relief for eligible trustees</w:t>
        </w:r>
        <w:r>
          <w:rPr>
            <w:noProof/>
            <w:webHidden/>
          </w:rPr>
          <w:tab/>
        </w:r>
        <w:r>
          <w:rPr>
            <w:noProof/>
            <w:webHidden/>
          </w:rPr>
          <w:fldChar w:fldCharType="begin"/>
        </w:r>
        <w:r>
          <w:rPr>
            <w:noProof/>
            <w:webHidden/>
          </w:rPr>
          <w:instrText xml:space="preserve"> PAGEREF _Toc493761008 \h </w:instrText>
        </w:r>
        <w:r>
          <w:rPr>
            <w:noProof/>
            <w:webHidden/>
          </w:rPr>
        </w:r>
        <w:r>
          <w:rPr>
            <w:noProof/>
            <w:webHidden/>
          </w:rPr>
          <w:fldChar w:fldCharType="separate"/>
        </w:r>
        <w:r>
          <w:rPr>
            <w:noProof/>
            <w:webHidden/>
          </w:rPr>
          <w:t>6</w:t>
        </w:r>
        <w:r>
          <w:rPr>
            <w:noProof/>
            <w:webHidden/>
          </w:rPr>
          <w:fldChar w:fldCharType="end"/>
        </w:r>
      </w:hyperlink>
    </w:p>
    <w:p w14:paraId="1E5FECDF" w14:textId="77777777" w:rsidR="00596E8A" w:rsidRDefault="00596E8A">
      <w:pPr>
        <w:pStyle w:val="TOC2"/>
        <w:tabs>
          <w:tab w:val="left" w:pos="1474"/>
        </w:tabs>
        <w:rPr>
          <w:rFonts w:asciiTheme="minorHAnsi" w:eastAsiaTheme="minorEastAsia" w:hAnsiTheme="minorHAnsi" w:cstheme="minorBidi"/>
          <w:noProof/>
          <w:kern w:val="0"/>
          <w:sz w:val="22"/>
          <w:szCs w:val="22"/>
        </w:rPr>
      </w:pPr>
      <w:hyperlink w:anchor="_Toc493761009" w:history="1">
        <w:r w:rsidRPr="00DF66C9">
          <w:rPr>
            <w:rStyle w:val="Hyperlink"/>
            <w:noProof/>
          </w:rPr>
          <w:t>6</w:t>
        </w:r>
        <w:r>
          <w:rPr>
            <w:rFonts w:asciiTheme="minorHAnsi" w:eastAsiaTheme="minorEastAsia" w:hAnsiTheme="minorHAnsi" w:cstheme="minorBidi"/>
            <w:noProof/>
            <w:kern w:val="0"/>
            <w:sz w:val="22"/>
            <w:szCs w:val="22"/>
          </w:rPr>
          <w:tab/>
        </w:r>
        <w:r w:rsidRPr="00DF66C9">
          <w:rPr>
            <w:rStyle w:val="Hyperlink"/>
            <w:noProof/>
          </w:rPr>
          <w:t>Where the relief applies</w:t>
        </w:r>
        <w:r>
          <w:rPr>
            <w:noProof/>
            <w:webHidden/>
          </w:rPr>
          <w:tab/>
        </w:r>
        <w:r>
          <w:rPr>
            <w:noProof/>
            <w:webHidden/>
          </w:rPr>
          <w:fldChar w:fldCharType="begin"/>
        </w:r>
        <w:r>
          <w:rPr>
            <w:noProof/>
            <w:webHidden/>
          </w:rPr>
          <w:instrText xml:space="preserve"> PAGEREF _Toc493761009 \h </w:instrText>
        </w:r>
        <w:r>
          <w:rPr>
            <w:noProof/>
            <w:webHidden/>
          </w:rPr>
        </w:r>
        <w:r>
          <w:rPr>
            <w:noProof/>
            <w:webHidden/>
          </w:rPr>
          <w:fldChar w:fldCharType="separate"/>
        </w:r>
        <w:r>
          <w:rPr>
            <w:noProof/>
            <w:webHidden/>
          </w:rPr>
          <w:t>6</w:t>
        </w:r>
        <w:r>
          <w:rPr>
            <w:noProof/>
            <w:webHidden/>
          </w:rPr>
          <w:fldChar w:fldCharType="end"/>
        </w:r>
      </w:hyperlink>
    </w:p>
    <w:p w14:paraId="610EF682" w14:textId="77777777" w:rsidR="00596E8A" w:rsidRDefault="00596E8A">
      <w:pPr>
        <w:pStyle w:val="TOC2"/>
        <w:tabs>
          <w:tab w:val="left" w:pos="1474"/>
        </w:tabs>
        <w:rPr>
          <w:rFonts w:asciiTheme="minorHAnsi" w:eastAsiaTheme="minorEastAsia" w:hAnsiTheme="minorHAnsi" w:cstheme="minorBidi"/>
          <w:noProof/>
          <w:kern w:val="0"/>
          <w:sz w:val="22"/>
          <w:szCs w:val="22"/>
        </w:rPr>
      </w:pPr>
      <w:hyperlink w:anchor="_Toc493761010" w:history="1">
        <w:r w:rsidRPr="00DF66C9">
          <w:rPr>
            <w:rStyle w:val="Hyperlink"/>
            <w:noProof/>
          </w:rPr>
          <w:t>7</w:t>
        </w:r>
        <w:r>
          <w:rPr>
            <w:rFonts w:asciiTheme="minorHAnsi" w:eastAsiaTheme="minorEastAsia" w:hAnsiTheme="minorHAnsi" w:cstheme="minorBidi"/>
            <w:noProof/>
            <w:kern w:val="0"/>
            <w:sz w:val="22"/>
            <w:szCs w:val="22"/>
          </w:rPr>
          <w:tab/>
        </w:r>
        <w:r w:rsidRPr="00DF66C9">
          <w:rPr>
            <w:rStyle w:val="Hyperlink"/>
            <w:noProof/>
          </w:rPr>
          <w:t>Conditions</w:t>
        </w:r>
        <w:r>
          <w:rPr>
            <w:noProof/>
            <w:webHidden/>
          </w:rPr>
          <w:tab/>
        </w:r>
        <w:r>
          <w:rPr>
            <w:noProof/>
            <w:webHidden/>
          </w:rPr>
          <w:fldChar w:fldCharType="begin"/>
        </w:r>
        <w:r>
          <w:rPr>
            <w:noProof/>
            <w:webHidden/>
          </w:rPr>
          <w:instrText xml:space="preserve"> PAGEREF _Toc493761010 \h </w:instrText>
        </w:r>
        <w:r>
          <w:rPr>
            <w:noProof/>
            <w:webHidden/>
          </w:rPr>
        </w:r>
        <w:r>
          <w:rPr>
            <w:noProof/>
            <w:webHidden/>
          </w:rPr>
          <w:fldChar w:fldCharType="separate"/>
        </w:r>
        <w:r>
          <w:rPr>
            <w:noProof/>
            <w:webHidden/>
          </w:rPr>
          <w:t>7</w:t>
        </w:r>
        <w:r>
          <w:rPr>
            <w:noProof/>
            <w:webHidden/>
          </w:rPr>
          <w:fldChar w:fldCharType="end"/>
        </w:r>
      </w:hyperlink>
    </w:p>
    <w:p w14:paraId="1613CEB8" w14:textId="77777777" w:rsidR="00596E8A" w:rsidRDefault="00596E8A">
      <w:pPr>
        <w:pStyle w:val="TOC2"/>
        <w:tabs>
          <w:tab w:val="left" w:pos="1474"/>
        </w:tabs>
        <w:rPr>
          <w:rFonts w:asciiTheme="minorHAnsi" w:eastAsiaTheme="minorEastAsia" w:hAnsiTheme="minorHAnsi" w:cstheme="minorBidi"/>
          <w:noProof/>
          <w:kern w:val="0"/>
          <w:sz w:val="22"/>
          <w:szCs w:val="22"/>
        </w:rPr>
      </w:pPr>
      <w:hyperlink w:anchor="_Toc493761011" w:history="1">
        <w:r w:rsidRPr="00DF66C9">
          <w:rPr>
            <w:rStyle w:val="Hyperlink"/>
            <w:noProof/>
          </w:rPr>
          <w:t>8</w:t>
        </w:r>
        <w:r>
          <w:rPr>
            <w:rFonts w:asciiTheme="minorHAnsi" w:eastAsiaTheme="minorEastAsia" w:hAnsiTheme="minorHAnsi" w:cstheme="minorBidi"/>
            <w:noProof/>
            <w:kern w:val="0"/>
            <w:sz w:val="22"/>
            <w:szCs w:val="22"/>
          </w:rPr>
          <w:tab/>
        </w:r>
        <w:r w:rsidRPr="00DF66C9">
          <w:rPr>
            <w:rStyle w:val="Hyperlink"/>
            <w:noProof/>
          </w:rPr>
          <w:t>Exclusion from reliance</w:t>
        </w:r>
        <w:r>
          <w:rPr>
            <w:noProof/>
            <w:webHidden/>
          </w:rPr>
          <w:tab/>
        </w:r>
        <w:r>
          <w:rPr>
            <w:noProof/>
            <w:webHidden/>
          </w:rPr>
          <w:fldChar w:fldCharType="begin"/>
        </w:r>
        <w:r>
          <w:rPr>
            <w:noProof/>
            <w:webHidden/>
          </w:rPr>
          <w:instrText xml:space="preserve"> PAGEREF _Toc493761011 \h </w:instrText>
        </w:r>
        <w:r>
          <w:rPr>
            <w:noProof/>
            <w:webHidden/>
          </w:rPr>
        </w:r>
        <w:r>
          <w:rPr>
            <w:noProof/>
            <w:webHidden/>
          </w:rPr>
          <w:fldChar w:fldCharType="separate"/>
        </w:r>
        <w:r>
          <w:rPr>
            <w:noProof/>
            <w:webHidden/>
          </w:rPr>
          <w:t>8</w:t>
        </w:r>
        <w:r>
          <w:rPr>
            <w:noProof/>
            <w:webHidden/>
          </w:rPr>
          <w:fldChar w:fldCharType="end"/>
        </w:r>
      </w:hyperlink>
    </w:p>
    <w:p w14:paraId="10EE1521" w14:textId="77777777" w:rsidR="00596E8A" w:rsidRDefault="00596E8A">
      <w:pPr>
        <w:pStyle w:val="TOC1"/>
        <w:rPr>
          <w:rFonts w:asciiTheme="minorHAnsi" w:eastAsiaTheme="minorEastAsia" w:hAnsiTheme="minorHAnsi" w:cstheme="minorBidi"/>
          <w:b w:val="0"/>
          <w:noProof/>
          <w:kern w:val="0"/>
          <w:sz w:val="22"/>
          <w:szCs w:val="22"/>
        </w:rPr>
      </w:pPr>
      <w:hyperlink w:anchor="_Toc493761012" w:history="1">
        <w:r w:rsidRPr="00DF66C9">
          <w:rPr>
            <w:rStyle w:val="Hyperlink"/>
            <w:noProof/>
          </w:rPr>
          <w:t>Part 3—Transitional</w:t>
        </w:r>
        <w:r>
          <w:rPr>
            <w:noProof/>
            <w:webHidden/>
          </w:rPr>
          <w:tab/>
        </w:r>
        <w:r>
          <w:rPr>
            <w:noProof/>
            <w:webHidden/>
          </w:rPr>
          <w:fldChar w:fldCharType="begin"/>
        </w:r>
        <w:r>
          <w:rPr>
            <w:noProof/>
            <w:webHidden/>
          </w:rPr>
          <w:instrText xml:space="preserve"> PAGEREF _Toc493761012 \h </w:instrText>
        </w:r>
        <w:r>
          <w:rPr>
            <w:noProof/>
            <w:webHidden/>
          </w:rPr>
        </w:r>
        <w:r>
          <w:rPr>
            <w:noProof/>
            <w:webHidden/>
          </w:rPr>
          <w:fldChar w:fldCharType="separate"/>
        </w:r>
        <w:r>
          <w:rPr>
            <w:noProof/>
            <w:webHidden/>
          </w:rPr>
          <w:t>9</w:t>
        </w:r>
        <w:r>
          <w:rPr>
            <w:noProof/>
            <w:webHidden/>
          </w:rPr>
          <w:fldChar w:fldCharType="end"/>
        </w:r>
      </w:hyperlink>
    </w:p>
    <w:p w14:paraId="18AD53E1" w14:textId="77777777" w:rsidR="00596E8A" w:rsidRDefault="00596E8A">
      <w:pPr>
        <w:pStyle w:val="TOC2"/>
        <w:tabs>
          <w:tab w:val="left" w:pos="1474"/>
        </w:tabs>
        <w:rPr>
          <w:rFonts w:asciiTheme="minorHAnsi" w:eastAsiaTheme="minorEastAsia" w:hAnsiTheme="minorHAnsi" w:cstheme="minorBidi"/>
          <w:noProof/>
          <w:kern w:val="0"/>
          <w:sz w:val="22"/>
          <w:szCs w:val="22"/>
        </w:rPr>
      </w:pPr>
      <w:hyperlink w:anchor="_Toc493761013" w:history="1">
        <w:r w:rsidRPr="00DF66C9">
          <w:rPr>
            <w:rStyle w:val="Hyperlink"/>
            <w:noProof/>
          </w:rPr>
          <w:t>9</w:t>
        </w:r>
        <w:r>
          <w:rPr>
            <w:rFonts w:asciiTheme="minorHAnsi" w:eastAsiaTheme="minorEastAsia" w:hAnsiTheme="minorHAnsi" w:cstheme="minorBidi"/>
            <w:noProof/>
            <w:kern w:val="0"/>
            <w:sz w:val="22"/>
            <w:szCs w:val="22"/>
          </w:rPr>
          <w:tab/>
        </w:r>
        <w:r w:rsidRPr="00DF66C9">
          <w:rPr>
            <w:rStyle w:val="Hyperlink"/>
            <w:noProof/>
          </w:rPr>
          <w:t>ASIC Class Order [CO 07/74]</w:t>
        </w:r>
        <w:r>
          <w:rPr>
            <w:noProof/>
            <w:webHidden/>
          </w:rPr>
          <w:tab/>
        </w:r>
        <w:r>
          <w:rPr>
            <w:noProof/>
            <w:webHidden/>
          </w:rPr>
          <w:fldChar w:fldCharType="begin"/>
        </w:r>
        <w:r>
          <w:rPr>
            <w:noProof/>
            <w:webHidden/>
          </w:rPr>
          <w:instrText xml:space="preserve"> PAGEREF _Toc493761013 \h </w:instrText>
        </w:r>
        <w:r>
          <w:rPr>
            <w:noProof/>
            <w:webHidden/>
          </w:rPr>
        </w:r>
        <w:r>
          <w:rPr>
            <w:noProof/>
            <w:webHidden/>
          </w:rPr>
          <w:fldChar w:fldCharType="separate"/>
        </w:r>
        <w:r>
          <w:rPr>
            <w:noProof/>
            <w:webHidden/>
          </w:rPr>
          <w:t>9</w:t>
        </w:r>
        <w:r>
          <w:rPr>
            <w:noProof/>
            <w:webHidden/>
          </w:rPr>
          <w:fldChar w:fldCharType="end"/>
        </w:r>
      </w:hyperlink>
    </w:p>
    <w:p w14:paraId="390E1EC5" w14:textId="77777777" w:rsidR="00670EA1" w:rsidRPr="00F61B09" w:rsidRDefault="00015719" w:rsidP="00715914">
      <w:r>
        <w:rPr>
          <w:rFonts w:eastAsia="Times New Roman"/>
          <w:kern w:val="28"/>
          <w:sz w:val="28"/>
          <w:lang w:eastAsia="en-AU"/>
        </w:rPr>
        <w:fldChar w:fldCharType="end"/>
      </w:r>
    </w:p>
    <w:p w14:paraId="390E1EC6" w14:textId="77777777" w:rsidR="00670EA1" w:rsidRPr="00F61B09" w:rsidRDefault="00670EA1" w:rsidP="00715914">
      <w:pPr>
        <w:sectPr w:rsidR="00670EA1" w:rsidRPr="00F61B09" w:rsidSect="00F4215A">
          <w:headerReference w:type="even" r:id="rId19"/>
          <w:headerReference w:type="default" r:id="rId20"/>
          <w:footerReference w:type="even" r:id="rId21"/>
          <w:footerReference w:type="default" r:id="rId22"/>
          <w:headerReference w:type="first" r:id="rId23"/>
          <w:pgSz w:w="11907" w:h="16839"/>
          <w:pgMar w:top="1098" w:right="1797" w:bottom="1440" w:left="1797" w:header="720" w:footer="709" w:gutter="0"/>
          <w:pgNumType w:fmt="lowerRoman"/>
          <w:cols w:space="708"/>
          <w:docGrid w:linePitch="360"/>
        </w:sectPr>
      </w:pPr>
    </w:p>
    <w:p w14:paraId="390E1EC7" w14:textId="77777777" w:rsidR="00FA31DE" w:rsidRPr="00F61B09" w:rsidRDefault="00FA31DE" w:rsidP="006554FF">
      <w:pPr>
        <w:pStyle w:val="LI-Heading1"/>
      </w:pPr>
      <w:bookmarkStart w:id="2" w:name="BK_S3P1L1C1"/>
      <w:bookmarkStart w:id="3" w:name="_Toc493761002"/>
      <w:bookmarkEnd w:id="2"/>
      <w:r w:rsidRPr="006554FF">
        <w:lastRenderedPageBreak/>
        <w:t>Part</w:t>
      </w:r>
      <w:r w:rsidR="00F61B09" w:rsidRPr="006554FF">
        <w:t> </w:t>
      </w:r>
      <w:r w:rsidRPr="006E5320">
        <w:t>1</w:t>
      </w:r>
      <w:r w:rsidRPr="00F61B09">
        <w:t>—</w:t>
      </w:r>
      <w:r w:rsidRPr="00005446">
        <w:t>Preliminary</w:t>
      </w:r>
      <w:bookmarkEnd w:id="3"/>
    </w:p>
    <w:p w14:paraId="390E1EC8" w14:textId="77777777" w:rsidR="00FA31DE" w:rsidRDefault="00FA31DE" w:rsidP="00C11452">
      <w:pPr>
        <w:pStyle w:val="LI-Heading2"/>
        <w:rPr>
          <w:szCs w:val="24"/>
        </w:rPr>
      </w:pPr>
      <w:bookmarkStart w:id="4" w:name="_Toc493761003"/>
      <w:r w:rsidRPr="008C0F29">
        <w:rPr>
          <w:szCs w:val="24"/>
        </w:rPr>
        <w:t>1</w:t>
      </w:r>
      <w:r w:rsidR="00FC3EB8">
        <w:rPr>
          <w:szCs w:val="24"/>
        </w:rPr>
        <w:tab/>
      </w:r>
      <w:r w:rsidRPr="008C0F29">
        <w:rPr>
          <w:szCs w:val="24"/>
        </w:rPr>
        <w:t xml:space="preserve">Name of </w:t>
      </w:r>
      <w:r w:rsidR="008C0F29" w:rsidRPr="008C0F29">
        <w:rPr>
          <w:szCs w:val="24"/>
        </w:rPr>
        <w:t>legislative instrument</w:t>
      </w:r>
      <w:bookmarkEnd w:id="4"/>
    </w:p>
    <w:p w14:paraId="390E1EC9" w14:textId="30B0DB33" w:rsidR="00FA31DE" w:rsidRDefault="00FA31DE" w:rsidP="00005446">
      <w:pPr>
        <w:pStyle w:val="LI-BodyTextUnnumbered"/>
        <w:rPr>
          <w:szCs w:val="24"/>
        </w:rPr>
      </w:pPr>
      <w:r w:rsidRPr="008C0F29">
        <w:rPr>
          <w:szCs w:val="24"/>
        </w:rPr>
        <w:t xml:space="preserve">This </w:t>
      </w:r>
      <w:r w:rsidR="008C0F29" w:rsidRPr="008C0F29">
        <w:rPr>
          <w:szCs w:val="24"/>
        </w:rPr>
        <w:t>is</w:t>
      </w:r>
      <w:r w:rsidR="00633628">
        <w:rPr>
          <w:szCs w:val="24"/>
        </w:rPr>
        <w:t xml:space="preserve"> the</w:t>
      </w:r>
      <w:r w:rsidR="008C0F29" w:rsidRPr="008C0F29">
        <w:rPr>
          <w:szCs w:val="24"/>
        </w:rPr>
        <w:t xml:space="preserve"> </w:t>
      </w:r>
      <w:r w:rsidR="008C0F29" w:rsidRPr="008C0F29">
        <w:rPr>
          <w:i/>
          <w:szCs w:val="24"/>
        </w:rPr>
        <w:t>A</w:t>
      </w:r>
      <w:r w:rsidR="00327DDF">
        <w:rPr>
          <w:i/>
          <w:szCs w:val="24"/>
        </w:rPr>
        <w:t>SIC Corporations</w:t>
      </w:r>
      <w:r w:rsidR="00C56CAD">
        <w:rPr>
          <w:i/>
          <w:szCs w:val="24"/>
        </w:rPr>
        <w:t xml:space="preserve"> </w:t>
      </w:r>
      <w:r w:rsidR="00C11452" w:rsidRPr="005D3D41">
        <w:rPr>
          <w:i/>
          <w:szCs w:val="24"/>
        </w:rPr>
        <w:t>(</w:t>
      </w:r>
      <w:r w:rsidR="0004290C" w:rsidRPr="00EF17CD">
        <w:rPr>
          <w:i/>
          <w:szCs w:val="24"/>
        </w:rPr>
        <w:t xml:space="preserve">Wholesale </w:t>
      </w:r>
      <w:r w:rsidR="0017745C" w:rsidRPr="00EF17CD">
        <w:rPr>
          <w:i/>
          <w:szCs w:val="24"/>
        </w:rPr>
        <w:t>E</w:t>
      </w:r>
      <w:r w:rsidR="0004290C" w:rsidRPr="00EF17CD">
        <w:rPr>
          <w:i/>
          <w:szCs w:val="24"/>
        </w:rPr>
        <w:t xml:space="preserve">quity </w:t>
      </w:r>
      <w:r w:rsidR="0017745C" w:rsidRPr="00EF17CD">
        <w:rPr>
          <w:i/>
          <w:szCs w:val="24"/>
        </w:rPr>
        <w:t>S</w:t>
      </w:r>
      <w:r w:rsidR="0004290C" w:rsidRPr="00EF17CD">
        <w:rPr>
          <w:i/>
          <w:szCs w:val="24"/>
        </w:rPr>
        <w:t>cheme</w:t>
      </w:r>
      <w:r w:rsidR="00B45DDA" w:rsidRPr="00EF17CD">
        <w:rPr>
          <w:i/>
          <w:szCs w:val="24"/>
        </w:rPr>
        <w:t xml:space="preserve"> </w:t>
      </w:r>
      <w:r w:rsidR="0017745C" w:rsidRPr="00EF17CD">
        <w:rPr>
          <w:i/>
          <w:szCs w:val="24"/>
        </w:rPr>
        <w:t>T</w:t>
      </w:r>
      <w:r w:rsidR="0004290C" w:rsidRPr="00EF17CD">
        <w:rPr>
          <w:i/>
          <w:szCs w:val="24"/>
        </w:rPr>
        <w:t>rustees</w:t>
      </w:r>
      <w:r w:rsidR="00C11452" w:rsidRPr="005D3D41">
        <w:rPr>
          <w:i/>
          <w:szCs w:val="24"/>
        </w:rPr>
        <w:t xml:space="preserve">) Instrument </w:t>
      </w:r>
      <w:r w:rsidR="00890EC3">
        <w:rPr>
          <w:i/>
          <w:szCs w:val="24"/>
        </w:rPr>
        <w:t>2017/</w:t>
      </w:r>
      <w:r w:rsidR="002522A9">
        <w:rPr>
          <w:i/>
          <w:szCs w:val="24"/>
        </w:rPr>
        <w:t>849</w:t>
      </w:r>
      <w:r w:rsidRPr="005D3D41">
        <w:rPr>
          <w:szCs w:val="24"/>
        </w:rPr>
        <w:t>.</w:t>
      </w:r>
    </w:p>
    <w:p w14:paraId="390E1ECA" w14:textId="77777777" w:rsidR="00FA31DE" w:rsidRPr="008C0F29" w:rsidRDefault="00FA31DE" w:rsidP="00C11452">
      <w:pPr>
        <w:pStyle w:val="LI-Heading2"/>
        <w:rPr>
          <w:szCs w:val="24"/>
        </w:rPr>
      </w:pPr>
      <w:bookmarkStart w:id="5" w:name="_Toc493761004"/>
      <w:r w:rsidRPr="008C0F29">
        <w:rPr>
          <w:szCs w:val="24"/>
        </w:rPr>
        <w:t>2</w:t>
      </w:r>
      <w:r w:rsidR="00FC3EB8">
        <w:rPr>
          <w:szCs w:val="24"/>
        </w:rPr>
        <w:tab/>
      </w:r>
      <w:r w:rsidRPr="008C0F29">
        <w:rPr>
          <w:szCs w:val="24"/>
        </w:rPr>
        <w:t>Commencement</w:t>
      </w:r>
      <w:bookmarkEnd w:id="5"/>
    </w:p>
    <w:p w14:paraId="390E1ECB" w14:textId="6D3B6EC8" w:rsidR="00FA31DE" w:rsidRPr="008C0F29" w:rsidRDefault="00FA31DE" w:rsidP="006E5320">
      <w:pPr>
        <w:pStyle w:val="LI-BodyTextUnnumbered"/>
        <w:rPr>
          <w:szCs w:val="24"/>
        </w:rPr>
      </w:pPr>
      <w:r w:rsidRPr="008C0F29">
        <w:rPr>
          <w:szCs w:val="24"/>
        </w:rPr>
        <w:t xml:space="preserve">This </w:t>
      </w:r>
      <w:r w:rsidR="008C0F29">
        <w:rPr>
          <w:szCs w:val="24"/>
        </w:rPr>
        <w:t>instrument</w:t>
      </w:r>
      <w:r w:rsidRPr="008C0F29">
        <w:rPr>
          <w:szCs w:val="24"/>
        </w:rPr>
        <w:t xml:space="preserve"> commences </w:t>
      </w:r>
      <w:r w:rsidR="00C90431">
        <w:rPr>
          <w:szCs w:val="24"/>
        </w:rPr>
        <w:t xml:space="preserve">at the same time as the commencement of the </w:t>
      </w:r>
      <w:r w:rsidR="00C90431" w:rsidRPr="008C0F29">
        <w:rPr>
          <w:i/>
          <w:szCs w:val="24"/>
        </w:rPr>
        <w:t>A</w:t>
      </w:r>
      <w:r w:rsidR="00C90431">
        <w:rPr>
          <w:i/>
          <w:szCs w:val="24"/>
        </w:rPr>
        <w:t xml:space="preserve">SIC Corporations </w:t>
      </w:r>
      <w:r w:rsidR="00C90431" w:rsidRPr="00AC3E7B">
        <w:rPr>
          <w:i/>
          <w:szCs w:val="24"/>
        </w:rPr>
        <w:t>(</w:t>
      </w:r>
      <w:r w:rsidR="00817A20">
        <w:rPr>
          <w:i/>
          <w:szCs w:val="24"/>
        </w:rPr>
        <w:t xml:space="preserve">Amendment and </w:t>
      </w:r>
      <w:r w:rsidR="00C90431">
        <w:rPr>
          <w:i/>
          <w:szCs w:val="24"/>
        </w:rPr>
        <w:t>Repeal)</w:t>
      </w:r>
      <w:r w:rsidR="00C90431" w:rsidRPr="00AC3E7B">
        <w:rPr>
          <w:i/>
          <w:szCs w:val="24"/>
        </w:rPr>
        <w:t xml:space="preserve"> Instrument </w:t>
      </w:r>
      <w:r w:rsidR="00C90431">
        <w:rPr>
          <w:i/>
          <w:szCs w:val="24"/>
        </w:rPr>
        <w:t>2017/</w:t>
      </w:r>
      <w:r w:rsidR="002522A9">
        <w:rPr>
          <w:i/>
          <w:szCs w:val="24"/>
        </w:rPr>
        <w:t>848</w:t>
      </w:r>
      <w:r w:rsidR="00890EC3">
        <w:rPr>
          <w:szCs w:val="24"/>
        </w:rPr>
        <w:t>.</w:t>
      </w:r>
    </w:p>
    <w:p w14:paraId="390E1ECD" w14:textId="77777777" w:rsidR="00FA31DE" w:rsidRPr="008C0F29" w:rsidRDefault="00FA31DE" w:rsidP="00EC4757">
      <w:pPr>
        <w:pStyle w:val="LI-Heading2"/>
        <w:spacing w:before="240"/>
        <w:rPr>
          <w:szCs w:val="24"/>
        </w:rPr>
      </w:pPr>
      <w:bookmarkStart w:id="6" w:name="_Toc493761005"/>
      <w:r w:rsidRPr="008C0F29">
        <w:rPr>
          <w:szCs w:val="24"/>
        </w:rPr>
        <w:t>3</w:t>
      </w:r>
      <w:r w:rsidR="00FC3EB8">
        <w:rPr>
          <w:szCs w:val="24"/>
        </w:rPr>
        <w:tab/>
      </w:r>
      <w:r w:rsidRPr="008C0F29">
        <w:rPr>
          <w:szCs w:val="24"/>
        </w:rPr>
        <w:t>Authority</w:t>
      </w:r>
      <w:bookmarkEnd w:id="6"/>
    </w:p>
    <w:p w14:paraId="390E1ECE" w14:textId="3AFE01FD" w:rsidR="00FA31DE" w:rsidRPr="008C0F29" w:rsidRDefault="00FA31DE" w:rsidP="00EC4757">
      <w:pPr>
        <w:pStyle w:val="LI-BodyTextUnnumbered"/>
        <w:rPr>
          <w:szCs w:val="24"/>
        </w:rPr>
      </w:pPr>
      <w:r w:rsidRPr="008C0F29">
        <w:rPr>
          <w:szCs w:val="24"/>
        </w:rPr>
        <w:t xml:space="preserve">This </w:t>
      </w:r>
      <w:r w:rsidR="008C0F29" w:rsidRPr="008C0F29">
        <w:rPr>
          <w:szCs w:val="24"/>
        </w:rPr>
        <w:t xml:space="preserve">instrument </w:t>
      </w:r>
      <w:r w:rsidRPr="008C0F29">
        <w:rPr>
          <w:szCs w:val="24"/>
        </w:rPr>
        <w:t xml:space="preserve">is made under </w:t>
      </w:r>
      <w:r w:rsidR="0060053F" w:rsidRPr="00323166">
        <w:rPr>
          <w:szCs w:val="24"/>
        </w:rPr>
        <w:t xml:space="preserve">paragraph </w:t>
      </w:r>
      <w:r w:rsidR="0004290C">
        <w:rPr>
          <w:szCs w:val="24"/>
        </w:rPr>
        <w:t>9</w:t>
      </w:r>
      <w:r w:rsidR="008F318B">
        <w:rPr>
          <w:szCs w:val="24"/>
        </w:rPr>
        <w:t>26</w:t>
      </w:r>
      <w:r w:rsidR="0004290C">
        <w:rPr>
          <w:szCs w:val="24"/>
        </w:rPr>
        <w:t>A(2)(</w:t>
      </w:r>
      <w:r w:rsidR="000F2CF7">
        <w:rPr>
          <w:szCs w:val="24"/>
        </w:rPr>
        <w:t>a</w:t>
      </w:r>
      <w:r w:rsidR="0004290C">
        <w:rPr>
          <w:szCs w:val="24"/>
        </w:rPr>
        <w:t>)</w:t>
      </w:r>
      <w:r w:rsidR="008C0F29" w:rsidRPr="005D3D41">
        <w:rPr>
          <w:szCs w:val="24"/>
        </w:rPr>
        <w:t xml:space="preserve"> </w:t>
      </w:r>
      <w:r w:rsidRPr="005D3D41">
        <w:rPr>
          <w:szCs w:val="24"/>
        </w:rPr>
        <w:t xml:space="preserve">of </w:t>
      </w:r>
      <w:r w:rsidR="0004290C">
        <w:rPr>
          <w:szCs w:val="24"/>
        </w:rPr>
        <w:t>the</w:t>
      </w:r>
      <w:r w:rsidR="009513F1">
        <w:rPr>
          <w:szCs w:val="24"/>
        </w:rPr>
        <w:t xml:space="preserve"> Act</w:t>
      </w:r>
      <w:r w:rsidRPr="008C0F29">
        <w:rPr>
          <w:szCs w:val="24"/>
        </w:rPr>
        <w:t>.</w:t>
      </w:r>
    </w:p>
    <w:p w14:paraId="390E1ECF" w14:textId="77777777" w:rsidR="00FA31DE" w:rsidRPr="00BB5C17" w:rsidRDefault="008C0F29" w:rsidP="00EC4757">
      <w:pPr>
        <w:pStyle w:val="LI-Heading2"/>
        <w:spacing w:before="240"/>
        <w:rPr>
          <w:szCs w:val="24"/>
        </w:rPr>
      </w:pPr>
      <w:bookmarkStart w:id="7" w:name="_Toc493761006"/>
      <w:r w:rsidRPr="00BB5C17">
        <w:rPr>
          <w:szCs w:val="24"/>
        </w:rPr>
        <w:t>4</w:t>
      </w:r>
      <w:r w:rsidR="00FC3EB8">
        <w:rPr>
          <w:szCs w:val="24"/>
        </w:rPr>
        <w:tab/>
      </w:r>
      <w:r w:rsidR="00FA31DE" w:rsidRPr="00BB5C17">
        <w:rPr>
          <w:szCs w:val="24"/>
        </w:rPr>
        <w:t>Definitions</w:t>
      </w:r>
      <w:bookmarkEnd w:id="7"/>
    </w:p>
    <w:p w14:paraId="390E1ED0" w14:textId="77777777" w:rsidR="00FA31DE" w:rsidRPr="00005446" w:rsidRDefault="00FA31DE" w:rsidP="00005446">
      <w:pPr>
        <w:pStyle w:val="LI-BodyTextUnnumbered"/>
      </w:pPr>
      <w:r w:rsidRPr="00005446">
        <w:t xml:space="preserve">In this </w:t>
      </w:r>
      <w:r w:rsidR="008C0F29" w:rsidRPr="00005446">
        <w:t>instrument</w:t>
      </w:r>
      <w:r w:rsidRPr="00005446">
        <w:t>:</w:t>
      </w:r>
    </w:p>
    <w:p w14:paraId="390E1ED1" w14:textId="608B40F3" w:rsidR="00702EFD" w:rsidRDefault="00702EFD" w:rsidP="00005446">
      <w:pPr>
        <w:pStyle w:val="LI-BodyTextUnnumbered"/>
      </w:pPr>
      <w:r>
        <w:rPr>
          <w:b/>
          <w:i/>
        </w:rPr>
        <w:t>Act</w:t>
      </w:r>
      <w:r w:rsidRPr="00E85A91">
        <w:t xml:space="preserve"> means</w:t>
      </w:r>
      <w:r>
        <w:t xml:space="preserve"> the </w:t>
      </w:r>
      <w:r w:rsidR="0004290C" w:rsidRPr="0004290C">
        <w:rPr>
          <w:i/>
        </w:rPr>
        <w:t>Corporations Act 2001</w:t>
      </w:r>
      <w:r>
        <w:t xml:space="preserve">. </w:t>
      </w:r>
    </w:p>
    <w:p w14:paraId="390E1ED4" w14:textId="187E8340" w:rsidR="0004290C" w:rsidRPr="0004290C" w:rsidRDefault="0004290C" w:rsidP="0004290C">
      <w:pPr>
        <w:pStyle w:val="LI-BodyTextUnnumbered"/>
      </w:pPr>
      <w:r w:rsidRPr="0004290C">
        <w:rPr>
          <w:b/>
          <w:bCs/>
          <w:i/>
        </w:rPr>
        <w:t>eligible trustee</w:t>
      </w:r>
      <w:r w:rsidRPr="0004290C">
        <w:t xml:space="preserve"> </w:t>
      </w:r>
      <w:r w:rsidRPr="00323166">
        <w:t>means</w:t>
      </w:r>
      <w:r w:rsidR="00764535" w:rsidRPr="00323166">
        <w:t>,</w:t>
      </w:r>
      <w:r w:rsidR="00375372">
        <w:t xml:space="preserve"> in relation to a wholesale equity scheme, a trustee </w:t>
      </w:r>
      <w:r w:rsidR="00764535" w:rsidRPr="00323166">
        <w:t>of the scheme</w:t>
      </w:r>
      <w:r w:rsidR="00764535">
        <w:t xml:space="preserve"> </w:t>
      </w:r>
      <w:r w:rsidR="00375372">
        <w:t>that is</w:t>
      </w:r>
      <w:r w:rsidRPr="0004290C">
        <w:t xml:space="preserve"> a body corporate that</w:t>
      </w:r>
      <w:r w:rsidRPr="0004290C">
        <w:rPr>
          <w:iCs/>
        </w:rPr>
        <w:t xml:space="preserve"> </w:t>
      </w:r>
      <w:r w:rsidRPr="0004290C">
        <w:t xml:space="preserve">does not control any entity which is </w:t>
      </w:r>
      <w:r w:rsidR="00375372">
        <w:t>an</w:t>
      </w:r>
      <w:r w:rsidR="00375372" w:rsidRPr="0004290C">
        <w:t xml:space="preserve"> </w:t>
      </w:r>
      <w:r w:rsidRPr="0004290C">
        <w:t xml:space="preserve">issuer of an investment product </w:t>
      </w:r>
      <w:r w:rsidR="00375372">
        <w:t>held by</w:t>
      </w:r>
      <w:r w:rsidR="00375372" w:rsidRPr="0004290C">
        <w:t xml:space="preserve"> </w:t>
      </w:r>
      <w:r w:rsidRPr="0004290C">
        <w:t>the body corporate</w:t>
      </w:r>
      <w:r w:rsidR="00881E23">
        <w:t>.</w:t>
      </w:r>
      <w:r w:rsidRPr="0004290C">
        <w:t xml:space="preserve"> </w:t>
      </w:r>
    </w:p>
    <w:p w14:paraId="390E1ED5" w14:textId="487DFE59" w:rsidR="0004290C" w:rsidRPr="0004290C" w:rsidRDefault="0004290C" w:rsidP="0004290C">
      <w:pPr>
        <w:pStyle w:val="LI-BodyTextUnnumbered"/>
        <w:rPr>
          <w:sz w:val="18"/>
        </w:rPr>
      </w:pPr>
      <w:r w:rsidRPr="0004290C">
        <w:rPr>
          <w:sz w:val="18"/>
        </w:rPr>
        <w:t>Note: “</w:t>
      </w:r>
      <w:r w:rsidR="00890EC3">
        <w:rPr>
          <w:sz w:val="18"/>
        </w:rPr>
        <w:t>c</w:t>
      </w:r>
      <w:r w:rsidRPr="0004290C">
        <w:rPr>
          <w:sz w:val="18"/>
        </w:rPr>
        <w:t xml:space="preserve">ontrol” is defined in section 50AA of the Act. </w:t>
      </w:r>
    </w:p>
    <w:p w14:paraId="390E1ED6" w14:textId="7309763B" w:rsidR="0004290C" w:rsidRPr="0004290C" w:rsidRDefault="0004290C" w:rsidP="0004290C">
      <w:pPr>
        <w:pStyle w:val="LI-BodyTextUnnumbered"/>
      </w:pPr>
      <w:r w:rsidRPr="0004290C">
        <w:rPr>
          <w:b/>
          <w:bCs/>
          <w:i/>
        </w:rPr>
        <w:t>exempt liability</w:t>
      </w:r>
      <w:r w:rsidRPr="0004290C">
        <w:t xml:space="preserve"> means, in relation to a wholesale equity scheme, a liability arising from any act or omission relating to a wholesale equity financial service for which the trustee of the scheme may be indemnified from the trust property.</w:t>
      </w:r>
    </w:p>
    <w:p w14:paraId="6AEA11F0" w14:textId="77777777" w:rsidR="005759DA" w:rsidRDefault="0004290C" w:rsidP="0004290C">
      <w:pPr>
        <w:pStyle w:val="LI-BodyTextUnnumbered"/>
      </w:pPr>
      <w:r w:rsidRPr="0004290C">
        <w:rPr>
          <w:b/>
          <w:bCs/>
          <w:i/>
          <w:iCs/>
        </w:rPr>
        <w:t>incidental property</w:t>
      </w:r>
      <w:r w:rsidRPr="0004290C">
        <w:t xml:space="preserve">, in relation to a wholesale equity scheme, </w:t>
      </w:r>
      <w:r w:rsidR="005759DA" w:rsidRPr="005759DA">
        <w:t>means cash, deposits or current accounts with an Australian ADI or interests in a cash management trust that are held for no more than three months pending the acquisition of investment products, or expenditure or distribution to members.</w:t>
      </w:r>
    </w:p>
    <w:p w14:paraId="390E1ED8" w14:textId="786C5412" w:rsidR="0004290C" w:rsidRPr="0004290C" w:rsidRDefault="0004290C" w:rsidP="0004290C">
      <w:pPr>
        <w:pStyle w:val="LI-BodyTextUnnumbered"/>
      </w:pPr>
      <w:r w:rsidRPr="0004290C">
        <w:rPr>
          <w:b/>
          <w:bCs/>
          <w:i/>
          <w:iCs/>
        </w:rPr>
        <w:t>investment product</w:t>
      </w:r>
      <w:r w:rsidRPr="0004290C">
        <w:t xml:space="preserve"> means</w:t>
      </w:r>
      <w:r w:rsidR="00176106">
        <w:t xml:space="preserve"> each of the following</w:t>
      </w:r>
      <w:r w:rsidRPr="0004290C">
        <w:t xml:space="preserve">: </w:t>
      </w:r>
    </w:p>
    <w:p w14:paraId="390E1ED9" w14:textId="79DF8023" w:rsidR="0004290C" w:rsidRPr="005D3D41" w:rsidRDefault="0004290C" w:rsidP="0004290C">
      <w:pPr>
        <w:pStyle w:val="LI-BodyTextParaa"/>
      </w:pPr>
      <w:r w:rsidRPr="0004290C">
        <w:t>(a)</w:t>
      </w:r>
      <w:r w:rsidRPr="0004290C">
        <w:tab/>
        <w:t xml:space="preserve">a security; </w:t>
      </w:r>
    </w:p>
    <w:p w14:paraId="390E1EDA" w14:textId="0E43AAB1" w:rsidR="0004290C" w:rsidRPr="005D3D41" w:rsidRDefault="0004290C" w:rsidP="0004290C">
      <w:pPr>
        <w:pStyle w:val="LI-BodyTextParaa"/>
      </w:pPr>
      <w:r w:rsidRPr="0004290C">
        <w:t>(b)</w:t>
      </w:r>
      <w:r w:rsidRPr="0004290C">
        <w:tab/>
        <w:t xml:space="preserve">an option to acquire, by way of transfer, a security covered by paragraph (a), (b) or (c) of the definition of </w:t>
      </w:r>
      <w:r w:rsidRPr="0004290C">
        <w:rPr>
          <w:b/>
          <w:bCs/>
          <w:i/>
          <w:iCs/>
        </w:rPr>
        <w:t>security</w:t>
      </w:r>
      <w:r w:rsidRPr="0004290C">
        <w:t xml:space="preserve"> in section 761A of the Act; </w:t>
      </w:r>
    </w:p>
    <w:p w14:paraId="390E1EDB" w14:textId="470D23C7" w:rsidR="0004290C" w:rsidRPr="005D3D41" w:rsidRDefault="0004290C" w:rsidP="0004290C">
      <w:pPr>
        <w:pStyle w:val="LI-BodyTextParaa"/>
      </w:pPr>
      <w:r w:rsidRPr="0004290C">
        <w:t>(c)</w:t>
      </w:r>
      <w:r w:rsidRPr="0004290C">
        <w:tab/>
        <w:t xml:space="preserve">a managed investment product; </w:t>
      </w:r>
    </w:p>
    <w:p w14:paraId="390E1EDC" w14:textId="5E226155" w:rsidR="0004290C" w:rsidRPr="005D3D41" w:rsidRDefault="0004290C" w:rsidP="0004290C">
      <w:pPr>
        <w:pStyle w:val="LI-BodyTextParaa"/>
      </w:pPr>
      <w:r w:rsidRPr="0004290C">
        <w:t>(d)</w:t>
      </w:r>
      <w:r w:rsidRPr="0004290C">
        <w:tab/>
        <w:t xml:space="preserve">a financial product covered by paragraph 764A(1)(ba) of the Act; </w:t>
      </w:r>
    </w:p>
    <w:p w14:paraId="390E1EDD" w14:textId="67FCE420" w:rsidR="0004290C" w:rsidRPr="005D3D41" w:rsidRDefault="0004290C" w:rsidP="0004290C">
      <w:pPr>
        <w:pStyle w:val="LI-BodyTextParaa"/>
      </w:pPr>
      <w:r w:rsidRPr="0004290C">
        <w:lastRenderedPageBreak/>
        <w:t>(e)</w:t>
      </w:r>
      <w:r w:rsidRPr="0004290C">
        <w:tab/>
        <w:t xml:space="preserve">an option to acquire, by way of transfer, a financial product covered by subparagraph 764A(1)(b)(i) or (ii) of the Act; </w:t>
      </w:r>
    </w:p>
    <w:p w14:paraId="390E1EDE" w14:textId="77777777" w:rsidR="0004290C" w:rsidRPr="005D3D41" w:rsidRDefault="0004290C" w:rsidP="0004290C">
      <w:pPr>
        <w:pStyle w:val="LI-BodyTextParaa"/>
      </w:pPr>
      <w:r w:rsidRPr="0004290C">
        <w:t>(f)</w:t>
      </w:r>
      <w:r w:rsidRPr="0004290C">
        <w:tab/>
        <w:t xml:space="preserve">an option to acquire, by way of transfer, a financial product covered by subparagraph 764A(1)(ba)(i) or (ii) of the Act. </w:t>
      </w:r>
    </w:p>
    <w:p w14:paraId="73DB9A5E" w14:textId="53FABB22" w:rsidR="001D59DA" w:rsidRDefault="001D59DA" w:rsidP="0004290C">
      <w:pPr>
        <w:pStyle w:val="LI-BodyTextUnnumbered"/>
        <w:rPr>
          <w:b/>
          <w:bCs/>
          <w:i/>
        </w:rPr>
      </w:pPr>
      <w:r>
        <w:rPr>
          <w:b/>
          <w:bCs/>
          <w:i/>
        </w:rPr>
        <w:t>manager</w:t>
      </w:r>
      <w:r w:rsidRPr="00980DC6">
        <w:rPr>
          <w:bCs/>
        </w:rPr>
        <w:t>: see section 6.</w:t>
      </w:r>
    </w:p>
    <w:p w14:paraId="3CD07F67" w14:textId="2B1FA5CB" w:rsidR="00B45CE5" w:rsidRDefault="00B45CE5" w:rsidP="0004290C">
      <w:pPr>
        <w:pStyle w:val="LI-BodyTextUnnumbered"/>
        <w:rPr>
          <w:b/>
          <w:bCs/>
          <w:i/>
        </w:rPr>
      </w:pPr>
      <w:r>
        <w:rPr>
          <w:b/>
          <w:bCs/>
          <w:i/>
        </w:rPr>
        <w:t xml:space="preserve">old class order </w:t>
      </w:r>
      <w:r w:rsidRPr="00980DC6">
        <w:rPr>
          <w:bCs/>
        </w:rPr>
        <w:t>means ASIC Class Order [CO 07/74]</w:t>
      </w:r>
      <w:r w:rsidR="00176106">
        <w:rPr>
          <w:bCs/>
        </w:rPr>
        <w:t xml:space="preserve"> as in force immediately before its repeal</w:t>
      </w:r>
      <w:r w:rsidRPr="00980DC6">
        <w:rPr>
          <w:bCs/>
        </w:rPr>
        <w:t>.</w:t>
      </w:r>
    </w:p>
    <w:p w14:paraId="390E1EDF" w14:textId="6B35E41A" w:rsidR="00A031A1" w:rsidRPr="009F26A9" w:rsidRDefault="00A031A1" w:rsidP="0004290C">
      <w:pPr>
        <w:pStyle w:val="LI-BodyTextUnnumbered"/>
        <w:rPr>
          <w:bCs/>
        </w:rPr>
      </w:pPr>
      <w:r>
        <w:rPr>
          <w:b/>
          <w:bCs/>
          <w:i/>
        </w:rPr>
        <w:t xml:space="preserve">PF 209 </w:t>
      </w:r>
      <w:r>
        <w:rPr>
          <w:bCs/>
        </w:rPr>
        <w:t xml:space="preserve">means </w:t>
      </w:r>
      <w:r>
        <w:rPr>
          <w:bCs/>
          <w:i/>
        </w:rPr>
        <w:t xml:space="preserve">ASIC Pro Forma </w:t>
      </w:r>
      <w:r w:rsidR="0034214B">
        <w:rPr>
          <w:bCs/>
          <w:i/>
        </w:rPr>
        <w:t>209:</w:t>
      </w:r>
      <w:r>
        <w:rPr>
          <w:bCs/>
          <w:i/>
        </w:rPr>
        <w:t xml:space="preserve"> Australian financial services licence conditions</w:t>
      </w:r>
      <w:r w:rsidR="006B7FBC">
        <w:rPr>
          <w:bCs/>
          <w:i/>
        </w:rPr>
        <w:t xml:space="preserve"> </w:t>
      </w:r>
      <w:r w:rsidR="006B7FBC">
        <w:rPr>
          <w:bCs/>
        </w:rPr>
        <w:t>as at the date of this instrument</w:t>
      </w:r>
      <w:r>
        <w:rPr>
          <w:bCs/>
        </w:rPr>
        <w:t xml:space="preserve">. </w:t>
      </w:r>
    </w:p>
    <w:p w14:paraId="3B2E39A7" w14:textId="6FFBE289" w:rsidR="004357AB" w:rsidDel="004357AB" w:rsidRDefault="0004290C" w:rsidP="004357AB">
      <w:pPr>
        <w:pStyle w:val="LI-BodyTextUnnumbered"/>
      </w:pPr>
      <w:r w:rsidRPr="0004290C">
        <w:rPr>
          <w:b/>
          <w:bCs/>
          <w:i/>
        </w:rPr>
        <w:t>relevant financial conditions</w:t>
      </w:r>
      <w:r w:rsidRPr="0004290C">
        <w:t xml:space="preserve">, in relation to an </w:t>
      </w:r>
      <w:r w:rsidR="00890EC3">
        <w:t>Australian financial services</w:t>
      </w:r>
      <w:r w:rsidR="00890EC3" w:rsidRPr="0004290C">
        <w:t xml:space="preserve"> </w:t>
      </w:r>
      <w:r w:rsidRPr="0004290C">
        <w:t>licence, means</w:t>
      </w:r>
      <w:r w:rsidR="004357AB">
        <w:t xml:space="preserve"> conditions to the effect of conditions 13 (base level </w:t>
      </w:r>
      <w:r w:rsidR="00176106">
        <w:t xml:space="preserve">financial </w:t>
      </w:r>
      <w:r w:rsidR="004357AB">
        <w:t>requirements), 21 (financial requirements for holding client money or property), 22 (financial requirements for licensee transacting with clients) and 28 (audit opinion on financial requirements) of PF 209.</w:t>
      </w:r>
    </w:p>
    <w:p w14:paraId="390E1EE1" w14:textId="4F9CA6AA" w:rsidR="0004290C" w:rsidRPr="0004290C" w:rsidRDefault="0004290C" w:rsidP="0004290C">
      <w:pPr>
        <w:pStyle w:val="LI-BodyTextUnnumbered"/>
      </w:pPr>
      <w:r w:rsidRPr="0004290C">
        <w:rPr>
          <w:b/>
          <w:bCs/>
          <w:i/>
        </w:rPr>
        <w:t>representative</w:t>
      </w:r>
      <w:r w:rsidRPr="0004290C">
        <w:rPr>
          <w:b/>
          <w:bCs/>
        </w:rPr>
        <w:t xml:space="preserve"> </w:t>
      </w:r>
      <w:r w:rsidRPr="0004290C">
        <w:t>has the meaning given by section 910A of the Act.</w:t>
      </w:r>
    </w:p>
    <w:p w14:paraId="390E1EE3" w14:textId="75D5193B" w:rsidR="0004290C" w:rsidRPr="0004290C" w:rsidRDefault="0004290C" w:rsidP="0004290C">
      <w:pPr>
        <w:pStyle w:val="LI-BodyTextUnnumbered"/>
      </w:pPr>
      <w:r w:rsidRPr="0004290C">
        <w:rPr>
          <w:b/>
          <w:bCs/>
          <w:i/>
          <w:iCs/>
        </w:rPr>
        <w:t xml:space="preserve">trust property </w:t>
      </w:r>
      <w:r w:rsidRPr="0004290C">
        <w:t>of a wholesale equity scheme means:</w:t>
      </w:r>
    </w:p>
    <w:p w14:paraId="390E1EE4" w14:textId="3297174B" w:rsidR="0004290C" w:rsidRPr="005D3D41" w:rsidRDefault="0004290C" w:rsidP="0004290C">
      <w:pPr>
        <w:pStyle w:val="LI-BodyTextParaa"/>
      </w:pPr>
      <w:r w:rsidRPr="0004290C">
        <w:t>(a)</w:t>
      </w:r>
      <w:r w:rsidRPr="0004290C">
        <w:tab/>
        <w:t>contributions of money or money’s worth to the scheme; and</w:t>
      </w:r>
    </w:p>
    <w:p w14:paraId="390E1EE5" w14:textId="77777777" w:rsidR="0004290C" w:rsidRPr="005D3D41" w:rsidRDefault="0004290C" w:rsidP="0004290C">
      <w:pPr>
        <w:pStyle w:val="LI-BodyTextParaa"/>
      </w:pPr>
      <w:r w:rsidRPr="0004290C">
        <w:t>(b)</w:t>
      </w:r>
      <w:r w:rsidRPr="0004290C">
        <w:tab/>
        <w:t>money borrowed or raised by the trustee for the purposes of the scheme; and</w:t>
      </w:r>
    </w:p>
    <w:p w14:paraId="390E1EE6" w14:textId="700DD33F" w:rsidR="0004290C" w:rsidRPr="005D3D41" w:rsidRDefault="0004290C" w:rsidP="0004290C">
      <w:pPr>
        <w:pStyle w:val="LI-BodyTextParaa"/>
      </w:pPr>
      <w:r w:rsidRPr="0004290C">
        <w:t>(c)</w:t>
      </w:r>
      <w:r w:rsidRPr="0004290C">
        <w:tab/>
        <w:t xml:space="preserve">property acquired, directly or indirectly, with, or with the proceeds of, contributions or money referred to in </w:t>
      </w:r>
      <w:r w:rsidR="00213A5B">
        <w:t>paragraph</w:t>
      </w:r>
      <w:r w:rsidRPr="0004290C">
        <w:t xml:space="preserve"> (a) or (b); and</w:t>
      </w:r>
    </w:p>
    <w:p w14:paraId="390E1EE7" w14:textId="5EF611B2" w:rsidR="0004290C" w:rsidRDefault="0004290C" w:rsidP="0004290C">
      <w:pPr>
        <w:pStyle w:val="LI-BodyTextParaa"/>
      </w:pPr>
      <w:r w:rsidRPr="0004290C">
        <w:t>(d)</w:t>
      </w:r>
      <w:r w:rsidRPr="0004290C">
        <w:tab/>
        <w:t xml:space="preserve">income and property derived, directly or indirectly, from contributions, money or property referred to in </w:t>
      </w:r>
      <w:r w:rsidR="00D06624">
        <w:t>paragraph</w:t>
      </w:r>
      <w:r w:rsidRPr="0004290C">
        <w:t xml:space="preserve"> (a), (b) or (c). </w:t>
      </w:r>
    </w:p>
    <w:p w14:paraId="787A5708" w14:textId="54556699" w:rsidR="00075A88" w:rsidRDefault="00075A88" w:rsidP="00075A88">
      <w:pPr>
        <w:pStyle w:val="LI-BodyTextUnnumbered"/>
        <w:rPr>
          <w:b/>
          <w:bCs/>
          <w:i/>
          <w:iCs/>
        </w:rPr>
      </w:pPr>
      <w:r>
        <w:rPr>
          <w:b/>
          <w:bCs/>
          <w:i/>
          <w:iCs/>
        </w:rPr>
        <w:t>trustee</w:t>
      </w:r>
      <w:r w:rsidR="00683794">
        <w:rPr>
          <w:bCs/>
          <w:iCs/>
        </w:rPr>
        <w:t>: see section 5</w:t>
      </w:r>
      <w:r>
        <w:rPr>
          <w:bCs/>
          <w:iCs/>
        </w:rPr>
        <w:t>.</w:t>
      </w:r>
    </w:p>
    <w:p w14:paraId="3D49FFF3" w14:textId="73C6DE00" w:rsidR="00683794" w:rsidRDefault="00683794" w:rsidP="0004290C">
      <w:pPr>
        <w:pStyle w:val="LI-BodyTextUnnumbered"/>
        <w:rPr>
          <w:b/>
          <w:bCs/>
          <w:i/>
        </w:rPr>
      </w:pPr>
      <w:r>
        <w:rPr>
          <w:b/>
          <w:bCs/>
          <w:i/>
        </w:rPr>
        <w:t>wholesale equity financial services</w:t>
      </w:r>
      <w:r w:rsidRPr="00980DC6">
        <w:rPr>
          <w:bCs/>
        </w:rPr>
        <w:t>: see section 5.</w:t>
      </w:r>
    </w:p>
    <w:p w14:paraId="390E1EE8" w14:textId="2978568A" w:rsidR="0004290C" w:rsidRPr="0004290C" w:rsidRDefault="0004290C" w:rsidP="0004290C">
      <w:pPr>
        <w:pStyle w:val="LI-BodyTextUnnumbered"/>
      </w:pPr>
      <w:r w:rsidRPr="0004290C">
        <w:rPr>
          <w:b/>
          <w:bCs/>
          <w:i/>
        </w:rPr>
        <w:t>wholesale equity scheme</w:t>
      </w:r>
      <w:r w:rsidRPr="0004290C">
        <w:rPr>
          <w:i/>
        </w:rPr>
        <w:t xml:space="preserve"> </w:t>
      </w:r>
      <w:r w:rsidRPr="0004290C">
        <w:t xml:space="preserve">means a trust that </w:t>
      </w:r>
      <w:r w:rsidRPr="00EF17CD">
        <w:t>is</w:t>
      </w:r>
      <w:r w:rsidR="00EE2CC9" w:rsidRPr="00EF17CD">
        <w:t xml:space="preserve"> operated under</w:t>
      </w:r>
      <w:r w:rsidRPr="00EF17CD">
        <w:t xml:space="preserve"> a</w:t>
      </w:r>
      <w:r w:rsidRPr="0004290C">
        <w:t xml:space="preserve"> managed investment scheme to which all of the following apply:</w:t>
      </w:r>
    </w:p>
    <w:p w14:paraId="390E1EE9" w14:textId="01C60B44" w:rsidR="0004290C" w:rsidRPr="005D3D41" w:rsidRDefault="0004290C" w:rsidP="0004290C">
      <w:pPr>
        <w:pStyle w:val="LI-BodyTextParaa"/>
      </w:pPr>
      <w:r w:rsidRPr="0004290C">
        <w:t>(a)</w:t>
      </w:r>
      <w:r w:rsidRPr="0004290C">
        <w:tab/>
        <w:t xml:space="preserve">the scheme is not </w:t>
      </w:r>
      <w:r w:rsidRPr="0034214B">
        <w:t>registered; and</w:t>
      </w:r>
    </w:p>
    <w:p w14:paraId="390E1EEB" w14:textId="1F5B9768" w:rsidR="0004290C" w:rsidRPr="005D3D41" w:rsidRDefault="0004290C" w:rsidP="0004290C">
      <w:pPr>
        <w:pStyle w:val="LI-BodyTextParaa"/>
      </w:pPr>
      <w:bookmarkStart w:id="8" w:name="_GoBack"/>
      <w:bookmarkEnd w:id="8"/>
      <w:r w:rsidRPr="0004290C">
        <w:t>(b)</w:t>
      </w:r>
      <w:r w:rsidRPr="0004290C">
        <w:tab/>
        <w:t>all of the trust property (other than incidental property) consists of investment products; and</w:t>
      </w:r>
    </w:p>
    <w:p w14:paraId="35F8D715" w14:textId="6B4DD1BF" w:rsidR="006376E2" w:rsidRDefault="0004290C" w:rsidP="0004290C">
      <w:pPr>
        <w:pStyle w:val="LI-BodyTextParaa"/>
      </w:pPr>
      <w:r w:rsidRPr="0004290C">
        <w:t>(c)</w:t>
      </w:r>
      <w:r w:rsidRPr="0004290C">
        <w:tab/>
        <w:t>at all times the value of investment products which are quoted on a financial market does not exceed 20% of the trustee’s reasonable estimate of the market value of the trust property</w:t>
      </w:r>
      <w:r w:rsidR="006376E2">
        <w:t>;</w:t>
      </w:r>
    </w:p>
    <w:p w14:paraId="390E1EEC" w14:textId="30B4AF51" w:rsidR="0004290C" w:rsidRPr="005D3D41" w:rsidRDefault="006376E2" w:rsidP="0004290C">
      <w:pPr>
        <w:pStyle w:val="LI-BodyTextParaa"/>
      </w:pPr>
      <w:r>
        <w:lastRenderedPageBreak/>
        <w:t>(d)</w:t>
      </w:r>
      <w:r>
        <w:tab/>
        <w:t>no interests in the scheme have been issued to a person as a retail client.</w:t>
      </w:r>
      <w:r w:rsidR="0004290C" w:rsidRPr="0004290C">
        <w:t xml:space="preserve"> </w:t>
      </w:r>
    </w:p>
    <w:p w14:paraId="390E1EEE" w14:textId="77777777" w:rsidR="00B73AE9" w:rsidRDefault="00B73AE9" w:rsidP="00FC3EB8">
      <w:pPr>
        <w:pStyle w:val="LI-BodyTextParaa"/>
        <w:sectPr w:rsidR="00B73AE9" w:rsidSect="007D230B">
          <w:headerReference w:type="even" r:id="rId24"/>
          <w:headerReference w:type="default" r:id="rId25"/>
          <w:footerReference w:type="even" r:id="rId26"/>
          <w:headerReference w:type="first" r:id="rId27"/>
          <w:footerReference w:type="first" r:id="rId28"/>
          <w:pgSz w:w="11907" w:h="16839" w:code="9"/>
          <w:pgMar w:top="1534" w:right="1797" w:bottom="1440" w:left="1797" w:header="720" w:footer="709" w:gutter="0"/>
          <w:cols w:space="708"/>
          <w:docGrid w:linePitch="360"/>
        </w:sectPr>
      </w:pPr>
    </w:p>
    <w:p w14:paraId="390E1EEF" w14:textId="77777777" w:rsidR="00FA31DE" w:rsidRPr="00F61B09" w:rsidRDefault="00FA31DE" w:rsidP="00015719">
      <w:pPr>
        <w:pStyle w:val="LI-Heading1"/>
        <w:ind w:left="1138" w:hanging="1138"/>
      </w:pPr>
      <w:bookmarkStart w:id="9" w:name="_Toc493761007"/>
      <w:r w:rsidRPr="006554FF">
        <w:lastRenderedPageBreak/>
        <w:t>Part</w:t>
      </w:r>
      <w:r w:rsidR="005D0489" w:rsidRPr="006554FF">
        <w:t xml:space="preserve"> </w:t>
      </w:r>
      <w:r w:rsidR="005D0489" w:rsidRPr="006E5320">
        <w:t>2</w:t>
      </w:r>
      <w:r w:rsidRPr="00F61B09">
        <w:t>—Exemption</w:t>
      </w:r>
      <w:bookmarkEnd w:id="9"/>
    </w:p>
    <w:p w14:paraId="390E1EF0" w14:textId="71DA9375" w:rsidR="00FA31DE" w:rsidRPr="005D3D41" w:rsidRDefault="00FC3EB8" w:rsidP="00005446">
      <w:pPr>
        <w:pStyle w:val="LI-Heading2"/>
      </w:pPr>
      <w:bookmarkStart w:id="10" w:name="_Toc493761008"/>
      <w:r>
        <w:t>5</w:t>
      </w:r>
      <w:r>
        <w:tab/>
      </w:r>
      <w:r w:rsidR="00F54F51">
        <w:t>Licensing relief</w:t>
      </w:r>
      <w:r w:rsidR="00683794">
        <w:t xml:space="preserve"> for eligible trustees</w:t>
      </w:r>
      <w:bookmarkEnd w:id="10"/>
    </w:p>
    <w:p w14:paraId="390E1EF1" w14:textId="79346C11" w:rsidR="00FA31DE" w:rsidRPr="005D3D41" w:rsidRDefault="00F54F51" w:rsidP="00980DC6">
      <w:pPr>
        <w:pStyle w:val="LI-Heading3"/>
        <w:ind w:left="1134"/>
        <w:rPr>
          <w:sz w:val="24"/>
          <w:szCs w:val="24"/>
        </w:rPr>
      </w:pPr>
      <w:r w:rsidRPr="00F54F51">
        <w:rPr>
          <w:i w:val="0"/>
          <w:sz w:val="24"/>
          <w:szCs w:val="24"/>
        </w:rPr>
        <w:t>A person (</w:t>
      </w:r>
      <w:r w:rsidRPr="00E67B46">
        <w:rPr>
          <w:b/>
          <w:bCs/>
          <w:iCs/>
          <w:sz w:val="24"/>
          <w:szCs w:val="24"/>
        </w:rPr>
        <w:t>trustee</w:t>
      </w:r>
      <w:r w:rsidRPr="00F54F51">
        <w:rPr>
          <w:i w:val="0"/>
          <w:sz w:val="24"/>
          <w:szCs w:val="24"/>
        </w:rPr>
        <w:t xml:space="preserve">) who is an eligible trustee of a wholesale equity scheme does not have to comply with </w:t>
      </w:r>
      <w:r w:rsidR="00890EC3">
        <w:rPr>
          <w:i w:val="0"/>
          <w:sz w:val="24"/>
          <w:szCs w:val="24"/>
        </w:rPr>
        <w:t xml:space="preserve">subsection 911A(1) of the Act </w:t>
      </w:r>
      <w:r w:rsidRPr="00F54F51">
        <w:rPr>
          <w:i w:val="0"/>
          <w:sz w:val="24"/>
          <w:szCs w:val="24"/>
        </w:rPr>
        <w:t>for the provision of the following financial services (</w:t>
      </w:r>
      <w:r w:rsidRPr="00D24A14">
        <w:rPr>
          <w:b/>
          <w:bCs/>
          <w:iCs/>
          <w:sz w:val="24"/>
          <w:szCs w:val="24"/>
        </w:rPr>
        <w:t>wholesale equity financial services</w:t>
      </w:r>
      <w:r w:rsidRPr="00F54F51">
        <w:rPr>
          <w:i w:val="0"/>
          <w:sz w:val="24"/>
          <w:szCs w:val="24"/>
        </w:rPr>
        <w:t>):</w:t>
      </w:r>
    </w:p>
    <w:p w14:paraId="390E1EF2" w14:textId="3CA7B64A" w:rsidR="009D1818" w:rsidRPr="005D3D41" w:rsidRDefault="00FA31DE" w:rsidP="00CF324E">
      <w:pPr>
        <w:pStyle w:val="LI-BodyTextNumbered"/>
        <w:ind w:left="1701"/>
      </w:pPr>
      <w:r w:rsidRPr="005D3D41">
        <w:t>(</w:t>
      </w:r>
      <w:r w:rsidR="001A5660">
        <w:t>a</w:t>
      </w:r>
      <w:r w:rsidRPr="005D3D41">
        <w:t>)</w:t>
      </w:r>
      <w:r w:rsidR="009D1818" w:rsidRPr="005D3D41">
        <w:tab/>
      </w:r>
      <w:r w:rsidR="00F54F51" w:rsidRPr="00EF17CD">
        <w:t xml:space="preserve">dealing in </w:t>
      </w:r>
      <w:r w:rsidR="00EE2CC9" w:rsidRPr="00EF17CD">
        <w:t>(other than by issuing to a person as a retail client)</w:t>
      </w:r>
      <w:r w:rsidR="00EE2CC9">
        <w:t xml:space="preserve"> </w:t>
      </w:r>
      <w:r w:rsidR="00F54F51">
        <w:t>investment products</w:t>
      </w:r>
      <w:r w:rsidR="00EF17CD">
        <w:t xml:space="preserve"> </w:t>
      </w:r>
      <w:r w:rsidR="00F54F51">
        <w:t>that form part of the trust property of the wholesale equity scheme</w:t>
      </w:r>
      <w:r w:rsidR="001A5660">
        <w:t>;</w:t>
      </w:r>
      <w:r w:rsidR="00F54F51">
        <w:t xml:space="preserve"> and</w:t>
      </w:r>
      <w:r w:rsidR="009D1818" w:rsidRPr="005D3D41">
        <w:t xml:space="preserve"> </w:t>
      </w:r>
    </w:p>
    <w:p w14:paraId="390E1EF3" w14:textId="1FDD43DF" w:rsidR="00FA31DE" w:rsidRPr="005D3D41" w:rsidRDefault="009D1818" w:rsidP="00CF324E">
      <w:pPr>
        <w:pStyle w:val="LI-BodyTextNumbered"/>
        <w:ind w:left="1701"/>
      </w:pPr>
      <w:r w:rsidRPr="005D3D41">
        <w:t>(</w:t>
      </w:r>
      <w:r w:rsidR="001A5660">
        <w:t>b</w:t>
      </w:r>
      <w:r w:rsidRPr="005D3D41">
        <w:t>)</w:t>
      </w:r>
      <w:r w:rsidRPr="005D3D41">
        <w:tab/>
      </w:r>
      <w:r w:rsidR="00F54F51">
        <w:t xml:space="preserve">providing a custodial or depository service in relation to the </w:t>
      </w:r>
      <w:r w:rsidR="00890EC3">
        <w:t xml:space="preserve">investment </w:t>
      </w:r>
      <w:r w:rsidR="00F54F51">
        <w:t>products.</w:t>
      </w:r>
    </w:p>
    <w:p w14:paraId="390E1EF4" w14:textId="7D7C78DE" w:rsidR="00DB38AD" w:rsidRDefault="00DB38AD" w:rsidP="00F54F51">
      <w:pPr>
        <w:pStyle w:val="LI-BodyTextNote"/>
        <w:spacing w:before="240"/>
      </w:pPr>
      <w:r w:rsidRPr="005D3D41">
        <w:t>Note</w:t>
      </w:r>
      <w:r w:rsidR="00890EC3">
        <w:t xml:space="preserve"> 1</w:t>
      </w:r>
      <w:r w:rsidRPr="005D3D41">
        <w:t>:</w:t>
      </w:r>
      <w:r w:rsidRPr="005D3D41">
        <w:tab/>
      </w:r>
      <w:r w:rsidR="00F54F51">
        <w:t xml:space="preserve">A trustee may also have the benefit of paragraph 911A(2)(b) of the Act which will allow it to issue interests in a wholesale equity scheme without an </w:t>
      </w:r>
      <w:r w:rsidR="00890EC3">
        <w:t xml:space="preserve">Australian financial services </w:t>
      </w:r>
      <w:r w:rsidR="00F54F51">
        <w:t xml:space="preserve">licence if certain circumstances exist. </w:t>
      </w:r>
    </w:p>
    <w:p w14:paraId="19AD7528" w14:textId="6BC88F31" w:rsidR="00890EC3" w:rsidRDefault="00890EC3" w:rsidP="00890EC3">
      <w:pPr>
        <w:pStyle w:val="LI-BodyTextNote"/>
        <w:spacing w:before="240"/>
      </w:pPr>
      <w:r w:rsidRPr="00DC18D1">
        <w:t>Note</w:t>
      </w:r>
      <w:r>
        <w:t xml:space="preserve"> 2</w:t>
      </w:r>
      <w:r w:rsidRPr="00DC18D1">
        <w:t>:</w:t>
      </w:r>
      <w:r>
        <w:tab/>
      </w:r>
      <w:r w:rsidRPr="00854285">
        <w:rPr>
          <w:i/>
        </w:rPr>
        <w:t>ASIC Corporations (</w:t>
      </w:r>
      <w:r w:rsidR="00176106">
        <w:rPr>
          <w:i/>
        </w:rPr>
        <w:t>Miscellaneous Technical Relief</w:t>
      </w:r>
      <w:r w:rsidRPr="00854285">
        <w:rPr>
          <w:i/>
        </w:rPr>
        <w:t>) Instrument 2015/1115</w:t>
      </w:r>
      <w:r w:rsidRPr="00DC18D1">
        <w:t xml:space="preserve"> provides relief from subsection</w:t>
      </w:r>
      <w:r w:rsidR="00176106">
        <w:t>s 911A(1) and</w:t>
      </w:r>
      <w:r w:rsidRPr="00DC18D1">
        <w:t xml:space="preserve"> 911B(1) of the Act to a person who provides financial services on behalf of a person who does not need an Australian financial services licence because of an exemption under section 926A of the Act.</w:t>
      </w:r>
    </w:p>
    <w:p w14:paraId="390E1EF7" w14:textId="06D96BA2" w:rsidR="009944E6" w:rsidRPr="00F61B09" w:rsidRDefault="00DB0515" w:rsidP="006A0BFE">
      <w:pPr>
        <w:pStyle w:val="LI-Heading2"/>
      </w:pPr>
      <w:bookmarkStart w:id="11" w:name="_Toc493761009"/>
      <w:r>
        <w:t>6</w:t>
      </w:r>
      <w:r w:rsidR="00FC3EB8" w:rsidRPr="005D3D41">
        <w:tab/>
      </w:r>
      <w:r>
        <w:t>Where the relief applies</w:t>
      </w:r>
      <w:bookmarkEnd w:id="11"/>
    </w:p>
    <w:p w14:paraId="390E1EF8" w14:textId="3B562A0F" w:rsidR="009944E6" w:rsidRPr="005D3D41" w:rsidRDefault="00F54F51" w:rsidP="009944E6">
      <w:pPr>
        <w:pStyle w:val="LI-Heading3"/>
        <w:rPr>
          <w:sz w:val="24"/>
          <w:szCs w:val="24"/>
        </w:rPr>
      </w:pPr>
      <w:r>
        <w:rPr>
          <w:i w:val="0"/>
          <w:sz w:val="24"/>
          <w:szCs w:val="24"/>
        </w:rPr>
        <w:t>The exemption</w:t>
      </w:r>
      <w:r w:rsidR="00C72952">
        <w:rPr>
          <w:i w:val="0"/>
          <w:sz w:val="24"/>
          <w:szCs w:val="24"/>
        </w:rPr>
        <w:t xml:space="preserve"> in </w:t>
      </w:r>
      <w:r w:rsidR="009B4C76">
        <w:rPr>
          <w:i w:val="0"/>
          <w:sz w:val="24"/>
          <w:szCs w:val="24"/>
        </w:rPr>
        <w:t>section</w:t>
      </w:r>
      <w:r w:rsidR="00C72952">
        <w:rPr>
          <w:i w:val="0"/>
          <w:sz w:val="24"/>
          <w:szCs w:val="24"/>
        </w:rPr>
        <w:t xml:space="preserve"> 5</w:t>
      </w:r>
      <w:r w:rsidR="007357B3">
        <w:rPr>
          <w:i w:val="0"/>
          <w:sz w:val="24"/>
          <w:szCs w:val="24"/>
        </w:rPr>
        <w:t xml:space="preserve"> </w:t>
      </w:r>
      <w:r w:rsidR="00C72952">
        <w:rPr>
          <w:i w:val="0"/>
          <w:sz w:val="24"/>
          <w:szCs w:val="24"/>
        </w:rPr>
        <w:t>is available where all of the following apply:</w:t>
      </w:r>
    </w:p>
    <w:p w14:paraId="390E1EF9" w14:textId="4B80734A" w:rsidR="009944E6" w:rsidRPr="005D3D41" w:rsidRDefault="00C72952" w:rsidP="00005446">
      <w:pPr>
        <w:pStyle w:val="LI-BodyTextNumbered"/>
      </w:pPr>
      <w:r>
        <w:t>(</w:t>
      </w:r>
      <w:r w:rsidR="00890EC3">
        <w:t>a</w:t>
      </w:r>
      <w:r>
        <w:t>)</w:t>
      </w:r>
      <w:r>
        <w:tab/>
        <w:t xml:space="preserve">a related body corporate (the </w:t>
      </w:r>
      <w:r w:rsidRPr="00C72952">
        <w:rPr>
          <w:b/>
          <w:i/>
        </w:rPr>
        <w:t>manager</w:t>
      </w:r>
      <w:r>
        <w:t xml:space="preserve">) of the trustee holds an </w:t>
      </w:r>
      <w:r w:rsidR="00890EC3">
        <w:t xml:space="preserve">Australian financial services </w:t>
      </w:r>
      <w:r>
        <w:t>licence that:</w:t>
      </w:r>
      <w:r w:rsidR="009944E6" w:rsidRPr="005D3D41">
        <w:t xml:space="preserve"> </w:t>
      </w:r>
    </w:p>
    <w:p w14:paraId="390E1EFA" w14:textId="31B2B4FE" w:rsidR="009944E6" w:rsidRPr="005D3D41" w:rsidRDefault="009944E6" w:rsidP="00005446">
      <w:pPr>
        <w:pStyle w:val="LI-BodyTextParaa"/>
      </w:pPr>
      <w:r w:rsidRPr="00E06CC3">
        <w:t>(</w:t>
      </w:r>
      <w:r w:rsidR="00890EC3">
        <w:t>i</w:t>
      </w:r>
      <w:r w:rsidRPr="00E06CC3">
        <w:t>)</w:t>
      </w:r>
      <w:r w:rsidRPr="00E06CC3">
        <w:tab/>
      </w:r>
      <w:r w:rsidR="00C72952">
        <w:t xml:space="preserve">authorises the manager to provide </w:t>
      </w:r>
      <w:r w:rsidR="0089310D">
        <w:t xml:space="preserve">all of </w:t>
      </w:r>
      <w:r w:rsidR="0089310D" w:rsidRPr="00EF17CD">
        <w:t xml:space="preserve">the </w:t>
      </w:r>
      <w:r w:rsidR="00EE2CC9" w:rsidRPr="00EF17CD">
        <w:t xml:space="preserve">wholesale equity </w:t>
      </w:r>
      <w:r w:rsidR="0089310D" w:rsidRPr="00EF17CD">
        <w:t xml:space="preserve">financial services that are provided by the trustee </w:t>
      </w:r>
      <w:r w:rsidR="002E6A39" w:rsidRPr="00EF17CD">
        <w:t>in reliance on</w:t>
      </w:r>
      <w:r w:rsidR="0089310D" w:rsidRPr="00EF17CD">
        <w:t xml:space="preserve"> </w:t>
      </w:r>
      <w:r w:rsidR="00EE2CC9" w:rsidRPr="00EF17CD">
        <w:t>section</w:t>
      </w:r>
      <w:r w:rsidR="0089310D" w:rsidRPr="00EF17CD">
        <w:t xml:space="preserve"> 5</w:t>
      </w:r>
      <w:r w:rsidRPr="00EF17CD">
        <w:t>; and</w:t>
      </w:r>
    </w:p>
    <w:p w14:paraId="390E1EFB" w14:textId="68E03586" w:rsidR="009944E6" w:rsidRPr="005D3D41" w:rsidRDefault="009944E6" w:rsidP="00005446">
      <w:pPr>
        <w:pStyle w:val="LI-BodyTextParaa"/>
      </w:pPr>
      <w:r w:rsidRPr="005D3D41">
        <w:t>(</w:t>
      </w:r>
      <w:r w:rsidR="00890EC3">
        <w:t>ii</w:t>
      </w:r>
      <w:r w:rsidRPr="005D3D41">
        <w:t>)</w:t>
      </w:r>
      <w:r w:rsidRPr="005D3D41">
        <w:tab/>
      </w:r>
      <w:r w:rsidR="00C72952">
        <w:t xml:space="preserve">contains </w:t>
      </w:r>
      <w:r w:rsidR="00566355">
        <w:t>conditions to the effect that the manager must:</w:t>
      </w:r>
    </w:p>
    <w:p w14:paraId="390E1EFC" w14:textId="324DBA56" w:rsidR="00566355" w:rsidRPr="005D3D41" w:rsidRDefault="00566355" w:rsidP="00566355">
      <w:pPr>
        <w:pStyle w:val="LI-BodyTextSubparai"/>
      </w:pPr>
      <w:r w:rsidRPr="005D3D41">
        <w:t>(</w:t>
      </w:r>
      <w:r w:rsidR="00890EC3">
        <w:t>A</w:t>
      </w:r>
      <w:r w:rsidRPr="005D3D41">
        <w:t>)</w:t>
      </w:r>
      <w:r w:rsidRPr="005D3D41">
        <w:tab/>
      </w:r>
      <w:r>
        <w:t xml:space="preserve">as far as possible, comply with the Act as if the trustee were </w:t>
      </w:r>
      <w:r w:rsidRPr="00EF17CD">
        <w:t xml:space="preserve">providing </w:t>
      </w:r>
      <w:r w:rsidR="00DB5111" w:rsidRPr="00EF17CD">
        <w:t>those</w:t>
      </w:r>
      <w:r w:rsidR="00EE2CC9" w:rsidRPr="00EF17CD">
        <w:t xml:space="preserve"> </w:t>
      </w:r>
      <w:r w:rsidRPr="00EF17CD">
        <w:t>wholesale</w:t>
      </w:r>
      <w:r>
        <w:t xml:space="preserve"> equity financial services</w:t>
      </w:r>
      <w:r w:rsidR="00557B7B">
        <w:t xml:space="preserve"> </w:t>
      </w:r>
      <w:r>
        <w:t>as the manager’s representative; and</w:t>
      </w:r>
      <w:r w:rsidRPr="005D3D41">
        <w:t xml:space="preserve"> </w:t>
      </w:r>
    </w:p>
    <w:p w14:paraId="390E1EFD" w14:textId="494171AE" w:rsidR="00566355" w:rsidRDefault="00566355" w:rsidP="00566355">
      <w:pPr>
        <w:pStyle w:val="LI-BodyTextSubparai"/>
      </w:pPr>
      <w:r w:rsidRPr="005D3D41">
        <w:t>(</w:t>
      </w:r>
      <w:r w:rsidR="00890EC3">
        <w:t>B</w:t>
      </w:r>
      <w:r w:rsidRPr="005D3D41">
        <w:t>)</w:t>
      </w:r>
      <w:r w:rsidRPr="005D3D41">
        <w:tab/>
      </w:r>
      <w:r w:rsidRPr="00566355">
        <w:t xml:space="preserve">have in place a deed poll that contains enforceable, unlimited and irrevocable covenants, for the benefit of each </w:t>
      </w:r>
      <w:r w:rsidR="00013B18">
        <w:t>person (</w:t>
      </w:r>
      <w:r w:rsidR="00075A88" w:rsidRPr="00980DC6">
        <w:rPr>
          <w:b/>
          <w:i/>
        </w:rPr>
        <w:t>beneficiary</w:t>
      </w:r>
      <w:r w:rsidR="00013B18">
        <w:t>) to whom the trustee provides a wholesale equity financial service</w:t>
      </w:r>
      <w:r w:rsidRPr="00566355">
        <w:t>, to the effect that the manager will indemnify the beneficiary in relation to any liability (other than an exempt liability) that arises from the trustee’s provision of a wholesale equity financial service to the beneficiary; and</w:t>
      </w:r>
    </w:p>
    <w:p w14:paraId="1C045921" w14:textId="620F9091" w:rsidR="009D7E13" w:rsidRDefault="00566355" w:rsidP="00566355">
      <w:pPr>
        <w:pStyle w:val="LI-BodyTextSubparai"/>
      </w:pPr>
      <w:r>
        <w:lastRenderedPageBreak/>
        <w:t>(</w:t>
      </w:r>
      <w:r w:rsidR="00890EC3">
        <w:t>C</w:t>
      </w:r>
      <w:r>
        <w:t>)</w:t>
      </w:r>
      <w:r>
        <w:tab/>
        <w:t xml:space="preserve">for the purposes of the relevant financial conditions of the manager’s </w:t>
      </w:r>
      <w:r w:rsidR="00890EC3">
        <w:t xml:space="preserve">Australian financial services </w:t>
      </w:r>
      <w:r>
        <w:t>licence—treat the assets, liabilities, cash inflows and cash outflows of the trustee as though they were included in the assets, liabilities, cash inflows and cash outflows of the manager</w:t>
      </w:r>
      <w:r w:rsidR="001D59DA">
        <w:t>;</w:t>
      </w:r>
    </w:p>
    <w:p w14:paraId="0C564D65" w14:textId="7D81D15F" w:rsidR="00176106" w:rsidRDefault="00176106" w:rsidP="00C725EF">
      <w:pPr>
        <w:pStyle w:val="LI-SectionNote"/>
        <w:ind w:left="2268"/>
      </w:pPr>
      <w:r>
        <w:t xml:space="preserve">Note: </w:t>
      </w:r>
      <w:r w:rsidR="00A94F23">
        <w:tab/>
      </w:r>
      <w:r>
        <w:t xml:space="preserve">The manager will </w:t>
      </w:r>
      <w:r w:rsidR="00A94F23">
        <w:t xml:space="preserve">also </w:t>
      </w:r>
      <w:r>
        <w:t>need to comply with sections 912AA and 912AC of the Act</w:t>
      </w:r>
      <w:r w:rsidR="00A94F23">
        <w:t xml:space="preserve"> (as notionally inserted by ASIC Class Orders [CO 13/760] and [CO 13/761] and if otherwise applicable to the manager)</w:t>
      </w:r>
      <w:r>
        <w:t xml:space="preserve"> as </w:t>
      </w:r>
      <w:r w:rsidR="00A94F23">
        <w:t>if the assets, liabilities, cash inflows and cash outflows of the trustee were included in the assets, liabilities, cash inflows and cash outflows of the manager: see notional subsections 912AA(2A) and 912AC(2A) of the Act.</w:t>
      </w:r>
    </w:p>
    <w:p w14:paraId="7E3103BB" w14:textId="5C2B2329" w:rsidR="00E73AEB" w:rsidRDefault="00566355">
      <w:pPr>
        <w:pStyle w:val="LI-BodyTextNumbered"/>
      </w:pPr>
      <w:r w:rsidRPr="005D3D41">
        <w:t>(</w:t>
      </w:r>
      <w:r w:rsidR="00760969">
        <w:t>b</w:t>
      </w:r>
      <w:r w:rsidRPr="005D3D41">
        <w:t>)</w:t>
      </w:r>
      <w:r w:rsidRPr="005D3D41">
        <w:tab/>
      </w:r>
      <w:r w:rsidR="0027339F">
        <w:t>if the trustee or manager becomes aware or should reasonably have become aware of matters that give it reason to believe that the trustee has failed to comply</w:t>
      </w:r>
      <w:r w:rsidR="00EF17CD">
        <w:t>, other than in an immaterial respect,</w:t>
      </w:r>
      <w:r w:rsidR="0027339F">
        <w:t xml:space="preserve"> with the condition</w:t>
      </w:r>
      <w:r w:rsidR="00CF324E">
        <w:t>s</w:t>
      </w:r>
      <w:r w:rsidR="0027339F">
        <w:t xml:space="preserve"> in section </w:t>
      </w:r>
      <w:r w:rsidR="00CF324E">
        <w:t>7</w:t>
      </w:r>
      <w:r w:rsidR="0027339F">
        <w:t xml:space="preserve">, </w:t>
      </w:r>
      <w:r w:rsidR="003F39C2" w:rsidRPr="00566355">
        <w:t>10 business days have not elapsed without full particulars of the failure having been provided to ASIC in writing (to the extent that the trustee or manager knows those particulars or would have known them if it had undertaken reasonable enquiries)</w:t>
      </w:r>
      <w:r w:rsidR="00EF17CD">
        <w:t>.</w:t>
      </w:r>
    </w:p>
    <w:p w14:paraId="64FDBF9A" w14:textId="33A5E05D" w:rsidR="00B45EB4" w:rsidRDefault="00B45EB4" w:rsidP="00B45EB4">
      <w:pPr>
        <w:pStyle w:val="LI-Heading2"/>
      </w:pPr>
      <w:bookmarkStart w:id="12" w:name="_Toc493761010"/>
      <w:r>
        <w:t>7</w:t>
      </w:r>
      <w:r>
        <w:tab/>
        <w:t>Conditions</w:t>
      </w:r>
      <w:bookmarkEnd w:id="12"/>
    </w:p>
    <w:p w14:paraId="75AC7007" w14:textId="3D0E376E" w:rsidR="00B45EB4" w:rsidRDefault="006B6EB2" w:rsidP="00980DC6">
      <w:pPr>
        <w:pStyle w:val="LI-BodyTextUnnumbered"/>
        <w:ind w:hanging="567"/>
      </w:pPr>
      <w:r>
        <w:t>(1)</w:t>
      </w:r>
      <w:r>
        <w:tab/>
      </w:r>
      <w:r w:rsidR="002D5EA0">
        <w:t>The</w:t>
      </w:r>
      <w:r w:rsidR="00B45EB4">
        <w:t xml:space="preserve"> trustee must comply with:</w:t>
      </w:r>
    </w:p>
    <w:p w14:paraId="7352AAC2" w14:textId="42EE8A12" w:rsidR="00B45EB4" w:rsidRDefault="00B45EB4" w:rsidP="00B45EB4">
      <w:pPr>
        <w:pStyle w:val="LI-BodyTextUnnumbered"/>
        <w:ind w:left="1701" w:hanging="567"/>
      </w:pPr>
      <w:r>
        <w:t>(a)</w:t>
      </w:r>
      <w:r>
        <w:tab/>
      </w:r>
      <w:r w:rsidR="002D5EA0">
        <w:t>for so long as the trustee relies on the exemption in section 5—</w:t>
      </w:r>
      <w:r>
        <w:t xml:space="preserve">conditions 13(a) and (b) of PF 209 as if </w:t>
      </w:r>
      <w:r w:rsidR="00CF324E">
        <w:t>the trustee</w:t>
      </w:r>
      <w:r>
        <w:t xml:space="preserve"> were a financial services licensee whose licence contained those conditions; and</w:t>
      </w:r>
    </w:p>
    <w:p w14:paraId="456DDC2C" w14:textId="68DBB33D" w:rsidR="00B45EB4" w:rsidRDefault="00B45EB4" w:rsidP="00D21ABA">
      <w:pPr>
        <w:pStyle w:val="LI-BodyTextNumbered"/>
        <w:ind w:left="1701"/>
      </w:pPr>
      <w:r>
        <w:t xml:space="preserve">(b) </w:t>
      </w:r>
      <w:r>
        <w:tab/>
        <w:t xml:space="preserve">section </w:t>
      </w:r>
      <w:r w:rsidRPr="00EF17CD">
        <w:t xml:space="preserve">912AC </w:t>
      </w:r>
      <w:r w:rsidR="00B52159" w:rsidRPr="00EF17CD">
        <w:t xml:space="preserve">(other than subsections (4) to (7)) </w:t>
      </w:r>
      <w:r w:rsidRPr="00EF17CD">
        <w:t>of the</w:t>
      </w:r>
      <w:r>
        <w:t xml:space="preserve"> Act (as notionally inserted by </w:t>
      </w:r>
      <w:r w:rsidR="00F57DF2">
        <w:t>ASIC Class Order [CO 13/761]</w:t>
      </w:r>
      <w:r>
        <w:t xml:space="preserve">) as if: </w:t>
      </w:r>
    </w:p>
    <w:p w14:paraId="7511FAEF" w14:textId="1BD233EC" w:rsidR="00A87970" w:rsidRDefault="00685CCA" w:rsidP="00DE06A1">
      <w:pPr>
        <w:pStyle w:val="LI-BodyTextNumbered"/>
        <w:ind w:left="2268"/>
      </w:pPr>
      <w:r>
        <w:t>(i)</w:t>
      </w:r>
      <w:r>
        <w:tab/>
        <w:t xml:space="preserve">from the time the trustee first relies on </w:t>
      </w:r>
      <w:r w:rsidR="0020079B">
        <w:t xml:space="preserve">the exemption in section 5 </w:t>
      </w:r>
      <w:r w:rsidR="002D5EA0">
        <w:t>until the time the trustee ceases to rely on the exemption</w:t>
      </w:r>
      <w:r>
        <w:t>, the trustee were a financial services licensee</w:t>
      </w:r>
      <w:r w:rsidR="00A87970">
        <w:t>:</w:t>
      </w:r>
      <w:r>
        <w:t xml:space="preserve"> </w:t>
      </w:r>
    </w:p>
    <w:p w14:paraId="70E99C03" w14:textId="27C6CB7A" w:rsidR="00A87970" w:rsidRDefault="00A87970" w:rsidP="00980DC6">
      <w:pPr>
        <w:pStyle w:val="LI-BodyTextNumbered"/>
        <w:ind w:left="2835"/>
      </w:pPr>
      <w:r>
        <w:t>(A)</w:t>
      </w:r>
      <w:r>
        <w:tab/>
      </w:r>
      <w:r w:rsidR="00685CCA">
        <w:t>whose licence</w:t>
      </w:r>
      <w:r>
        <w:t xml:space="preserve"> </w:t>
      </w:r>
      <w:r w:rsidR="00685CCA">
        <w:t>authorise</w:t>
      </w:r>
      <w:r w:rsidR="00F57DF2">
        <w:t>s</w:t>
      </w:r>
      <w:r w:rsidR="00685CCA">
        <w:t xml:space="preserve"> it to provide </w:t>
      </w:r>
      <w:r w:rsidR="009C282A">
        <w:t xml:space="preserve">a </w:t>
      </w:r>
      <w:r w:rsidR="00685CCA">
        <w:t xml:space="preserve">custodial </w:t>
      </w:r>
      <w:r w:rsidR="009C282A">
        <w:t>or depository service</w:t>
      </w:r>
      <w:r w:rsidR="00685CCA">
        <w:t>; and</w:t>
      </w:r>
    </w:p>
    <w:p w14:paraId="7DE1DDFC" w14:textId="7B316ED0" w:rsidR="004A61F9" w:rsidRDefault="00A87970" w:rsidP="00980DC6">
      <w:pPr>
        <w:pStyle w:val="LI-BodyTextNumbered"/>
        <w:ind w:left="2835"/>
      </w:pPr>
      <w:r>
        <w:t>(B)</w:t>
      </w:r>
      <w:r>
        <w:tab/>
        <w:t>to whom section 912AC applie</w:t>
      </w:r>
      <w:r w:rsidR="00F57DF2">
        <w:t>s</w:t>
      </w:r>
      <w:r>
        <w:t>;</w:t>
      </w:r>
      <w:r w:rsidR="0020079B">
        <w:t xml:space="preserve"> and</w:t>
      </w:r>
    </w:p>
    <w:p w14:paraId="7C7BE767" w14:textId="530D48FB" w:rsidR="00685CCA" w:rsidRDefault="00DC72D4" w:rsidP="00B45EB4">
      <w:pPr>
        <w:pStyle w:val="LI-BodyTextNumbered"/>
        <w:ind w:left="2268"/>
      </w:pPr>
      <w:r>
        <w:t>(i</w:t>
      </w:r>
      <w:r w:rsidR="00685CCA">
        <w:t>i)</w:t>
      </w:r>
      <w:r w:rsidR="00685CCA">
        <w:tab/>
      </w:r>
      <w:r>
        <w:t xml:space="preserve">the </w:t>
      </w:r>
      <w:r w:rsidR="00685CCA">
        <w:t xml:space="preserve">references in </w:t>
      </w:r>
      <w:r>
        <w:t xml:space="preserve">subsection </w:t>
      </w:r>
      <w:r w:rsidR="00F57DF2">
        <w:t>912AC</w:t>
      </w:r>
      <w:r w:rsidR="00DE06A1">
        <w:t>(10)</w:t>
      </w:r>
      <w:r w:rsidR="00F57DF2">
        <w:t xml:space="preserve"> </w:t>
      </w:r>
      <w:r w:rsidR="00685CCA">
        <w:t>to “</w:t>
      </w:r>
      <w:r w:rsidR="00DE06A1">
        <w:t xml:space="preserve">other </w:t>
      </w:r>
      <w:r w:rsidR="00685CCA">
        <w:t xml:space="preserve">financial requirements in conditions </w:t>
      </w:r>
      <w:r w:rsidR="00306680">
        <w:t>o</w:t>
      </w:r>
      <w:r w:rsidR="00DE06A1">
        <w:t>n</w:t>
      </w:r>
      <w:r w:rsidR="00685CCA">
        <w:t xml:space="preserve"> its licence” were references to the conditions mentioned in paragraph (a);</w:t>
      </w:r>
      <w:r>
        <w:t xml:space="preserve"> and</w:t>
      </w:r>
    </w:p>
    <w:p w14:paraId="052CC9C1" w14:textId="69054F77" w:rsidR="00B52159" w:rsidRPr="005759DA" w:rsidRDefault="00B52159" w:rsidP="00B45EB4">
      <w:pPr>
        <w:pStyle w:val="LI-BodyTextNumbered"/>
        <w:ind w:left="2268"/>
      </w:pPr>
      <w:r w:rsidRPr="005759DA">
        <w:t>(iii)</w:t>
      </w:r>
      <w:r w:rsidRPr="005759DA">
        <w:tab/>
      </w:r>
      <w:r w:rsidR="00E22C05" w:rsidRPr="005759DA">
        <w:t xml:space="preserve">subsection 912AC(10) did not require the audit opinion to deal with compliance with, or a requirement under, subsection 912AC(4) </w:t>
      </w:r>
      <w:r w:rsidR="0074026D" w:rsidRPr="005759DA">
        <w:t>or</w:t>
      </w:r>
      <w:r w:rsidR="00E22C05" w:rsidRPr="005759DA">
        <w:t xml:space="preserve"> (7)</w:t>
      </w:r>
      <w:r w:rsidRPr="005759DA">
        <w:t>; and</w:t>
      </w:r>
    </w:p>
    <w:p w14:paraId="7DF116D4" w14:textId="31E3268B" w:rsidR="003F010F" w:rsidRDefault="00DC72D4" w:rsidP="007D59DB">
      <w:pPr>
        <w:pStyle w:val="LI-BodyTextNumbered"/>
        <w:ind w:left="2268"/>
      </w:pPr>
      <w:r w:rsidRPr="005759DA">
        <w:t>(i</w:t>
      </w:r>
      <w:r w:rsidR="00B52159" w:rsidRPr="005759DA">
        <w:t>v</w:t>
      </w:r>
      <w:r w:rsidR="00685CCA" w:rsidRPr="005759DA">
        <w:t>)</w:t>
      </w:r>
      <w:r w:rsidR="00685CCA">
        <w:tab/>
      </w:r>
      <w:r>
        <w:t xml:space="preserve">the requirement in paragraph 912AC(11)(a) to lodge the audit opinion </w:t>
      </w:r>
      <w:r w:rsidRPr="00DC72D4">
        <w:t>with the balance sheet required under section 989B</w:t>
      </w:r>
      <w:r>
        <w:t xml:space="preserve"> </w:t>
      </w:r>
      <w:r>
        <w:lastRenderedPageBreak/>
        <w:t xml:space="preserve">were a requirement to lodge the audit opinion no later than </w:t>
      </w:r>
      <w:r w:rsidRPr="006456EE">
        <w:t>3 months</w:t>
      </w:r>
      <w:r>
        <w:t xml:space="preserve"> after</w:t>
      </w:r>
      <w:r w:rsidR="004A61F9">
        <w:t xml:space="preserve"> the end of the financial year of the trustee</w:t>
      </w:r>
      <w:r w:rsidR="003F010F">
        <w:t>; and</w:t>
      </w:r>
    </w:p>
    <w:p w14:paraId="390E1F0E" w14:textId="4A61B1D5" w:rsidR="00566355" w:rsidRDefault="003F010F" w:rsidP="00980DC6">
      <w:pPr>
        <w:pStyle w:val="LI-BodyTextNumbered"/>
        <w:ind w:left="1701"/>
      </w:pPr>
      <w:r>
        <w:t xml:space="preserve">(c) </w:t>
      </w:r>
      <w:r>
        <w:tab/>
        <w:t>sections 912AAC and 912AAD of the Act (as notionally inserted by ASIC Class Order [CO 13/1410]) as if, from the time the trustee first relies on the exemption in section 5 until the time the trustee ceases to rely on the exemption, the trustee were a financial services licensee whose licence authorises it to provide a custodial or depository service.</w:t>
      </w:r>
    </w:p>
    <w:p w14:paraId="390E1F13" w14:textId="77777777" w:rsidR="00770891" w:rsidRDefault="00770891" w:rsidP="00980DC6">
      <w:pPr>
        <w:pStyle w:val="ahist"/>
      </w:pPr>
    </w:p>
    <w:p w14:paraId="1DDDAD42" w14:textId="72323CE0" w:rsidR="006B6EB2" w:rsidRDefault="00C4370D" w:rsidP="00817A20">
      <w:pPr>
        <w:pStyle w:val="ahist"/>
        <w:ind w:left="1701" w:hanging="567"/>
      </w:pPr>
      <w:r>
        <w:t>Note:</w:t>
      </w:r>
      <w:r>
        <w:tab/>
        <w:t xml:space="preserve">Condition 13 of PF 209 set out the base level </w:t>
      </w:r>
      <w:r w:rsidR="00176106">
        <w:t xml:space="preserve">financial </w:t>
      </w:r>
      <w:r>
        <w:t xml:space="preserve">requirements applicable to all financial services licensees who are not bodies regulated by the Australian Prudential Regulation Authority. </w:t>
      </w:r>
      <w:r w:rsidR="00DE06A1">
        <w:t xml:space="preserve">Section 912AC of the Act (as notionally inserted by </w:t>
      </w:r>
      <w:r w:rsidR="007D59DB">
        <w:t xml:space="preserve">ASIC Class Order </w:t>
      </w:r>
      <w:r w:rsidR="003A6B1D">
        <w:t xml:space="preserve">[CO </w:t>
      </w:r>
      <w:r w:rsidR="003A6B1D" w:rsidRPr="00DE06A1">
        <w:t>13/761]</w:t>
      </w:r>
      <w:r w:rsidR="00DE06A1" w:rsidRPr="00DE06A1">
        <w:t>)</w:t>
      </w:r>
      <w:r w:rsidR="003A6B1D" w:rsidRPr="00DE06A1">
        <w:t xml:space="preserve"> sets out the tailored cash needs, net tangible assets and audit requirements that apply to licensee</w:t>
      </w:r>
      <w:r w:rsidR="00C5292F" w:rsidRPr="00DE06A1">
        <w:t>s authorised to</w:t>
      </w:r>
      <w:r w:rsidR="00DE06A1" w:rsidRPr="00980DC6">
        <w:t xml:space="preserve"> provide</w:t>
      </w:r>
      <w:r w:rsidR="003B7FA2" w:rsidRPr="00DE06A1">
        <w:t xml:space="preserve"> a </w:t>
      </w:r>
      <w:r w:rsidR="00C5292F" w:rsidRPr="00DE06A1">
        <w:t>custo</w:t>
      </w:r>
      <w:r w:rsidR="003A6B1D" w:rsidRPr="00DE06A1">
        <w:t>dial or depositor</w:t>
      </w:r>
      <w:r w:rsidR="00C5292F" w:rsidRPr="00DE06A1">
        <w:t>y</w:t>
      </w:r>
      <w:r w:rsidR="003A6B1D" w:rsidRPr="00DE06A1">
        <w:t xml:space="preserve"> service. </w:t>
      </w:r>
      <w:r w:rsidR="00C5292F" w:rsidRPr="00DE06A1">
        <w:t xml:space="preserve">Together, these </w:t>
      </w:r>
      <w:r w:rsidRPr="00DE06A1">
        <w:t>conditions require the licensee to be solvent at all times and have positive net assets</w:t>
      </w:r>
      <w:r w:rsidR="00C5292F" w:rsidRPr="00DE06A1">
        <w:t xml:space="preserve"> and to meet the tailored cash needs, net tangible assets and audit requirements</w:t>
      </w:r>
      <w:r w:rsidRPr="00DE06A1">
        <w:t>.</w:t>
      </w:r>
      <w:r w:rsidR="00B36169">
        <w:t xml:space="preserve"> Sections 912AAC and 912AAD of the Act (as notionally inserted by ASIC Class Order [CO 13/1410]) set out standards that apply to a licensee in relation to the provision of a custodial or depository service by the licensee or a person engaged by the licensee.</w:t>
      </w:r>
      <w:r w:rsidR="00B3247B">
        <w:t xml:space="preserve"> The exclusion of the requirements of </w:t>
      </w:r>
      <w:r w:rsidR="00C90431">
        <w:t xml:space="preserve">notional </w:t>
      </w:r>
      <w:r w:rsidR="00B3247B">
        <w:t>subsections 912AC(4) to (7) of the Act in paragraph (b) means that the trustee will not have to comply with the net tangible assets requirement.</w:t>
      </w:r>
    </w:p>
    <w:p w14:paraId="59E12AAD" w14:textId="0E8DE9C9" w:rsidR="0027339F" w:rsidRDefault="006B6EB2" w:rsidP="0046317E">
      <w:pPr>
        <w:pStyle w:val="LI-BodyTextNumbered"/>
      </w:pPr>
      <w:r w:rsidRPr="00C21863">
        <w:t>(2)</w:t>
      </w:r>
      <w:r w:rsidRPr="00C21863">
        <w:tab/>
      </w:r>
      <w:r w:rsidR="00864360" w:rsidRPr="007A7798">
        <w:t>The trustee must take all reasonable steps to ensure that no interests in the scheme are acquired by a person as a retail client.</w:t>
      </w:r>
    </w:p>
    <w:p w14:paraId="65232F5F" w14:textId="67FAE57A" w:rsidR="00FD3A8B" w:rsidRPr="00B45EB4" w:rsidRDefault="00FD3A8B" w:rsidP="00EF17CD">
      <w:pPr>
        <w:pStyle w:val="LI-SectionNote"/>
        <w:ind w:left="1701"/>
      </w:pPr>
      <w:r>
        <w:t>Note:</w:t>
      </w:r>
      <w:r>
        <w:tab/>
        <w:t xml:space="preserve">The scheme will not be a wholesale equity scheme (and the exemption in section 5 will not be available) if any interests are issued to a person as a retail client: definition of </w:t>
      </w:r>
      <w:r w:rsidRPr="00EF17CD">
        <w:rPr>
          <w:b/>
          <w:i/>
        </w:rPr>
        <w:t>wholesale equity scheme</w:t>
      </w:r>
      <w:r>
        <w:t>.</w:t>
      </w:r>
    </w:p>
    <w:p w14:paraId="390E1F17" w14:textId="2D9AF01E" w:rsidR="008638CA" w:rsidRPr="00F61B09" w:rsidRDefault="00A87970" w:rsidP="008638CA">
      <w:pPr>
        <w:pStyle w:val="LI-Heading2"/>
      </w:pPr>
      <w:bookmarkStart w:id="13" w:name="_Toc493761011"/>
      <w:r>
        <w:t>8</w:t>
      </w:r>
      <w:r w:rsidR="00E67B46" w:rsidRPr="00F4785A">
        <w:tab/>
        <w:t>Exclusion from reliance</w:t>
      </w:r>
      <w:bookmarkEnd w:id="13"/>
    </w:p>
    <w:p w14:paraId="35F9E437" w14:textId="2BFA85D1" w:rsidR="006B10E4" w:rsidRDefault="008638CA" w:rsidP="00980DC6">
      <w:pPr>
        <w:pStyle w:val="LI-Heading3"/>
        <w:ind w:left="1134"/>
        <w:rPr>
          <w:i w:val="0"/>
          <w:sz w:val="24"/>
          <w:szCs w:val="24"/>
        </w:rPr>
      </w:pPr>
      <w:r>
        <w:rPr>
          <w:i w:val="0"/>
          <w:sz w:val="24"/>
          <w:szCs w:val="24"/>
        </w:rPr>
        <w:t xml:space="preserve">The exemption in </w:t>
      </w:r>
      <w:r w:rsidR="009B4C76">
        <w:rPr>
          <w:i w:val="0"/>
          <w:sz w:val="24"/>
          <w:szCs w:val="24"/>
        </w:rPr>
        <w:t>section</w:t>
      </w:r>
      <w:r>
        <w:rPr>
          <w:i w:val="0"/>
          <w:sz w:val="24"/>
          <w:szCs w:val="24"/>
        </w:rPr>
        <w:t xml:space="preserve"> 5 </w:t>
      </w:r>
      <w:r w:rsidR="00E67B46">
        <w:rPr>
          <w:i w:val="0"/>
          <w:sz w:val="24"/>
          <w:szCs w:val="24"/>
        </w:rPr>
        <w:t xml:space="preserve">does not apply to a person </w:t>
      </w:r>
      <w:r w:rsidR="000B771F">
        <w:rPr>
          <w:i w:val="0"/>
          <w:sz w:val="24"/>
          <w:szCs w:val="24"/>
        </w:rPr>
        <w:t>if ASIC has given a notice in writing to the person that they may not rely on that exemption and ASIC has not withdrawn that notice in writing</w:t>
      </w:r>
      <w:r w:rsidR="00E67B46">
        <w:rPr>
          <w:i w:val="0"/>
          <w:sz w:val="24"/>
          <w:szCs w:val="24"/>
        </w:rPr>
        <w:t>.</w:t>
      </w:r>
    </w:p>
    <w:p w14:paraId="7A7C6A9E" w14:textId="10618883" w:rsidR="00CC5B4B" w:rsidRDefault="00CC5B4B" w:rsidP="00CC5B4B">
      <w:pPr>
        <w:pStyle w:val="LI-Heading1"/>
      </w:pPr>
      <w:bookmarkStart w:id="14" w:name="_Toc420481489"/>
    </w:p>
    <w:p w14:paraId="0366CC18" w14:textId="77777777" w:rsidR="00CC5B4B" w:rsidRDefault="00CC5B4B" w:rsidP="00980DC6">
      <w:pPr>
        <w:pStyle w:val="ActHead3"/>
        <w:rPr>
          <w:sz w:val="32"/>
        </w:rPr>
      </w:pPr>
      <w:r>
        <w:br w:type="page"/>
      </w:r>
    </w:p>
    <w:p w14:paraId="3214EEBD" w14:textId="01C12A89" w:rsidR="0020079B" w:rsidRPr="00F61B09" w:rsidRDefault="0020079B" w:rsidP="0020079B">
      <w:pPr>
        <w:pStyle w:val="LI-Heading1"/>
      </w:pPr>
      <w:bookmarkStart w:id="15" w:name="_Toc493761012"/>
      <w:bookmarkEnd w:id="14"/>
      <w:r w:rsidRPr="006E5320">
        <w:lastRenderedPageBreak/>
        <w:t>Part </w:t>
      </w:r>
      <w:r w:rsidR="00176106">
        <w:t>3</w:t>
      </w:r>
      <w:r w:rsidRPr="006554FF">
        <w:t>—</w:t>
      </w:r>
      <w:r>
        <w:t>Transitional</w:t>
      </w:r>
      <w:bookmarkEnd w:id="15"/>
    </w:p>
    <w:p w14:paraId="5D1DF3BE" w14:textId="6A898449" w:rsidR="00D404C1" w:rsidRDefault="00176106" w:rsidP="0020079B">
      <w:pPr>
        <w:pStyle w:val="LI-Heading2"/>
      </w:pPr>
      <w:bookmarkStart w:id="16" w:name="_Toc493761013"/>
      <w:r>
        <w:t>9</w:t>
      </w:r>
      <w:r w:rsidR="008E27B4">
        <w:tab/>
      </w:r>
      <w:r w:rsidR="00D404C1">
        <w:t>ASIC Class Order [CO 07/74]</w:t>
      </w:r>
      <w:bookmarkEnd w:id="16"/>
    </w:p>
    <w:p w14:paraId="15AD7CA3" w14:textId="6B8B4CE9" w:rsidR="000C4F84" w:rsidRDefault="00583B4A" w:rsidP="000C4F84">
      <w:pPr>
        <w:pStyle w:val="LI-BodyTextNumbered"/>
      </w:pPr>
      <w:r>
        <w:t>(1)</w:t>
      </w:r>
      <w:r>
        <w:tab/>
      </w:r>
      <w:r w:rsidR="008E27B4">
        <w:t xml:space="preserve">If a trustee relied on </w:t>
      </w:r>
      <w:r w:rsidR="00B45CE5">
        <w:t>the old class order</w:t>
      </w:r>
      <w:r w:rsidR="008E27B4">
        <w:t xml:space="preserve"> immediately before its repeal</w:t>
      </w:r>
      <w:r w:rsidR="0037054E">
        <w:t xml:space="preserve"> and</w:t>
      </w:r>
      <w:r w:rsidR="008E27B4">
        <w:t xml:space="preserve"> the repeal did not occur at the end of the financial year of the trustee</w:t>
      </w:r>
      <w:r w:rsidR="0037054E">
        <w:t xml:space="preserve">, </w:t>
      </w:r>
      <w:r w:rsidR="008E27B4">
        <w:t>the old class order continues to apply</w:t>
      </w:r>
      <w:r w:rsidR="00B45CE5">
        <w:t xml:space="preserve"> in relation to the trustee</w:t>
      </w:r>
      <w:r w:rsidR="008E27B4">
        <w:t>, despite its repeal, until the end of th</w:t>
      </w:r>
      <w:r w:rsidR="001B2561">
        <w:t>at</w:t>
      </w:r>
      <w:r w:rsidR="008E27B4">
        <w:t xml:space="preserve"> financial year</w:t>
      </w:r>
      <w:r w:rsidR="0037054E">
        <w:t>.</w:t>
      </w:r>
      <w:r w:rsidR="000C4F84">
        <w:t xml:space="preserve"> The exemption (including any related conditions) in the old class </w:t>
      </w:r>
      <w:r w:rsidR="004D1607">
        <w:t xml:space="preserve">order </w:t>
      </w:r>
      <w:r w:rsidR="000C4F84">
        <w:t>from the requirement to hold an Australian financial services licence that is expressed to be made under paragraph 911A(2)(l)</w:t>
      </w:r>
      <w:r w:rsidR="00817A20">
        <w:t xml:space="preserve"> of the Act</w:t>
      </w:r>
      <w:r w:rsidR="000C4F84">
        <w:t xml:space="preserve"> has effect under section 926A of the Act instead.</w:t>
      </w:r>
    </w:p>
    <w:p w14:paraId="3262F10E" w14:textId="38A4DF68" w:rsidR="000C4F84" w:rsidRDefault="000C4F84" w:rsidP="000C4F84">
      <w:pPr>
        <w:pStyle w:val="LI-SectionNote"/>
        <w:ind w:left="1701"/>
      </w:pPr>
      <w:r>
        <w:t xml:space="preserve">Note:    </w:t>
      </w:r>
      <w:r w:rsidRPr="00EF17CD">
        <w:rPr>
          <w:i/>
        </w:rPr>
        <w:t>ASIC Corporations (</w:t>
      </w:r>
      <w:r w:rsidR="00BD7E39">
        <w:rPr>
          <w:i/>
        </w:rPr>
        <w:t>Miscellaneous Technical Relief</w:t>
      </w:r>
      <w:r w:rsidRPr="00EF17CD">
        <w:rPr>
          <w:i/>
        </w:rPr>
        <w:t>) Instrument 2015/1115</w:t>
      </w:r>
      <w:r>
        <w:t xml:space="preserve"> provides relief from subsection</w:t>
      </w:r>
      <w:r w:rsidR="00BD7E39">
        <w:t>s 911A(1) and</w:t>
      </w:r>
      <w:r>
        <w:t xml:space="preserve"> 911B(1) of the Act to a person who provides financial services on behalf of a person who does not need an Australian financial services licence because of an exemption under section 926A of the Act.</w:t>
      </w:r>
    </w:p>
    <w:p w14:paraId="7F36762E" w14:textId="77777777" w:rsidR="00583B4A" w:rsidRDefault="00583B4A" w:rsidP="00583B4A">
      <w:pPr>
        <w:pStyle w:val="LI-BodyTextNumbered"/>
        <w:rPr>
          <w:rStyle w:val="LI-BodyTextNumberedChar"/>
        </w:rPr>
      </w:pPr>
      <w:r>
        <w:t>(2)</w:t>
      </w:r>
      <w:r>
        <w:tab/>
        <w:t>I</w:t>
      </w:r>
      <w:r w:rsidRPr="0037054E">
        <w:t xml:space="preserve">f </w:t>
      </w:r>
      <w:r>
        <w:t>a</w:t>
      </w:r>
      <w:r w:rsidRPr="0037054E">
        <w:t xml:space="preserve"> trustee relied on </w:t>
      </w:r>
      <w:r>
        <w:t xml:space="preserve">the old class order </w:t>
      </w:r>
      <w:r w:rsidRPr="001D67BE">
        <w:rPr>
          <w:rStyle w:val="LI-BodyTextNumberedChar"/>
        </w:rPr>
        <w:t>immediately before its repeal</w:t>
      </w:r>
      <w:r>
        <w:rPr>
          <w:rStyle w:val="LI-BodyTextNumberedChar"/>
        </w:rPr>
        <w:t xml:space="preserve"> and then relies on the exemption in section 5: </w:t>
      </w:r>
    </w:p>
    <w:p w14:paraId="19318C99" w14:textId="02E68A6C" w:rsidR="00583B4A" w:rsidRDefault="00583B4A" w:rsidP="00980DC6">
      <w:pPr>
        <w:pStyle w:val="LI-BodyTextNumbered"/>
        <w:ind w:left="1701"/>
      </w:pPr>
      <w:r>
        <w:rPr>
          <w:rStyle w:val="LI-BodyTextNumberedChar"/>
        </w:rPr>
        <w:t>(a)</w:t>
      </w:r>
      <w:r>
        <w:rPr>
          <w:rStyle w:val="LI-BodyTextNumberedChar"/>
        </w:rPr>
        <w:tab/>
        <w:t xml:space="preserve">in addition to the condition in section 7, the exemption in section 5 is subject to a condition that the trustee must lodge with ASIC </w:t>
      </w:r>
      <w:r>
        <w:t>a</w:t>
      </w:r>
      <w:r w:rsidRPr="008E27B4">
        <w:t xml:space="preserve"> report referred to in sub-subparagraph 5(c)(iii) of the old class order</w:t>
      </w:r>
      <w:r>
        <w:t xml:space="preserve"> that: </w:t>
      </w:r>
    </w:p>
    <w:p w14:paraId="1CEB884D" w14:textId="77777777" w:rsidR="00583B4A" w:rsidRDefault="00583B4A" w:rsidP="00583B4A">
      <w:pPr>
        <w:pStyle w:val="LI-BodyTextNumbered"/>
        <w:ind w:left="2268"/>
      </w:pPr>
      <w:r>
        <w:t>(i)</w:t>
      </w:r>
      <w:r>
        <w:tab/>
        <w:t>relates to the period commencing on the date referred to in sub-subparagraph 5(c)(iii)(A) or (B) of the old class order (as applicable) and ending on the day that the old class order ceases to apply in relation to the trustee; and</w:t>
      </w:r>
    </w:p>
    <w:p w14:paraId="1C80DC41" w14:textId="29217B3C" w:rsidR="00583B4A" w:rsidRDefault="00583B4A" w:rsidP="00583B4A">
      <w:pPr>
        <w:pStyle w:val="LI-BodyTextNumbered"/>
        <w:ind w:left="2268"/>
      </w:pPr>
      <w:r>
        <w:t xml:space="preserve"> (ii)</w:t>
      </w:r>
      <w:r>
        <w:tab/>
        <w:t>is lodged no later than 3 months after the end of the period to which the report relates; and</w:t>
      </w:r>
    </w:p>
    <w:p w14:paraId="5279E3B5" w14:textId="55B1339A" w:rsidR="00583B4A" w:rsidRPr="00B45CE5" w:rsidRDefault="00583B4A" w:rsidP="00980DC6">
      <w:pPr>
        <w:pStyle w:val="LI-BodyTextNumbered"/>
        <w:ind w:left="1701"/>
      </w:pPr>
      <w:r>
        <w:t>(b)</w:t>
      </w:r>
      <w:r>
        <w:tab/>
        <w:t>paragraph 6(</w:t>
      </w:r>
      <w:r w:rsidR="006456EE">
        <w:t>b</w:t>
      </w:r>
      <w:r>
        <w:t>) applies as if the reference to the conditions in section 7 included a reference to the condition in paragraph (a).</w:t>
      </w:r>
    </w:p>
    <w:p w14:paraId="5FC26A61" w14:textId="572E688A" w:rsidR="00583B4A" w:rsidRDefault="00583B4A" w:rsidP="00980DC6">
      <w:pPr>
        <w:pStyle w:val="LI-BodyTextNumbered"/>
      </w:pPr>
    </w:p>
    <w:p w14:paraId="205D77AF" w14:textId="77777777" w:rsidR="00726A10" w:rsidRPr="005D3D41" w:rsidRDefault="00726A10" w:rsidP="00726A10">
      <w:pPr>
        <w:pStyle w:val="LI-BodyTextParaa"/>
        <w:ind w:left="2268"/>
      </w:pPr>
    </w:p>
    <w:p w14:paraId="390E1F19" w14:textId="77777777" w:rsidR="008638CA" w:rsidRDefault="008638CA" w:rsidP="008638CA">
      <w:pPr>
        <w:pStyle w:val="ahist"/>
      </w:pPr>
    </w:p>
    <w:p w14:paraId="390E1F1A" w14:textId="77777777" w:rsidR="00DC4445" w:rsidRDefault="00DC4445" w:rsidP="00CA6238">
      <w:pPr>
        <w:pStyle w:val="LI-Heading1"/>
        <w:ind w:left="0" w:firstLine="0"/>
      </w:pPr>
    </w:p>
    <w:sectPr w:rsidR="00DC4445" w:rsidSect="0040053F">
      <w:headerReference w:type="even" r:id="rId29"/>
      <w:headerReference w:type="default" r:id="rId30"/>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4E033" w14:textId="77777777" w:rsidR="00B3247B" w:rsidRDefault="00B3247B" w:rsidP="00715914">
      <w:pPr>
        <w:spacing w:line="240" w:lineRule="auto"/>
      </w:pPr>
      <w:r>
        <w:separator/>
      </w:r>
    </w:p>
  </w:endnote>
  <w:endnote w:type="continuationSeparator" w:id="0">
    <w:p w14:paraId="09159D49" w14:textId="77777777" w:rsidR="00B3247B" w:rsidRDefault="00B3247B" w:rsidP="00715914">
      <w:pPr>
        <w:spacing w:line="240" w:lineRule="auto"/>
      </w:pPr>
      <w:r>
        <w:continuationSeparator/>
      </w:r>
    </w:p>
  </w:endnote>
  <w:endnote w:type="continuationNotice" w:id="1">
    <w:p w14:paraId="313B0906" w14:textId="77777777" w:rsidR="00B3247B" w:rsidRDefault="00B324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2"/>
    </w:tblGrid>
    <w:tr w:rsidR="00B3247B" w:rsidRPr="00081794" w14:paraId="390E1F3C" w14:textId="77777777" w:rsidTr="00081794">
      <w:tc>
        <w:tcPr>
          <w:tcW w:w="8472" w:type="dxa"/>
          <w:shd w:val="clear" w:color="auto" w:fill="auto"/>
        </w:tcPr>
        <w:p w14:paraId="390E1F3B" w14:textId="77777777" w:rsidR="00B3247B" w:rsidRPr="00081794" w:rsidRDefault="00B3247B" w:rsidP="00081794">
          <w:pPr>
            <w:jc w:val="right"/>
            <w:rPr>
              <w:sz w:val="18"/>
            </w:rPr>
          </w:pPr>
          <w:r>
            <w:rPr>
              <w:noProof/>
              <w:lang w:eastAsia="en-AU"/>
            </w:rPr>
            <mc:AlternateContent>
              <mc:Choice Requires="wps">
                <w:drawing>
                  <wp:anchor distT="0" distB="0" distL="114300" distR="114300" simplePos="0" relativeHeight="251658243" behindDoc="1" locked="0" layoutInCell="1" allowOverlap="1" wp14:anchorId="390E1F64" wp14:editId="390E1F65">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90E1F6A" w14:textId="712C0480" w:rsidR="00B3247B" w:rsidRPr="00284719" w:rsidRDefault="00B3247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96E8A">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E19RTcHAwAAygYAAA4AAAAAAAAAAAAAAAAALgIAAGRycy9lMm9Eb2Mu&#10;eG1sUEsBAi0AFAAGAAgAAAAhADwCUpLfAAAACgEAAA8AAAAAAAAAAAAAAAAAYQUAAGRycy9kb3du&#10;cmV2LnhtbFBLBQYAAAAABAAEAPMAAABtBgAAAAA=&#10;" stroked="f">
                    <v:stroke joinstyle="round"/>
                    <v:path arrowok="t"/>
                    <v:textbox>
                      <w:txbxContent>
                        <w:p w14:paraId="390E1F6A" w14:textId="712C0480" w:rsidR="00B3247B" w:rsidRPr="00284719" w:rsidRDefault="00B3247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96E8A">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390E1F3D" w14:textId="77777777" w:rsidR="00B3247B" w:rsidRPr="007500C8" w:rsidRDefault="00B3247B"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3E" w14:textId="77777777" w:rsidR="00B3247B" w:rsidRDefault="00B3247B" w:rsidP="007500C8">
    <w:pPr>
      <w:pStyle w:val="Footer"/>
    </w:pPr>
    <w:r>
      <w:rPr>
        <w:noProof/>
      </w:rPr>
      <mc:AlternateContent>
        <mc:Choice Requires="wps">
          <w:drawing>
            <wp:anchor distT="0" distB="0" distL="114300" distR="114300" simplePos="0" relativeHeight="251658242" behindDoc="1" locked="0" layoutInCell="1" allowOverlap="1" wp14:anchorId="390E1F66" wp14:editId="390E1F67">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90E1F6B" w14:textId="77777777" w:rsidR="00B3247B" w:rsidRPr="00284719" w:rsidRDefault="00B3247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gkBw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aJmCQHAwAAygYAAA4AAAAAAAAAAAAAAAAALgIAAGRycy9lMm9Eb2Mu&#10;eG1sUEsBAi0AFAAGAAgAAAAhADwCUpLfAAAACgEAAA8AAAAAAAAAAAAAAAAAYQUAAGRycy9kb3du&#10;cmV2LnhtbFBLBQYAAAAABAAEAPMAAABtBgAAAAA=&#10;" stroked="f">
              <v:stroke joinstyle="round"/>
              <v:path arrowok="t"/>
              <v:textbox>
                <w:txbxContent>
                  <w:p w14:paraId="390E1F6B" w14:textId="77777777" w:rsidR="00B3247B" w:rsidRPr="00284719" w:rsidRDefault="00B3247B"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472"/>
    </w:tblGrid>
    <w:tr w:rsidR="00B3247B" w:rsidRPr="00081794" w14:paraId="390E1F40" w14:textId="77777777" w:rsidTr="00081794">
      <w:tc>
        <w:tcPr>
          <w:tcW w:w="8472" w:type="dxa"/>
          <w:shd w:val="clear" w:color="auto" w:fill="auto"/>
        </w:tcPr>
        <w:p w14:paraId="390E1F3F" w14:textId="77777777" w:rsidR="00B3247B" w:rsidRPr="00081794" w:rsidRDefault="00B3247B" w:rsidP="00102CA6">
          <w:pPr>
            <w:rPr>
              <w:sz w:val="18"/>
            </w:rPr>
          </w:pPr>
        </w:p>
      </w:tc>
    </w:tr>
  </w:tbl>
  <w:p w14:paraId="390E1F41" w14:textId="77777777" w:rsidR="00B3247B" w:rsidRPr="007500C8" w:rsidRDefault="00B3247B"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43" w14:textId="77777777" w:rsidR="00B3247B" w:rsidRPr="00ED79B6" w:rsidRDefault="00B3247B"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49" w14:textId="77777777" w:rsidR="00B3247B" w:rsidRPr="00E2168B" w:rsidRDefault="00B3247B" w:rsidP="00E2168B">
    <w:pPr>
      <w:pStyle w:val="LI-Footer"/>
    </w:pPr>
    <w:r w:rsidRPr="00A52B0F">
      <w:fldChar w:fldCharType="begin"/>
    </w:r>
    <w:r w:rsidRPr="00A52B0F">
      <w:instrText xml:space="preserve"> PAGE  \* Arabic  \* MERGEFORMAT </w:instrText>
    </w:r>
    <w:r w:rsidRPr="00A52B0F">
      <w:fldChar w:fldCharType="separate"/>
    </w:r>
    <w:r>
      <w:rPr>
        <w:noProof/>
      </w:rPr>
      <w:t>7</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4A" w14:textId="77777777" w:rsidR="00B3247B" w:rsidRPr="00E33C1C" w:rsidRDefault="00B3247B"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sidR="00596E8A">
      <w:rPr>
        <w:noProof/>
      </w:rPr>
      <w:t>4</w:t>
    </w:r>
    <w:r w:rsidRPr="00A52B0F">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51" w14:textId="77777777" w:rsidR="00B3247B" w:rsidRPr="00243EC0" w:rsidRDefault="00B3247B" w:rsidP="00E2168B">
    <w:pPr>
      <w:pStyle w:val="LI-Footer"/>
    </w:pPr>
    <w:r w:rsidRPr="00A52B0F">
      <w:fldChar w:fldCharType="begin"/>
    </w:r>
    <w:r w:rsidRPr="00A52B0F">
      <w:instrText xml:space="preserve"> PAGE  \* Arabic  \* MERGEFORMAT </w:instrText>
    </w:r>
    <w:r w:rsidRPr="00A52B0F">
      <w:fldChar w:fldCharType="separate"/>
    </w:r>
    <w:r>
      <w:rPr>
        <w:noProof/>
      </w:rPr>
      <w:t>7</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53" w14:textId="77777777" w:rsidR="00B3247B" w:rsidRPr="00E33C1C" w:rsidRDefault="00B3247B"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B3247B" w:rsidRPr="00081794" w14:paraId="390E1F57" w14:textId="77777777" w:rsidTr="00081794">
      <w:tc>
        <w:tcPr>
          <w:tcW w:w="1384" w:type="dxa"/>
          <w:tcBorders>
            <w:top w:val="nil"/>
            <w:left w:val="nil"/>
            <w:bottom w:val="nil"/>
            <w:right w:val="nil"/>
          </w:tcBorders>
          <w:shd w:val="clear" w:color="auto" w:fill="auto"/>
        </w:tcPr>
        <w:p w14:paraId="390E1F54" w14:textId="77777777" w:rsidR="00B3247B" w:rsidRPr="00081794" w:rsidRDefault="00B3247B" w:rsidP="00081794">
          <w:pPr>
            <w:spacing w:line="0" w:lineRule="atLeast"/>
            <w:rPr>
              <w:sz w:val="18"/>
            </w:rPr>
          </w:pPr>
        </w:p>
      </w:tc>
      <w:tc>
        <w:tcPr>
          <w:tcW w:w="6379" w:type="dxa"/>
          <w:tcBorders>
            <w:top w:val="nil"/>
            <w:left w:val="nil"/>
            <w:bottom w:val="nil"/>
            <w:right w:val="nil"/>
          </w:tcBorders>
          <w:shd w:val="clear" w:color="auto" w:fill="auto"/>
        </w:tcPr>
        <w:p w14:paraId="390E1F55" w14:textId="6939D211" w:rsidR="00B3247B" w:rsidRPr="00081794" w:rsidRDefault="00B3247B"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596E8A">
            <w:rPr>
              <w:b/>
              <w:bCs/>
              <w:i/>
              <w:sz w:val="18"/>
              <w:lang w:val="en-US"/>
            </w:rPr>
            <w:t>Error! Unknown document property name.</w:t>
          </w:r>
          <w:r w:rsidRPr="00081794">
            <w:rPr>
              <w:i/>
              <w:sz w:val="18"/>
            </w:rPr>
            <w:fldChar w:fldCharType="end"/>
          </w:r>
        </w:p>
      </w:tc>
      <w:tc>
        <w:tcPr>
          <w:tcW w:w="709" w:type="dxa"/>
          <w:tcBorders>
            <w:top w:val="nil"/>
            <w:left w:val="nil"/>
            <w:bottom w:val="nil"/>
            <w:right w:val="nil"/>
          </w:tcBorders>
          <w:shd w:val="clear" w:color="auto" w:fill="auto"/>
        </w:tcPr>
        <w:p w14:paraId="390E1F56" w14:textId="77777777" w:rsidR="00B3247B" w:rsidRPr="00081794" w:rsidRDefault="00B3247B"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Pr>
              <w:i/>
              <w:noProof/>
              <w:sz w:val="18"/>
            </w:rPr>
            <w:t>7</w:t>
          </w:r>
          <w:r w:rsidRPr="00081794">
            <w:rPr>
              <w:i/>
              <w:sz w:val="18"/>
            </w:rPr>
            <w:fldChar w:fldCharType="end"/>
          </w:r>
        </w:p>
      </w:tc>
    </w:tr>
    <w:tr w:rsidR="00B3247B" w:rsidRPr="00081794" w14:paraId="390E1F59"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90E1F58" w14:textId="77777777" w:rsidR="00B3247B" w:rsidRPr="00081794" w:rsidRDefault="00B3247B"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390E1F5A" w14:textId="77777777" w:rsidR="00B3247B" w:rsidRPr="00ED79B6" w:rsidRDefault="00B3247B"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EE50C" w14:textId="77777777" w:rsidR="00B3247B" w:rsidRDefault="00B3247B" w:rsidP="00715914">
      <w:pPr>
        <w:spacing w:line="240" w:lineRule="auto"/>
      </w:pPr>
      <w:r>
        <w:separator/>
      </w:r>
    </w:p>
  </w:footnote>
  <w:footnote w:type="continuationSeparator" w:id="0">
    <w:p w14:paraId="29B92BA4" w14:textId="77777777" w:rsidR="00B3247B" w:rsidRDefault="00B3247B" w:rsidP="00715914">
      <w:pPr>
        <w:spacing w:line="240" w:lineRule="auto"/>
      </w:pPr>
      <w:r>
        <w:continuationSeparator/>
      </w:r>
    </w:p>
  </w:footnote>
  <w:footnote w:type="continuationNotice" w:id="1">
    <w:p w14:paraId="0E64C052" w14:textId="77777777" w:rsidR="00B3247B" w:rsidRDefault="00B3247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39" w14:textId="77777777" w:rsidR="00B3247B" w:rsidRPr="005F1388" w:rsidRDefault="00B3247B" w:rsidP="00715914">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390E1F60" wp14:editId="390E1F61">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90E1F68" w14:textId="435817D5" w:rsidR="00B3247B" w:rsidRPr="00284719" w:rsidRDefault="00B3247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96E8A">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1.3pt;width:347.25pt;height:3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390E1F68" w14:textId="435817D5" w:rsidR="00B3247B" w:rsidRPr="00284719" w:rsidRDefault="00B3247B"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596E8A">
                      <w:rPr>
                        <w:rFonts w:ascii="Arial" w:hAnsi="Arial" w:cs="Arial"/>
                        <w:bCs/>
                        <w:sz w:val="40"/>
                        <w:lang w:val="en-US"/>
                      </w:rPr>
                      <w:t>Error! Unknown document property name.</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5B" w14:textId="77777777" w:rsidR="00B3247B" w:rsidRPr="00243EC0" w:rsidRDefault="00B3247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B3247B" w:rsidRPr="00E40FF8" w14:paraId="390E1F5E" w14:textId="77777777" w:rsidTr="00BF75C9">
      <w:tc>
        <w:tcPr>
          <w:tcW w:w="6804" w:type="dxa"/>
          <w:shd w:val="clear" w:color="auto" w:fill="auto"/>
        </w:tcPr>
        <w:p w14:paraId="390E1F5C" w14:textId="77777777" w:rsidR="00B3247B" w:rsidRDefault="00A94F23" w:rsidP="00E40FF8">
          <w:pPr>
            <w:pStyle w:val="LI-Header"/>
            <w:pBdr>
              <w:bottom w:val="none" w:sz="0" w:space="0" w:color="auto"/>
            </w:pBdr>
            <w:jc w:val="left"/>
          </w:pPr>
          <w:fldSimple w:instr=" STYLEREF  &quot;LI - Title&quot; ">
            <w:r w:rsidR="00596E8A">
              <w:rPr>
                <w:noProof/>
              </w:rPr>
              <w:t>ASIC Corporations (Wholesale Equity Scheme Trustees) Instrument 2017/849</w:t>
            </w:r>
          </w:fldSimple>
        </w:p>
      </w:tc>
      <w:tc>
        <w:tcPr>
          <w:tcW w:w="1509" w:type="dxa"/>
          <w:shd w:val="clear" w:color="auto" w:fill="auto"/>
        </w:tcPr>
        <w:p w14:paraId="390E1F5D" w14:textId="77777777" w:rsidR="00B3247B" w:rsidRDefault="00596E8A" w:rsidP="00E40FF8">
          <w:pPr>
            <w:pStyle w:val="LI-Header"/>
            <w:pBdr>
              <w:bottom w:val="none" w:sz="0" w:space="0" w:color="auto"/>
            </w:pBdr>
          </w:pPr>
          <w:r>
            <w:fldChar w:fldCharType="begin"/>
          </w:r>
          <w:r>
            <w:instrText xml:space="preserve"> STYLEREF  "LI - Heading 1" </w:instrText>
          </w:r>
          <w:r>
            <w:fldChar w:fldCharType="separate"/>
          </w:r>
          <w:r>
            <w:rPr>
              <w:noProof/>
            </w:rPr>
            <w:t>Part 3—Transitional</w:t>
          </w:r>
          <w:r>
            <w:rPr>
              <w:noProof/>
            </w:rPr>
            <w:fldChar w:fldCharType="end"/>
          </w:r>
        </w:p>
      </w:tc>
    </w:tr>
  </w:tbl>
  <w:p w14:paraId="390E1F5F" w14:textId="77777777" w:rsidR="00B3247B" w:rsidRPr="00F4215A" w:rsidRDefault="00B3247B" w:rsidP="00F42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3A" w14:textId="77777777" w:rsidR="00B3247B" w:rsidRPr="005F1388" w:rsidRDefault="00B3247B" w:rsidP="00715914">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390E1F62" wp14:editId="390E1F63">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390E1F69" w14:textId="77777777" w:rsidR="00B3247B" w:rsidRPr="00284719" w:rsidRDefault="00B3247B"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0;margin-top:11.3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390E1F69" w14:textId="77777777" w:rsidR="00B3247B" w:rsidRPr="00284719" w:rsidRDefault="00B3247B"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42" w14:textId="625006D8" w:rsidR="00B3247B" w:rsidRPr="00D023A5" w:rsidRDefault="00B3247B" w:rsidP="00D023A5">
    <w:pPr>
      <w:pStyle w:val="Header"/>
      <w:tabs>
        <w:tab w:val="clear" w:pos="4150"/>
        <w:tab w:val="clear" w:pos="8307"/>
      </w:tabs>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44" w14:textId="77777777" w:rsidR="00B3247B" w:rsidRDefault="00B3247B"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B3247B" w:rsidRPr="00E40FF8" w14:paraId="390E1F47" w14:textId="77777777" w:rsidTr="00BF75C9">
      <w:tc>
        <w:tcPr>
          <w:tcW w:w="6804" w:type="dxa"/>
          <w:shd w:val="clear" w:color="auto" w:fill="auto"/>
        </w:tcPr>
        <w:p w14:paraId="390E1F45" w14:textId="77777777" w:rsidR="00B3247B" w:rsidRDefault="00A94F23" w:rsidP="00E40FF8">
          <w:pPr>
            <w:pStyle w:val="LI-Header"/>
            <w:pBdr>
              <w:bottom w:val="none" w:sz="0" w:space="0" w:color="auto"/>
            </w:pBdr>
            <w:jc w:val="left"/>
          </w:pPr>
          <w:fldSimple w:instr=" STYLEREF  &quot;LI - Title&quot; ">
            <w:r w:rsidR="00596E8A">
              <w:rPr>
                <w:noProof/>
              </w:rPr>
              <w:t>ASIC Corporations (Wholesale Equity Scheme Trustees) Instrument 2017/849</w:t>
            </w:r>
          </w:fldSimple>
        </w:p>
      </w:tc>
      <w:tc>
        <w:tcPr>
          <w:tcW w:w="1509" w:type="dxa"/>
          <w:shd w:val="clear" w:color="auto" w:fill="auto"/>
        </w:tcPr>
        <w:p w14:paraId="390E1F46" w14:textId="77777777" w:rsidR="00B3247B" w:rsidRDefault="00B3247B" w:rsidP="00E40FF8">
          <w:pPr>
            <w:pStyle w:val="LI-Header"/>
            <w:pBdr>
              <w:bottom w:val="none" w:sz="0" w:space="0" w:color="auto"/>
            </w:pBdr>
          </w:pPr>
        </w:p>
      </w:tc>
    </w:tr>
  </w:tbl>
  <w:p w14:paraId="390E1F48" w14:textId="77777777" w:rsidR="00B3247B" w:rsidRPr="008945E0" w:rsidRDefault="00B3247B" w:rsidP="00F4215A">
    <w:pPr>
      <w:pStyle w:val="LI-Header"/>
      <w:pBdr>
        <w:bottom w:val="none" w:sz="0" w:space="0" w:color="auto"/>
      </w:pBdr>
      <w:spacing w:befor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4B" w14:textId="77777777" w:rsidR="00B3247B" w:rsidRPr="00ED79B6" w:rsidRDefault="00B3247B"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4C" w14:textId="77777777" w:rsidR="00B3247B" w:rsidRPr="00243EC0" w:rsidRDefault="00B3247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B3247B" w14:paraId="390E1F4F" w14:textId="77777777" w:rsidTr="00BF75C9">
      <w:tc>
        <w:tcPr>
          <w:tcW w:w="6804" w:type="dxa"/>
          <w:shd w:val="clear" w:color="auto" w:fill="auto"/>
        </w:tcPr>
        <w:p w14:paraId="390E1F4D" w14:textId="77777777" w:rsidR="00B3247B" w:rsidRDefault="00A94F23" w:rsidP="00E40FF8">
          <w:pPr>
            <w:pStyle w:val="LI-Header"/>
            <w:pBdr>
              <w:bottom w:val="none" w:sz="0" w:space="0" w:color="auto"/>
            </w:pBdr>
            <w:jc w:val="left"/>
          </w:pPr>
          <w:fldSimple w:instr=" STYLEREF  &quot;LI - Title&quot; ">
            <w:r w:rsidR="00596E8A">
              <w:rPr>
                <w:noProof/>
              </w:rPr>
              <w:t>ASIC Corporations (Wholesale Equity Scheme Trustees) Instrument 2017/849</w:t>
            </w:r>
          </w:fldSimple>
        </w:p>
      </w:tc>
      <w:tc>
        <w:tcPr>
          <w:tcW w:w="1509" w:type="dxa"/>
          <w:shd w:val="clear" w:color="auto" w:fill="auto"/>
        </w:tcPr>
        <w:p w14:paraId="390E1F4E" w14:textId="77777777" w:rsidR="00B3247B" w:rsidRDefault="00A94F23" w:rsidP="00E40FF8">
          <w:pPr>
            <w:pStyle w:val="LI-Header"/>
            <w:pBdr>
              <w:bottom w:val="none" w:sz="0" w:space="0" w:color="auto"/>
            </w:pBdr>
          </w:pPr>
          <w:fldSimple w:instr=" STYLEREF  &quot;LI - Heading 1&quot; ">
            <w:r w:rsidR="00596E8A">
              <w:rPr>
                <w:noProof/>
              </w:rPr>
              <w:t>Part 1—Preliminary</w:t>
            </w:r>
          </w:fldSimple>
        </w:p>
      </w:tc>
    </w:tr>
  </w:tbl>
  <w:p w14:paraId="390E1F50" w14:textId="77777777" w:rsidR="00B3247B" w:rsidRPr="00F4215A" w:rsidRDefault="00B3247B" w:rsidP="00F4215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E1F52" w14:textId="77777777" w:rsidR="00B3247B" w:rsidRPr="007A1328" w:rsidRDefault="00B3247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AAC640"/>
    <w:lvl w:ilvl="0">
      <w:start w:val="1"/>
      <w:numFmt w:val="decimal"/>
      <w:lvlText w:val="%1."/>
      <w:lvlJc w:val="left"/>
      <w:pPr>
        <w:tabs>
          <w:tab w:val="num" w:pos="1492"/>
        </w:tabs>
        <w:ind w:left="1492" w:hanging="360"/>
      </w:pPr>
    </w:lvl>
  </w:abstractNum>
  <w:abstractNum w:abstractNumId="1">
    <w:nsid w:val="FFFFFF7D"/>
    <w:multiLevelType w:val="singleLevel"/>
    <w:tmpl w:val="B41AFABE"/>
    <w:lvl w:ilvl="0">
      <w:start w:val="1"/>
      <w:numFmt w:val="decimal"/>
      <w:lvlText w:val="%1."/>
      <w:lvlJc w:val="left"/>
      <w:pPr>
        <w:tabs>
          <w:tab w:val="num" w:pos="1209"/>
        </w:tabs>
        <w:ind w:left="1209" w:hanging="360"/>
      </w:pPr>
    </w:lvl>
  </w:abstractNum>
  <w:abstractNum w:abstractNumId="2">
    <w:nsid w:val="FFFFFF7E"/>
    <w:multiLevelType w:val="singleLevel"/>
    <w:tmpl w:val="A5D0874A"/>
    <w:lvl w:ilvl="0">
      <w:start w:val="1"/>
      <w:numFmt w:val="decimal"/>
      <w:lvlText w:val="%1."/>
      <w:lvlJc w:val="left"/>
      <w:pPr>
        <w:tabs>
          <w:tab w:val="num" w:pos="926"/>
        </w:tabs>
        <w:ind w:left="926" w:hanging="360"/>
      </w:pPr>
    </w:lvl>
  </w:abstractNum>
  <w:abstractNum w:abstractNumId="3">
    <w:nsid w:val="FFFFFF7F"/>
    <w:multiLevelType w:val="singleLevel"/>
    <w:tmpl w:val="0AD6373E"/>
    <w:lvl w:ilvl="0">
      <w:start w:val="1"/>
      <w:numFmt w:val="decimal"/>
      <w:lvlText w:val="%1."/>
      <w:lvlJc w:val="left"/>
      <w:pPr>
        <w:tabs>
          <w:tab w:val="num" w:pos="643"/>
        </w:tabs>
        <w:ind w:left="643" w:hanging="360"/>
      </w:pPr>
    </w:lvl>
  </w:abstractNum>
  <w:abstractNum w:abstractNumId="4">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6A4DF2"/>
    <w:lvl w:ilvl="0">
      <w:start w:val="1"/>
      <w:numFmt w:val="decimal"/>
      <w:lvlText w:val="%1."/>
      <w:lvlJc w:val="left"/>
      <w:pPr>
        <w:tabs>
          <w:tab w:val="num" w:pos="360"/>
        </w:tabs>
        <w:ind w:left="360" w:hanging="360"/>
      </w:pPr>
    </w:lvl>
  </w:abstractNum>
  <w:abstractNum w:abstractNumId="9">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9051462"/>
    <w:multiLevelType w:val="hybridMultilevel"/>
    <w:tmpl w:val="00E6BBA0"/>
    <w:lvl w:ilvl="0" w:tplc="8B20C80C">
      <w:start w:val="2"/>
      <w:numFmt w:val="lowerRoman"/>
      <w:lvlText w:val="(%1)"/>
      <w:lvlJc w:val="left"/>
      <w:pPr>
        <w:ind w:left="2280" w:hanging="72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3">
    <w:nsid w:val="22D57C7B"/>
    <w:multiLevelType w:val="hybridMultilevel"/>
    <w:tmpl w:val="B05AE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5AD2A7A"/>
    <w:multiLevelType w:val="hybridMultilevel"/>
    <w:tmpl w:val="AA9A7570"/>
    <w:lvl w:ilvl="0" w:tplc="D3F2920C">
      <w:start w:val="1"/>
      <w:numFmt w:val="lowerLetter"/>
      <w:lvlText w:val="(%1)"/>
      <w:lvlJc w:val="left"/>
      <w:pPr>
        <w:ind w:left="1494" w:hanging="360"/>
      </w:pPr>
      <w:rPr>
        <w:rFonts w:hint="default"/>
      </w:rPr>
    </w:lvl>
    <w:lvl w:ilvl="1" w:tplc="D3F2920C">
      <w:start w:val="1"/>
      <w:numFmt w:val="lowerLetter"/>
      <w:lvlText w:val="(%2)"/>
      <w:lvlJc w:val="lef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5">
    <w:nsid w:val="2A5D70A7"/>
    <w:multiLevelType w:val="hybridMultilevel"/>
    <w:tmpl w:val="C66A8E22"/>
    <w:lvl w:ilvl="0" w:tplc="D3F2920C">
      <w:start w:val="1"/>
      <w:numFmt w:val="lowerLetter"/>
      <w:lvlText w:val="(%1)"/>
      <w:lvlJc w:val="left"/>
      <w:pPr>
        <w:ind w:left="1494" w:hanging="360"/>
      </w:pPr>
      <w:rPr>
        <w:rFonts w:hint="default"/>
      </w:rPr>
    </w:lvl>
    <w:lvl w:ilvl="1" w:tplc="0C09001B">
      <w:start w:val="1"/>
      <w:numFmt w:val="lowerRoman"/>
      <w:lvlText w:val="%2."/>
      <w:lvlJc w:val="righ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4497251A"/>
    <w:multiLevelType w:val="hybridMultilevel"/>
    <w:tmpl w:val="311EB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7750EE2"/>
    <w:multiLevelType w:val="hybridMultilevel"/>
    <w:tmpl w:val="41D4F518"/>
    <w:lvl w:ilvl="0" w:tplc="D3F2920C">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9">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E04A83"/>
    <w:multiLevelType w:val="hybridMultilevel"/>
    <w:tmpl w:val="C66A8E22"/>
    <w:lvl w:ilvl="0" w:tplc="D3F2920C">
      <w:start w:val="1"/>
      <w:numFmt w:val="lowerLetter"/>
      <w:lvlText w:val="(%1)"/>
      <w:lvlJc w:val="left"/>
      <w:pPr>
        <w:ind w:left="1494" w:hanging="360"/>
      </w:pPr>
      <w:rPr>
        <w:rFonts w:hint="default"/>
      </w:rPr>
    </w:lvl>
    <w:lvl w:ilvl="1" w:tplc="0C09001B">
      <w:start w:val="1"/>
      <w:numFmt w:val="lowerRoman"/>
      <w:lvlText w:val="%2."/>
      <w:lvlJc w:val="righ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1">
    <w:nsid w:val="53F944F1"/>
    <w:multiLevelType w:val="hybridMultilevel"/>
    <w:tmpl w:val="C66A8E22"/>
    <w:lvl w:ilvl="0" w:tplc="D3F2920C">
      <w:start w:val="1"/>
      <w:numFmt w:val="lowerLetter"/>
      <w:lvlText w:val="(%1)"/>
      <w:lvlJc w:val="left"/>
      <w:pPr>
        <w:ind w:left="1494" w:hanging="360"/>
      </w:pPr>
      <w:rPr>
        <w:rFonts w:hint="default"/>
      </w:rPr>
    </w:lvl>
    <w:lvl w:ilvl="1" w:tplc="0C09001B">
      <w:start w:val="1"/>
      <w:numFmt w:val="lowerRoman"/>
      <w:lvlText w:val="%2."/>
      <w:lvlJc w:val="righ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2">
    <w:nsid w:val="58405586"/>
    <w:multiLevelType w:val="hybridMultilevel"/>
    <w:tmpl w:val="67405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5DB443F"/>
    <w:multiLevelType w:val="hybridMultilevel"/>
    <w:tmpl w:val="12FCA434"/>
    <w:lvl w:ilvl="0" w:tplc="D3F2920C">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4">
    <w:nsid w:val="687E09A0"/>
    <w:multiLevelType w:val="hybridMultilevel"/>
    <w:tmpl w:val="5B786C82"/>
    <w:lvl w:ilvl="0" w:tplc="BEBCAECC">
      <w:start w:val="9"/>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5">
    <w:nsid w:val="78337EDC"/>
    <w:multiLevelType w:val="hybridMultilevel"/>
    <w:tmpl w:val="024ECC40"/>
    <w:lvl w:ilvl="0" w:tplc="D3F2920C">
      <w:start w:val="1"/>
      <w:numFmt w:val="lowerLetter"/>
      <w:lvlText w:val="(%1)"/>
      <w:lvlJc w:val="left"/>
      <w:pPr>
        <w:ind w:left="1494" w:hanging="360"/>
      </w:pPr>
      <w:rPr>
        <w:rFonts w:hint="default"/>
      </w:rPr>
    </w:lvl>
    <w:lvl w:ilvl="1" w:tplc="D3F2920C">
      <w:start w:val="1"/>
      <w:numFmt w:val="lowerLetter"/>
      <w:lvlText w:val="(%2)"/>
      <w:lvlJc w:val="lef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1"/>
  </w:num>
  <w:num w:numId="14">
    <w:abstractNumId w:val="19"/>
  </w:num>
  <w:num w:numId="15">
    <w:abstractNumId w:val="13"/>
  </w:num>
  <w:num w:numId="16">
    <w:abstractNumId w:val="15"/>
  </w:num>
  <w:num w:numId="17">
    <w:abstractNumId w:val="18"/>
  </w:num>
  <w:num w:numId="18">
    <w:abstractNumId w:val="14"/>
  </w:num>
  <w:num w:numId="19">
    <w:abstractNumId w:val="25"/>
  </w:num>
  <w:num w:numId="20">
    <w:abstractNumId w:val="21"/>
  </w:num>
  <w:num w:numId="21">
    <w:abstractNumId w:val="20"/>
  </w:num>
  <w:num w:numId="22">
    <w:abstractNumId w:val="23"/>
  </w:num>
  <w:num w:numId="23">
    <w:abstractNumId w:val="24"/>
  </w:num>
  <w:num w:numId="24">
    <w:abstractNumId w:val="12"/>
  </w:num>
  <w:num w:numId="25">
    <w:abstractNumId w:val="2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stylePaneSortMethod w:val="0000"/>
  <w:defaultTabStop w:val="720"/>
  <w:drawingGridHorizontalSpacing w:val="110"/>
  <w:displayHorizontalDrawingGridEvery w:val="2"/>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A1"/>
    <w:rsid w:val="00004470"/>
    <w:rsid w:val="00005446"/>
    <w:rsid w:val="00007644"/>
    <w:rsid w:val="000136AF"/>
    <w:rsid w:val="00013B18"/>
    <w:rsid w:val="00013B8D"/>
    <w:rsid w:val="00015719"/>
    <w:rsid w:val="00023D53"/>
    <w:rsid w:val="0004290C"/>
    <w:rsid w:val="00043223"/>
    <w:rsid w:val="000437C1"/>
    <w:rsid w:val="000468BD"/>
    <w:rsid w:val="0005365D"/>
    <w:rsid w:val="00053C2B"/>
    <w:rsid w:val="000614BF"/>
    <w:rsid w:val="0006250C"/>
    <w:rsid w:val="00064E49"/>
    <w:rsid w:val="00075A88"/>
    <w:rsid w:val="00077051"/>
    <w:rsid w:val="00081794"/>
    <w:rsid w:val="00084FF4"/>
    <w:rsid w:val="000A142F"/>
    <w:rsid w:val="000A4A2C"/>
    <w:rsid w:val="000A6C39"/>
    <w:rsid w:val="000A78B7"/>
    <w:rsid w:val="000B58FA"/>
    <w:rsid w:val="000B771F"/>
    <w:rsid w:val="000C4F84"/>
    <w:rsid w:val="000C55A0"/>
    <w:rsid w:val="000D05EF"/>
    <w:rsid w:val="000D4250"/>
    <w:rsid w:val="000E0EB4"/>
    <w:rsid w:val="000E2261"/>
    <w:rsid w:val="000E3C2E"/>
    <w:rsid w:val="000F21C1"/>
    <w:rsid w:val="000F2CF7"/>
    <w:rsid w:val="00102CA6"/>
    <w:rsid w:val="0010745C"/>
    <w:rsid w:val="00125141"/>
    <w:rsid w:val="00132CEB"/>
    <w:rsid w:val="00142B62"/>
    <w:rsid w:val="001459EE"/>
    <w:rsid w:val="001515AE"/>
    <w:rsid w:val="00153B32"/>
    <w:rsid w:val="00154083"/>
    <w:rsid w:val="00157B8B"/>
    <w:rsid w:val="00165F77"/>
    <w:rsid w:val="00166C2F"/>
    <w:rsid w:val="00171A6E"/>
    <w:rsid w:val="00176106"/>
    <w:rsid w:val="0017745C"/>
    <w:rsid w:val="001809D7"/>
    <w:rsid w:val="00180A40"/>
    <w:rsid w:val="001939E1"/>
    <w:rsid w:val="00194C3E"/>
    <w:rsid w:val="00195382"/>
    <w:rsid w:val="00195BD4"/>
    <w:rsid w:val="001A5660"/>
    <w:rsid w:val="001A6CFD"/>
    <w:rsid w:val="001B2561"/>
    <w:rsid w:val="001B3D8E"/>
    <w:rsid w:val="001C61C5"/>
    <w:rsid w:val="001C69C4"/>
    <w:rsid w:val="001D0104"/>
    <w:rsid w:val="001D1ACF"/>
    <w:rsid w:val="001D1B88"/>
    <w:rsid w:val="001D37EF"/>
    <w:rsid w:val="001D59DA"/>
    <w:rsid w:val="001E3590"/>
    <w:rsid w:val="001E7407"/>
    <w:rsid w:val="001F245C"/>
    <w:rsid w:val="001F5D5E"/>
    <w:rsid w:val="001F6219"/>
    <w:rsid w:val="001F6CD4"/>
    <w:rsid w:val="0020079B"/>
    <w:rsid w:val="0020198A"/>
    <w:rsid w:val="00206C4D"/>
    <w:rsid w:val="0021053C"/>
    <w:rsid w:val="00213A5B"/>
    <w:rsid w:val="00215AF1"/>
    <w:rsid w:val="002321E8"/>
    <w:rsid w:val="0023410B"/>
    <w:rsid w:val="00236EEC"/>
    <w:rsid w:val="0024010F"/>
    <w:rsid w:val="00240749"/>
    <w:rsid w:val="00243018"/>
    <w:rsid w:val="002434A5"/>
    <w:rsid w:val="00243EC0"/>
    <w:rsid w:val="00244630"/>
    <w:rsid w:val="00244742"/>
    <w:rsid w:val="00245FEE"/>
    <w:rsid w:val="002522A9"/>
    <w:rsid w:val="002564A4"/>
    <w:rsid w:val="00260016"/>
    <w:rsid w:val="00260DCA"/>
    <w:rsid w:val="0026736C"/>
    <w:rsid w:val="0027339F"/>
    <w:rsid w:val="00281308"/>
    <w:rsid w:val="00281813"/>
    <w:rsid w:val="00283C9E"/>
    <w:rsid w:val="00284719"/>
    <w:rsid w:val="00297ECB"/>
    <w:rsid w:val="002A7328"/>
    <w:rsid w:val="002A7BCF"/>
    <w:rsid w:val="002B19F3"/>
    <w:rsid w:val="002B4A0D"/>
    <w:rsid w:val="002C1B45"/>
    <w:rsid w:val="002D043A"/>
    <w:rsid w:val="002D5EA0"/>
    <w:rsid w:val="002D6224"/>
    <w:rsid w:val="002E3F4B"/>
    <w:rsid w:val="002E6A39"/>
    <w:rsid w:val="002F150B"/>
    <w:rsid w:val="002F6BCB"/>
    <w:rsid w:val="00304F8B"/>
    <w:rsid w:val="00306680"/>
    <w:rsid w:val="00313E64"/>
    <w:rsid w:val="00323166"/>
    <w:rsid w:val="00327DDF"/>
    <w:rsid w:val="003354D2"/>
    <w:rsid w:val="00335BC6"/>
    <w:rsid w:val="003415D3"/>
    <w:rsid w:val="0034214B"/>
    <w:rsid w:val="00344701"/>
    <w:rsid w:val="00351ECD"/>
    <w:rsid w:val="003528DA"/>
    <w:rsid w:val="00352B0F"/>
    <w:rsid w:val="00356690"/>
    <w:rsid w:val="00357DD0"/>
    <w:rsid w:val="00360459"/>
    <w:rsid w:val="00365497"/>
    <w:rsid w:val="0037054E"/>
    <w:rsid w:val="00375372"/>
    <w:rsid w:val="0038284C"/>
    <w:rsid w:val="0038452F"/>
    <w:rsid w:val="00387A96"/>
    <w:rsid w:val="00394D7D"/>
    <w:rsid w:val="003A2A48"/>
    <w:rsid w:val="003A6B1D"/>
    <w:rsid w:val="003B1B74"/>
    <w:rsid w:val="003B28C3"/>
    <w:rsid w:val="003B732F"/>
    <w:rsid w:val="003B7FA2"/>
    <w:rsid w:val="003C289C"/>
    <w:rsid w:val="003C6231"/>
    <w:rsid w:val="003D0BFE"/>
    <w:rsid w:val="003D5700"/>
    <w:rsid w:val="003E0F99"/>
    <w:rsid w:val="003E18A2"/>
    <w:rsid w:val="003E2B10"/>
    <w:rsid w:val="003E341B"/>
    <w:rsid w:val="003F010F"/>
    <w:rsid w:val="003F0971"/>
    <w:rsid w:val="003F1101"/>
    <w:rsid w:val="003F1FEC"/>
    <w:rsid w:val="003F39C2"/>
    <w:rsid w:val="0040053F"/>
    <w:rsid w:val="00407C0A"/>
    <w:rsid w:val="004116CD"/>
    <w:rsid w:val="004144EC"/>
    <w:rsid w:val="00417EB9"/>
    <w:rsid w:val="004238D7"/>
    <w:rsid w:val="00424CA9"/>
    <w:rsid w:val="004271CE"/>
    <w:rsid w:val="00431E9B"/>
    <w:rsid w:val="004357AB"/>
    <w:rsid w:val="004379E3"/>
    <w:rsid w:val="0044015E"/>
    <w:rsid w:val="0044291A"/>
    <w:rsid w:val="004443A3"/>
    <w:rsid w:val="00444ABD"/>
    <w:rsid w:val="00447DB4"/>
    <w:rsid w:val="00450A8C"/>
    <w:rsid w:val="00460563"/>
    <w:rsid w:val="00460F1D"/>
    <w:rsid w:val="0046317E"/>
    <w:rsid w:val="00465DC1"/>
    <w:rsid w:val="00467661"/>
    <w:rsid w:val="004705B7"/>
    <w:rsid w:val="00472DBE"/>
    <w:rsid w:val="00474A19"/>
    <w:rsid w:val="00475BD6"/>
    <w:rsid w:val="004823C0"/>
    <w:rsid w:val="0048276B"/>
    <w:rsid w:val="0048379F"/>
    <w:rsid w:val="00496B5F"/>
    <w:rsid w:val="00496F97"/>
    <w:rsid w:val="00497330"/>
    <w:rsid w:val="004A44FC"/>
    <w:rsid w:val="004A61F9"/>
    <w:rsid w:val="004B5B44"/>
    <w:rsid w:val="004C1CB1"/>
    <w:rsid w:val="004C526C"/>
    <w:rsid w:val="004D05DE"/>
    <w:rsid w:val="004D1607"/>
    <w:rsid w:val="004D5B96"/>
    <w:rsid w:val="004E063A"/>
    <w:rsid w:val="004E47F3"/>
    <w:rsid w:val="004E60B0"/>
    <w:rsid w:val="004E7BEC"/>
    <w:rsid w:val="004E7DFF"/>
    <w:rsid w:val="0050044F"/>
    <w:rsid w:val="00503DC8"/>
    <w:rsid w:val="00505D3D"/>
    <w:rsid w:val="00506AF6"/>
    <w:rsid w:val="00507335"/>
    <w:rsid w:val="00516182"/>
    <w:rsid w:val="00516B8D"/>
    <w:rsid w:val="00517E56"/>
    <w:rsid w:val="00532049"/>
    <w:rsid w:val="005356A7"/>
    <w:rsid w:val="00537FBC"/>
    <w:rsid w:val="00556991"/>
    <w:rsid w:val="005574D1"/>
    <w:rsid w:val="00557B7B"/>
    <w:rsid w:val="00560296"/>
    <w:rsid w:val="005657FE"/>
    <w:rsid w:val="00566355"/>
    <w:rsid w:val="00572BB1"/>
    <w:rsid w:val="00573D39"/>
    <w:rsid w:val="005759DA"/>
    <w:rsid w:val="0057670F"/>
    <w:rsid w:val="00583B4A"/>
    <w:rsid w:val="00584178"/>
    <w:rsid w:val="00584811"/>
    <w:rsid w:val="00585784"/>
    <w:rsid w:val="00593AA6"/>
    <w:rsid w:val="00594161"/>
    <w:rsid w:val="00594749"/>
    <w:rsid w:val="00596E8A"/>
    <w:rsid w:val="005B38DE"/>
    <w:rsid w:val="005B4067"/>
    <w:rsid w:val="005B4343"/>
    <w:rsid w:val="005B596A"/>
    <w:rsid w:val="005B780C"/>
    <w:rsid w:val="005C3F41"/>
    <w:rsid w:val="005D0489"/>
    <w:rsid w:val="005D2D09"/>
    <w:rsid w:val="005D3D41"/>
    <w:rsid w:val="005D5668"/>
    <w:rsid w:val="005E4810"/>
    <w:rsid w:val="005F65CD"/>
    <w:rsid w:val="00600219"/>
    <w:rsid w:val="0060053F"/>
    <w:rsid w:val="00603DC4"/>
    <w:rsid w:val="00607A71"/>
    <w:rsid w:val="006117CB"/>
    <w:rsid w:val="00613392"/>
    <w:rsid w:val="00620076"/>
    <w:rsid w:val="0062276B"/>
    <w:rsid w:val="00633628"/>
    <w:rsid w:val="00634044"/>
    <w:rsid w:val="006376E2"/>
    <w:rsid w:val="00640161"/>
    <w:rsid w:val="006456EE"/>
    <w:rsid w:val="00652769"/>
    <w:rsid w:val="00652BF1"/>
    <w:rsid w:val="00655056"/>
    <w:rsid w:val="0065542F"/>
    <w:rsid w:val="006554FF"/>
    <w:rsid w:val="0065737F"/>
    <w:rsid w:val="00670EA1"/>
    <w:rsid w:val="00677CC2"/>
    <w:rsid w:val="00681001"/>
    <w:rsid w:val="00683794"/>
    <w:rsid w:val="00683F23"/>
    <w:rsid w:val="006850BB"/>
    <w:rsid w:val="00685CCA"/>
    <w:rsid w:val="006905DE"/>
    <w:rsid w:val="0069207B"/>
    <w:rsid w:val="0069554F"/>
    <w:rsid w:val="00697E9D"/>
    <w:rsid w:val="006A0BFE"/>
    <w:rsid w:val="006A22C9"/>
    <w:rsid w:val="006A7647"/>
    <w:rsid w:val="006B10E4"/>
    <w:rsid w:val="006B5789"/>
    <w:rsid w:val="006B6EB2"/>
    <w:rsid w:val="006B7FBC"/>
    <w:rsid w:val="006C30C5"/>
    <w:rsid w:val="006C48FA"/>
    <w:rsid w:val="006C521B"/>
    <w:rsid w:val="006C7F8C"/>
    <w:rsid w:val="006D13D2"/>
    <w:rsid w:val="006D564F"/>
    <w:rsid w:val="006E2CCD"/>
    <w:rsid w:val="006E5320"/>
    <w:rsid w:val="006E6246"/>
    <w:rsid w:val="006F318F"/>
    <w:rsid w:val="006F4226"/>
    <w:rsid w:val="006F5DB2"/>
    <w:rsid w:val="0070017E"/>
    <w:rsid w:val="00700B2C"/>
    <w:rsid w:val="00700E9C"/>
    <w:rsid w:val="00702EFD"/>
    <w:rsid w:val="007040A8"/>
    <w:rsid w:val="007050A2"/>
    <w:rsid w:val="00705F7F"/>
    <w:rsid w:val="00713084"/>
    <w:rsid w:val="0071399B"/>
    <w:rsid w:val="00714F20"/>
    <w:rsid w:val="0071590F"/>
    <w:rsid w:val="00715914"/>
    <w:rsid w:val="007209CF"/>
    <w:rsid w:val="00726A10"/>
    <w:rsid w:val="00731E00"/>
    <w:rsid w:val="007357B3"/>
    <w:rsid w:val="0074026D"/>
    <w:rsid w:val="00741EE8"/>
    <w:rsid w:val="007440B7"/>
    <w:rsid w:val="007479C8"/>
    <w:rsid w:val="007500C8"/>
    <w:rsid w:val="00756272"/>
    <w:rsid w:val="00760969"/>
    <w:rsid w:val="00764535"/>
    <w:rsid w:val="007662B5"/>
    <w:rsid w:val="0076681A"/>
    <w:rsid w:val="00770534"/>
    <w:rsid w:val="00770891"/>
    <w:rsid w:val="007715C9"/>
    <w:rsid w:val="00771613"/>
    <w:rsid w:val="00772602"/>
    <w:rsid w:val="00774EDD"/>
    <w:rsid w:val="0077506D"/>
    <w:rsid w:val="007757EC"/>
    <w:rsid w:val="00783E89"/>
    <w:rsid w:val="00785A9E"/>
    <w:rsid w:val="007865AC"/>
    <w:rsid w:val="00787D5D"/>
    <w:rsid w:val="00793915"/>
    <w:rsid w:val="00795424"/>
    <w:rsid w:val="007A26F3"/>
    <w:rsid w:val="007A7798"/>
    <w:rsid w:val="007B4C4F"/>
    <w:rsid w:val="007C2253"/>
    <w:rsid w:val="007C2774"/>
    <w:rsid w:val="007C78B6"/>
    <w:rsid w:val="007D230B"/>
    <w:rsid w:val="007D59DB"/>
    <w:rsid w:val="007D7299"/>
    <w:rsid w:val="007E163D"/>
    <w:rsid w:val="007E667A"/>
    <w:rsid w:val="007F28C9"/>
    <w:rsid w:val="0080312D"/>
    <w:rsid w:val="00803587"/>
    <w:rsid w:val="00806548"/>
    <w:rsid w:val="008117E9"/>
    <w:rsid w:val="00817A20"/>
    <w:rsid w:val="00824498"/>
    <w:rsid w:val="00840442"/>
    <w:rsid w:val="00850553"/>
    <w:rsid w:val="008527C0"/>
    <w:rsid w:val="00856A31"/>
    <w:rsid w:val="00860B58"/>
    <w:rsid w:val="008638CA"/>
    <w:rsid w:val="00864360"/>
    <w:rsid w:val="008649ED"/>
    <w:rsid w:val="00867B37"/>
    <w:rsid w:val="008718DD"/>
    <w:rsid w:val="008753D7"/>
    <w:rsid w:val="008754D0"/>
    <w:rsid w:val="00881E23"/>
    <w:rsid w:val="008855C9"/>
    <w:rsid w:val="00886456"/>
    <w:rsid w:val="00887A52"/>
    <w:rsid w:val="00887DB4"/>
    <w:rsid w:val="00890EC3"/>
    <w:rsid w:val="0089310D"/>
    <w:rsid w:val="008945E0"/>
    <w:rsid w:val="0089527F"/>
    <w:rsid w:val="008A362B"/>
    <w:rsid w:val="008A46E1"/>
    <w:rsid w:val="008A4F43"/>
    <w:rsid w:val="008B2706"/>
    <w:rsid w:val="008C0F29"/>
    <w:rsid w:val="008D0EE0"/>
    <w:rsid w:val="008D3422"/>
    <w:rsid w:val="008D539F"/>
    <w:rsid w:val="008E27B4"/>
    <w:rsid w:val="008E6067"/>
    <w:rsid w:val="008F318B"/>
    <w:rsid w:val="008F31F9"/>
    <w:rsid w:val="008F54E7"/>
    <w:rsid w:val="009016BE"/>
    <w:rsid w:val="00903422"/>
    <w:rsid w:val="009157B9"/>
    <w:rsid w:val="00915DF9"/>
    <w:rsid w:val="009254C3"/>
    <w:rsid w:val="00926940"/>
    <w:rsid w:val="00930A0A"/>
    <w:rsid w:val="00932377"/>
    <w:rsid w:val="009460DC"/>
    <w:rsid w:val="00947D5A"/>
    <w:rsid w:val="009513F1"/>
    <w:rsid w:val="009532A5"/>
    <w:rsid w:val="00954DF7"/>
    <w:rsid w:val="0095528E"/>
    <w:rsid w:val="0096753E"/>
    <w:rsid w:val="00975D1B"/>
    <w:rsid w:val="0097789B"/>
    <w:rsid w:val="00980DC6"/>
    <w:rsid w:val="009816CC"/>
    <w:rsid w:val="00981C4E"/>
    <w:rsid w:val="00982242"/>
    <w:rsid w:val="009868E9"/>
    <w:rsid w:val="009944E6"/>
    <w:rsid w:val="009A30AB"/>
    <w:rsid w:val="009A31D5"/>
    <w:rsid w:val="009A49C9"/>
    <w:rsid w:val="009B4C76"/>
    <w:rsid w:val="009B4FCF"/>
    <w:rsid w:val="009C282A"/>
    <w:rsid w:val="009D1818"/>
    <w:rsid w:val="009D754D"/>
    <w:rsid w:val="009D7E13"/>
    <w:rsid w:val="009E5CFC"/>
    <w:rsid w:val="009F0002"/>
    <w:rsid w:val="009F26A9"/>
    <w:rsid w:val="009F46D5"/>
    <w:rsid w:val="009F5CFA"/>
    <w:rsid w:val="00A01AA6"/>
    <w:rsid w:val="00A031A1"/>
    <w:rsid w:val="00A079CB"/>
    <w:rsid w:val="00A107F3"/>
    <w:rsid w:val="00A12128"/>
    <w:rsid w:val="00A12F48"/>
    <w:rsid w:val="00A15512"/>
    <w:rsid w:val="00A22C98"/>
    <w:rsid w:val="00A231E2"/>
    <w:rsid w:val="00A23DBB"/>
    <w:rsid w:val="00A24921"/>
    <w:rsid w:val="00A32CC8"/>
    <w:rsid w:val="00A33D55"/>
    <w:rsid w:val="00A34412"/>
    <w:rsid w:val="00A40424"/>
    <w:rsid w:val="00A43305"/>
    <w:rsid w:val="00A52B0F"/>
    <w:rsid w:val="00A5632E"/>
    <w:rsid w:val="00A64912"/>
    <w:rsid w:val="00A70A74"/>
    <w:rsid w:val="00A7702B"/>
    <w:rsid w:val="00A86BDF"/>
    <w:rsid w:val="00A87970"/>
    <w:rsid w:val="00A91966"/>
    <w:rsid w:val="00A94F23"/>
    <w:rsid w:val="00AA5769"/>
    <w:rsid w:val="00AA66AC"/>
    <w:rsid w:val="00AB1DE8"/>
    <w:rsid w:val="00AC0886"/>
    <w:rsid w:val="00AC5956"/>
    <w:rsid w:val="00AC6B69"/>
    <w:rsid w:val="00AC714C"/>
    <w:rsid w:val="00AD1F73"/>
    <w:rsid w:val="00AD3D25"/>
    <w:rsid w:val="00AD5315"/>
    <w:rsid w:val="00AD5641"/>
    <w:rsid w:val="00AD7889"/>
    <w:rsid w:val="00AF021B"/>
    <w:rsid w:val="00AF06CF"/>
    <w:rsid w:val="00B01A88"/>
    <w:rsid w:val="00B07CDB"/>
    <w:rsid w:val="00B12F54"/>
    <w:rsid w:val="00B15725"/>
    <w:rsid w:val="00B16A31"/>
    <w:rsid w:val="00B17DFD"/>
    <w:rsid w:val="00B273C1"/>
    <w:rsid w:val="00B2799D"/>
    <w:rsid w:val="00B308FE"/>
    <w:rsid w:val="00B3247B"/>
    <w:rsid w:val="00B32FE1"/>
    <w:rsid w:val="00B33709"/>
    <w:rsid w:val="00B33B3C"/>
    <w:rsid w:val="00B33BD1"/>
    <w:rsid w:val="00B36169"/>
    <w:rsid w:val="00B45CE5"/>
    <w:rsid w:val="00B45DDA"/>
    <w:rsid w:val="00B45EB4"/>
    <w:rsid w:val="00B50ADC"/>
    <w:rsid w:val="00B52159"/>
    <w:rsid w:val="00B566B1"/>
    <w:rsid w:val="00B63834"/>
    <w:rsid w:val="00B671B2"/>
    <w:rsid w:val="00B72734"/>
    <w:rsid w:val="00B73AE9"/>
    <w:rsid w:val="00B80199"/>
    <w:rsid w:val="00B82D81"/>
    <w:rsid w:val="00B83204"/>
    <w:rsid w:val="00B838E5"/>
    <w:rsid w:val="00BA220B"/>
    <w:rsid w:val="00BA39EF"/>
    <w:rsid w:val="00BA3A57"/>
    <w:rsid w:val="00BB4E1A"/>
    <w:rsid w:val="00BB5C17"/>
    <w:rsid w:val="00BC015E"/>
    <w:rsid w:val="00BC0B14"/>
    <w:rsid w:val="00BC5ABD"/>
    <w:rsid w:val="00BC7183"/>
    <w:rsid w:val="00BC76AC"/>
    <w:rsid w:val="00BD0ECB"/>
    <w:rsid w:val="00BD614E"/>
    <w:rsid w:val="00BD61D6"/>
    <w:rsid w:val="00BD7E39"/>
    <w:rsid w:val="00BE0F5B"/>
    <w:rsid w:val="00BE2155"/>
    <w:rsid w:val="00BE2213"/>
    <w:rsid w:val="00BE719A"/>
    <w:rsid w:val="00BE720A"/>
    <w:rsid w:val="00BF0D73"/>
    <w:rsid w:val="00BF0F9C"/>
    <w:rsid w:val="00BF2465"/>
    <w:rsid w:val="00BF3E46"/>
    <w:rsid w:val="00BF4498"/>
    <w:rsid w:val="00BF75C9"/>
    <w:rsid w:val="00C0544A"/>
    <w:rsid w:val="00C11452"/>
    <w:rsid w:val="00C21863"/>
    <w:rsid w:val="00C25E7F"/>
    <w:rsid w:val="00C2746F"/>
    <w:rsid w:val="00C30BD4"/>
    <w:rsid w:val="00C324A0"/>
    <w:rsid w:val="00C324D6"/>
    <w:rsid w:val="00C3300F"/>
    <w:rsid w:val="00C34E77"/>
    <w:rsid w:val="00C35875"/>
    <w:rsid w:val="00C35DAF"/>
    <w:rsid w:val="00C401CC"/>
    <w:rsid w:val="00C41661"/>
    <w:rsid w:val="00C42BF8"/>
    <w:rsid w:val="00C4370D"/>
    <w:rsid w:val="00C45171"/>
    <w:rsid w:val="00C50043"/>
    <w:rsid w:val="00C50B97"/>
    <w:rsid w:val="00C5292F"/>
    <w:rsid w:val="00C56CAD"/>
    <w:rsid w:val="00C57539"/>
    <w:rsid w:val="00C578DC"/>
    <w:rsid w:val="00C615E6"/>
    <w:rsid w:val="00C6434E"/>
    <w:rsid w:val="00C67EDD"/>
    <w:rsid w:val="00C70CA8"/>
    <w:rsid w:val="00C725EF"/>
    <w:rsid w:val="00C72952"/>
    <w:rsid w:val="00C7573B"/>
    <w:rsid w:val="00C7761F"/>
    <w:rsid w:val="00C86D45"/>
    <w:rsid w:val="00C90431"/>
    <w:rsid w:val="00C93C03"/>
    <w:rsid w:val="00CA1ED1"/>
    <w:rsid w:val="00CA3093"/>
    <w:rsid w:val="00CA6238"/>
    <w:rsid w:val="00CA66DC"/>
    <w:rsid w:val="00CB2C8E"/>
    <w:rsid w:val="00CB602E"/>
    <w:rsid w:val="00CC45D4"/>
    <w:rsid w:val="00CC5B4B"/>
    <w:rsid w:val="00CD2E90"/>
    <w:rsid w:val="00CE051D"/>
    <w:rsid w:val="00CE0F57"/>
    <w:rsid w:val="00CE1335"/>
    <w:rsid w:val="00CE3D2A"/>
    <w:rsid w:val="00CE493D"/>
    <w:rsid w:val="00CE4E32"/>
    <w:rsid w:val="00CE611C"/>
    <w:rsid w:val="00CE6C1F"/>
    <w:rsid w:val="00CE6D42"/>
    <w:rsid w:val="00CF07FA"/>
    <w:rsid w:val="00CF0BB2"/>
    <w:rsid w:val="00CF324E"/>
    <w:rsid w:val="00CF3EE8"/>
    <w:rsid w:val="00CF5DBF"/>
    <w:rsid w:val="00D01BA8"/>
    <w:rsid w:val="00D023A5"/>
    <w:rsid w:val="00D050E6"/>
    <w:rsid w:val="00D06624"/>
    <w:rsid w:val="00D13441"/>
    <w:rsid w:val="00D150E7"/>
    <w:rsid w:val="00D21ABA"/>
    <w:rsid w:val="00D223B5"/>
    <w:rsid w:val="00D24A14"/>
    <w:rsid w:val="00D25534"/>
    <w:rsid w:val="00D32F65"/>
    <w:rsid w:val="00D341C4"/>
    <w:rsid w:val="00D404C1"/>
    <w:rsid w:val="00D52DC2"/>
    <w:rsid w:val="00D53BCC"/>
    <w:rsid w:val="00D55C73"/>
    <w:rsid w:val="00D702DE"/>
    <w:rsid w:val="00D70DFB"/>
    <w:rsid w:val="00D73C22"/>
    <w:rsid w:val="00D766DF"/>
    <w:rsid w:val="00D8225C"/>
    <w:rsid w:val="00DA186E"/>
    <w:rsid w:val="00DA4116"/>
    <w:rsid w:val="00DB0515"/>
    <w:rsid w:val="00DB251C"/>
    <w:rsid w:val="00DB38AD"/>
    <w:rsid w:val="00DB4630"/>
    <w:rsid w:val="00DB4F96"/>
    <w:rsid w:val="00DB5111"/>
    <w:rsid w:val="00DC4445"/>
    <w:rsid w:val="00DC4F88"/>
    <w:rsid w:val="00DC72D4"/>
    <w:rsid w:val="00DE06A1"/>
    <w:rsid w:val="00DE79F9"/>
    <w:rsid w:val="00DF4070"/>
    <w:rsid w:val="00DF75BE"/>
    <w:rsid w:val="00E008A5"/>
    <w:rsid w:val="00E041AD"/>
    <w:rsid w:val="00E05704"/>
    <w:rsid w:val="00E06CC3"/>
    <w:rsid w:val="00E11E44"/>
    <w:rsid w:val="00E13AFA"/>
    <w:rsid w:val="00E162FF"/>
    <w:rsid w:val="00E2168B"/>
    <w:rsid w:val="00E21F03"/>
    <w:rsid w:val="00E22C05"/>
    <w:rsid w:val="00E25724"/>
    <w:rsid w:val="00E338EF"/>
    <w:rsid w:val="00E35B27"/>
    <w:rsid w:val="00E35E7A"/>
    <w:rsid w:val="00E40FF8"/>
    <w:rsid w:val="00E46973"/>
    <w:rsid w:val="00E51C99"/>
    <w:rsid w:val="00E544BB"/>
    <w:rsid w:val="00E56A3F"/>
    <w:rsid w:val="00E578EC"/>
    <w:rsid w:val="00E60423"/>
    <w:rsid w:val="00E662CB"/>
    <w:rsid w:val="00E67B46"/>
    <w:rsid w:val="00E67B57"/>
    <w:rsid w:val="00E73AEB"/>
    <w:rsid w:val="00E74DC7"/>
    <w:rsid w:val="00E8075A"/>
    <w:rsid w:val="00E818A6"/>
    <w:rsid w:val="00E81D93"/>
    <w:rsid w:val="00E85A91"/>
    <w:rsid w:val="00E87718"/>
    <w:rsid w:val="00E94D5E"/>
    <w:rsid w:val="00EA3EEB"/>
    <w:rsid w:val="00EA7100"/>
    <w:rsid w:val="00EA7F9F"/>
    <w:rsid w:val="00EB0E70"/>
    <w:rsid w:val="00EB1274"/>
    <w:rsid w:val="00EC4757"/>
    <w:rsid w:val="00EC7EDB"/>
    <w:rsid w:val="00ED2BB6"/>
    <w:rsid w:val="00ED34E1"/>
    <w:rsid w:val="00ED3B8D"/>
    <w:rsid w:val="00EE2CC9"/>
    <w:rsid w:val="00EE2D4F"/>
    <w:rsid w:val="00EE44BA"/>
    <w:rsid w:val="00EE64A1"/>
    <w:rsid w:val="00EE6EFD"/>
    <w:rsid w:val="00EF17CD"/>
    <w:rsid w:val="00EF2E3A"/>
    <w:rsid w:val="00EF7AEE"/>
    <w:rsid w:val="00F02EF9"/>
    <w:rsid w:val="00F072A7"/>
    <w:rsid w:val="00F078DC"/>
    <w:rsid w:val="00F14593"/>
    <w:rsid w:val="00F171A1"/>
    <w:rsid w:val="00F17784"/>
    <w:rsid w:val="00F20EE9"/>
    <w:rsid w:val="00F242FD"/>
    <w:rsid w:val="00F32BA8"/>
    <w:rsid w:val="00F349F1"/>
    <w:rsid w:val="00F4215A"/>
    <w:rsid w:val="00F4350D"/>
    <w:rsid w:val="00F4785A"/>
    <w:rsid w:val="00F50532"/>
    <w:rsid w:val="00F54A2E"/>
    <w:rsid w:val="00F54F51"/>
    <w:rsid w:val="00F567F7"/>
    <w:rsid w:val="00F57DF2"/>
    <w:rsid w:val="00F61B09"/>
    <w:rsid w:val="00F62036"/>
    <w:rsid w:val="00F65B52"/>
    <w:rsid w:val="00F67BCA"/>
    <w:rsid w:val="00F703C7"/>
    <w:rsid w:val="00F73BD6"/>
    <w:rsid w:val="00F83989"/>
    <w:rsid w:val="00F85099"/>
    <w:rsid w:val="00F90F9B"/>
    <w:rsid w:val="00F9379C"/>
    <w:rsid w:val="00F94934"/>
    <w:rsid w:val="00F9632C"/>
    <w:rsid w:val="00FA13EB"/>
    <w:rsid w:val="00FA1E52"/>
    <w:rsid w:val="00FA31DE"/>
    <w:rsid w:val="00FA7D17"/>
    <w:rsid w:val="00FB13F5"/>
    <w:rsid w:val="00FB7685"/>
    <w:rsid w:val="00FC3EB8"/>
    <w:rsid w:val="00FC7D25"/>
    <w:rsid w:val="00FD13CC"/>
    <w:rsid w:val="00FD3A8B"/>
    <w:rsid w:val="00FD5CC5"/>
    <w:rsid w:val="00FE4688"/>
    <w:rsid w:val="00FE5F39"/>
    <w:rsid w:val="00FE72D6"/>
    <w:rsid w:val="00FE79D0"/>
    <w:rsid w:val="00FF67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90E1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hist">
    <w:name w:val="ahist"/>
    <w:rsid w:val="00C4370D"/>
    <w:pPr>
      <w:spacing w:before="60" w:after="60"/>
    </w:pPr>
    <w:rPr>
      <w:rFonts w:eastAsia="Times New Roman"/>
      <w:sz w:val="18"/>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881E23"/>
    <w:rPr>
      <w:sz w:val="22"/>
      <w:lang w:eastAsia="en-US"/>
    </w:rPr>
  </w:style>
  <w:style w:type="character" w:customStyle="1" w:styleId="spanh52">
    <w:name w:val="spanh52"/>
    <w:basedOn w:val="DefaultParagraphFont"/>
    <w:rsid w:val="00F17784"/>
    <w:rPr>
      <w:rFonts w:ascii="Arial" w:hAnsi="Arial" w:cs="Arial" w:hint="default"/>
      <w:b/>
      <w:bCs/>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ahist">
    <w:name w:val="ahist"/>
    <w:rsid w:val="00C4370D"/>
    <w:pPr>
      <w:spacing w:before="60" w:after="60"/>
    </w:pPr>
    <w:rPr>
      <w:rFonts w:eastAsia="Times New Roman"/>
      <w:sz w:val="18"/>
      <w:lang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Revision">
    <w:name w:val="Revision"/>
    <w:hidden/>
    <w:uiPriority w:val="99"/>
    <w:semiHidden/>
    <w:rsid w:val="00881E23"/>
    <w:rPr>
      <w:sz w:val="22"/>
      <w:lang w:eastAsia="en-US"/>
    </w:rPr>
  </w:style>
  <w:style w:type="character" w:customStyle="1" w:styleId="spanh52">
    <w:name w:val="spanh52"/>
    <w:basedOn w:val="DefaultParagraphFont"/>
    <w:rsid w:val="00F17784"/>
    <w:rPr>
      <w:rFonts w:ascii="Arial" w:hAnsi="Arial" w:cs="Arial" w:hint="default"/>
      <w:b/>
      <w:bCs/>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514124">
      <w:bodyDiv w:val="1"/>
      <w:marLeft w:val="0"/>
      <w:marRight w:val="0"/>
      <w:marTop w:val="0"/>
      <w:marBottom w:val="0"/>
      <w:divBdr>
        <w:top w:val="none" w:sz="0" w:space="0" w:color="auto"/>
        <w:left w:val="none" w:sz="0" w:space="0" w:color="auto"/>
        <w:bottom w:val="none" w:sz="0" w:space="0" w:color="auto"/>
        <w:right w:val="none" w:sz="0" w:space="0" w:color="auto"/>
      </w:divBdr>
      <w:divsChild>
        <w:div w:id="2146459434">
          <w:marLeft w:val="0"/>
          <w:marRight w:val="0"/>
          <w:marTop w:val="0"/>
          <w:marBottom w:val="0"/>
          <w:divBdr>
            <w:top w:val="none" w:sz="0" w:space="0" w:color="auto"/>
            <w:left w:val="none" w:sz="0" w:space="0" w:color="auto"/>
            <w:bottom w:val="none" w:sz="0" w:space="0" w:color="auto"/>
            <w:right w:val="none" w:sz="0" w:space="0" w:color="auto"/>
          </w:divBdr>
          <w:divsChild>
            <w:div w:id="349257325">
              <w:marLeft w:val="0"/>
              <w:marRight w:val="0"/>
              <w:marTop w:val="0"/>
              <w:marBottom w:val="0"/>
              <w:divBdr>
                <w:top w:val="none" w:sz="0" w:space="0" w:color="auto"/>
                <w:left w:val="none" w:sz="0" w:space="0" w:color="auto"/>
                <w:bottom w:val="none" w:sz="0" w:space="0" w:color="auto"/>
                <w:right w:val="none" w:sz="0" w:space="0" w:color="auto"/>
              </w:divBdr>
              <w:divsChild>
                <w:div w:id="833909081">
                  <w:marLeft w:val="0"/>
                  <w:marRight w:val="0"/>
                  <w:marTop w:val="0"/>
                  <w:marBottom w:val="0"/>
                  <w:divBdr>
                    <w:top w:val="none" w:sz="0" w:space="0" w:color="auto"/>
                    <w:left w:val="none" w:sz="0" w:space="0" w:color="auto"/>
                    <w:bottom w:val="none" w:sz="0" w:space="0" w:color="auto"/>
                    <w:right w:val="none" w:sz="0" w:space="0" w:color="auto"/>
                  </w:divBdr>
                  <w:divsChild>
                    <w:div w:id="1167748205">
                      <w:marLeft w:val="0"/>
                      <w:marRight w:val="0"/>
                      <w:marTop w:val="0"/>
                      <w:marBottom w:val="0"/>
                      <w:divBdr>
                        <w:top w:val="none" w:sz="0" w:space="0" w:color="auto"/>
                        <w:left w:val="none" w:sz="0" w:space="0" w:color="auto"/>
                        <w:bottom w:val="none" w:sz="0" w:space="0" w:color="auto"/>
                        <w:right w:val="none" w:sz="0" w:space="0" w:color="auto"/>
                      </w:divBdr>
                      <w:divsChild>
                        <w:div w:id="270169688">
                          <w:marLeft w:val="0"/>
                          <w:marRight w:val="0"/>
                          <w:marTop w:val="0"/>
                          <w:marBottom w:val="0"/>
                          <w:divBdr>
                            <w:top w:val="none" w:sz="0" w:space="0" w:color="auto"/>
                            <w:left w:val="none" w:sz="0" w:space="0" w:color="auto"/>
                            <w:bottom w:val="none" w:sz="0" w:space="0" w:color="auto"/>
                            <w:right w:val="none" w:sz="0" w:space="0" w:color="auto"/>
                          </w:divBdr>
                          <w:divsChild>
                            <w:div w:id="1657807067">
                              <w:marLeft w:val="0"/>
                              <w:marRight w:val="0"/>
                              <w:marTop w:val="0"/>
                              <w:marBottom w:val="0"/>
                              <w:divBdr>
                                <w:top w:val="none" w:sz="0" w:space="0" w:color="auto"/>
                                <w:left w:val="none" w:sz="0" w:space="0" w:color="auto"/>
                                <w:bottom w:val="none" w:sz="0" w:space="0" w:color="auto"/>
                                <w:right w:val="none" w:sz="0" w:space="0" w:color="auto"/>
                              </w:divBdr>
                              <w:divsChild>
                                <w:div w:id="508326429">
                                  <w:marLeft w:val="0"/>
                                  <w:marRight w:val="0"/>
                                  <w:marTop w:val="0"/>
                                  <w:marBottom w:val="0"/>
                                  <w:divBdr>
                                    <w:top w:val="none" w:sz="0" w:space="0" w:color="auto"/>
                                    <w:left w:val="none" w:sz="0" w:space="0" w:color="auto"/>
                                    <w:bottom w:val="none" w:sz="0" w:space="0" w:color="auto"/>
                                    <w:right w:val="none" w:sz="0" w:space="0" w:color="auto"/>
                                  </w:divBdr>
                                  <w:divsChild>
                                    <w:div w:id="1302534887">
                                      <w:marLeft w:val="0"/>
                                      <w:marRight w:val="0"/>
                                      <w:marTop w:val="0"/>
                                      <w:marBottom w:val="0"/>
                                      <w:divBdr>
                                        <w:top w:val="none" w:sz="0" w:space="0" w:color="auto"/>
                                        <w:left w:val="none" w:sz="0" w:space="0" w:color="auto"/>
                                        <w:bottom w:val="none" w:sz="0" w:space="0" w:color="auto"/>
                                        <w:right w:val="none" w:sz="0" w:space="0" w:color="auto"/>
                                      </w:divBdr>
                                      <w:divsChild>
                                        <w:div w:id="1551384279">
                                          <w:marLeft w:val="0"/>
                                          <w:marRight w:val="0"/>
                                          <w:marTop w:val="0"/>
                                          <w:marBottom w:val="0"/>
                                          <w:divBdr>
                                            <w:top w:val="none" w:sz="0" w:space="0" w:color="auto"/>
                                            <w:left w:val="none" w:sz="0" w:space="0" w:color="auto"/>
                                            <w:bottom w:val="none" w:sz="0" w:space="0" w:color="auto"/>
                                            <w:right w:val="none" w:sz="0" w:space="0" w:color="auto"/>
                                          </w:divBdr>
                                          <w:divsChild>
                                            <w:div w:id="1857764725">
                                              <w:marLeft w:val="0"/>
                                              <w:marRight w:val="0"/>
                                              <w:marTop w:val="0"/>
                                              <w:marBottom w:val="0"/>
                                              <w:divBdr>
                                                <w:top w:val="none" w:sz="0" w:space="0" w:color="auto"/>
                                                <w:left w:val="none" w:sz="0" w:space="0" w:color="auto"/>
                                                <w:bottom w:val="none" w:sz="0" w:space="0" w:color="auto"/>
                                                <w:right w:val="none" w:sz="0" w:space="0" w:color="auto"/>
                                              </w:divBdr>
                                              <w:divsChild>
                                                <w:div w:id="1200975586">
                                                  <w:marLeft w:val="0"/>
                                                  <w:marRight w:val="0"/>
                                                  <w:marTop w:val="0"/>
                                                  <w:marBottom w:val="0"/>
                                                  <w:divBdr>
                                                    <w:top w:val="none" w:sz="0" w:space="0" w:color="auto"/>
                                                    <w:left w:val="none" w:sz="0" w:space="0" w:color="auto"/>
                                                    <w:bottom w:val="none" w:sz="0" w:space="0" w:color="auto"/>
                                                    <w:right w:val="none" w:sz="0" w:space="0" w:color="auto"/>
                                                  </w:divBdr>
                                                  <w:divsChild>
                                                    <w:div w:id="1053388963">
                                                      <w:marLeft w:val="0"/>
                                                      <w:marRight w:val="0"/>
                                                      <w:marTop w:val="0"/>
                                                      <w:marBottom w:val="0"/>
                                                      <w:divBdr>
                                                        <w:top w:val="none" w:sz="0" w:space="0" w:color="auto"/>
                                                        <w:left w:val="none" w:sz="0" w:space="0" w:color="auto"/>
                                                        <w:bottom w:val="none" w:sz="0" w:space="0" w:color="auto"/>
                                                        <w:right w:val="none" w:sz="0" w:space="0" w:color="auto"/>
                                                      </w:divBdr>
                                                      <w:divsChild>
                                                        <w:div w:id="595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R20160000679533</RecordNumber>
    <ObjectiveID xmlns="da7a9ac0-bc47-4684-84e6-3a8e9ac80c12" xsi:nil="true"/>
    <IconOverlay xmlns="http://schemas.microsoft.com/sharepoint/v4" xsi:nil="true"/>
    <SignificantFlag xmlns="da7a9ac0-bc47-4684-84e6-3a8e9ac80c12">false</SignificantFlag>
    <SenateOrder12 xmlns="da7a9ac0-bc47-4684-84e6-3a8e9ac80c12">false</SenateOrder12>
    <Approvers xmlns="17f478ab-373e-4295-9ff0-9b833ad01319">
      <UserInfo>
        <DisplayName/>
        <AccountId xsi:nil="true"/>
        <AccountType/>
      </UserInfo>
    </Approvers>
    <ded95d7ab059406991d558011d18c177 xmlns="da7a9ac0-bc47-4684-84e6-3a8e9ac80c12" xsi:nil="true"/>
    <Reviewers xmlns="17f478ab-373e-4295-9ff0-9b833ad01319">
      <UserInfo>
        <DisplayName/>
        <AccountId xsi:nil="true"/>
        <AccountType/>
      </UserInfo>
    </Reviewers>
    <SignificantReason xmlns="da7a9ac0-bc47-4684-84e6-3a8e9ac80c12" xsi:nil="true"/>
    <NotesLinks xmlns="da7a9ac0-bc47-4684-84e6-3a8e9ac80c12"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1C7FE-EEEF-4ECB-851F-1208FB976DAA}"/>
</file>

<file path=customXml/itemProps2.xml><?xml version="1.0" encoding="utf-8"?>
<ds:datastoreItem xmlns:ds="http://schemas.openxmlformats.org/officeDocument/2006/customXml" ds:itemID="{D02BA993-AC9C-49B9-A6D4-E5DC8C159EB7}"/>
</file>

<file path=customXml/itemProps3.xml><?xml version="1.0" encoding="utf-8"?>
<ds:datastoreItem xmlns:ds="http://schemas.openxmlformats.org/officeDocument/2006/customXml" ds:itemID="{AF0EF1C3-E56A-48DF-A520-EF6B85EFBADB}"/>
</file>

<file path=customXml/itemProps4.xml><?xml version="1.0" encoding="utf-8"?>
<ds:datastoreItem xmlns:ds="http://schemas.openxmlformats.org/officeDocument/2006/customXml" ds:itemID="{FD20C417-4075-440E-9A63-F50ECEA16C07}"/>
</file>

<file path=docProps/app.xml><?xml version="1.0" encoding="utf-8"?>
<Properties xmlns="http://schemas.openxmlformats.org/officeDocument/2006/extended-properties" xmlns:vt="http://schemas.openxmlformats.org/officeDocument/2006/docPropsVTypes">
  <Template>Normal.dotm</Template>
  <TotalTime>0</TotalTime>
  <Pages>9</Pages>
  <Words>1977</Words>
  <Characters>11272</Characters>
  <Application>Microsoft Office Word</Application>
  <DocSecurity>0</DocSecurity>
  <PresentationFormat/>
  <Lines>93</Lines>
  <Paragraphs>26</Paragraphs>
  <ScaleCrop>false</ScaleCrop>
  <HeadingPairs>
    <vt:vector size="2" baseType="variant">
      <vt:variant>
        <vt:lpstr>Title</vt:lpstr>
      </vt:variant>
      <vt:variant>
        <vt:i4>1</vt:i4>
      </vt:variant>
    </vt:vector>
  </HeadingPairs>
  <TitlesOfParts>
    <vt:vector size="1" baseType="lpstr">
      <vt:lpstr>Draft class order for [07-74] - CLO comments 23 December 2015</vt:lpstr>
    </vt:vector>
  </TitlesOfParts>
  <LinksUpToDate>false</LinksUpToDate>
  <CharactersWithSpaces>13223</CharactersWithSpaces>
  <SharedDoc>false</SharedDoc>
  <HyperlinkBase/>
  <HLinks>
    <vt:vector size="60" baseType="variant">
      <vt:variant>
        <vt:i4>6160468</vt:i4>
      </vt:variant>
      <vt:variant>
        <vt:i4>57</vt:i4>
      </vt:variant>
      <vt:variant>
        <vt:i4>0</vt:i4>
      </vt:variant>
      <vt:variant>
        <vt:i4>5</vt:i4>
      </vt:variant>
      <vt:variant>
        <vt:lpwstr>http://www.comlaw.gov.au/</vt:lpwstr>
      </vt:variant>
      <vt:variant>
        <vt:lpwstr/>
      </vt:variant>
      <vt:variant>
        <vt:i4>1114161</vt:i4>
      </vt:variant>
      <vt:variant>
        <vt:i4>50</vt:i4>
      </vt:variant>
      <vt:variant>
        <vt:i4>0</vt:i4>
      </vt:variant>
      <vt:variant>
        <vt:i4>5</vt:i4>
      </vt:variant>
      <vt:variant>
        <vt:lpwstr/>
      </vt:variant>
      <vt:variant>
        <vt:lpwstr>_Toc433274131</vt:lpwstr>
      </vt:variant>
      <vt:variant>
        <vt:i4>1114161</vt:i4>
      </vt:variant>
      <vt:variant>
        <vt:i4>44</vt:i4>
      </vt:variant>
      <vt:variant>
        <vt:i4>0</vt:i4>
      </vt:variant>
      <vt:variant>
        <vt:i4>5</vt:i4>
      </vt:variant>
      <vt:variant>
        <vt:lpwstr/>
      </vt:variant>
      <vt:variant>
        <vt:lpwstr>_Toc433274130</vt:lpwstr>
      </vt:variant>
      <vt:variant>
        <vt:i4>1048625</vt:i4>
      </vt:variant>
      <vt:variant>
        <vt:i4>38</vt:i4>
      </vt:variant>
      <vt:variant>
        <vt:i4>0</vt:i4>
      </vt:variant>
      <vt:variant>
        <vt:i4>5</vt:i4>
      </vt:variant>
      <vt:variant>
        <vt:lpwstr/>
      </vt:variant>
      <vt:variant>
        <vt:lpwstr>_Toc433274129</vt:lpwstr>
      </vt:variant>
      <vt:variant>
        <vt:i4>1048625</vt:i4>
      </vt:variant>
      <vt:variant>
        <vt:i4>32</vt:i4>
      </vt:variant>
      <vt:variant>
        <vt:i4>0</vt:i4>
      </vt:variant>
      <vt:variant>
        <vt:i4>5</vt:i4>
      </vt:variant>
      <vt:variant>
        <vt:lpwstr/>
      </vt:variant>
      <vt:variant>
        <vt:lpwstr>_Toc433274128</vt:lpwstr>
      </vt:variant>
      <vt:variant>
        <vt:i4>1048625</vt:i4>
      </vt:variant>
      <vt:variant>
        <vt:i4>26</vt:i4>
      </vt:variant>
      <vt:variant>
        <vt:i4>0</vt:i4>
      </vt:variant>
      <vt:variant>
        <vt:i4>5</vt:i4>
      </vt:variant>
      <vt:variant>
        <vt:lpwstr/>
      </vt:variant>
      <vt:variant>
        <vt:lpwstr>_Toc433274127</vt:lpwstr>
      </vt:variant>
      <vt:variant>
        <vt:i4>1048625</vt:i4>
      </vt:variant>
      <vt:variant>
        <vt:i4>20</vt:i4>
      </vt:variant>
      <vt:variant>
        <vt:i4>0</vt:i4>
      </vt:variant>
      <vt:variant>
        <vt:i4>5</vt:i4>
      </vt:variant>
      <vt:variant>
        <vt:lpwstr/>
      </vt:variant>
      <vt:variant>
        <vt:lpwstr>_Toc433274126</vt:lpwstr>
      </vt:variant>
      <vt:variant>
        <vt:i4>1048625</vt:i4>
      </vt:variant>
      <vt:variant>
        <vt:i4>14</vt:i4>
      </vt:variant>
      <vt:variant>
        <vt:i4>0</vt:i4>
      </vt:variant>
      <vt:variant>
        <vt:i4>5</vt:i4>
      </vt:variant>
      <vt:variant>
        <vt:lpwstr/>
      </vt:variant>
      <vt:variant>
        <vt:lpwstr>_Toc433274125</vt:lpwstr>
      </vt:variant>
      <vt:variant>
        <vt:i4>1048625</vt:i4>
      </vt:variant>
      <vt:variant>
        <vt:i4>8</vt:i4>
      </vt:variant>
      <vt:variant>
        <vt:i4>0</vt:i4>
      </vt:variant>
      <vt:variant>
        <vt:i4>5</vt:i4>
      </vt:variant>
      <vt:variant>
        <vt:lpwstr/>
      </vt:variant>
      <vt:variant>
        <vt:lpwstr>_Toc433274124</vt:lpwstr>
      </vt:variant>
      <vt:variant>
        <vt:i4>1048625</vt:i4>
      </vt:variant>
      <vt:variant>
        <vt:i4>2</vt:i4>
      </vt:variant>
      <vt:variant>
        <vt:i4>0</vt:i4>
      </vt:variant>
      <vt:variant>
        <vt:i4>5</vt:i4>
      </vt:variant>
      <vt:variant>
        <vt:lpwstr/>
      </vt:variant>
      <vt:variant>
        <vt:lpwstr>_Toc433274123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class order for [07-74] - CLO comments 23 December 2015</dc:title>
  <dc:creator/>
  <cp:lastModifiedBy/>
  <cp:revision>1</cp:revision>
  <dcterms:created xsi:type="dcterms:W3CDTF">2016-10-18T23:52:00Z</dcterms:created>
  <dcterms:modified xsi:type="dcterms:W3CDTF">2017-09-21T02:50:00Z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0x010100B5F685A1365F544391EF8C813B164F3A003FC3A1FB886AA841B1151906BEDCBCDF</vt:lpwstr>
  </property>
  <property fmtid="{D5CDD505-2E9C-101B-9397-08002B2CF9AE}" pid="3" name="IMSFilesetProductType">
    <vt:lpwstr/>
  </property>
  <property fmtid="{D5CDD505-2E9C-101B-9397-08002B2CF9AE}" pid="4" name="IMSFilesetEntity">
    <vt:lpwstr/>
  </property>
  <property fmtid="{D5CDD505-2E9C-101B-9397-08002B2CF9AE}" pid="5" name="Fileset search keywords">
    <vt:lpwstr/>
  </property>
  <property fmtid="{D5CDD505-2E9C-101B-9397-08002B2CF9AE}" pid="6" name="File search keywords">
    <vt:lpwstr/>
  </property>
  <property fmtid="{D5CDD505-2E9C-101B-9397-08002B2CF9AE}" pid="7" name="Order">
    <vt:r8>101900</vt:r8>
  </property>
  <property fmtid="{D5CDD505-2E9C-101B-9397-08002B2CF9AE}" pid="8" name="IMS_x0020_Precedent">
    <vt:lpwstr/>
  </property>
  <property fmtid="{D5CDD505-2E9C-101B-9397-08002B2CF9AE}" pid="9" name="IMSEntity">
    <vt:lpwstr/>
  </property>
  <property fmtid="{D5CDD505-2E9C-101B-9397-08002B2CF9AE}" pid="10" name="SecurityClassification">
    <vt:lpwstr>7;#Sensitive|19fd2cb8-3e97-4464-ae71-8c2c2095d028</vt:lpwstr>
  </property>
  <property fmtid="{D5CDD505-2E9C-101B-9397-08002B2CF9AE}" pid="11" name="IMSDocumentType">
    <vt:lpwstr/>
  </property>
  <property fmtid="{D5CDD505-2E9C-101B-9397-08002B2CF9AE}" pid="12" name="IMSProductType">
    <vt:lpwstr/>
  </property>
  <property fmtid="{D5CDD505-2E9C-101B-9397-08002B2CF9AE}" pid="13" name="IMS Precedent">
    <vt:lpwstr/>
  </property>
  <property fmtid="{D5CDD505-2E9C-101B-9397-08002B2CF9AE}" pid="14" name="RecordPoint_WorkflowType">
    <vt:lpwstr>ActiveSubmitStub</vt:lpwstr>
  </property>
  <property fmtid="{D5CDD505-2E9C-101B-9397-08002B2CF9AE}" pid="15" name="RecordPoint_ActiveItemWebId">
    <vt:lpwstr>{6fdf923d-1605-456d-9034-49e4c2a6593d}</vt:lpwstr>
  </property>
  <property fmtid="{D5CDD505-2E9C-101B-9397-08002B2CF9AE}" pid="16" name="RecordPoint_ActiveItemSiteId">
    <vt:lpwstr>{fa96e6fb-4129-44b7-b105-10ec3844cb78}</vt:lpwstr>
  </property>
  <property fmtid="{D5CDD505-2E9C-101B-9397-08002B2CF9AE}" pid="17" name="RecordPoint_ActiveItemListId">
    <vt:lpwstr>{e8634c1b-1868-4a02-8de8-ef4b1316a551}</vt:lpwstr>
  </property>
  <property fmtid="{D5CDD505-2E9C-101B-9397-08002B2CF9AE}" pid="18" name="RecordPoint_ActiveItemUniqueId">
    <vt:lpwstr>{00ff697c-d9fb-4581-bd1c-eb32568e0d82}</vt:lpwstr>
  </property>
  <property fmtid="{D5CDD505-2E9C-101B-9397-08002B2CF9AE}" pid="19" name="RecordPoint_SubmissionDate">
    <vt:lpwstr/>
  </property>
  <property fmtid="{D5CDD505-2E9C-101B-9397-08002B2CF9AE}" pid="20" name="RecordPoint_RecordNumberSubmitted">
    <vt:lpwstr>R20160000679533</vt:lpwstr>
  </property>
  <property fmtid="{D5CDD505-2E9C-101B-9397-08002B2CF9AE}" pid="21" name="RecordPoint_ActiveItemMoved">
    <vt:lpwstr/>
  </property>
  <property fmtid="{D5CDD505-2E9C-101B-9397-08002B2CF9AE}" pid="22" name="RecordPoint_RecordFormat">
    <vt:lpwstr/>
  </property>
  <property fmtid="{D5CDD505-2E9C-101B-9397-08002B2CF9AE}" pid="23" name="RecordPoint_SubmissionCompleted">
    <vt:lpwstr>2017-09-21T12:54:30.1021316+10:00</vt:lpwstr>
  </property>
</Properties>
</file>