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37" w:rsidRPr="009C5237" w:rsidRDefault="009C5237" w:rsidP="009C5237">
      <w:pPr>
        <w:jc w:val="center"/>
        <w:rPr>
          <w:rFonts w:ascii="Arial" w:hAnsi="Arial" w:cs="Arial"/>
          <w:b/>
          <w:sz w:val="28"/>
        </w:rPr>
      </w:pPr>
      <w:bookmarkStart w:id="0" w:name="_GoBack"/>
      <w:bookmarkEnd w:id="0"/>
    </w:p>
    <w:p w:rsidR="009C5237" w:rsidRPr="009C5237" w:rsidRDefault="009C5237" w:rsidP="009C5237">
      <w:pPr>
        <w:jc w:val="center"/>
        <w:rPr>
          <w:rFonts w:ascii="Arial" w:hAnsi="Arial" w:cs="Arial"/>
          <w:b/>
          <w:sz w:val="28"/>
        </w:rPr>
      </w:pPr>
    </w:p>
    <w:p w:rsidR="009C5237" w:rsidRDefault="009C5237" w:rsidP="009C5237">
      <w:pPr>
        <w:jc w:val="center"/>
        <w:rPr>
          <w:rFonts w:ascii="Arial" w:hAnsi="Arial" w:cs="Arial"/>
          <w:b/>
          <w:sz w:val="28"/>
        </w:rPr>
      </w:pPr>
    </w:p>
    <w:p w:rsidR="008B49EB" w:rsidRDefault="008B49EB" w:rsidP="009C5237">
      <w:pPr>
        <w:jc w:val="center"/>
        <w:rPr>
          <w:rFonts w:ascii="Arial" w:hAnsi="Arial" w:cs="Arial"/>
          <w:b/>
          <w:sz w:val="28"/>
        </w:rPr>
      </w:pPr>
    </w:p>
    <w:p w:rsidR="009C5237" w:rsidRPr="00704694" w:rsidRDefault="009C5237" w:rsidP="009C5237">
      <w:pPr>
        <w:jc w:val="center"/>
        <w:rPr>
          <w:rFonts w:ascii="Arial" w:hAnsi="Arial" w:cs="Arial"/>
          <w:b/>
          <w:sz w:val="22"/>
        </w:rPr>
      </w:pPr>
    </w:p>
    <w:p w:rsidR="00914AEC" w:rsidRPr="00F20998" w:rsidRDefault="00914AEC" w:rsidP="00914AEC">
      <w:pPr>
        <w:jc w:val="center"/>
        <w:rPr>
          <w:rFonts w:ascii="Arial" w:hAnsi="Arial" w:cs="Arial"/>
          <w:b/>
        </w:rPr>
      </w:pPr>
      <w:r w:rsidRPr="00F20998">
        <w:rPr>
          <w:rFonts w:ascii="Arial" w:hAnsi="Arial" w:cs="Arial"/>
          <w:b/>
        </w:rPr>
        <w:t>EXPLANATORY STATEMENT</w:t>
      </w:r>
    </w:p>
    <w:p w:rsidR="00914AEC" w:rsidRPr="00F20998" w:rsidRDefault="00914AEC" w:rsidP="00914AEC">
      <w:pPr>
        <w:jc w:val="center"/>
        <w:rPr>
          <w:rFonts w:ascii="Arial" w:hAnsi="Arial" w:cs="Arial"/>
          <w:b/>
        </w:rPr>
      </w:pPr>
    </w:p>
    <w:p w:rsidR="00F20998" w:rsidRPr="00F20998" w:rsidRDefault="00F20998" w:rsidP="00F20998">
      <w:pPr>
        <w:jc w:val="center"/>
        <w:rPr>
          <w:rFonts w:ascii="Arial" w:hAnsi="Arial" w:cs="Arial"/>
        </w:rPr>
      </w:pPr>
      <w:r w:rsidRPr="00F20998">
        <w:rPr>
          <w:rFonts w:ascii="Arial" w:hAnsi="Arial" w:cs="Arial"/>
        </w:rPr>
        <w:t>Issued by the Authority of the Minister for Education and Training</w:t>
      </w:r>
    </w:p>
    <w:p w:rsidR="00F20998" w:rsidRPr="00F20998" w:rsidRDefault="00F20998" w:rsidP="00F20998">
      <w:pPr>
        <w:jc w:val="center"/>
        <w:rPr>
          <w:rFonts w:ascii="Arial" w:hAnsi="Arial" w:cs="Arial"/>
          <w:b/>
        </w:rPr>
      </w:pPr>
    </w:p>
    <w:p w:rsidR="00F20998" w:rsidRPr="00F20998" w:rsidRDefault="00F20998" w:rsidP="00F20998">
      <w:pPr>
        <w:jc w:val="center"/>
        <w:rPr>
          <w:rFonts w:ascii="Arial" w:hAnsi="Arial" w:cs="Arial"/>
          <w:b/>
          <w:i/>
        </w:rPr>
      </w:pPr>
      <w:r w:rsidRPr="00F20998">
        <w:rPr>
          <w:rFonts w:ascii="Arial" w:hAnsi="Arial" w:cs="Arial"/>
          <w:b/>
          <w:i/>
        </w:rPr>
        <w:t>Higher Education Support Act 2003</w:t>
      </w:r>
    </w:p>
    <w:p w:rsidR="009C5237" w:rsidRPr="00F20998" w:rsidRDefault="009C5237" w:rsidP="009C5237">
      <w:pPr>
        <w:jc w:val="center"/>
        <w:rPr>
          <w:rFonts w:ascii="Arial" w:hAnsi="Arial" w:cs="Arial"/>
          <w:b/>
        </w:rPr>
      </w:pPr>
    </w:p>
    <w:p w:rsidR="001006BE" w:rsidRPr="00F20998" w:rsidRDefault="00F948EE" w:rsidP="009C5237">
      <w:pPr>
        <w:jc w:val="center"/>
        <w:rPr>
          <w:rFonts w:ascii="Arial" w:hAnsi="Arial" w:cs="Arial"/>
          <w:b/>
        </w:rPr>
      </w:pPr>
      <w:r w:rsidRPr="00F20998">
        <w:rPr>
          <w:rFonts w:ascii="Arial" w:hAnsi="Arial" w:cs="Arial"/>
          <w:b/>
        </w:rPr>
        <w:t>FEE-HELP Guidelines</w:t>
      </w:r>
      <w:r w:rsidR="00C66243" w:rsidRPr="00F20998">
        <w:rPr>
          <w:rFonts w:ascii="Arial" w:hAnsi="Arial" w:cs="Arial"/>
          <w:b/>
        </w:rPr>
        <w:t xml:space="preserve"> 2017</w:t>
      </w:r>
    </w:p>
    <w:p w:rsidR="00476E83" w:rsidRDefault="00476E83">
      <w:pPr>
        <w:spacing w:after="200" w:line="276" w:lineRule="auto"/>
        <w:rPr>
          <w:rFonts w:ascii="Arial" w:hAnsi="Arial" w:cs="Arial"/>
          <w:b/>
          <w:sz w:val="28"/>
          <w:szCs w:val="28"/>
        </w:rPr>
      </w:pPr>
    </w:p>
    <w:p w:rsidR="001006BE" w:rsidRPr="00F20998" w:rsidRDefault="00914AEC" w:rsidP="00914AEC">
      <w:pPr>
        <w:rPr>
          <w:rFonts w:ascii="Arial" w:hAnsi="Arial" w:cs="Arial"/>
          <w:b/>
        </w:rPr>
      </w:pPr>
      <w:r w:rsidRPr="00F20998">
        <w:rPr>
          <w:rFonts w:ascii="Arial" w:hAnsi="Arial" w:cs="Arial"/>
          <w:b/>
        </w:rPr>
        <w:t>P</w:t>
      </w:r>
      <w:r w:rsidR="00F20998" w:rsidRPr="00F20998">
        <w:rPr>
          <w:rFonts w:ascii="Arial" w:hAnsi="Arial" w:cs="Arial"/>
          <w:b/>
        </w:rPr>
        <w:t>urpose</w:t>
      </w:r>
    </w:p>
    <w:p w:rsidR="00914AEC" w:rsidRDefault="00914AEC" w:rsidP="00F948EE">
      <w:pPr>
        <w:rPr>
          <w:rFonts w:ascii="Arial" w:hAnsi="Arial" w:cs="Arial"/>
          <w:szCs w:val="22"/>
        </w:rPr>
      </w:pPr>
    </w:p>
    <w:p w:rsidR="00914AEC" w:rsidRDefault="00914AEC" w:rsidP="00914AEC">
      <w:pPr>
        <w:rPr>
          <w:rFonts w:ascii="Arial" w:hAnsi="Arial" w:cs="Arial"/>
          <w:szCs w:val="22"/>
        </w:rPr>
      </w:pPr>
      <w:r>
        <w:rPr>
          <w:rFonts w:ascii="Arial" w:hAnsi="Arial" w:cs="Arial"/>
          <w:szCs w:val="22"/>
        </w:rPr>
        <w:t xml:space="preserve">The purpose of this instrument is to remake the FEE-HELP Guidelines made under section 238-10 of the </w:t>
      </w:r>
      <w:r w:rsidRPr="00914AEC">
        <w:rPr>
          <w:rFonts w:ascii="Arial" w:hAnsi="Arial" w:cs="Arial"/>
          <w:i/>
          <w:szCs w:val="22"/>
        </w:rPr>
        <w:t>Higher Education Support Act 2003</w:t>
      </w:r>
      <w:r>
        <w:rPr>
          <w:rFonts w:ascii="Arial" w:hAnsi="Arial" w:cs="Arial"/>
          <w:szCs w:val="22"/>
        </w:rPr>
        <w:t xml:space="preserve"> (the Act). </w:t>
      </w:r>
    </w:p>
    <w:p w:rsidR="00F20998" w:rsidRDefault="00F20998" w:rsidP="00914AEC">
      <w:pPr>
        <w:rPr>
          <w:rFonts w:ascii="Arial" w:hAnsi="Arial" w:cs="Arial"/>
          <w:szCs w:val="22"/>
        </w:rPr>
      </w:pPr>
    </w:p>
    <w:p w:rsidR="00F20998" w:rsidRDefault="00F20998" w:rsidP="00F20998">
      <w:pPr>
        <w:rPr>
          <w:rFonts w:ascii="Arial" w:hAnsi="Arial" w:cs="Arial"/>
          <w:szCs w:val="22"/>
        </w:rPr>
      </w:pPr>
      <w:r>
        <w:rPr>
          <w:rFonts w:ascii="Arial" w:hAnsi="Arial" w:cs="Arial"/>
          <w:szCs w:val="22"/>
        </w:rPr>
        <w:t>These Guidelines specify listed professional occupations and assessing bodies for the purposes of bridging study under sections 104-60 and 104-55 of the Act and outline requirements for Open Universities Australia (</w:t>
      </w:r>
      <w:proofErr w:type="spellStart"/>
      <w:r>
        <w:rPr>
          <w:rFonts w:ascii="Arial" w:hAnsi="Arial" w:cs="Arial"/>
          <w:szCs w:val="22"/>
        </w:rPr>
        <w:t>OUA</w:t>
      </w:r>
      <w:proofErr w:type="spellEnd"/>
      <w:r>
        <w:rPr>
          <w:rFonts w:ascii="Arial" w:hAnsi="Arial" w:cs="Arial"/>
          <w:szCs w:val="22"/>
        </w:rPr>
        <w:t>) for the purposes of section 104-3 of the Act.</w:t>
      </w:r>
    </w:p>
    <w:p w:rsidR="00914AEC" w:rsidRDefault="00914AEC" w:rsidP="00914AEC">
      <w:pPr>
        <w:rPr>
          <w:rFonts w:ascii="Arial" w:hAnsi="Arial" w:cs="Arial"/>
          <w:szCs w:val="22"/>
        </w:rPr>
      </w:pPr>
    </w:p>
    <w:p w:rsidR="00914AEC" w:rsidRPr="00914AEC" w:rsidRDefault="00914AEC" w:rsidP="00914AEC">
      <w:pPr>
        <w:rPr>
          <w:rFonts w:ascii="Arial" w:hAnsi="Arial" w:cs="Arial"/>
          <w:b/>
          <w:szCs w:val="22"/>
        </w:rPr>
      </w:pPr>
      <w:r w:rsidRPr="00914AEC">
        <w:rPr>
          <w:rFonts w:ascii="Arial" w:hAnsi="Arial" w:cs="Arial"/>
          <w:b/>
          <w:szCs w:val="22"/>
        </w:rPr>
        <w:t>B</w:t>
      </w:r>
      <w:r w:rsidR="00F20998">
        <w:rPr>
          <w:rFonts w:ascii="Arial" w:hAnsi="Arial" w:cs="Arial"/>
          <w:b/>
          <w:szCs w:val="22"/>
        </w:rPr>
        <w:t>ackground</w:t>
      </w:r>
    </w:p>
    <w:p w:rsidR="00914AEC" w:rsidRDefault="00914AEC" w:rsidP="00914AEC">
      <w:pPr>
        <w:rPr>
          <w:rFonts w:ascii="Arial" w:hAnsi="Arial" w:cs="Arial"/>
          <w:szCs w:val="22"/>
        </w:rPr>
      </w:pPr>
      <w:r>
        <w:rPr>
          <w:rFonts w:ascii="Arial" w:hAnsi="Arial" w:cs="Arial"/>
          <w:szCs w:val="22"/>
        </w:rPr>
        <w:t xml:space="preserve"> </w:t>
      </w:r>
    </w:p>
    <w:p w:rsidR="00914AEC" w:rsidRDefault="00914AEC" w:rsidP="00914AEC">
      <w:pPr>
        <w:rPr>
          <w:rFonts w:ascii="Arial" w:hAnsi="Arial" w:cs="Arial"/>
          <w:szCs w:val="22"/>
        </w:rPr>
      </w:pPr>
      <w:r w:rsidRPr="00F948EE">
        <w:rPr>
          <w:rFonts w:ascii="Arial" w:hAnsi="Arial" w:cs="Arial"/>
          <w:szCs w:val="22"/>
        </w:rPr>
        <w:t>Section 238-10 of the</w:t>
      </w:r>
      <w:r>
        <w:rPr>
          <w:rFonts w:ascii="Arial" w:hAnsi="Arial" w:cs="Arial"/>
          <w:szCs w:val="22"/>
        </w:rPr>
        <w:t xml:space="preserve"> Act </w:t>
      </w:r>
      <w:r w:rsidRPr="00F948EE">
        <w:rPr>
          <w:rFonts w:ascii="Arial" w:hAnsi="Arial" w:cs="Arial"/>
          <w:szCs w:val="22"/>
        </w:rPr>
        <w:t>provides that the Minister may make guidelines for the purposes of the Act. In particular, Item 4 of section 238-10 specifies that the Minister may make FEE-HELP Guidelines to give effect to matters set out in Part 3-3 of the Act.</w:t>
      </w:r>
    </w:p>
    <w:p w:rsidR="00914AEC" w:rsidRDefault="00914AEC" w:rsidP="00F948EE">
      <w:pPr>
        <w:rPr>
          <w:rFonts w:ascii="Arial" w:hAnsi="Arial" w:cs="Arial"/>
          <w:szCs w:val="22"/>
        </w:rPr>
      </w:pPr>
    </w:p>
    <w:p w:rsidR="00914AEC" w:rsidRPr="00AC0DA5" w:rsidRDefault="00914AEC" w:rsidP="00914AEC">
      <w:pPr>
        <w:rPr>
          <w:rFonts w:ascii="Arial" w:hAnsi="Arial" w:cs="Arial"/>
          <w:szCs w:val="22"/>
        </w:rPr>
      </w:pPr>
      <w:r>
        <w:rPr>
          <w:rFonts w:ascii="Arial" w:hAnsi="Arial" w:cs="Arial"/>
          <w:szCs w:val="22"/>
        </w:rPr>
        <w:t>These Guidelines repeal and replace the FEE-HELP Guidelines (as amended) which were first made in 2004 and which sunset on 1 October 2017 (</w:t>
      </w:r>
      <w:proofErr w:type="spellStart"/>
      <w:r>
        <w:rPr>
          <w:rFonts w:ascii="Arial" w:hAnsi="Arial" w:cs="Arial"/>
          <w:szCs w:val="22"/>
        </w:rPr>
        <w:t>F2015C00541</w:t>
      </w:r>
      <w:proofErr w:type="spellEnd"/>
      <w:r>
        <w:rPr>
          <w:rFonts w:ascii="Arial" w:hAnsi="Arial" w:cs="Arial"/>
          <w:szCs w:val="22"/>
        </w:rPr>
        <w:t>) (Previous Guidelines).</w:t>
      </w:r>
    </w:p>
    <w:p w:rsidR="00F20998" w:rsidRDefault="00F20998" w:rsidP="00F948EE">
      <w:pPr>
        <w:rPr>
          <w:rFonts w:ascii="Arial" w:hAnsi="Arial" w:cs="Arial"/>
          <w:szCs w:val="22"/>
        </w:rPr>
      </w:pPr>
    </w:p>
    <w:p w:rsidR="00AC0DA5" w:rsidRDefault="00F20998" w:rsidP="00F948EE">
      <w:pPr>
        <w:rPr>
          <w:rFonts w:ascii="Arial" w:hAnsi="Arial" w:cs="Arial"/>
          <w:b/>
          <w:szCs w:val="22"/>
        </w:rPr>
      </w:pPr>
      <w:r w:rsidRPr="00F20998">
        <w:rPr>
          <w:rFonts w:ascii="Arial" w:hAnsi="Arial" w:cs="Arial"/>
          <w:b/>
          <w:szCs w:val="22"/>
        </w:rPr>
        <w:t>C</w:t>
      </w:r>
      <w:r>
        <w:rPr>
          <w:rFonts w:ascii="Arial" w:hAnsi="Arial" w:cs="Arial"/>
          <w:b/>
          <w:szCs w:val="22"/>
        </w:rPr>
        <w:t>onsultation</w:t>
      </w:r>
    </w:p>
    <w:p w:rsidR="00F20998" w:rsidRDefault="00F20998" w:rsidP="00F20998">
      <w:pPr>
        <w:rPr>
          <w:rFonts w:ascii="Arial" w:hAnsi="Arial" w:cs="Arial"/>
          <w:highlight w:val="yellow"/>
        </w:rPr>
      </w:pPr>
    </w:p>
    <w:p w:rsidR="00F20998" w:rsidRDefault="00E50E8B" w:rsidP="00F20998">
      <w:pPr>
        <w:rPr>
          <w:rFonts w:ascii="Arial" w:hAnsi="Arial" w:cs="Arial"/>
        </w:rPr>
      </w:pPr>
      <w:r>
        <w:rPr>
          <w:rFonts w:ascii="Arial" w:hAnsi="Arial" w:cs="Arial"/>
        </w:rPr>
        <w:t xml:space="preserve">Open Universities Australia was consulted on the remake of these Guidelines. </w:t>
      </w:r>
    </w:p>
    <w:p w:rsidR="00F20998" w:rsidRDefault="00F20998" w:rsidP="00F20998">
      <w:pPr>
        <w:rPr>
          <w:rFonts w:ascii="Arial" w:hAnsi="Arial" w:cs="Arial"/>
        </w:rPr>
      </w:pPr>
    </w:p>
    <w:p w:rsidR="00F20998" w:rsidRPr="00F20998" w:rsidRDefault="00F20998" w:rsidP="00F20998">
      <w:pPr>
        <w:rPr>
          <w:rFonts w:ascii="Arial" w:eastAsiaTheme="minorHAnsi" w:hAnsi="Arial" w:cs="Arial"/>
          <w:b/>
          <w:bCs/>
          <w:color w:val="000000"/>
          <w:lang w:eastAsia="en-US"/>
        </w:rPr>
      </w:pPr>
      <w:r w:rsidRPr="00F20998">
        <w:rPr>
          <w:rFonts w:ascii="Arial" w:eastAsiaTheme="minorHAnsi" w:hAnsi="Arial" w:cs="Arial"/>
          <w:b/>
          <w:bCs/>
          <w:color w:val="000000"/>
          <w:lang w:eastAsia="en-US"/>
        </w:rPr>
        <w:t>Regulatory Impact Statement</w:t>
      </w:r>
    </w:p>
    <w:p w:rsidR="00F20998" w:rsidRPr="00F20998" w:rsidRDefault="00F20998" w:rsidP="00F20998">
      <w:pPr>
        <w:rPr>
          <w:rFonts w:ascii="Arial" w:eastAsiaTheme="minorHAnsi" w:hAnsi="Arial" w:cs="Arial"/>
          <w:b/>
          <w:bCs/>
          <w:color w:val="000000"/>
          <w:lang w:eastAsia="en-US"/>
        </w:rPr>
      </w:pPr>
    </w:p>
    <w:p w:rsidR="00F20998" w:rsidRPr="00F20998" w:rsidRDefault="0039197E" w:rsidP="00F948EE">
      <w:pPr>
        <w:rPr>
          <w:rFonts w:ascii="Arial" w:hAnsi="Arial" w:cs="Arial"/>
          <w:b/>
        </w:rPr>
      </w:pPr>
      <w:r>
        <w:rPr>
          <w:rFonts w:ascii="Arial" w:hAnsi="Arial" w:cs="Arial"/>
        </w:rPr>
        <w:t>The Office of Best Practice Regulation (OBPR) has been consulted. A Regulation Impact Statement is not required for these Guidelines (OBPR ID 22757).</w:t>
      </w:r>
      <w:r w:rsidR="004975FF">
        <w:rPr>
          <w:rFonts w:ascii="Arial" w:hAnsi="Arial" w:cs="Arial"/>
          <w:b/>
          <w:sz w:val="28"/>
          <w:szCs w:val="28"/>
        </w:rPr>
        <w:br/>
      </w:r>
    </w:p>
    <w:p w:rsidR="00F20998" w:rsidRDefault="00F20998" w:rsidP="00F948EE">
      <w:pPr>
        <w:rPr>
          <w:rFonts w:ascii="Arial" w:hAnsi="Arial" w:cs="Arial"/>
          <w:b/>
          <w:szCs w:val="22"/>
        </w:rPr>
      </w:pPr>
    </w:p>
    <w:p w:rsidR="00F20998" w:rsidRDefault="00F20998">
      <w:pPr>
        <w:spacing w:after="200" w:line="276" w:lineRule="auto"/>
        <w:rPr>
          <w:rFonts w:ascii="Arial" w:hAnsi="Arial" w:cs="Arial"/>
          <w:b/>
          <w:szCs w:val="22"/>
        </w:rPr>
      </w:pPr>
      <w:r>
        <w:rPr>
          <w:rFonts w:ascii="Arial" w:hAnsi="Arial" w:cs="Arial"/>
          <w:b/>
          <w:szCs w:val="22"/>
        </w:rPr>
        <w:br w:type="page"/>
      </w:r>
    </w:p>
    <w:p w:rsidR="00AB31E8" w:rsidRPr="00BD1A5F" w:rsidRDefault="006735F6" w:rsidP="00AB31E8">
      <w:pPr>
        <w:jc w:val="center"/>
        <w:rPr>
          <w:rFonts w:ascii="Arial" w:hAnsi="Arial" w:cs="Arial"/>
          <w:b/>
          <w:sz w:val="28"/>
          <w:szCs w:val="28"/>
        </w:rPr>
      </w:pPr>
      <w:r>
        <w:rPr>
          <w:rFonts w:ascii="Arial" w:hAnsi="Arial" w:cs="Arial"/>
          <w:b/>
          <w:sz w:val="28"/>
          <w:szCs w:val="28"/>
        </w:rPr>
        <w:lastRenderedPageBreak/>
        <w:t>EXPLANATION</w:t>
      </w:r>
      <w:r w:rsidR="00F20998">
        <w:rPr>
          <w:rFonts w:ascii="Arial" w:hAnsi="Arial" w:cs="Arial"/>
          <w:b/>
          <w:sz w:val="28"/>
          <w:szCs w:val="28"/>
        </w:rPr>
        <w:t xml:space="preserve"> OF PROVISIONS</w:t>
      </w:r>
    </w:p>
    <w:p w:rsidR="00AB31E8" w:rsidRPr="00BD1A5F" w:rsidRDefault="00AB31E8" w:rsidP="00AB31E8">
      <w:pPr>
        <w:rPr>
          <w:rFonts w:ascii="Arial" w:hAnsi="Arial" w:cs="Arial"/>
        </w:rPr>
      </w:pPr>
    </w:p>
    <w:p w:rsidR="00EE4E98" w:rsidRPr="00EE4E98" w:rsidRDefault="00EE4E98" w:rsidP="00CF66CC">
      <w:pPr>
        <w:rPr>
          <w:rFonts w:ascii="Arial" w:hAnsi="Arial" w:cs="Arial"/>
          <w:b/>
          <w:szCs w:val="22"/>
        </w:rPr>
      </w:pPr>
      <w:r w:rsidRPr="00EE4E98">
        <w:rPr>
          <w:rFonts w:ascii="Arial" w:hAnsi="Arial" w:cs="Arial"/>
          <w:b/>
          <w:szCs w:val="22"/>
        </w:rPr>
        <w:t>Chapter 1</w:t>
      </w:r>
    </w:p>
    <w:p w:rsidR="00EE4E98" w:rsidRDefault="00EE4E98" w:rsidP="00CF66CC">
      <w:pPr>
        <w:rPr>
          <w:rFonts w:ascii="Arial" w:hAnsi="Arial" w:cs="Arial"/>
          <w:szCs w:val="22"/>
        </w:rPr>
      </w:pPr>
    </w:p>
    <w:p w:rsidR="00CF66CC" w:rsidRPr="00CF66CC" w:rsidRDefault="00CF66CC" w:rsidP="00CF66CC">
      <w:pPr>
        <w:rPr>
          <w:rFonts w:ascii="Arial" w:hAnsi="Arial" w:cs="Arial"/>
          <w:szCs w:val="22"/>
        </w:rPr>
      </w:pPr>
      <w:r w:rsidRPr="00CF66CC">
        <w:rPr>
          <w:rFonts w:ascii="Arial" w:hAnsi="Arial" w:cs="Arial"/>
          <w:szCs w:val="22"/>
        </w:rPr>
        <w:t xml:space="preserve">Chapter 1 </w:t>
      </w:r>
      <w:r w:rsidR="004C3D0A" w:rsidRPr="00CF66CC">
        <w:rPr>
          <w:rFonts w:ascii="Arial" w:hAnsi="Arial" w:cs="Arial"/>
          <w:szCs w:val="22"/>
        </w:rPr>
        <w:t xml:space="preserve">of the FEE-HELP Guidelines </w:t>
      </w:r>
      <w:r w:rsidR="004C3D0A">
        <w:rPr>
          <w:rFonts w:ascii="Arial" w:hAnsi="Arial" w:cs="Arial"/>
          <w:szCs w:val="22"/>
        </w:rPr>
        <w:t xml:space="preserve">2017 </w:t>
      </w:r>
      <w:r w:rsidRPr="00CF66CC">
        <w:rPr>
          <w:rFonts w:ascii="Arial" w:hAnsi="Arial" w:cs="Arial"/>
          <w:szCs w:val="22"/>
        </w:rPr>
        <w:t xml:space="preserve">provides </w:t>
      </w:r>
      <w:r w:rsidR="00A21424">
        <w:rPr>
          <w:rFonts w:ascii="Arial" w:hAnsi="Arial" w:cs="Arial"/>
          <w:szCs w:val="22"/>
        </w:rPr>
        <w:t>definitions for</w:t>
      </w:r>
      <w:r w:rsidRPr="00CF66CC">
        <w:rPr>
          <w:rFonts w:ascii="Arial" w:hAnsi="Arial" w:cs="Arial"/>
          <w:szCs w:val="22"/>
        </w:rPr>
        <w:t xml:space="preserve"> terms</w:t>
      </w:r>
      <w:r w:rsidR="00A21424">
        <w:rPr>
          <w:rFonts w:ascii="Arial" w:hAnsi="Arial" w:cs="Arial"/>
          <w:szCs w:val="22"/>
        </w:rPr>
        <w:t xml:space="preserve"> used </w:t>
      </w:r>
      <w:r w:rsidR="004975FF">
        <w:rPr>
          <w:rFonts w:ascii="Arial" w:hAnsi="Arial" w:cs="Arial"/>
          <w:szCs w:val="22"/>
        </w:rPr>
        <w:t>within the G</w:t>
      </w:r>
      <w:r w:rsidRPr="00CF66CC">
        <w:rPr>
          <w:rFonts w:ascii="Arial" w:hAnsi="Arial" w:cs="Arial"/>
          <w:szCs w:val="22"/>
        </w:rPr>
        <w:t>uidelines.</w:t>
      </w:r>
    </w:p>
    <w:p w:rsidR="00CF66CC" w:rsidRPr="00CF66CC" w:rsidRDefault="00CF66CC" w:rsidP="00CF66CC">
      <w:pPr>
        <w:rPr>
          <w:rFonts w:ascii="Arial" w:hAnsi="Arial" w:cs="Arial"/>
          <w:szCs w:val="22"/>
        </w:rPr>
      </w:pPr>
    </w:p>
    <w:p w:rsidR="00EE4E98" w:rsidRPr="00EE4E98" w:rsidRDefault="00EE4E98" w:rsidP="00CF66CC">
      <w:pPr>
        <w:rPr>
          <w:rFonts w:ascii="Arial" w:hAnsi="Arial" w:cs="Arial"/>
          <w:b/>
          <w:szCs w:val="22"/>
        </w:rPr>
      </w:pPr>
      <w:r w:rsidRPr="00EE4E98">
        <w:rPr>
          <w:rFonts w:ascii="Arial" w:hAnsi="Arial" w:cs="Arial"/>
          <w:b/>
          <w:szCs w:val="22"/>
        </w:rPr>
        <w:t>Chapter 2</w:t>
      </w:r>
    </w:p>
    <w:p w:rsidR="00EE4E98" w:rsidRDefault="00EE4E98" w:rsidP="00CF66CC">
      <w:pPr>
        <w:rPr>
          <w:rFonts w:ascii="Arial" w:hAnsi="Arial" w:cs="Arial"/>
          <w:szCs w:val="22"/>
        </w:rPr>
      </w:pPr>
    </w:p>
    <w:p w:rsidR="00A21424" w:rsidRPr="00CF66CC" w:rsidRDefault="00CF66CC" w:rsidP="00A21424">
      <w:pPr>
        <w:rPr>
          <w:rFonts w:ascii="Arial" w:hAnsi="Arial" w:cs="Arial"/>
          <w:szCs w:val="22"/>
        </w:rPr>
      </w:pPr>
      <w:r w:rsidRPr="00CF66CC">
        <w:rPr>
          <w:rFonts w:ascii="Arial" w:hAnsi="Arial" w:cs="Arial"/>
          <w:szCs w:val="22"/>
        </w:rPr>
        <w:t xml:space="preserve">Chapter 2 of the FEE-HELP Guidelines </w:t>
      </w:r>
      <w:r w:rsidR="004C3D0A">
        <w:rPr>
          <w:rFonts w:ascii="Arial" w:hAnsi="Arial" w:cs="Arial"/>
          <w:szCs w:val="22"/>
        </w:rPr>
        <w:t xml:space="preserve">2017 </w:t>
      </w:r>
      <w:r w:rsidR="00A21424">
        <w:rPr>
          <w:rFonts w:ascii="Arial" w:hAnsi="Arial" w:cs="Arial"/>
          <w:szCs w:val="22"/>
        </w:rPr>
        <w:t>specifies</w:t>
      </w:r>
      <w:r w:rsidR="00A21424" w:rsidRPr="00A21424">
        <w:rPr>
          <w:rFonts w:ascii="Arial" w:hAnsi="Arial" w:cs="Arial"/>
          <w:szCs w:val="22"/>
        </w:rPr>
        <w:t xml:space="preserve"> listed professional occupations for the purposes of section 104-60 of the Act and assessing bodies for those listed professional occupations for the purposes of section 104-55 of the Act.</w:t>
      </w:r>
    </w:p>
    <w:p w:rsidR="00CF66CC" w:rsidRPr="00CF66CC" w:rsidRDefault="00CF66CC" w:rsidP="00CF66CC">
      <w:pPr>
        <w:rPr>
          <w:rFonts w:ascii="Arial" w:hAnsi="Arial" w:cs="Arial"/>
          <w:szCs w:val="22"/>
        </w:rPr>
      </w:pPr>
    </w:p>
    <w:p w:rsidR="00EE4E98" w:rsidRPr="00EE4E98" w:rsidRDefault="00EE4E98" w:rsidP="00CF66CC">
      <w:pPr>
        <w:rPr>
          <w:rFonts w:ascii="Arial" w:hAnsi="Arial" w:cs="Arial"/>
          <w:b/>
          <w:szCs w:val="22"/>
        </w:rPr>
      </w:pPr>
      <w:r w:rsidRPr="004B3CEA">
        <w:rPr>
          <w:rFonts w:ascii="Arial" w:hAnsi="Arial" w:cs="Arial"/>
          <w:b/>
          <w:szCs w:val="22"/>
        </w:rPr>
        <w:t>Chapter 3</w:t>
      </w:r>
    </w:p>
    <w:p w:rsidR="00EE4E98" w:rsidRDefault="00EE4E98" w:rsidP="00CF66CC">
      <w:pPr>
        <w:rPr>
          <w:rFonts w:ascii="Arial" w:hAnsi="Arial" w:cs="Arial"/>
          <w:szCs w:val="22"/>
        </w:rPr>
      </w:pPr>
    </w:p>
    <w:p w:rsidR="004C3D0A" w:rsidRPr="00CF66CC" w:rsidRDefault="00CF66CC" w:rsidP="00CF66CC">
      <w:pPr>
        <w:rPr>
          <w:rFonts w:ascii="Arial" w:hAnsi="Arial" w:cs="Arial"/>
          <w:szCs w:val="22"/>
        </w:rPr>
      </w:pPr>
      <w:r w:rsidRPr="00CF66CC">
        <w:rPr>
          <w:rFonts w:ascii="Arial" w:hAnsi="Arial" w:cs="Arial"/>
          <w:szCs w:val="22"/>
        </w:rPr>
        <w:t xml:space="preserve">Chapter 3 </w:t>
      </w:r>
      <w:r w:rsidR="004C3D0A" w:rsidRPr="00CF66CC">
        <w:rPr>
          <w:rFonts w:ascii="Arial" w:hAnsi="Arial" w:cs="Arial"/>
          <w:szCs w:val="22"/>
        </w:rPr>
        <w:t xml:space="preserve">of the FEE-HELP Guidelines </w:t>
      </w:r>
      <w:r w:rsidR="004C3D0A">
        <w:rPr>
          <w:rFonts w:ascii="Arial" w:hAnsi="Arial" w:cs="Arial"/>
          <w:szCs w:val="22"/>
        </w:rPr>
        <w:t xml:space="preserve">2017 </w:t>
      </w:r>
      <w:r w:rsidRPr="00CF66CC">
        <w:rPr>
          <w:rFonts w:ascii="Arial" w:hAnsi="Arial" w:cs="Arial"/>
          <w:szCs w:val="22"/>
        </w:rPr>
        <w:t xml:space="preserve">sets out </w:t>
      </w:r>
      <w:r w:rsidR="004C3D0A" w:rsidRPr="004C3D0A">
        <w:rPr>
          <w:rFonts w:ascii="Arial" w:hAnsi="Arial" w:cs="Arial"/>
          <w:szCs w:val="22"/>
        </w:rPr>
        <w:t xml:space="preserve">requirements for </w:t>
      </w:r>
      <w:proofErr w:type="spellStart"/>
      <w:r w:rsidR="004C3D0A">
        <w:rPr>
          <w:rFonts w:ascii="Arial" w:hAnsi="Arial" w:cs="Arial"/>
          <w:szCs w:val="22"/>
        </w:rPr>
        <w:t>OUA</w:t>
      </w:r>
      <w:proofErr w:type="spellEnd"/>
      <w:r w:rsidR="004C3D0A" w:rsidRPr="004C3D0A">
        <w:rPr>
          <w:rFonts w:ascii="Arial" w:hAnsi="Arial" w:cs="Arial"/>
          <w:szCs w:val="22"/>
        </w:rPr>
        <w:t xml:space="preserve"> for the purposes of section 104-3 of the Act</w:t>
      </w:r>
      <w:r w:rsidR="004C3D0A">
        <w:rPr>
          <w:rFonts w:ascii="Arial" w:hAnsi="Arial" w:cs="Arial"/>
          <w:szCs w:val="22"/>
        </w:rPr>
        <w:t>.</w:t>
      </w:r>
    </w:p>
    <w:p w:rsidR="00CF66CC" w:rsidRPr="00CF66CC" w:rsidRDefault="00CF66CC" w:rsidP="00CF66CC">
      <w:pPr>
        <w:rPr>
          <w:rFonts w:ascii="Arial" w:hAnsi="Arial" w:cs="Arial"/>
          <w:szCs w:val="22"/>
        </w:rPr>
      </w:pPr>
    </w:p>
    <w:p w:rsidR="00CF66CC" w:rsidRPr="00CF66CC" w:rsidRDefault="00CF66CC" w:rsidP="00CF66CC">
      <w:pPr>
        <w:rPr>
          <w:rFonts w:ascii="Arial" w:hAnsi="Arial" w:cs="Arial"/>
          <w:szCs w:val="22"/>
        </w:rPr>
      </w:pPr>
      <w:r w:rsidRPr="00CF66CC">
        <w:rPr>
          <w:rFonts w:ascii="Arial" w:hAnsi="Arial" w:cs="Arial"/>
          <w:szCs w:val="22"/>
        </w:rPr>
        <w:t xml:space="preserve">Paragraph 3.5 requires </w:t>
      </w:r>
      <w:proofErr w:type="spellStart"/>
      <w:r w:rsidR="004C3D0A">
        <w:rPr>
          <w:rFonts w:ascii="Arial" w:hAnsi="Arial" w:cs="Arial"/>
          <w:szCs w:val="22"/>
        </w:rPr>
        <w:t>OUA</w:t>
      </w:r>
      <w:proofErr w:type="spellEnd"/>
      <w:r w:rsidRPr="00CF66CC">
        <w:rPr>
          <w:rFonts w:ascii="Arial" w:hAnsi="Arial" w:cs="Arial"/>
          <w:szCs w:val="22"/>
        </w:rPr>
        <w:t xml:space="preserve"> to be financially viable </w:t>
      </w:r>
      <w:r w:rsidR="00775DC4">
        <w:rPr>
          <w:rFonts w:ascii="Arial" w:hAnsi="Arial" w:cs="Arial"/>
          <w:szCs w:val="22"/>
        </w:rPr>
        <w:t>(both currently and likely to remain so in the future). It must</w:t>
      </w:r>
      <w:r w:rsidRPr="00CF66CC">
        <w:rPr>
          <w:rFonts w:ascii="Arial" w:hAnsi="Arial" w:cs="Arial"/>
          <w:szCs w:val="22"/>
        </w:rPr>
        <w:t xml:space="preserve"> provide an annual financial statement </w:t>
      </w:r>
      <w:r w:rsidR="00775DC4">
        <w:rPr>
          <w:rFonts w:ascii="Arial" w:hAnsi="Arial" w:cs="Arial"/>
          <w:szCs w:val="22"/>
        </w:rPr>
        <w:t xml:space="preserve">in the approved form </w:t>
      </w:r>
      <w:r w:rsidRPr="00CF66CC">
        <w:rPr>
          <w:rFonts w:ascii="Arial" w:hAnsi="Arial" w:cs="Arial"/>
          <w:szCs w:val="22"/>
        </w:rPr>
        <w:t xml:space="preserve">and </w:t>
      </w:r>
      <w:r w:rsidR="00775DC4">
        <w:rPr>
          <w:rFonts w:ascii="Arial" w:hAnsi="Arial" w:cs="Arial"/>
          <w:szCs w:val="22"/>
        </w:rPr>
        <w:t xml:space="preserve">independent qualified </w:t>
      </w:r>
      <w:r w:rsidRPr="00CF66CC">
        <w:rPr>
          <w:rFonts w:ascii="Arial" w:hAnsi="Arial" w:cs="Arial"/>
          <w:szCs w:val="22"/>
        </w:rPr>
        <w:t>auditors report on the statement</w:t>
      </w:r>
      <w:r w:rsidR="00775DC4">
        <w:rPr>
          <w:rFonts w:ascii="Arial" w:hAnsi="Arial" w:cs="Arial"/>
          <w:szCs w:val="22"/>
        </w:rPr>
        <w:t xml:space="preserve"> within six months of the end of the relevant financial period</w:t>
      </w:r>
      <w:r w:rsidRPr="00CF66CC">
        <w:rPr>
          <w:rFonts w:ascii="Arial" w:hAnsi="Arial" w:cs="Arial"/>
          <w:szCs w:val="22"/>
        </w:rPr>
        <w:t xml:space="preserve">. </w:t>
      </w:r>
    </w:p>
    <w:p w:rsidR="00CF66CC" w:rsidRPr="00CF66CC" w:rsidRDefault="00CF66CC" w:rsidP="00CF66CC">
      <w:pPr>
        <w:rPr>
          <w:rFonts w:ascii="Arial" w:hAnsi="Arial" w:cs="Arial"/>
          <w:szCs w:val="22"/>
        </w:rPr>
      </w:pPr>
    </w:p>
    <w:p w:rsidR="00CF66CC" w:rsidRPr="00CF66CC" w:rsidRDefault="00CF66CC" w:rsidP="00CF66CC">
      <w:pPr>
        <w:rPr>
          <w:rFonts w:ascii="Arial" w:hAnsi="Arial" w:cs="Arial"/>
          <w:szCs w:val="22"/>
        </w:rPr>
      </w:pPr>
      <w:r w:rsidRPr="00CF66CC">
        <w:rPr>
          <w:rFonts w:ascii="Arial" w:hAnsi="Arial" w:cs="Arial"/>
          <w:szCs w:val="22"/>
        </w:rPr>
        <w:t xml:space="preserve">Paragraph 3.10 sets out quality requirements for </w:t>
      </w:r>
      <w:proofErr w:type="spellStart"/>
      <w:r w:rsidR="004C3D0A">
        <w:rPr>
          <w:rFonts w:ascii="Arial" w:hAnsi="Arial" w:cs="Arial"/>
          <w:szCs w:val="22"/>
        </w:rPr>
        <w:t>OUA</w:t>
      </w:r>
      <w:proofErr w:type="spellEnd"/>
      <w:r w:rsidR="00775DC4">
        <w:rPr>
          <w:rFonts w:ascii="Arial" w:hAnsi="Arial" w:cs="Arial"/>
          <w:szCs w:val="22"/>
        </w:rPr>
        <w:t xml:space="preserve">. </w:t>
      </w:r>
      <w:r w:rsidRPr="00CF66CC">
        <w:rPr>
          <w:rFonts w:ascii="Arial" w:hAnsi="Arial" w:cs="Arial"/>
          <w:szCs w:val="22"/>
        </w:rPr>
        <w:t xml:space="preserve">It requires it to have an Academic Program Board and specifies requirements relating to its role and membership. It also sets out requirements relating to students’ access to units of study, the potential for articulation of </w:t>
      </w:r>
      <w:proofErr w:type="spellStart"/>
      <w:r w:rsidR="004C3D0A">
        <w:rPr>
          <w:rFonts w:ascii="Arial" w:hAnsi="Arial" w:cs="Arial"/>
          <w:szCs w:val="22"/>
        </w:rPr>
        <w:t>OUA</w:t>
      </w:r>
      <w:proofErr w:type="spellEnd"/>
      <w:r w:rsidRPr="00CF66CC">
        <w:rPr>
          <w:rFonts w:ascii="Arial" w:hAnsi="Arial" w:cs="Arial"/>
          <w:szCs w:val="22"/>
        </w:rPr>
        <w:t xml:space="preserve"> units with the higher education awards of higher education providers and the provision of information to students on the requirements and demands of units of study.</w:t>
      </w:r>
    </w:p>
    <w:p w:rsidR="00CF66CC" w:rsidRPr="00CF66CC" w:rsidRDefault="00CF66CC" w:rsidP="00CF66CC">
      <w:pPr>
        <w:rPr>
          <w:rFonts w:ascii="Arial" w:hAnsi="Arial" w:cs="Arial"/>
          <w:szCs w:val="22"/>
        </w:rPr>
      </w:pPr>
    </w:p>
    <w:p w:rsidR="00CF66CC" w:rsidRPr="00CF66CC" w:rsidRDefault="00CF66CC" w:rsidP="00CF66CC">
      <w:pPr>
        <w:rPr>
          <w:rFonts w:ascii="Arial" w:hAnsi="Arial" w:cs="Arial"/>
          <w:szCs w:val="22"/>
        </w:rPr>
      </w:pPr>
      <w:r w:rsidRPr="00CF66CC">
        <w:rPr>
          <w:rFonts w:ascii="Arial" w:hAnsi="Arial" w:cs="Arial"/>
          <w:szCs w:val="22"/>
        </w:rPr>
        <w:t xml:space="preserve">Paragraph 3.15 requires </w:t>
      </w:r>
      <w:proofErr w:type="spellStart"/>
      <w:r w:rsidR="004C3D0A">
        <w:rPr>
          <w:rFonts w:ascii="Arial" w:hAnsi="Arial" w:cs="Arial"/>
          <w:szCs w:val="22"/>
        </w:rPr>
        <w:t>OUA</w:t>
      </w:r>
      <w:proofErr w:type="spellEnd"/>
      <w:r w:rsidRPr="00CF66CC">
        <w:rPr>
          <w:rFonts w:ascii="Arial" w:hAnsi="Arial" w:cs="Arial"/>
          <w:szCs w:val="22"/>
        </w:rPr>
        <w:t xml:space="preserve"> to treat fairly all students accessing and seeking to access units of study through </w:t>
      </w:r>
      <w:proofErr w:type="spellStart"/>
      <w:r w:rsidR="004C3D0A">
        <w:rPr>
          <w:rFonts w:ascii="Arial" w:hAnsi="Arial" w:cs="Arial"/>
          <w:szCs w:val="22"/>
        </w:rPr>
        <w:t>OUA</w:t>
      </w:r>
      <w:proofErr w:type="spellEnd"/>
      <w:r w:rsidRPr="00CF66CC">
        <w:rPr>
          <w:rFonts w:ascii="Arial" w:hAnsi="Arial" w:cs="Arial"/>
          <w:szCs w:val="22"/>
        </w:rPr>
        <w:t xml:space="preserve">. It requires </w:t>
      </w:r>
      <w:proofErr w:type="spellStart"/>
      <w:r w:rsidR="004C3D0A">
        <w:rPr>
          <w:rFonts w:ascii="Arial" w:hAnsi="Arial" w:cs="Arial"/>
          <w:szCs w:val="22"/>
        </w:rPr>
        <w:t>OUA</w:t>
      </w:r>
      <w:proofErr w:type="spellEnd"/>
      <w:r w:rsidRPr="00CF66CC">
        <w:rPr>
          <w:rFonts w:ascii="Arial" w:hAnsi="Arial" w:cs="Arial"/>
          <w:szCs w:val="22"/>
        </w:rPr>
        <w:t xml:space="preserve"> to have grievance and review procedures and a review officer to undertake reviews of decisions relating to the re-crediting of FEE-HELP balance. It requires </w:t>
      </w:r>
      <w:proofErr w:type="spellStart"/>
      <w:r w:rsidR="004C3D0A">
        <w:rPr>
          <w:rFonts w:ascii="Arial" w:hAnsi="Arial" w:cs="Arial"/>
          <w:szCs w:val="22"/>
        </w:rPr>
        <w:t>OUA</w:t>
      </w:r>
      <w:proofErr w:type="spellEnd"/>
      <w:r w:rsidRPr="00CF66CC">
        <w:rPr>
          <w:rFonts w:ascii="Arial" w:hAnsi="Arial" w:cs="Arial"/>
          <w:szCs w:val="22"/>
        </w:rPr>
        <w:t xml:space="preserve"> to comply with the information privacy principles of the </w:t>
      </w:r>
      <w:r w:rsidRPr="004975FF">
        <w:rPr>
          <w:rFonts w:ascii="Arial" w:hAnsi="Arial" w:cs="Arial"/>
          <w:i/>
          <w:szCs w:val="22"/>
        </w:rPr>
        <w:t>Privacy Act 1988</w:t>
      </w:r>
      <w:r w:rsidRPr="00CF66CC">
        <w:rPr>
          <w:rFonts w:ascii="Arial" w:hAnsi="Arial" w:cs="Arial"/>
          <w:szCs w:val="22"/>
        </w:rPr>
        <w:t xml:space="preserve"> and to have procedures for students to access and obtain a copy of their personal information.</w:t>
      </w:r>
    </w:p>
    <w:p w:rsidR="00CF66CC" w:rsidRPr="00CF66CC" w:rsidRDefault="00CF66CC" w:rsidP="00CF66CC">
      <w:pPr>
        <w:rPr>
          <w:rFonts w:ascii="Arial" w:hAnsi="Arial" w:cs="Arial"/>
          <w:szCs w:val="22"/>
        </w:rPr>
      </w:pPr>
    </w:p>
    <w:p w:rsidR="00CF66CC" w:rsidRPr="00CF66CC" w:rsidRDefault="00CF66CC" w:rsidP="00CF66CC">
      <w:pPr>
        <w:rPr>
          <w:rFonts w:ascii="Arial" w:hAnsi="Arial" w:cs="Arial"/>
          <w:szCs w:val="22"/>
        </w:rPr>
      </w:pPr>
      <w:r w:rsidRPr="00CF66CC">
        <w:rPr>
          <w:rFonts w:ascii="Arial" w:hAnsi="Arial" w:cs="Arial"/>
          <w:szCs w:val="22"/>
        </w:rPr>
        <w:t xml:space="preserve">Paragraph 3.20 provides that </w:t>
      </w:r>
      <w:proofErr w:type="spellStart"/>
      <w:r w:rsidR="004C3D0A">
        <w:rPr>
          <w:rFonts w:ascii="Arial" w:hAnsi="Arial" w:cs="Arial"/>
          <w:szCs w:val="22"/>
        </w:rPr>
        <w:t>OUA</w:t>
      </w:r>
      <w:r w:rsidRPr="00CF66CC">
        <w:rPr>
          <w:rFonts w:ascii="Arial" w:hAnsi="Arial" w:cs="Arial"/>
          <w:szCs w:val="22"/>
        </w:rPr>
        <w:t>’s</w:t>
      </w:r>
      <w:proofErr w:type="spellEnd"/>
      <w:r w:rsidRPr="00CF66CC">
        <w:rPr>
          <w:rFonts w:ascii="Arial" w:hAnsi="Arial" w:cs="Arial"/>
          <w:szCs w:val="22"/>
        </w:rPr>
        <w:t xml:space="preserve"> administrative arrangements must support the provision of FEE</w:t>
      </w:r>
      <w:r w:rsidRPr="00CF66CC">
        <w:rPr>
          <w:rFonts w:ascii="Arial" w:hAnsi="Arial" w:cs="Arial"/>
          <w:szCs w:val="22"/>
        </w:rPr>
        <w:noBreakHyphen/>
        <w:t xml:space="preserve">HELP assistance. It requires </w:t>
      </w:r>
      <w:proofErr w:type="spellStart"/>
      <w:r w:rsidR="004C3D0A">
        <w:rPr>
          <w:rFonts w:ascii="Arial" w:hAnsi="Arial" w:cs="Arial"/>
          <w:szCs w:val="22"/>
        </w:rPr>
        <w:t>OUA</w:t>
      </w:r>
      <w:proofErr w:type="spellEnd"/>
      <w:r w:rsidRPr="00CF66CC">
        <w:rPr>
          <w:rFonts w:ascii="Arial" w:hAnsi="Arial" w:cs="Arial"/>
          <w:szCs w:val="22"/>
        </w:rPr>
        <w:t xml:space="preserve"> to give to the Minister the same statistical and other information in respect of the provision of higher education and compliance with the requirements of the Act that the Minister requires of higher education providers. It requires </w:t>
      </w:r>
      <w:proofErr w:type="spellStart"/>
      <w:r w:rsidR="004C3D0A">
        <w:rPr>
          <w:rFonts w:ascii="Arial" w:hAnsi="Arial" w:cs="Arial"/>
          <w:szCs w:val="22"/>
        </w:rPr>
        <w:t>OUA</w:t>
      </w:r>
      <w:proofErr w:type="spellEnd"/>
      <w:r w:rsidRPr="00CF66CC">
        <w:rPr>
          <w:rFonts w:ascii="Arial" w:hAnsi="Arial" w:cs="Arial"/>
          <w:szCs w:val="22"/>
        </w:rPr>
        <w:t xml:space="preserve"> to inform the Minister of significant events affecting its capacity to comply with the Act and the FEE-HELP Guidelines</w:t>
      </w:r>
      <w:r w:rsidR="004975FF">
        <w:rPr>
          <w:rFonts w:ascii="Arial" w:hAnsi="Arial" w:cs="Arial"/>
          <w:szCs w:val="22"/>
        </w:rPr>
        <w:t xml:space="preserve"> 2017</w:t>
      </w:r>
      <w:r w:rsidRPr="00CF66CC">
        <w:rPr>
          <w:rFonts w:ascii="Arial" w:hAnsi="Arial" w:cs="Arial"/>
          <w:szCs w:val="22"/>
        </w:rPr>
        <w:t>.</w:t>
      </w:r>
    </w:p>
    <w:p w:rsidR="00CF66CC" w:rsidRPr="00CF66CC" w:rsidRDefault="00CF66CC" w:rsidP="00CF66CC">
      <w:pPr>
        <w:rPr>
          <w:rFonts w:ascii="Arial" w:hAnsi="Arial" w:cs="Arial"/>
          <w:szCs w:val="22"/>
        </w:rPr>
      </w:pPr>
    </w:p>
    <w:p w:rsidR="00CF66CC" w:rsidRPr="00CF66CC" w:rsidRDefault="00CF66CC" w:rsidP="00CF66CC">
      <w:pPr>
        <w:rPr>
          <w:rFonts w:ascii="Arial" w:hAnsi="Arial" w:cs="Arial"/>
          <w:szCs w:val="22"/>
        </w:rPr>
      </w:pPr>
      <w:r w:rsidRPr="00CF66CC">
        <w:rPr>
          <w:rFonts w:ascii="Arial" w:hAnsi="Arial" w:cs="Arial"/>
          <w:szCs w:val="22"/>
        </w:rPr>
        <w:t xml:space="preserve">Paragraph 3.25 </w:t>
      </w:r>
      <w:r w:rsidR="00F513FA">
        <w:rPr>
          <w:rFonts w:ascii="Arial" w:hAnsi="Arial" w:cs="Arial"/>
          <w:szCs w:val="22"/>
        </w:rPr>
        <w:t xml:space="preserve">sets out the tuition fee requirements. It </w:t>
      </w:r>
      <w:r w:rsidRPr="00CF66CC">
        <w:rPr>
          <w:rFonts w:ascii="Arial" w:hAnsi="Arial" w:cs="Arial"/>
          <w:szCs w:val="22"/>
        </w:rPr>
        <w:t xml:space="preserve">requires </w:t>
      </w:r>
      <w:proofErr w:type="spellStart"/>
      <w:r w:rsidR="004C3D0A">
        <w:rPr>
          <w:rFonts w:ascii="Arial" w:hAnsi="Arial" w:cs="Arial"/>
          <w:szCs w:val="22"/>
        </w:rPr>
        <w:t>OUA</w:t>
      </w:r>
      <w:proofErr w:type="spellEnd"/>
      <w:r w:rsidRPr="00CF66CC">
        <w:rPr>
          <w:rFonts w:ascii="Arial" w:hAnsi="Arial" w:cs="Arial"/>
          <w:szCs w:val="22"/>
        </w:rPr>
        <w:t xml:space="preserve"> to charge a student the tuition fee for a unit of study and not to charge a domestic student any other fee for the unit. </w:t>
      </w:r>
      <w:r w:rsidR="003059C3">
        <w:rPr>
          <w:rFonts w:ascii="Arial" w:hAnsi="Arial" w:cs="Arial"/>
          <w:szCs w:val="22"/>
        </w:rPr>
        <w:t xml:space="preserve">There are some exceptions where </w:t>
      </w:r>
      <w:proofErr w:type="spellStart"/>
      <w:r w:rsidR="003059C3">
        <w:rPr>
          <w:rFonts w:ascii="Arial" w:hAnsi="Arial" w:cs="Arial"/>
          <w:szCs w:val="22"/>
        </w:rPr>
        <w:t>OUA</w:t>
      </w:r>
      <w:proofErr w:type="spellEnd"/>
      <w:r w:rsidR="003059C3">
        <w:rPr>
          <w:rFonts w:ascii="Arial" w:hAnsi="Arial" w:cs="Arial"/>
          <w:szCs w:val="22"/>
        </w:rPr>
        <w:t xml:space="preserve"> may charge a student an additional fee for the unit.</w:t>
      </w:r>
      <w:r w:rsidRPr="00CF66CC">
        <w:rPr>
          <w:rFonts w:ascii="Arial" w:hAnsi="Arial" w:cs="Arial"/>
          <w:szCs w:val="22"/>
        </w:rPr>
        <w:t xml:space="preserve"> It requires </w:t>
      </w:r>
      <w:proofErr w:type="spellStart"/>
      <w:r w:rsidR="004C3D0A">
        <w:rPr>
          <w:rFonts w:ascii="Arial" w:hAnsi="Arial" w:cs="Arial"/>
          <w:szCs w:val="22"/>
        </w:rPr>
        <w:t>OUA</w:t>
      </w:r>
      <w:proofErr w:type="spellEnd"/>
      <w:r w:rsidRPr="00CF66CC">
        <w:rPr>
          <w:rFonts w:ascii="Arial" w:hAnsi="Arial" w:cs="Arial"/>
          <w:szCs w:val="22"/>
        </w:rPr>
        <w:t xml:space="preserve"> to repay tuition fees to students who are no longer enrolled at the end of the census date. It requires </w:t>
      </w:r>
      <w:proofErr w:type="spellStart"/>
      <w:r w:rsidR="00775DC4">
        <w:rPr>
          <w:rFonts w:ascii="Arial" w:hAnsi="Arial" w:cs="Arial"/>
          <w:szCs w:val="22"/>
        </w:rPr>
        <w:t>OUA</w:t>
      </w:r>
      <w:proofErr w:type="spellEnd"/>
      <w:r w:rsidR="00775DC4">
        <w:rPr>
          <w:rFonts w:ascii="Arial" w:hAnsi="Arial" w:cs="Arial"/>
          <w:szCs w:val="22"/>
        </w:rPr>
        <w:t xml:space="preserve"> </w:t>
      </w:r>
      <w:r w:rsidRPr="00CF66CC">
        <w:rPr>
          <w:rFonts w:ascii="Arial" w:hAnsi="Arial" w:cs="Arial"/>
          <w:szCs w:val="22"/>
        </w:rPr>
        <w:t xml:space="preserve">to </w:t>
      </w:r>
      <w:r w:rsidR="00F513FA" w:rsidRPr="00F513FA">
        <w:rPr>
          <w:rFonts w:ascii="Arial" w:hAnsi="Arial" w:cs="Arial"/>
          <w:szCs w:val="22"/>
        </w:rPr>
        <w:t xml:space="preserve">give the Minister a schedule of tuition fees, the periods to which the schedule applies, the </w:t>
      </w:r>
      <w:r w:rsidR="00F513FA" w:rsidRPr="00F513FA">
        <w:rPr>
          <w:rFonts w:ascii="Arial" w:hAnsi="Arial" w:cs="Arial"/>
          <w:szCs w:val="22"/>
        </w:rPr>
        <w:lastRenderedPageBreak/>
        <w:t>circumstances under which the schedule may be varied, and the requirements for provision of a replacement schedule</w:t>
      </w:r>
      <w:r w:rsidRPr="00CF66CC">
        <w:rPr>
          <w:rFonts w:ascii="Arial" w:hAnsi="Arial" w:cs="Arial"/>
          <w:szCs w:val="22"/>
        </w:rPr>
        <w:t>.</w:t>
      </w:r>
      <w:r w:rsidR="003059C3">
        <w:rPr>
          <w:rFonts w:ascii="Arial" w:hAnsi="Arial" w:cs="Arial"/>
          <w:szCs w:val="22"/>
        </w:rPr>
        <w:t xml:space="preserve"> The schedule must be published on </w:t>
      </w:r>
      <w:proofErr w:type="spellStart"/>
      <w:r w:rsidR="003059C3">
        <w:rPr>
          <w:rFonts w:ascii="Arial" w:hAnsi="Arial" w:cs="Arial"/>
          <w:szCs w:val="22"/>
        </w:rPr>
        <w:t>OUA’s</w:t>
      </w:r>
      <w:proofErr w:type="spellEnd"/>
      <w:r w:rsidR="003059C3">
        <w:rPr>
          <w:rFonts w:ascii="Arial" w:hAnsi="Arial" w:cs="Arial"/>
          <w:szCs w:val="22"/>
        </w:rPr>
        <w:t xml:space="preserve"> website and provide sufficient information to enable a person to work out his or her tuition fees. Variations to tuition fees may only occur prior to the census date for the unit, and any variation must not disadvantage a person who is enrolled or seeking to enrol in the u</w:t>
      </w:r>
      <w:r w:rsidR="00BB6E3A">
        <w:rPr>
          <w:rFonts w:ascii="Arial" w:hAnsi="Arial" w:cs="Arial"/>
          <w:szCs w:val="22"/>
        </w:rPr>
        <w:t>nit that is the subject of the variation.</w:t>
      </w:r>
    </w:p>
    <w:p w:rsidR="00CF66CC" w:rsidRPr="00CF66CC" w:rsidRDefault="00CF66CC" w:rsidP="00CF66CC">
      <w:pPr>
        <w:rPr>
          <w:rFonts w:ascii="Arial" w:hAnsi="Arial" w:cs="Arial"/>
          <w:szCs w:val="22"/>
        </w:rPr>
      </w:pPr>
    </w:p>
    <w:p w:rsidR="00CF66CC" w:rsidRPr="00CF66CC" w:rsidRDefault="00CF66CC" w:rsidP="00CF66CC">
      <w:pPr>
        <w:rPr>
          <w:rFonts w:ascii="Arial" w:hAnsi="Arial" w:cs="Arial"/>
          <w:szCs w:val="22"/>
        </w:rPr>
      </w:pPr>
      <w:r w:rsidRPr="00CF66CC">
        <w:rPr>
          <w:rFonts w:ascii="Arial" w:hAnsi="Arial" w:cs="Arial"/>
          <w:szCs w:val="22"/>
        </w:rPr>
        <w:t xml:space="preserve">Paragraph 3.30 requires </w:t>
      </w:r>
      <w:proofErr w:type="spellStart"/>
      <w:r w:rsidR="004C3D0A">
        <w:rPr>
          <w:rFonts w:ascii="Arial" w:hAnsi="Arial" w:cs="Arial"/>
          <w:szCs w:val="22"/>
        </w:rPr>
        <w:t>OUA</w:t>
      </w:r>
      <w:proofErr w:type="spellEnd"/>
      <w:r w:rsidRPr="00CF66CC">
        <w:rPr>
          <w:rFonts w:ascii="Arial" w:hAnsi="Arial" w:cs="Arial"/>
          <w:szCs w:val="22"/>
        </w:rPr>
        <w:t xml:space="preserve"> to issue a Commonwealth Assistance Notice to a person who is seeking FEE-HELP assistance for an </w:t>
      </w:r>
      <w:proofErr w:type="spellStart"/>
      <w:r w:rsidR="004C3D0A">
        <w:rPr>
          <w:rFonts w:ascii="Arial" w:hAnsi="Arial" w:cs="Arial"/>
          <w:szCs w:val="22"/>
        </w:rPr>
        <w:t>OUA</w:t>
      </w:r>
      <w:proofErr w:type="spellEnd"/>
      <w:r w:rsidRPr="00CF66CC">
        <w:rPr>
          <w:rFonts w:ascii="Arial" w:hAnsi="Arial" w:cs="Arial"/>
          <w:szCs w:val="22"/>
        </w:rPr>
        <w:t xml:space="preserve"> unit and provides for the correction of such notices. It also requires </w:t>
      </w:r>
      <w:proofErr w:type="spellStart"/>
      <w:r w:rsidR="004C3D0A">
        <w:rPr>
          <w:rFonts w:ascii="Arial" w:hAnsi="Arial" w:cs="Arial"/>
          <w:szCs w:val="22"/>
        </w:rPr>
        <w:t>OUA</w:t>
      </w:r>
      <w:proofErr w:type="spellEnd"/>
      <w:r w:rsidRPr="00CF66CC">
        <w:rPr>
          <w:rFonts w:ascii="Arial" w:hAnsi="Arial" w:cs="Arial"/>
          <w:szCs w:val="22"/>
        </w:rPr>
        <w:t xml:space="preserve"> to determine a census date for a unit of study for a year that occurs not less than 20% of the way through the period during which the unit is undertaken, and to publish those census dates </w:t>
      </w:r>
      <w:r w:rsidR="00AC0DA5">
        <w:rPr>
          <w:rFonts w:ascii="Arial" w:hAnsi="Arial" w:cs="Arial"/>
          <w:szCs w:val="22"/>
        </w:rPr>
        <w:t>before the earliest date a student may enrol in the unit of study</w:t>
      </w:r>
      <w:r w:rsidRPr="00CF66CC">
        <w:rPr>
          <w:rFonts w:ascii="Arial" w:hAnsi="Arial" w:cs="Arial"/>
          <w:szCs w:val="22"/>
        </w:rPr>
        <w:t>.</w:t>
      </w:r>
      <w:r w:rsidR="00BB6E3A">
        <w:rPr>
          <w:rFonts w:ascii="Arial" w:hAnsi="Arial" w:cs="Arial"/>
          <w:szCs w:val="22"/>
        </w:rPr>
        <w:t xml:space="preserve"> </w:t>
      </w:r>
      <w:r w:rsidRPr="00CF66CC">
        <w:rPr>
          <w:rFonts w:ascii="Arial" w:hAnsi="Arial" w:cs="Arial"/>
          <w:szCs w:val="22"/>
        </w:rPr>
        <w:t>It sets out conditions for variation of census dates after publication.</w:t>
      </w:r>
      <w:r w:rsidR="000007FE">
        <w:rPr>
          <w:rFonts w:ascii="Arial" w:hAnsi="Arial" w:cs="Arial"/>
          <w:szCs w:val="22"/>
        </w:rPr>
        <w:t xml:space="preserve"> A variation of census date can only occur prior to the published census date and cannot disadvantage a person who is enrolled or seeking to enrol (for example by bringing the census date forward in time).</w:t>
      </w:r>
    </w:p>
    <w:p w:rsidR="00CF66CC" w:rsidRPr="00CF66CC" w:rsidRDefault="00CF66CC" w:rsidP="00CF66CC">
      <w:pPr>
        <w:rPr>
          <w:rFonts w:ascii="Arial" w:hAnsi="Arial" w:cs="Arial"/>
          <w:szCs w:val="22"/>
        </w:rPr>
      </w:pPr>
    </w:p>
    <w:p w:rsidR="00CF66CC" w:rsidRDefault="00CF66CC" w:rsidP="00CF66CC">
      <w:pPr>
        <w:rPr>
          <w:rFonts w:ascii="Arial" w:hAnsi="Arial" w:cs="Arial"/>
          <w:szCs w:val="22"/>
        </w:rPr>
      </w:pPr>
      <w:r w:rsidRPr="00CF66CC">
        <w:rPr>
          <w:rFonts w:ascii="Arial" w:hAnsi="Arial" w:cs="Arial"/>
          <w:szCs w:val="22"/>
        </w:rPr>
        <w:t>The Guidelines commence on the day on which they are registered on the Federal Register of Legislati</w:t>
      </w:r>
      <w:r>
        <w:rPr>
          <w:rFonts w:ascii="Arial" w:hAnsi="Arial" w:cs="Arial"/>
          <w:szCs w:val="22"/>
        </w:rPr>
        <w:t>on</w:t>
      </w:r>
      <w:r w:rsidRPr="00CF66CC">
        <w:rPr>
          <w:rFonts w:ascii="Arial" w:hAnsi="Arial" w:cs="Arial"/>
          <w:szCs w:val="22"/>
        </w:rPr>
        <w:t>.</w:t>
      </w:r>
    </w:p>
    <w:p w:rsidR="00CF66CC" w:rsidRPr="00CF66CC" w:rsidRDefault="00CF66CC" w:rsidP="00CF66CC">
      <w:pPr>
        <w:rPr>
          <w:rFonts w:ascii="Arial" w:hAnsi="Arial" w:cs="Arial"/>
          <w:szCs w:val="22"/>
        </w:rPr>
      </w:pPr>
    </w:p>
    <w:p w:rsidR="006E2BFE" w:rsidRDefault="006E2BFE" w:rsidP="00AB31E8">
      <w:pPr>
        <w:jc w:val="center"/>
        <w:rPr>
          <w:rFonts w:ascii="Arial" w:hAnsi="Arial" w:cs="Arial"/>
        </w:rPr>
      </w:pPr>
    </w:p>
    <w:p w:rsidR="00FC6F61" w:rsidRDefault="00FC6F61">
      <w:pPr>
        <w:spacing w:after="200" w:line="276" w:lineRule="auto"/>
        <w:rPr>
          <w:rFonts w:ascii="Arial" w:hAnsi="Arial" w:cs="Arial"/>
          <w:b/>
          <w:sz w:val="28"/>
          <w:szCs w:val="28"/>
        </w:rPr>
      </w:pPr>
      <w:r>
        <w:rPr>
          <w:rFonts w:ascii="Arial" w:hAnsi="Arial" w:cs="Arial"/>
          <w:b/>
          <w:sz w:val="28"/>
          <w:szCs w:val="28"/>
        </w:rPr>
        <w:br w:type="page"/>
      </w:r>
    </w:p>
    <w:p w:rsidR="008624CD" w:rsidRPr="009C5237" w:rsidRDefault="008624CD" w:rsidP="009C5237">
      <w:pPr>
        <w:jc w:val="center"/>
        <w:rPr>
          <w:rFonts w:ascii="Arial" w:hAnsi="Arial" w:cs="Arial"/>
          <w:b/>
          <w:sz w:val="28"/>
          <w:szCs w:val="28"/>
        </w:rPr>
      </w:pPr>
      <w:r w:rsidRPr="009C5237">
        <w:rPr>
          <w:rFonts w:ascii="Arial" w:hAnsi="Arial" w:cs="Arial"/>
          <w:b/>
          <w:sz w:val="28"/>
          <w:szCs w:val="28"/>
        </w:rPr>
        <w:lastRenderedPageBreak/>
        <w:t>STATEMENT OF COMPATIBILITY WITH HUMAN RIGHTS</w:t>
      </w:r>
    </w:p>
    <w:p w:rsidR="008624CD" w:rsidRPr="009C5237" w:rsidRDefault="008624CD" w:rsidP="008624CD">
      <w:pPr>
        <w:jc w:val="center"/>
        <w:rPr>
          <w:rFonts w:ascii="Arial" w:hAnsi="Arial" w:cs="Arial"/>
          <w:i/>
        </w:rPr>
      </w:pPr>
    </w:p>
    <w:p w:rsidR="008624CD" w:rsidRPr="009C5237" w:rsidRDefault="008624CD" w:rsidP="008624CD">
      <w:pPr>
        <w:jc w:val="center"/>
        <w:rPr>
          <w:rFonts w:ascii="Arial" w:hAnsi="Arial" w:cs="Arial"/>
          <w:i/>
        </w:rPr>
      </w:pPr>
      <w:r w:rsidRPr="009C5237">
        <w:rPr>
          <w:rFonts w:ascii="Arial" w:hAnsi="Arial" w:cs="Arial"/>
          <w:i/>
        </w:rPr>
        <w:t>Prepared in accordance with Part 3 of the Human Rights (Parliamentary Scrutiny) Act 2011</w:t>
      </w:r>
    </w:p>
    <w:p w:rsidR="008624CD" w:rsidRPr="009C5237" w:rsidRDefault="008624CD" w:rsidP="008624CD">
      <w:pPr>
        <w:jc w:val="center"/>
        <w:rPr>
          <w:rFonts w:ascii="Arial" w:hAnsi="Arial" w:cs="Arial"/>
          <w:i/>
          <w:color w:val="FF0000"/>
        </w:rPr>
      </w:pPr>
    </w:p>
    <w:p w:rsidR="00A72766" w:rsidRPr="00A72766" w:rsidRDefault="005A059E" w:rsidP="00A72766">
      <w:pPr>
        <w:pStyle w:val="ShortT"/>
        <w:jc w:val="center"/>
        <w:rPr>
          <w:rFonts w:ascii="Arial" w:hAnsi="Arial" w:cs="Arial"/>
          <w:sz w:val="28"/>
          <w:szCs w:val="24"/>
        </w:rPr>
      </w:pPr>
      <w:r w:rsidRPr="005A059E">
        <w:rPr>
          <w:rFonts w:ascii="Arial" w:hAnsi="Arial" w:cs="Arial"/>
          <w:sz w:val="28"/>
          <w:szCs w:val="24"/>
        </w:rPr>
        <w:t>FEE-HELP Guidelines 2017</w:t>
      </w:r>
    </w:p>
    <w:p w:rsidR="008624CD" w:rsidRPr="00A72766" w:rsidRDefault="008624CD" w:rsidP="008624CD">
      <w:pPr>
        <w:jc w:val="center"/>
        <w:rPr>
          <w:rFonts w:ascii="Arial" w:hAnsi="Arial" w:cs="Arial"/>
          <w:b/>
          <w:i/>
          <w:caps/>
          <w:sz w:val="28"/>
          <w:szCs w:val="28"/>
        </w:rPr>
      </w:pPr>
    </w:p>
    <w:p w:rsidR="008624CD" w:rsidRPr="00B3143B" w:rsidRDefault="00AC0DA5" w:rsidP="00B90A27">
      <w:pPr>
        <w:spacing w:after="240"/>
        <w:rPr>
          <w:rFonts w:ascii="Arial" w:hAnsi="Arial" w:cs="Arial"/>
          <w:i/>
        </w:rPr>
      </w:pPr>
      <w:r>
        <w:rPr>
          <w:rFonts w:ascii="Arial" w:hAnsi="Arial" w:cs="Arial"/>
        </w:rPr>
        <w:t xml:space="preserve">These Guidelines are compatible with the human rights and freedoms recognised or declared in the international instruments listed in section 3 of the </w:t>
      </w:r>
      <w:r>
        <w:rPr>
          <w:rFonts w:ascii="Arial" w:hAnsi="Arial" w:cs="Arial"/>
          <w:i/>
        </w:rPr>
        <w:t xml:space="preserve">Human Rights (Parliamentary Scrutiny) Act 2011. </w:t>
      </w:r>
    </w:p>
    <w:p w:rsidR="002B1D06" w:rsidRPr="003114C2" w:rsidRDefault="00B90A27" w:rsidP="00A37CF7">
      <w:pPr>
        <w:spacing w:after="240"/>
        <w:rPr>
          <w:rFonts w:ascii="Arial" w:hAnsi="Arial" w:cs="Arial"/>
          <w:b/>
          <w:i/>
          <w:szCs w:val="28"/>
        </w:rPr>
      </w:pPr>
      <w:r w:rsidRPr="003114C2">
        <w:rPr>
          <w:rFonts w:ascii="Arial" w:hAnsi="Arial" w:cs="Arial"/>
          <w:b/>
          <w:i/>
          <w:szCs w:val="28"/>
        </w:rPr>
        <w:t xml:space="preserve">Overview of the </w:t>
      </w:r>
      <w:r w:rsidR="00C66243" w:rsidRPr="003114C2">
        <w:rPr>
          <w:rFonts w:ascii="Arial" w:hAnsi="Arial" w:cs="Arial"/>
          <w:b/>
          <w:i/>
          <w:szCs w:val="28"/>
        </w:rPr>
        <w:t>determination</w:t>
      </w:r>
      <w:r w:rsidR="00BB5A50" w:rsidRPr="003114C2">
        <w:rPr>
          <w:rFonts w:ascii="Arial" w:hAnsi="Arial" w:cs="Arial"/>
          <w:b/>
          <w:i/>
          <w:szCs w:val="28"/>
        </w:rPr>
        <w:t xml:space="preserve"> </w:t>
      </w:r>
    </w:p>
    <w:p w:rsidR="003114C2" w:rsidRDefault="00B3143B" w:rsidP="00A37CF7">
      <w:pPr>
        <w:rPr>
          <w:rFonts w:ascii="Arial" w:hAnsi="Arial" w:cs="Arial"/>
        </w:rPr>
      </w:pPr>
      <w:r>
        <w:rPr>
          <w:rFonts w:ascii="Arial" w:hAnsi="Arial" w:cs="Arial"/>
          <w:szCs w:val="22"/>
        </w:rPr>
        <w:t xml:space="preserve">Under </w:t>
      </w:r>
      <w:r w:rsidR="00CB6021">
        <w:rPr>
          <w:rFonts w:ascii="Arial" w:hAnsi="Arial" w:cs="Arial"/>
        </w:rPr>
        <w:t xml:space="preserve">the </w:t>
      </w:r>
      <w:r w:rsidR="00CB6021">
        <w:rPr>
          <w:rFonts w:ascii="Arial" w:hAnsi="Arial" w:cs="Arial"/>
          <w:i/>
        </w:rPr>
        <w:t xml:space="preserve">Higher Education Support Act </w:t>
      </w:r>
      <w:r w:rsidR="00CB6021" w:rsidRPr="00CB6021">
        <w:rPr>
          <w:rFonts w:ascii="Arial" w:hAnsi="Arial" w:cs="Arial"/>
          <w:i/>
        </w:rPr>
        <w:t>2003</w:t>
      </w:r>
      <w:r w:rsidR="00CB6021">
        <w:rPr>
          <w:rFonts w:ascii="Arial" w:hAnsi="Arial" w:cs="Arial"/>
          <w:i/>
        </w:rPr>
        <w:t xml:space="preserve"> </w:t>
      </w:r>
      <w:r w:rsidR="00CB6021">
        <w:rPr>
          <w:rFonts w:ascii="Arial" w:hAnsi="Arial" w:cs="Arial"/>
        </w:rPr>
        <w:t>(the Act)</w:t>
      </w:r>
      <w:r w:rsidR="004975FF">
        <w:rPr>
          <w:rFonts w:ascii="Arial" w:hAnsi="Arial" w:cs="Arial"/>
        </w:rPr>
        <w:t>,</w:t>
      </w:r>
      <w:r w:rsidR="00CB6021">
        <w:rPr>
          <w:rFonts w:ascii="Arial" w:hAnsi="Arial" w:cs="Arial"/>
        </w:rPr>
        <w:t xml:space="preserve"> </w:t>
      </w:r>
      <w:r w:rsidR="00CB6021" w:rsidRPr="00B3143B">
        <w:rPr>
          <w:rFonts w:ascii="Arial" w:hAnsi="Arial" w:cs="Arial"/>
        </w:rPr>
        <w:t>b</w:t>
      </w:r>
      <w:r w:rsidR="00CB6021" w:rsidRPr="00CB6021">
        <w:rPr>
          <w:rFonts w:ascii="Arial" w:hAnsi="Arial" w:cs="Arial"/>
        </w:rPr>
        <w:t>ridging</w:t>
      </w:r>
      <w:r>
        <w:rPr>
          <w:rFonts w:ascii="Arial" w:hAnsi="Arial" w:cs="Arial"/>
        </w:rPr>
        <w:t xml:space="preserve"> study, and FEE</w:t>
      </w:r>
      <w:r>
        <w:rPr>
          <w:rFonts w:ascii="Arial" w:hAnsi="Arial" w:cs="Arial"/>
        </w:rPr>
        <w:noBreakHyphen/>
      </w:r>
      <w:r w:rsidR="00CB6021">
        <w:rPr>
          <w:rFonts w:ascii="Arial" w:hAnsi="Arial" w:cs="Arial"/>
        </w:rPr>
        <w:t xml:space="preserve">HELP to defer the applicable tuition fees, is available to overseas-trained professionals who are permanent residents, and who require additional study in order to be accredited in their field in Australia. </w:t>
      </w:r>
      <w:r w:rsidR="00AC0DA5">
        <w:rPr>
          <w:rFonts w:ascii="Arial" w:hAnsi="Arial" w:cs="Arial"/>
        </w:rPr>
        <w:t>These Guidelines specify the listed professional occupations, and relevant assessing bodies, for the purposes of bridging studie</w:t>
      </w:r>
      <w:r>
        <w:rPr>
          <w:rFonts w:ascii="Arial" w:hAnsi="Arial" w:cs="Arial"/>
        </w:rPr>
        <w:t>s under</w:t>
      </w:r>
      <w:r w:rsidRPr="00B3143B">
        <w:rPr>
          <w:rFonts w:ascii="Arial" w:hAnsi="Arial" w:cs="Arial"/>
          <w:szCs w:val="22"/>
        </w:rPr>
        <w:t xml:space="preserve"> </w:t>
      </w:r>
      <w:r>
        <w:rPr>
          <w:rFonts w:ascii="Arial" w:hAnsi="Arial" w:cs="Arial"/>
          <w:szCs w:val="22"/>
        </w:rPr>
        <w:t>sections 104-60 and 104-55</w:t>
      </w:r>
      <w:r w:rsidR="00AC0DA5">
        <w:rPr>
          <w:rFonts w:ascii="Arial" w:hAnsi="Arial" w:cs="Arial"/>
        </w:rPr>
        <w:t xml:space="preserve">. </w:t>
      </w:r>
    </w:p>
    <w:p w:rsidR="00CB6021" w:rsidRDefault="00CB6021" w:rsidP="00A37CF7">
      <w:pPr>
        <w:rPr>
          <w:rFonts w:ascii="Arial" w:hAnsi="Arial" w:cs="Arial"/>
        </w:rPr>
      </w:pPr>
    </w:p>
    <w:p w:rsidR="00CB6021" w:rsidRDefault="00CB6021" w:rsidP="00A37CF7">
      <w:pPr>
        <w:rPr>
          <w:rFonts w:ascii="Arial" w:hAnsi="Arial" w:cs="Arial"/>
        </w:rPr>
      </w:pPr>
      <w:r>
        <w:rPr>
          <w:rFonts w:ascii="Arial" w:hAnsi="Arial" w:cs="Arial"/>
        </w:rPr>
        <w:t>These Guidelines also contain requirements for Open Universities Australia (</w:t>
      </w:r>
      <w:proofErr w:type="spellStart"/>
      <w:r>
        <w:rPr>
          <w:rFonts w:ascii="Arial" w:hAnsi="Arial" w:cs="Arial"/>
        </w:rPr>
        <w:t>OUA</w:t>
      </w:r>
      <w:proofErr w:type="spellEnd"/>
      <w:r>
        <w:rPr>
          <w:rFonts w:ascii="Arial" w:hAnsi="Arial" w:cs="Arial"/>
        </w:rPr>
        <w:t xml:space="preserve">). </w:t>
      </w:r>
      <w:r w:rsidR="00B3143B" w:rsidRPr="00B3143B">
        <w:rPr>
          <w:rFonts w:ascii="Arial" w:hAnsi="Arial" w:cs="Arial"/>
        </w:rPr>
        <w:t>Under section 104-3</w:t>
      </w:r>
      <w:r w:rsidRPr="00B3143B">
        <w:rPr>
          <w:rFonts w:ascii="Arial" w:hAnsi="Arial" w:cs="Arial"/>
        </w:rPr>
        <w:t xml:space="preserve"> of the Act, </w:t>
      </w:r>
      <w:proofErr w:type="spellStart"/>
      <w:r w:rsidRPr="00B3143B">
        <w:rPr>
          <w:rFonts w:ascii="Arial" w:hAnsi="Arial" w:cs="Arial"/>
        </w:rPr>
        <w:t>OUA</w:t>
      </w:r>
      <w:proofErr w:type="spellEnd"/>
      <w:r w:rsidRPr="00B3143B">
        <w:rPr>
          <w:rFonts w:ascii="Arial" w:hAnsi="Arial" w:cs="Arial"/>
        </w:rPr>
        <w:t xml:space="preserve"> is able to enrol students in units of study, including offering Higher Education Loan Program assistance, subject to meeting requirements specified in these Guidelines.</w:t>
      </w:r>
      <w:r>
        <w:rPr>
          <w:rFonts w:ascii="Arial" w:hAnsi="Arial" w:cs="Arial"/>
        </w:rPr>
        <w:t xml:space="preserve"> </w:t>
      </w:r>
    </w:p>
    <w:p w:rsidR="00AC0DA5" w:rsidRDefault="00AC0DA5" w:rsidP="00A37CF7">
      <w:pPr>
        <w:rPr>
          <w:rFonts w:ascii="Arial" w:hAnsi="Arial" w:cs="Arial"/>
        </w:rPr>
      </w:pPr>
    </w:p>
    <w:p w:rsidR="00CB6021" w:rsidRDefault="00CB6021" w:rsidP="00A37CF7">
      <w:pPr>
        <w:rPr>
          <w:rFonts w:ascii="Arial" w:hAnsi="Arial" w:cs="Arial"/>
        </w:rPr>
      </w:pPr>
      <w:r>
        <w:rPr>
          <w:rFonts w:ascii="Arial" w:hAnsi="Arial" w:cs="Arial"/>
        </w:rPr>
        <w:t xml:space="preserve">These Guidelines specify that </w:t>
      </w:r>
      <w:proofErr w:type="spellStart"/>
      <w:r>
        <w:rPr>
          <w:rFonts w:ascii="Arial" w:hAnsi="Arial" w:cs="Arial"/>
        </w:rPr>
        <w:t>OUA</w:t>
      </w:r>
      <w:proofErr w:type="spellEnd"/>
      <w:r>
        <w:rPr>
          <w:rFonts w:ascii="Arial" w:hAnsi="Arial" w:cs="Arial"/>
        </w:rPr>
        <w:t xml:space="preserve"> must comply with financial viability, fairness, administrative, tuition fee and publication requirements. </w:t>
      </w:r>
    </w:p>
    <w:p w:rsidR="00CB6021" w:rsidRDefault="00CB6021" w:rsidP="00A37CF7">
      <w:pPr>
        <w:rPr>
          <w:rFonts w:ascii="Arial" w:hAnsi="Arial" w:cs="Arial"/>
        </w:rPr>
      </w:pPr>
    </w:p>
    <w:p w:rsidR="003114C2" w:rsidRDefault="003114C2" w:rsidP="00A37CF7">
      <w:pPr>
        <w:rPr>
          <w:rFonts w:ascii="Arial" w:hAnsi="Arial" w:cs="Arial"/>
          <w:b/>
          <w:i/>
        </w:rPr>
      </w:pPr>
      <w:r w:rsidRPr="003114C2">
        <w:rPr>
          <w:rFonts w:ascii="Arial" w:hAnsi="Arial" w:cs="Arial"/>
          <w:b/>
          <w:i/>
        </w:rPr>
        <w:t>Human rights implications</w:t>
      </w:r>
    </w:p>
    <w:p w:rsidR="004975FF" w:rsidRPr="003114C2" w:rsidRDefault="004975FF" w:rsidP="00A37CF7">
      <w:pPr>
        <w:rPr>
          <w:rFonts w:ascii="Arial" w:hAnsi="Arial" w:cs="Arial"/>
          <w:b/>
          <w:i/>
        </w:rPr>
      </w:pPr>
    </w:p>
    <w:p w:rsidR="004975FF" w:rsidRPr="004975FF" w:rsidRDefault="004975FF" w:rsidP="004975FF">
      <w:pPr>
        <w:rPr>
          <w:rFonts w:ascii="Arial" w:hAnsi="Arial" w:cs="Arial"/>
          <w:i/>
        </w:rPr>
      </w:pPr>
      <w:r w:rsidRPr="004975FF">
        <w:rPr>
          <w:rFonts w:ascii="Arial" w:hAnsi="Arial" w:cs="Arial"/>
          <w:i/>
        </w:rPr>
        <w:t>Right to education</w:t>
      </w:r>
    </w:p>
    <w:p w:rsidR="004975FF" w:rsidRPr="004975FF" w:rsidRDefault="004975FF" w:rsidP="004975FF">
      <w:pPr>
        <w:rPr>
          <w:rFonts w:ascii="Arial" w:hAnsi="Arial" w:cs="Arial"/>
        </w:rPr>
      </w:pPr>
    </w:p>
    <w:p w:rsidR="004975FF" w:rsidRPr="004975FF" w:rsidRDefault="004975FF" w:rsidP="004975FF">
      <w:pPr>
        <w:rPr>
          <w:rFonts w:ascii="Arial" w:hAnsi="Arial" w:cs="Arial"/>
        </w:rPr>
      </w:pPr>
      <w:r w:rsidRPr="004975FF">
        <w:rPr>
          <w:rFonts w:ascii="Arial" w:hAnsi="Arial" w:cs="Arial"/>
        </w:rPr>
        <w:t xml:space="preserve">Article 13 of the </w:t>
      </w:r>
      <w:r w:rsidRPr="004975FF">
        <w:rPr>
          <w:rFonts w:ascii="Arial" w:hAnsi="Arial" w:cs="Arial"/>
          <w:i/>
        </w:rPr>
        <w:t>International Covenant on Economic, Social and Cultural Rights</w:t>
      </w:r>
      <w:r w:rsidRPr="004975FF">
        <w:rPr>
          <w:rFonts w:ascii="Arial" w:hAnsi="Arial" w:cs="Arial"/>
        </w:rPr>
        <w:t xml:space="preserve"> recognises the important personal, societal, economic and intellectual benefits of education. Article 13(2)(c) recognises that, for the full realisation of the right to education, higher education shall be made equally accessible to all, on the basis of capacity, by every appropriate means. </w:t>
      </w:r>
    </w:p>
    <w:p w:rsidR="00E528C1" w:rsidRDefault="00E528C1" w:rsidP="00A37CF7">
      <w:pPr>
        <w:rPr>
          <w:rFonts w:ascii="Arial" w:hAnsi="Arial" w:cs="Arial"/>
        </w:rPr>
      </w:pPr>
    </w:p>
    <w:p w:rsidR="00380FFF" w:rsidRDefault="00380FFF" w:rsidP="00A37CF7">
      <w:pPr>
        <w:rPr>
          <w:rFonts w:ascii="Arial" w:hAnsi="Arial" w:cs="Arial"/>
        </w:rPr>
      </w:pPr>
      <w:r>
        <w:rPr>
          <w:rFonts w:ascii="Arial" w:hAnsi="Arial" w:cs="Arial"/>
        </w:rPr>
        <w:t>While overseas trained professionals have already accessed higher education, bridging study and the availability of FEE-HELP offers these individuals greater access to higher education required to become an accredited professional in Australia. By specifying the relevant occupations and assessing bodies in these Guidelines, the right to access higher education is being preserved. The availability of FEE-HELP</w:t>
      </w:r>
      <w:r w:rsidR="003755B4">
        <w:rPr>
          <w:rFonts w:ascii="Arial" w:hAnsi="Arial" w:cs="Arial"/>
        </w:rPr>
        <w:t xml:space="preserve"> to defer upfront costs</w:t>
      </w:r>
      <w:r>
        <w:rPr>
          <w:rFonts w:ascii="Arial" w:hAnsi="Arial" w:cs="Arial"/>
        </w:rPr>
        <w:t xml:space="preserve"> </w:t>
      </w:r>
      <w:r w:rsidR="003755B4">
        <w:rPr>
          <w:rFonts w:ascii="Arial" w:hAnsi="Arial" w:cs="Arial"/>
        </w:rPr>
        <w:t xml:space="preserve">for these studies is a crucial element to enable overseas trained professionals to access these higher education units of study. </w:t>
      </w:r>
    </w:p>
    <w:p w:rsidR="00380FFF" w:rsidRDefault="00380FFF" w:rsidP="00A37CF7">
      <w:pPr>
        <w:rPr>
          <w:rFonts w:ascii="Arial" w:hAnsi="Arial" w:cs="Arial"/>
        </w:rPr>
      </w:pPr>
    </w:p>
    <w:p w:rsidR="00E528C1" w:rsidRDefault="00380FFF" w:rsidP="00A37CF7">
      <w:pPr>
        <w:rPr>
          <w:rFonts w:ascii="Arial" w:hAnsi="Arial" w:cs="Arial"/>
        </w:rPr>
      </w:pPr>
      <w:r>
        <w:rPr>
          <w:rFonts w:ascii="Arial" w:hAnsi="Arial" w:cs="Arial"/>
        </w:rPr>
        <w:t xml:space="preserve">These Guidelines do not introduce new charges or fees for individuals wishing to access bridging study, and therefore have no impact on the progressive introduction of free higher education. </w:t>
      </w:r>
    </w:p>
    <w:p w:rsidR="00E528C1" w:rsidRDefault="00E528C1" w:rsidP="00A37CF7">
      <w:pPr>
        <w:rPr>
          <w:rFonts w:ascii="Arial" w:hAnsi="Arial" w:cs="Arial"/>
        </w:rPr>
      </w:pPr>
    </w:p>
    <w:p w:rsidR="003B7376" w:rsidRDefault="003B7376" w:rsidP="00A37CF7">
      <w:pPr>
        <w:rPr>
          <w:rFonts w:ascii="Arial" w:hAnsi="Arial" w:cs="Arial"/>
        </w:rPr>
      </w:pPr>
      <w:r>
        <w:rPr>
          <w:rFonts w:ascii="Arial" w:hAnsi="Arial" w:cs="Arial"/>
        </w:rPr>
        <w:lastRenderedPageBreak/>
        <w:t xml:space="preserve">These Guidelines ensure the integrity and sustainability of </w:t>
      </w:r>
      <w:proofErr w:type="spellStart"/>
      <w:r>
        <w:rPr>
          <w:rFonts w:ascii="Arial" w:hAnsi="Arial" w:cs="Arial"/>
        </w:rPr>
        <w:t>OUA</w:t>
      </w:r>
      <w:proofErr w:type="spellEnd"/>
      <w:r>
        <w:rPr>
          <w:rFonts w:ascii="Arial" w:hAnsi="Arial" w:cs="Arial"/>
        </w:rPr>
        <w:t xml:space="preserve">, and the quality of the student experience in terms of administration, grievance procedures and overall education. </w:t>
      </w:r>
      <w:proofErr w:type="spellStart"/>
      <w:r>
        <w:rPr>
          <w:rFonts w:ascii="Arial" w:hAnsi="Arial" w:cs="Arial"/>
        </w:rPr>
        <w:t>OUA</w:t>
      </w:r>
      <w:proofErr w:type="spellEnd"/>
      <w:r>
        <w:rPr>
          <w:rFonts w:ascii="Arial" w:hAnsi="Arial" w:cs="Arial"/>
        </w:rPr>
        <w:t xml:space="preserve"> plays a valuable role in </w:t>
      </w:r>
      <w:r w:rsidR="00E528C1">
        <w:rPr>
          <w:rFonts w:ascii="Arial" w:hAnsi="Arial" w:cs="Arial"/>
        </w:rPr>
        <w:t xml:space="preserve">ensuring access to higher education via </w:t>
      </w:r>
      <w:r>
        <w:rPr>
          <w:rFonts w:ascii="Arial" w:hAnsi="Arial" w:cs="Arial"/>
        </w:rPr>
        <w:t>online courses and non</w:t>
      </w:r>
      <w:r>
        <w:rPr>
          <w:rFonts w:ascii="Arial" w:hAnsi="Arial" w:cs="Arial"/>
        </w:rPr>
        <w:noBreakHyphen/>
      </w:r>
      <w:r w:rsidR="00E528C1">
        <w:rPr>
          <w:rFonts w:ascii="Arial" w:hAnsi="Arial" w:cs="Arial"/>
        </w:rPr>
        <w:t xml:space="preserve">traditional delivery methods. </w:t>
      </w:r>
      <w:r>
        <w:rPr>
          <w:rFonts w:ascii="Arial" w:hAnsi="Arial" w:cs="Arial"/>
        </w:rPr>
        <w:t xml:space="preserve">For those who are unable to complete traditional education, </w:t>
      </w:r>
      <w:proofErr w:type="spellStart"/>
      <w:r>
        <w:rPr>
          <w:rFonts w:ascii="Arial" w:hAnsi="Arial" w:cs="Arial"/>
        </w:rPr>
        <w:t>OUA’s</w:t>
      </w:r>
      <w:proofErr w:type="spellEnd"/>
      <w:r>
        <w:rPr>
          <w:rFonts w:ascii="Arial" w:hAnsi="Arial" w:cs="Arial"/>
        </w:rPr>
        <w:t xml:space="preserve"> ability to provide courses online is an important option in ensuring access to higher education. By ensuring the quality and sustainability of </w:t>
      </w:r>
      <w:proofErr w:type="spellStart"/>
      <w:r>
        <w:rPr>
          <w:rFonts w:ascii="Arial" w:hAnsi="Arial" w:cs="Arial"/>
        </w:rPr>
        <w:t>OUA</w:t>
      </w:r>
      <w:proofErr w:type="spellEnd"/>
      <w:r>
        <w:rPr>
          <w:rFonts w:ascii="Arial" w:hAnsi="Arial" w:cs="Arial"/>
        </w:rPr>
        <w:t xml:space="preserve">, these Guidelines are fully compatible with the right to access higher education. </w:t>
      </w:r>
    </w:p>
    <w:p w:rsidR="003B7376" w:rsidRDefault="003B7376" w:rsidP="00A37CF7">
      <w:pPr>
        <w:rPr>
          <w:rFonts w:ascii="Arial" w:hAnsi="Arial" w:cs="Arial"/>
        </w:rPr>
      </w:pPr>
    </w:p>
    <w:p w:rsidR="004975FF" w:rsidRPr="004975FF" w:rsidRDefault="004975FF" w:rsidP="00A37CF7">
      <w:pPr>
        <w:rPr>
          <w:rFonts w:ascii="Arial" w:hAnsi="Arial" w:cs="Arial"/>
          <w:i/>
        </w:rPr>
      </w:pPr>
      <w:r w:rsidRPr="004975FF">
        <w:rPr>
          <w:rFonts w:ascii="Arial" w:hAnsi="Arial" w:cs="Arial"/>
          <w:i/>
        </w:rPr>
        <w:t>Right to privacy</w:t>
      </w:r>
    </w:p>
    <w:p w:rsidR="004975FF" w:rsidRDefault="004975FF" w:rsidP="00A37CF7">
      <w:pPr>
        <w:rPr>
          <w:rFonts w:ascii="Arial" w:hAnsi="Arial" w:cs="Arial"/>
        </w:rPr>
      </w:pPr>
    </w:p>
    <w:p w:rsidR="003B7376" w:rsidRDefault="00BB5EED" w:rsidP="00A37CF7">
      <w:pPr>
        <w:rPr>
          <w:rFonts w:ascii="Arial" w:hAnsi="Arial" w:cs="Arial"/>
        </w:rPr>
      </w:pPr>
      <w:r>
        <w:rPr>
          <w:rFonts w:ascii="Arial" w:hAnsi="Arial" w:cs="Arial"/>
        </w:rPr>
        <w:t xml:space="preserve">The requirements for </w:t>
      </w:r>
      <w:proofErr w:type="spellStart"/>
      <w:r>
        <w:rPr>
          <w:rFonts w:ascii="Arial" w:hAnsi="Arial" w:cs="Arial"/>
        </w:rPr>
        <w:t>OUA</w:t>
      </w:r>
      <w:proofErr w:type="spellEnd"/>
      <w:r>
        <w:rPr>
          <w:rFonts w:ascii="Arial" w:hAnsi="Arial" w:cs="Arial"/>
        </w:rPr>
        <w:t xml:space="preserve"> also engage the right to privacy outlined in Article 17 of the </w:t>
      </w:r>
      <w:r>
        <w:rPr>
          <w:rFonts w:ascii="Arial" w:hAnsi="Arial" w:cs="Arial"/>
          <w:i/>
        </w:rPr>
        <w:t>International Covenant on Civil and Political Rights</w:t>
      </w:r>
      <w:r>
        <w:rPr>
          <w:rFonts w:ascii="Arial" w:hAnsi="Arial" w:cs="Arial"/>
        </w:rPr>
        <w:t>. Article 17 provides that no one shall be subject to arbitrary or unlawful interference with their privacy, family, home or correspondence, nor to unlawful attacks on their honour and reputation.</w:t>
      </w:r>
    </w:p>
    <w:p w:rsidR="00BB5EED" w:rsidRDefault="00BB5EED" w:rsidP="00A37CF7">
      <w:pPr>
        <w:rPr>
          <w:rFonts w:ascii="Arial" w:hAnsi="Arial" w:cs="Arial"/>
        </w:rPr>
      </w:pPr>
    </w:p>
    <w:p w:rsidR="00BB5EED" w:rsidRDefault="00BB5EED" w:rsidP="00A37CF7">
      <w:pPr>
        <w:rPr>
          <w:rFonts w:ascii="Arial" w:hAnsi="Arial" w:cs="Arial"/>
        </w:rPr>
      </w:pPr>
      <w:r>
        <w:rPr>
          <w:rFonts w:ascii="Arial" w:hAnsi="Arial" w:cs="Arial"/>
        </w:rPr>
        <w:t xml:space="preserve">The FEE-HELP Guidelines include privacy requirements that </w:t>
      </w:r>
      <w:proofErr w:type="spellStart"/>
      <w:r>
        <w:rPr>
          <w:rFonts w:ascii="Arial" w:hAnsi="Arial" w:cs="Arial"/>
        </w:rPr>
        <w:t>OUA</w:t>
      </w:r>
      <w:proofErr w:type="spellEnd"/>
      <w:r>
        <w:rPr>
          <w:rFonts w:ascii="Arial" w:hAnsi="Arial" w:cs="Arial"/>
        </w:rPr>
        <w:t xml:space="preserve"> must comply with. These include the requirements for the protection of personal information currently</w:t>
      </w:r>
      <w:r w:rsidR="004975FF">
        <w:rPr>
          <w:rFonts w:ascii="Arial" w:hAnsi="Arial" w:cs="Arial"/>
        </w:rPr>
        <w:t xml:space="preserve"> contained</w:t>
      </w:r>
      <w:r>
        <w:rPr>
          <w:rFonts w:ascii="Arial" w:hAnsi="Arial" w:cs="Arial"/>
        </w:rPr>
        <w:t xml:space="preserve"> in the Act, as well as the Australian Privacy Principles in Schedule 1 to the </w:t>
      </w:r>
      <w:r>
        <w:rPr>
          <w:rFonts w:ascii="Arial" w:hAnsi="Arial" w:cs="Arial"/>
          <w:i/>
        </w:rPr>
        <w:t>Australian Privacy Act 1988</w:t>
      </w:r>
      <w:r>
        <w:rPr>
          <w:rFonts w:ascii="Arial" w:hAnsi="Arial" w:cs="Arial"/>
        </w:rPr>
        <w:t xml:space="preserve">. The Guidelines also provide mechanisms for students to access a copy of their personal information held by </w:t>
      </w:r>
      <w:proofErr w:type="spellStart"/>
      <w:r>
        <w:rPr>
          <w:rFonts w:ascii="Arial" w:hAnsi="Arial" w:cs="Arial"/>
        </w:rPr>
        <w:t>OUA</w:t>
      </w:r>
      <w:proofErr w:type="spellEnd"/>
      <w:r>
        <w:rPr>
          <w:rFonts w:ascii="Arial" w:hAnsi="Arial" w:cs="Arial"/>
        </w:rPr>
        <w:t xml:space="preserve">, and to make complaints in relation to breaches of privacy. </w:t>
      </w:r>
    </w:p>
    <w:p w:rsidR="00BB5EED" w:rsidRDefault="00BB5EED" w:rsidP="00A37CF7">
      <w:pPr>
        <w:rPr>
          <w:rFonts w:ascii="Arial" w:hAnsi="Arial" w:cs="Arial"/>
        </w:rPr>
      </w:pPr>
    </w:p>
    <w:p w:rsidR="00BB5EED" w:rsidRPr="00BB5EED" w:rsidRDefault="00BB5EED" w:rsidP="00A37CF7">
      <w:pPr>
        <w:rPr>
          <w:rFonts w:ascii="Arial" w:hAnsi="Arial" w:cs="Arial"/>
        </w:rPr>
      </w:pPr>
      <w:r>
        <w:rPr>
          <w:rFonts w:ascii="Arial" w:hAnsi="Arial" w:cs="Arial"/>
        </w:rPr>
        <w:t xml:space="preserve">By ensuring that </w:t>
      </w:r>
      <w:proofErr w:type="spellStart"/>
      <w:r>
        <w:rPr>
          <w:rFonts w:ascii="Arial" w:hAnsi="Arial" w:cs="Arial"/>
        </w:rPr>
        <w:t>OUA</w:t>
      </w:r>
      <w:proofErr w:type="spellEnd"/>
      <w:r>
        <w:rPr>
          <w:rFonts w:ascii="Arial" w:hAnsi="Arial" w:cs="Arial"/>
        </w:rPr>
        <w:t xml:space="preserve"> must comply with the strict requirements around the protection of personal information in the </w:t>
      </w:r>
      <w:r>
        <w:rPr>
          <w:rFonts w:ascii="Arial" w:hAnsi="Arial" w:cs="Arial"/>
          <w:i/>
        </w:rPr>
        <w:t>Australian Privacy Act 1988</w:t>
      </w:r>
      <w:r>
        <w:rPr>
          <w:rFonts w:ascii="Arial" w:hAnsi="Arial" w:cs="Arial"/>
        </w:rPr>
        <w:t xml:space="preserve"> and the protection mechanisms embedded in the Act, these Guidelines are compatible with the right to privacy. </w:t>
      </w:r>
    </w:p>
    <w:p w:rsidR="00AC0DA5" w:rsidRDefault="00AC0DA5" w:rsidP="00A37CF7">
      <w:pPr>
        <w:rPr>
          <w:rFonts w:ascii="Arial" w:hAnsi="Arial" w:cs="Arial"/>
        </w:rPr>
      </w:pPr>
    </w:p>
    <w:p w:rsidR="00D0465D" w:rsidRPr="003114C2" w:rsidRDefault="00D0465D" w:rsidP="00D0465D">
      <w:pPr>
        <w:spacing w:after="200" w:line="276" w:lineRule="auto"/>
        <w:rPr>
          <w:rFonts w:ascii="Arial" w:hAnsi="Arial" w:cs="Arial"/>
          <w:b/>
          <w:i/>
          <w:szCs w:val="28"/>
        </w:rPr>
      </w:pPr>
      <w:r w:rsidRPr="003114C2">
        <w:rPr>
          <w:rFonts w:ascii="Arial" w:hAnsi="Arial" w:cs="Arial"/>
          <w:b/>
          <w:i/>
          <w:szCs w:val="28"/>
        </w:rPr>
        <w:t>Conclusion</w:t>
      </w:r>
    </w:p>
    <w:p w:rsidR="00BD1A5F" w:rsidRPr="00685B5B" w:rsidRDefault="00AC0DA5" w:rsidP="00A37CF7">
      <w:pPr>
        <w:rPr>
          <w:rFonts w:ascii="Arial" w:hAnsi="Arial" w:cs="Arial"/>
        </w:rPr>
      </w:pPr>
      <w:r>
        <w:rPr>
          <w:rFonts w:ascii="Arial" w:hAnsi="Arial" w:cs="Arial"/>
        </w:rPr>
        <w:t>These Guidelines are</w:t>
      </w:r>
      <w:r w:rsidR="00624552">
        <w:rPr>
          <w:rFonts w:ascii="Arial" w:hAnsi="Arial" w:cs="Arial"/>
        </w:rPr>
        <w:t xml:space="preserve"> compatible with human rights</w:t>
      </w:r>
      <w:r w:rsidR="00351B2F">
        <w:rPr>
          <w:rFonts w:ascii="Arial" w:hAnsi="Arial" w:cs="Arial"/>
        </w:rPr>
        <w:t xml:space="preserve">. </w:t>
      </w:r>
      <w:r w:rsidR="00624552">
        <w:rPr>
          <w:rFonts w:ascii="Arial" w:hAnsi="Arial" w:cs="Arial"/>
        </w:rPr>
        <w:t xml:space="preserve">  </w:t>
      </w:r>
      <w:r w:rsidR="00D0465D">
        <w:rPr>
          <w:rFonts w:ascii="Arial" w:hAnsi="Arial" w:cs="Arial"/>
        </w:rPr>
        <w:t xml:space="preserve"> </w:t>
      </w:r>
    </w:p>
    <w:p w:rsidR="001F615D" w:rsidRDefault="001F615D">
      <w:pPr>
        <w:spacing w:after="200" w:line="276" w:lineRule="auto"/>
        <w:rPr>
          <w:rFonts w:ascii="Arial" w:hAnsi="Arial" w:cs="Arial"/>
        </w:rPr>
      </w:pPr>
    </w:p>
    <w:sectPr w:rsidR="001F615D" w:rsidSect="00D63A1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92" w:rsidRDefault="00626792" w:rsidP="001006BE">
      <w:r>
        <w:separator/>
      </w:r>
    </w:p>
  </w:endnote>
  <w:endnote w:type="continuationSeparator" w:id="0">
    <w:p w:rsidR="00626792" w:rsidRDefault="00626792" w:rsidP="001006BE">
      <w:r>
        <w:continuationSeparator/>
      </w:r>
    </w:p>
  </w:endnote>
  <w:endnote w:type="continuationNotice" w:id="1">
    <w:p w:rsidR="00626792" w:rsidRDefault="00626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2990"/>
      <w:docPartObj>
        <w:docPartGallery w:val="Page Numbers (Bottom of Page)"/>
        <w:docPartUnique/>
      </w:docPartObj>
    </w:sdtPr>
    <w:sdtEndPr>
      <w:rPr>
        <w:noProof/>
      </w:rPr>
    </w:sdtEndPr>
    <w:sdtContent>
      <w:p w:rsidR="00D63A12" w:rsidRDefault="00D63A12">
        <w:pPr>
          <w:pStyle w:val="Footer"/>
          <w:jc w:val="right"/>
        </w:pPr>
        <w:r>
          <w:fldChar w:fldCharType="begin"/>
        </w:r>
        <w:r>
          <w:instrText xml:space="preserve"> PAGE   \* MERGEFORMAT </w:instrText>
        </w:r>
        <w:r>
          <w:fldChar w:fldCharType="separate"/>
        </w:r>
        <w:r w:rsidR="00035234">
          <w:rPr>
            <w:noProof/>
          </w:rPr>
          <w:t>1</w:t>
        </w:r>
        <w:r>
          <w:rPr>
            <w:noProof/>
          </w:rPr>
          <w:fldChar w:fldCharType="end"/>
        </w:r>
      </w:p>
    </w:sdtContent>
  </w:sdt>
  <w:p w:rsidR="0005015A" w:rsidRDefault="00050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92" w:rsidRDefault="00626792" w:rsidP="001006BE">
      <w:r>
        <w:separator/>
      </w:r>
    </w:p>
  </w:footnote>
  <w:footnote w:type="continuationSeparator" w:id="0">
    <w:p w:rsidR="00626792" w:rsidRDefault="00626792" w:rsidP="001006BE">
      <w:r>
        <w:continuationSeparator/>
      </w:r>
    </w:p>
  </w:footnote>
  <w:footnote w:type="continuationNotice" w:id="1">
    <w:p w:rsidR="00626792" w:rsidRDefault="006267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D81"/>
    <w:multiLevelType w:val="hybridMultilevel"/>
    <w:tmpl w:val="27786A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D50D0"/>
    <w:multiLevelType w:val="hybridMultilevel"/>
    <w:tmpl w:val="56743B9C"/>
    <w:lvl w:ilvl="0" w:tplc="63F4DF90">
      <w:start w:val="1"/>
      <w:numFmt w:val="lowerLetter"/>
      <w:lvlText w:val="(%1)"/>
      <w:lvlJc w:val="left"/>
      <w:pPr>
        <w:ind w:left="1650" w:hanging="405"/>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
    <w:nsid w:val="05E26E3B"/>
    <w:multiLevelType w:val="hybridMultilevel"/>
    <w:tmpl w:val="5786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A158E4"/>
    <w:multiLevelType w:val="hybridMultilevel"/>
    <w:tmpl w:val="1A10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66DE8"/>
    <w:multiLevelType w:val="hybridMultilevel"/>
    <w:tmpl w:val="712E8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FB4665"/>
    <w:multiLevelType w:val="hybridMultilevel"/>
    <w:tmpl w:val="90F6D5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74649D"/>
    <w:multiLevelType w:val="hybridMultilevel"/>
    <w:tmpl w:val="344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3F2AD9"/>
    <w:multiLevelType w:val="hybridMultilevel"/>
    <w:tmpl w:val="FD52BB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7A56A6"/>
    <w:multiLevelType w:val="hybridMultilevel"/>
    <w:tmpl w:val="F1E0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2303B9"/>
    <w:multiLevelType w:val="hybridMultilevel"/>
    <w:tmpl w:val="59C44F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F26E68"/>
    <w:multiLevelType w:val="hybridMultilevel"/>
    <w:tmpl w:val="DA9AF0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C75200"/>
    <w:multiLevelType w:val="hybridMultilevel"/>
    <w:tmpl w:val="37D8CE6A"/>
    <w:lvl w:ilvl="0" w:tplc="0C090003">
      <w:start w:val="1"/>
      <w:numFmt w:val="bullet"/>
      <w:lvlText w:val="o"/>
      <w:lvlJc w:val="left"/>
      <w:pPr>
        <w:ind w:left="1944" w:hanging="360"/>
      </w:pPr>
      <w:rPr>
        <w:rFonts w:ascii="Courier New" w:hAnsi="Courier New" w:cs="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2">
    <w:nsid w:val="2B0D5B03"/>
    <w:multiLevelType w:val="hybridMultilevel"/>
    <w:tmpl w:val="765AF2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14609C0"/>
    <w:multiLevelType w:val="hybridMultilevel"/>
    <w:tmpl w:val="E46A34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1A2219"/>
    <w:multiLevelType w:val="hybridMultilevel"/>
    <w:tmpl w:val="E1066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7E0CF9"/>
    <w:multiLevelType w:val="hybridMultilevel"/>
    <w:tmpl w:val="C2CCC1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AB532E"/>
    <w:multiLevelType w:val="hybridMultilevel"/>
    <w:tmpl w:val="7B82A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4044D7"/>
    <w:multiLevelType w:val="hybridMultilevel"/>
    <w:tmpl w:val="81A4CF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D6782"/>
    <w:multiLevelType w:val="hybridMultilevel"/>
    <w:tmpl w:val="6EF051AE"/>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E4C263E"/>
    <w:multiLevelType w:val="hybridMultilevel"/>
    <w:tmpl w:val="1E0E48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6F4110"/>
    <w:multiLevelType w:val="hybridMultilevel"/>
    <w:tmpl w:val="87A40F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1A5239"/>
    <w:multiLevelType w:val="hybridMultilevel"/>
    <w:tmpl w:val="7FB83A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112DE6"/>
    <w:multiLevelType w:val="hybridMultilevel"/>
    <w:tmpl w:val="392EE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CA78E6"/>
    <w:multiLevelType w:val="hybridMultilevel"/>
    <w:tmpl w:val="B76A13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263D98"/>
    <w:multiLevelType w:val="hybridMultilevel"/>
    <w:tmpl w:val="085C2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7452E8"/>
    <w:multiLevelType w:val="hybridMultilevel"/>
    <w:tmpl w:val="A8B24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9183D00"/>
    <w:multiLevelType w:val="hybridMultilevel"/>
    <w:tmpl w:val="B90A2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E06696"/>
    <w:multiLevelType w:val="hybridMultilevel"/>
    <w:tmpl w:val="B5F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FB77FE"/>
    <w:multiLevelType w:val="hybridMultilevel"/>
    <w:tmpl w:val="56CEAB46"/>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E88190A"/>
    <w:multiLevelType w:val="hybridMultilevel"/>
    <w:tmpl w:val="ABB4CC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2A5F86"/>
    <w:multiLevelType w:val="hybridMultilevel"/>
    <w:tmpl w:val="DE4ED7CE"/>
    <w:lvl w:ilvl="0" w:tplc="B82030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9824049"/>
    <w:multiLevelType w:val="hybridMultilevel"/>
    <w:tmpl w:val="E256A97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EE744AE"/>
    <w:multiLevelType w:val="hybridMultilevel"/>
    <w:tmpl w:val="F230B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30"/>
  </w:num>
  <w:num w:numId="4">
    <w:abstractNumId w:val="18"/>
  </w:num>
  <w:num w:numId="5">
    <w:abstractNumId w:val="24"/>
  </w:num>
  <w:num w:numId="6">
    <w:abstractNumId w:val="28"/>
  </w:num>
  <w:num w:numId="7">
    <w:abstractNumId w:val="14"/>
  </w:num>
  <w:num w:numId="8">
    <w:abstractNumId w:val="12"/>
  </w:num>
  <w:num w:numId="9">
    <w:abstractNumId w:val="11"/>
  </w:num>
  <w:num w:numId="10">
    <w:abstractNumId w:val="1"/>
  </w:num>
  <w:num w:numId="11">
    <w:abstractNumId w:val="20"/>
  </w:num>
  <w:num w:numId="12">
    <w:abstractNumId w:val="16"/>
  </w:num>
  <w:num w:numId="13">
    <w:abstractNumId w:val="5"/>
  </w:num>
  <w:num w:numId="14">
    <w:abstractNumId w:val="13"/>
  </w:num>
  <w:num w:numId="15">
    <w:abstractNumId w:val="15"/>
  </w:num>
  <w:num w:numId="16">
    <w:abstractNumId w:val="10"/>
  </w:num>
  <w:num w:numId="17">
    <w:abstractNumId w:val="29"/>
  </w:num>
  <w:num w:numId="18">
    <w:abstractNumId w:val="0"/>
  </w:num>
  <w:num w:numId="19">
    <w:abstractNumId w:val="31"/>
  </w:num>
  <w:num w:numId="20">
    <w:abstractNumId w:val="22"/>
  </w:num>
  <w:num w:numId="21">
    <w:abstractNumId w:val="7"/>
  </w:num>
  <w:num w:numId="22">
    <w:abstractNumId w:val="17"/>
  </w:num>
  <w:num w:numId="23">
    <w:abstractNumId w:val="4"/>
  </w:num>
  <w:num w:numId="24">
    <w:abstractNumId w:val="25"/>
  </w:num>
  <w:num w:numId="25">
    <w:abstractNumId w:val="6"/>
  </w:num>
  <w:num w:numId="26">
    <w:abstractNumId w:val="2"/>
  </w:num>
  <w:num w:numId="27">
    <w:abstractNumId w:val="27"/>
  </w:num>
  <w:num w:numId="28">
    <w:abstractNumId w:val="32"/>
  </w:num>
  <w:num w:numId="29">
    <w:abstractNumId w:val="8"/>
  </w:num>
  <w:num w:numId="30">
    <w:abstractNumId w:val="21"/>
  </w:num>
  <w:num w:numId="31">
    <w:abstractNumId w:val="3"/>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CD"/>
    <w:rsid w:val="000007FE"/>
    <w:rsid w:val="0000237C"/>
    <w:rsid w:val="00022FCC"/>
    <w:rsid w:val="00032367"/>
    <w:rsid w:val="0003517D"/>
    <w:rsid w:val="00035234"/>
    <w:rsid w:val="00036126"/>
    <w:rsid w:val="00040104"/>
    <w:rsid w:val="00040CDA"/>
    <w:rsid w:val="00042E01"/>
    <w:rsid w:val="0004419D"/>
    <w:rsid w:val="0005015A"/>
    <w:rsid w:val="00052778"/>
    <w:rsid w:val="00053EB1"/>
    <w:rsid w:val="000557D9"/>
    <w:rsid w:val="000610B7"/>
    <w:rsid w:val="00062FA3"/>
    <w:rsid w:val="00065B41"/>
    <w:rsid w:val="00066688"/>
    <w:rsid w:val="000773BF"/>
    <w:rsid w:val="0008498C"/>
    <w:rsid w:val="00084EF2"/>
    <w:rsid w:val="00085324"/>
    <w:rsid w:val="000970A2"/>
    <w:rsid w:val="000A1769"/>
    <w:rsid w:val="000A29D9"/>
    <w:rsid w:val="000A320E"/>
    <w:rsid w:val="000A4DA8"/>
    <w:rsid w:val="000A6B1A"/>
    <w:rsid w:val="000A74C9"/>
    <w:rsid w:val="000A7C90"/>
    <w:rsid w:val="000B03FE"/>
    <w:rsid w:val="000C146E"/>
    <w:rsid w:val="000C6BD9"/>
    <w:rsid w:val="000C6E5B"/>
    <w:rsid w:val="000D2612"/>
    <w:rsid w:val="000D2642"/>
    <w:rsid w:val="000D4937"/>
    <w:rsid w:val="000D7D97"/>
    <w:rsid w:val="000E3182"/>
    <w:rsid w:val="000E72E2"/>
    <w:rsid w:val="000E7333"/>
    <w:rsid w:val="000F03E7"/>
    <w:rsid w:val="000F1BCB"/>
    <w:rsid w:val="000F71C1"/>
    <w:rsid w:val="000F7C26"/>
    <w:rsid w:val="001006BE"/>
    <w:rsid w:val="00104911"/>
    <w:rsid w:val="001118CF"/>
    <w:rsid w:val="001136EC"/>
    <w:rsid w:val="00115278"/>
    <w:rsid w:val="00115631"/>
    <w:rsid w:val="00121943"/>
    <w:rsid w:val="001265A0"/>
    <w:rsid w:val="001277DA"/>
    <w:rsid w:val="00132C74"/>
    <w:rsid w:val="0013361E"/>
    <w:rsid w:val="0013418E"/>
    <w:rsid w:val="001372B6"/>
    <w:rsid w:val="0014358C"/>
    <w:rsid w:val="00144274"/>
    <w:rsid w:val="001453A0"/>
    <w:rsid w:val="001539CB"/>
    <w:rsid w:val="00165847"/>
    <w:rsid w:val="001678A9"/>
    <w:rsid w:val="00170458"/>
    <w:rsid w:val="00172824"/>
    <w:rsid w:val="00173A05"/>
    <w:rsid w:val="001845C3"/>
    <w:rsid w:val="00186F50"/>
    <w:rsid w:val="001A4570"/>
    <w:rsid w:val="001A47CC"/>
    <w:rsid w:val="001A764E"/>
    <w:rsid w:val="001B1ECA"/>
    <w:rsid w:val="001B22B0"/>
    <w:rsid w:val="001B7EA7"/>
    <w:rsid w:val="001C3C40"/>
    <w:rsid w:val="001C6D8B"/>
    <w:rsid w:val="001C6F59"/>
    <w:rsid w:val="001D28A0"/>
    <w:rsid w:val="001E7BB2"/>
    <w:rsid w:val="001E7C57"/>
    <w:rsid w:val="001F1D6C"/>
    <w:rsid w:val="001F3A45"/>
    <w:rsid w:val="001F615D"/>
    <w:rsid w:val="002000C0"/>
    <w:rsid w:val="00205162"/>
    <w:rsid w:val="00206BC4"/>
    <w:rsid w:val="0020700D"/>
    <w:rsid w:val="0020713B"/>
    <w:rsid w:val="00214B86"/>
    <w:rsid w:val="00215F6B"/>
    <w:rsid w:val="00221CD6"/>
    <w:rsid w:val="00222018"/>
    <w:rsid w:val="00227FF8"/>
    <w:rsid w:val="00236ECD"/>
    <w:rsid w:val="0024661A"/>
    <w:rsid w:val="0026554C"/>
    <w:rsid w:val="0027410A"/>
    <w:rsid w:val="00274490"/>
    <w:rsid w:val="0027498C"/>
    <w:rsid w:val="00275648"/>
    <w:rsid w:val="00275E75"/>
    <w:rsid w:val="00275EE7"/>
    <w:rsid w:val="00277549"/>
    <w:rsid w:val="00282595"/>
    <w:rsid w:val="0028705B"/>
    <w:rsid w:val="002951C6"/>
    <w:rsid w:val="00297A9F"/>
    <w:rsid w:val="002A377C"/>
    <w:rsid w:val="002A5B75"/>
    <w:rsid w:val="002A7A62"/>
    <w:rsid w:val="002B02C7"/>
    <w:rsid w:val="002B0ABF"/>
    <w:rsid w:val="002B1D06"/>
    <w:rsid w:val="002B2612"/>
    <w:rsid w:val="002B3F3D"/>
    <w:rsid w:val="002D4D3B"/>
    <w:rsid w:val="002D6ED0"/>
    <w:rsid w:val="002F4C7A"/>
    <w:rsid w:val="002F657C"/>
    <w:rsid w:val="00300D94"/>
    <w:rsid w:val="00303A10"/>
    <w:rsid w:val="003059C3"/>
    <w:rsid w:val="00306659"/>
    <w:rsid w:val="003114C2"/>
    <w:rsid w:val="00316862"/>
    <w:rsid w:val="0032422B"/>
    <w:rsid w:val="00326459"/>
    <w:rsid w:val="00332F8E"/>
    <w:rsid w:val="00334DE8"/>
    <w:rsid w:val="0034490E"/>
    <w:rsid w:val="00346877"/>
    <w:rsid w:val="00347D24"/>
    <w:rsid w:val="00351B2F"/>
    <w:rsid w:val="0035565A"/>
    <w:rsid w:val="00363DBF"/>
    <w:rsid w:val="003755B4"/>
    <w:rsid w:val="00380FFF"/>
    <w:rsid w:val="0038426B"/>
    <w:rsid w:val="00386B7F"/>
    <w:rsid w:val="0039197E"/>
    <w:rsid w:val="00392000"/>
    <w:rsid w:val="003971C7"/>
    <w:rsid w:val="003A04F9"/>
    <w:rsid w:val="003A67B6"/>
    <w:rsid w:val="003A712D"/>
    <w:rsid w:val="003B1034"/>
    <w:rsid w:val="003B52ED"/>
    <w:rsid w:val="003B7376"/>
    <w:rsid w:val="003C6253"/>
    <w:rsid w:val="003D5889"/>
    <w:rsid w:val="003D6D67"/>
    <w:rsid w:val="003D7AA5"/>
    <w:rsid w:val="003E05E8"/>
    <w:rsid w:val="003F16FF"/>
    <w:rsid w:val="003F1EAD"/>
    <w:rsid w:val="003F4A02"/>
    <w:rsid w:val="003F7A07"/>
    <w:rsid w:val="0040018E"/>
    <w:rsid w:val="004033CA"/>
    <w:rsid w:val="0040528A"/>
    <w:rsid w:val="0040635F"/>
    <w:rsid w:val="00415FDF"/>
    <w:rsid w:val="00420441"/>
    <w:rsid w:val="00421A72"/>
    <w:rsid w:val="00421C8F"/>
    <w:rsid w:val="00433C4E"/>
    <w:rsid w:val="00434309"/>
    <w:rsid w:val="004404D2"/>
    <w:rsid w:val="00440879"/>
    <w:rsid w:val="00440F0A"/>
    <w:rsid w:val="004411B5"/>
    <w:rsid w:val="00441B6C"/>
    <w:rsid w:val="00444191"/>
    <w:rsid w:val="00450A99"/>
    <w:rsid w:val="00453A43"/>
    <w:rsid w:val="004610E5"/>
    <w:rsid w:val="004706FC"/>
    <w:rsid w:val="00476E83"/>
    <w:rsid w:val="00476FB4"/>
    <w:rsid w:val="00493821"/>
    <w:rsid w:val="004956E5"/>
    <w:rsid w:val="004975FF"/>
    <w:rsid w:val="00497959"/>
    <w:rsid w:val="004A5C83"/>
    <w:rsid w:val="004A7076"/>
    <w:rsid w:val="004A77F6"/>
    <w:rsid w:val="004B0315"/>
    <w:rsid w:val="004B1EB6"/>
    <w:rsid w:val="004B27F7"/>
    <w:rsid w:val="004B3CEA"/>
    <w:rsid w:val="004B3DD9"/>
    <w:rsid w:val="004C08B0"/>
    <w:rsid w:val="004C2D60"/>
    <w:rsid w:val="004C32E6"/>
    <w:rsid w:val="004C3D0A"/>
    <w:rsid w:val="004C449D"/>
    <w:rsid w:val="004D2B4A"/>
    <w:rsid w:val="004E1BE5"/>
    <w:rsid w:val="004E513C"/>
    <w:rsid w:val="004F027E"/>
    <w:rsid w:val="004F6207"/>
    <w:rsid w:val="004F6DEB"/>
    <w:rsid w:val="0050411B"/>
    <w:rsid w:val="00512B90"/>
    <w:rsid w:val="0052233B"/>
    <w:rsid w:val="00525ADC"/>
    <w:rsid w:val="00532703"/>
    <w:rsid w:val="005335FD"/>
    <w:rsid w:val="00535611"/>
    <w:rsid w:val="00535C88"/>
    <w:rsid w:val="00541E82"/>
    <w:rsid w:val="00555568"/>
    <w:rsid w:val="00565606"/>
    <w:rsid w:val="00570B0B"/>
    <w:rsid w:val="0057124A"/>
    <w:rsid w:val="00573AC3"/>
    <w:rsid w:val="0057555C"/>
    <w:rsid w:val="00575D8A"/>
    <w:rsid w:val="00582803"/>
    <w:rsid w:val="00587DE3"/>
    <w:rsid w:val="00593F2D"/>
    <w:rsid w:val="00595716"/>
    <w:rsid w:val="005A059E"/>
    <w:rsid w:val="005A157D"/>
    <w:rsid w:val="005A174B"/>
    <w:rsid w:val="005A1BA4"/>
    <w:rsid w:val="005A341F"/>
    <w:rsid w:val="005A4134"/>
    <w:rsid w:val="005A4A6F"/>
    <w:rsid w:val="005B5F2B"/>
    <w:rsid w:val="005C12C1"/>
    <w:rsid w:val="005E118A"/>
    <w:rsid w:val="005E36F4"/>
    <w:rsid w:val="005E483F"/>
    <w:rsid w:val="005E7EC4"/>
    <w:rsid w:val="005F002B"/>
    <w:rsid w:val="005F198B"/>
    <w:rsid w:val="005F671E"/>
    <w:rsid w:val="00606A18"/>
    <w:rsid w:val="00607D06"/>
    <w:rsid w:val="00613610"/>
    <w:rsid w:val="00614162"/>
    <w:rsid w:val="00616B40"/>
    <w:rsid w:val="00621D47"/>
    <w:rsid w:val="0062347F"/>
    <w:rsid w:val="00624552"/>
    <w:rsid w:val="0062566E"/>
    <w:rsid w:val="00626280"/>
    <w:rsid w:val="00626792"/>
    <w:rsid w:val="006379DB"/>
    <w:rsid w:val="006429FE"/>
    <w:rsid w:val="006510A7"/>
    <w:rsid w:val="00652F65"/>
    <w:rsid w:val="00656DBD"/>
    <w:rsid w:val="00662F8A"/>
    <w:rsid w:val="00663AF8"/>
    <w:rsid w:val="006650F7"/>
    <w:rsid w:val="00671486"/>
    <w:rsid w:val="006735F6"/>
    <w:rsid w:val="006762BC"/>
    <w:rsid w:val="00676586"/>
    <w:rsid w:val="006777D8"/>
    <w:rsid w:val="00681E41"/>
    <w:rsid w:val="0069728E"/>
    <w:rsid w:val="00697376"/>
    <w:rsid w:val="006A52DB"/>
    <w:rsid w:val="006B0681"/>
    <w:rsid w:val="006B3729"/>
    <w:rsid w:val="006B3FCD"/>
    <w:rsid w:val="006B58DC"/>
    <w:rsid w:val="006B63C3"/>
    <w:rsid w:val="006B7DB2"/>
    <w:rsid w:val="006C2BA8"/>
    <w:rsid w:val="006C2E6E"/>
    <w:rsid w:val="006C3084"/>
    <w:rsid w:val="006C4837"/>
    <w:rsid w:val="006C6530"/>
    <w:rsid w:val="006D44B5"/>
    <w:rsid w:val="006E171E"/>
    <w:rsid w:val="006E2BFE"/>
    <w:rsid w:val="006E4DB4"/>
    <w:rsid w:val="006F59BF"/>
    <w:rsid w:val="006F700C"/>
    <w:rsid w:val="006F77CB"/>
    <w:rsid w:val="00704415"/>
    <w:rsid w:val="00704694"/>
    <w:rsid w:val="00712585"/>
    <w:rsid w:val="00716B5C"/>
    <w:rsid w:val="00735FAB"/>
    <w:rsid w:val="007428A2"/>
    <w:rsid w:val="00751C8F"/>
    <w:rsid w:val="00751EE2"/>
    <w:rsid w:val="00767F82"/>
    <w:rsid w:val="00772133"/>
    <w:rsid w:val="00775DC4"/>
    <w:rsid w:val="007768FF"/>
    <w:rsid w:val="00780534"/>
    <w:rsid w:val="007809FC"/>
    <w:rsid w:val="00785C8F"/>
    <w:rsid w:val="00786564"/>
    <w:rsid w:val="00786859"/>
    <w:rsid w:val="007950C3"/>
    <w:rsid w:val="007A1DF9"/>
    <w:rsid w:val="007A7791"/>
    <w:rsid w:val="007B20C2"/>
    <w:rsid w:val="007C1AC0"/>
    <w:rsid w:val="007C1B41"/>
    <w:rsid w:val="007C2617"/>
    <w:rsid w:val="007C5955"/>
    <w:rsid w:val="007F2ADF"/>
    <w:rsid w:val="007F645B"/>
    <w:rsid w:val="0080764F"/>
    <w:rsid w:val="0081368C"/>
    <w:rsid w:val="00822020"/>
    <w:rsid w:val="00825DC9"/>
    <w:rsid w:val="008310FA"/>
    <w:rsid w:val="008315C0"/>
    <w:rsid w:val="0083734A"/>
    <w:rsid w:val="00846553"/>
    <w:rsid w:val="0084758D"/>
    <w:rsid w:val="008500B0"/>
    <w:rsid w:val="008528E6"/>
    <w:rsid w:val="00854248"/>
    <w:rsid w:val="00854947"/>
    <w:rsid w:val="00855C5E"/>
    <w:rsid w:val="008603FE"/>
    <w:rsid w:val="008624CD"/>
    <w:rsid w:val="0086713D"/>
    <w:rsid w:val="0087037D"/>
    <w:rsid w:val="00872ECB"/>
    <w:rsid w:val="00880DB9"/>
    <w:rsid w:val="0088148D"/>
    <w:rsid w:val="008834E7"/>
    <w:rsid w:val="00884FF9"/>
    <w:rsid w:val="008903A0"/>
    <w:rsid w:val="00891901"/>
    <w:rsid w:val="008968A8"/>
    <w:rsid w:val="00897046"/>
    <w:rsid w:val="0089746D"/>
    <w:rsid w:val="008976B7"/>
    <w:rsid w:val="008B01AB"/>
    <w:rsid w:val="008B2A7D"/>
    <w:rsid w:val="008B49EB"/>
    <w:rsid w:val="008B557C"/>
    <w:rsid w:val="008C4DE9"/>
    <w:rsid w:val="008D5CD3"/>
    <w:rsid w:val="008E5A7E"/>
    <w:rsid w:val="008F346C"/>
    <w:rsid w:val="00901BFF"/>
    <w:rsid w:val="009031AF"/>
    <w:rsid w:val="009033EF"/>
    <w:rsid w:val="00905478"/>
    <w:rsid w:val="00914AEC"/>
    <w:rsid w:val="009156D9"/>
    <w:rsid w:val="00915768"/>
    <w:rsid w:val="0092018E"/>
    <w:rsid w:val="00921EC7"/>
    <w:rsid w:val="009229CD"/>
    <w:rsid w:val="0092594D"/>
    <w:rsid w:val="009310DE"/>
    <w:rsid w:val="00935F24"/>
    <w:rsid w:val="00935FAF"/>
    <w:rsid w:val="00941208"/>
    <w:rsid w:val="0095049F"/>
    <w:rsid w:val="009509EA"/>
    <w:rsid w:val="00950E5C"/>
    <w:rsid w:val="00955D6E"/>
    <w:rsid w:val="00957E76"/>
    <w:rsid w:val="00964F45"/>
    <w:rsid w:val="0096536A"/>
    <w:rsid w:val="0096555D"/>
    <w:rsid w:val="00966091"/>
    <w:rsid w:val="00982F75"/>
    <w:rsid w:val="0098633C"/>
    <w:rsid w:val="009A067B"/>
    <w:rsid w:val="009A3C16"/>
    <w:rsid w:val="009A44AE"/>
    <w:rsid w:val="009C13DC"/>
    <w:rsid w:val="009C5237"/>
    <w:rsid w:val="009C6A6C"/>
    <w:rsid w:val="009C6E1A"/>
    <w:rsid w:val="009C7D3E"/>
    <w:rsid w:val="009C7E9B"/>
    <w:rsid w:val="009D6E3B"/>
    <w:rsid w:val="009D6F4D"/>
    <w:rsid w:val="009D7A31"/>
    <w:rsid w:val="009E2DE3"/>
    <w:rsid w:val="009F50D3"/>
    <w:rsid w:val="00A01478"/>
    <w:rsid w:val="00A021A4"/>
    <w:rsid w:val="00A164CC"/>
    <w:rsid w:val="00A21424"/>
    <w:rsid w:val="00A34CF7"/>
    <w:rsid w:val="00A37CF7"/>
    <w:rsid w:val="00A446C5"/>
    <w:rsid w:val="00A45E77"/>
    <w:rsid w:val="00A50D6C"/>
    <w:rsid w:val="00A517FE"/>
    <w:rsid w:val="00A56AEF"/>
    <w:rsid w:val="00A62C18"/>
    <w:rsid w:val="00A663C2"/>
    <w:rsid w:val="00A72766"/>
    <w:rsid w:val="00A76499"/>
    <w:rsid w:val="00A86A1E"/>
    <w:rsid w:val="00A86EDB"/>
    <w:rsid w:val="00A9081B"/>
    <w:rsid w:val="00A946A9"/>
    <w:rsid w:val="00AA0338"/>
    <w:rsid w:val="00AB31E8"/>
    <w:rsid w:val="00AB3C4A"/>
    <w:rsid w:val="00AB44A1"/>
    <w:rsid w:val="00AC08CC"/>
    <w:rsid w:val="00AC0DA5"/>
    <w:rsid w:val="00AC4DC9"/>
    <w:rsid w:val="00AC7D54"/>
    <w:rsid w:val="00AD0C03"/>
    <w:rsid w:val="00AD1637"/>
    <w:rsid w:val="00AD5479"/>
    <w:rsid w:val="00AE0DDF"/>
    <w:rsid w:val="00AE13CE"/>
    <w:rsid w:val="00AE540B"/>
    <w:rsid w:val="00AE54DF"/>
    <w:rsid w:val="00B04362"/>
    <w:rsid w:val="00B05B7C"/>
    <w:rsid w:val="00B13567"/>
    <w:rsid w:val="00B15415"/>
    <w:rsid w:val="00B3143B"/>
    <w:rsid w:val="00B31EC1"/>
    <w:rsid w:val="00B3320B"/>
    <w:rsid w:val="00B369F7"/>
    <w:rsid w:val="00B36D4E"/>
    <w:rsid w:val="00B400C7"/>
    <w:rsid w:val="00B403E6"/>
    <w:rsid w:val="00B40A94"/>
    <w:rsid w:val="00B5129D"/>
    <w:rsid w:val="00B53205"/>
    <w:rsid w:val="00B558D3"/>
    <w:rsid w:val="00B5622D"/>
    <w:rsid w:val="00B571C5"/>
    <w:rsid w:val="00B614C9"/>
    <w:rsid w:val="00B62F20"/>
    <w:rsid w:val="00B81159"/>
    <w:rsid w:val="00B83207"/>
    <w:rsid w:val="00B84930"/>
    <w:rsid w:val="00B9012A"/>
    <w:rsid w:val="00B90A27"/>
    <w:rsid w:val="00B91D0F"/>
    <w:rsid w:val="00B92659"/>
    <w:rsid w:val="00B926C6"/>
    <w:rsid w:val="00B9442C"/>
    <w:rsid w:val="00BA1743"/>
    <w:rsid w:val="00BA3131"/>
    <w:rsid w:val="00BB48F7"/>
    <w:rsid w:val="00BB51B4"/>
    <w:rsid w:val="00BB5A50"/>
    <w:rsid w:val="00BB5EED"/>
    <w:rsid w:val="00BB6E3A"/>
    <w:rsid w:val="00BC575B"/>
    <w:rsid w:val="00BD18B6"/>
    <w:rsid w:val="00BD1A5F"/>
    <w:rsid w:val="00BD3773"/>
    <w:rsid w:val="00BE0821"/>
    <w:rsid w:val="00BE0DE2"/>
    <w:rsid w:val="00BE0ED9"/>
    <w:rsid w:val="00BE2896"/>
    <w:rsid w:val="00BE6014"/>
    <w:rsid w:val="00BF18E0"/>
    <w:rsid w:val="00BF461B"/>
    <w:rsid w:val="00C02BD6"/>
    <w:rsid w:val="00C03095"/>
    <w:rsid w:val="00C051A4"/>
    <w:rsid w:val="00C05773"/>
    <w:rsid w:val="00C13353"/>
    <w:rsid w:val="00C1599E"/>
    <w:rsid w:val="00C16782"/>
    <w:rsid w:val="00C213C9"/>
    <w:rsid w:val="00C21CC6"/>
    <w:rsid w:val="00C26E6D"/>
    <w:rsid w:val="00C32D1E"/>
    <w:rsid w:val="00C37715"/>
    <w:rsid w:val="00C519A2"/>
    <w:rsid w:val="00C525AD"/>
    <w:rsid w:val="00C52BF4"/>
    <w:rsid w:val="00C56276"/>
    <w:rsid w:val="00C565EB"/>
    <w:rsid w:val="00C66243"/>
    <w:rsid w:val="00C77E93"/>
    <w:rsid w:val="00C826AF"/>
    <w:rsid w:val="00C85321"/>
    <w:rsid w:val="00C91EC5"/>
    <w:rsid w:val="00C9418B"/>
    <w:rsid w:val="00CA1D23"/>
    <w:rsid w:val="00CA3582"/>
    <w:rsid w:val="00CB099A"/>
    <w:rsid w:val="00CB6021"/>
    <w:rsid w:val="00CC02D9"/>
    <w:rsid w:val="00CC0FB2"/>
    <w:rsid w:val="00CC6F4F"/>
    <w:rsid w:val="00CE1034"/>
    <w:rsid w:val="00CE68D3"/>
    <w:rsid w:val="00CE7340"/>
    <w:rsid w:val="00CF1F8F"/>
    <w:rsid w:val="00CF430E"/>
    <w:rsid w:val="00CF4A5B"/>
    <w:rsid w:val="00CF66CC"/>
    <w:rsid w:val="00D01139"/>
    <w:rsid w:val="00D01529"/>
    <w:rsid w:val="00D02BA9"/>
    <w:rsid w:val="00D034FD"/>
    <w:rsid w:val="00D040ED"/>
    <w:rsid w:val="00D0465D"/>
    <w:rsid w:val="00D04850"/>
    <w:rsid w:val="00D07FD4"/>
    <w:rsid w:val="00D11707"/>
    <w:rsid w:val="00D135D5"/>
    <w:rsid w:val="00D1738B"/>
    <w:rsid w:val="00D208C4"/>
    <w:rsid w:val="00D228A1"/>
    <w:rsid w:val="00D23A98"/>
    <w:rsid w:val="00D31C8F"/>
    <w:rsid w:val="00D4559B"/>
    <w:rsid w:val="00D563AD"/>
    <w:rsid w:val="00D63A12"/>
    <w:rsid w:val="00D647F9"/>
    <w:rsid w:val="00D64E07"/>
    <w:rsid w:val="00D65114"/>
    <w:rsid w:val="00D70B4D"/>
    <w:rsid w:val="00D7177F"/>
    <w:rsid w:val="00D71BDE"/>
    <w:rsid w:val="00D73941"/>
    <w:rsid w:val="00D869AE"/>
    <w:rsid w:val="00D9083C"/>
    <w:rsid w:val="00D97D33"/>
    <w:rsid w:val="00DB434E"/>
    <w:rsid w:val="00DB7068"/>
    <w:rsid w:val="00DB76FB"/>
    <w:rsid w:val="00DC0696"/>
    <w:rsid w:val="00DC4479"/>
    <w:rsid w:val="00DC5428"/>
    <w:rsid w:val="00DD0C14"/>
    <w:rsid w:val="00DD787C"/>
    <w:rsid w:val="00DE006E"/>
    <w:rsid w:val="00DE143E"/>
    <w:rsid w:val="00DF12CD"/>
    <w:rsid w:val="00E00D0B"/>
    <w:rsid w:val="00E0243F"/>
    <w:rsid w:val="00E07ACA"/>
    <w:rsid w:val="00E135E0"/>
    <w:rsid w:val="00E14F27"/>
    <w:rsid w:val="00E15A13"/>
    <w:rsid w:val="00E17DC9"/>
    <w:rsid w:val="00E219B8"/>
    <w:rsid w:val="00E22F00"/>
    <w:rsid w:val="00E23F23"/>
    <w:rsid w:val="00E35965"/>
    <w:rsid w:val="00E50E8B"/>
    <w:rsid w:val="00E528C1"/>
    <w:rsid w:val="00E5554F"/>
    <w:rsid w:val="00E55764"/>
    <w:rsid w:val="00E559B7"/>
    <w:rsid w:val="00E63C48"/>
    <w:rsid w:val="00E70E63"/>
    <w:rsid w:val="00E70F3B"/>
    <w:rsid w:val="00E71490"/>
    <w:rsid w:val="00E75356"/>
    <w:rsid w:val="00E75BB5"/>
    <w:rsid w:val="00E83309"/>
    <w:rsid w:val="00E85574"/>
    <w:rsid w:val="00E85E04"/>
    <w:rsid w:val="00E90363"/>
    <w:rsid w:val="00E918EB"/>
    <w:rsid w:val="00E927CF"/>
    <w:rsid w:val="00E937CA"/>
    <w:rsid w:val="00E96EA2"/>
    <w:rsid w:val="00E97E00"/>
    <w:rsid w:val="00EA2F0B"/>
    <w:rsid w:val="00EB081B"/>
    <w:rsid w:val="00EB573B"/>
    <w:rsid w:val="00EC4216"/>
    <w:rsid w:val="00EC5DCE"/>
    <w:rsid w:val="00EC66A3"/>
    <w:rsid w:val="00ED10F8"/>
    <w:rsid w:val="00ED4308"/>
    <w:rsid w:val="00EE3DD3"/>
    <w:rsid w:val="00EE4E98"/>
    <w:rsid w:val="00EF4454"/>
    <w:rsid w:val="00EF7822"/>
    <w:rsid w:val="00EF7EE3"/>
    <w:rsid w:val="00F02A7A"/>
    <w:rsid w:val="00F10E62"/>
    <w:rsid w:val="00F13BD2"/>
    <w:rsid w:val="00F20998"/>
    <w:rsid w:val="00F2215C"/>
    <w:rsid w:val="00F27F40"/>
    <w:rsid w:val="00F302BD"/>
    <w:rsid w:val="00F32583"/>
    <w:rsid w:val="00F35B3D"/>
    <w:rsid w:val="00F43F9A"/>
    <w:rsid w:val="00F513FA"/>
    <w:rsid w:val="00F53915"/>
    <w:rsid w:val="00F600A6"/>
    <w:rsid w:val="00F62069"/>
    <w:rsid w:val="00F62A89"/>
    <w:rsid w:val="00F64EA4"/>
    <w:rsid w:val="00F66E40"/>
    <w:rsid w:val="00F6722E"/>
    <w:rsid w:val="00F719B9"/>
    <w:rsid w:val="00F7265D"/>
    <w:rsid w:val="00F824C6"/>
    <w:rsid w:val="00F948EE"/>
    <w:rsid w:val="00F95400"/>
    <w:rsid w:val="00FA41F6"/>
    <w:rsid w:val="00FA421A"/>
    <w:rsid w:val="00FB2927"/>
    <w:rsid w:val="00FB7565"/>
    <w:rsid w:val="00FC4398"/>
    <w:rsid w:val="00FC662E"/>
    <w:rsid w:val="00FC6F61"/>
    <w:rsid w:val="00FD6233"/>
    <w:rsid w:val="00FE04EA"/>
    <w:rsid w:val="00FE7E05"/>
    <w:rsid w:val="00FF5ED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9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semiHidden/>
    <w:unhideWhenUsed/>
    <w:rsid w:val="00A663C2"/>
    <w:rPr>
      <w:sz w:val="20"/>
      <w:szCs w:val="20"/>
    </w:rPr>
  </w:style>
  <w:style w:type="character" w:customStyle="1" w:styleId="CommentTextChar">
    <w:name w:val="Comment Text Char"/>
    <w:basedOn w:val="DefaultParagraphFont"/>
    <w:link w:val="CommentText"/>
    <w:uiPriority w:val="99"/>
    <w:semiHidden/>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403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9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semiHidden/>
    <w:unhideWhenUsed/>
    <w:rsid w:val="00A663C2"/>
    <w:rPr>
      <w:sz w:val="20"/>
      <w:szCs w:val="20"/>
    </w:rPr>
  </w:style>
  <w:style w:type="character" w:customStyle="1" w:styleId="CommentTextChar">
    <w:name w:val="Comment Text Char"/>
    <w:basedOn w:val="DefaultParagraphFont"/>
    <w:link w:val="CommentText"/>
    <w:uiPriority w:val="99"/>
    <w:semiHidden/>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40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4F19-F117-4F56-A8C9-BBAD2856E89B}">
  <ds:schemaRefs>
    <ds:schemaRef ds:uri="http://schemas.microsoft.com/sharepoint/v3/contenttype/forms"/>
  </ds:schemaRefs>
</ds:datastoreItem>
</file>

<file path=customXml/itemProps2.xml><?xml version="1.0" encoding="utf-8"?>
<ds:datastoreItem xmlns:ds="http://schemas.openxmlformats.org/officeDocument/2006/customXml" ds:itemID="{C5A7AC2B-0A16-4BB2-AED8-F095D8983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650F0-B491-456E-840F-6D7CEDD9FAB1}">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40753B41-F69C-4F0E-9046-394C0A16F4EE"/>
  </ds:schemaRefs>
</ds:datastoreItem>
</file>

<file path=customXml/itemProps4.xml><?xml version="1.0" encoding="utf-8"?>
<ds:datastoreItem xmlns:ds="http://schemas.openxmlformats.org/officeDocument/2006/customXml" ds:itemID="{57319159-0233-4541-8691-02E44712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42A87A17.dotm</Template>
  <TotalTime>1</TotalTime>
  <Pages>5</Pages>
  <Words>1422</Words>
  <Characters>8112</Characters>
  <Application>Microsoft Office Word</Application>
  <DocSecurity>6</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Rhoden, Amanda</dc:creator>
  <cp:lastModifiedBy>Rob Mason</cp:lastModifiedBy>
  <cp:revision>2</cp:revision>
  <cp:lastPrinted>2017-05-22T02:25:00Z</cp:lastPrinted>
  <dcterms:created xsi:type="dcterms:W3CDTF">2017-09-27T01:33:00Z</dcterms:created>
  <dcterms:modified xsi:type="dcterms:W3CDTF">2017-09-27T01:33:00Z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