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246" w:rsidRDefault="00254246" w:rsidP="0025424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44443744" r:id="rId9"/>
        </w:object>
      </w:r>
    </w:p>
    <w:p w:rsidR="002838F8" w:rsidRDefault="002838F8" w:rsidP="00254246">
      <w:pPr>
        <w:pStyle w:val="ShortT"/>
        <w:spacing w:before="240"/>
      </w:pPr>
      <w:r>
        <w:t>Health Insurance (Accredited Pathology Laboratories—Approval) Principles 2017</w:t>
      </w:r>
    </w:p>
    <w:p w:rsidR="002838F8" w:rsidRDefault="002838F8" w:rsidP="002838F8">
      <w:pPr>
        <w:pStyle w:val="MadeunderText"/>
      </w:pPr>
      <w:r w:rsidRPr="00BC3AE3">
        <w:t>made under</w:t>
      </w:r>
      <w:r>
        <w:t xml:space="preserve"> subsection 23DNA(1) of the</w:t>
      </w:r>
    </w:p>
    <w:p w:rsidR="002838F8" w:rsidRPr="00BC3AE3" w:rsidRDefault="00E86A5C" w:rsidP="002838F8">
      <w:pPr>
        <w:pStyle w:val="MadeunderText"/>
      </w:pPr>
      <w:r>
        <w:rPr>
          <w:i/>
        </w:rPr>
        <w:t>Health Insurance Act 1973</w:t>
      </w:r>
    </w:p>
    <w:p w:rsidR="003419BA" w:rsidRPr="00376CEF" w:rsidRDefault="003419BA" w:rsidP="00827B65">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4322E2">
        <w:rPr>
          <w:rFonts w:cs="Arial"/>
          <w:b/>
          <w:sz w:val="32"/>
          <w:szCs w:val="32"/>
        </w:rPr>
        <w:t>6</w:t>
      </w:r>
      <w:r>
        <w:rPr>
          <w:rFonts w:cs="Arial"/>
          <w:b/>
          <w:sz w:val="32"/>
          <w:szCs w:val="32"/>
        </w:rPr>
        <w:fldChar w:fldCharType="end"/>
      </w:r>
    </w:p>
    <w:p w:rsidR="003419BA" w:rsidRDefault="00E86A5C" w:rsidP="00321A30">
      <w:pPr>
        <w:tabs>
          <w:tab w:val="left" w:pos="3600"/>
        </w:tabs>
        <w:spacing w:before="480"/>
        <w:rPr>
          <w:rFonts w:cs="Arial"/>
          <w:sz w:val="24"/>
        </w:rPr>
      </w:pPr>
      <w:r>
        <w:rPr>
          <w:rFonts w:cs="Arial"/>
          <w:b/>
          <w:sz w:val="24"/>
        </w:rPr>
        <w:t>Compilation date:</w:t>
      </w:r>
      <w:r w:rsidR="00321A30">
        <w:rPr>
          <w:rFonts w:cs="Arial"/>
          <w:b/>
          <w:sz w:val="24"/>
        </w:rPr>
        <w:tab/>
      </w:r>
      <w:r w:rsidR="003419BA" w:rsidRPr="004322E2">
        <w:rPr>
          <w:rFonts w:cs="Arial"/>
          <w:sz w:val="24"/>
        </w:rPr>
        <w:fldChar w:fldCharType="begin"/>
      </w:r>
      <w:r w:rsidR="009C01CE" w:rsidRPr="004322E2">
        <w:rPr>
          <w:rFonts w:cs="Arial"/>
          <w:sz w:val="24"/>
        </w:rPr>
        <w:instrText>DOCPROPERTY StartDate \@ "d MMMM yyyy" \* MERGEFORMAT</w:instrText>
      </w:r>
      <w:r w:rsidR="003419BA" w:rsidRPr="004322E2">
        <w:rPr>
          <w:rFonts w:cs="Arial"/>
          <w:sz w:val="24"/>
        </w:rPr>
        <w:fldChar w:fldCharType="separate"/>
      </w:r>
      <w:r w:rsidR="004322E2" w:rsidRPr="004322E2">
        <w:rPr>
          <w:rFonts w:cs="Arial"/>
          <w:bCs/>
          <w:sz w:val="24"/>
          <w:lang w:val="en-US"/>
        </w:rPr>
        <w:t>1 August 2021</w:t>
      </w:r>
      <w:r w:rsidR="003419BA" w:rsidRPr="004322E2">
        <w:rPr>
          <w:rFonts w:cs="Arial"/>
          <w:sz w:val="24"/>
        </w:rPr>
        <w:fldChar w:fldCharType="end"/>
      </w:r>
    </w:p>
    <w:p w:rsidR="003419BA" w:rsidRDefault="003419BA" w:rsidP="00827B65">
      <w:pPr>
        <w:spacing w:before="240"/>
        <w:rPr>
          <w:rFonts w:cs="Arial"/>
          <w:sz w:val="24"/>
        </w:rPr>
      </w:pPr>
      <w:r w:rsidRPr="00FD265D">
        <w:rPr>
          <w:rFonts w:cs="Arial"/>
          <w:b/>
          <w:sz w:val="24"/>
        </w:rPr>
        <w:t>Includes amendments up to:</w:t>
      </w:r>
      <w:r w:rsidRPr="00FD265D">
        <w:rPr>
          <w:rFonts w:cs="Arial"/>
          <w:b/>
          <w:sz w:val="24"/>
        </w:rPr>
        <w:tab/>
      </w:r>
      <w:r w:rsidRPr="004322E2">
        <w:rPr>
          <w:rFonts w:cs="Arial"/>
          <w:sz w:val="24"/>
        </w:rPr>
        <w:fldChar w:fldCharType="begin"/>
      </w:r>
      <w:r w:rsidRPr="004322E2">
        <w:rPr>
          <w:rFonts w:cs="Arial"/>
          <w:sz w:val="24"/>
        </w:rPr>
        <w:instrText xml:space="preserve"> DOCPROPERTY IncludesUpTo </w:instrText>
      </w:r>
      <w:r w:rsidRPr="004322E2">
        <w:rPr>
          <w:rFonts w:cs="Arial"/>
          <w:sz w:val="24"/>
        </w:rPr>
        <w:fldChar w:fldCharType="separate"/>
      </w:r>
      <w:r w:rsidR="004322E2" w:rsidRPr="004322E2">
        <w:rPr>
          <w:rFonts w:cs="Arial"/>
          <w:sz w:val="24"/>
        </w:rPr>
        <w:t>F2021L01053</w:t>
      </w:r>
      <w:r w:rsidRPr="004322E2">
        <w:rPr>
          <w:rFonts w:cs="Arial"/>
          <w:sz w:val="24"/>
        </w:rPr>
        <w:fldChar w:fldCharType="end"/>
      </w:r>
    </w:p>
    <w:p w:rsidR="003419BA" w:rsidRPr="008D251B" w:rsidRDefault="003419BA" w:rsidP="00321A30">
      <w:pPr>
        <w:tabs>
          <w:tab w:val="left" w:pos="3600"/>
        </w:tabs>
        <w:spacing w:before="240" w:after="240"/>
        <w:rPr>
          <w:rFonts w:cs="Arial"/>
          <w:sz w:val="28"/>
          <w:szCs w:val="28"/>
        </w:rPr>
      </w:pPr>
      <w:r w:rsidRPr="00376CEF">
        <w:rPr>
          <w:rFonts w:cs="Arial"/>
          <w:b/>
          <w:sz w:val="24"/>
        </w:rPr>
        <w:t>Registered:</w:t>
      </w:r>
      <w:r w:rsidR="00321A30">
        <w:rPr>
          <w:rFonts w:cs="Arial"/>
          <w:b/>
          <w:sz w:val="24"/>
        </w:rPr>
        <w:tab/>
      </w:r>
      <w:r w:rsidRPr="004322E2">
        <w:rPr>
          <w:rFonts w:cs="Arial"/>
          <w:sz w:val="24"/>
        </w:rPr>
        <w:fldChar w:fldCharType="begin"/>
      </w:r>
      <w:r w:rsidRPr="004322E2">
        <w:rPr>
          <w:rFonts w:cs="Arial"/>
          <w:sz w:val="24"/>
        </w:rPr>
        <w:instrText xml:space="preserve"> IF </w:instrText>
      </w:r>
      <w:r w:rsidRPr="004322E2">
        <w:rPr>
          <w:rFonts w:cs="Arial"/>
          <w:sz w:val="24"/>
        </w:rPr>
        <w:fldChar w:fldCharType="begin"/>
      </w:r>
      <w:r w:rsidRPr="004322E2">
        <w:rPr>
          <w:rFonts w:cs="Arial"/>
          <w:sz w:val="24"/>
        </w:rPr>
        <w:instrText xml:space="preserve"> DOCPROPERTY RegisteredDate </w:instrText>
      </w:r>
      <w:r w:rsidRPr="004322E2">
        <w:rPr>
          <w:rFonts w:cs="Arial"/>
          <w:sz w:val="24"/>
        </w:rPr>
        <w:fldChar w:fldCharType="separate"/>
      </w:r>
      <w:r w:rsidR="004322E2" w:rsidRPr="004322E2">
        <w:rPr>
          <w:rFonts w:cs="Arial"/>
          <w:sz w:val="24"/>
        </w:rPr>
        <w:instrText>24 August 2021</w:instrText>
      </w:r>
      <w:r w:rsidRPr="004322E2">
        <w:rPr>
          <w:rFonts w:cs="Arial"/>
          <w:sz w:val="24"/>
        </w:rPr>
        <w:fldChar w:fldCharType="end"/>
      </w:r>
      <w:r w:rsidRPr="004322E2">
        <w:rPr>
          <w:rFonts w:cs="Arial"/>
          <w:sz w:val="24"/>
        </w:rPr>
        <w:instrText xml:space="preserve"> = #1/1/1901# "Unknown" </w:instrText>
      </w:r>
      <w:r w:rsidRPr="004322E2">
        <w:rPr>
          <w:rFonts w:cs="Arial"/>
          <w:sz w:val="24"/>
        </w:rPr>
        <w:fldChar w:fldCharType="begin"/>
      </w:r>
      <w:r w:rsidRPr="004322E2">
        <w:rPr>
          <w:rFonts w:cs="Arial"/>
          <w:sz w:val="24"/>
        </w:rPr>
        <w:instrText xml:space="preserve"> DOCPROPERTY RegisteredDate \@ "d MMMM yyyy" </w:instrText>
      </w:r>
      <w:r w:rsidRPr="004322E2">
        <w:rPr>
          <w:rFonts w:cs="Arial"/>
          <w:sz w:val="24"/>
        </w:rPr>
        <w:fldChar w:fldCharType="separate"/>
      </w:r>
      <w:r w:rsidR="004322E2" w:rsidRPr="004322E2">
        <w:rPr>
          <w:rFonts w:cs="Arial"/>
          <w:sz w:val="24"/>
        </w:rPr>
        <w:instrText>24 August 2021</w:instrText>
      </w:r>
      <w:r w:rsidRPr="004322E2">
        <w:rPr>
          <w:rFonts w:cs="Arial"/>
          <w:sz w:val="24"/>
        </w:rPr>
        <w:fldChar w:fldCharType="end"/>
      </w:r>
      <w:r w:rsidRPr="004322E2">
        <w:rPr>
          <w:rFonts w:cs="Arial"/>
          <w:sz w:val="24"/>
        </w:rPr>
        <w:instrText xml:space="preserve"> \*MERGEFORMAT </w:instrText>
      </w:r>
      <w:r w:rsidRPr="004322E2">
        <w:rPr>
          <w:rFonts w:cs="Arial"/>
          <w:sz w:val="24"/>
        </w:rPr>
        <w:fldChar w:fldCharType="separate"/>
      </w:r>
      <w:r w:rsidR="004322E2" w:rsidRPr="004322E2">
        <w:rPr>
          <w:rFonts w:cs="Arial"/>
          <w:bCs/>
          <w:noProof/>
          <w:sz w:val="24"/>
          <w:lang w:val="en-US"/>
        </w:rPr>
        <w:t>24 August 2021</w:t>
      </w:r>
      <w:r w:rsidRPr="004322E2">
        <w:rPr>
          <w:rFonts w:cs="Arial"/>
          <w:sz w:val="24"/>
        </w:rPr>
        <w:fldChar w:fldCharType="end"/>
      </w:r>
    </w:p>
    <w:p w:rsidR="003419BA" w:rsidRPr="00DA25EC" w:rsidRDefault="003419BA" w:rsidP="00827B65">
      <w:pPr>
        <w:pageBreakBefore/>
        <w:rPr>
          <w:rFonts w:cs="Arial"/>
          <w:b/>
          <w:sz w:val="32"/>
          <w:szCs w:val="32"/>
        </w:rPr>
      </w:pPr>
      <w:r w:rsidRPr="00DA25EC">
        <w:rPr>
          <w:rFonts w:cs="Arial"/>
          <w:b/>
          <w:sz w:val="32"/>
          <w:szCs w:val="32"/>
        </w:rPr>
        <w:lastRenderedPageBreak/>
        <w:t>About this compilation</w:t>
      </w:r>
    </w:p>
    <w:p w:rsidR="003419BA" w:rsidRPr="00DA25EC" w:rsidRDefault="003419BA" w:rsidP="00827B65">
      <w:pPr>
        <w:spacing w:before="240"/>
        <w:rPr>
          <w:rFonts w:cs="Arial"/>
        </w:rPr>
      </w:pPr>
      <w:r w:rsidRPr="00DA25EC">
        <w:rPr>
          <w:rFonts w:cs="Arial"/>
          <w:b/>
          <w:szCs w:val="22"/>
        </w:rPr>
        <w:t>This compilation</w:t>
      </w:r>
    </w:p>
    <w:p w:rsidR="003419BA" w:rsidRPr="00DA25EC" w:rsidRDefault="003419BA" w:rsidP="00827B65">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4322E2">
        <w:rPr>
          <w:rFonts w:cs="Arial"/>
          <w:i/>
          <w:noProof/>
          <w:szCs w:val="22"/>
        </w:rPr>
        <w:t>Health Insurance (Accredited Pathology Laboratories—Approval) Principles 2017</w:t>
      </w:r>
      <w:r w:rsidRPr="00DA25EC">
        <w:rPr>
          <w:rFonts w:cs="Arial"/>
          <w:i/>
          <w:szCs w:val="22"/>
        </w:rPr>
        <w:fldChar w:fldCharType="end"/>
      </w:r>
      <w:r w:rsidRPr="00DA25EC">
        <w:rPr>
          <w:rFonts w:cs="Arial"/>
          <w:szCs w:val="22"/>
        </w:rPr>
        <w:t xml:space="preserve"> that shows the text of the law as amended and in force on </w:t>
      </w:r>
      <w:r w:rsidRPr="004322E2">
        <w:rPr>
          <w:rFonts w:cs="Arial"/>
          <w:szCs w:val="22"/>
        </w:rPr>
        <w:fldChar w:fldCharType="begin"/>
      </w:r>
      <w:r w:rsidR="009C01CE" w:rsidRPr="004322E2">
        <w:rPr>
          <w:rFonts w:cs="Arial"/>
          <w:szCs w:val="22"/>
        </w:rPr>
        <w:instrText>DOCPROPERTY StartDate \@ "d MMMM yyyy" \* MERGEFORMAT</w:instrText>
      </w:r>
      <w:r w:rsidRPr="004322E2">
        <w:rPr>
          <w:rFonts w:cs="Arial"/>
          <w:szCs w:val="22"/>
        </w:rPr>
        <w:fldChar w:fldCharType="separate"/>
      </w:r>
      <w:r w:rsidR="004322E2" w:rsidRPr="004322E2">
        <w:rPr>
          <w:rFonts w:cs="Arial"/>
          <w:szCs w:val="22"/>
        </w:rPr>
        <w:t>1 August 2021</w:t>
      </w:r>
      <w:r w:rsidRPr="004322E2">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3419BA" w:rsidRPr="00DA25EC" w:rsidRDefault="003419BA" w:rsidP="00827B65">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3419BA" w:rsidRPr="00DA25EC" w:rsidRDefault="003419BA" w:rsidP="00827B65">
      <w:pPr>
        <w:tabs>
          <w:tab w:val="left" w:pos="5640"/>
        </w:tabs>
        <w:spacing w:before="120" w:after="120"/>
        <w:rPr>
          <w:rFonts w:cs="Arial"/>
          <w:b/>
          <w:szCs w:val="22"/>
        </w:rPr>
      </w:pPr>
      <w:r w:rsidRPr="00DA25EC">
        <w:rPr>
          <w:rFonts w:cs="Arial"/>
          <w:b/>
          <w:szCs w:val="22"/>
        </w:rPr>
        <w:t>Uncommenced amendments</w:t>
      </w:r>
    </w:p>
    <w:p w:rsidR="003419BA" w:rsidRPr="00DA25EC" w:rsidRDefault="003419BA" w:rsidP="00827B65">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3419BA" w:rsidRPr="00DA25EC" w:rsidRDefault="003419BA" w:rsidP="00827B65">
      <w:pPr>
        <w:spacing w:before="120" w:after="120"/>
        <w:rPr>
          <w:rFonts w:cs="Arial"/>
          <w:b/>
          <w:szCs w:val="22"/>
        </w:rPr>
      </w:pPr>
      <w:r w:rsidRPr="00DA25EC">
        <w:rPr>
          <w:rFonts w:cs="Arial"/>
          <w:b/>
          <w:szCs w:val="22"/>
        </w:rPr>
        <w:t>Application, saving and transitional provisions for provisions and amendments</w:t>
      </w:r>
    </w:p>
    <w:p w:rsidR="003419BA" w:rsidRDefault="003419BA" w:rsidP="00827B65">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3419BA" w:rsidRDefault="003419BA" w:rsidP="00827B65">
      <w:pPr>
        <w:spacing w:after="120"/>
        <w:rPr>
          <w:rFonts w:cs="Arial"/>
          <w:b/>
          <w:szCs w:val="22"/>
        </w:rPr>
      </w:pPr>
      <w:r w:rsidRPr="003F3B80">
        <w:rPr>
          <w:rFonts w:cs="Arial"/>
          <w:b/>
          <w:szCs w:val="22"/>
        </w:rPr>
        <w:t>Editorial changes</w:t>
      </w:r>
    </w:p>
    <w:p w:rsidR="003419BA" w:rsidRPr="003F3B80" w:rsidRDefault="003419BA" w:rsidP="00827B65">
      <w:pPr>
        <w:spacing w:after="120"/>
        <w:rPr>
          <w:rFonts w:cs="Arial"/>
          <w:szCs w:val="22"/>
        </w:rPr>
      </w:pPr>
      <w:r>
        <w:rPr>
          <w:rFonts w:cs="Arial"/>
          <w:szCs w:val="22"/>
        </w:rPr>
        <w:t>For more information about any editorial changes made in this compilation, see the endnotes.</w:t>
      </w:r>
    </w:p>
    <w:p w:rsidR="003419BA" w:rsidRPr="00DA25EC" w:rsidRDefault="003419BA" w:rsidP="00827B65">
      <w:pPr>
        <w:spacing w:before="120" w:after="120"/>
        <w:rPr>
          <w:rFonts w:cs="Arial"/>
          <w:b/>
          <w:szCs w:val="22"/>
        </w:rPr>
      </w:pPr>
      <w:r w:rsidRPr="00DA25EC">
        <w:rPr>
          <w:rFonts w:cs="Arial"/>
          <w:b/>
          <w:szCs w:val="22"/>
        </w:rPr>
        <w:t>Modifications</w:t>
      </w:r>
    </w:p>
    <w:p w:rsidR="003419BA" w:rsidRPr="00DA25EC" w:rsidRDefault="003419BA" w:rsidP="00827B65">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3419BA" w:rsidRPr="00DA25EC" w:rsidRDefault="003419BA" w:rsidP="00827B65">
      <w:pPr>
        <w:spacing w:before="80" w:after="120"/>
        <w:rPr>
          <w:rFonts w:cs="Arial"/>
          <w:b/>
          <w:szCs w:val="22"/>
        </w:rPr>
      </w:pPr>
      <w:r w:rsidRPr="00DA25EC">
        <w:rPr>
          <w:rFonts w:cs="Arial"/>
          <w:b/>
          <w:szCs w:val="22"/>
        </w:rPr>
        <w:t>Self</w:t>
      </w:r>
      <w:r w:rsidR="00312190">
        <w:rPr>
          <w:rFonts w:cs="Arial"/>
          <w:b/>
          <w:szCs w:val="22"/>
        </w:rPr>
        <w:noBreakHyphen/>
      </w:r>
      <w:r w:rsidRPr="00DA25EC">
        <w:rPr>
          <w:rFonts w:cs="Arial"/>
          <w:b/>
          <w:szCs w:val="22"/>
        </w:rPr>
        <w:t>repealing provisions</w:t>
      </w:r>
    </w:p>
    <w:p w:rsidR="003419BA" w:rsidRPr="00B75B4D" w:rsidRDefault="003419BA" w:rsidP="00827B65">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3419BA" w:rsidRPr="00ED79B6" w:rsidRDefault="003419BA" w:rsidP="00827B65">
      <w:pPr>
        <w:pStyle w:val="Header"/>
        <w:tabs>
          <w:tab w:val="clear" w:pos="4150"/>
          <w:tab w:val="clear" w:pos="8307"/>
        </w:tabs>
      </w:pPr>
      <w:r w:rsidRPr="00ED79B6">
        <w:rPr>
          <w:rStyle w:val="CharChapNo"/>
        </w:rPr>
        <w:t xml:space="preserve"> </w:t>
      </w:r>
      <w:r w:rsidRPr="00ED79B6">
        <w:rPr>
          <w:rStyle w:val="CharChapText"/>
        </w:rPr>
        <w:t xml:space="preserve"> </w:t>
      </w:r>
    </w:p>
    <w:p w:rsidR="003419BA" w:rsidRPr="00ED79B6" w:rsidRDefault="003419BA" w:rsidP="00827B65">
      <w:pPr>
        <w:pStyle w:val="Header"/>
        <w:tabs>
          <w:tab w:val="clear" w:pos="4150"/>
          <w:tab w:val="clear" w:pos="8307"/>
        </w:tabs>
      </w:pPr>
      <w:r w:rsidRPr="00ED79B6">
        <w:rPr>
          <w:rStyle w:val="CharPartNo"/>
        </w:rPr>
        <w:t xml:space="preserve"> </w:t>
      </w:r>
      <w:r w:rsidRPr="00ED79B6">
        <w:rPr>
          <w:rStyle w:val="CharPartText"/>
        </w:rPr>
        <w:t xml:space="preserve"> </w:t>
      </w:r>
    </w:p>
    <w:p w:rsidR="003419BA" w:rsidRPr="00ED79B6" w:rsidRDefault="003419BA" w:rsidP="00827B65">
      <w:pPr>
        <w:pStyle w:val="Header"/>
        <w:tabs>
          <w:tab w:val="clear" w:pos="4150"/>
          <w:tab w:val="clear" w:pos="8307"/>
        </w:tabs>
      </w:pPr>
      <w:r w:rsidRPr="00ED79B6">
        <w:rPr>
          <w:rStyle w:val="CharDivNo"/>
        </w:rPr>
        <w:t xml:space="preserve"> </w:t>
      </w:r>
      <w:r w:rsidRPr="00ED79B6">
        <w:rPr>
          <w:rStyle w:val="CharDivText"/>
        </w:rPr>
        <w:t xml:space="preserve"> </w:t>
      </w:r>
    </w:p>
    <w:p w:rsidR="003419BA" w:rsidRDefault="003419BA" w:rsidP="00827B65">
      <w:pPr>
        <w:sectPr w:rsidR="003419BA" w:rsidSect="000E0B4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500C8" w:rsidRDefault="00715914" w:rsidP="00715914">
      <w:pPr>
        <w:outlineLvl w:val="0"/>
        <w:rPr>
          <w:sz w:val="36"/>
        </w:rPr>
      </w:pPr>
      <w:r w:rsidRPr="007A1328">
        <w:rPr>
          <w:sz w:val="36"/>
        </w:rPr>
        <w:lastRenderedPageBreak/>
        <w:t>Contents</w:t>
      </w:r>
    </w:p>
    <w:bookmarkStart w:id="0" w:name="_GoBack"/>
    <w:p w:rsidR="006F4E4E" w:rsidRDefault="00CD356E">
      <w:pPr>
        <w:pStyle w:val="TOC2"/>
        <w:rPr>
          <w:rFonts w:asciiTheme="minorHAnsi" w:eastAsiaTheme="minorEastAsia" w:hAnsiTheme="minorHAnsi" w:cstheme="minorBidi"/>
          <w:b w:val="0"/>
          <w:noProof/>
          <w:kern w:val="0"/>
          <w:sz w:val="22"/>
          <w:szCs w:val="22"/>
        </w:rPr>
      </w:pPr>
      <w:r w:rsidRPr="00100DC5">
        <w:fldChar w:fldCharType="begin"/>
      </w:r>
      <w:r w:rsidRPr="00DE67D1">
        <w:instrText xml:space="preserve"> TOC \o "1-9" \t "HC,1, HP,2, HD,3, HS,4, HR,5, RGHead,7, Schedule title,6, Schedule part,8,Schedule Division,8, Dictionary Heading,9" </w:instrText>
      </w:r>
      <w:r w:rsidRPr="00100DC5">
        <w:fldChar w:fldCharType="separate"/>
      </w:r>
      <w:r w:rsidR="006F4E4E">
        <w:rPr>
          <w:noProof/>
        </w:rPr>
        <w:t>Part 1—Introductory</w:t>
      </w:r>
      <w:r w:rsidR="006F4E4E" w:rsidRPr="006F4E4E">
        <w:rPr>
          <w:b w:val="0"/>
          <w:noProof/>
          <w:sz w:val="18"/>
        </w:rPr>
        <w:tab/>
      </w:r>
      <w:r w:rsidR="006F4E4E" w:rsidRPr="006F4E4E">
        <w:rPr>
          <w:b w:val="0"/>
          <w:noProof/>
          <w:sz w:val="18"/>
        </w:rPr>
        <w:fldChar w:fldCharType="begin"/>
      </w:r>
      <w:r w:rsidR="006F4E4E" w:rsidRPr="006F4E4E">
        <w:rPr>
          <w:b w:val="0"/>
          <w:noProof/>
          <w:sz w:val="18"/>
        </w:rPr>
        <w:instrText xml:space="preserve"> PAGEREF _Toc133830879 \h </w:instrText>
      </w:r>
      <w:r w:rsidR="006F4E4E" w:rsidRPr="006F4E4E">
        <w:rPr>
          <w:b w:val="0"/>
          <w:noProof/>
          <w:sz w:val="18"/>
        </w:rPr>
      </w:r>
      <w:r w:rsidR="006F4E4E" w:rsidRPr="006F4E4E">
        <w:rPr>
          <w:b w:val="0"/>
          <w:noProof/>
          <w:sz w:val="18"/>
        </w:rPr>
        <w:fldChar w:fldCharType="separate"/>
      </w:r>
      <w:r w:rsidR="006F4E4E" w:rsidRPr="006F4E4E">
        <w:rPr>
          <w:b w:val="0"/>
          <w:noProof/>
          <w:sz w:val="18"/>
        </w:rPr>
        <w:t>2</w:t>
      </w:r>
      <w:r w:rsidR="006F4E4E" w:rsidRPr="006F4E4E">
        <w:rPr>
          <w:b w:val="0"/>
          <w:noProof/>
          <w:sz w:val="18"/>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1</w:t>
      </w:r>
      <w:r>
        <w:rPr>
          <w:noProof/>
        </w:rPr>
        <w:tab/>
        <w:t>Name</w:t>
      </w:r>
      <w:r w:rsidRPr="006F4E4E">
        <w:rPr>
          <w:noProof/>
        </w:rPr>
        <w:tab/>
      </w:r>
      <w:r w:rsidRPr="006F4E4E">
        <w:rPr>
          <w:noProof/>
        </w:rPr>
        <w:fldChar w:fldCharType="begin"/>
      </w:r>
      <w:r w:rsidRPr="006F4E4E">
        <w:rPr>
          <w:noProof/>
        </w:rPr>
        <w:instrText xml:space="preserve"> PAGEREF _Toc133830880 \h </w:instrText>
      </w:r>
      <w:r w:rsidRPr="006F4E4E">
        <w:rPr>
          <w:noProof/>
        </w:rPr>
      </w:r>
      <w:r w:rsidRPr="006F4E4E">
        <w:rPr>
          <w:noProof/>
        </w:rPr>
        <w:fldChar w:fldCharType="separate"/>
      </w:r>
      <w:r w:rsidRPr="006F4E4E">
        <w:rPr>
          <w:noProof/>
        </w:rPr>
        <w:t>2</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3</w:t>
      </w:r>
      <w:r>
        <w:rPr>
          <w:noProof/>
        </w:rPr>
        <w:tab/>
        <w:t>Authority</w:t>
      </w:r>
      <w:r w:rsidRPr="006F4E4E">
        <w:rPr>
          <w:noProof/>
        </w:rPr>
        <w:tab/>
      </w:r>
      <w:r w:rsidRPr="006F4E4E">
        <w:rPr>
          <w:noProof/>
        </w:rPr>
        <w:fldChar w:fldCharType="begin"/>
      </w:r>
      <w:r w:rsidRPr="006F4E4E">
        <w:rPr>
          <w:noProof/>
        </w:rPr>
        <w:instrText xml:space="preserve"> PAGEREF _Toc133830881 \h </w:instrText>
      </w:r>
      <w:r w:rsidRPr="006F4E4E">
        <w:rPr>
          <w:noProof/>
        </w:rPr>
      </w:r>
      <w:r w:rsidRPr="006F4E4E">
        <w:rPr>
          <w:noProof/>
        </w:rPr>
        <w:fldChar w:fldCharType="separate"/>
      </w:r>
      <w:r w:rsidRPr="006F4E4E">
        <w:rPr>
          <w:noProof/>
        </w:rPr>
        <w:t>2</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4</w:t>
      </w:r>
      <w:r>
        <w:rPr>
          <w:noProof/>
        </w:rPr>
        <w:tab/>
        <w:t>Application of Principles</w:t>
      </w:r>
      <w:r w:rsidRPr="006F4E4E">
        <w:rPr>
          <w:noProof/>
        </w:rPr>
        <w:tab/>
      </w:r>
      <w:r w:rsidRPr="006F4E4E">
        <w:rPr>
          <w:noProof/>
        </w:rPr>
        <w:fldChar w:fldCharType="begin"/>
      </w:r>
      <w:r w:rsidRPr="006F4E4E">
        <w:rPr>
          <w:noProof/>
        </w:rPr>
        <w:instrText xml:space="preserve"> PAGEREF _Toc133830882 \h </w:instrText>
      </w:r>
      <w:r w:rsidRPr="006F4E4E">
        <w:rPr>
          <w:noProof/>
        </w:rPr>
      </w:r>
      <w:r w:rsidRPr="006F4E4E">
        <w:rPr>
          <w:noProof/>
        </w:rPr>
        <w:fldChar w:fldCharType="separate"/>
      </w:r>
      <w:r w:rsidRPr="006F4E4E">
        <w:rPr>
          <w:noProof/>
        </w:rPr>
        <w:t>2</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5</w:t>
      </w:r>
      <w:r>
        <w:rPr>
          <w:noProof/>
        </w:rPr>
        <w:tab/>
        <w:t>Interpretation</w:t>
      </w:r>
      <w:r w:rsidRPr="006F4E4E">
        <w:rPr>
          <w:noProof/>
        </w:rPr>
        <w:tab/>
      </w:r>
      <w:r w:rsidRPr="006F4E4E">
        <w:rPr>
          <w:noProof/>
        </w:rPr>
        <w:fldChar w:fldCharType="begin"/>
      </w:r>
      <w:r w:rsidRPr="006F4E4E">
        <w:rPr>
          <w:noProof/>
        </w:rPr>
        <w:instrText xml:space="preserve"> PAGEREF _Toc133830883 \h </w:instrText>
      </w:r>
      <w:r w:rsidRPr="006F4E4E">
        <w:rPr>
          <w:noProof/>
        </w:rPr>
      </w:r>
      <w:r w:rsidRPr="006F4E4E">
        <w:rPr>
          <w:noProof/>
        </w:rPr>
        <w:fldChar w:fldCharType="separate"/>
      </w:r>
      <w:r w:rsidRPr="006F4E4E">
        <w:rPr>
          <w:noProof/>
        </w:rPr>
        <w:t>2</w:t>
      </w:r>
      <w:r w:rsidRPr="006F4E4E">
        <w:rPr>
          <w:noProof/>
        </w:rPr>
        <w:fldChar w:fldCharType="end"/>
      </w:r>
    </w:p>
    <w:p w:rsidR="006F4E4E" w:rsidRDefault="006F4E4E">
      <w:pPr>
        <w:pStyle w:val="TOC2"/>
        <w:rPr>
          <w:rFonts w:asciiTheme="minorHAnsi" w:eastAsiaTheme="minorEastAsia" w:hAnsiTheme="minorHAnsi" w:cstheme="minorBidi"/>
          <w:b w:val="0"/>
          <w:noProof/>
          <w:kern w:val="0"/>
          <w:sz w:val="22"/>
          <w:szCs w:val="22"/>
        </w:rPr>
      </w:pPr>
      <w:r>
        <w:rPr>
          <w:noProof/>
        </w:rPr>
        <w:t>Part 2—General</w:t>
      </w:r>
      <w:r w:rsidRPr="006F4E4E">
        <w:rPr>
          <w:b w:val="0"/>
          <w:noProof/>
          <w:sz w:val="18"/>
        </w:rPr>
        <w:tab/>
      </w:r>
      <w:r w:rsidRPr="006F4E4E">
        <w:rPr>
          <w:b w:val="0"/>
          <w:noProof/>
          <w:sz w:val="18"/>
        </w:rPr>
        <w:fldChar w:fldCharType="begin"/>
      </w:r>
      <w:r w:rsidRPr="006F4E4E">
        <w:rPr>
          <w:b w:val="0"/>
          <w:noProof/>
          <w:sz w:val="18"/>
        </w:rPr>
        <w:instrText xml:space="preserve"> PAGEREF _Toc133830884 \h </w:instrText>
      </w:r>
      <w:r w:rsidRPr="006F4E4E">
        <w:rPr>
          <w:b w:val="0"/>
          <w:noProof/>
          <w:sz w:val="18"/>
        </w:rPr>
      </w:r>
      <w:r w:rsidRPr="006F4E4E">
        <w:rPr>
          <w:b w:val="0"/>
          <w:noProof/>
          <w:sz w:val="18"/>
        </w:rPr>
        <w:fldChar w:fldCharType="separate"/>
      </w:r>
      <w:r w:rsidRPr="006F4E4E">
        <w:rPr>
          <w:b w:val="0"/>
          <w:noProof/>
          <w:sz w:val="18"/>
        </w:rPr>
        <w:t>5</w:t>
      </w:r>
      <w:r w:rsidRPr="006F4E4E">
        <w:rPr>
          <w:b w:val="0"/>
          <w:noProof/>
          <w:sz w:val="18"/>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6</w:t>
      </w:r>
      <w:r>
        <w:rPr>
          <w:noProof/>
        </w:rPr>
        <w:tab/>
        <w:t>Purpose and objects of Principles</w:t>
      </w:r>
      <w:r w:rsidRPr="006F4E4E">
        <w:rPr>
          <w:noProof/>
        </w:rPr>
        <w:tab/>
      </w:r>
      <w:r w:rsidRPr="006F4E4E">
        <w:rPr>
          <w:noProof/>
        </w:rPr>
        <w:fldChar w:fldCharType="begin"/>
      </w:r>
      <w:r w:rsidRPr="006F4E4E">
        <w:rPr>
          <w:noProof/>
        </w:rPr>
        <w:instrText xml:space="preserve"> PAGEREF _Toc133830885 \h </w:instrText>
      </w:r>
      <w:r w:rsidRPr="006F4E4E">
        <w:rPr>
          <w:noProof/>
        </w:rPr>
      </w:r>
      <w:r w:rsidRPr="006F4E4E">
        <w:rPr>
          <w:noProof/>
        </w:rPr>
        <w:fldChar w:fldCharType="separate"/>
      </w:r>
      <w:r w:rsidRPr="006F4E4E">
        <w:rPr>
          <w:noProof/>
        </w:rPr>
        <w:t>5</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7</w:t>
      </w:r>
      <w:r>
        <w:rPr>
          <w:noProof/>
        </w:rPr>
        <w:tab/>
        <w:t>Weight to be given to views of independent body or special adviser</w:t>
      </w:r>
      <w:r w:rsidRPr="006F4E4E">
        <w:rPr>
          <w:noProof/>
        </w:rPr>
        <w:tab/>
      </w:r>
      <w:r w:rsidRPr="006F4E4E">
        <w:rPr>
          <w:noProof/>
        </w:rPr>
        <w:fldChar w:fldCharType="begin"/>
      </w:r>
      <w:r w:rsidRPr="006F4E4E">
        <w:rPr>
          <w:noProof/>
        </w:rPr>
        <w:instrText xml:space="preserve"> PAGEREF _Toc133830886 \h </w:instrText>
      </w:r>
      <w:r w:rsidRPr="006F4E4E">
        <w:rPr>
          <w:noProof/>
        </w:rPr>
      </w:r>
      <w:r w:rsidRPr="006F4E4E">
        <w:rPr>
          <w:noProof/>
        </w:rPr>
        <w:fldChar w:fldCharType="separate"/>
      </w:r>
      <w:r w:rsidRPr="006F4E4E">
        <w:rPr>
          <w:noProof/>
        </w:rPr>
        <w:t>5</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8</w:t>
      </w:r>
      <w:r>
        <w:rPr>
          <w:noProof/>
        </w:rPr>
        <w:tab/>
        <w:t>Action may be taken despite appeal or challenge</w:t>
      </w:r>
      <w:r w:rsidRPr="006F4E4E">
        <w:rPr>
          <w:noProof/>
        </w:rPr>
        <w:tab/>
      </w:r>
      <w:r w:rsidRPr="006F4E4E">
        <w:rPr>
          <w:noProof/>
        </w:rPr>
        <w:fldChar w:fldCharType="begin"/>
      </w:r>
      <w:r w:rsidRPr="006F4E4E">
        <w:rPr>
          <w:noProof/>
        </w:rPr>
        <w:instrText xml:space="preserve"> PAGEREF _Toc133830887 \h </w:instrText>
      </w:r>
      <w:r w:rsidRPr="006F4E4E">
        <w:rPr>
          <w:noProof/>
        </w:rPr>
      </w:r>
      <w:r w:rsidRPr="006F4E4E">
        <w:rPr>
          <w:noProof/>
        </w:rPr>
        <w:fldChar w:fldCharType="separate"/>
      </w:r>
      <w:r w:rsidRPr="006F4E4E">
        <w:rPr>
          <w:noProof/>
        </w:rPr>
        <w:t>6</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9</w:t>
      </w:r>
      <w:r>
        <w:rPr>
          <w:noProof/>
        </w:rPr>
        <w:tab/>
        <w:t>Assessment report by independent body or special adviser</w:t>
      </w:r>
      <w:r w:rsidRPr="006F4E4E">
        <w:rPr>
          <w:noProof/>
        </w:rPr>
        <w:tab/>
      </w:r>
      <w:r w:rsidRPr="006F4E4E">
        <w:rPr>
          <w:noProof/>
        </w:rPr>
        <w:fldChar w:fldCharType="begin"/>
      </w:r>
      <w:r w:rsidRPr="006F4E4E">
        <w:rPr>
          <w:noProof/>
        </w:rPr>
        <w:instrText xml:space="preserve"> PAGEREF _Toc133830888 \h </w:instrText>
      </w:r>
      <w:r w:rsidRPr="006F4E4E">
        <w:rPr>
          <w:noProof/>
        </w:rPr>
      </w:r>
      <w:r w:rsidRPr="006F4E4E">
        <w:rPr>
          <w:noProof/>
        </w:rPr>
        <w:fldChar w:fldCharType="separate"/>
      </w:r>
      <w:r w:rsidRPr="006F4E4E">
        <w:rPr>
          <w:noProof/>
        </w:rPr>
        <w:t>6</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10</w:t>
      </w:r>
      <w:r>
        <w:rPr>
          <w:noProof/>
        </w:rPr>
        <w:tab/>
        <w:t>Other matters taken into account in making decisions</w:t>
      </w:r>
      <w:r w:rsidRPr="006F4E4E">
        <w:rPr>
          <w:noProof/>
        </w:rPr>
        <w:tab/>
      </w:r>
      <w:r w:rsidRPr="006F4E4E">
        <w:rPr>
          <w:noProof/>
        </w:rPr>
        <w:fldChar w:fldCharType="begin"/>
      </w:r>
      <w:r w:rsidRPr="006F4E4E">
        <w:rPr>
          <w:noProof/>
        </w:rPr>
        <w:instrText xml:space="preserve"> PAGEREF _Toc133830889 \h </w:instrText>
      </w:r>
      <w:r w:rsidRPr="006F4E4E">
        <w:rPr>
          <w:noProof/>
        </w:rPr>
      </w:r>
      <w:r w:rsidRPr="006F4E4E">
        <w:rPr>
          <w:noProof/>
        </w:rPr>
        <w:fldChar w:fldCharType="separate"/>
      </w:r>
      <w:r w:rsidRPr="006F4E4E">
        <w:rPr>
          <w:noProof/>
        </w:rPr>
        <w:t>7</w:t>
      </w:r>
      <w:r w:rsidRPr="006F4E4E">
        <w:rPr>
          <w:noProof/>
        </w:rPr>
        <w:fldChar w:fldCharType="end"/>
      </w:r>
    </w:p>
    <w:p w:rsidR="006F4E4E" w:rsidRDefault="006F4E4E">
      <w:pPr>
        <w:pStyle w:val="TOC2"/>
        <w:rPr>
          <w:rFonts w:asciiTheme="minorHAnsi" w:eastAsiaTheme="minorEastAsia" w:hAnsiTheme="minorHAnsi" w:cstheme="minorBidi"/>
          <w:b w:val="0"/>
          <w:noProof/>
          <w:kern w:val="0"/>
          <w:sz w:val="22"/>
          <w:szCs w:val="22"/>
        </w:rPr>
      </w:pPr>
      <w:r>
        <w:rPr>
          <w:noProof/>
        </w:rPr>
        <w:t>Part 3—Approval of premises</w:t>
      </w:r>
      <w:r w:rsidRPr="006F4E4E">
        <w:rPr>
          <w:b w:val="0"/>
          <w:noProof/>
          <w:sz w:val="18"/>
        </w:rPr>
        <w:tab/>
      </w:r>
      <w:r w:rsidRPr="006F4E4E">
        <w:rPr>
          <w:b w:val="0"/>
          <w:noProof/>
          <w:sz w:val="18"/>
        </w:rPr>
        <w:fldChar w:fldCharType="begin"/>
      </w:r>
      <w:r w:rsidRPr="006F4E4E">
        <w:rPr>
          <w:b w:val="0"/>
          <w:noProof/>
          <w:sz w:val="18"/>
        </w:rPr>
        <w:instrText xml:space="preserve"> PAGEREF _Toc133830890 \h </w:instrText>
      </w:r>
      <w:r w:rsidRPr="006F4E4E">
        <w:rPr>
          <w:b w:val="0"/>
          <w:noProof/>
          <w:sz w:val="18"/>
        </w:rPr>
      </w:r>
      <w:r w:rsidRPr="006F4E4E">
        <w:rPr>
          <w:b w:val="0"/>
          <w:noProof/>
          <w:sz w:val="18"/>
        </w:rPr>
        <w:fldChar w:fldCharType="separate"/>
      </w:r>
      <w:r w:rsidRPr="006F4E4E">
        <w:rPr>
          <w:b w:val="0"/>
          <w:noProof/>
          <w:sz w:val="18"/>
        </w:rPr>
        <w:t>8</w:t>
      </w:r>
      <w:r w:rsidRPr="006F4E4E">
        <w:rPr>
          <w:b w:val="0"/>
          <w:noProof/>
          <w:sz w:val="18"/>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11</w:t>
      </w:r>
      <w:r>
        <w:rPr>
          <w:noProof/>
        </w:rPr>
        <w:tab/>
        <w:t>Approval of premises</w:t>
      </w:r>
      <w:r w:rsidRPr="006F4E4E">
        <w:rPr>
          <w:noProof/>
        </w:rPr>
        <w:tab/>
      </w:r>
      <w:r w:rsidRPr="006F4E4E">
        <w:rPr>
          <w:noProof/>
        </w:rPr>
        <w:fldChar w:fldCharType="begin"/>
      </w:r>
      <w:r w:rsidRPr="006F4E4E">
        <w:rPr>
          <w:noProof/>
        </w:rPr>
        <w:instrText xml:space="preserve"> PAGEREF _Toc133830891 \h </w:instrText>
      </w:r>
      <w:r w:rsidRPr="006F4E4E">
        <w:rPr>
          <w:noProof/>
        </w:rPr>
      </w:r>
      <w:r w:rsidRPr="006F4E4E">
        <w:rPr>
          <w:noProof/>
        </w:rPr>
        <w:fldChar w:fldCharType="separate"/>
      </w:r>
      <w:r w:rsidRPr="006F4E4E">
        <w:rPr>
          <w:noProof/>
        </w:rPr>
        <w:t>8</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12</w:t>
      </w:r>
      <w:r>
        <w:rPr>
          <w:noProof/>
        </w:rPr>
        <w:tab/>
        <w:t>Approval in absence of assessment report</w:t>
      </w:r>
      <w:r w:rsidRPr="006F4E4E">
        <w:rPr>
          <w:noProof/>
        </w:rPr>
        <w:tab/>
      </w:r>
      <w:r w:rsidRPr="006F4E4E">
        <w:rPr>
          <w:noProof/>
        </w:rPr>
        <w:fldChar w:fldCharType="begin"/>
      </w:r>
      <w:r w:rsidRPr="006F4E4E">
        <w:rPr>
          <w:noProof/>
        </w:rPr>
        <w:instrText xml:space="preserve"> PAGEREF _Toc133830892 \h </w:instrText>
      </w:r>
      <w:r w:rsidRPr="006F4E4E">
        <w:rPr>
          <w:noProof/>
        </w:rPr>
      </w:r>
      <w:r w:rsidRPr="006F4E4E">
        <w:rPr>
          <w:noProof/>
        </w:rPr>
        <w:fldChar w:fldCharType="separate"/>
      </w:r>
      <w:r w:rsidRPr="006F4E4E">
        <w:rPr>
          <w:noProof/>
        </w:rPr>
        <w:t>9</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13</w:t>
      </w:r>
      <w:r>
        <w:rPr>
          <w:noProof/>
        </w:rPr>
        <w:tab/>
        <w:t>Approval where there is a State accreditation system</w:t>
      </w:r>
      <w:r w:rsidRPr="006F4E4E">
        <w:rPr>
          <w:noProof/>
        </w:rPr>
        <w:tab/>
      </w:r>
      <w:r w:rsidRPr="006F4E4E">
        <w:rPr>
          <w:noProof/>
        </w:rPr>
        <w:fldChar w:fldCharType="begin"/>
      </w:r>
      <w:r w:rsidRPr="006F4E4E">
        <w:rPr>
          <w:noProof/>
        </w:rPr>
        <w:instrText xml:space="preserve"> PAGEREF _Toc133830893 \h </w:instrText>
      </w:r>
      <w:r w:rsidRPr="006F4E4E">
        <w:rPr>
          <w:noProof/>
        </w:rPr>
      </w:r>
      <w:r w:rsidRPr="006F4E4E">
        <w:rPr>
          <w:noProof/>
        </w:rPr>
        <w:fldChar w:fldCharType="separate"/>
      </w:r>
      <w:r w:rsidRPr="006F4E4E">
        <w:rPr>
          <w:noProof/>
        </w:rPr>
        <w:t>9</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14</w:t>
      </w:r>
      <w:r>
        <w:rPr>
          <w:noProof/>
        </w:rPr>
        <w:tab/>
        <w:t>Period of approval</w:t>
      </w:r>
      <w:r w:rsidRPr="006F4E4E">
        <w:rPr>
          <w:noProof/>
        </w:rPr>
        <w:tab/>
      </w:r>
      <w:r w:rsidRPr="006F4E4E">
        <w:rPr>
          <w:noProof/>
        </w:rPr>
        <w:fldChar w:fldCharType="begin"/>
      </w:r>
      <w:r w:rsidRPr="006F4E4E">
        <w:rPr>
          <w:noProof/>
        </w:rPr>
        <w:instrText xml:space="preserve"> PAGEREF _Toc133830894 \h </w:instrText>
      </w:r>
      <w:r w:rsidRPr="006F4E4E">
        <w:rPr>
          <w:noProof/>
        </w:rPr>
      </w:r>
      <w:r w:rsidRPr="006F4E4E">
        <w:rPr>
          <w:noProof/>
        </w:rPr>
        <w:fldChar w:fldCharType="separate"/>
      </w:r>
      <w:r w:rsidRPr="006F4E4E">
        <w:rPr>
          <w:noProof/>
        </w:rPr>
        <w:t>10</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15</w:t>
      </w:r>
      <w:r>
        <w:rPr>
          <w:noProof/>
        </w:rPr>
        <w:tab/>
        <w:t>Revocation of approval</w:t>
      </w:r>
      <w:r w:rsidRPr="006F4E4E">
        <w:rPr>
          <w:noProof/>
        </w:rPr>
        <w:tab/>
      </w:r>
      <w:r w:rsidRPr="006F4E4E">
        <w:rPr>
          <w:noProof/>
        </w:rPr>
        <w:fldChar w:fldCharType="begin"/>
      </w:r>
      <w:r w:rsidRPr="006F4E4E">
        <w:rPr>
          <w:noProof/>
        </w:rPr>
        <w:instrText xml:space="preserve"> PAGEREF _Toc133830895 \h </w:instrText>
      </w:r>
      <w:r w:rsidRPr="006F4E4E">
        <w:rPr>
          <w:noProof/>
        </w:rPr>
      </w:r>
      <w:r w:rsidRPr="006F4E4E">
        <w:rPr>
          <w:noProof/>
        </w:rPr>
        <w:fldChar w:fldCharType="separate"/>
      </w:r>
      <w:r w:rsidRPr="006F4E4E">
        <w:rPr>
          <w:noProof/>
        </w:rPr>
        <w:t>10</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16</w:t>
      </w:r>
      <w:r>
        <w:rPr>
          <w:noProof/>
        </w:rPr>
        <w:tab/>
        <w:t>Variation of approval</w:t>
      </w:r>
      <w:r w:rsidRPr="006F4E4E">
        <w:rPr>
          <w:noProof/>
        </w:rPr>
        <w:tab/>
      </w:r>
      <w:r w:rsidRPr="006F4E4E">
        <w:rPr>
          <w:noProof/>
        </w:rPr>
        <w:fldChar w:fldCharType="begin"/>
      </w:r>
      <w:r w:rsidRPr="006F4E4E">
        <w:rPr>
          <w:noProof/>
        </w:rPr>
        <w:instrText xml:space="preserve"> PAGEREF _Toc133830896 \h </w:instrText>
      </w:r>
      <w:r w:rsidRPr="006F4E4E">
        <w:rPr>
          <w:noProof/>
        </w:rPr>
      </w:r>
      <w:r w:rsidRPr="006F4E4E">
        <w:rPr>
          <w:noProof/>
        </w:rPr>
        <w:fldChar w:fldCharType="separate"/>
      </w:r>
      <w:r w:rsidRPr="006F4E4E">
        <w:rPr>
          <w:noProof/>
        </w:rPr>
        <w:t>11</w:t>
      </w:r>
      <w:r w:rsidRPr="006F4E4E">
        <w:rPr>
          <w:noProof/>
        </w:rPr>
        <w:fldChar w:fldCharType="end"/>
      </w:r>
    </w:p>
    <w:p w:rsidR="006F4E4E" w:rsidRDefault="006F4E4E">
      <w:pPr>
        <w:pStyle w:val="TOC2"/>
        <w:rPr>
          <w:rFonts w:asciiTheme="minorHAnsi" w:eastAsiaTheme="minorEastAsia" w:hAnsiTheme="minorHAnsi" w:cstheme="minorBidi"/>
          <w:b w:val="0"/>
          <w:noProof/>
          <w:kern w:val="0"/>
          <w:sz w:val="22"/>
          <w:szCs w:val="22"/>
        </w:rPr>
      </w:pPr>
      <w:r>
        <w:rPr>
          <w:noProof/>
        </w:rPr>
        <w:t>Part 4—Categories of premises</w:t>
      </w:r>
      <w:r w:rsidRPr="006F4E4E">
        <w:rPr>
          <w:b w:val="0"/>
          <w:noProof/>
          <w:sz w:val="18"/>
        </w:rPr>
        <w:tab/>
      </w:r>
      <w:r w:rsidRPr="006F4E4E">
        <w:rPr>
          <w:b w:val="0"/>
          <w:noProof/>
          <w:sz w:val="18"/>
        </w:rPr>
        <w:fldChar w:fldCharType="begin"/>
      </w:r>
      <w:r w:rsidRPr="006F4E4E">
        <w:rPr>
          <w:b w:val="0"/>
          <w:noProof/>
          <w:sz w:val="18"/>
        </w:rPr>
        <w:instrText xml:space="preserve"> PAGEREF _Toc133830897 \h </w:instrText>
      </w:r>
      <w:r w:rsidRPr="006F4E4E">
        <w:rPr>
          <w:b w:val="0"/>
          <w:noProof/>
          <w:sz w:val="18"/>
        </w:rPr>
      </w:r>
      <w:r w:rsidRPr="006F4E4E">
        <w:rPr>
          <w:b w:val="0"/>
          <w:noProof/>
          <w:sz w:val="18"/>
        </w:rPr>
        <w:fldChar w:fldCharType="separate"/>
      </w:r>
      <w:r w:rsidRPr="006F4E4E">
        <w:rPr>
          <w:b w:val="0"/>
          <w:noProof/>
          <w:sz w:val="18"/>
        </w:rPr>
        <w:t>12</w:t>
      </w:r>
      <w:r w:rsidRPr="006F4E4E">
        <w:rPr>
          <w:b w:val="0"/>
          <w:noProof/>
          <w:sz w:val="18"/>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17</w:t>
      </w:r>
      <w:r>
        <w:rPr>
          <w:noProof/>
        </w:rPr>
        <w:tab/>
        <w:t>Allocation of categories</w:t>
      </w:r>
      <w:r w:rsidRPr="006F4E4E">
        <w:rPr>
          <w:noProof/>
        </w:rPr>
        <w:tab/>
      </w:r>
      <w:r w:rsidRPr="006F4E4E">
        <w:rPr>
          <w:noProof/>
        </w:rPr>
        <w:fldChar w:fldCharType="begin"/>
      </w:r>
      <w:r w:rsidRPr="006F4E4E">
        <w:rPr>
          <w:noProof/>
        </w:rPr>
        <w:instrText xml:space="preserve"> PAGEREF _Toc133830898 \h </w:instrText>
      </w:r>
      <w:r w:rsidRPr="006F4E4E">
        <w:rPr>
          <w:noProof/>
        </w:rPr>
      </w:r>
      <w:r w:rsidRPr="006F4E4E">
        <w:rPr>
          <w:noProof/>
        </w:rPr>
        <w:fldChar w:fldCharType="separate"/>
      </w:r>
      <w:r w:rsidRPr="006F4E4E">
        <w:rPr>
          <w:noProof/>
        </w:rPr>
        <w:t>12</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sidRPr="006D4485">
        <w:rPr>
          <w:bCs/>
          <w:noProof/>
          <w:color w:val="000000"/>
        </w:rPr>
        <w:t>18</w:t>
      </w:r>
      <w:r>
        <w:rPr>
          <w:bCs/>
          <w:noProof/>
          <w:color w:val="000000"/>
        </w:rPr>
        <w:tab/>
      </w:r>
      <w:r w:rsidRPr="006D4485">
        <w:rPr>
          <w:bCs/>
          <w:noProof/>
          <w:color w:val="000000"/>
        </w:rPr>
        <w:t>Standards of direction, control and supervision of premises required</w:t>
      </w:r>
      <w:r w:rsidRPr="006F4E4E">
        <w:rPr>
          <w:noProof/>
        </w:rPr>
        <w:tab/>
      </w:r>
      <w:r w:rsidRPr="006F4E4E">
        <w:rPr>
          <w:noProof/>
        </w:rPr>
        <w:fldChar w:fldCharType="begin"/>
      </w:r>
      <w:r w:rsidRPr="006F4E4E">
        <w:rPr>
          <w:noProof/>
        </w:rPr>
        <w:instrText xml:space="preserve"> PAGEREF _Toc133830899 \h </w:instrText>
      </w:r>
      <w:r w:rsidRPr="006F4E4E">
        <w:rPr>
          <w:noProof/>
        </w:rPr>
      </w:r>
      <w:r w:rsidRPr="006F4E4E">
        <w:rPr>
          <w:noProof/>
        </w:rPr>
        <w:fldChar w:fldCharType="separate"/>
      </w:r>
      <w:r w:rsidRPr="006F4E4E">
        <w:rPr>
          <w:noProof/>
        </w:rPr>
        <w:t>14</w:t>
      </w:r>
      <w:r w:rsidRPr="006F4E4E">
        <w:rPr>
          <w:noProof/>
        </w:rPr>
        <w:fldChar w:fldCharType="end"/>
      </w:r>
    </w:p>
    <w:p w:rsidR="006F4E4E" w:rsidRDefault="006F4E4E">
      <w:pPr>
        <w:pStyle w:val="TOC1"/>
        <w:rPr>
          <w:rFonts w:asciiTheme="minorHAnsi" w:eastAsiaTheme="minorEastAsia" w:hAnsiTheme="minorHAnsi" w:cstheme="minorBidi"/>
          <w:b w:val="0"/>
          <w:noProof/>
          <w:kern w:val="0"/>
          <w:sz w:val="22"/>
          <w:szCs w:val="22"/>
        </w:rPr>
      </w:pPr>
      <w:r>
        <w:rPr>
          <w:noProof/>
        </w:rPr>
        <w:t>Schedule 1</w:t>
      </w:r>
      <w:r w:rsidRPr="006D4485">
        <w:rPr>
          <w:b w:val="0"/>
          <w:noProof/>
        </w:rPr>
        <w:t>—</w:t>
      </w:r>
      <w:r>
        <w:rPr>
          <w:noProof/>
        </w:rPr>
        <w:t>Accreditation materials</w:t>
      </w:r>
      <w:r w:rsidRPr="006F4E4E">
        <w:rPr>
          <w:b w:val="0"/>
          <w:noProof/>
          <w:sz w:val="18"/>
        </w:rPr>
        <w:tab/>
      </w:r>
      <w:r w:rsidRPr="006F4E4E">
        <w:rPr>
          <w:b w:val="0"/>
          <w:noProof/>
          <w:sz w:val="18"/>
        </w:rPr>
        <w:fldChar w:fldCharType="begin"/>
      </w:r>
      <w:r w:rsidRPr="006F4E4E">
        <w:rPr>
          <w:b w:val="0"/>
          <w:noProof/>
          <w:sz w:val="18"/>
        </w:rPr>
        <w:instrText xml:space="preserve"> PAGEREF _Toc133830900 \h </w:instrText>
      </w:r>
      <w:r w:rsidRPr="006F4E4E">
        <w:rPr>
          <w:b w:val="0"/>
          <w:noProof/>
          <w:sz w:val="18"/>
        </w:rPr>
      </w:r>
      <w:r w:rsidRPr="006F4E4E">
        <w:rPr>
          <w:b w:val="0"/>
          <w:noProof/>
          <w:sz w:val="18"/>
        </w:rPr>
        <w:fldChar w:fldCharType="separate"/>
      </w:r>
      <w:r w:rsidRPr="006F4E4E">
        <w:rPr>
          <w:b w:val="0"/>
          <w:noProof/>
          <w:sz w:val="18"/>
        </w:rPr>
        <w:t>16</w:t>
      </w:r>
      <w:r w:rsidRPr="006F4E4E">
        <w:rPr>
          <w:b w:val="0"/>
          <w:noProof/>
          <w:sz w:val="18"/>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1</w:t>
      </w:r>
      <w:r>
        <w:rPr>
          <w:noProof/>
        </w:rPr>
        <w:tab/>
        <w:t>NPAAC materials</w:t>
      </w:r>
      <w:r w:rsidRPr="006F4E4E">
        <w:rPr>
          <w:noProof/>
        </w:rPr>
        <w:tab/>
      </w:r>
      <w:r w:rsidRPr="006F4E4E">
        <w:rPr>
          <w:noProof/>
        </w:rPr>
        <w:fldChar w:fldCharType="begin"/>
      </w:r>
      <w:r w:rsidRPr="006F4E4E">
        <w:rPr>
          <w:noProof/>
        </w:rPr>
        <w:instrText xml:space="preserve"> PAGEREF _Toc133830901 \h </w:instrText>
      </w:r>
      <w:r w:rsidRPr="006F4E4E">
        <w:rPr>
          <w:noProof/>
        </w:rPr>
      </w:r>
      <w:r w:rsidRPr="006F4E4E">
        <w:rPr>
          <w:noProof/>
        </w:rPr>
        <w:fldChar w:fldCharType="separate"/>
      </w:r>
      <w:r w:rsidRPr="006F4E4E">
        <w:rPr>
          <w:noProof/>
        </w:rPr>
        <w:t>16</w:t>
      </w:r>
      <w:r w:rsidRPr="006F4E4E">
        <w:rPr>
          <w:noProof/>
        </w:rPr>
        <w:fldChar w:fldCharType="end"/>
      </w:r>
    </w:p>
    <w:p w:rsidR="006F4E4E" w:rsidRDefault="006F4E4E">
      <w:pPr>
        <w:pStyle w:val="TOC5"/>
        <w:rPr>
          <w:rFonts w:asciiTheme="minorHAnsi" w:eastAsiaTheme="minorEastAsia" w:hAnsiTheme="minorHAnsi" w:cstheme="minorBidi"/>
          <w:noProof/>
          <w:kern w:val="0"/>
          <w:sz w:val="22"/>
          <w:szCs w:val="22"/>
        </w:rPr>
      </w:pPr>
      <w:r>
        <w:rPr>
          <w:noProof/>
        </w:rPr>
        <w:t>2</w:t>
      </w:r>
      <w:r>
        <w:rPr>
          <w:noProof/>
        </w:rPr>
        <w:tab/>
        <w:t xml:space="preserve">Application of the </w:t>
      </w:r>
      <w:r w:rsidRPr="006D4485">
        <w:rPr>
          <w:i/>
          <w:noProof/>
        </w:rPr>
        <w:t>Requirements for Medical Pathology Services (Third Edition 2018)</w:t>
      </w:r>
      <w:r w:rsidRPr="006F4E4E">
        <w:rPr>
          <w:noProof/>
        </w:rPr>
        <w:tab/>
      </w:r>
      <w:r w:rsidRPr="006F4E4E">
        <w:rPr>
          <w:noProof/>
        </w:rPr>
        <w:fldChar w:fldCharType="begin"/>
      </w:r>
      <w:r w:rsidRPr="006F4E4E">
        <w:rPr>
          <w:noProof/>
        </w:rPr>
        <w:instrText xml:space="preserve"> PAGEREF _Toc133830902 \h </w:instrText>
      </w:r>
      <w:r w:rsidRPr="006F4E4E">
        <w:rPr>
          <w:noProof/>
        </w:rPr>
      </w:r>
      <w:r w:rsidRPr="006F4E4E">
        <w:rPr>
          <w:noProof/>
        </w:rPr>
        <w:fldChar w:fldCharType="separate"/>
      </w:r>
      <w:r w:rsidRPr="006F4E4E">
        <w:rPr>
          <w:noProof/>
        </w:rPr>
        <w:t>17</w:t>
      </w:r>
      <w:r w:rsidRPr="006F4E4E">
        <w:rPr>
          <w:noProof/>
        </w:rPr>
        <w:fldChar w:fldCharType="end"/>
      </w:r>
    </w:p>
    <w:p w:rsidR="006F4E4E" w:rsidRDefault="006F4E4E" w:rsidP="006F4E4E">
      <w:pPr>
        <w:pStyle w:val="TOC2"/>
        <w:rPr>
          <w:rFonts w:asciiTheme="minorHAnsi" w:eastAsiaTheme="minorEastAsia" w:hAnsiTheme="minorHAnsi" w:cstheme="minorBidi"/>
          <w:b w:val="0"/>
          <w:noProof/>
          <w:kern w:val="0"/>
          <w:sz w:val="22"/>
          <w:szCs w:val="22"/>
        </w:rPr>
      </w:pPr>
      <w:r>
        <w:rPr>
          <w:noProof/>
        </w:rPr>
        <w:t>Endnotes</w:t>
      </w:r>
      <w:r w:rsidRPr="006F4E4E">
        <w:rPr>
          <w:b w:val="0"/>
          <w:noProof/>
          <w:sz w:val="18"/>
        </w:rPr>
        <w:tab/>
      </w:r>
      <w:r w:rsidRPr="006F4E4E">
        <w:rPr>
          <w:b w:val="0"/>
          <w:noProof/>
          <w:sz w:val="18"/>
        </w:rPr>
        <w:fldChar w:fldCharType="begin"/>
      </w:r>
      <w:r w:rsidRPr="006F4E4E">
        <w:rPr>
          <w:b w:val="0"/>
          <w:noProof/>
          <w:sz w:val="18"/>
        </w:rPr>
        <w:instrText xml:space="preserve"> PAGEREF _Toc133830903 \h </w:instrText>
      </w:r>
      <w:r w:rsidRPr="006F4E4E">
        <w:rPr>
          <w:b w:val="0"/>
          <w:noProof/>
          <w:sz w:val="18"/>
        </w:rPr>
      </w:r>
      <w:r w:rsidRPr="006F4E4E">
        <w:rPr>
          <w:b w:val="0"/>
          <w:noProof/>
          <w:sz w:val="18"/>
        </w:rPr>
        <w:fldChar w:fldCharType="separate"/>
      </w:r>
      <w:r w:rsidRPr="006F4E4E">
        <w:rPr>
          <w:b w:val="0"/>
          <w:noProof/>
          <w:sz w:val="18"/>
        </w:rPr>
        <w:t>18</w:t>
      </w:r>
      <w:r w:rsidRPr="006F4E4E">
        <w:rPr>
          <w:b w:val="0"/>
          <w:noProof/>
          <w:sz w:val="18"/>
        </w:rPr>
        <w:fldChar w:fldCharType="end"/>
      </w:r>
    </w:p>
    <w:p w:rsidR="006F4E4E" w:rsidRDefault="006F4E4E">
      <w:pPr>
        <w:pStyle w:val="TOC3"/>
        <w:rPr>
          <w:rFonts w:asciiTheme="minorHAnsi" w:eastAsiaTheme="minorEastAsia" w:hAnsiTheme="minorHAnsi" w:cstheme="minorBidi"/>
          <w:b w:val="0"/>
          <w:noProof/>
          <w:kern w:val="0"/>
          <w:szCs w:val="22"/>
        </w:rPr>
      </w:pPr>
      <w:r>
        <w:rPr>
          <w:noProof/>
        </w:rPr>
        <w:t>Endnote 1—About the endnotes</w:t>
      </w:r>
      <w:r w:rsidRPr="006F4E4E">
        <w:rPr>
          <w:b w:val="0"/>
          <w:noProof/>
          <w:sz w:val="18"/>
        </w:rPr>
        <w:tab/>
      </w:r>
      <w:r w:rsidRPr="006F4E4E">
        <w:rPr>
          <w:b w:val="0"/>
          <w:noProof/>
          <w:sz w:val="18"/>
        </w:rPr>
        <w:fldChar w:fldCharType="begin"/>
      </w:r>
      <w:r w:rsidRPr="006F4E4E">
        <w:rPr>
          <w:b w:val="0"/>
          <w:noProof/>
          <w:sz w:val="18"/>
        </w:rPr>
        <w:instrText xml:space="preserve"> PAGEREF _Toc133830904 \h </w:instrText>
      </w:r>
      <w:r w:rsidRPr="006F4E4E">
        <w:rPr>
          <w:b w:val="0"/>
          <w:noProof/>
          <w:sz w:val="18"/>
        </w:rPr>
      </w:r>
      <w:r w:rsidRPr="006F4E4E">
        <w:rPr>
          <w:b w:val="0"/>
          <w:noProof/>
          <w:sz w:val="18"/>
        </w:rPr>
        <w:fldChar w:fldCharType="separate"/>
      </w:r>
      <w:r w:rsidRPr="006F4E4E">
        <w:rPr>
          <w:b w:val="0"/>
          <w:noProof/>
          <w:sz w:val="18"/>
        </w:rPr>
        <w:t>18</w:t>
      </w:r>
      <w:r w:rsidRPr="006F4E4E">
        <w:rPr>
          <w:b w:val="0"/>
          <w:noProof/>
          <w:sz w:val="18"/>
        </w:rPr>
        <w:fldChar w:fldCharType="end"/>
      </w:r>
    </w:p>
    <w:p w:rsidR="006F4E4E" w:rsidRDefault="006F4E4E">
      <w:pPr>
        <w:pStyle w:val="TOC3"/>
        <w:rPr>
          <w:rFonts w:asciiTheme="minorHAnsi" w:eastAsiaTheme="minorEastAsia" w:hAnsiTheme="minorHAnsi" w:cstheme="minorBidi"/>
          <w:b w:val="0"/>
          <w:noProof/>
          <w:kern w:val="0"/>
          <w:szCs w:val="22"/>
        </w:rPr>
      </w:pPr>
      <w:r>
        <w:rPr>
          <w:noProof/>
        </w:rPr>
        <w:t>Endnote 2—Abbreviation key</w:t>
      </w:r>
      <w:r w:rsidRPr="006F4E4E">
        <w:rPr>
          <w:b w:val="0"/>
          <w:noProof/>
          <w:sz w:val="18"/>
        </w:rPr>
        <w:tab/>
      </w:r>
      <w:r w:rsidRPr="006F4E4E">
        <w:rPr>
          <w:b w:val="0"/>
          <w:noProof/>
          <w:sz w:val="18"/>
        </w:rPr>
        <w:fldChar w:fldCharType="begin"/>
      </w:r>
      <w:r w:rsidRPr="006F4E4E">
        <w:rPr>
          <w:b w:val="0"/>
          <w:noProof/>
          <w:sz w:val="18"/>
        </w:rPr>
        <w:instrText xml:space="preserve"> PAGEREF _Toc133830905 \h </w:instrText>
      </w:r>
      <w:r w:rsidRPr="006F4E4E">
        <w:rPr>
          <w:b w:val="0"/>
          <w:noProof/>
          <w:sz w:val="18"/>
        </w:rPr>
      </w:r>
      <w:r w:rsidRPr="006F4E4E">
        <w:rPr>
          <w:b w:val="0"/>
          <w:noProof/>
          <w:sz w:val="18"/>
        </w:rPr>
        <w:fldChar w:fldCharType="separate"/>
      </w:r>
      <w:r w:rsidRPr="006F4E4E">
        <w:rPr>
          <w:b w:val="0"/>
          <w:noProof/>
          <w:sz w:val="18"/>
        </w:rPr>
        <w:t>19</w:t>
      </w:r>
      <w:r w:rsidRPr="006F4E4E">
        <w:rPr>
          <w:b w:val="0"/>
          <w:noProof/>
          <w:sz w:val="18"/>
        </w:rPr>
        <w:fldChar w:fldCharType="end"/>
      </w:r>
    </w:p>
    <w:p w:rsidR="006F4E4E" w:rsidRDefault="006F4E4E">
      <w:pPr>
        <w:pStyle w:val="TOC3"/>
        <w:rPr>
          <w:rFonts w:asciiTheme="minorHAnsi" w:eastAsiaTheme="minorEastAsia" w:hAnsiTheme="minorHAnsi" w:cstheme="minorBidi"/>
          <w:b w:val="0"/>
          <w:noProof/>
          <w:kern w:val="0"/>
          <w:szCs w:val="22"/>
        </w:rPr>
      </w:pPr>
      <w:r>
        <w:rPr>
          <w:noProof/>
        </w:rPr>
        <w:t>Endnote 3—Legislation history</w:t>
      </w:r>
      <w:r w:rsidRPr="006F4E4E">
        <w:rPr>
          <w:b w:val="0"/>
          <w:noProof/>
          <w:sz w:val="18"/>
        </w:rPr>
        <w:tab/>
      </w:r>
      <w:r w:rsidRPr="006F4E4E">
        <w:rPr>
          <w:b w:val="0"/>
          <w:noProof/>
          <w:sz w:val="18"/>
        </w:rPr>
        <w:fldChar w:fldCharType="begin"/>
      </w:r>
      <w:r w:rsidRPr="006F4E4E">
        <w:rPr>
          <w:b w:val="0"/>
          <w:noProof/>
          <w:sz w:val="18"/>
        </w:rPr>
        <w:instrText xml:space="preserve"> PAGEREF _Toc133830906 \h </w:instrText>
      </w:r>
      <w:r w:rsidRPr="006F4E4E">
        <w:rPr>
          <w:b w:val="0"/>
          <w:noProof/>
          <w:sz w:val="18"/>
        </w:rPr>
      </w:r>
      <w:r w:rsidRPr="006F4E4E">
        <w:rPr>
          <w:b w:val="0"/>
          <w:noProof/>
          <w:sz w:val="18"/>
        </w:rPr>
        <w:fldChar w:fldCharType="separate"/>
      </w:r>
      <w:r w:rsidRPr="006F4E4E">
        <w:rPr>
          <w:b w:val="0"/>
          <w:noProof/>
          <w:sz w:val="18"/>
        </w:rPr>
        <w:t>20</w:t>
      </w:r>
      <w:r w:rsidRPr="006F4E4E">
        <w:rPr>
          <w:b w:val="0"/>
          <w:noProof/>
          <w:sz w:val="18"/>
        </w:rPr>
        <w:fldChar w:fldCharType="end"/>
      </w:r>
    </w:p>
    <w:p w:rsidR="006F4E4E" w:rsidRPr="006F4E4E" w:rsidRDefault="006F4E4E">
      <w:pPr>
        <w:pStyle w:val="TOC3"/>
        <w:rPr>
          <w:rFonts w:eastAsiaTheme="minorEastAsia"/>
          <w:b w:val="0"/>
          <w:noProof/>
          <w:kern w:val="0"/>
          <w:sz w:val="18"/>
          <w:szCs w:val="22"/>
        </w:rPr>
      </w:pPr>
      <w:r>
        <w:rPr>
          <w:noProof/>
        </w:rPr>
        <w:t>Endnote 4—Amendment history</w:t>
      </w:r>
      <w:r w:rsidRPr="006F4E4E">
        <w:rPr>
          <w:b w:val="0"/>
          <w:noProof/>
          <w:sz w:val="18"/>
        </w:rPr>
        <w:tab/>
      </w:r>
      <w:r w:rsidRPr="006F4E4E">
        <w:rPr>
          <w:b w:val="0"/>
          <w:noProof/>
          <w:sz w:val="18"/>
        </w:rPr>
        <w:fldChar w:fldCharType="begin"/>
      </w:r>
      <w:r w:rsidRPr="006F4E4E">
        <w:rPr>
          <w:b w:val="0"/>
          <w:noProof/>
          <w:sz w:val="18"/>
        </w:rPr>
        <w:instrText xml:space="preserve"> PAGEREF _Toc133830907 \h </w:instrText>
      </w:r>
      <w:r w:rsidRPr="006F4E4E">
        <w:rPr>
          <w:b w:val="0"/>
          <w:noProof/>
          <w:sz w:val="18"/>
        </w:rPr>
      </w:r>
      <w:r w:rsidRPr="006F4E4E">
        <w:rPr>
          <w:b w:val="0"/>
          <w:noProof/>
          <w:sz w:val="18"/>
        </w:rPr>
        <w:fldChar w:fldCharType="separate"/>
      </w:r>
      <w:r w:rsidRPr="006F4E4E">
        <w:rPr>
          <w:b w:val="0"/>
          <w:noProof/>
          <w:sz w:val="18"/>
        </w:rPr>
        <w:t>21</w:t>
      </w:r>
      <w:r w:rsidRPr="006F4E4E">
        <w:rPr>
          <w:b w:val="0"/>
          <w:noProof/>
          <w:sz w:val="18"/>
        </w:rPr>
        <w:fldChar w:fldCharType="end"/>
      </w:r>
    </w:p>
    <w:p w:rsidR="003E685B" w:rsidRDefault="00CD356E" w:rsidP="00100DC5">
      <w:pPr>
        <w:pStyle w:val="TOC5"/>
        <w:tabs>
          <w:tab w:val="left" w:pos="7655"/>
        </w:tabs>
        <w:ind w:right="1791"/>
      </w:pPr>
      <w:r w:rsidRPr="006F4E4E">
        <w:fldChar w:fldCharType="end"/>
      </w:r>
    </w:p>
    <w:bookmarkEnd w:id="0"/>
    <w:p w:rsidR="003E685B" w:rsidRPr="003E685B" w:rsidRDefault="003E685B" w:rsidP="003E685B">
      <w:pPr>
        <w:rPr>
          <w:lang w:eastAsia="en-AU"/>
        </w:rPr>
        <w:sectPr w:rsidR="003E685B" w:rsidRPr="003E685B" w:rsidSect="000E0B4E">
          <w:headerReference w:type="even" r:id="rId16"/>
          <w:headerReference w:type="default" r:id="rId17"/>
          <w:footerReference w:type="default" r:id="rId18"/>
          <w:pgSz w:w="11906" w:h="16838" w:code="9"/>
          <w:pgMar w:top="2381" w:right="1797" w:bottom="1440" w:left="1797" w:header="720" w:footer="709" w:gutter="0"/>
          <w:pgNumType w:fmt="lowerRoman" w:start="1"/>
          <w:cols w:space="708"/>
          <w:formProt w:val="0"/>
          <w:docGrid w:linePitch="360"/>
        </w:sectPr>
      </w:pPr>
    </w:p>
    <w:p w:rsidR="002838F8" w:rsidRDefault="002838F8" w:rsidP="002838F8">
      <w:pPr>
        <w:pStyle w:val="ActHead2"/>
      </w:pPr>
      <w:bookmarkStart w:id="1" w:name="_Toc133830879"/>
      <w:r>
        <w:lastRenderedPageBreak/>
        <w:t>Part 1—Introductory</w:t>
      </w:r>
      <w:bookmarkEnd w:id="1"/>
    </w:p>
    <w:p w:rsidR="002838F8" w:rsidRPr="002A0313" w:rsidRDefault="002838F8" w:rsidP="002838F8">
      <w:pPr>
        <w:pStyle w:val="ActHead5"/>
      </w:pPr>
      <w:bookmarkStart w:id="2" w:name="_Toc133830880"/>
      <w:r>
        <w:t xml:space="preserve">1  </w:t>
      </w:r>
      <w:r w:rsidRPr="002A0313">
        <w:t>Name</w:t>
      </w:r>
      <w:bookmarkEnd w:id="2"/>
    </w:p>
    <w:p w:rsidR="002838F8" w:rsidRDefault="002838F8" w:rsidP="002838F8">
      <w:pPr>
        <w:pStyle w:val="subsection"/>
      </w:pPr>
      <w:r w:rsidRPr="002A0313">
        <w:tab/>
      </w:r>
      <w:r w:rsidRPr="002A0313">
        <w:tab/>
        <w:t xml:space="preserve">This is the </w:t>
      </w:r>
      <w:bookmarkStart w:id="3" w:name="BKCheck15B_3"/>
      <w:bookmarkEnd w:id="3"/>
      <w:r>
        <w:rPr>
          <w:i/>
        </w:rPr>
        <w:t>Health Insurance (Accredited Pathology Laboratories—Approval) Principles 2017</w:t>
      </w:r>
      <w:r w:rsidRPr="002A0313">
        <w:t>.</w:t>
      </w:r>
    </w:p>
    <w:p w:rsidR="002838F8" w:rsidRPr="002A0313" w:rsidRDefault="002838F8" w:rsidP="002838F8">
      <w:pPr>
        <w:pStyle w:val="ActHead5"/>
      </w:pPr>
      <w:bookmarkStart w:id="4" w:name="_Toc133830881"/>
      <w:r>
        <w:t xml:space="preserve">3  </w:t>
      </w:r>
      <w:r w:rsidRPr="002A0313">
        <w:t>Authority</w:t>
      </w:r>
      <w:bookmarkEnd w:id="4"/>
    </w:p>
    <w:p w:rsidR="002838F8" w:rsidRPr="000A5424" w:rsidRDefault="002838F8" w:rsidP="002838F8">
      <w:pPr>
        <w:pStyle w:val="subsection"/>
      </w:pPr>
      <w:r>
        <w:tab/>
      </w:r>
      <w:r>
        <w:tab/>
      </w:r>
      <w:r w:rsidRPr="002A0313">
        <w:t xml:space="preserve">This </w:t>
      </w:r>
      <w:r>
        <w:t xml:space="preserve">instrument </w:t>
      </w:r>
      <w:r w:rsidRPr="002A0313">
        <w:t>is made under subsection </w:t>
      </w:r>
      <w:r>
        <w:t>23DNA(1)</w:t>
      </w:r>
      <w:r w:rsidRPr="002A0313">
        <w:t xml:space="preserve"> of the </w:t>
      </w:r>
      <w:r>
        <w:t>Act.</w:t>
      </w:r>
    </w:p>
    <w:p w:rsidR="002838F8" w:rsidRDefault="002838F8" w:rsidP="002838F8">
      <w:pPr>
        <w:pStyle w:val="ActHead5"/>
      </w:pPr>
      <w:bookmarkStart w:id="5" w:name="_Toc133830882"/>
      <w:r>
        <w:t>4  Application of Principles</w:t>
      </w:r>
      <w:bookmarkEnd w:id="5"/>
    </w:p>
    <w:p w:rsidR="002838F8" w:rsidRPr="00102798" w:rsidRDefault="002838F8" w:rsidP="002838F8">
      <w:pPr>
        <w:pStyle w:val="subsection"/>
      </w:pPr>
      <w:r>
        <w:tab/>
        <w:t>(1)</w:t>
      </w:r>
      <w:r>
        <w:tab/>
        <w:t>These Principles apply to the exercise by the Minister of a power under section 23DN of the Act on and after commencement in relation to:</w:t>
      </w:r>
    </w:p>
    <w:p w:rsidR="002838F8" w:rsidRDefault="002838F8" w:rsidP="002838F8">
      <w:pPr>
        <w:pStyle w:val="paragraph"/>
      </w:pPr>
      <w:r>
        <w:tab/>
        <w:t>(a)</w:t>
      </w:r>
      <w:r>
        <w:tab/>
        <w:t>an application for approval of premises as an accredited pathology laboratory whether that application was made before or after commencement; and</w:t>
      </w:r>
    </w:p>
    <w:p w:rsidR="002838F8" w:rsidRDefault="002838F8" w:rsidP="002838F8">
      <w:pPr>
        <w:pStyle w:val="paragraph"/>
      </w:pPr>
      <w:r>
        <w:tab/>
        <w:t>(b)</w:t>
      </w:r>
      <w:r>
        <w:tab/>
        <w:t>the exercise by the Minister of a power to revoke or vary an approval of premises whether the approval was given before or after commencement.</w:t>
      </w:r>
    </w:p>
    <w:p w:rsidR="002838F8" w:rsidRPr="000A5424" w:rsidRDefault="002838F8" w:rsidP="002838F8">
      <w:pPr>
        <w:pStyle w:val="notetext"/>
      </w:pPr>
      <w:r>
        <w:t>Note:</w:t>
      </w:r>
      <w:r>
        <w:tab/>
        <w:t xml:space="preserve">See subsection 23DN(6A) of the Act. </w:t>
      </w:r>
    </w:p>
    <w:p w:rsidR="002838F8" w:rsidRDefault="002838F8" w:rsidP="002838F8">
      <w:pPr>
        <w:pStyle w:val="ActHead5"/>
      </w:pPr>
      <w:bookmarkStart w:id="6" w:name="_Toc133830883"/>
      <w:r>
        <w:t>5  Interpretation</w:t>
      </w:r>
      <w:bookmarkEnd w:id="6"/>
    </w:p>
    <w:p w:rsidR="002838F8" w:rsidRDefault="002838F8" w:rsidP="002838F8">
      <w:pPr>
        <w:pStyle w:val="subsection"/>
      </w:pPr>
      <w:r>
        <w:tab/>
        <w:t>(1)</w:t>
      </w:r>
      <w:r>
        <w:tab/>
        <w:t xml:space="preserve">Words in this instrument have, unless they are otherwise defined, the same meaning as in the Act. </w:t>
      </w:r>
    </w:p>
    <w:p w:rsidR="00827B65" w:rsidRDefault="00827B65" w:rsidP="00827B65">
      <w:pPr>
        <w:pStyle w:val="notetext"/>
      </w:pPr>
      <w:r>
        <w:t>Note:</w:t>
      </w:r>
      <w:r>
        <w:tab/>
        <w:t>A number of expressions used in this instrument are defined in the Act, including the following:</w:t>
      </w:r>
    </w:p>
    <w:p w:rsidR="00827B65" w:rsidRDefault="00827B65" w:rsidP="00827B65">
      <w:pPr>
        <w:pStyle w:val="notepara"/>
      </w:pPr>
      <w:r>
        <w:sym w:font="Symbol" w:char="F0B7"/>
      </w:r>
      <w:r>
        <w:tab/>
      </w:r>
      <w:r w:rsidRPr="00BB6884">
        <w:t>accredited pathology laboratory</w:t>
      </w:r>
      <w:r>
        <w:t>;</w:t>
      </w:r>
    </w:p>
    <w:p w:rsidR="00827B65" w:rsidRPr="00BB6884" w:rsidRDefault="00827B65" w:rsidP="00827B65">
      <w:pPr>
        <w:pStyle w:val="notepara"/>
      </w:pPr>
      <w:r>
        <w:sym w:font="Symbol" w:char="F0B7"/>
      </w:r>
      <w:r>
        <w:tab/>
        <w:t>approved pathology authority;</w:t>
      </w:r>
    </w:p>
    <w:p w:rsidR="00827B65" w:rsidRDefault="00827B65" w:rsidP="00827B65">
      <w:pPr>
        <w:pStyle w:val="notepara"/>
      </w:pPr>
      <w:r>
        <w:sym w:font="Symbol" w:char="F0B7"/>
      </w:r>
      <w:r>
        <w:tab/>
      </w:r>
      <w:r w:rsidRPr="00BB6884">
        <w:t>approved pathology practitioner</w:t>
      </w:r>
      <w:r>
        <w:t>;</w:t>
      </w:r>
    </w:p>
    <w:p w:rsidR="00827B65" w:rsidRPr="00BB6884" w:rsidRDefault="00827B65" w:rsidP="00827B65">
      <w:pPr>
        <w:pStyle w:val="notepara"/>
      </w:pPr>
      <w:r>
        <w:sym w:font="Symbol" w:char="F0B7"/>
      </w:r>
      <w:r>
        <w:tab/>
        <w:t>medical practitioner;</w:t>
      </w:r>
    </w:p>
    <w:p w:rsidR="00827B65" w:rsidRPr="00BB6884" w:rsidRDefault="00827B65" w:rsidP="00827B65">
      <w:pPr>
        <w:pStyle w:val="notepara"/>
      </w:pPr>
      <w:r>
        <w:sym w:font="Symbol" w:char="F0B7"/>
      </w:r>
      <w:r>
        <w:tab/>
      </w:r>
      <w:r w:rsidRPr="00BB6884">
        <w:t>pathology service</w:t>
      </w:r>
      <w:r>
        <w:t>;</w:t>
      </w:r>
    </w:p>
    <w:p w:rsidR="00827B65" w:rsidRDefault="00827B65" w:rsidP="00827B65">
      <w:pPr>
        <w:pStyle w:val="notepara"/>
      </w:pPr>
      <w:r>
        <w:sym w:font="Symbol" w:char="F0B7"/>
      </w:r>
      <w:r>
        <w:tab/>
      </w:r>
      <w:r w:rsidRPr="00BB6884">
        <w:t>pathology services table.</w:t>
      </w:r>
    </w:p>
    <w:p w:rsidR="002838F8" w:rsidRPr="00E87BF4" w:rsidRDefault="002838F8" w:rsidP="002838F8">
      <w:pPr>
        <w:pStyle w:val="subsection"/>
      </w:pPr>
      <w:r>
        <w:tab/>
        <w:t>(2)</w:t>
      </w:r>
      <w:r>
        <w:tab/>
      </w:r>
      <w:r w:rsidRPr="00E87BF4">
        <w:t>In these Principles:</w:t>
      </w:r>
    </w:p>
    <w:p w:rsidR="002838F8" w:rsidRDefault="002838F8" w:rsidP="002838F8">
      <w:pPr>
        <w:pStyle w:val="Definition"/>
      </w:pPr>
      <w:r w:rsidRPr="00E87BF4">
        <w:rPr>
          <w:b/>
          <w:bCs/>
          <w:i/>
          <w:iCs/>
        </w:rPr>
        <w:t>accreditation action</w:t>
      </w:r>
      <w:r w:rsidRPr="00E87BF4">
        <w:rPr>
          <w:b/>
          <w:i/>
        </w:rPr>
        <w:t xml:space="preserve"> </w:t>
      </w:r>
      <w:r w:rsidRPr="00E87BF4">
        <w:t xml:space="preserve">means an independent body’s grant, refusal to grant or revocation of accreditation, however any of these actions are described, in relation to the </w:t>
      </w:r>
      <w:r>
        <w:t>rendering</w:t>
      </w:r>
      <w:r w:rsidRPr="00E87BF4">
        <w:t xml:space="preserve"> of some or all of </w:t>
      </w:r>
      <w:r>
        <w:t xml:space="preserve">the pathology services </w:t>
      </w:r>
      <w:r w:rsidRPr="00E87BF4">
        <w:t>at premises.</w:t>
      </w:r>
    </w:p>
    <w:p w:rsidR="00827B65" w:rsidRPr="00DD1B4E" w:rsidRDefault="00827B65" w:rsidP="00827B65">
      <w:pPr>
        <w:pStyle w:val="Definition"/>
        <w:rPr>
          <w:b/>
        </w:rPr>
      </w:pPr>
      <w:r w:rsidRPr="00B32A5C">
        <w:rPr>
          <w:rFonts w:eastAsia="Calibri"/>
          <w:b/>
          <w:i/>
        </w:rPr>
        <w:lastRenderedPageBreak/>
        <w:t>accreditation materials</w:t>
      </w:r>
      <w:r w:rsidRPr="00E87BF4">
        <w:rPr>
          <w:rFonts w:eastAsia="Calibri"/>
        </w:rPr>
        <w:t xml:space="preserve"> means</w:t>
      </w:r>
      <w:r>
        <w:rPr>
          <w:rFonts w:eastAsia="Calibri"/>
        </w:rPr>
        <w:t xml:space="preserve"> </w:t>
      </w:r>
      <w:r w:rsidRPr="00E87BF4">
        <w:rPr>
          <w:rFonts w:eastAsia="Calibri"/>
        </w:rPr>
        <w:t>each document mentioned in Schedule</w:t>
      </w:r>
      <w:r>
        <w:rPr>
          <w:rFonts w:eastAsia="Calibri"/>
        </w:rPr>
        <w:t> 1</w:t>
      </w:r>
      <w:r w:rsidRPr="00E87BF4">
        <w:rPr>
          <w:rFonts w:eastAsia="Calibri"/>
        </w:rPr>
        <w:t>, published in the year mentioned for the document.</w:t>
      </w:r>
    </w:p>
    <w:p w:rsidR="002838F8" w:rsidRPr="00E87BF4" w:rsidRDefault="002838F8" w:rsidP="002838F8">
      <w:pPr>
        <w:pStyle w:val="Definition"/>
      </w:pPr>
      <w:r w:rsidRPr="00B32A5C">
        <w:rPr>
          <w:b/>
          <w:bCs/>
          <w:i/>
        </w:rPr>
        <w:t>Act</w:t>
      </w:r>
      <w:r w:rsidRPr="00E87BF4">
        <w:rPr>
          <w:b/>
        </w:rPr>
        <w:t xml:space="preserve"> </w:t>
      </w:r>
      <w:r w:rsidRPr="00E87BF4">
        <w:t xml:space="preserve">means the </w:t>
      </w:r>
      <w:r w:rsidRPr="00D71C65">
        <w:rPr>
          <w:i/>
        </w:rPr>
        <w:t>Health Insurance Act 1973</w:t>
      </w:r>
      <w:r w:rsidRPr="00E87BF4">
        <w:t>.</w:t>
      </w:r>
    </w:p>
    <w:p w:rsidR="002838F8" w:rsidRPr="00E87BF4" w:rsidRDefault="002838F8" w:rsidP="002838F8">
      <w:pPr>
        <w:pStyle w:val="Definition"/>
      </w:pPr>
      <w:r w:rsidRPr="00E87BF4">
        <w:rPr>
          <w:b/>
          <w:bCs/>
          <w:i/>
          <w:iCs/>
        </w:rPr>
        <w:t xml:space="preserve">advisory report </w:t>
      </w:r>
      <w:r w:rsidRPr="00E87BF4">
        <w:t xml:space="preserve">means a report provided by an independent body in accordance with </w:t>
      </w:r>
      <w:r w:rsidRPr="00FF73BF">
        <w:t>subsection 12(3).</w:t>
      </w:r>
    </w:p>
    <w:p w:rsidR="002838F8" w:rsidRPr="00E87BF4" w:rsidRDefault="002838F8" w:rsidP="002838F8">
      <w:pPr>
        <w:pStyle w:val="Definition"/>
      </w:pPr>
      <w:r w:rsidRPr="00E87BF4">
        <w:rPr>
          <w:b/>
          <w:bCs/>
          <w:i/>
          <w:iCs/>
        </w:rPr>
        <w:t xml:space="preserve">assessment report </w:t>
      </w:r>
      <w:r w:rsidRPr="00E87BF4">
        <w:t xml:space="preserve">means a report provided by an independent body or a special adviser in accordance with </w:t>
      </w:r>
      <w:r w:rsidRPr="00FF73BF">
        <w:t>section 9.</w:t>
      </w:r>
    </w:p>
    <w:p w:rsidR="002838F8" w:rsidRPr="00E87BF4" w:rsidRDefault="002838F8" w:rsidP="002838F8">
      <w:pPr>
        <w:pStyle w:val="Definition"/>
      </w:pPr>
      <w:r w:rsidRPr="00E87BF4">
        <w:rPr>
          <w:b/>
          <w:bCs/>
          <w:i/>
          <w:iCs/>
        </w:rPr>
        <w:t>category</w:t>
      </w:r>
      <w:r w:rsidRPr="00E87BF4">
        <w:rPr>
          <w:b/>
          <w:i/>
        </w:rPr>
        <w:t xml:space="preserve"> </w:t>
      </w:r>
      <w:r w:rsidRPr="00E87BF4">
        <w:t xml:space="preserve">means a category under </w:t>
      </w:r>
      <w:r w:rsidRPr="00FF73BF">
        <w:t>section 17.</w:t>
      </w:r>
    </w:p>
    <w:p w:rsidR="00D11581" w:rsidRPr="00615E6F" w:rsidRDefault="00D11581" w:rsidP="00D11581">
      <w:pPr>
        <w:pStyle w:val="Definition"/>
        <w:rPr>
          <w:b/>
        </w:rPr>
      </w:pPr>
      <w:r w:rsidRPr="00D11581">
        <w:rPr>
          <w:b/>
          <w:bCs/>
          <w:i/>
          <w:iCs/>
          <w:color w:val="000000"/>
          <w:szCs w:val="22"/>
          <w:shd w:val="clear" w:color="auto" w:fill="FFFFFF"/>
        </w:rPr>
        <w:t>designated person</w:t>
      </w:r>
      <w:r w:rsidRPr="00615E6F">
        <w:rPr>
          <w:bCs/>
          <w:i/>
          <w:iCs/>
          <w:color w:val="000000"/>
          <w:szCs w:val="22"/>
          <w:shd w:val="clear" w:color="auto" w:fill="FFFFFF"/>
        </w:rPr>
        <w:t> </w:t>
      </w:r>
      <w:r w:rsidRPr="00615E6F">
        <w:rPr>
          <w:color w:val="000000"/>
          <w:szCs w:val="22"/>
          <w:shd w:val="clear" w:color="auto" w:fill="FFFFFF"/>
        </w:rPr>
        <w:t>means a person who is designated in an application for approval under section 23DN of the Act as the person responsible for a premises’ compliance with relevant standards.</w:t>
      </w:r>
    </w:p>
    <w:p w:rsidR="00D11581" w:rsidRPr="003E3F55" w:rsidRDefault="00D11581" w:rsidP="00D11581">
      <w:pPr>
        <w:pStyle w:val="Definition"/>
        <w:rPr>
          <w:b/>
        </w:rPr>
      </w:pPr>
      <w:r w:rsidRPr="00D11581">
        <w:rPr>
          <w:b/>
          <w:bCs/>
          <w:i/>
          <w:iCs/>
          <w:color w:val="000000"/>
          <w:szCs w:val="22"/>
          <w:shd w:val="clear" w:color="auto" w:fill="FFFFFF"/>
        </w:rPr>
        <w:t>group of pathology testing</w:t>
      </w:r>
      <w:r w:rsidRPr="003E3F55">
        <w:rPr>
          <w:bCs/>
          <w:i/>
          <w:iCs/>
          <w:color w:val="000000"/>
          <w:szCs w:val="22"/>
          <w:shd w:val="clear" w:color="auto" w:fill="FFFFFF"/>
        </w:rPr>
        <w:t> </w:t>
      </w:r>
      <w:r w:rsidRPr="003E3F55">
        <w:rPr>
          <w:color w:val="000000"/>
          <w:szCs w:val="22"/>
          <w:shd w:val="clear" w:color="auto" w:fill="FFFFFF"/>
        </w:rPr>
        <w:t>means a group of items in the pathology services table.</w:t>
      </w:r>
    </w:p>
    <w:p w:rsidR="002838F8" w:rsidRPr="00E87BF4" w:rsidRDefault="002838F8" w:rsidP="002838F8">
      <w:pPr>
        <w:pStyle w:val="Definition"/>
      </w:pPr>
      <w:r w:rsidRPr="00B32A5C">
        <w:rPr>
          <w:b/>
          <w:i/>
        </w:rPr>
        <w:t>independent body</w:t>
      </w:r>
      <w:r w:rsidRPr="00E87BF4">
        <w:t xml:space="preserve"> means:</w:t>
      </w:r>
    </w:p>
    <w:p w:rsidR="002838F8" w:rsidRPr="00E87BF4" w:rsidRDefault="002838F8" w:rsidP="002838F8">
      <w:pPr>
        <w:pStyle w:val="paragraph"/>
      </w:pPr>
      <w:r>
        <w:tab/>
        <w:t>(a)</w:t>
      </w:r>
      <w:r>
        <w:tab/>
      </w:r>
      <w:r w:rsidRPr="00E87BF4">
        <w:t>NATA; and</w:t>
      </w:r>
    </w:p>
    <w:p w:rsidR="00827B65" w:rsidRDefault="00827B65" w:rsidP="00827B65">
      <w:pPr>
        <w:pStyle w:val="paragraph"/>
      </w:pPr>
      <w:r>
        <w:tab/>
        <w:t>(b)</w:t>
      </w:r>
      <w:r>
        <w:tab/>
        <w:t>any other organisation approved under subsection (3) by the Minister.</w:t>
      </w:r>
    </w:p>
    <w:p w:rsidR="002838F8" w:rsidRPr="00E87BF4" w:rsidRDefault="002838F8" w:rsidP="002838F8">
      <w:pPr>
        <w:pStyle w:val="Definition"/>
      </w:pPr>
      <w:r w:rsidRPr="00E87BF4">
        <w:rPr>
          <w:b/>
          <w:bCs/>
          <w:i/>
          <w:iCs/>
        </w:rPr>
        <w:t>NATA</w:t>
      </w:r>
      <w:r w:rsidRPr="00E87BF4">
        <w:rPr>
          <w:b/>
          <w:i/>
        </w:rPr>
        <w:t xml:space="preserve"> </w:t>
      </w:r>
      <w:r w:rsidRPr="00E87BF4">
        <w:t>means the National Association of Testing Authorities Australia (ACN 004</w:t>
      </w:r>
      <w:r>
        <w:t> </w:t>
      </w:r>
      <w:r w:rsidRPr="00E87BF4">
        <w:t>379 748).</w:t>
      </w:r>
    </w:p>
    <w:p w:rsidR="002838F8" w:rsidRPr="00E87BF4" w:rsidRDefault="002838F8" w:rsidP="002838F8">
      <w:pPr>
        <w:pStyle w:val="Definition"/>
      </w:pPr>
      <w:r w:rsidRPr="00E87BF4">
        <w:rPr>
          <w:b/>
          <w:bCs/>
          <w:i/>
          <w:iCs/>
        </w:rPr>
        <w:t xml:space="preserve">NPAAC </w:t>
      </w:r>
      <w:r w:rsidRPr="00E87BF4">
        <w:t xml:space="preserve">means the National Pathology Accreditation Advisory Council established under </w:t>
      </w:r>
      <w:r w:rsidRPr="00FF73BF">
        <w:t>subsection 9(1)</w:t>
      </w:r>
      <w:r w:rsidRPr="00E87BF4">
        <w:t xml:space="preserve"> of the </w:t>
      </w:r>
      <w:r w:rsidRPr="00E87BF4">
        <w:rPr>
          <w:i/>
          <w:iCs/>
        </w:rPr>
        <w:t>National Health Act 1953</w:t>
      </w:r>
      <w:r w:rsidRPr="00E87BF4">
        <w:t>.</w:t>
      </w:r>
    </w:p>
    <w:p w:rsidR="002838F8" w:rsidRDefault="002838F8" w:rsidP="002838F8">
      <w:pPr>
        <w:pStyle w:val="Definition"/>
        <w:rPr>
          <w:bCs/>
          <w:iCs/>
        </w:rPr>
      </w:pPr>
      <w:r w:rsidRPr="006869E4">
        <w:rPr>
          <w:b/>
          <w:bCs/>
          <w:i/>
          <w:iCs/>
        </w:rPr>
        <w:t xml:space="preserve">pathologist </w:t>
      </w:r>
      <w:r w:rsidRPr="006869E4">
        <w:rPr>
          <w:bCs/>
          <w:iCs/>
        </w:rPr>
        <w:t xml:space="preserve">means a medical practitioner recognised as a specialist for the purposes of the Act in relation to any of the specialties listed in Column 3, Item 113 of Schedule 4 of the </w:t>
      </w:r>
      <w:r w:rsidRPr="006869E4">
        <w:rPr>
          <w:bCs/>
          <w:i/>
          <w:iCs/>
        </w:rPr>
        <w:t>Health Insurance Regulations 1975</w:t>
      </w:r>
      <w:r w:rsidRPr="006869E4">
        <w:rPr>
          <w:bCs/>
          <w:iCs/>
        </w:rPr>
        <w:t>, or regulations made to replace those regulations.</w:t>
      </w:r>
    </w:p>
    <w:p w:rsidR="003706D3" w:rsidRPr="004C215F" w:rsidRDefault="003706D3" w:rsidP="003706D3">
      <w:pPr>
        <w:pStyle w:val="Definition"/>
      </w:pPr>
      <w:r w:rsidRPr="004C215F">
        <w:rPr>
          <w:b/>
          <w:i/>
        </w:rPr>
        <w:t>pathology discipline with a national workforce shortage</w:t>
      </w:r>
      <w:r w:rsidRPr="004C215F">
        <w:t xml:space="preserve"> means any of the following pathology disciplines:</w:t>
      </w:r>
    </w:p>
    <w:p w:rsidR="003706D3" w:rsidRPr="004C215F" w:rsidRDefault="003706D3" w:rsidP="003706D3">
      <w:pPr>
        <w:pStyle w:val="paragraph"/>
      </w:pPr>
      <w:r w:rsidRPr="004C215F">
        <w:tab/>
        <w:t>(a)</w:t>
      </w:r>
      <w:r w:rsidRPr="004C215F">
        <w:tab/>
        <w:t>genomics (including cytogenetics and biochemical genetics);</w:t>
      </w:r>
    </w:p>
    <w:p w:rsidR="003706D3" w:rsidRPr="004C215F" w:rsidRDefault="003706D3" w:rsidP="003706D3">
      <w:pPr>
        <w:pStyle w:val="paragraph"/>
      </w:pPr>
      <w:r w:rsidRPr="004C215F">
        <w:tab/>
        <w:t>(b)</w:t>
      </w:r>
      <w:r w:rsidRPr="004C215F">
        <w:tab/>
        <w:t>immunology;</w:t>
      </w:r>
    </w:p>
    <w:p w:rsidR="003706D3" w:rsidRPr="004C215F" w:rsidRDefault="003706D3" w:rsidP="003706D3">
      <w:pPr>
        <w:pStyle w:val="paragraph"/>
      </w:pPr>
      <w:r w:rsidRPr="004C215F">
        <w:tab/>
        <w:t>(c)</w:t>
      </w:r>
      <w:r w:rsidRPr="004C215F">
        <w:tab/>
        <w:t>chemical pathology.</w:t>
      </w:r>
    </w:p>
    <w:p w:rsidR="002838F8" w:rsidRPr="00E87BF4" w:rsidRDefault="002838F8" w:rsidP="002838F8">
      <w:pPr>
        <w:pStyle w:val="Definition"/>
      </w:pPr>
      <w:r w:rsidRPr="00E87BF4">
        <w:rPr>
          <w:b/>
          <w:bCs/>
          <w:i/>
          <w:iCs/>
        </w:rPr>
        <w:t>premises</w:t>
      </w:r>
      <w:r w:rsidRPr="00E87BF4">
        <w:rPr>
          <w:b/>
          <w:i/>
        </w:rPr>
        <w:t xml:space="preserve"> </w:t>
      </w:r>
      <w:r w:rsidRPr="00E87BF4">
        <w:t>means premises or a part of any premises</w:t>
      </w:r>
      <w:r>
        <w:t xml:space="preserve"> used or proposed to be used as</w:t>
      </w:r>
      <w:r w:rsidRPr="00E87BF4">
        <w:t xml:space="preserve"> a pathology laboratory.</w:t>
      </w:r>
    </w:p>
    <w:p w:rsidR="002838F8" w:rsidRDefault="002838F8" w:rsidP="002838F8">
      <w:pPr>
        <w:pStyle w:val="Definition"/>
      </w:pPr>
      <w:r w:rsidRPr="00E87BF4">
        <w:rPr>
          <w:b/>
          <w:bCs/>
          <w:i/>
          <w:iCs/>
        </w:rPr>
        <w:lastRenderedPageBreak/>
        <w:t>relevant standards</w:t>
      </w:r>
      <w:r w:rsidRPr="00E87BF4">
        <w:rPr>
          <w:b/>
          <w:i/>
        </w:rPr>
        <w:t xml:space="preserve"> </w:t>
      </w:r>
      <w:r w:rsidRPr="00E87BF4">
        <w:t xml:space="preserve">means standards set out in the accreditation materials and in </w:t>
      </w:r>
      <w:r w:rsidR="00D11581">
        <w:t>section 18</w:t>
      </w:r>
      <w:r w:rsidRPr="00FF73BF">
        <w:t>.</w:t>
      </w:r>
    </w:p>
    <w:p w:rsidR="00D11581" w:rsidRPr="00615E6F" w:rsidRDefault="00D11581" w:rsidP="00D11581">
      <w:pPr>
        <w:pStyle w:val="Definition"/>
        <w:rPr>
          <w:color w:val="000000"/>
          <w:szCs w:val="22"/>
        </w:rPr>
      </w:pPr>
      <w:r w:rsidRPr="00615E6F">
        <w:rPr>
          <w:b/>
          <w:bCs/>
          <w:i/>
          <w:iCs/>
          <w:color w:val="000000"/>
          <w:szCs w:val="22"/>
        </w:rPr>
        <w:t>scope of practice</w:t>
      </w:r>
      <w:r w:rsidRPr="00615E6F">
        <w:rPr>
          <w:color w:val="000000"/>
          <w:szCs w:val="22"/>
        </w:rPr>
        <w:t> means the discipline and areas of testing in which a person has:</w:t>
      </w:r>
    </w:p>
    <w:p w:rsidR="00D11581" w:rsidRPr="00615E6F" w:rsidRDefault="00D11581" w:rsidP="00D11581">
      <w:pPr>
        <w:pStyle w:val="paragraph"/>
        <w:rPr>
          <w:color w:val="000000"/>
          <w:szCs w:val="22"/>
        </w:rPr>
      </w:pPr>
      <w:r>
        <w:rPr>
          <w:color w:val="000000"/>
          <w:szCs w:val="22"/>
        </w:rPr>
        <w:tab/>
        <w:t>(a)</w:t>
      </w:r>
      <w:r>
        <w:rPr>
          <w:color w:val="000000"/>
          <w:szCs w:val="22"/>
        </w:rPr>
        <w:tab/>
      </w:r>
      <w:r w:rsidRPr="00615E6F">
        <w:rPr>
          <w:color w:val="000000"/>
          <w:szCs w:val="22"/>
        </w:rPr>
        <w:t xml:space="preserve">been trained and successfully examined or assessed as competent by the </w:t>
      </w:r>
      <w:r w:rsidRPr="00D11581">
        <w:t>relevant</w:t>
      </w:r>
      <w:r w:rsidRPr="00615E6F">
        <w:rPr>
          <w:color w:val="000000"/>
          <w:szCs w:val="22"/>
        </w:rPr>
        <w:t xml:space="preserve"> College, professional society, or credentialing body; and </w:t>
      </w:r>
    </w:p>
    <w:p w:rsidR="00D11581" w:rsidRPr="00615E6F" w:rsidRDefault="00D11581" w:rsidP="00D11581">
      <w:pPr>
        <w:pStyle w:val="paragraph"/>
        <w:rPr>
          <w:color w:val="000000"/>
          <w:szCs w:val="22"/>
        </w:rPr>
      </w:pPr>
      <w:r>
        <w:rPr>
          <w:color w:val="000000"/>
          <w:szCs w:val="22"/>
        </w:rPr>
        <w:tab/>
        <w:t>(b)</w:t>
      </w:r>
      <w:r>
        <w:rPr>
          <w:color w:val="000000"/>
          <w:szCs w:val="22"/>
        </w:rPr>
        <w:tab/>
      </w:r>
      <w:r w:rsidRPr="00615E6F">
        <w:rPr>
          <w:color w:val="000000"/>
          <w:szCs w:val="22"/>
        </w:rPr>
        <w:t xml:space="preserve">met </w:t>
      </w:r>
      <w:r w:rsidRPr="00D11581">
        <w:t>current</w:t>
      </w:r>
      <w:r w:rsidRPr="00615E6F">
        <w:rPr>
          <w:color w:val="000000"/>
          <w:szCs w:val="22"/>
        </w:rPr>
        <w:t xml:space="preserve"> Continuing Professional Development and recency of practice requirements.</w:t>
      </w:r>
    </w:p>
    <w:p w:rsidR="003706D3" w:rsidRPr="004C215F" w:rsidRDefault="003706D3" w:rsidP="003706D3">
      <w:pPr>
        <w:pStyle w:val="Definition"/>
      </w:pPr>
      <w:r w:rsidRPr="004C215F">
        <w:rPr>
          <w:b/>
          <w:i/>
        </w:rPr>
        <w:t>S(FC) laboratory</w:t>
      </w:r>
      <w:r w:rsidRPr="004C215F">
        <w:t xml:space="preserve"> has the same meaning as in the </w:t>
      </w:r>
      <w:r w:rsidRPr="004C215F">
        <w:rPr>
          <w:i/>
          <w:shd w:val="clear" w:color="auto" w:fill="FFFFFF"/>
        </w:rPr>
        <w:t>Requirements for Supervision in the Clinical Governance of Medical Pathology Laboratories (Sixth Edition 2021)</w:t>
      </w:r>
      <w:r w:rsidRPr="004C215F">
        <w:rPr>
          <w:shd w:val="clear" w:color="auto" w:fill="FFFFFF"/>
        </w:rPr>
        <w:t>.</w:t>
      </w:r>
    </w:p>
    <w:p w:rsidR="002838F8" w:rsidRPr="00E87BF4" w:rsidRDefault="002838F8" w:rsidP="002838F8">
      <w:pPr>
        <w:pStyle w:val="Definition"/>
      </w:pPr>
      <w:r w:rsidRPr="00E87BF4">
        <w:rPr>
          <w:b/>
          <w:bCs/>
          <w:i/>
          <w:iCs/>
        </w:rPr>
        <w:t xml:space="preserve">special adviser </w:t>
      </w:r>
      <w:r w:rsidRPr="00E87BF4">
        <w:t xml:space="preserve">means a person appointed by the Minister to advise the Minister on the standards of pathology services </w:t>
      </w:r>
      <w:r>
        <w:t>render</w:t>
      </w:r>
      <w:r w:rsidRPr="00E87BF4">
        <w:t>ed at premises.</w:t>
      </w:r>
    </w:p>
    <w:p w:rsidR="002838F8" w:rsidRPr="00E87BF4" w:rsidRDefault="002838F8" w:rsidP="002838F8">
      <w:pPr>
        <w:pStyle w:val="Definition"/>
      </w:pPr>
      <w:r w:rsidRPr="00E87BF4">
        <w:rPr>
          <w:b/>
          <w:bCs/>
          <w:i/>
          <w:iCs/>
        </w:rPr>
        <w:t>State</w:t>
      </w:r>
      <w:r w:rsidRPr="00E87BF4">
        <w:rPr>
          <w:b/>
          <w:i/>
        </w:rPr>
        <w:t xml:space="preserve"> </w:t>
      </w:r>
      <w:r w:rsidRPr="00E87BF4">
        <w:t>includes a Territory.</w:t>
      </w:r>
    </w:p>
    <w:p w:rsidR="002838F8" w:rsidRPr="00E87BF4" w:rsidRDefault="002838F8" w:rsidP="002838F8">
      <w:pPr>
        <w:pStyle w:val="Definition"/>
      </w:pPr>
      <w:r w:rsidRPr="00E87BF4">
        <w:rPr>
          <w:b/>
          <w:bCs/>
          <w:i/>
          <w:iCs/>
        </w:rPr>
        <w:t xml:space="preserve">State accreditation </w:t>
      </w:r>
      <w:r w:rsidRPr="00E87BF4">
        <w:t>means accreditation under an accreditation system under the written law of a State or under a State Government administrative arrangement to provide accreditation, however described, for provision of pathology services.</w:t>
      </w:r>
    </w:p>
    <w:p w:rsidR="002838F8" w:rsidRPr="00E87BF4" w:rsidRDefault="002838F8" w:rsidP="002838F8">
      <w:pPr>
        <w:pStyle w:val="Definition"/>
      </w:pPr>
      <w:r w:rsidRPr="00E87BF4">
        <w:rPr>
          <w:b/>
          <w:bCs/>
          <w:i/>
          <w:iCs/>
        </w:rPr>
        <w:t>undertaking</w:t>
      </w:r>
      <w:r w:rsidRPr="00E87BF4">
        <w:rPr>
          <w:b/>
          <w:i/>
        </w:rPr>
        <w:t xml:space="preserve"> </w:t>
      </w:r>
      <w:r w:rsidRPr="00E87BF4">
        <w:t>means an undertaking given under section</w:t>
      </w:r>
      <w:r>
        <w:t> </w:t>
      </w:r>
      <w:r w:rsidRPr="00E87BF4">
        <w:t>23DC or section</w:t>
      </w:r>
      <w:r>
        <w:t> </w:t>
      </w:r>
      <w:r w:rsidRPr="00E87BF4">
        <w:t>23DF of the Act.</w:t>
      </w:r>
    </w:p>
    <w:p w:rsidR="002838F8" w:rsidRPr="00E87BF4" w:rsidRDefault="002838F8" w:rsidP="002838F8">
      <w:pPr>
        <w:pStyle w:val="subsection"/>
      </w:pPr>
      <w:r>
        <w:tab/>
        <w:t>(3)</w:t>
      </w:r>
      <w:r>
        <w:tab/>
      </w:r>
      <w:r w:rsidRPr="00E87BF4">
        <w:t xml:space="preserve">Subject to </w:t>
      </w:r>
      <w:r w:rsidR="00827B65">
        <w:t>subsection (4)</w:t>
      </w:r>
      <w:r w:rsidRPr="00E87BF4">
        <w:t xml:space="preserve">, the Minister may approve an organisation as an independent body in relation to a </w:t>
      </w:r>
      <w:r w:rsidR="00827B65" w:rsidRPr="00753CB6">
        <w:t>category or categories of laboratory</w:t>
      </w:r>
      <w:r w:rsidRPr="00E87BF4">
        <w:t xml:space="preserve"> for the purposes of these Principles.</w:t>
      </w:r>
    </w:p>
    <w:p w:rsidR="002838F8" w:rsidRPr="00E87BF4" w:rsidRDefault="002838F8" w:rsidP="002838F8">
      <w:pPr>
        <w:pStyle w:val="subsection"/>
      </w:pPr>
      <w:r>
        <w:tab/>
        <w:t>(4)</w:t>
      </w:r>
      <w:r>
        <w:tab/>
      </w:r>
      <w:r w:rsidRPr="00E87BF4">
        <w:t xml:space="preserve">In making a decision under </w:t>
      </w:r>
      <w:r>
        <w:t>subsection (3</w:t>
      </w:r>
      <w:r w:rsidRPr="00E87BF4">
        <w:t>) the Minister must take into account that:</w:t>
      </w:r>
    </w:p>
    <w:p w:rsidR="002838F8" w:rsidRDefault="002838F8" w:rsidP="002838F8">
      <w:pPr>
        <w:pStyle w:val="paragraph"/>
      </w:pPr>
      <w:r>
        <w:tab/>
        <w:t>(a)</w:t>
      </w:r>
      <w:r>
        <w:tab/>
      </w:r>
      <w:r w:rsidRPr="00E87BF4">
        <w:t>ordinarily an organisat</w:t>
      </w:r>
      <w:r>
        <w:t xml:space="preserve">ion other than NATA should </w:t>
      </w:r>
      <w:r w:rsidRPr="00E87BF4">
        <w:t>be approved</w:t>
      </w:r>
      <w:r>
        <w:t xml:space="preserve"> only</w:t>
      </w:r>
      <w:r w:rsidRPr="00E87BF4">
        <w:t xml:space="preserve"> if there is a high level of confidence that the </w:t>
      </w:r>
      <w:r w:rsidR="00827B65" w:rsidRPr="00F2045D">
        <w:t>organisation is a suitable organisation</w:t>
      </w:r>
      <w:r w:rsidRPr="00E87BF4">
        <w:t xml:space="preserve"> to act as an independent body for th</w:t>
      </w:r>
      <w:r>
        <w:t>e purposes of these Principles;</w:t>
      </w:r>
      <w:r w:rsidRPr="00E87BF4">
        <w:t xml:space="preserve"> and </w:t>
      </w:r>
    </w:p>
    <w:p w:rsidR="002838F8" w:rsidRDefault="002838F8" w:rsidP="002838F8">
      <w:pPr>
        <w:pStyle w:val="paragraph"/>
      </w:pPr>
      <w:r>
        <w:tab/>
        <w:t>(b)</w:t>
      </w:r>
      <w:r>
        <w:tab/>
        <w:t xml:space="preserve">the objects of </w:t>
      </w:r>
      <w:r w:rsidR="00827B65">
        <w:t>these Principles</w:t>
      </w:r>
      <w:r>
        <w:t xml:space="preserve"> should not be negatively affected by competitive pressures on any independent body.</w:t>
      </w:r>
    </w:p>
    <w:p w:rsidR="002838F8" w:rsidRPr="00E87BF4" w:rsidRDefault="002838F8" w:rsidP="002838F8">
      <w:pPr>
        <w:pStyle w:val="subsection"/>
      </w:pPr>
      <w:r>
        <w:tab/>
        <w:t>(5)</w:t>
      </w:r>
      <w:r>
        <w:tab/>
      </w:r>
      <w:r w:rsidRPr="00E87BF4">
        <w:t>A reference in these Principles to the revocation of accreditation by an independent body or to revocation of State accreditation includes, without limitation:</w:t>
      </w:r>
    </w:p>
    <w:p w:rsidR="002838F8" w:rsidRPr="00E87BF4" w:rsidRDefault="002838F8" w:rsidP="002838F8">
      <w:pPr>
        <w:pStyle w:val="paragraph"/>
      </w:pPr>
      <w:r>
        <w:tab/>
        <w:t>(a)</w:t>
      </w:r>
      <w:r>
        <w:tab/>
      </w:r>
      <w:r w:rsidRPr="00E87BF4">
        <w:t>action taken by the independent body;</w:t>
      </w:r>
    </w:p>
    <w:p w:rsidR="002838F8" w:rsidRPr="00E87BF4" w:rsidRDefault="002838F8" w:rsidP="002838F8">
      <w:pPr>
        <w:pStyle w:val="paragraph"/>
      </w:pPr>
      <w:r>
        <w:tab/>
        <w:t>(b)</w:t>
      </w:r>
      <w:r>
        <w:tab/>
      </w:r>
      <w:r w:rsidRPr="00E87BF4">
        <w:t>action taken in a State accreditation process;</w:t>
      </w:r>
    </w:p>
    <w:p w:rsidR="002838F8" w:rsidRPr="00E87BF4" w:rsidRDefault="002838F8" w:rsidP="002838F8">
      <w:pPr>
        <w:pStyle w:val="paragraph"/>
      </w:pPr>
      <w:r>
        <w:lastRenderedPageBreak/>
        <w:tab/>
        <w:t>(c)</w:t>
      </w:r>
      <w:r>
        <w:tab/>
      </w:r>
      <w:r w:rsidRPr="00E87BF4">
        <w:t>the operation of rules of the independent body;</w:t>
      </w:r>
    </w:p>
    <w:p w:rsidR="002838F8" w:rsidRPr="00E87BF4" w:rsidRDefault="002838F8" w:rsidP="002838F8">
      <w:pPr>
        <w:pStyle w:val="paragraph"/>
      </w:pPr>
      <w:r>
        <w:tab/>
        <w:t>(d)</w:t>
      </w:r>
      <w:r>
        <w:tab/>
      </w:r>
      <w:r w:rsidRPr="00E87BF4">
        <w:t>the operation of rules in the State accreditation process;</w:t>
      </w:r>
    </w:p>
    <w:p w:rsidR="002838F8" w:rsidRPr="00E87BF4" w:rsidRDefault="002838F8" w:rsidP="002838F8">
      <w:pPr>
        <w:pStyle w:val="subsection"/>
        <w:spacing w:before="40"/>
      </w:pPr>
      <w:r>
        <w:tab/>
      </w:r>
      <w:r>
        <w:tab/>
      </w:r>
      <w:r w:rsidRPr="00E87BF4">
        <w:t>that has the effect of revoking, cancelling, suspending or rendering inoperative the accreditation, or an aspect of the accreditation, no matter what term is used to describe that action.</w:t>
      </w:r>
    </w:p>
    <w:p w:rsidR="002838F8" w:rsidRPr="00E87BF4" w:rsidRDefault="002838F8" w:rsidP="002838F8">
      <w:pPr>
        <w:pStyle w:val="subsection"/>
      </w:pPr>
      <w:r>
        <w:tab/>
        <w:t>(6)</w:t>
      </w:r>
      <w:r>
        <w:tab/>
      </w:r>
      <w:r w:rsidRPr="00E87BF4">
        <w:t>In these Principles a reference to an application for approval under section</w:t>
      </w:r>
      <w:r>
        <w:t> </w:t>
      </w:r>
      <w:r w:rsidRPr="00E87BF4">
        <w:t>23DN of the Act includes without limitation an application for a variation of an approval:</w:t>
      </w:r>
    </w:p>
    <w:p w:rsidR="002838F8" w:rsidRPr="00E87BF4" w:rsidRDefault="002838F8" w:rsidP="002838F8">
      <w:pPr>
        <w:pStyle w:val="paragraph"/>
      </w:pPr>
      <w:r>
        <w:tab/>
        <w:t>(a)</w:t>
      </w:r>
      <w:r>
        <w:tab/>
      </w:r>
      <w:r w:rsidRPr="00E87BF4">
        <w:t>by adding a kind of service not covered by the approval; or</w:t>
      </w:r>
    </w:p>
    <w:p w:rsidR="002838F8" w:rsidRPr="00E87BF4" w:rsidRDefault="002838F8" w:rsidP="002838F8">
      <w:pPr>
        <w:pStyle w:val="paragraph"/>
      </w:pPr>
      <w:r>
        <w:tab/>
        <w:t>(b)</w:t>
      </w:r>
      <w:r>
        <w:tab/>
      </w:r>
      <w:r w:rsidRPr="00E87BF4">
        <w:t>by changing the category covered by the approval; or</w:t>
      </w:r>
    </w:p>
    <w:p w:rsidR="002838F8" w:rsidRPr="00E87BF4" w:rsidRDefault="002838F8" w:rsidP="002838F8">
      <w:pPr>
        <w:pStyle w:val="paragraph"/>
      </w:pPr>
      <w:r>
        <w:tab/>
        <w:t>(c)</w:t>
      </w:r>
      <w:r>
        <w:tab/>
      </w:r>
      <w:r w:rsidRPr="00E87BF4">
        <w:t>by extending the period of the approval.</w:t>
      </w:r>
    </w:p>
    <w:p w:rsidR="002838F8" w:rsidRPr="00E87BF4" w:rsidRDefault="002838F8" w:rsidP="0054001F">
      <w:pPr>
        <w:pStyle w:val="ActHead2"/>
        <w:pageBreakBefore/>
      </w:pPr>
      <w:bookmarkStart w:id="7" w:name="_Toc133830884"/>
      <w:r>
        <w:rPr>
          <w:rStyle w:val="CharPartNo"/>
        </w:rPr>
        <w:lastRenderedPageBreak/>
        <w:t>Part 2—</w:t>
      </w:r>
      <w:r w:rsidRPr="00E87BF4">
        <w:rPr>
          <w:rStyle w:val="CharPartText"/>
        </w:rPr>
        <w:t>General</w:t>
      </w:r>
      <w:bookmarkEnd w:id="7"/>
    </w:p>
    <w:p w:rsidR="002838F8" w:rsidRPr="00E87BF4" w:rsidRDefault="002838F8" w:rsidP="002838F8">
      <w:pPr>
        <w:pStyle w:val="ActHead5"/>
      </w:pPr>
      <w:bookmarkStart w:id="8" w:name="_Toc133830885"/>
      <w:r>
        <w:t xml:space="preserve">6  </w:t>
      </w:r>
      <w:r w:rsidRPr="00E87BF4">
        <w:t>Purpose and objects of Principles</w:t>
      </w:r>
      <w:bookmarkEnd w:id="8"/>
    </w:p>
    <w:p w:rsidR="002838F8" w:rsidRPr="00E87BF4" w:rsidRDefault="002838F8" w:rsidP="002838F8">
      <w:pPr>
        <w:pStyle w:val="subsection"/>
      </w:pPr>
      <w:r>
        <w:tab/>
        <w:t>(1)</w:t>
      </w:r>
      <w:r>
        <w:tab/>
      </w:r>
      <w:r w:rsidRPr="00E87BF4">
        <w:t>These are the Principles to be applied by the Minister in exercising his or her powers under section</w:t>
      </w:r>
      <w:r>
        <w:t> </w:t>
      </w:r>
      <w:r w:rsidRPr="00E87BF4">
        <w:t xml:space="preserve">23DN of the Act: </w:t>
      </w:r>
    </w:p>
    <w:p w:rsidR="002838F8" w:rsidRPr="00E87BF4" w:rsidRDefault="002838F8" w:rsidP="002838F8">
      <w:pPr>
        <w:pStyle w:val="paragraph"/>
      </w:pPr>
      <w:r>
        <w:tab/>
        <w:t>(a)</w:t>
      </w:r>
      <w:r>
        <w:tab/>
      </w:r>
      <w:r w:rsidRPr="00E87BF4">
        <w:t>to approve in principle premises as an accredited pathology laboratory; and</w:t>
      </w:r>
    </w:p>
    <w:p w:rsidR="002838F8" w:rsidRPr="00E87BF4" w:rsidRDefault="002838F8" w:rsidP="002838F8">
      <w:pPr>
        <w:pStyle w:val="paragraph"/>
      </w:pPr>
      <w:r>
        <w:tab/>
        <w:t>(b)</w:t>
      </w:r>
      <w:r>
        <w:tab/>
      </w:r>
      <w:r w:rsidRPr="00E87BF4">
        <w:t>to refuse to approve premises as an accredited pathology laboratory; and</w:t>
      </w:r>
    </w:p>
    <w:p w:rsidR="002838F8" w:rsidRPr="00E87BF4" w:rsidRDefault="002838F8" w:rsidP="002838F8">
      <w:pPr>
        <w:pStyle w:val="paragraph"/>
      </w:pPr>
      <w:r>
        <w:tab/>
        <w:t>(c)</w:t>
      </w:r>
      <w:r>
        <w:tab/>
      </w:r>
      <w:r w:rsidRPr="00E87BF4">
        <w:t>to vary or revoke an approval in relation to premises.</w:t>
      </w:r>
    </w:p>
    <w:p w:rsidR="002838F8" w:rsidRPr="00E87BF4" w:rsidRDefault="002838F8" w:rsidP="002838F8">
      <w:pPr>
        <w:pStyle w:val="subsection"/>
      </w:pPr>
      <w:r>
        <w:tab/>
        <w:t>(2)</w:t>
      </w:r>
      <w:r>
        <w:tab/>
      </w:r>
      <w:r w:rsidRPr="00E87BF4">
        <w:t xml:space="preserve">The objects of these Principles are to: </w:t>
      </w:r>
    </w:p>
    <w:p w:rsidR="002838F8" w:rsidRPr="00E87BF4" w:rsidRDefault="002838F8" w:rsidP="002838F8">
      <w:pPr>
        <w:pStyle w:val="paragraph"/>
      </w:pPr>
      <w:r>
        <w:tab/>
        <w:t>(a)</w:t>
      </w:r>
      <w:r>
        <w:tab/>
      </w:r>
      <w:r w:rsidRPr="00E87BF4">
        <w:t xml:space="preserve">support the diagnosis and treatment of illness in the community by providing </w:t>
      </w:r>
      <w:r>
        <w:t>M</w:t>
      </w:r>
      <w:r w:rsidRPr="00E87BF4">
        <w:t>edicare benefits in rela</w:t>
      </w:r>
      <w:r>
        <w:t>tion to pathology services that</w:t>
      </w:r>
      <w:r w:rsidRPr="00E87BF4">
        <w:t xml:space="preserve"> provide reliable results; and</w:t>
      </w:r>
    </w:p>
    <w:p w:rsidR="002838F8" w:rsidRPr="00E87BF4" w:rsidRDefault="002838F8" w:rsidP="002838F8">
      <w:pPr>
        <w:pStyle w:val="paragraph"/>
      </w:pPr>
      <w:r>
        <w:tab/>
        <w:t>(b)</w:t>
      </w:r>
      <w:r>
        <w:tab/>
      </w:r>
      <w:r w:rsidRPr="00E87BF4">
        <w:t>reduce the risk of misdiagnosis through misleading results being prov</w:t>
      </w:r>
      <w:r>
        <w:t>ided by pathology services that</w:t>
      </w:r>
      <w:r w:rsidRPr="00E87BF4">
        <w:t xml:space="preserve"> do not provide reliable results; and </w:t>
      </w:r>
    </w:p>
    <w:p w:rsidR="002838F8" w:rsidRPr="00E87BF4" w:rsidRDefault="002838F8" w:rsidP="002838F8">
      <w:pPr>
        <w:pStyle w:val="paragraph"/>
      </w:pPr>
      <w:r>
        <w:tab/>
        <w:t>(c)</w:t>
      </w:r>
      <w:r>
        <w:tab/>
      </w:r>
      <w:r w:rsidRPr="00E87BF4">
        <w:t>maintain public confid</w:t>
      </w:r>
      <w:r>
        <w:t>ence in pathology services that</w:t>
      </w:r>
      <w:r w:rsidRPr="00E87BF4">
        <w:t xml:space="preserve"> provide reliable results; and</w:t>
      </w:r>
    </w:p>
    <w:p w:rsidR="002838F8" w:rsidRDefault="002838F8" w:rsidP="002838F8">
      <w:pPr>
        <w:pStyle w:val="paragraph"/>
      </w:pPr>
      <w:r>
        <w:tab/>
        <w:t>(d)</w:t>
      </w:r>
      <w:r>
        <w:tab/>
      </w:r>
      <w:r w:rsidRPr="00E87BF4">
        <w:t>protect limi</w:t>
      </w:r>
      <w:r>
        <w:t>ted public funds available for M</w:t>
      </w:r>
      <w:r w:rsidRPr="00E87BF4">
        <w:t xml:space="preserve">edicare benefits by only providing </w:t>
      </w:r>
      <w:r>
        <w:t>M</w:t>
      </w:r>
      <w:r w:rsidRPr="00E87BF4">
        <w:t xml:space="preserve">edicare benefits in relation to pathology services </w:t>
      </w:r>
      <w:r>
        <w:t>that</w:t>
      </w:r>
      <w:r w:rsidRPr="00E87BF4">
        <w:t xml:space="preserve"> provide reliable results; and</w:t>
      </w:r>
    </w:p>
    <w:p w:rsidR="002838F8" w:rsidRPr="00E87BF4" w:rsidRDefault="002838F8" w:rsidP="002838F8">
      <w:pPr>
        <w:pStyle w:val="paragraph"/>
      </w:pPr>
      <w:r>
        <w:tab/>
        <w:t>(e)</w:t>
      </w:r>
      <w:r>
        <w:tab/>
      </w:r>
      <w:r w:rsidRPr="00E87BF4">
        <w:t>ensure that, as far as practicable, premises will be approved in principle, and will remain approved under section</w:t>
      </w:r>
      <w:r>
        <w:t> </w:t>
      </w:r>
      <w:r w:rsidRPr="00E87BF4">
        <w:t xml:space="preserve">23DN of the Act, for the kind of pathology services and for the category, only if it is established with a high level of confidence that the pathology services to be </w:t>
      </w:r>
      <w:r>
        <w:t>rendered, or rendered,</w:t>
      </w:r>
      <w:r w:rsidRPr="00E87BF4">
        <w:t xml:space="preserve"> at the premises meet, and can be expected to continue to meet, relevant standards for those kinds of services and for that category.</w:t>
      </w:r>
    </w:p>
    <w:p w:rsidR="002838F8" w:rsidRPr="00E87BF4" w:rsidRDefault="002838F8" w:rsidP="002838F8">
      <w:pPr>
        <w:pStyle w:val="ActHead5"/>
      </w:pPr>
      <w:bookmarkStart w:id="9" w:name="_Toc133830886"/>
      <w:r>
        <w:t xml:space="preserve">7  </w:t>
      </w:r>
      <w:r w:rsidRPr="00E87BF4">
        <w:t>Weight to be given to views of independent body</w:t>
      </w:r>
      <w:r w:rsidR="00827B65">
        <w:t xml:space="preserve"> </w:t>
      </w:r>
      <w:r w:rsidR="00827B65" w:rsidRPr="00F2045D">
        <w:t>or special adviser</w:t>
      </w:r>
      <w:bookmarkEnd w:id="9"/>
    </w:p>
    <w:p w:rsidR="002838F8" w:rsidRPr="00E87BF4" w:rsidRDefault="002838F8" w:rsidP="002838F8">
      <w:pPr>
        <w:pStyle w:val="subsection"/>
      </w:pPr>
      <w:r>
        <w:tab/>
        <w:t>(1)</w:t>
      </w:r>
      <w:r>
        <w:tab/>
      </w:r>
      <w:r w:rsidRPr="00E87BF4">
        <w:t>When considering the making of a decision under section</w:t>
      </w:r>
      <w:r>
        <w:t> </w:t>
      </w:r>
      <w:r w:rsidRPr="00E87BF4">
        <w:t>23DN of the Act in relation to premises, the Minister must take into account:</w:t>
      </w:r>
    </w:p>
    <w:p w:rsidR="002838F8" w:rsidRPr="00E87BF4" w:rsidRDefault="002838F8" w:rsidP="002838F8">
      <w:pPr>
        <w:pStyle w:val="paragraph"/>
      </w:pPr>
      <w:r>
        <w:tab/>
        <w:t>(a)</w:t>
      </w:r>
      <w:r>
        <w:tab/>
      </w:r>
      <w:r w:rsidRPr="00E87BF4">
        <w:t>the most recent advisory report, if any, in relation to the premises; and</w:t>
      </w:r>
    </w:p>
    <w:p w:rsidR="002838F8" w:rsidRPr="00E87BF4" w:rsidRDefault="002838F8" w:rsidP="002838F8">
      <w:pPr>
        <w:pStyle w:val="paragraph"/>
      </w:pPr>
      <w:r>
        <w:tab/>
        <w:t>(b)</w:t>
      </w:r>
      <w:r>
        <w:tab/>
      </w:r>
      <w:r w:rsidRPr="00E87BF4">
        <w:t>the most recent assessment report, if any, in relation to the premises; and</w:t>
      </w:r>
    </w:p>
    <w:p w:rsidR="002838F8" w:rsidRPr="00E87BF4" w:rsidRDefault="002838F8" w:rsidP="002838F8">
      <w:pPr>
        <w:pStyle w:val="paragraph"/>
      </w:pPr>
      <w:r>
        <w:tab/>
        <w:t>(c)</w:t>
      </w:r>
      <w:r>
        <w:tab/>
      </w:r>
      <w:r w:rsidRPr="00E87BF4">
        <w:t>the most recent accreditation action, if any, in relation to the premises.</w:t>
      </w:r>
    </w:p>
    <w:p w:rsidR="002838F8" w:rsidRPr="00E87BF4" w:rsidRDefault="002838F8" w:rsidP="002838F8">
      <w:pPr>
        <w:pStyle w:val="subsection"/>
      </w:pPr>
      <w:r>
        <w:tab/>
        <w:t>(2)</w:t>
      </w:r>
      <w:r>
        <w:tab/>
      </w:r>
      <w:r w:rsidRPr="00E87BF4">
        <w:t>The Minister may take into account an advisory report, an assessment report or an accreditation action which is not the most recent.</w:t>
      </w:r>
    </w:p>
    <w:p w:rsidR="002838F8" w:rsidRPr="00E87BF4" w:rsidRDefault="002838F8" w:rsidP="002838F8">
      <w:pPr>
        <w:pStyle w:val="subsection"/>
      </w:pPr>
      <w:r>
        <w:lastRenderedPageBreak/>
        <w:tab/>
        <w:t>(3)</w:t>
      </w:r>
      <w:r>
        <w:tab/>
      </w:r>
      <w:r w:rsidRPr="00E87BF4">
        <w:t>Where there is a difference between:</w:t>
      </w:r>
    </w:p>
    <w:p w:rsidR="002838F8" w:rsidRPr="00E87BF4" w:rsidRDefault="002838F8" w:rsidP="002838F8">
      <w:pPr>
        <w:pStyle w:val="paragraph"/>
      </w:pPr>
      <w:r>
        <w:tab/>
        <w:t>(a)</w:t>
      </w:r>
      <w:r>
        <w:tab/>
      </w:r>
      <w:r w:rsidRPr="00E87BF4">
        <w:t>views expressed or implied by an independent body in its advisory report or assessment report, or by its accreditation action</w:t>
      </w:r>
      <w:r w:rsidR="00827B65" w:rsidRPr="00F2045D">
        <w:t>, or by a special adviser in its assessment report</w:t>
      </w:r>
      <w:r w:rsidRPr="00E87BF4">
        <w:t>; and</w:t>
      </w:r>
    </w:p>
    <w:p w:rsidR="002838F8" w:rsidRPr="00E87BF4" w:rsidRDefault="002838F8" w:rsidP="002838F8">
      <w:pPr>
        <w:pStyle w:val="paragraph"/>
      </w:pPr>
      <w:r>
        <w:tab/>
        <w:t>(b)</w:t>
      </w:r>
      <w:r>
        <w:tab/>
      </w:r>
      <w:r w:rsidRPr="00E87BF4">
        <w:t>any other person’s view obtained and put forward by an applicant for approval or by the holder of an approval under section</w:t>
      </w:r>
      <w:r>
        <w:t> 23DN of the Act;</w:t>
      </w:r>
    </w:p>
    <w:p w:rsidR="002838F8" w:rsidRDefault="002838F8" w:rsidP="002838F8">
      <w:pPr>
        <w:pStyle w:val="subsection"/>
        <w:spacing w:before="40"/>
      </w:pPr>
      <w:r>
        <w:tab/>
      </w:r>
      <w:r>
        <w:tab/>
      </w:r>
      <w:r w:rsidRPr="00E87BF4">
        <w:t>the Minister should generally give greater weight to the views of the independent body</w:t>
      </w:r>
      <w:r w:rsidR="00827B65">
        <w:t xml:space="preserve"> </w:t>
      </w:r>
      <w:r w:rsidR="00827B65" w:rsidRPr="00F2045D">
        <w:t>or the special adviser, as appropriate</w:t>
      </w:r>
      <w:r w:rsidRPr="00E87BF4">
        <w:t>.</w:t>
      </w:r>
    </w:p>
    <w:p w:rsidR="002838F8" w:rsidRPr="00E87BF4" w:rsidRDefault="002838F8" w:rsidP="002838F8">
      <w:pPr>
        <w:pStyle w:val="ActHead5"/>
      </w:pPr>
      <w:bookmarkStart w:id="10" w:name="_Toc133830887"/>
      <w:r>
        <w:t xml:space="preserve">8  </w:t>
      </w:r>
      <w:r w:rsidRPr="00E87BF4">
        <w:t>Action may be taken despite appeal or challenge</w:t>
      </w:r>
      <w:bookmarkEnd w:id="10"/>
    </w:p>
    <w:p w:rsidR="002838F8" w:rsidRPr="00E87BF4" w:rsidRDefault="002838F8" w:rsidP="002838F8">
      <w:pPr>
        <w:pStyle w:val="subsection"/>
      </w:pPr>
      <w:r>
        <w:tab/>
        <w:t>(1)</w:t>
      </w:r>
      <w:r>
        <w:tab/>
      </w:r>
      <w:r w:rsidRPr="00E87BF4">
        <w:t>The Minister must continue to apply the Principles, including taking into account a relevant advisory report, assessment report or accreditation action, even if a person affected by the report or accreditation action is seeking review by the independent body</w:t>
      </w:r>
      <w:r w:rsidR="00827B65">
        <w:t xml:space="preserve"> </w:t>
      </w:r>
      <w:r w:rsidR="00827B65" w:rsidRPr="00F2045D">
        <w:t>or special adviser</w:t>
      </w:r>
      <w:r w:rsidRPr="00E87BF4">
        <w:t xml:space="preserve"> concerned, or by a judicial or other review body, of the report or accreditation action.</w:t>
      </w:r>
    </w:p>
    <w:p w:rsidR="002838F8" w:rsidRPr="00E87BF4" w:rsidRDefault="002838F8" w:rsidP="002838F8">
      <w:pPr>
        <w:pStyle w:val="subsection"/>
      </w:pPr>
      <w:r>
        <w:tab/>
        <w:t>(2)</w:t>
      </w:r>
      <w:r>
        <w:tab/>
        <w:t>If</w:t>
      </w:r>
      <w:r w:rsidRPr="00E87BF4">
        <w:t>:</w:t>
      </w:r>
    </w:p>
    <w:p w:rsidR="002838F8" w:rsidRPr="00E87BF4" w:rsidRDefault="002838F8" w:rsidP="002838F8">
      <w:pPr>
        <w:pStyle w:val="paragraph"/>
      </w:pPr>
      <w:r>
        <w:tab/>
        <w:t>(a)</w:t>
      </w:r>
      <w:r>
        <w:tab/>
      </w:r>
      <w:r w:rsidRPr="00E87BF4">
        <w:t>the Minister has made a decision under section</w:t>
      </w:r>
      <w:r>
        <w:t> </w:t>
      </w:r>
      <w:r w:rsidRPr="00E87BF4">
        <w:t>23DN of the Act after taking into account an advisory report, assessment report or accreditation action of an independent body</w:t>
      </w:r>
      <w:r w:rsidR="00827B65" w:rsidRPr="00F2045D">
        <w:t>, or an assessment report of a special adviser</w:t>
      </w:r>
      <w:r w:rsidRPr="00E87BF4">
        <w:t>; and</w:t>
      </w:r>
    </w:p>
    <w:p w:rsidR="002838F8" w:rsidRPr="00E87BF4" w:rsidRDefault="002838F8" w:rsidP="002838F8">
      <w:pPr>
        <w:pStyle w:val="paragraph"/>
      </w:pPr>
      <w:r>
        <w:tab/>
        <w:t>(b)</w:t>
      </w:r>
      <w:r>
        <w:tab/>
      </w:r>
      <w:r w:rsidR="00A435D5" w:rsidRPr="00F2045D">
        <w:t>the report or accreditation action is later varied</w:t>
      </w:r>
      <w:r w:rsidRPr="00E87BF4">
        <w:t>, or a judicial or other body has set aside or varied the</w:t>
      </w:r>
      <w:r>
        <w:t xml:space="preserve"> report or accreditation action;</w:t>
      </w:r>
    </w:p>
    <w:p w:rsidR="002838F8" w:rsidRDefault="002838F8" w:rsidP="002838F8">
      <w:pPr>
        <w:pStyle w:val="subsection"/>
        <w:spacing w:before="40"/>
      </w:pPr>
      <w:r>
        <w:tab/>
      </w:r>
      <w:r>
        <w:tab/>
      </w:r>
      <w:r w:rsidRPr="00E87BF4">
        <w:t>the Minister may, but is not obliged to, review the decision under section</w:t>
      </w:r>
      <w:r>
        <w:t> </w:t>
      </w:r>
      <w:r w:rsidRPr="00E87BF4">
        <w:t>23DN of the Act.</w:t>
      </w:r>
    </w:p>
    <w:p w:rsidR="002838F8" w:rsidRDefault="002838F8" w:rsidP="002838F8">
      <w:pPr>
        <w:pStyle w:val="subsection"/>
      </w:pPr>
      <w:r>
        <w:tab/>
        <w:t>(3)</w:t>
      </w:r>
      <w:r>
        <w:tab/>
      </w:r>
      <w:r w:rsidRPr="00E87BF4">
        <w:t>If</w:t>
      </w:r>
      <w:r>
        <w:t>:</w:t>
      </w:r>
    </w:p>
    <w:p w:rsidR="002838F8" w:rsidRDefault="002838F8" w:rsidP="002838F8">
      <w:pPr>
        <w:pStyle w:val="paragraph"/>
      </w:pPr>
      <w:r>
        <w:tab/>
        <w:t>(a)</w:t>
      </w:r>
      <w:r>
        <w:tab/>
      </w:r>
      <w:r w:rsidRPr="00E87BF4">
        <w:t xml:space="preserve">the circumstances referred to in </w:t>
      </w:r>
      <w:r>
        <w:t>paragraphs (</w:t>
      </w:r>
      <w:r w:rsidRPr="00E87BF4">
        <w:t>2)</w:t>
      </w:r>
      <w:r>
        <w:t>(a) and (b)</w:t>
      </w:r>
      <w:r w:rsidRPr="00E87BF4">
        <w:t xml:space="preserve"> occur</w:t>
      </w:r>
      <w:r>
        <w:t>;</w:t>
      </w:r>
      <w:r w:rsidRPr="00E87BF4">
        <w:t xml:space="preserve"> and </w:t>
      </w:r>
    </w:p>
    <w:p w:rsidR="002838F8" w:rsidRDefault="002838F8" w:rsidP="002838F8">
      <w:pPr>
        <w:pStyle w:val="paragraph"/>
      </w:pPr>
      <w:r>
        <w:tab/>
        <w:t>(b)</w:t>
      </w:r>
      <w:r>
        <w:tab/>
      </w:r>
      <w:r w:rsidRPr="00E87BF4">
        <w:t>the Minister does not review the decision under section</w:t>
      </w:r>
      <w:r>
        <w:t> 23DN of the Act;</w:t>
      </w:r>
      <w:r w:rsidRPr="00E87BF4">
        <w:t xml:space="preserve"> </w:t>
      </w:r>
    </w:p>
    <w:p w:rsidR="002838F8" w:rsidRDefault="002838F8" w:rsidP="002838F8">
      <w:pPr>
        <w:pStyle w:val="subsection"/>
        <w:spacing w:before="40"/>
      </w:pPr>
      <w:r>
        <w:tab/>
      </w:r>
      <w:r>
        <w:tab/>
      </w:r>
      <w:r w:rsidRPr="00E87BF4">
        <w:t>the Minister must take into account</w:t>
      </w:r>
      <w:r>
        <w:t xml:space="preserve"> the circumstances referred to in paragraph (2)(b) </w:t>
      </w:r>
      <w:r w:rsidRPr="00E87BF4">
        <w:t>when considering a new application for approval under section</w:t>
      </w:r>
      <w:r>
        <w:t> </w:t>
      </w:r>
      <w:r w:rsidRPr="00E87BF4">
        <w:t>23DN of the Act.</w:t>
      </w:r>
    </w:p>
    <w:p w:rsidR="002838F8" w:rsidRPr="00E87BF4" w:rsidRDefault="002838F8" w:rsidP="002838F8">
      <w:pPr>
        <w:pStyle w:val="ActHead5"/>
      </w:pPr>
      <w:bookmarkStart w:id="11" w:name="_Toc133830888"/>
      <w:r>
        <w:t xml:space="preserve">9  </w:t>
      </w:r>
      <w:r w:rsidRPr="00E87BF4">
        <w:t>Assessment report by independent body</w:t>
      </w:r>
      <w:r w:rsidR="00827B65">
        <w:t xml:space="preserve"> </w:t>
      </w:r>
      <w:r w:rsidR="00827B65" w:rsidRPr="00F2045D">
        <w:t>or special adviser</w:t>
      </w:r>
      <w:bookmarkEnd w:id="11"/>
    </w:p>
    <w:p w:rsidR="002838F8" w:rsidRPr="00E87BF4" w:rsidRDefault="002838F8" w:rsidP="002838F8">
      <w:pPr>
        <w:pStyle w:val="subsection"/>
      </w:pPr>
      <w:r>
        <w:tab/>
        <w:t>(1)</w:t>
      </w:r>
      <w:r>
        <w:tab/>
      </w:r>
      <w:r w:rsidRPr="00E87BF4">
        <w:t>An assessment report in relation to premises must:</w:t>
      </w:r>
    </w:p>
    <w:p w:rsidR="002838F8" w:rsidRPr="00E87BF4" w:rsidRDefault="002838F8" w:rsidP="002838F8">
      <w:pPr>
        <w:pStyle w:val="paragraph"/>
      </w:pPr>
      <w:r>
        <w:tab/>
        <w:t>(a)</w:t>
      </w:r>
      <w:r>
        <w:tab/>
      </w:r>
      <w:r w:rsidRPr="00E87BF4">
        <w:t>be in writing; and</w:t>
      </w:r>
    </w:p>
    <w:p w:rsidR="002838F8" w:rsidRPr="00E87BF4" w:rsidRDefault="002838F8" w:rsidP="002838F8">
      <w:pPr>
        <w:pStyle w:val="paragraph"/>
      </w:pPr>
      <w:r>
        <w:tab/>
        <w:t>(b)</w:t>
      </w:r>
      <w:r>
        <w:tab/>
      </w:r>
      <w:r w:rsidRPr="00E87BF4">
        <w:t>be dated; and</w:t>
      </w:r>
    </w:p>
    <w:p w:rsidR="002838F8" w:rsidRPr="00E87BF4" w:rsidRDefault="002838F8" w:rsidP="002838F8">
      <w:pPr>
        <w:pStyle w:val="paragraph"/>
      </w:pPr>
      <w:r>
        <w:tab/>
        <w:t>(c)</w:t>
      </w:r>
      <w:r>
        <w:tab/>
      </w:r>
      <w:r w:rsidRPr="00E87BF4">
        <w:t>identify the premises subject to the report; and</w:t>
      </w:r>
    </w:p>
    <w:p w:rsidR="002838F8" w:rsidRPr="00E87BF4" w:rsidRDefault="002838F8" w:rsidP="002838F8">
      <w:pPr>
        <w:pStyle w:val="paragraph"/>
      </w:pPr>
      <w:r>
        <w:lastRenderedPageBreak/>
        <w:tab/>
        <w:t>(d)</w:t>
      </w:r>
      <w:r>
        <w:tab/>
      </w:r>
      <w:r w:rsidRPr="00E87BF4">
        <w:t>identify the independent body or special adviser providing the report; and</w:t>
      </w:r>
    </w:p>
    <w:p w:rsidR="002838F8" w:rsidRPr="00E87BF4" w:rsidRDefault="002838F8" w:rsidP="002838F8">
      <w:pPr>
        <w:pStyle w:val="paragraph"/>
      </w:pPr>
      <w:r>
        <w:tab/>
        <w:t>(e)</w:t>
      </w:r>
      <w:r>
        <w:tab/>
      </w:r>
      <w:r w:rsidRPr="00E87BF4">
        <w:t>be certified by an officer of the independent body</w:t>
      </w:r>
      <w:r w:rsidR="00827B65">
        <w:t xml:space="preserve"> or by the special adviser</w:t>
      </w:r>
      <w:r w:rsidRPr="00E87BF4">
        <w:t xml:space="preserve"> to contain a true report of the views of the individuals who participated in the assessment.</w:t>
      </w:r>
    </w:p>
    <w:p w:rsidR="002838F8" w:rsidRPr="00E87BF4" w:rsidRDefault="002838F8" w:rsidP="002838F8">
      <w:pPr>
        <w:pStyle w:val="subsection"/>
      </w:pPr>
      <w:r>
        <w:tab/>
        <w:t>(2)</w:t>
      </w:r>
      <w:r>
        <w:tab/>
      </w:r>
      <w:r w:rsidRPr="00E87BF4">
        <w:t>An assessment report:</w:t>
      </w:r>
    </w:p>
    <w:p w:rsidR="00827B65" w:rsidRDefault="00827B65" w:rsidP="00827B65">
      <w:pPr>
        <w:pStyle w:val="paragraph"/>
      </w:pPr>
      <w:r>
        <w:tab/>
        <w:t>(a)</w:t>
      </w:r>
      <w:r>
        <w:tab/>
      </w:r>
      <w:r w:rsidRPr="00753CB6">
        <w:t xml:space="preserve">must state whether or not it has been established with a high level of confidence that the pathology services </w:t>
      </w:r>
      <w:r>
        <w:t xml:space="preserve">to be rendered or </w:t>
      </w:r>
      <w:r w:rsidRPr="00753CB6">
        <w:t>rendered at the premises subject to the report meet, and can be expected to continue to meet, the relevant standards; and</w:t>
      </w:r>
    </w:p>
    <w:p w:rsidR="002838F8" w:rsidRPr="00E87BF4" w:rsidRDefault="002838F8" w:rsidP="002838F8">
      <w:pPr>
        <w:pStyle w:val="paragraph"/>
      </w:pPr>
      <w:r>
        <w:tab/>
        <w:t>(b)</w:t>
      </w:r>
      <w:r>
        <w:tab/>
      </w:r>
      <w:r w:rsidRPr="00E87BF4">
        <w:t>if so established, must also state:</w:t>
      </w:r>
    </w:p>
    <w:p w:rsidR="002838F8" w:rsidRPr="00E87BF4" w:rsidRDefault="002838F8" w:rsidP="002838F8">
      <w:pPr>
        <w:pStyle w:val="paragraphsub"/>
      </w:pPr>
      <w:r>
        <w:tab/>
        <w:t>(i)</w:t>
      </w:r>
      <w:r>
        <w:tab/>
      </w:r>
      <w:r w:rsidRPr="00E87BF4">
        <w:t>by reference to items in the pathology services table, or by reference to groups of items in the pathology services table, the kind of pathology services in respect of which the premises should be approved or should remain approved; and</w:t>
      </w:r>
    </w:p>
    <w:p w:rsidR="002838F8" w:rsidRPr="00E87BF4" w:rsidRDefault="002838F8" w:rsidP="002838F8">
      <w:pPr>
        <w:pStyle w:val="paragraphsub"/>
      </w:pPr>
      <w:r>
        <w:tab/>
        <w:t>(ii)</w:t>
      </w:r>
      <w:r>
        <w:tab/>
      </w:r>
      <w:r w:rsidRPr="00E87BF4">
        <w:t>the category to which the premises should be allocated or remain allocated; and</w:t>
      </w:r>
    </w:p>
    <w:p w:rsidR="002838F8" w:rsidRPr="00E87BF4" w:rsidRDefault="002838F8" w:rsidP="002838F8">
      <w:pPr>
        <w:pStyle w:val="paragraphsub"/>
      </w:pPr>
      <w:r>
        <w:tab/>
        <w:t>(iii)</w:t>
      </w:r>
      <w:r>
        <w:tab/>
      </w:r>
      <w:r w:rsidRPr="00E87BF4">
        <w:t>the period of time for which the premises can be expected to meet relevant standards</w:t>
      </w:r>
      <w:r w:rsidR="00827B65">
        <w:t>; and</w:t>
      </w:r>
    </w:p>
    <w:p w:rsidR="00827B65" w:rsidRPr="00A30885" w:rsidRDefault="00827B65" w:rsidP="00827B65">
      <w:pPr>
        <w:pStyle w:val="paragraph"/>
      </w:pPr>
      <w:r>
        <w:tab/>
        <w:t>(c)</w:t>
      </w:r>
      <w:r>
        <w:tab/>
      </w:r>
      <w:r w:rsidRPr="00753CB6">
        <w:t xml:space="preserve">may state any other matter which the independent body </w:t>
      </w:r>
      <w:r>
        <w:t xml:space="preserve">or special adviser </w:t>
      </w:r>
      <w:r w:rsidRPr="00753CB6">
        <w:t>considers relevant.</w:t>
      </w:r>
    </w:p>
    <w:p w:rsidR="002838F8" w:rsidRPr="00E87BF4" w:rsidRDefault="002838F8" w:rsidP="002838F8">
      <w:pPr>
        <w:pStyle w:val="ActHead5"/>
      </w:pPr>
      <w:bookmarkStart w:id="12" w:name="_Toc133830889"/>
      <w:r>
        <w:t xml:space="preserve">10  </w:t>
      </w:r>
      <w:r w:rsidRPr="00E87BF4">
        <w:t>Other matters taken into account in making decisions</w:t>
      </w:r>
      <w:bookmarkEnd w:id="12"/>
    </w:p>
    <w:p w:rsidR="002838F8" w:rsidRPr="00E87BF4" w:rsidRDefault="002838F8" w:rsidP="002838F8">
      <w:pPr>
        <w:pStyle w:val="subsection"/>
      </w:pPr>
      <w:r>
        <w:tab/>
        <w:t>(1)</w:t>
      </w:r>
      <w:r>
        <w:tab/>
      </w:r>
      <w:r w:rsidRPr="00E87BF4">
        <w:t>When making a decision under section</w:t>
      </w:r>
      <w:r>
        <w:t> </w:t>
      </w:r>
      <w:r w:rsidRPr="00E87BF4">
        <w:t>23DN of the Act in relation to premises, without limiting other sections in these Principles, the Minister may also take into account:</w:t>
      </w:r>
    </w:p>
    <w:p w:rsidR="002838F8" w:rsidRPr="00E87BF4" w:rsidRDefault="002838F8" w:rsidP="002838F8">
      <w:pPr>
        <w:pStyle w:val="paragraph"/>
      </w:pPr>
      <w:r>
        <w:tab/>
        <w:t>(a)</w:t>
      </w:r>
      <w:r>
        <w:tab/>
      </w:r>
      <w:r w:rsidRPr="00E87BF4">
        <w:t xml:space="preserve">any other report, assessment or decision about accreditation which has been prepared or made at any time by an independent body </w:t>
      </w:r>
      <w:r w:rsidR="00CB7A3F">
        <w:t xml:space="preserve">or a special adviser </w:t>
      </w:r>
      <w:r w:rsidRPr="00E87BF4">
        <w:t>or in the course of State accreditation which:</w:t>
      </w:r>
    </w:p>
    <w:p w:rsidR="002838F8" w:rsidRPr="00E87BF4" w:rsidRDefault="002838F8" w:rsidP="002838F8">
      <w:pPr>
        <w:pStyle w:val="paragraphsub"/>
      </w:pPr>
      <w:r>
        <w:tab/>
        <w:t>(i)</w:t>
      </w:r>
      <w:r>
        <w:tab/>
      </w:r>
      <w:r w:rsidRPr="00E87BF4">
        <w:t>relates to the provision of pathology services at the premises; or</w:t>
      </w:r>
    </w:p>
    <w:p w:rsidR="002838F8" w:rsidRPr="00E87BF4" w:rsidRDefault="002838F8" w:rsidP="002838F8">
      <w:pPr>
        <w:pStyle w:val="paragraphsub"/>
      </w:pPr>
      <w:r>
        <w:tab/>
        <w:t>(ii)</w:t>
      </w:r>
      <w:r>
        <w:tab/>
      </w:r>
      <w:r w:rsidRPr="00E87BF4">
        <w:t>relates to any persons employed or to be employed in or otherwise associated with or to be associated with the provision of pathology services at the premises; and</w:t>
      </w:r>
    </w:p>
    <w:p w:rsidR="002838F8" w:rsidRDefault="002838F8" w:rsidP="002838F8">
      <w:pPr>
        <w:pStyle w:val="paragraph"/>
      </w:pPr>
      <w:r>
        <w:tab/>
        <w:t>(b)</w:t>
      </w:r>
      <w:r>
        <w:tab/>
      </w:r>
      <w:r w:rsidRPr="00E87BF4">
        <w:t>any circumstance that gives the Minister reasonable cause to believe that an approved pathology authority or an approved pathology practitioner who is, or may be, associated with the operation of the laboratory at the premises has breached an undertaking at any time; and</w:t>
      </w:r>
    </w:p>
    <w:p w:rsidR="002838F8" w:rsidRPr="00E87BF4" w:rsidRDefault="002838F8" w:rsidP="002838F8">
      <w:pPr>
        <w:pStyle w:val="paragraph"/>
      </w:pPr>
      <w:r>
        <w:tab/>
        <w:t>(c)</w:t>
      </w:r>
      <w:r>
        <w:tab/>
      </w:r>
      <w:r w:rsidRPr="00E87BF4">
        <w:t>if applicable, the matters set out in section</w:t>
      </w:r>
      <w:r>
        <w:t> </w:t>
      </w:r>
      <w:r w:rsidRPr="00E87BF4">
        <w:t>13.</w:t>
      </w:r>
    </w:p>
    <w:p w:rsidR="002838F8" w:rsidRPr="00E87BF4" w:rsidRDefault="002838F8" w:rsidP="002838F8">
      <w:pPr>
        <w:pStyle w:val="subsection"/>
      </w:pPr>
      <w:r>
        <w:lastRenderedPageBreak/>
        <w:tab/>
        <w:t>(2)</w:t>
      </w:r>
      <w:r>
        <w:tab/>
        <w:t>Paragraphs (1)(a) and (1)</w:t>
      </w:r>
      <w:r w:rsidRPr="00E87BF4">
        <w:t xml:space="preserve">(b) apply whether or not the current applicant for approval or holder of approval was associated with the premises at the time of the report, assessment or decision or at the time of the events taken into account in the report, assessment or decision or at the time the circumstance arose.  </w:t>
      </w:r>
    </w:p>
    <w:p w:rsidR="002838F8" w:rsidRPr="00E87BF4" w:rsidRDefault="002838F8" w:rsidP="001D4D10">
      <w:pPr>
        <w:pStyle w:val="ActHead2"/>
        <w:pageBreakBefore/>
      </w:pPr>
      <w:bookmarkStart w:id="13" w:name="_Toc133830890"/>
      <w:r>
        <w:rPr>
          <w:rStyle w:val="CharPartNo"/>
        </w:rPr>
        <w:lastRenderedPageBreak/>
        <w:t>Part 3—</w:t>
      </w:r>
      <w:r w:rsidRPr="00E87BF4">
        <w:rPr>
          <w:rStyle w:val="CharPartText"/>
        </w:rPr>
        <w:t>Approval of premises</w:t>
      </w:r>
      <w:bookmarkEnd w:id="13"/>
    </w:p>
    <w:p w:rsidR="002838F8" w:rsidRPr="00E87BF4" w:rsidRDefault="002838F8" w:rsidP="002838F8">
      <w:pPr>
        <w:pStyle w:val="ActHead5"/>
      </w:pPr>
      <w:bookmarkStart w:id="14" w:name="_Toc133830891"/>
      <w:r>
        <w:t xml:space="preserve">11  </w:t>
      </w:r>
      <w:r w:rsidRPr="00E87BF4">
        <w:t>Approval of premises</w:t>
      </w:r>
      <w:bookmarkEnd w:id="14"/>
    </w:p>
    <w:p w:rsidR="002838F8" w:rsidRPr="00E87BF4" w:rsidRDefault="002838F8" w:rsidP="002838F8">
      <w:pPr>
        <w:pStyle w:val="subsection"/>
      </w:pPr>
      <w:r>
        <w:tab/>
        <w:t>(1)</w:t>
      </w:r>
      <w:r>
        <w:tab/>
      </w:r>
      <w:r w:rsidRPr="00E87BF4">
        <w:t>In the absence of exceptional circumstances, the Minister must not approve in principle premises unless the Minister is satisfied with a high level of confidence that:</w:t>
      </w:r>
    </w:p>
    <w:p w:rsidR="002838F8" w:rsidRPr="00E87BF4" w:rsidRDefault="002838F8" w:rsidP="002838F8">
      <w:pPr>
        <w:pStyle w:val="paragraph"/>
      </w:pPr>
      <w:r>
        <w:tab/>
        <w:t>(a)</w:t>
      </w:r>
      <w:r>
        <w:tab/>
      </w:r>
      <w:r w:rsidRPr="00E87BF4">
        <w:t xml:space="preserve">the pathology services to be </w:t>
      </w:r>
      <w:r>
        <w:t>render</w:t>
      </w:r>
      <w:r w:rsidRPr="00E87BF4">
        <w:t>ed at the premises will meet relevant standards for:</w:t>
      </w:r>
    </w:p>
    <w:p w:rsidR="002838F8" w:rsidRPr="00E87BF4" w:rsidRDefault="002838F8" w:rsidP="002838F8">
      <w:pPr>
        <w:pStyle w:val="paragraphsub"/>
      </w:pPr>
      <w:r>
        <w:tab/>
        <w:t>(i)</w:t>
      </w:r>
      <w:r>
        <w:tab/>
      </w:r>
      <w:r w:rsidRPr="00E87BF4">
        <w:t xml:space="preserve">the kinds of services to be </w:t>
      </w:r>
      <w:r>
        <w:t>render</w:t>
      </w:r>
      <w:r w:rsidRPr="00E87BF4">
        <w:t>ed; and</w:t>
      </w:r>
    </w:p>
    <w:p w:rsidR="002838F8" w:rsidRPr="00E87BF4" w:rsidRDefault="002838F8" w:rsidP="002838F8">
      <w:pPr>
        <w:pStyle w:val="paragraphsub"/>
      </w:pPr>
      <w:r>
        <w:tab/>
        <w:t>(ii)</w:t>
      </w:r>
      <w:r>
        <w:tab/>
      </w:r>
      <w:r w:rsidRPr="00E87BF4">
        <w:t xml:space="preserve">the category; and </w:t>
      </w:r>
    </w:p>
    <w:p w:rsidR="002838F8" w:rsidRPr="00E87BF4" w:rsidRDefault="002838F8" w:rsidP="002838F8">
      <w:pPr>
        <w:pStyle w:val="paragraph"/>
      </w:pPr>
      <w:r>
        <w:tab/>
        <w:t>(b)</w:t>
      </w:r>
      <w:r>
        <w:tab/>
      </w:r>
      <w:r w:rsidRPr="00E87BF4">
        <w:t xml:space="preserve">without limiting </w:t>
      </w:r>
      <w:r w:rsidR="000F6AB9">
        <w:t>paragraph (a)</w:t>
      </w:r>
      <w:r w:rsidRPr="00E87BF4">
        <w:t>, the premises comply with the relevant requirements of:</w:t>
      </w:r>
    </w:p>
    <w:p w:rsidR="002838F8" w:rsidRPr="00E87BF4" w:rsidRDefault="002838F8" w:rsidP="002838F8">
      <w:pPr>
        <w:pStyle w:val="paragraphsub"/>
      </w:pPr>
      <w:r>
        <w:tab/>
        <w:t>(i)</w:t>
      </w:r>
      <w:r>
        <w:tab/>
      </w:r>
      <w:r w:rsidRPr="00E87BF4">
        <w:t>the Act; and</w:t>
      </w:r>
    </w:p>
    <w:p w:rsidR="002838F8" w:rsidRPr="00E87BF4" w:rsidRDefault="002838F8" w:rsidP="002838F8">
      <w:pPr>
        <w:pStyle w:val="paragraphsub"/>
      </w:pPr>
      <w:r>
        <w:tab/>
        <w:t>(ii)</w:t>
      </w:r>
      <w:r>
        <w:tab/>
      </w:r>
      <w:r w:rsidRPr="00E87BF4">
        <w:t>these Principles</w:t>
      </w:r>
      <w:r>
        <w:t>.</w:t>
      </w:r>
    </w:p>
    <w:p w:rsidR="002838F8" w:rsidRPr="00E87BF4" w:rsidRDefault="002838F8" w:rsidP="002838F8">
      <w:pPr>
        <w:pStyle w:val="subsection"/>
      </w:pPr>
      <w:r>
        <w:tab/>
        <w:t>(2)</w:t>
      </w:r>
      <w:r>
        <w:tab/>
      </w:r>
      <w:r w:rsidRPr="00E87BF4">
        <w:t>Subject to section</w:t>
      </w:r>
      <w:r>
        <w:t> </w:t>
      </w:r>
      <w:r w:rsidRPr="00E87BF4">
        <w:t>12, the Minister must only consider an application for approval of premises under section</w:t>
      </w:r>
      <w:r>
        <w:t> </w:t>
      </w:r>
      <w:r w:rsidRPr="00E87BF4">
        <w:t>23DN of the Act if the Minister is provided with an assessment report which is the most recent assessment report in relation to the premises.</w:t>
      </w:r>
    </w:p>
    <w:p w:rsidR="002838F8" w:rsidRDefault="002838F8" w:rsidP="002838F8">
      <w:pPr>
        <w:pStyle w:val="subsection"/>
      </w:pPr>
      <w:r>
        <w:tab/>
        <w:t>(3)</w:t>
      </w:r>
      <w:r>
        <w:tab/>
      </w:r>
      <w:r w:rsidRPr="00E87BF4">
        <w:t>In the absence of exceptional circumstances, the Minister must not approve in principle premises if within the 6 months preceding the application the last accreditation action in rel</w:t>
      </w:r>
      <w:r>
        <w:t>ation to the premises the subject of</w:t>
      </w:r>
      <w:r w:rsidRPr="00E87BF4">
        <w:t xml:space="preserve"> the application was:</w:t>
      </w:r>
    </w:p>
    <w:p w:rsidR="002838F8" w:rsidRPr="00E87BF4" w:rsidRDefault="002838F8" w:rsidP="002838F8">
      <w:pPr>
        <w:pStyle w:val="paragraph"/>
      </w:pPr>
      <w:r>
        <w:tab/>
        <w:t>(a)</w:t>
      </w:r>
      <w:r>
        <w:tab/>
      </w:r>
      <w:r w:rsidRPr="00E87BF4">
        <w:t xml:space="preserve">a refusal by an independent body to grant an accreditation for pathology services </w:t>
      </w:r>
      <w:r>
        <w:t>render</w:t>
      </w:r>
      <w:r w:rsidRPr="00E87BF4">
        <w:t xml:space="preserve">ed at the premises in relation to the kinds of services or to the category subject to the application before the Minister; or </w:t>
      </w:r>
    </w:p>
    <w:p w:rsidR="002838F8" w:rsidRPr="00E87BF4" w:rsidRDefault="002838F8" w:rsidP="002838F8">
      <w:pPr>
        <w:pStyle w:val="paragraph"/>
      </w:pPr>
      <w:r>
        <w:tab/>
        <w:t>(b)</w:t>
      </w:r>
      <w:r>
        <w:tab/>
      </w:r>
      <w:r w:rsidRPr="00E87BF4">
        <w:t xml:space="preserve">a revocation by an independent body of an accreditation held for pathology services </w:t>
      </w:r>
      <w:r>
        <w:t>render</w:t>
      </w:r>
      <w:r w:rsidRPr="00E87BF4">
        <w:t>ed at premises in relation to the kinds of services or to the category subject to the application before the Minister.</w:t>
      </w:r>
    </w:p>
    <w:p w:rsidR="002838F8" w:rsidRPr="00E87BF4" w:rsidRDefault="002838F8" w:rsidP="002838F8">
      <w:pPr>
        <w:pStyle w:val="subsection"/>
      </w:pPr>
      <w:r>
        <w:tab/>
        <w:t>(4)</w:t>
      </w:r>
      <w:r>
        <w:tab/>
      </w:r>
      <w:r w:rsidRPr="00E87BF4">
        <w:t xml:space="preserve">In the absence of exceptional circumstances, the Minister must not give an approval in principle unless the Minister is satisfied that the assessment report referred to in </w:t>
      </w:r>
      <w:r>
        <w:t>subsection (</w:t>
      </w:r>
      <w:r w:rsidRPr="00E87BF4">
        <w:t>2) supports the approval of the premises as an accredited pathology laboratory for:</w:t>
      </w:r>
    </w:p>
    <w:p w:rsidR="002838F8" w:rsidRPr="00E87BF4" w:rsidRDefault="002838F8" w:rsidP="002838F8">
      <w:pPr>
        <w:pStyle w:val="paragraph"/>
      </w:pPr>
      <w:r>
        <w:tab/>
        <w:t>(a)</w:t>
      </w:r>
      <w:r>
        <w:tab/>
      </w:r>
      <w:r w:rsidRPr="00E87BF4">
        <w:t>the kind of services; and</w:t>
      </w:r>
    </w:p>
    <w:p w:rsidR="002838F8" w:rsidRPr="00E87BF4" w:rsidRDefault="002838F8" w:rsidP="002838F8">
      <w:pPr>
        <w:pStyle w:val="paragraph"/>
      </w:pPr>
      <w:r>
        <w:tab/>
        <w:t>(b)</w:t>
      </w:r>
      <w:r>
        <w:tab/>
      </w:r>
      <w:r w:rsidRPr="00E87BF4">
        <w:t xml:space="preserve">the category; </w:t>
      </w:r>
    </w:p>
    <w:p w:rsidR="002838F8" w:rsidRPr="00E87BF4" w:rsidRDefault="002838F8" w:rsidP="002838F8">
      <w:pPr>
        <w:pStyle w:val="subsection"/>
        <w:spacing w:before="40"/>
      </w:pPr>
      <w:r>
        <w:tab/>
      </w:r>
      <w:r>
        <w:tab/>
      </w:r>
      <w:r w:rsidRPr="00E87BF4">
        <w:t xml:space="preserve">covered by the application.  </w:t>
      </w:r>
    </w:p>
    <w:p w:rsidR="002838F8" w:rsidRDefault="002838F8" w:rsidP="002838F8">
      <w:pPr>
        <w:pStyle w:val="subsection"/>
      </w:pPr>
      <w:r>
        <w:lastRenderedPageBreak/>
        <w:tab/>
        <w:t>(5)</w:t>
      </w:r>
      <w:r>
        <w:tab/>
        <w:t>If</w:t>
      </w:r>
      <w:r w:rsidRPr="00E87BF4">
        <w:t xml:space="preserve"> premises are not approved in principle on account of the operation of </w:t>
      </w:r>
      <w:r>
        <w:t>subsection (</w:t>
      </w:r>
      <w:r w:rsidRPr="00E87BF4">
        <w:t>4), and the applicant amends the application in relation to:</w:t>
      </w:r>
    </w:p>
    <w:p w:rsidR="002838F8" w:rsidRPr="00E87BF4" w:rsidRDefault="002838F8" w:rsidP="002838F8">
      <w:pPr>
        <w:pStyle w:val="paragraph"/>
      </w:pPr>
      <w:r>
        <w:tab/>
        <w:t>(a)</w:t>
      </w:r>
      <w:r>
        <w:tab/>
      </w:r>
      <w:r w:rsidRPr="00E87BF4">
        <w:t>the kind of services; or</w:t>
      </w:r>
    </w:p>
    <w:p w:rsidR="002838F8" w:rsidRPr="00E87BF4" w:rsidRDefault="002838F8" w:rsidP="002838F8">
      <w:pPr>
        <w:pStyle w:val="paragraph"/>
      </w:pPr>
      <w:r>
        <w:tab/>
        <w:t>(b)</w:t>
      </w:r>
      <w:r>
        <w:tab/>
      </w:r>
      <w:r w:rsidRPr="00E87BF4">
        <w:t>the category;</w:t>
      </w:r>
    </w:p>
    <w:p w:rsidR="002838F8" w:rsidRPr="00E87BF4" w:rsidRDefault="002838F8" w:rsidP="002838F8">
      <w:pPr>
        <w:pStyle w:val="subsection"/>
      </w:pPr>
      <w:r>
        <w:tab/>
      </w:r>
      <w:r>
        <w:tab/>
      </w:r>
      <w:r w:rsidRPr="00E87BF4">
        <w:t>covered by the application, the Minister may consider and deal with the amended application in accordance with these Principles as if it were an original application.</w:t>
      </w:r>
    </w:p>
    <w:p w:rsidR="002838F8" w:rsidRPr="00E87BF4" w:rsidRDefault="002838F8" w:rsidP="002838F8">
      <w:pPr>
        <w:pStyle w:val="ActHead5"/>
      </w:pPr>
      <w:bookmarkStart w:id="15" w:name="_Toc133830892"/>
      <w:r>
        <w:t xml:space="preserve">12  </w:t>
      </w:r>
      <w:r w:rsidRPr="00E87BF4">
        <w:t>Approval in absence of assessment report</w:t>
      </w:r>
      <w:bookmarkEnd w:id="15"/>
    </w:p>
    <w:p w:rsidR="002838F8" w:rsidRDefault="002838F8" w:rsidP="002838F8">
      <w:pPr>
        <w:pStyle w:val="subsection"/>
      </w:pPr>
      <w:r>
        <w:tab/>
        <w:t>(1)</w:t>
      </w:r>
      <w:r>
        <w:tab/>
        <w:t>If</w:t>
      </w:r>
      <w:r w:rsidRPr="00E87BF4">
        <w:t xml:space="preserve"> no independent body</w:t>
      </w:r>
      <w:r w:rsidR="000F6AB9">
        <w:t xml:space="preserve"> or special adviser</w:t>
      </w:r>
      <w:r w:rsidRPr="00E87BF4">
        <w:t xml:space="preserve"> has provided an assessment report in relation to premises, the Minister may consider an application for approval under section</w:t>
      </w:r>
      <w:r>
        <w:t> </w:t>
      </w:r>
      <w:r w:rsidRPr="00E87BF4">
        <w:t>23DN of the Act in relation to those premises and otherwise deal with the application taking into account these Principles if:</w:t>
      </w:r>
    </w:p>
    <w:p w:rsidR="002838F8" w:rsidRPr="00E87BF4" w:rsidRDefault="002838F8" w:rsidP="002838F8">
      <w:pPr>
        <w:pStyle w:val="paragraph"/>
      </w:pPr>
      <w:r>
        <w:tab/>
        <w:t>(a)</w:t>
      </w:r>
      <w:r>
        <w:tab/>
        <w:t>subsection (</w:t>
      </w:r>
      <w:r w:rsidRPr="00E87BF4">
        <w:t>2) applies; and</w:t>
      </w:r>
    </w:p>
    <w:p w:rsidR="002838F8" w:rsidRPr="00E87BF4" w:rsidRDefault="002838F8" w:rsidP="002838F8">
      <w:pPr>
        <w:pStyle w:val="paragraph"/>
      </w:pPr>
      <w:r>
        <w:tab/>
        <w:t>(b)</w:t>
      </w:r>
      <w:r>
        <w:tab/>
      </w:r>
      <w:r w:rsidRPr="00E87BF4">
        <w:t>an advisory report is provided with the application.</w:t>
      </w:r>
    </w:p>
    <w:p w:rsidR="002838F8" w:rsidRDefault="002838F8" w:rsidP="002838F8">
      <w:pPr>
        <w:pStyle w:val="subsection"/>
      </w:pPr>
      <w:r>
        <w:tab/>
        <w:t>(2)</w:t>
      </w:r>
      <w:r>
        <w:tab/>
      </w:r>
      <w:r w:rsidRPr="00E87BF4">
        <w:t xml:space="preserve">This </w:t>
      </w:r>
      <w:r>
        <w:t>sub</w:t>
      </w:r>
      <w:r w:rsidRPr="00E87BF4">
        <w:t>section applies if an application for approval in relation to premises under section</w:t>
      </w:r>
      <w:r>
        <w:t> </w:t>
      </w:r>
      <w:r w:rsidRPr="00E87BF4">
        <w:t>23DN of the Act is made in relation to:</w:t>
      </w:r>
    </w:p>
    <w:p w:rsidR="002838F8" w:rsidRPr="00E87BF4" w:rsidRDefault="002838F8" w:rsidP="002838F8">
      <w:pPr>
        <w:pStyle w:val="paragraph"/>
      </w:pPr>
      <w:r>
        <w:tab/>
        <w:t>(a)</w:t>
      </w:r>
      <w:r>
        <w:tab/>
      </w:r>
      <w:r w:rsidRPr="00E87BF4">
        <w:t>a kind of service; or</w:t>
      </w:r>
    </w:p>
    <w:p w:rsidR="002838F8" w:rsidRPr="00E87BF4" w:rsidRDefault="002838F8" w:rsidP="002838F8">
      <w:pPr>
        <w:pStyle w:val="paragraph"/>
      </w:pPr>
      <w:r>
        <w:tab/>
        <w:t>(b)</w:t>
      </w:r>
      <w:r>
        <w:tab/>
      </w:r>
      <w:r w:rsidRPr="00E87BF4">
        <w:t>a category;</w:t>
      </w:r>
    </w:p>
    <w:p w:rsidR="002838F8" w:rsidRPr="00E87BF4" w:rsidRDefault="002838F8" w:rsidP="002838F8">
      <w:pPr>
        <w:pStyle w:val="subsection"/>
        <w:spacing w:before="40"/>
      </w:pPr>
      <w:r>
        <w:tab/>
      </w:r>
      <w:r>
        <w:tab/>
      </w:r>
      <w:r w:rsidRPr="00E87BF4">
        <w:t>not subject to an approval in principle or an approval under section</w:t>
      </w:r>
      <w:r>
        <w:t> </w:t>
      </w:r>
      <w:r w:rsidRPr="00E87BF4">
        <w:t>23DN of the Act held by the applicant for those premises at the time of making the application.</w:t>
      </w:r>
    </w:p>
    <w:p w:rsidR="002838F8" w:rsidRPr="00E87BF4" w:rsidRDefault="002838F8" w:rsidP="002838F8">
      <w:pPr>
        <w:pStyle w:val="subsection"/>
      </w:pPr>
      <w:r>
        <w:tab/>
        <w:t>(3)</w:t>
      </w:r>
      <w:r>
        <w:tab/>
      </w:r>
      <w:r w:rsidRPr="00E87BF4">
        <w:t xml:space="preserve">In the absence of exceptional circumstances, the Minister must approve in principle an application which relies on this section if the application is supported by a report from an independent body which states:  </w:t>
      </w:r>
    </w:p>
    <w:p w:rsidR="002838F8" w:rsidRPr="00E87BF4" w:rsidRDefault="002838F8" w:rsidP="002838F8">
      <w:pPr>
        <w:pStyle w:val="paragraph"/>
      </w:pPr>
      <w:r>
        <w:tab/>
        <w:t>(a)</w:t>
      </w:r>
      <w:r>
        <w:tab/>
      </w:r>
      <w:r w:rsidRPr="00E87BF4">
        <w:t>that a representative of the independent body has visited the premises; and</w:t>
      </w:r>
    </w:p>
    <w:p w:rsidR="002838F8" w:rsidRPr="00E87BF4" w:rsidRDefault="002838F8" w:rsidP="002838F8">
      <w:pPr>
        <w:pStyle w:val="paragraph"/>
      </w:pPr>
      <w:r>
        <w:tab/>
        <w:t>(b)</w:t>
      </w:r>
      <w:r>
        <w:tab/>
      </w:r>
      <w:r w:rsidRPr="00E87BF4">
        <w:t>that the independent body confirms that there is an appropriately equipped pathology laboratory at the premises; and</w:t>
      </w:r>
    </w:p>
    <w:p w:rsidR="002838F8" w:rsidRPr="00E87BF4" w:rsidRDefault="002838F8" w:rsidP="002838F8">
      <w:pPr>
        <w:pStyle w:val="paragraph"/>
      </w:pPr>
      <w:r>
        <w:tab/>
        <w:t>(c)</w:t>
      </w:r>
      <w:r>
        <w:tab/>
      </w:r>
      <w:r w:rsidRPr="00E87BF4">
        <w:t>that the independent body is satisfied with a high level of confidence, taking into account the arrangements in relation to the operation of the premises, that:</w:t>
      </w:r>
    </w:p>
    <w:p w:rsidR="002838F8" w:rsidRPr="00E87BF4" w:rsidRDefault="002838F8" w:rsidP="002838F8">
      <w:pPr>
        <w:pStyle w:val="paragraphsub"/>
      </w:pPr>
      <w:r>
        <w:tab/>
        <w:t>(i)</w:t>
      </w:r>
      <w:r>
        <w:tab/>
      </w:r>
      <w:r w:rsidRPr="00E87BF4">
        <w:t>the premises can be expected to meet relevant standards for a 6 month period; and</w:t>
      </w:r>
    </w:p>
    <w:p w:rsidR="002838F8" w:rsidRPr="00E87BF4" w:rsidRDefault="002838F8" w:rsidP="002838F8">
      <w:pPr>
        <w:pStyle w:val="paragraphsub"/>
      </w:pPr>
      <w:r>
        <w:tab/>
        <w:t>(ii)</w:t>
      </w:r>
      <w:r>
        <w:tab/>
      </w:r>
      <w:r w:rsidRPr="00E87BF4">
        <w:t xml:space="preserve">the premises are, or will be, appropriately staffed with persons to </w:t>
      </w:r>
      <w:r>
        <w:t>render</w:t>
      </w:r>
      <w:r w:rsidRPr="00E87BF4">
        <w:t xml:space="preserve">, and persons to direct, control and supervise, the </w:t>
      </w:r>
      <w:r>
        <w:t>pathology services to be rend</w:t>
      </w:r>
      <w:r w:rsidRPr="00E87BF4">
        <w:t>e</w:t>
      </w:r>
      <w:r>
        <w:t>re</w:t>
      </w:r>
      <w:r w:rsidRPr="00E87BF4">
        <w:t>d at the premises; and</w:t>
      </w:r>
    </w:p>
    <w:p w:rsidR="002838F8" w:rsidRPr="00E87BF4" w:rsidRDefault="002838F8" w:rsidP="002838F8">
      <w:pPr>
        <w:pStyle w:val="paragraphsub"/>
      </w:pPr>
      <w:r>
        <w:lastRenderedPageBreak/>
        <w:tab/>
        <w:t>(iii)</w:t>
      </w:r>
      <w:r>
        <w:tab/>
      </w:r>
      <w:r w:rsidRPr="00E87BF4">
        <w:t>the laboratory is, or will be at the relevant time, participating in a quality assurance program of an independent quality assurance body designed to ensure that the laboratory operates in accordance with the accreditation materials applicable to the kinds of pathology services to which approval of the premises would relate; and</w:t>
      </w:r>
    </w:p>
    <w:p w:rsidR="002838F8" w:rsidRPr="00E87BF4" w:rsidRDefault="002838F8" w:rsidP="002838F8">
      <w:pPr>
        <w:pStyle w:val="paragraph"/>
      </w:pPr>
      <w:r>
        <w:tab/>
        <w:t>(d)</w:t>
      </w:r>
      <w:r>
        <w:tab/>
      </w:r>
      <w:r w:rsidRPr="00E87BF4">
        <w:t>the kind of pathology services in respect of which the premises should be approved (identified by reference to items in the pathology services table or by reference to groups of items in the pathology services table); and</w:t>
      </w:r>
    </w:p>
    <w:p w:rsidR="002838F8" w:rsidRPr="00E87BF4" w:rsidRDefault="002838F8" w:rsidP="002838F8">
      <w:pPr>
        <w:pStyle w:val="paragraph"/>
      </w:pPr>
      <w:r>
        <w:tab/>
        <w:t>(e)</w:t>
      </w:r>
      <w:r>
        <w:tab/>
      </w:r>
      <w:r w:rsidRPr="00E87BF4">
        <w:t>the category to which the premises should be allocated.</w:t>
      </w:r>
    </w:p>
    <w:p w:rsidR="002838F8" w:rsidRPr="00E87BF4" w:rsidRDefault="002838F8" w:rsidP="002838F8">
      <w:pPr>
        <w:pStyle w:val="notetext"/>
      </w:pPr>
      <w:r w:rsidRPr="00E87BF4">
        <w:rPr>
          <w:iCs/>
        </w:rPr>
        <w:t>Note:</w:t>
      </w:r>
      <w:r w:rsidRPr="00E87BF4">
        <w:rPr>
          <w:iCs/>
        </w:rPr>
        <w:tab/>
      </w:r>
      <w:r w:rsidRPr="00E87BF4">
        <w:t xml:space="preserve">The independent quality assurance body mentioned in </w:t>
      </w:r>
      <w:r>
        <w:t>subparagraph (3)(c)</w:t>
      </w:r>
      <w:r w:rsidRPr="00E87BF4">
        <w:t>(iii) might not be an independent body within the meaning of subsection</w:t>
      </w:r>
      <w:r>
        <w:t> 5(2</w:t>
      </w:r>
      <w:r w:rsidRPr="00E87BF4">
        <w:t xml:space="preserve">).  </w:t>
      </w:r>
    </w:p>
    <w:p w:rsidR="002838F8" w:rsidRPr="00E87BF4" w:rsidRDefault="002838F8" w:rsidP="002838F8">
      <w:pPr>
        <w:pStyle w:val="ActHead5"/>
      </w:pPr>
      <w:bookmarkStart w:id="16" w:name="_Toc133830893"/>
      <w:r>
        <w:t xml:space="preserve">13  </w:t>
      </w:r>
      <w:r w:rsidRPr="00E87BF4">
        <w:t>Approval where there is a State accreditation system</w:t>
      </w:r>
      <w:bookmarkEnd w:id="16"/>
    </w:p>
    <w:p w:rsidR="002838F8" w:rsidRPr="00E87BF4" w:rsidRDefault="002838F8" w:rsidP="002838F8">
      <w:pPr>
        <w:pStyle w:val="subsection"/>
      </w:pPr>
      <w:r>
        <w:tab/>
        <w:t>(1)</w:t>
      </w:r>
      <w:r>
        <w:tab/>
      </w:r>
      <w:r w:rsidRPr="00E87BF4">
        <w:t xml:space="preserve">This section applies if the State in which the premises are located has an accreditation system under which pathology laboratories may obtain accreditation for the </w:t>
      </w:r>
      <w:r>
        <w:t>rendering</w:t>
      </w:r>
      <w:r w:rsidRPr="00E87BF4">
        <w:t xml:space="preserve"> of pathology services of the kind to which the application relates.</w:t>
      </w:r>
    </w:p>
    <w:p w:rsidR="002838F8" w:rsidRPr="00E87BF4" w:rsidRDefault="002838F8" w:rsidP="002838F8">
      <w:pPr>
        <w:pStyle w:val="subsection"/>
      </w:pPr>
      <w:r>
        <w:tab/>
        <w:t>(2)</w:t>
      </w:r>
      <w:r>
        <w:tab/>
      </w:r>
      <w:r w:rsidRPr="00E87BF4">
        <w:t>When making a decision under section</w:t>
      </w:r>
      <w:r>
        <w:t> </w:t>
      </w:r>
      <w:r w:rsidRPr="00E87BF4">
        <w:t>23DN of the Act, the Minister must consider, in relation to the premises, the following matters:</w:t>
      </w:r>
    </w:p>
    <w:p w:rsidR="002838F8" w:rsidRPr="00E87BF4" w:rsidRDefault="002838F8" w:rsidP="002838F8">
      <w:pPr>
        <w:pStyle w:val="paragraph"/>
      </w:pPr>
      <w:r>
        <w:tab/>
        <w:t>(a)</w:t>
      </w:r>
      <w:r>
        <w:tab/>
      </w:r>
      <w:r w:rsidRPr="00E87BF4">
        <w:t xml:space="preserve">whether the premises have State accreditation; and </w:t>
      </w:r>
    </w:p>
    <w:p w:rsidR="002838F8" w:rsidRPr="00E87BF4" w:rsidRDefault="002838F8" w:rsidP="002838F8">
      <w:pPr>
        <w:pStyle w:val="paragraph"/>
      </w:pPr>
      <w:r>
        <w:tab/>
        <w:t>(b)</w:t>
      </w:r>
      <w:r>
        <w:tab/>
      </w:r>
      <w:r w:rsidRPr="00E87BF4">
        <w:t>if the premises have State accreditation, the services for which the accreditation is granted, the basis on which the accreditation was conferred and the period for which the accreditation operates; and</w:t>
      </w:r>
    </w:p>
    <w:p w:rsidR="002838F8" w:rsidRPr="00E87BF4" w:rsidRDefault="002838F8" w:rsidP="002838F8">
      <w:pPr>
        <w:pStyle w:val="paragraph"/>
      </w:pPr>
      <w:r>
        <w:tab/>
        <w:t>(c)</w:t>
      </w:r>
      <w:r>
        <w:tab/>
      </w:r>
      <w:r w:rsidRPr="00E87BF4">
        <w:t>for premises that are not so accredited, whether that circumstance is because</w:t>
      </w:r>
      <w:r>
        <w:t xml:space="preserve"> accreditation of the premises</w:t>
      </w:r>
      <w:r w:rsidRPr="00E87BF4">
        <w:t>:</w:t>
      </w:r>
    </w:p>
    <w:p w:rsidR="002838F8" w:rsidRPr="00E87BF4" w:rsidRDefault="002838F8" w:rsidP="002838F8">
      <w:pPr>
        <w:pStyle w:val="paragraphsub"/>
      </w:pPr>
      <w:r>
        <w:tab/>
        <w:t>(i)</w:t>
      </w:r>
      <w:r>
        <w:tab/>
      </w:r>
      <w:r w:rsidRPr="00E87BF4">
        <w:t>has been revoked; or</w:t>
      </w:r>
    </w:p>
    <w:p w:rsidR="002838F8" w:rsidRPr="00E87BF4" w:rsidRDefault="002838F8" w:rsidP="002838F8">
      <w:pPr>
        <w:pStyle w:val="paragraphsub"/>
      </w:pPr>
      <w:r>
        <w:tab/>
        <w:t>(ii)</w:t>
      </w:r>
      <w:r>
        <w:tab/>
      </w:r>
      <w:r w:rsidRPr="00E87BF4">
        <w:t>has been refused; or</w:t>
      </w:r>
    </w:p>
    <w:p w:rsidR="002838F8" w:rsidRPr="00E87BF4" w:rsidRDefault="002838F8" w:rsidP="002838F8">
      <w:pPr>
        <w:pStyle w:val="paragraphsub"/>
      </w:pPr>
      <w:r>
        <w:tab/>
        <w:t>(iii)</w:t>
      </w:r>
      <w:r>
        <w:tab/>
      </w:r>
      <w:r w:rsidRPr="00E87BF4">
        <w:t>has not been sought; or</w:t>
      </w:r>
    </w:p>
    <w:p w:rsidR="002838F8" w:rsidRDefault="002838F8" w:rsidP="002838F8">
      <w:pPr>
        <w:pStyle w:val="paragraphsub"/>
      </w:pPr>
      <w:r>
        <w:tab/>
        <w:t>(iv)</w:t>
      </w:r>
      <w:r>
        <w:tab/>
      </w:r>
      <w:r w:rsidRPr="00E87BF4">
        <w:t>has not been renewed; and</w:t>
      </w:r>
    </w:p>
    <w:p w:rsidR="002838F8" w:rsidRDefault="002838F8" w:rsidP="002838F8">
      <w:pPr>
        <w:pStyle w:val="paragraph"/>
      </w:pPr>
      <w:r>
        <w:tab/>
        <w:t>(d)</w:t>
      </w:r>
      <w:r>
        <w:tab/>
      </w:r>
      <w:r w:rsidRPr="00E87BF4">
        <w:t xml:space="preserve">for premises to which </w:t>
      </w:r>
      <w:r>
        <w:t>paragraph (2)</w:t>
      </w:r>
      <w:r w:rsidRPr="00E87BF4">
        <w:t>(c) applies, the reasons for the circumstance.</w:t>
      </w:r>
    </w:p>
    <w:p w:rsidR="002838F8" w:rsidRPr="00E87BF4" w:rsidRDefault="002838F8" w:rsidP="002838F8">
      <w:pPr>
        <w:pStyle w:val="ActHead5"/>
      </w:pPr>
      <w:bookmarkStart w:id="17" w:name="_Toc133830894"/>
      <w:r>
        <w:t xml:space="preserve">14  </w:t>
      </w:r>
      <w:r w:rsidRPr="00E87BF4">
        <w:t>Period of approval</w:t>
      </w:r>
      <w:bookmarkEnd w:id="17"/>
    </w:p>
    <w:p w:rsidR="002838F8" w:rsidRPr="00E87BF4" w:rsidRDefault="002838F8" w:rsidP="002838F8">
      <w:pPr>
        <w:pStyle w:val="subsection"/>
      </w:pPr>
      <w:r>
        <w:tab/>
        <w:t>(1)</w:t>
      </w:r>
      <w:r>
        <w:tab/>
      </w:r>
      <w:r w:rsidRPr="00E87BF4">
        <w:t>In the absence of exceptional circumstances, the Minister must not determine a period of approval which exceeds:</w:t>
      </w:r>
    </w:p>
    <w:p w:rsidR="002838F8" w:rsidRPr="00E87BF4" w:rsidRDefault="002838F8" w:rsidP="002838F8">
      <w:pPr>
        <w:pStyle w:val="paragraph"/>
      </w:pPr>
      <w:r>
        <w:tab/>
        <w:t>(a)</w:t>
      </w:r>
      <w:r>
        <w:tab/>
      </w:r>
      <w:r w:rsidRPr="00E87BF4">
        <w:t xml:space="preserve">the period of time for which the laboratory can be expected to meet relevant standards stated in the most recent assessment report; or </w:t>
      </w:r>
    </w:p>
    <w:p w:rsidR="002838F8" w:rsidRPr="00E87BF4" w:rsidRDefault="002838F8" w:rsidP="002838F8">
      <w:pPr>
        <w:pStyle w:val="paragraph"/>
      </w:pPr>
      <w:r>
        <w:lastRenderedPageBreak/>
        <w:tab/>
        <w:t>(b)</w:t>
      </w:r>
      <w:r>
        <w:tab/>
      </w:r>
      <w:r w:rsidRPr="00E87BF4">
        <w:t>the period of accreditation under the most recent accreditation action.</w:t>
      </w:r>
    </w:p>
    <w:p w:rsidR="002838F8" w:rsidRPr="00E87BF4" w:rsidRDefault="002838F8" w:rsidP="002838F8">
      <w:pPr>
        <w:pStyle w:val="subsection"/>
      </w:pPr>
      <w:r>
        <w:tab/>
        <w:t>(2)</w:t>
      </w:r>
      <w:r>
        <w:tab/>
      </w:r>
      <w:r w:rsidRPr="00E87BF4">
        <w:t xml:space="preserve">Subject to </w:t>
      </w:r>
      <w:r>
        <w:t>subsection (</w:t>
      </w:r>
      <w:r w:rsidRPr="00E87BF4">
        <w:t xml:space="preserve">3), the Minister must not grant an approval in reliance on an advisory report for longer than 6 months. </w:t>
      </w:r>
    </w:p>
    <w:p w:rsidR="002838F8" w:rsidRPr="00E87BF4" w:rsidRDefault="002838F8" w:rsidP="002838F8">
      <w:pPr>
        <w:pStyle w:val="subsection"/>
      </w:pPr>
      <w:r>
        <w:tab/>
        <w:t>(3)</w:t>
      </w:r>
      <w:r>
        <w:tab/>
      </w:r>
      <w:r w:rsidRPr="00E87BF4">
        <w:t>In exceptional circumstances, the Minister may grant extensions to an approval granted in reliance on an advisory report provided that:</w:t>
      </w:r>
    </w:p>
    <w:p w:rsidR="002838F8" w:rsidRPr="00E87BF4" w:rsidRDefault="002838F8" w:rsidP="002838F8">
      <w:pPr>
        <w:pStyle w:val="paragraph"/>
      </w:pPr>
      <w:r>
        <w:tab/>
        <w:t>(a)</w:t>
      </w:r>
      <w:r>
        <w:tab/>
      </w:r>
      <w:r w:rsidRPr="00E87BF4">
        <w:t>each extension is supported by a further advisory report; and</w:t>
      </w:r>
    </w:p>
    <w:p w:rsidR="002838F8" w:rsidRPr="00E87BF4" w:rsidRDefault="002838F8" w:rsidP="002838F8">
      <w:pPr>
        <w:pStyle w:val="paragraph"/>
      </w:pPr>
      <w:r>
        <w:tab/>
        <w:t>(b)</w:t>
      </w:r>
      <w:r>
        <w:tab/>
      </w:r>
      <w:r w:rsidRPr="00E87BF4">
        <w:t>the cumulative period of those extensions does not exceed 6 months.</w:t>
      </w:r>
    </w:p>
    <w:p w:rsidR="002838F8" w:rsidRPr="00E87BF4" w:rsidRDefault="002838F8" w:rsidP="002838F8">
      <w:pPr>
        <w:pStyle w:val="notetext"/>
      </w:pPr>
      <w:r>
        <w:t>Note:</w:t>
      </w:r>
      <w:r>
        <w:tab/>
      </w:r>
      <w:r w:rsidRPr="00E87BF4">
        <w:t>See also paragraph</w:t>
      </w:r>
      <w:r>
        <w:t> 23DN(2A)</w:t>
      </w:r>
      <w:r w:rsidRPr="00E87BF4">
        <w:t>(c) of the Act.</w:t>
      </w:r>
    </w:p>
    <w:p w:rsidR="002838F8" w:rsidRPr="00E87BF4" w:rsidRDefault="002838F8" w:rsidP="002838F8">
      <w:pPr>
        <w:pStyle w:val="ActHead5"/>
      </w:pPr>
      <w:bookmarkStart w:id="18" w:name="_Toc133830895"/>
      <w:r>
        <w:t xml:space="preserve">15  </w:t>
      </w:r>
      <w:r w:rsidRPr="00E87BF4">
        <w:t>Revocation of approval</w:t>
      </w:r>
      <w:bookmarkEnd w:id="18"/>
    </w:p>
    <w:p w:rsidR="002838F8" w:rsidRPr="00E87BF4" w:rsidRDefault="002838F8" w:rsidP="002838F8">
      <w:pPr>
        <w:pStyle w:val="subsection"/>
      </w:pPr>
      <w:r>
        <w:tab/>
        <w:t>(1)</w:t>
      </w:r>
      <w:r>
        <w:tab/>
      </w:r>
      <w:r w:rsidRPr="00E87BF4">
        <w:t>In the absence of exceptional circumstances, the Minister must revoke an approval of premises if one or more of the following circumstances applies:</w:t>
      </w:r>
    </w:p>
    <w:p w:rsidR="002838F8" w:rsidRPr="00E87BF4" w:rsidRDefault="002838F8" w:rsidP="002838F8">
      <w:pPr>
        <w:pStyle w:val="paragraph"/>
      </w:pPr>
      <w:r>
        <w:tab/>
        <w:t>(a)</w:t>
      </w:r>
      <w:r>
        <w:tab/>
      </w:r>
      <w:r w:rsidRPr="00E87BF4">
        <w:t xml:space="preserve">the most recent assessment report states that it has not been established with a high level of confidence that the pathology services </w:t>
      </w:r>
      <w:r>
        <w:t>render</w:t>
      </w:r>
      <w:r w:rsidRPr="00E87BF4">
        <w:t>ed at the premises covered by the approval meet, and can be expected to continue for the remainder of the period of the approval to meet, relevant standards;</w:t>
      </w:r>
    </w:p>
    <w:p w:rsidR="002838F8" w:rsidRPr="00E87BF4" w:rsidRDefault="002838F8" w:rsidP="002838F8">
      <w:pPr>
        <w:pStyle w:val="paragraph"/>
      </w:pPr>
      <w:r>
        <w:tab/>
        <w:t>(b)</w:t>
      </w:r>
      <w:r>
        <w:tab/>
      </w:r>
      <w:r w:rsidRPr="00E87BF4">
        <w:t>the most recent accreditation action in relation to the premises is revocation;</w:t>
      </w:r>
    </w:p>
    <w:p w:rsidR="002838F8" w:rsidRPr="00E87BF4" w:rsidRDefault="002838F8" w:rsidP="002838F8">
      <w:pPr>
        <w:pStyle w:val="paragraph"/>
      </w:pPr>
      <w:r>
        <w:tab/>
        <w:t>(c)</w:t>
      </w:r>
      <w:r>
        <w:tab/>
      </w:r>
      <w:r w:rsidRPr="00E87BF4">
        <w:t>State accreditation relevant to pathology</w:t>
      </w:r>
      <w:r>
        <w:t xml:space="preserve"> services covered by </w:t>
      </w:r>
      <w:r w:rsidRPr="00E87BF4">
        <w:t>the approval has been revoked o</w:t>
      </w:r>
      <w:r>
        <w:t xml:space="preserve">r has not been renewed and the </w:t>
      </w:r>
      <w:r w:rsidRPr="00E87BF4">
        <w:t>holder of the approval has no</w:t>
      </w:r>
      <w:r>
        <w:t xml:space="preserve">t provided the Minister with a </w:t>
      </w:r>
      <w:r w:rsidRPr="00E87BF4">
        <w:t>satisfactory explanation for the revocation or non</w:t>
      </w:r>
      <w:r w:rsidR="00312190">
        <w:noBreakHyphen/>
      </w:r>
      <w:r w:rsidRPr="00E87BF4">
        <w:t xml:space="preserve">renewal of the State accreditation;  </w:t>
      </w:r>
    </w:p>
    <w:p w:rsidR="002838F8" w:rsidRPr="00E87BF4" w:rsidRDefault="002838F8" w:rsidP="002838F8">
      <w:pPr>
        <w:pStyle w:val="paragraph"/>
      </w:pPr>
      <w:r>
        <w:tab/>
        <w:t>(d)</w:t>
      </w:r>
      <w:r>
        <w:tab/>
      </w:r>
      <w:r w:rsidRPr="00E87BF4">
        <w:t>the Minister has formed the view that the premises no longer meet the requirements for approval under subsection</w:t>
      </w:r>
      <w:r>
        <w:t> 11</w:t>
      </w:r>
      <w:r w:rsidRPr="00E87BF4">
        <w:t xml:space="preserve">(1).  </w:t>
      </w:r>
    </w:p>
    <w:p w:rsidR="002838F8" w:rsidRDefault="002838F8" w:rsidP="002838F8">
      <w:pPr>
        <w:pStyle w:val="subsection"/>
      </w:pPr>
      <w:r>
        <w:tab/>
        <w:t>(2)</w:t>
      </w:r>
      <w:r>
        <w:tab/>
      </w:r>
      <w:r w:rsidRPr="00E87BF4">
        <w:t>The Minister must act in accordance with this sectio</w:t>
      </w:r>
      <w:r>
        <w:t>n within 28 days of learning that any of the circumstances in subsection (1) applies.</w:t>
      </w:r>
    </w:p>
    <w:p w:rsidR="002838F8" w:rsidRPr="00E87BF4" w:rsidRDefault="002838F8" w:rsidP="002838F8">
      <w:pPr>
        <w:pStyle w:val="subsection"/>
      </w:pPr>
      <w:r>
        <w:tab/>
        <w:t>(3)</w:t>
      </w:r>
      <w:r>
        <w:tab/>
      </w:r>
      <w:r w:rsidRPr="00E87BF4">
        <w:t>This section does not limit the considerations which the Minister may take into account when considering whether to revoke an approval under section</w:t>
      </w:r>
      <w:r>
        <w:t> </w:t>
      </w:r>
      <w:r w:rsidRPr="00E87BF4">
        <w:t>23DN of the Act.</w:t>
      </w:r>
    </w:p>
    <w:p w:rsidR="002838F8" w:rsidRPr="00E87BF4" w:rsidRDefault="002838F8" w:rsidP="002838F8">
      <w:pPr>
        <w:pStyle w:val="ActHead5"/>
      </w:pPr>
      <w:bookmarkStart w:id="19" w:name="_Toc133830896"/>
      <w:r>
        <w:t xml:space="preserve">16  </w:t>
      </w:r>
      <w:r w:rsidRPr="00E87BF4">
        <w:t>Variation of approval</w:t>
      </w:r>
      <w:bookmarkEnd w:id="19"/>
    </w:p>
    <w:p w:rsidR="002838F8" w:rsidRPr="00E87BF4" w:rsidRDefault="002838F8" w:rsidP="002838F8">
      <w:pPr>
        <w:pStyle w:val="subsection"/>
      </w:pPr>
      <w:r>
        <w:tab/>
        <w:t>(1)</w:t>
      </w:r>
      <w:r>
        <w:tab/>
      </w:r>
      <w:r w:rsidRPr="00E87BF4">
        <w:t>In the absence of exceptional circumstances, the Minister must make an appropriate variation to an approval of premises under section</w:t>
      </w:r>
      <w:r>
        <w:t> </w:t>
      </w:r>
      <w:r w:rsidRPr="00E87BF4">
        <w:t>23DN of the Act if one or more of the following circumstances applies:</w:t>
      </w:r>
    </w:p>
    <w:p w:rsidR="002838F8" w:rsidRPr="00E87BF4" w:rsidRDefault="002838F8" w:rsidP="002838F8">
      <w:pPr>
        <w:pStyle w:val="paragraph"/>
      </w:pPr>
      <w:r>
        <w:tab/>
        <w:t>(a)</w:t>
      </w:r>
      <w:r>
        <w:tab/>
      </w:r>
      <w:r w:rsidRPr="00E87BF4">
        <w:t xml:space="preserve">the most recent assessment report states that it has not been established with a high level of confidence that the pathology services </w:t>
      </w:r>
      <w:r>
        <w:t>render</w:t>
      </w:r>
      <w:r w:rsidRPr="00E87BF4">
        <w:t>ed at the premises covered by the approval meet, and can be expected to continue for the remainder of the period of the approval to meet, relevant standards in relation to some of the kinds of services covered by the approval;</w:t>
      </w:r>
    </w:p>
    <w:p w:rsidR="002838F8" w:rsidRPr="00E87BF4" w:rsidRDefault="002838F8" w:rsidP="002838F8">
      <w:pPr>
        <w:pStyle w:val="paragraph"/>
      </w:pPr>
      <w:r>
        <w:tab/>
        <w:t>(b)</w:t>
      </w:r>
      <w:r>
        <w:tab/>
      </w:r>
      <w:r w:rsidRPr="00E87BF4">
        <w:t xml:space="preserve">an independent body varies an accreditation relating to the </w:t>
      </w:r>
      <w:r>
        <w:t>kind of pathology services that</w:t>
      </w:r>
      <w:r w:rsidRPr="00E87BF4">
        <w:t xml:space="preserve"> may be </w:t>
      </w:r>
      <w:r>
        <w:t>render</w:t>
      </w:r>
      <w:r w:rsidRPr="00E87BF4">
        <w:t>ed at the premises by removing a service from that accreditation;</w:t>
      </w:r>
    </w:p>
    <w:p w:rsidR="002838F8" w:rsidRDefault="002838F8" w:rsidP="002838F8">
      <w:pPr>
        <w:pStyle w:val="paragraph"/>
      </w:pPr>
      <w:r>
        <w:tab/>
        <w:t>(c)</w:t>
      </w:r>
      <w:r>
        <w:tab/>
      </w:r>
      <w:r w:rsidRPr="00E87BF4">
        <w:t xml:space="preserve">State accreditation relevant to </w:t>
      </w:r>
      <w:r>
        <w:t>any</w:t>
      </w:r>
      <w:r w:rsidRPr="00E87BF4">
        <w:t xml:space="preserve"> of the services covered by the approval in relation to the premises has been revoked or has not been renewed and the Minister has not been provided by the holder of the approval with a satisfactory explanation of the revocation or non</w:t>
      </w:r>
      <w:r w:rsidR="00312190">
        <w:noBreakHyphen/>
      </w:r>
      <w:r w:rsidRPr="00E87BF4">
        <w:t>renewal of the State accreditation.</w:t>
      </w:r>
    </w:p>
    <w:p w:rsidR="002838F8" w:rsidRDefault="002838F8" w:rsidP="002838F8">
      <w:pPr>
        <w:pStyle w:val="subsection"/>
      </w:pPr>
      <w:r>
        <w:tab/>
        <w:t>(2)</w:t>
      </w:r>
      <w:r>
        <w:tab/>
      </w:r>
      <w:r w:rsidRPr="00E87BF4">
        <w:t xml:space="preserve">The Minister must act in accordance with this section within 28 days of </w:t>
      </w:r>
      <w:r>
        <w:t>learning that any of the circumstances in subsection (1) applies.</w:t>
      </w:r>
    </w:p>
    <w:p w:rsidR="002838F8" w:rsidRPr="00E87BF4" w:rsidRDefault="002838F8" w:rsidP="002838F8">
      <w:pPr>
        <w:pStyle w:val="subsection"/>
      </w:pPr>
      <w:r>
        <w:tab/>
        <w:t>(3)</w:t>
      </w:r>
      <w:r>
        <w:tab/>
      </w:r>
      <w:r w:rsidRPr="00E87BF4">
        <w:t>This section does not limit the considerations which the Minister may take into account when considering whether to vary an approval under section</w:t>
      </w:r>
      <w:r>
        <w:t> </w:t>
      </w:r>
      <w:r w:rsidRPr="00E87BF4">
        <w:t>23DN of the Act.</w:t>
      </w:r>
    </w:p>
    <w:p w:rsidR="002838F8" w:rsidRPr="00E87BF4" w:rsidRDefault="002838F8" w:rsidP="00A227D1">
      <w:pPr>
        <w:pStyle w:val="ActHead2"/>
        <w:pageBreakBefore/>
      </w:pPr>
      <w:bookmarkStart w:id="20" w:name="_Toc133830897"/>
      <w:r>
        <w:rPr>
          <w:rStyle w:val="CharPartNo"/>
        </w:rPr>
        <w:t>Part 4—</w:t>
      </w:r>
      <w:r w:rsidRPr="00E87BF4">
        <w:rPr>
          <w:rStyle w:val="CharPartText"/>
        </w:rPr>
        <w:t>Categories of premises</w:t>
      </w:r>
      <w:bookmarkEnd w:id="20"/>
    </w:p>
    <w:p w:rsidR="002838F8" w:rsidRPr="00E87BF4" w:rsidRDefault="002838F8" w:rsidP="002838F8">
      <w:pPr>
        <w:pStyle w:val="Header"/>
      </w:pPr>
      <w:r w:rsidRPr="00E87BF4">
        <w:rPr>
          <w:rStyle w:val="CharDivNo"/>
        </w:rPr>
        <w:t xml:space="preserve"> </w:t>
      </w:r>
      <w:r w:rsidRPr="00E87BF4">
        <w:rPr>
          <w:rStyle w:val="CharDivText"/>
        </w:rPr>
        <w:t xml:space="preserve"> </w:t>
      </w:r>
    </w:p>
    <w:p w:rsidR="002838F8" w:rsidRPr="00E87BF4" w:rsidRDefault="002838F8" w:rsidP="002838F8">
      <w:pPr>
        <w:pStyle w:val="ActHead5"/>
      </w:pPr>
      <w:bookmarkStart w:id="21" w:name="_Toc133830898"/>
      <w:r>
        <w:t xml:space="preserve">17  </w:t>
      </w:r>
      <w:r w:rsidRPr="00E87BF4">
        <w:t>Allocation of categories</w:t>
      </w:r>
      <w:bookmarkEnd w:id="21"/>
    </w:p>
    <w:p w:rsidR="002838F8" w:rsidRPr="00E87BF4" w:rsidRDefault="002838F8" w:rsidP="002838F8">
      <w:pPr>
        <w:pStyle w:val="subsection"/>
      </w:pPr>
      <w:r>
        <w:tab/>
        <w:t>(1)</w:t>
      </w:r>
      <w:r>
        <w:tab/>
      </w:r>
      <w:r w:rsidRPr="00E87BF4">
        <w:t>The categories of accreditation of pathology laboratories for the purposes of section</w:t>
      </w:r>
      <w:r>
        <w:t> </w:t>
      </w:r>
      <w:r w:rsidRPr="00E87BF4">
        <w:t>23DN of the Act and the criteria applicable to each of those categories are set out in the following table:</w:t>
      </w:r>
    </w:p>
    <w:p w:rsidR="003B5819" w:rsidRPr="007F3E20" w:rsidRDefault="003B5819" w:rsidP="003B5819">
      <w:pPr>
        <w:shd w:val="clear" w:color="auto" w:fill="FFFFFF"/>
        <w:spacing w:before="220" w:line="240" w:lineRule="auto"/>
        <w:ind w:left="709" w:hanging="709"/>
        <w:rPr>
          <w:rFonts w:ascii="Arial" w:eastAsia="Times New Roman" w:hAnsi="Arial" w:cs="Arial"/>
          <w:b/>
          <w:bCs/>
          <w:color w:val="000000"/>
          <w:sz w:val="24"/>
          <w:szCs w:val="24"/>
          <w:lang w:eastAsia="en-AU"/>
        </w:rPr>
      </w:pPr>
    </w:p>
    <w:tbl>
      <w:tblPr>
        <w:tblW w:w="5000" w:type="pct"/>
        <w:shd w:val="clear" w:color="auto" w:fill="FFFFFF"/>
        <w:tblCellMar>
          <w:left w:w="0" w:type="dxa"/>
          <w:right w:w="0" w:type="dxa"/>
        </w:tblCellMar>
        <w:tblLook w:val="04A0" w:firstRow="1" w:lastRow="0" w:firstColumn="1" w:lastColumn="0" w:noHBand="0" w:noVBand="1"/>
      </w:tblPr>
      <w:tblGrid>
        <w:gridCol w:w="616"/>
        <w:gridCol w:w="2345"/>
        <w:gridCol w:w="5567"/>
      </w:tblGrid>
      <w:tr w:rsidR="003B5819" w:rsidRPr="007F3E20" w:rsidTr="003706D3">
        <w:trPr>
          <w:tblHeader/>
        </w:trPr>
        <w:tc>
          <w:tcPr>
            <w:tcW w:w="361"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rsidR="003B5819" w:rsidRPr="007F3E20" w:rsidRDefault="003B5819" w:rsidP="0080470C">
            <w:pPr>
              <w:spacing w:before="60" w:line="240" w:lineRule="atLeast"/>
              <w:rPr>
                <w:rFonts w:eastAsia="Times New Roman" w:cs="Times New Roman"/>
                <w:b/>
                <w:bCs/>
                <w:color w:val="000000"/>
                <w:sz w:val="20"/>
                <w:lang w:eastAsia="en-AU"/>
              </w:rPr>
            </w:pPr>
            <w:r w:rsidRPr="007F3E20">
              <w:rPr>
                <w:rFonts w:eastAsia="Times New Roman" w:cs="Times New Roman"/>
                <w:b/>
                <w:bCs/>
                <w:color w:val="000000"/>
                <w:sz w:val="20"/>
                <w:lang w:eastAsia="en-AU"/>
              </w:rPr>
              <w:t>Item</w:t>
            </w:r>
          </w:p>
        </w:tc>
        <w:tc>
          <w:tcPr>
            <w:tcW w:w="1375"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rsidR="003B5819" w:rsidRPr="007F3E20" w:rsidRDefault="003B5819" w:rsidP="0080470C">
            <w:pPr>
              <w:spacing w:before="60" w:line="240" w:lineRule="atLeast"/>
              <w:rPr>
                <w:rFonts w:eastAsia="Times New Roman" w:cs="Times New Roman"/>
                <w:b/>
                <w:bCs/>
                <w:color w:val="000000"/>
                <w:sz w:val="20"/>
                <w:lang w:eastAsia="en-AU"/>
              </w:rPr>
            </w:pPr>
            <w:r w:rsidRPr="007F3E20">
              <w:rPr>
                <w:rFonts w:eastAsia="Times New Roman" w:cs="Times New Roman"/>
                <w:b/>
                <w:bCs/>
                <w:color w:val="000000"/>
                <w:sz w:val="20"/>
                <w:lang w:eastAsia="en-AU"/>
              </w:rPr>
              <w:t>Category</w:t>
            </w:r>
          </w:p>
        </w:tc>
        <w:tc>
          <w:tcPr>
            <w:tcW w:w="3264"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rsidR="003B5819" w:rsidRPr="007F3E20" w:rsidRDefault="003B5819" w:rsidP="0080470C">
            <w:pPr>
              <w:spacing w:before="60" w:line="240" w:lineRule="atLeast"/>
              <w:rPr>
                <w:rFonts w:eastAsia="Times New Roman" w:cs="Times New Roman"/>
                <w:b/>
                <w:bCs/>
                <w:color w:val="000000"/>
                <w:sz w:val="20"/>
                <w:lang w:eastAsia="en-AU"/>
              </w:rPr>
            </w:pPr>
            <w:r w:rsidRPr="007F3E20">
              <w:rPr>
                <w:rFonts w:eastAsia="Times New Roman" w:cs="Times New Roman"/>
                <w:b/>
                <w:bCs/>
                <w:color w:val="000000"/>
                <w:sz w:val="20"/>
                <w:lang w:eastAsia="en-AU"/>
              </w:rPr>
              <w:t>Criteria</w:t>
            </w:r>
          </w:p>
        </w:tc>
      </w:tr>
      <w:tr w:rsidR="003706D3" w:rsidRPr="007F3E20" w:rsidTr="003706D3">
        <w:tc>
          <w:tcPr>
            <w:tcW w:w="361"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3B5819" w:rsidRDefault="003706D3" w:rsidP="003706D3">
            <w:pPr>
              <w:pStyle w:val="Tabletext"/>
            </w:pPr>
            <w:r w:rsidRPr="003B5819">
              <w:t>1</w:t>
            </w:r>
          </w:p>
        </w:tc>
        <w:tc>
          <w:tcPr>
            <w:tcW w:w="1375"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7F3E20" w:rsidRDefault="003706D3" w:rsidP="003706D3">
            <w:pPr>
              <w:pStyle w:val="Tabletext"/>
              <w:rPr>
                <w:color w:val="000000"/>
              </w:rPr>
            </w:pPr>
            <w:r w:rsidRPr="007F3E20">
              <w:rPr>
                <w:i/>
                <w:iCs/>
                <w:color w:val="000000"/>
              </w:rPr>
              <w:t>Category GX (General)</w:t>
            </w:r>
          </w:p>
        </w:tc>
        <w:tc>
          <w:tcPr>
            <w:tcW w:w="3264"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4C215F" w:rsidRDefault="003706D3" w:rsidP="003706D3">
            <w:pPr>
              <w:pStyle w:val="Tabletext"/>
            </w:pPr>
            <w:bookmarkStart w:id="22" w:name="_Hlk80255105"/>
            <w:r w:rsidRPr="004C215F">
              <w:t>Either of the following:</w:t>
            </w:r>
          </w:p>
          <w:p w:rsidR="003706D3" w:rsidRPr="004C215F" w:rsidRDefault="003706D3" w:rsidP="003706D3">
            <w:pPr>
              <w:pStyle w:val="Tablea"/>
            </w:pPr>
            <w:r w:rsidRPr="004C215F">
              <w:t>(a) premises comprising a laboratory, or a number of co</w:t>
            </w:r>
            <w:r>
              <w:noBreakHyphen/>
            </w:r>
            <w:r w:rsidRPr="004C215F">
              <w:t>located laboratories, that:</w:t>
            </w:r>
          </w:p>
          <w:p w:rsidR="003706D3" w:rsidRPr="004C215F" w:rsidRDefault="003706D3" w:rsidP="003706D3">
            <w:pPr>
              <w:pStyle w:val="Tablei"/>
            </w:pPr>
            <w:r w:rsidRPr="004C215F">
              <w:t>(i) are under the full</w:t>
            </w:r>
            <w:r>
              <w:noBreakHyphen/>
            </w:r>
            <w:r w:rsidRPr="004C215F">
              <w:t>time onsite direction and control of a designated person, who is a pathologist; and</w:t>
            </w:r>
          </w:p>
          <w:p w:rsidR="003706D3" w:rsidRPr="004C215F" w:rsidRDefault="003706D3" w:rsidP="003706D3">
            <w:pPr>
              <w:pStyle w:val="Tablei"/>
            </w:pPr>
            <w:r w:rsidRPr="004C215F">
              <w:t>(ii) render services in 1 or more groups of pathology testing either:</w:t>
            </w:r>
          </w:p>
          <w:p w:rsidR="003706D3" w:rsidRPr="004C215F" w:rsidRDefault="003706D3" w:rsidP="003706D3">
            <w:pPr>
              <w:pStyle w:val="TableAA"/>
            </w:pPr>
            <w:r w:rsidRPr="004C215F">
              <w:t>(A) under the full‑time supervision of a pathologist (whether or not the designated person) with the relevant scope of practice; or</w:t>
            </w:r>
          </w:p>
          <w:p w:rsidR="003706D3" w:rsidRPr="004C215F" w:rsidRDefault="003706D3" w:rsidP="003706D3">
            <w:pPr>
              <w:pStyle w:val="TableAA"/>
            </w:pPr>
            <w:r w:rsidRPr="004C215F">
              <w:t>(B) if the groups of pathology testing are in 1 or more pathology disciplines with a national workforce shortage and the laboratory, or co</w:t>
            </w:r>
            <w:r>
              <w:noBreakHyphen/>
            </w:r>
            <w:r w:rsidRPr="004C215F">
              <w:t>located laboratories, are unable to recruit a full</w:t>
            </w:r>
            <w:r>
              <w:noBreakHyphen/>
            </w:r>
            <w:r w:rsidRPr="004C215F">
              <w:t>time pathologist with the relevant scope of practice—under the supervision of a pathologist (whether or not the designated person);</w:t>
            </w:r>
          </w:p>
          <w:p w:rsidR="003706D3" w:rsidRPr="004C215F" w:rsidRDefault="003706D3" w:rsidP="003706D3">
            <w:pPr>
              <w:pStyle w:val="Tablea"/>
            </w:pPr>
            <w:r w:rsidRPr="004C215F">
              <w:t>(b) premises comprising a laboratory, a number of co</w:t>
            </w:r>
            <w:r>
              <w:noBreakHyphen/>
            </w:r>
            <w:r w:rsidRPr="004C215F">
              <w:t>located laboratories or a network of laboratories, that:</w:t>
            </w:r>
          </w:p>
          <w:p w:rsidR="003706D3" w:rsidRPr="004C215F" w:rsidRDefault="003706D3" w:rsidP="003706D3">
            <w:pPr>
              <w:pStyle w:val="Tablei"/>
            </w:pPr>
            <w:r w:rsidRPr="004C215F">
              <w:t>(i) are a recognised national blood service; and</w:t>
            </w:r>
          </w:p>
          <w:p w:rsidR="003706D3" w:rsidRPr="004C215F" w:rsidRDefault="003706D3" w:rsidP="003706D3">
            <w:pPr>
              <w:pStyle w:val="Tablei"/>
            </w:pPr>
            <w:r w:rsidRPr="004C215F">
              <w:t>(ii) are under the full</w:t>
            </w:r>
            <w:r>
              <w:noBreakHyphen/>
            </w:r>
            <w:r w:rsidRPr="004C215F">
              <w:t>time direction, control and supervision of a designated person, who is a pathologist with the relevant scope of practice; and</w:t>
            </w:r>
          </w:p>
          <w:p w:rsidR="003706D3" w:rsidRPr="007F3E20" w:rsidRDefault="003706D3" w:rsidP="007C11FF">
            <w:pPr>
              <w:pStyle w:val="Tablei"/>
              <w:rPr>
                <w:color w:val="000000"/>
              </w:rPr>
            </w:pPr>
            <w:r w:rsidRPr="004C215F">
              <w:t>(iii) render a limited range of pathology testing under the full</w:t>
            </w:r>
            <w:r>
              <w:noBreakHyphen/>
            </w:r>
            <w:r w:rsidRPr="004C215F">
              <w:t>time supervision of a pathologist (whether or not the designated person) with the relevant scope of practice.</w:t>
            </w:r>
            <w:bookmarkEnd w:id="22"/>
          </w:p>
        </w:tc>
      </w:tr>
      <w:tr w:rsidR="003706D3" w:rsidRPr="007F3E20" w:rsidTr="003706D3">
        <w:tc>
          <w:tcPr>
            <w:tcW w:w="361"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3B5819" w:rsidRDefault="003706D3" w:rsidP="003706D3">
            <w:pPr>
              <w:pStyle w:val="Tabletext"/>
            </w:pPr>
            <w:r w:rsidRPr="003B5819">
              <w:t>2</w:t>
            </w:r>
          </w:p>
        </w:tc>
        <w:tc>
          <w:tcPr>
            <w:tcW w:w="1375"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7F3E20" w:rsidRDefault="003706D3" w:rsidP="003706D3">
            <w:pPr>
              <w:pStyle w:val="Tabletext"/>
              <w:rPr>
                <w:color w:val="000000"/>
              </w:rPr>
            </w:pPr>
            <w:r w:rsidRPr="007F3E20">
              <w:rPr>
                <w:i/>
                <w:iCs/>
                <w:color w:val="000000"/>
              </w:rPr>
              <w:t>Category GY (General)</w:t>
            </w:r>
          </w:p>
        </w:tc>
        <w:tc>
          <w:tcPr>
            <w:tcW w:w="3264"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7F3E20" w:rsidRDefault="003706D3" w:rsidP="003706D3">
            <w:pPr>
              <w:pStyle w:val="Tabletext"/>
              <w:rPr>
                <w:color w:val="000000"/>
              </w:rPr>
            </w:pPr>
            <w:r w:rsidRPr="007F3E20">
              <w:rPr>
                <w:color w:val="000000"/>
              </w:rPr>
              <w:t>Premises comprising a laboratory, or a number of co</w:t>
            </w:r>
            <w:r>
              <w:rPr>
                <w:color w:val="000000"/>
              </w:rPr>
              <w:noBreakHyphen/>
            </w:r>
            <w:r w:rsidRPr="007F3E20">
              <w:rPr>
                <w:color w:val="000000"/>
              </w:rPr>
              <w:t>located laboratories, that:</w:t>
            </w:r>
          </w:p>
          <w:p w:rsidR="003706D3" w:rsidRPr="007F3E20" w:rsidRDefault="003706D3" w:rsidP="003706D3">
            <w:pPr>
              <w:pStyle w:val="Tablea"/>
              <w:rPr>
                <w:color w:val="000000"/>
              </w:rPr>
            </w:pPr>
            <w:r w:rsidRPr="007F3E20">
              <w:rPr>
                <w:color w:val="000000"/>
              </w:rPr>
              <w:t xml:space="preserve">(a) </w:t>
            </w:r>
            <w:r w:rsidR="00AD491D">
              <w:rPr>
                <w:color w:val="000000"/>
              </w:rPr>
              <w:t>are</w:t>
            </w:r>
            <w:r w:rsidRPr="007F3E20">
              <w:rPr>
                <w:color w:val="000000"/>
              </w:rPr>
              <w:t xml:space="preserve"> related by an appropriate arrangement to a GX laboratory; and</w:t>
            </w:r>
          </w:p>
          <w:p w:rsidR="003706D3" w:rsidRPr="007F3E20" w:rsidRDefault="003706D3" w:rsidP="003706D3">
            <w:pPr>
              <w:pStyle w:val="Tablea"/>
              <w:rPr>
                <w:color w:val="000000"/>
              </w:rPr>
            </w:pPr>
            <w:r w:rsidRPr="007F3E20">
              <w:rPr>
                <w:color w:val="000000"/>
              </w:rPr>
              <w:t xml:space="preserve">(b) </w:t>
            </w:r>
            <w:r w:rsidR="00AD491D">
              <w:rPr>
                <w:color w:val="000000"/>
              </w:rPr>
              <w:t>are</w:t>
            </w:r>
            <w:r w:rsidRPr="007F3E20">
              <w:rPr>
                <w:color w:val="000000"/>
              </w:rPr>
              <w:t xml:space="preserve"> under the direction and control of the designated person of the related GX laboratory; and</w:t>
            </w:r>
          </w:p>
          <w:p w:rsidR="003657CB" w:rsidRPr="004C215F" w:rsidRDefault="003657CB" w:rsidP="003657CB">
            <w:pPr>
              <w:pStyle w:val="Tablea"/>
            </w:pPr>
            <w:bookmarkStart w:id="23" w:name="_Hlk80255232"/>
            <w:r w:rsidRPr="004C215F">
              <w:t>(c) render services in 1 or more groups of pathology testing either:</w:t>
            </w:r>
          </w:p>
          <w:p w:rsidR="003657CB" w:rsidRPr="004C215F" w:rsidRDefault="003657CB" w:rsidP="003657CB">
            <w:pPr>
              <w:pStyle w:val="Tablei"/>
            </w:pPr>
            <w:r w:rsidRPr="004C215F">
              <w:t>(i) under the full‑time onsite supervision of a pathologist (whether or not the designated person) with the relevant scope of practice; or</w:t>
            </w:r>
          </w:p>
          <w:p w:rsidR="003657CB" w:rsidRPr="004C215F" w:rsidRDefault="003657CB" w:rsidP="003657CB">
            <w:pPr>
              <w:pStyle w:val="Tablei"/>
            </w:pPr>
            <w:r w:rsidRPr="004C215F">
              <w:t>(ii) if:</w:t>
            </w:r>
          </w:p>
          <w:p w:rsidR="003657CB" w:rsidRPr="004C215F" w:rsidRDefault="003657CB" w:rsidP="003657CB">
            <w:pPr>
              <w:pStyle w:val="TableAA"/>
            </w:pPr>
            <w:r w:rsidRPr="004C215F">
              <w:t>(A) the groups of pathology testing are in 1 or more pathology disciplines with a national workforce shortage; and</w:t>
            </w:r>
          </w:p>
          <w:p w:rsidR="003657CB" w:rsidRPr="004C215F" w:rsidRDefault="003657CB" w:rsidP="003657CB">
            <w:pPr>
              <w:pStyle w:val="TableAA"/>
            </w:pPr>
            <w:r w:rsidRPr="004C215F">
              <w:t>(B) the laboratory, or co</w:t>
            </w:r>
            <w:r>
              <w:noBreakHyphen/>
            </w:r>
            <w:r w:rsidRPr="004C215F">
              <w:t>located laboratories, are unable to recruit a full</w:t>
            </w:r>
            <w:r>
              <w:noBreakHyphen/>
            </w:r>
            <w:r w:rsidRPr="004C215F">
              <w:t>time pathologist with the relevant scope of practice;</w:t>
            </w:r>
          </w:p>
          <w:p w:rsidR="003657CB" w:rsidRPr="004C215F" w:rsidRDefault="003657CB" w:rsidP="003657CB">
            <w:pPr>
              <w:pStyle w:val="Tablei"/>
            </w:pPr>
            <w:r w:rsidRPr="004C215F">
              <w:t>under the supervision of a pathologist (whether or not the designated person);</w:t>
            </w:r>
          </w:p>
          <w:bookmarkEnd w:id="23"/>
          <w:p w:rsidR="003706D3" w:rsidRPr="007F3E20" w:rsidRDefault="003706D3" w:rsidP="003706D3">
            <w:pPr>
              <w:pStyle w:val="Tabletext"/>
              <w:rPr>
                <w:color w:val="000000"/>
              </w:rPr>
            </w:pPr>
            <w:r w:rsidRPr="007F3E20">
              <w:rPr>
                <w:color w:val="000000"/>
              </w:rPr>
              <w:t>whether or not the premises also renders services in 1 or more groups of pathology testing under the supervision of a pathologist with the relevant scope of practice who is situated in:</w:t>
            </w:r>
          </w:p>
          <w:p w:rsidR="003706D3" w:rsidRPr="007F3E20" w:rsidRDefault="003706D3" w:rsidP="003706D3">
            <w:pPr>
              <w:pStyle w:val="Tablea"/>
              <w:rPr>
                <w:color w:val="000000"/>
              </w:rPr>
            </w:pPr>
            <w:r w:rsidRPr="007F3E20">
              <w:rPr>
                <w:color w:val="000000"/>
              </w:rPr>
              <w:t>(d) the related GX laboratory (whether or not the pathologist is the designated person); or</w:t>
            </w:r>
          </w:p>
          <w:p w:rsidR="003706D3" w:rsidRPr="007F3E20" w:rsidRDefault="003706D3" w:rsidP="003706D3">
            <w:pPr>
              <w:pStyle w:val="Tablea"/>
              <w:rPr>
                <w:color w:val="000000"/>
              </w:rPr>
            </w:pPr>
            <w:r>
              <w:rPr>
                <w:color w:val="000000"/>
              </w:rPr>
              <w:t>(e)</w:t>
            </w:r>
            <w:r w:rsidRPr="007F3E20">
              <w:rPr>
                <w:color w:val="000000"/>
              </w:rPr>
              <w:t xml:space="preserve"> another GY laboratory that is related to that GX laboratory.</w:t>
            </w:r>
          </w:p>
        </w:tc>
      </w:tr>
      <w:tr w:rsidR="003706D3" w:rsidRPr="007F3E20" w:rsidTr="003706D3">
        <w:tc>
          <w:tcPr>
            <w:tcW w:w="361"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3B5819" w:rsidRDefault="003706D3" w:rsidP="003706D3">
            <w:pPr>
              <w:pStyle w:val="Tabletext"/>
            </w:pPr>
            <w:r w:rsidRPr="003B5819">
              <w:t>3</w:t>
            </w:r>
          </w:p>
        </w:tc>
        <w:tc>
          <w:tcPr>
            <w:tcW w:w="1375"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7F3E20" w:rsidRDefault="003706D3" w:rsidP="003706D3">
            <w:pPr>
              <w:pStyle w:val="Tabletext"/>
              <w:rPr>
                <w:color w:val="000000"/>
              </w:rPr>
            </w:pPr>
            <w:r w:rsidRPr="003B5819">
              <w:rPr>
                <w:i/>
              </w:rPr>
              <w:t>Category</w:t>
            </w:r>
            <w:r w:rsidRPr="007F3E20">
              <w:rPr>
                <w:i/>
                <w:iCs/>
                <w:color w:val="000000"/>
              </w:rPr>
              <w:t xml:space="preserve"> B (Branch)</w:t>
            </w:r>
          </w:p>
        </w:tc>
        <w:tc>
          <w:tcPr>
            <w:tcW w:w="3264"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7F3E20" w:rsidRDefault="003706D3" w:rsidP="003706D3">
            <w:pPr>
              <w:pStyle w:val="Tabletext"/>
              <w:rPr>
                <w:color w:val="000000"/>
              </w:rPr>
            </w:pPr>
            <w:r w:rsidRPr="007F3E20">
              <w:rPr>
                <w:color w:val="000000"/>
              </w:rPr>
              <w:t>Premises comprising a laboratory, or a number of co</w:t>
            </w:r>
            <w:r>
              <w:rPr>
                <w:color w:val="000000"/>
              </w:rPr>
              <w:noBreakHyphen/>
            </w:r>
            <w:r w:rsidRPr="007F3E20">
              <w:rPr>
                <w:color w:val="000000"/>
              </w:rPr>
              <w:t>located laboratories, that:</w:t>
            </w:r>
          </w:p>
          <w:p w:rsidR="003706D3" w:rsidRPr="007F3E20" w:rsidRDefault="003706D3" w:rsidP="003706D3">
            <w:pPr>
              <w:pStyle w:val="Tablea"/>
              <w:rPr>
                <w:color w:val="000000"/>
              </w:rPr>
            </w:pPr>
            <w:r w:rsidRPr="007F3E20">
              <w:rPr>
                <w:color w:val="000000"/>
              </w:rPr>
              <w:t xml:space="preserve">(a) </w:t>
            </w:r>
            <w:r w:rsidR="003657CB">
              <w:rPr>
                <w:color w:val="000000"/>
              </w:rPr>
              <w:t>are</w:t>
            </w:r>
            <w:r w:rsidRPr="007F3E20">
              <w:rPr>
                <w:color w:val="000000"/>
              </w:rPr>
              <w:t xml:space="preserve"> related by an appropriate arrangement to a GX laboratory or GY laboratory; and</w:t>
            </w:r>
          </w:p>
          <w:p w:rsidR="003706D3" w:rsidRPr="007F3E20" w:rsidRDefault="003706D3" w:rsidP="003706D3">
            <w:pPr>
              <w:pStyle w:val="Tablea"/>
              <w:rPr>
                <w:color w:val="000000"/>
              </w:rPr>
            </w:pPr>
            <w:r w:rsidRPr="007F3E20">
              <w:rPr>
                <w:color w:val="000000"/>
              </w:rPr>
              <w:t xml:space="preserve">(b) </w:t>
            </w:r>
            <w:r w:rsidR="003657CB">
              <w:rPr>
                <w:color w:val="000000"/>
              </w:rPr>
              <w:t>are</w:t>
            </w:r>
            <w:r w:rsidRPr="007F3E20">
              <w:rPr>
                <w:color w:val="000000"/>
              </w:rPr>
              <w:t xml:space="preserve"> under the direction and control of the same designated person as the related laboratory; and</w:t>
            </w:r>
          </w:p>
          <w:p w:rsidR="003706D3" w:rsidRPr="007F3E20" w:rsidRDefault="003706D3" w:rsidP="003706D3">
            <w:pPr>
              <w:pStyle w:val="Tablea"/>
              <w:rPr>
                <w:color w:val="000000"/>
              </w:rPr>
            </w:pPr>
            <w:r>
              <w:rPr>
                <w:color w:val="000000"/>
              </w:rPr>
              <w:t>(c)</w:t>
            </w:r>
            <w:r w:rsidRPr="007F3E20">
              <w:rPr>
                <w:color w:val="000000"/>
              </w:rPr>
              <w:t xml:space="preserve"> </w:t>
            </w:r>
            <w:r w:rsidR="003657CB">
              <w:rPr>
                <w:color w:val="000000"/>
              </w:rPr>
              <w:t>render</w:t>
            </w:r>
            <w:r w:rsidRPr="007F3E20">
              <w:rPr>
                <w:color w:val="000000"/>
              </w:rPr>
              <w:t xml:space="preserve"> services in 1 or more groups of pathology testing under t</w:t>
            </w:r>
            <w:r>
              <w:rPr>
                <w:color w:val="000000"/>
              </w:rPr>
              <w:t xml:space="preserve">he supervision of </w:t>
            </w:r>
            <w:r w:rsidRPr="007F3E20">
              <w:rPr>
                <w:color w:val="000000"/>
              </w:rPr>
              <w:t>a pathologist (whether or not the designated person)</w:t>
            </w:r>
            <w:r>
              <w:rPr>
                <w:color w:val="000000"/>
              </w:rPr>
              <w:t xml:space="preserve"> </w:t>
            </w:r>
            <w:r w:rsidRPr="0055160E">
              <w:rPr>
                <w:color w:val="000000"/>
              </w:rPr>
              <w:t>from a laboratory within the pathology network.</w:t>
            </w:r>
          </w:p>
        </w:tc>
      </w:tr>
      <w:tr w:rsidR="003706D3" w:rsidRPr="007F3E20" w:rsidTr="003706D3">
        <w:tc>
          <w:tcPr>
            <w:tcW w:w="361"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3B5819" w:rsidRDefault="003706D3" w:rsidP="003706D3">
            <w:pPr>
              <w:pStyle w:val="Tabletext"/>
            </w:pPr>
            <w:r w:rsidRPr="003B5819">
              <w:t>4</w:t>
            </w:r>
          </w:p>
        </w:tc>
        <w:tc>
          <w:tcPr>
            <w:tcW w:w="1375"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7F3E20" w:rsidRDefault="003706D3" w:rsidP="003706D3">
            <w:pPr>
              <w:pStyle w:val="Tabletext"/>
              <w:rPr>
                <w:color w:val="000000"/>
              </w:rPr>
            </w:pPr>
            <w:r w:rsidRPr="003B5819">
              <w:rPr>
                <w:i/>
              </w:rPr>
              <w:t>Category</w:t>
            </w:r>
            <w:r w:rsidRPr="007F3E20">
              <w:rPr>
                <w:i/>
                <w:iCs/>
                <w:color w:val="000000"/>
              </w:rPr>
              <w:t xml:space="preserve"> M (Medical)</w:t>
            </w:r>
          </w:p>
        </w:tc>
        <w:tc>
          <w:tcPr>
            <w:tcW w:w="3264" w:type="pct"/>
            <w:tcBorders>
              <w:top w:val="nil"/>
              <w:left w:val="nil"/>
              <w:bottom w:val="single" w:sz="8" w:space="0" w:color="auto"/>
              <w:right w:val="nil"/>
            </w:tcBorders>
            <w:shd w:val="clear" w:color="auto" w:fill="FFFFFF"/>
            <w:tcMar>
              <w:top w:w="0" w:type="dxa"/>
              <w:left w:w="108" w:type="dxa"/>
              <w:bottom w:w="0" w:type="dxa"/>
              <w:right w:w="108" w:type="dxa"/>
            </w:tcMar>
            <w:hideMark/>
          </w:tcPr>
          <w:p w:rsidR="003706D3" w:rsidRPr="007F3E20" w:rsidRDefault="003706D3" w:rsidP="003706D3">
            <w:pPr>
              <w:pStyle w:val="Tabletext"/>
              <w:rPr>
                <w:color w:val="000000"/>
              </w:rPr>
            </w:pPr>
            <w:r w:rsidRPr="007F3E20">
              <w:rPr>
                <w:color w:val="000000"/>
              </w:rPr>
              <w:t>Premises comprising a laboratory that:</w:t>
            </w:r>
          </w:p>
          <w:p w:rsidR="003706D3" w:rsidRPr="007F3E20" w:rsidRDefault="003706D3" w:rsidP="003706D3">
            <w:pPr>
              <w:pStyle w:val="Tablea"/>
              <w:rPr>
                <w:color w:val="000000"/>
              </w:rPr>
            </w:pPr>
            <w:r w:rsidRPr="007F3E20">
              <w:rPr>
                <w:color w:val="000000"/>
              </w:rPr>
              <w:t>(a) is under the full</w:t>
            </w:r>
            <w:r>
              <w:rPr>
                <w:color w:val="000000"/>
              </w:rPr>
              <w:noBreakHyphen/>
            </w:r>
            <w:r w:rsidRPr="007F3E20">
              <w:rPr>
                <w:color w:val="000000"/>
              </w:rPr>
              <w:t>time onsite direction, control and supervision of a designated person, who is a medical practitioner; and</w:t>
            </w:r>
          </w:p>
          <w:p w:rsidR="003706D3" w:rsidRPr="007F3E20" w:rsidRDefault="003706D3" w:rsidP="003706D3">
            <w:pPr>
              <w:pStyle w:val="Tablea"/>
              <w:rPr>
                <w:color w:val="000000"/>
              </w:rPr>
            </w:pPr>
            <w:r w:rsidRPr="007F3E20">
              <w:rPr>
                <w:color w:val="000000"/>
              </w:rPr>
              <w:t>(b) renders a limited range of pathology testing only for the patients of a medical practice that:</w:t>
            </w:r>
          </w:p>
          <w:p w:rsidR="003706D3" w:rsidRPr="007F3E20" w:rsidRDefault="003706D3" w:rsidP="003706D3">
            <w:pPr>
              <w:pStyle w:val="Tablei"/>
            </w:pPr>
            <w:r>
              <w:t>(i)</w:t>
            </w:r>
            <w:r w:rsidRPr="007F3E20">
              <w:t xml:space="preserve"> is operated by, or employs, the designated person; and</w:t>
            </w:r>
          </w:p>
          <w:p w:rsidR="003706D3" w:rsidRPr="007F3E20" w:rsidRDefault="003706D3" w:rsidP="003706D3">
            <w:pPr>
              <w:pStyle w:val="Tablei"/>
              <w:rPr>
                <w:color w:val="000000"/>
              </w:rPr>
            </w:pPr>
            <w:r>
              <w:rPr>
                <w:color w:val="000000"/>
              </w:rPr>
              <w:t>(ii)</w:t>
            </w:r>
            <w:r w:rsidRPr="007F3E20">
              <w:rPr>
                <w:color w:val="000000"/>
              </w:rPr>
              <w:t xml:space="preserve"> is co</w:t>
            </w:r>
            <w:r>
              <w:rPr>
                <w:color w:val="000000"/>
              </w:rPr>
              <w:noBreakHyphen/>
            </w:r>
            <w:r w:rsidRPr="007F3E20">
              <w:rPr>
                <w:color w:val="000000"/>
              </w:rPr>
              <w:t>located with the laboratory.</w:t>
            </w:r>
          </w:p>
        </w:tc>
      </w:tr>
      <w:tr w:rsidR="003706D3" w:rsidRPr="007F3E20" w:rsidTr="003706D3">
        <w:tc>
          <w:tcPr>
            <w:tcW w:w="361" w:type="pct"/>
            <w:tcBorders>
              <w:top w:val="nil"/>
              <w:left w:val="nil"/>
              <w:bottom w:val="single" w:sz="12" w:space="0" w:color="auto"/>
              <w:right w:val="nil"/>
            </w:tcBorders>
            <w:shd w:val="clear" w:color="auto" w:fill="FFFFFF"/>
            <w:tcMar>
              <w:top w:w="0" w:type="dxa"/>
              <w:left w:w="108" w:type="dxa"/>
              <w:bottom w:w="0" w:type="dxa"/>
              <w:right w:w="108" w:type="dxa"/>
            </w:tcMar>
            <w:hideMark/>
          </w:tcPr>
          <w:p w:rsidR="003706D3" w:rsidRPr="003B5819" w:rsidRDefault="003706D3" w:rsidP="003706D3">
            <w:pPr>
              <w:pStyle w:val="Tabletext"/>
            </w:pPr>
            <w:r w:rsidRPr="003B5819">
              <w:t>5</w:t>
            </w:r>
          </w:p>
        </w:tc>
        <w:tc>
          <w:tcPr>
            <w:tcW w:w="1375" w:type="pct"/>
            <w:tcBorders>
              <w:top w:val="nil"/>
              <w:left w:val="nil"/>
              <w:bottom w:val="single" w:sz="12" w:space="0" w:color="auto"/>
              <w:right w:val="nil"/>
            </w:tcBorders>
            <w:shd w:val="clear" w:color="auto" w:fill="FFFFFF"/>
            <w:tcMar>
              <w:top w:w="0" w:type="dxa"/>
              <w:left w:w="108" w:type="dxa"/>
              <w:bottom w:w="0" w:type="dxa"/>
              <w:right w:w="108" w:type="dxa"/>
            </w:tcMar>
            <w:hideMark/>
          </w:tcPr>
          <w:p w:rsidR="003706D3" w:rsidRPr="007F3E20" w:rsidRDefault="003706D3" w:rsidP="003706D3">
            <w:pPr>
              <w:pStyle w:val="Tabletext"/>
              <w:rPr>
                <w:color w:val="000000"/>
              </w:rPr>
            </w:pPr>
            <w:r w:rsidRPr="007F3E20">
              <w:rPr>
                <w:i/>
                <w:iCs/>
                <w:color w:val="000000"/>
              </w:rPr>
              <w:t>Category S (</w:t>
            </w:r>
            <w:r w:rsidRPr="003B5819">
              <w:rPr>
                <w:i/>
              </w:rPr>
              <w:t>Specialised</w:t>
            </w:r>
            <w:r w:rsidRPr="007F3E20">
              <w:rPr>
                <w:i/>
                <w:iCs/>
                <w:color w:val="000000"/>
              </w:rPr>
              <w:t>)</w:t>
            </w:r>
          </w:p>
        </w:tc>
        <w:tc>
          <w:tcPr>
            <w:tcW w:w="3264" w:type="pct"/>
            <w:tcBorders>
              <w:top w:val="nil"/>
              <w:left w:val="nil"/>
              <w:bottom w:val="single" w:sz="12" w:space="0" w:color="auto"/>
              <w:right w:val="nil"/>
            </w:tcBorders>
            <w:shd w:val="clear" w:color="auto" w:fill="FFFFFF"/>
            <w:tcMar>
              <w:top w:w="0" w:type="dxa"/>
              <w:left w:w="108" w:type="dxa"/>
              <w:bottom w:w="0" w:type="dxa"/>
              <w:right w:w="108" w:type="dxa"/>
            </w:tcMar>
            <w:hideMark/>
          </w:tcPr>
          <w:p w:rsidR="003706D3" w:rsidRPr="007F3E20" w:rsidRDefault="003657CB" w:rsidP="003706D3">
            <w:pPr>
              <w:pStyle w:val="Tabletext"/>
              <w:rPr>
                <w:color w:val="000000"/>
              </w:rPr>
            </w:pPr>
            <w:r w:rsidRPr="004C215F">
              <w:t>Any of the following</w:t>
            </w:r>
            <w:r w:rsidR="003706D3" w:rsidRPr="007F3E20">
              <w:rPr>
                <w:color w:val="000000"/>
              </w:rPr>
              <w:t>:</w:t>
            </w:r>
          </w:p>
          <w:p w:rsidR="003706D3" w:rsidRPr="007F3E20" w:rsidRDefault="003706D3" w:rsidP="003706D3">
            <w:pPr>
              <w:pStyle w:val="Tablea"/>
              <w:rPr>
                <w:color w:val="000000"/>
              </w:rPr>
            </w:pPr>
            <w:r w:rsidRPr="007F3E20">
              <w:rPr>
                <w:color w:val="000000"/>
              </w:rPr>
              <w:t>(a) premises comprising a laboratory that:</w:t>
            </w:r>
          </w:p>
          <w:p w:rsidR="003706D3" w:rsidRPr="007F3E20" w:rsidRDefault="003706D3" w:rsidP="003706D3">
            <w:pPr>
              <w:pStyle w:val="Tablei"/>
              <w:rPr>
                <w:color w:val="000000"/>
              </w:rPr>
            </w:pPr>
            <w:r>
              <w:rPr>
                <w:color w:val="000000"/>
              </w:rPr>
              <w:t>(i)</w:t>
            </w:r>
            <w:r w:rsidRPr="007F3E20">
              <w:rPr>
                <w:color w:val="000000"/>
              </w:rPr>
              <w:t xml:space="preserve"> is under the full</w:t>
            </w:r>
            <w:r>
              <w:rPr>
                <w:color w:val="000000"/>
              </w:rPr>
              <w:noBreakHyphen/>
            </w:r>
            <w:r w:rsidRPr="007F3E20">
              <w:rPr>
                <w:color w:val="000000"/>
              </w:rPr>
              <w:t>time direction, control and supervision of a designated person, who is:</w:t>
            </w:r>
          </w:p>
          <w:p w:rsidR="003706D3" w:rsidRPr="007F3E20" w:rsidRDefault="003706D3" w:rsidP="003706D3">
            <w:pPr>
              <w:pStyle w:val="TableAA"/>
            </w:pPr>
            <w:r>
              <w:t>(A)</w:t>
            </w:r>
            <w:r w:rsidRPr="007F3E20">
              <w:t xml:space="preserve"> a medical practitioner with specialised scope of practice; and</w:t>
            </w:r>
          </w:p>
          <w:p w:rsidR="003706D3" w:rsidRPr="007F3E20" w:rsidRDefault="003706D3" w:rsidP="003706D3">
            <w:pPr>
              <w:pStyle w:val="TableAA"/>
              <w:rPr>
                <w:color w:val="000000"/>
              </w:rPr>
            </w:pPr>
            <w:r>
              <w:rPr>
                <w:color w:val="000000"/>
              </w:rPr>
              <w:t>(B)</w:t>
            </w:r>
            <w:r w:rsidRPr="007F3E20">
              <w:rPr>
                <w:color w:val="000000"/>
              </w:rPr>
              <w:t xml:space="preserve"> </w:t>
            </w:r>
            <w:r w:rsidRPr="003B5819">
              <w:t>not</w:t>
            </w:r>
            <w:r w:rsidRPr="007F3E20">
              <w:rPr>
                <w:color w:val="000000"/>
              </w:rPr>
              <w:t xml:space="preserve"> a pathologist; and</w:t>
            </w:r>
          </w:p>
          <w:p w:rsidR="003706D3" w:rsidRPr="007F3E20" w:rsidRDefault="003706D3" w:rsidP="003706D3">
            <w:pPr>
              <w:pStyle w:val="Tablei"/>
              <w:rPr>
                <w:color w:val="000000"/>
              </w:rPr>
            </w:pPr>
            <w:r>
              <w:rPr>
                <w:color w:val="000000"/>
              </w:rPr>
              <w:t>(ii)</w:t>
            </w:r>
            <w:r w:rsidRPr="007F3E20">
              <w:rPr>
                <w:color w:val="000000"/>
              </w:rPr>
              <w:t xml:space="preserve"> renders a limited range of pathology testing:</w:t>
            </w:r>
          </w:p>
          <w:p w:rsidR="003706D3" w:rsidRPr="007F3E20" w:rsidRDefault="003706D3" w:rsidP="003706D3">
            <w:pPr>
              <w:pStyle w:val="TableAA"/>
              <w:rPr>
                <w:color w:val="000000"/>
              </w:rPr>
            </w:pPr>
            <w:r>
              <w:rPr>
                <w:color w:val="000000"/>
              </w:rPr>
              <w:t>(A)</w:t>
            </w:r>
            <w:r w:rsidRPr="007F3E20">
              <w:rPr>
                <w:color w:val="000000"/>
              </w:rPr>
              <w:t xml:space="preserve"> for a target patient population or of a </w:t>
            </w:r>
            <w:r w:rsidRPr="003B5819">
              <w:t>specialised</w:t>
            </w:r>
            <w:r w:rsidRPr="007F3E20">
              <w:rPr>
                <w:color w:val="000000"/>
              </w:rPr>
              <w:t xml:space="preserve"> nature; and</w:t>
            </w:r>
          </w:p>
          <w:p w:rsidR="003706D3" w:rsidRPr="007F3E20" w:rsidRDefault="003706D3" w:rsidP="003706D3">
            <w:pPr>
              <w:pStyle w:val="TableAA"/>
              <w:rPr>
                <w:color w:val="000000"/>
              </w:rPr>
            </w:pPr>
            <w:r>
              <w:rPr>
                <w:color w:val="000000"/>
              </w:rPr>
              <w:t>(B)</w:t>
            </w:r>
            <w:r w:rsidRPr="007F3E20">
              <w:rPr>
                <w:color w:val="000000"/>
              </w:rPr>
              <w:t xml:space="preserve"> that is restricted to the field of pathology testing directly related to the scope of practice of the designated person;</w:t>
            </w:r>
          </w:p>
          <w:p w:rsidR="003706D3" w:rsidRPr="007F3E20" w:rsidRDefault="003706D3" w:rsidP="003706D3">
            <w:pPr>
              <w:pStyle w:val="Tablea"/>
              <w:rPr>
                <w:color w:val="000000"/>
              </w:rPr>
            </w:pPr>
            <w:r w:rsidRPr="007F3E20">
              <w:rPr>
                <w:color w:val="000000"/>
              </w:rPr>
              <w:t>(b) premises comprising a laboratory that:</w:t>
            </w:r>
          </w:p>
          <w:p w:rsidR="003706D3" w:rsidRPr="007F3E20" w:rsidRDefault="003706D3" w:rsidP="003706D3">
            <w:pPr>
              <w:pStyle w:val="Tablei"/>
              <w:rPr>
                <w:color w:val="000000"/>
              </w:rPr>
            </w:pPr>
            <w:r>
              <w:rPr>
                <w:color w:val="000000"/>
              </w:rPr>
              <w:t>(i)</w:t>
            </w:r>
            <w:r w:rsidRPr="007F3E20">
              <w:rPr>
                <w:color w:val="000000"/>
              </w:rPr>
              <w:t xml:space="preserve"> operates as a branch of a laboratory which meets the criteria in paragraph (a); and</w:t>
            </w:r>
          </w:p>
          <w:p w:rsidR="003657CB" w:rsidRDefault="003706D3" w:rsidP="003706D3">
            <w:pPr>
              <w:pStyle w:val="Tablei"/>
              <w:rPr>
                <w:color w:val="000000"/>
              </w:rPr>
            </w:pPr>
            <w:r>
              <w:rPr>
                <w:color w:val="000000"/>
              </w:rPr>
              <w:t>(ii)</w:t>
            </w:r>
            <w:r w:rsidRPr="007F3E20">
              <w:rPr>
                <w:color w:val="000000"/>
              </w:rPr>
              <w:t xml:space="preserve"> is under the direction, control and supervision of the designated person of that laboratory</w:t>
            </w:r>
            <w:r w:rsidR="003657CB">
              <w:rPr>
                <w:color w:val="000000"/>
              </w:rPr>
              <w:t>;</w:t>
            </w:r>
          </w:p>
          <w:p w:rsidR="003657CB" w:rsidRPr="004C215F" w:rsidRDefault="003657CB" w:rsidP="003657CB">
            <w:pPr>
              <w:pStyle w:val="Tablea"/>
            </w:pPr>
            <w:bookmarkStart w:id="24" w:name="_Hlk80255386"/>
            <w:r w:rsidRPr="004C215F">
              <w:t>(c) premises comprising a laboratory that:</w:t>
            </w:r>
          </w:p>
          <w:p w:rsidR="003657CB" w:rsidRPr="004C215F" w:rsidRDefault="003657CB" w:rsidP="003657CB">
            <w:pPr>
              <w:pStyle w:val="Tablei"/>
            </w:pPr>
            <w:r w:rsidRPr="004C215F">
              <w:t>(i) is under the full</w:t>
            </w:r>
            <w:r>
              <w:noBreakHyphen/>
            </w:r>
            <w:r w:rsidRPr="004C215F">
              <w:t>time direction, control and supervision of a designated person, who is:</w:t>
            </w:r>
          </w:p>
          <w:p w:rsidR="003657CB" w:rsidRPr="004C215F" w:rsidRDefault="003657CB" w:rsidP="003657CB">
            <w:pPr>
              <w:pStyle w:val="TableAA"/>
            </w:pPr>
            <w:r w:rsidRPr="004C215F">
              <w:t>(A) a medical practitioner; and</w:t>
            </w:r>
          </w:p>
          <w:p w:rsidR="003657CB" w:rsidRPr="004C215F" w:rsidRDefault="003657CB" w:rsidP="003657CB">
            <w:pPr>
              <w:pStyle w:val="TableAA"/>
            </w:pPr>
            <w:r w:rsidRPr="004C215F">
              <w:t>(B) not a pathologist; and</w:t>
            </w:r>
          </w:p>
          <w:p w:rsidR="003657CB" w:rsidRPr="004C215F" w:rsidRDefault="003657CB" w:rsidP="003657CB">
            <w:pPr>
              <w:pStyle w:val="Tablei"/>
            </w:pPr>
            <w:r w:rsidRPr="004C215F">
              <w:t>(ii) renders a limited range of pathology testing:</w:t>
            </w:r>
          </w:p>
          <w:p w:rsidR="003657CB" w:rsidRPr="004C215F" w:rsidRDefault="003657CB" w:rsidP="003657CB">
            <w:pPr>
              <w:pStyle w:val="TableAA"/>
            </w:pPr>
            <w:r w:rsidRPr="004C215F">
              <w:t>(A) for a target patient population or of a specialised nature; and</w:t>
            </w:r>
          </w:p>
          <w:p w:rsidR="003657CB" w:rsidRPr="004C215F" w:rsidRDefault="003657CB" w:rsidP="003657CB">
            <w:pPr>
              <w:pStyle w:val="TableAA"/>
            </w:pPr>
            <w:r w:rsidRPr="004C215F">
              <w:t>(B) that is in 1 or more pathology disciplines with a national workforce shortage;</w:t>
            </w:r>
          </w:p>
          <w:p w:rsidR="003657CB" w:rsidRPr="004C215F" w:rsidRDefault="003657CB" w:rsidP="003657CB">
            <w:pPr>
              <w:pStyle w:val="Tablea"/>
            </w:pPr>
            <w:r w:rsidRPr="004C215F">
              <w:t>(d) premises comprising an S(FC) laboratory that:</w:t>
            </w:r>
          </w:p>
          <w:p w:rsidR="003657CB" w:rsidRPr="004C215F" w:rsidRDefault="003657CB" w:rsidP="003657CB">
            <w:pPr>
              <w:pStyle w:val="Tablei"/>
            </w:pPr>
            <w:r w:rsidRPr="004C215F">
              <w:t>(i) is under the full</w:t>
            </w:r>
            <w:r>
              <w:noBreakHyphen/>
            </w:r>
            <w:r w:rsidRPr="004C215F">
              <w:t>time direction, control and supervision of a designated person, who is:</w:t>
            </w:r>
          </w:p>
          <w:p w:rsidR="003657CB" w:rsidRPr="004C215F" w:rsidRDefault="003657CB" w:rsidP="003657CB">
            <w:pPr>
              <w:pStyle w:val="TableAA"/>
            </w:pPr>
            <w:r w:rsidRPr="004C215F">
              <w:t>(A) a medical practitioner with a specialised scope of practice; and</w:t>
            </w:r>
          </w:p>
          <w:p w:rsidR="003657CB" w:rsidRPr="004C215F" w:rsidRDefault="003657CB" w:rsidP="003657CB">
            <w:pPr>
              <w:pStyle w:val="TableAA"/>
            </w:pPr>
            <w:r w:rsidRPr="004C215F">
              <w:t>(B) not a pathologist; and</w:t>
            </w:r>
          </w:p>
          <w:p w:rsidR="003657CB" w:rsidRPr="004C215F" w:rsidRDefault="003657CB" w:rsidP="003657CB">
            <w:pPr>
              <w:pStyle w:val="Tablei"/>
            </w:pPr>
            <w:r w:rsidRPr="004C215F">
              <w:t>(ii) renders a limited range of pathology testing that is:</w:t>
            </w:r>
          </w:p>
          <w:p w:rsidR="003657CB" w:rsidRPr="004C215F" w:rsidRDefault="003657CB" w:rsidP="003657CB">
            <w:pPr>
              <w:pStyle w:val="TableAA"/>
            </w:pPr>
            <w:r w:rsidRPr="004C215F">
              <w:t>(A) restricted to tests related to fertility control testing; and</w:t>
            </w:r>
          </w:p>
          <w:p w:rsidR="003706D3" w:rsidRPr="003B5819" w:rsidRDefault="003657CB" w:rsidP="003657CB">
            <w:pPr>
              <w:pStyle w:val="Tablei"/>
              <w:rPr>
                <w:color w:val="000000"/>
              </w:rPr>
            </w:pPr>
            <w:r w:rsidRPr="004C215F">
              <w:t>(B) under the full</w:t>
            </w:r>
            <w:r>
              <w:noBreakHyphen/>
            </w:r>
            <w:r w:rsidRPr="004C215F">
              <w:t>time supervision of the designated person</w:t>
            </w:r>
            <w:r w:rsidR="003706D3" w:rsidRPr="007F3E20">
              <w:rPr>
                <w:color w:val="000000"/>
              </w:rPr>
              <w:t>.</w:t>
            </w:r>
            <w:bookmarkEnd w:id="24"/>
          </w:p>
        </w:tc>
      </w:tr>
    </w:tbl>
    <w:p w:rsidR="003B5819" w:rsidRPr="007F3E20" w:rsidRDefault="003B5819" w:rsidP="003B5819">
      <w:pPr>
        <w:pStyle w:val="subsection"/>
        <w:rPr>
          <w:color w:val="000000"/>
          <w:szCs w:val="22"/>
        </w:rPr>
      </w:pPr>
      <w:r>
        <w:rPr>
          <w:color w:val="000000"/>
          <w:szCs w:val="22"/>
        </w:rPr>
        <w:tab/>
      </w:r>
      <w:r w:rsidRPr="007F3E20">
        <w:rPr>
          <w:color w:val="000000"/>
          <w:szCs w:val="22"/>
        </w:rPr>
        <w:t>(2)</w:t>
      </w:r>
      <w:r>
        <w:rPr>
          <w:color w:val="000000"/>
          <w:szCs w:val="22"/>
        </w:rPr>
        <w:tab/>
      </w:r>
      <w:r w:rsidRPr="007F3E20">
        <w:rPr>
          <w:color w:val="000000"/>
          <w:szCs w:val="22"/>
        </w:rPr>
        <w:t>In the table in subsection (1), </w:t>
      </w:r>
      <w:r w:rsidRPr="007F3E20">
        <w:rPr>
          <w:b/>
          <w:bCs/>
          <w:i/>
          <w:iCs/>
          <w:color w:val="000000"/>
          <w:szCs w:val="22"/>
        </w:rPr>
        <w:t>appropriate arrangement</w:t>
      </w:r>
      <w:r w:rsidRPr="007F3E20">
        <w:rPr>
          <w:color w:val="000000"/>
          <w:szCs w:val="22"/>
        </w:rPr>
        <w:t> means a written arrangement that includes provision for the direction, control and supervision of the relevant laboratory.</w:t>
      </w:r>
    </w:p>
    <w:p w:rsidR="002838F8" w:rsidRPr="00E87BF4" w:rsidRDefault="002838F8" w:rsidP="002838F8">
      <w:pPr>
        <w:pStyle w:val="subsection"/>
      </w:pPr>
      <w:r w:rsidRPr="00E87BF4">
        <w:tab/>
        <w:t>(3)</w:t>
      </w:r>
      <w:r w:rsidRPr="00E87BF4">
        <w:tab/>
        <w:t>The category of accreditation allocated to premises that is specified by the Minister in an approval under section</w:t>
      </w:r>
      <w:r>
        <w:t> </w:t>
      </w:r>
      <w:r w:rsidRPr="00E87BF4">
        <w:t xml:space="preserve">23DN of the Act must be the category set out in the table in </w:t>
      </w:r>
      <w:r>
        <w:t>subsection (</w:t>
      </w:r>
      <w:r w:rsidRPr="00E87BF4">
        <w:t>1) that is appropriate to the premises having regard to the criteria applicable to that category.</w:t>
      </w:r>
    </w:p>
    <w:p w:rsidR="002838F8" w:rsidRPr="00E87BF4" w:rsidRDefault="002838F8" w:rsidP="002838F8">
      <w:pPr>
        <w:pStyle w:val="notetext"/>
      </w:pPr>
      <w:r w:rsidRPr="00E87BF4">
        <w:rPr>
          <w:iCs/>
        </w:rPr>
        <w:t>Note:</w:t>
      </w:r>
      <w:r w:rsidRPr="00E87BF4">
        <w:rPr>
          <w:iCs/>
        </w:rPr>
        <w:tab/>
      </w:r>
      <w:r w:rsidRPr="00E87BF4">
        <w:t>For the purpose of det</w:t>
      </w:r>
      <w:r>
        <w:t xml:space="preserve">ermining the fee payable for </w:t>
      </w:r>
      <w:r w:rsidRPr="00E87BF4">
        <w:t>an application for approval as a particular category of laboratory, the categories set out below correspond to the categories specified in section</w:t>
      </w:r>
      <w:r>
        <w:t> </w:t>
      </w:r>
      <w:r w:rsidRPr="00E87BF4">
        <w:t xml:space="preserve">6 of the </w:t>
      </w:r>
      <w:r w:rsidRPr="00E87BF4">
        <w:rPr>
          <w:i/>
          <w:iCs/>
        </w:rPr>
        <w:t>Health Insurance (Pathology) (Fees) Act 1991</w:t>
      </w:r>
      <w:r w:rsidRPr="00E87BF4">
        <w:t>:</w:t>
      </w:r>
    </w:p>
    <w:p w:rsidR="002838F8" w:rsidRPr="00E87BF4" w:rsidRDefault="002838F8" w:rsidP="002838F8">
      <w:pPr>
        <w:pStyle w:val="notepara"/>
      </w:pPr>
      <w:r w:rsidRPr="00E87BF4">
        <w:t>(a)</w:t>
      </w:r>
      <w:r w:rsidRPr="00E87BF4">
        <w:tab/>
        <w:t>category GX—paragraph</w:t>
      </w:r>
      <w:r>
        <w:t> 6(3)</w:t>
      </w:r>
      <w:r w:rsidRPr="00E87BF4">
        <w:t>(a);</w:t>
      </w:r>
    </w:p>
    <w:p w:rsidR="002838F8" w:rsidRPr="00E87BF4" w:rsidRDefault="002838F8" w:rsidP="002838F8">
      <w:pPr>
        <w:pStyle w:val="notepara"/>
      </w:pPr>
      <w:r w:rsidRPr="00E87BF4">
        <w:t>(b)</w:t>
      </w:r>
      <w:r w:rsidRPr="00E87BF4">
        <w:tab/>
        <w:t>category GY—paragraph</w:t>
      </w:r>
      <w:r>
        <w:t> 6(3)</w:t>
      </w:r>
      <w:r w:rsidRPr="00E87BF4">
        <w:t>(b);</w:t>
      </w:r>
    </w:p>
    <w:p w:rsidR="002838F8" w:rsidRPr="00E87BF4" w:rsidRDefault="002838F8" w:rsidP="002838F8">
      <w:pPr>
        <w:pStyle w:val="notepara"/>
      </w:pPr>
      <w:r w:rsidRPr="00E87BF4">
        <w:t>(c)</w:t>
      </w:r>
      <w:r w:rsidRPr="00E87BF4">
        <w:tab/>
        <w:t>category B—paragraph</w:t>
      </w:r>
      <w:r>
        <w:t> 6(3)</w:t>
      </w:r>
      <w:r w:rsidRPr="00E87BF4">
        <w:t>(c);</w:t>
      </w:r>
    </w:p>
    <w:p w:rsidR="002838F8" w:rsidRPr="00E87BF4" w:rsidRDefault="002838F8" w:rsidP="002838F8">
      <w:pPr>
        <w:pStyle w:val="notepara"/>
      </w:pPr>
      <w:r w:rsidRPr="00E87BF4">
        <w:t>(d)</w:t>
      </w:r>
      <w:r w:rsidRPr="00E87BF4">
        <w:tab/>
        <w:t>category M—paragraph</w:t>
      </w:r>
      <w:r>
        <w:t> 6(3)</w:t>
      </w:r>
      <w:r w:rsidRPr="00E87BF4">
        <w:t xml:space="preserve">(d); </w:t>
      </w:r>
    </w:p>
    <w:p w:rsidR="002838F8" w:rsidRPr="00E87BF4" w:rsidRDefault="002838F8" w:rsidP="002838F8">
      <w:pPr>
        <w:pStyle w:val="notepara"/>
      </w:pPr>
      <w:r w:rsidRPr="00E87BF4">
        <w:t>(e)</w:t>
      </w:r>
      <w:r w:rsidRPr="00E87BF4">
        <w:tab/>
        <w:t>category S—paragraph</w:t>
      </w:r>
      <w:r>
        <w:t> 6(3)</w:t>
      </w:r>
      <w:r w:rsidRPr="00E87BF4">
        <w:t>(d).</w:t>
      </w:r>
    </w:p>
    <w:p w:rsidR="00AF7EFA" w:rsidRPr="007F3E20" w:rsidRDefault="00AF7EFA" w:rsidP="00222EA4">
      <w:pPr>
        <w:pStyle w:val="ActHead5"/>
        <w:rPr>
          <w:b w:val="0"/>
          <w:bCs/>
          <w:color w:val="000000"/>
          <w:szCs w:val="24"/>
        </w:rPr>
      </w:pPr>
      <w:bookmarkStart w:id="25" w:name="_Toc133830899"/>
      <w:r w:rsidRPr="00222EA4">
        <w:rPr>
          <w:bCs/>
          <w:color w:val="000000"/>
          <w:szCs w:val="24"/>
        </w:rPr>
        <w:t xml:space="preserve">18  </w:t>
      </w:r>
      <w:r w:rsidRPr="007F3E20">
        <w:rPr>
          <w:bCs/>
          <w:color w:val="000000"/>
          <w:szCs w:val="24"/>
        </w:rPr>
        <w:t>Standards of direction, control and supervision of premises required</w:t>
      </w:r>
      <w:bookmarkEnd w:id="25"/>
    </w:p>
    <w:p w:rsidR="00AF7EFA" w:rsidRPr="007F3E20" w:rsidRDefault="00AF7EFA" w:rsidP="00AF7EFA">
      <w:pPr>
        <w:pStyle w:val="subsection"/>
        <w:rPr>
          <w:color w:val="000000"/>
          <w:szCs w:val="22"/>
        </w:rPr>
      </w:pPr>
      <w:r>
        <w:rPr>
          <w:color w:val="000000"/>
          <w:szCs w:val="22"/>
        </w:rPr>
        <w:tab/>
        <w:t>(1)</w:t>
      </w:r>
      <w:r>
        <w:rPr>
          <w:color w:val="000000"/>
          <w:szCs w:val="22"/>
        </w:rPr>
        <w:tab/>
      </w:r>
      <w:r w:rsidRPr="007F3E20">
        <w:rPr>
          <w:color w:val="000000"/>
          <w:szCs w:val="22"/>
        </w:rPr>
        <w:t>Premises must be under the direction, control and supervision of a designated person, who:</w:t>
      </w:r>
    </w:p>
    <w:p w:rsidR="00AF7EFA" w:rsidRPr="007F3E20" w:rsidRDefault="00AF7EFA" w:rsidP="00222EA4">
      <w:pPr>
        <w:pStyle w:val="paragraph"/>
        <w:rPr>
          <w:color w:val="000000"/>
          <w:szCs w:val="22"/>
        </w:rPr>
      </w:pPr>
      <w:r>
        <w:rPr>
          <w:color w:val="000000"/>
          <w:szCs w:val="22"/>
        </w:rPr>
        <w:tab/>
      </w:r>
      <w:r w:rsidRPr="007F3E20">
        <w:rPr>
          <w:color w:val="000000"/>
          <w:szCs w:val="22"/>
        </w:rPr>
        <w:t>(a)</w:t>
      </w:r>
      <w:r>
        <w:rPr>
          <w:color w:val="000000"/>
          <w:szCs w:val="22"/>
        </w:rPr>
        <w:tab/>
      </w:r>
      <w:r w:rsidRPr="007F3E20">
        <w:rPr>
          <w:color w:val="000000"/>
          <w:szCs w:val="22"/>
        </w:rPr>
        <w:t>possesses appropriate qualification; and</w:t>
      </w:r>
    </w:p>
    <w:p w:rsidR="00AF7EFA" w:rsidRPr="007F3E20" w:rsidRDefault="00AF7EFA" w:rsidP="00222EA4">
      <w:pPr>
        <w:pStyle w:val="paragraph"/>
        <w:rPr>
          <w:color w:val="000000"/>
          <w:szCs w:val="22"/>
        </w:rPr>
      </w:pPr>
      <w:r>
        <w:rPr>
          <w:color w:val="000000"/>
          <w:szCs w:val="22"/>
        </w:rPr>
        <w:tab/>
      </w:r>
      <w:r w:rsidRPr="007F3E20">
        <w:rPr>
          <w:color w:val="000000"/>
          <w:szCs w:val="22"/>
        </w:rPr>
        <w:t>(b)</w:t>
      </w:r>
      <w:r>
        <w:rPr>
          <w:color w:val="000000"/>
          <w:szCs w:val="22"/>
        </w:rPr>
        <w:tab/>
      </w:r>
      <w:r w:rsidRPr="007F3E20">
        <w:rPr>
          <w:color w:val="000000"/>
          <w:szCs w:val="22"/>
        </w:rPr>
        <w:t>is competent; and</w:t>
      </w:r>
    </w:p>
    <w:p w:rsidR="00AF7EFA" w:rsidRPr="007F3E20" w:rsidRDefault="00AF7EFA" w:rsidP="00222EA4">
      <w:pPr>
        <w:pStyle w:val="paragraph"/>
        <w:rPr>
          <w:color w:val="000000"/>
          <w:szCs w:val="22"/>
        </w:rPr>
      </w:pPr>
      <w:r>
        <w:rPr>
          <w:color w:val="000000"/>
          <w:szCs w:val="22"/>
        </w:rPr>
        <w:tab/>
      </w:r>
      <w:r w:rsidRPr="007F3E20">
        <w:rPr>
          <w:color w:val="000000"/>
          <w:szCs w:val="22"/>
        </w:rPr>
        <w:t>(c)</w:t>
      </w:r>
      <w:r>
        <w:rPr>
          <w:color w:val="000000"/>
          <w:szCs w:val="22"/>
        </w:rPr>
        <w:tab/>
      </w:r>
      <w:r w:rsidRPr="007F3E20">
        <w:rPr>
          <w:color w:val="000000"/>
          <w:szCs w:val="22"/>
        </w:rPr>
        <w:t>has relevant scope of practice;</w:t>
      </w:r>
    </w:p>
    <w:p w:rsidR="00AF7EFA" w:rsidRPr="007F3E20" w:rsidRDefault="00AF7EFA" w:rsidP="004327ED">
      <w:pPr>
        <w:pStyle w:val="subsection"/>
        <w:spacing w:before="40"/>
        <w:rPr>
          <w:color w:val="000000"/>
          <w:szCs w:val="22"/>
        </w:rPr>
      </w:pPr>
      <w:r>
        <w:rPr>
          <w:color w:val="000000"/>
          <w:szCs w:val="22"/>
        </w:rPr>
        <w:tab/>
      </w:r>
      <w:r>
        <w:rPr>
          <w:color w:val="000000"/>
          <w:szCs w:val="22"/>
        </w:rPr>
        <w:tab/>
      </w:r>
      <w:r w:rsidRPr="007F3E20">
        <w:rPr>
          <w:color w:val="000000"/>
          <w:szCs w:val="22"/>
        </w:rPr>
        <w:t>to fulfil their obligations under this section.</w:t>
      </w:r>
    </w:p>
    <w:p w:rsidR="00AF7EFA" w:rsidRPr="007F3E20" w:rsidRDefault="00AF7EFA" w:rsidP="00AF7EFA">
      <w:pPr>
        <w:pStyle w:val="subsection"/>
        <w:rPr>
          <w:color w:val="000000"/>
          <w:szCs w:val="22"/>
        </w:rPr>
      </w:pPr>
      <w:r>
        <w:rPr>
          <w:color w:val="000000"/>
          <w:szCs w:val="22"/>
        </w:rPr>
        <w:tab/>
      </w:r>
      <w:r w:rsidRPr="007F3E20">
        <w:rPr>
          <w:color w:val="000000"/>
          <w:szCs w:val="22"/>
        </w:rPr>
        <w:t>(2)</w:t>
      </w:r>
      <w:r>
        <w:rPr>
          <w:color w:val="000000"/>
          <w:szCs w:val="22"/>
        </w:rPr>
        <w:tab/>
      </w:r>
      <w:r w:rsidRPr="007F3E20">
        <w:rPr>
          <w:color w:val="000000"/>
          <w:szCs w:val="22"/>
        </w:rPr>
        <w:t>The designated person is responsible for premises’ compl</w:t>
      </w:r>
      <w:r>
        <w:rPr>
          <w:color w:val="000000"/>
          <w:szCs w:val="22"/>
        </w:rPr>
        <w:t>iance with relevant standards.</w:t>
      </w:r>
    </w:p>
    <w:p w:rsidR="00AF7EFA" w:rsidRPr="007F3E20" w:rsidRDefault="00AF7EFA" w:rsidP="00AF7EFA">
      <w:pPr>
        <w:pStyle w:val="subsection"/>
        <w:rPr>
          <w:color w:val="000000"/>
          <w:szCs w:val="22"/>
        </w:rPr>
      </w:pPr>
      <w:r>
        <w:rPr>
          <w:color w:val="000000"/>
          <w:szCs w:val="22"/>
        </w:rPr>
        <w:tab/>
        <w:t>(3)</w:t>
      </w:r>
      <w:r>
        <w:rPr>
          <w:color w:val="000000"/>
          <w:szCs w:val="22"/>
        </w:rPr>
        <w:tab/>
      </w:r>
      <w:r w:rsidRPr="007F3E20">
        <w:rPr>
          <w:color w:val="000000"/>
          <w:szCs w:val="22"/>
        </w:rPr>
        <w:t>Without limiting subsection (2), the designated person is responsible for compliance with the standards of direction, control and supervision that apply to the relevant category of laboratory under the </w:t>
      </w:r>
      <w:r w:rsidR="003657CB" w:rsidRPr="004C215F">
        <w:rPr>
          <w:i/>
          <w:shd w:val="clear" w:color="auto" w:fill="FFFFFF"/>
        </w:rPr>
        <w:t>Requirements for Supervision in the Clinical Governance of Medical Pathology Laboratories (Sixth Edition 2021)</w:t>
      </w:r>
      <w:r w:rsidRPr="007F3E20">
        <w:rPr>
          <w:color w:val="000000"/>
          <w:szCs w:val="22"/>
        </w:rPr>
        <w:t>, including in relation to:</w:t>
      </w:r>
    </w:p>
    <w:p w:rsidR="00AF7EFA" w:rsidRPr="007F3E20" w:rsidRDefault="00AF7EFA" w:rsidP="00222EA4">
      <w:pPr>
        <w:pStyle w:val="paragraph"/>
        <w:rPr>
          <w:color w:val="000000"/>
          <w:szCs w:val="22"/>
        </w:rPr>
      </w:pPr>
      <w:r>
        <w:rPr>
          <w:color w:val="000000"/>
          <w:szCs w:val="22"/>
        </w:rPr>
        <w:tab/>
      </w:r>
      <w:r w:rsidRPr="007F3E20">
        <w:rPr>
          <w:color w:val="000000"/>
          <w:szCs w:val="22"/>
        </w:rPr>
        <w:t>(a)</w:t>
      </w:r>
      <w:r>
        <w:rPr>
          <w:color w:val="000000"/>
          <w:szCs w:val="22"/>
        </w:rPr>
        <w:tab/>
      </w:r>
      <w:r w:rsidRPr="007F3E20">
        <w:rPr>
          <w:color w:val="000000"/>
          <w:szCs w:val="22"/>
        </w:rPr>
        <w:t>the clinical governance of the laboratory; and</w:t>
      </w:r>
    </w:p>
    <w:p w:rsidR="00AF7EFA" w:rsidRPr="007F3E20" w:rsidRDefault="00AF7EFA" w:rsidP="00222EA4">
      <w:pPr>
        <w:pStyle w:val="paragraph"/>
        <w:rPr>
          <w:color w:val="000000"/>
          <w:szCs w:val="22"/>
        </w:rPr>
      </w:pPr>
      <w:r>
        <w:rPr>
          <w:color w:val="000000"/>
          <w:szCs w:val="22"/>
        </w:rPr>
        <w:tab/>
      </w:r>
      <w:r w:rsidRPr="007F3E20">
        <w:rPr>
          <w:color w:val="000000"/>
          <w:szCs w:val="22"/>
        </w:rPr>
        <w:t>(b)</w:t>
      </w:r>
      <w:r>
        <w:rPr>
          <w:color w:val="000000"/>
          <w:szCs w:val="22"/>
        </w:rPr>
        <w:tab/>
      </w:r>
      <w:r w:rsidRPr="007F3E20">
        <w:rPr>
          <w:color w:val="000000"/>
          <w:szCs w:val="22"/>
        </w:rPr>
        <w:t>oversight and management of the laboratory’s staff and processes to ensure ethical patient care and the provision of accurate and timely test results.</w:t>
      </w:r>
    </w:p>
    <w:p w:rsidR="00AF7EFA" w:rsidRPr="007F3E20" w:rsidRDefault="00AF7EFA" w:rsidP="00AF7EFA">
      <w:pPr>
        <w:pStyle w:val="subsection"/>
        <w:rPr>
          <w:color w:val="000000"/>
          <w:szCs w:val="22"/>
        </w:rPr>
      </w:pPr>
      <w:r>
        <w:rPr>
          <w:color w:val="000000"/>
          <w:szCs w:val="22"/>
        </w:rPr>
        <w:tab/>
        <w:t>(4)</w:t>
      </w:r>
      <w:r>
        <w:rPr>
          <w:color w:val="000000"/>
          <w:szCs w:val="22"/>
        </w:rPr>
        <w:tab/>
      </w:r>
      <w:r w:rsidRPr="007F3E20">
        <w:rPr>
          <w:color w:val="000000"/>
          <w:szCs w:val="22"/>
        </w:rPr>
        <w:t>The designated person may only supervise pathology testing within his</w:t>
      </w:r>
      <w:r>
        <w:rPr>
          <w:color w:val="000000"/>
          <w:szCs w:val="22"/>
        </w:rPr>
        <w:t xml:space="preserve"> or her scope of practice.</w:t>
      </w:r>
    </w:p>
    <w:p w:rsidR="00AF7EFA" w:rsidRPr="007F3E20" w:rsidRDefault="00AF7EFA" w:rsidP="00AF7EFA">
      <w:pPr>
        <w:pStyle w:val="subsection"/>
        <w:rPr>
          <w:color w:val="000000"/>
          <w:szCs w:val="22"/>
        </w:rPr>
      </w:pPr>
      <w:r>
        <w:rPr>
          <w:color w:val="000000"/>
          <w:szCs w:val="22"/>
        </w:rPr>
        <w:tab/>
        <w:t>(5)</w:t>
      </w:r>
      <w:r>
        <w:rPr>
          <w:color w:val="000000"/>
          <w:szCs w:val="22"/>
        </w:rPr>
        <w:tab/>
      </w:r>
      <w:r w:rsidRPr="007F3E20">
        <w:rPr>
          <w:color w:val="000000"/>
          <w:szCs w:val="22"/>
        </w:rPr>
        <w:t>The responsibilities of the designated person for premises under this section may be delegated, but only in accordance with the </w:t>
      </w:r>
      <w:r w:rsidR="003657CB" w:rsidRPr="004C215F">
        <w:rPr>
          <w:i/>
          <w:shd w:val="clear" w:color="auto" w:fill="FFFFFF"/>
        </w:rPr>
        <w:t>Requirements for Supervision in the Clinical Governance of Medical Pathology Laboratories (Sixth Edition 2021)</w:t>
      </w:r>
      <w:r w:rsidRPr="007F3E20">
        <w:rPr>
          <w:color w:val="000000"/>
          <w:szCs w:val="22"/>
        </w:rPr>
        <w:t>.</w:t>
      </w:r>
    </w:p>
    <w:p w:rsidR="00AF7EFA" w:rsidRPr="007F3E20" w:rsidRDefault="00AF7EFA" w:rsidP="00AF7EFA">
      <w:pPr>
        <w:pStyle w:val="notetext"/>
        <w:rPr>
          <w:rFonts w:ascii="Arial" w:hAnsi="Arial" w:cs="Arial"/>
          <w:color w:val="000000"/>
          <w:sz w:val="16"/>
          <w:szCs w:val="16"/>
        </w:rPr>
      </w:pPr>
      <w:r w:rsidRPr="007F3E20">
        <w:rPr>
          <w:color w:val="000000"/>
          <w:szCs w:val="18"/>
        </w:rPr>
        <w:t>Note:</w:t>
      </w:r>
      <w:r>
        <w:rPr>
          <w:color w:val="000000"/>
          <w:szCs w:val="18"/>
        </w:rPr>
        <w:tab/>
      </w:r>
      <w:r w:rsidRPr="007F3E20">
        <w:rPr>
          <w:color w:val="000000"/>
          <w:szCs w:val="18"/>
        </w:rPr>
        <w:t xml:space="preserve">The </w:t>
      </w:r>
      <w:r w:rsidR="003657CB" w:rsidRPr="004C215F">
        <w:rPr>
          <w:i/>
          <w:shd w:val="clear" w:color="auto" w:fill="FFFFFF"/>
        </w:rPr>
        <w:t>Requirements for Supervision in the Clinical Governance of Medical Pathology Laboratories (Sixth Edition 2021)</w:t>
      </w:r>
      <w:r w:rsidRPr="007F3E20">
        <w:rPr>
          <w:color w:val="000000"/>
          <w:szCs w:val="18"/>
        </w:rPr>
        <w:t xml:space="preserve"> is listed in Schedule 1.</w:t>
      </w:r>
    </w:p>
    <w:p w:rsidR="003657CB" w:rsidRPr="004C215F" w:rsidRDefault="003657CB" w:rsidP="003657CB">
      <w:pPr>
        <w:pStyle w:val="subsection"/>
      </w:pPr>
      <w:bookmarkStart w:id="26" w:name="_Hlk80255588"/>
      <w:r w:rsidRPr="004C215F">
        <w:tab/>
        <w:t>(6)</w:t>
      </w:r>
      <w:r w:rsidRPr="004C215F">
        <w:tab/>
        <w:t>Paragraph (1)(c) and subsection (4) do not apply to a designated person of a premises that:</w:t>
      </w:r>
    </w:p>
    <w:p w:rsidR="003657CB" w:rsidRPr="004C215F" w:rsidRDefault="003657CB" w:rsidP="003657CB">
      <w:pPr>
        <w:pStyle w:val="paragraph"/>
      </w:pPr>
      <w:r w:rsidRPr="004C215F">
        <w:tab/>
        <w:t>(a)</w:t>
      </w:r>
      <w:r w:rsidRPr="004C215F">
        <w:tab/>
        <w:t>comprises a category S laboratory; and</w:t>
      </w:r>
    </w:p>
    <w:p w:rsidR="003657CB" w:rsidRPr="004C215F" w:rsidRDefault="003657CB" w:rsidP="003657CB">
      <w:pPr>
        <w:pStyle w:val="paragraph"/>
      </w:pPr>
      <w:r w:rsidRPr="004C215F">
        <w:tab/>
        <w:t>(b)</w:t>
      </w:r>
      <w:r w:rsidRPr="004C215F">
        <w:tab/>
        <w:t>renders services in 1 or more groups of pathology testing that are in 1 or more pathology disciplines with a national workforce shortage.</w:t>
      </w:r>
    </w:p>
    <w:p w:rsidR="00040A5C" w:rsidRPr="00E87BF4" w:rsidRDefault="00040A5C" w:rsidP="00D66C2A">
      <w:pPr>
        <w:pStyle w:val="ActHead1"/>
        <w:pageBreakBefore/>
      </w:pPr>
      <w:bookmarkStart w:id="27" w:name="_Toc133830900"/>
      <w:bookmarkEnd w:id="26"/>
      <w:r w:rsidRPr="00E87BF4">
        <w:rPr>
          <w:rStyle w:val="CharChapNo"/>
        </w:rPr>
        <w:t>Schedule </w:t>
      </w:r>
      <w:r>
        <w:rPr>
          <w:rStyle w:val="CharChapNo"/>
        </w:rPr>
        <w:t>1</w:t>
      </w:r>
      <w:r w:rsidRPr="00E87BF4">
        <w:rPr>
          <w:b w:val="0"/>
        </w:rPr>
        <w:t>—</w:t>
      </w:r>
      <w:r w:rsidRPr="00E87BF4">
        <w:rPr>
          <w:rStyle w:val="CharChapText"/>
        </w:rPr>
        <w:t>Accreditation materials</w:t>
      </w:r>
      <w:bookmarkEnd w:id="27"/>
    </w:p>
    <w:p w:rsidR="00040A5C" w:rsidRPr="00E87BF4" w:rsidRDefault="00040A5C" w:rsidP="00040A5C">
      <w:pPr>
        <w:pStyle w:val="Header"/>
        <w:tabs>
          <w:tab w:val="clear" w:pos="4150"/>
          <w:tab w:val="clear" w:pos="8307"/>
          <w:tab w:val="left" w:pos="462"/>
        </w:tabs>
      </w:pPr>
      <w:r w:rsidRPr="00E87BF4">
        <w:rPr>
          <w:rStyle w:val="CharPartNo"/>
        </w:rPr>
        <w:t xml:space="preserve"> </w:t>
      </w:r>
      <w:r w:rsidRPr="00E87BF4">
        <w:rPr>
          <w:rStyle w:val="CharPartText"/>
        </w:rPr>
        <w:t xml:space="preserve"> </w:t>
      </w:r>
      <w:r>
        <w:rPr>
          <w:rStyle w:val="CharPartText"/>
        </w:rPr>
        <w:tab/>
      </w:r>
    </w:p>
    <w:p w:rsidR="00040A5C" w:rsidRDefault="00040A5C" w:rsidP="00040A5C">
      <w:pPr>
        <w:pStyle w:val="notemargin"/>
      </w:pPr>
      <w:r>
        <w:t>Note:</w:t>
      </w:r>
      <w:r>
        <w:tab/>
        <w:t>See definition of accreditation materials in subsection 5(2).</w:t>
      </w:r>
    </w:p>
    <w:p w:rsidR="00040A5C" w:rsidRDefault="00040A5C" w:rsidP="00040A5C">
      <w:pPr>
        <w:pStyle w:val="notemargin"/>
        <w:rPr>
          <w:b/>
          <w:sz w:val="32"/>
          <w:szCs w:val="32"/>
        </w:rPr>
      </w:pPr>
    </w:p>
    <w:p w:rsidR="003C251E" w:rsidRPr="004C215F" w:rsidRDefault="003C251E" w:rsidP="003C251E">
      <w:pPr>
        <w:pStyle w:val="ActHead5"/>
      </w:pPr>
      <w:bookmarkStart w:id="28" w:name="_Toc133830901"/>
      <w:r w:rsidRPr="00691D0C">
        <w:rPr>
          <w:rStyle w:val="CharSectno"/>
        </w:rPr>
        <w:t>1</w:t>
      </w:r>
      <w:r w:rsidRPr="004C215F">
        <w:t xml:space="preserve">  NPAAC materials</w:t>
      </w:r>
      <w:bookmarkEnd w:id="28"/>
    </w:p>
    <w:p w:rsidR="003C251E" w:rsidRPr="004C215F" w:rsidRDefault="003C251E" w:rsidP="003C251E">
      <w:pPr>
        <w:pStyle w:val="subsection"/>
      </w:pPr>
      <w:r w:rsidRPr="004C215F">
        <w:tab/>
      </w:r>
      <w:r w:rsidRPr="004C215F">
        <w:tab/>
        <w:t xml:space="preserve">The following table has effect for the purposes of the definition of </w:t>
      </w:r>
      <w:r w:rsidRPr="004C215F">
        <w:rPr>
          <w:b/>
          <w:i/>
        </w:rPr>
        <w:t>accreditation materials</w:t>
      </w:r>
      <w:r w:rsidRPr="004C215F">
        <w:t xml:space="preserve"> in subsection 5(2).</w:t>
      </w:r>
    </w:p>
    <w:p w:rsidR="00040A5C" w:rsidRDefault="00040A5C" w:rsidP="00040A5C">
      <w:pPr>
        <w:rPr>
          <w:b/>
          <w:sz w:val="32"/>
          <w:szCs w:val="32"/>
        </w:rPr>
      </w:pPr>
    </w:p>
    <w:tbl>
      <w:tblPr>
        <w:tblW w:w="5000" w:type="pct"/>
        <w:tblLook w:val="01E0" w:firstRow="1" w:lastRow="1" w:firstColumn="1" w:lastColumn="1" w:noHBand="0" w:noVBand="0"/>
      </w:tblPr>
      <w:tblGrid>
        <w:gridCol w:w="733"/>
        <w:gridCol w:w="6072"/>
        <w:gridCol w:w="1723"/>
      </w:tblGrid>
      <w:tr w:rsidR="00040A5C" w:rsidRPr="00E87BF4" w:rsidTr="002B7157">
        <w:trPr>
          <w:cantSplit/>
          <w:tblHeader/>
        </w:trPr>
        <w:tc>
          <w:tcPr>
            <w:tcW w:w="430" w:type="pct"/>
            <w:tcBorders>
              <w:top w:val="single" w:sz="12" w:space="0" w:color="auto"/>
              <w:bottom w:val="single" w:sz="12" w:space="0" w:color="auto"/>
            </w:tcBorders>
            <w:shd w:val="clear" w:color="auto" w:fill="auto"/>
          </w:tcPr>
          <w:p w:rsidR="00040A5C" w:rsidRPr="00E87BF4" w:rsidRDefault="00040A5C" w:rsidP="00A125A3">
            <w:pPr>
              <w:pStyle w:val="TableHeading"/>
            </w:pPr>
            <w:r w:rsidRPr="00E87BF4">
              <w:t>Item</w:t>
            </w:r>
          </w:p>
        </w:tc>
        <w:tc>
          <w:tcPr>
            <w:tcW w:w="3560" w:type="pct"/>
            <w:tcBorders>
              <w:top w:val="single" w:sz="12" w:space="0" w:color="auto"/>
              <w:bottom w:val="single" w:sz="12" w:space="0" w:color="auto"/>
            </w:tcBorders>
            <w:shd w:val="clear" w:color="auto" w:fill="auto"/>
          </w:tcPr>
          <w:p w:rsidR="00040A5C" w:rsidRPr="00E87BF4" w:rsidRDefault="00040A5C" w:rsidP="00A125A3">
            <w:pPr>
              <w:pStyle w:val="TableHeading"/>
            </w:pPr>
            <w:r w:rsidRPr="00E87BF4">
              <w:t>Material</w:t>
            </w:r>
          </w:p>
        </w:tc>
        <w:tc>
          <w:tcPr>
            <w:tcW w:w="1010" w:type="pct"/>
            <w:tcBorders>
              <w:top w:val="single" w:sz="12" w:space="0" w:color="auto"/>
              <w:bottom w:val="single" w:sz="12" w:space="0" w:color="auto"/>
            </w:tcBorders>
            <w:shd w:val="clear" w:color="auto" w:fill="auto"/>
          </w:tcPr>
          <w:p w:rsidR="00040A5C" w:rsidRPr="00E87BF4" w:rsidRDefault="00040A5C" w:rsidP="00A125A3">
            <w:pPr>
              <w:pStyle w:val="TableHeading"/>
            </w:pPr>
            <w:r w:rsidRPr="00E87BF4">
              <w:t>Publication year</w:t>
            </w:r>
          </w:p>
        </w:tc>
      </w:tr>
      <w:tr w:rsidR="00040A5C" w:rsidRPr="00E87BF4" w:rsidTr="002B7157">
        <w:trPr>
          <w:cantSplit/>
        </w:trPr>
        <w:tc>
          <w:tcPr>
            <w:tcW w:w="43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1</w:t>
            </w:r>
          </w:p>
        </w:tc>
        <w:tc>
          <w:tcPr>
            <w:tcW w:w="356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Requirements for the Estimation of Measurement Uncertainty</w:t>
            </w:r>
          </w:p>
        </w:tc>
        <w:tc>
          <w:tcPr>
            <w:tcW w:w="101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2007</w:t>
            </w:r>
          </w:p>
        </w:tc>
      </w:tr>
      <w:tr w:rsidR="00040A5C" w:rsidRPr="00E87BF4" w:rsidTr="002B7157">
        <w:trPr>
          <w:cantSplit/>
        </w:trPr>
        <w:tc>
          <w:tcPr>
            <w:tcW w:w="43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2</w:t>
            </w:r>
          </w:p>
        </w:tc>
        <w:tc>
          <w:tcPr>
            <w:tcW w:w="3560" w:type="pct"/>
            <w:tcBorders>
              <w:top w:val="single" w:sz="2" w:space="0" w:color="auto"/>
              <w:bottom w:val="single" w:sz="2" w:space="0" w:color="auto"/>
            </w:tcBorders>
            <w:shd w:val="clear" w:color="auto" w:fill="auto"/>
          </w:tcPr>
          <w:p w:rsidR="00040A5C" w:rsidRPr="00E87BF4" w:rsidDel="00B06349" w:rsidRDefault="00040A5C" w:rsidP="00A125A3">
            <w:pPr>
              <w:pStyle w:val="Tabletext"/>
              <w:spacing w:before="120" w:after="120"/>
            </w:pPr>
            <w:r w:rsidRPr="00E87BF4">
              <w:t>Guidelines for Approved Pathology Collection Centres (Requirements for Medical Pathology Specimen Collection) (Third Edition 2013)</w:t>
            </w:r>
          </w:p>
        </w:tc>
        <w:tc>
          <w:tcPr>
            <w:tcW w:w="1010" w:type="pct"/>
            <w:tcBorders>
              <w:top w:val="single" w:sz="2" w:space="0" w:color="auto"/>
              <w:bottom w:val="single" w:sz="2" w:space="0" w:color="auto"/>
            </w:tcBorders>
            <w:shd w:val="clear" w:color="auto" w:fill="auto"/>
          </w:tcPr>
          <w:p w:rsidR="00040A5C" w:rsidRPr="00E87BF4" w:rsidDel="00B06349" w:rsidRDefault="00040A5C" w:rsidP="00A125A3">
            <w:pPr>
              <w:pStyle w:val="Tabletext"/>
              <w:spacing w:before="120" w:after="120"/>
            </w:pPr>
            <w:r w:rsidRPr="00E87BF4">
              <w:t>2013</w:t>
            </w:r>
          </w:p>
        </w:tc>
      </w:tr>
      <w:tr w:rsidR="00040A5C" w:rsidRPr="00E87BF4" w:rsidDel="007C0BC5" w:rsidTr="002B7157">
        <w:trPr>
          <w:cantSplit/>
        </w:trPr>
        <w:tc>
          <w:tcPr>
            <w:tcW w:w="430" w:type="pct"/>
            <w:tcBorders>
              <w:top w:val="single" w:sz="2" w:space="0" w:color="auto"/>
              <w:bottom w:val="single" w:sz="2" w:space="0" w:color="auto"/>
            </w:tcBorders>
            <w:shd w:val="clear" w:color="auto" w:fill="auto"/>
          </w:tcPr>
          <w:p w:rsidR="00040A5C" w:rsidRPr="00E87BF4" w:rsidDel="007C0BC5" w:rsidRDefault="00040A5C" w:rsidP="00A125A3">
            <w:pPr>
              <w:pStyle w:val="Tabletext"/>
              <w:spacing w:before="120" w:after="120"/>
            </w:pPr>
            <w:r>
              <w:t>3</w:t>
            </w:r>
          </w:p>
        </w:tc>
        <w:tc>
          <w:tcPr>
            <w:tcW w:w="356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Requirements for Cytogenetic Testing (Third Edition 2013)</w:t>
            </w:r>
          </w:p>
        </w:tc>
        <w:tc>
          <w:tcPr>
            <w:tcW w:w="101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2013</w:t>
            </w:r>
          </w:p>
        </w:tc>
      </w:tr>
      <w:tr w:rsidR="00040A5C" w:rsidRPr="00E87BF4" w:rsidDel="007C0BC5" w:rsidTr="002B7157">
        <w:trPr>
          <w:cantSplit/>
        </w:trPr>
        <w:tc>
          <w:tcPr>
            <w:tcW w:w="430" w:type="pct"/>
            <w:tcBorders>
              <w:top w:val="single" w:sz="2" w:space="0" w:color="auto"/>
              <w:bottom w:val="single" w:sz="2" w:space="0" w:color="auto"/>
            </w:tcBorders>
            <w:shd w:val="clear" w:color="auto" w:fill="auto"/>
          </w:tcPr>
          <w:p w:rsidR="00040A5C" w:rsidRPr="00E87BF4" w:rsidDel="007C0BC5" w:rsidRDefault="00040A5C" w:rsidP="00A125A3">
            <w:pPr>
              <w:pStyle w:val="Tabletext"/>
              <w:spacing w:before="120" w:after="120"/>
            </w:pPr>
            <w:r>
              <w:t>4</w:t>
            </w:r>
          </w:p>
        </w:tc>
        <w:tc>
          <w:tcPr>
            <w:tcW w:w="356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Requirements for Information Communication (Third Edition 2013)</w:t>
            </w:r>
          </w:p>
        </w:tc>
        <w:tc>
          <w:tcPr>
            <w:tcW w:w="101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2013</w:t>
            </w:r>
          </w:p>
        </w:tc>
      </w:tr>
      <w:tr w:rsidR="00040A5C" w:rsidRPr="00E87BF4" w:rsidDel="00F12A93" w:rsidTr="002B7157">
        <w:trPr>
          <w:cantSplit/>
        </w:trPr>
        <w:tc>
          <w:tcPr>
            <w:tcW w:w="430" w:type="pct"/>
            <w:tcBorders>
              <w:top w:val="single" w:sz="2" w:space="0" w:color="auto"/>
              <w:bottom w:val="single" w:sz="2" w:space="0" w:color="auto"/>
            </w:tcBorders>
            <w:shd w:val="clear" w:color="auto" w:fill="auto"/>
          </w:tcPr>
          <w:p w:rsidR="00040A5C" w:rsidRPr="00E87BF4" w:rsidDel="00F12A93" w:rsidRDefault="00040A5C" w:rsidP="00A125A3">
            <w:pPr>
              <w:pStyle w:val="Tabletext"/>
              <w:spacing w:before="120" w:after="120"/>
            </w:pPr>
            <w:r>
              <w:t>5</w:t>
            </w:r>
          </w:p>
        </w:tc>
        <w:tc>
          <w:tcPr>
            <w:tcW w:w="3560" w:type="pct"/>
            <w:tcBorders>
              <w:top w:val="single" w:sz="2" w:space="0" w:color="auto"/>
              <w:bottom w:val="single" w:sz="2" w:space="0" w:color="auto"/>
            </w:tcBorders>
            <w:shd w:val="clear" w:color="auto" w:fill="auto"/>
          </w:tcPr>
          <w:p w:rsidR="00040A5C" w:rsidRPr="00E87BF4" w:rsidDel="00F12A93" w:rsidRDefault="00040A5C" w:rsidP="00A125A3">
            <w:pPr>
              <w:pStyle w:val="Tabletext"/>
              <w:spacing w:before="120" w:after="120"/>
            </w:pPr>
            <w:r w:rsidRPr="00E87BF4">
              <w:t>Requirements for Laboratory Testing for Human Immunodeficiency Virus (HIV) and Hepatitis C Virus (HCV) (Third Edition 2013)</w:t>
            </w:r>
          </w:p>
        </w:tc>
        <w:tc>
          <w:tcPr>
            <w:tcW w:w="1010" w:type="pct"/>
            <w:tcBorders>
              <w:top w:val="single" w:sz="2" w:space="0" w:color="auto"/>
              <w:bottom w:val="single" w:sz="2" w:space="0" w:color="auto"/>
            </w:tcBorders>
            <w:shd w:val="clear" w:color="auto" w:fill="auto"/>
          </w:tcPr>
          <w:p w:rsidR="00040A5C" w:rsidRPr="00E87BF4" w:rsidDel="00F12A93" w:rsidRDefault="00040A5C" w:rsidP="00A125A3">
            <w:pPr>
              <w:pStyle w:val="Tabletext"/>
              <w:spacing w:before="120" w:after="120"/>
            </w:pPr>
            <w:r w:rsidRPr="00E87BF4">
              <w:t>2013</w:t>
            </w:r>
          </w:p>
        </w:tc>
      </w:tr>
      <w:tr w:rsidR="00040A5C" w:rsidRPr="00E87BF4" w:rsidDel="00F12A93" w:rsidTr="002B7157">
        <w:trPr>
          <w:cantSplit/>
        </w:trPr>
        <w:tc>
          <w:tcPr>
            <w:tcW w:w="430" w:type="pct"/>
            <w:tcBorders>
              <w:top w:val="single" w:sz="2" w:space="0" w:color="auto"/>
              <w:bottom w:val="single" w:sz="2" w:space="0" w:color="auto"/>
            </w:tcBorders>
            <w:shd w:val="clear" w:color="auto" w:fill="auto"/>
          </w:tcPr>
          <w:p w:rsidR="00040A5C" w:rsidRPr="00E87BF4" w:rsidDel="00F12A93" w:rsidRDefault="00040A5C" w:rsidP="00A125A3">
            <w:pPr>
              <w:pStyle w:val="Tabletext"/>
              <w:spacing w:before="120" w:after="120"/>
            </w:pPr>
            <w:r>
              <w:t>6</w:t>
            </w:r>
          </w:p>
        </w:tc>
        <w:tc>
          <w:tcPr>
            <w:tcW w:w="3560" w:type="pct"/>
            <w:tcBorders>
              <w:top w:val="single" w:sz="2" w:space="0" w:color="auto"/>
              <w:bottom w:val="single" w:sz="2" w:space="0" w:color="auto"/>
            </w:tcBorders>
            <w:shd w:val="clear" w:color="auto" w:fill="auto"/>
          </w:tcPr>
          <w:p w:rsidR="00040A5C" w:rsidRPr="00E87BF4" w:rsidDel="00B06349" w:rsidRDefault="00040A5C" w:rsidP="00A125A3">
            <w:pPr>
              <w:pStyle w:val="Tabletext"/>
              <w:spacing w:before="120" w:after="120"/>
            </w:pPr>
            <w:r w:rsidRPr="00E87BF4">
              <w:t>Requirements for Medical Testing of Human Nucleic Acids (Second Edition 2013)</w:t>
            </w:r>
          </w:p>
        </w:tc>
        <w:tc>
          <w:tcPr>
            <w:tcW w:w="1010" w:type="pct"/>
            <w:tcBorders>
              <w:top w:val="single" w:sz="2" w:space="0" w:color="auto"/>
              <w:bottom w:val="single" w:sz="2" w:space="0" w:color="auto"/>
            </w:tcBorders>
            <w:shd w:val="clear" w:color="auto" w:fill="auto"/>
          </w:tcPr>
          <w:p w:rsidR="00040A5C" w:rsidRPr="00E87BF4" w:rsidDel="00B06349" w:rsidRDefault="00040A5C" w:rsidP="00A125A3">
            <w:pPr>
              <w:pStyle w:val="Tabletext"/>
              <w:spacing w:before="120" w:after="120"/>
            </w:pPr>
            <w:r w:rsidRPr="00E87BF4">
              <w:t>2013</w:t>
            </w:r>
          </w:p>
        </w:tc>
      </w:tr>
      <w:tr w:rsidR="00040A5C" w:rsidRPr="00E87BF4" w:rsidTr="002B7157">
        <w:trPr>
          <w:cantSplit/>
        </w:trPr>
        <w:tc>
          <w:tcPr>
            <w:tcW w:w="43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7</w:t>
            </w:r>
          </w:p>
        </w:tc>
        <w:tc>
          <w:tcPr>
            <w:tcW w:w="3560" w:type="pct"/>
            <w:tcBorders>
              <w:top w:val="single" w:sz="2" w:space="0" w:color="auto"/>
              <w:bottom w:val="single" w:sz="2" w:space="0" w:color="auto"/>
            </w:tcBorders>
            <w:shd w:val="clear" w:color="auto" w:fill="auto"/>
          </w:tcPr>
          <w:p w:rsidR="00040A5C" w:rsidRPr="00E87BF4" w:rsidDel="00B06349" w:rsidRDefault="00040A5C" w:rsidP="00A125A3">
            <w:pPr>
              <w:pStyle w:val="Tabletext"/>
              <w:spacing w:before="120" w:after="120"/>
            </w:pPr>
            <w:r w:rsidRPr="00E87BF4">
              <w:t>Requirements for Medical Testing of Microbial Nucleic Acids (Second Edition 2013)</w:t>
            </w:r>
          </w:p>
        </w:tc>
        <w:tc>
          <w:tcPr>
            <w:tcW w:w="1010" w:type="pct"/>
            <w:tcBorders>
              <w:top w:val="single" w:sz="2" w:space="0" w:color="auto"/>
              <w:bottom w:val="single" w:sz="2" w:space="0" w:color="auto"/>
            </w:tcBorders>
            <w:shd w:val="clear" w:color="auto" w:fill="auto"/>
          </w:tcPr>
          <w:p w:rsidR="00040A5C" w:rsidRPr="00E87BF4" w:rsidDel="00B06349" w:rsidRDefault="00040A5C" w:rsidP="00A125A3">
            <w:pPr>
              <w:pStyle w:val="Tabletext"/>
              <w:spacing w:before="120" w:after="120"/>
            </w:pPr>
            <w:r w:rsidRPr="00E87BF4">
              <w:t>2013</w:t>
            </w:r>
          </w:p>
        </w:tc>
      </w:tr>
      <w:tr w:rsidR="00040A5C" w:rsidRPr="00E87BF4" w:rsidDel="0054154C" w:rsidTr="002B7157">
        <w:trPr>
          <w:cantSplit/>
        </w:trPr>
        <w:tc>
          <w:tcPr>
            <w:tcW w:w="430" w:type="pct"/>
            <w:tcBorders>
              <w:top w:val="single" w:sz="2" w:space="0" w:color="auto"/>
              <w:bottom w:val="single" w:sz="2" w:space="0" w:color="auto"/>
            </w:tcBorders>
            <w:shd w:val="clear" w:color="auto" w:fill="auto"/>
          </w:tcPr>
          <w:p w:rsidR="00040A5C" w:rsidRPr="00E87BF4" w:rsidDel="0054154C" w:rsidRDefault="00040A5C" w:rsidP="00A125A3">
            <w:pPr>
              <w:pStyle w:val="Tabletext"/>
              <w:spacing w:before="120" w:after="120"/>
            </w:pPr>
            <w:r>
              <w:t>8</w:t>
            </w:r>
          </w:p>
        </w:tc>
        <w:tc>
          <w:tcPr>
            <w:tcW w:w="356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Requirements for the Facilities and Operation of Mortuaries (Third Edition 2013)</w:t>
            </w:r>
          </w:p>
        </w:tc>
        <w:tc>
          <w:tcPr>
            <w:tcW w:w="101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2013</w:t>
            </w:r>
          </w:p>
        </w:tc>
      </w:tr>
      <w:tr w:rsidR="00040A5C" w:rsidRPr="00E87BF4" w:rsidTr="002B7157">
        <w:trPr>
          <w:cantSplit/>
        </w:trPr>
        <w:tc>
          <w:tcPr>
            <w:tcW w:w="43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9</w:t>
            </w:r>
          </w:p>
        </w:tc>
        <w:tc>
          <w:tcPr>
            <w:tcW w:w="356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Requirements for the Packaging and Transport of Pathology Specimens and Associated Materials (Fourth Edition 2013)</w:t>
            </w:r>
          </w:p>
        </w:tc>
        <w:tc>
          <w:tcPr>
            <w:tcW w:w="101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2013</w:t>
            </w:r>
          </w:p>
        </w:tc>
      </w:tr>
      <w:tr w:rsidR="00040A5C" w:rsidRPr="00E87BF4" w:rsidTr="002B7157">
        <w:trPr>
          <w:cantSplit/>
        </w:trPr>
        <w:tc>
          <w:tcPr>
            <w:tcW w:w="43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10</w:t>
            </w:r>
          </w:p>
        </w:tc>
        <w:tc>
          <w:tcPr>
            <w:tcW w:w="3560" w:type="pct"/>
            <w:tcBorders>
              <w:top w:val="single" w:sz="2" w:space="0" w:color="auto"/>
              <w:bottom w:val="single" w:sz="2" w:space="0" w:color="auto"/>
            </w:tcBorders>
            <w:shd w:val="clear" w:color="auto" w:fill="auto"/>
          </w:tcPr>
          <w:p w:rsidR="00040A5C" w:rsidRPr="00E87BF4" w:rsidDel="00B06349" w:rsidRDefault="00040A5C" w:rsidP="00A125A3">
            <w:pPr>
              <w:pStyle w:val="Tabletext"/>
              <w:spacing w:before="120" w:after="120"/>
            </w:pPr>
            <w:r w:rsidRPr="00E87BF4">
              <w:t>Requirements for the Performance of Anatomical Pathology Cut</w:t>
            </w:r>
            <w:r w:rsidR="00312190">
              <w:noBreakHyphen/>
            </w:r>
            <w:r w:rsidRPr="00E87BF4">
              <w:t>Up (Fourth Edition 2013)</w:t>
            </w:r>
          </w:p>
        </w:tc>
        <w:tc>
          <w:tcPr>
            <w:tcW w:w="1010" w:type="pct"/>
            <w:tcBorders>
              <w:top w:val="single" w:sz="2" w:space="0" w:color="auto"/>
              <w:bottom w:val="single" w:sz="2" w:space="0" w:color="auto"/>
            </w:tcBorders>
            <w:shd w:val="clear" w:color="auto" w:fill="auto"/>
          </w:tcPr>
          <w:p w:rsidR="00040A5C" w:rsidRPr="00E87BF4" w:rsidDel="00B06349" w:rsidRDefault="00040A5C" w:rsidP="00A125A3">
            <w:pPr>
              <w:pStyle w:val="Tabletext"/>
              <w:spacing w:before="120" w:after="120"/>
            </w:pPr>
            <w:r w:rsidRPr="00E87BF4">
              <w:t>2013</w:t>
            </w:r>
          </w:p>
        </w:tc>
      </w:tr>
      <w:tr w:rsidR="00040A5C" w:rsidRPr="00E87BF4" w:rsidTr="002B7157">
        <w:trPr>
          <w:cantSplit/>
        </w:trPr>
        <w:tc>
          <w:tcPr>
            <w:tcW w:w="43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11</w:t>
            </w:r>
          </w:p>
        </w:tc>
        <w:tc>
          <w:tcPr>
            <w:tcW w:w="356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F61C47">
              <w:t>Performance Measures for Australian Laboratories Reporting Cervical Cytology (Third Edition 2015)</w:t>
            </w:r>
          </w:p>
        </w:tc>
        <w:tc>
          <w:tcPr>
            <w:tcW w:w="101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20</w:t>
            </w:r>
            <w:r>
              <w:t>15</w:t>
            </w:r>
          </w:p>
        </w:tc>
      </w:tr>
      <w:tr w:rsidR="00040A5C" w:rsidRPr="00E87BF4" w:rsidDel="00B06349" w:rsidTr="002B7157">
        <w:trPr>
          <w:cantSplit/>
        </w:trPr>
        <w:tc>
          <w:tcPr>
            <w:tcW w:w="430" w:type="pct"/>
            <w:tcBorders>
              <w:top w:val="single" w:sz="2" w:space="0" w:color="auto"/>
              <w:bottom w:val="single" w:sz="2" w:space="0" w:color="auto"/>
            </w:tcBorders>
            <w:shd w:val="clear" w:color="auto" w:fill="auto"/>
          </w:tcPr>
          <w:p w:rsidR="00040A5C" w:rsidRPr="00E87BF4" w:rsidDel="00B06349" w:rsidRDefault="00040A5C" w:rsidP="00A125A3">
            <w:pPr>
              <w:pStyle w:val="Tabletext"/>
              <w:spacing w:before="120" w:after="120"/>
            </w:pPr>
            <w:r>
              <w:t>12</w:t>
            </w:r>
          </w:p>
        </w:tc>
        <w:tc>
          <w:tcPr>
            <w:tcW w:w="356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Requirements for Procedures Related to the Collection, Processing, Storage and Issue of Human Haemopoietic Progenitor Cells (Fifth Edition 2015)</w:t>
            </w:r>
          </w:p>
        </w:tc>
        <w:tc>
          <w:tcPr>
            <w:tcW w:w="101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2015</w:t>
            </w:r>
          </w:p>
        </w:tc>
      </w:tr>
      <w:tr w:rsidR="00040A5C" w:rsidRPr="00E87BF4" w:rsidTr="002B7157">
        <w:trPr>
          <w:cantSplit/>
        </w:trPr>
        <w:tc>
          <w:tcPr>
            <w:tcW w:w="43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13</w:t>
            </w:r>
          </w:p>
        </w:tc>
        <w:tc>
          <w:tcPr>
            <w:tcW w:w="356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Requirements for Human Medical</w:t>
            </w:r>
            <w:r w:rsidRPr="00E87BF4">
              <w:t xml:space="preserve"> Genome Testing Utilising Massively Parallel Sequencing Technologies (First Edition 2017) </w:t>
            </w:r>
          </w:p>
        </w:tc>
        <w:tc>
          <w:tcPr>
            <w:tcW w:w="101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2017</w:t>
            </w:r>
          </w:p>
        </w:tc>
      </w:tr>
      <w:tr w:rsidR="002B7157" w:rsidRPr="00E87BF4" w:rsidDel="002B7157" w:rsidTr="002B7157">
        <w:trPr>
          <w:cantSplit/>
        </w:trPr>
        <w:tc>
          <w:tcPr>
            <w:tcW w:w="430" w:type="pct"/>
            <w:tcBorders>
              <w:top w:val="single" w:sz="2" w:space="0" w:color="auto"/>
              <w:bottom w:val="single" w:sz="2" w:space="0" w:color="auto"/>
            </w:tcBorders>
            <w:shd w:val="clear" w:color="auto" w:fill="auto"/>
          </w:tcPr>
          <w:p w:rsidR="002B7157" w:rsidDel="002B7157" w:rsidRDefault="002B7157" w:rsidP="00A125A3">
            <w:pPr>
              <w:pStyle w:val="Tabletext"/>
              <w:spacing w:before="120" w:after="120"/>
            </w:pPr>
            <w:r>
              <w:t>14</w:t>
            </w:r>
          </w:p>
        </w:tc>
        <w:tc>
          <w:tcPr>
            <w:tcW w:w="3560" w:type="pct"/>
            <w:tcBorders>
              <w:top w:val="single" w:sz="2" w:space="0" w:color="auto"/>
              <w:bottom w:val="single" w:sz="2" w:space="0" w:color="auto"/>
            </w:tcBorders>
            <w:shd w:val="clear" w:color="auto" w:fill="auto"/>
          </w:tcPr>
          <w:p w:rsidR="002B7157" w:rsidRPr="00E87BF4" w:rsidDel="002B7157" w:rsidRDefault="002B7157" w:rsidP="00A125A3">
            <w:pPr>
              <w:pStyle w:val="Tabletext"/>
              <w:spacing w:before="120" w:after="120"/>
            </w:pPr>
            <w:r w:rsidRPr="00C66EF5">
              <w:t xml:space="preserve">Requirements for </w:t>
            </w:r>
            <w:r>
              <w:t>Laboratories Reporting Tests for the National Cervical Screening Program (Second Edition 2019)</w:t>
            </w:r>
          </w:p>
        </w:tc>
        <w:tc>
          <w:tcPr>
            <w:tcW w:w="1010" w:type="pct"/>
            <w:tcBorders>
              <w:top w:val="single" w:sz="2" w:space="0" w:color="auto"/>
              <w:bottom w:val="single" w:sz="2" w:space="0" w:color="auto"/>
            </w:tcBorders>
            <w:shd w:val="clear" w:color="auto" w:fill="auto"/>
          </w:tcPr>
          <w:p w:rsidR="002B7157" w:rsidRPr="00E87BF4" w:rsidDel="002B7157" w:rsidRDefault="002B7157" w:rsidP="00A125A3">
            <w:pPr>
              <w:pStyle w:val="Tabletext"/>
              <w:spacing w:before="120" w:after="120"/>
            </w:pPr>
            <w:r w:rsidRPr="00E87BF4">
              <w:t>20</w:t>
            </w:r>
            <w:r>
              <w:t>19</w:t>
            </w:r>
          </w:p>
        </w:tc>
      </w:tr>
      <w:tr w:rsidR="00040A5C" w:rsidRPr="00E87BF4" w:rsidTr="002B7157">
        <w:trPr>
          <w:cantSplit/>
        </w:trPr>
        <w:tc>
          <w:tcPr>
            <w:tcW w:w="43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15</w:t>
            </w:r>
          </w:p>
        </w:tc>
        <w:tc>
          <w:tcPr>
            <w:tcW w:w="356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Requirements for Semen Analysis (First Edition 2017)</w:t>
            </w:r>
          </w:p>
        </w:tc>
        <w:tc>
          <w:tcPr>
            <w:tcW w:w="101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2017</w:t>
            </w:r>
          </w:p>
        </w:tc>
      </w:tr>
      <w:tr w:rsidR="00E31BAE" w:rsidRPr="00E87BF4" w:rsidDel="00E31BAE" w:rsidTr="002B7157">
        <w:trPr>
          <w:cantSplit/>
        </w:trPr>
        <w:tc>
          <w:tcPr>
            <w:tcW w:w="430" w:type="pct"/>
            <w:tcBorders>
              <w:top w:val="single" w:sz="2" w:space="0" w:color="auto"/>
              <w:bottom w:val="single" w:sz="2" w:space="0" w:color="auto"/>
            </w:tcBorders>
            <w:shd w:val="clear" w:color="auto" w:fill="auto"/>
          </w:tcPr>
          <w:p w:rsidR="00E31BAE" w:rsidDel="00E31BAE" w:rsidRDefault="00E31BAE" w:rsidP="00A125A3">
            <w:pPr>
              <w:pStyle w:val="Tabletext"/>
              <w:spacing w:before="120" w:after="120"/>
            </w:pPr>
            <w:r>
              <w:t>16</w:t>
            </w:r>
          </w:p>
        </w:tc>
        <w:tc>
          <w:tcPr>
            <w:tcW w:w="3560" w:type="pct"/>
            <w:tcBorders>
              <w:top w:val="single" w:sz="2" w:space="0" w:color="auto"/>
              <w:bottom w:val="single" w:sz="2" w:space="0" w:color="auto"/>
            </w:tcBorders>
            <w:shd w:val="clear" w:color="auto" w:fill="auto"/>
          </w:tcPr>
          <w:p w:rsidR="00E31BAE" w:rsidRPr="00E87BF4" w:rsidDel="00E31BAE" w:rsidRDefault="00E31BAE" w:rsidP="00A125A3">
            <w:pPr>
              <w:pStyle w:val="Tabletext"/>
              <w:spacing w:before="120" w:after="120"/>
            </w:pPr>
            <w:r w:rsidRPr="00C66EF5">
              <w:t xml:space="preserve">Requirements for </w:t>
            </w:r>
            <w:r>
              <w:t>Transfusion Laboratory Practice (Fourth Edition 2019)</w:t>
            </w:r>
          </w:p>
        </w:tc>
        <w:tc>
          <w:tcPr>
            <w:tcW w:w="1010" w:type="pct"/>
            <w:tcBorders>
              <w:top w:val="single" w:sz="2" w:space="0" w:color="auto"/>
              <w:bottom w:val="single" w:sz="2" w:space="0" w:color="auto"/>
            </w:tcBorders>
            <w:shd w:val="clear" w:color="auto" w:fill="auto"/>
          </w:tcPr>
          <w:p w:rsidR="00E31BAE" w:rsidRPr="00E87BF4" w:rsidDel="00E31BAE" w:rsidRDefault="00E31BAE" w:rsidP="00A125A3">
            <w:pPr>
              <w:pStyle w:val="Tabletext"/>
              <w:spacing w:before="120" w:after="120"/>
            </w:pPr>
            <w:r w:rsidRPr="00E87BF4">
              <w:t>20</w:t>
            </w:r>
            <w:r>
              <w:t>19</w:t>
            </w:r>
          </w:p>
        </w:tc>
      </w:tr>
      <w:tr w:rsidR="00D66C2A" w:rsidRPr="00E87BF4" w:rsidDel="00B06349" w:rsidTr="002B7157">
        <w:trPr>
          <w:cantSplit/>
        </w:trPr>
        <w:tc>
          <w:tcPr>
            <w:tcW w:w="430" w:type="pct"/>
            <w:tcBorders>
              <w:top w:val="single" w:sz="2" w:space="0" w:color="auto"/>
              <w:bottom w:val="single" w:sz="2" w:space="0" w:color="auto"/>
            </w:tcBorders>
            <w:shd w:val="clear" w:color="auto" w:fill="auto"/>
          </w:tcPr>
          <w:p w:rsidR="00D66C2A" w:rsidRPr="00E87BF4" w:rsidDel="00B06349" w:rsidRDefault="00D66C2A" w:rsidP="00A125A3">
            <w:pPr>
              <w:pStyle w:val="Tabletext"/>
              <w:spacing w:before="120" w:after="120"/>
            </w:pPr>
            <w:r>
              <w:t>17</w:t>
            </w:r>
          </w:p>
        </w:tc>
        <w:tc>
          <w:tcPr>
            <w:tcW w:w="3560" w:type="pct"/>
            <w:tcBorders>
              <w:top w:val="single" w:sz="2" w:space="0" w:color="auto"/>
              <w:bottom w:val="single" w:sz="2" w:space="0" w:color="auto"/>
            </w:tcBorders>
            <w:shd w:val="clear" w:color="auto" w:fill="auto"/>
          </w:tcPr>
          <w:p w:rsidR="00D66C2A" w:rsidRPr="00E87BF4" w:rsidDel="007C0BC5" w:rsidRDefault="00D66C2A" w:rsidP="00A125A3">
            <w:pPr>
              <w:pStyle w:val="Tabletext"/>
              <w:spacing w:before="120" w:after="120"/>
            </w:pPr>
            <w:r w:rsidRPr="00C66EF5">
              <w:t xml:space="preserve">Requirements for </w:t>
            </w:r>
            <w:r>
              <w:t>Medical Pathology Services (Third Edition 2018)</w:t>
            </w:r>
          </w:p>
        </w:tc>
        <w:tc>
          <w:tcPr>
            <w:tcW w:w="1010" w:type="pct"/>
            <w:tcBorders>
              <w:top w:val="single" w:sz="2" w:space="0" w:color="auto"/>
              <w:bottom w:val="single" w:sz="2" w:space="0" w:color="auto"/>
            </w:tcBorders>
            <w:shd w:val="clear" w:color="auto" w:fill="auto"/>
          </w:tcPr>
          <w:p w:rsidR="00D66C2A" w:rsidRPr="00E87BF4" w:rsidDel="007C0BC5" w:rsidRDefault="00D66C2A" w:rsidP="00A125A3">
            <w:pPr>
              <w:pStyle w:val="Tabletext"/>
              <w:spacing w:before="120" w:after="120"/>
            </w:pPr>
            <w:r w:rsidRPr="00E87BF4">
              <w:t>20</w:t>
            </w:r>
            <w:r>
              <w:t>18</w:t>
            </w:r>
          </w:p>
        </w:tc>
      </w:tr>
      <w:tr w:rsidR="00040A5C" w:rsidRPr="00E87BF4" w:rsidTr="002B7157">
        <w:trPr>
          <w:cantSplit/>
        </w:trPr>
        <w:tc>
          <w:tcPr>
            <w:tcW w:w="43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18</w:t>
            </w:r>
          </w:p>
        </w:tc>
        <w:tc>
          <w:tcPr>
            <w:tcW w:w="3560" w:type="pct"/>
            <w:tcBorders>
              <w:top w:val="single" w:sz="2" w:space="0" w:color="auto"/>
              <w:bottom w:val="single" w:sz="2" w:space="0" w:color="auto"/>
            </w:tcBorders>
            <w:shd w:val="clear" w:color="auto" w:fill="auto"/>
          </w:tcPr>
          <w:p w:rsidR="00040A5C" w:rsidRPr="00E87BF4" w:rsidDel="00F12A93" w:rsidRDefault="00040A5C" w:rsidP="00A125A3">
            <w:pPr>
              <w:pStyle w:val="Tabletext"/>
              <w:spacing w:before="120" w:after="120"/>
            </w:pPr>
            <w:r w:rsidRPr="00C15AE0">
              <w:t>Requirements for Quality Control, External Quality Assurance and Method Evaluation (Sixth Edition 2017</w:t>
            </w:r>
            <w:r>
              <w:t>)</w:t>
            </w:r>
          </w:p>
        </w:tc>
        <w:tc>
          <w:tcPr>
            <w:tcW w:w="1010" w:type="pct"/>
            <w:tcBorders>
              <w:top w:val="single" w:sz="2" w:space="0" w:color="auto"/>
              <w:bottom w:val="single" w:sz="2" w:space="0" w:color="auto"/>
            </w:tcBorders>
            <w:shd w:val="clear" w:color="auto" w:fill="auto"/>
          </w:tcPr>
          <w:p w:rsidR="00040A5C" w:rsidRPr="00E87BF4" w:rsidDel="00F12A93" w:rsidRDefault="00040A5C" w:rsidP="00A125A3">
            <w:pPr>
              <w:pStyle w:val="Tabletext"/>
              <w:spacing w:before="120" w:after="120"/>
            </w:pPr>
            <w:r w:rsidRPr="00E87BF4">
              <w:t>20</w:t>
            </w:r>
            <w:r>
              <w:t>18</w:t>
            </w:r>
          </w:p>
        </w:tc>
      </w:tr>
      <w:tr w:rsidR="003C251E" w:rsidRPr="00E87BF4" w:rsidDel="00B06349" w:rsidTr="002B7157">
        <w:trPr>
          <w:cantSplit/>
        </w:trPr>
        <w:tc>
          <w:tcPr>
            <w:tcW w:w="430" w:type="pct"/>
            <w:tcBorders>
              <w:top w:val="single" w:sz="2" w:space="0" w:color="auto"/>
              <w:bottom w:val="single" w:sz="2" w:space="0" w:color="auto"/>
            </w:tcBorders>
            <w:shd w:val="clear" w:color="auto" w:fill="auto"/>
          </w:tcPr>
          <w:p w:rsidR="003C251E" w:rsidRDefault="003C251E" w:rsidP="003C251E">
            <w:pPr>
              <w:pStyle w:val="Tabletext"/>
              <w:spacing w:before="120" w:after="120"/>
            </w:pPr>
            <w:r w:rsidRPr="004C215F">
              <w:t>19</w:t>
            </w:r>
          </w:p>
        </w:tc>
        <w:tc>
          <w:tcPr>
            <w:tcW w:w="3560" w:type="pct"/>
            <w:tcBorders>
              <w:top w:val="single" w:sz="2" w:space="0" w:color="auto"/>
              <w:bottom w:val="single" w:sz="2" w:space="0" w:color="auto"/>
            </w:tcBorders>
            <w:shd w:val="clear" w:color="auto" w:fill="auto"/>
          </w:tcPr>
          <w:p w:rsidR="003C251E" w:rsidRPr="00C66EF5" w:rsidRDefault="003C251E" w:rsidP="003C251E">
            <w:pPr>
              <w:pStyle w:val="Tabletext"/>
              <w:spacing w:before="120" w:after="120"/>
            </w:pPr>
            <w:r w:rsidRPr="004C215F">
              <w:rPr>
                <w:shd w:val="clear" w:color="auto" w:fill="FFFFFF"/>
              </w:rPr>
              <w:t>Requirements for Supervision in the Clinical Governance of Medical Pathology Laboratories (Sixth Edition 2021)</w:t>
            </w:r>
          </w:p>
        </w:tc>
        <w:tc>
          <w:tcPr>
            <w:tcW w:w="1010" w:type="pct"/>
            <w:tcBorders>
              <w:top w:val="single" w:sz="2" w:space="0" w:color="auto"/>
              <w:bottom w:val="single" w:sz="2" w:space="0" w:color="auto"/>
            </w:tcBorders>
            <w:shd w:val="clear" w:color="auto" w:fill="auto"/>
          </w:tcPr>
          <w:p w:rsidR="003C251E" w:rsidRPr="00E87BF4" w:rsidRDefault="003C251E" w:rsidP="003C251E">
            <w:pPr>
              <w:pStyle w:val="Tabletext"/>
              <w:spacing w:before="120" w:after="120"/>
            </w:pPr>
            <w:r w:rsidRPr="004C215F">
              <w:t>2021</w:t>
            </w:r>
          </w:p>
        </w:tc>
      </w:tr>
      <w:tr w:rsidR="00040A5C" w:rsidRPr="00E87BF4" w:rsidTr="002B7157">
        <w:trPr>
          <w:cantSplit/>
        </w:trPr>
        <w:tc>
          <w:tcPr>
            <w:tcW w:w="43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t>20</w:t>
            </w:r>
          </w:p>
        </w:tc>
        <w:tc>
          <w:tcPr>
            <w:tcW w:w="356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C15AE0">
              <w:t>Requirements for the Development and Use of In</w:t>
            </w:r>
            <w:r w:rsidR="00312190">
              <w:noBreakHyphen/>
            </w:r>
            <w:r w:rsidRPr="00C15AE0">
              <w:t>House In Vitro Diagnostic Devices (Fourth Edition 2017)</w:t>
            </w:r>
          </w:p>
        </w:tc>
        <w:tc>
          <w:tcPr>
            <w:tcW w:w="1010" w:type="pct"/>
            <w:tcBorders>
              <w:top w:val="single" w:sz="2" w:space="0" w:color="auto"/>
              <w:bottom w:val="single" w:sz="2" w:space="0" w:color="auto"/>
            </w:tcBorders>
            <w:shd w:val="clear" w:color="auto" w:fill="auto"/>
          </w:tcPr>
          <w:p w:rsidR="00040A5C" w:rsidRPr="00E87BF4" w:rsidRDefault="00040A5C" w:rsidP="00A125A3">
            <w:pPr>
              <w:pStyle w:val="Tabletext"/>
              <w:spacing w:before="120" w:after="120"/>
            </w:pPr>
            <w:r w:rsidRPr="00E87BF4">
              <w:t>20</w:t>
            </w:r>
            <w:r>
              <w:t>18</w:t>
            </w:r>
          </w:p>
        </w:tc>
      </w:tr>
      <w:tr w:rsidR="003C251E" w:rsidRPr="00E87BF4" w:rsidTr="00E31BAE">
        <w:trPr>
          <w:cantSplit/>
        </w:trPr>
        <w:tc>
          <w:tcPr>
            <w:tcW w:w="430" w:type="pct"/>
            <w:tcBorders>
              <w:top w:val="single" w:sz="2" w:space="0" w:color="auto"/>
              <w:bottom w:val="single" w:sz="2" w:space="0" w:color="auto"/>
            </w:tcBorders>
            <w:shd w:val="clear" w:color="auto" w:fill="auto"/>
          </w:tcPr>
          <w:p w:rsidR="003C251E" w:rsidRDefault="003C251E" w:rsidP="003C251E">
            <w:pPr>
              <w:pStyle w:val="Tabletext"/>
              <w:spacing w:before="120" w:after="120"/>
            </w:pPr>
            <w:r w:rsidRPr="004C215F">
              <w:t>21</w:t>
            </w:r>
          </w:p>
        </w:tc>
        <w:tc>
          <w:tcPr>
            <w:tcW w:w="3560" w:type="pct"/>
            <w:tcBorders>
              <w:top w:val="single" w:sz="2" w:space="0" w:color="auto"/>
              <w:bottom w:val="single" w:sz="2" w:space="0" w:color="auto"/>
            </w:tcBorders>
            <w:shd w:val="clear" w:color="auto" w:fill="auto"/>
          </w:tcPr>
          <w:p w:rsidR="003C251E" w:rsidRPr="00E87BF4" w:rsidDel="00F12A93" w:rsidRDefault="003C251E" w:rsidP="003C251E">
            <w:pPr>
              <w:pStyle w:val="Tabletext"/>
              <w:spacing w:before="120" w:after="120"/>
            </w:pPr>
            <w:r w:rsidRPr="004C215F">
              <w:rPr>
                <w:shd w:val="clear" w:color="auto" w:fill="FFFFFF"/>
              </w:rPr>
              <w:t>Requirements for the Retention of Laboratory Records and Diagnostic Material (Eighth Edition 2021)</w:t>
            </w:r>
          </w:p>
        </w:tc>
        <w:tc>
          <w:tcPr>
            <w:tcW w:w="1010" w:type="pct"/>
            <w:tcBorders>
              <w:top w:val="single" w:sz="2" w:space="0" w:color="auto"/>
              <w:bottom w:val="single" w:sz="2" w:space="0" w:color="auto"/>
            </w:tcBorders>
            <w:shd w:val="clear" w:color="auto" w:fill="auto"/>
          </w:tcPr>
          <w:p w:rsidR="003C251E" w:rsidRPr="00E87BF4" w:rsidDel="00F12A93" w:rsidRDefault="003C251E" w:rsidP="003C251E">
            <w:pPr>
              <w:pStyle w:val="Tabletext"/>
              <w:spacing w:before="120" w:after="120"/>
            </w:pPr>
            <w:r>
              <w:t>2021</w:t>
            </w:r>
          </w:p>
        </w:tc>
      </w:tr>
      <w:tr w:rsidR="00E31BAE" w:rsidRPr="00E87BF4" w:rsidTr="002B7157">
        <w:trPr>
          <w:cantSplit/>
        </w:trPr>
        <w:tc>
          <w:tcPr>
            <w:tcW w:w="430" w:type="pct"/>
            <w:tcBorders>
              <w:top w:val="single" w:sz="2" w:space="0" w:color="auto"/>
              <w:bottom w:val="single" w:sz="12" w:space="0" w:color="auto"/>
            </w:tcBorders>
            <w:shd w:val="clear" w:color="auto" w:fill="auto"/>
          </w:tcPr>
          <w:p w:rsidR="00E31BAE" w:rsidRDefault="00E31BAE" w:rsidP="00A125A3">
            <w:pPr>
              <w:pStyle w:val="Tabletext"/>
              <w:spacing w:before="120" w:after="120"/>
            </w:pPr>
            <w:r>
              <w:t>22</w:t>
            </w:r>
          </w:p>
        </w:tc>
        <w:tc>
          <w:tcPr>
            <w:tcW w:w="3560" w:type="pct"/>
            <w:tcBorders>
              <w:top w:val="single" w:sz="2" w:space="0" w:color="auto"/>
              <w:bottom w:val="single" w:sz="12" w:space="0" w:color="auto"/>
            </w:tcBorders>
            <w:shd w:val="clear" w:color="auto" w:fill="auto"/>
          </w:tcPr>
          <w:p w:rsidR="00E31BAE" w:rsidRPr="00C15AE0" w:rsidRDefault="00E31BAE" w:rsidP="00A125A3">
            <w:pPr>
              <w:pStyle w:val="Tabletext"/>
              <w:spacing w:before="120" w:after="120"/>
            </w:pPr>
            <w:r>
              <w:rPr>
                <w:rFonts w:eastAsia="Calibri"/>
              </w:rPr>
              <w:t>Requirements for Validation of Self</w:t>
            </w:r>
            <w:r w:rsidR="00312190">
              <w:rPr>
                <w:rFonts w:eastAsia="Calibri"/>
              </w:rPr>
              <w:noBreakHyphen/>
            </w:r>
            <w:r>
              <w:rPr>
                <w:rFonts w:eastAsia="Calibri"/>
              </w:rPr>
              <w:t xml:space="preserve">Collected Vaginal Swabs for use in the National Cervical Screening Program (First Edition 2019) </w:t>
            </w:r>
          </w:p>
        </w:tc>
        <w:tc>
          <w:tcPr>
            <w:tcW w:w="1010" w:type="pct"/>
            <w:tcBorders>
              <w:top w:val="single" w:sz="2" w:space="0" w:color="auto"/>
              <w:bottom w:val="single" w:sz="12" w:space="0" w:color="auto"/>
            </w:tcBorders>
            <w:shd w:val="clear" w:color="auto" w:fill="auto"/>
          </w:tcPr>
          <w:p w:rsidR="00E31BAE" w:rsidRDefault="00E31BAE" w:rsidP="00A125A3">
            <w:pPr>
              <w:pStyle w:val="Tabletext"/>
              <w:spacing w:before="120" w:after="120"/>
            </w:pPr>
            <w:r>
              <w:rPr>
                <w:rFonts w:eastAsia="Calibri"/>
              </w:rPr>
              <w:t>2019</w:t>
            </w:r>
          </w:p>
        </w:tc>
      </w:tr>
    </w:tbl>
    <w:p w:rsidR="00040A5C" w:rsidRDefault="00040A5C" w:rsidP="00040A5C">
      <w:pPr>
        <w:pStyle w:val="notetext"/>
        <w:ind w:left="426" w:hanging="426"/>
      </w:pPr>
      <w:r w:rsidRPr="00E87BF4">
        <w:t>Note</w:t>
      </w:r>
      <w:r w:rsidRPr="00E87BF4">
        <w:tab/>
        <w:t xml:space="preserve">The documents mentioned </w:t>
      </w:r>
      <w:r>
        <w:t xml:space="preserve">could in </w:t>
      </w:r>
      <w:r w:rsidR="003C251E">
        <w:t>2021</w:t>
      </w:r>
      <w:r w:rsidRPr="003B0F36">
        <w:t xml:space="preserve"> </w:t>
      </w:r>
      <w:r>
        <w:t>be viewed on NPAAC’s website, maintained by the Department of Health (</w:t>
      </w:r>
      <w:r w:rsidRPr="0052768D">
        <w:t>http://www.health.gov.au/npaac</w:t>
      </w:r>
      <w:r>
        <w:t>)</w:t>
      </w:r>
      <w:r w:rsidRPr="00E87BF4">
        <w:t>.</w:t>
      </w:r>
    </w:p>
    <w:p w:rsidR="003C251E" w:rsidRPr="004C215F" w:rsidRDefault="003C251E" w:rsidP="003C251E">
      <w:pPr>
        <w:pStyle w:val="ActHead5"/>
        <w:rPr>
          <w:i/>
        </w:rPr>
      </w:pPr>
      <w:bookmarkStart w:id="29" w:name="_Hlk80255805"/>
      <w:bookmarkStart w:id="30" w:name="_Toc133830902"/>
      <w:r w:rsidRPr="00691D0C">
        <w:rPr>
          <w:rStyle w:val="CharSectno"/>
        </w:rPr>
        <w:t>2</w:t>
      </w:r>
      <w:r w:rsidRPr="004C215F">
        <w:t xml:space="preserve">  Application of the </w:t>
      </w:r>
      <w:r w:rsidRPr="004C215F">
        <w:rPr>
          <w:i/>
        </w:rPr>
        <w:t>Requirements for Medical Pathology Services (Third Edition 2018)</w:t>
      </w:r>
      <w:bookmarkEnd w:id="30"/>
    </w:p>
    <w:p w:rsidR="003C251E" w:rsidRPr="004C215F" w:rsidRDefault="003C251E" w:rsidP="003C251E">
      <w:pPr>
        <w:pStyle w:val="SubsectionHead"/>
      </w:pPr>
      <w:r w:rsidRPr="004C215F">
        <w:t>Scope</w:t>
      </w:r>
    </w:p>
    <w:p w:rsidR="003C251E" w:rsidRPr="004C215F" w:rsidRDefault="003C251E" w:rsidP="003C251E">
      <w:pPr>
        <w:pStyle w:val="subsection"/>
      </w:pPr>
      <w:r w:rsidRPr="004C215F">
        <w:tab/>
        <w:t>(1)</w:t>
      </w:r>
      <w:r w:rsidRPr="004C215F">
        <w:tab/>
        <w:t>This clause applies in relation to a designated person of a premises that:</w:t>
      </w:r>
    </w:p>
    <w:p w:rsidR="003C251E" w:rsidRPr="004C215F" w:rsidRDefault="003C251E" w:rsidP="003C251E">
      <w:pPr>
        <w:pStyle w:val="paragraph"/>
      </w:pPr>
      <w:r w:rsidRPr="004C215F">
        <w:tab/>
        <w:t>(a)</w:t>
      </w:r>
      <w:r w:rsidRPr="004C215F">
        <w:tab/>
        <w:t>comprises a category S laboratory; and</w:t>
      </w:r>
    </w:p>
    <w:p w:rsidR="003C251E" w:rsidRPr="004C215F" w:rsidRDefault="003C251E" w:rsidP="003C251E">
      <w:pPr>
        <w:pStyle w:val="paragraph"/>
      </w:pPr>
      <w:r w:rsidRPr="004C215F">
        <w:tab/>
        <w:t>(b)</w:t>
      </w:r>
      <w:r w:rsidRPr="004C215F">
        <w:tab/>
        <w:t>renders services in 1 or more groups of pathology testing that are in 1 or more pathology disciplines with a national workforce shortage.</w:t>
      </w:r>
    </w:p>
    <w:p w:rsidR="003C251E" w:rsidRPr="004C215F" w:rsidRDefault="003C251E" w:rsidP="003C251E">
      <w:pPr>
        <w:pStyle w:val="SubsectionHead"/>
      </w:pPr>
      <w:r w:rsidRPr="004C215F">
        <w:t>Application</w:t>
      </w:r>
    </w:p>
    <w:p w:rsidR="00A260C0" w:rsidRPr="00A260C0" w:rsidRDefault="003C251E" w:rsidP="003C251E">
      <w:pPr>
        <w:pStyle w:val="notetext"/>
        <w:sectPr w:rsidR="00A260C0" w:rsidRPr="00A260C0" w:rsidSect="000E0B4E">
          <w:headerReference w:type="even" r:id="rId19"/>
          <w:headerReference w:type="default" r:id="rId20"/>
          <w:footerReference w:type="even" r:id="rId21"/>
          <w:pgSz w:w="11906" w:h="16838" w:code="9"/>
          <w:pgMar w:top="2325" w:right="1797" w:bottom="1440" w:left="1797" w:header="720" w:footer="709" w:gutter="0"/>
          <w:cols w:space="708"/>
          <w:docGrid w:linePitch="360"/>
        </w:sectPr>
      </w:pPr>
      <w:r w:rsidRPr="004C215F">
        <w:tab/>
        <w:t>(2)</w:t>
      </w:r>
      <w:r w:rsidRPr="004C215F">
        <w:tab/>
        <w:t xml:space="preserve">For the purposes of this instrument, the </w:t>
      </w:r>
      <w:r w:rsidRPr="004C215F">
        <w:rPr>
          <w:i/>
        </w:rPr>
        <w:t>Requirements for Medical Pathology Services (Third Edition 2018)</w:t>
      </w:r>
      <w:r w:rsidRPr="004C215F">
        <w:t xml:space="preserve"> (mentioned in table item 17 of clause 1 of this Schedule) apply, in relation to the designated person, as if the definition of </w:t>
      </w:r>
      <w:r w:rsidRPr="004C215F">
        <w:rPr>
          <w:b/>
          <w:i/>
        </w:rPr>
        <w:t>designated person</w:t>
      </w:r>
      <w:r w:rsidRPr="004C215F">
        <w:t xml:space="preserve"> in those requirements did not include a reference to relevant scope of practice.</w:t>
      </w:r>
      <w:bookmarkEnd w:id="29"/>
    </w:p>
    <w:p w:rsidR="003B1552" w:rsidRPr="003F38D6" w:rsidRDefault="003B1552" w:rsidP="003B1552">
      <w:pPr>
        <w:pStyle w:val="ENotesHeading1"/>
        <w:pageBreakBefore/>
        <w:outlineLvl w:val="9"/>
      </w:pPr>
      <w:bookmarkStart w:id="31" w:name="_Toc133830903"/>
      <w:r w:rsidRPr="003F38D6">
        <w:t>Endnotes</w:t>
      </w:r>
      <w:bookmarkEnd w:id="31"/>
    </w:p>
    <w:p w:rsidR="003419BA" w:rsidRPr="007A36FC" w:rsidRDefault="003419BA" w:rsidP="00827B65">
      <w:pPr>
        <w:pStyle w:val="ENotesHeading2"/>
        <w:spacing w:line="240" w:lineRule="auto"/>
        <w:outlineLvl w:val="9"/>
      </w:pPr>
      <w:bookmarkStart w:id="32" w:name="_Toc133830904"/>
      <w:r w:rsidRPr="007A36FC">
        <w:t>Endnote 1—About the endnotes</w:t>
      </w:r>
      <w:bookmarkEnd w:id="32"/>
    </w:p>
    <w:p w:rsidR="003419BA" w:rsidRDefault="003419BA" w:rsidP="00827B65">
      <w:pPr>
        <w:spacing w:after="120"/>
      </w:pPr>
      <w:r w:rsidRPr="00BC57F4">
        <w:t xml:space="preserve">The endnotes provide </w:t>
      </w:r>
      <w:r>
        <w:t>information about this compilation and the compiled law.</w:t>
      </w:r>
    </w:p>
    <w:p w:rsidR="003419BA" w:rsidRPr="00BC57F4" w:rsidRDefault="003419BA" w:rsidP="00827B65">
      <w:pPr>
        <w:spacing w:after="120"/>
      </w:pPr>
      <w:r w:rsidRPr="00BC57F4">
        <w:t>The followi</w:t>
      </w:r>
      <w:r>
        <w:t>ng endnotes are included in every</w:t>
      </w:r>
      <w:r w:rsidRPr="00BC57F4">
        <w:t xml:space="preserve"> compilation:</w:t>
      </w:r>
    </w:p>
    <w:p w:rsidR="003419BA" w:rsidRPr="00BC57F4" w:rsidRDefault="003419BA" w:rsidP="00827B65">
      <w:r w:rsidRPr="00BC57F4">
        <w:t>Endnote 1—About the endnotes</w:t>
      </w:r>
    </w:p>
    <w:p w:rsidR="003419BA" w:rsidRPr="00BC57F4" w:rsidRDefault="003419BA" w:rsidP="00827B65">
      <w:r w:rsidRPr="00BC57F4">
        <w:t>Endnote 2—Abbreviation key</w:t>
      </w:r>
    </w:p>
    <w:p w:rsidR="003419BA" w:rsidRPr="00BC57F4" w:rsidRDefault="003419BA" w:rsidP="00827B65">
      <w:r w:rsidRPr="00BC57F4">
        <w:t>Endnote 3—Legislation history</w:t>
      </w:r>
    </w:p>
    <w:p w:rsidR="003419BA" w:rsidRDefault="003419BA" w:rsidP="00827B65">
      <w:pPr>
        <w:spacing w:after="120"/>
      </w:pPr>
      <w:r w:rsidRPr="00BC57F4">
        <w:t>Endnote 4—Amendment history</w:t>
      </w:r>
    </w:p>
    <w:p w:rsidR="003419BA" w:rsidRPr="00BC57F4" w:rsidRDefault="003419BA" w:rsidP="00827B65">
      <w:r w:rsidRPr="00BC57F4">
        <w:rPr>
          <w:b/>
        </w:rPr>
        <w:t>Abbreviation key—</w:t>
      </w:r>
      <w:r>
        <w:rPr>
          <w:b/>
        </w:rPr>
        <w:t>E</w:t>
      </w:r>
      <w:r w:rsidRPr="00BC57F4">
        <w:rPr>
          <w:b/>
        </w:rPr>
        <w:t>ndnote 2</w:t>
      </w:r>
    </w:p>
    <w:p w:rsidR="003419BA" w:rsidRPr="00BC57F4" w:rsidRDefault="003419BA" w:rsidP="00827B65">
      <w:pPr>
        <w:spacing w:after="120"/>
      </w:pPr>
      <w:r w:rsidRPr="00BC57F4">
        <w:t xml:space="preserve">The abbreviation key sets out abbreviations </w:t>
      </w:r>
      <w:r>
        <w:t xml:space="preserve">that may be </w:t>
      </w:r>
      <w:r w:rsidRPr="00BC57F4">
        <w:t>used in the endnotes.</w:t>
      </w:r>
    </w:p>
    <w:p w:rsidR="003419BA" w:rsidRPr="00BC57F4" w:rsidRDefault="003419BA" w:rsidP="00827B65">
      <w:pPr>
        <w:rPr>
          <w:b/>
        </w:rPr>
      </w:pPr>
      <w:r w:rsidRPr="00BC57F4">
        <w:rPr>
          <w:b/>
        </w:rPr>
        <w:t>Legislation history and amendment history—</w:t>
      </w:r>
      <w:r>
        <w:rPr>
          <w:b/>
        </w:rPr>
        <w:t>E</w:t>
      </w:r>
      <w:r w:rsidRPr="00BC57F4">
        <w:rPr>
          <w:b/>
        </w:rPr>
        <w:t>ndnotes 3 and 4</w:t>
      </w:r>
    </w:p>
    <w:p w:rsidR="003419BA" w:rsidRPr="00BC57F4" w:rsidRDefault="003419BA" w:rsidP="00827B65">
      <w:pPr>
        <w:spacing w:after="120"/>
      </w:pPr>
      <w:r w:rsidRPr="00BC57F4">
        <w:t>Amending laws are annotated in the legislation history and amendment history.</w:t>
      </w:r>
    </w:p>
    <w:p w:rsidR="003419BA" w:rsidRPr="00BC57F4" w:rsidRDefault="003419BA" w:rsidP="00827B6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419BA" w:rsidRDefault="003419BA" w:rsidP="00827B6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3419BA" w:rsidRPr="00FB4AD4" w:rsidRDefault="003419BA" w:rsidP="00827B65">
      <w:pPr>
        <w:rPr>
          <w:b/>
        </w:rPr>
      </w:pPr>
      <w:r w:rsidRPr="00FB4AD4">
        <w:rPr>
          <w:b/>
        </w:rPr>
        <w:t>Editorial changes</w:t>
      </w:r>
    </w:p>
    <w:p w:rsidR="003419BA" w:rsidRDefault="003419BA" w:rsidP="00827B6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419BA" w:rsidRDefault="003419BA" w:rsidP="00827B65">
      <w:pPr>
        <w:spacing w:after="120"/>
      </w:pPr>
      <w:r>
        <w:t xml:space="preserve">If the compilation includes editorial changes, the endnotes include a brief outline of the changes in general terms. Full details of any changes can be obtained from the Office of Parliamentary Counsel. </w:t>
      </w:r>
    </w:p>
    <w:p w:rsidR="003419BA" w:rsidRPr="00BC57F4" w:rsidRDefault="003419BA" w:rsidP="00827B65">
      <w:pPr>
        <w:keepNext/>
      </w:pPr>
      <w:r>
        <w:rPr>
          <w:b/>
        </w:rPr>
        <w:t>Misdescribed amendments</w:t>
      </w:r>
    </w:p>
    <w:p w:rsidR="003419BA" w:rsidRDefault="003419BA" w:rsidP="00827B65">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419BA" w:rsidRDefault="003419BA" w:rsidP="00827B65">
      <w:pPr>
        <w:spacing w:before="120"/>
      </w:pPr>
      <w:r w:rsidRPr="00E466D8">
        <w:t>If a misdescribed amendment cannot be given effect as intended, the abbreviation “(md not incorp)” is added to the details of the amendment included in the amendment history.</w:t>
      </w:r>
    </w:p>
    <w:p w:rsidR="003B1552" w:rsidRDefault="003B1552" w:rsidP="003B1552"/>
    <w:p w:rsidR="003419BA" w:rsidRPr="001F4DF3" w:rsidRDefault="003419BA" w:rsidP="00827B65">
      <w:pPr>
        <w:pStyle w:val="ENotesHeading2"/>
        <w:pageBreakBefore/>
        <w:outlineLvl w:val="9"/>
      </w:pPr>
      <w:bookmarkStart w:id="33" w:name="_Toc133830905"/>
      <w:r w:rsidRPr="001F4DF3">
        <w:t>Endnote 2—Abbreviation key</w:t>
      </w:r>
      <w:bookmarkEnd w:id="33"/>
    </w:p>
    <w:p w:rsidR="003419BA" w:rsidRPr="002F4163" w:rsidRDefault="003419BA" w:rsidP="00827B65">
      <w:pPr>
        <w:pStyle w:val="Tabletext"/>
      </w:pPr>
    </w:p>
    <w:tbl>
      <w:tblPr>
        <w:tblW w:w="5000" w:type="pct"/>
        <w:tblLook w:val="0000" w:firstRow="0" w:lastRow="0" w:firstColumn="0" w:lastColumn="0" w:noHBand="0" w:noVBand="0"/>
      </w:tblPr>
      <w:tblGrid>
        <w:gridCol w:w="4570"/>
        <w:gridCol w:w="3959"/>
      </w:tblGrid>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ad = added or inserted</w:t>
            </w:r>
          </w:p>
        </w:tc>
        <w:tc>
          <w:tcPr>
            <w:tcW w:w="2321" w:type="pct"/>
            <w:shd w:val="clear" w:color="auto" w:fill="auto"/>
          </w:tcPr>
          <w:p w:rsidR="003419BA" w:rsidRPr="00EA5132" w:rsidRDefault="003419BA" w:rsidP="00827B65">
            <w:pPr>
              <w:spacing w:before="60"/>
              <w:ind w:left="34"/>
              <w:rPr>
                <w:sz w:val="20"/>
              </w:rPr>
            </w:pPr>
            <w:r w:rsidRPr="00EA5132">
              <w:rPr>
                <w:sz w:val="20"/>
              </w:rPr>
              <w:t>o = order(s)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am = amended</w:t>
            </w:r>
          </w:p>
        </w:tc>
        <w:tc>
          <w:tcPr>
            <w:tcW w:w="2321" w:type="pct"/>
            <w:shd w:val="clear" w:color="auto" w:fill="auto"/>
          </w:tcPr>
          <w:p w:rsidR="003419BA" w:rsidRPr="00EA5132" w:rsidRDefault="003419BA" w:rsidP="00827B65">
            <w:pPr>
              <w:spacing w:before="60"/>
              <w:ind w:left="34"/>
              <w:rPr>
                <w:sz w:val="20"/>
              </w:rPr>
            </w:pPr>
            <w:r w:rsidRPr="00EA5132">
              <w:rPr>
                <w:sz w:val="20"/>
              </w:rPr>
              <w:t>Ord = Ordinance</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amdt = amendment</w:t>
            </w:r>
          </w:p>
        </w:tc>
        <w:tc>
          <w:tcPr>
            <w:tcW w:w="2321" w:type="pct"/>
            <w:shd w:val="clear" w:color="auto" w:fill="auto"/>
          </w:tcPr>
          <w:p w:rsidR="003419BA" w:rsidRPr="00EA5132" w:rsidRDefault="003419BA" w:rsidP="00827B65">
            <w:pPr>
              <w:spacing w:before="60"/>
              <w:ind w:left="34"/>
              <w:rPr>
                <w:sz w:val="20"/>
              </w:rPr>
            </w:pPr>
            <w:r w:rsidRPr="00EA5132">
              <w:rPr>
                <w:sz w:val="20"/>
              </w:rPr>
              <w:t>orig = original</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c = clause(s)</w:t>
            </w:r>
          </w:p>
        </w:tc>
        <w:tc>
          <w:tcPr>
            <w:tcW w:w="2321" w:type="pct"/>
            <w:shd w:val="clear" w:color="auto" w:fill="auto"/>
          </w:tcPr>
          <w:p w:rsidR="003419BA" w:rsidRPr="00EA5132" w:rsidRDefault="003419BA" w:rsidP="00827B65">
            <w:pPr>
              <w:spacing w:before="60"/>
              <w:ind w:left="34"/>
              <w:rPr>
                <w:sz w:val="20"/>
              </w:rPr>
            </w:pPr>
            <w:r w:rsidRPr="00EA5132">
              <w:rPr>
                <w:sz w:val="20"/>
              </w:rPr>
              <w:t>par = paragraph(s)/subparagraph(s)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C[x] = Compilation No. x</w:t>
            </w:r>
          </w:p>
        </w:tc>
        <w:tc>
          <w:tcPr>
            <w:tcW w:w="2321" w:type="pct"/>
            <w:shd w:val="clear" w:color="auto" w:fill="auto"/>
          </w:tcPr>
          <w:p w:rsidR="003419BA" w:rsidRPr="00EA5132" w:rsidRDefault="00321A30" w:rsidP="00321A30">
            <w:pPr>
              <w:ind w:left="34" w:firstLine="249"/>
              <w:rPr>
                <w:sz w:val="20"/>
              </w:rPr>
            </w:pPr>
            <w:r w:rsidRPr="00EA5132">
              <w:rPr>
                <w:sz w:val="20"/>
              </w:rPr>
              <w:t>/</w:t>
            </w:r>
            <w:r w:rsidR="003419BA" w:rsidRPr="00EA5132">
              <w:rPr>
                <w:sz w:val="20"/>
              </w:rPr>
              <w:t>sub</w:t>
            </w:r>
            <w:r w:rsidR="00312190">
              <w:rPr>
                <w:sz w:val="20"/>
              </w:rPr>
              <w:noBreakHyphen/>
            </w:r>
            <w:r w:rsidR="003419BA" w:rsidRPr="00EA5132">
              <w:rPr>
                <w:sz w:val="20"/>
              </w:rPr>
              <w:t>subparagraph(s)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Ch = Chapter(s)</w:t>
            </w:r>
          </w:p>
        </w:tc>
        <w:tc>
          <w:tcPr>
            <w:tcW w:w="2321" w:type="pct"/>
            <w:shd w:val="clear" w:color="auto" w:fill="auto"/>
          </w:tcPr>
          <w:p w:rsidR="003419BA" w:rsidRPr="00EA5132" w:rsidRDefault="003419BA" w:rsidP="00827B65">
            <w:pPr>
              <w:spacing w:before="60"/>
              <w:ind w:left="34"/>
              <w:rPr>
                <w:sz w:val="20"/>
              </w:rPr>
            </w:pPr>
            <w:r w:rsidRPr="00EA5132">
              <w:rPr>
                <w:sz w:val="20"/>
              </w:rPr>
              <w:t>pres = present</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def = definition(s)</w:t>
            </w:r>
          </w:p>
        </w:tc>
        <w:tc>
          <w:tcPr>
            <w:tcW w:w="2321" w:type="pct"/>
            <w:shd w:val="clear" w:color="auto" w:fill="auto"/>
          </w:tcPr>
          <w:p w:rsidR="003419BA" w:rsidRPr="00EA5132" w:rsidRDefault="003419BA" w:rsidP="00827B65">
            <w:pPr>
              <w:spacing w:before="60"/>
              <w:ind w:left="34"/>
              <w:rPr>
                <w:sz w:val="20"/>
              </w:rPr>
            </w:pPr>
            <w:r w:rsidRPr="00EA5132">
              <w:rPr>
                <w:sz w:val="20"/>
              </w:rPr>
              <w:t>prev = previous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Dict = Dictionary</w:t>
            </w:r>
          </w:p>
        </w:tc>
        <w:tc>
          <w:tcPr>
            <w:tcW w:w="2321" w:type="pct"/>
            <w:shd w:val="clear" w:color="auto" w:fill="auto"/>
          </w:tcPr>
          <w:p w:rsidR="003419BA" w:rsidRPr="00EA5132" w:rsidRDefault="003419BA" w:rsidP="00827B65">
            <w:pPr>
              <w:spacing w:before="60"/>
              <w:ind w:left="34"/>
              <w:rPr>
                <w:sz w:val="20"/>
              </w:rPr>
            </w:pPr>
            <w:r w:rsidRPr="00EA5132">
              <w:rPr>
                <w:sz w:val="20"/>
              </w:rPr>
              <w:t>(prev…) = previously</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disallowed = disallowed by Parliament</w:t>
            </w:r>
          </w:p>
        </w:tc>
        <w:tc>
          <w:tcPr>
            <w:tcW w:w="2321" w:type="pct"/>
            <w:shd w:val="clear" w:color="auto" w:fill="auto"/>
          </w:tcPr>
          <w:p w:rsidR="003419BA" w:rsidRPr="00EA5132" w:rsidRDefault="003419BA" w:rsidP="00827B65">
            <w:pPr>
              <w:spacing w:before="60"/>
              <w:ind w:left="34"/>
              <w:rPr>
                <w:sz w:val="20"/>
              </w:rPr>
            </w:pPr>
            <w:r w:rsidRPr="00EA5132">
              <w:rPr>
                <w:sz w:val="20"/>
              </w:rPr>
              <w:t>Pt = Part(s)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Div = Division(s)</w:t>
            </w:r>
          </w:p>
        </w:tc>
        <w:tc>
          <w:tcPr>
            <w:tcW w:w="2321" w:type="pct"/>
            <w:shd w:val="clear" w:color="auto" w:fill="auto"/>
          </w:tcPr>
          <w:p w:rsidR="003419BA" w:rsidRPr="00EA5132" w:rsidRDefault="003419BA" w:rsidP="00827B65">
            <w:pPr>
              <w:spacing w:before="60"/>
              <w:ind w:left="34"/>
              <w:rPr>
                <w:sz w:val="20"/>
              </w:rPr>
            </w:pPr>
            <w:r w:rsidRPr="00EA5132">
              <w:rPr>
                <w:sz w:val="20"/>
              </w:rPr>
              <w:t>r = regulation(s)/rule(s)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Pr>
                <w:sz w:val="20"/>
              </w:rPr>
              <w:t>ed = editorial change</w:t>
            </w:r>
          </w:p>
        </w:tc>
        <w:tc>
          <w:tcPr>
            <w:tcW w:w="2321" w:type="pct"/>
            <w:shd w:val="clear" w:color="auto" w:fill="auto"/>
          </w:tcPr>
          <w:p w:rsidR="003419BA" w:rsidRPr="00EA5132" w:rsidRDefault="003419BA" w:rsidP="00827B65">
            <w:pPr>
              <w:spacing w:before="60"/>
              <w:ind w:left="34"/>
              <w:rPr>
                <w:sz w:val="20"/>
              </w:rPr>
            </w:pPr>
            <w:r w:rsidRPr="00EA5132">
              <w:rPr>
                <w:sz w:val="20"/>
              </w:rPr>
              <w:t>reloc = relocated</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exp = expires/expired or ceases/ceased to have</w:t>
            </w:r>
          </w:p>
        </w:tc>
        <w:tc>
          <w:tcPr>
            <w:tcW w:w="2321" w:type="pct"/>
            <w:shd w:val="clear" w:color="auto" w:fill="auto"/>
          </w:tcPr>
          <w:p w:rsidR="003419BA" w:rsidRPr="00EA5132" w:rsidRDefault="003419BA" w:rsidP="00827B65">
            <w:pPr>
              <w:spacing w:before="60"/>
              <w:ind w:left="34"/>
              <w:rPr>
                <w:sz w:val="20"/>
              </w:rPr>
            </w:pPr>
            <w:r w:rsidRPr="00EA5132">
              <w:rPr>
                <w:sz w:val="20"/>
              </w:rPr>
              <w:t>renum = renumbered</w:t>
            </w:r>
          </w:p>
        </w:tc>
      </w:tr>
      <w:tr w:rsidR="003419BA" w:rsidRPr="00EA5132" w:rsidTr="002B7157">
        <w:tc>
          <w:tcPr>
            <w:tcW w:w="2679" w:type="pct"/>
            <w:shd w:val="clear" w:color="auto" w:fill="auto"/>
          </w:tcPr>
          <w:p w:rsidR="003419BA" w:rsidRPr="00EA5132" w:rsidRDefault="00321A30" w:rsidP="00321A30">
            <w:pPr>
              <w:ind w:left="34" w:firstLine="249"/>
              <w:rPr>
                <w:sz w:val="20"/>
              </w:rPr>
            </w:pPr>
            <w:r w:rsidRPr="00EA5132">
              <w:rPr>
                <w:sz w:val="20"/>
              </w:rPr>
              <w:t>e</w:t>
            </w:r>
            <w:r w:rsidR="003419BA" w:rsidRPr="00EA5132">
              <w:rPr>
                <w:sz w:val="20"/>
              </w:rPr>
              <w:t>ffect</w:t>
            </w:r>
          </w:p>
        </w:tc>
        <w:tc>
          <w:tcPr>
            <w:tcW w:w="2321" w:type="pct"/>
            <w:shd w:val="clear" w:color="auto" w:fill="auto"/>
          </w:tcPr>
          <w:p w:rsidR="003419BA" w:rsidRPr="00EA5132" w:rsidRDefault="003419BA" w:rsidP="00827B65">
            <w:pPr>
              <w:spacing w:before="60"/>
              <w:ind w:left="34"/>
              <w:rPr>
                <w:sz w:val="20"/>
              </w:rPr>
            </w:pPr>
            <w:r w:rsidRPr="00EA5132">
              <w:rPr>
                <w:sz w:val="20"/>
              </w:rPr>
              <w:t>rep = repealed</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F = Federal Register of Legislat</w:t>
            </w:r>
            <w:r>
              <w:rPr>
                <w:sz w:val="20"/>
              </w:rPr>
              <w:t>ion</w:t>
            </w:r>
          </w:p>
        </w:tc>
        <w:tc>
          <w:tcPr>
            <w:tcW w:w="2321" w:type="pct"/>
            <w:shd w:val="clear" w:color="auto" w:fill="auto"/>
          </w:tcPr>
          <w:p w:rsidR="003419BA" w:rsidRPr="00EA5132" w:rsidRDefault="003419BA" w:rsidP="00827B65">
            <w:pPr>
              <w:spacing w:before="60"/>
              <w:ind w:left="34"/>
              <w:rPr>
                <w:sz w:val="20"/>
              </w:rPr>
            </w:pPr>
            <w:r w:rsidRPr="00EA5132">
              <w:rPr>
                <w:sz w:val="20"/>
              </w:rPr>
              <w:t>rs = repealed and substituted</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gaz = gazette</w:t>
            </w:r>
          </w:p>
        </w:tc>
        <w:tc>
          <w:tcPr>
            <w:tcW w:w="2321" w:type="pct"/>
            <w:shd w:val="clear" w:color="auto" w:fill="auto"/>
          </w:tcPr>
          <w:p w:rsidR="003419BA" w:rsidRPr="00EA5132" w:rsidRDefault="003419BA" w:rsidP="00827B65">
            <w:pPr>
              <w:spacing w:before="60"/>
              <w:ind w:left="34"/>
              <w:rPr>
                <w:sz w:val="20"/>
              </w:rPr>
            </w:pPr>
            <w:r w:rsidRPr="00EA5132">
              <w:rPr>
                <w:sz w:val="20"/>
              </w:rPr>
              <w:t>s = section(s)/subsection(s)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Pr>
                <w:sz w:val="20"/>
              </w:rPr>
              <w:t xml:space="preserve">LA = </w:t>
            </w:r>
            <w:r w:rsidRPr="00FB4AD4">
              <w:rPr>
                <w:i/>
                <w:sz w:val="20"/>
              </w:rPr>
              <w:t>Legislation Act 2003</w:t>
            </w:r>
          </w:p>
        </w:tc>
        <w:tc>
          <w:tcPr>
            <w:tcW w:w="2321" w:type="pct"/>
            <w:shd w:val="clear" w:color="auto" w:fill="auto"/>
          </w:tcPr>
          <w:p w:rsidR="003419BA" w:rsidRPr="00EA5132" w:rsidRDefault="003419BA" w:rsidP="00827B65">
            <w:pPr>
              <w:spacing w:before="60"/>
              <w:ind w:left="34"/>
              <w:rPr>
                <w:sz w:val="20"/>
              </w:rPr>
            </w:pPr>
            <w:r w:rsidRPr="00EA5132">
              <w:rPr>
                <w:sz w:val="20"/>
              </w:rPr>
              <w:t>Sch = Schedule(s)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3419BA" w:rsidRPr="00EA5132" w:rsidRDefault="003419BA" w:rsidP="00827B65">
            <w:pPr>
              <w:spacing w:before="60"/>
              <w:ind w:left="34"/>
              <w:rPr>
                <w:sz w:val="20"/>
              </w:rPr>
            </w:pPr>
            <w:r w:rsidRPr="00EA5132">
              <w:rPr>
                <w:sz w:val="20"/>
              </w:rPr>
              <w:t>Sdiv = Subdivision(s)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(md) = misdescribed amendment can be given</w:t>
            </w:r>
          </w:p>
        </w:tc>
        <w:tc>
          <w:tcPr>
            <w:tcW w:w="2321" w:type="pct"/>
            <w:shd w:val="clear" w:color="auto" w:fill="auto"/>
          </w:tcPr>
          <w:p w:rsidR="003419BA" w:rsidRPr="00EA5132" w:rsidRDefault="003419BA" w:rsidP="00827B65">
            <w:pPr>
              <w:spacing w:before="60"/>
              <w:ind w:left="34"/>
              <w:rPr>
                <w:sz w:val="20"/>
              </w:rPr>
            </w:pPr>
            <w:r w:rsidRPr="00EA5132">
              <w:rPr>
                <w:sz w:val="20"/>
              </w:rPr>
              <w:t>SLI = Select Legislative Instrument</w:t>
            </w:r>
          </w:p>
        </w:tc>
      </w:tr>
      <w:tr w:rsidR="003419BA" w:rsidRPr="00EA5132" w:rsidTr="002B7157">
        <w:tc>
          <w:tcPr>
            <w:tcW w:w="2679" w:type="pct"/>
            <w:shd w:val="clear" w:color="auto" w:fill="auto"/>
          </w:tcPr>
          <w:p w:rsidR="003419BA" w:rsidRPr="00EA5132" w:rsidRDefault="00321A30" w:rsidP="00321A30">
            <w:pPr>
              <w:ind w:left="34" w:firstLine="249"/>
              <w:rPr>
                <w:sz w:val="20"/>
              </w:rPr>
            </w:pPr>
            <w:r w:rsidRPr="00EA5132">
              <w:rPr>
                <w:sz w:val="20"/>
              </w:rPr>
              <w:t>e</w:t>
            </w:r>
            <w:r w:rsidR="003419BA" w:rsidRPr="00EA5132">
              <w:rPr>
                <w:sz w:val="20"/>
              </w:rPr>
              <w:t>ffect</w:t>
            </w:r>
          </w:p>
        </w:tc>
        <w:tc>
          <w:tcPr>
            <w:tcW w:w="2321" w:type="pct"/>
            <w:shd w:val="clear" w:color="auto" w:fill="auto"/>
          </w:tcPr>
          <w:p w:rsidR="003419BA" w:rsidRPr="00EA5132" w:rsidRDefault="003419BA" w:rsidP="00827B65">
            <w:pPr>
              <w:spacing w:before="60"/>
              <w:ind w:left="34"/>
              <w:rPr>
                <w:sz w:val="20"/>
              </w:rPr>
            </w:pPr>
            <w:r w:rsidRPr="00EA5132">
              <w:rPr>
                <w:sz w:val="20"/>
              </w:rPr>
              <w:t>SR = Statutory Rules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(md not incorp) = misdescribed amendment</w:t>
            </w:r>
          </w:p>
        </w:tc>
        <w:tc>
          <w:tcPr>
            <w:tcW w:w="2321" w:type="pct"/>
            <w:shd w:val="clear" w:color="auto" w:fill="auto"/>
          </w:tcPr>
          <w:p w:rsidR="003419BA" w:rsidRPr="00EA5132" w:rsidRDefault="003419BA" w:rsidP="00827B65">
            <w:pPr>
              <w:spacing w:before="60"/>
              <w:ind w:left="34"/>
              <w:rPr>
                <w:sz w:val="20"/>
              </w:rPr>
            </w:pPr>
            <w:r w:rsidRPr="00EA5132">
              <w:rPr>
                <w:sz w:val="20"/>
              </w:rPr>
              <w:t>Sub</w:t>
            </w:r>
            <w:r w:rsidR="00312190">
              <w:rPr>
                <w:sz w:val="20"/>
              </w:rPr>
              <w:noBreakHyphen/>
            </w:r>
            <w:r w:rsidRPr="00EA5132">
              <w:rPr>
                <w:sz w:val="20"/>
              </w:rPr>
              <w:t>Ch = Sub</w:t>
            </w:r>
            <w:r w:rsidR="00312190">
              <w:rPr>
                <w:sz w:val="20"/>
              </w:rPr>
              <w:noBreakHyphen/>
            </w:r>
            <w:r w:rsidRPr="00EA5132">
              <w:rPr>
                <w:sz w:val="20"/>
              </w:rPr>
              <w:t>Chapter(s)</w:t>
            </w:r>
          </w:p>
        </w:tc>
      </w:tr>
      <w:tr w:rsidR="003419BA" w:rsidRPr="00EA5132" w:rsidTr="002B7157">
        <w:tc>
          <w:tcPr>
            <w:tcW w:w="2679" w:type="pct"/>
            <w:shd w:val="clear" w:color="auto" w:fill="auto"/>
          </w:tcPr>
          <w:p w:rsidR="003419BA" w:rsidRPr="00EA5132" w:rsidRDefault="00321A30" w:rsidP="00321A30">
            <w:pPr>
              <w:ind w:left="34" w:firstLine="249"/>
              <w:rPr>
                <w:sz w:val="20"/>
              </w:rPr>
            </w:pPr>
            <w:r w:rsidRPr="00EA5132">
              <w:rPr>
                <w:sz w:val="20"/>
              </w:rPr>
              <w:t>c</w:t>
            </w:r>
            <w:r w:rsidR="003419BA" w:rsidRPr="00EA5132">
              <w:rPr>
                <w:sz w:val="20"/>
              </w:rPr>
              <w:t>annot be given effect</w:t>
            </w:r>
          </w:p>
        </w:tc>
        <w:tc>
          <w:tcPr>
            <w:tcW w:w="2321" w:type="pct"/>
            <w:shd w:val="clear" w:color="auto" w:fill="auto"/>
          </w:tcPr>
          <w:p w:rsidR="003419BA" w:rsidRPr="00EA5132" w:rsidRDefault="003419BA" w:rsidP="00827B65">
            <w:pPr>
              <w:spacing w:before="60"/>
              <w:ind w:left="34"/>
              <w:rPr>
                <w:sz w:val="20"/>
              </w:rPr>
            </w:pPr>
            <w:r w:rsidRPr="00EA5132">
              <w:rPr>
                <w:sz w:val="20"/>
              </w:rPr>
              <w:t>SubPt = Subpart(s)</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mod = modified/modification</w:t>
            </w:r>
          </w:p>
        </w:tc>
        <w:tc>
          <w:tcPr>
            <w:tcW w:w="2321" w:type="pct"/>
            <w:shd w:val="clear" w:color="auto" w:fill="auto"/>
          </w:tcPr>
          <w:p w:rsidR="003419BA" w:rsidRPr="00EA5132" w:rsidRDefault="003419BA" w:rsidP="00827B65">
            <w:pPr>
              <w:spacing w:before="60"/>
              <w:ind w:left="34"/>
              <w:rPr>
                <w:sz w:val="20"/>
              </w:rPr>
            </w:pPr>
            <w:r w:rsidRPr="00C5426A">
              <w:rPr>
                <w:sz w:val="20"/>
                <w:u w:val="single"/>
              </w:rPr>
              <w:t>underlining</w:t>
            </w:r>
            <w:r w:rsidRPr="00EA5132">
              <w:rPr>
                <w:sz w:val="20"/>
              </w:rPr>
              <w:t xml:space="preserve"> = whole or part not</w:t>
            </w:r>
          </w:p>
        </w:tc>
      </w:tr>
      <w:tr w:rsidR="003419BA" w:rsidRPr="00EA5132" w:rsidTr="002B7157">
        <w:tc>
          <w:tcPr>
            <w:tcW w:w="2679" w:type="pct"/>
            <w:shd w:val="clear" w:color="auto" w:fill="auto"/>
          </w:tcPr>
          <w:p w:rsidR="003419BA" w:rsidRPr="00EA5132" w:rsidRDefault="003419BA" w:rsidP="00827B65">
            <w:pPr>
              <w:spacing w:before="60"/>
              <w:ind w:left="34"/>
              <w:rPr>
                <w:sz w:val="20"/>
              </w:rPr>
            </w:pPr>
            <w:r w:rsidRPr="00EA5132">
              <w:rPr>
                <w:sz w:val="20"/>
              </w:rPr>
              <w:t>No. = Number(s)</w:t>
            </w:r>
          </w:p>
        </w:tc>
        <w:tc>
          <w:tcPr>
            <w:tcW w:w="2321" w:type="pct"/>
            <w:shd w:val="clear" w:color="auto" w:fill="auto"/>
          </w:tcPr>
          <w:p w:rsidR="003419BA" w:rsidRPr="00EA5132" w:rsidRDefault="00321A30" w:rsidP="00321A30">
            <w:pPr>
              <w:ind w:left="34" w:firstLine="249"/>
              <w:rPr>
                <w:sz w:val="20"/>
              </w:rPr>
            </w:pPr>
            <w:r w:rsidRPr="00EA5132">
              <w:rPr>
                <w:sz w:val="20"/>
              </w:rPr>
              <w:t>c</w:t>
            </w:r>
            <w:r w:rsidR="003419BA" w:rsidRPr="00EA5132">
              <w:rPr>
                <w:sz w:val="20"/>
              </w:rPr>
              <w:t>ommenced or to be commenced</w:t>
            </w:r>
          </w:p>
        </w:tc>
      </w:tr>
    </w:tbl>
    <w:p w:rsidR="003B1552" w:rsidRDefault="003B1552" w:rsidP="003B1552">
      <w:pPr>
        <w:pStyle w:val="Tabletext"/>
      </w:pPr>
    </w:p>
    <w:p w:rsidR="002F1C9A" w:rsidRDefault="002F1C9A" w:rsidP="00E72400">
      <w:pPr>
        <w:pStyle w:val="ENotesHeading2"/>
        <w:pageBreakBefore/>
      </w:pPr>
      <w:bookmarkStart w:id="34" w:name="_Toc133830906"/>
      <w:r>
        <w:t>Endnote 3—Legislation history</w:t>
      </w:r>
      <w:bookmarkEnd w:id="34"/>
    </w:p>
    <w:p w:rsidR="002F1C9A" w:rsidRDefault="002F1C9A" w:rsidP="00E7240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33"/>
        <w:gridCol w:w="1830"/>
        <w:gridCol w:w="2134"/>
        <w:gridCol w:w="2132"/>
      </w:tblGrid>
      <w:tr w:rsidR="002F1C9A" w:rsidRPr="0098546F" w:rsidTr="002B7157">
        <w:trPr>
          <w:cantSplit/>
          <w:tblHeader/>
        </w:trPr>
        <w:tc>
          <w:tcPr>
            <w:tcW w:w="1426" w:type="pct"/>
            <w:tcBorders>
              <w:top w:val="single" w:sz="12" w:space="0" w:color="auto"/>
              <w:bottom w:val="single" w:sz="12" w:space="0" w:color="auto"/>
            </w:tcBorders>
            <w:shd w:val="clear" w:color="auto" w:fill="auto"/>
          </w:tcPr>
          <w:p w:rsidR="002F1C9A" w:rsidRPr="00E117A3" w:rsidRDefault="002B7E58" w:rsidP="00E72400">
            <w:pPr>
              <w:pStyle w:val="ENoteTableHeading"/>
            </w:pPr>
            <w:r>
              <w:t>Name</w:t>
            </w:r>
          </w:p>
        </w:tc>
        <w:tc>
          <w:tcPr>
            <w:tcW w:w="1072" w:type="pct"/>
            <w:tcBorders>
              <w:top w:val="single" w:sz="12" w:space="0" w:color="auto"/>
              <w:bottom w:val="single" w:sz="12" w:space="0" w:color="auto"/>
            </w:tcBorders>
            <w:shd w:val="clear" w:color="auto" w:fill="auto"/>
          </w:tcPr>
          <w:p w:rsidR="002F1C9A" w:rsidRPr="00E117A3" w:rsidRDefault="00A160D1" w:rsidP="007335AF">
            <w:pPr>
              <w:pStyle w:val="ENoteTableHeading"/>
            </w:pPr>
            <w:r>
              <w:t>Registration</w:t>
            </w:r>
          </w:p>
        </w:tc>
        <w:tc>
          <w:tcPr>
            <w:tcW w:w="1251" w:type="pct"/>
            <w:tcBorders>
              <w:top w:val="single" w:sz="12" w:space="0" w:color="auto"/>
              <w:bottom w:val="single" w:sz="12" w:space="0" w:color="auto"/>
            </w:tcBorders>
            <w:shd w:val="clear" w:color="auto" w:fill="auto"/>
          </w:tcPr>
          <w:p w:rsidR="002F1C9A" w:rsidRPr="00E117A3" w:rsidRDefault="002F1C9A" w:rsidP="00E72400">
            <w:pPr>
              <w:pStyle w:val="ENoteTableHeading"/>
            </w:pPr>
            <w:r>
              <w:t>Commencement</w:t>
            </w:r>
          </w:p>
        </w:tc>
        <w:tc>
          <w:tcPr>
            <w:tcW w:w="1250" w:type="pct"/>
            <w:tcBorders>
              <w:top w:val="single" w:sz="12" w:space="0" w:color="auto"/>
              <w:bottom w:val="single" w:sz="12" w:space="0" w:color="auto"/>
            </w:tcBorders>
            <w:shd w:val="clear" w:color="auto" w:fill="auto"/>
          </w:tcPr>
          <w:p w:rsidR="002F1C9A" w:rsidRPr="00E117A3" w:rsidRDefault="002F1C9A" w:rsidP="00E72400">
            <w:pPr>
              <w:pStyle w:val="ENoteTableHeading"/>
            </w:pPr>
            <w:r w:rsidRPr="00E117A3">
              <w:t>Application, saving and transitional provisions</w:t>
            </w:r>
          </w:p>
        </w:tc>
      </w:tr>
      <w:tr w:rsidR="009B399D" w:rsidRPr="00E117A3" w:rsidTr="002B7157">
        <w:trPr>
          <w:cantSplit/>
        </w:trPr>
        <w:tc>
          <w:tcPr>
            <w:tcW w:w="1426" w:type="pct"/>
            <w:tcBorders>
              <w:top w:val="single" w:sz="12" w:space="0" w:color="auto"/>
              <w:bottom w:val="single" w:sz="4" w:space="0" w:color="auto"/>
            </w:tcBorders>
            <w:shd w:val="clear" w:color="auto" w:fill="auto"/>
          </w:tcPr>
          <w:p w:rsidR="009B399D" w:rsidRPr="00E117A3" w:rsidRDefault="009B399D" w:rsidP="00E72400">
            <w:pPr>
              <w:pStyle w:val="ENoteTableText"/>
            </w:pPr>
            <w:r w:rsidRPr="000D1EB9">
              <w:t>Health Insurance (Accredited Pathology Laboratories—Approval) Principles 2017</w:t>
            </w:r>
          </w:p>
        </w:tc>
        <w:tc>
          <w:tcPr>
            <w:tcW w:w="1072" w:type="pct"/>
            <w:tcBorders>
              <w:top w:val="single" w:sz="12" w:space="0" w:color="auto"/>
              <w:bottom w:val="single" w:sz="4" w:space="0" w:color="auto"/>
            </w:tcBorders>
            <w:shd w:val="clear" w:color="auto" w:fill="auto"/>
          </w:tcPr>
          <w:p w:rsidR="009B399D" w:rsidRPr="00E117A3" w:rsidRDefault="009B399D" w:rsidP="00E72400">
            <w:pPr>
              <w:pStyle w:val="ENoteTableText"/>
            </w:pPr>
            <w:r>
              <w:t>28 Sept 2017 (F2017L01291)</w:t>
            </w:r>
          </w:p>
        </w:tc>
        <w:tc>
          <w:tcPr>
            <w:tcW w:w="1251" w:type="pct"/>
            <w:tcBorders>
              <w:top w:val="single" w:sz="12" w:space="0" w:color="auto"/>
              <w:bottom w:val="single" w:sz="4" w:space="0" w:color="auto"/>
            </w:tcBorders>
            <w:shd w:val="clear" w:color="auto" w:fill="auto"/>
          </w:tcPr>
          <w:p w:rsidR="009B399D" w:rsidRPr="00E117A3" w:rsidRDefault="009B399D" w:rsidP="00BA2841">
            <w:pPr>
              <w:pStyle w:val="ENoteTableText"/>
            </w:pPr>
            <w:r>
              <w:t>29 Sept 2017 (s 2)</w:t>
            </w:r>
          </w:p>
        </w:tc>
        <w:tc>
          <w:tcPr>
            <w:tcW w:w="1250" w:type="pct"/>
            <w:tcBorders>
              <w:top w:val="single" w:sz="12" w:space="0" w:color="auto"/>
              <w:bottom w:val="single" w:sz="4" w:space="0" w:color="auto"/>
            </w:tcBorders>
            <w:shd w:val="clear" w:color="auto" w:fill="auto"/>
          </w:tcPr>
          <w:p w:rsidR="009B399D" w:rsidRPr="00E117A3" w:rsidRDefault="009B399D" w:rsidP="00E72400">
            <w:pPr>
              <w:pStyle w:val="ENoteTableText"/>
            </w:pPr>
          </w:p>
        </w:tc>
      </w:tr>
      <w:tr w:rsidR="009B399D" w:rsidTr="002B7157">
        <w:trPr>
          <w:cantSplit/>
        </w:trPr>
        <w:tc>
          <w:tcPr>
            <w:tcW w:w="1426" w:type="pct"/>
            <w:shd w:val="clear" w:color="auto" w:fill="auto"/>
          </w:tcPr>
          <w:p w:rsidR="009B399D" w:rsidRPr="00E117A3" w:rsidRDefault="009B399D" w:rsidP="003B1552">
            <w:pPr>
              <w:pStyle w:val="ENoteTableText"/>
            </w:pPr>
            <w:r w:rsidRPr="0063102E">
              <w:t>Health Insurance (Accredited Pathology Laboratories—Approval) Amendment Instrument (No. 1) 2018</w:t>
            </w:r>
          </w:p>
        </w:tc>
        <w:tc>
          <w:tcPr>
            <w:tcW w:w="1072" w:type="pct"/>
            <w:shd w:val="clear" w:color="auto" w:fill="auto"/>
          </w:tcPr>
          <w:p w:rsidR="009B399D" w:rsidRPr="00E117A3" w:rsidRDefault="009B399D" w:rsidP="00E72400">
            <w:pPr>
              <w:pStyle w:val="ENoteTableText"/>
            </w:pPr>
            <w:r>
              <w:t>28 June 2018 (F2018L00933)</w:t>
            </w:r>
          </w:p>
        </w:tc>
        <w:tc>
          <w:tcPr>
            <w:tcW w:w="1251" w:type="pct"/>
            <w:shd w:val="clear" w:color="auto" w:fill="auto"/>
          </w:tcPr>
          <w:p w:rsidR="009B399D" w:rsidRPr="0063102E" w:rsidRDefault="009B399D" w:rsidP="00E72400">
            <w:pPr>
              <w:pStyle w:val="ENoteTableText"/>
            </w:pPr>
            <w:r>
              <w:t xml:space="preserve">Sch 2: </w:t>
            </w:r>
            <w:r w:rsidRPr="004C0F4E">
              <w:t>1 Dec 2018 (s 2(1) item 3)</w:t>
            </w:r>
            <w:r w:rsidRPr="00312190">
              <w:br/>
            </w:r>
            <w:r>
              <w:t>Remainder: 29 June 2018 (s 2(1) items 1, 2)</w:t>
            </w:r>
          </w:p>
        </w:tc>
        <w:tc>
          <w:tcPr>
            <w:tcW w:w="1250" w:type="pct"/>
            <w:shd w:val="clear" w:color="auto" w:fill="auto"/>
          </w:tcPr>
          <w:p w:rsidR="009B399D" w:rsidRPr="00E117A3" w:rsidRDefault="009B399D" w:rsidP="00A1473C">
            <w:pPr>
              <w:pStyle w:val="ENoteTableText"/>
            </w:pPr>
            <w:r>
              <w:t>—</w:t>
            </w:r>
          </w:p>
        </w:tc>
      </w:tr>
      <w:tr w:rsidR="004C0F4E" w:rsidTr="002B7157">
        <w:trPr>
          <w:cantSplit/>
        </w:trPr>
        <w:tc>
          <w:tcPr>
            <w:tcW w:w="1426" w:type="pct"/>
            <w:shd w:val="clear" w:color="auto" w:fill="auto"/>
          </w:tcPr>
          <w:p w:rsidR="004C0F4E" w:rsidRPr="0063102E" w:rsidRDefault="00D66C2A" w:rsidP="003B1552">
            <w:pPr>
              <w:pStyle w:val="ENoteTableText"/>
            </w:pPr>
            <w:r w:rsidRPr="00D66C2A">
              <w:t>Health Insurance (Accredited Pathology Laboratories—Approval) Amendment Instrument (No. 2) 2018</w:t>
            </w:r>
          </w:p>
        </w:tc>
        <w:tc>
          <w:tcPr>
            <w:tcW w:w="1072" w:type="pct"/>
            <w:shd w:val="clear" w:color="auto" w:fill="auto"/>
          </w:tcPr>
          <w:p w:rsidR="004C0F4E" w:rsidRDefault="00D66C2A" w:rsidP="00E72400">
            <w:pPr>
              <w:pStyle w:val="ENoteTableText"/>
            </w:pPr>
            <w:r>
              <w:t>29 Nov 2018 (</w:t>
            </w:r>
            <w:r w:rsidRPr="00D66C2A">
              <w:t>F2018L01633</w:t>
            </w:r>
            <w:r>
              <w:t>)</w:t>
            </w:r>
          </w:p>
        </w:tc>
        <w:tc>
          <w:tcPr>
            <w:tcW w:w="1251" w:type="pct"/>
            <w:shd w:val="clear" w:color="auto" w:fill="auto"/>
          </w:tcPr>
          <w:p w:rsidR="004C0F4E" w:rsidRDefault="003B1B15" w:rsidP="00AF615F">
            <w:pPr>
              <w:pStyle w:val="ENoteTableText"/>
            </w:pPr>
            <w:r>
              <w:t>Sch 1: 1 Dec 201</w:t>
            </w:r>
            <w:r w:rsidR="00AF615F">
              <w:t>8</w:t>
            </w:r>
            <w:r>
              <w:t xml:space="preserve"> (s 2(1) item 2)</w:t>
            </w:r>
            <w:r>
              <w:br/>
            </w:r>
            <w:r w:rsidR="00D66C2A">
              <w:t xml:space="preserve">Sch 2: </w:t>
            </w:r>
            <w:r w:rsidR="00D66C2A" w:rsidRPr="0080470C">
              <w:t>1 Aug 2019 (s 2(1) item 3)</w:t>
            </w:r>
          </w:p>
        </w:tc>
        <w:tc>
          <w:tcPr>
            <w:tcW w:w="1250" w:type="pct"/>
            <w:shd w:val="clear" w:color="auto" w:fill="auto"/>
          </w:tcPr>
          <w:p w:rsidR="004C0F4E" w:rsidRDefault="00D66C2A" w:rsidP="00A1473C">
            <w:pPr>
              <w:pStyle w:val="ENoteTableText"/>
            </w:pPr>
            <w:r>
              <w:t>—</w:t>
            </w:r>
          </w:p>
        </w:tc>
      </w:tr>
      <w:tr w:rsidR="000D2B25" w:rsidTr="006C24F5">
        <w:trPr>
          <w:cantSplit/>
        </w:trPr>
        <w:tc>
          <w:tcPr>
            <w:tcW w:w="1426" w:type="pct"/>
            <w:shd w:val="clear" w:color="auto" w:fill="auto"/>
          </w:tcPr>
          <w:p w:rsidR="000D2B25" w:rsidRPr="00D66C2A" w:rsidRDefault="000D2B25" w:rsidP="003B1552">
            <w:pPr>
              <w:pStyle w:val="ENoteTableText"/>
            </w:pPr>
            <w:r w:rsidRPr="000D2B25">
              <w:t>Health Insurance (Accredited Pathology Laboratories—Approval) Amendment Instrument (No. 1) 2019</w:t>
            </w:r>
          </w:p>
        </w:tc>
        <w:tc>
          <w:tcPr>
            <w:tcW w:w="1072" w:type="pct"/>
            <w:shd w:val="clear" w:color="auto" w:fill="auto"/>
          </w:tcPr>
          <w:p w:rsidR="000D2B25" w:rsidRDefault="000D2B25" w:rsidP="00E72400">
            <w:pPr>
              <w:pStyle w:val="ENoteTableText"/>
            </w:pPr>
            <w:r>
              <w:t>31 July 2019 (F2019L01030)</w:t>
            </w:r>
          </w:p>
        </w:tc>
        <w:tc>
          <w:tcPr>
            <w:tcW w:w="1251" w:type="pct"/>
            <w:shd w:val="clear" w:color="auto" w:fill="auto"/>
          </w:tcPr>
          <w:p w:rsidR="000D2B25" w:rsidRDefault="000D2B25" w:rsidP="00AF615F">
            <w:pPr>
              <w:pStyle w:val="ENoteTableText"/>
            </w:pPr>
            <w:r>
              <w:t>Sch 1: 1 Aug 2019 (s 2(1) item 2)</w:t>
            </w:r>
          </w:p>
        </w:tc>
        <w:tc>
          <w:tcPr>
            <w:tcW w:w="1250" w:type="pct"/>
            <w:shd w:val="clear" w:color="auto" w:fill="auto"/>
          </w:tcPr>
          <w:p w:rsidR="000D2B25" w:rsidRDefault="000D2B25" w:rsidP="00A1473C">
            <w:pPr>
              <w:pStyle w:val="ENoteTableText"/>
            </w:pPr>
            <w:r>
              <w:t>—</w:t>
            </w:r>
          </w:p>
        </w:tc>
      </w:tr>
      <w:tr w:rsidR="006C24F5" w:rsidTr="00321A30">
        <w:trPr>
          <w:cantSplit/>
        </w:trPr>
        <w:tc>
          <w:tcPr>
            <w:tcW w:w="1426" w:type="pct"/>
            <w:shd w:val="clear" w:color="auto" w:fill="auto"/>
          </w:tcPr>
          <w:p w:rsidR="006C24F5" w:rsidRPr="000D2B25" w:rsidRDefault="006C24F5" w:rsidP="003B1552">
            <w:pPr>
              <w:pStyle w:val="ENoteTableText"/>
            </w:pPr>
            <w:r w:rsidRPr="006C24F5">
              <w:t>Health Insurance (Accredited Pathology Laboratories–Approval) Amendment Instrument (No. 2) 2019</w:t>
            </w:r>
          </w:p>
        </w:tc>
        <w:tc>
          <w:tcPr>
            <w:tcW w:w="1072" w:type="pct"/>
            <w:shd w:val="clear" w:color="auto" w:fill="auto"/>
          </w:tcPr>
          <w:p w:rsidR="006C24F5" w:rsidRDefault="006C24F5" w:rsidP="00E72400">
            <w:pPr>
              <w:pStyle w:val="ENoteTableText"/>
            </w:pPr>
            <w:r>
              <w:t>26 Sept 2019 (</w:t>
            </w:r>
            <w:r w:rsidRPr="006C24F5">
              <w:t>F2019L01278)</w:t>
            </w:r>
          </w:p>
        </w:tc>
        <w:tc>
          <w:tcPr>
            <w:tcW w:w="1251" w:type="pct"/>
            <w:shd w:val="clear" w:color="auto" w:fill="auto"/>
          </w:tcPr>
          <w:p w:rsidR="006C24F5" w:rsidRDefault="001B3CCA" w:rsidP="001B3CCA">
            <w:pPr>
              <w:pStyle w:val="ENoteTableText"/>
            </w:pPr>
            <w:r>
              <w:t xml:space="preserve">Sch 1: </w:t>
            </w:r>
            <w:r w:rsidR="006C24F5">
              <w:t>27 Sept 2019 (s 2(1) item 2)</w:t>
            </w:r>
          </w:p>
        </w:tc>
        <w:tc>
          <w:tcPr>
            <w:tcW w:w="1250" w:type="pct"/>
            <w:shd w:val="clear" w:color="auto" w:fill="auto"/>
          </w:tcPr>
          <w:p w:rsidR="006C24F5" w:rsidRDefault="006C24F5" w:rsidP="00A1473C">
            <w:pPr>
              <w:pStyle w:val="ENoteTableText"/>
            </w:pPr>
            <w:r>
              <w:t>—</w:t>
            </w:r>
          </w:p>
        </w:tc>
      </w:tr>
      <w:tr w:rsidR="00321A30" w:rsidTr="002C6EE6">
        <w:trPr>
          <w:cantSplit/>
        </w:trPr>
        <w:tc>
          <w:tcPr>
            <w:tcW w:w="1426" w:type="pct"/>
            <w:shd w:val="clear" w:color="auto" w:fill="auto"/>
          </w:tcPr>
          <w:p w:rsidR="00321A30" w:rsidRPr="006C24F5" w:rsidRDefault="00321A30" w:rsidP="003B1552">
            <w:pPr>
              <w:pStyle w:val="ENoteTableText"/>
            </w:pPr>
            <w:r w:rsidRPr="00321A30">
              <w:t>Health Insurance (Accredited Pathology Laboratories—Approval) Amendment (Transitional Arrangements) Principles 2020</w:t>
            </w:r>
          </w:p>
        </w:tc>
        <w:tc>
          <w:tcPr>
            <w:tcW w:w="1072" w:type="pct"/>
            <w:shd w:val="clear" w:color="auto" w:fill="auto"/>
          </w:tcPr>
          <w:p w:rsidR="00321A30" w:rsidRDefault="00321A30" w:rsidP="00E72400">
            <w:pPr>
              <w:pStyle w:val="ENoteTableText"/>
            </w:pPr>
            <w:r>
              <w:t>24 Dec 2020 (</w:t>
            </w:r>
            <w:r w:rsidRPr="00321A30">
              <w:t>F2020L01718)</w:t>
            </w:r>
          </w:p>
        </w:tc>
        <w:tc>
          <w:tcPr>
            <w:tcW w:w="1251" w:type="pct"/>
            <w:shd w:val="clear" w:color="auto" w:fill="auto"/>
          </w:tcPr>
          <w:p w:rsidR="00321A30" w:rsidRDefault="00321A30" w:rsidP="001B3CCA">
            <w:pPr>
              <w:pStyle w:val="ENoteTableText"/>
            </w:pPr>
            <w:r>
              <w:t>1 Jan 2021 (s 2(1) item 1)</w:t>
            </w:r>
          </w:p>
        </w:tc>
        <w:tc>
          <w:tcPr>
            <w:tcW w:w="1250" w:type="pct"/>
            <w:shd w:val="clear" w:color="auto" w:fill="auto"/>
          </w:tcPr>
          <w:p w:rsidR="00321A30" w:rsidRDefault="00321A30" w:rsidP="00A1473C">
            <w:pPr>
              <w:pStyle w:val="ENoteTableText"/>
            </w:pPr>
            <w:r>
              <w:t>—</w:t>
            </w:r>
          </w:p>
        </w:tc>
      </w:tr>
      <w:tr w:rsidR="002C6EE6" w:rsidTr="002B7157">
        <w:trPr>
          <w:cantSplit/>
        </w:trPr>
        <w:tc>
          <w:tcPr>
            <w:tcW w:w="1426" w:type="pct"/>
            <w:tcBorders>
              <w:bottom w:val="single" w:sz="12" w:space="0" w:color="auto"/>
            </w:tcBorders>
            <w:shd w:val="clear" w:color="auto" w:fill="auto"/>
          </w:tcPr>
          <w:p w:rsidR="002C6EE6" w:rsidRPr="002C6EE6" w:rsidRDefault="002C6EE6" w:rsidP="003B1552">
            <w:pPr>
              <w:pStyle w:val="ENoteTableText"/>
            </w:pPr>
            <w:r w:rsidRPr="002C6EE6">
              <w:t>Health Insurance (Accredited Pathology Laboratories—Approval) Amendment (Relevant Standards) Principles 2021</w:t>
            </w:r>
          </w:p>
        </w:tc>
        <w:tc>
          <w:tcPr>
            <w:tcW w:w="1072" w:type="pct"/>
            <w:tcBorders>
              <w:bottom w:val="single" w:sz="12" w:space="0" w:color="auto"/>
            </w:tcBorders>
            <w:shd w:val="clear" w:color="auto" w:fill="auto"/>
          </w:tcPr>
          <w:p w:rsidR="002C6EE6" w:rsidRDefault="002C6EE6" w:rsidP="00E72400">
            <w:pPr>
              <w:pStyle w:val="ENoteTableText"/>
            </w:pPr>
            <w:r>
              <w:t>30 July 2021 (F2021L01053)</w:t>
            </w:r>
          </w:p>
        </w:tc>
        <w:tc>
          <w:tcPr>
            <w:tcW w:w="1251" w:type="pct"/>
            <w:tcBorders>
              <w:bottom w:val="single" w:sz="12" w:space="0" w:color="auto"/>
            </w:tcBorders>
            <w:shd w:val="clear" w:color="auto" w:fill="auto"/>
          </w:tcPr>
          <w:p w:rsidR="002C6EE6" w:rsidRPr="00B26859" w:rsidRDefault="002C6EE6" w:rsidP="001B3CCA">
            <w:pPr>
              <w:pStyle w:val="ENoteTableText"/>
            </w:pPr>
            <w:r>
              <w:t>Sch 1 (items </w:t>
            </w:r>
            <w:r w:rsidRPr="008306F4">
              <w:t>1–</w:t>
            </w:r>
            <w:r>
              <w:t>16): 1 Aug 2021 (s 2(1) item 2)</w:t>
            </w:r>
            <w:r>
              <w:br/>
              <w:t>Sch </w:t>
            </w:r>
            <w:r w:rsidR="003F4DEB">
              <w:t>1</w:t>
            </w:r>
            <w:r>
              <w:t xml:space="preserve"> (item</w:t>
            </w:r>
            <w:r w:rsidR="00B26859">
              <w:t> 17</w:t>
            </w:r>
            <w:r>
              <w:t>)</w:t>
            </w:r>
            <w:r w:rsidR="00B26859">
              <w:t>:</w:t>
            </w:r>
            <w:r>
              <w:t xml:space="preserve"> </w:t>
            </w:r>
            <w:r>
              <w:rPr>
                <w:u w:val="single"/>
              </w:rPr>
              <w:t>1 Jan 2022 (s 2(1) item 3)</w:t>
            </w:r>
            <w:r>
              <w:rPr>
                <w:u w:val="single"/>
              </w:rPr>
              <w:br/>
            </w:r>
            <w:r>
              <w:t>Sch </w:t>
            </w:r>
            <w:r w:rsidR="003F4DEB">
              <w:t>1</w:t>
            </w:r>
            <w:r>
              <w:t xml:space="preserve"> (item </w:t>
            </w:r>
            <w:r w:rsidR="00B26859">
              <w:t>18</w:t>
            </w:r>
            <w:r>
              <w:t xml:space="preserve">): </w:t>
            </w:r>
            <w:r>
              <w:rPr>
                <w:u w:val="single"/>
              </w:rPr>
              <w:t>1 Aug 2022 (s 2(1) item 4)</w:t>
            </w:r>
          </w:p>
        </w:tc>
        <w:tc>
          <w:tcPr>
            <w:tcW w:w="1250" w:type="pct"/>
            <w:tcBorders>
              <w:bottom w:val="single" w:sz="12" w:space="0" w:color="auto"/>
            </w:tcBorders>
            <w:shd w:val="clear" w:color="auto" w:fill="auto"/>
          </w:tcPr>
          <w:p w:rsidR="002C6EE6" w:rsidRDefault="001F4E85" w:rsidP="00A1473C">
            <w:pPr>
              <w:pStyle w:val="ENoteTableText"/>
            </w:pPr>
            <w:r>
              <w:t>—</w:t>
            </w:r>
          </w:p>
        </w:tc>
      </w:tr>
    </w:tbl>
    <w:p w:rsidR="002F1C9A" w:rsidRPr="0079595F" w:rsidRDefault="002F1C9A" w:rsidP="0079595F">
      <w:pPr>
        <w:pStyle w:val="Tabletext"/>
      </w:pPr>
    </w:p>
    <w:p w:rsidR="00253B88" w:rsidRPr="00557253" w:rsidRDefault="00253B88" w:rsidP="00253B88">
      <w:pPr>
        <w:pStyle w:val="ENotesHeading2"/>
        <w:pageBreakBefore/>
        <w:outlineLvl w:val="9"/>
      </w:pPr>
      <w:bookmarkStart w:id="35" w:name="_Toc133830907"/>
      <w:r w:rsidRPr="00557253">
        <w:t>Endnote 4—Amendment history</w:t>
      </w:r>
      <w:bookmarkEnd w:id="35"/>
    </w:p>
    <w:p w:rsidR="00253B88" w:rsidRPr="00557253" w:rsidRDefault="00253B88" w:rsidP="00253B8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86"/>
        <w:gridCol w:w="5943"/>
      </w:tblGrid>
      <w:tr w:rsidR="00253B88" w:rsidRPr="00557253" w:rsidTr="002B7157">
        <w:trPr>
          <w:tblHeader/>
        </w:trPr>
        <w:tc>
          <w:tcPr>
            <w:tcW w:w="1516" w:type="pct"/>
            <w:tcBorders>
              <w:top w:val="single" w:sz="12" w:space="0" w:color="auto"/>
              <w:bottom w:val="single" w:sz="12" w:space="0" w:color="auto"/>
            </w:tcBorders>
            <w:shd w:val="clear" w:color="auto" w:fill="auto"/>
          </w:tcPr>
          <w:p w:rsidR="00253B88" w:rsidRPr="00557253" w:rsidRDefault="00253B88" w:rsidP="006C36B8">
            <w:pPr>
              <w:pStyle w:val="TableHeading"/>
            </w:pPr>
            <w:r w:rsidRPr="00557253">
              <w:t>Provision affected</w:t>
            </w:r>
          </w:p>
        </w:tc>
        <w:tc>
          <w:tcPr>
            <w:tcW w:w="3484" w:type="pct"/>
            <w:tcBorders>
              <w:top w:val="single" w:sz="12" w:space="0" w:color="auto"/>
              <w:bottom w:val="single" w:sz="12" w:space="0" w:color="auto"/>
            </w:tcBorders>
            <w:shd w:val="clear" w:color="auto" w:fill="auto"/>
          </w:tcPr>
          <w:p w:rsidR="00253B88" w:rsidRPr="00557253" w:rsidRDefault="00253B88" w:rsidP="006C36B8">
            <w:pPr>
              <w:pStyle w:val="TableHeading"/>
            </w:pPr>
            <w:r w:rsidRPr="00557253">
              <w:t>How affected</w:t>
            </w:r>
          </w:p>
        </w:tc>
      </w:tr>
      <w:tr w:rsidR="009B399D" w:rsidRPr="00253B88" w:rsidTr="002B7157">
        <w:tc>
          <w:tcPr>
            <w:tcW w:w="1516" w:type="pct"/>
            <w:tcBorders>
              <w:top w:val="nil"/>
              <w:bottom w:val="nil"/>
            </w:tcBorders>
            <w:shd w:val="clear" w:color="auto" w:fill="auto"/>
          </w:tcPr>
          <w:p w:rsidR="009B399D" w:rsidRPr="0063102E" w:rsidRDefault="009B399D" w:rsidP="006C36B8">
            <w:pPr>
              <w:pStyle w:val="ENoteTableText"/>
              <w:tabs>
                <w:tab w:val="center" w:leader="dot" w:pos="2268"/>
              </w:tabs>
              <w:rPr>
                <w:b/>
              </w:rPr>
            </w:pPr>
            <w:r w:rsidRPr="0063102E">
              <w:rPr>
                <w:b/>
              </w:rPr>
              <w:t>Part 1</w:t>
            </w:r>
          </w:p>
        </w:tc>
        <w:tc>
          <w:tcPr>
            <w:tcW w:w="3484" w:type="pct"/>
            <w:tcBorders>
              <w:top w:val="nil"/>
              <w:bottom w:val="nil"/>
            </w:tcBorders>
            <w:shd w:val="clear" w:color="auto" w:fill="auto"/>
          </w:tcPr>
          <w:p w:rsidR="009B399D" w:rsidRPr="00253B88" w:rsidRDefault="009B399D" w:rsidP="006C36B8">
            <w:pPr>
              <w:pStyle w:val="ENoteTableText"/>
              <w:tabs>
                <w:tab w:val="center" w:leader="dot" w:pos="2268"/>
              </w:tabs>
            </w:pPr>
          </w:p>
        </w:tc>
      </w:tr>
      <w:tr w:rsidR="004165E2" w:rsidRPr="00253B88" w:rsidTr="002B7157">
        <w:tc>
          <w:tcPr>
            <w:tcW w:w="1516" w:type="pct"/>
            <w:tcBorders>
              <w:top w:val="nil"/>
              <w:bottom w:val="nil"/>
            </w:tcBorders>
            <w:shd w:val="clear" w:color="auto" w:fill="auto"/>
          </w:tcPr>
          <w:p w:rsidR="004165E2" w:rsidRDefault="004165E2" w:rsidP="00827B65">
            <w:pPr>
              <w:pStyle w:val="ENoteTableText"/>
              <w:tabs>
                <w:tab w:val="center" w:leader="dot" w:pos="2268"/>
              </w:tabs>
            </w:pPr>
            <w:r>
              <w:t>s 2</w:t>
            </w:r>
            <w:r>
              <w:tab/>
            </w:r>
          </w:p>
        </w:tc>
        <w:tc>
          <w:tcPr>
            <w:tcW w:w="3484" w:type="pct"/>
            <w:tcBorders>
              <w:top w:val="nil"/>
              <w:bottom w:val="nil"/>
            </w:tcBorders>
            <w:shd w:val="clear" w:color="auto" w:fill="auto"/>
          </w:tcPr>
          <w:p w:rsidR="004165E2" w:rsidRDefault="004165E2" w:rsidP="00827B65">
            <w:pPr>
              <w:pStyle w:val="ENoteTableText"/>
              <w:tabs>
                <w:tab w:val="center" w:leader="dot" w:pos="2268"/>
              </w:tabs>
            </w:pPr>
            <w:r>
              <w:t>rep LA s 48D</w:t>
            </w:r>
          </w:p>
        </w:tc>
      </w:tr>
      <w:tr w:rsidR="000B0FDB" w:rsidRPr="00253B88" w:rsidTr="002B7157">
        <w:tc>
          <w:tcPr>
            <w:tcW w:w="1516" w:type="pct"/>
            <w:tcBorders>
              <w:top w:val="nil"/>
              <w:bottom w:val="nil"/>
            </w:tcBorders>
            <w:shd w:val="clear" w:color="auto" w:fill="auto"/>
          </w:tcPr>
          <w:p w:rsidR="000B0FDB" w:rsidRDefault="000B0FDB" w:rsidP="00827B65">
            <w:pPr>
              <w:pStyle w:val="ENoteTableText"/>
              <w:tabs>
                <w:tab w:val="center" w:leader="dot" w:pos="2268"/>
              </w:tabs>
            </w:pPr>
            <w:r>
              <w:t>s 4</w:t>
            </w:r>
            <w:r>
              <w:tab/>
            </w:r>
          </w:p>
        </w:tc>
        <w:tc>
          <w:tcPr>
            <w:tcW w:w="3484" w:type="pct"/>
            <w:tcBorders>
              <w:top w:val="nil"/>
              <w:bottom w:val="nil"/>
            </w:tcBorders>
            <w:shd w:val="clear" w:color="auto" w:fill="auto"/>
          </w:tcPr>
          <w:p w:rsidR="000B0FDB" w:rsidRDefault="000B0FDB" w:rsidP="00827B65">
            <w:pPr>
              <w:pStyle w:val="ENoteTableText"/>
              <w:tabs>
                <w:tab w:val="center" w:leader="dot" w:pos="2268"/>
              </w:tabs>
            </w:pPr>
            <w:r>
              <w:t xml:space="preserve">(2) </w:t>
            </w:r>
            <w:r>
              <w:t>rep LA s 48</w:t>
            </w:r>
            <w:r>
              <w:t>C</w:t>
            </w:r>
          </w:p>
        </w:tc>
      </w:tr>
      <w:tr w:rsidR="009B399D" w:rsidRPr="00253B88" w:rsidTr="002B7157">
        <w:tc>
          <w:tcPr>
            <w:tcW w:w="1516" w:type="pct"/>
            <w:tcBorders>
              <w:top w:val="nil"/>
              <w:bottom w:val="nil"/>
            </w:tcBorders>
            <w:shd w:val="clear" w:color="auto" w:fill="auto"/>
          </w:tcPr>
          <w:p w:rsidR="009B399D" w:rsidRPr="00253B88" w:rsidRDefault="009B399D" w:rsidP="00827B65">
            <w:pPr>
              <w:pStyle w:val="ENoteTableText"/>
              <w:tabs>
                <w:tab w:val="center" w:leader="dot" w:pos="2268"/>
              </w:tabs>
            </w:pPr>
            <w:r>
              <w:t>s 5</w:t>
            </w:r>
            <w:r>
              <w:tab/>
            </w:r>
          </w:p>
        </w:tc>
        <w:tc>
          <w:tcPr>
            <w:tcW w:w="3484" w:type="pct"/>
            <w:tcBorders>
              <w:top w:val="nil"/>
              <w:bottom w:val="nil"/>
            </w:tcBorders>
            <w:shd w:val="clear" w:color="auto" w:fill="auto"/>
          </w:tcPr>
          <w:p w:rsidR="009B399D" w:rsidRPr="00253B88" w:rsidRDefault="009B399D" w:rsidP="0080470C">
            <w:pPr>
              <w:pStyle w:val="ENoteTableText"/>
              <w:tabs>
                <w:tab w:val="center" w:leader="dot" w:pos="2268"/>
              </w:tabs>
            </w:pPr>
            <w:r>
              <w:t xml:space="preserve">am </w:t>
            </w:r>
            <w:r w:rsidRPr="004C0F4E">
              <w:t>F2018L00933</w:t>
            </w:r>
            <w:r w:rsidR="00D66C2A">
              <w:t xml:space="preserve">; </w:t>
            </w:r>
            <w:r w:rsidR="00D66C2A" w:rsidRPr="00D66C2A">
              <w:t>F2018L01633</w:t>
            </w:r>
            <w:r w:rsidR="003706D3">
              <w:t>; F2021L01053</w:t>
            </w:r>
          </w:p>
        </w:tc>
      </w:tr>
      <w:tr w:rsidR="009B399D" w:rsidRPr="00253B88" w:rsidTr="002B7157">
        <w:tc>
          <w:tcPr>
            <w:tcW w:w="1516" w:type="pct"/>
            <w:tcBorders>
              <w:top w:val="nil"/>
              <w:bottom w:val="nil"/>
            </w:tcBorders>
            <w:shd w:val="clear" w:color="auto" w:fill="auto"/>
          </w:tcPr>
          <w:p w:rsidR="009B399D" w:rsidRPr="0063102E" w:rsidRDefault="009B399D" w:rsidP="00827B65">
            <w:pPr>
              <w:pStyle w:val="ENoteTableText"/>
              <w:tabs>
                <w:tab w:val="center" w:leader="dot" w:pos="2268"/>
              </w:tabs>
              <w:rPr>
                <w:b/>
              </w:rPr>
            </w:pPr>
            <w:r w:rsidRPr="0063102E">
              <w:rPr>
                <w:b/>
              </w:rPr>
              <w:t>Part 2</w:t>
            </w:r>
          </w:p>
        </w:tc>
        <w:tc>
          <w:tcPr>
            <w:tcW w:w="3484" w:type="pct"/>
            <w:tcBorders>
              <w:top w:val="nil"/>
              <w:bottom w:val="nil"/>
            </w:tcBorders>
            <w:shd w:val="clear" w:color="auto" w:fill="auto"/>
          </w:tcPr>
          <w:p w:rsidR="009B399D" w:rsidRDefault="009B399D" w:rsidP="00827B65">
            <w:pPr>
              <w:pStyle w:val="ENoteTableText"/>
              <w:tabs>
                <w:tab w:val="center" w:leader="dot" w:pos="2268"/>
              </w:tabs>
            </w:pPr>
          </w:p>
        </w:tc>
      </w:tr>
      <w:tr w:rsidR="009B399D" w:rsidRPr="00253B88" w:rsidTr="002B7157">
        <w:tc>
          <w:tcPr>
            <w:tcW w:w="1516" w:type="pct"/>
            <w:tcBorders>
              <w:top w:val="nil"/>
              <w:bottom w:val="nil"/>
            </w:tcBorders>
            <w:shd w:val="clear" w:color="auto" w:fill="auto"/>
          </w:tcPr>
          <w:p w:rsidR="009B399D" w:rsidRPr="0063102E" w:rsidRDefault="009B399D" w:rsidP="006C36B8">
            <w:pPr>
              <w:pStyle w:val="ENoteTableText"/>
              <w:tabs>
                <w:tab w:val="center" w:leader="dot" w:pos="2268"/>
              </w:tabs>
            </w:pPr>
            <w:r>
              <w:t>s 7</w:t>
            </w:r>
            <w:r>
              <w:tab/>
            </w:r>
          </w:p>
        </w:tc>
        <w:tc>
          <w:tcPr>
            <w:tcW w:w="3484" w:type="pct"/>
            <w:tcBorders>
              <w:top w:val="nil"/>
              <w:bottom w:val="nil"/>
            </w:tcBorders>
            <w:shd w:val="clear" w:color="auto" w:fill="auto"/>
          </w:tcPr>
          <w:p w:rsidR="009B399D" w:rsidRPr="00253B88" w:rsidRDefault="009B399D" w:rsidP="006C36B8">
            <w:pPr>
              <w:pStyle w:val="ENoteTableText"/>
              <w:tabs>
                <w:tab w:val="center" w:leader="dot" w:pos="2268"/>
              </w:tabs>
            </w:pPr>
            <w:r>
              <w:t xml:space="preserve">am </w:t>
            </w:r>
            <w:r w:rsidRPr="004C0F4E">
              <w:t>F2018L00933</w:t>
            </w:r>
          </w:p>
        </w:tc>
      </w:tr>
      <w:tr w:rsidR="009B399D" w:rsidRPr="00253B88" w:rsidTr="002B7157">
        <w:tc>
          <w:tcPr>
            <w:tcW w:w="1516" w:type="pct"/>
            <w:tcBorders>
              <w:top w:val="nil"/>
              <w:bottom w:val="nil"/>
            </w:tcBorders>
            <w:shd w:val="clear" w:color="auto" w:fill="auto"/>
          </w:tcPr>
          <w:p w:rsidR="009B399D" w:rsidRPr="0063102E" w:rsidRDefault="009B399D" w:rsidP="006C36B8">
            <w:pPr>
              <w:pStyle w:val="ENoteTableText"/>
              <w:tabs>
                <w:tab w:val="center" w:leader="dot" w:pos="2268"/>
              </w:tabs>
            </w:pPr>
            <w:r>
              <w:t>s 8</w:t>
            </w:r>
            <w:r>
              <w:tab/>
            </w:r>
          </w:p>
        </w:tc>
        <w:tc>
          <w:tcPr>
            <w:tcW w:w="3484" w:type="pct"/>
            <w:tcBorders>
              <w:top w:val="nil"/>
              <w:bottom w:val="nil"/>
            </w:tcBorders>
            <w:shd w:val="clear" w:color="auto" w:fill="auto"/>
          </w:tcPr>
          <w:p w:rsidR="009B399D" w:rsidRPr="00253B88" w:rsidRDefault="009B399D" w:rsidP="006C36B8">
            <w:pPr>
              <w:pStyle w:val="ENoteTableText"/>
              <w:tabs>
                <w:tab w:val="center" w:leader="dot" w:pos="2268"/>
              </w:tabs>
            </w:pPr>
            <w:r>
              <w:t xml:space="preserve">am </w:t>
            </w:r>
            <w:r w:rsidRPr="004C0F4E">
              <w:t>F2018L00933</w:t>
            </w:r>
          </w:p>
        </w:tc>
      </w:tr>
      <w:tr w:rsidR="009B399D" w:rsidRPr="00253B88" w:rsidTr="002B7157">
        <w:tc>
          <w:tcPr>
            <w:tcW w:w="1516" w:type="pct"/>
            <w:tcBorders>
              <w:top w:val="nil"/>
              <w:bottom w:val="nil"/>
            </w:tcBorders>
            <w:shd w:val="clear" w:color="auto" w:fill="auto"/>
          </w:tcPr>
          <w:p w:rsidR="009B399D" w:rsidRDefault="009B399D" w:rsidP="006C36B8">
            <w:pPr>
              <w:pStyle w:val="ENoteTableText"/>
              <w:tabs>
                <w:tab w:val="center" w:leader="dot" w:pos="2268"/>
              </w:tabs>
            </w:pPr>
            <w:r>
              <w:t>s 9</w:t>
            </w:r>
            <w:r>
              <w:tab/>
            </w:r>
          </w:p>
        </w:tc>
        <w:tc>
          <w:tcPr>
            <w:tcW w:w="3484" w:type="pct"/>
            <w:tcBorders>
              <w:top w:val="nil"/>
              <w:bottom w:val="nil"/>
            </w:tcBorders>
            <w:shd w:val="clear" w:color="auto" w:fill="auto"/>
          </w:tcPr>
          <w:p w:rsidR="009B399D" w:rsidRDefault="009B399D" w:rsidP="006C36B8">
            <w:pPr>
              <w:pStyle w:val="ENoteTableText"/>
              <w:tabs>
                <w:tab w:val="center" w:leader="dot" w:pos="2268"/>
              </w:tabs>
            </w:pPr>
            <w:r>
              <w:t xml:space="preserve">am </w:t>
            </w:r>
            <w:r w:rsidRPr="004C0F4E">
              <w:t>F2018L00933</w:t>
            </w:r>
          </w:p>
        </w:tc>
      </w:tr>
      <w:tr w:rsidR="009B399D" w:rsidRPr="00253B88" w:rsidTr="002B7157">
        <w:tc>
          <w:tcPr>
            <w:tcW w:w="1516" w:type="pct"/>
            <w:tcBorders>
              <w:top w:val="nil"/>
              <w:bottom w:val="nil"/>
            </w:tcBorders>
            <w:shd w:val="clear" w:color="auto" w:fill="auto"/>
          </w:tcPr>
          <w:p w:rsidR="009B399D" w:rsidRDefault="009B399D" w:rsidP="006C36B8">
            <w:pPr>
              <w:pStyle w:val="ENoteTableText"/>
              <w:tabs>
                <w:tab w:val="center" w:leader="dot" w:pos="2268"/>
              </w:tabs>
            </w:pPr>
            <w:r>
              <w:t>s 10</w:t>
            </w:r>
            <w:r>
              <w:tab/>
            </w:r>
          </w:p>
        </w:tc>
        <w:tc>
          <w:tcPr>
            <w:tcW w:w="3484" w:type="pct"/>
            <w:tcBorders>
              <w:top w:val="nil"/>
              <w:bottom w:val="nil"/>
            </w:tcBorders>
            <w:shd w:val="clear" w:color="auto" w:fill="auto"/>
          </w:tcPr>
          <w:p w:rsidR="009B399D" w:rsidRDefault="009B399D" w:rsidP="006C36B8">
            <w:pPr>
              <w:pStyle w:val="ENoteTableText"/>
              <w:tabs>
                <w:tab w:val="center" w:leader="dot" w:pos="2268"/>
              </w:tabs>
            </w:pPr>
            <w:r>
              <w:t xml:space="preserve">am </w:t>
            </w:r>
            <w:r w:rsidRPr="004C0F4E">
              <w:t>F2018L00933</w:t>
            </w:r>
          </w:p>
        </w:tc>
      </w:tr>
      <w:tr w:rsidR="009B399D" w:rsidRPr="00253B88" w:rsidTr="002B7157">
        <w:tc>
          <w:tcPr>
            <w:tcW w:w="1516" w:type="pct"/>
            <w:tcBorders>
              <w:top w:val="nil"/>
              <w:bottom w:val="nil"/>
            </w:tcBorders>
            <w:shd w:val="clear" w:color="auto" w:fill="auto"/>
          </w:tcPr>
          <w:p w:rsidR="009B399D" w:rsidRPr="0063102E" w:rsidRDefault="009B399D" w:rsidP="006C36B8">
            <w:pPr>
              <w:pStyle w:val="ENoteTableText"/>
              <w:tabs>
                <w:tab w:val="center" w:leader="dot" w:pos="2268"/>
              </w:tabs>
              <w:rPr>
                <w:b/>
              </w:rPr>
            </w:pPr>
            <w:r w:rsidRPr="0063102E">
              <w:rPr>
                <w:b/>
              </w:rPr>
              <w:t>Part 3</w:t>
            </w:r>
          </w:p>
        </w:tc>
        <w:tc>
          <w:tcPr>
            <w:tcW w:w="3484" w:type="pct"/>
            <w:tcBorders>
              <w:top w:val="nil"/>
              <w:bottom w:val="nil"/>
            </w:tcBorders>
            <w:shd w:val="clear" w:color="auto" w:fill="auto"/>
          </w:tcPr>
          <w:p w:rsidR="009B399D" w:rsidRDefault="009B399D" w:rsidP="006C36B8">
            <w:pPr>
              <w:pStyle w:val="ENoteTableText"/>
              <w:tabs>
                <w:tab w:val="center" w:leader="dot" w:pos="2268"/>
              </w:tabs>
            </w:pPr>
          </w:p>
        </w:tc>
      </w:tr>
      <w:tr w:rsidR="009B399D" w:rsidRPr="00253B88" w:rsidTr="002B7157">
        <w:tc>
          <w:tcPr>
            <w:tcW w:w="1516" w:type="pct"/>
            <w:tcBorders>
              <w:top w:val="nil"/>
              <w:bottom w:val="nil"/>
            </w:tcBorders>
            <w:shd w:val="clear" w:color="auto" w:fill="auto"/>
          </w:tcPr>
          <w:p w:rsidR="009B399D" w:rsidRDefault="009B399D" w:rsidP="006C36B8">
            <w:pPr>
              <w:pStyle w:val="ENoteTableText"/>
              <w:tabs>
                <w:tab w:val="center" w:leader="dot" w:pos="2268"/>
              </w:tabs>
            </w:pPr>
            <w:r>
              <w:t>s 11</w:t>
            </w:r>
            <w:r>
              <w:tab/>
            </w:r>
          </w:p>
        </w:tc>
        <w:tc>
          <w:tcPr>
            <w:tcW w:w="3484" w:type="pct"/>
            <w:tcBorders>
              <w:top w:val="nil"/>
              <w:bottom w:val="nil"/>
            </w:tcBorders>
            <w:shd w:val="clear" w:color="auto" w:fill="auto"/>
          </w:tcPr>
          <w:p w:rsidR="009B399D" w:rsidRDefault="009B399D" w:rsidP="006C36B8">
            <w:pPr>
              <w:pStyle w:val="ENoteTableText"/>
              <w:tabs>
                <w:tab w:val="center" w:leader="dot" w:pos="2268"/>
              </w:tabs>
            </w:pPr>
            <w:r>
              <w:t xml:space="preserve">am </w:t>
            </w:r>
            <w:r w:rsidRPr="004C0F4E">
              <w:t>F2018L00933</w:t>
            </w:r>
          </w:p>
        </w:tc>
      </w:tr>
      <w:tr w:rsidR="009B399D" w:rsidRPr="00253B88" w:rsidTr="002B7157">
        <w:tc>
          <w:tcPr>
            <w:tcW w:w="1516" w:type="pct"/>
            <w:tcBorders>
              <w:top w:val="nil"/>
              <w:bottom w:val="nil"/>
            </w:tcBorders>
            <w:shd w:val="clear" w:color="auto" w:fill="auto"/>
          </w:tcPr>
          <w:p w:rsidR="009B399D" w:rsidRDefault="009B399D" w:rsidP="006C36B8">
            <w:pPr>
              <w:pStyle w:val="ENoteTableText"/>
              <w:tabs>
                <w:tab w:val="center" w:leader="dot" w:pos="2268"/>
              </w:tabs>
            </w:pPr>
            <w:r>
              <w:t>s 12</w:t>
            </w:r>
            <w:r>
              <w:tab/>
            </w:r>
          </w:p>
        </w:tc>
        <w:tc>
          <w:tcPr>
            <w:tcW w:w="3484" w:type="pct"/>
            <w:tcBorders>
              <w:top w:val="nil"/>
              <w:bottom w:val="nil"/>
            </w:tcBorders>
            <w:shd w:val="clear" w:color="auto" w:fill="auto"/>
          </w:tcPr>
          <w:p w:rsidR="009B399D" w:rsidRDefault="009B399D" w:rsidP="006C36B8">
            <w:pPr>
              <w:pStyle w:val="ENoteTableText"/>
              <w:tabs>
                <w:tab w:val="center" w:leader="dot" w:pos="2268"/>
              </w:tabs>
            </w:pPr>
            <w:r>
              <w:t xml:space="preserve">am </w:t>
            </w:r>
            <w:r w:rsidRPr="004C0F4E">
              <w:t>F2018L00933</w:t>
            </w:r>
          </w:p>
        </w:tc>
      </w:tr>
      <w:tr w:rsidR="009B399D" w:rsidRPr="00253B88" w:rsidTr="002B7157">
        <w:tc>
          <w:tcPr>
            <w:tcW w:w="1516" w:type="pct"/>
            <w:tcBorders>
              <w:top w:val="nil"/>
              <w:bottom w:val="nil"/>
            </w:tcBorders>
            <w:shd w:val="clear" w:color="auto" w:fill="auto"/>
          </w:tcPr>
          <w:p w:rsidR="009B399D" w:rsidRPr="0063102E" w:rsidRDefault="009B399D" w:rsidP="006C36B8">
            <w:pPr>
              <w:pStyle w:val="ENoteTableText"/>
              <w:tabs>
                <w:tab w:val="center" w:leader="dot" w:pos="2268"/>
              </w:tabs>
              <w:rPr>
                <w:b/>
              </w:rPr>
            </w:pPr>
            <w:r w:rsidRPr="0063102E">
              <w:rPr>
                <w:b/>
              </w:rPr>
              <w:t>Part 4</w:t>
            </w:r>
          </w:p>
        </w:tc>
        <w:tc>
          <w:tcPr>
            <w:tcW w:w="3484" w:type="pct"/>
            <w:tcBorders>
              <w:top w:val="nil"/>
              <w:bottom w:val="nil"/>
            </w:tcBorders>
            <w:shd w:val="clear" w:color="auto" w:fill="auto"/>
          </w:tcPr>
          <w:p w:rsidR="009B399D" w:rsidRDefault="009B399D" w:rsidP="006C36B8">
            <w:pPr>
              <w:pStyle w:val="ENoteTableText"/>
              <w:tabs>
                <w:tab w:val="center" w:leader="dot" w:pos="2268"/>
              </w:tabs>
            </w:pPr>
          </w:p>
        </w:tc>
      </w:tr>
      <w:tr w:rsidR="009B399D" w:rsidRPr="00253B88" w:rsidTr="002B7157">
        <w:tc>
          <w:tcPr>
            <w:tcW w:w="1516" w:type="pct"/>
            <w:tcBorders>
              <w:top w:val="nil"/>
              <w:bottom w:val="nil"/>
            </w:tcBorders>
            <w:shd w:val="clear" w:color="auto" w:fill="auto"/>
          </w:tcPr>
          <w:p w:rsidR="009B399D" w:rsidRDefault="009B399D" w:rsidP="006C36B8">
            <w:pPr>
              <w:pStyle w:val="ENoteTableText"/>
              <w:tabs>
                <w:tab w:val="center" w:leader="dot" w:pos="2268"/>
              </w:tabs>
            </w:pPr>
            <w:r>
              <w:t>s 17</w:t>
            </w:r>
            <w:r>
              <w:tab/>
            </w:r>
          </w:p>
        </w:tc>
        <w:tc>
          <w:tcPr>
            <w:tcW w:w="3484" w:type="pct"/>
            <w:tcBorders>
              <w:top w:val="nil"/>
              <w:bottom w:val="nil"/>
            </w:tcBorders>
            <w:shd w:val="clear" w:color="auto" w:fill="auto"/>
          </w:tcPr>
          <w:p w:rsidR="009B399D" w:rsidRPr="00D66C2A" w:rsidRDefault="009B399D" w:rsidP="0080470C">
            <w:pPr>
              <w:pStyle w:val="ENoteTableText"/>
              <w:tabs>
                <w:tab w:val="center" w:leader="dot" w:pos="2268"/>
              </w:tabs>
              <w:rPr>
                <w:u w:val="single"/>
              </w:rPr>
            </w:pPr>
            <w:r>
              <w:t xml:space="preserve">am </w:t>
            </w:r>
            <w:r w:rsidRPr="004C0F4E">
              <w:t>F2018L00933</w:t>
            </w:r>
            <w:r w:rsidR="00F10CB5">
              <w:t xml:space="preserve">; </w:t>
            </w:r>
            <w:r w:rsidR="00F10CB5" w:rsidRPr="00D66C2A">
              <w:t>F2018L01633</w:t>
            </w:r>
            <w:r w:rsidR="00321A30">
              <w:t>; F2020L01718</w:t>
            </w:r>
            <w:r w:rsidR="003706D3">
              <w:t>; F2021L01053</w:t>
            </w:r>
          </w:p>
        </w:tc>
      </w:tr>
      <w:tr w:rsidR="009B399D" w:rsidRPr="00253B88" w:rsidTr="002B7157">
        <w:tc>
          <w:tcPr>
            <w:tcW w:w="1516" w:type="pct"/>
            <w:tcBorders>
              <w:top w:val="nil"/>
              <w:bottom w:val="nil"/>
            </w:tcBorders>
            <w:shd w:val="clear" w:color="auto" w:fill="auto"/>
          </w:tcPr>
          <w:p w:rsidR="009B399D" w:rsidRDefault="009B399D" w:rsidP="006C36B8">
            <w:pPr>
              <w:pStyle w:val="ENoteTableText"/>
              <w:tabs>
                <w:tab w:val="center" w:leader="dot" w:pos="2268"/>
              </w:tabs>
            </w:pPr>
            <w:r>
              <w:t>s 18</w:t>
            </w:r>
            <w:r>
              <w:tab/>
            </w:r>
          </w:p>
        </w:tc>
        <w:tc>
          <w:tcPr>
            <w:tcW w:w="3484" w:type="pct"/>
            <w:tcBorders>
              <w:top w:val="nil"/>
              <w:bottom w:val="nil"/>
            </w:tcBorders>
            <w:shd w:val="clear" w:color="auto" w:fill="auto"/>
          </w:tcPr>
          <w:p w:rsidR="009B399D" w:rsidRDefault="009B399D" w:rsidP="0080470C">
            <w:pPr>
              <w:pStyle w:val="ENoteTableText"/>
              <w:tabs>
                <w:tab w:val="center" w:leader="dot" w:pos="2268"/>
              </w:tabs>
            </w:pPr>
            <w:r>
              <w:t xml:space="preserve">rs </w:t>
            </w:r>
            <w:r w:rsidRPr="004C0F4E">
              <w:t>F2018L00933</w:t>
            </w:r>
            <w:r w:rsidR="00D66C2A">
              <w:t xml:space="preserve">; </w:t>
            </w:r>
            <w:r w:rsidR="00D66C2A" w:rsidRPr="00D66C2A">
              <w:t>F2018L01633</w:t>
            </w:r>
          </w:p>
        </w:tc>
      </w:tr>
      <w:tr w:rsidR="003657CB" w:rsidRPr="00253B88" w:rsidTr="002B7157">
        <w:tc>
          <w:tcPr>
            <w:tcW w:w="1516" w:type="pct"/>
            <w:tcBorders>
              <w:top w:val="nil"/>
              <w:bottom w:val="nil"/>
            </w:tcBorders>
            <w:shd w:val="clear" w:color="auto" w:fill="auto"/>
          </w:tcPr>
          <w:p w:rsidR="003657CB" w:rsidRDefault="003657CB" w:rsidP="006C36B8">
            <w:pPr>
              <w:pStyle w:val="ENoteTableText"/>
              <w:tabs>
                <w:tab w:val="center" w:leader="dot" w:pos="2268"/>
              </w:tabs>
            </w:pPr>
          </w:p>
        </w:tc>
        <w:tc>
          <w:tcPr>
            <w:tcW w:w="3484" w:type="pct"/>
            <w:tcBorders>
              <w:top w:val="nil"/>
              <w:bottom w:val="nil"/>
            </w:tcBorders>
            <w:shd w:val="clear" w:color="auto" w:fill="auto"/>
          </w:tcPr>
          <w:p w:rsidR="003657CB" w:rsidRDefault="003657CB" w:rsidP="0080470C">
            <w:pPr>
              <w:pStyle w:val="ENoteTableText"/>
              <w:tabs>
                <w:tab w:val="center" w:leader="dot" w:pos="2268"/>
              </w:tabs>
            </w:pPr>
            <w:r>
              <w:t>am F2021L01053</w:t>
            </w:r>
          </w:p>
        </w:tc>
      </w:tr>
      <w:tr w:rsidR="000D2B25" w:rsidRPr="00253B88" w:rsidTr="002B7157">
        <w:tc>
          <w:tcPr>
            <w:tcW w:w="1516" w:type="pct"/>
            <w:tcBorders>
              <w:top w:val="nil"/>
              <w:bottom w:val="nil"/>
            </w:tcBorders>
            <w:shd w:val="clear" w:color="auto" w:fill="auto"/>
          </w:tcPr>
          <w:p w:rsidR="000D2B25" w:rsidRPr="000D2B25" w:rsidRDefault="000D2B25" w:rsidP="006C36B8">
            <w:pPr>
              <w:pStyle w:val="ENoteTableText"/>
              <w:tabs>
                <w:tab w:val="center" w:leader="dot" w:pos="2268"/>
              </w:tabs>
            </w:pPr>
            <w:r w:rsidRPr="000D2B25">
              <w:t>Part 5</w:t>
            </w:r>
            <w:r>
              <w:tab/>
            </w:r>
          </w:p>
        </w:tc>
        <w:tc>
          <w:tcPr>
            <w:tcW w:w="3484" w:type="pct"/>
            <w:tcBorders>
              <w:top w:val="nil"/>
              <w:bottom w:val="nil"/>
            </w:tcBorders>
            <w:shd w:val="clear" w:color="auto" w:fill="auto"/>
          </w:tcPr>
          <w:p w:rsidR="000D2B25" w:rsidRDefault="000D2B25" w:rsidP="0080470C">
            <w:pPr>
              <w:pStyle w:val="ENoteTableText"/>
              <w:tabs>
                <w:tab w:val="center" w:leader="dot" w:pos="2268"/>
              </w:tabs>
            </w:pPr>
            <w:r>
              <w:t>ad F2019L01030</w:t>
            </w:r>
          </w:p>
        </w:tc>
      </w:tr>
      <w:tr w:rsidR="00D037BD" w:rsidRPr="00253B88" w:rsidTr="002B7157">
        <w:tc>
          <w:tcPr>
            <w:tcW w:w="1516" w:type="pct"/>
            <w:tcBorders>
              <w:top w:val="nil"/>
              <w:bottom w:val="nil"/>
            </w:tcBorders>
            <w:shd w:val="clear" w:color="auto" w:fill="auto"/>
          </w:tcPr>
          <w:p w:rsidR="00D037BD" w:rsidRPr="000D2B25" w:rsidRDefault="00D037BD" w:rsidP="006C36B8">
            <w:pPr>
              <w:pStyle w:val="ENoteTableText"/>
              <w:tabs>
                <w:tab w:val="center" w:leader="dot" w:pos="2268"/>
              </w:tabs>
            </w:pPr>
          </w:p>
        </w:tc>
        <w:tc>
          <w:tcPr>
            <w:tcW w:w="3484" w:type="pct"/>
            <w:tcBorders>
              <w:top w:val="nil"/>
              <w:bottom w:val="nil"/>
            </w:tcBorders>
            <w:shd w:val="clear" w:color="auto" w:fill="auto"/>
          </w:tcPr>
          <w:p w:rsidR="00D037BD" w:rsidRPr="00593E44" w:rsidRDefault="00C74DFB" w:rsidP="004E5C01">
            <w:pPr>
              <w:pStyle w:val="ENoteTableText"/>
              <w:tabs>
                <w:tab w:val="center" w:leader="dot" w:pos="2268"/>
              </w:tabs>
            </w:pPr>
            <w:r w:rsidRPr="00593E44">
              <w:t xml:space="preserve">rep </w:t>
            </w:r>
            <w:r w:rsidRPr="00A41371">
              <w:t>1 Aug 2021 (s 21)</w:t>
            </w:r>
          </w:p>
        </w:tc>
      </w:tr>
      <w:tr w:rsidR="000D2B25" w:rsidRPr="00253B88" w:rsidTr="002B7157">
        <w:tc>
          <w:tcPr>
            <w:tcW w:w="1516" w:type="pct"/>
            <w:tcBorders>
              <w:top w:val="nil"/>
              <w:bottom w:val="nil"/>
            </w:tcBorders>
            <w:shd w:val="clear" w:color="auto" w:fill="auto"/>
          </w:tcPr>
          <w:p w:rsidR="000D2B25" w:rsidRPr="000D2B25" w:rsidRDefault="000D2B25" w:rsidP="006C36B8">
            <w:pPr>
              <w:pStyle w:val="ENoteTableText"/>
              <w:tabs>
                <w:tab w:val="center" w:leader="dot" w:pos="2268"/>
              </w:tabs>
            </w:pPr>
            <w:r>
              <w:t>s 19</w:t>
            </w:r>
            <w:r>
              <w:tab/>
            </w:r>
          </w:p>
        </w:tc>
        <w:tc>
          <w:tcPr>
            <w:tcW w:w="3484" w:type="pct"/>
            <w:tcBorders>
              <w:top w:val="nil"/>
              <w:bottom w:val="nil"/>
            </w:tcBorders>
            <w:shd w:val="clear" w:color="auto" w:fill="auto"/>
          </w:tcPr>
          <w:p w:rsidR="000D2B25" w:rsidRPr="00593E44" w:rsidRDefault="000D2B25" w:rsidP="0080470C">
            <w:pPr>
              <w:pStyle w:val="ENoteTableText"/>
              <w:tabs>
                <w:tab w:val="center" w:leader="dot" w:pos="2268"/>
              </w:tabs>
            </w:pPr>
            <w:r w:rsidRPr="00593E44">
              <w:t>ad F2019L01030</w:t>
            </w:r>
          </w:p>
        </w:tc>
      </w:tr>
      <w:tr w:rsidR="00321A30" w:rsidRPr="00253B88" w:rsidTr="002B7157">
        <w:tc>
          <w:tcPr>
            <w:tcW w:w="1516" w:type="pct"/>
            <w:tcBorders>
              <w:top w:val="nil"/>
              <w:bottom w:val="nil"/>
            </w:tcBorders>
            <w:shd w:val="clear" w:color="auto" w:fill="auto"/>
          </w:tcPr>
          <w:p w:rsidR="00321A30" w:rsidRDefault="00321A30" w:rsidP="006C36B8">
            <w:pPr>
              <w:pStyle w:val="ENoteTableText"/>
              <w:tabs>
                <w:tab w:val="center" w:leader="dot" w:pos="2268"/>
              </w:tabs>
            </w:pPr>
          </w:p>
        </w:tc>
        <w:tc>
          <w:tcPr>
            <w:tcW w:w="3484" w:type="pct"/>
            <w:tcBorders>
              <w:top w:val="nil"/>
              <w:bottom w:val="nil"/>
            </w:tcBorders>
            <w:shd w:val="clear" w:color="auto" w:fill="auto"/>
          </w:tcPr>
          <w:p w:rsidR="00321A30" w:rsidRPr="00593E44" w:rsidRDefault="00321A30" w:rsidP="0080470C">
            <w:pPr>
              <w:pStyle w:val="ENoteTableText"/>
              <w:tabs>
                <w:tab w:val="center" w:leader="dot" w:pos="2268"/>
              </w:tabs>
            </w:pPr>
            <w:r w:rsidRPr="00593E44">
              <w:t>am F2020L01718</w:t>
            </w:r>
          </w:p>
        </w:tc>
      </w:tr>
      <w:tr w:rsidR="00C74DFB" w:rsidRPr="00253B88" w:rsidTr="002B7157">
        <w:tc>
          <w:tcPr>
            <w:tcW w:w="1516" w:type="pct"/>
            <w:tcBorders>
              <w:top w:val="nil"/>
              <w:bottom w:val="nil"/>
            </w:tcBorders>
            <w:shd w:val="clear" w:color="auto" w:fill="auto"/>
          </w:tcPr>
          <w:p w:rsidR="00C74DFB" w:rsidRDefault="00C74DFB" w:rsidP="006C36B8">
            <w:pPr>
              <w:pStyle w:val="ENoteTableText"/>
              <w:tabs>
                <w:tab w:val="center" w:leader="dot" w:pos="2268"/>
              </w:tabs>
            </w:pPr>
          </w:p>
        </w:tc>
        <w:tc>
          <w:tcPr>
            <w:tcW w:w="3484" w:type="pct"/>
            <w:tcBorders>
              <w:top w:val="nil"/>
              <w:bottom w:val="nil"/>
            </w:tcBorders>
            <w:shd w:val="clear" w:color="auto" w:fill="auto"/>
          </w:tcPr>
          <w:p w:rsidR="00C74DFB" w:rsidRPr="00593E44" w:rsidRDefault="00C74DFB" w:rsidP="0080470C">
            <w:pPr>
              <w:pStyle w:val="ENoteTableText"/>
              <w:tabs>
                <w:tab w:val="center" w:leader="dot" w:pos="2268"/>
              </w:tabs>
            </w:pPr>
            <w:r w:rsidRPr="00593E44">
              <w:t xml:space="preserve">rep </w:t>
            </w:r>
            <w:r w:rsidRPr="00A41371">
              <w:t>1 Aug 2021 (s 21)</w:t>
            </w:r>
          </w:p>
        </w:tc>
      </w:tr>
      <w:tr w:rsidR="00321A30" w:rsidRPr="00253B88" w:rsidTr="002B7157">
        <w:tc>
          <w:tcPr>
            <w:tcW w:w="1516" w:type="pct"/>
            <w:tcBorders>
              <w:top w:val="nil"/>
              <w:bottom w:val="nil"/>
            </w:tcBorders>
            <w:shd w:val="clear" w:color="auto" w:fill="auto"/>
          </w:tcPr>
          <w:p w:rsidR="00321A30" w:rsidRDefault="00321A30" w:rsidP="006C36B8">
            <w:pPr>
              <w:pStyle w:val="ENoteTableText"/>
              <w:tabs>
                <w:tab w:val="center" w:leader="dot" w:pos="2268"/>
              </w:tabs>
            </w:pPr>
            <w:r>
              <w:t>s 20</w:t>
            </w:r>
            <w:r>
              <w:tab/>
            </w:r>
          </w:p>
        </w:tc>
        <w:tc>
          <w:tcPr>
            <w:tcW w:w="3484" w:type="pct"/>
            <w:tcBorders>
              <w:top w:val="nil"/>
              <w:bottom w:val="nil"/>
            </w:tcBorders>
            <w:shd w:val="clear" w:color="auto" w:fill="auto"/>
          </w:tcPr>
          <w:p w:rsidR="00321A30" w:rsidRPr="00593E44" w:rsidRDefault="00321A30" w:rsidP="0080470C">
            <w:pPr>
              <w:pStyle w:val="ENoteTableText"/>
              <w:tabs>
                <w:tab w:val="center" w:leader="dot" w:pos="2268"/>
              </w:tabs>
            </w:pPr>
            <w:r w:rsidRPr="00593E44">
              <w:t>ad F2020L01718</w:t>
            </w:r>
          </w:p>
        </w:tc>
      </w:tr>
      <w:tr w:rsidR="00C74DFB" w:rsidRPr="00253B88" w:rsidTr="002B7157">
        <w:tc>
          <w:tcPr>
            <w:tcW w:w="1516" w:type="pct"/>
            <w:tcBorders>
              <w:top w:val="nil"/>
              <w:bottom w:val="nil"/>
            </w:tcBorders>
            <w:shd w:val="clear" w:color="auto" w:fill="auto"/>
          </w:tcPr>
          <w:p w:rsidR="00C74DFB" w:rsidRDefault="00C74DFB" w:rsidP="006C36B8">
            <w:pPr>
              <w:pStyle w:val="ENoteTableText"/>
              <w:tabs>
                <w:tab w:val="center" w:leader="dot" w:pos="2268"/>
              </w:tabs>
            </w:pPr>
          </w:p>
        </w:tc>
        <w:tc>
          <w:tcPr>
            <w:tcW w:w="3484" w:type="pct"/>
            <w:tcBorders>
              <w:top w:val="nil"/>
              <w:bottom w:val="nil"/>
            </w:tcBorders>
            <w:shd w:val="clear" w:color="auto" w:fill="auto"/>
          </w:tcPr>
          <w:p w:rsidR="00C74DFB" w:rsidRPr="00593E44" w:rsidRDefault="00C74DFB" w:rsidP="0080470C">
            <w:pPr>
              <w:pStyle w:val="ENoteTableText"/>
              <w:tabs>
                <w:tab w:val="center" w:leader="dot" w:pos="2268"/>
              </w:tabs>
            </w:pPr>
            <w:r w:rsidRPr="00593E44">
              <w:t xml:space="preserve">rep </w:t>
            </w:r>
            <w:r w:rsidRPr="00A41371">
              <w:t>1 Aug 2021 (s 21)</w:t>
            </w:r>
          </w:p>
        </w:tc>
      </w:tr>
      <w:tr w:rsidR="00FF462A" w:rsidRPr="00253B88" w:rsidTr="002B7157">
        <w:tc>
          <w:tcPr>
            <w:tcW w:w="1516" w:type="pct"/>
            <w:tcBorders>
              <w:top w:val="nil"/>
              <w:bottom w:val="nil"/>
            </w:tcBorders>
            <w:shd w:val="clear" w:color="auto" w:fill="auto"/>
          </w:tcPr>
          <w:p w:rsidR="00FF462A" w:rsidRDefault="00FF462A" w:rsidP="006C36B8">
            <w:pPr>
              <w:pStyle w:val="ENoteTableText"/>
              <w:tabs>
                <w:tab w:val="center" w:leader="dot" w:pos="2268"/>
              </w:tabs>
            </w:pPr>
            <w:r>
              <w:t>s 21</w:t>
            </w:r>
            <w:r>
              <w:tab/>
            </w:r>
          </w:p>
        </w:tc>
        <w:tc>
          <w:tcPr>
            <w:tcW w:w="3484" w:type="pct"/>
            <w:tcBorders>
              <w:top w:val="nil"/>
              <w:bottom w:val="nil"/>
            </w:tcBorders>
            <w:shd w:val="clear" w:color="auto" w:fill="auto"/>
          </w:tcPr>
          <w:p w:rsidR="00FF462A" w:rsidRPr="00593E44" w:rsidRDefault="00FF462A" w:rsidP="0080470C">
            <w:pPr>
              <w:pStyle w:val="ENoteTableText"/>
              <w:tabs>
                <w:tab w:val="center" w:leader="dot" w:pos="2268"/>
              </w:tabs>
            </w:pPr>
            <w:r w:rsidRPr="00593E44">
              <w:t>ad F2020L01718</w:t>
            </w:r>
          </w:p>
        </w:tc>
      </w:tr>
      <w:tr w:rsidR="00611FB6" w:rsidRPr="00253B88" w:rsidTr="002B7157">
        <w:tc>
          <w:tcPr>
            <w:tcW w:w="1516" w:type="pct"/>
            <w:tcBorders>
              <w:top w:val="nil"/>
              <w:bottom w:val="nil"/>
            </w:tcBorders>
            <w:shd w:val="clear" w:color="auto" w:fill="auto"/>
          </w:tcPr>
          <w:p w:rsidR="00611FB6" w:rsidRDefault="00611FB6" w:rsidP="006C36B8">
            <w:pPr>
              <w:pStyle w:val="ENoteTableText"/>
              <w:tabs>
                <w:tab w:val="center" w:leader="dot" w:pos="2268"/>
              </w:tabs>
            </w:pPr>
          </w:p>
        </w:tc>
        <w:tc>
          <w:tcPr>
            <w:tcW w:w="3484" w:type="pct"/>
            <w:tcBorders>
              <w:top w:val="nil"/>
              <w:bottom w:val="nil"/>
            </w:tcBorders>
            <w:shd w:val="clear" w:color="auto" w:fill="auto"/>
          </w:tcPr>
          <w:p w:rsidR="00611FB6" w:rsidRPr="00593E44" w:rsidRDefault="00611FB6" w:rsidP="00C74DFB">
            <w:pPr>
              <w:pStyle w:val="ENoteTableText"/>
              <w:tabs>
                <w:tab w:val="center" w:leader="dot" w:pos="2268"/>
              </w:tabs>
            </w:pPr>
            <w:r w:rsidRPr="00593E44">
              <w:t xml:space="preserve">rep </w:t>
            </w:r>
            <w:r w:rsidRPr="00A41371">
              <w:t>1 Aug 2021 (s 21)</w:t>
            </w:r>
          </w:p>
        </w:tc>
      </w:tr>
      <w:tr w:rsidR="00FF462A" w:rsidRPr="00253B88" w:rsidTr="002B7157">
        <w:tc>
          <w:tcPr>
            <w:tcW w:w="1516" w:type="pct"/>
            <w:tcBorders>
              <w:top w:val="nil"/>
              <w:bottom w:val="nil"/>
            </w:tcBorders>
            <w:shd w:val="clear" w:color="auto" w:fill="auto"/>
          </w:tcPr>
          <w:p w:rsidR="00FF462A" w:rsidRPr="0063102E" w:rsidRDefault="00FF462A" w:rsidP="006C36B8">
            <w:pPr>
              <w:pStyle w:val="ENoteTableText"/>
              <w:tabs>
                <w:tab w:val="center" w:leader="dot" w:pos="2268"/>
              </w:tabs>
              <w:rPr>
                <w:b/>
              </w:rPr>
            </w:pPr>
            <w:r w:rsidRPr="0063102E">
              <w:rPr>
                <w:b/>
              </w:rPr>
              <w:t>Schedule 1</w:t>
            </w:r>
          </w:p>
        </w:tc>
        <w:tc>
          <w:tcPr>
            <w:tcW w:w="3484" w:type="pct"/>
            <w:tcBorders>
              <w:top w:val="nil"/>
              <w:bottom w:val="nil"/>
            </w:tcBorders>
            <w:shd w:val="clear" w:color="auto" w:fill="auto"/>
          </w:tcPr>
          <w:p w:rsidR="00FF462A" w:rsidRPr="00593E44" w:rsidRDefault="00FF462A" w:rsidP="006C36B8">
            <w:pPr>
              <w:pStyle w:val="ENoteTableText"/>
              <w:tabs>
                <w:tab w:val="center" w:leader="dot" w:pos="2268"/>
              </w:tabs>
            </w:pPr>
          </w:p>
        </w:tc>
      </w:tr>
      <w:tr w:rsidR="00FF462A" w:rsidRPr="00253B88" w:rsidTr="002B7157">
        <w:tc>
          <w:tcPr>
            <w:tcW w:w="1516" w:type="pct"/>
            <w:tcBorders>
              <w:top w:val="nil"/>
              <w:bottom w:val="nil"/>
            </w:tcBorders>
            <w:shd w:val="clear" w:color="auto" w:fill="auto"/>
          </w:tcPr>
          <w:p w:rsidR="00FF462A" w:rsidRDefault="00FF462A" w:rsidP="006C36B8">
            <w:pPr>
              <w:pStyle w:val="ENoteTableText"/>
              <w:tabs>
                <w:tab w:val="center" w:leader="dot" w:pos="2268"/>
              </w:tabs>
            </w:pPr>
            <w:r>
              <w:t>Schedule 1</w:t>
            </w:r>
            <w:r>
              <w:tab/>
            </w:r>
          </w:p>
        </w:tc>
        <w:tc>
          <w:tcPr>
            <w:tcW w:w="3484" w:type="pct"/>
            <w:tcBorders>
              <w:top w:val="nil"/>
              <w:bottom w:val="nil"/>
            </w:tcBorders>
            <w:shd w:val="clear" w:color="auto" w:fill="auto"/>
          </w:tcPr>
          <w:p w:rsidR="00FF462A" w:rsidRPr="00593E44" w:rsidRDefault="00FF462A" w:rsidP="006C36B8">
            <w:pPr>
              <w:pStyle w:val="ENoteTableText"/>
              <w:tabs>
                <w:tab w:val="center" w:leader="dot" w:pos="2268"/>
              </w:tabs>
            </w:pPr>
            <w:r w:rsidRPr="00593E44">
              <w:t>rs F2018L00933</w:t>
            </w:r>
          </w:p>
        </w:tc>
      </w:tr>
      <w:tr w:rsidR="00FF462A" w:rsidRPr="00253B88" w:rsidTr="002B7157">
        <w:tc>
          <w:tcPr>
            <w:tcW w:w="1516" w:type="pct"/>
            <w:tcBorders>
              <w:top w:val="nil"/>
              <w:bottom w:val="nil"/>
            </w:tcBorders>
            <w:shd w:val="clear" w:color="auto" w:fill="auto"/>
          </w:tcPr>
          <w:p w:rsidR="00FF462A" w:rsidRDefault="00FF462A" w:rsidP="006C36B8">
            <w:pPr>
              <w:pStyle w:val="ENoteTableText"/>
              <w:tabs>
                <w:tab w:val="center" w:leader="dot" w:pos="2268"/>
              </w:tabs>
            </w:pPr>
          </w:p>
        </w:tc>
        <w:tc>
          <w:tcPr>
            <w:tcW w:w="3484" w:type="pct"/>
            <w:tcBorders>
              <w:top w:val="nil"/>
              <w:bottom w:val="nil"/>
            </w:tcBorders>
            <w:shd w:val="clear" w:color="auto" w:fill="auto"/>
          </w:tcPr>
          <w:p w:rsidR="00FF462A" w:rsidRPr="00EB09EF" w:rsidRDefault="00FF462A" w:rsidP="0080470C">
            <w:pPr>
              <w:pStyle w:val="ENoteTableText"/>
              <w:tabs>
                <w:tab w:val="center" w:leader="dot" w:pos="2268"/>
              </w:tabs>
              <w:rPr>
                <w:u w:val="single"/>
              </w:rPr>
            </w:pPr>
            <w:r w:rsidRPr="00593E44">
              <w:t>am F2018L01633; F2019L01278</w:t>
            </w:r>
            <w:r w:rsidR="003C251E">
              <w:t>; F2021L01053</w:t>
            </w:r>
            <w:r w:rsidR="00EB09EF">
              <w:t xml:space="preserve"> </w:t>
            </w:r>
            <w:r w:rsidR="00EB09EF">
              <w:rPr>
                <w:u w:val="single"/>
              </w:rPr>
              <w:t>(</w:t>
            </w:r>
            <w:r w:rsidR="00167153">
              <w:rPr>
                <w:u w:val="single"/>
              </w:rPr>
              <w:t xml:space="preserve">Sch 1 </w:t>
            </w:r>
            <w:r w:rsidR="00EB09EF">
              <w:rPr>
                <w:u w:val="single"/>
              </w:rPr>
              <w:t>item</w:t>
            </w:r>
            <w:r w:rsidR="00E90098">
              <w:rPr>
                <w:u w:val="single"/>
              </w:rPr>
              <w:t>s</w:t>
            </w:r>
            <w:r w:rsidR="00EB09EF">
              <w:rPr>
                <w:u w:val="single"/>
              </w:rPr>
              <w:t> 17, 18)</w:t>
            </w:r>
          </w:p>
        </w:tc>
      </w:tr>
      <w:tr w:rsidR="00FF462A" w:rsidRPr="00557253" w:rsidTr="002B7157">
        <w:tc>
          <w:tcPr>
            <w:tcW w:w="1516" w:type="pct"/>
            <w:tcBorders>
              <w:top w:val="nil"/>
              <w:bottom w:val="nil"/>
            </w:tcBorders>
            <w:shd w:val="clear" w:color="auto" w:fill="auto"/>
          </w:tcPr>
          <w:p w:rsidR="00FF462A" w:rsidRPr="00557253" w:rsidRDefault="00FF462A" w:rsidP="006C36B8">
            <w:pPr>
              <w:pStyle w:val="ENoteTableText"/>
              <w:tabs>
                <w:tab w:val="center" w:leader="dot" w:pos="2268"/>
              </w:tabs>
            </w:pPr>
            <w:r>
              <w:t>Schedule 2</w:t>
            </w:r>
            <w:r>
              <w:tab/>
            </w:r>
          </w:p>
        </w:tc>
        <w:tc>
          <w:tcPr>
            <w:tcW w:w="3484" w:type="pct"/>
            <w:tcBorders>
              <w:top w:val="nil"/>
              <w:bottom w:val="nil"/>
            </w:tcBorders>
            <w:shd w:val="clear" w:color="auto" w:fill="auto"/>
          </w:tcPr>
          <w:p w:rsidR="00FF462A" w:rsidRPr="00593E44" w:rsidRDefault="00FF462A" w:rsidP="002D0D4B">
            <w:pPr>
              <w:pStyle w:val="ENoteTableText"/>
            </w:pPr>
            <w:r w:rsidRPr="00593E44">
              <w:t>am F2018L00933</w:t>
            </w:r>
          </w:p>
        </w:tc>
      </w:tr>
      <w:tr w:rsidR="00FF462A" w:rsidRPr="00557253" w:rsidTr="002B7157">
        <w:trPr>
          <w:trHeight w:val="321"/>
        </w:trPr>
        <w:tc>
          <w:tcPr>
            <w:tcW w:w="1516" w:type="pct"/>
            <w:tcBorders>
              <w:top w:val="nil"/>
              <w:bottom w:val="single" w:sz="12" w:space="0" w:color="auto"/>
            </w:tcBorders>
            <w:shd w:val="clear" w:color="auto" w:fill="auto"/>
          </w:tcPr>
          <w:p w:rsidR="00FF462A" w:rsidRDefault="00FF462A" w:rsidP="006C36B8">
            <w:pPr>
              <w:pStyle w:val="ENoteTableText"/>
              <w:tabs>
                <w:tab w:val="center" w:leader="dot" w:pos="2268"/>
              </w:tabs>
            </w:pPr>
          </w:p>
        </w:tc>
        <w:tc>
          <w:tcPr>
            <w:tcW w:w="3484" w:type="pct"/>
            <w:tcBorders>
              <w:top w:val="nil"/>
              <w:bottom w:val="single" w:sz="12" w:space="0" w:color="auto"/>
            </w:tcBorders>
            <w:shd w:val="clear" w:color="auto" w:fill="auto"/>
          </w:tcPr>
          <w:p w:rsidR="00FF462A" w:rsidRPr="00593E44" w:rsidRDefault="00FF462A" w:rsidP="002D0D4B">
            <w:pPr>
              <w:pStyle w:val="ENoteTableText"/>
            </w:pPr>
            <w:r w:rsidRPr="00593E44">
              <w:t>rep F2018L00933</w:t>
            </w:r>
          </w:p>
        </w:tc>
      </w:tr>
    </w:tbl>
    <w:p w:rsidR="002F1C9A" w:rsidRDefault="002F1C9A" w:rsidP="00E72400">
      <w:pPr>
        <w:sectPr w:rsidR="002F1C9A" w:rsidSect="000E0B4E">
          <w:headerReference w:type="even" r:id="rId22"/>
          <w:headerReference w:type="default" r:id="rId23"/>
          <w:footerReference w:type="even" r:id="rId24"/>
          <w:footerReference w:type="default" r:id="rId25"/>
          <w:pgSz w:w="11907" w:h="16839" w:code="9"/>
          <w:pgMar w:top="2325" w:right="1797" w:bottom="1440" w:left="1797" w:header="720" w:footer="709" w:gutter="0"/>
          <w:cols w:space="708"/>
          <w:docGrid w:linePitch="360"/>
        </w:sectPr>
      </w:pPr>
    </w:p>
    <w:p w:rsidR="007177E0" w:rsidRPr="00152412" w:rsidRDefault="007177E0" w:rsidP="002F1C9A"/>
    <w:sectPr w:rsidR="007177E0" w:rsidRPr="00152412" w:rsidSect="000E0B4E">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37A" w:rsidRDefault="004E037A" w:rsidP="00715914">
      <w:pPr>
        <w:spacing w:line="240" w:lineRule="auto"/>
      </w:pPr>
      <w:r>
        <w:separator/>
      </w:r>
    </w:p>
  </w:endnote>
  <w:endnote w:type="continuationSeparator" w:id="0">
    <w:p w:rsidR="004E037A" w:rsidRDefault="004E037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Default="004E037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E33C1C" w:rsidRDefault="004E037A"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E037A" w:rsidTr="002B7157">
      <w:tc>
        <w:tcPr>
          <w:tcW w:w="817" w:type="pct"/>
          <w:tcBorders>
            <w:top w:val="nil"/>
            <w:left w:val="nil"/>
            <w:bottom w:val="nil"/>
            <w:right w:val="nil"/>
          </w:tcBorders>
        </w:tcPr>
        <w:p w:rsidR="004E037A" w:rsidRDefault="004E037A" w:rsidP="00E72400">
          <w:pPr>
            <w:spacing w:line="0" w:lineRule="atLeast"/>
            <w:rPr>
              <w:sz w:val="18"/>
            </w:rPr>
          </w:pPr>
        </w:p>
      </w:tc>
      <w:tc>
        <w:tcPr>
          <w:tcW w:w="3765" w:type="pct"/>
          <w:tcBorders>
            <w:top w:val="nil"/>
            <w:left w:val="nil"/>
            <w:bottom w:val="nil"/>
            <w:right w:val="nil"/>
          </w:tcBorders>
        </w:tcPr>
        <w:p w:rsidR="004E037A" w:rsidRDefault="004E037A" w:rsidP="00E724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2E2">
            <w:rPr>
              <w:i/>
              <w:sz w:val="18"/>
            </w:rPr>
            <w:t>Health Insurance (Accredited Pathology Laboratories—Approval) Principles 2017</w:t>
          </w:r>
          <w:r w:rsidRPr="007A1328">
            <w:rPr>
              <w:i/>
              <w:sz w:val="18"/>
            </w:rPr>
            <w:fldChar w:fldCharType="end"/>
          </w:r>
        </w:p>
      </w:tc>
      <w:tc>
        <w:tcPr>
          <w:tcW w:w="418" w:type="pct"/>
          <w:tcBorders>
            <w:top w:val="nil"/>
            <w:left w:val="nil"/>
            <w:bottom w:val="nil"/>
            <w:right w:val="nil"/>
          </w:tcBorders>
        </w:tcPr>
        <w:p w:rsidR="004E037A" w:rsidRDefault="004E037A" w:rsidP="00E724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r>
  </w:tbl>
  <w:p w:rsidR="004E037A" w:rsidRPr="00ED79B6" w:rsidRDefault="004E03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Default="004E037A" w:rsidP="00827B6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ED79B6" w:rsidRDefault="004E037A" w:rsidP="00827B6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7B3B51" w:rsidRDefault="004E037A" w:rsidP="00827B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285"/>
      <w:gridCol w:w="5347"/>
      <w:gridCol w:w="288"/>
      <w:gridCol w:w="1446"/>
    </w:tblGrid>
    <w:tr w:rsidR="004E037A" w:rsidRPr="007B3B51" w:rsidTr="002B7157">
      <w:tc>
        <w:tcPr>
          <w:tcW w:w="681" w:type="pct"/>
        </w:tcPr>
        <w:p w:rsidR="004E037A" w:rsidRPr="007B3B51" w:rsidRDefault="004E037A" w:rsidP="00827B65">
          <w:pPr>
            <w:rPr>
              <w:i/>
              <w:sz w:val="16"/>
              <w:szCs w:val="16"/>
            </w:rPr>
          </w:pPr>
        </w:p>
      </w:tc>
      <w:tc>
        <w:tcPr>
          <w:tcW w:w="3471" w:type="pct"/>
          <w:gridSpan w:val="3"/>
        </w:tcPr>
        <w:p w:rsidR="004E037A" w:rsidRPr="007B3B51" w:rsidRDefault="004E037A" w:rsidP="00827B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0B4E">
            <w:rPr>
              <w:i/>
              <w:noProof/>
              <w:sz w:val="16"/>
              <w:szCs w:val="16"/>
            </w:rPr>
            <w:t>Health Insurance (Accredited Pathology Laboratories—Approval) Principles 2017</w:t>
          </w:r>
          <w:r w:rsidRPr="007B3B51">
            <w:rPr>
              <w:i/>
              <w:sz w:val="16"/>
              <w:szCs w:val="16"/>
            </w:rPr>
            <w:fldChar w:fldCharType="end"/>
          </w:r>
        </w:p>
      </w:tc>
      <w:tc>
        <w:tcPr>
          <w:tcW w:w="848" w:type="pct"/>
        </w:tcPr>
        <w:p w:rsidR="004E037A" w:rsidRPr="007B3B51" w:rsidRDefault="004E037A" w:rsidP="00827B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E037A" w:rsidRPr="00130F37" w:rsidTr="002B7157">
      <w:tc>
        <w:tcPr>
          <w:tcW w:w="848" w:type="pct"/>
          <w:gridSpan w:val="2"/>
        </w:tcPr>
        <w:p w:rsidR="004E037A" w:rsidRPr="00130F37" w:rsidRDefault="004E037A" w:rsidP="00827B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22E2">
            <w:rPr>
              <w:sz w:val="16"/>
              <w:szCs w:val="16"/>
            </w:rPr>
            <w:t>6</w:t>
          </w:r>
          <w:r w:rsidRPr="00130F37">
            <w:rPr>
              <w:sz w:val="16"/>
              <w:szCs w:val="16"/>
            </w:rPr>
            <w:fldChar w:fldCharType="end"/>
          </w:r>
        </w:p>
      </w:tc>
      <w:tc>
        <w:tcPr>
          <w:tcW w:w="3135" w:type="pct"/>
        </w:tcPr>
        <w:p w:rsidR="004E037A" w:rsidRPr="00130F37" w:rsidRDefault="004E037A" w:rsidP="00827B6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322E2">
            <w:rPr>
              <w:sz w:val="16"/>
              <w:szCs w:val="16"/>
            </w:rPr>
            <w:t>01/08/2021</w:t>
          </w:r>
          <w:r w:rsidRPr="00130F37">
            <w:rPr>
              <w:sz w:val="16"/>
              <w:szCs w:val="16"/>
            </w:rPr>
            <w:fldChar w:fldCharType="end"/>
          </w:r>
        </w:p>
      </w:tc>
      <w:tc>
        <w:tcPr>
          <w:tcW w:w="1017" w:type="pct"/>
          <w:gridSpan w:val="2"/>
        </w:tcPr>
        <w:p w:rsidR="004E037A" w:rsidRPr="00130F37" w:rsidRDefault="004E037A" w:rsidP="00827B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22E2">
            <w:rPr>
              <w:sz w:val="16"/>
              <w:szCs w:val="16"/>
            </w:rPr>
            <w:instrText>24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322E2">
            <w:rPr>
              <w:sz w:val="16"/>
              <w:szCs w:val="16"/>
            </w:rPr>
            <w:instrText>24/08/2021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22E2">
            <w:rPr>
              <w:noProof/>
              <w:sz w:val="16"/>
              <w:szCs w:val="16"/>
            </w:rPr>
            <w:t>24/08/2021</w:t>
          </w:r>
          <w:r w:rsidRPr="00130F37">
            <w:rPr>
              <w:sz w:val="16"/>
              <w:szCs w:val="16"/>
            </w:rPr>
            <w:fldChar w:fldCharType="end"/>
          </w:r>
        </w:p>
      </w:tc>
    </w:tr>
  </w:tbl>
  <w:p w:rsidR="004E037A" w:rsidRPr="003419BA" w:rsidRDefault="004E037A" w:rsidP="003419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7B3B51" w:rsidRDefault="004E037A" w:rsidP="00827B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285"/>
      <w:gridCol w:w="5347"/>
      <w:gridCol w:w="288"/>
      <w:gridCol w:w="1446"/>
    </w:tblGrid>
    <w:tr w:rsidR="004E037A" w:rsidRPr="007B3B51" w:rsidTr="002B7157">
      <w:tc>
        <w:tcPr>
          <w:tcW w:w="681" w:type="pct"/>
        </w:tcPr>
        <w:p w:rsidR="004E037A" w:rsidRPr="007B3B51" w:rsidRDefault="004E037A" w:rsidP="00827B6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c>
        <w:tcPr>
          <w:tcW w:w="3471" w:type="pct"/>
          <w:gridSpan w:val="3"/>
        </w:tcPr>
        <w:p w:rsidR="004E037A" w:rsidRPr="007B3B51" w:rsidRDefault="004E037A" w:rsidP="00827B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0B4E">
            <w:rPr>
              <w:i/>
              <w:noProof/>
              <w:sz w:val="16"/>
              <w:szCs w:val="16"/>
            </w:rPr>
            <w:t>Health Insurance (Accredited Pathology Laboratories—Approval) Principles 2017</w:t>
          </w:r>
          <w:r w:rsidRPr="007B3B51">
            <w:rPr>
              <w:i/>
              <w:sz w:val="16"/>
              <w:szCs w:val="16"/>
            </w:rPr>
            <w:fldChar w:fldCharType="end"/>
          </w:r>
        </w:p>
      </w:tc>
      <w:tc>
        <w:tcPr>
          <w:tcW w:w="848" w:type="pct"/>
        </w:tcPr>
        <w:p w:rsidR="004E037A" w:rsidRPr="007B3B51" w:rsidRDefault="004E037A" w:rsidP="00827B65">
          <w:pPr>
            <w:jc w:val="right"/>
            <w:rPr>
              <w:sz w:val="16"/>
              <w:szCs w:val="16"/>
            </w:rPr>
          </w:pPr>
        </w:p>
      </w:tc>
    </w:tr>
    <w:tr w:rsidR="004E037A" w:rsidRPr="0055472E" w:rsidTr="002B7157">
      <w:tc>
        <w:tcPr>
          <w:tcW w:w="848" w:type="pct"/>
          <w:gridSpan w:val="2"/>
        </w:tcPr>
        <w:p w:rsidR="004E037A" w:rsidRPr="0055472E" w:rsidRDefault="004E037A" w:rsidP="00827B6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22E2">
            <w:rPr>
              <w:sz w:val="16"/>
              <w:szCs w:val="16"/>
            </w:rPr>
            <w:t>6</w:t>
          </w:r>
          <w:r w:rsidRPr="0055472E">
            <w:rPr>
              <w:sz w:val="16"/>
              <w:szCs w:val="16"/>
            </w:rPr>
            <w:fldChar w:fldCharType="end"/>
          </w:r>
        </w:p>
      </w:tc>
      <w:tc>
        <w:tcPr>
          <w:tcW w:w="3135" w:type="pct"/>
        </w:tcPr>
        <w:p w:rsidR="004E037A" w:rsidRPr="0055472E" w:rsidRDefault="004E037A" w:rsidP="00827B6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322E2">
            <w:rPr>
              <w:sz w:val="16"/>
              <w:szCs w:val="16"/>
            </w:rPr>
            <w:t>01/08/2021</w:t>
          </w:r>
          <w:r w:rsidRPr="0055472E">
            <w:rPr>
              <w:sz w:val="16"/>
              <w:szCs w:val="16"/>
            </w:rPr>
            <w:fldChar w:fldCharType="end"/>
          </w:r>
        </w:p>
      </w:tc>
      <w:tc>
        <w:tcPr>
          <w:tcW w:w="1017" w:type="pct"/>
          <w:gridSpan w:val="2"/>
        </w:tcPr>
        <w:p w:rsidR="004E037A" w:rsidRPr="0055472E" w:rsidRDefault="004E037A" w:rsidP="00827B6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22E2">
            <w:rPr>
              <w:sz w:val="16"/>
              <w:szCs w:val="16"/>
            </w:rPr>
            <w:instrText>24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322E2">
            <w:rPr>
              <w:sz w:val="16"/>
              <w:szCs w:val="16"/>
            </w:rPr>
            <w:instrText>24/08/2021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22E2">
            <w:rPr>
              <w:noProof/>
              <w:sz w:val="16"/>
              <w:szCs w:val="16"/>
            </w:rPr>
            <w:t>24/08/2021</w:t>
          </w:r>
          <w:r w:rsidRPr="0055472E">
            <w:rPr>
              <w:sz w:val="16"/>
              <w:szCs w:val="16"/>
            </w:rPr>
            <w:fldChar w:fldCharType="end"/>
          </w:r>
        </w:p>
      </w:tc>
    </w:tr>
  </w:tbl>
  <w:p w:rsidR="004E037A" w:rsidRPr="003419BA" w:rsidRDefault="004E037A" w:rsidP="003419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7B3B51" w:rsidRDefault="004E037A" w:rsidP="00827B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E037A" w:rsidRPr="007B3B51" w:rsidTr="002B7157">
      <w:tc>
        <w:tcPr>
          <w:tcW w:w="681" w:type="pct"/>
        </w:tcPr>
        <w:p w:rsidR="004E037A" w:rsidRPr="007B3B51" w:rsidRDefault="004E037A" w:rsidP="00827B6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c>
        <w:tcPr>
          <w:tcW w:w="3471" w:type="pct"/>
          <w:gridSpan w:val="3"/>
        </w:tcPr>
        <w:p w:rsidR="004E037A" w:rsidRPr="007B3B51" w:rsidRDefault="004E037A" w:rsidP="00827B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0B4E">
            <w:rPr>
              <w:i/>
              <w:noProof/>
              <w:sz w:val="16"/>
              <w:szCs w:val="16"/>
            </w:rPr>
            <w:t>Health Insurance (Accredited Pathology Laboratories—Approval) Principles 2017</w:t>
          </w:r>
          <w:r w:rsidRPr="007B3B51">
            <w:rPr>
              <w:i/>
              <w:sz w:val="16"/>
              <w:szCs w:val="16"/>
            </w:rPr>
            <w:fldChar w:fldCharType="end"/>
          </w:r>
        </w:p>
      </w:tc>
      <w:tc>
        <w:tcPr>
          <w:tcW w:w="848" w:type="pct"/>
        </w:tcPr>
        <w:p w:rsidR="004E037A" w:rsidRPr="007B3B51" w:rsidRDefault="004E037A" w:rsidP="00827B65">
          <w:pPr>
            <w:jc w:val="right"/>
            <w:rPr>
              <w:sz w:val="16"/>
              <w:szCs w:val="16"/>
            </w:rPr>
          </w:pPr>
        </w:p>
      </w:tc>
    </w:tr>
    <w:tr w:rsidR="004E037A" w:rsidRPr="0055472E" w:rsidTr="002B7157">
      <w:tc>
        <w:tcPr>
          <w:tcW w:w="848" w:type="pct"/>
          <w:gridSpan w:val="2"/>
        </w:tcPr>
        <w:p w:rsidR="004E037A" w:rsidRPr="0055472E" w:rsidRDefault="004E037A" w:rsidP="00827B6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22E2">
            <w:rPr>
              <w:sz w:val="16"/>
              <w:szCs w:val="16"/>
            </w:rPr>
            <w:t>6</w:t>
          </w:r>
          <w:r w:rsidRPr="0055472E">
            <w:rPr>
              <w:sz w:val="16"/>
              <w:szCs w:val="16"/>
            </w:rPr>
            <w:fldChar w:fldCharType="end"/>
          </w:r>
        </w:p>
      </w:tc>
      <w:tc>
        <w:tcPr>
          <w:tcW w:w="3135" w:type="pct"/>
        </w:tcPr>
        <w:p w:rsidR="004E037A" w:rsidRPr="0055472E" w:rsidRDefault="004E037A" w:rsidP="00827B6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322E2">
            <w:rPr>
              <w:sz w:val="16"/>
              <w:szCs w:val="16"/>
            </w:rPr>
            <w:t>01/08/2021</w:t>
          </w:r>
          <w:r w:rsidRPr="0055472E">
            <w:rPr>
              <w:sz w:val="16"/>
              <w:szCs w:val="16"/>
            </w:rPr>
            <w:fldChar w:fldCharType="end"/>
          </w:r>
        </w:p>
      </w:tc>
      <w:tc>
        <w:tcPr>
          <w:tcW w:w="1017" w:type="pct"/>
          <w:gridSpan w:val="2"/>
        </w:tcPr>
        <w:p w:rsidR="004E037A" w:rsidRPr="0055472E" w:rsidRDefault="004E037A" w:rsidP="00827B6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22E2">
            <w:rPr>
              <w:sz w:val="16"/>
              <w:szCs w:val="16"/>
            </w:rPr>
            <w:instrText>24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322E2">
            <w:rPr>
              <w:sz w:val="16"/>
              <w:szCs w:val="16"/>
            </w:rPr>
            <w:instrText>24/08/2021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22E2">
            <w:rPr>
              <w:noProof/>
              <w:sz w:val="16"/>
              <w:szCs w:val="16"/>
            </w:rPr>
            <w:t>24/08/2021</w:t>
          </w:r>
          <w:r w:rsidRPr="0055472E">
            <w:rPr>
              <w:sz w:val="16"/>
              <w:szCs w:val="16"/>
            </w:rPr>
            <w:fldChar w:fldCharType="end"/>
          </w:r>
        </w:p>
      </w:tc>
    </w:tr>
  </w:tbl>
  <w:p w:rsidR="004E037A" w:rsidRPr="003419BA" w:rsidRDefault="004E037A" w:rsidP="003419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7B3B51" w:rsidRDefault="004E037A" w:rsidP="00827B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E037A" w:rsidRPr="007B3B51" w:rsidTr="002B7157">
      <w:tc>
        <w:tcPr>
          <w:tcW w:w="681" w:type="pct"/>
        </w:tcPr>
        <w:p w:rsidR="004E037A" w:rsidRPr="007B3B51" w:rsidRDefault="004E037A" w:rsidP="00827B65">
          <w:pPr>
            <w:rPr>
              <w:i/>
              <w:sz w:val="16"/>
              <w:szCs w:val="16"/>
            </w:rPr>
          </w:pPr>
        </w:p>
      </w:tc>
      <w:tc>
        <w:tcPr>
          <w:tcW w:w="3471" w:type="pct"/>
          <w:gridSpan w:val="3"/>
        </w:tcPr>
        <w:p w:rsidR="004E037A" w:rsidRPr="007B3B51" w:rsidRDefault="004E037A" w:rsidP="00827B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0B4E">
            <w:rPr>
              <w:i/>
              <w:noProof/>
              <w:sz w:val="16"/>
              <w:szCs w:val="16"/>
            </w:rPr>
            <w:t>Health Insurance (Accredited Pathology Laboratories—Approval) Principles 2017</w:t>
          </w:r>
          <w:r w:rsidRPr="007B3B51">
            <w:rPr>
              <w:i/>
              <w:sz w:val="16"/>
              <w:szCs w:val="16"/>
            </w:rPr>
            <w:fldChar w:fldCharType="end"/>
          </w:r>
        </w:p>
      </w:tc>
      <w:tc>
        <w:tcPr>
          <w:tcW w:w="848" w:type="pct"/>
        </w:tcPr>
        <w:p w:rsidR="004E037A" w:rsidRPr="007B3B51" w:rsidRDefault="004E037A" w:rsidP="00827B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4E037A" w:rsidRPr="00130F37" w:rsidTr="002B7157">
      <w:tc>
        <w:tcPr>
          <w:tcW w:w="848" w:type="pct"/>
          <w:gridSpan w:val="2"/>
        </w:tcPr>
        <w:p w:rsidR="004E037A" w:rsidRPr="00130F37" w:rsidRDefault="004E037A" w:rsidP="00827B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22E2">
            <w:rPr>
              <w:sz w:val="16"/>
              <w:szCs w:val="16"/>
            </w:rPr>
            <w:t>6</w:t>
          </w:r>
          <w:r w:rsidRPr="00130F37">
            <w:rPr>
              <w:sz w:val="16"/>
              <w:szCs w:val="16"/>
            </w:rPr>
            <w:fldChar w:fldCharType="end"/>
          </w:r>
        </w:p>
      </w:tc>
      <w:tc>
        <w:tcPr>
          <w:tcW w:w="3135" w:type="pct"/>
        </w:tcPr>
        <w:p w:rsidR="004E037A" w:rsidRPr="00130F37" w:rsidRDefault="004E037A" w:rsidP="00827B6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322E2">
            <w:rPr>
              <w:sz w:val="16"/>
              <w:szCs w:val="16"/>
            </w:rPr>
            <w:t>01/08/2021</w:t>
          </w:r>
          <w:r w:rsidRPr="00130F37">
            <w:rPr>
              <w:sz w:val="16"/>
              <w:szCs w:val="16"/>
            </w:rPr>
            <w:fldChar w:fldCharType="end"/>
          </w:r>
        </w:p>
      </w:tc>
      <w:tc>
        <w:tcPr>
          <w:tcW w:w="1017" w:type="pct"/>
          <w:gridSpan w:val="2"/>
        </w:tcPr>
        <w:p w:rsidR="004E037A" w:rsidRPr="00130F37" w:rsidRDefault="004E037A" w:rsidP="00827B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22E2">
            <w:rPr>
              <w:sz w:val="16"/>
              <w:szCs w:val="16"/>
            </w:rPr>
            <w:instrText>24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322E2">
            <w:rPr>
              <w:sz w:val="16"/>
              <w:szCs w:val="16"/>
            </w:rPr>
            <w:instrText>24/08/2021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22E2">
            <w:rPr>
              <w:noProof/>
              <w:sz w:val="16"/>
              <w:szCs w:val="16"/>
            </w:rPr>
            <w:t>24/08/2021</w:t>
          </w:r>
          <w:r w:rsidRPr="00130F37">
            <w:rPr>
              <w:sz w:val="16"/>
              <w:szCs w:val="16"/>
            </w:rPr>
            <w:fldChar w:fldCharType="end"/>
          </w:r>
        </w:p>
      </w:tc>
    </w:tr>
  </w:tbl>
  <w:p w:rsidR="004E037A" w:rsidRPr="003419BA" w:rsidRDefault="004E037A" w:rsidP="003419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7B3B51" w:rsidRDefault="004E037A" w:rsidP="00827B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E037A" w:rsidRPr="007B3B51" w:rsidTr="002B7157">
      <w:tc>
        <w:tcPr>
          <w:tcW w:w="681" w:type="pct"/>
        </w:tcPr>
        <w:p w:rsidR="004E037A" w:rsidRPr="007B3B51" w:rsidRDefault="004E037A" w:rsidP="00827B6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c>
        <w:tcPr>
          <w:tcW w:w="3471" w:type="pct"/>
          <w:gridSpan w:val="3"/>
        </w:tcPr>
        <w:p w:rsidR="004E037A" w:rsidRPr="007B3B51" w:rsidRDefault="004E037A" w:rsidP="00827B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2E2">
            <w:rPr>
              <w:i/>
              <w:noProof/>
              <w:sz w:val="16"/>
              <w:szCs w:val="16"/>
            </w:rPr>
            <w:t>Health Insurance (Accredited Pathology Laboratories—Approval) Principles 2017</w:t>
          </w:r>
          <w:r w:rsidRPr="007B3B51">
            <w:rPr>
              <w:i/>
              <w:sz w:val="16"/>
              <w:szCs w:val="16"/>
            </w:rPr>
            <w:fldChar w:fldCharType="end"/>
          </w:r>
        </w:p>
      </w:tc>
      <w:tc>
        <w:tcPr>
          <w:tcW w:w="848" w:type="pct"/>
        </w:tcPr>
        <w:p w:rsidR="004E037A" w:rsidRPr="007B3B51" w:rsidRDefault="004E037A" w:rsidP="00827B65">
          <w:pPr>
            <w:jc w:val="right"/>
            <w:rPr>
              <w:sz w:val="16"/>
              <w:szCs w:val="16"/>
            </w:rPr>
          </w:pPr>
        </w:p>
      </w:tc>
    </w:tr>
    <w:tr w:rsidR="004E037A" w:rsidRPr="0055472E" w:rsidTr="002B7157">
      <w:tc>
        <w:tcPr>
          <w:tcW w:w="848" w:type="pct"/>
          <w:gridSpan w:val="2"/>
        </w:tcPr>
        <w:p w:rsidR="004E037A" w:rsidRPr="0055472E" w:rsidRDefault="004E037A" w:rsidP="00827B6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22E2">
            <w:rPr>
              <w:sz w:val="16"/>
              <w:szCs w:val="16"/>
            </w:rPr>
            <w:t>6</w:t>
          </w:r>
          <w:r w:rsidRPr="0055472E">
            <w:rPr>
              <w:sz w:val="16"/>
              <w:szCs w:val="16"/>
            </w:rPr>
            <w:fldChar w:fldCharType="end"/>
          </w:r>
        </w:p>
      </w:tc>
      <w:tc>
        <w:tcPr>
          <w:tcW w:w="3135" w:type="pct"/>
        </w:tcPr>
        <w:p w:rsidR="004E037A" w:rsidRPr="0055472E" w:rsidRDefault="004E037A" w:rsidP="00827B6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322E2">
            <w:rPr>
              <w:sz w:val="16"/>
              <w:szCs w:val="16"/>
            </w:rPr>
            <w:t>01/08/2021</w:t>
          </w:r>
          <w:r w:rsidRPr="0055472E">
            <w:rPr>
              <w:sz w:val="16"/>
              <w:szCs w:val="16"/>
            </w:rPr>
            <w:fldChar w:fldCharType="end"/>
          </w:r>
        </w:p>
      </w:tc>
      <w:tc>
        <w:tcPr>
          <w:tcW w:w="1017" w:type="pct"/>
          <w:gridSpan w:val="2"/>
        </w:tcPr>
        <w:p w:rsidR="004E037A" w:rsidRPr="0055472E" w:rsidRDefault="004E037A" w:rsidP="00827B6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22E2">
            <w:rPr>
              <w:sz w:val="16"/>
              <w:szCs w:val="16"/>
            </w:rPr>
            <w:instrText>24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322E2">
            <w:rPr>
              <w:sz w:val="16"/>
              <w:szCs w:val="16"/>
            </w:rPr>
            <w:instrText>24/08/2021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22E2">
            <w:rPr>
              <w:noProof/>
              <w:sz w:val="16"/>
              <w:szCs w:val="16"/>
            </w:rPr>
            <w:t>24/08/2021</w:t>
          </w:r>
          <w:r w:rsidRPr="0055472E">
            <w:rPr>
              <w:sz w:val="16"/>
              <w:szCs w:val="16"/>
            </w:rPr>
            <w:fldChar w:fldCharType="end"/>
          </w:r>
        </w:p>
      </w:tc>
    </w:tr>
  </w:tbl>
  <w:p w:rsidR="004E037A" w:rsidRPr="003419BA" w:rsidRDefault="004E037A" w:rsidP="003419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7B3B51" w:rsidRDefault="004E037A" w:rsidP="00827B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E037A" w:rsidRPr="007B3B51" w:rsidTr="002B7157">
      <w:tc>
        <w:tcPr>
          <w:tcW w:w="681" w:type="pct"/>
        </w:tcPr>
        <w:p w:rsidR="004E037A" w:rsidRPr="007B3B51" w:rsidRDefault="004E037A" w:rsidP="00827B65">
          <w:pPr>
            <w:rPr>
              <w:i/>
              <w:sz w:val="16"/>
              <w:szCs w:val="16"/>
            </w:rPr>
          </w:pPr>
        </w:p>
      </w:tc>
      <w:tc>
        <w:tcPr>
          <w:tcW w:w="3471" w:type="pct"/>
          <w:gridSpan w:val="3"/>
        </w:tcPr>
        <w:p w:rsidR="004E037A" w:rsidRPr="007B3B51" w:rsidRDefault="004E037A" w:rsidP="00827B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2E2">
            <w:rPr>
              <w:i/>
              <w:noProof/>
              <w:sz w:val="16"/>
              <w:szCs w:val="16"/>
            </w:rPr>
            <w:t>Health Insurance (Accredited Pathology Laboratories—Approval) Principles 2017</w:t>
          </w:r>
          <w:r w:rsidRPr="007B3B51">
            <w:rPr>
              <w:i/>
              <w:sz w:val="16"/>
              <w:szCs w:val="16"/>
            </w:rPr>
            <w:fldChar w:fldCharType="end"/>
          </w:r>
        </w:p>
      </w:tc>
      <w:tc>
        <w:tcPr>
          <w:tcW w:w="848" w:type="pct"/>
        </w:tcPr>
        <w:p w:rsidR="004E037A" w:rsidRPr="007B3B51" w:rsidRDefault="004E037A" w:rsidP="00827B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r>
    <w:tr w:rsidR="004E037A" w:rsidRPr="00130F37" w:rsidTr="002B7157">
      <w:tc>
        <w:tcPr>
          <w:tcW w:w="848" w:type="pct"/>
          <w:gridSpan w:val="2"/>
        </w:tcPr>
        <w:p w:rsidR="004E037A" w:rsidRPr="00130F37" w:rsidRDefault="004E037A" w:rsidP="00827B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22E2">
            <w:rPr>
              <w:sz w:val="16"/>
              <w:szCs w:val="16"/>
            </w:rPr>
            <w:t>6</w:t>
          </w:r>
          <w:r w:rsidRPr="00130F37">
            <w:rPr>
              <w:sz w:val="16"/>
              <w:szCs w:val="16"/>
            </w:rPr>
            <w:fldChar w:fldCharType="end"/>
          </w:r>
        </w:p>
      </w:tc>
      <w:tc>
        <w:tcPr>
          <w:tcW w:w="3135" w:type="pct"/>
        </w:tcPr>
        <w:p w:rsidR="004E037A" w:rsidRPr="00130F37" w:rsidRDefault="004E037A" w:rsidP="00827B6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322E2">
            <w:rPr>
              <w:sz w:val="16"/>
              <w:szCs w:val="16"/>
            </w:rPr>
            <w:t>01/08/2021</w:t>
          </w:r>
          <w:r w:rsidRPr="00130F37">
            <w:rPr>
              <w:sz w:val="16"/>
              <w:szCs w:val="16"/>
            </w:rPr>
            <w:fldChar w:fldCharType="end"/>
          </w:r>
        </w:p>
      </w:tc>
      <w:tc>
        <w:tcPr>
          <w:tcW w:w="1017" w:type="pct"/>
          <w:gridSpan w:val="2"/>
        </w:tcPr>
        <w:p w:rsidR="004E037A" w:rsidRPr="00130F37" w:rsidRDefault="004E037A" w:rsidP="00827B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22E2">
            <w:rPr>
              <w:sz w:val="16"/>
              <w:szCs w:val="16"/>
            </w:rPr>
            <w:instrText>24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322E2">
            <w:rPr>
              <w:sz w:val="16"/>
              <w:szCs w:val="16"/>
            </w:rPr>
            <w:instrText>24/08/2021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22E2">
            <w:rPr>
              <w:noProof/>
              <w:sz w:val="16"/>
              <w:szCs w:val="16"/>
            </w:rPr>
            <w:t>24/08/2021</w:t>
          </w:r>
          <w:r w:rsidRPr="00130F37">
            <w:rPr>
              <w:sz w:val="16"/>
              <w:szCs w:val="16"/>
            </w:rPr>
            <w:fldChar w:fldCharType="end"/>
          </w:r>
        </w:p>
      </w:tc>
    </w:tr>
  </w:tbl>
  <w:p w:rsidR="004E037A" w:rsidRPr="003419BA" w:rsidRDefault="004E037A" w:rsidP="00341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37A" w:rsidRDefault="004E037A" w:rsidP="00715914">
      <w:pPr>
        <w:spacing w:line="240" w:lineRule="auto"/>
      </w:pPr>
      <w:r>
        <w:separator/>
      </w:r>
    </w:p>
  </w:footnote>
  <w:footnote w:type="continuationSeparator" w:id="0">
    <w:p w:rsidR="004E037A" w:rsidRDefault="004E037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Default="004E037A" w:rsidP="00827B65">
    <w:pPr>
      <w:pStyle w:val="Header"/>
      <w:pBdr>
        <w:bottom w:val="single" w:sz="6" w:space="1" w:color="auto"/>
      </w:pBdr>
    </w:pPr>
  </w:p>
  <w:p w:rsidR="004E037A" w:rsidRDefault="004E037A" w:rsidP="00827B65">
    <w:pPr>
      <w:pStyle w:val="Header"/>
      <w:pBdr>
        <w:bottom w:val="single" w:sz="6" w:space="1" w:color="auto"/>
      </w:pBdr>
    </w:pPr>
  </w:p>
  <w:p w:rsidR="004E037A" w:rsidRPr="001E77D2" w:rsidRDefault="004E037A" w:rsidP="00827B6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Default="004E037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322E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322E2">
      <w:rPr>
        <w:noProof/>
        <w:sz w:val="20"/>
      </w:rPr>
      <w:t>Accreditation materials</w:t>
    </w:r>
    <w:r>
      <w:rPr>
        <w:sz w:val="20"/>
      </w:rPr>
      <w:fldChar w:fldCharType="end"/>
    </w:r>
  </w:p>
  <w:p w:rsidR="004E037A" w:rsidRDefault="004E037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E037A" w:rsidRPr="007A1328" w:rsidRDefault="004E037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E037A" w:rsidRPr="007A1328" w:rsidRDefault="004E037A" w:rsidP="00715914">
    <w:pPr>
      <w:rPr>
        <w:b/>
        <w:sz w:val="24"/>
      </w:rPr>
    </w:pPr>
  </w:p>
  <w:p w:rsidR="004E037A" w:rsidRPr="007A1328" w:rsidRDefault="004E037A"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4322E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22E2">
      <w:rPr>
        <w:noProof/>
        <w:sz w:val="24"/>
      </w:rPr>
      <w:t>2</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7A1328" w:rsidRDefault="004E037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322E2">
      <w:rPr>
        <w:noProof/>
        <w:sz w:val="20"/>
      </w:rPr>
      <w:t>Accreditation materials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322E2">
      <w:rPr>
        <w:b/>
        <w:noProof/>
        <w:sz w:val="20"/>
      </w:rPr>
      <w:t>Schedule 1</w:t>
    </w:r>
    <w:r>
      <w:rPr>
        <w:b/>
        <w:sz w:val="20"/>
      </w:rPr>
      <w:fldChar w:fldCharType="end"/>
    </w:r>
  </w:p>
  <w:p w:rsidR="004E037A" w:rsidRPr="007A1328" w:rsidRDefault="004E037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E037A" w:rsidRPr="007A1328" w:rsidRDefault="004E037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E037A" w:rsidRPr="007A1328" w:rsidRDefault="004E037A" w:rsidP="00715914">
    <w:pPr>
      <w:jc w:val="right"/>
      <w:rPr>
        <w:b/>
        <w:sz w:val="24"/>
      </w:rPr>
    </w:pPr>
  </w:p>
  <w:p w:rsidR="004E037A" w:rsidRPr="007A1328" w:rsidRDefault="004E037A"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4322E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22E2">
      <w:rPr>
        <w:noProof/>
        <w:sz w:val="24"/>
      </w:rPr>
      <w:t>2</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7A1328" w:rsidRDefault="004E037A"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Default="004E037A" w:rsidP="00827B65">
    <w:pPr>
      <w:pStyle w:val="Header"/>
      <w:pBdr>
        <w:bottom w:val="single" w:sz="4" w:space="1" w:color="auto"/>
      </w:pBdr>
    </w:pPr>
  </w:p>
  <w:p w:rsidR="004E037A" w:rsidRDefault="004E037A" w:rsidP="00827B65">
    <w:pPr>
      <w:pStyle w:val="Header"/>
      <w:pBdr>
        <w:bottom w:val="single" w:sz="4" w:space="1" w:color="auto"/>
      </w:pBdr>
    </w:pPr>
  </w:p>
  <w:p w:rsidR="004E037A" w:rsidRPr="001E77D2" w:rsidRDefault="004E037A" w:rsidP="00827B6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5F1388" w:rsidRDefault="004E037A" w:rsidP="00827B6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4E037A">
      <w:tc>
        <w:tcPr>
          <w:tcW w:w="8385" w:type="dxa"/>
        </w:tcPr>
        <w:p w:rsidR="004E037A" w:rsidRDefault="004E037A">
          <w:pPr>
            <w:pStyle w:val="HeaderLiteEven"/>
          </w:pPr>
          <w:r>
            <w:t>Contents</w:t>
          </w:r>
        </w:p>
      </w:tc>
    </w:tr>
    <w:tr w:rsidR="004E037A">
      <w:tc>
        <w:tcPr>
          <w:tcW w:w="8385" w:type="dxa"/>
        </w:tcPr>
        <w:p w:rsidR="004E037A" w:rsidRDefault="004E037A">
          <w:pPr>
            <w:pStyle w:val="HeaderLiteEven"/>
          </w:pPr>
        </w:p>
      </w:tc>
    </w:tr>
    <w:tr w:rsidR="004E037A">
      <w:tc>
        <w:tcPr>
          <w:tcW w:w="8385" w:type="dxa"/>
        </w:tcPr>
        <w:p w:rsidR="004E037A" w:rsidRDefault="004E037A">
          <w:pPr>
            <w:pStyle w:val="HeaderBoldEven"/>
            <w:ind w:left="720" w:hanging="720"/>
          </w:pPr>
        </w:p>
      </w:tc>
    </w:tr>
  </w:tbl>
  <w:p w:rsidR="004E037A" w:rsidRDefault="004E037A">
    <w:pPr>
      <w:pStyle w:val="HeaderContentsPa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ED79B6" w:rsidRDefault="004E037A" w:rsidP="00B51B8E">
    <w:pPr>
      <w:pBdr>
        <w:bottom w:val="single" w:sz="4" w:space="1" w:color="auto"/>
      </w:pBdr>
      <w:spacing w:before="1000" w:line="240" w:lineRule="auto"/>
    </w:pPr>
  </w:p>
  <w:p w:rsidR="004E037A" w:rsidRDefault="004E037A" w:rsidP="009B5F5B">
    <w:pPr>
      <w:pStyle w:val="HeaderContentsPage"/>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94"/>
      <w:gridCol w:w="6891"/>
    </w:tblGrid>
    <w:tr w:rsidR="004E037A">
      <w:trPr>
        <w:cantSplit/>
      </w:trPr>
      <w:tc>
        <w:tcPr>
          <w:tcW w:w="1494" w:type="dxa"/>
        </w:tcPr>
        <w:p w:rsidR="004E037A" w:rsidRDefault="004E037A">
          <w:pPr>
            <w:pStyle w:val="HeaderLiteEven"/>
          </w:pPr>
        </w:p>
      </w:tc>
      <w:tc>
        <w:tcPr>
          <w:tcW w:w="6891" w:type="dxa"/>
          <w:vAlign w:val="bottom"/>
        </w:tcPr>
        <w:p w:rsidR="004E037A" w:rsidRDefault="004E037A">
          <w:pPr>
            <w:pStyle w:val="HeaderLiteEven"/>
          </w:pPr>
        </w:p>
      </w:tc>
    </w:tr>
    <w:tr w:rsidR="004E037A">
      <w:trPr>
        <w:cantSplit/>
      </w:trPr>
      <w:tc>
        <w:tcPr>
          <w:tcW w:w="1494" w:type="dxa"/>
        </w:tcPr>
        <w:p w:rsidR="004E037A" w:rsidRDefault="004E037A">
          <w:pPr>
            <w:pStyle w:val="HeaderLiteEven"/>
          </w:pPr>
          <w:r>
            <w:fldChar w:fldCharType="begin"/>
          </w:r>
          <w:r>
            <w:instrText xml:space="preserve"> STYLEREF CharDivNo \*Charformat </w:instrText>
          </w:r>
          <w:r>
            <w:fldChar w:fldCharType="end"/>
          </w:r>
        </w:p>
      </w:tc>
      <w:tc>
        <w:tcPr>
          <w:tcW w:w="6891" w:type="dxa"/>
          <w:vAlign w:val="bottom"/>
        </w:tcPr>
        <w:p w:rsidR="004E037A" w:rsidRDefault="004E037A">
          <w:pPr>
            <w:pStyle w:val="HeaderLiteEven"/>
          </w:pPr>
          <w:r>
            <w:fldChar w:fldCharType="begin"/>
          </w:r>
          <w:r>
            <w:instrText xml:space="preserve"> STYLEREF CharDivText \*Charformat </w:instrText>
          </w:r>
          <w:r>
            <w:fldChar w:fldCharType="end"/>
          </w:r>
        </w:p>
      </w:tc>
    </w:tr>
  </w:tbl>
  <w:p w:rsidR="004E037A" w:rsidRDefault="004E037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4E037A">
      <w:tc>
        <w:tcPr>
          <w:tcW w:w="8385" w:type="dxa"/>
        </w:tcPr>
        <w:p w:rsidR="004E037A" w:rsidRDefault="004E037A">
          <w:pPr>
            <w:pStyle w:val="HeaderLiteOdd"/>
          </w:pPr>
        </w:p>
      </w:tc>
    </w:tr>
    <w:tr w:rsidR="004E037A">
      <w:tc>
        <w:tcPr>
          <w:tcW w:w="8385" w:type="dxa"/>
        </w:tcPr>
        <w:p w:rsidR="004E037A" w:rsidRDefault="004E037A">
          <w:pPr>
            <w:pStyle w:val="HeaderBoldOdd"/>
          </w:pPr>
        </w:p>
      </w:tc>
    </w:tr>
  </w:tbl>
  <w:p w:rsidR="004E037A" w:rsidRDefault="004E037A">
    <w:pPr>
      <w:pStyle w:val="HeaderContentsPag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C4473E" w:rsidRDefault="004E037A" w:rsidP="00E72400">
    <w:pPr>
      <w:rPr>
        <w:sz w:val="26"/>
        <w:szCs w:val="26"/>
      </w:rPr>
    </w:pPr>
  </w:p>
  <w:p w:rsidR="004E037A" w:rsidRPr="00965EE7" w:rsidRDefault="004E037A" w:rsidP="00E72400">
    <w:pPr>
      <w:rPr>
        <w:b/>
        <w:sz w:val="20"/>
      </w:rPr>
    </w:pPr>
    <w:r w:rsidRPr="00965EE7">
      <w:rPr>
        <w:b/>
        <w:sz w:val="20"/>
      </w:rPr>
      <w:t>Endnotes</w:t>
    </w:r>
  </w:p>
  <w:p w:rsidR="004E037A" w:rsidRPr="007A1328" w:rsidRDefault="004E037A" w:rsidP="00E72400">
    <w:pPr>
      <w:rPr>
        <w:sz w:val="20"/>
      </w:rPr>
    </w:pPr>
  </w:p>
  <w:p w:rsidR="004E037A" w:rsidRPr="007A1328" w:rsidRDefault="004E037A" w:rsidP="00E72400">
    <w:pPr>
      <w:rPr>
        <w:b/>
        <w:sz w:val="24"/>
      </w:rPr>
    </w:pPr>
  </w:p>
  <w:p w:rsidR="004E037A" w:rsidRPr="00C4473E" w:rsidRDefault="004E037A" w:rsidP="00E72400">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E0B4E">
      <w:rPr>
        <w:noProof/>
        <w:szCs w:val="22"/>
      </w:rPr>
      <w:t>Endnote 1—About the endnotes</w:t>
    </w:r>
    <w:r w:rsidRPr="00C4473E">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A" w:rsidRPr="00C4473E" w:rsidRDefault="004E037A" w:rsidP="00E72400">
    <w:pPr>
      <w:jc w:val="right"/>
      <w:rPr>
        <w:sz w:val="26"/>
        <w:szCs w:val="26"/>
      </w:rPr>
    </w:pPr>
  </w:p>
  <w:p w:rsidR="004E037A" w:rsidRPr="00965EE7" w:rsidRDefault="004E037A" w:rsidP="00E72400">
    <w:pPr>
      <w:jc w:val="right"/>
      <w:rPr>
        <w:b/>
        <w:sz w:val="20"/>
      </w:rPr>
    </w:pPr>
    <w:r w:rsidRPr="00965EE7">
      <w:rPr>
        <w:b/>
        <w:sz w:val="20"/>
      </w:rPr>
      <w:t>Endnotes</w:t>
    </w:r>
  </w:p>
  <w:p w:rsidR="004E037A" w:rsidRPr="007A1328" w:rsidRDefault="004E037A" w:rsidP="00E72400">
    <w:pPr>
      <w:jc w:val="right"/>
      <w:rPr>
        <w:sz w:val="20"/>
      </w:rPr>
    </w:pPr>
  </w:p>
  <w:p w:rsidR="004E037A" w:rsidRPr="007A1328" w:rsidRDefault="004E037A" w:rsidP="00E72400">
    <w:pPr>
      <w:jc w:val="right"/>
      <w:rPr>
        <w:b/>
        <w:sz w:val="24"/>
      </w:rPr>
    </w:pPr>
  </w:p>
  <w:p w:rsidR="004E037A" w:rsidRPr="00C4473E" w:rsidRDefault="004E037A" w:rsidP="00E7240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E0B4E">
      <w:rPr>
        <w:noProof/>
        <w:szCs w:val="22"/>
      </w:rPr>
      <w:t>Endnote 1—About the endnotes</w:t>
    </w:r>
    <w:r w:rsidRPr="00C4473E">
      <w:rPr>
        <w:szCs w:val="22"/>
      </w:rPr>
      <w:fldChar w:fldCharType="end"/>
    </w:r>
  </w:p>
  <w:p w:rsidR="004E037A" w:rsidRDefault="004E03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F7658"/>
    <w:multiLevelType w:val="hybridMultilevel"/>
    <w:tmpl w:val="10F87254"/>
    <w:lvl w:ilvl="0" w:tplc="6FA0B29E">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1CD4641C">
      <w:start w:val="1"/>
      <w:numFmt w:val="lowerRoman"/>
      <w:lvlText w:val="(%3)."/>
      <w:lvlJc w:val="right"/>
      <w:pPr>
        <w:ind w:left="2764" w:hanging="180"/>
      </w:pPr>
      <w:rPr>
        <w:rFonts w:hint="default"/>
      </w:r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BFD0CC9"/>
    <w:multiLevelType w:val="hybridMultilevel"/>
    <w:tmpl w:val="ECD2C430"/>
    <w:lvl w:ilvl="0" w:tplc="A54CC5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5C2"/>
    <w:rsid w:val="000136AF"/>
    <w:rsid w:val="0001518B"/>
    <w:rsid w:val="000178A2"/>
    <w:rsid w:val="00023112"/>
    <w:rsid w:val="00040A5C"/>
    <w:rsid w:val="0004763F"/>
    <w:rsid w:val="00051CF8"/>
    <w:rsid w:val="0005365D"/>
    <w:rsid w:val="000614BF"/>
    <w:rsid w:val="00067503"/>
    <w:rsid w:val="000725AD"/>
    <w:rsid w:val="00087C19"/>
    <w:rsid w:val="000A2D1B"/>
    <w:rsid w:val="000A3290"/>
    <w:rsid w:val="000B0FDB"/>
    <w:rsid w:val="000D05EF"/>
    <w:rsid w:val="000D1EB9"/>
    <w:rsid w:val="000D2B25"/>
    <w:rsid w:val="000D3CD6"/>
    <w:rsid w:val="000D4F50"/>
    <w:rsid w:val="000D5D90"/>
    <w:rsid w:val="000E0B4E"/>
    <w:rsid w:val="000E2261"/>
    <w:rsid w:val="000E4C22"/>
    <w:rsid w:val="000E6CB0"/>
    <w:rsid w:val="000E7BB5"/>
    <w:rsid w:val="000F21C1"/>
    <w:rsid w:val="000F6AB9"/>
    <w:rsid w:val="000F6EF2"/>
    <w:rsid w:val="00100DC5"/>
    <w:rsid w:val="0010745C"/>
    <w:rsid w:val="00142B62"/>
    <w:rsid w:val="00145FCD"/>
    <w:rsid w:val="00150F37"/>
    <w:rsid w:val="00152412"/>
    <w:rsid w:val="00154D3B"/>
    <w:rsid w:val="00157B8B"/>
    <w:rsid w:val="00163A88"/>
    <w:rsid w:val="00166C2F"/>
    <w:rsid w:val="00167153"/>
    <w:rsid w:val="0017524C"/>
    <w:rsid w:val="001809D7"/>
    <w:rsid w:val="001821AB"/>
    <w:rsid w:val="00183092"/>
    <w:rsid w:val="001939E1"/>
    <w:rsid w:val="00194C3E"/>
    <w:rsid w:val="00195382"/>
    <w:rsid w:val="001A4A0C"/>
    <w:rsid w:val="001B3CCA"/>
    <w:rsid w:val="001C03F3"/>
    <w:rsid w:val="001C69C4"/>
    <w:rsid w:val="001D1F05"/>
    <w:rsid w:val="001D37EF"/>
    <w:rsid w:val="001D4D10"/>
    <w:rsid w:val="001E1256"/>
    <w:rsid w:val="001E3590"/>
    <w:rsid w:val="001E7407"/>
    <w:rsid w:val="001F4E85"/>
    <w:rsid w:val="001F5D5E"/>
    <w:rsid w:val="001F6219"/>
    <w:rsid w:val="00202FD4"/>
    <w:rsid w:val="00203E60"/>
    <w:rsid w:val="00205E35"/>
    <w:rsid w:val="00206818"/>
    <w:rsid w:val="00206C4D"/>
    <w:rsid w:val="00212236"/>
    <w:rsid w:val="00217783"/>
    <w:rsid w:val="0022002C"/>
    <w:rsid w:val="00221B9C"/>
    <w:rsid w:val="00222A10"/>
    <w:rsid w:val="00222EA4"/>
    <w:rsid w:val="0023143A"/>
    <w:rsid w:val="00231DB9"/>
    <w:rsid w:val="00232A96"/>
    <w:rsid w:val="0024010F"/>
    <w:rsid w:val="00240749"/>
    <w:rsid w:val="002434C4"/>
    <w:rsid w:val="00253B88"/>
    <w:rsid w:val="00254246"/>
    <w:rsid w:val="002564A4"/>
    <w:rsid w:val="0026256F"/>
    <w:rsid w:val="00265226"/>
    <w:rsid w:val="0026736C"/>
    <w:rsid w:val="0027744F"/>
    <w:rsid w:val="00281308"/>
    <w:rsid w:val="002838F8"/>
    <w:rsid w:val="00297ECB"/>
    <w:rsid w:val="002A4348"/>
    <w:rsid w:val="002A6A92"/>
    <w:rsid w:val="002A7BCF"/>
    <w:rsid w:val="002B0B63"/>
    <w:rsid w:val="002B7157"/>
    <w:rsid w:val="002B7E58"/>
    <w:rsid w:val="002C6EE6"/>
    <w:rsid w:val="002C790F"/>
    <w:rsid w:val="002D043A"/>
    <w:rsid w:val="002D0D4B"/>
    <w:rsid w:val="002D380E"/>
    <w:rsid w:val="002D45F6"/>
    <w:rsid w:val="002D51B8"/>
    <w:rsid w:val="002D6224"/>
    <w:rsid w:val="002E04D4"/>
    <w:rsid w:val="002E0A46"/>
    <w:rsid w:val="002F0B39"/>
    <w:rsid w:val="002F0F73"/>
    <w:rsid w:val="002F1B20"/>
    <w:rsid w:val="002F1C9A"/>
    <w:rsid w:val="00304F8B"/>
    <w:rsid w:val="00312190"/>
    <w:rsid w:val="00312591"/>
    <w:rsid w:val="00313482"/>
    <w:rsid w:val="003217A5"/>
    <w:rsid w:val="00321A30"/>
    <w:rsid w:val="00327B65"/>
    <w:rsid w:val="00335192"/>
    <w:rsid w:val="00335BC6"/>
    <w:rsid w:val="003372E7"/>
    <w:rsid w:val="003415D3"/>
    <w:rsid w:val="003419BA"/>
    <w:rsid w:val="00345269"/>
    <w:rsid w:val="00352B0F"/>
    <w:rsid w:val="00360459"/>
    <w:rsid w:val="00361A3C"/>
    <w:rsid w:val="003657CB"/>
    <w:rsid w:val="00367653"/>
    <w:rsid w:val="003706D3"/>
    <w:rsid w:val="00371193"/>
    <w:rsid w:val="00371BF7"/>
    <w:rsid w:val="00383D8E"/>
    <w:rsid w:val="00394367"/>
    <w:rsid w:val="00394E15"/>
    <w:rsid w:val="003967B9"/>
    <w:rsid w:val="003A48DF"/>
    <w:rsid w:val="003B1552"/>
    <w:rsid w:val="003B1B15"/>
    <w:rsid w:val="003B5224"/>
    <w:rsid w:val="003B5819"/>
    <w:rsid w:val="003B5CF5"/>
    <w:rsid w:val="003C1DE2"/>
    <w:rsid w:val="003C251E"/>
    <w:rsid w:val="003C42C4"/>
    <w:rsid w:val="003C443C"/>
    <w:rsid w:val="003C5CE9"/>
    <w:rsid w:val="003C6231"/>
    <w:rsid w:val="003D0BFE"/>
    <w:rsid w:val="003D5467"/>
    <w:rsid w:val="003D5633"/>
    <w:rsid w:val="003D5700"/>
    <w:rsid w:val="003E341B"/>
    <w:rsid w:val="003E530B"/>
    <w:rsid w:val="003E685B"/>
    <w:rsid w:val="003E6E41"/>
    <w:rsid w:val="003E7949"/>
    <w:rsid w:val="003F0298"/>
    <w:rsid w:val="003F4DEB"/>
    <w:rsid w:val="00410DFA"/>
    <w:rsid w:val="004116CD"/>
    <w:rsid w:val="004135C8"/>
    <w:rsid w:val="00414BE6"/>
    <w:rsid w:val="004165E2"/>
    <w:rsid w:val="00417EB9"/>
    <w:rsid w:val="00421ED5"/>
    <w:rsid w:val="00424CA9"/>
    <w:rsid w:val="00425793"/>
    <w:rsid w:val="00427678"/>
    <w:rsid w:val="00431E9B"/>
    <w:rsid w:val="004322E2"/>
    <w:rsid w:val="004327ED"/>
    <w:rsid w:val="004379E3"/>
    <w:rsid w:val="0044065E"/>
    <w:rsid w:val="004422EC"/>
    <w:rsid w:val="0044291A"/>
    <w:rsid w:val="00461545"/>
    <w:rsid w:val="00467661"/>
    <w:rsid w:val="00471360"/>
    <w:rsid w:val="00471BA9"/>
    <w:rsid w:val="00472DBE"/>
    <w:rsid w:val="0048240E"/>
    <w:rsid w:val="00492A9C"/>
    <w:rsid w:val="00496F97"/>
    <w:rsid w:val="004A1222"/>
    <w:rsid w:val="004A4935"/>
    <w:rsid w:val="004B07F8"/>
    <w:rsid w:val="004B3320"/>
    <w:rsid w:val="004B46CF"/>
    <w:rsid w:val="004C0F4E"/>
    <w:rsid w:val="004C4D61"/>
    <w:rsid w:val="004C79CF"/>
    <w:rsid w:val="004D7216"/>
    <w:rsid w:val="004E037A"/>
    <w:rsid w:val="004E1462"/>
    <w:rsid w:val="004E187F"/>
    <w:rsid w:val="004E370A"/>
    <w:rsid w:val="004E3EC8"/>
    <w:rsid w:val="004E5951"/>
    <w:rsid w:val="004E5C01"/>
    <w:rsid w:val="004E7340"/>
    <w:rsid w:val="004E7BEC"/>
    <w:rsid w:val="004F0AD4"/>
    <w:rsid w:val="004F27D4"/>
    <w:rsid w:val="004F511A"/>
    <w:rsid w:val="004F702B"/>
    <w:rsid w:val="00500974"/>
    <w:rsid w:val="00500CC6"/>
    <w:rsid w:val="0050170D"/>
    <w:rsid w:val="00503F25"/>
    <w:rsid w:val="00505D3D"/>
    <w:rsid w:val="00506AF6"/>
    <w:rsid w:val="00507EFA"/>
    <w:rsid w:val="00510C57"/>
    <w:rsid w:val="00516121"/>
    <w:rsid w:val="00516B8D"/>
    <w:rsid w:val="005308C4"/>
    <w:rsid w:val="005338A4"/>
    <w:rsid w:val="00537FBC"/>
    <w:rsid w:val="0054001F"/>
    <w:rsid w:val="00541DC7"/>
    <w:rsid w:val="00543AFF"/>
    <w:rsid w:val="005442FF"/>
    <w:rsid w:val="00561243"/>
    <w:rsid w:val="00561FA1"/>
    <w:rsid w:val="00566416"/>
    <w:rsid w:val="00567368"/>
    <w:rsid w:val="00573215"/>
    <w:rsid w:val="0058463F"/>
    <w:rsid w:val="00584811"/>
    <w:rsid w:val="00585784"/>
    <w:rsid w:val="00587031"/>
    <w:rsid w:val="005872A4"/>
    <w:rsid w:val="005904BB"/>
    <w:rsid w:val="00593AA6"/>
    <w:rsid w:val="00593E44"/>
    <w:rsid w:val="00594161"/>
    <w:rsid w:val="00594749"/>
    <w:rsid w:val="005B4067"/>
    <w:rsid w:val="005B447F"/>
    <w:rsid w:val="005C0CFA"/>
    <w:rsid w:val="005C3F41"/>
    <w:rsid w:val="005D2D09"/>
    <w:rsid w:val="005D3B89"/>
    <w:rsid w:val="005E2604"/>
    <w:rsid w:val="005E438C"/>
    <w:rsid w:val="00600219"/>
    <w:rsid w:val="00600F86"/>
    <w:rsid w:val="00610A3F"/>
    <w:rsid w:val="00611FB6"/>
    <w:rsid w:val="00620076"/>
    <w:rsid w:val="0063102E"/>
    <w:rsid w:val="00633D9A"/>
    <w:rsid w:val="006451CF"/>
    <w:rsid w:val="006512EB"/>
    <w:rsid w:val="00656986"/>
    <w:rsid w:val="00677519"/>
    <w:rsid w:val="00677CC2"/>
    <w:rsid w:val="006905DE"/>
    <w:rsid w:val="006912B4"/>
    <w:rsid w:val="0069207B"/>
    <w:rsid w:val="00693235"/>
    <w:rsid w:val="006969C3"/>
    <w:rsid w:val="006B38BE"/>
    <w:rsid w:val="006B6A02"/>
    <w:rsid w:val="006B78FE"/>
    <w:rsid w:val="006C24F5"/>
    <w:rsid w:val="006C36B8"/>
    <w:rsid w:val="006C7F8C"/>
    <w:rsid w:val="006E016A"/>
    <w:rsid w:val="006E2776"/>
    <w:rsid w:val="006E6246"/>
    <w:rsid w:val="006F318F"/>
    <w:rsid w:val="006F4E4E"/>
    <w:rsid w:val="00700B2C"/>
    <w:rsid w:val="007050A2"/>
    <w:rsid w:val="00710877"/>
    <w:rsid w:val="00710939"/>
    <w:rsid w:val="00713084"/>
    <w:rsid w:val="00714F20"/>
    <w:rsid w:val="0071590F"/>
    <w:rsid w:val="00715914"/>
    <w:rsid w:val="007177E0"/>
    <w:rsid w:val="00731E00"/>
    <w:rsid w:val="007335AF"/>
    <w:rsid w:val="00735CA6"/>
    <w:rsid w:val="007418AC"/>
    <w:rsid w:val="007440B7"/>
    <w:rsid w:val="007500C8"/>
    <w:rsid w:val="0075398B"/>
    <w:rsid w:val="00753C89"/>
    <w:rsid w:val="00761BD1"/>
    <w:rsid w:val="0077046C"/>
    <w:rsid w:val="007715C9"/>
    <w:rsid w:val="00774EDD"/>
    <w:rsid w:val="007757EC"/>
    <w:rsid w:val="0078693B"/>
    <w:rsid w:val="00793915"/>
    <w:rsid w:val="0079595F"/>
    <w:rsid w:val="007A14CE"/>
    <w:rsid w:val="007C11FF"/>
    <w:rsid w:val="007C2253"/>
    <w:rsid w:val="007C768C"/>
    <w:rsid w:val="007D594B"/>
    <w:rsid w:val="007E163D"/>
    <w:rsid w:val="007E667A"/>
    <w:rsid w:val="007F0874"/>
    <w:rsid w:val="0080470C"/>
    <w:rsid w:val="008117E9"/>
    <w:rsid w:val="00816273"/>
    <w:rsid w:val="00821111"/>
    <w:rsid w:val="00826DEE"/>
    <w:rsid w:val="00827B65"/>
    <w:rsid w:val="00840B83"/>
    <w:rsid w:val="008477E0"/>
    <w:rsid w:val="0085612C"/>
    <w:rsid w:val="00856A31"/>
    <w:rsid w:val="008673C6"/>
    <w:rsid w:val="00867B37"/>
    <w:rsid w:val="008754D0"/>
    <w:rsid w:val="00886456"/>
    <w:rsid w:val="00890E0E"/>
    <w:rsid w:val="008978ED"/>
    <w:rsid w:val="008A46E1"/>
    <w:rsid w:val="008A7932"/>
    <w:rsid w:val="008B2706"/>
    <w:rsid w:val="008D0EE0"/>
    <w:rsid w:val="008E1ABC"/>
    <w:rsid w:val="008E2885"/>
    <w:rsid w:val="008F54E7"/>
    <w:rsid w:val="008F646A"/>
    <w:rsid w:val="00901E5E"/>
    <w:rsid w:val="00903422"/>
    <w:rsid w:val="00905BEB"/>
    <w:rsid w:val="00910EED"/>
    <w:rsid w:val="00911919"/>
    <w:rsid w:val="00912541"/>
    <w:rsid w:val="009159F6"/>
    <w:rsid w:val="00932377"/>
    <w:rsid w:val="00935B36"/>
    <w:rsid w:val="009469C4"/>
    <w:rsid w:val="00947D5A"/>
    <w:rsid w:val="009532A5"/>
    <w:rsid w:val="00957E53"/>
    <w:rsid w:val="0096462B"/>
    <w:rsid w:val="00966CB9"/>
    <w:rsid w:val="00980351"/>
    <w:rsid w:val="00983541"/>
    <w:rsid w:val="009843DA"/>
    <w:rsid w:val="009868E9"/>
    <w:rsid w:val="00986A27"/>
    <w:rsid w:val="00993566"/>
    <w:rsid w:val="009935F1"/>
    <w:rsid w:val="009938CC"/>
    <w:rsid w:val="00993FBB"/>
    <w:rsid w:val="009A69D0"/>
    <w:rsid w:val="009A7F06"/>
    <w:rsid w:val="009B399D"/>
    <w:rsid w:val="009B5F5B"/>
    <w:rsid w:val="009B5FE1"/>
    <w:rsid w:val="009C01CE"/>
    <w:rsid w:val="009C3FDA"/>
    <w:rsid w:val="009D29B3"/>
    <w:rsid w:val="009D45C2"/>
    <w:rsid w:val="009E00E9"/>
    <w:rsid w:val="009E0A19"/>
    <w:rsid w:val="009E1E97"/>
    <w:rsid w:val="009F2F15"/>
    <w:rsid w:val="00A006AF"/>
    <w:rsid w:val="00A10B7E"/>
    <w:rsid w:val="00A12128"/>
    <w:rsid w:val="00A125A3"/>
    <w:rsid w:val="00A1473C"/>
    <w:rsid w:val="00A160D1"/>
    <w:rsid w:val="00A227D1"/>
    <w:rsid w:val="00A22C98"/>
    <w:rsid w:val="00A231E2"/>
    <w:rsid w:val="00A260C0"/>
    <w:rsid w:val="00A26407"/>
    <w:rsid w:val="00A3797B"/>
    <w:rsid w:val="00A40724"/>
    <w:rsid w:val="00A41371"/>
    <w:rsid w:val="00A435D5"/>
    <w:rsid w:val="00A64071"/>
    <w:rsid w:val="00A64912"/>
    <w:rsid w:val="00A64E6D"/>
    <w:rsid w:val="00A70A74"/>
    <w:rsid w:val="00A71519"/>
    <w:rsid w:val="00AA0116"/>
    <w:rsid w:val="00AD45D3"/>
    <w:rsid w:val="00AD491D"/>
    <w:rsid w:val="00AD5641"/>
    <w:rsid w:val="00AE71AD"/>
    <w:rsid w:val="00AF06CF"/>
    <w:rsid w:val="00AF3751"/>
    <w:rsid w:val="00AF615F"/>
    <w:rsid w:val="00AF7EFA"/>
    <w:rsid w:val="00B07403"/>
    <w:rsid w:val="00B07CDB"/>
    <w:rsid w:val="00B114C6"/>
    <w:rsid w:val="00B14AB3"/>
    <w:rsid w:val="00B16A31"/>
    <w:rsid w:val="00B17DFD"/>
    <w:rsid w:val="00B230D2"/>
    <w:rsid w:val="00B26859"/>
    <w:rsid w:val="00B308FE"/>
    <w:rsid w:val="00B317CF"/>
    <w:rsid w:val="00B33709"/>
    <w:rsid w:val="00B33B3C"/>
    <w:rsid w:val="00B3411C"/>
    <w:rsid w:val="00B4369C"/>
    <w:rsid w:val="00B45A9E"/>
    <w:rsid w:val="00B51B8E"/>
    <w:rsid w:val="00B528A7"/>
    <w:rsid w:val="00B63834"/>
    <w:rsid w:val="00B707A0"/>
    <w:rsid w:val="00B75849"/>
    <w:rsid w:val="00B80199"/>
    <w:rsid w:val="00B9697A"/>
    <w:rsid w:val="00B97CDF"/>
    <w:rsid w:val="00BA0A3E"/>
    <w:rsid w:val="00BA0FE7"/>
    <w:rsid w:val="00BA220B"/>
    <w:rsid w:val="00BA2841"/>
    <w:rsid w:val="00BA3A57"/>
    <w:rsid w:val="00BA62CD"/>
    <w:rsid w:val="00BB4E1A"/>
    <w:rsid w:val="00BC015E"/>
    <w:rsid w:val="00BC3AE3"/>
    <w:rsid w:val="00BC76AC"/>
    <w:rsid w:val="00BE2280"/>
    <w:rsid w:val="00BE33F2"/>
    <w:rsid w:val="00BE5AF8"/>
    <w:rsid w:val="00BE719A"/>
    <w:rsid w:val="00BE720A"/>
    <w:rsid w:val="00BF0D73"/>
    <w:rsid w:val="00BF2465"/>
    <w:rsid w:val="00C06580"/>
    <w:rsid w:val="00C15646"/>
    <w:rsid w:val="00C165A1"/>
    <w:rsid w:val="00C25E7F"/>
    <w:rsid w:val="00C27345"/>
    <w:rsid w:val="00C2746F"/>
    <w:rsid w:val="00C324A0"/>
    <w:rsid w:val="00C343BC"/>
    <w:rsid w:val="00C36F90"/>
    <w:rsid w:val="00C42BF8"/>
    <w:rsid w:val="00C46D64"/>
    <w:rsid w:val="00C50043"/>
    <w:rsid w:val="00C604D5"/>
    <w:rsid w:val="00C62892"/>
    <w:rsid w:val="00C74DFB"/>
    <w:rsid w:val="00C7573B"/>
    <w:rsid w:val="00C8648C"/>
    <w:rsid w:val="00CA4036"/>
    <w:rsid w:val="00CA7AB1"/>
    <w:rsid w:val="00CB51B2"/>
    <w:rsid w:val="00CB7A3F"/>
    <w:rsid w:val="00CC0EF6"/>
    <w:rsid w:val="00CC1A9F"/>
    <w:rsid w:val="00CC7F86"/>
    <w:rsid w:val="00CD356E"/>
    <w:rsid w:val="00CE051D"/>
    <w:rsid w:val="00CE493D"/>
    <w:rsid w:val="00CF0BB2"/>
    <w:rsid w:val="00CF1824"/>
    <w:rsid w:val="00CF3EE8"/>
    <w:rsid w:val="00D01719"/>
    <w:rsid w:val="00D037BD"/>
    <w:rsid w:val="00D054B7"/>
    <w:rsid w:val="00D11581"/>
    <w:rsid w:val="00D13441"/>
    <w:rsid w:val="00D150E7"/>
    <w:rsid w:val="00D2537C"/>
    <w:rsid w:val="00D32CDF"/>
    <w:rsid w:val="00D351AD"/>
    <w:rsid w:val="00D41D2F"/>
    <w:rsid w:val="00D43FF6"/>
    <w:rsid w:val="00D45B05"/>
    <w:rsid w:val="00D5051E"/>
    <w:rsid w:val="00D50F6F"/>
    <w:rsid w:val="00D64E8D"/>
    <w:rsid w:val="00D66C2A"/>
    <w:rsid w:val="00D70DFB"/>
    <w:rsid w:val="00D766DF"/>
    <w:rsid w:val="00D83115"/>
    <w:rsid w:val="00D85077"/>
    <w:rsid w:val="00D908B1"/>
    <w:rsid w:val="00D91B41"/>
    <w:rsid w:val="00DA0856"/>
    <w:rsid w:val="00DA186E"/>
    <w:rsid w:val="00DA27EB"/>
    <w:rsid w:val="00DB251C"/>
    <w:rsid w:val="00DC4F88"/>
    <w:rsid w:val="00DD5841"/>
    <w:rsid w:val="00DE09CF"/>
    <w:rsid w:val="00DE6C48"/>
    <w:rsid w:val="00DF21EE"/>
    <w:rsid w:val="00E05704"/>
    <w:rsid w:val="00E12B87"/>
    <w:rsid w:val="00E31BAE"/>
    <w:rsid w:val="00E338EF"/>
    <w:rsid w:val="00E33C41"/>
    <w:rsid w:val="00E42BEE"/>
    <w:rsid w:val="00E44430"/>
    <w:rsid w:val="00E44EC9"/>
    <w:rsid w:val="00E505A1"/>
    <w:rsid w:val="00E65335"/>
    <w:rsid w:val="00E700BF"/>
    <w:rsid w:val="00E72400"/>
    <w:rsid w:val="00E72A01"/>
    <w:rsid w:val="00E74DC7"/>
    <w:rsid w:val="00E766B4"/>
    <w:rsid w:val="00E8075A"/>
    <w:rsid w:val="00E84361"/>
    <w:rsid w:val="00E8502F"/>
    <w:rsid w:val="00E86A5C"/>
    <w:rsid w:val="00E90098"/>
    <w:rsid w:val="00E94D5E"/>
    <w:rsid w:val="00E95C79"/>
    <w:rsid w:val="00E9728E"/>
    <w:rsid w:val="00EA10AC"/>
    <w:rsid w:val="00EA7100"/>
    <w:rsid w:val="00EA7F9F"/>
    <w:rsid w:val="00EB0728"/>
    <w:rsid w:val="00EB09EF"/>
    <w:rsid w:val="00EB77B7"/>
    <w:rsid w:val="00EC093C"/>
    <w:rsid w:val="00EC0EC0"/>
    <w:rsid w:val="00EC69EE"/>
    <w:rsid w:val="00ED1A10"/>
    <w:rsid w:val="00ED2BB6"/>
    <w:rsid w:val="00ED456B"/>
    <w:rsid w:val="00EE2862"/>
    <w:rsid w:val="00EF2E3A"/>
    <w:rsid w:val="00F00B0D"/>
    <w:rsid w:val="00F072A7"/>
    <w:rsid w:val="00F078DC"/>
    <w:rsid w:val="00F10CB5"/>
    <w:rsid w:val="00F2079A"/>
    <w:rsid w:val="00F22885"/>
    <w:rsid w:val="00F349F1"/>
    <w:rsid w:val="00F3778D"/>
    <w:rsid w:val="00F4350D"/>
    <w:rsid w:val="00F44E72"/>
    <w:rsid w:val="00F52BD7"/>
    <w:rsid w:val="00F54F0C"/>
    <w:rsid w:val="00F567F7"/>
    <w:rsid w:val="00F71B6E"/>
    <w:rsid w:val="00F71F43"/>
    <w:rsid w:val="00F73BD6"/>
    <w:rsid w:val="00F73EE4"/>
    <w:rsid w:val="00F83989"/>
    <w:rsid w:val="00F85099"/>
    <w:rsid w:val="00F90AAD"/>
    <w:rsid w:val="00F90B99"/>
    <w:rsid w:val="00F9379C"/>
    <w:rsid w:val="00F9632C"/>
    <w:rsid w:val="00FA1E52"/>
    <w:rsid w:val="00FA3F71"/>
    <w:rsid w:val="00FA4F75"/>
    <w:rsid w:val="00FB3581"/>
    <w:rsid w:val="00FB4051"/>
    <w:rsid w:val="00FB5CE2"/>
    <w:rsid w:val="00FC0D2A"/>
    <w:rsid w:val="00FC7D50"/>
    <w:rsid w:val="00FD0316"/>
    <w:rsid w:val="00FD14AF"/>
    <w:rsid w:val="00FE7495"/>
    <w:rsid w:val="00FF0A36"/>
    <w:rsid w:val="00FF1F76"/>
    <w:rsid w:val="00FF4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1EBE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E4E"/>
    <w:pPr>
      <w:spacing w:line="260" w:lineRule="atLeast"/>
    </w:pPr>
    <w:rPr>
      <w:sz w:val="22"/>
    </w:rPr>
  </w:style>
  <w:style w:type="character" w:default="1" w:styleId="DefaultParagraphFont">
    <w:name w:val="Default Paragraph Font"/>
    <w:uiPriority w:val="1"/>
    <w:semiHidden/>
    <w:unhideWhenUsed/>
    <w:rsid w:val="006F4E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4E4E"/>
  </w:style>
  <w:style w:type="character" w:customStyle="1" w:styleId="OPCCharBase">
    <w:name w:val="OPCCharBase"/>
    <w:uiPriority w:val="1"/>
    <w:qFormat/>
    <w:rsid w:val="006F4E4E"/>
  </w:style>
  <w:style w:type="paragraph" w:customStyle="1" w:styleId="OPCParaBase">
    <w:name w:val="OPCParaBase"/>
    <w:qFormat/>
    <w:rsid w:val="006F4E4E"/>
    <w:pPr>
      <w:spacing w:line="260" w:lineRule="atLeast"/>
    </w:pPr>
    <w:rPr>
      <w:rFonts w:eastAsia="Times New Roman" w:cs="Times New Roman"/>
      <w:sz w:val="22"/>
      <w:lang w:eastAsia="en-AU"/>
    </w:rPr>
  </w:style>
  <w:style w:type="paragraph" w:customStyle="1" w:styleId="ShortT">
    <w:name w:val="ShortT"/>
    <w:basedOn w:val="OPCParaBase"/>
    <w:next w:val="Normal"/>
    <w:qFormat/>
    <w:rsid w:val="006F4E4E"/>
    <w:pPr>
      <w:spacing w:line="240" w:lineRule="auto"/>
    </w:pPr>
    <w:rPr>
      <w:b/>
      <w:sz w:val="40"/>
    </w:rPr>
  </w:style>
  <w:style w:type="paragraph" w:customStyle="1" w:styleId="ActHead1">
    <w:name w:val="ActHead 1"/>
    <w:aliases w:val="c,h1_Chap"/>
    <w:basedOn w:val="OPCParaBase"/>
    <w:next w:val="Normal"/>
    <w:qFormat/>
    <w:rsid w:val="006F4E4E"/>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link w:val="ActHead2Char"/>
    <w:qFormat/>
    <w:rsid w:val="006F4E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F4E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4E4E"/>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6F4E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4E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4E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4E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4E4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4E4E"/>
  </w:style>
  <w:style w:type="paragraph" w:customStyle="1" w:styleId="Blocks">
    <w:name w:val="Blocks"/>
    <w:aliases w:val="bb"/>
    <w:basedOn w:val="OPCParaBase"/>
    <w:qFormat/>
    <w:rsid w:val="006F4E4E"/>
    <w:pPr>
      <w:spacing w:line="240" w:lineRule="auto"/>
    </w:pPr>
    <w:rPr>
      <w:sz w:val="24"/>
    </w:rPr>
  </w:style>
  <w:style w:type="paragraph" w:customStyle="1" w:styleId="BoxText">
    <w:name w:val="BoxText"/>
    <w:aliases w:val="bt"/>
    <w:basedOn w:val="OPCParaBase"/>
    <w:qFormat/>
    <w:rsid w:val="006F4E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4E4E"/>
    <w:rPr>
      <w:b/>
    </w:rPr>
  </w:style>
  <w:style w:type="paragraph" w:customStyle="1" w:styleId="BoxHeadItalic">
    <w:name w:val="BoxHeadItalic"/>
    <w:aliases w:val="bhi"/>
    <w:basedOn w:val="BoxText"/>
    <w:next w:val="BoxStep"/>
    <w:qFormat/>
    <w:rsid w:val="006F4E4E"/>
    <w:rPr>
      <w:i/>
    </w:rPr>
  </w:style>
  <w:style w:type="paragraph" w:customStyle="1" w:styleId="BoxList">
    <w:name w:val="BoxList"/>
    <w:aliases w:val="bl"/>
    <w:basedOn w:val="BoxText"/>
    <w:qFormat/>
    <w:rsid w:val="006F4E4E"/>
    <w:pPr>
      <w:ind w:left="1559" w:hanging="425"/>
    </w:pPr>
  </w:style>
  <w:style w:type="paragraph" w:customStyle="1" w:styleId="BoxNote">
    <w:name w:val="BoxNote"/>
    <w:aliases w:val="bn"/>
    <w:basedOn w:val="BoxText"/>
    <w:qFormat/>
    <w:rsid w:val="006F4E4E"/>
    <w:pPr>
      <w:tabs>
        <w:tab w:val="left" w:pos="1985"/>
      </w:tabs>
      <w:spacing w:before="122" w:line="198" w:lineRule="exact"/>
      <w:ind w:left="2948" w:hanging="1814"/>
    </w:pPr>
    <w:rPr>
      <w:sz w:val="18"/>
    </w:rPr>
  </w:style>
  <w:style w:type="paragraph" w:customStyle="1" w:styleId="BoxPara">
    <w:name w:val="BoxPara"/>
    <w:aliases w:val="bp"/>
    <w:basedOn w:val="BoxText"/>
    <w:qFormat/>
    <w:rsid w:val="006F4E4E"/>
    <w:pPr>
      <w:tabs>
        <w:tab w:val="right" w:pos="2268"/>
      </w:tabs>
      <w:ind w:left="2552" w:hanging="1418"/>
    </w:pPr>
  </w:style>
  <w:style w:type="paragraph" w:customStyle="1" w:styleId="BoxStep">
    <w:name w:val="BoxStep"/>
    <w:aliases w:val="bs"/>
    <w:basedOn w:val="BoxText"/>
    <w:qFormat/>
    <w:rsid w:val="006F4E4E"/>
    <w:pPr>
      <w:ind w:left="1985" w:hanging="851"/>
    </w:pPr>
  </w:style>
  <w:style w:type="character" w:customStyle="1" w:styleId="CharAmPartNo">
    <w:name w:val="CharAmPartNo"/>
    <w:basedOn w:val="OPCCharBase"/>
    <w:uiPriority w:val="1"/>
    <w:qFormat/>
    <w:rsid w:val="006F4E4E"/>
  </w:style>
  <w:style w:type="character" w:customStyle="1" w:styleId="CharAmPartText">
    <w:name w:val="CharAmPartText"/>
    <w:basedOn w:val="OPCCharBase"/>
    <w:uiPriority w:val="1"/>
    <w:qFormat/>
    <w:rsid w:val="006F4E4E"/>
  </w:style>
  <w:style w:type="character" w:customStyle="1" w:styleId="CharAmSchNo">
    <w:name w:val="CharAmSchNo"/>
    <w:basedOn w:val="OPCCharBase"/>
    <w:uiPriority w:val="1"/>
    <w:qFormat/>
    <w:rsid w:val="006F4E4E"/>
  </w:style>
  <w:style w:type="character" w:customStyle="1" w:styleId="CharAmSchText">
    <w:name w:val="CharAmSchText"/>
    <w:basedOn w:val="OPCCharBase"/>
    <w:uiPriority w:val="1"/>
    <w:qFormat/>
    <w:rsid w:val="006F4E4E"/>
  </w:style>
  <w:style w:type="character" w:customStyle="1" w:styleId="CharBoldItalic">
    <w:name w:val="CharBoldItalic"/>
    <w:basedOn w:val="OPCCharBase"/>
    <w:uiPriority w:val="1"/>
    <w:qFormat/>
    <w:rsid w:val="006F4E4E"/>
    <w:rPr>
      <w:b/>
      <w:i/>
    </w:rPr>
  </w:style>
  <w:style w:type="character" w:customStyle="1" w:styleId="CharChapNo">
    <w:name w:val="CharChapNo"/>
    <w:basedOn w:val="OPCCharBase"/>
    <w:qFormat/>
    <w:rsid w:val="006F4E4E"/>
  </w:style>
  <w:style w:type="character" w:customStyle="1" w:styleId="CharChapText">
    <w:name w:val="CharChapText"/>
    <w:basedOn w:val="OPCCharBase"/>
    <w:qFormat/>
    <w:rsid w:val="006F4E4E"/>
  </w:style>
  <w:style w:type="character" w:customStyle="1" w:styleId="CharDivNo">
    <w:name w:val="CharDivNo"/>
    <w:basedOn w:val="OPCCharBase"/>
    <w:qFormat/>
    <w:rsid w:val="006F4E4E"/>
  </w:style>
  <w:style w:type="character" w:customStyle="1" w:styleId="CharDivText">
    <w:name w:val="CharDivText"/>
    <w:basedOn w:val="OPCCharBase"/>
    <w:qFormat/>
    <w:rsid w:val="006F4E4E"/>
  </w:style>
  <w:style w:type="character" w:customStyle="1" w:styleId="CharItalic">
    <w:name w:val="CharItalic"/>
    <w:basedOn w:val="OPCCharBase"/>
    <w:uiPriority w:val="1"/>
    <w:qFormat/>
    <w:rsid w:val="006F4E4E"/>
    <w:rPr>
      <w:i/>
    </w:rPr>
  </w:style>
  <w:style w:type="character" w:customStyle="1" w:styleId="CharPartNo">
    <w:name w:val="CharPartNo"/>
    <w:basedOn w:val="OPCCharBase"/>
    <w:qFormat/>
    <w:rsid w:val="006F4E4E"/>
  </w:style>
  <w:style w:type="character" w:customStyle="1" w:styleId="CharPartText">
    <w:name w:val="CharPartText"/>
    <w:basedOn w:val="OPCCharBase"/>
    <w:qFormat/>
    <w:rsid w:val="006F4E4E"/>
  </w:style>
  <w:style w:type="character" w:customStyle="1" w:styleId="CharSectno">
    <w:name w:val="CharSectno"/>
    <w:basedOn w:val="OPCCharBase"/>
    <w:qFormat/>
    <w:rsid w:val="006F4E4E"/>
  </w:style>
  <w:style w:type="character" w:customStyle="1" w:styleId="CharSubdNo">
    <w:name w:val="CharSubdNo"/>
    <w:basedOn w:val="OPCCharBase"/>
    <w:uiPriority w:val="1"/>
    <w:qFormat/>
    <w:rsid w:val="006F4E4E"/>
  </w:style>
  <w:style w:type="character" w:customStyle="1" w:styleId="CharSubdText">
    <w:name w:val="CharSubdText"/>
    <w:basedOn w:val="OPCCharBase"/>
    <w:uiPriority w:val="1"/>
    <w:qFormat/>
    <w:rsid w:val="006F4E4E"/>
  </w:style>
  <w:style w:type="paragraph" w:customStyle="1" w:styleId="CTA--">
    <w:name w:val="CTA --"/>
    <w:basedOn w:val="OPCParaBase"/>
    <w:next w:val="Normal"/>
    <w:rsid w:val="006F4E4E"/>
    <w:pPr>
      <w:spacing w:before="60" w:line="240" w:lineRule="atLeast"/>
      <w:ind w:left="142" w:hanging="142"/>
    </w:pPr>
    <w:rPr>
      <w:sz w:val="20"/>
    </w:rPr>
  </w:style>
  <w:style w:type="paragraph" w:customStyle="1" w:styleId="CTA-">
    <w:name w:val="CTA -"/>
    <w:basedOn w:val="OPCParaBase"/>
    <w:rsid w:val="006F4E4E"/>
    <w:pPr>
      <w:spacing w:before="60" w:line="240" w:lineRule="atLeast"/>
      <w:ind w:left="85" w:hanging="85"/>
    </w:pPr>
    <w:rPr>
      <w:sz w:val="20"/>
    </w:rPr>
  </w:style>
  <w:style w:type="paragraph" w:customStyle="1" w:styleId="CTA---">
    <w:name w:val="CTA ---"/>
    <w:basedOn w:val="OPCParaBase"/>
    <w:next w:val="Normal"/>
    <w:rsid w:val="006F4E4E"/>
    <w:pPr>
      <w:spacing w:before="60" w:line="240" w:lineRule="atLeast"/>
      <w:ind w:left="198" w:hanging="198"/>
    </w:pPr>
    <w:rPr>
      <w:sz w:val="20"/>
    </w:rPr>
  </w:style>
  <w:style w:type="paragraph" w:customStyle="1" w:styleId="CTA----">
    <w:name w:val="CTA ----"/>
    <w:basedOn w:val="OPCParaBase"/>
    <w:next w:val="Normal"/>
    <w:rsid w:val="006F4E4E"/>
    <w:pPr>
      <w:spacing w:before="60" w:line="240" w:lineRule="atLeast"/>
      <w:ind w:left="255" w:hanging="255"/>
    </w:pPr>
    <w:rPr>
      <w:sz w:val="20"/>
    </w:rPr>
  </w:style>
  <w:style w:type="paragraph" w:customStyle="1" w:styleId="CTA1a">
    <w:name w:val="CTA 1(a)"/>
    <w:basedOn w:val="OPCParaBase"/>
    <w:rsid w:val="006F4E4E"/>
    <w:pPr>
      <w:tabs>
        <w:tab w:val="right" w:pos="414"/>
      </w:tabs>
      <w:spacing w:before="40" w:line="240" w:lineRule="atLeast"/>
      <w:ind w:left="675" w:hanging="675"/>
    </w:pPr>
    <w:rPr>
      <w:sz w:val="20"/>
    </w:rPr>
  </w:style>
  <w:style w:type="paragraph" w:customStyle="1" w:styleId="CTA1ai">
    <w:name w:val="CTA 1(a)(i)"/>
    <w:basedOn w:val="OPCParaBase"/>
    <w:rsid w:val="006F4E4E"/>
    <w:pPr>
      <w:tabs>
        <w:tab w:val="right" w:pos="1004"/>
      </w:tabs>
      <w:spacing w:before="40" w:line="240" w:lineRule="atLeast"/>
      <w:ind w:left="1253" w:hanging="1253"/>
    </w:pPr>
    <w:rPr>
      <w:sz w:val="20"/>
    </w:rPr>
  </w:style>
  <w:style w:type="paragraph" w:customStyle="1" w:styleId="CTA2a">
    <w:name w:val="CTA 2(a)"/>
    <w:basedOn w:val="OPCParaBase"/>
    <w:rsid w:val="006F4E4E"/>
    <w:pPr>
      <w:tabs>
        <w:tab w:val="right" w:pos="482"/>
      </w:tabs>
      <w:spacing w:before="40" w:line="240" w:lineRule="atLeast"/>
      <w:ind w:left="748" w:hanging="748"/>
    </w:pPr>
    <w:rPr>
      <w:sz w:val="20"/>
    </w:rPr>
  </w:style>
  <w:style w:type="paragraph" w:customStyle="1" w:styleId="CTA2ai">
    <w:name w:val="CTA 2(a)(i)"/>
    <w:basedOn w:val="OPCParaBase"/>
    <w:rsid w:val="006F4E4E"/>
    <w:pPr>
      <w:tabs>
        <w:tab w:val="right" w:pos="1089"/>
      </w:tabs>
      <w:spacing w:before="40" w:line="240" w:lineRule="atLeast"/>
      <w:ind w:left="1327" w:hanging="1327"/>
    </w:pPr>
    <w:rPr>
      <w:sz w:val="20"/>
    </w:rPr>
  </w:style>
  <w:style w:type="paragraph" w:customStyle="1" w:styleId="CTA3a">
    <w:name w:val="CTA 3(a)"/>
    <w:basedOn w:val="OPCParaBase"/>
    <w:rsid w:val="006F4E4E"/>
    <w:pPr>
      <w:tabs>
        <w:tab w:val="right" w:pos="556"/>
      </w:tabs>
      <w:spacing w:before="40" w:line="240" w:lineRule="atLeast"/>
      <w:ind w:left="805" w:hanging="805"/>
    </w:pPr>
    <w:rPr>
      <w:sz w:val="20"/>
    </w:rPr>
  </w:style>
  <w:style w:type="paragraph" w:customStyle="1" w:styleId="CTA3ai">
    <w:name w:val="CTA 3(a)(i)"/>
    <w:basedOn w:val="OPCParaBase"/>
    <w:rsid w:val="006F4E4E"/>
    <w:pPr>
      <w:tabs>
        <w:tab w:val="right" w:pos="1140"/>
      </w:tabs>
      <w:spacing w:before="40" w:line="240" w:lineRule="atLeast"/>
      <w:ind w:left="1361" w:hanging="1361"/>
    </w:pPr>
    <w:rPr>
      <w:sz w:val="20"/>
    </w:rPr>
  </w:style>
  <w:style w:type="paragraph" w:customStyle="1" w:styleId="CTA4a">
    <w:name w:val="CTA 4(a)"/>
    <w:basedOn w:val="OPCParaBase"/>
    <w:rsid w:val="006F4E4E"/>
    <w:pPr>
      <w:tabs>
        <w:tab w:val="right" w:pos="624"/>
      </w:tabs>
      <w:spacing w:before="40" w:line="240" w:lineRule="atLeast"/>
      <w:ind w:left="873" w:hanging="873"/>
    </w:pPr>
    <w:rPr>
      <w:sz w:val="20"/>
    </w:rPr>
  </w:style>
  <w:style w:type="paragraph" w:customStyle="1" w:styleId="CTA4ai">
    <w:name w:val="CTA 4(a)(i)"/>
    <w:basedOn w:val="OPCParaBase"/>
    <w:rsid w:val="006F4E4E"/>
    <w:pPr>
      <w:tabs>
        <w:tab w:val="right" w:pos="1213"/>
      </w:tabs>
      <w:spacing w:before="40" w:line="240" w:lineRule="atLeast"/>
      <w:ind w:left="1452" w:hanging="1452"/>
    </w:pPr>
    <w:rPr>
      <w:sz w:val="20"/>
    </w:rPr>
  </w:style>
  <w:style w:type="paragraph" w:customStyle="1" w:styleId="CTACAPS">
    <w:name w:val="CTA CAPS"/>
    <w:basedOn w:val="OPCParaBase"/>
    <w:rsid w:val="006F4E4E"/>
    <w:pPr>
      <w:spacing w:before="60" w:line="240" w:lineRule="atLeast"/>
    </w:pPr>
    <w:rPr>
      <w:sz w:val="20"/>
    </w:rPr>
  </w:style>
  <w:style w:type="paragraph" w:customStyle="1" w:styleId="CTAright">
    <w:name w:val="CTA right"/>
    <w:basedOn w:val="OPCParaBase"/>
    <w:rsid w:val="006F4E4E"/>
    <w:pPr>
      <w:spacing w:before="60" w:line="240" w:lineRule="auto"/>
      <w:jc w:val="right"/>
    </w:pPr>
    <w:rPr>
      <w:sz w:val="20"/>
    </w:rPr>
  </w:style>
  <w:style w:type="paragraph" w:customStyle="1" w:styleId="subsection">
    <w:name w:val="subsection"/>
    <w:aliases w:val="ss,t_Main,Subsection"/>
    <w:basedOn w:val="OPCParaBase"/>
    <w:link w:val="subsectionChar"/>
    <w:rsid w:val="006F4E4E"/>
    <w:pPr>
      <w:tabs>
        <w:tab w:val="right" w:pos="1021"/>
      </w:tabs>
      <w:spacing w:before="180" w:line="240" w:lineRule="auto"/>
      <w:ind w:left="1134" w:hanging="1134"/>
    </w:pPr>
  </w:style>
  <w:style w:type="paragraph" w:customStyle="1" w:styleId="Definition">
    <w:name w:val="Definition"/>
    <w:aliases w:val="dd,t_Defn"/>
    <w:basedOn w:val="OPCParaBase"/>
    <w:rsid w:val="006F4E4E"/>
    <w:pPr>
      <w:spacing w:before="180" w:line="240" w:lineRule="auto"/>
      <w:ind w:left="1134"/>
    </w:pPr>
  </w:style>
  <w:style w:type="paragraph" w:customStyle="1" w:styleId="EndNotespara">
    <w:name w:val="EndNotes(para)"/>
    <w:aliases w:val="eta"/>
    <w:basedOn w:val="OPCParaBase"/>
    <w:next w:val="EndNotessubpara"/>
    <w:rsid w:val="006F4E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4E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4E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4E4E"/>
    <w:pPr>
      <w:tabs>
        <w:tab w:val="right" w:pos="1412"/>
      </w:tabs>
      <w:spacing w:before="60" w:line="240" w:lineRule="auto"/>
      <w:ind w:left="1525" w:hanging="1525"/>
    </w:pPr>
    <w:rPr>
      <w:sz w:val="20"/>
    </w:rPr>
  </w:style>
  <w:style w:type="paragraph" w:customStyle="1" w:styleId="Formula">
    <w:name w:val="Formula"/>
    <w:basedOn w:val="OPCParaBase"/>
    <w:rsid w:val="006F4E4E"/>
    <w:pPr>
      <w:spacing w:line="240" w:lineRule="auto"/>
      <w:ind w:left="1134"/>
    </w:pPr>
    <w:rPr>
      <w:sz w:val="20"/>
    </w:rPr>
  </w:style>
  <w:style w:type="paragraph" w:styleId="Header">
    <w:name w:val="header"/>
    <w:basedOn w:val="OPCParaBase"/>
    <w:link w:val="HeaderChar"/>
    <w:unhideWhenUsed/>
    <w:rsid w:val="006F4E4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F4E4E"/>
    <w:rPr>
      <w:rFonts w:eastAsia="Times New Roman" w:cs="Times New Roman"/>
      <w:sz w:val="16"/>
      <w:lang w:eastAsia="en-AU"/>
    </w:rPr>
  </w:style>
  <w:style w:type="paragraph" w:customStyle="1" w:styleId="House">
    <w:name w:val="House"/>
    <w:basedOn w:val="OPCParaBase"/>
    <w:rsid w:val="006F4E4E"/>
    <w:pPr>
      <w:spacing w:line="240" w:lineRule="auto"/>
    </w:pPr>
    <w:rPr>
      <w:sz w:val="28"/>
    </w:rPr>
  </w:style>
  <w:style w:type="paragraph" w:customStyle="1" w:styleId="Item">
    <w:name w:val="Item"/>
    <w:aliases w:val="i"/>
    <w:basedOn w:val="OPCParaBase"/>
    <w:next w:val="ItemHead"/>
    <w:rsid w:val="006F4E4E"/>
    <w:pPr>
      <w:keepLines/>
      <w:spacing w:before="80" w:line="240" w:lineRule="auto"/>
      <w:ind w:left="709"/>
    </w:pPr>
  </w:style>
  <w:style w:type="paragraph" w:customStyle="1" w:styleId="ItemHead">
    <w:name w:val="ItemHead"/>
    <w:aliases w:val="ih"/>
    <w:basedOn w:val="OPCParaBase"/>
    <w:next w:val="Item"/>
    <w:rsid w:val="006F4E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4E4E"/>
    <w:pPr>
      <w:spacing w:line="240" w:lineRule="auto"/>
    </w:pPr>
    <w:rPr>
      <w:b/>
      <w:sz w:val="32"/>
    </w:rPr>
  </w:style>
  <w:style w:type="paragraph" w:customStyle="1" w:styleId="notedraft">
    <w:name w:val="note(draft)"/>
    <w:aliases w:val="nd"/>
    <w:basedOn w:val="OPCParaBase"/>
    <w:rsid w:val="006F4E4E"/>
    <w:pPr>
      <w:spacing w:before="240" w:line="240" w:lineRule="auto"/>
      <w:ind w:left="284" w:hanging="284"/>
    </w:pPr>
    <w:rPr>
      <w:i/>
      <w:sz w:val="24"/>
    </w:rPr>
  </w:style>
  <w:style w:type="paragraph" w:customStyle="1" w:styleId="notemargin">
    <w:name w:val="note(margin)"/>
    <w:aliases w:val="nm,n_to_Heading"/>
    <w:basedOn w:val="OPCParaBase"/>
    <w:rsid w:val="006F4E4E"/>
    <w:pPr>
      <w:tabs>
        <w:tab w:val="left" w:pos="709"/>
      </w:tabs>
      <w:spacing w:before="122" w:line="198" w:lineRule="exact"/>
      <w:ind w:left="709" w:hanging="709"/>
    </w:pPr>
    <w:rPr>
      <w:sz w:val="18"/>
    </w:rPr>
  </w:style>
  <w:style w:type="paragraph" w:customStyle="1" w:styleId="noteToPara">
    <w:name w:val="noteToPara"/>
    <w:aliases w:val="ntp"/>
    <w:basedOn w:val="OPCParaBase"/>
    <w:rsid w:val="006F4E4E"/>
    <w:pPr>
      <w:spacing w:before="122" w:line="198" w:lineRule="exact"/>
      <w:ind w:left="2353" w:hanging="709"/>
    </w:pPr>
    <w:rPr>
      <w:sz w:val="18"/>
    </w:rPr>
  </w:style>
  <w:style w:type="paragraph" w:customStyle="1" w:styleId="noteParlAmend">
    <w:name w:val="note(ParlAmend)"/>
    <w:aliases w:val="npp"/>
    <w:basedOn w:val="OPCParaBase"/>
    <w:next w:val="ParlAmend"/>
    <w:rsid w:val="006F4E4E"/>
    <w:pPr>
      <w:spacing w:line="240" w:lineRule="auto"/>
      <w:jc w:val="right"/>
    </w:pPr>
    <w:rPr>
      <w:rFonts w:ascii="Arial" w:hAnsi="Arial"/>
      <w:b/>
      <w:i/>
    </w:rPr>
  </w:style>
  <w:style w:type="paragraph" w:customStyle="1" w:styleId="Page1">
    <w:name w:val="Page1"/>
    <w:basedOn w:val="OPCParaBase"/>
    <w:rsid w:val="006F4E4E"/>
    <w:pPr>
      <w:spacing w:before="5600" w:line="240" w:lineRule="auto"/>
    </w:pPr>
    <w:rPr>
      <w:b/>
      <w:sz w:val="32"/>
    </w:rPr>
  </w:style>
  <w:style w:type="paragraph" w:customStyle="1" w:styleId="PageBreak">
    <w:name w:val="PageBreak"/>
    <w:aliases w:val="pb"/>
    <w:basedOn w:val="OPCParaBase"/>
    <w:rsid w:val="006F4E4E"/>
    <w:pPr>
      <w:spacing w:line="240" w:lineRule="auto"/>
    </w:pPr>
    <w:rPr>
      <w:sz w:val="20"/>
    </w:rPr>
  </w:style>
  <w:style w:type="paragraph" w:customStyle="1" w:styleId="paragraphsub">
    <w:name w:val="paragraph(sub)"/>
    <w:aliases w:val="aa,t_Subpara"/>
    <w:basedOn w:val="OPCParaBase"/>
    <w:rsid w:val="006F4E4E"/>
    <w:pPr>
      <w:tabs>
        <w:tab w:val="right" w:pos="1985"/>
      </w:tabs>
      <w:spacing w:before="40" w:line="240" w:lineRule="auto"/>
      <w:ind w:left="2098" w:hanging="2098"/>
    </w:pPr>
  </w:style>
  <w:style w:type="paragraph" w:customStyle="1" w:styleId="paragraphsub-sub">
    <w:name w:val="paragraph(sub-sub)"/>
    <w:aliases w:val="aaa"/>
    <w:basedOn w:val="OPCParaBase"/>
    <w:rsid w:val="006F4E4E"/>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6F4E4E"/>
    <w:pPr>
      <w:tabs>
        <w:tab w:val="right" w:pos="1531"/>
      </w:tabs>
      <w:spacing w:before="40" w:line="240" w:lineRule="auto"/>
      <w:ind w:left="1644" w:hanging="1644"/>
    </w:pPr>
  </w:style>
  <w:style w:type="paragraph" w:customStyle="1" w:styleId="ParlAmend">
    <w:name w:val="ParlAmend"/>
    <w:aliases w:val="pp"/>
    <w:basedOn w:val="OPCParaBase"/>
    <w:rsid w:val="006F4E4E"/>
    <w:pPr>
      <w:spacing w:before="240" w:line="240" w:lineRule="atLeast"/>
      <w:ind w:hanging="567"/>
    </w:pPr>
    <w:rPr>
      <w:sz w:val="24"/>
    </w:rPr>
  </w:style>
  <w:style w:type="paragraph" w:customStyle="1" w:styleId="Penalty">
    <w:name w:val="Penalty"/>
    <w:basedOn w:val="OPCParaBase"/>
    <w:rsid w:val="006F4E4E"/>
    <w:pPr>
      <w:tabs>
        <w:tab w:val="left" w:pos="2977"/>
      </w:tabs>
      <w:spacing w:before="180" w:line="240" w:lineRule="auto"/>
      <w:ind w:left="1985" w:hanging="851"/>
    </w:pPr>
  </w:style>
  <w:style w:type="paragraph" w:customStyle="1" w:styleId="Portfolio">
    <w:name w:val="Portfolio"/>
    <w:basedOn w:val="OPCParaBase"/>
    <w:rsid w:val="006F4E4E"/>
    <w:pPr>
      <w:spacing w:line="240" w:lineRule="auto"/>
    </w:pPr>
    <w:rPr>
      <w:i/>
      <w:sz w:val="20"/>
    </w:rPr>
  </w:style>
  <w:style w:type="paragraph" w:customStyle="1" w:styleId="Preamble">
    <w:name w:val="Preamble"/>
    <w:basedOn w:val="OPCParaBase"/>
    <w:next w:val="Normal"/>
    <w:rsid w:val="006F4E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4E4E"/>
    <w:pPr>
      <w:spacing w:line="240" w:lineRule="auto"/>
    </w:pPr>
    <w:rPr>
      <w:i/>
      <w:sz w:val="20"/>
    </w:rPr>
  </w:style>
  <w:style w:type="paragraph" w:customStyle="1" w:styleId="Session">
    <w:name w:val="Session"/>
    <w:basedOn w:val="OPCParaBase"/>
    <w:rsid w:val="006F4E4E"/>
    <w:pPr>
      <w:spacing w:line="240" w:lineRule="auto"/>
    </w:pPr>
    <w:rPr>
      <w:sz w:val="28"/>
    </w:rPr>
  </w:style>
  <w:style w:type="paragraph" w:customStyle="1" w:styleId="Sponsor">
    <w:name w:val="Sponsor"/>
    <w:basedOn w:val="OPCParaBase"/>
    <w:rsid w:val="006F4E4E"/>
    <w:pPr>
      <w:spacing w:line="240" w:lineRule="auto"/>
    </w:pPr>
    <w:rPr>
      <w:i/>
    </w:rPr>
  </w:style>
  <w:style w:type="paragraph" w:customStyle="1" w:styleId="Subitem">
    <w:name w:val="Subitem"/>
    <w:aliases w:val="iss"/>
    <w:basedOn w:val="OPCParaBase"/>
    <w:rsid w:val="006F4E4E"/>
    <w:pPr>
      <w:spacing w:before="180" w:line="240" w:lineRule="auto"/>
      <w:ind w:left="709" w:hanging="709"/>
    </w:pPr>
  </w:style>
  <w:style w:type="paragraph" w:customStyle="1" w:styleId="SubitemHead">
    <w:name w:val="SubitemHead"/>
    <w:aliases w:val="issh"/>
    <w:basedOn w:val="OPCParaBase"/>
    <w:rsid w:val="006F4E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4E4E"/>
    <w:pPr>
      <w:spacing w:before="40" w:line="240" w:lineRule="auto"/>
      <w:ind w:left="1134"/>
    </w:pPr>
  </w:style>
  <w:style w:type="paragraph" w:customStyle="1" w:styleId="SubsectionHead">
    <w:name w:val="SubsectionHead"/>
    <w:aliases w:val="ssh,h6_Subsec"/>
    <w:basedOn w:val="OPCParaBase"/>
    <w:next w:val="subsection"/>
    <w:rsid w:val="006F4E4E"/>
    <w:pPr>
      <w:keepNext/>
      <w:keepLines/>
      <w:spacing w:before="240" w:line="240" w:lineRule="auto"/>
      <w:ind w:left="1134"/>
    </w:pPr>
    <w:rPr>
      <w:i/>
    </w:rPr>
  </w:style>
  <w:style w:type="paragraph" w:customStyle="1" w:styleId="Tablea">
    <w:name w:val="Table(a)"/>
    <w:aliases w:val="ta"/>
    <w:basedOn w:val="OPCParaBase"/>
    <w:rsid w:val="006F4E4E"/>
    <w:pPr>
      <w:spacing w:before="60" w:line="240" w:lineRule="auto"/>
      <w:ind w:left="284" w:hanging="284"/>
    </w:pPr>
    <w:rPr>
      <w:sz w:val="20"/>
    </w:rPr>
  </w:style>
  <w:style w:type="paragraph" w:customStyle="1" w:styleId="TableAA">
    <w:name w:val="Table(AA)"/>
    <w:aliases w:val="taaa"/>
    <w:basedOn w:val="OPCParaBase"/>
    <w:rsid w:val="006F4E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4E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4E4E"/>
    <w:pPr>
      <w:spacing w:before="60" w:line="240" w:lineRule="atLeast"/>
    </w:pPr>
    <w:rPr>
      <w:sz w:val="20"/>
    </w:rPr>
  </w:style>
  <w:style w:type="paragraph" w:customStyle="1" w:styleId="TLPBoxTextnote">
    <w:name w:val="TLPBoxText(note"/>
    <w:aliases w:val="right)"/>
    <w:basedOn w:val="OPCParaBase"/>
    <w:rsid w:val="006F4E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4E4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4E4E"/>
    <w:pPr>
      <w:spacing w:before="122" w:line="198" w:lineRule="exact"/>
      <w:ind w:left="1985" w:hanging="851"/>
      <w:jc w:val="right"/>
    </w:pPr>
    <w:rPr>
      <w:sz w:val="18"/>
    </w:rPr>
  </w:style>
  <w:style w:type="paragraph" w:customStyle="1" w:styleId="TLPTableBullet">
    <w:name w:val="TLPTableBullet"/>
    <w:aliases w:val="ttb"/>
    <w:basedOn w:val="OPCParaBase"/>
    <w:rsid w:val="006F4E4E"/>
    <w:pPr>
      <w:spacing w:line="240" w:lineRule="exact"/>
      <w:ind w:left="284" w:hanging="284"/>
    </w:pPr>
    <w:rPr>
      <w:sz w:val="20"/>
    </w:rPr>
  </w:style>
  <w:style w:type="paragraph" w:styleId="TOC1">
    <w:name w:val="toc 1"/>
    <w:basedOn w:val="OPCParaBase"/>
    <w:next w:val="Normal"/>
    <w:uiPriority w:val="39"/>
    <w:unhideWhenUsed/>
    <w:rsid w:val="006F4E4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4E4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F4E4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F4E4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F4E4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F4E4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F4E4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F4E4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F4E4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F4E4E"/>
    <w:pPr>
      <w:keepLines/>
      <w:spacing w:before="240" w:after="120" w:line="240" w:lineRule="auto"/>
      <w:ind w:left="794"/>
    </w:pPr>
    <w:rPr>
      <w:b/>
      <w:kern w:val="28"/>
      <w:sz w:val="20"/>
    </w:rPr>
  </w:style>
  <w:style w:type="paragraph" w:customStyle="1" w:styleId="TofSectsHeading">
    <w:name w:val="TofSects(Heading)"/>
    <w:basedOn w:val="OPCParaBase"/>
    <w:rsid w:val="006F4E4E"/>
    <w:pPr>
      <w:spacing w:before="240" w:after="120" w:line="240" w:lineRule="auto"/>
    </w:pPr>
    <w:rPr>
      <w:b/>
      <w:sz w:val="24"/>
    </w:rPr>
  </w:style>
  <w:style w:type="paragraph" w:customStyle="1" w:styleId="TofSectsSection">
    <w:name w:val="TofSects(Section)"/>
    <w:basedOn w:val="OPCParaBase"/>
    <w:rsid w:val="006F4E4E"/>
    <w:pPr>
      <w:keepLines/>
      <w:spacing w:before="40" w:line="240" w:lineRule="auto"/>
      <w:ind w:left="1588" w:hanging="794"/>
    </w:pPr>
    <w:rPr>
      <w:kern w:val="28"/>
      <w:sz w:val="18"/>
    </w:rPr>
  </w:style>
  <w:style w:type="paragraph" w:customStyle="1" w:styleId="TofSectsSubdiv">
    <w:name w:val="TofSects(Subdiv)"/>
    <w:basedOn w:val="OPCParaBase"/>
    <w:rsid w:val="006F4E4E"/>
    <w:pPr>
      <w:keepLines/>
      <w:spacing w:before="80" w:line="240" w:lineRule="auto"/>
      <w:ind w:left="1588" w:hanging="794"/>
    </w:pPr>
    <w:rPr>
      <w:kern w:val="28"/>
    </w:rPr>
  </w:style>
  <w:style w:type="paragraph" w:customStyle="1" w:styleId="WRStyle">
    <w:name w:val="WR Style"/>
    <w:aliases w:val="WR"/>
    <w:basedOn w:val="OPCParaBase"/>
    <w:rsid w:val="006F4E4E"/>
    <w:pPr>
      <w:spacing w:before="240" w:line="240" w:lineRule="auto"/>
      <w:ind w:left="284" w:hanging="284"/>
    </w:pPr>
    <w:rPr>
      <w:b/>
      <w:i/>
      <w:kern w:val="28"/>
      <w:sz w:val="24"/>
    </w:rPr>
  </w:style>
  <w:style w:type="paragraph" w:customStyle="1" w:styleId="notepara">
    <w:name w:val="note(para)"/>
    <w:aliases w:val="na,n_Para"/>
    <w:basedOn w:val="OPCParaBase"/>
    <w:rsid w:val="006F4E4E"/>
    <w:pPr>
      <w:spacing w:before="40" w:line="198" w:lineRule="exact"/>
      <w:ind w:left="2354" w:hanging="369"/>
    </w:pPr>
    <w:rPr>
      <w:sz w:val="18"/>
    </w:rPr>
  </w:style>
  <w:style w:type="paragraph" w:styleId="Footer">
    <w:name w:val="footer"/>
    <w:link w:val="FooterChar"/>
    <w:rsid w:val="006F4E4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F4E4E"/>
    <w:rPr>
      <w:rFonts w:eastAsia="Times New Roman" w:cs="Times New Roman"/>
      <w:sz w:val="22"/>
      <w:szCs w:val="24"/>
      <w:lang w:eastAsia="en-AU"/>
    </w:rPr>
  </w:style>
  <w:style w:type="character" w:styleId="LineNumber">
    <w:name w:val="line number"/>
    <w:basedOn w:val="OPCCharBase"/>
    <w:uiPriority w:val="99"/>
    <w:semiHidden/>
    <w:unhideWhenUsed/>
    <w:rsid w:val="006F4E4E"/>
    <w:rPr>
      <w:sz w:val="16"/>
    </w:rPr>
  </w:style>
  <w:style w:type="table" w:customStyle="1" w:styleId="CFlag">
    <w:name w:val="CFlag"/>
    <w:basedOn w:val="TableNormal"/>
    <w:uiPriority w:val="99"/>
    <w:rsid w:val="006F4E4E"/>
    <w:rPr>
      <w:rFonts w:eastAsia="Times New Roman" w:cs="Times New Roman"/>
      <w:lang w:eastAsia="en-AU"/>
    </w:rPr>
    <w:tblPr/>
  </w:style>
  <w:style w:type="paragraph" w:styleId="BalloonText">
    <w:name w:val="Balloon Text"/>
    <w:basedOn w:val="Normal"/>
    <w:link w:val="BalloonTextChar"/>
    <w:uiPriority w:val="99"/>
    <w:semiHidden/>
    <w:unhideWhenUsed/>
    <w:rsid w:val="006F4E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E4E"/>
    <w:rPr>
      <w:rFonts w:ascii="Tahoma" w:hAnsi="Tahoma" w:cs="Tahoma"/>
      <w:sz w:val="16"/>
      <w:szCs w:val="16"/>
    </w:rPr>
  </w:style>
  <w:style w:type="table" w:styleId="TableGrid">
    <w:name w:val="Table Grid"/>
    <w:basedOn w:val="TableNormal"/>
    <w:uiPriority w:val="59"/>
    <w:rsid w:val="006F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F4E4E"/>
    <w:rPr>
      <w:b/>
      <w:sz w:val="28"/>
      <w:szCs w:val="32"/>
    </w:rPr>
  </w:style>
  <w:style w:type="paragraph" w:customStyle="1" w:styleId="LegislationMadeUnder">
    <w:name w:val="LegislationMadeUnder"/>
    <w:basedOn w:val="OPCParaBase"/>
    <w:next w:val="Normal"/>
    <w:rsid w:val="006F4E4E"/>
    <w:rPr>
      <w:i/>
      <w:sz w:val="32"/>
      <w:szCs w:val="32"/>
    </w:rPr>
  </w:style>
  <w:style w:type="paragraph" w:customStyle="1" w:styleId="ActHead10">
    <w:name w:val="ActHead 10"/>
    <w:aliases w:val="sp"/>
    <w:basedOn w:val="OPCParaBase"/>
    <w:next w:val="ActHead3"/>
    <w:rsid w:val="006F4E4E"/>
    <w:pPr>
      <w:keepNext/>
      <w:spacing w:before="280" w:line="240" w:lineRule="auto"/>
      <w:outlineLvl w:val="1"/>
    </w:pPr>
    <w:rPr>
      <w:b/>
      <w:sz w:val="32"/>
      <w:szCs w:val="30"/>
    </w:rPr>
  </w:style>
  <w:style w:type="paragraph" w:customStyle="1" w:styleId="SignCoverPageEnd">
    <w:name w:val="SignCoverPageEnd"/>
    <w:basedOn w:val="OPCParaBase"/>
    <w:next w:val="Normal"/>
    <w:rsid w:val="006F4E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F4E4E"/>
    <w:pPr>
      <w:pBdr>
        <w:top w:val="single" w:sz="4" w:space="1" w:color="auto"/>
      </w:pBdr>
      <w:spacing w:before="360"/>
      <w:ind w:right="397"/>
      <w:jc w:val="both"/>
    </w:pPr>
  </w:style>
  <w:style w:type="paragraph" w:customStyle="1" w:styleId="NotesHeading1">
    <w:name w:val="NotesHeading 1"/>
    <w:basedOn w:val="OPCParaBase"/>
    <w:next w:val="Normal"/>
    <w:rsid w:val="006F4E4E"/>
    <w:pPr>
      <w:outlineLvl w:val="0"/>
    </w:pPr>
    <w:rPr>
      <w:b/>
      <w:sz w:val="28"/>
      <w:szCs w:val="28"/>
    </w:rPr>
  </w:style>
  <w:style w:type="paragraph" w:customStyle="1" w:styleId="NotesHeading2">
    <w:name w:val="NotesHeading 2"/>
    <w:basedOn w:val="OPCParaBase"/>
    <w:next w:val="Normal"/>
    <w:rsid w:val="006F4E4E"/>
    <w:rPr>
      <w:b/>
      <w:sz w:val="28"/>
      <w:szCs w:val="28"/>
    </w:rPr>
  </w:style>
  <w:style w:type="paragraph" w:customStyle="1" w:styleId="CompiledActNo">
    <w:name w:val="CompiledActNo"/>
    <w:basedOn w:val="OPCParaBase"/>
    <w:next w:val="Normal"/>
    <w:rsid w:val="006F4E4E"/>
    <w:rPr>
      <w:b/>
      <w:sz w:val="24"/>
      <w:szCs w:val="24"/>
    </w:rPr>
  </w:style>
  <w:style w:type="paragraph" w:customStyle="1" w:styleId="ENotesText">
    <w:name w:val="ENotesText"/>
    <w:aliases w:val="Ent,ENt"/>
    <w:basedOn w:val="OPCParaBase"/>
    <w:next w:val="Normal"/>
    <w:rsid w:val="006F4E4E"/>
    <w:pPr>
      <w:spacing w:before="120"/>
    </w:pPr>
  </w:style>
  <w:style w:type="paragraph" w:customStyle="1" w:styleId="CompiledMadeUnder">
    <w:name w:val="CompiledMadeUnder"/>
    <w:basedOn w:val="OPCParaBase"/>
    <w:next w:val="Normal"/>
    <w:rsid w:val="006F4E4E"/>
    <w:rPr>
      <w:i/>
      <w:sz w:val="24"/>
      <w:szCs w:val="24"/>
    </w:rPr>
  </w:style>
  <w:style w:type="paragraph" w:customStyle="1" w:styleId="Paragraphsub-sub-sub">
    <w:name w:val="Paragraph(sub-sub-sub)"/>
    <w:aliases w:val="aaaa"/>
    <w:basedOn w:val="OPCParaBase"/>
    <w:rsid w:val="006F4E4E"/>
    <w:pPr>
      <w:tabs>
        <w:tab w:val="right" w:pos="3402"/>
      </w:tabs>
      <w:spacing w:before="40" w:line="240" w:lineRule="auto"/>
      <w:ind w:left="3402" w:hanging="3402"/>
    </w:pPr>
  </w:style>
  <w:style w:type="paragraph" w:customStyle="1" w:styleId="TableTextEndNotes">
    <w:name w:val="TableTextEndNotes"/>
    <w:aliases w:val="Tten"/>
    <w:basedOn w:val="Normal"/>
    <w:rsid w:val="006F4E4E"/>
    <w:pPr>
      <w:spacing w:before="60" w:line="240" w:lineRule="auto"/>
    </w:pPr>
    <w:rPr>
      <w:rFonts w:cs="Arial"/>
      <w:sz w:val="20"/>
      <w:szCs w:val="22"/>
    </w:rPr>
  </w:style>
  <w:style w:type="paragraph" w:customStyle="1" w:styleId="TableHeading">
    <w:name w:val="TableHeading"/>
    <w:aliases w:val="th"/>
    <w:basedOn w:val="OPCParaBase"/>
    <w:next w:val="Tabletext"/>
    <w:rsid w:val="006F4E4E"/>
    <w:pPr>
      <w:keepNext/>
      <w:spacing w:before="60" w:line="240" w:lineRule="atLeast"/>
    </w:pPr>
    <w:rPr>
      <w:b/>
      <w:sz w:val="20"/>
    </w:rPr>
  </w:style>
  <w:style w:type="paragraph" w:customStyle="1" w:styleId="NoteToSubpara">
    <w:name w:val="NoteToSubpara"/>
    <w:aliases w:val="nts"/>
    <w:basedOn w:val="OPCParaBase"/>
    <w:rsid w:val="006F4E4E"/>
    <w:pPr>
      <w:spacing w:before="40" w:line="198" w:lineRule="exact"/>
      <w:ind w:left="2835" w:hanging="709"/>
    </w:pPr>
    <w:rPr>
      <w:sz w:val="18"/>
    </w:rPr>
  </w:style>
  <w:style w:type="paragraph" w:customStyle="1" w:styleId="ENoteTableHeading">
    <w:name w:val="ENoteTableHeading"/>
    <w:aliases w:val="enth"/>
    <w:basedOn w:val="OPCParaBase"/>
    <w:rsid w:val="006F4E4E"/>
    <w:pPr>
      <w:keepNext/>
      <w:spacing w:before="60" w:line="240" w:lineRule="atLeast"/>
    </w:pPr>
    <w:rPr>
      <w:rFonts w:ascii="Arial" w:hAnsi="Arial"/>
      <w:b/>
      <w:sz w:val="16"/>
    </w:rPr>
  </w:style>
  <w:style w:type="paragraph" w:customStyle="1" w:styleId="ENoteTableText">
    <w:name w:val="ENoteTableText"/>
    <w:aliases w:val="entt"/>
    <w:basedOn w:val="OPCParaBase"/>
    <w:rsid w:val="006F4E4E"/>
    <w:pPr>
      <w:spacing w:before="60" w:line="240" w:lineRule="atLeast"/>
    </w:pPr>
    <w:rPr>
      <w:sz w:val="16"/>
    </w:rPr>
  </w:style>
  <w:style w:type="paragraph" w:customStyle="1" w:styleId="ENoteTTi">
    <w:name w:val="ENoteTTi"/>
    <w:aliases w:val="entti"/>
    <w:basedOn w:val="OPCParaBase"/>
    <w:rsid w:val="006F4E4E"/>
    <w:pPr>
      <w:keepNext/>
      <w:spacing w:before="60" w:line="240" w:lineRule="atLeast"/>
      <w:ind w:left="170"/>
    </w:pPr>
    <w:rPr>
      <w:sz w:val="16"/>
    </w:rPr>
  </w:style>
  <w:style w:type="paragraph" w:customStyle="1" w:styleId="ENoteTTIndentHeading">
    <w:name w:val="ENoteTTIndentHeading"/>
    <w:aliases w:val="enTTHi"/>
    <w:basedOn w:val="OPCParaBase"/>
    <w:rsid w:val="006F4E4E"/>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6F4E4E"/>
    <w:pPr>
      <w:spacing w:before="120"/>
      <w:outlineLvl w:val="1"/>
    </w:pPr>
    <w:rPr>
      <w:b/>
      <w:sz w:val="28"/>
      <w:szCs w:val="28"/>
    </w:rPr>
  </w:style>
  <w:style w:type="paragraph" w:customStyle="1" w:styleId="ENotesHeading2">
    <w:name w:val="ENotesHeading 2"/>
    <w:aliases w:val="Enh2,ENh2"/>
    <w:basedOn w:val="OPCParaBase"/>
    <w:next w:val="Normal"/>
    <w:rsid w:val="006F4E4E"/>
    <w:pPr>
      <w:spacing w:before="120" w:after="120"/>
      <w:outlineLvl w:val="2"/>
    </w:pPr>
    <w:rPr>
      <w:b/>
      <w:sz w:val="24"/>
      <w:szCs w:val="28"/>
    </w:rPr>
  </w:style>
  <w:style w:type="paragraph" w:customStyle="1" w:styleId="MadeunderText">
    <w:name w:val="MadeunderText"/>
    <w:basedOn w:val="OPCParaBase"/>
    <w:next w:val="CompiledMadeUnder"/>
    <w:rsid w:val="006F4E4E"/>
    <w:pPr>
      <w:spacing w:before="240"/>
    </w:pPr>
    <w:rPr>
      <w:sz w:val="24"/>
      <w:szCs w:val="24"/>
    </w:rPr>
  </w:style>
  <w:style w:type="paragraph" w:customStyle="1" w:styleId="ENotesHeading3">
    <w:name w:val="ENotesHeading 3"/>
    <w:aliases w:val="Enh3"/>
    <w:basedOn w:val="OPCParaBase"/>
    <w:next w:val="Normal"/>
    <w:rsid w:val="006F4E4E"/>
    <w:pPr>
      <w:keepNext/>
      <w:spacing w:before="120" w:line="240" w:lineRule="auto"/>
      <w:outlineLvl w:val="4"/>
    </w:pPr>
    <w:rPr>
      <w:b/>
      <w:szCs w:val="24"/>
    </w:rPr>
  </w:style>
  <w:style w:type="paragraph" w:customStyle="1" w:styleId="SubPartCASA">
    <w:name w:val="SubPart(CASA)"/>
    <w:aliases w:val="csp"/>
    <w:basedOn w:val="OPCParaBase"/>
    <w:next w:val="ActHead3"/>
    <w:rsid w:val="006F4E4E"/>
    <w:pPr>
      <w:keepNext/>
      <w:keepLines/>
      <w:spacing w:before="280"/>
      <w:outlineLvl w:val="1"/>
    </w:pPr>
    <w:rPr>
      <w:b/>
      <w:kern w:val="28"/>
      <w:sz w:val="32"/>
    </w:rPr>
  </w:style>
  <w:style w:type="character" w:customStyle="1" w:styleId="CharSubPartTextCASA">
    <w:name w:val="CharSubPartText(CASA)"/>
    <w:basedOn w:val="OPCCharBase"/>
    <w:uiPriority w:val="1"/>
    <w:rsid w:val="006F4E4E"/>
  </w:style>
  <w:style w:type="character" w:customStyle="1" w:styleId="CharSubPartNoCASA">
    <w:name w:val="CharSubPartNo(CASA)"/>
    <w:basedOn w:val="OPCCharBase"/>
    <w:uiPriority w:val="1"/>
    <w:rsid w:val="006F4E4E"/>
  </w:style>
  <w:style w:type="paragraph" w:customStyle="1" w:styleId="ENoteTTIndentHeadingSub">
    <w:name w:val="ENoteTTIndentHeadingSub"/>
    <w:aliases w:val="enTTHis"/>
    <w:basedOn w:val="OPCParaBase"/>
    <w:rsid w:val="006F4E4E"/>
    <w:pPr>
      <w:keepNext/>
      <w:spacing w:before="60" w:line="240" w:lineRule="atLeast"/>
      <w:ind w:left="340"/>
    </w:pPr>
    <w:rPr>
      <w:b/>
      <w:sz w:val="16"/>
    </w:rPr>
  </w:style>
  <w:style w:type="paragraph" w:customStyle="1" w:styleId="ENoteTTiSub">
    <w:name w:val="ENoteTTiSub"/>
    <w:aliases w:val="enttis"/>
    <w:basedOn w:val="OPCParaBase"/>
    <w:rsid w:val="006F4E4E"/>
    <w:pPr>
      <w:keepNext/>
      <w:spacing w:before="60" w:line="240" w:lineRule="atLeast"/>
      <w:ind w:left="340"/>
    </w:pPr>
    <w:rPr>
      <w:sz w:val="16"/>
    </w:rPr>
  </w:style>
  <w:style w:type="paragraph" w:customStyle="1" w:styleId="SubDivisionMigration">
    <w:name w:val="SubDivisionMigration"/>
    <w:aliases w:val="sdm"/>
    <w:basedOn w:val="OPCParaBase"/>
    <w:rsid w:val="006F4E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4E4E"/>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6F4E4E"/>
    <w:pPr>
      <w:spacing w:before="122" w:line="240" w:lineRule="auto"/>
      <w:ind w:left="1985" w:hanging="851"/>
    </w:pPr>
    <w:rPr>
      <w:sz w:val="18"/>
    </w:rPr>
  </w:style>
  <w:style w:type="paragraph" w:styleId="Revision">
    <w:name w:val="Revision"/>
    <w:hidden/>
    <w:uiPriority w:val="99"/>
    <w:semiHidden/>
    <w:rsid w:val="007335AF"/>
    <w:rPr>
      <w:sz w:val="22"/>
    </w:rPr>
  </w:style>
  <w:style w:type="paragraph" w:customStyle="1" w:styleId="HeaderBoldEven">
    <w:name w:val="HeaderBoldEven"/>
    <w:basedOn w:val="Normal"/>
    <w:rsid w:val="00CD356E"/>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CD356E"/>
    <w:pPr>
      <w:spacing w:before="120" w:after="60" w:line="240" w:lineRule="auto"/>
      <w:jc w:val="right"/>
    </w:pPr>
    <w:rPr>
      <w:rFonts w:ascii="Arial" w:eastAsia="Times New Roman" w:hAnsi="Arial" w:cs="Times New Roman"/>
      <w:b/>
      <w:sz w:val="20"/>
      <w:szCs w:val="24"/>
    </w:rPr>
  </w:style>
  <w:style w:type="paragraph" w:customStyle="1" w:styleId="HeaderLiteEven">
    <w:name w:val="HeaderLiteEven"/>
    <w:basedOn w:val="Normal"/>
    <w:rsid w:val="00CD356E"/>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ContentsPage">
    <w:name w:val="HeaderContents&quot;Page&quot;"/>
    <w:basedOn w:val="Normal"/>
    <w:rsid w:val="00CD356E"/>
    <w:pPr>
      <w:spacing w:before="120" w:after="120" w:line="240" w:lineRule="auto"/>
      <w:jc w:val="right"/>
    </w:pPr>
    <w:rPr>
      <w:rFonts w:ascii="Arial" w:eastAsia="Times New Roman" w:hAnsi="Arial" w:cs="Times New Roman"/>
      <w:sz w:val="20"/>
      <w:szCs w:val="24"/>
    </w:rPr>
  </w:style>
  <w:style w:type="paragraph" w:customStyle="1" w:styleId="HeaderLiteOdd">
    <w:name w:val="HeaderLiteOdd"/>
    <w:basedOn w:val="Normal"/>
    <w:rsid w:val="00CD356E"/>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ContentsSectionBreak">
    <w:name w:val="ContentsSectionBreak"/>
    <w:basedOn w:val="Normal"/>
    <w:next w:val="Normal"/>
    <w:rsid w:val="00CD356E"/>
    <w:pPr>
      <w:spacing w:line="240" w:lineRule="auto"/>
    </w:pPr>
    <w:rPr>
      <w:rFonts w:eastAsia="Times New Roman" w:cs="Times New Roman"/>
      <w:sz w:val="24"/>
      <w:szCs w:val="24"/>
    </w:rPr>
  </w:style>
  <w:style w:type="paragraph" w:customStyle="1" w:styleId="definition0">
    <w:name w:val="definition"/>
    <w:basedOn w:val="Normal"/>
    <w:rsid w:val="00CD356E"/>
    <w:pPr>
      <w:spacing w:before="80" w:line="260" w:lineRule="exact"/>
      <w:ind w:left="964"/>
      <w:jc w:val="both"/>
    </w:pPr>
    <w:rPr>
      <w:rFonts w:eastAsia="Times New Roman" w:cs="Times New Roman"/>
      <w:sz w:val="24"/>
      <w:szCs w:val="24"/>
    </w:rPr>
  </w:style>
  <w:style w:type="paragraph" w:customStyle="1" w:styleId="HP">
    <w:name w:val="HP"/>
    <w:aliases w:val="Part Heading"/>
    <w:basedOn w:val="Normal"/>
    <w:next w:val="Normal"/>
    <w:rsid w:val="00CD356E"/>
    <w:pPr>
      <w:keepNext/>
      <w:spacing w:before="36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R1"/>
    <w:rsid w:val="00CD356E"/>
    <w:pPr>
      <w:keepNext/>
      <w:spacing w:before="360" w:line="240" w:lineRule="auto"/>
      <w:ind w:left="964" w:hanging="964"/>
    </w:pPr>
    <w:rPr>
      <w:rFonts w:ascii="Arial" w:eastAsia="Times New Roman" w:hAnsi="Arial" w:cs="Times New Roman"/>
      <w:b/>
      <w:sz w:val="24"/>
      <w:szCs w:val="24"/>
    </w:rPr>
  </w:style>
  <w:style w:type="paragraph" w:customStyle="1" w:styleId="Note">
    <w:name w:val="Note"/>
    <w:basedOn w:val="Normal"/>
    <w:rsid w:val="00CD356E"/>
    <w:pPr>
      <w:spacing w:before="120" w:line="220" w:lineRule="exact"/>
      <w:ind w:left="964"/>
      <w:jc w:val="both"/>
    </w:pPr>
    <w:rPr>
      <w:rFonts w:eastAsia="Times New Roman" w:cs="Times New Roman"/>
      <w:sz w:val="20"/>
      <w:szCs w:val="24"/>
    </w:rPr>
  </w:style>
  <w:style w:type="paragraph" w:customStyle="1" w:styleId="P1">
    <w:name w:val="P1"/>
    <w:aliases w:val="(a)"/>
    <w:basedOn w:val="Normal"/>
    <w:rsid w:val="00CD356E"/>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CD356E"/>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P3">
    <w:name w:val="P3"/>
    <w:aliases w:val="(A)"/>
    <w:basedOn w:val="Normal"/>
    <w:rsid w:val="00CD356E"/>
    <w:pPr>
      <w:tabs>
        <w:tab w:val="right" w:pos="2410"/>
      </w:tabs>
      <w:spacing w:before="60" w:line="260" w:lineRule="exact"/>
      <w:ind w:left="2693" w:hanging="2693"/>
      <w:jc w:val="both"/>
    </w:pPr>
    <w:rPr>
      <w:rFonts w:eastAsia="Times New Roman" w:cs="Times New Roman"/>
      <w:sz w:val="24"/>
      <w:szCs w:val="24"/>
    </w:rPr>
  </w:style>
  <w:style w:type="paragraph" w:customStyle="1" w:styleId="R1">
    <w:name w:val="R1"/>
    <w:aliases w:val="1. or 1.(1)"/>
    <w:basedOn w:val="Normal"/>
    <w:next w:val="R2"/>
    <w:rsid w:val="00CD356E"/>
    <w:pPr>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CD356E"/>
    <w:pPr>
      <w:tabs>
        <w:tab w:val="right" w:pos="794"/>
      </w:tabs>
      <w:spacing w:before="180" w:line="260" w:lineRule="exact"/>
      <w:ind w:left="964" w:hanging="964"/>
      <w:jc w:val="both"/>
    </w:pPr>
    <w:rPr>
      <w:rFonts w:eastAsia="Times New Roman" w:cs="Times New Roman"/>
      <w:sz w:val="24"/>
      <w:szCs w:val="24"/>
    </w:rPr>
  </w:style>
  <w:style w:type="paragraph" w:customStyle="1" w:styleId="ZP1">
    <w:name w:val="ZP1"/>
    <w:basedOn w:val="P1"/>
    <w:rsid w:val="00CD356E"/>
    <w:pPr>
      <w:keepNext/>
    </w:pPr>
  </w:style>
  <w:style w:type="paragraph" w:customStyle="1" w:styleId="ZP2">
    <w:name w:val="ZP2"/>
    <w:basedOn w:val="P2"/>
    <w:rsid w:val="00CD356E"/>
    <w:pPr>
      <w:keepNext/>
    </w:pPr>
  </w:style>
  <w:style w:type="paragraph" w:customStyle="1" w:styleId="ZR1">
    <w:name w:val="ZR1"/>
    <w:basedOn w:val="R1"/>
    <w:rsid w:val="00CD356E"/>
    <w:pPr>
      <w:keepNext/>
    </w:pPr>
  </w:style>
  <w:style w:type="paragraph" w:customStyle="1" w:styleId="ZR2">
    <w:name w:val="ZR2"/>
    <w:basedOn w:val="R2"/>
    <w:rsid w:val="00CD356E"/>
    <w:pPr>
      <w:keepNext/>
    </w:pPr>
  </w:style>
  <w:style w:type="paragraph" w:customStyle="1" w:styleId="FreeForm">
    <w:name w:val="FreeForm"/>
    <w:rsid w:val="006F4E4E"/>
    <w:rPr>
      <w:rFonts w:ascii="Arial" w:hAnsi="Arial"/>
      <w:sz w:val="22"/>
    </w:rPr>
  </w:style>
  <w:style w:type="paragraph" w:customStyle="1" w:styleId="SOText">
    <w:name w:val="SO Text"/>
    <w:aliases w:val="sot"/>
    <w:link w:val="SOTextChar"/>
    <w:rsid w:val="006F4E4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F4E4E"/>
    <w:rPr>
      <w:sz w:val="22"/>
    </w:rPr>
  </w:style>
  <w:style w:type="paragraph" w:customStyle="1" w:styleId="SOTextNote">
    <w:name w:val="SO TextNote"/>
    <w:aliases w:val="sont"/>
    <w:basedOn w:val="SOText"/>
    <w:qFormat/>
    <w:rsid w:val="006F4E4E"/>
    <w:pPr>
      <w:spacing w:before="122" w:line="198" w:lineRule="exact"/>
      <w:ind w:left="1843" w:hanging="709"/>
    </w:pPr>
    <w:rPr>
      <w:sz w:val="18"/>
    </w:rPr>
  </w:style>
  <w:style w:type="paragraph" w:customStyle="1" w:styleId="SOPara">
    <w:name w:val="SO Para"/>
    <w:aliases w:val="soa"/>
    <w:basedOn w:val="SOText"/>
    <w:link w:val="SOParaChar"/>
    <w:qFormat/>
    <w:rsid w:val="006F4E4E"/>
    <w:pPr>
      <w:tabs>
        <w:tab w:val="right" w:pos="1786"/>
      </w:tabs>
      <w:spacing w:before="40"/>
      <w:ind w:left="2070" w:hanging="936"/>
    </w:pPr>
  </w:style>
  <w:style w:type="character" w:customStyle="1" w:styleId="SOParaChar">
    <w:name w:val="SO Para Char"/>
    <w:aliases w:val="soa Char"/>
    <w:basedOn w:val="DefaultParagraphFont"/>
    <w:link w:val="SOPara"/>
    <w:rsid w:val="006F4E4E"/>
    <w:rPr>
      <w:sz w:val="22"/>
    </w:rPr>
  </w:style>
  <w:style w:type="paragraph" w:customStyle="1" w:styleId="FileName">
    <w:name w:val="FileName"/>
    <w:basedOn w:val="Normal"/>
    <w:rsid w:val="006F4E4E"/>
  </w:style>
  <w:style w:type="paragraph" w:customStyle="1" w:styleId="SOHeadBold">
    <w:name w:val="SO HeadBold"/>
    <w:aliases w:val="sohb"/>
    <w:basedOn w:val="SOText"/>
    <w:next w:val="SOText"/>
    <w:link w:val="SOHeadBoldChar"/>
    <w:qFormat/>
    <w:rsid w:val="006F4E4E"/>
    <w:rPr>
      <w:b/>
    </w:rPr>
  </w:style>
  <w:style w:type="character" w:customStyle="1" w:styleId="SOHeadBoldChar">
    <w:name w:val="SO HeadBold Char"/>
    <w:aliases w:val="sohb Char"/>
    <w:basedOn w:val="DefaultParagraphFont"/>
    <w:link w:val="SOHeadBold"/>
    <w:rsid w:val="006F4E4E"/>
    <w:rPr>
      <w:b/>
      <w:sz w:val="22"/>
    </w:rPr>
  </w:style>
  <w:style w:type="paragraph" w:customStyle="1" w:styleId="SOHeadItalic">
    <w:name w:val="SO HeadItalic"/>
    <w:aliases w:val="sohi"/>
    <w:basedOn w:val="SOText"/>
    <w:next w:val="SOText"/>
    <w:link w:val="SOHeadItalicChar"/>
    <w:qFormat/>
    <w:rsid w:val="006F4E4E"/>
    <w:rPr>
      <w:i/>
    </w:rPr>
  </w:style>
  <w:style w:type="character" w:customStyle="1" w:styleId="SOHeadItalicChar">
    <w:name w:val="SO HeadItalic Char"/>
    <w:aliases w:val="sohi Char"/>
    <w:basedOn w:val="DefaultParagraphFont"/>
    <w:link w:val="SOHeadItalic"/>
    <w:rsid w:val="006F4E4E"/>
    <w:rPr>
      <w:i/>
      <w:sz w:val="22"/>
    </w:rPr>
  </w:style>
  <w:style w:type="paragraph" w:customStyle="1" w:styleId="SOBullet">
    <w:name w:val="SO Bullet"/>
    <w:aliases w:val="sotb"/>
    <w:basedOn w:val="SOText"/>
    <w:link w:val="SOBulletChar"/>
    <w:qFormat/>
    <w:rsid w:val="006F4E4E"/>
    <w:pPr>
      <w:ind w:left="1559" w:hanging="425"/>
    </w:pPr>
  </w:style>
  <w:style w:type="character" w:customStyle="1" w:styleId="SOBulletChar">
    <w:name w:val="SO Bullet Char"/>
    <w:aliases w:val="sotb Char"/>
    <w:basedOn w:val="DefaultParagraphFont"/>
    <w:link w:val="SOBullet"/>
    <w:rsid w:val="006F4E4E"/>
    <w:rPr>
      <w:sz w:val="22"/>
    </w:rPr>
  </w:style>
  <w:style w:type="paragraph" w:customStyle="1" w:styleId="SOBulletNote">
    <w:name w:val="SO BulletNote"/>
    <w:aliases w:val="sonb"/>
    <w:basedOn w:val="SOTextNote"/>
    <w:link w:val="SOBulletNoteChar"/>
    <w:qFormat/>
    <w:rsid w:val="006F4E4E"/>
    <w:pPr>
      <w:tabs>
        <w:tab w:val="left" w:pos="1560"/>
      </w:tabs>
      <w:ind w:left="2268" w:hanging="1134"/>
    </w:pPr>
  </w:style>
  <w:style w:type="character" w:customStyle="1" w:styleId="SOBulletNoteChar">
    <w:name w:val="SO BulletNote Char"/>
    <w:aliases w:val="sonb Char"/>
    <w:basedOn w:val="DefaultParagraphFont"/>
    <w:link w:val="SOBulletNote"/>
    <w:rsid w:val="006F4E4E"/>
    <w:rPr>
      <w:sz w:val="18"/>
    </w:rPr>
  </w:style>
  <w:style w:type="paragraph" w:customStyle="1" w:styleId="EnStatement">
    <w:name w:val="EnStatement"/>
    <w:basedOn w:val="Normal"/>
    <w:rsid w:val="006F4E4E"/>
    <w:pPr>
      <w:numPr>
        <w:numId w:val="14"/>
      </w:numPr>
    </w:pPr>
    <w:rPr>
      <w:rFonts w:eastAsia="Times New Roman" w:cs="Times New Roman"/>
      <w:lang w:eastAsia="en-AU"/>
    </w:rPr>
  </w:style>
  <w:style w:type="paragraph" w:customStyle="1" w:styleId="EnStatementHeading">
    <w:name w:val="EnStatementHeading"/>
    <w:basedOn w:val="Normal"/>
    <w:rsid w:val="006F4E4E"/>
    <w:rPr>
      <w:rFonts w:eastAsia="Times New Roman" w:cs="Times New Roman"/>
      <w:b/>
      <w:lang w:eastAsia="en-AU"/>
    </w:rPr>
  </w:style>
  <w:style w:type="paragraph" w:customStyle="1" w:styleId="ttCrest">
    <w:name w:val="tt_Crest"/>
    <w:basedOn w:val="Normal"/>
    <w:rsid w:val="002838F8"/>
    <w:pPr>
      <w:spacing w:after="300" w:line="240" w:lineRule="atLeast"/>
    </w:pPr>
    <w:rPr>
      <w:rFonts w:ascii="Arial" w:eastAsia="Calibri" w:hAnsi="Arial" w:cs="Times New Roman"/>
    </w:rPr>
  </w:style>
  <w:style w:type="paragraph" w:customStyle="1" w:styleId="nDrafterComment">
    <w:name w:val="n_Drafter_Comment"/>
    <w:basedOn w:val="Normal"/>
    <w:qFormat/>
    <w:rsid w:val="002838F8"/>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2838F8"/>
    <w:rPr>
      <w:rFonts w:eastAsia="Times New Roman" w:cs="Times New Roman"/>
      <w:sz w:val="22"/>
      <w:lang w:eastAsia="en-AU"/>
    </w:rPr>
  </w:style>
  <w:style w:type="character" w:customStyle="1" w:styleId="subsectionChar">
    <w:name w:val="subsection Char"/>
    <w:aliases w:val="ss Char,Subsection Char"/>
    <w:basedOn w:val="DefaultParagraphFont"/>
    <w:link w:val="subsection"/>
    <w:rsid w:val="002838F8"/>
    <w:rPr>
      <w:rFonts w:eastAsia="Times New Roman" w:cs="Times New Roman"/>
      <w:sz w:val="22"/>
      <w:lang w:eastAsia="en-AU"/>
    </w:rPr>
  </w:style>
  <w:style w:type="character" w:customStyle="1" w:styleId="CharSchPTNo">
    <w:name w:val="CharSchPTNo"/>
    <w:basedOn w:val="DefaultParagraphFont"/>
    <w:rsid w:val="002838F8"/>
  </w:style>
  <w:style w:type="character" w:customStyle="1" w:styleId="ActHead2Char">
    <w:name w:val="ActHead 2 Char"/>
    <w:aliases w:val="p Char"/>
    <w:basedOn w:val="DefaultParagraphFont"/>
    <w:link w:val="ActHead2"/>
    <w:rsid w:val="002838F8"/>
    <w:rPr>
      <w:rFonts w:eastAsia="Times New Roman" w:cs="Times New Roman"/>
      <w:b/>
      <w:kern w:val="28"/>
      <w:sz w:val="32"/>
      <w:lang w:eastAsia="en-AU"/>
    </w:rPr>
  </w:style>
  <w:style w:type="paragraph" w:customStyle="1" w:styleId="Transitional">
    <w:name w:val="Transitional"/>
    <w:aliases w:val="tr"/>
    <w:basedOn w:val="Normal"/>
    <w:next w:val="Normal"/>
    <w:rsid w:val="006F4E4E"/>
    <w:pPr>
      <w:keepNext/>
      <w:keepLines/>
      <w:spacing w:before="220" w:line="240" w:lineRule="auto"/>
      <w:ind w:left="709" w:hanging="709"/>
    </w:pPr>
    <w:rPr>
      <w:rFonts w:ascii="Arial" w:eastAsia="Times New Roman" w:hAnsi="Arial" w:cs="Times New Roman"/>
      <w:b/>
      <w:kern w:val="28"/>
      <w:sz w:val="24"/>
      <w:lang w:eastAsia="en-AU"/>
    </w:rPr>
  </w:style>
  <w:style w:type="paragraph" w:styleId="Title">
    <w:name w:val="Title"/>
    <w:basedOn w:val="Normal"/>
    <w:next w:val="Normal"/>
    <w:link w:val="TitleChar"/>
    <w:uiPriority w:val="10"/>
    <w:qFormat/>
    <w:rsid w:val="009125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541"/>
    <w:rPr>
      <w:rFonts w:asciiTheme="majorHAnsi" w:eastAsiaTheme="majorEastAsia" w:hAnsiTheme="majorHAnsi" w:cstheme="majorBidi"/>
      <w:color w:val="17365D" w:themeColor="text2" w:themeShade="BF"/>
      <w:spacing w:val="5"/>
      <w:kern w:val="28"/>
      <w:sz w:val="52"/>
      <w:szCs w:val="52"/>
    </w:rPr>
  </w:style>
  <w:style w:type="character" w:customStyle="1" w:styleId="notetextChar">
    <w:name w:val="note(text) Char"/>
    <w:aliases w:val="n Char,n_Main Char"/>
    <w:basedOn w:val="DefaultParagraphFont"/>
    <w:link w:val="notetext"/>
    <w:rsid w:val="00827B65"/>
    <w:rPr>
      <w:rFonts w:eastAsia="Times New Roman" w:cs="Times New Roman"/>
      <w:sz w:val="18"/>
      <w:lang w:eastAsia="en-AU"/>
    </w:rPr>
  </w:style>
  <w:style w:type="paragraph" w:customStyle="1" w:styleId="LegislativeNote">
    <w:name w:val="Legislative Note"/>
    <w:aliases w:val="LN"/>
    <w:basedOn w:val="Normal"/>
    <w:uiPriority w:val="5"/>
    <w:qFormat/>
    <w:rsid w:val="000F6AB9"/>
    <w:pPr>
      <w:spacing w:before="60" w:after="60"/>
      <w:ind w:left="2127" w:right="567" w:hanging="851"/>
    </w:pPr>
    <w:rPr>
      <w:rFonts w:ascii="Arial" w:eastAsia="Times New Roman" w:hAnsi="Arial" w:cs="Times New Roman"/>
      <w:sz w:val="16"/>
      <w:lang w:eastAsia="en-AU"/>
    </w:rPr>
  </w:style>
  <w:style w:type="paragraph" w:customStyle="1" w:styleId="Noheading">
    <w:name w:val="No heading"/>
    <w:basedOn w:val="ActHead6"/>
    <w:rsid w:val="0080470C"/>
    <w:pPr>
      <w:spacing w:before="120" w:after="120"/>
    </w:pPr>
  </w:style>
  <w:style w:type="character" w:customStyle="1" w:styleId="ActHead5Char">
    <w:name w:val="ActHead 5 Char"/>
    <w:aliases w:val="s Char"/>
    <w:link w:val="ActHead5"/>
    <w:rsid w:val="00543AFF"/>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304D-0C49-49ED-AECF-A76FEDE1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23</Pages>
  <Words>6446</Words>
  <Characters>34137</Characters>
  <Application>Microsoft Office Word</Application>
  <DocSecurity>0</DocSecurity>
  <PresentationFormat/>
  <Lines>945</Lines>
  <Paragraphs>561</Paragraphs>
  <ScaleCrop>false</ScaleCrop>
  <HeadingPairs>
    <vt:vector size="2" baseType="variant">
      <vt:variant>
        <vt:lpstr>Title</vt:lpstr>
      </vt:variant>
      <vt:variant>
        <vt:i4>1</vt:i4>
      </vt:variant>
    </vt:vector>
  </HeadingPairs>
  <TitlesOfParts>
    <vt:vector size="1" baseType="lpstr">
      <vt:lpstr>Health Insurance (Accredited Pathology Laboratories—Approval) Principles 2017</vt:lpstr>
    </vt:vector>
  </TitlesOfParts>
  <Manager/>
  <Company/>
  <LinksUpToDate>false</LinksUpToDate>
  <CharactersWithSpaces>40236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(Accredited Pathology Laboratories—Approval) Principles 2017</dc:title>
  <dc:subject/>
  <dc:creator/>
  <cp:keywords/>
  <dc:description/>
  <cp:lastModifiedBy/>
  <cp:revision>1</cp:revision>
  <cp:lastPrinted>2018-04-24T05:52:00Z</cp:lastPrinted>
  <dcterms:created xsi:type="dcterms:W3CDTF">2023-05-01T00:54:00Z</dcterms:created>
  <dcterms:modified xsi:type="dcterms:W3CDTF">2023-05-01T00:54:00Z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(Accredited Pathology Laboratories—Approval) Principles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OFFICIAL</vt:lpwstr>
  </property>
  <property fmtid="{D5CDD505-2E9C-101B-9397-08002B2CF9AE}" pid="15" name="DLM">
    <vt:lpwstr> </vt:lpwstr>
  </property>
  <property fmtid="{D5CDD505-2E9C-101B-9397-08002B2CF9AE}" pid="16" name="ChangedTitle">
    <vt:lpwstr/>
  </property>
  <property fmtid="{D5CDD505-2E9C-101B-9397-08002B2CF9AE}" pid="17" name="DoNotAsk">
    <vt:lpwstr>0</vt:lpwstr>
  </property>
  <property fmtid="{D5CDD505-2E9C-101B-9397-08002B2CF9AE}" pid="18" name="Converted">
    <vt:bool>false</vt:bool>
  </property>
  <property fmtid="{D5CDD505-2E9C-101B-9397-08002B2CF9AE}" pid="19" name="CompilationVersion">
    <vt:i4>3</vt:i4>
  </property>
  <property fmtid="{D5CDD505-2E9C-101B-9397-08002B2CF9AE}" pid="20" name="CompilationNumber">
    <vt:lpwstr>6</vt:lpwstr>
  </property>
  <property fmtid="{D5CDD505-2E9C-101B-9397-08002B2CF9AE}" pid="21" name="StartDate">
    <vt:lpwstr>1 August 2021</vt:lpwstr>
  </property>
  <property fmtid="{D5CDD505-2E9C-101B-9397-08002B2CF9AE}" pid="22" name="IncludesUpTo">
    <vt:lpwstr>F2021L01053</vt:lpwstr>
  </property>
  <property fmtid="{D5CDD505-2E9C-101B-9397-08002B2CF9AE}" pid="23" name="RegisteredDate">
    <vt:lpwstr>24 August 2021</vt:lpwstr>
  </property>
</Properties>
</file>